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059" w:lineRule="exact"/>
        <w:ind w:left="0" w:right="317" w:firstLine="0"/>
        <w:jc w:val="center"/>
        <w:outlineLvl w:val="9"/>
        <w:rPr>
          <w:rFonts w:hint="eastAsia" w:ascii="宋体" w:hAnsi="宋体" w:eastAsia="宋体" w:cs="宋体"/>
          <w:b/>
          <w:bCs w:val="0"/>
          <w:color w:val="000000" w:themeColor="text1"/>
          <w:sz w:val="52"/>
          <w:szCs w:val="52"/>
          <w:highlight w:val="none"/>
          <w14:textFill>
            <w14:solidFill>
              <w14:schemeClr w14:val="tx1"/>
            </w14:solidFill>
          </w14:textFill>
        </w:rPr>
      </w:pPr>
      <w:bookmarkStart w:id="688" w:name="_GoBack"/>
      <w:bookmarkEnd w:id="688"/>
      <w:r>
        <w:rPr>
          <w:rFonts w:hint="eastAsia" w:ascii="宋体" w:hAnsi="宋体" w:eastAsia="宋体" w:cs="宋体"/>
          <w:b/>
          <w:bCs w:val="0"/>
          <w:color w:val="000000" w:themeColor="text1"/>
          <w:sz w:val="52"/>
          <w:szCs w:val="52"/>
          <w:highlight w:val="none"/>
          <w14:textFill>
            <w14:solidFill>
              <w14:schemeClr w14:val="tx1"/>
            </w14:solidFill>
          </w14:textFill>
        </w:rPr>
        <w:t>广西顺易工程管理有限公司</w:t>
      </w:r>
    </w:p>
    <w:p>
      <w:pPr>
        <w:spacing w:before="0" w:line="1059" w:lineRule="exact"/>
        <w:ind w:left="0" w:right="317" w:firstLine="0"/>
        <w:jc w:val="center"/>
        <w:outlineLvl w:val="9"/>
        <w:rPr>
          <w:rFonts w:hint="eastAsia" w:ascii="宋体" w:hAnsi="宋体" w:eastAsia="宋体" w:cs="宋体"/>
          <w:b/>
          <w:color w:val="000000" w:themeColor="text1"/>
          <w:sz w:val="21"/>
          <w:szCs w:val="21"/>
          <w:highlight w:val="none"/>
          <w14:textFill>
            <w14:solidFill>
              <w14:schemeClr w14:val="tx1"/>
            </w14:solidFill>
          </w14:textFill>
        </w:rPr>
      </w:pPr>
    </w:p>
    <w:p>
      <w:pPr>
        <w:spacing w:before="0" w:line="1059" w:lineRule="exact"/>
        <w:ind w:left="0" w:right="317" w:firstLine="0"/>
        <w:jc w:val="center"/>
        <w:outlineLvl w:val="9"/>
        <w:rPr>
          <w:rFonts w:hint="eastAsia" w:ascii="宋体" w:hAnsi="宋体" w:eastAsia="宋体" w:cs="宋体"/>
          <w:b/>
          <w:color w:val="000000" w:themeColor="text1"/>
          <w:sz w:val="21"/>
          <w:szCs w:val="21"/>
          <w:highlight w:val="none"/>
          <w14:textFill>
            <w14:solidFill>
              <w14:schemeClr w14:val="tx1"/>
            </w14:solidFill>
          </w14:textFill>
        </w:rPr>
      </w:pPr>
    </w:p>
    <w:p>
      <w:pPr>
        <w:spacing w:before="0" w:line="1059" w:lineRule="exact"/>
        <w:ind w:left="0" w:right="317" w:firstLine="0"/>
        <w:jc w:val="center"/>
        <w:outlineLvl w:val="9"/>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公开招标文件</w:t>
      </w:r>
    </w:p>
    <w:p>
      <w:pPr>
        <w:outlineLvl w:val="9"/>
        <w:rPr>
          <w:rFonts w:hint="eastAsia" w:ascii="宋体" w:hAnsi="宋体" w:eastAsia="宋体" w:cs="宋体"/>
          <w:color w:val="000000" w:themeColor="text1"/>
          <w:sz w:val="21"/>
          <w:szCs w:val="21"/>
          <w:highlight w:val="none"/>
          <w14:textFill>
            <w14:solidFill>
              <w14:schemeClr w14:val="tx1"/>
            </w14:solidFill>
          </w14:textFill>
        </w:rPr>
      </w:pPr>
    </w:p>
    <w:p>
      <w:pPr>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outlineLvl w:val="9"/>
        <w:rPr>
          <w:rFonts w:hint="eastAsia" w:ascii="宋体" w:hAnsi="宋体" w:eastAsia="宋体" w:cs="宋体"/>
          <w:color w:val="000000" w:themeColor="text1"/>
          <w:sz w:val="21"/>
          <w:szCs w:val="21"/>
          <w:highlight w:val="none"/>
          <w14:textFill>
            <w14:solidFill>
              <w14:schemeClr w14:val="tx1"/>
            </w14:solidFill>
          </w14:textFill>
        </w:rPr>
      </w:pPr>
    </w:p>
    <w:p>
      <w:pPr>
        <w:spacing w:before="0"/>
        <w:ind w:right="247" w:firstLine="964" w:firstLineChars="300"/>
        <w:jc w:val="both"/>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lang w:eastAsia="zh-CN"/>
          <w14:textFill>
            <w14:solidFill>
              <w14:schemeClr w14:val="tx1"/>
            </w14:solidFill>
          </w14:textFill>
        </w:rPr>
        <w:t>兴业县葵阳镇安东村1组水库移民整村提升工程</w:t>
      </w:r>
    </w:p>
    <w:p>
      <w:pPr>
        <w:spacing w:before="0"/>
        <w:ind w:left="5880" w:leftChars="2800" w:right="247" w:firstLine="0"/>
        <w:jc w:val="both"/>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before="0"/>
        <w:ind w:right="247" w:firstLine="964" w:firstLineChars="300"/>
        <w:jc w:val="both"/>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项目编号：YLZC2022-G2-240133-GXSY</w:t>
      </w:r>
    </w:p>
    <w:p>
      <w:pPr>
        <w:spacing w:before="0"/>
        <w:ind w:left="5880" w:leftChars="2800" w:right="247" w:firstLine="0"/>
        <w:jc w:val="both"/>
        <w:outlineLvl w:val="9"/>
        <w:rPr>
          <w:rFonts w:hint="eastAsia" w:ascii="宋体" w:hAnsi="宋体" w:eastAsia="宋体" w:cs="宋体"/>
          <w:b/>
          <w:bCs/>
          <w:color w:val="000000" w:themeColor="text1"/>
          <w:sz w:val="21"/>
          <w:szCs w:val="21"/>
          <w:highlight w:val="yellow"/>
          <w:lang w:eastAsia="zh-CN"/>
          <w14:textFill>
            <w14:solidFill>
              <w14:schemeClr w14:val="tx1"/>
            </w14:solidFill>
          </w14:textFill>
        </w:rPr>
      </w:pPr>
    </w:p>
    <w:p>
      <w:pPr>
        <w:pStyle w:val="11"/>
        <w:spacing w:before="9"/>
        <w:ind w:firstLine="422" w:firstLineChars="200"/>
        <w:outlineLvl w:val="9"/>
        <w:rPr>
          <w:rFonts w:hint="eastAsia" w:ascii="宋体" w:hAnsi="宋体" w:eastAsia="宋体" w:cs="宋体"/>
          <w:b/>
          <w:bCs/>
          <w:color w:val="000000" w:themeColor="text1"/>
          <w:sz w:val="21"/>
          <w:szCs w:val="21"/>
          <w:highlight w:val="none"/>
          <w:lang w:eastAsia="zh-CN"/>
          <w14:textFill>
            <w14:solidFill>
              <w14:schemeClr w14:val="tx1"/>
            </w14:solidFill>
          </w14:textFill>
        </w:rPr>
      </w:pPr>
    </w:p>
    <w:p>
      <w:pPr>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pStyle w:val="2"/>
        <w:outlineLvl w:val="9"/>
        <w:rPr>
          <w:rFonts w:hint="eastAsia" w:ascii="宋体" w:hAnsi="宋体" w:eastAsia="宋体" w:cs="宋体"/>
          <w:color w:val="000000" w:themeColor="text1"/>
          <w:sz w:val="21"/>
          <w:szCs w:val="21"/>
          <w:highlight w:val="none"/>
          <w14:textFill>
            <w14:solidFill>
              <w14:schemeClr w14:val="tx1"/>
            </w14:solidFill>
          </w14:textFill>
        </w:rPr>
      </w:pPr>
    </w:p>
    <w:p>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shadow w14:blurRad="50800" w14:dist="38100" w14:dir="2700000" w14:sx="100000" w14:sy="100000" w14:kx="0" w14:ky="0" w14:algn="tl">
            <w14:srgbClr w14:val="000000">
              <w14:alpha w14:val="60000"/>
            </w14:srgbClr>
          </w14:shadow>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395605</wp:posOffset>
                </wp:positionH>
                <wp:positionV relativeFrom="paragraph">
                  <wp:posOffset>52070</wp:posOffset>
                </wp:positionV>
                <wp:extent cx="5730240" cy="9525"/>
                <wp:effectExtent l="0" t="31750" r="3810" b="34925"/>
                <wp:wrapTight wrapText="bothSides">
                  <wp:wrapPolygon>
                    <wp:start x="0" y="-33120"/>
                    <wp:lineTo x="0" y="92160"/>
                    <wp:lineTo x="21543" y="92160"/>
                    <wp:lineTo x="21543" y="-33120"/>
                    <wp:lineTo x="0" y="-33120"/>
                  </wp:wrapPolygon>
                </wp:wrapTight>
                <wp:docPr id="7" name="直接连接符 7"/>
                <wp:cNvGraphicFramePr/>
                <a:graphic xmlns:a="http://schemas.openxmlformats.org/drawingml/2006/main">
                  <a:graphicData uri="http://schemas.microsoft.com/office/word/2010/wordprocessingShape">
                    <wps:wsp>
                      <wps:cNvCnPr/>
                      <wps:spPr>
                        <a:xfrm flipV="1">
                          <a:off x="0" y="0"/>
                          <a:ext cx="5730240" cy="952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15pt;margin-top:4.1pt;height:0.75pt;width:451.2pt;mso-wrap-distance-left:9pt;mso-wrap-distance-right:9pt;z-index:-251657216;mso-width-relative:page;mso-height-relative:page;" filled="f" stroked="t" coordsize="21600,21600" wrapcoords="0 -33120 0 92160 21543 92160 21543 -33120 0 -33120" o:gfxdata="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aX8rUAAAABgEAAA8AAAAAAAAAAQAgAAAAIgAAAGRycy9kb3ducmV2&#10;LnhtbFBLAQIUABQAAAAIAIdO4kDb78UVAAIAAPIDAAAOAAAAAAAAAAEAIAAAACMBAABkcnMvZTJv&#10;RG9jLnhtbFBLBQYAAAAABgAGAFkBAACVBQAAAAA=&#10;">
                <v:fill on="f" focussize="0,0"/>
                <v:stroke weight="5pt" color="#FF0000" linestyle="thickBetweenThin" joinstyle="round"/>
                <v:imagedata o:title=""/>
                <o:lock v:ext="edit" aspectratio="f"/>
                <w10:wrap type="tight"/>
              </v:line>
            </w:pict>
          </mc:Fallback>
        </mc:AlternateContent>
      </w:r>
    </w:p>
    <w:p>
      <w:pPr>
        <w:ind w:firstLine="422" w:firstLineChars="200"/>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spacing w:before="0"/>
        <w:ind w:right="247" w:firstLine="964" w:firstLineChars="300"/>
        <w:jc w:val="both"/>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采购人</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兴业县水库和扶贫易地安置中心</w:t>
      </w:r>
    </w:p>
    <w:p>
      <w:pPr>
        <w:spacing w:before="0"/>
        <w:ind w:right="247" w:firstLine="964" w:firstLineChars="300"/>
        <w:jc w:val="center"/>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before="0"/>
        <w:ind w:right="247" w:firstLine="964" w:firstLineChars="30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p>
    <w:p>
      <w:pPr>
        <w:spacing w:before="0"/>
        <w:ind w:right="247" w:firstLine="964" w:firstLineChars="300"/>
        <w:jc w:val="both"/>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采购代理机构</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广西顺易工程管理有限公司</w:t>
      </w:r>
    </w:p>
    <w:p>
      <w:pPr>
        <w:spacing w:before="0"/>
        <w:ind w:right="247" w:firstLine="964" w:firstLineChars="30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p>
    <w:p>
      <w:pPr>
        <w:spacing w:before="0"/>
        <w:ind w:right="247" w:firstLine="964" w:firstLineChars="300"/>
        <w:jc w:val="center"/>
        <w:outlineLvl w:val="9"/>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2022年8月</w:t>
      </w:r>
    </w:p>
    <w:p>
      <w:pPr>
        <w:spacing w:before="0" w:beforeLines="0" w:after="0" w:afterLines="0" w:line="240" w:lineRule="auto"/>
        <w:ind w:left="0" w:leftChars="0" w:right="0" w:rightChars="0" w:firstLine="0" w:firstLineChars="0"/>
        <w:jc w:val="center"/>
        <w:outlineLvl w:val="9"/>
      </w:pPr>
    </w:p>
    <w:sdt>
      <w:sdtPr>
        <w:rPr>
          <w:rFonts w:hint="eastAsia" w:ascii="宋体" w:hAnsi="宋体" w:eastAsia="宋体" w:cs="宋体"/>
          <w:b/>
          <w:bCs/>
          <w:color w:val="auto"/>
          <w:sz w:val="32"/>
          <w:szCs w:val="32"/>
          <w:highlight w:val="none"/>
          <w:lang w:val="en-US" w:eastAsia="zh-CN"/>
        </w:rPr>
        <w:id w:val="147468432"/>
        <w15:color w:val="DBDBDB"/>
        <w:docPartObj>
          <w:docPartGallery w:val="Table of Contents"/>
          <w:docPartUnique/>
        </w:docPartObj>
      </w:sdtPr>
      <w:sdtEndPr>
        <w:rPr>
          <w:rFonts w:hint="eastAsia" w:ascii="宋体" w:hAnsi="宋体" w:eastAsia="宋体" w:cs="宋体"/>
          <w:b/>
          <w:bCs/>
          <w:color w:val="auto"/>
          <w:kern w:val="2"/>
          <w:sz w:val="21"/>
          <w:szCs w:val="21"/>
          <w:highlight w:val="none"/>
          <w:lang w:val="en-US" w:eastAsia="zh-CN" w:bidi="ar-SA"/>
          <w14:shadow w14:blurRad="50800" w14:dist="38100" w14:dir="2700000" w14:sx="100000" w14:sy="100000" w14:kx="0" w14:ky="0" w14:algn="tl">
            <w14:srgbClr w14:val="000000">
              <w14:alpha w14:val="60000"/>
            </w14:srgbClr>
          </w14:shadow>
        </w:rPr>
      </w:sdtEndPr>
      <w:sdtContent>
        <w:p>
          <w:pPr>
            <w:spacing w:before="0" w:beforeLines="0" w:after="0" w:afterLines="0" w:line="240" w:lineRule="auto"/>
            <w:ind w:left="0" w:leftChars="0" w:right="0" w:rightChars="0" w:firstLine="0" w:firstLineChars="0"/>
            <w:jc w:val="center"/>
            <w:outlineLvl w:val="9"/>
            <w:rPr>
              <w:rFonts w:hint="eastAsia" w:ascii="宋体" w:hAnsi="宋体" w:eastAsia="宋体" w:cs="宋体"/>
              <w:b/>
              <w:bCs/>
              <w:color w:val="auto"/>
              <w:sz w:val="21"/>
              <w:szCs w:val="21"/>
              <w:highlight w:val="none"/>
            </w:rPr>
            <w:sectPr>
              <w:headerReference r:id="rId3" w:type="default"/>
              <w:pgSz w:w="11910" w:h="16840"/>
              <w:pgMar w:top="1134" w:right="1134" w:bottom="1134" w:left="1247" w:header="850" w:footer="567" w:gutter="0"/>
              <w:pgNumType w:fmt="decimal" w:start="0"/>
              <w:cols w:space="720" w:num="1"/>
              <w:titlePg/>
            </w:sectPr>
          </w:pPr>
        </w:p>
        <w:p>
          <w:pPr>
            <w:spacing w:before="0" w:beforeLines="0" w:after="0" w:afterLines="0" w:line="240" w:lineRule="auto"/>
            <w:ind w:left="0" w:leftChars="0" w:right="0" w:rightChars="0" w:firstLine="0" w:firstLineChars="0"/>
            <w:jc w:val="center"/>
            <w:outlineLvl w:val="9"/>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录</w:t>
          </w:r>
        </w:p>
        <w:p>
          <w:pPr>
            <w:pStyle w:val="20"/>
            <w:tabs>
              <w:tab w:val="right" w:leader="dot" w:pos="9529"/>
            </w:tabs>
            <w:rPr>
              <w:color w:val="auto"/>
              <w:sz w:val="28"/>
              <w:szCs w:val="28"/>
            </w:rPr>
          </w:pPr>
          <w:r>
            <w:rPr>
              <w:rFonts w:hint="eastAsia" w:ascii="宋体" w:hAnsi="宋体" w:eastAsia="宋体" w:cs="宋体"/>
              <w:b/>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b/>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TOC \o "1-2" \h \u </w:instrText>
          </w:r>
          <w:r>
            <w:rPr>
              <w:rFonts w:hint="eastAsia" w:ascii="宋体" w:hAnsi="宋体" w:eastAsia="宋体" w:cs="宋体"/>
              <w:b/>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p>
        <w:p>
          <w:pPr>
            <w:pStyle w:val="20"/>
            <w:tabs>
              <w:tab w:val="right" w:pos="2400"/>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_Toc7260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sz w:val="28"/>
              <w:szCs w:val="28"/>
              <w:highlight w:val="none"/>
            </w:rPr>
            <w:t>第一章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招标公告</w:t>
          </w:r>
          <w:r>
            <w:rPr>
              <w:color w:val="auto"/>
              <w:sz w:val="28"/>
              <w:szCs w:val="28"/>
            </w:rPr>
            <w:tab/>
          </w:r>
          <w:r>
            <w:rPr>
              <w:color w:val="auto"/>
              <w:sz w:val="28"/>
              <w:szCs w:val="28"/>
            </w:rPr>
            <w:fldChar w:fldCharType="begin"/>
          </w:r>
          <w:r>
            <w:rPr>
              <w:color w:val="auto"/>
              <w:sz w:val="28"/>
              <w:szCs w:val="28"/>
            </w:rPr>
            <w:instrText xml:space="preserve"> PAGEREF _Toc7260 \h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_Toc2207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kern w:val="2"/>
              <w:sz w:val="28"/>
              <w:szCs w:val="28"/>
              <w:highlight w:val="none"/>
              <w:lang w:val="en-US" w:eastAsia="zh-CN" w:bidi="ar-SA"/>
            </w:rPr>
            <w:t>第二章 投标人须知</w:t>
          </w:r>
          <w:r>
            <w:rPr>
              <w:color w:val="auto"/>
              <w:sz w:val="28"/>
              <w:szCs w:val="28"/>
            </w:rPr>
            <w:tab/>
          </w:r>
          <w:r>
            <w:rPr>
              <w:color w:val="auto"/>
              <w:sz w:val="28"/>
              <w:szCs w:val="28"/>
            </w:rPr>
            <w:fldChar w:fldCharType="begin"/>
          </w:r>
          <w:r>
            <w:rPr>
              <w:color w:val="auto"/>
              <w:sz w:val="28"/>
              <w:szCs w:val="28"/>
            </w:rPr>
            <w:instrText xml:space="preserve"> PAGEREF _Toc2207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_Toc7235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sz w:val="28"/>
              <w:szCs w:val="28"/>
              <w:lang w:val="en-US" w:eastAsia="zh-CN"/>
            </w:rPr>
            <w:t xml:space="preserve">第三章 </w:t>
          </w:r>
          <w:r>
            <w:rPr>
              <w:rFonts w:hint="eastAsia" w:ascii="宋体" w:hAnsi="宋体" w:eastAsia="宋体" w:cs="宋体"/>
              <w:bCs/>
              <w:color w:val="auto"/>
              <w:sz w:val="28"/>
              <w:szCs w:val="28"/>
              <w:highlight w:val="none"/>
              <w:lang w:val="en-US" w:eastAsia="zh-CN"/>
            </w:rPr>
            <w:t>评标方法及评标标准</w:t>
          </w:r>
          <w:r>
            <w:rPr>
              <w:color w:val="auto"/>
              <w:sz w:val="28"/>
              <w:szCs w:val="28"/>
            </w:rPr>
            <w:tab/>
          </w:r>
          <w:r>
            <w:rPr>
              <w:color w:val="auto"/>
              <w:sz w:val="28"/>
              <w:szCs w:val="28"/>
            </w:rPr>
            <w:fldChar w:fldCharType="begin"/>
          </w:r>
          <w:r>
            <w:rPr>
              <w:color w:val="auto"/>
              <w:sz w:val="28"/>
              <w:szCs w:val="28"/>
            </w:rPr>
            <w:instrText xml:space="preserve"> PAGEREF _Toc7235 \h </w:instrText>
          </w:r>
          <w:r>
            <w:rPr>
              <w:color w:val="auto"/>
              <w:sz w:val="28"/>
              <w:szCs w:val="28"/>
            </w:rPr>
            <w:fldChar w:fldCharType="separate"/>
          </w:r>
          <w:r>
            <w:rPr>
              <w:color w:val="auto"/>
              <w:sz w:val="28"/>
              <w:szCs w:val="28"/>
            </w:rPr>
            <w:t>20</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_Toc16772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sz w:val="28"/>
              <w:szCs w:val="28"/>
              <w:lang w:val="en-US" w:eastAsia="zh-CN"/>
            </w:rPr>
            <w:t xml:space="preserve">第四章 </w:t>
          </w:r>
          <w:r>
            <w:rPr>
              <w:rFonts w:hint="eastAsia" w:ascii="宋体" w:hAnsi="宋体" w:eastAsia="宋体" w:cs="宋体"/>
              <w:bCs/>
              <w:color w:val="auto"/>
              <w:sz w:val="28"/>
              <w:szCs w:val="28"/>
              <w:highlight w:val="none"/>
              <w:lang w:val="en-US" w:eastAsia="zh-CN"/>
            </w:rPr>
            <w:t>合同条款及格式</w:t>
          </w:r>
          <w:r>
            <w:rPr>
              <w:color w:val="auto"/>
              <w:sz w:val="28"/>
              <w:szCs w:val="28"/>
            </w:rPr>
            <w:tab/>
          </w:r>
          <w:r>
            <w:rPr>
              <w:color w:val="auto"/>
              <w:sz w:val="28"/>
              <w:szCs w:val="28"/>
            </w:rPr>
            <w:fldChar w:fldCharType="begin"/>
          </w:r>
          <w:r>
            <w:rPr>
              <w:color w:val="auto"/>
              <w:sz w:val="28"/>
              <w:szCs w:val="28"/>
            </w:rPr>
            <w:instrText xml:space="preserve"> PAGEREF _Toc16772 \h </w:instrText>
          </w:r>
          <w:r>
            <w:rPr>
              <w:color w:val="auto"/>
              <w:sz w:val="28"/>
              <w:szCs w:val="28"/>
            </w:rPr>
            <w:fldChar w:fldCharType="separate"/>
          </w:r>
          <w:r>
            <w:rPr>
              <w:color w:val="auto"/>
              <w:sz w:val="28"/>
              <w:szCs w:val="28"/>
            </w:rPr>
            <w:t>27</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_Toc13544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sz w:val="28"/>
              <w:szCs w:val="28"/>
              <w:highlight w:val="none"/>
              <w:lang w:val="en-US" w:eastAsia="zh-CN"/>
            </w:rPr>
            <w:t>第五章 工程量清单</w:t>
          </w:r>
          <w:r>
            <w:rPr>
              <w:color w:val="auto"/>
              <w:sz w:val="28"/>
              <w:szCs w:val="28"/>
            </w:rPr>
            <w:tab/>
          </w:r>
          <w:r>
            <w:rPr>
              <w:color w:val="auto"/>
              <w:sz w:val="28"/>
              <w:szCs w:val="28"/>
            </w:rPr>
            <w:fldChar w:fldCharType="begin"/>
          </w:r>
          <w:r>
            <w:rPr>
              <w:color w:val="auto"/>
              <w:sz w:val="28"/>
              <w:szCs w:val="28"/>
            </w:rPr>
            <w:instrText xml:space="preserve"> PAGEREF _Toc13544 \h </w:instrText>
          </w:r>
          <w:r>
            <w:rPr>
              <w:color w:val="auto"/>
              <w:sz w:val="28"/>
              <w:szCs w:val="28"/>
            </w:rPr>
            <w:fldChar w:fldCharType="separate"/>
          </w:r>
          <w:r>
            <w:rPr>
              <w:color w:val="auto"/>
              <w:sz w:val="28"/>
              <w:szCs w:val="28"/>
            </w:rPr>
            <w:t>44</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_Toc20770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sz w:val="28"/>
              <w:szCs w:val="28"/>
              <w:highlight w:val="none"/>
              <w:lang w:val="en-US" w:eastAsia="zh-CN"/>
            </w:rPr>
            <w:t>第六章 图纸</w:t>
          </w:r>
          <w:r>
            <w:rPr>
              <w:color w:val="auto"/>
              <w:sz w:val="28"/>
              <w:szCs w:val="28"/>
            </w:rPr>
            <w:tab/>
          </w:r>
          <w:r>
            <w:rPr>
              <w:color w:val="auto"/>
              <w:sz w:val="28"/>
              <w:szCs w:val="28"/>
            </w:rPr>
            <w:fldChar w:fldCharType="begin"/>
          </w:r>
          <w:r>
            <w:rPr>
              <w:color w:val="auto"/>
              <w:sz w:val="28"/>
              <w:szCs w:val="28"/>
            </w:rPr>
            <w:instrText xml:space="preserve"> PAGEREF _Toc20770 \h </w:instrText>
          </w:r>
          <w:r>
            <w:rPr>
              <w:color w:val="auto"/>
              <w:sz w:val="28"/>
              <w:szCs w:val="28"/>
            </w:rPr>
            <w:fldChar w:fldCharType="separate"/>
          </w:r>
          <w:r>
            <w:rPr>
              <w:color w:val="auto"/>
              <w:sz w:val="28"/>
              <w:szCs w:val="28"/>
            </w:rPr>
            <w:t>45</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_Toc7489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rFonts w:hint="eastAsia" w:ascii="宋体" w:hAnsi="宋体" w:eastAsia="宋体" w:cs="宋体"/>
              <w:bCs/>
              <w:color w:val="auto"/>
              <w:sz w:val="28"/>
              <w:szCs w:val="28"/>
              <w:highlight w:val="none"/>
              <w:lang w:val="en-US" w:eastAsia="zh-CN"/>
            </w:rPr>
            <w:t>第七章 技术标准和要求</w:t>
          </w:r>
          <w:r>
            <w:rPr>
              <w:color w:val="auto"/>
              <w:sz w:val="28"/>
              <w:szCs w:val="28"/>
            </w:rPr>
            <w:tab/>
          </w:r>
          <w:r>
            <w:rPr>
              <w:color w:val="auto"/>
              <w:sz w:val="28"/>
              <w:szCs w:val="28"/>
            </w:rPr>
            <w:fldChar w:fldCharType="begin"/>
          </w:r>
          <w:r>
            <w:rPr>
              <w:color w:val="auto"/>
              <w:sz w:val="28"/>
              <w:szCs w:val="28"/>
            </w:rPr>
            <w:instrText xml:space="preserve"> PAGEREF _Toc7489 \h </w:instrText>
          </w:r>
          <w:r>
            <w:rPr>
              <w:color w:val="auto"/>
              <w:sz w:val="28"/>
              <w:szCs w:val="28"/>
            </w:rPr>
            <w:fldChar w:fldCharType="separate"/>
          </w:r>
          <w:r>
            <w:rPr>
              <w:color w:val="auto"/>
              <w:sz w:val="28"/>
              <w:szCs w:val="28"/>
            </w:rPr>
            <w:t>46</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begin"/>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instrText xml:space="preserve"> HYPERLINK \l _Toc2439 </w:instrText>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separate"/>
          </w:r>
          <w:r>
            <w:rPr>
              <w:color w:val="auto"/>
              <w:sz w:val="28"/>
              <w:szCs w:val="28"/>
              <w:highlight w:val="none"/>
            </w:rPr>
            <w:t>第八章 投标文件格式</w:t>
          </w:r>
          <w:r>
            <w:rPr>
              <w:color w:val="auto"/>
              <w:sz w:val="28"/>
              <w:szCs w:val="28"/>
            </w:rPr>
            <w:tab/>
          </w:r>
          <w:r>
            <w:rPr>
              <w:color w:val="auto"/>
              <w:sz w:val="28"/>
              <w:szCs w:val="28"/>
            </w:rPr>
            <w:fldChar w:fldCharType="begin"/>
          </w:r>
          <w:r>
            <w:rPr>
              <w:color w:val="auto"/>
              <w:sz w:val="28"/>
              <w:szCs w:val="28"/>
            </w:rPr>
            <w:instrText xml:space="preserve"> PAGEREF _Toc2439 \h </w:instrText>
          </w:r>
          <w:r>
            <w:rPr>
              <w:color w:val="auto"/>
              <w:sz w:val="28"/>
              <w:szCs w:val="28"/>
            </w:rPr>
            <w:fldChar w:fldCharType="separate"/>
          </w:r>
          <w:r>
            <w:rPr>
              <w:color w:val="auto"/>
              <w:sz w:val="28"/>
              <w:szCs w:val="28"/>
            </w:rPr>
            <w:t>47</w:t>
          </w:r>
          <w:r>
            <w:rPr>
              <w:color w:val="auto"/>
              <w:sz w:val="28"/>
              <w:szCs w:val="28"/>
            </w:rPr>
            <w:fldChar w:fldCharType="end"/>
          </w: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p>
          <w:pPr>
            <w:pStyle w:val="20"/>
            <w:tabs>
              <w:tab w:val="right" w:leader="dot" w:pos="9529"/>
            </w:tabs>
            <w:rPr>
              <w:color w:val="auto"/>
              <w:sz w:val="28"/>
              <w:szCs w:val="28"/>
            </w:rPr>
          </w:pPr>
        </w:p>
        <w:p>
          <w:pPr>
            <w:pStyle w:val="2"/>
            <w:keepNext w:val="0"/>
            <w:keepLines w:val="0"/>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color w:val="auto"/>
              <w:sz w:val="21"/>
              <w:szCs w:val="21"/>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color w:val="auto"/>
              <w:sz w:val="28"/>
              <w:szCs w:val="28"/>
              <w:highlight w:val="none"/>
              <w:lang w:val="en-US" w:eastAsia="zh-CN"/>
              <w14:shadow w14:blurRad="50800" w14:dist="38100" w14:dir="2700000" w14:sx="100000" w14:sy="100000" w14:kx="0" w14:ky="0" w14:algn="tl">
                <w14:srgbClr w14:val="000000">
                  <w14:alpha w14:val="60000"/>
                </w14:srgbClr>
              </w14:shadow>
            </w:rPr>
            <w:fldChar w:fldCharType="end"/>
          </w:r>
        </w:p>
      </w:sdtContent>
    </w:sd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6"/>
          <w:szCs w:val="36"/>
          <w:highlight w:val="none"/>
        </w:rPr>
      </w:pPr>
      <w:bookmarkStart w:id="0" w:name="_Toc15765"/>
      <w:r>
        <w:rPr>
          <w:rFonts w:hint="eastAsia" w:ascii="宋体" w:hAnsi="宋体" w:eastAsia="宋体" w:cs="宋体"/>
          <w:b/>
          <w:bCs/>
          <w:color w:val="auto"/>
          <w:sz w:val="36"/>
          <w:szCs w:val="36"/>
          <w:highlight w:val="none"/>
        </w:rPr>
        <w:t>第一卷</w:t>
      </w:r>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32"/>
          <w:szCs w:val="32"/>
          <w:highlight w:val="none"/>
        </w:rPr>
      </w:pPr>
      <w:bookmarkStart w:id="1" w:name="第一章  招标公告"/>
      <w:bookmarkEnd w:id="1"/>
      <w:bookmarkStart w:id="2" w:name="_bookmark0"/>
      <w:bookmarkEnd w:id="2"/>
      <w:bookmarkStart w:id="3" w:name="_Toc7260"/>
      <w:r>
        <w:rPr>
          <w:rFonts w:hint="eastAsia" w:ascii="宋体" w:hAnsi="宋体" w:eastAsia="宋体" w:cs="宋体"/>
          <w:b/>
          <w:bCs/>
          <w:color w:val="auto"/>
          <w:sz w:val="32"/>
          <w:szCs w:val="32"/>
          <w:highlight w:val="none"/>
        </w:rPr>
        <w:t>第一章</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招标公告</w:t>
      </w:r>
      <w:bookmarkEnd w:id="3"/>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广西顺易工程管理有限公司兴业县葵阳镇安东村1组水库移民整村提升工程</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项目编号：YLZC2022-G2-240133-GXSY</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公开招标公告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4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兴业县葵阳镇安东村1组水库移民整村提升工程</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zh-CN" w:eastAsia="zh-CN"/>
              </w:rPr>
              <w:t>政采云平台（https://</w:t>
            </w:r>
            <w:r>
              <w:rPr>
                <w:rFonts w:hint="eastAsia" w:ascii="宋体" w:hAnsi="宋体" w:eastAsia="宋体" w:cs="宋体"/>
                <w:color w:val="auto"/>
                <w:sz w:val="21"/>
                <w:szCs w:val="21"/>
                <w:highlight w:val="none"/>
                <w:lang w:val="zh-CN" w:eastAsia="zh-CN"/>
              </w:rPr>
              <w:fldChar w:fldCharType="begin"/>
            </w:r>
            <w:r>
              <w:rPr>
                <w:rFonts w:hint="eastAsia" w:ascii="宋体" w:hAnsi="宋体" w:eastAsia="宋体" w:cs="宋体"/>
                <w:color w:val="auto"/>
                <w:sz w:val="21"/>
                <w:szCs w:val="21"/>
                <w:highlight w:val="none"/>
                <w:lang w:val="zh-CN" w:eastAsia="zh-CN"/>
              </w:rPr>
              <w:instrText xml:space="preserve"> HYPERLINK "http://www.zcygov.cn/" \h </w:instrText>
            </w:r>
            <w:r>
              <w:rPr>
                <w:rFonts w:hint="eastAsia" w:ascii="宋体" w:hAnsi="宋体" w:eastAsia="宋体" w:cs="宋体"/>
                <w:color w:val="auto"/>
                <w:sz w:val="21"/>
                <w:szCs w:val="21"/>
                <w:highlight w:val="none"/>
                <w:lang w:val="zh-CN" w:eastAsia="zh-CN"/>
              </w:rPr>
              <w:fldChar w:fldCharType="separate"/>
            </w:r>
            <w:r>
              <w:rPr>
                <w:rFonts w:hint="eastAsia" w:ascii="宋体" w:hAnsi="宋体" w:eastAsia="宋体" w:cs="宋体"/>
                <w:color w:val="auto"/>
                <w:sz w:val="21"/>
                <w:szCs w:val="21"/>
                <w:highlight w:val="none"/>
                <w:lang w:val="zh-CN" w:eastAsia="zh-CN"/>
              </w:rPr>
              <w:t>www.zcygov.cn/</w:t>
            </w:r>
            <w:r>
              <w:rPr>
                <w:rFonts w:hint="eastAsia" w:ascii="宋体" w:hAnsi="宋体" w:eastAsia="宋体" w:cs="宋体"/>
                <w:color w:val="auto"/>
                <w:sz w:val="21"/>
                <w:szCs w:val="21"/>
                <w:highlight w:val="none"/>
                <w:lang w:val="zh-CN" w:eastAsia="zh-CN"/>
              </w:rPr>
              <w:fldChar w:fldCharType="end"/>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文件，并于2022年9月14日北京时间9时30分前提交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b w:val="0"/>
          <w:bCs w:val="0"/>
          <w:color w:val="auto"/>
          <w:sz w:val="21"/>
          <w:szCs w:val="21"/>
          <w:highlight w:val="none"/>
        </w:rPr>
        <w:t>YLZC2022-G2-240133-GXSY</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lang w:eastAsia="zh-CN"/>
        </w:rPr>
        <w:t>兴业县葵阳镇安东村1组水库移民整村提升工程</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预算总金额</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6492790.61</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采购需求</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主要建设内容为：</w:t>
      </w:r>
      <w:r>
        <w:rPr>
          <w:rFonts w:hint="eastAsia" w:ascii="宋体" w:hAnsi="宋体" w:eastAsia="宋体" w:cs="宋体"/>
          <w:b w:val="0"/>
          <w:bCs w:val="0"/>
          <w:color w:val="auto"/>
          <w:sz w:val="21"/>
          <w:szCs w:val="21"/>
          <w:highlight w:val="none"/>
          <w:lang w:val="en-US" w:eastAsia="zh-CN"/>
        </w:rPr>
        <w:t>72栋楼建筑外立面装修改造、新建厂房200m</w:t>
      </w:r>
      <w:r>
        <w:rPr>
          <w:rFonts w:hint="eastAsia" w:ascii="宋体" w:hAnsi="宋体" w:eastAsia="宋体" w:cs="宋体"/>
          <w:b w:val="0"/>
          <w:bCs w:val="0"/>
          <w:color w:val="auto"/>
          <w:sz w:val="21"/>
          <w:szCs w:val="21"/>
          <w:highlight w:val="none"/>
          <w:vertAlign w:val="superscript"/>
          <w:lang w:val="en-US" w:eastAsia="zh-CN"/>
        </w:rPr>
        <w:t>2</w:t>
      </w:r>
      <w:r>
        <w:rPr>
          <w:rFonts w:hint="eastAsia" w:ascii="宋体" w:hAnsi="宋体" w:eastAsia="宋体" w:cs="宋体"/>
          <w:color w:val="auto"/>
          <w:kern w:val="2"/>
          <w:sz w:val="21"/>
          <w:szCs w:val="21"/>
          <w:highlight w:val="none"/>
          <w:lang w:val="en-US" w:eastAsia="zh-CN" w:bidi="ar-SA"/>
        </w:rPr>
        <w:t>、新建文化室</w:t>
      </w:r>
      <w:r>
        <w:rPr>
          <w:rFonts w:hint="eastAsia" w:ascii="宋体" w:hAnsi="宋体" w:eastAsia="宋体" w:cs="宋体"/>
          <w:b w:val="0"/>
          <w:bCs w:val="0"/>
          <w:color w:val="auto"/>
          <w:sz w:val="21"/>
          <w:szCs w:val="21"/>
          <w:highlight w:val="none"/>
          <w:lang w:val="en-US" w:eastAsia="zh-CN"/>
        </w:rPr>
        <w:t>200m</w:t>
      </w:r>
      <w:r>
        <w:rPr>
          <w:rFonts w:hint="eastAsia" w:ascii="宋体" w:hAnsi="宋体" w:eastAsia="宋体" w:cs="宋体"/>
          <w:b w:val="0"/>
          <w:bCs w:val="0"/>
          <w:color w:val="auto"/>
          <w:sz w:val="21"/>
          <w:szCs w:val="21"/>
          <w:highlight w:val="none"/>
          <w:vertAlign w:val="superscript"/>
          <w:lang w:val="en-US" w:eastAsia="zh-CN"/>
        </w:rPr>
        <w:t>2</w:t>
      </w:r>
      <w:r>
        <w:rPr>
          <w:rFonts w:hint="eastAsia" w:ascii="宋体" w:hAnsi="宋体" w:eastAsia="宋体" w:cs="宋体"/>
          <w:color w:val="auto"/>
          <w:kern w:val="2"/>
          <w:sz w:val="21"/>
          <w:szCs w:val="21"/>
          <w:highlight w:val="none"/>
          <w:lang w:val="en-US" w:eastAsia="zh-CN" w:bidi="ar-SA"/>
        </w:rPr>
        <w:t>、新建文化长廊16</w:t>
      </w:r>
      <w:r>
        <w:rPr>
          <w:rFonts w:hint="eastAsia" w:ascii="宋体" w:hAnsi="宋体" w:eastAsia="宋体" w:cs="宋体"/>
          <w:b w:val="0"/>
          <w:bCs w:val="0"/>
          <w:color w:val="auto"/>
          <w:sz w:val="21"/>
          <w:szCs w:val="21"/>
          <w:highlight w:val="none"/>
          <w:lang w:val="en-US" w:eastAsia="zh-CN"/>
        </w:rPr>
        <w:t>m、旧篮球场修缮1个、安装太阳能路灯61盏、砌筑微菜园景墙1000m、部分道路硬化、新建休闲场地及绿化景观工程等</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具体内容详见工程量清单及施工图纸。</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合同履行期限：</w:t>
      </w:r>
      <w:r>
        <w:rPr>
          <w:rFonts w:hint="eastAsia" w:ascii="宋体" w:hAnsi="宋体" w:eastAsia="宋体" w:cs="宋体"/>
          <w:color w:val="auto"/>
          <w:sz w:val="21"/>
          <w:szCs w:val="21"/>
          <w:highlight w:val="none"/>
          <w:lang w:eastAsia="zh-CN"/>
        </w:rPr>
        <w:t>180日历天</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落实政府采购政策需满足的资格要求：供应商为中小企业/小微企业</w:t>
      </w:r>
      <w:r>
        <w:rPr>
          <w:rFonts w:hint="eastAsia" w:ascii="宋体" w:hAnsi="宋体" w:eastAsia="宋体" w:cs="宋体"/>
          <w:color w:val="auto"/>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的特定资格要求：本次招标要求投标人具备建筑工程施工总承包叁级以上（含叁级）资质，并在人员、设备、资金等方面具备相应的施工能力。拟投入的项目经理具备建筑工程专业二级或以上注册建造师执业资格，具备有效的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三、招标文件的获取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时间：</w:t>
      </w:r>
      <w:r>
        <w:rPr>
          <w:rFonts w:hint="eastAsia" w:ascii="宋体" w:hAnsi="宋体"/>
          <w:bCs/>
          <w:color w:val="auto"/>
          <w:szCs w:val="21"/>
        </w:rPr>
        <w:t>自公告发布之时起</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u w:val="single"/>
          <w:lang w:val="en-US" w:eastAsia="zh-CN"/>
        </w:rPr>
        <w:t>2022</w:t>
      </w:r>
      <w:r>
        <w:rPr>
          <w:rFonts w:hint="eastAsia" w:ascii="宋体" w:hAnsi="宋体" w:eastAsia="宋体" w:cs="宋体"/>
          <w:color w:val="auto"/>
          <w:sz w:val="21"/>
          <w:szCs w:val="21"/>
          <w:highlight w:val="none"/>
          <w:u w:val="single"/>
          <w:lang w:val="zh-CN" w:eastAsia="zh-CN"/>
        </w:rPr>
        <w:t>年</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val="zh-CN" w:eastAsia="zh-CN"/>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zh-CN" w:eastAsia="zh-CN"/>
        </w:rPr>
        <w:t>日</w:t>
      </w:r>
      <w:r>
        <w:rPr>
          <w:rFonts w:hint="eastAsia" w:ascii="宋体" w:hAnsi="宋体" w:eastAsia="宋体" w:cs="宋体"/>
          <w:color w:val="auto"/>
          <w:sz w:val="21"/>
          <w:szCs w:val="21"/>
          <w:highlight w:val="none"/>
          <w:lang w:val="zh-CN" w:eastAsia="zh-CN"/>
        </w:rPr>
        <w:t>，每天上午</w:t>
      </w:r>
      <w:r>
        <w:rPr>
          <w:rFonts w:hint="eastAsia" w:ascii="宋体" w:hAnsi="宋体" w:eastAsia="宋体" w:cs="宋体"/>
          <w:color w:val="auto"/>
          <w:sz w:val="21"/>
          <w:szCs w:val="21"/>
          <w:highlight w:val="none"/>
          <w:lang w:val="en-US" w:eastAsia="zh-CN"/>
        </w:rPr>
        <w:t>08:00</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en-US" w:eastAsia="zh-CN"/>
        </w:rPr>
        <w:t>12:00</w:t>
      </w:r>
      <w:r>
        <w:rPr>
          <w:rFonts w:hint="eastAsia" w:ascii="宋体" w:hAnsi="宋体" w:eastAsia="宋体" w:cs="宋体"/>
          <w:color w:val="auto"/>
          <w:sz w:val="21"/>
          <w:szCs w:val="21"/>
          <w:highlight w:val="none"/>
          <w:lang w:val="zh-CN" w:eastAsia="zh-CN"/>
        </w:rPr>
        <w:t>，下午</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en-US" w:eastAsia="zh-CN"/>
        </w:rPr>
        <w:t>18:00</w:t>
      </w:r>
      <w:r>
        <w:rPr>
          <w:rFonts w:hint="eastAsia" w:ascii="宋体" w:hAnsi="宋体" w:eastAsia="宋体" w:cs="宋体"/>
          <w:color w:val="auto"/>
          <w:sz w:val="21"/>
          <w:szCs w:val="21"/>
          <w:highlight w:val="none"/>
          <w:lang w:val="zh-CN" w:eastAsia="zh-CN"/>
        </w:rPr>
        <w:t>（北京时间，法定节假日除外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eastAsia="zh-CN"/>
        </w:rPr>
        <w:t>政采云平台（https://www.zcygov.cn/）</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方式：</w:t>
      </w:r>
      <w:r>
        <w:rPr>
          <w:rFonts w:hint="eastAsia" w:ascii="宋体" w:hAnsi="宋体" w:eastAsia="宋体" w:cs="宋体"/>
          <w:bCs/>
          <w:color w:val="auto"/>
          <w:kern w:val="0"/>
          <w:sz w:val="21"/>
          <w:szCs w:val="21"/>
          <w:highlight w:val="none"/>
          <w:lang w:val="en-US" w:eastAsia="zh-CN"/>
        </w:rPr>
        <w:t>本项目不发放纸质公开招标文件，投标人须登录政采云平台（https://www.zcygov.cn/）在线办理报名并自行下载公开招标文件；未注册的投标人可在政采云平台完成注册后再进行报名再下载。如在操作过程中遇到问题或需技术支持，请致电政采云客服热线：400-881-7190。</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售价：</w:t>
      </w:r>
      <w:r>
        <w:rPr>
          <w:rFonts w:hint="eastAsia" w:ascii="宋体" w:hAnsi="宋体" w:eastAsia="宋体" w:cs="宋体"/>
          <w:color w:val="auto"/>
          <w:sz w:val="21"/>
          <w:szCs w:val="21"/>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sz w:val="21"/>
          <w:szCs w:val="21"/>
          <w:highlight w:val="none"/>
          <w:u w:val="single"/>
          <w:lang w:eastAsia="zh-CN"/>
        </w:rPr>
        <w:t>2022年9月14日北京时间9时30分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投标地点（网址）：政采云平台（https://www.zcygov.cn/）</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lang w:eastAsia="zh-CN"/>
        </w:rPr>
        <w:t>2022年9月14日北京时间9时30分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开标地点：“政采云”平台电子开标大厅开标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4" w:name="五、公告期限"/>
      <w:bookmarkEnd w:id="4"/>
      <w:r>
        <w:rPr>
          <w:rFonts w:hint="eastAsia" w:ascii="宋体" w:hAnsi="宋体" w:eastAsia="宋体" w:cs="宋体"/>
          <w:b/>
          <w:bCs/>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bookmarkStart w:id="5" w:name="六、其他补充事宜"/>
      <w:bookmarkEnd w:id="5"/>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kern w:val="0"/>
          <w:sz w:val="21"/>
          <w:szCs w:val="21"/>
          <w:highlight w:val="none"/>
        </w:rPr>
      </w:pPr>
      <w:bookmarkStart w:id="6" w:name="七、对本次招标提出询问，请按以下方式联系"/>
      <w:bookmarkEnd w:id="6"/>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保证金：本项目不收取</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.网上查询地址</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中国政府采购网（www.ccgp.gov.cn）、广西壮族自治区政府采购网（zfcg.gxzf.gov.cn）、全国公共资源交易平台(广西•玉林)（http://ggzy.jgswj.gxzf.gov.cn/ylggzy）、广西玉林兴业县人民政府门户网 (http://www.xingye.gov.cn/)</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 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（2）政府采购促进残疾人就业政策。</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（3）政府采购支持监狱企业发展。</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（4）政府采购扶持不发达地区和少数民族地区政策</w:t>
      </w:r>
    </w:p>
    <w:p>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6.本项目不接受未按</w:t>
      </w:r>
      <w:r>
        <w:rPr>
          <w:rFonts w:hint="eastAsia" w:ascii="宋体" w:hAnsi="宋体" w:eastAsia="宋体" w:cs="宋体"/>
          <w:bCs/>
          <w:color w:val="auto"/>
          <w:kern w:val="0"/>
          <w:sz w:val="21"/>
          <w:szCs w:val="21"/>
          <w:highlight w:val="none"/>
          <w:lang w:val="en-US" w:eastAsia="zh-CN"/>
        </w:rPr>
        <w:t>公开招标文件</w:t>
      </w:r>
      <w:r>
        <w:rPr>
          <w:rFonts w:hint="eastAsia" w:ascii="宋体" w:hAnsi="宋体" w:eastAsia="宋体" w:cs="宋体"/>
          <w:color w:val="auto"/>
          <w:sz w:val="21"/>
          <w:szCs w:val="21"/>
          <w:highlight w:val="none"/>
          <w:lang w:val="en-US" w:eastAsia="zh-CN"/>
        </w:rPr>
        <w:t>规定的方式获取本</w:t>
      </w:r>
      <w:r>
        <w:rPr>
          <w:rFonts w:hint="eastAsia" w:ascii="宋体" w:hAnsi="宋体" w:eastAsia="宋体" w:cs="宋体"/>
          <w:bCs/>
          <w:color w:val="auto"/>
          <w:kern w:val="0"/>
          <w:sz w:val="21"/>
          <w:szCs w:val="21"/>
          <w:highlight w:val="none"/>
          <w:lang w:val="en-US" w:eastAsia="zh-CN"/>
        </w:rPr>
        <w:t>公开招标文件</w:t>
      </w:r>
      <w:r>
        <w:rPr>
          <w:rFonts w:hint="eastAsia" w:ascii="宋体" w:hAnsi="宋体" w:eastAsia="宋体" w:cs="宋体"/>
          <w:color w:val="auto"/>
          <w:sz w:val="21"/>
          <w:szCs w:val="21"/>
          <w:highlight w:val="none"/>
          <w:lang w:val="en-US" w:eastAsia="zh-CN"/>
        </w:rPr>
        <w:t>的投标人。</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投标注意事项</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全流程电子化采购项目，通过“政府采购云平台”（https：//www.zcygov.cn/）实行在线电子投标，投标人应先安装“政采云电子交易客户端”（请自行前往“政府采购云平台”进行下载），并按照本项目公开招标文件和“政府采购云平台”的要求编制、加密后在投标文件提交截止时间前通过网络上传至“政府采购云平台”，投标人在“政府采购云平台”提交电子投标文件时，请填写参加远程开标活动经办人联系方式。投标人登录“政府采购云平台”，依次进入“服务中心-项目采购-操作流程-电子招投标-政府采购项目电子交易管理操作指南-供应商”查看电子投标具体操作流程。</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进行网上注册并办理数字证书（CA认证）的投标人将无法参与本项目政府采购活动，投标人应当在投标文件提交截止时间前，完成电子交易平台上的CA数字证书办理（投标人可登录“广西政府采购网”，依次进入“办事服务-下载专区”或者登陆“政府采购云平台”，依次进入“服务中心-入驻与配置”中查看CA数字证书办理操作流程。如在操作过程中遇到问题或者需要技术支持，请致电政采云客服热线：400-881-7190）及投标文件的提交。</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（3）CA证书在线解密：投标人投标时，需携带制作投标文件时用来加密的有效数字证书（CA认证）登录“政府采购云平台”电子开标大厅现场按规定时间对加密的投标文件进行解密，否则后果自负。</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为确保网上操作合法、有效和安全，请投标人确保在电子投标过程中能够对相关数据电文进行加密和使用电子签章，妥善保管CA数字证书并使用有效的CA数字证书参与整个投标活动。2）投标人应当在投标文件提交截止时间前完成电子投标文件的上传、提交，投标文件提交截止时间前可以补充、修改或者撤回投标文件。补充或者修改投标文件的，应当先行撤回原投标文件，补充、修改后重新上传、提交，投标文件提交截止时间前未完成上传、提交的，视为撤回投标文件。投标文件提交截止时间以后上传递交的投标文件，“政府采购云平台”将予以拒收。3）投标文件提交截止时间后，代理机构向各投标人发出电子加密投标文件【开始解密】 通知，代理机构发起解密通知后 30 分钟内，投标文件提交截止时间前已将生成的“电子加密投标文件”上传递交至政采云平台的投标人，必须在此时间段内登录政采云平台，用“项目采购-开标评标”功能完成电子投标文件的解密。投标人投标文件提交截止前通过“政府采购云平台”上传递交的“电子加密投标文件”无法正常解密的，请及时联系代理机构，代理机构与项目归属监督部门备案后告知投标人通过邮件传输递交电子备份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名称:兴业县水库和扶贫易地安置中心</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 址：</w:t>
      </w:r>
      <w:r>
        <w:rPr>
          <w:rFonts w:hint="eastAsia" w:ascii="宋体" w:hAnsi="宋体" w:eastAsia="宋体" w:cs="宋体"/>
          <w:color w:val="auto"/>
          <w:sz w:val="21"/>
          <w:szCs w:val="21"/>
          <w:highlight w:val="none"/>
          <w:u w:val="none"/>
          <w:lang w:eastAsia="zh-CN"/>
        </w:rPr>
        <w:t>兴业县行政办公中心一楼</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u w:val="none"/>
          <w:lang w:eastAsia="zh-CN"/>
        </w:rPr>
        <w:t>庞璋鑫</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0775-</w:t>
      </w:r>
      <w:r>
        <w:rPr>
          <w:rFonts w:hint="eastAsia" w:ascii="宋体" w:hAnsi="宋体" w:eastAsia="宋体" w:cs="宋体"/>
          <w:color w:val="auto"/>
          <w:sz w:val="21"/>
          <w:szCs w:val="21"/>
          <w:highlight w:val="none"/>
          <w:u w:val="none"/>
          <w:lang w:eastAsia="zh-CN"/>
        </w:rPr>
        <w:t xml:space="preserve">2723603 </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名 称：广西顺易工程管理有限公司</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 址：玉林市玉东新区玉东大道与大同路交叉口北侧尚东.同德苑6幢1801号房</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val="zh-CN" w:eastAsia="zh-CN"/>
        </w:rPr>
        <w:t>：朱丽平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0775-2835978</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项目联系方式</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项目联系人：朱丽平</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电 话：0775-2835978</w:t>
      </w:r>
    </w:p>
    <w:p>
      <w:pPr>
        <w:pStyle w:val="11"/>
        <w:keepNext w:val="0"/>
        <w:keepLines w:val="0"/>
        <w:pageBreakBefore w:val="0"/>
        <w:widowControl w:val="0"/>
        <w:kinsoku/>
        <w:wordWrap/>
        <w:overflowPunct/>
        <w:topLinePunct w:val="0"/>
        <w:autoSpaceDE/>
        <w:autoSpaceDN/>
        <w:bidi w:val="0"/>
        <w:adjustRightInd/>
        <w:snapToGrid/>
        <w:spacing w:line="320" w:lineRule="exact"/>
        <w:ind w:left="375" w:right="671" w:firstLine="420"/>
        <w:jc w:val="both"/>
        <w:textAlignment w:val="auto"/>
        <w:outlineLvl w:val="9"/>
        <w:rPr>
          <w:rFonts w:hint="eastAsia" w:ascii="宋体" w:hAnsi="宋体" w:eastAsia="宋体" w:cs="宋体"/>
          <w:color w:val="auto"/>
          <w:sz w:val="21"/>
          <w:szCs w:val="21"/>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line="320" w:lineRule="exact"/>
        <w:ind w:firstLine="6300" w:firstLineChars="3000"/>
        <w:textAlignment w:val="auto"/>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广西顺易工程管理有限公司</w:t>
      </w:r>
    </w:p>
    <w:p>
      <w:pPr>
        <w:pStyle w:val="11"/>
        <w:keepNext w:val="0"/>
        <w:keepLines w:val="0"/>
        <w:pageBreakBefore w:val="0"/>
        <w:widowControl w:val="0"/>
        <w:kinsoku/>
        <w:wordWrap/>
        <w:overflowPunct/>
        <w:topLinePunct w:val="0"/>
        <w:autoSpaceDE/>
        <w:autoSpaceDN/>
        <w:bidi w:val="0"/>
        <w:adjustRightInd/>
        <w:snapToGrid/>
        <w:spacing w:line="320" w:lineRule="exact"/>
        <w:ind w:right="671" w:firstLine="6930" w:firstLineChars="3300"/>
        <w:jc w:val="both"/>
        <w:textAlignment w:val="auto"/>
        <w:outlineLvl w:val="9"/>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202</w:t>
      </w:r>
      <w:r>
        <w:rPr>
          <w:rFonts w:hint="eastAsia" w:ascii="宋体" w:hAnsi="宋体" w:eastAsia="宋体"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年</w:t>
      </w:r>
      <w:r>
        <w:rPr>
          <w:rFonts w:hint="eastAsia" w:cs="宋体"/>
          <w:color w:val="auto"/>
          <w:sz w:val="21"/>
          <w:szCs w:val="21"/>
          <w:highlight w:val="none"/>
          <w:lang w:val="en-US" w:eastAsia="zh-CN" w:bidi="zh-CN"/>
        </w:rPr>
        <w:t>8</w:t>
      </w:r>
      <w:r>
        <w:rPr>
          <w:rFonts w:hint="eastAsia" w:ascii="宋体" w:hAnsi="宋体" w:eastAsia="宋体" w:cs="宋体"/>
          <w:color w:val="auto"/>
          <w:sz w:val="21"/>
          <w:szCs w:val="21"/>
          <w:highlight w:val="none"/>
          <w:lang w:val="zh-CN" w:eastAsia="zh-CN" w:bidi="zh-CN"/>
        </w:rPr>
        <w:t>月</w:t>
      </w:r>
      <w:r>
        <w:rPr>
          <w:rFonts w:hint="eastAsia" w:cs="宋体"/>
          <w:color w:val="auto"/>
          <w:sz w:val="21"/>
          <w:szCs w:val="21"/>
          <w:highlight w:val="none"/>
          <w:lang w:val="en-US" w:eastAsia="zh-CN" w:bidi="zh-CN"/>
        </w:rPr>
        <w:t>23</w:t>
      </w:r>
      <w:r>
        <w:rPr>
          <w:rFonts w:hint="eastAsia" w:ascii="宋体" w:hAnsi="宋体" w:eastAsia="宋体" w:cs="宋体"/>
          <w:color w:val="auto"/>
          <w:sz w:val="21"/>
          <w:szCs w:val="21"/>
          <w:highlight w:val="none"/>
          <w:lang w:val="zh-CN" w:eastAsia="zh-CN" w:bidi="zh-CN"/>
        </w:rPr>
        <w:t>日</w:t>
      </w:r>
    </w:p>
    <w:p>
      <w:pPr>
        <w:pStyle w:val="11"/>
        <w:spacing w:line="364" w:lineRule="auto"/>
        <w:ind w:right="671"/>
        <w:jc w:val="both"/>
        <w:outlineLvl w:val="9"/>
        <w:rPr>
          <w:rFonts w:hint="eastAsia" w:ascii="宋体" w:hAnsi="宋体" w:eastAsia="宋体" w:cs="宋体"/>
          <w:b/>
          <w:bCs/>
          <w:color w:val="auto"/>
          <w:sz w:val="21"/>
          <w:szCs w:val="21"/>
          <w:highlight w:val="none"/>
          <w:lang w:val="en-US" w:eastAsia="zh-CN" w:bidi="zh-CN"/>
        </w:rPr>
      </w:pPr>
    </w:p>
    <w:p>
      <w:pPr>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7"/>
        <w:outlineLvl w:val="9"/>
        <w:rPr>
          <w:rFonts w:hint="eastAsia" w:ascii="宋体" w:hAnsi="宋体" w:eastAsia="宋体" w:cs="宋体"/>
          <w:b/>
          <w:bCs/>
          <w:color w:val="auto"/>
          <w:sz w:val="21"/>
          <w:szCs w:val="21"/>
          <w:highlight w:val="none"/>
          <w:lang w:val="en-US" w:eastAsia="zh-CN" w:bidi="zh-CN"/>
        </w:rPr>
      </w:pPr>
    </w:p>
    <w:p>
      <w:pPr>
        <w:pStyle w:val="11"/>
        <w:keepNext w:val="0"/>
        <w:keepLines w:val="0"/>
        <w:pageBreakBefore w:val="0"/>
        <w:widowControl w:val="0"/>
        <w:kinsoku/>
        <w:wordWrap/>
        <w:overflowPunct/>
        <w:topLinePunct w:val="0"/>
        <w:bidi w:val="0"/>
        <w:snapToGrid/>
        <w:spacing w:line="320" w:lineRule="exact"/>
        <w:ind w:right="671"/>
        <w:jc w:val="center"/>
        <w:textAlignment w:val="auto"/>
        <w:outlineLvl w:val="0"/>
        <w:rPr>
          <w:rFonts w:hint="eastAsia" w:ascii="宋体" w:hAnsi="宋体" w:eastAsia="宋体" w:cs="宋体"/>
          <w:b/>
          <w:bCs/>
          <w:color w:val="auto"/>
          <w:sz w:val="21"/>
          <w:szCs w:val="21"/>
          <w:highlight w:val="none"/>
          <w:lang w:val="en-US" w:eastAsia="zh-CN" w:bidi="zh-CN"/>
        </w:rPr>
      </w:pPr>
    </w:p>
    <w:p>
      <w:pPr>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br w:type="page"/>
      </w:r>
    </w:p>
    <w:p>
      <w:pPr>
        <w:pStyle w:val="11"/>
        <w:keepNext w:val="0"/>
        <w:keepLines w:val="0"/>
        <w:pageBreakBefore w:val="0"/>
        <w:widowControl w:val="0"/>
        <w:kinsoku/>
        <w:wordWrap/>
        <w:overflowPunct/>
        <w:topLinePunct w:val="0"/>
        <w:bidi w:val="0"/>
        <w:snapToGrid/>
        <w:spacing w:line="320" w:lineRule="exact"/>
        <w:ind w:right="671"/>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11"/>
        <w:keepNext w:val="0"/>
        <w:keepLines w:val="0"/>
        <w:pageBreakBefore w:val="0"/>
        <w:widowControl w:val="0"/>
        <w:kinsoku/>
        <w:wordWrap/>
        <w:overflowPunct/>
        <w:topLinePunct w:val="0"/>
        <w:bidi w:val="0"/>
        <w:snapToGrid/>
        <w:spacing w:line="320" w:lineRule="exact"/>
        <w:ind w:right="671"/>
        <w:jc w:val="center"/>
        <w:textAlignment w:val="auto"/>
        <w:outlineLvl w:val="0"/>
        <w:rPr>
          <w:rFonts w:hint="eastAsia" w:ascii="宋体" w:hAnsi="宋体" w:eastAsia="宋体" w:cs="宋体"/>
          <w:b/>
          <w:bCs/>
          <w:color w:val="auto"/>
          <w:kern w:val="2"/>
          <w:sz w:val="32"/>
          <w:szCs w:val="32"/>
          <w:highlight w:val="none"/>
          <w:lang w:val="en-US" w:eastAsia="zh-CN" w:bidi="ar-SA"/>
        </w:rPr>
      </w:pPr>
      <w:bookmarkStart w:id="7" w:name="_Toc2207"/>
      <w:r>
        <w:rPr>
          <w:rFonts w:hint="eastAsia" w:ascii="宋体" w:hAnsi="宋体" w:eastAsia="宋体" w:cs="宋体"/>
          <w:b/>
          <w:bCs/>
          <w:color w:val="auto"/>
          <w:kern w:val="2"/>
          <w:sz w:val="32"/>
          <w:szCs w:val="32"/>
          <w:highlight w:val="none"/>
          <w:lang w:val="en-US" w:eastAsia="zh-CN" w:bidi="ar-SA"/>
        </w:rPr>
        <w:t>第二章 投标人须知</w:t>
      </w:r>
      <w:bookmarkEnd w:id="7"/>
    </w:p>
    <w:p>
      <w:pPr>
        <w:pStyle w:val="11"/>
        <w:keepNext w:val="0"/>
        <w:keepLines w:val="0"/>
        <w:pageBreakBefore w:val="0"/>
        <w:widowControl w:val="0"/>
        <w:kinsoku/>
        <w:wordWrap/>
        <w:overflowPunct/>
        <w:topLinePunct w:val="0"/>
        <w:bidi w:val="0"/>
        <w:snapToGrid/>
        <w:spacing w:line="320" w:lineRule="exact"/>
        <w:ind w:right="671"/>
        <w:jc w:val="center"/>
        <w:textAlignment w:val="auto"/>
        <w:outlineLvl w:val="9"/>
        <w:rPr>
          <w:rFonts w:hint="eastAsia" w:ascii="宋体" w:hAnsi="宋体" w:eastAsia="宋体" w:cs="宋体"/>
          <w:b/>
          <w:bCs/>
          <w:color w:val="auto"/>
          <w:sz w:val="30"/>
          <w:szCs w:val="30"/>
          <w:highlight w:val="none"/>
          <w:lang w:val="en-US" w:eastAsia="zh-CN" w:bidi="zh-CN"/>
        </w:rPr>
      </w:pPr>
      <w:bookmarkStart w:id="8" w:name="投标人须知前附表"/>
      <w:bookmarkEnd w:id="8"/>
      <w:r>
        <w:rPr>
          <w:rFonts w:hint="eastAsia" w:ascii="宋体" w:hAnsi="宋体" w:eastAsia="宋体" w:cs="宋体"/>
          <w:b/>
          <w:bCs/>
          <w:color w:val="auto"/>
          <w:sz w:val="30"/>
          <w:szCs w:val="30"/>
          <w:highlight w:val="none"/>
          <w:lang w:val="en-US" w:eastAsia="zh-CN" w:bidi="zh-CN"/>
        </w:rPr>
        <w:t>投标人须知前附表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946"/>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41" w:type="dxa"/>
            <w:vAlign w:val="center"/>
          </w:tcPr>
          <w:p>
            <w:pPr>
              <w:keepNext w:val="0"/>
              <w:keepLines w:val="0"/>
              <w:pageBreakBefore w:val="0"/>
              <w:widowControl w:val="0"/>
              <w:kinsoku/>
              <w:wordWrap/>
              <w:overflowPunct/>
              <w:topLinePunct w:val="0"/>
              <w:bidi w:val="0"/>
              <w:snapToGrid/>
              <w:spacing w:line="320" w:lineRule="exact"/>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条款号</w:t>
            </w:r>
          </w:p>
        </w:tc>
        <w:tc>
          <w:tcPr>
            <w:tcW w:w="1946" w:type="dxa"/>
            <w:vAlign w:val="center"/>
          </w:tcPr>
          <w:p>
            <w:pPr>
              <w:keepNext w:val="0"/>
              <w:keepLines w:val="0"/>
              <w:pageBreakBefore w:val="0"/>
              <w:widowControl w:val="0"/>
              <w:kinsoku/>
              <w:wordWrap/>
              <w:overflowPunct/>
              <w:topLinePunct w:val="0"/>
              <w:bidi w:val="0"/>
              <w:snapToGrid/>
              <w:spacing w:line="320" w:lineRule="exact"/>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条款名称</w:t>
            </w:r>
          </w:p>
        </w:tc>
        <w:tc>
          <w:tcPr>
            <w:tcW w:w="6758" w:type="dxa"/>
            <w:vAlign w:val="center"/>
          </w:tcPr>
          <w:p>
            <w:pPr>
              <w:keepNext w:val="0"/>
              <w:keepLines w:val="0"/>
              <w:pageBreakBefore w:val="0"/>
              <w:widowControl w:val="0"/>
              <w:kinsoku/>
              <w:wordWrap/>
              <w:overflowPunct/>
              <w:topLinePunct w:val="0"/>
              <w:bidi w:val="0"/>
              <w:snapToGrid/>
              <w:spacing w:line="320" w:lineRule="exact"/>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兴业县水库和扶贫易地安置中心</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none"/>
                <w:lang w:eastAsia="zh-CN"/>
              </w:rPr>
              <w:t>兴业县行政办公中心一楼</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none"/>
                <w:lang w:eastAsia="zh-CN"/>
              </w:rPr>
              <w:t>庞璋鑫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 xml:space="preserve">0775-2723603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1.1.3</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采购代理机构</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广西顺易工程管理有限公司</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zh-CN" w:eastAsia="zh-CN"/>
              </w:rPr>
              <w:t>玉林市玉东新区玉东大道与大同路交叉口北侧尚东.同德苑6幢1801号房</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朱丽平</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0775-2835978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1.1.4</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项目名称及编号</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兴业县葵阳镇安东村1组水库移民整村提升工程</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YLZC2022-G2-240133-GXSY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1.1.5</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建设地点</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兴业县水库和扶贫易地安置中心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资金来源</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出资比例</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1.2.3</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资金落实情况</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已</w:t>
            </w:r>
            <w:r>
              <w:rPr>
                <w:rFonts w:hint="eastAsia" w:ascii="宋体" w:hAnsi="宋体" w:eastAsia="宋体" w:cs="宋体"/>
                <w:color w:val="auto"/>
                <w:sz w:val="21"/>
                <w:szCs w:val="21"/>
                <w:highlight w:val="no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招标范围</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主要建设内容为：</w:t>
            </w:r>
            <w:r>
              <w:rPr>
                <w:rFonts w:hint="eastAsia" w:ascii="宋体" w:hAnsi="宋体" w:eastAsia="宋体" w:cs="宋体"/>
                <w:b w:val="0"/>
                <w:bCs w:val="0"/>
                <w:color w:val="auto"/>
                <w:sz w:val="21"/>
                <w:szCs w:val="21"/>
                <w:highlight w:val="none"/>
                <w:lang w:val="en-US" w:eastAsia="zh-CN"/>
              </w:rPr>
              <w:t>72栋楼建筑外立面装修改造、新建厂房200m</w:t>
            </w:r>
            <w:r>
              <w:rPr>
                <w:rFonts w:hint="eastAsia" w:ascii="宋体" w:hAnsi="宋体" w:eastAsia="宋体" w:cs="宋体"/>
                <w:b w:val="0"/>
                <w:bCs w:val="0"/>
                <w:color w:val="auto"/>
                <w:sz w:val="21"/>
                <w:szCs w:val="21"/>
                <w:highlight w:val="none"/>
                <w:vertAlign w:val="superscript"/>
                <w:lang w:val="en-US" w:eastAsia="zh-CN"/>
              </w:rPr>
              <w:t>2</w:t>
            </w:r>
            <w:r>
              <w:rPr>
                <w:rFonts w:hint="eastAsia" w:ascii="宋体" w:hAnsi="宋体" w:eastAsia="宋体" w:cs="宋体"/>
                <w:color w:val="auto"/>
                <w:kern w:val="2"/>
                <w:sz w:val="21"/>
                <w:szCs w:val="21"/>
                <w:highlight w:val="none"/>
                <w:lang w:val="en-US" w:eastAsia="zh-CN" w:bidi="ar-SA"/>
              </w:rPr>
              <w:t>、新建文化室</w:t>
            </w:r>
            <w:r>
              <w:rPr>
                <w:rFonts w:hint="eastAsia" w:ascii="宋体" w:hAnsi="宋体" w:eastAsia="宋体" w:cs="宋体"/>
                <w:b w:val="0"/>
                <w:bCs w:val="0"/>
                <w:color w:val="auto"/>
                <w:sz w:val="21"/>
                <w:szCs w:val="21"/>
                <w:highlight w:val="none"/>
                <w:lang w:val="en-US" w:eastAsia="zh-CN"/>
              </w:rPr>
              <w:t>200m</w:t>
            </w:r>
            <w:r>
              <w:rPr>
                <w:rFonts w:hint="eastAsia" w:ascii="宋体" w:hAnsi="宋体" w:eastAsia="宋体" w:cs="宋体"/>
                <w:b w:val="0"/>
                <w:bCs w:val="0"/>
                <w:color w:val="auto"/>
                <w:sz w:val="21"/>
                <w:szCs w:val="21"/>
                <w:highlight w:val="none"/>
                <w:vertAlign w:val="superscript"/>
                <w:lang w:val="en-US" w:eastAsia="zh-CN"/>
              </w:rPr>
              <w:t>2</w:t>
            </w:r>
            <w:r>
              <w:rPr>
                <w:rFonts w:hint="eastAsia" w:ascii="宋体" w:hAnsi="宋体" w:eastAsia="宋体" w:cs="宋体"/>
                <w:color w:val="auto"/>
                <w:kern w:val="2"/>
                <w:sz w:val="21"/>
                <w:szCs w:val="21"/>
                <w:highlight w:val="none"/>
                <w:lang w:val="en-US" w:eastAsia="zh-CN" w:bidi="ar-SA"/>
              </w:rPr>
              <w:t>、新建文化长廊16</w:t>
            </w:r>
            <w:r>
              <w:rPr>
                <w:rFonts w:hint="eastAsia" w:ascii="宋体" w:hAnsi="宋体" w:eastAsia="宋体" w:cs="宋体"/>
                <w:b w:val="0"/>
                <w:bCs w:val="0"/>
                <w:color w:val="auto"/>
                <w:sz w:val="21"/>
                <w:szCs w:val="21"/>
                <w:highlight w:val="none"/>
                <w:lang w:val="en-US" w:eastAsia="zh-CN"/>
              </w:rPr>
              <w:t>m、旧篮球场修缮1个、安装太阳能路灯61盏、砌筑微菜园景墙1000m、部分道路硬化、新建休闲场地及绿化景观工程等</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具体内容详见工程量清单及施工图纸。</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计划工期</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要求工期：</w:t>
            </w:r>
            <w:r>
              <w:rPr>
                <w:rFonts w:hint="eastAsia" w:ascii="宋体" w:hAnsi="宋体" w:eastAsia="宋体" w:cs="宋体"/>
                <w:color w:val="auto"/>
                <w:sz w:val="21"/>
                <w:szCs w:val="21"/>
                <w:highlight w:val="none"/>
                <w:lang w:eastAsia="zh-CN"/>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1.3.3</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质量要求</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6"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ascii="宋体" w:hAnsi="宋体"/>
                <w:color w:val="auto"/>
                <w:szCs w:val="21"/>
              </w:rPr>
              <w:t>投标人资质条件、能力、诚信要求</w:t>
            </w:r>
          </w:p>
        </w:tc>
        <w:tc>
          <w:tcPr>
            <w:tcW w:w="6758" w:type="dxa"/>
            <w:vAlign w:val="center"/>
          </w:tcPr>
          <w:p>
            <w:pPr>
              <w:spacing w:before="12" w:beforeLines="5" w:after="12" w:afterLines="5"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资质条件：</w:t>
            </w:r>
            <w:r>
              <w:rPr>
                <w:rFonts w:hint="eastAsia" w:ascii="宋体" w:hAnsi="宋体" w:eastAsia="宋体" w:cs="宋体"/>
                <w:color w:val="auto"/>
                <w:sz w:val="21"/>
                <w:szCs w:val="21"/>
                <w:highlight w:val="none"/>
              </w:rPr>
              <w:t>建筑工程施工总承包叁级以上(含叁级)</w:t>
            </w:r>
          </w:p>
          <w:p>
            <w:pPr>
              <w:spacing w:before="12" w:beforeLines="5" w:after="12" w:afterLines="5"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资质财务要求：</w:t>
            </w:r>
            <w:r>
              <w:rPr>
                <w:rFonts w:hint="eastAsia"/>
                <w:color w:val="auto"/>
                <w:lang w:val="en-US" w:eastAsia="zh-CN"/>
              </w:rPr>
              <w:t>投标人财务状况报告（2021年度财务报表复印件，或者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color w:val="auto"/>
                <w:sz w:val="21"/>
                <w:szCs w:val="21"/>
                <w:highlight w:val="none"/>
              </w:rPr>
              <w:t>。</w:t>
            </w:r>
          </w:p>
          <w:p>
            <w:pPr>
              <w:spacing w:before="12" w:beforeLines="5" w:after="12" w:afterLines="5"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业绩要求：</w:t>
            </w:r>
            <w:r>
              <w:rPr>
                <w:rFonts w:hint="eastAsia" w:ascii="宋体" w:hAnsi="宋体" w:eastAsia="宋体" w:cs="宋体"/>
                <w:color w:val="auto"/>
                <w:sz w:val="21"/>
                <w:szCs w:val="21"/>
                <w:highlight w:val="none"/>
              </w:rPr>
              <w:t xml:space="preserve">无。 </w:t>
            </w:r>
          </w:p>
          <w:p>
            <w:pPr>
              <w:spacing w:before="12" w:beforeLines="5" w:after="12" w:afterLines="5"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项目经理资格：</w:t>
            </w:r>
            <w:r>
              <w:rPr>
                <w:rFonts w:hint="eastAsia" w:ascii="宋体" w:hAnsi="宋体" w:eastAsia="宋体" w:cs="宋体"/>
                <w:color w:val="auto"/>
                <w:sz w:val="21"/>
                <w:szCs w:val="21"/>
                <w:highlight w:val="none"/>
              </w:rPr>
              <w:t>具备建筑工程专业贰级以上(含贰级)注册建造师执业资格，具备有效的安全生产考核合格证书（B类）。</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color w:val="auto"/>
              </w:rPr>
            </w:pPr>
            <w:r>
              <w:rPr>
                <w:rFonts w:hint="eastAsia" w:ascii="宋体" w:hAnsi="宋体" w:eastAsia="宋体" w:cs="宋体"/>
                <w:b/>
                <w:bCs/>
                <w:color w:val="auto"/>
                <w:highlight w:val="none"/>
              </w:rPr>
              <w:t>专职安全员要求：</w:t>
            </w:r>
            <w:r>
              <w:rPr>
                <w:rFonts w:hint="eastAsia" w:ascii="宋体" w:hAnsi="宋体" w:eastAsia="宋体" w:cs="宋体"/>
                <w:color w:val="auto"/>
                <w:highlight w:val="none"/>
              </w:rPr>
              <w:t>投标人拟派专职安全员具备有效的安全生产考核合格证书（C类），人数不少于 1 人。</w:t>
            </w:r>
          </w:p>
          <w:p>
            <w:pPr>
              <w:pStyle w:val="17"/>
              <w:rPr>
                <w:rFonts w:hint="eastAsia" w:ascii="宋体" w:hAnsi="宋体"/>
                <w:b w:val="0"/>
                <w:bCs/>
                <w:color w:val="auto"/>
                <w:kern w:val="2"/>
                <w:sz w:val="21"/>
                <w:szCs w:val="21"/>
                <w:lang w:val="en-US" w:eastAsia="zh-CN" w:bidi="ar-SA"/>
              </w:rPr>
            </w:pPr>
            <w:r>
              <w:rPr>
                <w:rFonts w:hint="eastAsia" w:ascii="宋体" w:hAnsi="宋体"/>
                <w:b/>
                <w:color w:val="auto"/>
                <w:kern w:val="2"/>
                <w:sz w:val="21"/>
                <w:szCs w:val="21"/>
                <w:lang w:val="en-US" w:eastAsia="zh-CN" w:bidi="ar-SA"/>
              </w:rPr>
              <w:t>诚信要求：</w:t>
            </w:r>
            <w:r>
              <w:rPr>
                <w:rFonts w:hint="eastAsia" w:ascii="宋体" w:hAnsi="宋体"/>
                <w:b w:val="0"/>
                <w:bCs/>
                <w:color w:val="auto"/>
                <w:kern w:val="2"/>
                <w:sz w:val="21"/>
                <w:szCs w:val="21"/>
                <w:lang w:val="en-US" w:eastAsia="zh-CN" w:bidi="ar-S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pPr>
              <w:spacing w:before="12" w:beforeLines="5" w:after="12" w:afterLines="5" w:line="400" w:lineRule="exact"/>
              <w:jc w:val="left"/>
              <w:rPr>
                <w:rFonts w:hint="eastAsia" w:ascii="宋体" w:hAnsi="宋体" w:eastAsia="宋体" w:cs="宋体"/>
                <w:color w:val="auto"/>
                <w:sz w:val="21"/>
                <w:szCs w:val="21"/>
                <w:highlight w:val="none"/>
              </w:rPr>
            </w:pPr>
            <w:r>
              <w:rPr>
                <w:rFonts w:ascii="宋体" w:hAnsi="宋体"/>
                <w:b/>
                <w:color w:val="auto"/>
                <w:szCs w:val="21"/>
              </w:rPr>
              <w:t>其他要求：</w:t>
            </w:r>
            <w:r>
              <w:rPr>
                <w:rFonts w:hint="eastAsia" w:ascii="宋体" w:hAnsi="宋体" w:eastAsia="宋体" w:cs="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41"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946"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758"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41"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46"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758"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1"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946"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758"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41"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1946"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w:t>
            </w:r>
          </w:p>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p>
        </w:tc>
        <w:tc>
          <w:tcPr>
            <w:tcW w:w="6758"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41"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1946"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6758"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1"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946"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758"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46" w:type="dxa"/>
            <w:vAlign w:val="center"/>
          </w:tcPr>
          <w:p>
            <w:pPr>
              <w:pStyle w:val="32"/>
              <w:keepNext w:val="0"/>
              <w:keepLines w:val="0"/>
              <w:pageBreakBefore w:val="0"/>
              <w:widowControl w:val="0"/>
              <w:kinsoku/>
              <w:wordWrap/>
              <w:overflowPunct/>
              <w:topLinePunct w:val="0"/>
              <w:autoSpaceDE/>
              <w:autoSpaceDN/>
              <w:bidi w:val="0"/>
              <w:adjustRightInd/>
              <w:snapToGrid/>
              <w:spacing w:line="320" w:lineRule="exact"/>
              <w:ind w:right="114"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6758" w:type="dxa"/>
            <w:vAlign w:val="center"/>
          </w:tcPr>
          <w:p>
            <w:pPr>
              <w:pStyle w:val="32"/>
              <w:keepNext w:val="0"/>
              <w:keepLines w:val="0"/>
              <w:pageBreakBefore w:val="0"/>
              <w:widowControl w:val="0"/>
              <w:kinsoku/>
              <w:wordWrap/>
              <w:overflowPunct/>
              <w:topLinePunct w:val="0"/>
              <w:autoSpaceDE/>
              <w:autoSpaceDN/>
              <w:bidi w:val="0"/>
              <w:adjustRightInd/>
              <w:snapToGrid/>
              <w:spacing w:before="168" w:line="32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946" w:type="dxa"/>
            <w:vAlign w:val="center"/>
          </w:tcPr>
          <w:p>
            <w:pPr>
              <w:pStyle w:val="32"/>
              <w:keepNext w:val="0"/>
              <w:keepLines w:val="0"/>
              <w:pageBreakBefore w:val="0"/>
              <w:widowControl w:val="0"/>
              <w:kinsoku/>
              <w:wordWrap/>
              <w:overflowPunct/>
              <w:topLinePunct w:val="0"/>
              <w:autoSpaceDE/>
              <w:autoSpaceDN/>
              <w:bidi w:val="0"/>
              <w:adjustRightInd/>
              <w:snapToGrid/>
              <w:spacing w:before="56" w:line="3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w:t>
            </w:r>
          </w:p>
        </w:tc>
        <w:tc>
          <w:tcPr>
            <w:tcW w:w="6758" w:type="dxa"/>
            <w:vAlign w:val="center"/>
          </w:tcPr>
          <w:p>
            <w:pPr>
              <w:pStyle w:val="32"/>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946" w:type="dxa"/>
            <w:vAlign w:val="center"/>
          </w:tcPr>
          <w:p>
            <w:pPr>
              <w:pStyle w:val="32"/>
              <w:keepNext w:val="0"/>
              <w:keepLines w:val="0"/>
              <w:pageBreakBefore w:val="0"/>
              <w:widowControl w:val="0"/>
              <w:kinsoku/>
              <w:wordWrap/>
              <w:overflowPunct/>
              <w:topLinePunct w:val="0"/>
              <w:autoSpaceDE/>
              <w:autoSpaceDN/>
              <w:bidi w:val="0"/>
              <w:adjustRightInd/>
              <w:snapToGrid/>
              <w:spacing w:line="320" w:lineRule="exact"/>
              <w:ind w:right="114"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sz w:val="21"/>
                <w:szCs w:val="21"/>
                <w:highlight w:val="none"/>
              </w:rPr>
            </w:pPr>
          </w:p>
        </w:tc>
        <w:tc>
          <w:tcPr>
            <w:tcW w:w="1946" w:type="dxa"/>
            <w:vAlign w:val="center"/>
          </w:tcPr>
          <w:p>
            <w:pPr>
              <w:pStyle w:val="32"/>
              <w:spacing w:line="360" w:lineRule="auto"/>
              <w:ind w:left="107" w:left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招标文件澄清发布方式</w:t>
            </w:r>
          </w:p>
        </w:tc>
        <w:tc>
          <w:tcPr>
            <w:tcW w:w="6758" w:type="dxa"/>
            <w:vAlign w:val="center"/>
          </w:tcPr>
          <w:p>
            <w:pPr>
              <w:pStyle w:val="32"/>
              <w:tabs>
                <w:tab w:val="left" w:pos="422"/>
                <w:tab w:val="left" w:pos="3256"/>
              </w:tabs>
              <w:spacing w:line="360" w:lineRule="auto"/>
              <w:ind w:left="107" w:leftChars="0"/>
              <w:jc w:val="both"/>
              <w:outlineLvl w:val="9"/>
              <w:rPr>
                <w:rFonts w:hint="eastAsia" w:ascii="宋体" w:hAnsi="宋体" w:eastAsia="宋体" w:cs="宋体"/>
                <w:color w:val="auto"/>
                <w:sz w:val="21"/>
                <w:szCs w:val="21"/>
                <w:highlight w:val="red"/>
                <w:lang w:val="en-US" w:eastAsia="zh-CN"/>
              </w:rPr>
            </w:pPr>
            <w:r>
              <w:rPr>
                <w:rFonts w:hint="eastAsia" w:ascii="宋体" w:hAnsi="宋体" w:eastAsia="宋体" w:cs="宋体"/>
                <w:color w:val="auto"/>
                <w:spacing w:val="0"/>
                <w:w w:val="100"/>
                <w:position w:val="0"/>
                <w:sz w:val="21"/>
                <w:szCs w:val="21"/>
                <w:highlight w:val="none"/>
                <w:u w:val="single"/>
              </w:rPr>
              <w:t xml:space="preserve"> 在招标公告发布的同一媒介</w:t>
            </w:r>
            <w:r>
              <w:rPr>
                <w:rFonts w:hint="eastAsia" w:ascii="宋体" w:hAnsi="宋体" w:eastAsia="宋体" w:cs="宋体"/>
                <w:color w:val="auto"/>
                <w:spacing w:val="0"/>
                <w:w w:val="100"/>
                <w:position w:val="0"/>
                <w:sz w:val="21"/>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946" w:type="dxa"/>
            <w:vAlign w:val="center"/>
          </w:tcPr>
          <w:p>
            <w:pPr>
              <w:pStyle w:val="32"/>
              <w:spacing w:line="360" w:lineRule="auto"/>
              <w:ind w:left="107" w:left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投标人确认收到澄清的方式</w:t>
            </w:r>
          </w:p>
        </w:tc>
        <w:tc>
          <w:tcPr>
            <w:tcW w:w="6758" w:type="dxa"/>
            <w:vAlign w:val="top"/>
          </w:tcPr>
          <w:p>
            <w:pPr>
              <w:pStyle w:val="32"/>
              <w:spacing w:before="1" w:line="360" w:lineRule="auto"/>
              <w:ind w:left="108" w:leftChars="0" w:right="94" w:rightChars="0"/>
              <w:jc w:val="both"/>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不需要确认。</w:t>
            </w:r>
          </w:p>
          <w:p>
            <w:pPr>
              <w:pStyle w:val="32"/>
              <w:spacing w:before="1" w:line="360" w:lineRule="auto"/>
              <w:ind w:left="108" w:leftChars="0" w:right="94" w:right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澄清文件在本章第2.2.2 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.1</w:t>
            </w:r>
          </w:p>
        </w:tc>
        <w:tc>
          <w:tcPr>
            <w:tcW w:w="1946" w:type="dxa"/>
            <w:vAlign w:val="center"/>
          </w:tcPr>
          <w:p>
            <w:pPr>
              <w:pStyle w:val="32"/>
              <w:keepNext w:val="0"/>
              <w:keepLines w:val="0"/>
              <w:pageBreakBefore w:val="0"/>
              <w:widowControl w:val="0"/>
              <w:kinsoku/>
              <w:wordWrap/>
              <w:overflowPunct/>
              <w:topLinePunct w:val="0"/>
              <w:autoSpaceDE/>
              <w:autoSpaceDN/>
              <w:bidi w:val="0"/>
              <w:adjustRightInd/>
              <w:snapToGrid/>
              <w:spacing w:line="320" w:lineRule="exact"/>
              <w:ind w:right="112"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构成投标文件的材料</w:t>
            </w:r>
          </w:p>
        </w:tc>
        <w:tc>
          <w:tcPr>
            <w:tcW w:w="6758" w:type="dxa"/>
            <w:vAlign w:val="center"/>
          </w:tcPr>
          <w:p>
            <w:pPr>
              <w:keepNext w:val="0"/>
              <w:keepLines w:val="0"/>
              <w:pageBreakBefore w:val="0"/>
              <w:widowControl w:val="0"/>
              <w:kinsoku/>
              <w:wordWrap/>
              <w:overflowPunct/>
              <w:topLinePunct w:val="0"/>
              <w:autoSpaceDE/>
              <w:autoSpaceDN/>
              <w:bidi w:val="0"/>
              <w:adjustRightInd/>
              <w:spacing w:line="37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投标文件的组成</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资格审查文件、报价文件、商务技术文件</w:t>
            </w:r>
          </w:p>
          <w:p>
            <w:pPr>
              <w:pStyle w:val="32"/>
              <w:keepNext w:val="0"/>
              <w:keepLines w:val="0"/>
              <w:pageBreakBefore w:val="0"/>
              <w:widowControl w:val="0"/>
              <w:kinsoku/>
              <w:wordWrap/>
              <w:overflowPunct/>
              <w:topLinePunct w:val="0"/>
              <w:autoSpaceDE/>
              <w:autoSpaceDN/>
              <w:bidi w:val="0"/>
              <w:adjustRightInd/>
              <w:snapToGrid/>
              <w:spacing w:before="58" w:line="370" w:lineRule="exact"/>
              <w:ind w:right="2865"/>
              <w:jc w:val="both"/>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资格审查文件</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1.投标人基本情况表（附有效的营业执照副本扫描件）（格式后附）；</w:t>
            </w:r>
            <w:r>
              <w:rPr>
                <w:rFonts w:hint="eastAsia" w:ascii="宋体" w:hAnsi="宋体" w:eastAsia="宋体" w:cs="宋体"/>
                <w:b/>
                <w:bCs/>
                <w:color w:val="auto"/>
                <w:sz w:val="21"/>
                <w:szCs w:val="21"/>
                <w:lang w:val="en-US" w:eastAsia="zh-CN"/>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Courier New"/>
                <w:b w:val="0"/>
                <w:bCs w:val="0"/>
                <w:color w:val="auto"/>
                <w:spacing w:val="2"/>
                <w:szCs w:val="22"/>
                <w:lang w:eastAsia="zh-CN"/>
              </w:rPr>
              <w:t>投标人</w:t>
            </w:r>
            <w:r>
              <w:rPr>
                <w:rFonts w:hint="eastAsia" w:ascii="宋体" w:hAnsi="宋体" w:cs="Courier New"/>
                <w:b w:val="0"/>
                <w:bCs w:val="0"/>
                <w:color w:val="auto"/>
                <w:spacing w:val="2"/>
                <w:szCs w:val="22"/>
              </w:rPr>
              <w:t>中小企业声明函</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3.投标人特定</w:t>
            </w:r>
            <w:r>
              <w:rPr>
                <w:rFonts w:hint="eastAsia" w:ascii="宋体" w:hAnsi="宋体" w:eastAsia="宋体" w:cs="宋体"/>
                <w:color w:val="auto"/>
                <w:sz w:val="21"/>
                <w:szCs w:val="21"/>
                <w:lang w:val="en-US" w:eastAsia="zh-CN"/>
              </w:rPr>
              <w:t>资格要求的资格证明材料：</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u w:val="none"/>
                <w:lang w:val="en-US" w:eastAsia="zh-CN"/>
              </w:rPr>
              <w:t>3.1投标人须</w:t>
            </w:r>
            <w:r>
              <w:rPr>
                <w:rFonts w:hint="eastAsia" w:ascii="宋体" w:hAnsi="宋体" w:eastAsia="宋体" w:cs="宋体"/>
                <w:b w:val="0"/>
                <w:bCs/>
                <w:color w:val="auto"/>
                <w:sz w:val="21"/>
                <w:szCs w:val="21"/>
                <w:highlight w:val="none"/>
              </w:rPr>
              <w:t>具备建筑工程施工总承包叁级以上（含叁级）资质副本</w:t>
            </w:r>
            <w:r>
              <w:rPr>
                <w:rFonts w:hint="eastAsia" w:ascii="宋体" w:hAnsi="宋体" w:eastAsia="宋体" w:cs="宋体"/>
                <w:color w:val="auto"/>
                <w:sz w:val="21"/>
                <w:szCs w:val="21"/>
                <w:lang w:val="en-US" w:eastAsia="zh-CN"/>
              </w:rPr>
              <w:t>扫描件；</w:t>
            </w:r>
            <w:r>
              <w:rPr>
                <w:rFonts w:hint="eastAsia" w:ascii="宋体" w:hAnsi="宋体" w:eastAsia="宋体" w:cs="宋体"/>
                <w:b/>
                <w:bCs/>
                <w:color w:val="auto"/>
                <w:sz w:val="21"/>
                <w:szCs w:val="21"/>
                <w:lang w:val="en-US" w:eastAsia="zh-CN"/>
              </w:rPr>
              <w:t>（必须提供，否则投标文件按无效响应处理）</w:t>
            </w:r>
          </w:p>
          <w:p>
            <w:pPr>
              <w:pStyle w:val="17"/>
              <w:keepNext w:val="0"/>
              <w:keepLines w:val="0"/>
              <w:pageBreakBefore w:val="0"/>
              <w:widowControl w:val="0"/>
              <w:kinsoku/>
              <w:wordWrap/>
              <w:overflowPunct/>
              <w:topLinePunct w:val="0"/>
              <w:autoSpaceDE/>
              <w:autoSpaceDN/>
              <w:bidi w:val="0"/>
              <w:adjustRightInd/>
              <w:spacing w:line="37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3.2.拟投入项目经理必须具有建筑工程专业注册建造师贰级（或贰级以上）资格，并具备有效的安全生产考核合格证书（B证）</w:t>
            </w:r>
            <w:r>
              <w:rPr>
                <w:rFonts w:hint="eastAsia" w:ascii="宋体" w:hAnsi="宋体" w:eastAsia="宋体" w:cs="宋体"/>
                <w:color w:val="auto"/>
                <w:sz w:val="21"/>
                <w:szCs w:val="21"/>
                <w:lang w:val="en-US" w:eastAsia="zh-CN"/>
              </w:rPr>
              <w:t>扫描件</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kern w:val="2"/>
                <w:sz w:val="21"/>
                <w:szCs w:val="21"/>
                <w:lang w:val="en-US" w:eastAsia="zh-CN" w:bidi="ar-SA"/>
              </w:rPr>
              <w:t>投标人有效的安全生产许可证</w:t>
            </w:r>
            <w:r>
              <w:rPr>
                <w:rFonts w:hint="eastAsia" w:ascii="宋体" w:hAnsi="宋体" w:eastAsia="宋体" w:cs="宋体"/>
                <w:color w:val="auto"/>
                <w:sz w:val="21"/>
                <w:szCs w:val="21"/>
                <w:lang w:val="en-US" w:eastAsia="zh-CN"/>
              </w:rPr>
              <w:t>扫描件</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5.建设工程项目管理承诺书（格式后附）；</w:t>
            </w:r>
            <w:r>
              <w:rPr>
                <w:rFonts w:hint="eastAsia" w:ascii="宋体" w:hAnsi="宋体" w:eastAsia="宋体" w:cs="宋体"/>
                <w:b/>
                <w:bCs/>
                <w:color w:val="auto"/>
                <w:sz w:val="21"/>
                <w:szCs w:val="21"/>
                <w:lang w:val="en-US" w:eastAsia="zh-CN"/>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依法缴纳税收的相关材料（</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月至</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eastAsia="zh-CN"/>
              </w:rPr>
              <w:t>内连续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个月的依法缴纳税收的凭据</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；依法免税</w:t>
            </w:r>
            <w:r>
              <w:rPr>
                <w:rFonts w:hint="eastAsia" w:ascii="宋体" w:hAnsi="宋体" w:eastAsia="宋体" w:cs="宋体"/>
                <w:color w:val="auto"/>
                <w:sz w:val="21"/>
                <w:szCs w:val="21"/>
                <w:lang w:val="en-US" w:eastAsia="zh-CN"/>
              </w:rPr>
              <w:t>或零申报</w:t>
            </w:r>
            <w:r>
              <w:rPr>
                <w:rFonts w:hint="eastAsia" w:ascii="宋体" w:hAnsi="宋体" w:eastAsia="宋体" w:cs="宋体"/>
                <w:color w:val="auto"/>
                <w:sz w:val="21"/>
                <w:szCs w:val="21"/>
              </w:rPr>
              <w:t>的，必须提供相应文件证明其依法免税</w:t>
            </w:r>
            <w:r>
              <w:rPr>
                <w:rFonts w:hint="eastAsia" w:ascii="宋体" w:hAnsi="宋体" w:eastAsia="宋体" w:cs="宋体"/>
                <w:color w:val="auto"/>
                <w:sz w:val="21"/>
                <w:szCs w:val="21"/>
                <w:lang w:val="en-US" w:eastAsia="zh-CN"/>
              </w:rPr>
              <w:t>或零申报</w:t>
            </w:r>
            <w:r>
              <w:rPr>
                <w:rFonts w:hint="eastAsia" w:ascii="宋体" w:hAnsi="宋体" w:eastAsia="宋体" w:cs="宋体"/>
                <w:color w:val="auto"/>
                <w:sz w:val="21"/>
                <w:szCs w:val="21"/>
              </w:rPr>
              <w:t>。从成立之日起到</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文件提交截止时间止不足要求月数的，只需提供从成立之日起的依法缴纳税收相应证明文件）；</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依法缴纳社会保障资金的相关材料[</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月至</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eastAsia="zh-CN"/>
              </w:rPr>
              <w:t>内连续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个月的依法缴纳社会保障资金的缴费凭证（专用收据或者社会保险缴纳清单）</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；依法不需要缴纳社会保障资金的</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，必须提供相应文件证明不需要缴纳社会保障资金。从取得营业执照时间起到首次</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文件提交截止时间为止不足要求月数的只需提供从取得营业执照起的依法缴纳社会保障资金的相应证明文件]；</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人财务状况报告（2021年度财务报表扫描件，或者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color w:val="auto"/>
                <w:sz w:val="21"/>
                <w:szCs w:val="21"/>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直接控股、管理关系信息表（格式后附）；</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标声明（格式后附）；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必须提供，否则投标文件按无效响应处理</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.除</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文件规定必须提供以外，</w:t>
            </w:r>
            <w:r>
              <w:rPr>
                <w:rFonts w:hint="eastAsia" w:ascii="宋体" w:hAnsi="宋体" w:eastAsia="宋体" w:cs="宋体"/>
                <w:bCs/>
                <w:color w:val="auto"/>
                <w:kern w:val="2"/>
                <w:sz w:val="21"/>
                <w:szCs w:val="21"/>
                <w:highlight w:val="none"/>
                <w:lang w:val="en-US" w:eastAsia="zh-CN"/>
              </w:rPr>
              <w:t>投标人</w:t>
            </w:r>
            <w:r>
              <w:rPr>
                <w:rFonts w:hint="eastAsia" w:ascii="宋体" w:hAnsi="宋体" w:eastAsia="宋体" w:cs="宋体"/>
                <w:color w:val="auto"/>
                <w:sz w:val="21"/>
                <w:szCs w:val="21"/>
              </w:rPr>
              <w:t>认为需要提供的其他证明材料</w:t>
            </w:r>
            <w:r>
              <w:rPr>
                <w:rFonts w:hint="eastAsia" w:ascii="宋体" w:hAnsi="宋体" w:eastAsia="宋体" w:cs="宋体"/>
                <w:color w:val="auto"/>
                <w:sz w:val="21"/>
                <w:szCs w:val="21"/>
                <w:lang w:eastAsia="zh-CN"/>
              </w:rPr>
              <w:t>。</w:t>
            </w:r>
          </w:p>
          <w:p>
            <w:pPr>
              <w:pStyle w:val="32"/>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报价文件</w:t>
            </w:r>
          </w:p>
          <w:p>
            <w:pPr>
              <w:keepNext w:val="0"/>
              <w:keepLines w:val="0"/>
              <w:pageBreakBefore w:val="0"/>
              <w:widowControl w:val="0"/>
              <w:numPr>
                <w:ilvl w:val="0"/>
                <w:numId w:val="0"/>
              </w:numPr>
              <w:kinsoku/>
              <w:wordWrap/>
              <w:overflowPunct/>
              <w:topLinePunct w:val="0"/>
              <w:autoSpaceDE/>
              <w:autoSpaceDN/>
              <w:bidi w:val="0"/>
              <w:adjustRightInd/>
              <w:spacing w:line="38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1.投标函及投标函附录</w:t>
            </w:r>
            <w:r>
              <w:rPr>
                <w:rFonts w:hint="eastAsia" w:ascii="宋体" w:hAnsi="宋体" w:eastAsia="宋体" w:cs="宋体"/>
                <w:color w:val="auto"/>
                <w:sz w:val="21"/>
                <w:szCs w:val="21"/>
                <w:highlight w:val="none"/>
              </w:rPr>
              <w:t>（格式后附）</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38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2.投</w:t>
            </w:r>
            <w:r>
              <w:rPr>
                <w:rFonts w:hint="eastAsia" w:ascii="宋体" w:hAnsi="宋体" w:eastAsia="宋体" w:cs="宋体"/>
                <w:color w:val="auto"/>
                <w:sz w:val="21"/>
                <w:szCs w:val="21"/>
                <w:highlight w:val="none"/>
              </w:rPr>
              <w:t>标报价表（格式后附）；（</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8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已标价工程量清单；</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b/>
                <w:bCs/>
                <w:color w:val="auto"/>
                <w:sz w:val="21"/>
                <w:szCs w:val="21"/>
                <w:highlight w:val="none"/>
              </w:rPr>
              <w:t>）</w:t>
            </w:r>
          </w:p>
          <w:p>
            <w:pPr>
              <w:pStyle w:val="32"/>
              <w:keepNext w:val="0"/>
              <w:keepLines w:val="0"/>
              <w:pageBreakBefore w:val="0"/>
              <w:widowControl w:val="0"/>
              <w:kinsoku/>
              <w:wordWrap/>
              <w:overflowPunct/>
              <w:topLinePunct w:val="0"/>
              <w:autoSpaceDE/>
              <w:autoSpaceDN/>
              <w:bidi w:val="0"/>
              <w:adjustRightInd/>
              <w:snapToGrid/>
              <w:spacing w:before="67" w:line="380" w:lineRule="exact"/>
              <w:ind w:left="5" w:leftChars="0"/>
              <w:jc w:val="both"/>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商务技术文件</w:t>
            </w:r>
          </w:p>
          <w:p>
            <w:pPr>
              <w:keepNext w:val="0"/>
              <w:keepLines w:val="0"/>
              <w:pageBreakBefore w:val="0"/>
              <w:widowControl w:val="0"/>
              <w:kinsoku/>
              <w:wordWrap/>
              <w:overflowPunct/>
              <w:topLinePunct w:val="0"/>
              <w:autoSpaceDE/>
              <w:autoSpaceDN/>
              <w:bidi w:val="0"/>
              <w:adjustRightInd/>
              <w:spacing w:line="38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标行为的承诺函（格式后附）；（</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.法定代表人身份证明书及法定代表人有效身份证正反面</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lang w:val="en-US" w:eastAsia="zh-CN"/>
              </w:rPr>
              <w:t>必须提供，否则投标文件按无效响应处理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文件按无效响应处理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38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.施工组织设计；</w:t>
            </w:r>
          </w:p>
          <w:p>
            <w:pPr>
              <w:keepNext w:val="0"/>
              <w:keepLines w:val="0"/>
              <w:pageBreakBefore w:val="0"/>
              <w:widowControl w:val="0"/>
              <w:kinsoku/>
              <w:wordWrap/>
              <w:overflowPunct/>
              <w:topLinePunct w:val="0"/>
              <w:autoSpaceDE/>
              <w:autoSpaceDN/>
              <w:bidi w:val="0"/>
              <w:adjustRightInd/>
              <w:spacing w:line="38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项目管理机构配备情况表</w:t>
            </w:r>
            <w:r>
              <w:rPr>
                <w:rFonts w:hint="eastAsia" w:ascii="宋体" w:hAnsi="宋体" w:eastAsia="宋体" w:cs="宋体"/>
                <w:color w:val="auto"/>
                <w:sz w:val="21"/>
                <w:szCs w:val="21"/>
                <w:highlight w:val="none"/>
              </w:rPr>
              <w:t xml:space="preserve">（格式后附）； </w:t>
            </w:r>
          </w:p>
          <w:p>
            <w:pPr>
              <w:keepNext w:val="0"/>
              <w:keepLines w:val="0"/>
              <w:pageBreakBefore w:val="0"/>
              <w:widowControl/>
              <w:suppressLineNumbers w:val="0"/>
              <w:kinsoku/>
              <w:wordWrap/>
              <w:overflowPunct/>
              <w:topLinePunct w:val="0"/>
              <w:autoSpaceDE/>
              <w:autoSpaceDN/>
              <w:bidi w:val="0"/>
              <w:adjustRightInd/>
              <w:spacing w:line="38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6.</w:t>
            </w:r>
            <w:r>
              <w:rPr>
                <w:rFonts w:hint="eastAsia" w:ascii="宋体" w:hAnsi="宋体" w:eastAsia="宋体" w:cs="宋体"/>
                <w:bCs/>
                <w:color w:val="auto"/>
                <w:kern w:val="2"/>
                <w:sz w:val="21"/>
                <w:szCs w:val="21"/>
                <w:highlight w:val="none"/>
                <w:lang w:val="en-US" w:eastAsia="zh-CN"/>
              </w:rPr>
              <w:t>投标人</w:t>
            </w:r>
            <w:r>
              <w:rPr>
                <w:rFonts w:hint="eastAsia" w:ascii="宋体" w:hAnsi="宋体" w:eastAsia="宋体" w:cs="宋体"/>
                <w:color w:val="auto"/>
                <w:sz w:val="21"/>
                <w:szCs w:val="21"/>
                <w:highlight w:val="none"/>
              </w:rPr>
              <w:t>认为需要提供的其他有关资料。</w:t>
            </w:r>
          </w:p>
          <w:p>
            <w:pPr>
              <w:pStyle w:val="32"/>
              <w:keepNext w:val="0"/>
              <w:keepLines w:val="0"/>
              <w:pageBreakBefore w:val="0"/>
              <w:widowControl w:val="0"/>
              <w:kinsoku/>
              <w:wordWrap/>
              <w:overflowPunct/>
              <w:topLinePunct w:val="0"/>
              <w:autoSpaceDE/>
              <w:autoSpaceDN/>
              <w:bidi w:val="0"/>
              <w:adjustRightInd/>
              <w:snapToGrid/>
              <w:spacing w:before="67" w:line="380" w:lineRule="exact"/>
              <w:ind w:left="5" w:leftChars="0" w:firstLine="422" w:firstLineChars="2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特别说明：电子投标响应文件中所须加盖公章部分均采用CA签章。若投标响应文件中有专门标注的某关联点，并要求供应商在电子投标系统中作出响应的，如供应商未对关联点进行响应或者在响应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5</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财务状况的年份要求</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rPr>
            </w:pP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 年 1 月 1 日起至投标截止时间止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 xml:space="preserve"> 日（从提交投标文件截止之日算起）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投标方案</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签字和（或）盖章要求</w:t>
            </w:r>
          </w:p>
        </w:tc>
        <w:tc>
          <w:tcPr>
            <w:tcW w:w="6758"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1.招标文件中描述投标人的“公章”是指投标人通过指定电子化政府采购平台办理数字证书（CA认证）获得的以法定主体行为名称制作的电子印章。</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招标文件中描述投标人的“签字”是指投标人通过指定电子化政府采购平台办理数字证书（CA认证）获得的以投标人法定代表人或其委托代理人姓名制作的电子印章或手写签字，（手写签字，是指投标人的法定代表人或其委托代理人亲自在文件规定签署处亲笔写上个人的名字的行为，私章、签字章、印鉴、影印等其他形式均不能代替亲笔签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备注：CA签章上目前没有法人或授权代表签字信息，投标人在投标文件中涉及到签字的位置线下签好字然后扫描或者拍照做成PDF的格式亦可。投标文件中涉及到签字的位置未按要求签字的，提供的材料视为无效。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开标地点：在“政采云”平台电子开标大厅开标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详见总则 5.2 条开标程序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评标委员会构成：5人，其中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代表1人，专家4人。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评标专家确定方式： </w:t>
            </w:r>
            <w:r>
              <w:rPr>
                <w:rFonts w:hint="eastAsia" w:ascii="宋体" w:hAnsi="宋体" w:eastAsia="宋体" w:cs="宋体"/>
                <w:color w:val="auto"/>
                <w:sz w:val="21"/>
                <w:szCs w:val="21"/>
                <w:highlight w:val="none"/>
                <w:lang w:val="en-US" w:eastAsia="zh-CN"/>
              </w:rPr>
              <w:t>政府采购云平台专家库中随机抽取</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评标方式</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否，推荐的中标候选人数：3 </w:t>
            </w:r>
            <w:r>
              <w:rPr>
                <w:rFonts w:hint="eastAsia" w:ascii="宋体" w:hAnsi="宋体" w:eastAsia="宋体" w:cs="宋体"/>
                <w:color w:val="auto"/>
                <w:sz w:val="21"/>
                <w:szCs w:val="21"/>
                <w:highlight w:val="no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val="en-US" w:eastAsia="zh-CN"/>
              </w:rPr>
              <w:t>担保</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履约保证金金额：</w:t>
            </w: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8.3.2</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招标代理服务费支付方式</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本项目代理服务费由中标人支付。具体为：按固定金额29000收取。</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开户名称：广西顺易工程管理有限公司</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开户银行：中国银行股份有限公司玉林分行营业部</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开户账号：6236 7473  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.1.1</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w:t>
            </w:r>
            <w:r>
              <w:rPr>
                <w:rFonts w:hint="eastAsia" w:ascii="宋体" w:hAnsi="宋体" w:eastAsia="宋体" w:cs="宋体"/>
                <w:color w:val="auto"/>
                <w:sz w:val="21"/>
                <w:szCs w:val="21"/>
                <w:highlight w:val="none"/>
                <w:lang w:val="en-US" w:eastAsia="zh-CN"/>
              </w:rPr>
              <w:t>房屋建筑工程或</w:t>
            </w:r>
            <w:r>
              <w:rPr>
                <w:rFonts w:hint="eastAsia" w:ascii="宋体" w:hAnsi="宋体" w:eastAsia="宋体" w:cs="宋体"/>
                <w:color w:val="auto"/>
                <w:sz w:val="21"/>
                <w:szCs w:val="21"/>
                <w:highlight w:val="none"/>
                <w:lang w:eastAsia="zh-CN"/>
              </w:rPr>
              <w:t>水库移民整村提升</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招标控制价及上限控制价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87"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招标控制价</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人民币陆佰肆拾玖万贰仟柒佰玖拾元陆角壹分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6492790.61</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987"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有效报价范围</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投标报价小于或等于招标控制价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w:t>
            </w:r>
            <w:r>
              <w:rPr>
                <w:rFonts w:hint="eastAsia" w:ascii="宋体" w:hAnsi="宋体" w:eastAsia="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987"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投标人在递交投标文件时，同时递交投标文件电子版</w:t>
            </w:r>
          </w:p>
        </w:tc>
        <w:tc>
          <w:tcPr>
            <w:tcW w:w="6758"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构成本招标文件各个组成部分的文件，未经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书面同意，投标人不得擅自复印和用于非本招标项目所需的其他目的。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除投标人须知正文第 8 条规定的情形外，除非已经产生中标候选人，在投标有效期内同意延长投标有效期的投标人少于三个的，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构成招标文件组成部分的“通用合同条款”、“专用合同条款”、“技术标准和要求”和“工程量清单”等章节中出现的措辞“发包人”和“承包人”，在招标投标阶段应当分别按“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 “投标人”进行理解。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监督部门：</w:t>
            </w:r>
            <w:r>
              <w:rPr>
                <w:rFonts w:hint="eastAsia" w:ascii="宋体" w:hAnsi="宋体" w:eastAsia="宋体" w:cs="宋体"/>
                <w:color w:val="auto"/>
                <w:sz w:val="21"/>
                <w:szCs w:val="21"/>
                <w:highlight w:val="none"/>
                <w:lang w:eastAsia="zh-CN"/>
              </w:rPr>
              <w:t>兴业县财政局</w:t>
            </w:r>
            <w:r>
              <w:rPr>
                <w:rFonts w:hint="eastAsia" w:ascii="宋体" w:hAnsi="宋体" w:eastAsia="宋体" w:cs="宋体"/>
                <w:color w:val="auto"/>
                <w:sz w:val="21"/>
                <w:szCs w:val="21"/>
                <w:highlight w:val="none"/>
              </w:rPr>
              <w:t xml:space="preserve">   电 话：0775-</w:t>
            </w:r>
            <w:r>
              <w:rPr>
                <w:rFonts w:hint="eastAsia" w:ascii="宋体" w:hAnsi="宋体" w:eastAsia="宋体" w:cs="宋体"/>
                <w:color w:val="auto"/>
                <w:sz w:val="21"/>
                <w:szCs w:val="21"/>
                <w:highlight w:val="none"/>
                <w:lang w:eastAsia="zh-CN"/>
              </w:rPr>
              <w:t>3765088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 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11.10本项目涉及中小企业采购明确的内容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本项目涉及中小企业采购，符合《政府采购促进中小企业发展管理办法》中第十二条：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1.本项目专门面向中小企业采购，预留份额 100%。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2.预算金额：人民币陆佰肆拾玖万贰仟柒佰玖拾元陆角壹分（¥6492790.61）。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3.本项目涉及中小企业采购，不可分包合同。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4.采购标的所属行业：建筑业。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5.工程预付款的支付：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①预付款：合同总价款30%；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②预付款支付期限：签订合同之日起15个工作日内。</w:t>
            </w:r>
          </w:p>
        </w:tc>
      </w:tr>
    </w:tbl>
    <w:p>
      <w:pPr>
        <w:pStyle w:val="11"/>
        <w:keepNext w:val="0"/>
        <w:keepLines w:val="0"/>
        <w:pageBreakBefore w:val="0"/>
        <w:widowControl w:val="0"/>
        <w:kinsoku/>
        <w:wordWrap/>
        <w:overflowPunct/>
        <w:topLinePunct w:val="0"/>
        <w:autoSpaceDE/>
        <w:autoSpaceDN/>
        <w:bidi w:val="0"/>
        <w:adjustRightInd/>
        <w:snapToGrid/>
        <w:spacing w:line="400" w:lineRule="exact"/>
        <w:ind w:right="671"/>
        <w:jc w:val="both"/>
        <w:textAlignment w:val="auto"/>
        <w:outlineLvl w:val="9"/>
        <w:rPr>
          <w:rFonts w:hint="eastAsia" w:ascii="宋体" w:hAnsi="宋体" w:eastAsia="宋体" w:cs="宋体"/>
          <w:color w:val="auto"/>
          <w:sz w:val="21"/>
          <w:szCs w:val="21"/>
          <w:highlight w:val="none"/>
          <w:lang w:val="en-US" w:eastAsia="zh-CN" w:bidi="zh-CN"/>
        </w:rPr>
        <w:sectPr>
          <w:footerReference r:id="rId4" w:type="default"/>
          <w:pgSz w:w="11910" w:h="16840"/>
          <w:pgMar w:top="1134" w:right="1134" w:bottom="1134" w:left="1247" w:header="850" w:footer="567" w:gutter="0"/>
          <w:pgNumType w:fmt="decimal" w:start="1"/>
          <w:cols w:space="720" w:num="1"/>
        </w:sectPr>
      </w:pPr>
    </w:p>
    <w:p>
      <w:pPr>
        <w:keepNext/>
        <w:keepLines/>
        <w:widowControl w:val="0"/>
        <w:spacing w:line="312" w:lineRule="auto"/>
        <w:jc w:val="center"/>
        <w:outlineLvl w:val="9"/>
        <w:rPr>
          <w:rFonts w:hint="eastAsia" w:ascii="宋体" w:hAnsi="宋体" w:eastAsia="宋体" w:cs="宋体"/>
          <w:b/>
          <w:bCs/>
          <w:color w:val="auto"/>
          <w:kern w:val="44"/>
          <w:sz w:val="36"/>
          <w:szCs w:val="36"/>
          <w:highlight w:val="none"/>
          <w:lang w:val="zh-CN" w:eastAsia="zh-CN" w:bidi="ar-SA"/>
        </w:rPr>
      </w:pPr>
      <w:bookmarkStart w:id="9" w:name="_Toc25463"/>
      <w:r>
        <w:rPr>
          <w:rFonts w:hint="eastAsia" w:ascii="宋体" w:hAnsi="宋体" w:eastAsia="宋体" w:cs="宋体"/>
          <w:b/>
          <w:bCs/>
          <w:color w:val="auto"/>
          <w:kern w:val="44"/>
          <w:sz w:val="36"/>
          <w:szCs w:val="36"/>
          <w:highlight w:val="none"/>
          <w:lang w:val="zh-CN" w:eastAsia="zh-CN" w:bidi="ar-SA"/>
        </w:rPr>
        <w:t>投标人须知正文部分</w:t>
      </w:r>
      <w:bookmarkEnd w:id="9"/>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1总则</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1.1项目概况</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1.1.1根据</w:t>
      </w: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sz w:val="21"/>
          <w:szCs w:val="21"/>
          <w:highlight w:val="none"/>
          <w:lang w:val="en-US" w:eastAsia="zh-CN"/>
        </w:rPr>
        <w:t>等有关法律、法规和规章的规定，本招标项目已具备招标条件，现对本标段施工进行招标。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1.1.2本招标项目采购人：见“投标人须知前附表”。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1.1.3本标段采购代理机构：见“投标人须知前附表”。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1.1.4本招标项目名称及编号：见“投标人须知前附表”。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1.1.5本标段建设地点：见“投标人须知前附表”。</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bookmarkStart w:id="10" w:name="1.2资金来源和落实情况"/>
      <w:bookmarkEnd w:id="10"/>
      <w:r>
        <w:rPr>
          <w:rFonts w:hint="eastAsia" w:ascii="宋体" w:hAnsi="宋体" w:eastAsia="宋体" w:cs="宋体"/>
          <w:b/>
          <w:bCs/>
          <w:color w:val="auto"/>
          <w:sz w:val="21"/>
          <w:szCs w:val="21"/>
          <w:highlight w:val="none"/>
          <w:lang w:val="en-US" w:eastAsia="zh-CN"/>
        </w:rPr>
        <w:t>1.2资金来源和落实情况</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1.2.1本招标项目的资金来源：见“投标人须知前附表”。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1.2.2本招标项目的出资比例：见“投标人须知前附表”。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1.2.3本招标项目的资金落实情况：见“投标人须知前附表”。</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bookmarkStart w:id="11" w:name="1.3招标范围、计划工期和质量要求"/>
      <w:bookmarkEnd w:id="11"/>
      <w:r>
        <w:rPr>
          <w:rFonts w:hint="eastAsia" w:ascii="宋体" w:hAnsi="宋体" w:eastAsia="宋体" w:cs="宋体"/>
          <w:b/>
          <w:bCs/>
          <w:color w:val="auto"/>
          <w:sz w:val="21"/>
          <w:szCs w:val="21"/>
          <w:highlight w:val="none"/>
          <w:lang w:val="en-US" w:eastAsia="zh-CN"/>
        </w:rPr>
        <w:t>1.3招标范围、计划工期和质量要求</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1.3.1本次招标范围：见“投标人须知前附表”。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1.3.2本标段的计划工期：见“投标人须知前附表”。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1.3.3本标段的质量要求：见“投标人须知前附表”。</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bookmarkStart w:id="12" w:name="1.4投标人资格要求"/>
      <w:bookmarkEnd w:id="12"/>
      <w:r>
        <w:rPr>
          <w:rFonts w:hint="eastAsia" w:ascii="宋体" w:hAnsi="宋体" w:eastAsia="宋体" w:cs="宋体"/>
          <w:b/>
          <w:bCs/>
          <w:color w:val="auto"/>
          <w:sz w:val="21"/>
          <w:szCs w:val="21"/>
          <w:highlight w:val="none"/>
          <w:lang w:val="en-US" w:eastAsia="zh-CN"/>
        </w:rPr>
        <w:t>1.4投标人资格要求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1.4.1投标人应具备承担本标段施工的资质条件、能力、诚信要求。</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资质条件：见“投标人须知前附表”；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诚信要求：见“投标人须知前附表”；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项目经理资格：见“投标人须知前附表”；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专职安全员要求：见“投标人须知前附表”；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其他要求：见“投标人须知前附表”。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1.4.2“投标人须知前附表”规定接受联合体投标的，除应符合本章第 1.4.1 项和“投标人须知前附表”的要求外，还应遵守以下规定：</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（1）联合体各方应按招标文件提供的格式签订联合体协议书，明确联合体牵头人和各方权利义务；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（3）联合体各方不得再以自己名义单独或参加其他联合体在同一标段中投标。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1.4.3投标人不得存在下列情形之一：</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与采购人存在利害关系可能影响招标公正性的法人、其他组织；</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为本标段前期准备提供设计或咨询服务的，但设计施工总承包的除外；</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为本标段的监理人；</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为本标段的代建人；</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为本标段提供采购代理服务的；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与本标段的监理人或代建人或采购代理机构同为一个法定代表人的；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与本标段的监理人或代建人或采购代理机构相互控股或参股的；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与本标段的监理人或代建人或采购代理机构相互任职或工作的；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被责令停业的；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被暂停或取消投标资格的；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财产被接管或冻结的；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在最近三年内有骗取中标或严重违约或重大工程质量问题的。</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13" w:name="1.5有下列情形之一的视为投标人相互串通竞标，竞标文件将被视为无效："/>
      <w:bookmarkEnd w:id="13"/>
      <w:r>
        <w:rPr>
          <w:rFonts w:hint="eastAsia" w:ascii="宋体" w:hAnsi="宋体" w:eastAsia="宋体" w:cs="宋体"/>
          <w:b/>
          <w:bCs/>
          <w:color w:val="auto"/>
          <w:sz w:val="21"/>
          <w:szCs w:val="21"/>
          <w:highlight w:val="none"/>
          <w:lang w:val="en-US" w:eastAsia="zh-CN"/>
        </w:rPr>
        <w:t>1.5有下列情形之一的视为投标人相互串通投标，公开招标文件将被视为无效：</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1.5.1不同投标人的公开招标文件由同一个单位或者个人编制；或不同投标人报名的 IP 地址一致的；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1.5.3不同的投标人的公开招标文件载明的项目管理员为同一个人；</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1.5.4不同投标人的公开招标文件异常一致或投标报价呈规律性差异；</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1.5.5不同投标人的公开招标文件相互混装；</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14" w:name="1.6采购人或采购代理机构应当在公开招标采购文件中载明以下内容："/>
      <w:bookmarkEnd w:id="14"/>
      <w:r>
        <w:rPr>
          <w:rFonts w:hint="eastAsia" w:ascii="宋体" w:hAnsi="宋体" w:eastAsia="宋体" w:cs="宋体"/>
          <w:b/>
          <w:bCs/>
          <w:color w:val="auto"/>
          <w:sz w:val="21"/>
          <w:szCs w:val="21"/>
          <w:highlight w:val="none"/>
          <w:lang w:val="en-US" w:eastAsia="zh-CN"/>
        </w:rPr>
        <w:t>1.6采购人或采购代理机构应当在公开招标采购文件中载明以下内容：</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1.6.1提供相同品牌产品的不同投标人参加同一合同项下投标的，以其中通过资格审查、符合性审查且报价最低的参加评标，报价相同的，由采购人自主选择确定一个参加评标的投标人，其他投标无效；</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1.6.2非单一产品采购项目中，多家投标人提供的核心产品品牌相同的，视为提供相同品牌产品。核心产品的名称应当在公开招标采购文件中载明。</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15" w:name="1.7关联供应商不得参加同一合同项下政府采购活动，否则竞标文件将视为无效："/>
      <w:bookmarkEnd w:id="15"/>
      <w:r>
        <w:rPr>
          <w:rFonts w:hint="eastAsia" w:ascii="宋体" w:hAnsi="宋体" w:eastAsia="宋体" w:cs="宋体"/>
          <w:b/>
          <w:bCs/>
          <w:color w:val="auto"/>
          <w:sz w:val="21"/>
          <w:szCs w:val="21"/>
          <w:highlight w:val="none"/>
          <w:lang w:val="en-US" w:eastAsia="zh-CN"/>
        </w:rPr>
        <w:t>1.7关联投标人不得参加同一合同项下政府采购活动，否则公开招标文件将视为无效：</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1.7.1单位负责人为同一人或者存在直接控股管理关系的不同的投标人，不得参加同一合同项下的政府采购活动；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1.7.2生产厂商授权给投标人后自己不得参加同一合同项下的政府采购活动；生产厂商对同一品牌同一型号的货物，仅能委托一个代理商参加投标。</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16" w:name="1.8投标人有下列情形之一的，属于恶意串通行为："/>
      <w:bookmarkEnd w:id="16"/>
      <w:r>
        <w:rPr>
          <w:rFonts w:hint="eastAsia" w:ascii="宋体" w:hAnsi="宋体" w:eastAsia="宋体" w:cs="宋体"/>
          <w:b/>
          <w:bCs/>
          <w:color w:val="auto"/>
          <w:sz w:val="21"/>
          <w:szCs w:val="21"/>
          <w:highlight w:val="none"/>
          <w:lang w:val="en-US" w:eastAsia="zh-CN"/>
        </w:rPr>
        <w:t>1.8投标人有下列情形之一的，属于恶意串通行为：</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1.8.1投标人直接或者间接从采购人或者采购代理机构处获得其他投标人的相关信息并修改其公开招标文件或者投标文件；</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1.8.2投标人按照采购人或者采购代理机构的授意撤换、修改公开招标文件或者投标文件；</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1.8.3投标人之间协商报价、技术方案等公开招标文件或者投标文件的实质性的内容；</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1.8.4属于同一集团、协会、商会等组织成员的投标人按照该组织要求协同参加政府采购活动；</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1.8.5投标人之间事先约定一致抬高或者压低投标报价，或者在采购项目中事先约定轮流以高价位或者低价位成交，或者事先约定由某一特定投标人成交，然后在参加投标；</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1.8.6投标人之间商定部分投标人放弃参加政府采购活动或者放弃成交；</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1.8.7投标人与采购人或者采购代理机构之间、投标人相互之间，为谋求特定投标人成交或者排斥其他投标人的其他串通行为。</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17" w:name="1.9费用承担"/>
      <w:bookmarkEnd w:id="17"/>
      <w:r>
        <w:rPr>
          <w:rFonts w:hint="eastAsia" w:ascii="宋体" w:hAnsi="宋体" w:eastAsia="宋体" w:cs="宋体"/>
          <w:b/>
          <w:bCs/>
          <w:color w:val="auto"/>
          <w:sz w:val="21"/>
          <w:szCs w:val="21"/>
          <w:highlight w:val="none"/>
          <w:lang w:val="en-US" w:eastAsia="zh-CN"/>
        </w:rPr>
        <w:t>1.9费用承担</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投标人准备和参加投标活动发生的费用自理。</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18" w:name="1.10保密"/>
      <w:bookmarkEnd w:id="18"/>
      <w:r>
        <w:rPr>
          <w:rFonts w:hint="eastAsia" w:ascii="宋体" w:hAnsi="宋体" w:eastAsia="宋体" w:cs="宋体"/>
          <w:b/>
          <w:bCs/>
          <w:color w:val="auto"/>
          <w:sz w:val="21"/>
          <w:szCs w:val="21"/>
          <w:highlight w:val="none"/>
          <w:lang w:val="en-US" w:eastAsia="zh-CN"/>
        </w:rPr>
        <w:t>1.10保密</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19" w:name="1.11语言文字"/>
      <w:bookmarkEnd w:id="19"/>
      <w:r>
        <w:rPr>
          <w:rFonts w:hint="eastAsia" w:ascii="宋体" w:hAnsi="宋体" w:eastAsia="宋体" w:cs="宋体"/>
          <w:b/>
          <w:bCs/>
          <w:color w:val="auto"/>
          <w:sz w:val="21"/>
          <w:szCs w:val="21"/>
          <w:highlight w:val="none"/>
          <w:lang w:val="en-US" w:eastAsia="zh-CN"/>
        </w:rPr>
        <w:t>1.11语言文字</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除专用术语外，与招标投标有关的语言均使用中文。必要时专用术语应附有中文注释。</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0" w:name="1.12计量单位"/>
      <w:bookmarkEnd w:id="20"/>
      <w:r>
        <w:rPr>
          <w:rFonts w:hint="eastAsia" w:ascii="宋体" w:hAnsi="宋体" w:eastAsia="宋体" w:cs="宋体"/>
          <w:b/>
          <w:bCs/>
          <w:color w:val="auto"/>
          <w:sz w:val="21"/>
          <w:szCs w:val="21"/>
          <w:highlight w:val="none"/>
          <w:lang w:val="en-US" w:eastAsia="zh-CN"/>
        </w:rPr>
        <w:t>1.12计量单位</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21" w:name="1.13踏勘现场"/>
      <w:bookmarkEnd w:id="21"/>
      <w:r>
        <w:rPr>
          <w:rFonts w:hint="eastAsia" w:ascii="宋体" w:hAnsi="宋体" w:eastAsia="宋体" w:cs="宋体"/>
          <w:b/>
          <w:bCs/>
          <w:color w:val="auto"/>
          <w:sz w:val="21"/>
          <w:szCs w:val="21"/>
          <w:highlight w:val="none"/>
          <w:lang w:val="en-US" w:eastAsia="zh-CN"/>
        </w:rPr>
        <w:t>1.13踏勘现场</w:t>
      </w:r>
    </w:p>
    <w:p>
      <w:pPr>
        <w:keepNext w:val="0"/>
        <w:keepLines w:val="0"/>
        <w:pageBreakBefore w:val="0"/>
        <w:widowControl w:val="0"/>
        <w:kinsoku/>
        <w:wordWrap/>
        <w:overflowPunct/>
        <w:topLinePunct w:val="0"/>
        <w:autoSpaceDE/>
        <w:autoSpaceDN/>
        <w:bidi w:val="0"/>
        <w:adjustRightInd/>
        <w:snapToGrid/>
        <w:spacing w:line="33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1.13.1投标人根据需要自行踏勘项目现场。</w:t>
      </w:r>
    </w:p>
    <w:p>
      <w:pPr>
        <w:keepNext w:val="0"/>
        <w:keepLines w:val="0"/>
        <w:pageBreakBefore w:val="0"/>
        <w:widowControl w:val="0"/>
        <w:kinsoku/>
        <w:wordWrap/>
        <w:overflowPunct/>
        <w:topLinePunct w:val="0"/>
        <w:autoSpaceDE/>
        <w:autoSpaceDN/>
        <w:bidi w:val="0"/>
        <w:adjustRightInd/>
        <w:snapToGrid/>
        <w:spacing w:line="33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1.13.2投标人踏勘现场发生的费用自理。</w:t>
      </w:r>
    </w:p>
    <w:p>
      <w:pPr>
        <w:keepNext w:val="0"/>
        <w:keepLines w:val="0"/>
        <w:pageBreakBefore w:val="0"/>
        <w:widowControl w:val="0"/>
        <w:kinsoku/>
        <w:wordWrap/>
        <w:overflowPunct/>
        <w:topLinePunct w:val="0"/>
        <w:autoSpaceDE/>
        <w:autoSpaceDN/>
        <w:bidi w:val="0"/>
        <w:adjustRightInd/>
        <w:snapToGrid/>
        <w:spacing w:line="33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1.13.3投标人自行负责在踏勘现场中所发生的人员伤亡和财产损失。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2" w:name="1.14投标预备会"/>
      <w:bookmarkEnd w:id="22"/>
      <w:r>
        <w:rPr>
          <w:rFonts w:hint="eastAsia" w:ascii="宋体" w:hAnsi="宋体" w:eastAsia="宋体" w:cs="宋体"/>
          <w:b/>
          <w:bCs/>
          <w:color w:val="auto"/>
          <w:sz w:val="21"/>
          <w:szCs w:val="21"/>
          <w:highlight w:val="none"/>
          <w:lang w:val="en-US" w:eastAsia="zh-CN"/>
        </w:rPr>
        <w:t>1.14投标预备会</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1.15分包</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23" w:name="1.16偏离"/>
      <w:bookmarkEnd w:id="23"/>
      <w:r>
        <w:rPr>
          <w:rFonts w:hint="eastAsia" w:ascii="宋体" w:hAnsi="宋体" w:eastAsia="宋体" w:cs="宋体"/>
          <w:b/>
          <w:bCs/>
          <w:color w:val="auto"/>
          <w:sz w:val="21"/>
          <w:szCs w:val="21"/>
          <w:highlight w:val="none"/>
          <w:lang w:val="en-US" w:eastAsia="zh-CN"/>
        </w:rPr>
        <w:t>1.16偏离</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不允许。</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24" w:name="2招标文件"/>
      <w:bookmarkEnd w:id="24"/>
      <w:r>
        <w:rPr>
          <w:rFonts w:hint="eastAsia" w:ascii="宋体" w:hAnsi="宋体" w:eastAsia="宋体" w:cs="宋体"/>
          <w:b/>
          <w:bCs/>
          <w:color w:val="auto"/>
          <w:sz w:val="21"/>
          <w:szCs w:val="21"/>
          <w:highlight w:val="none"/>
          <w:lang w:val="en-US" w:eastAsia="zh-CN"/>
        </w:rPr>
        <w:t>2.招标文件</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2.1招标文件的组成</w:t>
      </w:r>
      <w:r>
        <w:rPr>
          <w:rFonts w:hint="eastAsia" w:ascii="宋体" w:hAnsi="宋体" w:eastAsia="宋体" w:cs="宋体"/>
          <w:color w:val="auto"/>
          <w:sz w:val="21"/>
          <w:szCs w:val="21"/>
          <w:highlight w:val="none"/>
          <w:lang w:val="en-US" w:eastAsia="zh-CN"/>
        </w:rPr>
        <w:t xml:space="preserve"> 本招标文件包括：</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招标公告；</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投标人须知；</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评标办法；</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合同条款及格式；</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图纸；</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技术标准和要求；</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投标文件格式；</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“投标人须知前附表”规定的其他材料。</w:t>
      </w:r>
    </w:p>
    <w:p>
      <w:pPr>
        <w:keepNext w:val="0"/>
        <w:keepLines w:val="0"/>
        <w:pageBreakBefore w:val="0"/>
        <w:widowControl w:val="0"/>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根据本章第 2.2 款和第 2.3 款对招标文件所作的澄清、修改，构成招标文件的组成部分。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25" w:name="2.2招标文件的澄清"/>
      <w:bookmarkEnd w:id="25"/>
      <w:r>
        <w:rPr>
          <w:rFonts w:hint="eastAsia" w:ascii="宋体" w:hAnsi="宋体" w:eastAsia="宋体" w:cs="宋体"/>
          <w:b/>
          <w:bCs/>
          <w:color w:val="auto"/>
          <w:sz w:val="21"/>
          <w:szCs w:val="21"/>
          <w:highlight w:val="none"/>
          <w:lang w:val="en-US" w:eastAsia="zh-CN"/>
        </w:rPr>
        <w:t>2.2招标文件的澄清</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投标人应仔细阅读和检查招标文件的全部内容。如发现缺页或附件不全，应及时向采购人提出，以便补齐。如有疑问或异议，应在“投标人须知前附表”规定的时间前以书面形式（包括信函、电报、传真等可以有形地表现所载内容的形式，下同），要求采购人对招标文件予以澄清。</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2.2.2招标文件的澄清应在“投标人须知前附表”规定的投标截止时间 15 天前，以“投标人须知前附表”2.2.2规定的形式向所有购买招标文件的投标人发布，但不指明澄清问题的来源。如果澄清发出的时间距投标截止时间不足 15 天可能影响投标文件编制的，相应延长投标截止时间。</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2.2.3投标人在收到澄清后，应按“投标人须知前附表”2.2.3规定的形式确认已收到该澄清。</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26" w:name="2.3招标文件的修改"/>
      <w:bookmarkEnd w:id="26"/>
      <w:r>
        <w:rPr>
          <w:rFonts w:hint="eastAsia" w:ascii="宋体" w:hAnsi="宋体" w:eastAsia="宋体" w:cs="宋体"/>
          <w:b/>
          <w:bCs/>
          <w:color w:val="auto"/>
          <w:sz w:val="21"/>
          <w:szCs w:val="21"/>
          <w:highlight w:val="none"/>
          <w:lang w:val="en-US" w:eastAsia="zh-CN"/>
        </w:rPr>
        <w:t>2.3招标文件的修改</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2.3.1在投标截止时间 15 天前，采购人可以书面形式修改招标文件，并通知所有已购买招标文件的投标人。如果修改招标文件的时间距投标截止时间不足 15 天，相应延长投标截止时间。</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2.3.2当招标文件、招标文件的修改、招标文件的补充在同一内容表述不一致时，以最后的文件为准。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2.3.3为使投标人在编制投标文件时有充分的时间对招标文件的修改、补充等内容进行研究并做出响应，采购人可酌情延长提交投标文件的截止时间，具体时间在招标文件的修改、补充等通知中予以明确。</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2.3.4招标文件的修改或补充报招标管理机构备案后，发送给所有获得招标文件的投标人。招标文件的修改内容作为招标文件的组成部分，具有约束作用。</w:t>
      </w:r>
      <w:bookmarkStart w:id="27" w:name="3投标文件"/>
      <w:bookmarkEnd w:id="27"/>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3投标文件</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3.1投标文件的组成</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3.1.1投标文件应包括下列内容：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3.1.2 资格审查文件：详见须知前附表</w:t>
      </w:r>
    </w:p>
    <w:p>
      <w:pPr>
        <w:pStyle w:val="29"/>
        <w:keepNext w:val="0"/>
        <w:keepLines w:val="0"/>
        <w:pageBreakBefore w:val="0"/>
        <w:widowControl w:val="0"/>
        <w:kinsoku/>
        <w:wordWrap/>
        <w:overflowPunct/>
        <w:topLinePunct w:val="0"/>
        <w:autoSpaceDE/>
        <w:autoSpaceDN/>
        <w:bidi w:val="0"/>
        <w:adjustRightInd/>
        <w:snapToGrid/>
        <w:spacing w:line="410" w:lineRule="exact"/>
        <w:ind w:left="0" w:leftChars="0" w:firstLine="46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3.1.3报价文件：详见须知前附表</w:t>
      </w:r>
    </w:p>
    <w:p>
      <w:pPr>
        <w:pStyle w:val="11"/>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3.1.4商务技术文件：详见须知前附表</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bookmarkStart w:id="28" w:name="3.2投标报价"/>
      <w:bookmarkEnd w:id="28"/>
      <w:r>
        <w:rPr>
          <w:rFonts w:hint="eastAsia" w:ascii="宋体" w:hAnsi="宋体" w:eastAsia="宋体" w:cs="宋体"/>
          <w:b/>
          <w:bCs/>
          <w:color w:val="auto"/>
          <w:sz w:val="21"/>
          <w:szCs w:val="21"/>
          <w:highlight w:val="none"/>
          <w:lang w:val="en-US" w:eastAsia="zh-CN"/>
        </w:rPr>
        <w:t>3.2投标报价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3.2.1投标人应按第五章“工程量清单”的要求编写相应表格。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3.2.2投标人在投标截止时间前修改投标函中的投标总报价，应同时修改第五章“工程量清单”中的相应报价。此修改须符合本章第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bookmarkStart w:id="29" w:name="3.3投标有效期"/>
      <w:bookmarkEnd w:id="29"/>
      <w:r>
        <w:rPr>
          <w:rFonts w:hint="eastAsia" w:ascii="宋体" w:hAnsi="宋体" w:eastAsia="宋体" w:cs="宋体"/>
          <w:b/>
          <w:bCs/>
          <w:color w:val="auto"/>
          <w:sz w:val="21"/>
          <w:szCs w:val="21"/>
          <w:highlight w:val="none"/>
          <w:lang w:val="en-US" w:eastAsia="zh-CN"/>
        </w:rPr>
        <w:t>3.3投标有效期</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3.3.1在“投标人须知前附表”规定的投标有效期内，投标人不得要求撤销或修改其投标文件。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3.3.2出现特殊情况需要延长投标有效期的，采购人以书面形式通知所有投标人延长投标有效期。</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bookmarkStart w:id="30" w:name="3.4投标保证金"/>
      <w:bookmarkEnd w:id="30"/>
      <w:r>
        <w:rPr>
          <w:rFonts w:hint="eastAsia" w:ascii="宋体" w:hAnsi="宋体" w:eastAsia="宋体" w:cs="宋体"/>
          <w:b/>
          <w:bCs/>
          <w:color w:val="auto"/>
          <w:sz w:val="21"/>
          <w:szCs w:val="21"/>
          <w:highlight w:val="none"/>
          <w:lang w:val="en-US" w:eastAsia="zh-CN"/>
        </w:rPr>
        <w:t>3.4投标保证金</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本项目不收取投标保证金。</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kern w:val="2"/>
          <w:sz w:val="21"/>
          <w:szCs w:val="21"/>
          <w:highlight w:val="none"/>
          <w:lang w:val="zh-CN" w:eastAsia="zh-CN" w:bidi="ar-SA"/>
        </w:rPr>
      </w:pPr>
      <w:bookmarkStart w:id="31" w:name="3.7投标文件的编制"/>
      <w:bookmarkEnd w:id="31"/>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kern w:val="2"/>
          <w:sz w:val="21"/>
          <w:szCs w:val="21"/>
          <w:highlight w:val="none"/>
          <w:lang w:val="zh-CN" w:eastAsia="zh-CN" w:bidi="ar-SA"/>
        </w:rPr>
        <w:t>备选投标方案</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3.6投标文件的编制</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32" w:name="4投标"/>
      <w:bookmarkEnd w:id="32"/>
      <w:r>
        <w:rPr>
          <w:rFonts w:hint="eastAsia" w:ascii="宋体" w:hAnsi="宋体" w:eastAsia="宋体" w:cs="宋体"/>
          <w:color w:val="auto"/>
          <w:sz w:val="21"/>
          <w:szCs w:val="21"/>
          <w:highlight w:val="none"/>
          <w:lang w:val="en-US" w:eastAsia="zh-CN"/>
        </w:rPr>
        <w:t xml:space="preserve">3.6.1 投标人应仔细阅读公开招标文件，在充分了解采购的内容、服务要求和商务条款以及实质性要求和条件后，编写投标文件。 </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对公开招标文件的实质性要求和条件作出响应是指投标人必须对公开招标文件中标注为实质性要求和条件的服务要求、商务条款及其它内容作出满足或者优于原要求和条件的承诺。 </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 投标人按照下载的公开招标文件格式和顺序另行编制投标文件，但表格可以按同样格式扩展。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3.6.4 电子投标文件中须加盖投标人公章位置均采用CA签章，并根据“政府采购项目电子交易管理操作指南-供应商”及本公开招标采购文件规定的格式和顺序编制电子投标文件并进行关联定位，以便评标小组在评标时，点击评分项可直接定位到该评分项内容。如对公开招标采购文件的某项要求，投标人的电子投标文件未能关联定位提供相应的内容与其对应，则评标小组在评审时如做出对投标人不利的评审由投标人自行承担。电子投标文件如内容不完整、编排混乱导致投标文件被误读、漏读，或者在按采购文件规定的部位查找不到相关内容的，由投标人自行承担。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 公开招标采购文件要求提供的各种复印件或扫描件，须加盖投标人CA签章，否则其投标无效。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3.6.6 公开招标采购文件要求“必须提供”的证明等材料，投标人必须全部提供，缺一不可，否则投标无效。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3.6.7 CA签章上目前没有法人或授权代表签字信息，投标人在投标文件中涉及到签字的位置线下签好字然后扫描或者拍照做成PDF的格式即可，无签字或盖章的视为投标无效。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3.6.8 投标文件应用不褪色的材料书写或打印，保证其清楚、工整，相关材料的复印件应清晰可辨认。投标文件字迹潦草、表达不清、模糊无法辨认而导致非唯一理解是投标人的风险，很可能导致该投标无效。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3.6.9 第八章“投标文件格式”中规定了投标文件格式的，应按相应格式要求编写。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3.6.10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3.6.11投标文件应编制目录，且页码清晰准确。</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4投标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bookmarkStart w:id="33" w:name="4.2投标文件的递交"/>
      <w:bookmarkEnd w:id="33"/>
      <w:r>
        <w:rPr>
          <w:rFonts w:hint="eastAsia" w:ascii="宋体" w:hAnsi="宋体" w:eastAsia="宋体" w:cs="宋体"/>
          <w:b/>
          <w:bCs/>
          <w:color w:val="auto"/>
          <w:sz w:val="21"/>
          <w:szCs w:val="21"/>
          <w:highlight w:val="none"/>
          <w:lang w:val="en-US" w:eastAsia="zh-CN"/>
        </w:rPr>
        <w:t>4.1投标文件的递交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34" w:name="4.3投标文件的修改与撤回"/>
      <w:bookmarkEnd w:id="34"/>
      <w:r>
        <w:rPr>
          <w:rFonts w:hint="eastAsia" w:ascii="宋体" w:hAnsi="宋体" w:eastAsia="宋体" w:cs="宋体"/>
          <w:color w:val="auto"/>
          <w:sz w:val="21"/>
          <w:szCs w:val="21"/>
          <w:highlight w:val="none"/>
          <w:lang w:val="en-US" w:eastAsia="zh-CN"/>
        </w:rPr>
        <w:t>4.1.1投标人应在投标人须知前附表规定的投标截止时间前将电子投标文件上传到政采云平台。应按照本项目招标文件和政采云平台的要求编制、加密传输投标文件</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highlight w:val="none"/>
          <w:lang w:val="en-US" w:eastAsia="zh-CN"/>
        </w:rPr>
      </w:pPr>
      <w:bookmarkStart w:id="35" w:name="bookmark560"/>
      <w:bookmarkEnd w:id="35"/>
      <w:r>
        <w:rPr>
          <w:rFonts w:hint="eastAsia" w:ascii="宋体" w:hAnsi="宋体" w:eastAsia="宋体" w:cs="宋体"/>
          <w:b/>
          <w:bCs/>
          <w:color w:val="auto"/>
          <w:sz w:val="21"/>
          <w:szCs w:val="21"/>
          <w:highlight w:val="none"/>
          <w:lang w:val="en-US" w:eastAsia="zh-CN"/>
        </w:rPr>
        <w:t>4.2投标人递交投标文件的地点：</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4.3投标文件的修改与撤回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36" w:name="5开标"/>
      <w:bookmarkEnd w:id="36"/>
      <w:r>
        <w:rPr>
          <w:rFonts w:hint="eastAsia" w:ascii="宋体" w:hAnsi="宋体" w:eastAsia="宋体" w:cs="宋体"/>
          <w:color w:val="auto"/>
          <w:sz w:val="21"/>
          <w:szCs w:val="21"/>
          <w:highlight w:val="none"/>
          <w:lang w:val="en-US" w:eastAsia="zh-CN"/>
        </w:rPr>
        <w:t>4.3.1 投标文件递交截止时间前可以撤回电子投标文件。补充或者修改电子投标文件的，应当先行撤回原文件，补充、修改后重新传输递交，投标文件递交截止时间前未完成传输的，视为撤回投标文件。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 在投标文件递交截止时间后的投标文件有效期内，投标人不得撤回其投标文件。</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5开标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5.1开标时间和地点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37" w:name="5.2开标程序"/>
      <w:bookmarkEnd w:id="37"/>
      <w:r>
        <w:rPr>
          <w:rFonts w:hint="eastAsia" w:ascii="宋体" w:hAnsi="宋体" w:eastAsia="宋体" w:cs="宋体"/>
          <w:color w:val="auto"/>
          <w:sz w:val="21"/>
          <w:szCs w:val="21"/>
          <w:highlight w:val="none"/>
        </w:rPr>
        <w:t>开标时间及地点详见“投标人须知前附表”</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如投标人成功解密投标文件，但未在“政采云”电子开标大厅参加开标的，视同认可开标过程和结果，由此产生的后果由投标人自行负责。 投标人不足 3 家的，不得开标。</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5.2开标程序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主持人按下列程序进行开标：</w:t>
      </w:r>
    </w:p>
    <w:p>
      <w:pPr>
        <w:keepNext w:val="0"/>
        <w:keepLines w:val="0"/>
        <w:pageBreakBefore w:val="0"/>
        <w:widowControl w:val="0"/>
        <w:kinsoku/>
        <w:wordWrap/>
        <w:overflowPunct/>
        <w:topLinePunct w:val="0"/>
        <w:autoSpaceDE/>
        <w:autoSpaceDN/>
        <w:bidi w:val="0"/>
        <w:adjustRightInd/>
        <w:snapToGrid/>
        <w:spacing w:line="440" w:lineRule="exact"/>
        <w:ind w:firstLine="426"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（1）解密电子投标文件。</w:t>
      </w:r>
      <w:r>
        <w:rPr>
          <w:rFonts w:hint="eastAsia" w:ascii="宋体" w:hAnsi="宋体" w:eastAsia="宋体" w:cs="宋体"/>
          <w:color w:val="auto"/>
          <w:sz w:val="21"/>
          <w:szCs w:val="21"/>
          <w:highlight w:val="none"/>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 w:val="21"/>
          <w:szCs w:val="21"/>
          <w:highlight w:val="none"/>
        </w:rPr>
        <w:t>须携带加密时所用的 CA 锁准时登录到“政采云”平台电子开标大厅签到并对电子投标文件解密</w:t>
      </w:r>
      <w:r>
        <w:rPr>
          <w:rFonts w:hint="eastAsia" w:ascii="宋体" w:hAnsi="宋体" w:eastAsia="宋体" w:cs="宋体"/>
          <w:color w:val="auto"/>
          <w:sz w:val="21"/>
          <w:szCs w:val="21"/>
          <w:highlight w:val="none"/>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 w:val="21"/>
          <w:szCs w:val="21"/>
          <w:highlight w:val="none"/>
        </w:rPr>
        <w:t>均视为无效投标</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（解密异常情况处理：详见本章</w:t>
      </w:r>
      <w:r>
        <w:rPr>
          <w:rFonts w:hint="eastAsia" w:ascii="宋体" w:hAnsi="宋体" w:eastAsia="宋体" w:cs="宋体"/>
          <w:color w:val="auto"/>
          <w:sz w:val="21"/>
          <w:szCs w:val="21"/>
          <w:highlight w:val="none"/>
          <w:lang w:val="en-US" w:eastAsia="zh-CN"/>
        </w:rPr>
        <w:t>7.3.2</w:t>
      </w:r>
      <w:r>
        <w:rPr>
          <w:rFonts w:hint="eastAsia" w:ascii="宋体" w:hAnsi="宋体" w:eastAsia="宋体" w:cs="宋体"/>
          <w:color w:val="auto"/>
          <w:sz w:val="21"/>
          <w:szCs w:val="21"/>
          <w:highlight w:val="none"/>
        </w:rPr>
        <w:t xml:space="preserve"> 电子交易活动的中止。）</w:t>
      </w:r>
    </w:p>
    <w:p>
      <w:pPr>
        <w:keepNext w:val="0"/>
        <w:keepLines w:val="0"/>
        <w:pageBreakBefore w:val="0"/>
        <w:widowControl w:val="0"/>
        <w:kinsoku/>
        <w:wordWrap/>
        <w:overflowPunct/>
        <w:topLinePunct w:val="0"/>
        <w:autoSpaceDE/>
        <w:autoSpaceDN/>
        <w:bidi w:val="0"/>
        <w:adjustRightInd/>
        <w:snapToGrid/>
        <w:spacing w:line="440" w:lineRule="exact"/>
        <w:ind w:firstLine="426"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（2）电子唱标</w:t>
      </w:r>
      <w:r>
        <w:rPr>
          <w:rFonts w:hint="eastAsia" w:ascii="宋体" w:hAnsi="宋体" w:eastAsia="宋体" w:cs="宋体"/>
          <w:color w:val="auto"/>
          <w:sz w:val="21"/>
          <w:szCs w:val="21"/>
          <w:highlight w:val="none"/>
        </w:rPr>
        <w:t>。投标文件解密结束，各投标供应商报价均在“政采云”平台远程不见面开标大厅展示；</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 15 分钟内进行当场校核及勘误，并线上确认，未确认的视同认可开标结果。</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pPr>
        <w:keepNext w:val="0"/>
        <w:keepLines w:val="0"/>
        <w:pageBreakBefore w:val="0"/>
        <w:widowControl w:val="0"/>
        <w:kinsoku/>
        <w:wordWrap/>
        <w:overflowPunct/>
        <w:topLinePunct w:val="0"/>
        <w:autoSpaceDE/>
        <w:autoSpaceDN/>
        <w:bidi w:val="0"/>
        <w:adjustRightInd/>
        <w:snapToGrid/>
        <w:spacing w:line="440" w:lineRule="exact"/>
        <w:ind w:firstLine="426"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特别说明：</w:t>
      </w:r>
      <w:r>
        <w:rPr>
          <w:rFonts w:hint="eastAsia" w:ascii="宋体" w:hAnsi="宋体" w:eastAsia="宋体" w:cs="宋体"/>
          <w:color w:val="auto"/>
          <w:sz w:val="21"/>
          <w:szCs w:val="21"/>
          <w:highlight w:val="none"/>
        </w:rPr>
        <w:t>如遇“政采云”平台电子化开标或评审程序调整的，按调整后执行。</w:t>
      </w:r>
    </w:p>
    <w:p>
      <w:pPr>
        <w:pStyle w:val="29"/>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6资格审查</w:t>
      </w:r>
    </w:p>
    <w:p>
      <w:pPr>
        <w:keepNext w:val="0"/>
        <w:keepLines w:val="0"/>
        <w:pageBreakBefore w:val="0"/>
        <w:widowControl w:val="0"/>
        <w:kinsoku/>
        <w:wordWrap/>
        <w:overflowPunct/>
        <w:topLinePunct w:val="0"/>
        <w:autoSpaceDE/>
        <w:autoSpaceDN/>
        <w:bidi w:val="0"/>
        <w:adjustRightInd/>
        <w:spacing w:before="0" w:after="0" w:line="400" w:lineRule="exact"/>
        <w:ind w:firstLine="315" w:firstLineChars="150"/>
        <w:textAlignment w:val="auto"/>
        <w:outlineLvl w:val="9"/>
        <w:rPr>
          <w:rFonts w:hint="eastAsia" w:ascii="宋体" w:hAnsi="宋体" w:eastAsia="宋体" w:cs="宋体"/>
          <w:b w:val="0"/>
          <w:color w:val="auto"/>
          <w:sz w:val="21"/>
          <w:szCs w:val="21"/>
          <w:highlight w:val="none"/>
        </w:rPr>
      </w:pPr>
      <w:bookmarkStart w:id="38" w:name="6评标"/>
      <w:bookmarkEnd w:id="38"/>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.1开标结束后，</w:t>
      </w:r>
      <w:r>
        <w:rPr>
          <w:rFonts w:hint="eastAsia" w:ascii="宋体" w:hAnsi="宋体" w:eastAsia="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或者</w:t>
      </w:r>
      <w:r>
        <w:rPr>
          <w:rFonts w:hint="eastAsia" w:ascii="宋体" w:hAnsi="宋体" w:eastAsia="宋体" w:cs="宋体"/>
          <w:b w:val="0"/>
          <w:color w:val="auto"/>
          <w:sz w:val="21"/>
          <w:szCs w:val="21"/>
          <w:highlight w:val="none"/>
          <w:lang w:val="en-US" w:eastAsia="zh-CN"/>
        </w:rPr>
        <w:t>采购代理机构</w:t>
      </w:r>
      <w:r>
        <w:rPr>
          <w:rFonts w:hint="eastAsia" w:ascii="宋体" w:hAnsi="宋体" w:eastAsia="宋体" w:cs="宋体"/>
          <w:b w:val="0"/>
          <w:color w:val="auto"/>
          <w:sz w:val="21"/>
          <w:szCs w:val="21"/>
          <w:highlight w:val="none"/>
        </w:rPr>
        <w:t>依法对投标人的资格进行审查。</w:t>
      </w:r>
    </w:p>
    <w:p>
      <w:pPr>
        <w:keepNext w:val="0"/>
        <w:keepLines w:val="0"/>
        <w:pageBreakBefore w:val="0"/>
        <w:widowControl w:val="0"/>
        <w:kinsoku/>
        <w:wordWrap/>
        <w:overflowPunct/>
        <w:topLinePunct w:val="0"/>
        <w:autoSpaceDE/>
        <w:autoSpaceDN/>
        <w:bidi w:val="0"/>
        <w:adjustRightInd/>
        <w:spacing w:before="0" w:after="0" w:line="400" w:lineRule="exact"/>
        <w:ind w:firstLine="315" w:firstLineChars="15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.2资格审查标准为本招标文件中载明对投标人资格要求的条件。本项目资格审查采用合格制，凡符合招标文件规定的投标人资格要求的投标人均通过资格审查。</w:t>
      </w:r>
    </w:p>
    <w:p>
      <w:pPr>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firstLine="210" w:firstLineChars="100"/>
        <w:textAlignment w:val="auto"/>
        <w:outlineLvl w:val="9"/>
        <w:rPr>
          <w:rFonts w:hint="eastAsia" w:ascii="宋体" w:hAnsi="宋体" w:eastAsia="宋体" w:cs="宋体"/>
          <w:color w:val="auto"/>
          <w:sz w:val="21"/>
          <w:szCs w:val="21"/>
          <w:highlight w:val="none"/>
        </w:rPr>
      </w:pPr>
      <w:bookmarkStart w:id="39" w:name="_25.3_投标人有下列情形之一的，资格审查不通过而导致其投标无效："/>
      <w:bookmarkEnd w:id="39"/>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 投标人有下列情形之一的，资格审查不通过，作无效投标处理：</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（1）未按招标文件规定的方式获取本招标文件的投标人；</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（2）不具备招标文件中规定的资格要求的；（注：其中信用查询规则见“投标人须知前附表”）</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（3）投标文件未提供任一项</w:t>
      </w:r>
      <w:r>
        <w:rPr>
          <w:rFonts w:hint="eastAsia" w:ascii="宋体" w:hAnsi="宋体" w:eastAsia="宋体" w:cs="宋体"/>
          <w:b/>
          <w:color w:val="auto"/>
          <w:sz w:val="21"/>
          <w:szCs w:val="21"/>
          <w:highlight w:val="none"/>
          <w:lang w:val="en-US" w:eastAsia="zh-CN"/>
        </w:rPr>
        <w:t>本章3.1.1资格审查文件</w:t>
      </w:r>
      <w:r>
        <w:rPr>
          <w:rFonts w:hint="eastAsia" w:ascii="宋体" w:hAnsi="宋体" w:eastAsia="宋体" w:cs="宋体"/>
          <w:b/>
          <w:color w:val="auto"/>
          <w:sz w:val="21"/>
          <w:szCs w:val="21"/>
          <w:highlight w:val="none"/>
        </w:rPr>
        <w:t>规定的“必须提供”的文件资料的；</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（4）投标文件提供的资格证明文件出现任一项不符合</w:t>
      </w:r>
      <w:r>
        <w:rPr>
          <w:rFonts w:hint="eastAsia" w:ascii="宋体" w:hAnsi="宋体" w:eastAsia="宋体" w:cs="宋体"/>
          <w:b/>
          <w:color w:val="auto"/>
          <w:sz w:val="21"/>
          <w:szCs w:val="21"/>
          <w:highlight w:val="none"/>
          <w:lang w:val="en-US" w:eastAsia="zh-CN"/>
        </w:rPr>
        <w:t>本章3.1.1资格审查文件</w:t>
      </w:r>
      <w:r>
        <w:rPr>
          <w:rFonts w:hint="eastAsia" w:ascii="宋体" w:hAnsi="宋体" w:eastAsia="宋体" w:cs="宋体"/>
          <w:b/>
          <w:color w:val="auto"/>
          <w:sz w:val="21"/>
          <w:szCs w:val="21"/>
          <w:highlight w:val="none"/>
        </w:rPr>
        <w:t>规定的“必须提供”的文件资料要求或者无效的。</w:t>
      </w:r>
    </w:p>
    <w:p>
      <w:pPr>
        <w:keepNext w:val="0"/>
        <w:keepLines w:val="0"/>
        <w:pageBreakBefore w:val="0"/>
        <w:widowControl w:val="0"/>
        <w:kinsoku/>
        <w:wordWrap/>
        <w:overflowPunct/>
        <w:topLinePunct w:val="0"/>
        <w:autoSpaceDE/>
        <w:autoSpaceDN/>
        <w:bidi w:val="0"/>
        <w:adjustRightInd/>
        <w:spacing w:before="0" w:after="0" w:line="400" w:lineRule="exact"/>
        <w:ind w:left="420" w:left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.4资格审查的合格投标人不足3家的，不得评标。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7评标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7.1评标委员会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7.1.1评标由采购人依法组建的评标委员会负责。评标委员会成员人数以及技术、经济等方面专家的确定方式见“投标人须知前附表”。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7.1.2评标委员会成员有下列情形之一的，应当回避：</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采购人或投标人的主要负责人的近亲属；</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项目主管部门或者行政监督部门的人员；</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与投标人有经济利益关系，可能影响对投标公正评审的；</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40" w:name="6.2评标原则"/>
      <w:bookmarkEnd w:id="40"/>
      <w:r>
        <w:rPr>
          <w:rFonts w:hint="eastAsia" w:ascii="宋体" w:hAnsi="宋体" w:eastAsia="宋体" w:cs="宋体"/>
          <w:b/>
          <w:bCs/>
          <w:color w:val="auto"/>
          <w:sz w:val="21"/>
          <w:szCs w:val="21"/>
          <w:highlight w:val="none"/>
          <w:lang w:val="en-US" w:eastAsia="zh-CN"/>
        </w:rPr>
        <w:t>7.2评标原则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41" w:name="6.3评标"/>
      <w:bookmarkEnd w:id="41"/>
      <w:r>
        <w:rPr>
          <w:rFonts w:hint="eastAsia" w:ascii="宋体" w:hAnsi="宋体" w:eastAsia="宋体" w:cs="宋体"/>
          <w:b/>
          <w:bCs/>
          <w:color w:val="auto"/>
          <w:sz w:val="21"/>
          <w:szCs w:val="21"/>
          <w:highlight w:val="none"/>
          <w:lang w:val="en-US" w:eastAsia="zh-CN"/>
        </w:rPr>
        <w:t>7.3评标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7.3.2 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42" w:name="6.4询问、质疑和投诉"/>
      <w:bookmarkEnd w:id="42"/>
      <w:r>
        <w:rPr>
          <w:rFonts w:hint="eastAsia" w:ascii="宋体" w:hAnsi="宋体" w:eastAsia="宋体" w:cs="宋体"/>
          <w:b/>
          <w:bCs/>
          <w:color w:val="auto"/>
          <w:sz w:val="21"/>
          <w:szCs w:val="21"/>
          <w:highlight w:val="none"/>
          <w:lang w:val="en-US" w:eastAsia="zh-CN"/>
        </w:rPr>
        <w:t>7.4询问、质疑和投诉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7.4.1投标人对政府采购活动事项有疑问的，可以向采购人、采购代理机构提出询问。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7.4.2投标人认为招标文件、采购过程或中标结果使自己的合法权益受到损害的，应当在知道或者应知其权益受到损害之日起七个工作日内，以书面形式向采购人、采购代理机构提出质疑。具体计算时间如下：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（一）对可以质疑的招标文件提出质疑的，为收到招标文件之日；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（二）对招标过程提出质疑的，为各招标程序环节结束之日；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7.4.3投标人对招标单位的质疑答复不满意或者招标单位未在规定时间内作出答复的，可以在答复期满后十五个工作日内向同级采购监管部门投诉。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7.4.4质疑、投诉应当采用书面形式，质疑书、投诉书均应明确阐述招标文件、招标过程、中标结果中使自己合法权益受到损害的实质性内容，提供相关事实、明确的请求、必要的证明材料，便于有关单位调查、答复和处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质疑受理人：广西顺易工程管理有限公司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联系电话：0775-2835978</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联系地址：玉林市玉东新区玉东大道与大同路交叉口北侧尚东.同德苑6幢1801号房； 邮编：537000</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3" w:name="7合同授予"/>
      <w:bookmarkEnd w:id="43"/>
      <w:r>
        <w:rPr>
          <w:rFonts w:hint="eastAsia" w:ascii="宋体" w:hAnsi="宋体" w:eastAsia="宋体" w:cs="宋体"/>
          <w:b/>
          <w:bCs/>
          <w:color w:val="auto"/>
          <w:sz w:val="21"/>
          <w:szCs w:val="21"/>
          <w:highlight w:val="none"/>
          <w:lang w:val="en-US" w:eastAsia="zh-CN"/>
        </w:rPr>
        <w:t>8合同授予</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8.1定标方式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除“投标人须知前附表”规定评标委员会直接确定中标人外，采购人依据评标委员会推荐的中标候选人确定中标人，评标委员会推荐中标候选人的人数见“投标人须知前附表”。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4" w:name="7.2中标通知"/>
      <w:bookmarkEnd w:id="44"/>
      <w:r>
        <w:rPr>
          <w:rFonts w:hint="eastAsia" w:ascii="宋体" w:hAnsi="宋体" w:eastAsia="宋体" w:cs="宋体"/>
          <w:b/>
          <w:bCs/>
          <w:color w:val="auto"/>
          <w:sz w:val="21"/>
          <w:szCs w:val="21"/>
          <w:highlight w:val="none"/>
          <w:lang w:val="en-US" w:eastAsia="zh-CN"/>
        </w:rPr>
        <w:t>8.2中标和合同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8.2.1采购代理机构在评标结束之日起2个工作日内将评标报告送采购人，采购人在收到评标报告之日起5个工作日内，在评标报告确定的中标候选人名单中按顺序确定中标人。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8.2.2采购人在收到评标报告5个工作日内未按评标报告推荐的中标候选人顺序确定中标人，又不能说明合法理由的，视同按评标报告推荐的顺序确定排名第一的中标候选人为中标人。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8.2.3中标人确定后，于中标人确定之日起2个工作日内，中标结果将在招标公告发布媒体上公告。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以上信息查询记录及相关证据与采购文件一并保存。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rPr>
        <w:t>中标供应商享受《政府采购促进中小企业发展管理办法》（财库〔2020〕46号）规定的中小企业扶持政策的，采购人、采购代理机构应当随中标结果公开中标供应商的《中小企业声明函》</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8.2.4在发布中标公告的同时，采购代理机构向中标人发出中标通知书。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8.3履约担保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8.3.1在签订合同前，中标人应按“投标人须知前附表”规定的金额、担保形式和招标文件第四章“合同条款及格式”规定的履约担保格式向采购人提交履约担保。联合体中标的，其履约担保由牵头人递交，并应符合“投标人须知前附表”规定的金额、担保形式和招标文件第四章“合同条款及格式”规定的履约担保格式要求。</w:t>
      </w:r>
    </w:p>
    <w:p>
      <w:pPr>
        <w:pStyle w:val="30"/>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.3.2招标代理服务费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详见“投标人须知前附表”。</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8.4</w:t>
      </w:r>
      <w:r>
        <w:rPr>
          <w:rFonts w:hint="eastAsia" w:ascii="宋体" w:hAnsi="宋体" w:eastAsia="宋体" w:cs="宋体"/>
          <w:color w:val="auto"/>
          <w:sz w:val="21"/>
          <w:szCs w:val="21"/>
          <w:highlight w:val="none"/>
          <w:lang w:val="en-US" w:eastAsia="zh-CN"/>
        </w:rPr>
        <w:t>中标人不能按本章第 8.3.1 项要求提交履约担保的，视为放弃中标。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5" w:name="7.5签订合同"/>
      <w:bookmarkEnd w:id="45"/>
      <w:r>
        <w:rPr>
          <w:rFonts w:hint="eastAsia" w:ascii="宋体" w:hAnsi="宋体" w:eastAsia="宋体" w:cs="宋体"/>
          <w:b/>
          <w:bCs/>
          <w:color w:val="auto"/>
          <w:sz w:val="21"/>
          <w:szCs w:val="21"/>
          <w:highlight w:val="none"/>
          <w:lang w:val="en-US" w:eastAsia="zh-CN"/>
        </w:rPr>
        <w:t>8.5签订合同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8.5.1采购人和中标人应当在投标有效期内以及中标通知书发出之日起 25 天内，根据招标文件和中标人的投标文件订立书面合同。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和中标人不得再订立背离合同实质性内容的其他协议</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right="-9"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8.5.2发出中标通知书后，采购人无正当理由拒签合同的，</w:t>
      </w:r>
      <w:r>
        <w:rPr>
          <w:rFonts w:hint="eastAsia" w:ascii="宋体" w:hAnsi="宋体" w:eastAsia="宋体" w:cs="宋体"/>
          <w:color w:val="auto"/>
          <w:sz w:val="21"/>
          <w:szCs w:val="21"/>
          <w:highlight w:val="none"/>
        </w:rPr>
        <w:t>给中标人造成损失的，还应当赔偿损失，并按相关法律法规承担法律责任。</w:t>
      </w:r>
    </w:p>
    <w:p>
      <w:pPr>
        <w:keepNext w:val="0"/>
        <w:keepLines w:val="0"/>
        <w:pageBreakBefore w:val="0"/>
        <w:widowControl w:val="0"/>
        <w:kinsoku/>
        <w:wordWrap/>
        <w:overflowPunct/>
        <w:topLinePunct w:val="0"/>
        <w:autoSpaceDE w:val="0"/>
        <w:autoSpaceDN w:val="0"/>
        <w:bidi w:val="0"/>
        <w:adjustRightInd w:val="0"/>
        <w:snapToGrid/>
        <w:spacing w:line="360" w:lineRule="exact"/>
        <w:ind w:right="-9"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8.5.3 中标人应当按照合同约定履行义务，完成中标项目施工，中标人不得将中标项目施工转让（转包）给他人。</w:t>
      </w:r>
    </w:p>
    <w:p>
      <w:pPr>
        <w:keepNext w:val="0"/>
        <w:keepLines w:val="0"/>
        <w:pageBreakBefore w:val="0"/>
        <w:widowControl w:val="0"/>
        <w:kinsoku/>
        <w:wordWrap/>
        <w:overflowPunct/>
        <w:topLinePunct w:val="0"/>
        <w:bidi w:val="0"/>
        <w:snapToGrid/>
        <w:spacing w:before="0" w:after="0" w:line="360" w:lineRule="exact"/>
        <w:ind w:left="420" w:left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8.5.4</w:t>
      </w:r>
      <w:r>
        <w:rPr>
          <w:rFonts w:hint="eastAsia" w:ascii="宋体" w:hAnsi="宋体" w:eastAsia="宋体" w:cs="宋体"/>
          <w:b w:val="0"/>
          <w:color w:val="auto"/>
          <w:sz w:val="21"/>
          <w:szCs w:val="21"/>
          <w:highlight w:val="none"/>
        </w:rPr>
        <w:t>如中标人不按中标通知书的规定签订合同，报由同级政府采购监督管理部门处理。</w:t>
      </w:r>
    </w:p>
    <w:p>
      <w:pPr>
        <w:keepNext w:val="0"/>
        <w:keepLines w:val="0"/>
        <w:pageBreakBefore w:val="0"/>
        <w:widowControl w:val="0"/>
        <w:kinsoku/>
        <w:wordWrap/>
        <w:overflowPunct/>
        <w:topLinePunct w:val="0"/>
        <w:autoSpaceDE w:val="0"/>
        <w:autoSpaceDN w:val="0"/>
        <w:bidi w:val="0"/>
        <w:adjustRightInd w:val="0"/>
        <w:snapToGrid/>
        <w:spacing w:line="360" w:lineRule="exact"/>
        <w:ind w:right="-9"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8.5.5</w:t>
      </w:r>
      <w:r>
        <w:rPr>
          <w:rFonts w:hint="eastAsia" w:ascii="宋体" w:hAnsi="宋体" w:eastAsia="宋体" w:cs="宋体"/>
          <w:color w:val="auto"/>
          <w:sz w:val="21"/>
          <w:szCs w:val="21"/>
          <w:highlight w:val="none"/>
        </w:rPr>
        <w:t>中标人拒绝与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可以按照评审报告推荐的中标候选人名单排序，确定下一候选人为中标人，也可以重新开展政府采购活动。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6" w:name="8重新招标和不再招标"/>
      <w:bookmarkEnd w:id="46"/>
      <w:r>
        <w:rPr>
          <w:rFonts w:hint="eastAsia" w:ascii="宋体" w:hAnsi="宋体" w:eastAsia="宋体" w:cs="宋体"/>
          <w:b/>
          <w:bCs/>
          <w:color w:val="auto"/>
          <w:sz w:val="21"/>
          <w:szCs w:val="21"/>
          <w:highlight w:val="none"/>
          <w:lang w:val="en-US" w:eastAsia="zh-CN"/>
        </w:rPr>
        <w:t>9重新招标和不再招标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9.1重新招标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有下列情形之一的，采购人将重新招标：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投标截止时间止，投标人少于 3 个的；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资格审查合格的投标人不够三家的；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经评标委员会评审后否决所有投标的；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其他有关法规和文件规定的应当重新招标的情形。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7" w:name="8.2不再招标"/>
      <w:bookmarkEnd w:id="47"/>
      <w:r>
        <w:rPr>
          <w:rFonts w:hint="eastAsia" w:ascii="宋体" w:hAnsi="宋体" w:eastAsia="宋体" w:cs="宋体"/>
          <w:b/>
          <w:bCs/>
          <w:color w:val="auto"/>
          <w:sz w:val="21"/>
          <w:szCs w:val="21"/>
          <w:highlight w:val="none"/>
          <w:lang w:val="en-US" w:eastAsia="zh-CN"/>
        </w:rPr>
        <w:t>9.2不再招标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重新招标后投标人仍少于 3 个或者所有投标被否决的，属于必须审批或核准的工程建设项目，经原审批或核准部门批准后可不再进行招标。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8" w:name="9纪律和监督"/>
      <w:bookmarkEnd w:id="48"/>
      <w:r>
        <w:rPr>
          <w:rFonts w:hint="eastAsia" w:ascii="宋体" w:hAnsi="宋体" w:eastAsia="宋体" w:cs="宋体"/>
          <w:b/>
          <w:bCs/>
          <w:color w:val="auto"/>
          <w:sz w:val="21"/>
          <w:szCs w:val="21"/>
          <w:highlight w:val="none"/>
          <w:lang w:val="en-US" w:eastAsia="zh-CN"/>
        </w:rPr>
        <w:t>10纪律和监督</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10.1对采购人的纪律要求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9" w:name="9.2对投标人的纪律要求"/>
      <w:bookmarkEnd w:id="49"/>
      <w:r>
        <w:rPr>
          <w:rFonts w:hint="eastAsia" w:ascii="宋体" w:hAnsi="宋体" w:eastAsia="宋体" w:cs="宋体"/>
          <w:b/>
          <w:bCs/>
          <w:color w:val="auto"/>
          <w:sz w:val="21"/>
          <w:szCs w:val="21"/>
          <w:highlight w:val="none"/>
          <w:lang w:val="en-US" w:eastAsia="zh-CN"/>
        </w:rPr>
        <w:t>10.2对投标人的纪律要求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投标人不得相互串通投标或者与采购人串通投标，不得向采购人或者评标委员会成员行贿谋取中标，不得以他人名义投标或者以其他方式弄虚作假骗取中标；投标人不得以任何方式干扰、影响评标工作。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bookmarkStart w:id="50" w:name="9.3对评标委员会成员的纪律要求"/>
      <w:bookmarkEnd w:id="50"/>
      <w:r>
        <w:rPr>
          <w:rFonts w:hint="eastAsia" w:ascii="宋体" w:hAnsi="宋体" w:eastAsia="宋体" w:cs="宋体"/>
          <w:b/>
          <w:bCs/>
          <w:color w:val="auto"/>
          <w:sz w:val="21"/>
          <w:szCs w:val="21"/>
          <w:highlight w:val="none"/>
          <w:lang w:val="en-US" w:eastAsia="zh-CN"/>
        </w:rPr>
        <w:t>10.3对评标委员会成员的纪律要求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1" w:name="9.4对与评标活动有关的工作人员的纪律要求"/>
      <w:bookmarkEnd w:id="51"/>
      <w:r>
        <w:rPr>
          <w:rFonts w:hint="eastAsia" w:ascii="宋体" w:hAnsi="宋体" w:eastAsia="宋体" w:cs="宋体"/>
          <w:b/>
          <w:bCs/>
          <w:color w:val="auto"/>
          <w:sz w:val="21"/>
          <w:szCs w:val="21"/>
          <w:highlight w:val="none"/>
          <w:lang w:val="en-US" w:eastAsia="zh-CN"/>
        </w:rPr>
        <w:t>10.4对与评标活动有关的工作人员的纪律要求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52" w:name="9.5投诉"/>
      <w:bookmarkEnd w:id="52"/>
      <w:r>
        <w:rPr>
          <w:rFonts w:hint="eastAsia" w:ascii="宋体" w:hAnsi="宋体" w:eastAsia="宋体" w:cs="宋体"/>
          <w:b/>
          <w:bCs/>
          <w:color w:val="auto"/>
          <w:sz w:val="21"/>
          <w:szCs w:val="21"/>
          <w:highlight w:val="none"/>
          <w:lang w:val="en-US" w:eastAsia="zh-CN"/>
        </w:rPr>
        <w:t>10.5投诉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53" w:name="10需要补充的其他内容"/>
      <w:bookmarkEnd w:id="53"/>
      <w:r>
        <w:rPr>
          <w:rFonts w:hint="eastAsia" w:ascii="宋体" w:hAnsi="宋体" w:eastAsia="宋体" w:cs="宋体"/>
          <w:b/>
          <w:bCs/>
          <w:color w:val="auto"/>
          <w:sz w:val="21"/>
          <w:szCs w:val="21"/>
          <w:highlight w:val="none"/>
          <w:lang w:val="en-US" w:eastAsia="zh-CN"/>
        </w:rPr>
        <w:t>11需要补充的其他内容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11.1词语定义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11.1.1类似项目：见“投标人须知前附表”。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54" w:name="10.2招标控制价"/>
      <w:bookmarkEnd w:id="54"/>
      <w:r>
        <w:rPr>
          <w:rFonts w:hint="eastAsia" w:ascii="宋体" w:hAnsi="宋体" w:eastAsia="宋体" w:cs="宋体"/>
          <w:b/>
          <w:bCs/>
          <w:color w:val="auto"/>
          <w:sz w:val="21"/>
          <w:szCs w:val="21"/>
          <w:highlight w:val="none"/>
          <w:lang w:val="en-US" w:eastAsia="zh-CN"/>
        </w:rPr>
        <w:t>11.2招标控制价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招标控制价设置要求见“投标人须知前附表”。 </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55" w:name="10.3“暗标”评审"/>
      <w:bookmarkEnd w:id="55"/>
      <w:bookmarkStart w:id="56" w:name="10.3“暗标”评审"/>
      <w:bookmarkEnd w:id="56"/>
      <w:r>
        <w:rPr>
          <w:rFonts w:hint="eastAsia" w:ascii="宋体" w:hAnsi="宋体" w:eastAsia="宋体" w:cs="宋体"/>
          <w:b/>
          <w:bCs/>
          <w:color w:val="auto"/>
          <w:sz w:val="21"/>
          <w:szCs w:val="21"/>
          <w:highlight w:val="none"/>
          <w:lang w:val="en-US" w:eastAsia="zh-CN"/>
        </w:rPr>
        <w:t>11.3“暗标”评审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施工组织设计是否采用“暗标”评审方式：见“投标人须知前附表”。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57" w:name="10.4投标文件电子版"/>
      <w:bookmarkEnd w:id="57"/>
      <w:r>
        <w:rPr>
          <w:rFonts w:hint="eastAsia" w:ascii="宋体" w:hAnsi="宋体" w:eastAsia="宋体" w:cs="宋体"/>
          <w:b/>
          <w:bCs/>
          <w:color w:val="auto"/>
          <w:sz w:val="21"/>
          <w:szCs w:val="21"/>
          <w:highlight w:val="none"/>
          <w:lang w:val="en-US" w:eastAsia="zh-CN"/>
        </w:rPr>
        <w:t>11.4投标文件电子版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58" w:name="10.5投标人代表出席开标会"/>
      <w:bookmarkEnd w:id="58"/>
      <w:r>
        <w:rPr>
          <w:rFonts w:hint="eastAsia" w:ascii="宋体" w:hAnsi="宋体" w:eastAsia="宋体" w:cs="宋体"/>
          <w:b/>
          <w:bCs/>
          <w:color w:val="auto"/>
          <w:sz w:val="21"/>
          <w:szCs w:val="21"/>
          <w:highlight w:val="none"/>
          <w:lang w:val="en-US" w:eastAsia="zh-CN"/>
        </w:rPr>
        <w:t>11.5知识产权：</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11.6重新招标的其他情形：</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11.7同义词语：</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11.8监督：</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11.9解释权：</w:t>
      </w:r>
      <w:r>
        <w:rPr>
          <w:rFonts w:hint="eastAsia" w:ascii="宋体" w:hAnsi="宋体" w:eastAsia="宋体" w:cs="宋体"/>
          <w:color w:val="auto"/>
          <w:sz w:val="21"/>
          <w:szCs w:val="21"/>
          <w:highlight w:val="none"/>
          <w:lang w:val="en-US" w:eastAsia="zh-CN"/>
        </w:rPr>
        <w:t>见“投标人须知前附表”。</w:t>
      </w:r>
    </w:p>
    <w:p>
      <w:pPr>
        <w:pStyle w:val="2"/>
        <w:keepNext w:val="0"/>
        <w:keepLines w:val="0"/>
        <w:pageBreakBefore w:val="0"/>
        <w:widowControl w:val="0"/>
        <w:kinsoku/>
        <w:wordWrap/>
        <w:overflowPunct/>
        <w:topLinePunct w:val="0"/>
        <w:bidi w:val="0"/>
        <w:snapToGrid/>
        <w:spacing w:line="420" w:lineRule="exact"/>
        <w:textAlignment w:val="auto"/>
        <w:outlineLvl w:val="9"/>
        <w:rPr>
          <w:rFonts w:hint="eastAsia" w:ascii="宋体" w:hAnsi="宋体" w:eastAsia="宋体" w:cs="宋体"/>
          <w:b/>
          <w:bCs/>
          <w:color w:val="auto"/>
          <w:kern w:val="2"/>
          <w:sz w:val="21"/>
          <w:szCs w:val="21"/>
          <w:highlight w:val="none"/>
          <w:lang w:val="en-US" w:eastAsia="zh-CN" w:bidi="ar-SA"/>
        </w:rPr>
      </w:pPr>
      <w:bookmarkStart w:id="59" w:name="10.12其他事项"/>
      <w:bookmarkEnd w:id="59"/>
      <w:r>
        <w:rPr>
          <w:rFonts w:hint="eastAsia" w:ascii="宋体" w:hAnsi="宋体" w:eastAsia="宋体" w:cs="宋体"/>
          <w:b/>
          <w:bCs/>
          <w:color w:val="auto"/>
          <w:kern w:val="2"/>
          <w:sz w:val="21"/>
          <w:szCs w:val="21"/>
          <w:highlight w:val="none"/>
          <w:lang w:val="en-US" w:eastAsia="zh-CN" w:bidi="ar-SA"/>
        </w:rPr>
        <w:t>11.10本项目涉及中小企业采购明确的内容：</w:t>
      </w:r>
      <w:r>
        <w:rPr>
          <w:rFonts w:hint="eastAsia" w:ascii="宋体" w:hAnsi="宋体" w:eastAsia="宋体" w:cs="宋体"/>
          <w:b w:val="0"/>
          <w:bCs w:val="0"/>
          <w:color w:val="auto"/>
          <w:kern w:val="2"/>
          <w:sz w:val="21"/>
          <w:szCs w:val="21"/>
          <w:highlight w:val="none"/>
          <w:lang w:val="en-US" w:eastAsia="zh-CN" w:bidi="ar-SA"/>
        </w:rPr>
        <w:t>见“投标人须知前附表”。</w:t>
      </w:r>
    </w:p>
    <w:p>
      <w:pPr>
        <w:jc w:val="center"/>
        <w:outlineLvl w:val="9"/>
        <w:rPr>
          <w:rFonts w:hint="eastAsia" w:ascii="宋体" w:hAnsi="宋体" w:eastAsia="宋体" w:cs="宋体"/>
          <w:b/>
          <w:bCs/>
          <w:color w:val="auto"/>
          <w:sz w:val="21"/>
          <w:szCs w:val="21"/>
          <w:highlight w:val="none"/>
          <w:lang w:val="en-US" w:eastAsia="zh-CN"/>
        </w:rPr>
      </w:pPr>
    </w:p>
    <w:p>
      <w:pPr>
        <w:jc w:val="center"/>
        <w:outlineLvl w:val="9"/>
        <w:rPr>
          <w:rFonts w:hint="eastAsia" w:ascii="宋体" w:hAnsi="宋体" w:eastAsia="宋体" w:cs="宋体"/>
          <w:b/>
          <w:bCs/>
          <w:color w:val="auto"/>
          <w:sz w:val="21"/>
          <w:szCs w:val="21"/>
          <w:highlight w:val="none"/>
          <w:lang w:val="en-US" w:eastAsia="zh-CN"/>
        </w:rPr>
      </w:pPr>
    </w:p>
    <w:p>
      <w:pPr>
        <w:pStyle w:val="17"/>
        <w:rPr>
          <w:rFonts w:hint="eastAsia" w:ascii="宋体" w:hAnsi="宋体" w:eastAsia="宋体" w:cs="宋体"/>
          <w:b/>
          <w:bCs/>
          <w:color w:val="auto"/>
          <w:sz w:val="21"/>
          <w:szCs w:val="21"/>
          <w:highlight w:val="none"/>
          <w:lang w:val="en-US" w:eastAsia="zh-CN"/>
        </w:rPr>
      </w:pPr>
    </w:p>
    <w:p>
      <w:pPr>
        <w:pStyle w:val="17"/>
        <w:rPr>
          <w:rFonts w:hint="eastAsia" w:ascii="宋体" w:hAnsi="宋体" w:eastAsia="宋体" w:cs="宋体"/>
          <w:b/>
          <w:bCs/>
          <w:color w:val="auto"/>
          <w:sz w:val="21"/>
          <w:szCs w:val="21"/>
          <w:highlight w:val="none"/>
          <w:lang w:val="en-US" w:eastAsia="zh-CN"/>
        </w:rPr>
      </w:pPr>
    </w:p>
    <w:p>
      <w:pPr>
        <w:pStyle w:val="17"/>
        <w:rPr>
          <w:rFonts w:hint="eastAsia" w:ascii="宋体" w:hAnsi="宋体" w:eastAsia="宋体" w:cs="宋体"/>
          <w:b/>
          <w:bCs/>
          <w:color w:val="auto"/>
          <w:sz w:val="21"/>
          <w:szCs w:val="21"/>
          <w:highlight w:val="none"/>
          <w:lang w:val="en-US" w:eastAsia="zh-CN"/>
        </w:rPr>
      </w:pPr>
    </w:p>
    <w:p>
      <w:pPr>
        <w:pStyle w:val="17"/>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numPr>
          <w:ilvl w:val="0"/>
          <w:numId w:val="7"/>
        </w:numPr>
        <w:jc w:val="center"/>
        <w:outlineLvl w:val="0"/>
        <w:rPr>
          <w:rFonts w:hint="eastAsia" w:ascii="宋体" w:hAnsi="宋体" w:eastAsia="宋体" w:cs="宋体"/>
          <w:b/>
          <w:bCs/>
          <w:color w:val="auto"/>
          <w:sz w:val="32"/>
          <w:szCs w:val="32"/>
          <w:highlight w:val="none"/>
          <w:lang w:val="en-US" w:eastAsia="zh-CN"/>
        </w:rPr>
      </w:pPr>
      <w:bookmarkStart w:id="60" w:name="_Toc7235"/>
      <w:r>
        <w:rPr>
          <w:rFonts w:hint="eastAsia" w:ascii="宋体" w:hAnsi="宋体" w:eastAsia="宋体" w:cs="宋体"/>
          <w:b/>
          <w:bCs/>
          <w:color w:val="auto"/>
          <w:sz w:val="32"/>
          <w:szCs w:val="32"/>
          <w:highlight w:val="none"/>
          <w:lang w:val="en-US" w:eastAsia="zh-CN"/>
        </w:rPr>
        <w:t>评标方法及评标标准</w:t>
      </w:r>
      <w:bookmarkEnd w:id="60"/>
    </w:p>
    <w:p>
      <w:pPr>
        <w:spacing w:before="163" w:line="227" w:lineRule="auto"/>
        <w:ind w:left="430"/>
        <w:jc w:val="center"/>
        <w:outlineLvl w:val="9"/>
        <w:rPr>
          <w:rFonts w:hint="eastAsia" w:ascii="宋体" w:hAnsi="宋体" w:eastAsia="宋体" w:cs="宋体"/>
          <w:b/>
          <w:bCs/>
          <w:color w:val="auto"/>
          <w:spacing w:val="8"/>
          <w:sz w:val="30"/>
          <w:szCs w:val="30"/>
          <w:highlight w:val="none"/>
        </w:rPr>
      </w:pPr>
      <w:r>
        <w:rPr>
          <w:rFonts w:hint="eastAsia" w:ascii="宋体" w:hAnsi="宋体" w:eastAsia="宋体" w:cs="宋体"/>
          <w:b/>
          <w:bCs/>
          <w:color w:val="auto"/>
          <w:spacing w:val="8"/>
          <w:sz w:val="30"/>
          <w:szCs w:val="30"/>
          <w:highlight w:val="none"/>
        </w:rPr>
        <w:t>一、评标方法</w:t>
      </w:r>
    </w:p>
    <w:p>
      <w:pPr>
        <w:spacing w:before="65" w:line="387" w:lineRule="auto"/>
        <w:ind w:right="193" w:firstLine="494"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8"/>
          <w:sz w:val="21"/>
          <w:szCs w:val="21"/>
          <w:highlight w:val="none"/>
        </w:rPr>
        <w:t>综</w:t>
      </w:r>
      <w:r>
        <w:rPr>
          <w:rFonts w:hint="eastAsia" w:ascii="宋体" w:hAnsi="宋体" w:eastAsia="宋体" w:cs="宋体"/>
          <w:b/>
          <w:bCs/>
          <w:color w:val="auto"/>
          <w:spacing w:val="9"/>
          <w:sz w:val="21"/>
          <w:szCs w:val="21"/>
          <w:highlight w:val="none"/>
        </w:rPr>
        <w:t>合评分法</w:t>
      </w:r>
      <w:r>
        <w:rPr>
          <w:rFonts w:hint="eastAsia" w:ascii="宋体" w:hAnsi="宋体" w:eastAsia="宋体" w:cs="宋体"/>
          <w:color w:val="auto"/>
          <w:spacing w:val="9"/>
          <w:sz w:val="21"/>
          <w:szCs w:val="21"/>
          <w:highlight w:val="none"/>
        </w:rPr>
        <w:t>，是指投标文件满足招标文件全部实质性要求，且按照评审因素的量化指标评审得分最高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11"/>
          <w:sz w:val="21"/>
          <w:szCs w:val="21"/>
          <w:highlight w:val="none"/>
        </w:rPr>
        <w:t>投</w:t>
      </w:r>
      <w:r>
        <w:rPr>
          <w:rFonts w:hint="eastAsia" w:ascii="宋体" w:hAnsi="宋体" w:eastAsia="宋体" w:cs="宋体"/>
          <w:color w:val="auto"/>
          <w:spacing w:val="7"/>
          <w:sz w:val="21"/>
          <w:szCs w:val="21"/>
          <w:highlight w:val="none"/>
        </w:rPr>
        <w:t>标人为中标候选人的评标方法。</w:t>
      </w:r>
    </w:p>
    <w:p>
      <w:pPr>
        <w:spacing w:before="163" w:line="227" w:lineRule="auto"/>
        <w:ind w:left="430"/>
        <w:jc w:val="center"/>
        <w:outlineLvl w:val="9"/>
        <w:rPr>
          <w:rFonts w:hint="eastAsia" w:ascii="宋体" w:hAnsi="宋体" w:eastAsia="宋体" w:cs="宋体"/>
          <w:b/>
          <w:bCs/>
          <w:color w:val="auto"/>
          <w:spacing w:val="8"/>
          <w:sz w:val="32"/>
          <w:szCs w:val="32"/>
          <w:highlight w:val="none"/>
        </w:rPr>
      </w:pPr>
      <w:r>
        <w:rPr>
          <w:rFonts w:hint="eastAsia" w:ascii="宋体" w:hAnsi="宋体" w:eastAsia="宋体" w:cs="宋体"/>
          <w:b/>
          <w:bCs/>
          <w:color w:val="auto"/>
          <w:spacing w:val="8"/>
          <w:sz w:val="32"/>
          <w:szCs w:val="32"/>
          <w:highlight w:val="none"/>
        </w:rPr>
        <w:t>二、评标程序</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1.符合性审查</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评标委员会应当对符合资格的投标人的投标文件进行投标报价、商务、技术等实质性内容符合性审查， 以确定其是否满足招标文件的实质性要求。</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2.符合性审查不通过而导致投标无效的情形</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投标人的投标文件中存在对招标文件的任何实质性要求和条件的负偏离，将被视为投标无效。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2.1 在报价评审时，如发现下列情形之一的，将被视为投标无效：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 xml:space="preserve">(1) 报价文件未提供“投标人须知前附表”第 </w:t>
      </w:r>
      <w:r>
        <w:rPr>
          <w:rFonts w:hint="eastAsia" w:ascii="宋体" w:hAnsi="宋体" w:eastAsia="宋体" w:cs="宋体"/>
          <w:b/>
          <w:bCs/>
          <w:color w:val="auto"/>
          <w:spacing w:val="8"/>
          <w:sz w:val="21"/>
          <w:szCs w:val="21"/>
          <w:highlight w:val="none"/>
          <w:lang w:val="en-US" w:eastAsia="zh-CN"/>
        </w:rPr>
        <w:t>3.1.1</w:t>
      </w:r>
      <w:r>
        <w:rPr>
          <w:rFonts w:hint="eastAsia" w:ascii="宋体" w:hAnsi="宋体" w:eastAsia="宋体" w:cs="宋体"/>
          <w:b/>
          <w:bCs/>
          <w:color w:val="auto"/>
          <w:spacing w:val="8"/>
          <w:sz w:val="21"/>
          <w:szCs w:val="21"/>
          <w:highlight w:val="none"/>
        </w:rPr>
        <w:t xml:space="preserve"> 条规定中“必须提供”的文件资料的；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 未采用人民币报价或者未按照招标文件标明的币种报价的；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 报价超出招标文件相应规定最高限价，或者超出相应采购预算金额的；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 投标人未就所投内容进行报价或者存在漏项报价；投标人未就所投内容作唯一报价；投标人未就所投全部内容作完整唯一总价报价；存在有选择、有条件报价的 (招标文件允许有备选方案或者其他约定的除外) ；</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 修正后的报价，投标人不确认的；</w:t>
      </w:r>
    </w:p>
    <w:p>
      <w:pPr>
        <w:spacing w:before="163" w:line="227" w:lineRule="auto"/>
        <w:ind w:left="430"/>
        <w:outlineLvl w:val="9"/>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6</w:t>
      </w:r>
      <w:r>
        <w:rPr>
          <w:rFonts w:hint="eastAsia" w:ascii="宋体" w:hAnsi="宋体" w:eastAsia="宋体" w:cs="宋体"/>
          <w:b/>
          <w:bCs/>
          <w:color w:val="auto"/>
          <w:spacing w:val="8"/>
          <w:sz w:val="21"/>
          <w:szCs w:val="21"/>
          <w:highlight w:val="none"/>
        </w:rPr>
        <w:t>) 报价文件响应的标的数量及单位与招标文件要求实质性不一致的</w:t>
      </w:r>
      <w:r>
        <w:rPr>
          <w:rFonts w:hint="eastAsia" w:ascii="宋体" w:hAnsi="宋体" w:eastAsia="宋体" w:cs="宋体"/>
          <w:b/>
          <w:bCs/>
          <w:color w:val="auto"/>
          <w:spacing w:val="8"/>
          <w:sz w:val="21"/>
          <w:szCs w:val="21"/>
          <w:highlight w:val="none"/>
          <w:lang w:eastAsia="zh-CN"/>
        </w:rPr>
        <w:t>；</w:t>
      </w:r>
    </w:p>
    <w:p>
      <w:pPr>
        <w:spacing w:before="163" w:line="227" w:lineRule="auto"/>
        <w:ind w:left="430"/>
        <w:outlineLvl w:val="9"/>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（7）投标人已标价工程量清单的项目编码、计量单位、工程量任何一处与招标工程量清单不一致的；</w:t>
      </w:r>
    </w:p>
    <w:p>
      <w:pPr>
        <w:spacing w:before="163" w:line="227" w:lineRule="auto"/>
        <w:ind w:left="430"/>
        <w:outlineLvl w:val="9"/>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（8）投标人已标价工程量清单的项目名称或项目特征与招标工程量清单不一致，评标委员会要求澄清、说明或补正，但投标人拒绝澄清、说明或补正的；</w:t>
      </w:r>
    </w:p>
    <w:p>
      <w:pPr>
        <w:spacing w:before="163" w:line="227" w:lineRule="auto"/>
        <w:ind w:left="430"/>
        <w:outlineLvl w:val="9"/>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（9）投标函中的报价与已标价的工程量清单汇总表不一致的；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lang w:val="en-US" w:eastAsia="zh-CN"/>
        </w:rPr>
        <w:t>（10）设有暂估价、暂列金额的，投标时未按采购人工程量清单给出的暂估价总价、暂列金额总价计入投标总报价中的。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2.2 在商务评审时，如发现下列情形之一的，将被视为投标无效：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 投标文件未按招标文件要求签署、盖章的；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 委托代理人未能出具有效身份证或者出具的身份证与授权委托书中的信息不符的；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 为无效投标保证金的或者未按照招标文件的规定提交投标保证金的；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 xml:space="preserve">(4) 投标文件未提供“投标人须知前附表”第 </w:t>
      </w:r>
      <w:r>
        <w:rPr>
          <w:rFonts w:hint="eastAsia" w:ascii="宋体" w:hAnsi="宋体" w:eastAsia="宋体" w:cs="宋体"/>
          <w:b/>
          <w:bCs/>
          <w:color w:val="auto"/>
          <w:spacing w:val="8"/>
          <w:sz w:val="21"/>
          <w:szCs w:val="21"/>
          <w:highlight w:val="none"/>
          <w:lang w:val="en-US" w:eastAsia="zh-CN"/>
        </w:rPr>
        <w:t>3.1.1</w:t>
      </w:r>
      <w:r>
        <w:rPr>
          <w:rFonts w:hint="eastAsia" w:ascii="宋体" w:hAnsi="宋体" w:eastAsia="宋体" w:cs="宋体"/>
          <w:b/>
          <w:bCs/>
          <w:color w:val="auto"/>
          <w:spacing w:val="8"/>
          <w:sz w:val="21"/>
          <w:szCs w:val="21"/>
          <w:highlight w:val="none"/>
        </w:rPr>
        <w:t>条规定中“必须提供”或者“委托时必须提供”的文件资料的；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5</w:t>
      </w:r>
      <w:r>
        <w:rPr>
          <w:rFonts w:hint="eastAsia" w:ascii="宋体" w:hAnsi="宋体" w:eastAsia="宋体" w:cs="宋体"/>
          <w:b/>
          <w:bCs/>
          <w:color w:val="auto"/>
          <w:spacing w:val="8"/>
          <w:sz w:val="21"/>
          <w:szCs w:val="21"/>
          <w:highlight w:val="none"/>
        </w:rPr>
        <w:t>) 投标文件的实质性内容未使用中文表述、使用计量单位不符合招标文件要求的；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6</w:t>
      </w:r>
      <w:r>
        <w:rPr>
          <w:rFonts w:hint="eastAsia" w:ascii="宋体" w:hAnsi="宋体" w:eastAsia="宋体" w:cs="宋体"/>
          <w:b/>
          <w:bCs/>
          <w:color w:val="auto"/>
          <w:spacing w:val="8"/>
          <w:sz w:val="21"/>
          <w:szCs w:val="21"/>
          <w:highlight w:val="none"/>
        </w:rPr>
        <w:t>) 投标文件中的文件资料因填写不齐全或者内容虚假或者出现其他情形而导致被评标委员会认定无效的；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7</w:t>
      </w:r>
      <w:r>
        <w:rPr>
          <w:rFonts w:hint="eastAsia" w:ascii="宋体" w:hAnsi="宋体" w:eastAsia="宋体" w:cs="宋体"/>
          <w:b/>
          <w:bCs/>
          <w:color w:val="auto"/>
          <w:spacing w:val="8"/>
          <w:sz w:val="21"/>
          <w:szCs w:val="21"/>
          <w:highlight w:val="none"/>
        </w:rPr>
        <w:t>) 投标文件含有采购人不能接受的附加条件的；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8</w:t>
      </w:r>
      <w:r>
        <w:rPr>
          <w:rFonts w:hint="eastAsia" w:ascii="宋体" w:hAnsi="宋体" w:eastAsia="宋体" w:cs="宋体"/>
          <w:b/>
          <w:bCs/>
          <w:color w:val="auto"/>
          <w:spacing w:val="8"/>
          <w:sz w:val="21"/>
          <w:szCs w:val="21"/>
          <w:highlight w:val="none"/>
        </w:rPr>
        <w:t xml:space="preserve">) 属于投标人须知正文第 </w:t>
      </w:r>
      <w:r>
        <w:rPr>
          <w:rFonts w:hint="eastAsia" w:ascii="宋体" w:hAnsi="宋体" w:eastAsia="宋体" w:cs="宋体"/>
          <w:b/>
          <w:bCs/>
          <w:color w:val="auto"/>
          <w:spacing w:val="8"/>
          <w:sz w:val="21"/>
          <w:szCs w:val="21"/>
          <w:highlight w:val="none"/>
          <w:lang w:val="en-US" w:eastAsia="zh-CN"/>
        </w:rPr>
        <w:t>1.4.3</w:t>
      </w:r>
      <w:r>
        <w:rPr>
          <w:rFonts w:hint="eastAsia" w:ascii="宋体" w:hAnsi="宋体" w:eastAsia="宋体" w:cs="宋体"/>
          <w:b/>
          <w:bCs/>
          <w:color w:val="auto"/>
          <w:spacing w:val="8"/>
          <w:sz w:val="21"/>
          <w:szCs w:val="21"/>
          <w:highlight w:val="none"/>
        </w:rPr>
        <w:t xml:space="preserve"> 条情形的；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9</w:t>
      </w:r>
      <w:r>
        <w:rPr>
          <w:rFonts w:hint="eastAsia" w:ascii="宋体" w:hAnsi="宋体" w:eastAsia="宋体" w:cs="宋体"/>
          <w:b/>
          <w:bCs/>
          <w:color w:val="auto"/>
          <w:spacing w:val="8"/>
          <w:sz w:val="21"/>
          <w:szCs w:val="21"/>
          <w:highlight w:val="none"/>
        </w:rPr>
        <w:t>) 投标文件标注的项目名称或者项目编号与招标文件标注的项目名称或者项目编号不一致的；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10</w:t>
      </w:r>
      <w:r>
        <w:rPr>
          <w:rFonts w:hint="eastAsia" w:ascii="宋体" w:hAnsi="宋体" w:eastAsia="宋体" w:cs="宋体"/>
          <w:b/>
          <w:bCs/>
          <w:color w:val="auto"/>
          <w:spacing w:val="8"/>
          <w:sz w:val="21"/>
          <w:szCs w:val="21"/>
          <w:highlight w:val="none"/>
        </w:rPr>
        <w:t>) 招标文件明确不允许分包，投标文件拟分包的；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11</w:t>
      </w:r>
      <w:r>
        <w:rPr>
          <w:rFonts w:hint="eastAsia" w:ascii="宋体" w:hAnsi="宋体" w:eastAsia="宋体" w:cs="宋体"/>
          <w:b/>
          <w:bCs/>
          <w:color w:val="auto"/>
          <w:spacing w:val="8"/>
          <w:sz w:val="21"/>
          <w:szCs w:val="21"/>
          <w:highlight w:val="none"/>
        </w:rPr>
        <w:t>) 未响应招标文件实质性要求的；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12</w:t>
      </w:r>
      <w:r>
        <w:rPr>
          <w:rFonts w:hint="eastAsia" w:ascii="宋体" w:hAnsi="宋体" w:eastAsia="宋体" w:cs="宋体"/>
          <w:b/>
          <w:bCs/>
          <w:color w:val="auto"/>
          <w:spacing w:val="8"/>
          <w:sz w:val="21"/>
          <w:szCs w:val="21"/>
          <w:highlight w:val="none"/>
        </w:rPr>
        <w:t>) 法律、法规和招标文件规定的其他无效情形。</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2.3 在技术评审时，如发现下列情形之一的，将被视为投标无效：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 技术要求评审允许负偏离的条款数超过“投标人须知前附表”规定项数的；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 xml:space="preserve">(2) 投标文件未提供“投标人须知前附表”第 </w:t>
      </w:r>
      <w:r>
        <w:rPr>
          <w:rFonts w:hint="eastAsia" w:ascii="宋体" w:hAnsi="宋体" w:eastAsia="宋体" w:cs="宋体"/>
          <w:b/>
          <w:bCs/>
          <w:color w:val="auto"/>
          <w:spacing w:val="8"/>
          <w:sz w:val="21"/>
          <w:szCs w:val="21"/>
          <w:highlight w:val="none"/>
          <w:lang w:val="en-US" w:eastAsia="zh-CN"/>
        </w:rPr>
        <w:t>3.1.1</w:t>
      </w:r>
      <w:r>
        <w:rPr>
          <w:rFonts w:hint="eastAsia" w:ascii="宋体" w:hAnsi="宋体" w:eastAsia="宋体" w:cs="宋体"/>
          <w:b/>
          <w:bCs/>
          <w:color w:val="auto"/>
          <w:spacing w:val="8"/>
          <w:sz w:val="21"/>
          <w:szCs w:val="21"/>
          <w:highlight w:val="none"/>
        </w:rPr>
        <w:t>条规定中“必须提供”的文件资料的；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 虚假投标，或者出现其他情形而导致被评标委员会认定无效的；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 招标文件未载明允许提供备选 (替代) 投标方案或明确不允许提供备选 (替代) 投标方案时， 投标人提供了备选 (替代) 投标方案的；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 未响应招标文件实质性要求的。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2.4 通过符合性审查的投标人不足 3 家，评标委员会不得继续评标，并出具评标报告。</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3.澄清补正</w:t>
      </w:r>
    </w:p>
    <w:p>
      <w:pPr>
        <w:spacing w:before="139" w:line="377" w:lineRule="auto"/>
        <w:ind w:left="1" w:right="28" w:firstLine="418"/>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对</w:t>
      </w:r>
      <w:r>
        <w:rPr>
          <w:rFonts w:hint="eastAsia" w:ascii="宋体" w:hAnsi="宋体" w:eastAsia="宋体" w:cs="宋体"/>
          <w:color w:val="auto"/>
          <w:spacing w:val="15"/>
          <w:sz w:val="21"/>
          <w:szCs w:val="21"/>
          <w:highlight w:val="none"/>
        </w:rPr>
        <w:t>投</w:t>
      </w:r>
      <w:r>
        <w:rPr>
          <w:rFonts w:hint="eastAsia" w:ascii="宋体" w:hAnsi="宋体" w:eastAsia="宋体" w:cs="宋体"/>
          <w:color w:val="auto"/>
          <w:spacing w:val="9"/>
          <w:sz w:val="21"/>
          <w:szCs w:val="21"/>
          <w:highlight w:val="none"/>
        </w:rPr>
        <w:t>标文件中含义不明确、同类问题表述不一致或者有明显文字和计算错误的内容，评标委员会以电</w:t>
      </w:r>
      <w:r>
        <w:rPr>
          <w:rFonts w:hint="eastAsia" w:ascii="宋体" w:hAnsi="宋体" w:eastAsia="宋体" w:cs="宋体"/>
          <w:color w:val="auto"/>
          <w:spacing w:val="18"/>
          <w:sz w:val="21"/>
          <w:szCs w:val="21"/>
          <w:highlight w:val="none"/>
        </w:rPr>
        <w:t>子</w:t>
      </w:r>
      <w:r>
        <w:rPr>
          <w:rFonts w:hint="eastAsia" w:ascii="宋体" w:hAnsi="宋体" w:eastAsia="宋体" w:cs="宋体"/>
          <w:color w:val="auto"/>
          <w:spacing w:val="15"/>
          <w:sz w:val="21"/>
          <w:szCs w:val="21"/>
          <w:highlight w:val="none"/>
        </w:rPr>
        <w:t>澄</w:t>
      </w:r>
      <w:r>
        <w:rPr>
          <w:rFonts w:hint="eastAsia" w:ascii="宋体" w:hAnsi="宋体" w:eastAsia="宋体" w:cs="宋体"/>
          <w:color w:val="auto"/>
          <w:spacing w:val="9"/>
          <w:sz w:val="21"/>
          <w:szCs w:val="21"/>
          <w:highlight w:val="none"/>
        </w:rPr>
        <w:t>清函形式要求投标人在规定时间内作出必要的澄清、说明或者纠正。投标人的澄清、说明或者补正必</w:t>
      </w:r>
      <w:r>
        <w:rPr>
          <w:rFonts w:hint="eastAsia" w:ascii="宋体" w:hAnsi="宋体" w:eastAsia="宋体" w:cs="宋体"/>
          <w:color w:val="auto"/>
          <w:spacing w:val="18"/>
          <w:sz w:val="21"/>
          <w:szCs w:val="21"/>
          <w:highlight w:val="none"/>
        </w:rPr>
        <w:t>须采</w:t>
      </w:r>
      <w:r>
        <w:rPr>
          <w:rFonts w:hint="eastAsia" w:ascii="宋体" w:hAnsi="宋体" w:eastAsia="宋体" w:cs="宋体"/>
          <w:color w:val="auto"/>
          <w:spacing w:val="9"/>
          <w:sz w:val="21"/>
          <w:szCs w:val="21"/>
          <w:highlight w:val="none"/>
        </w:rPr>
        <w:t>用电子回函形式，并加盖投标人公章，或者由法定代表人或者其授权的代表签字。投标人的澄清、说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明</w:t>
      </w:r>
      <w:r>
        <w:rPr>
          <w:rFonts w:hint="eastAsia" w:ascii="宋体" w:hAnsi="宋体" w:eastAsia="宋体" w:cs="宋体"/>
          <w:color w:val="auto"/>
          <w:spacing w:val="9"/>
          <w:sz w:val="21"/>
          <w:szCs w:val="21"/>
          <w:highlight w:val="none"/>
        </w:rPr>
        <w:t>或者补正不得超出投标文件的范围或者改变投标文件的实质性内容。</w:t>
      </w:r>
    </w:p>
    <w:p>
      <w:pPr>
        <w:spacing w:before="163" w:line="227" w:lineRule="auto"/>
        <w:ind w:left="430"/>
        <w:outlineLvl w:val="9"/>
        <w:rPr>
          <w:rFonts w:hint="eastAsia" w:ascii="宋体" w:hAnsi="宋体" w:eastAsia="宋体" w:cs="宋体"/>
          <w:b/>
          <w:bCs/>
          <w:color w:val="auto"/>
          <w:spacing w:val="8"/>
          <w:sz w:val="21"/>
          <w:szCs w:val="21"/>
          <w:highlight w:val="none"/>
        </w:rPr>
      </w:pP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rPr>
      </w:pP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4.投标文件修正</w:t>
      </w:r>
    </w:p>
    <w:p>
      <w:pPr>
        <w:keepNext w:val="0"/>
        <w:keepLines w:val="0"/>
        <w:pageBreakBefore w:val="0"/>
        <w:widowControl w:val="0"/>
        <w:kinsoku/>
        <w:wordWrap/>
        <w:overflowPunct/>
        <w:topLinePunct w:val="0"/>
        <w:autoSpaceDE/>
        <w:autoSpaceDN/>
        <w:bidi w:val="0"/>
        <w:adjustRightInd/>
        <w:snapToGrid/>
        <w:spacing w:before="137" w:line="380" w:lineRule="exact"/>
        <w:ind w:left="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4.1</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投标文件报价出现前后不一致的，按照下列规定修正：</w:t>
      </w:r>
    </w:p>
    <w:p>
      <w:pPr>
        <w:spacing w:before="139" w:line="377" w:lineRule="auto"/>
        <w:ind w:left="1" w:right="28" w:firstLine="418"/>
        <w:outlineLvl w:val="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 投标文件中</w:t>
      </w:r>
      <w:r>
        <w:rPr>
          <w:rFonts w:hint="eastAsia" w:ascii="宋体" w:hAnsi="宋体" w:eastAsia="宋体" w:cs="宋体"/>
          <w:color w:val="auto"/>
          <w:spacing w:val="9"/>
          <w:sz w:val="21"/>
          <w:szCs w:val="21"/>
          <w:highlight w:val="none"/>
          <w:lang w:val="en-US" w:eastAsia="zh-CN"/>
        </w:rPr>
        <w:t>投标函</w:t>
      </w:r>
      <w:r>
        <w:rPr>
          <w:rFonts w:hint="eastAsia" w:ascii="宋体" w:hAnsi="宋体" w:eastAsia="宋体" w:cs="宋体"/>
          <w:color w:val="auto"/>
          <w:spacing w:val="9"/>
          <w:sz w:val="21"/>
          <w:szCs w:val="21"/>
          <w:highlight w:val="none"/>
        </w:rPr>
        <w:t>内容与投标文件中相应内容不一致的， 以</w:t>
      </w:r>
      <w:r>
        <w:rPr>
          <w:rFonts w:hint="eastAsia" w:ascii="宋体" w:hAnsi="宋体" w:eastAsia="宋体" w:cs="宋体"/>
          <w:color w:val="auto"/>
          <w:spacing w:val="9"/>
          <w:sz w:val="21"/>
          <w:szCs w:val="21"/>
          <w:highlight w:val="none"/>
          <w:lang w:val="en-US" w:eastAsia="zh-CN"/>
        </w:rPr>
        <w:t>投标函</w:t>
      </w:r>
      <w:r>
        <w:rPr>
          <w:rFonts w:hint="eastAsia" w:ascii="宋体" w:hAnsi="宋体" w:eastAsia="宋体" w:cs="宋体"/>
          <w:color w:val="auto"/>
          <w:spacing w:val="9"/>
          <w:sz w:val="21"/>
          <w:szCs w:val="21"/>
          <w:highlight w:val="none"/>
        </w:rPr>
        <w:t>为准；</w:t>
      </w:r>
    </w:p>
    <w:p>
      <w:pPr>
        <w:spacing w:before="139" w:line="377" w:lineRule="auto"/>
        <w:ind w:left="1" w:right="28" w:firstLine="418"/>
        <w:outlineLvl w:val="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(2) 大写金额和小写金额不一致的，以大写金额为准；</w:t>
      </w:r>
    </w:p>
    <w:p>
      <w:pPr>
        <w:spacing w:before="139" w:line="377" w:lineRule="auto"/>
        <w:ind w:left="1" w:right="28" w:firstLine="418"/>
        <w:outlineLvl w:val="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(3) 单价金额小数点或者百分比有明显错位的， 以</w:t>
      </w:r>
      <w:r>
        <w:rPr>
          <w:rFonts w:hint="eastAsia" w:ascii="宋体" w:hAnsi="宋体" w:eastAsia="宋体" w:cs="宋体"/>
          <w:color w:val="auto"/>
          <w:spacing w:val="9"/>
          <w:sz w:val="21"/>
          <w:szCs w:val="21"/>
          <w:highlight w:val="none"/>
          <w:lang w:val="en-US" w:eastAsia="zh-CN"/>
        </w:rPr>
        <w:t>投标函</w:t>
      </w:r>
      <w:r>
        <w:rPr>
          <w:rFonts w:hint="eastAsia" w:ascii="宋体" w:hAnsi="宋体" w:eastAsia="宋体" w:cs="宋体"/>
          <w:color w:val="auto"/>
          <w:spacing w:val="9"/>
          <w:sz w:val="21"/>
          <w:szCs w:val="21"/>
          <w:highlight w:val="none"/>
        </w:rPr>
        <w:t>的总价为准，并修改单价；</w:t>
      </w:r>
    </w:p>
    <w:p>
      <w:pPr>
        <w:spacing w:before="139" w:line="377" w:lineRule="auto"/>
        <w:ind w:left="1" w:right="28" w:firstLine="418"/>
        <w:outlineLvl w:val="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 总价金额与按单价汇总金额不一致的， 以单价金额计算结果为准。</w:t>
      </w:r>
    </w:p>
    <w:p>
      <w:pPr>
        <w:spacing w:before="139" w:line="377" w:lineRule="auto"/>
        <w:ind w:left="1" w:right="28" w:firstLine="418"/>
        <w:outlineLvl w:val="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同时出现两种以上不一致的，按照以上 (1) - (4) 规定的顺序修正。修正后的报价经投标人确认后产生约束力，投标人不确认的，</w:t>
      </w:r>
      <w:r>
        <w:rPr>
          <w:rFonts w:hint="eastAsia" w:ascii="宋体" w:hAnsi="宋体" w:eastAsia="宋体" w:cs="宋体"/>
          <w:b/>
          <w:bCs/>
          <w:color w:val="auto"/>
          <w:spacing w:val="8"/>
          <w:sz w:val="21"/>
          <w:szCs w:val="21"/>
          <w:highlight w:val="none"/>
        </w:rPr>
        <w:t>其投标无效。</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rPr>
        <w:t>4.2 经投标人确认修正后的报价若超过采购预算金额或者最高限价，投标人的投标文件作无效投标处</w:t>
      </w:r>
      <w:r>
        <w:rPr>
          <w:rFonts w:hint="eastAsia" w:ascii="宋体" w:hAnsi="宋体" w:eastAsia="宋体" w:cs="宋体"/>
          <w:b/>
          <w:bCs/>
          <w:color w:val="auto"/>
          <w:spacing w:val="8"/>
          <w:sz w:val="21"/>
          <w:szCs w:val="21"/>
          <w:highlight w:val="none"/>
          <w:lang w:eastAsia="zh-CN"/>
        </w:rPr>
        <w:t>理。</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4.3 经</w:t>
      </w:r>
      <w:r>
        <w:rPr>
          <w:rFonts w:hint="eastAsia" w:ascii="宋体" w:hAnsi="宋体" w:eastAsia="宋体" w:cs="宋体"/>
          <w:color w:val="auto"/>
          <w:spacing w:val="7"/>
          <w:sz w:val="21"/>
          <w:szCs w:val="21"/>
          <w:highlight w:val="none"/>
        </w:rPr>
        <w:t>投标人确认修正后的报价作为签订合同的依据，并以此报价计算价格分。</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5.比较与评价</w:t>
      </w:r>
    </w:p>
    <w:p>
      <w:pPr>
        <w:keepNext w:val="0"/>
        <w:keepLines w:val="0"/>
        <w:pageBreakBefore w:val="0"/>
        <w:widowControl w:val="0"/>
        <w:kinsoku/>
        <w:wordWrap/>
        <w:overflowPunct/>
        <w:topLinePunct w:val="0"/>
        <w:autoSpaceDE/>
        <w:autoSpaceDN/>
        <w:bidi w:val="0"/>
        <w:adjustRightInd/>
        <w:snapToGrid/>
        <w:spacing w:before="141" w:line="380" w:lineRule="exact"/>
        <w:ind w:left="42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5.1 </w:t>
      </w:r>
      <w:r>
        <w:rPr>
          <w:rFonts w:hint="eastAsia" w:ascii="宋体" w:hAnsi="宋体" w:eastAsia="宋体" w:cs="宋体"/>
          <w:color w:val="auto"/>
          <w:spacing w:val="2"/>
          <w:sz w:val="21"/>
          <w:szCs w:val="21"/>
          <w:highlight w:val="none"/>
        </w:rPr>
        <w:t>采用综合评分法的</w:t>
      </w:r>
    </w:p>
    <w:p>
      <w:pPr>
        <w:keepNext w:val="0"/>
        <w:keepLines w:val="0"/>
        <w:pageBreakBefore w:val="0"/>
        <w:widowControl w:val="0"/>
        <w:kinsoku/>
        <w:wordWrap/>
        <w:overflowPunct/>
        <w:topLinePunct w:val="0"/>
        <w:autoSpaceDE/>
        <w:autoSpaceDN/>
        <w:bidi w:val="0"/>
        <w:adjustRightInd/>
        <w:snapToGrid/>
        <w:spacing w:before="160" w:line="380" w:lineRule="exact"/>
        <w:ind w:left="2" w:right="12" w:firstLine="4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13"/>
          <w:sz w:val="21"/>
          <w:szCs w:val="21"/>
          <w:highlight w:val="none"/>
        </w:rPr>
        <w:t>1) 评标委员会按照招标文件中规定的评标方法及评标标准，对符合性审查合格的投标文件进行商</w:t>
      </w:r>
      <w:r>
        <w:rPr>
          <w:rFonts w:hint="eastAsia" w:ascii="宋体" w:hAnsi="宋体" w:eastAsia="宋体" w:cs="宋体"/>
          <w:color w:val="auto"/>
          <w:spacing w:val="15"/>
          <w:sz w:val="21"/>
          <w:szCs w:val="21"/>
          <w:highlight w:val="none"/>
        </w:rPr>
        <w:t>务</w:t>
      </w:r>
      <w:r>
        <w:rPr>
          <w:rFonts w:hint="eastAsia" w:ascii="宋体" w:hAnsi="宋体" w:eastAsia="宋体" w:cs="宋体"/>
          <w:color w:val="auto"/>
          <w:spacing w:val="8"/>
          <w:sz w:val="21"/>
          <w:szCs w:val="21"/>
          <w:highlight w:val="none"/>
        </w:rPr>
        <w:t>和技术评估，综合比较与评价。</w:t>
      </w:r>
    </w:p>
    <w:p>
      <w:pPr>
        <w:keepNext w:val="0"/>
        <w:keepLines w:val="0"/>
        <w:pageBreakBefore w:val="0"/>
        <w:widowControl w:val="0"/>
        <w:kinsoku/>
        <w:wordWrap/>
        <w:overflowPunct/>
        <w:topLinePunct w:val="0"/>
        <w:autoSpaceDE/>
        <w:autoSpaceDN/>
        <w:bidi w:val="0"/>
        <w:adjustRightInd/>
        <w:snapToGrid/>
        <w:spacing w:before="1"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11"/>
          <w:sz w:val="21"/>
          <w:szCs w:val="21"/>
          <w:highlight w:val="none"/>
        </w:rPr>
        <w:t>) 评标委员会独立对每个投标人的投标文件进行评价，并汇总每个投标人的得分。</w:t>
      </w:r>
    </w:p>
    <w:p>
      <w:pPr>
        <w:keepNext w:val="0"/>
        <w:keepLines w:val="0"/>
        <w:pageBreakBefore w:val="0"/>
        <w:widowControl w:val="0"/>
        <w:kinsoku/>
        <w:wordWrap/>
        <w:overflowPunct/>
        <w:topLinePunct w:val="0"/>
        <w:autoSpaceDE/>
        <w:autoSpaceDN/>
        <w:bidi w:val="0"/>
        <w:adjustRightInd/>
        <w:snapToGrid/>
        <w:spacing w:before="166" w:line="380" w:lineRule="exact"/>
        <w:ind w:left="4" w:right="4" w:firstLine="41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评</w:t>
      </w:r>
      <w:r>
        <w:rPr>
          <w:rFonts w:hint="eastAsia" w:ascii="宋体" w:hAnsi="宋体" w:eastAsia="宋体" w:cs="宋体"/>
          <w:color w:val="auto"/>
          <w:spacing w:val="15"/>
          <w:sz w:val="21"/>
          <w:szCs w:val="21"/>
          <w:highlight w:val="none"/>
        </w:rPr>
        <w:t>标</w:t>
      </w:r>
      <w:r>
        <w:rPr>
          <w:rFonts w:hint="eastAsia" w:ascii="宋体" w:hAnsi="宋体" w:eastAsia="宋体" w:cs="宋体"/>
          <w:color w:val="auto"/>
          <w:spacing w:val="9"/>
          <w:sz w:val="21"/>
          <w:szCs w:val="21"/>
          <w:highlight w:val="none"/>
        </w:rPr>
        <w:t>委员会认为投标人的报价明显低于其他通过符合性审查投标人的报价，有可能影响产品质量或者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不</w:t>
      </w:r>
      <w:r>
        <w:rPr>
          <w:rFonts w:hint="eastAsia" w:ascii="宋体" w:hAnsi="宋体" w:eastAsia="宋体" w:cs="宋体"/>
          <w:color w:val="auto"/>
          <w:spacing w:val="17"/>
          <w:sz w:val="21"/>
          <w:szCs w:val="21"/>
          <w:highlight w:val="none"/>
        </w:rPr>
        <w:t>能</w:t>
      </w:r>
      <w:r>
        <w:rPr>
          <w:rFonts w:hint="eastAsia" w:ascii="宋体" w:hAnsi="宋体" w:eastAsia="宋体" w:cs="宋体"/>
          <w:color w:val="auto"/>
          <w:spacing w:val="9"/>
          <w:sz w:val="21"/>
          <w:szCs w:val="21"/>
          <w:highlight w:val="none"/>
        </w:rPr>
        <w:t>诚信履约的，应当要求其在评标现场合理的时间内提供书面说明，必要时提交相关证明</w:t>
      </w:r>
      <w:r>
        <w:rPr>
          <w:rFonts w:hint="eastAsia" w:ascii="宋体" w:hAnsi="宋体" w:eastAsia="宋体" w:cs="宋体"/>
          <w:b w:val="0"/>
          <w:bCs w:val="0"/>
          <w:color w:val="auto"/>
          <w:spacing w:val="8"/>
          <w:sz w:val="21"/>
          <w:szCs w:val="21"/>
          <w:highlight w:val="none"/>
        </w:rPr>
        <w:t>材料；</w:t>
      </w:r>
      <w:r>
        <w:rPr>
          <w:rFonts w:hint="eastAsia" w:ascii="宋体" w:hAnsi="宋体" w:eastAsia="宋体" w:cs="宋体"/>
          <w:b/>
          <w:bCs/>
          <w:color w:val="auto"/>
          <w:spacing w:val="8"/>
          <w:sz w:val="21"/>
          <w:szCs w:val="21"/>
          <w:highlight w:val="none"/>
        </w:rPr>
        <w:t>投标人不能证明其报价合理性的，评标委员会将其作为无效投标处理。</w:t>
      </w:r>
    </w:p>
    <w:p>
      <w:pPr>
        <w:keepNext w:val="0"/>
        <w:keepLines w:val="0"/>
        <w:pageBreakBefore w:val="0"/>
        <w:widowControl w:val="0"/>
        <w:kinsoku/>
        <w:wordWrap/>
        <w:overflowPunct/>
        <w:topLinePunct w:val="0"/>
        <w:autoSpaceDE/>
        <w:autoSpaceDN/>
        <w:bidi w:val="0"/>
        <w:adjustRightInd/>
        <w:snapToGrid/>
        <w:spacing w:before="1" w:line="380" w:lineRule="exact"/>
        <w:ind w:left="4" w:right="61"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3) 评标委员会按照招标文件中规定的评标方法和标准计算各投标人的报价得分。在计算过程中，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不</w:t>
      </w:r>
      <w:r>
        <w:rPr>
          <w:rFonts w:hint="eastAsia" w:ascii="宋体" w:hAnsi="宋体" w:eastAsia="宋体" w:cs="宋体"/>
          <w:color w:val="auto"/>
          <w:spacing w:val="8"/>
          <w:sz w:val="21"/>
          <w:szCs w:val="21"/>
          <w:highlight w:val="none"/>
        </w:rPr>
        <w:t>得去掉最高报价或者最低报价。</w:t>
      </w:r>
    </w:p>
    <w:p>
      <w:pPr>
        <w:keepNext w:val="0"/>
        <w:keepLines w:val="0"/>
        <w:pageBreakBefore w:val="0"/>
        <w:widowControl w:val="0"/>
        <w:kinsoku/>
        <w:wordWrap/>
        <w:overflowPunct/>
        <w:topLinePunct w:val="0"/>
        <w:autoSpaceDE/>
        <w:autoSpaceDN/>
        <w:bidi w:val="0"/>
        <w:adjustRightInd/>
        <w:snapToGrid/>
        <w:spacing w:before="1"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 各投标人的得分为所有评委的有效评分的算术平均数。</w:t>
      </w:r>
    </w:p>
    <w:p>
      <w:pPr>
        <w:keepNext w:val="0"/>
        <w:keepLines w:val="0"/>
        <w:pageBreakBefore w:val="0"/>
        <w:widowControl w:val="0"/>
        <w:kinsoku/>
        <w:wordWrap/>
        <w:overflowPunct/>
        <w:topLinePunct w:val="0"/>
        <w:autoSpaceDE/>
        <w:autoSpaceDN/>
        <w:bidi w:val="0"/>
        <w:adjustRightInd/>
        <w:snapToGrid/>
        <w:spacing w:before="166"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2"/>
          <w:sz w:val="21"/>
          <w:szCs w:val="21"/>
          <w:highlight w:val="none"/>
        </w:rPr>
        <w:t>5) 评标委员会按照招标文件中的规定推荐中标候选人。</w:t>
      </w:r>
    </w:p>
    <w:p>
      <w:pPr>
        <w:keepNext w:val="0"/>
        <w:keepLines w:val="0"/>
        <w:pageBreakBefore w:val="0"/>
        <w:widowControl w:val="0"/>
        <w:kinsoku/>
        <w:wordWrap/>
        <w:overflowPunct/>
        <w:topLinePunct w:val="0"/>
        <w:autoSpaceDE/>
        <w:autoSpaceDN/>
        <w:bidi w:val="0"/>
        <w:adjustRightInd/>
        <w:snapToGrid/>
        <w:spacing w:before="166" w:line="380" w:lineRule="exact"/>
        <w:ind w:right="7" w:firstLine="430"/>
        <w:textAlignment w:val="auto"/>
        <w:outlineLvl w:val="9"/>
        <w:rPr>
          <w:rFonts w:hint="eastAsia" w:ascii="宋体" w:hAnsi="宋体" w:eastAsia="宋体" w:cs="宋体"/>
          <w:color w:val="auto"/>
          <w:spacing w:val="9"/>
          <w:sz w:val="21"/>
          <w:szCs w:val="21"/>
          <w:highlight w:val="none"/>
        </w:rPr>
      </w:pP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13"/>
          <w:sz w:val="21"/>
          <w:szCs w:val="21"/>
          <w:highlight w:val="none"/>
        </w:rPr>
        <w:t>6) 评标委员会根据评标委员会成员签字的原始评标记录和评标结果编写评</w:t>
      </w:r>
      <w:r>
        <w:rPr>
          <w:rFonts w:hint="eastAsia" w:ascii="宋体" w:hAnsi="宋体" w:eastAsia="宋体" w:cs="宋体"/>
          <w:color w:val="auto"/>
          <w:spacing w:val="18"/>
          <w:sz w:val="21"/>
          <w:szCs w:val="21"/>
          <w:highlight w:val="none"/>
        </w:rPr>
        <w:t>标报</w:t>
      </w:r>
      <w:r>
        <w:rPr>
          <w:rFonts w:hint="eastAsia" w:ascii="宋体" w:hAnsi="宋体" w:eastAsia="宋体" w:cs="宋体"/>
          <w:color w:val="auto"/>
          <w:spacing w:val="10"/>
          <w:sz w:val="21"/>
          <w:szCs w:val="21"/>
          <w:highlight w:val="none"/>
        </w:rPr>
        <w:t>告</w:t>
      </w:r>
      <w:r>
        <w:rPr>
          <w:rFonts w:hint="eastAsia" w:ascii="宋体" w:hAnsi="宋体" w:eastAsia="宋体" w:cs="宋体"/>
          <w:color w:val="auto"/>
          <w:spacing w:val="9"/>
          <w:sz w:val="21"/>
          <w:szCs w:val="21"/>
          <w:highlight w:val="none"/>
        </w:rPr>
        <w:t>。评标委员会成员均应当在评标报告上签字，对自己的评标意见承担法律责任。对评标过程中需要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共</w:t>
      </w:r>
      <w:r>
        <w:rPr>
          <w:rFonts w:hint="eastAsia" w:ascii="宋体" w:hAnsi="宋体" w:eastAsia="宋体" w:cs="宋体"/>
          <w:color w:val="auto"/>
          <w:spacing w:val="17"/>
          <w:sz w:val="21"/>
          <w:szCs w:val="21"/>
          <w:highlight w:val="none"/>
        </w:rPr>
        <w:t>同</w:t>
      </w:r>
      <w:r>
        <w:rPr>
          <w:rFonts w:hint="eastAsia" w:ascii="宋体" w:hAnsi="宋体" w:eastAsia="宋体" w:cs="宋体"/>
          <w:color w:val="auto"/>
          <w:spacing w:val="9"/>
          <w:sz w:val="21"/>
          <w:szCs w:val="21"/>
          <w:highlight w:val="none"/>
        </w:rPr>
        <w:t>认定的事项存在争议的，应当按照少数服从多数的原则做出结论。持不同意见的评标委员会成员应当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在</w:t>
      </w:r>
      <w:r>
        <w:rPr>
          <w:rFonts w:hint="eastAsia" w:ascii="宋体" w:hAnsi="宋体" w:eastAsia="宋体" w:cs="宋体"/>
          <w:color w:val="auto"/>
          <w:spacing w:val="9"/>
          <w:sz w:val="21"/>
          <w:szCs w:val="21"/>
          <w:highlight w:val="none"/>
        </w:rPr>
        <w:t>评标报告上签署不同意见及理由，否则视为同意评标报告。</w:t>
      </w:r>
    </w:p>
    <w:p>
      <w:pPr>
        <w:jc w:val="center"/>
        <w:outlineLvl w:val="9"/>
        <w:rPr>
          <w:rFonts w:hint="eastAsia" w:ascii="宋体" w:hAnsi="宋体" w:eastAsia="宋体" w:cs="宋体"/>
          <w:b/>
          <w:bCs/>
          <w:color w:val="auto"/>
          <w:spacing w:val="0"/>
          <w:w w:val="100"/>
          <w:position w:val="0"/>
          <w:sz w:val="21"/>
          <w:szCs w:val="21"/>
          <w:highlight w:val="none"/>
          <w:lang w:eastAsia="zh-CN"/>
        </w:rPr>
      </w:pPr>
    </w:p>
    <w:p>
      <w:pPr>
        <w:rPr>
          <w:rFonts w:hint="eastAsia" w:ascii="宋体" w:hAnsi="宋体" w:eastAsia="宋体" w:cs="宋体"/>
          <w:b/>
          <w:bCs/>
          <w:color w:val="auto"/>
          <w:spacing w:val="0"/>
          <w:w w:val="100"/>
          <w:position w:val="0"/>
          <w:sz w:val="32"/>
          <w:szCs w:val="32"/>
          <w:highlight w:val="none"/>
          <w:lang w:eastAsia="zh-CN"/>
        </w:rPr>
      </w:pPr>
      <w:r>
        <w:rPr>
          <w:rFonts w:hint="eastAsia" w:ascii="宋体" w:hAnsi="宋体" w:eastAsia="宋体" w:cs="宋体"/>
          <w:b/>
          <w:bCs/>
          <w:color w:val="auto"/>
          <w:spacing w:val="0"/>
          <w:w w:val="100"/>
          <w:position w:val="0"/>
          <w:sz w:val="32"/>
          <w:szCs w:val="32"/>
          <w:highlight w:val="none"/>
          <w:lang w:eastAsia="zh-CN"/>
        </w:rPr>
        <w:br w:type="page"/>
      </w:r>
    </w:p>
    <w:p>
      <w:pPr>
        <w:jc w:val="center"/>
        <w:outlineLvl w:val="9"/>
        <w:rPr>
          <w:rFonts w:hint="eastAsia" w:ascii="宋体" w:hAnsi="宋体" w:eastAsia="宋体" w:cs="宋体"/>
          <w:color w:val="auto"/>
          <w:sz w:val="32"/>
          <w:szCs w:val="32"/>
          <w:lang w:val="en-US" w:eastAsia="zh-CN"/>
        </w:rPr>
      </w:pPr>
      <w:r>
        <w:rPr>
          <w:rFonts w:hint="eastAsia" w:ascii="宋体" w:hAnsi="宋体" w:eastAsia="宋体" w:cs="宋体"/>
          <w:b/>
          <w:bCs/>
          <w:color w:val="auto"/>
          <w:spacing w:val="0"/>
          <w:w w:val="100"/>
          <w:position w:val="0"/>
          <w:sz w:val="32"/>
          <w:szCs w:val="32"/>
          <w:highlight w:val="none"/>
          <w:lang w:eastAsia="zh-CN"/>
        </w:rPr>
        <w:t>三、评分标准</w:t>
      </w:r>
    </w:p>
    <w:tbl>
      <w:tblPr>
        <w:tblStyle w:val="25"/>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16"/>
        <w:gridCol w:w="67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7"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 w:val="21"/>
                <w:szCs w:val="21"/>
                <w:highlight w:val="none"/>
              </w:rPr>
            </w:pPr>
            <w:bookmarkStart w:id="61" w:name="评标办法前附表"/>
            <w:bookmarkEnd w:id="61"/>
            <w:r>
              <w:rPr>
                <w:rFonts w:hint="eastAsia" w:ascii="宋体" w:hAnsi="宋体" w:eastAsia="宋体" w:cs="宋体"/>
                <w:b/>
                <w:bCs/>
                <w:color w:val="auto"/>
                <w:kern w:val="0"/>
                <w:sz w:val="21"/>
                <w:szCs w:val="21"/>
                <w:highlight w:val="none"/>
              </w:rPr>
              <w:t>序号</w:t>
            </w:r>
          </w:p>
        </w:tc>
        <w:tc>
          <w:tcPr>
            <w:tcW w:w="1116"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750"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47"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6"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750" w:type="dxa"/>
            <w:noWrap w:val="0"/>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en-US" w:eastAsia="zh-CN"/>
              </w:rPr>
              <w:t>满足招标文件要求且最低的投标报价为评标基准价，其价格分为满分。</w:t>
            </w:r>
          </w:p>
          <w:p>
            <w:pPr>
              <w:pStyle w:val="13"/>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价格分计算公式：</w:t>
            </w:r>
          </w:p>
          <w:p>
            <w:pPr>
              <w:pStyle w:val="13"/>
              <w:keepNext w:val="0"/>
              <w:keepLines w:val="0"/>
              <w:pageBreakBefore w:val="0"/>
              <w:widowControl/>
              <w:kinsoku/>
              <w:wordWrap/>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报价得分=（基准价/投标报价）×</w:t>
            </w:r>
            <w:r>
              <w:rPr>
                <w:rFonts w:hint="eastAsia" w:ascii="宋体" w:hAnsi="宋体" w:eastAsia="宋体" w:cs="宋体"/>
                <w:bCs/>
                <w:color w:val="auto"/>
                <w:kern w:val="2"/>
                <w:sz w:val="21"/>
                <w:szCs w:val="21"/>
                <w:highlight w:val="none"/>
                <w:u w:val="single"/>
                <w:lang w:val="en-US" w:eastAsia="zh-CN"/>
              </w:rPr>
              <w:t>30分</w:t>
            </w:r>
          </w:p>
        </w:tc>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7" w:type="dxa"/>
            <w:noWrap w:val="0"/>
            <w:vAlign w:val="center"/>
          </w:tcPr>
          <w:p>
            <w:pPr>
              <w:widowControl/>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116" w:type="dxa"/>
            <w:noWrap w:val="0"/>
            <w:vAlign w:val="center"/>
          </w:tcPr>
          <w:p>
            <w:pPr>
              <w:widowControl/>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7510" w:type="dxa"/>
            <w:gridSpan w:val="2"/>
            <w:noWrap w:val="0"/>
            <w:vAlign w:val="top"/>
          </w:tcPr>
          <w:p>
            <w:pPr>
              <w:widowControl/>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7" w:type="dxa"/>
            <w:noWrap w:val="0"/>
            <w:vAlign w:val="center"/>
          </w:tcPr>
          <w:p>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116" w:type="dxa"/>
            <w:noWrap w:val="0"/>
            <w:vAlign w:val="center"/>
          </w:tcPr>
          <w:p>
            <w:pPr>
              <w:keepNext w:val="0"/>
              <w:keepLines w:val="0"/>
              <w:pageBreakBefore w:val="0"/>
              <w:kinsoku/>
              <w:wordWrap w:val="0"/>
              <w:overflowPunct/>
              <w:topLinePunct w:val="0"/>
              <w:bidi w:val="0"/>
              <w:adjustRightInd w:val="0"/>
              <w:snapToGrid/>
              <w:spacing w:line="320" w:lineRule="exact"/>
              <w:jc w:val="center"/>
              <w:textAlignment w:val="baseline"/>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rPr>
              <w:t>施工组织设计分</w:t>
            </w:r>
          </w:p>
        </w:tc>
        <w:tc>
          <w:tcPr>
            <w:tcW w:w="6750" w:type="dxa"/>
            <w:noWrap w:val="0"/>
            <w:vAlign w:val="center"/>
          </w:tcPr>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（1）主要施工方法（满分5分）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1）未提供有各主要分部施工方法的，得0分；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2）各主要分部施工方法符合项目实际,有详尽的施工技术方案的，得1分；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3）各主要分部施工方法符合项目实际，须有详尽的施工技术方案，工艺先进、方法科学合理、可行的，得3分；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4）各主要分部施工方法符合项目实际，须有详尽的施工技术方案，工艺先进、方法科学合理、可行，能指导具体施工并确保安全等综合情况的，得5分。</w:t>
            </w:r>
          </w:p>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（2）拟投入的主要物资计划（满分5分）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拟投入的主要物资计划</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2）投入的施工材料有详细的组织计划的，得1分；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3）投入的施工材料有详细的组织计划且计划周密，数量、选型配置、进场时间安排较合理</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4）投入的施工材料有详细的组织计划且计划周密，数量、选型配置、进场时间安排合理，满足施工需要</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（3）拟投入的主要施工机械、设备计划（满分5分）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拟投入的主要施工机械、设备计划</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2）投入的施工机械、设备、机具有详细的组织计划</w:t>
            </w:r>
            <w:r>
              <w:rPr>
                <w:rFonts w:hint="eastAsia" w:ascii="宋体" w:hAnsi="宋体" w:eastAsia="宋体" w:cs="宋体"/>
                <w:bCs/>
                <w:color w:val="auto"/>
                <w:sz w:val="21"/>
                <w:szCs w:val="21"/>
                <w:highlight w:val="none"/>
              </w:rPr>
              <w:t>的，得1分；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3）投入的施工机械、设备、机具有详细的组织计划且计划周密，设备数量、选型配置、进场时间安排较为合理</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4）投入的施工机械、设备、机具有详细的组织计划且计划周密，设备数量、选型配置、进场时间安排合理，满足施工需要</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（4）劳动力安排计划（满分5分）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劳动力安排计划</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2）各主要施工工序应有详细周密的劳动力安排计划</w:t>
            </w:r>
            <w:r>
              <w:rPr>
                <w:rFonts w:hint="eastAsia" w:ascii="宋体" w:hAnsi="宋体" w:eastAsia="宋体" w:cs="宋体"/>
                <w:bCs/>
                <w:color w:val="auto"/>
                <w:sz w:val="21"/>
                <w:szCs w:val="21"/>
                <w:highlight w:val="none"/>
              </w:rPr>
              <w:t>的，得1分；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3）各主要施工工序应有详细周密的劳动力安排计划，有各工种劳动力安排计划</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4）各主要施工工序应有详细周密的劳动力安排计划，有各工种劳动力安排计划，劳动力投入合理，满足施工需要</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（5）确保工程质量的技术组织措施（满分5分）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确保工程质量的技术组织措施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2）提供有专门的质量技术管理班子和制度，且人员配备合理，制度健全的，得1分；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3）提供有专门的质量技术管理班子和制度，且人员配备合理，制度健全。主要工序应有质量技术保证措施和手段的，得3分；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4）提供有专门的质量技术管理班子和制度，且人员配备合理，制度健全。主要工序应有质量技术保证措施和手段，自控体系完整，能有效保证技术质量，达到承诺的质量标准的，得5分。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（6）确保安全生产的技术组织措施（满分5分）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1）未提供有</w:t>
            </w:r>
            <w:r>
              <w:rPr>
                <w:rFonts w:hint="eastAsia" w:ascii="宋体" w:hAnsi="宋体" w:eastAsia="宋体" w:cs="宋体"/>
                <w:bCs/>
                <w:color w:val="auto"/>
                <w:kern w:val="2"/>
                <w:sz w:val="21"/>
                <w:szCs w:val="21"/>
                <w:highlight w:val="none"/>
                <w:lang w:val="en-US" w:eastAsia="zh-CN"/>
              </w:rPr>
              <w:t>确保安全生产的技术组织措施</w:t>
            </w:r>
            <w:r>
              <w:rPr>
                <w:rFonts w:hint="eastAsia" w:ascii="宋体" w:hAnsi="宋体" w:eastAsia="宋体" w:cs="宋体"/>
                <w:bCs/>
                <w:color w:val="auto"/>
                <w:sz w:val="21"/>
                <w:szCs w:val="21"/>
                <w:highlight w:val="none"/>
                <w:lang w:val="en-US" w:eastAsia="zh-CN"/>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2）提供有专门的安全管理人员和制度，且人员配备合理，制度健全的，得1分；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3）提供有专门的安全管理人员和制度，且人员配备合理，制度健全，各道工序安全技术措施有针对性的，得3分；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4）提供有专门的安全管理人员和制度，且人员配备合理，制度健全，各道工序安全技术措施针对性强，符合实际且满足有关安全技术标准要求。现场防火、应急救援、社会治安安全措施得力的，得5分。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（7）确保工期的技术组织措施（满分5分）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确保工期的技术组织措施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2）在施工工艺、施工方法、材料选用、劳动力安排、技术等方面有保证工期的具体措施且措施得当的，得1分；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3）在施工工艺、施工方法、材料选用、劳动力安排、技术等方面有保证工期的具体措施且措施得当。有控制工期的施工进度计划的，得3分；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在施工工艺、施工方法、材料选用、劳动力安排、技术等方面有保证工期的具体措施且措施得当。有控制工期的施工进度计划。应有施工总进度表或施工网络图，各项计划图表编制完善，安排科学合理，符合本项目施工实际要求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（8）确保文明施工的技术组织措施（满分5分）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确保文明施工的技术组织措施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2）提供有现场文明施工、环境保护措施的，得1分；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3）应有现场文明施工、环境保护措施，且各项措施周全、具体、有效的，得3分；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4）针对本工程项目特点，提供有现场文明施工、环境保护措施，且各项措施周全、具体、有效。有具体实现现场文明施工目标的承诺的，得5分。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（9）工程施工的重点和难点及保证措施（满分5分）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工程施工的重点和难点及保证措施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2）提供有针对本工程的特点，阐述有工程的重点和难点的，得1分；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3）提供有针对本工程的特点，阐述本工程的重点和难点，提供有解决方法的，得3分；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4）提供有针对本工程的特点，阐述本工程的重点和难点，解决重点和难点问题的方法且方法合理的，得5分。</w:t>
            </w:r>
          </w:p>
        </w:tc>
        <w:tc>
          <w:tcPr>
            <w:tcW w:w="760" w:type="dxa"/>
            <w:noWrap w:val="0"/>
            <w:vAlign w:val="center"/>
          </w:tcPr>
          <w:p>
            <w:pPr>
              <w:keepNext w:val="0"/>
              <w:keepLines w:val="0"/>
              <w:pageBreakBefore w:val="0"/>
              <w:kinsoku/>
              <w:wordWrap w:val="0"/>
              <w:overflowPunct/>
              <w:topLinePunct w:val="0"/>
              <w:bidi w:val="0"/>
              <w:snapToGrid/>
              <w:spacing w:line="32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jc w:val="center"/>
        </w:trPr>
        <w:tc>
          <w:tcPr>
            <w:tcW w:w="847" w:type="dxa"/>
            <w:noWrap w:val="0"/>
            <w:vAlign w:val="center"/>
          </w:tcPr>
          <w:p>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116" w:type="dxa"/>
            <w:noWrap w:val="0"/>
            <w:vAlign w:val="center"/>
          </w:tcPr>
          <w:p>
            <w:pPr>
              <w:keepNext w:val="0"/>
              <w:keepLines w:val="0"/>
              <w:pageBreakBefore w:val="0"/>
              <w:kinsoku/>
              <w:wordWrap w:val="0"/>
              <w:overflowPunct/>
              <w:topLinePunct w:val="0"/>
              <w:autoSpaceDE/>
              <w:autoSpaceDN/>
              <w:bidi w:val="0"/>
              <w:adjustRightInd w:val="0"/>
              <w:snapToGrid/>
              <w:spacing w:line="320" w:lineRule="exact"/>
              <w:jc w:val="center"/>
              <w:textAlignment w:val="baseline"/>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rPr>
              <w:t>项目管理机构配备分</w:t>
            </w:r>
          </w:p>
        </w:tc>
        <w:tc>
          <w:tcPr>
            <w:tcW w:w="6750" w:type="dxa"/>
            <w:noWrap w:val="0"/>
            <w:vAlign w:val="center"/>
          </w:tcPr>
          <w:p>
            <w:pPr>
              <w:pStyle w:val="13"/>
              <w:keepNext w:val="0"/>
              <w:keepLines w:val="0"/>
              <w:pageBreakBefore w:val="0"/>
              <w:numPr>
                <w:ilvl w:val="0"/>
                <w:numId w:val="8"/>
              </w:numPr>
              <w:kinsoku/>
              <w:wordWrap w:val="0"/>
              <w:overflowPunct/>
              <w:topLinePunct w:val="0"/>
              <w:autoSpaceDE/>
              <w:autoSpaceDN/>
              <w:bidi w:val="0"/>
              <w:snapToGrid/>
              <w:spacing w:line="320" w:lineRule="exact"/>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项目经理情况（满分5分）：</w:t>
            </w:r>
          </w:p>
          <w:p>
            <w:pPr>
              <w:pStyle w:val="13"/>
              <w:keepNext w:val="0"/>
              <w:keepLines w:val="0"/>
              <w:pageBreakBefore w:val="0"/>
              <w:numPr>
                <w:ilvl w:val="0"/>
                <w:numId w:val="0"/>
              </w:numPr>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投标人附上</w:t>
            </w:r>
            <w:r>
              <w:rPr>
                <w:rFonts w:hint="eastAsia" w:ascii="宋体" w:hAnsi="宋体" w:eastAsia="宋体" w:cs="宋体"/>
                <w:bCs/>
                <w:color w:val="auto"/>
                <w:kern w:val="2"/>
                <w:sz w:val="21"/>
                <w:szCs w:val="21"/>
                <w:highlight w:val="none"/>
                <w:lang w:val="en-US" w:eastAsia="zh-CN"/>
              </w:rPr>
              <w:t>项目经理注册建造师注册证书复印件、安全生产考核合格证书（B类）复印件并</w:t>
            </w:r>
            <w:r>
              <w:rPr>
                <w:rFonts w:hint="eastAsia" w:hAnsi="宋体" w:eastAsia="宋体" w:cs="宋体"/>
                <w:bCs/>
                <w:color w:val="auto"/>
                <w:kern w:val="2"/>
                <w:sz w:val="21"/>
                <w:szCs w:val="21"/>
                <w:highlight w:val="none"/>
                <w:lang w:val="en-US" w:eastAsia="zh-CN"/>
              </w:rPr>
              <w:t>附上</w:t>
            </w:r>
            <w:r>
              <w:rPr>
                <w:rFonts w:hint="eastAsia" w:ascii="宋体" w:hAnsi="宋体" w:eastAsia="宋体" w:cs="宋体"/>
                <w:color w:val="auto"/>
                <w:sz w:val="21"/>
                <w:szCs w:val="21"/>
                <w:highlight w:val="none"/>
              </w:rPr>
              <w:t>项目经理投标截止前半年内在现任职单位依法缴纳连续3个月的社会保险证明材料复印件</w:t>
            </w:r>
            <w:r>
              <w:rPr>
                <w:rFonts w:hint="eastAsia" w:ascii="宋体" w:hAnsi="宋体" w:eastAsia="宋体" w:cs="宋体"/>
                <w:bCs/>
                <w:color w:val="auto"/>
                <w:kern w:val="2"/>
                <w:sz w:val="21"/>
                <w:szCs w:val="21"/>
                <w:highlight w:val="none"/>
                <w:lang w:val="en-US" w:eastAsia="zh-CN"/>
              </w:rPr>
              <w:t>，以上复印件均须加盖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bCs/>
                <w:color w:val="auto"/>
                <w:kern w:val="2"/>
                <w:sz w:val="21"/>
                <w:szCs w:val="21"/>
                <w:highlight w:val="none"/>
                <w:lang w:val="en-US" w:eastAsia="zh-CN"/>
              </w:rPr>
              <w:t>单位公章；</w:t>
            </w:r>
          </w:p>
          <w:p>
            <w:pPr>
              <w:pStyle w:val="13"/>
              <w:keepNext w:val="0"/>
              <w:keepLines w:val="0"/>
              <w:pageBreakBefore w:val="0"/>
              <w:kinsoku/>
              <w:wordWrap w:val="0"/>
              <w:overflowPunct/>
              <w:topLinePunct w:val="0"/>
              <w:autoSpaceDE/>
              <w:autoSpaceDN/>
              <w:bidi w:val="0"/>
              <w:snapToGrid/>
              <w:spacing w:line="320" w:lineRule="exact"/>
              <w:ind w:firstLine="413" w:firstLineChars="197"/>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①项目经理职称（满分5分）：具有建筑工程专业中级以上（含中级）职称的得5分。</w:t>
            </w:r>
          </w:p>
          <w:p>
            <w:pPr>
              <w:pStyle w:val="13"/>
              <w:keepNext w:val="0"/>
              <w:keepLines w:val="0"/>
              <w:pageBreakBefore w:val="0"/>
              <w:numPr>
                <w:ilvl w:val="0"/>
                <w:numId w:val="9"/>
              </w:numPr>
              <w:kinsoku/>
              <w:wordWrap w:val="0"/>
              <w:overflowPunct/>
              <w:topLinePunct w:val="0"/>
              <w:autoSpaceDE/>
              <w:autoSpaceDN/>
              <w:bidi w:val="0"/>
              <w:snapToGrid/>
              <w:spacing w:line="320" w:lineRule="exact"/>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项目</w:t>
            </w:r>
            <w:r>
              <w:rPr>
                <w:rFonts w:hint="eastAsia" w:ascii="宋体" w:hAnsi="宋体" w:eastAsia="宋体" w:cs="宋体"/>
                <w:b/>
                <w:bCs w:val="0"/>
                <w:color w:val="auto"/>
                <w:kern w:val="0"/>
                <w:sz w:val="21"/>
                <w:szCs w:val="21"/>
                <w:highlight w:val="none"/>
              </w:rPr>
              <w:t>技术负责人</w:t>
            </w:r>
            <w:r>
              <w:rPr>
                <w:rFonts w:hint="eastAsia" w:ascii="宋体" w:hAnsi="宋体" w:eastAsia="宋体" w:cs="宋体"/>
                <w:b/>
                <w:bCs w:val="0"/>
                <w:color w:val="auto"/>
                <w:kern w:val="0"/>
                <w:sz w:val="21"/>
                <w:szCs w:val="21"/>
                <w:highlight w:val="none"/>
                <w:lang w:val="en-US" w:eastAsia="zh-CN"/>
              </w:rPr>
              <w:t>情况</w:t>
            </w:r>
            <w:r>
              <w:rPr>
                <w:rFonts w:hint="eastAsia" w:ascii="宋体" w:hAnsi="宋体" w:eastAsia="宋体" w:cs="宋体"/>
                <w:b/>
                <w:bCs w:val="0"/>
                <w:color w:val="auto"/>
                <w:kern w:val="0"/>
                <w:sz w:val="21"/>
                <w:szCs w:val="21"/>
                <w:highlight w:val="none"/>
              </w:rPr>
              <w:t>（满分</w:t>
            </w:r>
            <w:r>
              <w:rPr>
                <w:rFonts w:hint="eastAsia" w:hAnsi="宋体" w:eastAsia="宋体" w:cs="宋体"/>
                <w:b/>
                <w:bCs w:val="0"/>
                <w:color w:val="auto"/>
                <w:kern w:val="0"/>
                <w:sz w:val="21"/>
                <w:szCs w:val="21"/>
                <w:highlight w:val="none"/>
                <w:lang w:val="en-US" w:eastAsia="zh-CN"/>
              </w:rPr>
              <w:t>6</w:t>
            </w:r>
            <w:r>
              <w:rPr>
                <w:rFonts w:hint="eastAsia" w:ascii="宋体" w:hAnsi="宋体" w:eastAsia="宋体" w:cs="宋体"/>
                <w:b/>
                <w:bCs w:val="0"/>
                <w:color w:val="auto"/>
                <w:kern w:val="0"/>
                <w:sz w:val="21"/>
                <w:szCs w:val="21"/>
                <w:highlight w:val="none"/>
              </w:rPr>
              <w:t>分）：</w:t>
            </w:r>
          </w:p>
          <w:p>
            <w:pPr>
              <w:pStyle w:val="13"/>
              <w:keepNext w:val="0"/>
              <w:keepLines w:val="0"/>
              <w:pageBreakBefore w:val="0"/>
              <w:numPr>
                <w:ilvl w:val="0"/>
                <w:numId w:val="0"/>
              </w:numPr>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0"/>
                <w:sz w:val="21"/>
                <w:szCs w:val="21"/>
                <w:highlight w:val="none"/>
              </w:rPr>
            </w:pPr>
            <w:r>
              <w:rPr>
                <w:rFonts w:hint="eastAsia" w:hAnsi="宋体" w:eastAsia="宋体" w:cs="宋体"/>
                <w:bCs/>
                <w:color w:val="auto"/>
                <w:kern w:val="2"/>
                <w:sz w:val="21"/>
                <w:szCs w:val="21"/>
                <w:highlight w:val="none"/>
                <w:lang w:val="en-US" w:eastAsia="zh-CN"/>
              </w:rPr>
              <w:t>投标人</w:t>
            </w:r>
            <w:r>
              <w:rPr>
                <w:rFonts w:hint="eastAsia" w:hAnsi="宋体" w:eastAsia="宋体" w:cs="宋体"/>
                <w:bCs/>
                <w:color w:val="auto"/>
                <w:kern w:val="0"/>
                <w:sz w:val="21"/>
                <w:szCs w:val="21"/>
                <w:highlight w:val="none"/>
                <w:lang w:val="en-US" w:eastAsia="zh-CN"/>
              </w:rPr>
              <w:t>附上</w:t>
            </w:r>
            <w:r>
              <w:rPr>
                <w:rFonts w:hint="eastAsia" w:ascii="宋体" w:hAnsi="宋体" w:eastAsia="宋体" w:cs="宋体"/>
                <w:bCs/>
                <w:color w:val="auto"/>
                <w:kern w:val="0"/>
                <w:sz w:val="21"/>
                <w:szCs w:val="21"/>
                <w:highlight w:val="none"/>
                <w:lang w:val="en-US" w:eastAsia="zh-CN"/>
              </w:rPr>
              <w:t>项目技术负责人职称证书复印件</w:t>
            </w:r>
            <w:r>
              <w:rPr>
                <w:rFonts w:hint="eastAsia" w:ascii="宋体" w:hAnsi="宋体" w:eastAsia="宋体" w:cs="宋体"/>
                <w:bCs/>
                <w:color w:val="auto"/>
                <w:kern w:val="2"/>
                <w:sz w:val="21"/>
                <w:szCs w:val="21"/>
                <w:highlight w:val="none"/>
                <w:lang w:val="en-US" w:eastAsia="zh-CN"/>
              </w:rPr>
              <w:t>并</w:t>
            </w:r>
            <w:r>
              <w:rPr>
                <w:rFonts w:hint="eastAsia" w:hAnsi="宋体" w:eastAsia="宋体" w:cs="宋体"/>
                <w:bCs/>
                <w:color w:val="auto"/>
                <w:kern w:val="2"/>
                <w:sz w:val="21"/>
                <w:szCs w:val="21"/>
                <w:highlight w:val="none"/>
                <w:lang w:val="en-US" w:eastAsia="zh-CN"/>
              </w:rPr>
              <w:t>附上</w:t>
            </w:r>
            <w:r>
              <w:rPr>
                <w:rFonts w:hint="eastAsia" w:ascii="宋体" w:hAnsi="宋体" w:eastAsia="宋体" w:cs="宋体"/>
                <w:bCs/>
                <w:color w:val="auto"/>
                <w:kern w:val="2"/>
                <w:sz w:val="21"/>
                <w:szCs w:val="21"/>
                <w:highlight w:val="none"/>
                <w:lang w:val="en-US" w:eastAsia="zh-CN"/>
              </w:rPr>
              <w:t>项目技术负责人投标截止前半年内</w:t>
            </w:r>
            <w:r>
              <w:rPr>
                <w:rFonts w:hint="eastAsia" w:ascii="宋体" w:hAnsi="宋体" w:eastAsia="宋体" w:cs="宋体"/>
                <w:color w:val="auto"/>
                <w:sz w:val="21"/>
                <w:szCs w:val="21"/>
                <w:highlight w:val="none"/>
              </w:rPr>
              <w:t>在现任职单位依法缴纳连续3个月的社会保险证明材料复印件</w:t>
            </w:r>
            <w:r>
              <w:rPr>
                <w:rFonts w:hint="eastAsia" w:ascii="宋体" w:hAnsi="宋体" w:eastAsia="宋体" w:cs="宋体"/>
                <w:color w:val="auto"/>
                <w:sz w:val="21"/>
                <w:szCs w:val="21"/>
                <w:highlight w:val="none"/>
                <w:lang w:val="en-US" w:eastAsia="zh-CN"/>
              </w:rPr>
              <w:t>，以上复印件均须加盖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单位公章</w:t>
            </w:r>
            <w:r>
              <w:rPr>
                <w:rFonts w:hint="eastAsia" w:ascii="宋体" w:hAnsi="宋体" w:eastAsia="宋体" w:cs="宋体"/>
                <w:bCs/>
                <w:color w:val="auto"/>
                <w:kern w:val="0"/>
                <w:sz w:val="21"/>
                <w:szCs w:val="21"/>
                <w:highlight w:val="none"/>
                <w:lang w:val="en-US" w:eastAsia="zh-CN"/>
              </w:rPr>
              <w:t>；</w:t>
            </w:r>
          </w:p>
          <w:p>
            <w:pPr>
              <w:pStyle w:val="13"/>
              <w:keepNext w:val="0"/>
              <w:keepLines w:val="0"/>
              <w:pageBreakBefore w:val="0"/>
              <w:numPr>
                <w:ilvl w:val="0"/>
                <w:numId w:val="0"/>
              </w:numPr>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①技术负责人职称（满分</w:t>
            </w:r>
            <w:r>
              <w:rPr>
                <w:rFonts w:hint="eastAsia"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0"/>
                <w:sz w:val="21"/>
                <w:szCs w:val="21"/>
                <w:highlight w:val="none"/>
                <w:lang w:eastAsia="zh-CN"/>
              </w:rPr>
              <w:t>：具有建筑工程相关专业</w:t>
            </w:r>
            <w:r>
              <w:rPr>
                <w:rFonts w:hint="eastAsia" w:ascii="宋体" w:hAnsi="宋体" w:eastAsia="宋体" w:cs="宋体"/>
                <w:bCs/>
                <w:color w:val="auto"/>
                <w:kern w:val="0"/>
                <w:sz w:val="21"/>
                <w:szCs w:val="21"/>
                <w:highlight w:val="none"/>
              </w:rPr>
              <w:t>中级</w:t>
            </w:r>
            <w:r>
              <w:rPr>
                <w:rFonts w:hint="eastAsia" w:ascii="宋体" w:hAnsi="宋体" w:eastAsia="宋体" w:cs="宋体"/>
                <w:bCs/>
                <w:color w:val="auto"/>
                <w:kern w:val="0"/>
                <w:sz w:val="21"/>
                <w:szCs w:val="21"/>
                <w:highlight w:val="none"/>
                <w:lang w:val="en-US" w:eastAsia="zh-CN"/>
              </w:rPr>
              <w:t>以上</w:t>
            </w:r>
            <w:r>
              <w:rPr>
                <w:rFonts w:hint="eastAsia" w:ascii="宋体" w:hAnsi="宋体" w:eastAsia="宋体" w:cs="宋体"/>
                <w:bCs/>
                <w:color w:val="auto"/>
                <w:kern w:val="0"/>
                <w:sz w:val="21"/>
                <w:szCs w:val="21"/>
                <w:highlight w:val="none"/>
              </w:rPr>
              <w:t>（含中级）职称的</w:t>
            </w:r>
            <w:r>
              <w:rPr>
                <w:rFonts w:hint="eastAsia" w:ascii="宋体" w:hAnsi="宋体" w:eastAsia="宋体" w:cs="宋体"/>
                <w:bCs/>
                <w:color w:val="auto"/>
                <w:kern w:val="0"/>
                <w:sz w:val="21"/>
                <w:szCs w:val="21"/>
                <w:highlight w:val="none"/>
                <w:lang w:eastAsia="zh-CN"/>
              </w:rPr>
              <w:t>得</w:t>
            </w:r>
            <w:r>
              <w:rPr>
                <w:rFonts w:hint="eastAsia"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，其他专业得</w:t>
            </w:r>
            <w:r>
              <w:rPr>
                <w:rFonts w:hint="eastAsia" w:ascii="宋体" w:hAnsi="宋体" w:eastAsia="宋体" w:cs="宋体"/>
                <w:bCs/>
                <w:color w:val="auto"/>
                <w:kern w:val="0"/>
                <w:sz w:val="21"/>
                <w:szCs w:val="21"/>
                <w:highlight w:val="none"/>
                <w:lang w:val="en-US" w:eastAsia="zh-CN"/>
              </w:rPr>
              <w:t>2分。</w:t>
            </w:r>
          </w:p>
          <w:p>
            <w:pPr>
              <w:pStyle w:val="13"/>
              <w:keepNext w:val="0"/>
              <w:keepLines w:val="0"/>
              <w:pageBreakBefore w:val="0"/>
              <w:numPr>
                <w:ilvl w:val="0"/>
                <w:numId w:val="9"/>
              </w:numPr>
              <w:kinsoku/>
              <w:wordWrap w:val="0"/>
              <w:overflowPunct/>
              <w:topLinePunct w:val="0"/>
              <w:autoSpaceDE/>
              <w:autoSpaceDN/>
              <w:bidi w:val="0"/>
              <w:snapToGrid/>
              <w:spacing w:line="320" w:lineRule="exact"/>
              <w:ind w:left="0" w:leftChars="0" w:firstLine="0" w:firstLineChars="0"/>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其他主要管理人员情况（满分</w:t>
            </w:r>
            <w:r>
              <w:rPr>
                <w:rFonts w:hint="eastAsia"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kern w:val="2"/>
                <w:sz w:val="21"/>
                <w:szCs w:val="21"/>
                <w:highlight w:val="none"/>
                <w:lang w:val="en-US" w:eastAsia="zh-CN"/>
              </w:rPr>
              <w:t>分）</w:t>
            </w:r>
          </w:p>
          <w:p>
            <w:pPr>
              <w:pStyle w:val="13"/>
              <w:keepNext w:val="0"/>
              <w:keepLines w:val="0"/>
              <w:pageBreakBefore w:val="0"/>
              <w:kinsoku/>
              <w:wordWrap w:val="0"/>
              <w:overflowPunct/>
              <w:topLinePunct w:val="0"/>
              <w:autoSpaceDE/>
              <w:autoSpaceDN/>
              <w:bidi w:val="0"/>
              <w:snapToGrid/>
              <w:spacing w:line="320" w:lineRule="exact"/>
              <w:ind w:firstLine="413" w:firstLineChars="197"/>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拟投入本工程的施工员、质量员、专职安全员、材料员中有中级工程师以上（含中级工程师）职称的</w:t>
            </w:r>
            <w:r>
              <w:rPr>
                <w:rFonts w:hint="eastAsia" w:hAnsi="宋体" w:eastAsia="宋体" w:cs="宋体"/>
                <w:bCs/>
                <w:color w:val="auto"/>
                <w:kern w:val="2"/>
                <w:sz w:val="21"/>
                <w:szCs w:val="21"/>
                <w:highlight w:val="none"/>
                <w:lang w:val="en-US" w:eastAsia="zh-CN"/>
              </w:rPr>
              <w:t>(提供</w:t>
            </w:r>
            <w:r>
              <w:rPr>
                <w:rFonts w:hint="eastAsia" w:ascii="宋体" w:hAnsi="宋体" w:eastAsia="宋体" w:cs="宋体"/>
                <w:bCs/>
                <w:color w:val="auto"/>
                <w:kern w:val="2"/>
                <w:sz w:val="21"/>
                <w:szCs w:val="21"/>
                <w:highlight w:val="none"/>
                <w:lang w:val="en-US" w:eastAsia="zh-CN"/>
              </w:rPr>
              <w:t>投标截止前半年内在现任职单位依法缴纳连续</w:t>
            </w:r>
            <w:r>
              <w:rPr>
                <w:rFonts w:hint="eastAsia" w:hAnsi="宋体" w:eastAsia="宋体" w:cs="宋体"/>
                <w:bCs/>
                <w:color w:val="auto"/>
                <w:kern w:val="2"/>
                <w:sz w:val="21"/>
                <w:szCs w:val="21"/>
                <w:highlight w:val="none"/>
                <w:lang w:val="en-US" w:eastAsia="zh-CN"/>
              </w:rPr>
              <w:t>近</w:t>
            </w:r>
            <w:r>
              <w:rPr>
                <w:rFonts w:hint="eastAsia" w:ascii="宋体" w:hAnsi="宋体" w:eastAsia="宋体" w:cs="宋体"/>
                <w:bCs/>
                <w:color w:val="auto"/>
                <w:kern w:val="2"/>
                <w:sz w:val="21"/>
                <w:szCs w:val="21"/>
                <w:highlight w:val="none"/>
                <w:lang w:val="en-US" w:eastAsia="zh-CN"/>
              </w:rPr>
              <w:t>3个月的社会保险证明材料复印件并</w:t>
            </w:r>
            <w:r>
              <w:rPr>
                <w:rFonts w:hint="eastAsia" w:hAnsi="宋体" w:eastAsia="宋体" w:cs="宋体"/>
                <w:bCs/>
                <w:color w:val="auto"/>
                <w:kern w:val="2"/>
                <w:sz w:val="21"/>
                <w:szCs w:val="21"/>
                <w:highlight w:val="none"/>
                <w:lang w:val="en-US" w:eastAsia="zh-CN"/>
              </w:rPr>
              <w:t>附</w:t>
            </w:r>
            <w:r>
              <w:rPr>
                <w:rFonts w:hint="eastAsia" w:ascii="宋体" w:hAnsi="宋体" w:eastAsia="宋体" w:cs="宋体"/>
                <w:bCs/>
                <w:color w:val="auto"/>
                <w:kern w:val="2"/>
                <w:sz w:val="21"/>
                <w:szCs w:val="21"/>
                <w:highlight w:val="none"/>
                <w:lang w:val="en-US" w:eastAsia="zh-CN"/>
              </w:rPr>
              <w:t>以上各岗位人员资格证件</w:t>
            </w:r>
            <w:r>
              <w:rPr>
                <w:rFonts w:hint="eastAsia" w:hAnsi="宋体" w:eastAsia="宋体" w:cs="宋体"/>
                <w:bCs/>
                <w:color w:val="auto"/>
                <w:kern w:val="2"/>
                <w:sz w:val="21"/>
                <w:szCs w:val="21"/>
                <w:highlight w:val="none"/>
                <w:lang w:val="en-US" w:eastAsia="zh-CN"/>
              </w:rPr>
              <w:t>的）</w:t>
            </w:r>
            <w:r>
              <w:rPr>
                <w:rFonts w:hint="eastAsia" w:ascii="宋体" w:hAnsi="宋体" w:eastAsia="宋体" w:cs="宋体"/>
                <w:bCs/>
                <w:color w:val="auto"/>
                <w:kern w:val="2"/>
                <w:sz w:val="21"/>
                <w:szCs w:val="21"/>
                <w:highlight w:val="none"/>
                <w:lang w:val="en-US" w:eastAsia="zh-CN"/>
              </w:rPr>
              <w:t>，每人得</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分，满分</w:t>
            </w:r>
            <w:r>
              <w:rPr>
                <w:rFonts w:hint="eastAsia"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en-US" w:eastAsia="zh-CN"/>
              </w:rPr>
              <w:t>分。</w:t>
            </w:r>
          </w:p>
        </w:tc>
        <w:tc>
          <w:tcPr>
            <w:tcW w:w="760" w:type="dxa"/>
            <w:noWrap w:val="0"/>
            <w:vAlign w:val="center"/>
          </w:tcPr>
          <w:p>
            <w:pPr>
              <w:keepNext w:val="0"/>
              <w:keepLines w:val="0"/>
              <w:pageBreakBefore w:val="0"/>
              <w:kinsoku/>
              <w:wordWrap w:val="0"/>
              <w:overflowPunct/>
              <w:topLinePunct w:val="0"/>
              <w:autoSpaceDE/>
              <w:autoSpaceDN/>
              <w:bidi w:val="0"/>
              <w:snapToGrid/>
              <w:spacing w:line="32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47"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16"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tc>
        <w:tc>
          <w:tcPr>
            <w:tcW w:w="7510" w:type="dxa"/>
            <w:gridSpan w:val="2"/>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47"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tc>
        <w:tc>
          <w:tcPr>
            <w:tcW w:w="1116" w:type="dxa"/>
            <w:noWrap w:val="0"/>
            <w:vAlign w:val="center"/>
          </w:tcPr>
          <w:p>
            <w:pPr>
              <w:keepNext w:val="0"/>
              <w:keepLines w:val="0"/>
              <w:pageBreakBefore w:val="0"/>
              <w:widowControl/>
              <w:kinsoku/>
              <w:wordWrap w:val="0"/>
              <w:overflowPunct/>
              <w:topLinePunct w:val="0"/>
              <w:autoSpaceDE/>
              <w:autoSpaceDN/>
              <w:bidi w:val="0"/>
              <w:snapToGrid/>
              <w:spacing w:line="320" w:lineRule="exact"/>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信誉分</w:t>
            </w:r>
          </w:p>
        </w:tc>
        <w:tc>
          <w:tcPr>
            <w:tcW w:w="6750" w:type="dxa"/>
            <w:noWrap w:val="0"/>
            <w:vAlign w:val="top"/>
          </w:tcPr>
          <w:p>
            <w:pPr>
              <w:pStyle w:val="13"/>
              <w:keepNext w:val="0"/>
              <w:keepLines w:val="0"/>
              <w:pageBreakBefore w:val="0"/>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sz w:val="21"/>
                <w:szCs w:val="21"/>
                <w:highlight w:val="none"/>
                <w:lang w:val="en-US" w:eastAsia="zh-CN"/>
              </w:rPr>
            </w:pP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具有质量管理体系认证</w:t>
            </w:r>
            <w:r>
              <w:rPr>
                <w:rFonts w:hint="eastAsia" w:hAnsi="宋体" w:eastAsia="宋体" w:cs="宋体"/>
                <w:color w:val="auto"/>
                <w:kern w:val="2"/>
                <w:sz w:val="21"/>
                <w:szCs w:val="21"/>
                <w:highlight w:val="none"/>
                <w:lang w:val="en-US" w:eastAsia="zh-CN"/>
              </w:rPr>
              <w:t>、环境管理体系认证、职业健康安全管理体系认证</w:t>
            </w:r>
            <w:r>
              <w:rPr>
                <w:rFonts w:hint="eastAsia" w:ascii="宋体" w:hAnsi="宋体" w:eastAsia="宋体" w:cs="宋体"/>
                <w:color w:val="auto"/>
                <w:kern w:val="2"/>
                <w:sz w:val="21"/>
                <w:szCs w:val="21"/>
                <w:highlight w:val="none"/>
                <w:lang w:val="en-US" w:eastAsia="zh-CN"/>
              </w:rPr>
              <w:t>的每得一项得</w:t>
            </w:r>
            <w:r>
              <w:rPr>
                <w:rFonts w:hint="eastAsia"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分，满分</w:t>
            </w:r>
            <w:r>
              <w:rPr>
                <w:rFonts w:hint="eastAsia"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分（以提供相关认证证书复印件为准并加盖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公章）。</w:t>
            </w:r>
          </w:p>
        </w:tc>
        <w:tc>
          <w:tcPr>
            <w:tcW w:w="760" w:type="dxa"/>
            <w:vMerge w:val="restart"/>
            <w:noWrap w:val="0"/>
            <w:vAlign w:val="center"/>
          </w:tcPr>
          <w:p>
            <w:pPr>
              <w:keepNext w:val="0"/>
              <w:keepLines w:val="0"/>
              <w:pageBreakBefore w:val="0"/>
              <w:widowControl/>
              <w:kinsoku/>
              <w:wordWrap w:val="0"/>
              <w:overflowPunct/>
              <w:topLinePunct w:val="0"/>
              <w:autoSpaceDE/>
              <w:autoSpaceDN/>
              <w:bidi w:val="0"/>
              <w:snapToGrid/>
              <w:spacing w:line="320" w:lineRule="exact"/>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47"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116" w:type="dxa"/>
            <w:noWrap w:val="0"/>
            <w:vAlign w:val="center"/>
          </w:tcPr>
          <w:p>
            <w:pPr>
              <w:pStyle w:val="13"/>
              <w:keepNext w:val="0"/>
              <w:keepLines w:val="0"/>
              <w:pageBreakBefore w:val="0"/>
              <w:kinsoku/>
              <w:wordWrap w:val="0"/>
              <w:overflowPunct/>
              <w:topLinePunct w:val="0"/>
              <w:autoSpaceDE/>
              <w:autoSpaceDN/>
              <w:bidi w:val="0"/>
              <w:snapToGrid/>
              <w:spacing w:line="320" w:lineRule="exact"/>
              <w:ind w:firstLine="210" w:firstLineChars="100"/>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业绩分</w:t>
            </w:r>
          </w:p>
        </w:tc>
        <w:tc>
          <w:tcPr>
            <w:tcW w:w="6750" w:type="dxa"/>
            <w:noWrap w:val="0"/>
            <w:vAlign w:val="top"/>
          </w:tcPr>
          <w:p>
            <w:pPr>
              <w:pStyle w:val="13"/>
              <w:keepNext w:val="0"/>
              <w:keepLines w:val="0"/>
              <w:pageBreakBefore w:val="0"/>
              <w:kinsoku/>
              <w:wordWrap w:val="0"/>
              <w:overflowPunct/>
              <w:topLinePunct w:val="0"/>
              <w:autoSpaceDE/>
              <w:autoSpaceDN/>
              <w:bidi w:val="0"/>
              <w:snapToGrid/>
              <w:spacing w:line="320" w:lineRule="exact"/>
              <w:ind w:firstLine="413" w:firstLineChars="197"/>
              <w:outlineLvl w:val="9"/>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2019年1月1日起至投标截止时间止企业完成过质量合格的类似工程施工业绩（以合同或中标通知书或竣工验收书为准），每个得1分，满分4分。</w:t>
            </w:r>
          </w:p>
        </w:tc>
        <w:tc>
          <w:tcPr>
            <w:tcW w:w="760" w:type="dxa"/>
            <w:vMerge w:val="continue"/>
            <w:noWrap w:val="0"/>
            <w:vAlign w:val="center"/>
          </w:tcPr>
          <w:p>
            <w:pPr>
              <w:keepNext w:val="0"/>
              <w:keepLines w:val="0"/>
              <w:pageBreakBefore w:val="0"/>
              <w:widowControl/>
              <w:kinsoku/>
              <w:wordWrap w:val="0"/>
              <w:overflowPunct/>
              <w:topLinePunct w:val="0"/>
              <w:autoSpaceDE/>
              <w:autoSpaceDN/>
              <w:bidi w:val="0"/>
              <w:snapToGrid/>
              <w:spacing w:line="320" w:lineRule="exact"/>
              <w:jc w:val="center"/>
              <w:outlineLvl w:val="9"/>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13" w:type="dxa"/>
            <w:gridSpan w:val="3"/>
            <w:noWrap w:val="0"/>
            <w:vAlign w:val="top"/>
          </w:tcPr>
          <w:p>
            <w:pPr>
              <w:pStyle w:val="13"/>
              <w:keepNext w:val="0"/>
              <w:keepLines w:val="0"/>
              <w:pageBreakBefore w:val="0"/>
              <w:kinsoku/>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总得分＝1＋2＋3</w:t>
            </w:r>
          </w:p>
        </w:tc>
        <w:tc>
          <w:tcPr>
            <w:tcW w:w="760"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 w:val="21"/>
                <w:szCs w:val="21"/>
                <w:highlight w:val="none"/>
              </w:rPr>
            </w:pPr>
          </w:p>
        </w:tc>
      </w:tr>
    </w:tbl>
    <w:p>
      <w:pPr>
        <w:pStyle w:val="2"/>
        <w:keepNext w:val="0"/>
        <w:keepLines w:val="0"/>
        <w:pageBreakBefore w:val="0"/>
        <w:kinsoku/>
        <w:overflowPunct/>
        <w:topLinePunct w:val="0"/>
        <w:bidi w:val="0"/>
        <w:snapToGrid/>
        <w:spacing w:line="320" w:lineRule="exact"/>
        <w:outlineLvl w:val="9"/>
        <w:rPr>
          <w:rFonts w:hint="eastAsia" w:ascii="宋体" w:hAnsi="宋体" w:eastAsia="宋体" w:cs="宋体"/>
          <w:color w:val="auto"/>
          <w:sz w:val="21"/>
          <w:szCs w:val="21"/>
          <w:highlight w:val="none"/>
          <w:lang w:val="en-US" w:eastAsia="zh-CN"/>
        </w:rPr>
      </w:pPr>
    </w:p>
    <w:p>
      <w:pPr>
        <w:pStyle w:val="29"/>
        <w:ind w:left="0" w:leftChars="0" w:firstLine="0" w:firstLine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注：1.计分方法按四舍五入取至百分位；</w:t>
      </w:r>
    </w:p>
    <w:p>
      <w:pPr>
        <w:rPr>
          <w:rFonts w:hint="eastAsia" w:ascii="宋体" w:hAnsi="宋体" w:eastAsia="宋体" w:cs="宋体"/>
          <w:color w:val="auto"/>
          <w:sz w:val="21"/>
          <w:szCs w:val="21"/>
          <w:highlight w:val="none"/>
          <w:lang w:eastAsia="zh-CN"/>
        </w:rPr>
      </w:pPr>
    </w:p>
    <w:p>
      <w:pPr>
        <w:pStyle w:val="17"/>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after="0" w:line="340" w:lineRule="exact"/>
        <w:textAlignment w:val="auto"/>
        <w:outlineLvl w:val="9"/>
        <w:rPr>
          <w:rFonts w:hint="eastAsia" w:ascii="宋体" w:hAnsi="宋体" w:eastAsia="宋体" w:cs="宋体"/>
          <w:color w:val="auto"/>
          <w:spacing w:val="0"/>
          <w:w w:val="100"/>
          <w:position w:val="0"/>
          <w:sz w:val="21"/>
          <w:szCs w:val="21"/>
          <w:highlight w:val="none"/>
        </w:rPr>
      </w:pPr>
    </w:p>
    <w:p>
      <w:pPr>
        <w:rPr>
          <w:rFonts w:hint="eastAsia" w:ascii="宋体" w:hAnsi="宋体" w:cs="宋体"/>
          <w:b/>
          <w:bCs/>
          <w:color w:val="auto"/>
          <w:spacing w:val="0"/>
          <w:w w:val="100"/>
          <w:position w:val="0"/>
          <w:sz w:val="28"/>
          <w:szCs w:val="28"/>
          <w:highlight w:val="none"/>
          <w:lang w:eastAsia="zh-CN"/>
        </w:rPr>
      </w:pPr>
      <w:r>
        <w:rPr>
          <w:rFonts w:hint="eastAsia" w:ascii="宋体" w:hAnsi="宋体" w:cs="宋体"/>
          <w:b/>
          <w:bCs/>
          <w:color w:val="auto"/>
          <w:spacing w:val="0"/>
          <w:w w:val="100"/>
          <w:position w:val="0"/>
          <w:sz w:val="28"/>
          <w:szCs w:val="28"/>
          <w:highlight w:val="none"/>
          <w:lang w:eastAsia="zh-CN"/>
        </w:rPr>
        <w:br w:type="page"/>
      </w:r>
    </w:p>
    <w:p>
      <w:pPr>
        <w:jc w:val="center"/>
        <w:outlineLvl w:val="9"/>
        <w:rPr>
          <w:rFonts w:hint="eastAsia" w:ascii="宋体" w:hAnsi="宋体" w:cs="宋体"/>
          <w:b/>
          <w:bCs/>
          <w:color w:val="auto"/>
          <w:spacing w:val="0"/>
          <w:w w:val="100"/>
          <w:position w:val="0"/>
          <w:sz w:val="28"/>
          <w:szCs w:val="28"/>
          <w:highlight w:val="none"/>
          <w:lang w:eastAsia="zh-CN"/>
        </w:rPr>
      </w:pPr>
      <w:r>
        <w:rPr>
          <w:rFonts w:hint="eastAsia" w:ascii="宋体" w:hAnsi="宋体" w:cs="宋体"/>
          <w:b/>
          <w:bCs/>
          <w:color w:val="auto"/>
          <w:spacing w:val="0"/>
          <w:w w:val="100"/>
          <w:position w:val="0"/>
          <w:sz w:val="28"/>
          <w:szCs w:val="28"/>
          <w:highlight w:val="none"/>
          <w:lang w:eastAsia="zh-CN"/>
        </w:rPr>
        <w:t>四、中标候选人推荐原则</w:t>
      </w:r>
    </w:p>
    <w:p>
      <w:pPr>
        <w:spacing w:line="242" w:lineRule="auto"/>
        <w:outlineLvl w:val="9"/>
        <w:rPr>
          <w:rFonts w:hint="eastAsia" w:ascii="宋体" w:hAnsi="宋体" w:eastAsia="宋体" w:cs="宋体"/>
          <w:color w:val="auto"/>
          <w:sz w:val="21"/>
          <w:szCs w:val="21"/>
          <w:highlight w:val="none"/>
        </w:rPr>
      </w:pPr>
    </w:p>
    <w:p>
      <w:pPr>
        <w:spacing w:line="242" w:lineRule="auto"/>
        <w:outlineLvl w:val="9"/>
        <w:rPr>
          <w:rFonts w:hint="eastAsia" w:ascii="宋体" w:hAnsi="宋体" w:eastAsia="宋体" w:cs="宋体"/>
          <w:color w:val="auto"/>
          <w:sz w:val="21"/>
          <w:szCs w:val="21"/>
          <w:highlight w:val="none"/>
        </w:rPr>
      </w:pPr>
    </w:p>
    <w:p>
      <w:pPr>
        <w:jc w:val="left"/>
        <w:outlineLvl w:val="9"/>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 xml:space="preserve"> 综合评分法：</w:t>
      </w:r>
    </w:p>
    <w:p>
      <w:pPr>
        <w:spacing w:before="178"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评</w:t>
      </w:r>
      <w:r>
        <w:rPr>
          <w:rFonts w:hint="eastAsia" w:ascii="宋体" w:hAnsi="宋体" w:eastAsia="宋体" w:cs="宋体"/>
          <w:color w:val="auto"/>
          <w:spacing w:val="12"/>
          <w:sz w:val="21"/>
          <w:szCs w:val="21"/>
          <w:highlight w:val="none"/>
        </w:rPr>
        <w:t>标</w:t>
      </w:r>
      <w:r>
        <w:rPr>
          <w:rFonts w:hint="eastAsia" w:ascii="宋体" w:hAnsi="宋体" w:eastAsia="宋体" w:cs="宋体"/>
          <w:color w:val="auto"/>
          <w:spacing w:val="9"/>
          <w:sz w:val="21"/>
          <w:szCs w:val="21"/>
          <w:highlight w:val="none"/>
        </w:rPr>
        <w:t>委员会将根据总得分由高到低排列次序并推荐中标候选人。得分相同的，按投标报价由低到高顺</w:t>
      </w:r>
      <w:r>
        <w:rPr>
          <w:rFonts w:hint="eastAsia" w:ascii="宋体" w:hAnsi="宋体" w:eastAsia="宋体" w:cs="宋体"/>
          <w:color w:val="auto"/>
          <w:spacing w:val="18"/>
          <w:sz w:val="21"/>
          <w:szCs w:val="21"/>
          <w:highlight w:val="none"/>
        </w:rPr>
        <w:t>序</w:t>
      </w:r>
      <w:r>
        <w:rPr>
          <w:rFonts w:hint="eastAsia" w:ascii="宋体" w:hAnsi="宋体" w:eastAsia="宋体" w:cs="宋体"/>
          <w:color w:val="auto"/>
          <w:spacing w:val="17"/>
          <w:sz w:val="21"/>
          <w:szCs w:val="21"/>
          <w:highlight w:val="none"/>
        </w:rPr>
        <w:t>排</w:t>
      </w:r>
      <w:r>
        <w:rPr>
          <w:rFonts w:hint="eastAsia" w:ascii="宋体" w:hAnsi="宋体" w:eastAsia="宋体" w:cs="宋体"/>
          <w:color w:val="auto"/>
          <w:spacing w:val="9"/>
          <w:sz w:val="21"/>
          <w:szCs w:val="21"/>
          <w:highlight w:val="none"/>
        </w:rPr>
        <w:t>列。得分且投标报价相同的并列。投标文件满足招标文件全部实质性要求，且按照评审因素的量化指</w:t>
      </w:r>
      <w:r>
        <w:rPr>
          <w:rFonts w:hint="eastAsia" w:ascii="宋体" w:hAnsi="宋体" w:eastAsia="宋体" w:cs="宋体"/>
          <w:color w:val="auto"/>
          <w:spacing w:val="12"/>
          <w:sz w:val="21"/>
          <w:szCs w:val="21"/>
          <w:highlight w:val="none"/>
        </w:rPr>
        <w:t>标</w:t>
      </w:r>
      <w:r>
        <w:rPr>
          <w:rFonts w:hint="eastAsia" w:ascii="宋体" w:hAnsi="宋体" w:eastAsia="宋体" w:cs="宋体"/>
          <w:color w:val="auto"/>
          <w:spacing w:val="9"/>
          <w:sz w:val="21"/>
          <w:szCs w:val="21"/>
          <w:highlight w:val="none"/>
        </w:rPr>
        <w:t>评审得分最高的投标人为排名第一的中标候选人。</w:t>
      </w: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jc w:val="center"/>
        <w:textAlignment w:val="auto"/>
        <w:outlineLvl w:val="0"/>
        <w:rPr>
          <w:rFonts w:hint="eastAsia" w:ascii="宋体" w:hAnsi="宋体" w:eastAsia="宋体" w:cs="宋体"/>
          <w:b/>
          <w:bCs/>
          <w:color w:val="auto"/>
          <w:sz w:val="32"/>
          <w:szCs w:val="32"/>
          <w:highlight w:val="none"/>
          <w:lang w:val="en-US" w:eastAsia="zh-CN"/>
        </w:rPr>
      </w:pPr>
      <w:bookmarkStart w:id="62" w:name="_Toc1663"/>
      <w:bookmarkStart w:id="63" w:name="_Toc24986"/>
      <w:bookmarkStart w:id="64" w:name="_Toc16772"/>
      <w:r>
        <w:rPr>
          <w:rFonts w:hint="eastAsia" w:ascii="宋体" w:hAnsi="宋体" w:eastAsia="宋体" w:cs="宋体"/>
          <w:b/>
          <w:bCs/>
          <w:color w:val="auto"/>
          <w:sz w:val="32"/>
          <w:szCs w:val="32"/>
          <w:highlight w:val="none"/>
          <w:lang w:val="en-US" w:eastAsia="zh-CN"/>
        </w:rPr>
        <w:t>合同条款及格式</w:t>
      </w:r>
      <w:bookmarkEnd w:id="62"/>
      <w:bookmarkEnd w:id="63"/>
      <w:bookmarkEnd w:id="64"/>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13"/>
        <w:snapToGrid w:val="0"/>
        <w:spacing w:before="120" w:after="120"/>
        <w:jc w:val="center"/>
        <w:rPr>
          <w:rFonts w:hint="eastAsia"/>
          <w:b/>
          <w:color w:val="auto"/>
          <w:sz w:val="32"/>
          <w:szCs w:val="32"/>
          <w:highlight w:val="none"/>
        </w:rPr>
      </w:pPr>
      <w:r>
        <w:rPr>
          <w:rFonts w:hint="eastAsia"/>
          <w:b/>
          <w:color w:val="auto"/>
          <w:sz w:val="32"/>
          <w:szCs w:val="32"/>
          <w:highlight w:val="none"/>
        </w:rPr>
        <w:t>（仅供参考，由双方按实际情况调整）</w:t>
      </w: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br w:type="page"/>
      </w:r>
    </w:p>
    <w:p>
      <w:pPr>
        <w:pStyle w:val="5"/>
        <w:spacing w:before="200" w:after="200" w:line="400" w:lineRule="exact"/>
        <w:jc w:val="center"/>
        <w:rPr>
          <w:color w:val="auto"/>
        </w:rPr>
      </w:pPr>
      <w:bookmarkStart w:id="65" w:name="_Toc296503025"/>
      <w:bookmarkStart w:id="66" w:name="_Toc296890982"/>
      <w:bookmarkStart w:id="67" w:name="_Toc351203480"/>
      <w:bookmarkStart w:id="68" w:name="_Toc433883632"/>
      <w:bookmarkStart w:id="69" w:name="_Toc45007875"/>
      <w:r>
        <w:rPr>
          <w:color w:val="auto"/>
        </w:rPr>
        <w:t>第一部分 合同协议书</w:t>
      </w:r>
      <w:bookmarkEnd w:id="65"/>
      <w:bookmarkEnd w:id="66"/>
      <w:bookmarkEnd w:id="67"/>
      <w:bookmarkEnd w:id="68"/>
      <w:bookmarkEnd w:id="69"/>
    </w:p>
    <w:p>
      <w:pPr>
        <w:spacing w:line="400" w:lineRule="exact"/>
        <w:rPr>
          <w:rFonts w:ascii="宋体" w:hAnsi="宋体"/>
          <w:b/>
          <w:color w:val="auto"/>
          <w:szCs w:val="21"/>
          <w:u w:val="single"/>
        </w:rPr>
      </w:pPr>
      <w:r>
        <w:rPr>
          <w:rFonts w:ascii="宋体" w:hAnsi="宋体"/>
          <w:b/>
          <w:color w:val="auto"/>
          <w:szCs w:val="21"/>
        </w:rPr>
        <w:t>发包人（全称）：</w:t>
      </w:r>
      <w:r>
        <w:rPr>
          <w:rFonts w:hint="eastAsia" w:ascii="宋体" w:hAnsi="宋体" w:cs="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cs="宋体"/>
          <w:b/>
          <w:color w:val="auto"/>
          <w:szCs w:val="21"/>
          <w:u w:val="single"/>
        </w:rPr>
        <w:t></w:t>
      </w:r>
      <w:r>
        <w:rPr>
          <w:rFonts w:hint="eastAsia" w:ascii="宋体" w:hAnsi="宋体"/>
          <w:b/>
          <w:color w:val="auto"/>
          <w:szCs w:val="21"/>
          <w:u w:val="single"/>
        </w:rPr>
        <w:t xml:space="preserve">      </w:t>
      </w:r>
      <w:r>
        <w:rPr>
          <w:rFonts w:hint="eastAsia" w:ascii="宋体" w:hAnsi="宋体" w:cs="宋体"/>
          <w:b/>
          <w:color w:val="auto"/>
          <w:szCs w:val="21"/>
          <w:u w:val="single"/>
        </w:rPr>
        <w:t></w:t>
      </w:r>
    </w:p>
    <w:p>
      <w:pPr>
        <w:spacing w:line="400" w:lineRule="exact"/>
        <w:rPr>
          <w:rFonts w:ascii="宋体" w:hAnsi="宋体"/>
          <w:b/>
          <w:color w:val="auto"/>
          <w:szCs w:val="21"/>
          <w:u w:val="single"/>
        </w:rPr>
      </w:pPr>
      <w:r>
        <w:rPr>
          <w:rFonts w:ascii="宋体" w:hAnsi="宋体"/>
          <w:b/>
          <w:color w:val="auto"/>
          <w:szCs w:val="21"/>
        </w:rPr>
        <w:t>承包人（全称）：</w:t>
      </w:r>
      <w:r>
        <w:rPr>
          <w:rFonts w:hint="eastAsia" w:ascii="宋体" w:hAnsi="宋体" w:cs="宋体"/>
          <w:b/>
          <w:color w:val="auto"/>
          <w:szCs w:val="21"/>
          <w:u w:val="single"/>
        </w:rPr>
        <w:t></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cs="宋体"/>
          <w:b/>
          <w:color w:val="auto"/>
          <w:szCs w:val="21"/>
          <w:u w:val="single"/>
        </w:rPr>
        <w:t></w:t>
      </w:r>
      <w:r>
        <w:rPr>
          <w:rFonts w:hint="eastAsia" w:ascii="宋体" w:hAnsi="宋体"/>
          <w:b/>
          <w:color w:val="auto"/>
          <w:szCs w:val="21"/>
          <w:u w:val="single"/>
        </w:rPr>
        <w:t xml:space="preserve">   </w:t>
      </w:r>
      <w:r>
        <w:rPr>
          <w:rFonts w:ascii="宋体" w:hAnsi="宋体"/>
          <w:b/>
          <w:color w:val="auto"/>
          <w:szCs w:val="21"/>
          <w:u w:val="single"/>
        </w:rPr>
        <w:t xml:space="preserve"> </w:t>
      </w:r>
      <w:r>
        <w:rPr>
          <w:rFonts w:hint="eastAsia" w:ascii="宋体" w:hAnsi="宋体"/>
          <w:b/>
          <w:color w:val="auto"/>
          <w:szCs w:val="21"/>
          <w:u w:val="single"/>
        </w:rPr>
        <w:t xml:space="preserve">  </w:t>
      </w:r>
      <w:r>
        <w:rPr>
          <w:rFonts w:hint="eastAsia" w:ascii="宋体" w:hAnsi="宋体" w:cs="宋体"/>
          <w:b/>
          <w:color w:val="auto"/>
          <w:szCs w:val="21"/>
          <w:u w:val="single"/>
        </w:rPr>
        <w:t></w:t>
      </w:r>
    </w:p>
    <w:p>
      <w:pPr>
        <w:spacing w:line="400" w:lineRule="exact"/>
        <w:ind w:firstLine="420" w:firstLineChars="200"/>
        <w:rPr>
          <w:rFonts w:ascii="宋体" w:hAnsi="宋体"/>
          <w:color w:val="auto"/>
          <w:szCs w:val="21"/>
        </w:rPr>
      </w:pPr>
      <w:r>
        <w:rPr>
          <w:rFonts w:ascii="宋体" w:hAnsi="宋体"/>
          <w:color w:val="auto"/>
          <w:szCs w:val="21"/>
        </w:rPr>
        <w:t>根据《</w:t>
      </w:r>
      <w:r>
        <w:rPr>
          <w:rFonts w:hint="eastAsia" w:ascii="宋体" w:hAnsi="宋体"/>
          <w:color w:val="auto"/>
          <w:szCs w:val="21"/>
        </w:rPr>
        <w:t>中华人民共和国民法典</w:t>
      </w:r>
      <w:r>
        <w:rPr>
          <w:rFonts w:ascii="宋体" w:hAnsi="宋体"/>
          <w:color w:val="auto"/>
          <w:szCs w:val="21"/>
        </w:rPr>
        <w:t>》、《中华人民共和国建筑法》及有关法律规定，遵循平等、自愿、公平和诚实信用的原则，双方就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w:t>
      </w:r>
      <w:r>
        <w:rPr>
          <w:rFonts w:hint="eastAsia" w:ascii="宋体" w:hAnsi="宋体"/>
          <w:color w:val="auto"/>
          <w:szCs w:val="21"/>
        </w:rPr>
        <w:t>，</w:t>
      </w:r>
      <w:r>
        <w:rPr>
          <w:rFonts w:ascii="宋体" w:hAnsi="宋体"/>
          <w:color w:val="auto"/>
          <w:szCs w:val="21"/>
        </w:rPr>
        <w:t>共同达成如下协议：</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r>
        <w:rPr>
          <w:rFonts w:ascii="宋体" w:hAnsi="宋体" w:eastAsia="宋体"/>
          <w:b w:val="0"/>
          <w:color w:val="auto"/>
          <w:sz w:val="21"/>
          <w:szCs w:val="21"/>
        </w:rPr>
        <w:t xml:space="preserve"> </w:t>
      </w:r>
      <w:bookmarkStart w:id="70" w:name="_Toc351203481"/>
      <w:r>
        <w:rPr>
          <w:rFonts w:ascii="宋体" w:hAnsi="宋体" w:eastAsia="宋体"/>
          <w:b w:val="0"/>
          <w:color w:val="auto"/>
          <w:sz w:val="21"/>
          <w:szCs w:val="21"/>
        </w:rPr>
        <w:t>一、工程概况</w:t>
      </w:r>
      <w:bookmarkEnd w:id="70"/>
    </w:p>
    <w:p>
      <w:pPr>
        <w:spacing w:line="400" w:lineRule="exact"/>
        <w:ind w:firstLine="411" w:firstLineChars="196"/>
        <w:rPr>
          <w:rFonts w:ascii="宋体" w:hAnsi="宋体"/>
          <w:color w:val="auto"/>
          <w:szCs w:val="21"/>
          <w:u w:val="single"/>
        </w:rPr>
      </w:pPr>
      <w:r>
        <w:rPr>
          <w:rFonts w:ascii="宋体" w:hAnsi="宋体"/>
          <w:bCs/>
          <w:color w:val="auto"/>
          <w:szCs w:val="21"/>
        </w:rPr>
        <w:t>1.工程名称</w:t>
      </w:r>
      <w:r>
        <w:rPr>
          <w:rFonts w:ascii="宋体" w:hAnsi="宋体"/>
          <w:color w:val="auto"/>
          <w:szCs w:val="21"/>
        </w:rPr>
        <w:t>：</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11" w:firstLineChars="196"/>
        <w:rPr>
          <w:rFonts w:ascii="宋体" w:hAnsi="宋体"/>
          <w:bCs/>
          <w:color w:val="auto"/>
          <w:szCs w:val="21"/>
        </w:rPr>
      </w:pPr>
      <w:r>
        <w:rPr>
          <w:rFonts w:ascii="宋体" w:hAnsi="宋体"/>
          <w:bCs/>
          <w:color w:val="auto"/>
          <w:szCs w:val="21"/>
        </w:rPr>
        <w:t>2.工程地点：</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11" w:firstLineChars="196"/>
        <w:rPr>
          <w:rFonts w:ascii="宋体" w:hAnsi="宋体"/>
          <w:bCs/>
          <w:color w:val="auto"/>
          <w:szCs w:val="21"/>
        </w:rPr>
      </w:pPr>
      <w:r>
        <w:rPr>
          <w:rFonts w:ascii="宋体" w:hAnsi="宋体"/>
          <w:bCs/>
          <w:color w:val="auto"/>
          <w:szCs w:val="21"/>
        </w:rPr>
        <w:t>3.工程立项批准文号：</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bCs/>
          <w:color w:val="auto"/>
          <w:szCs w:val="21"/>
        </w:rPr>
        <w:t>。</w:t>
      </w:r>
    </w:p>
    <w:p>
      <w:pPr>
        <w:spacing w:line="400" w:lineRule="exact"/>
        <w:ind w:firstLine="411" w:firstLineChars="196"/>
        <w:rPr>
          <w:rFonts w:hint="eastAsia" w:ascii="宋体" w:hAnsi="宋体"/>
          <w:bCs/>
          <w:color w:val="auto"/>
          <w:szCs w:val="21"/>
        </w:rPr>
      </w:pPr>
      <w:r>
        <w:rPr>
          <w:rFonts w:ascii="宋体" w:hAnsi="宋体"/>
          <w:bCs/>
          <w:color w:val="auto"/>
          <w:szCs w:val="21"/>
        </w:rPr>
        <w:t>4.资金来源：</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bCs/>
          <w:color w:val="auto"/>
          <w:szCs w:val="21"/>
        </w:rPr>
        <w:t>。</w:t>
      </w:r>
    </w:p>
    <w:p>
      <w:pPr>
        <w:spacing w:line="400" w:lineRule="exact"/>
        <w:ind w:firstLine="411" w:firstLineChars="196"/>
        <w:rPr>
          <w:rFonts w:hint="eastAsia" w:ascii="宋体" w:hAnsi="宋体"/>
          <w:bCs/>
          <w:color w:val="auto"/>
          <w:szCs w:val="21"/>
        </w:rPr>
      </w:pPr>
      <w:r>
        <w:rPr>
          <w:rFonts w:hint="eastAsia" w:ascii="宋体" w:hAnsi="宋体"/>
          <w:bCs/>
          <w:color w:val="auto"/>
          <w:szCs w:val="21"/>
        </w:rPr>
        <w:t>5.工程内容：</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bCs/>
          <w:color w:val="auto"/>
          <w:szCs w:val="21"/>
        </w:rPr>
        <w:t>。</w:t>
      </w:r>
    </w:p>
    <w:p>
      <w:pPr>
        <w:spacing w:line="400" w:lineRule="exact"/>
        <w:ind w:firstLine="411" w:firstLineChars="196"/>
        <w:rPr>
          <w:rFonts w:ascii="宋体" w:hAnsi="宋体"/>
          <w:bCs/>
          <w:color w:val="auto"/>
          <w:szCs w:val="21"/>
        </w:rPr>
      </w:pPr>
      <w:r>
        <w:rPr>
          <w:rFonts w:hint="eastAsia" w:ascii="宋体" w:hAnsi="宋体"/>
          <w:color w:val="auto"/>
          <w:szCs w:val="21"/>
        </w:rPr>
        <w:t>群体工程应附《</w:t>
      </w:r>
      <w:r>
        <w:rPr>
          <w:rFonts w:ascii="宋体" w:hAnsi="宋体"/>
          <w:color w:val="auto"/>
          <w:szCs w:val="21"/>
        </w:rPr>
        <w:t>承包人承揽工程项目一览表</w:t>
      </w:r>
      <w:r>
        <w:rPr>
          <w:rFonts w:hint="eastAsia" w:ascii="宋体" w:hAnsi="宋体"/>
          <w:color w:val="auto"/>
          <w:szCs w:val="21"/>
        </w:rPr>
        <w:t>》（附件1）。</w:t>
      </w:r>
    </w:p>
    <w:p>
      <w:pPr>
        <w:spacing w:line="400" w:lineRule="exact"/>
        <w:ind w:firstLine="411" w:firstLineChars="196"/>
        <w:rPr>
          <w:rFonts w:ascii="宋体" w:hAnsi="宋体"/>
          <w:color w:val="auto"/>
          <w:szCs w:val="21"/>
        </w:rPr>
      </w:pPr>
      <w:r>
        <w:rPr>
          <w:rFonts w:hint="eastAsia" w:ascii="宋体" w:hAnsi="宋体"/>
          <w:bCs/>
          <w:color w:val="auto"/>
          <w:szCs w:val="21"/>
        </w:rPr>
        <w:t>6</w:t>
      </w:r>
      <w:r>
        <w:rPr>
          <w:rFonts w:ascii="宋体" w:hAnsi="宋体"/>
          <w:bCs/>
          <w:color w:val="auto"/>
          <w:szCs w:val="21"/>
        </w:rPr>
        <w:t>.工程承包范围：</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1" w:name="_Toc351203482"/>
      <w:r>
        <w:rPr>
          <w:rFonts w:ascii="宋体" w:hAnsi="宋体" w:eastAsia="宋体"/>
          <w:bCs w:val="0"/>
          <w:color w:val="auto"/>
          <w:sz w:val="21"/>
          <w:szCs w:val="21"/>
        </w:rPr>
        <w:t>二、合同工期</w:t>
      </w:r>
      <w:bookmarkEnd w:id="71"/>
    </w:p>
    <w:p>
      <w:pPr>
        <w:spacing w:line="400" w:lineRule="exact"/>
        <w:ind w:firstLine="459"/>
        <w:rPr>
          <w:rFonts w:ascii="宋体" w:hAnsi="宋体"/>
          <w:color w:val="auto"/>
          <w:szCs w:val="21"/>
        </w:rPr>
      </w:pPr>
      <w:r>
        <w:rPr>
          <w:rFonts w:ascii="宋体" w:hAnsi="宋体"/>
          <w:color w:val="auto"/>
          <w:szCs w:val="21"/>
        </w:rPr>
        <w:t>计划开工日期：</w:t>
      </w:r>
      <w:r>
        <w:rPr>
          <w:rFonts w:hint="eastAsia" w:ascii="宋体" w:hAnsi="宋体" w:cs="宋体"/>
          <w:color w:val="auto"/>
          <w:szCs w:val="21"/>
          <w:u w:val="single"/>
        </w:rPr>
        <w:t></w:t>
      </w:r>
      <w:r>
        <w:rPr>
          <w:rFonts w:ascii="宋体" w:hAnsi="宋体"/>
          <w:color w:val="auto"/>
          <w:szCs w:val="21"/>
        </w:rPr>
        <w:t>年</w:t>
      </w:r>
      <w:r>
        <w:rPr>
          <w:rFonts w:hint="eastAsia" w:ascii="宋体" w:hAnsi="宋体" w:cs="宋体"/>
          <w:color w:val="auto"/>
          <w:szCs w:val="21"/>
          <w:u w:val="single"/>
        </w:rPr>
        <w:t></w:t>
      </w:r>
      <w:r>
        <w:rPr>
          <w:rFonts w:ascii="宋体" w:hAnsi="宋体"/>
          <w:color w:val="auto"/>
          <w:szCs w:val="21"/>
        </w:rPr>
        <w:t>月</w:t>
      </w:r>
      <w:r>
        <w:rPr>
          <w:rFonts w:hint="eastAsia" w:ascii="宋体" w:hAnsi="宋体" w:cs="宋体"/>
          <w:color w:val="auto"/>
          <w:szCs w:val="21"/>
          <w:u w:val="single"/>
        </w:rPr>
        <w:t></w:t>
      </w:r>
      <w:r>
        <w:rPr>
          <w:rFonts w:ascii="宋体" w:hAnsi="宋体"/>
          <w:color w:val="auto"/>
          <w:szCs w:val="21"/>
        </w:rPr>
        <w:t>日。</w:t>
      </w:r>
    </w:p>
    <w:p>
      <w:pPr>
        <w:spacing w:line="400" w:lineRule="exact"/>
        <w:ind w:firstLine="459"/>
        <w:rPr>
          <w:rFonts w:ascii="宋体" w:hAnsi="宋体"/>
          <w:color w:val="auto"/>
          <w:szCs w:val="21"/>
        </w:rPr>
      </w:pPr>
      <w:r>
        <w:rPr>
          <w:rFonts w:ascii="宋体" w:hAnsi="宋体"/>
          <w:color w:val="auto"/>
          <w:szCs w:val="21"/>
        </w:rPr>
        <w:t>计划竣工日期：</w:t>
      </w:r>
      <w:r>
        <w:rPr>
          <w:rFonts w:hint="eastAsia" w:ascii="宋体" w:hAnsi="宋体" w:cs="宋体"/>
          <w:color w:val="auto"/>
          <w:szCs w:val="21"/>
          <w:u w:val="single"/>
        </w:rPr>
        <w:t></w:t>
      </w:r>
      <w:r>
        <w:rPr>
          <w:rFonts w:ascii="宋体" w:hAnsi="宋体"/>
          <w:color w:val="auto"/>
          <w:szCs w:val="21"/>
        </w:rPr>
        <w:t>年</w:t>
      </w:r>
      <w:r>
        <w:rPr>
          <w:rFonts w:hint="eastAsia" w:ascii="宋体" w:hAnsi="宋体" w:cs="宋体"/>
          <w:color w:val="auto"/>
          <w:szCs w:val="21"/>
          <w:u w:val="single"/>
        </w:rPr>
        <w:t></w:t>
      </w:r>
      <w:r>
        <w:rPr>
          <w:rFonts w:ascii="宋体" w:hAnsi="宋体"/>
          <w:color w:val="auto"/>
          <w:szCs w:val="21"/>
        </w:rPr>
        <w:t>月</w:t>
      </w:r>
      <w:r>
        <w:rPr>
          <w:rFonts w:hint="eastAsia" w:ascii="宋体" w:hAnsi="宋体" w:cs="宋体"/>
          <w:color w:val="auto"/>
          <w:szCs w:val="21"/>
          <w:u w:val="single"/>
        </w:rPr>
        <w:t></w:t>
      </w:r>
      <w:r>
        <w:rPr>
          <w:rFonts w:ascii="宋体" w:hAnsi="宋体"/>
          <w:color w:val="auto"/>
          <w:szCs w:val="21"/>
        </w:rPr>
        <w:t>日。</w:t>
      </w:r>
    </w:p>
    <w:p>
      <w:pPr>
        <w:spacing w:line="400" w:lineRule="exact"/>
        <w:ind w:firstLine="459"/>
        <w:rPr>
          <w:rFonts w:ascii="宋体" w:hAnsi="宋体"/>
          <w:color w:val="auto"/>
          <w:szCs w:val="21"/>
        </w:rPr>
      </w:pPr>
      <w:r>
        <w:rPr>
          <w:rFonts w:ascii="宋体" w:hAnsi="宋体"/>
          <w:color w:val="auto"/>
          <w:szCs w:val="21"/>
        </w:rPr>
        <w:t>工期总日历天数：</w:t>
      </w:r>
      <w:r>
        <w:rPr>
          <w:rFonts w:hint="eastAsia" w:ascii="宋体" w:hAnsi="宋体" w:cs="宋体"/>
          <w:color w:val="auto"/>
          <w:szCs w:val="21"/>
          <w:u w:val="single"/>
        </w:rPr>
        <w:t></w:t>
      </w:r>
      <w:r>
        <w:rPr>
          <w:rFonts w:ascii="宋体" w:hAnsi="宋体"/>
          <w:color w:val="auto"/>
          <w:szCs w:val="21"/>
        </w:rPr>
        <w:t>天。工期总日历天数与根据前述计划开竣工日期计算的工期天数不一致的，以工期总日历天数为准。</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2" w:name="_Toc351203483"/>
      <w:r>
        <w:rPr>
          <w:rFonts w:ascii="宋体" w:hAnsi="宋体" w:eastAsia="宋体"/>
          <w:bCs w:val="0"/>
          <w:color w:val="auto"/>
          <w:sz w:val="21"/>
          <w:szCs w:val="21"/>
        </w:rPr>
        <w:t>三、质量标准</w:t>
      </w:r>
      <w:bookmarkEnd w:id="72"/>
    </w:p>
    <w:p>
      <w:pPr>
        <w:spacing w:line="400" w:lineRule="exact"/>
        <w:ind w:firstLine="459"/>
        <w:rPr>
          <w:rFonts w:ascii="宋体" w:hAnsi="宋体"/>
          <w:color w:val="auto"/>
          <w:szCs w:val="21"/>
        </w:rPr>
      </w:pPr>
      <w:r>
        <w:rPr>
          <w:rFonts w:ascii="宋体" w:hAnsi="宋体"/>
          <w:color w:val="auto"/>
          <w:szCs w:val="21"/>
        </w:rPr>
        <w:t>工程质量符合</w:t>
      </w:r>
      <w:r>
        <w:rPr>
          <w:rFonts w:hint="eastAsia" w:ascii="宋体" w:hAnsi="宋体" w:cs="宋体"/>
          <w:color w:val="auto"/>
          <w:szCs w:val="21"/>
          <w:u w:val="single"/>
        </w:rPr>
        <w:t></w:t>
      </w:r>
      <w:r>
        <w:rPr>
          <w:rFonts w:ascii="宋体" w:hAnsi="宋体"/>
          <w:color w:val="auto"/>
          <w:szCs w:val="21"/>
        </w:rPr>
        <w:t>标准。</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3" w:name="_Toc351203484"/>
      <w:r>
        <w:rPr>
          <w:rFonts w:ascii="宋体" w:hAnsi="宋体" w:eastAsia="宋体"/>
          <w:bCs w:val="0"/>
          <w:color w:val="auto"/>
          <w:sz w:val="21"/>
          <w:szCs w:val="21"/>
        </w:rPr>
        <w:t>四、签约合同价与合同价格形式</w:t>
      </w:r>
      <w:bookmarkEnd w:id="73"/>
      <w:r>
        <w:rPr>
          <w:rFonts w:ascii="宋体" w:hAnsi="宋体" w:eastAsia="宋体"/>
          <w:bCs w:val="0"/>
          <w:color w:val="auto"/>
          <w:sz w:val="21"/>
          <w:szCs w:val="21"/>
        </w:rPr>
        <w:tab/>
      </w:r>
    </w:p>
    <w:p>
      <w:pPr>
        <w:spacing w:line="400" w:lineRule="exact"/>
        <w:ind w:firstLine="420" w:firstLineChars="200"/>
        <w:rPr>
          <w:rFonts w:ascii="宋体" w:hAnsi="宋体"/>
          <w:color w:val="auto"/>
          <w:szCs w:val="21"/>
        </w:rPr>
      </w:pPr>
      <w:r>
        <w:rPr>
          <w:rFonts w:ascii="宋体" w:hAnsi="宋体"/>
          <w:color w:val="auto"/>
          <w:szCs w:val="21"/>
        </w:rPr>
        <w:t>1.签约合同价为：</w:t>
      </w:r>
    </w:p>
    <w:p>
      <w:pPr>
        <w:spacing w:line="400" w:lineRule="exact"/>
        <w:ind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其中：</w:t>
      </w:r>
    </w:p>
    <w:p>
      <w:pPr>
        <w:spacing w:line="400" w:lineRule="exact"/>
        <w:ind w:firstLine="420" w:firstLineChars="200"/>
        <w:rPr>
          <w:rFonts w:ascii="宋体" w:hAnsi="宋体"/>
          <w:color w:val="auto"/>
          <w:szCs w:val="21"/>
        </w:rPr>
      </w:pPr>
      <w:r>
        <w:rPr>
          <w:rFonts w:ascii="宋体" w:hAnsi="宋体"/>
          <w:color w:val="auto"/>
          <w:szCs w:val="21"/>
        </w:rPr>
        <w:t>（1）安全文明施工费：</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（2）材料和工程设备暂估价金额：</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（3）专业工程暂估价金额：</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（4）暂列金额：</w:t>
      </w:r>
    </w:p>
    <w:p>
      <w:pPr>
        <w:spacing w:line="40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00" w:lineRule="exact"/>
        <w:ind w:firstLine="420" w:firstLineChars="200"/>
        <w:rPr>
          <w:rFonts w:ascii="宋体" w:hAnsi="宋体"/>
          <w:color w:val="auto"/>
          <w:szCs w:val="21"/>
        </w:rPr>
      </w:pPr>
      <w:r>
        <w:rPr>
          <w:rFonts w:ascii="宋体" w:hAnsi="宋体"/>
          <w:color w:val="auto"/>
          <w:szCs w:val="21"/>
        </w:rPr>
        <w:t>2.合同价格形式：</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4" w:name="_Toc351203485"/>
      <w:r>
        <w:rPr>
          <w:rFonts w:ascii="宋体" w:hAnsi="宋体" w:eastAsia="宋体"/>
          <w:bCs w:val="0"/>
          <w:color w:val="auto"/>
          <w:sz w:val="21"/>
          <w:szCs w:val="21"/>
        </w:rPr>
        <w:t>五、</w:t>
      </w:r>
      <w:bookmarkEnd w:id="74"/>
      <w:r>
        <w:rPr>
          <w:rFonts w:ascii="宋体" w:hAnsi="宋体" w:eastAsia="宋体"/>
          <w:bCs w:val="0"/>
          <w:color w:val="auto"/>
          <w:sz w:val="21"/>
          <w:szCs w:val="21"/>
        </w:rPr>
        <w:t>项目负责人</w:t>
      </w:r>
    </w:p>
    <w:p>
      <w:pPr>
        <w:spacing w:line="400" w:lineRule="exact"/>
        <w:ind w:firstLine="420" w:firstLineChars="200"/>
        <w:rPr>
          <w:rFonts w:ascii="宋体" w:hAnsi="宋体"/>
          <w:color w:val="auto"/>
          <w:szCs w:val="21"/>
        </w:rPr>
      </w:pPr>
      <w:r>
        <w:rPr>
          <w:rFonts w:ascii="宋体" w:hAnsi="宋体"/>
          <w:color w:val="auto"/>
          <w:szCs w:val="21"/>
        </w:rPr>
        <w:t>承包人项目负责人：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5" w:name="_Toc351203486"/>
      <w:r>
        <w:rPr>
          <w:rFonts w:ascii="宋体" w:hAnsi="宋体" w:eastAsia="宋体"/>
          <w:bCs w:val="0"/>
          <w:color w:val="auto"/>
          <w:sz w:val="21"/>
          <w:szCs w:val="21"/>
        </w:rPr>
        <w:t>六、合同文件构成</w:t>
      </w:r>
      <w:bookmarkEnd w:id="75"/>
    </w:p>
    <w:p>
      <w:pPr>
        <w:spacing w:line="400" w:lineRule="exact"/>
        <w:ind w:firstLine="420" w:firstLineChars="200"/>
        <w:rPr>
          <w:rFonts w:ascii="宋体" w:hAnsi="宋体"/>
          <w:bCs/>
          <w:color w:val="auto"/>
          <w:szCs w:val="21"/>
        </w:rPr>
      </w:pPr>
      <w:r>
        <w:rPr>
          <w:rFonts w:ascii="宋体" w:hAnsi="宋体"/>
          <w:bCs/>
          <w:color w:val="auto"/>
          <w:szCs w:val="21"/>
        </w:rPr>
        <w:t>本协议书与下列文件一起构成合同文件：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（1）中标通知书（如果有）；</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 xml:space="preserve">（2）投标函及其附录（如果有）； </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（3）专用合同条款及其附件；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（4）通用合同条款；</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（5）技术标准和要求；</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（6）图纸；</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（7）已标价工程量清单或预算书；</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（8）其他合同文件。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w:t>
      </w:r>
      <w:r>
        <w:rPr>
          <w:rFonts w:hint="eastAsia" w:ascii="宋体" w:hAnsi="宋体"/>
          <w:color w:val="auto"/>
          <w:szCs w:val="21"/>
        </w:rPr>
        <w:t>专用合同条款及其附件须经合同当事人签字或盖章。</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6" w:name="_Toc351203487"/>
      <w:r>
        <w:rPr>
          <w:rFonts w:ascii="宋体" w:hAnsi="宋体" w:eastAsia="宋体"/>
          <w:bCs w:val="0"/>
          <w:color w:val="auto"/>
          <w:sz w:val="21"/>
          <w:szCs w:val="21"/>
        </w:rPr>
        <w:t>七、承诺</w:t>
      </w:r>
      <w:bookmarkEnd w:id="76"/>
    </w:p>
    <w:p>
      <w:pPr>
        <w:spacing w:line="400" w:lineRule="exact"/>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pPr>
        <w:spacing w:line="400" w:lineRule="exact"/>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bCs/>
          <w:color w:val="auto"/>
          <w:szCs w:val="21"/>
        </w:rPr>
      </w:pPr>
      <w:r>
        <w:rPr>
          <w:rFonts w:ascii="宋体" w:hAnsi="宋体"/>
          <w:bCs/>
          <w:color w:val="auto"/>
          <w:szCs w:val="21"/>
        </w:rPr>
        <w:t>3.发包人和承包人通过招投标形式签订合同的，双方理解并</w:t>
      </w:r>
      <w:r>
        <w:rPr>
          <w:rFonts w:hint="eastAsia" w:ascii="宋体" w:hAnsi="宋体"/>
          <w:bCs/>
          <w:color w:val="auto"/>
          <w:szCs w:val="21"/>
        </w:rPr>
        <w:t>承诺</w:t>
      </w:r>
      <w:r>
        <w:rPr>
          <w:rFonts w:ascii="宋体" w:hAnsi="宋体"/>
          <w:bCs/>
          <w:color w:val="auto"/>
          <w:szCs w:val="21"/>
        </w:rPr>
        <w:t>不再就同一工程另行签订与合同实质性内容相背离的协议。</w:t>
      </w:r>
    </w:p>
    <w:p>
      <w:pPr>
        <w:pStyle w:val="6"/>
        <w:spacing w:before="120" w:after="120" w:line="400" w:lineRule="exact"/>
        <w:rPr>
          <w:rFonts w:ascii="宋体" w:hAnsi="宋体" w:eastAsia="宋体"/>
          <w:bCs w:val="0"/>
          <w:color w:val="auto"/>
          <w:sz w:val="21"/>
          <w:szCs w:val="21"/>
        </w:rPr>
      </w:pPr>
      <w:bookmarkStart w:id="77" w:name="_Toc351203488"/>
      <w:r>
        <w:rPr>
          <w:rFonts w:hint="eastAsia" w:ascii="宋体" w:hAnsi="宋体" w:eastAsia="宋体"/>
          <w:bCs w:val="0"/>
          <w:color w:val="auto"/>
          <w:sz w:val="21"/>
          <w:szCs w:val="21"/>
        </w:rPr>
        <w:t xml:space="preserve">    </w:t>
      </w:r>
      <w:r>
        <w:rPr>
          <w:rFonts w:ascii="宋体" w:hAnsi="宋体" w:eastAsia="宋体"/>
          <w:bCs w:val="0"/>
          <w:color w:val="auto"/>
          <w:sz w:val="21"/>
          <w:szCs w:val="21"/>
        </w:rPr>
        <w:t>八、词语含义</w:t>
      </w:r>
      <w:bookmarkEnd w:id="77"/>
    </w:p>
    <w:p>
      <w:pPr>
        <w:spacing w:line="400" w:lineRule="exact"/>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8" w:name="_Toc351203489"/>
      <w:r>
        <w:rPr>
          <w:rFonts w:ascii="宋体" w:hAnsi="宋体" w:eastAsia="宋体"/>
          <w:bCs w:val="0"/>
          <w:color w:val="auto"/>
          <w:sz w:val="21"/>
          <w:szCs w:val="21"/>
        </w:rPr>
        <w:t>九、签订时间</w:t>
      </w:r>
      <w:bookmarkEnd w:id="78"/>
    </w:p>
    <w:p>
      <w:pPr>
        <w:spacing w:line="400" w:lineRule="exact"/>
        <w:ind w:firstLine="420" w:firstLineChars="200"/>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79" w:name="_Toc351203490"/>
      <w:r>
        <w:rPr>
          <w:rFonts w:ascii="宋体" w:hAnsi="宋体" w:eastAsia="宋体"/>
          <w:bCs w:val="0"/>
          <w:color w:val="auto"/>
          <w:sz w:val="21"/>
          <w:szCs w:val="21"/>
        </w:rPr>
        <w:t>十、签订地点</w:t>
      </w:r>
      <w:bookmarkEnd w:id="79"/>
    </w:p>
    <w:p>
      <w:pPr>
        <w:spacing w:line="400" w:lineRule="exact"/>
        <w:ind w:firstLine="420" w:firstLineChars="200"/>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80" w:name="_Toc351203491"/>
      <w:r>
        <w:rPr>
          <w:rFonts w:ascii="宋体" w:hAnsi="宋体" w:eastAsia="宋体"/>
          <w:bCs w:val="0"/>
          <w:color w:val="auto"/>
          <w:sz w:val="21"/>
          <w:szCs w:val="21"/>
        </w:rPr>
        <w:t>十一、补充协议</w:t>
      </w:r>
      <w:bookmarkEnd w:id="80"/>
    </w:p>
    <w:p>
      <w:pPr>
        <w:spacing w:line="400" w:lineRule="exact"/>
        <w:ind w:firstLine="420" w:firstLineChars="200"/>
        <w:rPr>
          <w:rFonts w:ascii="宋体" w:hAnsi="宋体"/>
          <w:b/>
          <w:bCs/>
          <w:color w:val="auto"/>
          <w:szCs w:val="21"/>
        </w:rPr>
      </w:pPr>
      <w:r>
        <w:rPr>
          <w:rFonts w:ascii="宋体" w:hAnsi="宋体"/>
          <w:bCs/>
          <w:color w:val="auto"/>
          <w:szCs w:val="21"/>
        </w:rPr>
        <w:t>合同未尽事宜，合同当事人另行签订补充协议</w:t>
      </w:r>
      <w:r>
        <w:rPr>
          <w:rFonts w:hint="eastAsia" w:ascii="宋体" w:hAnsi="宋体"/>
          <w:bCs/>
          <w:color w:val="auto"/>
          <w:szCs w:val="21"/>
        </w:rPr>
        <w:t>，</w:t>
      </w:r>
      <w:r>
        <w:rPr>
          <w:rFonts w:ascii="宋体" w:hAnsi="宋体"/>
          <w:bCs/>
          <w:color w:val="auto"/>
          <w:szCs w:val="21"/>
        </w:rPr>
        <w:t>补充协议是合同的组成部分。</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81" w:name="_Toc351203492"/>
      <w:r>
        <w:rPr>
          <w:rFonts w:ascii="宋体" w:hAnsi="宋体" w:eastAsia="宋体"/>
          <w:bCs w:val="0"/>
          <w:color w:val="auto"/>
          <w:sz w:val="21"/>
          <w:szCs w:val="21"/>
        </w:rPr>
        <w:t>十二、合同生效</w:t>
      </w:r>
      <w:bookmarkEnd w:id="81"/>
    </w:p>
    <w:p>
      <w:pPr>
        <w:spacing w:line="400" w:lineRule="exact"/>
        <w:ind w:firstLine="420" w:firstLineChars="200"/>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pPr>
        <w:pStyle w:val="6"/>
        <w:spacing w:before="120" w:after="120" w:line="400" w:lineRule="exact"/>
        <w:rPr>
          <w:rFonts w:ascii="宋体" w:hAnsi="宋体" w:eastAsia="宋体"/>
          <w:bCs w:val="0"/>
          <w:color w:val="auto"/>
          <w:sz w:val="21"/>
          <w:szCs w:val="21"/>
        </w:rPr>
      </w:pPr>
      <w:r>
        <w:rPr>
          <w:rFonts w:ascii="宋体" w:hAnsi="宋体" w:eastAsia="宋体"/>
          <w:bCs w:val="0"/>
          <w:color w:val="auto"/>
          <w:sz w:val="21"/>
          <w:szCs w:val="21"/>
        </w:rPr>
        <w:t xml:space="preserve">    </w:t>
      </w:r>
      <w:bookmarkStart w:id="82" w:name="_Toc351203493"/>
      <w:r>
        <w:rPr>
          <w:rFonts w:ascii="宋体" w:hAnsi="宋体" w:eastAsia="宋体"/>
          <w:bCs w:val="0"/>
          <w:color w:val="auto"/>
          <w:sz w:val="21"/>
          <w:szCs w:val="21"/>
        </w:rPr>
        <w:t>十三、合同份数</w:t>
      </w:r>
      <w:bookmarkEnd w:id="82"/>
    </w:p>
    <w:p>
      <w:pPr>
        <w:spacing w:line="400" w:lineRule="exact"/>
        <w:ind w:firstLine="420" w:firstLineChars="200"/>
        <w:rPr>
          <w:rFonts w:hint="eastAsia"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w:t>
      </w:r>
    </w:p>
    <w:p>
      <w:pPr>
        <w:spacing w:line="400" w:lineRule="exact"/>
        <w:ind w:firstLine="420" w:firstLineChars="200"/>
        <w:rPr>
          <w:rFonts w:hint="eastAsia" w:ascii="宋体" w:hAnsi="宋体"/>
          <w:bCs/>
          <w:color w:val="auto"/>
          <w:szCs w:val="21"/>
        </w:rPr>
      </w:pPr>
    </w:p>
    <w:p>
      <w:pPr>
        <w:spacing w:line="400" w:lineRule="exact"/>
        <w:rPr>
          <w:rFonts w:hint="eastAsia" w:ascii="宋体" w:hAnsi="宋体"/>
          <w:color w:val="auto"/>
          <w:szCs w:val="21"/>
        </w:rPr>
      </w:pPr>
      <w:r>
        <w:rPr>
          <w:rFonts w:ascii="宋体" w:hAnsi="宋体"/>
          <w:color w:val="auto"/>
          <w:szCs w:val="21"/>
        </w:rPr>
        <w:t>发包人</w:t>
      </w:r>
      <w:r>
        <w:rPr>
          <w:rFonts w:hint="eastAsia" w:ascii="宋体" w:hAnsi="宋体"/>
          <w:color w:val="auto"/>
          <w:szCs w:val="21"/>
        </w:rPr>
        <w:t xml:space="preserve">：  </w:t>
      </w:r>
      <w:r>
        <w:rPr>
          <w:rFonts w:ascii="宋体" w:hAnsi="宋体"/>
          <w:color w:val="auto"/>
          <w:szCs w:val="21"/>
        </w:rPr>
        <w:t>(公章)</w:t>
      </w:r>
      <w:r>
        <w:rPr>
          <w:rFonts w:hint="eastAsia" w:ascii="宋体" w:hAnsi="宋体"/>
          <w:color w:val="auto"/>
          <w:szCs w:val="21"/>
        </w:rPr>
        <w:t xml:space="preserve">                     </w:t>
      </w:r>
      <w:r>
        <w:rPr>
          <w:rFonts w:ascii="宋体" w:hAnsi="宋体"/>
          <w:color w:val="auto"/>
          <w:szCs w:val="21"/>
        </w:rPr>
        <w:t>承包人</w:t>
      </w:r>
      <w:r>
        <w:rPr>
          <w:rFonts w:hint="eastAsia" w:ascii="宋体" w:hAnsi="宋体"/>
          <w:color w:val="auto"/>
          <w:szCs w:val="21"/>
        </w:rPr>
        <w:t xml:space="preserve">：  </w:t>
      </w:r>
      <w:r>
        <w:rPr>
          <w:rFonts w:ascii="宋体" w:hAnsi="宋体"/>
          <w:color w:val="auto"/>
          <w:szCs w:val="21"/>
        </w:rPr>
        <w:t>(公章)</w:t>
      </w:r>
    </w:p>
    <w:p>
      <w:pPr>
        <w:spacing w:line="400" w:lineRule="exact"/>
        <w:rPr>
          <w:rFonts w:hint="eastAsia" w:ascii="宋体" w:hAnsi="宋体"/>
          <w:color w:val="auto"/>
          <w:szCs w:val="21"/>
          <w:u w:val="single"/>
        </w:rPr>
      </w:pPr>
      <w:r>
        <w:rPr>
          <w:rFonts w:hint="eastAsia" w:ascii="宋体" w:hAnsi="宋体"/>
          <w:color w:val="auto"/>
          <w:szCs w:val="21"/>
        </w:rPr>
        <w:t xml:space="preserve">                                 </w:t>
      </w:r>
    </w:p>
    <w:p>
      <w:pPr>
        <w:spacing w:line="400" w:lineRule="exact"/>
        <w:rPr>
          <w:rFonts w:hint="eastAsia" w:ascii="宋体" w:hAnsi="宋体"/>
          <w:color w:val="auto"/>
          <w:szCs w:val="21"/>
        </w:rPr>
      </w:pPr>
      <w:r>
        <w:rPr>
          <w:rFonts w:hint="eastAsia" w:ascii="宋体" w:hAnsi="宋体"/>
          <w:color w:val="auto"/>
          <w:szCs w:val="21"/>
        </w:rPr>
        <w:t>法定代表人或其委托代理人：          法定代表人或其委托代理人：</w:t>
      </w:r>
    </w:p>
    <w:p>
      <w:pPr>
        <w:spacing w:line="400" w:lineRule="exact"/>
        <w:rPr>
          <w:rFonts w:hint="eastAsia" w:ascii="宋体" w:hAnsi="宋体"/>
          <w:color w:val="auto"/>
          <w:szCs w:val="21"/>
        </w:rPr>
      </w:pPr>
      <w:r>
        <w:rPr>
          <w:rFonts w:hint="eastAsia" w:ascii="宋体" w:hAnsi="宋体"/>
          <w:color w:val="auto"/>
          <w:szCs w:val="21"/>
        </w:rPr>
        <w:t>（签字）                           （签字）</w:t>
      </w:r>
    </w:p>
    <w:p>
      <w:pPr>
        <w:tabs>
          <w:tab w:val="left" w:pos="4410"/>
        </w:tabs>
        <w:spacing w:line="400" w:lineRule="exact"/>
        <w:rPr>
          <w:rFonts w:ascii="宋体" w:hAnsi="宋体"/>
          <w:color w:val="auto"/>
          <w:szCs w:val="21"/>
        </w:rPr>
      </w:pPr>
      <w:r>
        <w:rPr>
          <w:rFonts w:hint="eastAsia" w:ascii="宋体" w:hAnsi="宋体"/>
          <w:color w:val="auto"/>
          <w:szCs w:val="21"/>
        </w:rPr>
        <w:t>组织机构代码：</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组织机构代码：</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rPr>
        <w:t xml:space="preserve">         </w:t>
      </w:r>
      <w:r>
        <w:rPr>
          <w:rFonts w:ascii="宋体" w:hAnsi="宋体"/>
          <w:color w:val="auto"/>
          <w:szCs w:val="21"/>
        </w:rPr>
        <w:t>地  址：</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邮政编码：</w:t>
      </w:r>
      <w:r>
        <w:rPr>
          <w:rFonts w:hint="eastAsia" w:ascii="宋体" w:hAnsi="宋体" w:cs="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法定代表人：</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法定代表人：</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委托代理人：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委托代理人：</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电  话：</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  话：</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传  真：</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传  真：</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电子信箱：</w:t>
      </w:r>
      <w:r>
        <w:rPr>
          <w:rFonts w:hint="eastAsia" w:ascii="宋体" w:hAnsi="宋体" w:cs="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开户银行：</w:t>
      </w:r>
      <w:r>
        <w:rPr>
          <w:rFonts w:hint="eastAsia" w:ascii="宋体" w:hAnsi="宋体" w:cs="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开户银行：</w:t>
      </w:r>
      <w:r>
        <w:rPr>
          <w:rFonts w:hint="eastAsia" w:ascii="宋体" w:hAnsi="宋体" w:cs="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账  号：</w:t>
      </w:r>
      <w:r>
        <w:rPr>
          <w:rFonts w:hint="eastAsia" w:ascii="宋体" w:hAnsi="宋体" w:cs="宋体"/>
          <w:color w:val="auto"/>
          <w:szCs w:val="21"/>
          <w:u w:val="single"/>
        </w:rPr>
        <w:t xml:space="preserve">       </w:t>
      </w:r>
      <w:r>
        <w:rPr>
          <w:rFonts w:hint="eastAsia" w:ascii="宋体" w:hAnsi="宋体"/>
          <w:color w:val="auto"/>
          <w:szCs w:val="21"/>
        </w:rPr>
        <w:t xml:space="preserve">          </w:t>
      </w:r>
      <w:r>
        <w:rPr>
          <w:rFonts w:ascii="宋体" w:hAnsi="宋体"/>
          <w:color w:val="auto"/>
          <w:szCs w:val="21"/>
        </w:rPr>
        <w:t>账</w:t>
      </w:r>
      <w:r>
        <w:rPr>
          <w:rFonts w:hint="eastAsia" w:ascii="宋体" w:hAnsi="宋体"/>
          <w:color w:val="auto"/>
          <w:szCs w:val="21"/>
        </w:rPr>
        <w:t xml:space="preserve"> </w:t>
      </w:r>
      <w:r>
        <w:rPr>
          <w:rFonts w:ascii="宋体" w:hAnsi="宋体"/>
          <w:color w:val="auto"/>
          <w:szCs w:val="21"/>
        </w:rPr>
        <w:t xml:space="preserve"> 号：</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pStyle w:val="5"/>
        <w:spacing w:before="0" w:line="400" w:lineRule="exact"/>
        <w:jc w:val="center"/>
        <w:rPr>
          <w:color w:val="auto"/>
        </w:rPr>
      </w:pPr>
      <w:r>
        <w:rPr>
          <w:color w:val="auto"/>
        </w:rPr>
        <w:br w:type="page"/>
      </w:r>
      <w:bookmarkStart w:id="83" w:name="_Toc351203494"/>
      <w:bookmarkStart w:id="84" w:name="_Toc45007876"/>
      <w:bookmarkStart w:id="85" w:name="_Toc433883633"/>
      <w:r>
        <w:rPr>
          <w:color w:val="auto"/>
        </w:rPr>
        <w:t>第二部分 通用合同条款</w:t>
      </w:r>
      <w:bookmarkEnd w:id="83"/>
      <w:bookmarkEnd w:id="84"/>
      <w:bookmarkEnd w:id="85"/>
    </w:p>
    <w:p>
      <w:pPr>
        <w:spacing w:line="400" w:lineRule="exact"/>
        <w:jc w:val="center"/>
        <w:rPr>
          <w:rFonts w:hint="eastAsia" w:ascii="宋体" w:hAnsi="宋体"/>
          <w:color w:val="auto"/>
        </w:rPr>
      </w:pPr>
      <w:r>
        <w:rPr>
          <w:rFonts w:hint="eastAsia" w:ascii="宋体" w:hAnsi="宋体"/>
          <w:color w:val="auto"/>
        </w:rPr>
        <w:t>详见</w:t>
      </w:r>
      <w:r>
        <w:rPr>
          <w:rFonts w:ascii="宋体" w:hAnsi="宋体"/>
          <w:color w:val="auto"/>
        </w:rPr>
        <w:t>《建设工程施工合同（示范文本）》（GF-201</w:t>
      </w:r>
      <w:r>
        <w:rPr>
          <w:rFonts w:hint="eastAsia" w:ascii="宋体" w:hAnsi="宋体"/>
          <w:color w:val="auto"/>
        </w:rPr>
        <w:t>8</w:t>
      </w:r>
      <w:r>
        <w:rPr>
          <w:rFonts w:ascii="宋体" w:hAnsi="宋体"/>
          <w:color w:val="auto"/>
        </w:rPr>
        <w:t>-0201）</w:t>
      </w:r>
    </w:p>
    <w:p>
      <w:pPr>
        <w:pStyle w:val="5"/>
        <w:spacing w:line="400" w:lineRule="exact"/>
        <w:jc w:val="center"/>
        <w:rPr>
          <w:color w:val="auto"/>
        </w:rPr>
      </w:pPr>
      <w:bookmarkStart w:id="86" w:name="_Toc433883634"/>
      <w:bookmarkStart w:id="87" w:name="_Toc45007877"/>
      <w:r>
        <w:rPr>
          <w:color w:val="auto"/>
        </w:rPr>
        <w:t>第三部分 专用合同条款</w:t>
      </w:r>
      <w:bookmarkEnd w:id="86"/>
      <w:bookmarkEnd w:id="87"/>
    </w:p>
    <w:p>
      <w:pPr>
        <w:pStyle w:val="6"/>
        <w:spacing w:before="120" w:after="120" w:line="400" w:lineRule="exact"/>
        <w:rPr>
          <w:rFonts w:ascii="宋体" w:hAnsi="宋体" w:eastAsia="宋体"/>
          <w:b w:val="0"/>
          <w:color w:val="auto"/>
          <w:sz w:val="21"/>
          <w:szCs w:val="21"/>
        </w:rPr>
      </w:pPr>
      <w:bookmarkStart w:id="88" w:name="_Toc351203633"/>
      <w:r>
        <w:rPr>
          <w:rFonts w:ascii="宋体" w:hAnsi="宋体" w:eastAsia="宋体"/>
          <w:b w:val="0"/>
          <w:color w:val="auto"/>
          <w:sz w:val="21"/>
          <w:szCs w:val="21"/>
        </w:rPr>
        <w:t>1</w:t>
      </w:r>
      <w:bookmarkStart w:id="89" w:name="_Toc292559361"/>
      <w:bookmarkStart w:id="90" w:name="_Toc296347155"/>
      <w:bookmarkStart w:id="91" w:name="_Toc292559866"/>
      <w:bookmarkStart w:id="92" w:name="_Toc297048342"/>
      <w:bookmarkStart w:id="93" w:name="_Toc297120456"/>
      <w:bookmarkStart w:id="94" w:name="_Toc296891196"/>
      <w:bookmarkStart w:id="95" w:name="_Toc296944495"/>
      <w:bookmarkStart w:id="96" w:name="_Toc296890984"/>
      <w:bookmarkStart w:id="97" w:name="_Toc296346657"/>
      <w:bookmarkStart w:id="98" w:name="_Toc296503156"/>
      <w:r>
        <w:rPr>
          <w:rFonts w:ascii="宋体" w:hAnsi="宋体" w:eastAsia="宋体"/>
          <w:b w:val="0"/>
          <w:color w:val="auto"/>
          <w:sz w:val="21"/>
          <w:szCs w:val="21"/>
        </w:rPr>
        <w:t>. 一般约定</w:t>
      </w:r>
      <w:bookmarkEnd w:id="88"/>
    </w:p>
    <w:bookmarkEnd w:id="89"/>
    <w:bookmarkEnd w:id="90"/>
    <w:bookmarkEnd w:id="91"/>
    <w:bookmarkEnd w:id="92"/>
    <w:bookmarkEnd w:id="93"/>
    <w:bookmarkEnd w:id="94"/>
    <w:bookmarkEnd w:id="95"/>
    <w:bookmarkEnd w:id="96"/>
    <w:bookmarkEnd w:id="97"/>
    <w:bookmarkEnd w:id="98"/>
    <w:p>
      <w:pPr>
        <w:spacing w:after="120" w:line="400" w:lineRule="exact"/>
        <w:ind w:firstLine="420" w:firstLineChars="200"/>
        <w:rPr>
          <w:rFonts w:ascii="宋体" w:hAnsi="宋体"/>
          <w:color w:val="auto"/>
          <w:szCs w:val="21"/>
        </w:rPr>
      </w:pPr>
      <w:r>
        <w:rPr>
          <w:rFonts w:ascii="宋体" w:hAnsi="宋体"/>
          <w:color w:val="auto"/>
          <w:szCs w:val="21"/>
        </w:rPr>
        <w:t>1.1 词语定义</w:t>
      </w:r>
    </w:p>
    <w:p>
      <w:pPr>
        <w:spacing w:line="400" w:lineRule="exact"/>
        <w:ind w:firstLine="420" w:firstLineChars="200"/>
        <w:rPr>
          <w:rFonts w:ascii="宋体" w:hAnsi="宋体"/>
          <w:color w:val="auto"/>
          <w:szCs w:val="21"/>
        </w:rPr>
      </w:pPr>
      <w:r>
        <w:rPr>
          <w:rFonts w:ascii="宋体" w:hAnsi="宋体"/>
          <w:color w:val="auto"/>
          <w:szCs w:val="21"/>
        </w:rPr>
        <w:t>1.1.1合同</w:t>
      </w:r>
    </w:p>
    <w:p>
      <w:pPr>
        <w:spacing w:line="400" w:lineRule="exact"/>
        <w:ind w:firstLine="420" w:firstLineChars="200"/>
        <w:rPr>
          <w:rFonts w:ascii="宋体" w:hAnsi="宋体"/>
          <w:color w:val="auto"/>
          <w:szCs w:val="21"/>
        </w:rPr>
      </w:pPr>
      <w:r>
        <w:rPr>
          <w:rFonts w:ascii="宋体" w:hAnsi="宋体"/>
          <w:color w:val="auto"/>
          <w:szCs w:val="21"/>
        </w:rPr>
        <w:t>1.1.1.10其他合同文件包括：</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1.1.2 合同当事人及其他相关方</w:t>
      </w:r>
    </w:p>
    <w:p>
      <w:pPr>
        <w:spacing w:line="400" w:lineRule="exact"/>
        <w:ind w:firstLine="420" w:firstLineChars="200"/>
        <w:rPr>
          <w:rFonts w:ascii="宋体" w:hAnsi="宋体"/>
          <w:color w:val="auto"/>
          <w:szCs w:val="21"/>
        </w:rPr>
      </w:pPr>
      <w:r>
        <w:rPr>
          <w:rFonts w:ascii="宋体" w:hAnsi="宋体"/>
          <w:color w:val="auto"/>
          <w:szCs w:val="21"/>
        </w:rPr>
        <w:t>1.1.2.4监理人：</w:t>
      </w:r>
    </w:p>
    <w:p>
      <w:pPr>
        <w:spacing w:line="400" w:lineRule="exact"/>
        <w:ind w:firstLine="420" w:firstLineChars="200"/>
        <w:rPr>
          <w:rFonts w:ascii="宋体" w:hAnsi="宋体"/>
          <w:color w:val="auto"/>
          <w:szCs w:val="21"/>
        </w:rPr>
      </w:pPr>
      <w:r>
        <w:rPr>
          <w:rFonts w:ascii="宋体" w:hAnsi="宋体"/>
          <w:color w:val="auto"/>
          <w:szCs w:val="21"/>
        </w:rPr>
        <w:t>名    称：</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1.1.2.5 设计人：</w:t>
      </w:r>
    </w:p>
    <w:p>
      <w:pPr>
        <w:spacing w:line="400" w:lineRule="exact"/>
        <w:ind w:firstLine="420" w:firstLineChars="200"/>
        <w:rPr>
          <w:rFonts w:ascii="宋体" w:hAnsi="宋体"/>
          <w:color w:val="auto"/>
          <w:szCs w:val="21"/>
        </w:rPr>
      </w:pPr>
      <w:r>
        <w:rPr>
          <w:rFonts w:ascii="宋体" w:hAnsi="宋体"/>
          <w:color w:val="auto"/>
          <w:szCs w:val="21"/>
        </w:rPr>
        <w:t>名    称：</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hint="eastAsia" w:ascii="宋体" w:hAnsi="宋体"/>
          <w:color w:val="auto"/>
          <w:szCs w:val="21"/>
        </w:rPr>
      </w:pPr>
      <w:r>
        <w:rPr>
          <w:rFonts w:ascii="宋体" w:hAnsi="宋体"/>
          <w:color w:val="auto"/>
          <w:szCs w:val="21"/>
        </w:rPr>
        <w:t>通信地址：</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1.1.3 工程和设备</w:t>
      </w:r>
    </w:p>
    <w:p>
      <w:pPr>
        <w:spacing w:line="400" w:lineRule="exact"/>
        <w:ind w:firstLine="420" w:firstLineChars="200"/>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1.1.3.9 永久占地包括：</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1.1.3.10 临时占地包括：</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 xml:space="preserve">1.3法律 </w:t>
      </w:r>
    </w:p>
    <w:p>
      <w:pPr>
        <w:spacing w:line="400" w:lineRule="exact"/>
        <w:ind w:firstLine="420" w:firstLineChars="200"/>
        <w:rPr>
          <w:rFonts w:ascii="宋体" w:hAnsi="宋体"/>
          <w:color w:val="auto"/>
          <w:szCs w:val="21"/>
        </w:rPr>
      </w:pPr>
      <w:r>
        <w:rPr>
          <w:rFonts w:ascii="宋体" w:hAnsi="宋体"/>
          <w:color w:val="auto"/>
          <w:szCs w:val="21"/>
        </w:rPr>
        <w:t>适用于合同的其他规范性文件：</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1.4 标准和规范</w:t>
      </w:r>
    </w:p>
    <w:p>
      <w:pPr>
        <w:spacing w:line="400" w:lineRule="exact"/>
        <w:ind w:firstLine="420" w:firstLineChars="200"/>
        <w:rPr>
          <w:rFonts w:ascii="宋体" w:hAnsi="宋体"/>
          <w:color w:val="auto"/>
          <w:szCs w:val="21"/>
        </w:rPr>
      </w:pPr>
      <w:r>
        <w:rPr>
          <w:rFonts w:ascii="宋体" w:hAnsi="宋体"/>
          <w:color w:val="auto"/>
          <w:szCs w:val="21"/>
        </w:rPr>
        <w:t>1.4.1适用于工程的标准规范包括：</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1.4.2 发包人提供国外标准、规范的名称：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发包人提供国外标准、规范的份数：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发包人提供国外标准、规范的名称：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1.4.3发包人对工程的技术标准和功能要求的特殊要求：</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1.5 合同文件的优先顺序</w:t>
      </w:r>
    </w:p>
    <w:p>
      <w:pPr>
        <w:spacing w:line="400" w:lineRule="exact"/>
        <w:ind w:firstLine="420" w:firstLineChars="200"/>
        <w:rPr>
          <w:rFonts w:hint="eastAsia" w:ascii="宋体" w:hAnsi="宋体"/>
          <w:color w:val="auto"/>
          <w:szCs w:val="21"/>
        </w:rPr>
      </w:pPr>
      <w:r>
        <w:rPr>
          <w:rFonts w:ascii="宋体" w:hAnsi="宋体"/>
          <w:color w:val="auto"/>
          <w:szCs w:val="21"/>
        </w:rPr>
        <w:t>合同文件组成及优先顺序为：</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1.6 图纸和承包人文件</w:t>
      </w:r>
      <w:r>
        <w:rPr>
          <w:rFonts w:ascii="宋体" w:hAnsi="宋体"/>
          <w:color w:val="auto"/>
          <w:szCs w:val="21"/>
        </w:rPr>
        <w:tab/>
      </w:r>
    </w:p>
    <w:p>
      <w:pPr>
        <w:spacing w:line="400" w:lineRule="exact"/>
        <w:ind w:firstLine="420" w:firstLineChars="200"/>
        <w:rPr>
          <w:rFonts w:ascii="宋体" w:hAnsi="宋体"/>
          <w:color w:val="auto"/>
          <w:szCs w:val="21"/>
        </w:rPr>
      </w:pPr>
      <w:r>
        <w:rPr>
          <w:rFonts w:ascii="宋体" w:hAnsi="宋体"/>
          <w:color w:val="auto"/>
          <w:szCs w:val="21"/>
        </w:rPr>
        <w:t>1.6.1 图纸的提供</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发包人向承包人提供图纸的期限：</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发包人向承包人提供图纸的数量：</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发包人向承包人提供图纸的内容：</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1.6.4 承包人文件</w:t>
      </w:r>
    </w:p>
    <w:p>
      <w:pPr>
        <w:spacing w:line="400" w:lineRule="exact"/>
        <w:ind w:firstLine="420" w:firstLineChars="200"/>
        <w:rPr>
          <w:rFonts w:ascii="宋体" w:hAnsi="宋体"/>
          <w:color w:val="auto"/>
          <w:szCs w:val="21"/>
        </w:rPr>
      </w:pPr>
      <w:r>
        <w:rPr>
          <w:rFonts w:ascii="宋体" w:hAnsi="宋体"/>
          <w:color w:val="auto"/>
          <w:szCs w:val="21"/>
        </w:rPr>
        <w:t>需要由承包人提供的文件，包括：</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承包人提供的文件的期限为：</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承包人提供的文件的数量为：</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承包人提供的文件的形式为：</w:t>
      </w:r>
      <w:r>
        <w:rPr>
          <w:rFonts w:hint="eastAsia" w:ascii="宋体" w:hAnsi="宋体" w:cs="宋体"/>
          <w:color w:val="auto"/>
          <w:szCs w:val="21"/>
          <w:u w:val="single"/>
        </w:rPr>
        <w:t>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承包人文件的期限：</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1.6.5 现场图纸准备</w:t>
      </w:r>
    </w:p>
    <w:p>
      <w:pPr>
        <w:spacing w:line="400" w:lineRule="exact"/>
        <w:ind w:firstLine="420" w:firstLineChars="200"/>
        <w:rPr>
          <w:rFonts w:ascii="宋体" w:hAnsi="宋体"/>
          <w:color w:val="auto"/>
          <w:szCs w:val="21"/>
        </w:rPr>
      </w:pPr>
      <w:r>
        <w:rPr>
          <w:rFonts w:ascii="宋体" w:hAnsi="宋体"/>
          <w:color w:val="auto"/>
          <w:szCs w:val="21"/>
        </w:rPr>
        <w:t>关于现场图纸准备的约定：</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1.7 联络</w:t>
      </w:r>
    </w:p>
    <w:p>
      <w:pPr>
        <w:spacing w:line="400" w:lineRule="exact"/>
        <w:ind w:firstLine="420" w:firstLineChars="200"/>
        <w:rPr>
          <w:rFonts w:hint="eastAsia" w:ascii="宋体" w:hAnsi="宋体"/>
          <w:color w:val="auto"/>
          <w:szCs w:val="21"/>
        </w:rPr>
      </w:pPr>
      <w:r>
        <w:rPr>
          <w:rFonts w:ascii="宋体" w:hAnsi="宋体"/>
          <w:color w:val="auto"/>
          <w:szCs w:val="21"/>
        </w:rPr>
        <w:t>1.7.1发包人和承包人应当在</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天内将与合同有关的通知、批准、证明、证书、指示、指令、要求、请求、同意、意见、确定和决定等书面函件送达对方当事人</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1.7.2 发包人接收文件的地点：</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发包人指定的接收人为：</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承包人接收文件的地点：</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承包人指定的接收人为：</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监理人接收文件的地点：</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监理人指定的接收人为：</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1.10 交通运输</w:t>
      </w:r>
    </w:p>
    <w:p>
      <w:pPr>
        <w:spacing w:line="400" w:lineRule="exact"/>
        <w:ind w:firstLine="420" w:firstLineChars="200"/>
        <w:rPr>
          <w:rFonts w:ascii="宋体" w:hAnsi="宋体"/>
          <w:color w:val="auto"/>
          <w:szCs w:val="21"/>
        </w:rPr>
      </w:pPr>
      <w:r>
        <w:rPr>
          <w:rFonts w:ascii="宋体" w:hAnsi="宋体"/>
          <w:color w:val="auto"/>
          <w:szCs w:val="21"/>
        </w:rPr>
        <w:t>1</w:t>
      </w:r>
      <w:bookmarkStart w:id="99" w:name="_Toc312677986"/>
      <w:bookmarkStart w:id="100" w:name="_Toc300934943"/>
      <w:bookmarkStart w:id="101" w:name="_Toc304295521"/>
      <w:bookmarkStart w:id="102" w:name="_Toc303539100"/>
      <w:bookmarkStart w:id="103" w:name="_Toc318581155"/>
      <w:r>
        <w:rPr>
          <w:rFonts w:ascii="宋体" w:hAnsi="宋体"/>
          <w:color w:val="auto"/>
          <w:szCs w:val="21"/>
        </w:rPr>
        <w:t>.10.1 出入现场的权利</w:t>
      </w:r>
    </w:p>
    <w:p>
      <w:pPr>
        <w:spacing w:line="400" w:lineRule="exact"/>
        <w:ind w:firstLine="420" w:firstLineChars="200"/>
        <w:rPr>
          <w:rFonts w:ascii="宋体" w:hAnsi="宋体"/>
          <w:color w:val="auto"/>
          <w:szCs w:val="21"/>
        </w:rPr>
      </w:pPr>
      <w:r>
        <w:rPr>
          <w:rFonts w:ascii="宋体" w:hAnsi="宋体"/>
          <w:color w:val="auto"/>
          <w:szCs w:val="21"/>
        </w:rPr>
        <w:t>关于出入现场的权利的约定：</w:t>
      </w:r>
      <w:r>
        <w:rPr>
          <w:rFonts w:hint="eastAsia" w:ascii="宋体" w:hAnsi="宋体" w:cs="宋体"/>
          <w:color w:val="auto"/>
          <w:szCs w:val="21"/>
          <w:u w:val="single"/>
        </w:rPr>
        <w:t> 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bookmarkEnd w:id="99"/>
    <w:bookmarkEnd w:id="100"/>
    <w:bookmarkEnd w:id="101"/>
    <w:bookmarkEnd w:id="102"/>
    <w:bookmarkEnd w:id="103"/>
    <w:p>
      <w:pPr>
        <w:spacing w:line="400" w:lineRule="exact"/>
        <w:ind w:firstLine="420" w:firstLineChars="200"/>
        <w:jc w:val="left"/>
        <w:rPr>
          <w:rFonts w:ascii="宋体" w:hAnsi="宋体"/>
          <w:color w:val="auto"/>
          <w:szCs w:val="21"/>
        </w:rPr>
      </w:pPr>
      <w:r>
        <w:rPr>
          <w:rFonts w:ascii="宋体" w:hAnsi="宋体"/>
          <w:color w:val="auto"/>
          <w:szCs w:val="21"/>
        </w:rPr>
        <w:t>1</w:t>
      </w:r>
      <w:bookmarkStart w:id="104" w:name="_Toc300934944"/>
      <w:bookmarkStart w:id="105" w:name="_Toc312677987"/>
      <w:bookmarkStart w:id="106" w:name="_Toc303539101"/>
      <w:bookmarkStart w:id="107" w:name="_Toc318581156"/>
      <w:bookmarkStart w:id="108" w:name="_Toc304295522"/>
      <w:r>
        <w:rPr>
          <w:rFonts w:ascii="宋体" w:hAnsi="宋体"/>
          <w:color w:val="auto"/>
          <w:szCs w:val="21"/>
        </w:rPr>
        <w:t>.10.3 场内交通</w:t>
      </w:r>
    </w:p>
    <w:p>
      <w:pPr>
        <w:spacing w:line="400" w:lineRule="exact"/>
        <w:ind w:firstLine="420" w:firstLineChars="200"/>
        <w:jc w:val="left"/>
        <w:rPr>
          <w:rFonts w:ascii="宋体" w:hAnsi="宋体"/>
          <w:color w:val="auto"/>
          <w:szCs w:val="21"/>
        </w:rPr>
      </w:pPr>
      <w:r>
        <w:rPr>
          <w:rFonts w:ascii="宋体" w:hAnsi="宋体"/>
          <w:color w:val="auto"/>
          <w:szCs w:val="21"/>
        </w:rPr>
        <w:t>关于场外交通和场内交通的边界的约定：</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bookmarkEnd w:id="104"/>
      <w:bookmarkEnd w:id="105"/>
      <w:bookmarkEnd w:id="106"/>
      <w:bookmarkEnd w:id="107"/>
      <w:bookmarkEnd w:id="108"/>
      <w:r>
        <w:rPr>
          <w:rFonts w:ascii="宋体" w:hAnsi="宋体"/>
          <w:color w:val="auto"/>
          <w:szCs w:val="21"/>
        </w:rPr>
        <w:t xml:space="preserve">  </w:t>
      </w:r>
      <w:bookmarkStart w:id="109" w:name="_Toc318581157"/>
    </w:p>
    <w:p>
      <w:pPr>
        <w:spacing w:line="400" w:lineRule="exact"/>
        <w:ind w:firstLine="420" w:firstLineChars="200"/>
        <w:jc w:val="left"/>
        <w:rPr>
          <w:rFonts w:ascii="宋体" w:hAnsi="宋体"/>
          <w:color w:val="auto"/>
          <w:szCs w:val="21"/>
        </w:rPr>
      </w:pPr>
      <w:r>
        <w:rPr>
          <w:rFonts w:ascii="宋体" w:hAnsi="宋体"/>
          <w:color w:val="auto"/>
          <w:szCs w:val="21"/>
        </w:rPr>
        <w:t>1.10.4超大件和超重件的运输</w:t>
      </w:r>
    </w:p>
    <w:p>
      <w:pPr>
        <w:spacing w:line="400" w:lineRule="exact"/>
        <w:ind w:firstLine="420" w:firstLineChars="200"/>
        <w:jc w:val="left"/>
        <w:rPr>
          <w:rFonts w:ascii="宋体" w:hAnsi="宋体"/>
          <w:color w:val="auto"/>
          <w:szCs w:val="21"/>
        </w:rPr>
      </w:pPr>
      <w:r>
        <w:rPr>
          <w:rFonts w:ascii="宋体" w:hAnsi="宋体"/>
          <w:color w:val="auto"/>
          <w:szCs w:val="21"/>
        </w:rPr>
        <w:t>运输超大件或超重件所需的道路和桥梁临时加固改造费用和其他有关费用由</w:t>
      </w:r>
      <w:r>
        <w:rPr>
          <w:rFonts w:ascii="宋体" w:hAnsi="宋体"/>
          <w:color w:val="auto"/>
          <w:szCs w:val="21"/>
          <w:u w:val="single"/>
        </w:rPr>
        <w:t xml:space="preserve">         </w:t>
      </w:r>
      <w:r>
        <w:rPr>
          <w:rFonts w:ascii="宋体" w:hAnsi="宋体"/>
          <w:color w:val="auto"/>
          <w:szCs w:val="21"/>
        </w:rPr>
        <w:t>承担。</w:t>
      </w:r>
    </w:p>
    <w:bookmarkEnd w:id="109"/>
    <w:p>
      <w:pPr>
        <w:spacing w:after="120" w:line="400" w:lineRule="exact"/>
        <w:ind w:firstLine="420" w:firstLineChars="200"/>
        <w:rPr>
          <w:rFonts w:ascii="宋体" w:hAnsi="宋体"/>
          <w:color w:val="auto"/>
          <w:szCs w:val="21"/>
        </w:rPr>
      </w:pPr>
      <w:r>
        <w:rPr>
          <w:rFonts w:ascii="宋体" w:hAnsi="宋体"/>
          <w:color w:val="auto"/>
          <w:szCs w:val="21"/>
        </w:rPr>
        <w:t>1.11 知识产权</w:t>
      </w:r>
    </w:p>
    <w:p>
      <w:pPr>
        <w:spacing w:line="400" w:lineRule="exact"/>
        <w:ind w:firstLine="420" w:firstLineChars="200"/>
        <w:jc w:val="left"/>
        <w:rPr>
          <w:rFonts w:ascii="宋体" w:hAnsi="宋体"/>
          <w:color w:val="auto"/>
          <w:szCs w:val="21"/>
        </w:rPr>
      </w:pPr>
      <w:r>
        <w:rPr>
          <w:rFonts w:ascii="宋体" w:hAnsi="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关于发包人提供的上述文件的使用限制的要求：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1.11.2 关于承包人为实施工程所编制文件的著作权的归属：</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关于承包人提供的上述文件的使用限制的要求：</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1.11.4 承包人在施工过程中所采用的专利、专有技术、技术秘密的使用费的承担方式：</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1.13工程量清单错误的修正</w:t>
      </w:r>
    </w:p>
    <w:p>
      <w:pPr>
        <w:spacing w:line="400" w:lineRule="exact"/>
        <w:ind w:firstLine="420" w:firstLineChars="200"/>
        <w:jc w:val="left"/>
        <w:rPr>
          <w:rFonts w:ascii="宋体" w:hAnsi="宋体"/>
          <w:color w:val="auto"/>
          <w:szCs w:val="21"/>
        </w:rPr>
      </w:pPr>
      <w:r>
        <w:rPr>
          <w:rFonts w:hint="eastAsia" w:ascii="宋体" w:hAnsi="宋体"/>
          <w:color w:val="auto"/>
          <w:szCs w:val="21"/>
        </w:rPr>
        <w:t>出现工程量清单错误时，是否调整合同价格：</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允许调整合同价格的工程量偏差范围：</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110" w:name="_Toc351203634"/>
      <w:r>
        <w:rPr>
          <w:rFonts w:ascii="宋体" w:hAnsi="宋体" w:eastAsia="宋体"/>
          <w:b w:val="0"/>
          <w:color w:val="auto"/>
          <w:sz w:val="21"/>
          <w:szCs w:val="21"/>
        </w:rPr>
        <w:t>2</w:t>
      </w:r>
      <w:bookmarkStart w:id="111" w:name="_Toc292559867"/>
      <w:bookmarkStart w:id="112" w:name="_Toc292559362"/>
      <w:bookmarkStart w:id="113" w:name="_Toc297120457"/>
      <w:bookmarkStart w:id="114" w:name="_Toc296347156"/>
      <w:bookmarkStart w:id="115" w:name="_Toc296503157"/>
      <w:bookmarkStart w:id="116" w:name="_Toc296346658"/>
      <w:bookmarkStart w:id="117" w:name="_Toc297048343"/>
      <w:bookmarkStart w:id="118" w:name="_Toc296944496"/>
      <w:bookmarkStart w:id="119" w:name="_Toc296891197"/>
      <w:bookmarkStart w:id="120" w:name="_Toc296890985"/>
      <w:r>
        <w:rPr>
          <w:rFonts w:ascii="宋体" w:hAnsi="宋体" w:eastAsia="宋体"/>
          <w:b w:val="0"/>
          <w:color w:val="auto"/>
          <w:sz w:val="21"/>
          <w:szCs w:val="21"/>
        </w:rPr>
        <w:t>. 发包人</w:t>
      </w:r>
      <w:bookmarkEnd w:id="110"/>
    </w:p>
    <w:bookmarkEnd w:id="111"/>
    <w:bookmarkEnd w:id="112"/>
    <w:bookmarkEnd w:id="113"/>
    <w:bookmarkEnd w:id="114"/>
    <w:bookmarkEnd w:id="115"/>
    <w:bookmarkEnd w:id="116"/>
    <w:bookmarkEnd w:id="117"/>
    <w:bookmarkEnd w:id="118"/>
    <w:bookmarkEnd w:id="119"/>
    <w:bookmarkEnd w:id="120"/>
    <w:p>
      <w:pPr>
        <w:spacing w:after="120" w:line="400" w:lineRule="exact"/>
        <w:ind w:firstLine="420" w:firstLineChars="200"/>
        <w:rPr>
          <w:rFonts w:ascii="宋体" w:hAnsi="宋体"/>
          <w:color w:val="auto"/>
          <w:szCs w:val="21"/>
        </w:rPr>
      </w:pPr>
      <w:r>
        <w:rPr>
          <w:rFonts w:ascii="宋体" w:hAnsi="宋体"/>
          <w:color w:val="auto"/>
          <w:szCs w:val="21"/>
        </w:rPr>
        <w:t>2.2 发包人代表</w:t>
      </w:r>
    </w:p>
    <w:p>
      <w:pPr>
        <w:spacing w:line="400" w:lineRule="exact"/>
        <w:ind w:firstLine="420" w:firstLineChars="200"/>
        <w:rPr>
          <w:rFonts w:ascii="宋体" w:hAnsi="宋体"/>
          <w:color w:val="auto"/>
          <w:szCs w:val="21"/>
        </w:rPr>
      </w:pPr>
      <w:r>
        <w:rPr>
          <w:rFonts w:ascii="宋体" w:hAnsi="宋体"/>
          <w:color w:val="auto"/>
          <w:szCs w:val="21"/>
        </w:rPr>
        <w:t>发包人代表：</w:t>
      </w:r>
    </w:p>
    <w:p>
      <w:pPr>
        <w:spacing w:line="40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身份证号：</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职    务：</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b/>
          <w:color w:val="auto"/>
          <w:szCs w:val="21"/>
        </w:rPr>
      </w:pPr>
      <w:r>
        <w:rPr>
          <w:rFonts w:ascii="宋体" w:hAnsi="宋体"/>
          <w:color w:val="auto"/>
          <w:szCs w:val="21"/>
        </w:rPr>
        <w:t>发包人对发包人代表的授权范围如下：</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2.4 施工现场、施工条件和基础资料的提供</w:t>
      </w:r>
    </w:p>
    <w:p>
      <w:pPr>
        <w:spacing w:line="400" w:lineRule="exact"/>
        <w:ind w:firstLine="420" w:firstLineChars="200"/>
        <w:rPr>
          <w:rFonts w:ascii="宋体" w:hAnsi="宋体"/>
          <w:color w:val="auto"/>
          <w:szCs w:val="21"/>
        </w:rPr>
      </w:pPr>
      <w:r>
        <w:rPr>
          <w:rFonts w:ascii="宋体" w:hAnsi="宋体"/>
          <w:color w:val="auto"/>
          <w:szCs w:val="21"/>
        </w:rPr>
        <w:t>2.4.1 提供施工现场</w:t>
      </w:r>
    </w:p>
    <w:p>
      <w:pPr>
        <w:spacing w:line="400" w:lineRule="exact"/>
        <w:ind w:firstLine="420" w:firstLineChars="200"/>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cs="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2.4.2 提供施工条件</w:t>
      </w:r>
    </w:p>
    <w:p>
      <w:pPr>
        <w:spacing w:line="400" w:lineRule="exact"/>
        <w:ind w:firstLine="420" w:firstLineChars="200"/>
        <w:rPr>
          <w:rFonts w:ascii="宋体" w:hAnsi="宋体"/>
          <w:color w:val="auto"/>
          <w:szCs w:val="21"/>
          <w:u w:val="single"/>
        </w:rPr>
      </w:pPr>
      <w:r>
        <w:rPr>
          <w:rFonts w:ascii="宋体" w:hAnsi="宋体"/>
          <w:color w:val="auto"/>
          <w:szCs w:val="21"/>
        </w:rPr>
        <w:t>关于发包人应负责提供施工</w:t>
      </w:r>
      <w:r>
        <w:rPr>
          <w:rFonts w:hint="eastAsia" w:ascii="宋体" w:hAnsi="宋体"/>
          <w:color w:val="auto"/>
          <w:szCs w:val="21"/>
        </w:rPr>
        <w:t>所需要的条件，</w:t>
      </w:r>
      <w:r>
        <w:rPr>
          <w:rFonts w:ascii="宋体" w:hAnsi="宋体"/>
          <w:color w:val="auto"/>
          <w:szCs w:val="21"/>
        </w:rPr>
        <w:t>包括：</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2.5 资金来源证明及支付担保</w:t>
      </w:r>
    </w:p>
    <w:p>
      <w:pPr>
        <w:spacing w:line="400" w:lineRule="exact"/>
        <w:ind w:firstLine="420" w:firstLineChars="200"/>
        <w:rPr>
          <w:rFonts w:ascii="宋体" w:hAnsi="宋体"/>
          <w:color w:val="auto"/>
          <w:szCs w:val="21"/>
        </w:rPr>
      </w:pPr>
      <w:r>
        <w:rPr>
          <w:rFonts w:ascii="宋体" w:hAnsi="宋体"/>
          <w:color w:val="auto"/>
          <w:szCs w:val="21"/>
        </w:rPr>
        <w:t>发包人提供资金来源证明的期限要求：</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发包人是否提供支付担保：</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发包人提供支付担保的形式：</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121" w:name="_Toc351203635"/>
      <w:r>
        <w:rPr>
          <w:rFonts w:ascii="宋体" w:hAnsi="宋体" w:eastAsia="宋体"/>
          <w:b w:val="0"/>
          <w:color w:val="auto"/>
          <w:sz w:val="21"/>
          <w:szCs w:val="21"/>
        </w:rPr>
        <w:t>3</w:t>
      </w:r>
      <w:bookmarkStart w:id="122" w:name="_Toc296891198"/>
      <w:bookmarkStart w:id="123" w:name="_Toc292559363"/>
      <w:bookmarkStart w:id="124" w:name="_Toc296890986"/>
      <w:bookmarkStart w:id="125" w:name="_Toc297120458"/>
      <w:bookmarkStart w:id="126" w:name="_Toc296346659"/>
      <w:bookmarkStart w:id="127" w:name="_Toc292559868"/>
      <w:bookmarkStart w:id="128" w:name="_Toc296944497"/>
      <w:bookmarkStart w:id="129" w:name="_Toc296503158"/>
      <w:bookmarkStart w:id="130" w:name="_Toc296347157"/>
      <w:bookmarkStart w:id="131" w:name="_Toc297048344"/>
      <w:r>
        <w:rPr>
          <w:rFonts w:ascii="宋体" w:hAnsi="宋体" w:eastAsia="宋体"/>
          <w:b w:val="0"/>
          <w:color w:val="auto"/>
          <w:sz w:val="21"/>
          <w:szCs w:val="21"/>
        </w:rPr>
        <w:t>. 承包人</w:t>
      </w:r>
      <w:bookmarkEnd w:id="121"/>
    </w:p>
    <w:bookmarkEnd w:id="122"/>
    <w:bookmarkEnd w:id="123"/>
    <w:bookmarkEnd w:id="124"/>
    <w:bookmarkEnd w:id="125"/>
    <w:bookmarkEnd w:id="126"/>
    <w:bookmarkEnd w:id="127"/>
    <w:bookmarkEnd w:id="128"/>
    <w:bookmarkEnd w:id="129"/>
    <w:bookmarkEnd w:id="130"/>
    <w:bookmarkEnd w:id="131"/>
    <w:p>
      <w:pPr>
        <w:spacing w:after="120" w:line="400" w:lineRule="exact"/>
        <w:ind w:firstLine="420" w:firstLineChars="200"/>
        <w:rPr>
          <w:rFonts w:ascii="宋体" w:hAnsi="宋体"/>
          <w:color w:val="auto"/>
          <w:szCs w:val="21"/>
        </w:rPr>
      </w:pPr>
      <w:r>
        <w:rPr>
          <w:rFonts w:ascii="宋体" w:hAnsi="宋体"/>
          <w:color w:val="auto"/>
          <w:szCs w:val="21"/>
        </w:rPr>
        <w:t>3.1 承包人的一般义务</w:t>
      </w:r>
    </w:p>
    <w:p>
      <w:pPr>
        <w:spacing w:line="400" w:lineRule="exact"/>
        <w:ind w:firstLine="420" w:firstLineChars="200"/>
        <w:rPr>
          <w:rFonts w:ascii="宋体" w:hAnsi="宋体"/>
          <w:color w:val="auto"/>
          <w:szCs w:val="21"/>
        </w:rPr>
      </w:pPr>
      <w:r>
        <w:rPr>
          <w:rFonts w:ascii="宋体" w:hAnsi="宋体"/>
          <w:color w:val="auto"/>
          <w:szCs w:val="21"/>
        </w:rPr>
        <w:t>（5）承包人提交的竣工资料的内容：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承包人需要提交的竣工资料套数：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承包人提交的竣工资料的费用承担：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承包人提交的竣工资料移交时间：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（6）承包人应履行的其他义务：</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3.2 项目负责人</w:t>
      </w:r>
    </w:p>
    <w:p>
      <w:pPr>
        <w:spacing w:line="400" w:lineRule="exact"/>
        <w:ind w:firstLine="420" w:firstLineChars="200"/>
        <w:rPr>
          <w:rFonts w:ascii="宋体" w:hAnsi="宋体"/>
          <w:color w:val="auto"/>
          <w:szCs w:val="21"/>
        </w:rPr>
      </w:pPr>
      <w:r>
        <w:rPr>
          <w:rFonts w:ascii="宋体" w:hAnsi="宋体"/>
          <w:color w:val="auto"/>
          <w:szCs w:val="21"/>
        </w:rPr>
        <w:t>3.2.1 项目负责人：</w:t>
      </w:r>
    </w:p>
    <w:p>
      <w:pPr>
        <w:spacing w:line="40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身份证号：</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建造师执业资格等级：</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建造师注册证书号：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建造师执业印章号：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安全生产考核合格证书号：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承包人对项目负责人的授权范围如下：</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关于项目负责人每月在施工现场的时间要求：</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承包人未提交劳动合同，以及没有为项目负责人缴纳社会保险证明的违约责任：</w:t>
      </w:r>
      <w:r>
        <w:rPr>
          <w:rFonts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项目负责人未经批准，擅自离开施工现场的违约责任：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3.2.3 承包人擅自更换项目负责人的违约责任：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 xml:space="preserve">    3.2.4 承包人无正当理由拒绝更换项目负责人的违约责任：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3.3 承包人人员</w:t>
      </w:r>
    </w:p>
    <w:p>
      <w:pPr>
        <w:spacing w:line="400" w:lineRule="exact"/>
        <w:ind w:firstLine="420" w:firstLineChars="200"/>
        <w:jc w:val="left"/>
        <w:rPr>
          <w:rFonts w:ascii="宋体" w:hAnsi="宋体"/>
          <w:color w:val="auto"/>
          <w:szCs w:val="21"/>
        </w:rPr>
      </w:pPr>
      <w:r>
        <w:rPr>
          <w:rFonts w:ascii="宋体" w:hAnsi="宋体"/>
          <w:color w:val="auto"/>
          <w:szCs w:val="21"/>
        </w:rPr>
        <w:t>3.3.1 承包人提交项目管理机构及施工现场管理人员安排报告的期限：</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 xml:space="preserve">3.3.4 承包人主要施工管理人员离开施工现场的批准要求：   </w:t>
      </w:r>
      <w:r>
        <w:rPr>
          <w:rFonts w:hint="eastAsia" w:ascii="宋体" w:hAnsi="宋体" w:cs="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3.3.5承包人擅自更换主要施工管理人员的违约责任：</w:t>
      </w:r>
      <w:r>
        <w:rPr>
          <w:rFonts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w:t>
      </w:r>
      <w:bookmarkStart w:id="132" w:name="_Toc297120459"/>
      <w:bookmarkStart w:id="133" w:name="_Toc296890987"/>
      <w:bookmarkStart w:id="134" w:name="_Toc296347158"/>
      <w:bookmarkStart w:id="135" w:name="_Toc312677988"/>
      <w:bookmarkStart w:id="136" w:name="_Toc296891199"/>
      <w:bookmarkStart w:id="137" w:name="_Toc303539102"/>
      <w:bookmarkStart w:id="138" w:name="_Toc297123492"/>
      <w:bookmarkStart w:id="139" w:name="_Toc304295523"/>
      <w:bookmarkStart w:id="140" w:name="_Toc296503159"/>
      <w:bookmarkStart w:id="141" w:name="_Toc292559364"/>
      <w:bookmarkStart w:id="142" w:name="_Toc292559869"/>
      <w:bookmarkStart w:id="143" w:name="_Toc296346660"/>
      <w:bookmarkStart w:id="144" w:name="_Toc297048345"/>
      <w:bookmarkStart w:id="145" w:name="_Toc300934945"/>
      <w:bookmarkStart w:id="146" w:name="_Toc296944498"/>
      <w:bookmarkStart w:id="147" w:name="_Toc297216151"/>
      <w:r>
        <w:rPr>
          <w:rFonts w:ascii="宋体" w:hAnsi="宋体"/>
          <w:color w:val="auto"/>
          <w:szCs w:val="21"/>
        </w:rPr>
        <w:t>.5 分包</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spacing w:line="400" w:lineRule="exact"/>
        <w:ind w:firstLine="420" w:firstLineChars="200"/>
        <w:rPr>
          <w:rFonts w:ascii="宋体" w:hAnsi="宋体"/>
          <w:color w:val="auto"/>
          <w:szCs w:val="21"/>
        </w:rPr>
      </w:pPr>
      <w:r>
        <w:rPr>
          <w:rFonts w:ascii="宋体" w:hAnsi="宋体"/>
          <w:color w:val="auto"/>
          <w:szCs w:val="21"/>
        </w:rPr>
        <w:t>3</w:t>
      </w:r>
      <w:bookmarkStart w:id="148" w:name="_Toc303539103"/>
      <w:bookmarkStart w:id="149" w:name="_Toc296890988"/>
      <w:bookmarkStart w:id="150" w:name="_Toc300934946"/>
      <w:bookmarkStart w:id="151" w:name="_Toc296944499"/>
      <w:bookmarkStart w:id="152" w:name="_Toc297123493"/>
      <w:bookmarkStart w:id="153" w:name="_Toc296346661"/>
      <w:bookmarkStart w:id="154" w:name="_Toc296503160"/>
      <w:bookmarkStart w:id="155" w:name="_Toc304295524"/>
      <w:bookmarkStart w:id="156" w:name="_Toc296347159"/>
      <w:bookmarkStart w:id="157" w:name="_Toc296891200"/>
      <w:bookmarkStart w:id="158" w:name="_Toc292559365"/>
      <w:bookmarkStart w:id="159" w:name="_Toc297216152"/>
      <w:bookmarkStart w:id="160" w:name="_Toc297048346"/>
      <w:bookmarkStart w:id="161" w:name="_Toc297120460"/>
      <w:bookmarkStart w:id="162" w:name="_Toc292559870"/>
      <w:bookmarkStart w:id="163" w:name="_Toc312677989"/>
      <w:bookmarkStart w:id="164" w:name="_Toc318581158"/>
      <w:r>
        <w:rPr>
          <w:rFonts w:ascii="宋体" w:hAnsi="宋体"/>
          <w:color w:val="auto"/>
          <w:szCs w:val="21"/>
        </w:rPr>
        <w:t>.5.1 分包的一般约定</w:t>
      </w:r>
    </w:p>
    <w:p>
      <w:pPr>
        <w:spacing w:line="400" w:lineRule="exact"/>
        <w:ind w:firstLine="420" w:firstLineChars="200"/>
        <w:jc w:val="left"/>
        <w:rPr>
          <w:rFonts w:ascii="宋体" w:hAnsi="宋体"/>
          <w:color w:val="auto"/>
          <w:szCs w:val="21"/>
        </w:rPr>
      </w:pPr>
      <w:r>
        <w:rPr>
          <w:rFonts w:ascii="宋体" w:hAnsi="宋体"/>
          <w:color w:val="auto"/>
          <w:szCs w:val="21"/>
        </w:rPr>
        <w:t>禁止分包的工程包括：</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主体结构、关键性工作的范围：</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Start w:id="165" w:name="_Toc296346662"/>
      <w:bookmarkStart w:id="166" w:name="_Toc296890989"/>
      <w:bookmarkStart w:id="167" w:name="_Toc297216153"/>
      <w:bookmarkStart w:id="168" w:name="_Toc296891201"/>
      <w:bookmarkStart w:id="169" w:name="_Toc297120461"/>
      <w:bookmarkStart w:id="170" w:name="_Toc304295525"/>
      <w:bookmarkStart w:id="171" w:name="_Toc296503161"/>
      <w:bookmarkStart w:id="172" w:name="_Toc296347160"/>
      <w:bookmarkStart w:id="173" w:name="_Toc296944500"/>
      <w:bookmarkStart w:id="174" w:name="_Toc300934947"/>
      <w:bookmarkStart w:id="175" w:name="_Toc297048347"/>
      <w:bookmarkStart w:id="176" w:name="_Toc303539104"/>
      <w:bookmarkStart w:id="177" w:name="_Toc297123494"/>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400" w:lineRule="exact"/>
        <w:rPr>
          <w:rFonts w:ascii="宋体" w:hAnsi="宋体"/>
          <w:color w:val="auto"/>
          <w:szCs w:val="21"/>
        </w:rPr>
      </w:pPr>
      <w:r>
        <w:rPr>
          <w:rFonts w:ascii="宋体" w:hAnsi="宋体"/>
          <w:color w:val="auto"/>
          <w:szCs w:val="21"/>
        </w:rPr>
        <w:t xml:space="preserve">    3</w:t>
      </w:r>
      <w:bookmarkStart w:id="178" w:name="_Toc312677990"/>
      <w:bookmarkStart w:id="179" w:name="_Toc318581159"/>
      <w:r>
        <w:rPr>
          <w:rFonts w:ascii="宋体" w:hAnsi="宋体"/>
          <w:color w:val="auto"/>
          <w:szCs w:val="21"/>
        </w:rPr>
        <w:t>.5.2分包的确定</w:t>
      </w:r>
    </w:p>
    <w:p>
      <w:pPr>
        <w:spacing w:line="400" w:lineRule="exact"/>
        <w:ind w:firstLine="420" w:firstLineChars="200"/>
        <w:rPr>
          <w:rFonts w:ascii="宋体" w:hAnsi="宋体"/>
          <w:color w:val="auto"/>
          <w:szCs w:val="21"/>
          <w:u w:val="single"/>
        </w:rPr>
      </w:pPr>
      <w:r>
        <w:rPr>
          <w:rFonts w:ascii="宋体" w:hAnsi="宋体"/>
          <w:color w:val="auto"/>
          <w:szCs w:val="21"/>
        </w:rPr>
        <w:t>允许分包的专业工程包括：</w:t>
      </w:r>
      <w:r>
        <w:rPr>
          <w:rFonts w:hint="eastAsia" w:ascii="宋体" w:hAnsi="宋体" w:cs="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其他关于分包的约定：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3.5.4 分包合同价款</w:t>
      </w:r>
    </w:p>
    <w:p>
      <w:pPr>
        <w:spacing w:line="400" w:lineRule="exact"/>
        <w:ind w:firstLine="420" w:firstLineChars="200"/>
        <w:rPr>
          <w:rFonts w:ascii="宋体" w:hAnsi="宋体"/>
          <w:color w:val="auto"/>
          <w:szCs w:val="21"/>
        </w:rPr>
      </w:pPr>
      <w:r>
        <w:rPr>
          <w:rFonts w:ascii="宋体" w:hAnsi="宋体"/>
          <w:color w:val="auto"/>
          <w:szCs w:val="21"/>
        </w:rPr>
        <w:t>关于分包合同价款支付的约定：</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178"/>
    <w:bookmarkEnd w:id="179"/>
    <w:p>
      <w:pPr>
        <w:spacing w:after="120" w:line="400" w:lineRule="exact"/>
        <w:ind w:firstLine="420" w:firstLineChars="200"/>
        <w:rPr>
          <w:rFonts w:ascii="宋体" w:hAnsi="宋体"/>
          <w:color w:val="auto"/>
          <w:szCs w:val="21"/>
        </w:rPr>
      </w:pPr>
      <w:r>
        <w:rPr>
          <w:rFonts w:ascii="宋体" w:hAnsi="宋体"/>
          <w:color w:val="auto"/>
          <w:szCs w:val="21"/>
        </w:rPr>
        <w:t>3.6 工程照管与成品、半成品保护</w:t>
      </w:r>
    </w:p>
    <w:p>
      <w:pPr>
        <w:spacing w:before="120" w:after="120" w:line="400" w:lineRule="exact"/>
        <w:ind w:firstLine="420" w:firstLineChars="200"/>
        <w:rPr>
          <w:rFonts w:ascii="宋体" w:hAnsi="宋体"/>
          <w:color w:val="auto"/>
          <w:szCs w:val="21"/>
          <w:u w:val="single"/>
        </w:rPr>
      </w:pPr>
      <w:r>
        <w:rPr>
          <w:rFonts w:ascii="宋体" w:hAnsi="宋体"/>
          <w:color w:val="auto"/>
          <w:szCs w:val="21"/>
        </w:rPr>
        <w:t>承包人负责照管工程及工程相关的材料、工程设备的起始时间：</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3.7 履约担保</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承包人是否提供履约担保：</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承包人提供履约担保的形式</w:t>
      </w:r>
      <w:r>
        <w:rPr>
          <w:rFonts w:hint="eastAsia" w:ascii="宋体" w:hAnsi="宋体"/>
          <w:color w:val="auto"/>
          <w:szCs w:val="21"/>
        </w:rPr>
        <w:t>、金额及期限的</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180" w:name="_Toc351203636"/>
      <w:r>
        <w:rPr>
          <w:rFonts w:ascii="宋体" w:hAnsi="宋体" w:eastAsia="宋体"/>
          <w:b w:val="0"/>
          <w:color w:val="auto"/>
          <w:sz w:val="21"/>
          <w:szCs w:val="21"/>
        </w:rPr>
        <w:t>4</w:t>
      </w:r>
      <w:bookmarkStart w:id="181" w:name="_Toc296346663"/>
      <w:bookmarkStart w:id="182" w:name="_Toc296944501"/>
      <w:bookmarkStart w:id="183" w:name="_Toc296347161"/>
      <w:bookmarkStart w:id="184" w:name="_Toc296891202"/>
      <w:bookmarkStart w:id="185" w:name="_Toc267251413"/>
      <w:bookmarkStart w:id="186" w:name="_Toc292559871"/>
      <w:bookmarkStart w:id="187" w:name="_Toc296503162"/>
      <w:bookmarkStart w:id="188" w:name="_Toc296890990"/>
      <w:bookmarkStart w:id="189" w:name="_Toc297048348"/>
      <w:bookmarkStart w:id="190" w:name="_Toc297120462"/>
      <w:bookmarkStart w:id="191" w:name="_Toc292559366"/>
      <w:r>
        <w:rPr>
          <w:rFonts w:ascii="宋体" w:hAnsi="宋体" w:eastAsia="宋体"/>
          <w:b w:val="0"/>
          <w:color w:val="auto"/>
          <w:sz w:val="21"/>
          <w:szCs w:val="21"/>
        </w:rPr>
        <w:t>. 监</w:t>
      </w:r>
      <w:bookmarkEnd w:id="181"/>
      <w:bookmarkEnd w:id="182"/>
      <w:bookmarkEnd w:id="183"/>
      <w:bookmarkEnd w:id="184"/>
      <w:bookmarkEnd w:id="185"/>
      <w:bookmarkEnd w:id="186"/>
      <w:bookmarkEnd w:id="187"/>
      <w:bookmarkEnd w:id="188"/>
      <w:bookmarkEnd w:id="189"/>
      <w:bookmarkEnd w:id="190"/>
      <w:bookmarkEnd w:id="191"/>
      <w:r>
        <w:rPr>
          <w:rFonts w:ascii="宋体" w:hAnsi="宋体" w:eastAsia="宋体"/>
          <w:b w:val="0"/>
          <w:color w:val="auto"/>
          <w:sz w:val="21"/>
          <w:szCs w:val="21"/>
        </w:rPr>
        <w:t>理人</w:t>
      </w:r>
      <w:bookmarkEnd w:id="180"/>
    </w:p>
    <w:p>
      <w:pPr>
        <w:spacing w:after="120" w:line="400" w:lineRule="exact"/>
        <w:ind w:firstLine="420" w:firstLineChars="200"/>
        <w:rPr>
          <w:rFonts w:ascii="宋体" w:hAnsi="宋体"/>
          <w:color w:val="auto"/>
          <w:szCs w:val="21"/>
        </w:rPr>
      </w:pPr>
      <w:r>
        <w:rPr>
          <w:rFonts w:ascii="宋体" w:hAnsi="宋体"/>
          <w:color w:val="auto"/>
          <w:szCs w:val="21"/>
        </w:rPr>
        <w:t>4.1监理人的一般规定</w:t>
      </w:r>
    </w:p>
    <w:p>
      <w:pPr>
        <w:spacing w:line="400" w:lineRule="exact"/>
        <w:ind w:firstLine="420" w:firstLineChars="200"/>
        <w:jc w:val="left"/>
        <w:rPr>
          <w:rFonts w:ascii="宋体" w:hAnsi="宋体"/>
          <w:color w:val="auto"/>
          <w:szCs w:val="21"/>
        </w:rPr>
      </w:pPr>
      <w:r>
        <w:rPr>
          <w:rFonts w:ascii="宋体" w:hAnsi="宋体"/>
          <w:color w:val="auto"/>
          <w:szCs w:val="21"/>
        </w:rPr>
        <w:t>关于监理人的监理内容：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关于监理人的监理权限：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rPr>
          <w:rFonts w:hint="eastAsia" w:ascii="宋体" w:hAnsi="宋体"/>
          <w:color w:val="auto"/>
          <w:szCs w:val="21"/>
        </w:rPr>
      </w:pPr>
      <w:r>
        <w:rPr>
          <w:rFonts w:ascii="宋体" w:hAnsi="宋体"/>
          <w:color w:val="auto"/>
          <w:szCs w:val="21"/>
        </w:rPr>
        <w:t>关于监理人在施工现场的办公场所、生活场所的提供和费用承担的约定：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4.2 监理人员</w:t>
      </w:r>
    </w:p>
    <w:p>
      <w:pPr>
        <w:spacing w:line="400" w:lineRule="exact"/>
        <w:ind w:firstLine="420" w:firstLineChars="200"/>
        <w:rPr>
          <w:rFonts w:ascii="宋体" w:hAnsi="宋体"/>
          <w:color w:val="auto"/>
          <w:szCs w:val="21"/>
        </w:rPr>
      </w:pPr>
      <w:r>
        <w:rPr>
          <w:rFonts w:ascii="宋体" w:hAnsi="宋体"/>
          <w:color w:val="auto"/>
          <w:szCs w:val="21"/>
        </w:rPr>
        <w:t>总监理工程师：</w:t>
      </w:r>
    </w:p>
    <w:p>
      <w:pPr>
        <w:spacing w:line="40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职    务：</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监理工程师执业资格证书号：</w:t>
      </w:r>
      <w:r>
        <w:rPr>
          <w:rFonts w:hint="eastAsia" w:ascii="宋体" w:hAnsi="宋体" w:cs="宋体"/>
          <w:color w:val="auto"/>
          <w:szCs w:val="21"/>
          <w:u w:val="single"/>
        </w:rPr>
        <w:t>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s="宋体"/>
          <w:color w:val="auto"/>
          <w:szCs w:val="21"/>
          <w:u w:val="single"/>
        </w:rPr>
        <w:t>  </w:t>
      </w:r>
      <w:r>
        <w:rPr>
          <w:rFonts w:ascii="宋体" w:hAnsi="宋体"/>
          <w:color w:val="auto"/>
          <w:szCs w:val="21"/>
          <w:u w:val="single"/>
        </w:rPr>
        <w:t xml:space="preserve"> </w:t>
      </w:r>
      <w:r>
        <w:rPr>
          <w:rFonts w:hint="eastAsia" w:ascii="宋体" w:hAnsi="宋体" w:cs="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通信地址：</w:t>
      </w:r>
      <w:r>
        <w:rPr>
          <w:rFonts w:hint="eastAsia" w:ascii="宋体" w:hAnsi="宋体" w:cs="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关于监理人的其他约定：</w:t>
      </w:r>
      <w:r>
        <w:rPr>
          <w:rFonts w:hint="eastAsia" w:ascii="宋体" w:hAnsi="宋体" w:cs="宋体"/>
          <w:color w:val="auto"/>
          <w:szCs w:val="21"/>
          <w:u w:val="single"/>
        </w:rPr>
        <w:t>  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4.4 商定或确定</w:t>
      </w:r>
    </w:p>
    <w:p>
      <w:pPr>
        <w:spacing w:line="400" w:lineRule="exact"/>
        <w:ind w:firstLine="420" w:firstLineChars="200"/>
        <w:rPr>
          <w:rFonts w:ascii="宋体" w:hAnsi="宋体"/>
          <w:color w:val="auto"/>
          <w:szCs w:val="21"/>
        </w:rPr>
      </w:pPr>
      <w:bookmarkStart w:id="192" w:name="_Toc267251418"/>
      <w:r>
        <w:rPr>
          <w:rFonts w:ascii="宋体" w:hAnsi="宋体"/>
          <w:color w:val="auto"/>
          <w:szCs w:val="21"/>
        </w:rPr>
        <w:t>在发包人和承包人不能通过协商达成一致意见时，发包人授权监理人对以下事项进行确定：</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193" w:name="_Toc351203637"/>
      <w:r>
        <w:rPr>
          <w:rFonts w:ascii="宋体" w:hAnsi="宋体" w:eastAsia="宋体"/>
          <w:b w:val="0"/>
          <w:color w:val="auto"/>
          <w:sz w:val="21"/>
          <w:szCs w:val="21"/>
        </w:rPr>
        <w:t>5</w:t>
      </w:r>
      <w:bookmarkEnd w:id="192"/>
      <w:bookmarkStart w:id="194" w:name="_Toc296890991"/>
      <w:bookmarkStart w:id="195" w:name="_Toc292559367"/>
      <w:bookmarkStart w:id="196" w:name="_Toc296503163"/>
      <w:bookmarkStart w:id="197" w:name="_Toc296347162"/>
      <w:bookmarkStart w:id="198" w:name="_Toc297048349"/>
      <w:bookmarkStart w:id="199" w:name="_Toc296891203"/>
      <w:bookmarkStart w:id="200" w:name="_Toc296944502"/>
      <w:bookmarkStart w:id="201" w:name="_Toc292559872"/>
      <w:bookmarkStart w:id="202" w:name="_Toc297120463"/>
      <w:bookmarkStart w:id="203" w:name="_Toc296346664"/>
      <w:r>
        <w:rPr>
          <w:rFonts w:ascii="宋体" w:hAnsi="宋体" w:eastAsia="宋体"/>
          <w:b w:val="0"/>
          <w:color w:val="auto"/>
          <w:sz w:val="21"/>
          <w:szCs w:val="21"/>
        </w:rPr>
        <w:t>. 工程质量</w:t>
      </w:r>
      <w:bookmarkEnd w:id="193"/>
    </w:p>
    <w:p>
      <w:pPr>
        <w:spacing w:after="120" w:line="400" w:lineRule="exact"/>
        <w:ind w:firstLine="420" w:firstLineChars="200"/>
        <w:rPr>
          <w:rFonts w:ascii="宋体" w:hAnsi="宋体"/>
          <w:color w:val="auto"/>
          <w:szCs w:val="21"/>
        </w:rPr>
      </w:pPr>
      <w:r>
        <w:rPr>
          <w:rFonts w:ascii="宋体" w:hAnsi="宋体"/>
          <w:color w:val="auto"/>
          <w:szCs w:val="21"/>
        </w:rPr>
        <w:t>5.1 质量要求</w:t>
      </w:r>
    </w:p>
    <w:p>
      <w:pPr>
        <w:spacing w:line="400" w:lineRule="exact"/>
        <w:ind w:firstLine="420" w:firstLineChars="200"/>
        <w:rPr>
          <w:rFonts w:ascii="宋体" w:hAnsi="宋体"/>
          <w:color w:val="auto"/>
          <w:szCs w:val="21"/>
        </w:rPr>
      </w:pPr>
      <w:r>
        <w:rPr>
          <w:rFonts w:ascii="宋体" w:hAnsi="宋体"/>
          <w:color w:val="auto"/>
          <w:szCs w:val="21"/>
        </w:rPr>
        <w:t>5</w:t>
      </w:r>
      <w:bookmarkStart w:id="204" w:name="_Toc304295527"/>
      <w:bookmarkStart w:id="205" w:name="_Toc297216155"/>
      <w:bookmarkStart w:id="206" w:name="_Toc318581164"/>
      <w:bookmarkStart w:id="207" w:name="_Toc300934949"/>
      <w:bookmarkStart w:id="208" w:name="_Toc303539106"/>
      <w:bookmarkStart w:id="209" w:name="_Toc312677997"/>
      <w:bookmarkStart w:id="210" w:name="_Toc297123496"/>
      <w:r>
        <w:rPr>
          <w:rFonts w:ascii="宋体" w:hAnsi="宋体"/>
          <w:color w:val="auto"/>
          <w:szCs w:val="21"/>
        </w:rPr>
        <w:t>.1.1 特殊质量标准和要求：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hint="eastAsia" w:ascii="宋体" w:hAnsi="宋体"/>
          <w:color w:val="auto"/>
          <w:szCs w:val="21"/>
        </w:rPr>
      </w:pPr>
      <w:r>
        <w:rPr>
          <w:rFonts w:ascii="宋体" w:hAnsi="宋体"/>
          <w:color w:val="auto"/>
          <w:szCs w:val="21"/>
        </w:rPr>
        <w:t>关于工程奖项的约定：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5.3 隐蔽工程检查</w:t>
      </w:r>
    </w:p>
    <w:p>
      <w:pPr>
        <w:spacing w:line="400" w:lineRule="exact"/>
        <w:ind w:firstLine="420" w:firstLineChars="200"/>
        <w:jc w:val="left"/>
        <w:rPr>
          <w:rFonts w:ascii="宋体" w:hAnsi="宋体"/>
          <w:color w:val="auto"/>
          <w:szCs w:val="21"/>
        </w:rPr>
      </w:pPr>
      <w:r>
        <w:rPr>
          <w:rFonts w:ascii="宋体" w:hAnsi="宋体"/>
          <w:color w:val="auto"/>
          <w:szCs w:val="21"/>
        </w:rPr>
        <w:t>5.3.2承包人提前通知监理人隐蔽工程检查的期限的约定：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ascii="宋体" w:hAnsi="宋体"/>
          <w:color w:val="auto"/>
          <w:szCs w:val="21"/>
        </w:rPr>
        <w:t>小时提交书面延期要求。</w:t>
      </w:r>
    </w:p>
    <w:p>
      <w:pPr>
        <w:spacing w:line="400" w:lineRule="exact"/>
        <w:ind w:firstLine="420" w:firstLineChars="200"/>
        <w:jc w:val="left"/>
        <w:rPr>
          <w:rFonts w:ascii="宋体" w:hAnsi="宋体"/>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pStyle w:val="6"/>
        <w:spacing w:before="120" w:after="120" w:line="400" w:lineRule="exact"/>
        <w:rPr>
          <w:rFonts w:ascii="宋体" w:hAnsi="宋体" w:eastAsia="宋体"/>
          <w:b w:val="0"/>
          <w:color w:val="auto"/>
          <w:sz w:val="21"/>
          <w:szCs w:val="21"/>
        </w:rPr>
      </w:pPr>
      <w:bookmarkStart w:id="211" w:name="_Toc351203638"/>
      <w:r>
        <w:rPr>
          <w:rFonts w:ascii="宋体" w:hAnsi="宋体" w:eastAsia="宋体"/>
          <w:b w:val="0"/>
          <w:color w:val="auto"/>
          <w:sz w:val="21"/>
          <w:szCs w:val="21"/>
        </w:rPr>
        <w:t>6. 安全文明施工与环境保护</w:t>
      </w:r>
      <w:bookmarkEnd w:id="211"/>
    </w:p>
    <w:p>
      <w:pPr>
        <w:spacing w:after="120" w:line="400" w:lineRule="exact"/>
        <w:ind w:firstLine="420" w:firstLineChars="200"/>
        <w:rPr>
          <w:rFonts w:ascii="宋体" w:hAnsi="宋体"/>
          <w:color w:val="auto"/>
          <w:szCs w:val="21"/>
        </w:rPr>
      </w:pPr>
      <w:r>
        <w:rPr>
          <w:rFonts w:ascii="宋体" w:hAnsi="宋体"/>
          <w:color w:val="auto"/>
          <w:szCs w:val="21"/>
        </w:rPr>
        <w:t>6.1安全文明施工</w:t>
      </w:r>
    </w:p>
    <w:p>
      <w:pPr>
        <w:spacing w:line="400" w:lineRule="exact"/>
        <w:ind w:firstLine="420" w:firstLineChars="200"/>
        <w:rPr>
          <w:rFonts w:ascii="宋体" w:hAnsi="宋体"/>
          <w:color w:val="auto"/>
          <w:szCs w:val="21"/>
        </w:rPr>
      </w:pPr>
      <w:r>
        <w:rPr>
          <w:rFonts w:ascii="宋体" w:hAnsi="宋体"/>
          <w:color w:val="auto"/>
          <w:szCs w:val="21"/>
        </w:rPr>
        <w:t>6.1.1 项目安全生产的达标目标及相应事项的约定：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6.1.4 关于治安保卫的特别约定：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hint="eastAsia" w:ascii="宋体" w:hAnsi="宋体"/>
          <w:color w:val="auto"/>
          <w:szCs w:val="21"/>
        </w:rPr>
      </w:pPr>
      <w:r>
        <w:rPr>
          <w:rFonts w:ascii="宋体" w:hAnsi="宋体"/>
          <w:color w:val="auto"/>
          <w:szCs w:val="21"/>
        </w:rPr>
        <w:t>关于编制施工场地治安管理计划的约定：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6.1.5 文明施工</w:t>
      </w:r>
    </w:p>
    <w:p>
      <w:pPr>
        <w:spacing w:line="400" w:lineRule="exact"/>
        <w:ind w:firstLine="420" w:firstLineChars="200"/>
        <w:rPr>
          <w:rFonts w:ascii="宋体" w:hAnsi="宋体"/>
          <w:color w:val="auto"/>
          <w:szCs w:val="21"/>
        </w:rPr>
      </w:pPr>
      <w:r>
        <w:rPr>
          <w:rFonts w:hint="eastAsia" w:ascii="宋体" w:hAnsi="宋体"/>
          <w:color w:val="auto"/>
          <w:szCs w:val="21"/>
        </w:rPr>
        <w:t>合同当事人对文明施工的要求：</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6.1.6 关于安全文明施工费支付比例和支付期限的约定：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04"/>
    <w:bookmarkEnd w:id="205"/>
    <w:bookmarkEnd w:id="206"/>
    <w:bookmarkEnd w:id="207"/>
    <w:bookmarkEnd w:id="208"/>
    <w:bookmarkEnd w:id="209"/>
    <w:bookmarkEnd w:id="210"/>
    <w:p>
      <w:pPr>
        <w:pStyle w:val="6"/>
        <w:spacing w:before="120" w:after="120" w:line="400" w:lineRule="exact"/>
        <w:rPr>
          <w:rFonts w:ascii="宋体" w:hAnsi="宋体" w:eastAsia="宋体"/>
          <w:b w:val="0"/>
          <w:color w:val="auto"/>
          <w:sz w:val="21"/>
          <w:szCs w:val="21"/>
        </w:rPr>
      </w:pPr>
      <w:bookmarkStart w:id="212" w:name="_Toc351203639"/>
      <w:r>
        <w:rPr>
          <w:rFonts w:ascii="宋体" w:hAnsi="宋体" w:eastAsia="宋体"/>
          <w:b w:val="0"/>
          <w:color w:val="auto"/>
          <w:sz w:val="21"/>
          <w:szCs w:val="21"/>
        </w:rPr>
        <w:t>7. 工期和进度</w:t>
      </w:r>
      <w:bookmarkEnd w:id="212"/>
    </w:p>
    <w:p>
      <w:pPr>
        <w:spacing w:after="120" w:line="400" w:lineRule="exact"/>
        <w:ind w:firstLine="420" w:firstLineChars="200"/>
        <w:rPr>
          <w:rFonts w:ascii="宋体" w:hAnsi="宋体"/>
          <w:color w:val="auto"/>
          <w:szCs w:val="21"/>
        </w:rPr>
      </w:pPr>
      <w:r>
        <w:rPr>
          <w:rFonts w:ascii="宋体" w:hAnsi="宋体"/>
          <w:color w:val="auto"/>
          <w:szCs w:val="21"/>
        </w:rPr>
        <w:t>7.1 施工组织设计</w:t>
      </w:r>
    </w:p>
    <w:p>
      <w:pPr>
        <w:autoSpaceDE w:val="0"/>
        <w:autoSpaceDN w:val="0"/>
        <w:adjustRightInd w:val="0"/>
        <w:spacing w:line="400" w:lineRule="exact"/>
        <w:jc w:val="left"/>
        <w:rPr>
          <w:rFonts w:ascii="宋体" w:hAnsi="宋体"/>
          <w:color w:val="auto"/>
          <w:szCs w:val="21"/>
        </w:rPr>
      </w:pPr>
      <w:r>
        <w:rPr>
          <w:rFonts w:ascii="宋体" w:hAnsi="宋体"/>
          <w:color w:val="auto"/>
          <w:szCs w:val="21"/>
        </w:rPr>
        <w:t>7.1.</w:t>
      </w:r>
      <w:r>
        <w:rPr>
          <w:rFonts w:hint="eastAsia" w:ascii="宋体" w:hAnsi="宋体"/>
          <w:color w:val="auto"/>
          <w:szCs w:val="21"/>
        </w:rPr>
        <w:t>1 合同当事人约定的</w:t>
      </w:r>
      <w:r>
        <w:rPr>
          <w:rFonts w:ascii="宋体" w:hAnsi="宋体"/>
          <w:color w:val="auto"/>
          <w:szCs w:val="21"/>
        </w:rPr>
        <w:t>施工组织设计</w:t>
      </w:r>
      <w:r>
        <w:rPr>
          <w:rFonts w:hint="eastAsia" w:ascii="宋体" w:hAnsi="宋体"/>
          <w:color w:val="auto"/>
          <w:szCs w:val="21"/>
        </w:rPr>
        <w:t>应包括的其他内容</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7.1.2 施工组织设计的提交和修改</w:t>
      </w:r>
    </w:p>
    <w:p>
      <w:pPr>
        <w:spacing w:line="400" w:lineRule="exact"/>
        <w:ind w:firstLine="420" w:firstLineChars="200"/>
        <w:rPr>
          <w:rFonts w:hint="eastAsia" w:ascii="宋体" w:hAnsi="宋体"/>
          <w:color w:val="auto"/>
          <w:szCs w:val="21"/>
        </w:rPr>
      </w:pPr>
      <w:r>
        <w:rPr>
          <w:rFonts w:ascii="宋体" w:hAnsi="宋体"/>
          <w:color w:val="auto"/>
          <w:szCs w:val="21"/>
        </w:rPr>
        <w:t>承包人提交详细施工组织设计的期限的约定：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发包人和监理人在收到</w:t>
      </w:r>
      <w:r>
        <w:rPr>
          <w:rFonts w:hint="eastAsia" w:ascii="宋体" w:hAnsi="宋体"/>
          <w:color w:val="auto"/>
          <w:szCs w:val="21"/>
        </w:rPr>
        <w:t>详细的施工组织设计</w:t>
      </w:r>
      <w:r>
        <w:rPr>
          <w:rFonts w:ascii="宋体" w:hAnsi="宋体"/>
          <w:color w:val="auto"/>
          <w:szCs w:val="21"/>
        </w:rPr>
        <w:t>后确认或提出修改意见的期限：</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w:t>
      </w:r>
      <w:bookmarkStart w:id="213" w:name="_Toc304295541"/>
      <w:bookmarkStart w:id="214" w:name="_Toc303539123"/>
      <w:bookmarkStart w:id="215" w:name="_Toc297123514"/>
      <w:bookmarkStart w:id="216" w:name="_Toc300934966"/>
      <w:bookmarkStart w:id="217" w:name="_Toc297216173"/>
      <w:bookmarkStart w:id="218" w:name="_Toc312677479"/>
      <w:bookmarkStart w:id="219" w:name="_Toc312678005"/>
      <w:r>
        <w:rPr>
          <w:rFonts w:ascii="宋体" w:hAnsi="宋体"/>
          <w:color w:val="auto"/>
          <w:szCs w:val="21"/>
        </w:rPr>
        <w:t>.2 施工进度计划</w:t>
      </w:r>
    </w:p>
    <w:p>
      <w:pPr>
        <w:spacing w:line="400" w:lineRule="exact"/>
        <w:ind w:firstLine="420" w:firstLineChars="200"/>
        <w:jc w:val="left"/>
        <w:rPr>
          <w:rFonts w:ascii="宋体" w:hAnsi="宋体"/>
          <w:color w:val="auto"/>
          <w:szCs w:val="21"/>
        </w:rPr>
      </w:pPr>
      <w:r>
        <w:rPr>
          <w:rFonts w:ascii="宋体" w:hAnsi="宋体"/>
          <w:color w:val="auto"/>
          <w:szCs w:val="21"/>
        </w:rPr>
        <w:t>7.2.2 施工进度计划的修订</w:t>
      </w:r>
    </w:p>
    <w:p>
      <w:pPr>
        <w:spacing w:line="400" w:lineRule="exact"/>
        <w:ind w:firstLine="420" w:firstLineChars="200"/>
        <w:jc w:val="left"/>
        <w:rPr>
          <w:rFonts w:ascii="宋体" w:hAnsi="宋体"/>
          <w:color w:val="auto"/>
          <w:szCs w:val="21"/>
        </w:rPr>
      </w:pPr>
      <w:r>
        <w:rPr>
          <w:rFonts w:ascii="宋体" w:hAnsi="宋体"/>
          <w:color w:val="auto"/>
          <w:szCs w:val="21"/>
        </w:rPr>
        <w:t>发包人和监理人在收到修订的施工进度计划后确认或提出修改意见的期限：</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7.3 开工</w:t>
      </w:r>
    </w:p>
    <w:p>
      <w:pPr>
        <w:spacing w:line="400" w:lineRule="exact"/>
        <w:ind w:firstLine="420" w:firstLineChars="200"/>
        <w:jc w:val="left"/>
        <w:rPr>
          <w:rFonts w:ascii="宋体" w:hAnsi="宋体"/>
          <w:color w:val="auto"/>
          <w:szCs w:val="21"/>
        </w:rPr>
      </w:pPr>
      <w:r>
        <w:rPr>
          <w:rFonts w:ascii="宋体" w:hAnsi="宋体"/>
          <w:color w:val="auto"/>
          <w:szCs w:val="21"/>
        </w:rPr>
        <w:t>7.3.1 开工准备</w:t>
      </w:r>
    </w:p>
    <w:p>
      <w:pPr>
        <w:spacing w:line="400" w:lineRule="exact"/>
        <w:ind w:firstLine="420" w:firstLineChars="200"/>
        <w:rPr>
          <w:rFonts w:ascii="宋体" w:hAnsi="宋体"/>
          <w:color w:val="auto"/>
          <w:szCs w:val="21"/>
          <w:u w:val="single"/>
        </w:rPr>
      </w:pPr>
      <w:r>
        <w:rPr>
          <w:rFonts w:ascii="宋体" w:hAnsi="宋体"/>
          <w:color w:val="auto"/>
          <w:szCs w:val="21"/>
        </w:rPr>
        <w:t>关于承包人提交工程开工报审表的期限：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关于发包人应完成的其他开工准备工作及期限：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关于承包人应完成的其他开工准备工作及期限：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7.3.2开工通知</w:t>
      </w:r>
    </w:p>
    <w:p>
      <w:pPr>
        <w:spacing w:line="400" w:lineRule="exact"/>
        <w:ind w:firstLine="420" w:firstLineChars="200"/>
        <w:jc w:val="left"/>
        <w:rPr>
          <w:rFonts w:ascii="宋体" w:hAnsi="宋体"/>
          <w:color w:val="auto"/>
          <w:szCs w:val="21"/>
        </w:rPr>
      </w:pPr>
      <w:r>
        <w:rPr>
          <w:rFonts w:ascii="宋体" w:hAnsi="宋体"/>
          <w:color w:val="auto"/>
          <w:szCs w:val="21"/>
        </w:rPr>
        <w:t>因发包人原因造成监理人未能在计划开工日期之日起</w:t>
      </w:r>
      <w:r>
        <w:rPr>
          <w:rFonts w:ascii="宋体" w:hAnsi="宋体"/>
          <w:color w:val="auto"/>
          <w:szCs w:val="21"/>
          <w:u w:val="single"/>
        </w:rPr>
        <w:t xml:space="preserve">     </w:t>
      </w:r>
      <w:r>
        <w:rPr>
          <w:rFonts w:ascii="宋体" w:hAnsi="宋体"/>
          <w:color w:val="auto"/>
          <w:szCs w:val="21"/>
        </w:rPr>
        <w:t>天内发出开工通知的，承包人有权提出价格调整要求，或者解除合同。</w:t>
      </w:r>
    </w:p>
    <w:bookmarkEnd w:id="213"/>
    <w:bookmarkEnd w:id="214"/>
    <w:bookmarkEnd w:id="215"/>
    <w:bookmarkEnd w:id="216"/>
    <w:bookmarkEnd w:id="217"/>
    <w:bookmarkEnd w:id="218"/>
    <w:bookmarkEnd w:id="219"/>
    <w:p>
      <w:pPr>
        <w:spacing w:after="120" w:line="400" w:lineRule="exact"/>
        <w:ind w:firstLine="420" w:firstLineChars="200"/>
        <w:rPr>
          <w:rFonts w:ascii="宋体" w:hAnsi="宋体"/>
          <w:color w:val="auto"/>
          <w:szCs w:val="21"/>
        </w:rPr>
      </w:pPr>
      <w:r>
        <w:rPr>
          <w:rFonts w:ascii="宋体" w:hAnsi="宋体"/>
          <w:color w:val="auto"/>
          <w:szCs w:val="21"/>
        </w:rPr>
        <w:t>7.4 测量放线</w:t>
      </w:r>
    </w:p>
    <w:p>
      <w:pPr>
        <w:spacing w:line="400" w:lineRule="exact"/>
        <w:ind w:firstLine="420" w:firstLineChars="200"/>
        <w:jc w:val="left"/>
        <w:rPr>
          <w:rFonts w:hint="eastAsia" w:ascii="宋体" w:hAnsi="宋体"/>
          <w:color w:val="auto"/>
          <w:szCs w:val="21"/>
          <w:u w:val="single"/>
        </w:rPr>
      </w:pPr>
      <w:r>
        <w:rPr>
          <w:rFonts w:ascii="宋体" w:hAnsi="宋体"/>
          <w:color w:val="auto"/>
          <w:szCs w:val="21"/>
        </w:rPr>
        <w:t>7.4.1发包人通过监理人向承包人提供测量基准点、基准线和水准点及其书面资料的期限：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w:t>
      </w:r>
      <w:bookmarkStart w:id="220" w:name="_Toc304295546"/>
      <w:bookmarkStart w:id="221" w:name="_Toc297123516"/>
      <w:bookmarkStart w:id="222" w:name="_Toc303539125"/>
      <w:bookmarkStart w:id="223" w:name="_Toc312677484"/>
      <w:bookmarkStart w:id="224" w:name="_Toc312678010"/>
      <w:bookmarkStart w:id="225" w:name="_Toc297216175"/>
      <w:bookmarkStart w:id="226" w:name="_Toc300934968"/>
      <w:r>
        <w:rPr>
          <w:rFonts w:ascii="宋体" w:hAnsi="宋体"/>
          <w:color w:val="auto"/>
          <w:szCs w:val="21"/>
        </w:rPr>
        <w:t>.5 工期延误</w:t>
      </w:r>
    </w:p>
    <w:bookmarkEnd w:id="220"/>
    <w:bookmarkEnd w:id="221"/>
    <w:bookmarkEnd w:id="222"/>
    <w:bookmarkEnd w:id="223"/>
    <w:bookmarkEnd w:id="224"/>
    <w:bookmarkEnd w:id="225"/>
    <w:bookmarkEnd w:id="226"/>
    <w:p>
      <w:pPr>
        <w:spacing w:line="400" w:lineRule="exact"/>
        <w:ind w:firstLine="420" w:firstLineChars="200"/>
        <w:jc w:val="left"/>
        <w:rPr>
          <w:rFonts w:ascii="宋体" w:hAnsi="宋体"/>
          <w:color w:val="auto"/>
          <w:szCs w:val="21"/>
        </w:rPr>
      </w:pPr>
      <w:r>
        <w:rPr>
          <w:rFonts w:ascii="宋体" w:hAnsi="宋体"/>
          <w:color w:val="auto"/>
          <w:szCs w:val="21"/>
        </w:rPr>
        <w:t>7.5.1 因发包人原因导致工期延误</w:t>
      </w:r>
    </w:p>
    <w:p>
      <w:pPr>
        <w:spacing w:line="400" w:lineRule="exact"/>
        <w:ind w:firstLine="420" w:firstLineChars="200"/>
        <w:jc w:val="left"/>
        <w:rPr>
          <w:rFonts w:ascii="宋体" w:hAnsi="宋体"/>
          <w:color w:val="auto"/>
          <w:szCs w:val="21"/>
        </w:rPr>
      </w:pPr>
      <w:r>
        <w:rPr>
          <w:rFonts w:ascii="宋体" w:hAnsi="宋体"/>
          <w:color w:val="auto"/>
          <w:szCs w:val="21"/>
        </w:rPr>
        <w:t>（7）因发包人原因导致工期延误的其他情形：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7</w:t>
      </w:r>
      <w:bookmarkStart w:id="227" w:name="_Toc312678012"/>
      <w:bookmarkStart w:id="228" w:name="_Toc318581169"/>
      <w:bookmarkStart w:id="229" w:name="_Toc312677486"/>
      <w:bookmarkStart w:id="230" w:name="_Toc300934970"/>
      <w:bookmarkStart w:id="231" w:name="_Toc303539127"/>
      <w:bookmarkStart w:id="232" w:name="_Toc304295548"/>
      <w:bookmarkStart w:id="233" w:name="_Toc297123518"/>
      <w:bookmarkStart w:id="234" w:name="_Toc297216177"/>
      <w:r>
        <w:rPr>
          <w:rFonts w:ascii="宋体" w:hAnsi="宋体"/>
          <w:color w:val="auto"/>
          <w:szCs w:val="21"/>
        </w:rPr>
        <w:t>.5.2 因承包人原因导致工期延误</w:t>
      </w:r>
    </w:p>
    <w:bookmarkEnd w:id="227"/>
    <w:bookmarkEnd w:id="228"/>
    <w:bookmarkEnd w:id="229"/>
    <w:p>
      <w:pPr>
        <w:spacing w:line="400" w:lineRule="exact"/>
        <w:ind w:firstLine="420" w:firstLineChars="200"/>
        <w:jc w:val="left"/>
        <w:rPr>
          <w:rFonts w:ascii="宋体" w:hAnsi="宋体"/>
          <w:color w:val="auto"/>
          <w:szCs w:val="21"/>
        </w:rPr>
      </w:pPr>
      <w:r>
        <w:rPr>
          <w:rFonts w:ascii="宋体" w:hAnsi="宋体"/>
          <w:color w:val="auto"/>
          <w:szCs w:val="21"/>
        </w:rPr>
        <w:t>因</w:t>
      </w:r>
      <w:bookmarkStart w:id="235" w:name="_Toc312678013"/>
      <w:bookmarkStart w:id="236" w:name="_Toc312677487"/>
      <w:bookmarkStart w:id="237" w:name="_Toc318581170"/>
      <w:r>
        <w:rPr>
          <w:rFonts w:ascii="宋体" w:hAnsi="宋体"/>
          <w:color w:val="auto"/>
          <w:szCs w:val="21"/>
        </w:rPr>
        <w:t>承包人原因造成工期延误，逾期竣工违约金的计算方法为：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230"/>
      <w:bookmarkEnd w:id="231"/>
      <w:bookmarkEnd w:id="232"/>
      <w:bookmarkEnd w:id="233"/>
      <w:bookmarkEnd w:id="234"/>
      <w:bookmarkEnd w:id="235"/>
      <w:bookmarkEnd w:id="236"/>
    </w:p>
    <w:bookmarkEnd w:id="237"/>
    <w:p>
      <w:pPr>
        <w:spacing w:line="400" w:lineRule="exact"/>
        <w:ind w:firstLine="420" w:firstLineChars="200"/>
        <w:jc w:val="left"/>
        <w:rPr>
          <w:rFonts w:ascii="宋体" w:hAnsi="宋体"/>
          <w:color w:val="auto"/>
          <w:szCs w:val="21"/>
        </w:rPr>
      </w:pPr>
      <w:r>
        <w:rPr>
          <w:rFonts w:ascii="宋体" w:hAnsi="宋体"/>
          <w:color w:val="auto"/>
          <w:szCs w:val="21"/>
        </w:rPr>
        <w:t>因承包人原因造成工期延误，逾</w:t>
      </w:r>
      <w:bookmarkStart w:id="238" w:name="_Toc318581171"/>
      <w:bookmarkStart w:id="239" w:name="_Toc312678014"/>
      <w:r>
        <w:rPr>
          <w:rFonts w:ascii="宋体" w:hAnsi="宋体"/>
          <w:color w:val="auto"/>
          <w:szCs w:val="21"/>
        </w:rPr>
        <w:t>期竣工违约金的上限：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38"/>
    <w:bookmarkEnd w:id="239"/>
    <w:p>
      <w:pPr>
        <w:spacing w:after="120" w:line="400" w:lineRule="exact"/>
        <w:ind w:firstLine="420" w:firstLineChars="200"/>
        <w:rPr>
          <w:rFonts w:ascii="宋体" w:hAnsi="宋体"/>
          <w:color w:val="auto"/>
          <w:szCs w:val="21"/>
        </w:rPr>
      </w:pPr>
      <w:r>
        <w:rPr>
          <w:rFonts w:ascii="宋体" w:hAnsi="宋体"/>
          <w:color w:val="auto"/>
          <w:szCs w:val="21"/>
        </w:rPr>
        <w:t>7</w:t>
      </w:r>
      <w:bookmarkStart w:id="240" w:name="_Toc303539128"/>
      <w:bookmarkStart w:id="241" w:name="_Toc300934971"/>
      <w:bookmarkStart w:id="242" w:name="_Toc297216178"/>
      <w:bookmarkStart w:id="243" w:name="_Toc312678015"/>
      <w:bookmarkStart w:id="244" w:name="_Toc304295549"/>
      <w:bookmarkStart w:id="245" w:name="_Toc297123519"/>
      <w:r>
        <w:rPr>
          <w:rFonts w:ascii="宋体" w:hAnsi="宋体"/>
          <w:color w:val="auto"/>
          <w:szCs w:val="21"/>
        </w:rPr>
        <w:t>.6 不</w:t>
      </w:r>
      <w:bookmarkEnd w:id="240"/>
      <w:bookmarkEnd w:id="241"/>
      <w:bookmarkEnd w:id="242"/>
      <w:bookmarkEnd w:id="243"/>
      <w:bookmarkEnd w:id="244"/>
      <w:bookmarkEnd w:id="245"/>
      <w:r>
        <w:rPr>
          <w:rFonts w:ascii="宋体" w:hAnsi="宋体"/>
          <w:color w:val="auto"/>
          <w:szCs w:val="21"/>
        </w:rPr>
        <w:t>利物质条件</w:t>
      </w:r>
    </w:p>
    <w:p>
      <w:pPr>
        <w:spacing w:line="400" w:lineRule="exact"/>
        <w:ind w:firstLine="420" w:firstLineChars="200"/>
        <w:jc w:val="left"/>
        <w:rPr>
          <w:rFonts w:ascii="宋体" w:hAnsi="宋体"/>
          <w:color w:val="auto"/>
          <w:szCs w:val="21"/>
        </w:rPr>
      </w:pPr>
      <w:bookmarkStart w:id="246" w:name="_Toc318581172"/>
      <w:bookmarkStart w:id="247" w:name="_Toc297216179"/>
      <w:bookmarkStart w:id="248" w:name="_Toc303539129"/>
      <w:bookmarkStart w:id="249" w:name="_Toc304295550"/>
      <w:bookmarkStart w:id="250" w:name="_Toc297123520"/>
      <w:bookmarkStart w:id="251" w:name="_Toc312678016"/>
      <w:bookmarkStart w:id="252" w:name="_Toc300934972"/>
      <w:r>
        <w:rPr>
          <w:rFonts w:ascii="宋体" w:hAnsi="宋体"/>
          <w:color w:val="auto"/>
          <w:szCs w:val="21"/>
        </w:rPr>
        <w:t>不利物质条件的其他情形和有关约定：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46"/>
    <w:bookmarkEnd w:id="247"/>
    <w:bookmarkEnd w:id="248"/>
    <w:bookmarkEnd w:id="249"/>
    <w:bookmarkEnd w:id="250"/>
    <w:bookmarkEnd w:id="251"/>
    <w:bookmarkEnd w:id="252"/>
    <w:p>
      <w:pPr>
        <w:spacing w:after="120" w:line="400" w:lineRule="exact"/>
        <w:ind w:firstLine="420" w:firstLineChars="200"/>
        <w:rPr>
          <w:rFonts w:ascii="宋体" w:hAnsi="宋体"/>
          <w:color w:val="auto"/>
          <w:szCs w:val="21"/>
        </w:rPr>
      </w:pPr>
      <w:r>
        <w:rPr>
          <w:rFonts w:ascii="宋体" w:hAnsi="宋体"/>
          <w:color w:val="auto"/>
          <w:szCs w:val="21"/>
        </w:rPr>
        <w:t>7</w:t>
      </w:r>
      <w:bookmarkStart w:id="253" w:name="_Toc297216180"/>
      <w:bookmarkStart w:id="254" w:name="_Toc303539130"/>
      <w:bookmarkStart w:id="255" w:name="_Toc312678017"/>
      <w:bookmarkStart w:id="256" w:name="_Toc300934973"/>
      <w:bookmarkStart w:id="257" w:name="_Toc304295551"/>
      <w:bookmarkStart w:id="258" w:name="_Toc297123521"/>
      <w:r>
        <w:rPr>
          <w:rFonts w:ascii="宋体" w:hAnsi="宋体"/>
          <w:color w:val="auto"/>
          <w:szCs w:val="21"/>
        </w:rPr>
        <w:t>.7异常恶劣的气候条件</w:t>
      </w:r>
    </w:p>
    <w:bookmarkEnd w:id="253"/>
    <w:bookmarkEnd w:id="254"/>
    <w:bookmarkEnd w:id="255"/>
    <w:bookmarkEnd w:id="256"/>
    <w:bookmarkEnd w:id="257"/>
    <w:bookmarkEnd w:id="258"/>
    <w:p>
      <w:pPr>
        <w:spacing w:line="400" w:lineRule="exact"/>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7.9 提前竣工的奖励</w:t>
      </w:r>
    </w:p>
    <w:p>
      <w:pPr>
        <w:spacing w:line="400" w:lineRule="exact"/>
        <w:ind w:firstLine="420" w:firstLineChars="200"/>
        <w:jc w:val="left"/>
        <w:rPr>
          <w:rFonts w:hint="eastAsia" w:ascii="宋体" w:hAnsi="宋体"/>
          <w:color w:val="auto"/>
          <w:szCs w:val="21"/>
        </w:rPr>
      </w:pPr>
      <w:r>
        <w:rPr>
          <w:rFonts w:ascii="宋体" w:hAnsi="宋体"/>
          <w:color w:val="auto"/>
          <w:szCs w:val="21"/>
        </w:rPr>
        <w:t>7.9.2提前竣工的奖励：</w:t>
      </w:r>
      <w:r>
        <w:rPr>
          <w:rFonts w:ascii="宋体" w:hAnsi="宋体"/>
          <w:color w:val="auto"/>
          <w:szCs w:val="21"/>
          <w:u w:val="single"/>
        </w:rPr>
        <w:t xml:space="preserve">         </w:t>
      </w:r>
      <w:r>
        <w:rPr>
          <w:rFonts w:hint="eastAsia" w:ascii="宋体" w:hAnsi="宋体"/>
          <w:color w:val="auto"/>
          <w:szCs w:val="21"/>
          <w:u w:val="single"/>
        </w:rPr>
        <w:t>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259" w:name="_Toc351203640"/>
      <w:r>
        <w:rPr>
          <w:rFonts w:ascii="宋体" w:hAnsi="宋体" w:eastAsia="宋体"/>
          <w:b w:val="0"/>
          <w:color w:val="auto"/>
          <w:sz w:val="21"/>
          <w:szCs w:val="21"/>
        </w:rPr>
        <w:t>8. 材料与设备</w:t>
      </w:r>
      <w:bookmarkEnd w:id="259"/>
    </w:p>
    <w:bookmarkEnd w:id="194"/>
    <w:bookmarkEnd w:id="195"/>
    <w:bookmarkEnd w:id="196"/>
    <w:bookmarkEnd w:id="197"/>
    <w:bookmarkEnd w:id="198"/>
    <w:bookmarkEnd w:id="199"/>
    <w:bookmarkEnd w:id="200"/>
    <w:bookmarkEnd w:id="201"/>
    <w:bookmarkEnd w:id="202"/>
    <w:bookmarkEnd w:id="203"/>
    <w:p>
      <w:pPr>
        <w:spacing w:line="400" w:lineRule="exact"/>
        <w:ind w:firstLine="420" w:firstLineChars="200"/>
        <w:jc w:val="left"/>
        <w:rPr>
          <w:rFonts w:ascii="宋体" w:hAnsi="宋体"/>
          <w:color w:val="auto"/>
          <w:szCs w:val="21"/>
        </w:rPr>
      </w:pPr>
      <w:r>
        <w:rPr>
          <w:rFonts w:ascii="宋体" w:hAnsi="宋体"/>
          <w:color w:val="auto"/>
          <w:szCs w:val="21"/>
        </w:rPr>
        <w:t>8</w:t>
      </w:r>
      <w:bookmarkStart w:id="260" w:name="_Toc297048353"/>
      <w:bookmarkStart w:id="261" w:name="_Toc297120467"/>
      <w:bookmarkStart w:id="262" w:name="_Toc292559372"/>
      <w:bookmarkStart w:id="263" w:name="_Toc296944506"/>
      <w:bookmarkStart w:id="264" w:name="_Toc297216186"/>
      <w:bookmarkStart w:id="265" w:name="_Toc304295556"/>
      <w:bookmarkStart w:id="266" w:name="_Toc303539136"/>
      <w:bookmarkStart w:id="267" w:name="_Toc297123527"/>
      <w:bookmarkStart w:id="268" w:name="_Toc312678019"/>
      <w:bookmarkStart w:id="269" w:name="_Toc296346668"/>
      <w:bookmarkStart w:id="270" w:name="_Toc280868654"/>
      <w:bookmarkStart w:id="271" w:name="_Toc296891207"/>
      <w:bookmarkStart w:id="272" w:name="_Toc292559877"/>
      <w:bookmarkStart w:id="273" w:name="_Toc296503167"/>
      <w:bookmarkStart w:id="274" w:name="_Toc300934979"/>
      <w:bookmarkStart w:id="275" w:name="_Toc312677493"/>
      <w:bookmarkStart w:id="276" w:name="_Toc296890995"/>
      <w:bookmarkStart w:id="277" w:name="_Toc296347166"/>
      <w:bookmarkStart w:id="278" w:name="_Toc280868655"/>
      <w:bookmarkStart w:id="279" w:name="_Toc280868656"/>
      <w:bookmarkStart w:id="280" w:name="_Toc267251424"/>
      <w:r>
        <w:rPr>
          <w:rFonts w:ascii="宋体" w:hAnsi="宋体"/>
          <w:color w:val="auto"/>
          <w:szCs w:val="21"/>
        </w:rPr>
        <w:t>.4材料与工程设备的保管与使用</w:t>
      </w: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Pr>
        <w:spacing w:line="400" w:lineRule="exact"/>
        <w:ind w:firstLine="420" w:firstLineChars="200"/>
        <w:jc w:val="left"/>
        <w:rPr>
          <w:rFonts w:ascii="宋体" w:hAnsi="宋体"/>
          <w:color w:val="auto"/>
          <w:szCs w:val="21"/>
        </w:rPr>
      </w:pPr>
      <w:r>
        <w:rPr>
          <w:rFonts w:ascii="宋体" w:hAnsi="宋体"/>
          <w:color w:val="auto"/>
          <w:szCs w:val="21"/>
        </w:rPr>
        <w:t>8</w:t>
      </w:r>
      <w:bookmarkStart w:id="281" w:name="_Toc292559878"/>
      <w:bookmarkStart w:id="282" w:name="_Toc292559373"/>
      <w:bookmarkStart w:id="283" w:name="_Toc303539137"/>
      <w:bookmarkStart w:id="284" w:name="_Toc297048354"/>
      <w:bookmarkStart w:id="285" w:name="_Toc297216187"/>
      <w:bookmarkStart w:id="286" w:name="_Toc296944507"/>
      <w:bookmarkStart w:id="287" w:name="_Toc304295557"/>
      <w:bookmarkStart w:id="288" w:name="_Toc296891208"/>
      <w:bookmarkStart w:id="289" w:name="_Toc296890996"/>
      <w:bookmarkStart w:id="290" w:name="_Toc296346669"/>
      <w:bookmarkStart w:id="291" w:name="_Toc300934980"/>
      <w:bookmarkStart w:id="292" w:name="_Toc297120468"/>
      <w:bookmarkStart w:id="293" w:name="_Toc312677494"/>
      <w:bookmarkStart w:id="294" w:name="_Toc297123528"/>
      <w:bookmarkStart w:id="295" w:name="_Toc296503168"/>
      <w:bookmarkStart w:id="296" w:name="_Toc318581173"/>
      <w:bookmarkStart w:id="297" w:name="_Toc296347167"/>
      <w:bookmarkStart w:id="298" w:name="_Toc312678020"/>
      <w:r>
        <w:rPr>
          <w:rFonts w:ascii="宋体" w:hAnsi="宋体"/>
          <w:color w:val="auto"/>
          <w:szCs w:val="21"/>
        </w:rPr>
        <w:t>.4.1发包人供应的材料设备的保管费用的承担：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双方协商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281"/>
      <w:bookmarkEnd w:id="282"/>
    </w:p>
    <w:p>
      <w:pPr>
        <w:spacing w:after="120" w:line="400" w:lineRule="exact"/>
        <w:ind w:firstLine="420" w:firstLineChars="200"/>
        <w:rPr>
          <w:rFonts w:ascii="宋体" w:hAnsi="宋体"/>
          <w:color w:val="auto"/>
          <w:szCs w:val="21"/>
        </w:rPr>
      </w:pPr>
      <w:r>
        <w:rPr>
          <w:rFonts w:ascii="宋体" w:hAnsi="宋体"/>
          <w:color w:val="auto"/>
          <w:szCs w:val="21"/>
        </w:rPr>
        <w:t>8.6 样品</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8.6.1</w:t>
      </w:r>
      <w:r>
        <w:rPr>
          <w:rFonts w:ascii="宋体" w:hAnsi="宋体"/>
          <w:color w:val="auto"/>
          <w:szCs w:val="21"/>
        </w:rPr>
        <w:tab/>
      </w:r>
      <w:r>
        <w:rPr>
          <w:rFonts w:ascii="宋体" w:hAnsi="宋体"/>
          <w:color w:val="auto"/>
          <w:szCs w:val="21"/>
        </w:rPr>
        <w:t>样品的报送</w:t>
      </w:r>
      <w:r>
        <w:rPr>
          <w:rFonts w:hint="eastAsia" w:ascii="宋体" w:hAnsi="宋体"/>
          <w:color w:val="auto"/>
          <w:szCs w:val="21"/>
        </w:rPr>
        <w:t>与封存</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需要承包人报送样品的材料或工程设备，样品的种类、名称、规格、数量要求：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8.8 施工设备和临时设施</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8.8.1 承包人提供的施工设备和临时设施</w:t>
      </w:r>
    </w:p>
    <w:p>
      <w:pPr>
        <w:spacing w:line="400" w:lineRule="exact"/>
        <w:ind w:firstLine="420" w:firstLineChars="200"/>
        <w:jc w:val="left"/>
        <w:rPr>
          <w:rFonts w:ascii="宋体" w:hAnsi="宋体"/>
          <w:color w:val="auto"/>
          <w:szCs w:val="21"/>
        </w:rPr>
      </w:pPr>
      <w:r>
        <w:rPr>
          <w:rFonts w:ascii="宋体" w:hAnsi="宋体"/>
          <w:color w:val="auto"/>
          <w:szCs w:val="21"/>
        </w:rPr>
        <w:t>关于修建临时设施费用承担的约定：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pStyle w:val="6"/>
        <w:spacing w:before="120" w:after="120" w:line="400" w:lineRule="exact"/>
        <w:rPr>
          <w:rFonts w:ascii="宋体" w:hAnsi="宋体" w:eastAsia="宋体"/>
          <w:b w:val="0"/>
          <w:color w:val="auto"/>
          <w:sz w:val="21"/>
          <w:szCs w:val="21"/>
        </w:rPr>
      </w:pPr>
      <w:bookmarkStart w:id="299" w:name="_Toc351203641"/>
      <w:r>
        <w:rPr>
          <w:rFonts w:ascii="宋体" w:hAnsi="宋体" w:eastAsia="宋体"/>
          <w:b w:val="0"/>
          <w:color w:val="auto"/>
          <w:sz w:val="21"/>
          <w:szCs w:val="21"/>
        </w:rPr>
        <w:t>9</w:t>
      </w:r>
      <w:bookmarkEnd w:id="278"/>
      <w:bookmarkEnd w:id="279"/>
      <w:bookmarkEnd w:id="280"/>
      <w:bookmarkStart w:id="300" w:name="_Toc312677495"/>
      <w:bookmarkStart w:id="301" w:name="_Toc304295559"/>
      <w:bookmarkStart w:id="302" w:name="_Toc297216192"/>
      <w:bookmarkStart w:id="303" w:name="_Toc312678021"/>
      <w:bookmarkStart w:id="304" w:name="_Toc303539139"/>
      <w:bookmarkStart w:id="305" w:name="_Toc297123533"/>
      <w:bookmarkStart w:id="306" w:name="_Toc300934982"/>
      <w:bookmarkStart w:id="307" w:name="_Toc267251427"/>
      <w:bookmarkStart w:id="308" w:name="_Toc296347172"/>
      <w:bookmarkStart w:id="309" w:name="_Toc296891001"/>
      <w:bookmarkStart w:id="310" w:name="_Toc267251428"/>
      <w:bookmarkStart w:id="311" w:name="_Toc297120473"/>
      <w:bookmarkStart w:id="312" w:name="_Toc296503173"/>
      <w:bookmarkStart w:id="313" w:name="_Toc292559378"/>
      <w:bookmarkStart w:id="314" w:name="_Toc296944512"/>
      <w:bookmarkStart w:id="315" w:name="_Toc292559883"/>
      <w:bookmarkStart w:id="316" w:name="_Toc296891213"/>
      <w:bookmarkStart w:id="317" w:name="_Toc297048359"/>
      <w:bookmarkStart w:id="318" w:name="_Toc296346674"/>
      <w:r>
        <w:rPr>
          <w:rFonts w:ascii="宋体" w:hAnsi="宋体" w:eastAsia="宋体"/>
          <w:b w:val="0"/>
          <w:color w:val="auto"/>
          <w:sz w:val="21"/>
          <w:szCs w:val="21"/>
        </w:rPr>
        <w:t>. 试验与检验</w:t>
      </w:r>
      <w:bookmarkEnd w:id="299"/>
    </w:p>
    <w:bookmarkEnd w:id="300"/>
    <w:bookmarkEnd w:id="301"/>
    <w:bookmarkEnd w:id="302"/>
    <w:bookmarkEnd w:id="303"/>
    <w:bookmarkEnd w:id="304"/>
    <w:bookmarkEnd w:id="305"/>
    <w:bookmarkEnd w:id="306"/>
    <w:p>
      <w:pPr>
        <w:spacing w:after="120" w:line="400" w:lineRule="exact"/>
        <w:ind w:firstLine="420" w:firstLineChars="200"/>
        <w:rPr>
          <w:rFonts w:ascii="宋体" w:hAnsi="宋体"/>
          <w:color w:val="auto"/>
          <w:szCs w:val="21"/>
        </w:rPr>
      </w:pPr>
      <w:r>
        <w:rPr>
          <w:rFonts w:ascii="宋体" w:hAnsi="宋体"/>
          <w:color w:val="auto"/>
          <w:szCs w:val="21"/>
        </w:rPr>
        <w:t>9</w:t>
      </w:r>
      <w:bookmarkStart w:id="319" w:name="_Toc303539140"/>
      <w:bookmarkStart w:id="320" w:name="_Toc304295560"/>
      <w:bookmarkStart w:id="321" w:name="_Toc297216193"/>
      <w:bookmarkStart w:id="322" w:name="_Toc300934983"/>
      <w:bookmarkStart w:id="323" w:name="_Toc312677496"/>
      <w:bookmarkStart w:id="324" w:name="_Toc297123534"/>
      <w:bookmarkStart w:id="325" w:name="_Toc312678022"/>
      <w:r>
        <w:rPr>
          <w:rFonts w:ascii="宋体" w:hAnsi="宋体"/>
          <w:color w:val="auto"/>
          <w:szCs w:val="21"/>
        </w:rPr>
        <w:t>.1试验设备与试验人员</w:t>
      </w:r>
    </w:p>
    <w:bookmarkEnd w:id="319"/>
    <w:bookmarkEnd w:id="320"/>
    <w:bookmarkEnd w:id="321"/>
    <w:bookmarkEnd w:id="322"/>
    <w:bookmarkEnd w:id="323"/>
    <w:bookmarkEnd w:id="324"/>
    <w:bookmarkEnd w:id="325"/>
    <w:p>
      <w:pPr>
        <w:spacing w:line="400" w:lineRule="exact"/>
        <w:ind w:firstLine="420" w:firstLineChars="200"/>
        <w:jc w:val="left"/>
        <w:rPr>
          <w:rFonts w:ascii="宋体" w:hAnsi="宋体"/>
          <w:color w:val="auto"/>
          <w:szCs w:val="21"/>
        </w:rPr>
      </w:pPr>
      <w:r>
        <w:rPr>
          <w:rFonts w:ascii="宋体" w:hAnsi="宋体"/>
          <w:color w:val="auto"/>
          <w:szCs w:val="21"/>
        </w:rPr>
        <w:t>9</w:t>
      </w:r>
      <w:bookmarkStart w:id="326" w:name="_Toc312678023"/>
      <w:bookmarkStart w:id="327" w:name="_Toc303539141"/>
      <w:bookmarkStart w:id="328" w:name="_Toc297123535"/>
      <w:bookmarkStart w:id="329" w:name="_Toc297216194"/>
      <w:bookmarkStart w:id="330" w:name="_Toc312677497"/>
      <w:bookmarkStart w:id="331" w:name="_Toc304295561"/>
      <w:bookmarkStart w:id="332" w:name="_Toc300934984"/>
      <w:bookmarkStart w:id="333" w:name="_Toc318581174"/>
      <w:r>
        <w:rPr>
          <w:rFonts w:ascii="宋体" w:hAnsi="宋体"/>
          <w:color w:val="auto"/>
          <w:szCs w:val="21"/>
        </w:rPr>
        <w:t>.1.2 试验设备</w:t>
      </w:r>
    </w:p>
    <w:p>
      <w:pPr>
        <w:spacing w:line="400" w:lineRule="exact"/>
        <w:ind w:firstLine="420" w:firstLineChars="200"/>
        <w:jc w:val="left"/>
        <w:rPr>
          <w:rFonts w:ascii="宋体" w:hAnsi="宋体"/>
          <w:color w:val="auto"/>
          <w:szCs w:val="21"/>
        </w:rPr>
      </w:pPr>
      <w:r>
        <w:rPr>
          <w:rFonts w:ascii="宋体" w:hAnsi="宋体"/>
          <w:color w:val="auto"/>
          <w:szCs w:val="21"/>
        </w:rPr>
        <w:t>施工现场需要配置的试验场所：</w:t>
      </w:r>
      <w:bookmarkEnd w:id="326"/>
      <w:bookmarkEnd w:id="327"/>
      <w:bookmarkEnd w:id="328"/>
      <w:bookmarkEnd w:id="329"/>
      <w:bookmarkEnd w:id="330"/>
      <w:bookmarkEnd w:id="331"/>
      <w:bookmarkEnd w:id="332"/>
      <w:bookmarkStart w:id="334" w:name="_Toc312678024"/>
      <w:bookmarkStart w:id="335" w:name="_Toc312677498"/>
      <w:bookmarkStart w:id="336" w:name="_Toc303539142"/>
      <w:bookmarkStart w:id="337" w:name="_Toc297123536"/>
      <w:bookmarkStart w:id="338" w:name="_Toc297216195"/>
      <w:bookmarkStart w:id="339" w:name="_Toc300934985"/>
      <w:bookmarkStart w:id="340" w:name="_Toc304295562"/>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施工现场需要配备的试验设备：</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施工现场需要具备的其他试验条件：</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9.4 现场工艺试验</w:t>
      </w:r>
      <w:r>
        <w:rPr>
          <w:rFonts w:hint="eastAsia" w:ascii="宋体" w:hAnsi="宋体"/>
          <w:color w:val="auto"/>
          <w:szCs w:val="21"/>
        </w:rPr>
        <w:t xml:space="preserve"> </w:t>
      </w:r>
    </w:p>
    <w:p>
      <w:pPr>
        <w:spacing w:line="400" w:lineRule="exact"/>
        <w:ind w:firstLine="420" w:firstLineChars="200"/>
        <w:jc w:val="left"/>
        <w:rPr>
          <w:rFonts w:hint="eastAsia" w:ascii="宋体" w:hAnsi="宋体"/>
          <w:color w:val="auto"/>
          <w:szCs w:val="21"/>
        </w:rPr>
      </w:pPr>
      <w:r>
        <w:rPr>
          <w:rFonts w:ascii="宋体" w:hAnsi="宋体"/>
          <w:color w:val="auto"/>
          <w:szCs w:val="21"/>
        </w:rPr>
        <w:t>现场工艺试验的有关约定：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33"/>
    <w:bookmarkEnd w:id="334"/>
    <w:bookmarkEnd w:id="335"/>
    <w:bookmarkEnd w:id="336"/>
    <w:bookmarkEnd w:id="337"/>
    <w:bookmarkEnd w:id="338"/>
    <w:bookmarkEnd w:id="339"/>
    <w:bookmarkEnd w:id="340"/>
    <w:p>
      <w:pPr>
        <w:pStyle w:val="6"/>
        <w:spacing w:before="120" w:after="120" w:line="400" w:lineRule="exact"/>
        <w:rPr>
          <w:rFonts w:ascii="宋体" w:hAnsi="宋体" w:eastAsia="宋体"/>
          <w:b w:val="0"/>
          <w:color w:val="auto"/>
          <w:sz w:val="21"/>
          <w:szCs w:val="21"/>
        </w:rPr>
      </w:pPr>
      <w:bookmarkStart w:id="341" w:name="_Toc351203642"/>
      <w:r>
        <w:rPr>
          <w:rFonts w:ascii="宋体" w:hAnsi="宋体" w:eastAsia="宋体"/>
          <w:b w:val="0"/>
          <w:color w:val="auto"/>
          <w:sz w:val="21"/>
          <w:szCs w:val="21"/>
        </w:rPr>
        <w:t>1</w:t>
      </w:r>
      <w:bookmarkEnd w:id="307"/>
      <w:bookmarkEnd w:id="308"/>
      <w:bookmarkEnd w:id="309"/>
      <w:bookmarkEnd w:id="310"/>
      <w:bookmarkEnd w:id="311"/>
      <w:bookmarkEnd w:id="312"/>
      <w:bookmarkEnd w:id="313"/>
      <w:bookmarkEnd w:id="314"/>
      <w:bookmarkEnd w:id="315"/>
      <w:bookmarkEnd w:id="316"/>
      <w:bookmarkEnd w:id="317"/>
      <w:bookmarkEnd w:id="318"/>
      <w:bookmarkStart w:id="342" w:name="_Toc296346694"/>
      <w:bookmarkStart w:id="343" w:name="_Toc296944532"/>
      <w:bookmarkStart w:id="344" w:name="_Toc304295566"/>
      <w:bookmarkStart w:id="345" w:name="_Toc297120493"/>
      <w:bookmarkStart w:id="346" w:name="_Toc300934989"/>
      <w:bookmarkStart w:id="347" w:name="_Toc303539146"/>
      <w:bookmarkStart w:id="348" w:name="_Toc292559398"/>
      <w:bookmarkStart w:id="349" w:name="_Toc292559903"/>
      <w:bookmarkStart w:id="350" w:name="_Toc297048379"/>
      <w:bookmarkStart w:id="351" w:name="_Toc297123540"/>
      <w:bookmarkStart w:id="352" w:name="_Toc296347192"/>
      <w:bookmarkStart w:id="353" w:name="_Toc296503193"/>
      <w:bookmarkStart w:id="354" w:name="_Toc297216199"/>
      <w:bookmarkStart w:id="355" w:name="_Toc296891021"/>
      <w:bookmarkStart w:id="356" w:name="_Toc296891233"/>
      <w:bookmarkStart w:id="357" w:name="_Toc312678025"/>
      <w:bookmarkStart w:id="358" w:name="_Toc312677499"/>
      <w:bookmarkStart w:id="359" w:name="_Toc267251441"/>
      <w:bookmarkStart w:id="360" w:name="_Toc267251435"/>
      <w:bookmarkStart w:id="361" w:name="_Toc267251433"/>
      <w:bookmarkStart w:id="362" w:name="_Toc267251440"/>
      <w:bookmarkStart w:id="363" w:name="_Toc267251439"/>
      <w:bookmarkStart w:id="364" w:name="_Toc267251437"/>
      <w:bookmarkStart w:id="365" w:name="_Toc267251442"/>
      <w:r>
        <w:rPr>
          <w:rFonts w:ascii="宋体" w:hAnsi="宋体" w:eastAsia="宋体"/>
          <w:b w:val="0"/>
          <w:color w:val="auto"/>
          <w:sz w:val="21"/>
          <w:szCs w:val="21"/>
        </w:rPr>
        <w:t>0. 变更</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bookmarkEnd w:id="357"/>
    <w:bookmarkEnd w:id="358"/>
    <w:p>
      <w:pPr>
        <w:spacing w:after="120" w:line="400" w:lineRule="exact"/>
        <w:ind w:firstLine="420" w:firstLineChars="200"/>
        <w:rPr>
          <w:rFonts w:ascii="宋体" w:hAnsi="宋体"/>
          <w:color w:val="auto"/>
          <w:szCs w:val="21"/>
        </w:rPr>
      </w:pPr>
      <w:r>
        <w:rPr>
          <w:rFonts w:ascii="宋体" w:hAnsi="宋体"/>
          <w:color w:val="auto"/>
          <w:szCs w:val="21"/>
        </w:rPr>
        <w:t>1</w:t>
      </w:r>
      <w:bookmarkStart w:id="366" w:name="_Toc296503194"/>
      <w:bookmarkStart w:id="367" w:name="_Toc296347193"/>
      <w:bookmarkStart w:id="368" w:name="_Toc296944533"/>
      <w:bookmarkStart w:id="369" w:name="_Toc304295567"/>
      <w:bookmarkStart w:id="370" w:name="_Toc296891234"/>
      <w:bookmarkStart w:id="371" w:name="_Toc312677500"/>
      <w:bookmarkStart w:id="372" w:name="_Toc296891022"/>
      <w:bookmarkStart w:id="373" w:name="_Toc300934990"/>
      <w:bookmarkStart w:id="374" w:name="_Toc312678026"/>
      <w:bookmarkStart w:id="375" w:name="_Toc297216200"/>
      <w:bookmarkStart w:id="376" w:name="_Toc292559399"/>
      <w:bookmarkStart w:id="377" w:name="_Toc297048380"/>
      <w:bookmarkStart w:id="378" w:name="_Toc297123541"/>
      <w:bookmarkStart w:id="379" w:name="_Toc296346695"/>
      <w:bookmarkStart w:id="380" w:name="_Toc297120494"/>
      <w:bookmarkStart w:id="381" w:name="_Toc292559904"/>
      <w:bookmarkStart w:id="382" w:name="_Toc303539147"/>
      <w:r>
        <w:rPr>
          <w:rFonts w:ascii="宋体" w:hAnsi="宋体"/>
          <w:color w:val="auto"/>
          <w:szCs w:val="21"/>
        </w:rPr>
        <w:t>0.1变更的范围</w:t>
      </w:r>
    </w:p>
    <w:p>
      <w:pPr>
        <w:spacing w:line="400" w:lineRule="exact"/>
        <w:ind w:firstLine="420" w:firstLineChars="200"/>
        <w:jc w:val="left"/>
        <w:rPr>
          <w:rFonts w:ascii="宋体" w:hAnsi="宋体"/>
          <w:color w:val="auto"/>
          <w:szCs w:val="21"/>
        </w:rPr>
      </w:pPr>
      <w:r>
        <w:rPr>
          <w:rFonts w:ascii="宋体" w:hAnsi="宋体"/>
          <w:color w:val="auto"/>
          <w:szCs w:val="21"/>
        </w:rPr>
        <w:t>关于变更的范围的约定：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10.4 变更估价</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10.4.1 变更估价原则</w:t>
      </w:r>
    </w:p>
    <w:p>
      <w:pPr>
        <w:spacing w:line="400" w:lineRule="exact"/>
        <w:ind w:firstLine="420" w:firstLineChars="200"/>
        <w:jc w:val="left"/>
        <w:rPr>
          <w:rFonts w:ascii="宋体" w:hAnsi="宋体"/>
          <w:color w:val="auto"/>
          <w:szCs w:val="21"/>
          <w:u w:val="single"/>
        </w:rPr>
      </w:pPr>
      <w:r>
        <w:rPr>
          <w:rFonts w:ascii="宋体" w:hAnsi="宋体"/>
          <w:color w:val="auto"/>
          <w:szCs w:val="21"/>
        </w:rPr>
        <w:t xml:space="preserve">关于变更估价的约定: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3" w:name="_Toc296347196"/>
      <w:bookmarkStart w:id="384" w:name="_Toc303539150"/>
      <w:bookmarkStart w:id="385" w:name="_Toc292559402"/>
      <w:bookmarkStart w:id="386" w:name="_Toc300934993"/>
      <w:bookmarkStart w:id="387" w:name="_Toc296944536"/>
      <w:bookmarkStart w:id="388" w:name="_Toc297120497"/>
      <w:bookmarkStart w:id="389" w:name="_Toc296891025"/>
      <w:bookmarkStart w:id="390" w:name="_Toc297123544"/>
      <w:bookmarkStart w:id="391" w:name="_Toc296503197"/>
      <w:bookmarkStart w:id="392" w:name="_Toc292559907"/>
      <w:bookmarkStart w:id="393" w:name="_Toc297048383"/>
      <w:bookmarkStart w:id="394" w:name="_Toc296346698"/>
      <w:bookmarkStart w:id="395" w:name="_Toc296891237"/>
      <w:bookmarkStart w:id="396" w:name="_Toc297216203"/>
      <w:bookmarkStart w:id="397" w:name="_Toc304295570"/>
      <w:bookmarkStart w:id="398" w:name="_Toc312678029"/>
      <w:bookmarkStart w:id="399" w:name="_Toc312677503"/>
      <w:r>
        <w:rPr>
          <w:rFonts w:ascii="宋体" w:hAnsi="宋体"/>
          <w:color w:val="auto"/>
          <w:szCs w:val="21"/>
        </w:rPr>
        <w:t>0.5承</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Start w:id="400" w:name="_Toc292559408"/>
      <w:bookmarkStart w:id="401" w:name="_Toc296346704"/>
      <w:bookmarkStart w:id="402" w:name="_Toc297048389"/>
      <w:bookmarkStart w:id="403" w:name="_Toc296891031"/>
      <w:bookmarkStart w:id="404" w:name="_Toc296347202"/>
      <w:bookmarkStart w:id="405" w:name="_Toc297120503"/>
      <w:bookmarkStart w:id="406" w:name="_Toc296503203"/>
      <w:bookmarkStart w:id="407" w:name="_Toc300934994"/>
      <w:bookmarkStart w:id="408" w:name="_Toc297123545"/>
      <w:bookmarkStart w:id="409" w:name="_Toc303539151"/>
      <w:bookmarkStart w:id="410" w:name="_Toc292559913"/>
      <w:bookmarkStart w:id="411" w:name="_Toc296944542"/>
      <w:bookmarkStart w:id="412" w:name="_Toc297216204"/>
      <w:bookmarkStart w:id="413" w:name="_Toc296891243"/>
      <w:r>
        <w:rPr>
          <w:rFonts w:ascii="宋体" w:hAnsi="宋体"/>
          <w:color w:val="auto"/>
          <w:szCs w:val="21"/>
        </w:rPr>
        <w:t>包人的合理化建议</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Pr>
        <w:spacing w:line="400" w:lineRule="exact"/>
        <w:ind w:firstLine="420" w:firstLineChars="200"/>
        <w:jc w:val="left"/>
        <w:rPr>
          <w:rFonts w:ascii="宋体" w:hAnsi="宋体"/>
          <w:color w:val="auto"/>
          <w:szCs w:val="21"/>
        </w:rPr>
      </w:pPr>
      <w:r>
        <w:rPr>
          <w:rFonts w:ascii="宋体" w:hAnsi="宋体"/>
          <w:color w:val="auto"/>
          <w:szCs w:val="21"/>
        </w:rPr>
        <w:t>监理人审查承包人合理化建议的期限：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发包人审批承包人合理化建议的期限：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承</w:t>
      </w:r>
      <w:bookmarkStart w:id="414" w:name="_Toc292559409"/>
      <w:bookmarkStart w:id="415" w:name="_Toc318581175"/>
      <w:bookmarkStart w:id="416" w:name="_Toc296944543"/>
      <w:bookmarkStart w:id="417" w:name="_Toc303539152"/>
      <w:bookmarkStart w:id="418" w:name="_Toc312677504"/>
      <w:bookmarkStart w:id="419" w:name="_Toc296346705"/>
      <w:bookmarkStart w:id="420" w:name="_Toc292559914"/>
      <w:bookmarkStart w:id="421" w:name="_Toc296503204"/>
      <w:bookmarkStart w:id="422" w:name="_Toc297120504"/>
      <w:bookmarkStart w:id="423" w:name="_Toc296347203"/>
      <w:bookmarkStart w:id="424" w:name="_Toc297123546"/>
      <w:bookmarkStart w:id="425" w:name="_Toc300934995"/>
      <w:bookmarkStart w:id="426" w:name="_Toc296891032"/>
      <w:bookmarkStart w:id="427" w:name="_Toc297216205"/>
      <w:bookmarkStart w:id="428" w:name="_Toc304295571"/>
      <w:bookmarkStart w:id="429" w:name="_Toc296891244"/>
      <w:bookmarkStart w:id="430" w:name="_Toc312678030"/>
      <w:bookmarkStart w:id="431" w:name="_Toc297048390"/>
      <w:r>
        <w:rPr>
          <w:rFonts w:ascii="宋体" w:hAnsi="宋体"/>
          <w:color w:val="auto"/>
          <w:szCs w:val="21"/>
        </w:rPr>
        <w:t>包人提出的合理化建议降低了合同价格或者提高了工程经济效益的奖励的方法和金额为：</w:t>
      </w:r>
      <w:r>
        <w:rPr>
          <w:rFonts w:ascii="宋体" w:hAnsi="宋体"/>
          <w:color w:val="auto"/>
          <w:szCs w:val="21"/>
          <w:u w:val="single"/>
        </w:rPr>
        <w:t xml:space="preserve">  </w:t>
      </w:r>
      <w:r>
        <w:rPr>
          <w:rFonts w:ascii="宋体" w:hAnsi="宋体"/>
          <w:color w:val="auto"/>
          <w:szCs w:val="21"/>
        </w:rPr>
        <w:t>。</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Pr>
        <w:spacing w:after="120" w:line="400" w:lineRule="exact"/>
        <w:ind w:firstLine="420" w:firstLineChars="200"/>
        <w:rPr>
          <w:rFonts w:ascii="宋体" w:hAnsi="宋体"/>
          <w:color w:val="auto"/>
          <w:szCs w:val="21"/>
        </w:rPr>
      </w:pPr>
      <w:r>
        <w:rPr>
          <w:rFonts w:ascii="宋体" w:hAnsi="宋体"/>
          <w:color w:val="auto"/>
          <w:szCs w:val="21"/>
        </w:rPr>
        <w:t>1</w:t>
      </w:r>
      <w:bookmarkStart w:id="432" w:name="_Toc304295574"/>
      <w:bookmarkStart w:id="433" w:name="_Toc297123548"/>
      <w:bookmarkStart w:id="434" w:name="_Toc297048385"/>
      <w:bookmarkStart w:id="435" w:name="_Toc300934997"/>
      <w:bookmarkStart w:id="436" w:name="_Toc297120499"/>
      <w:bookmarkStart w:id="437" w:name="_Toc296346700"/>
      <w:bookmarkStart w:id="438" w:name="_Toc292559404"/>
      <w:bookmarkStart w:id="439" w:name="_Toc296944538"/>
      <w:bookmarkStart w:id="440" w:name="_Toc303539154"/>
      <w:bookmarkStart w:id="441" w:name="_Toc312678033"/>
      <w:bookmarkStart w:id="442" w:name="_Toc297216207"/>
      <w:bookmarkStart w:id="443" w:name="_Toc312677507"/>
      <w:bookmarkStart w:id="444" w:name="_Toc296891027"/>
      <w:bookmarkStart w:id="445" w:name="_Toc292559909"/>
      <w:bookmarkStart w:id="446" w:name="_Toc296347198"/>
      <w:bookmarkStart w:id="447" w:name="_Toc296503199"/>
      <w:bookmarkStart w:id="448" w:name="_Toc296891239"/>
      <w:r>
        <w:rPr>
          <w:rFonts w:ascii="宋体" w:hAnsi="宋体"/>
          <w:color w:val="auto"/>
          <w:szCs w:val="21"/>
        </w:rPr>
        <w:t>0.7 暂估价</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Pr>
        <w:spacing w:line="400" w:lineRule="exact"/>
        <w:ind w:firstLine="420" w:firstLineChars="200"/>
        <w:jc w:val="left"/>
        <w:rPr>
          <w:rFonts w:ascii="宋体" w:hAnsi="宋体"/>
          <w:color w:val="auto"/>
          <w:szCs w:val="21"/>
        </w:rPr>
      </w:pPr>
      <w:r>
        <w:rPr>
          <w:rFonts w:ascii="宋体" w:hAnsi="宋体"/>
          <w:color w:val="auto"/>
          <w:szCs w:val="21"/>
        </w:rPr>
        <w:t>暂</w:t>
      </w:r>
      <w:bookmarkStart w:id="449" w:name="_Toc312677508"/>
      <w:bookmarkStart w:id="450" w:name="_Toc312678034"/>
      <w:bookmarkStart w:id="451" w:name="_Toc318581176"/>
      <w:r>
        <w:rPr>
          <w:rFonts w:ascii="宋体" w:hAnsi="宋体"/>
          <w:color w:val="auto"/>
          <w:szCs w:val="21"/>
        </w:rPr>
        <w:t>估价材料和工程设备的明细详见附件</w:t>
      </w:r>
      <w:r>
        <w:rPr>
          <w:rFonts w:hint="eastAsia" w:ascii="宋体" w:hAnsi="宋体"/>
          <w:color w:val="auto"/>
          <w:szCs w:val="21"/>
        </w:rPr>
        <w:t>11：《</w:t>
      </w:r>
      <w:r>
        <w:rPr>
          <w:rFonts w:ascii="宋体" w:hAnsi="宋体"/>
          <w:color w:val="auto"/>
          <w:szCs w:val="21"/>
        </w:rPr>
        <w:t>暂估价一览表</w:t>
      </w:r>
      <w:r>
        <w:rPr>
          <w:rFonts w:hint="eastAsia" w:ascii="宋体" w:hAnsi="宋体"/>
          <w:color w:val="auto"/>
          <w:szCs w:val="21"/>
        </w:rPr>
        <w:t>》。</w:t>
      </w:r>
    </w:p>
    <w:bookmarkEnd w:id="449"/>
    <w:bookmarkEnd w:id="450"/>
    <w:bookmarkEnd w:id="451"/>
    <w:p>
      <w:pPr>
        <w:spacing w:line="400" w:lineRule="exact"/>
        <w:ind w:firstLine="420" w:firstLineChars="200"/>
        <w:jc w:val="left"/>
        <w:rPr>
          <w:rFonts w:ascii="宋体" w:hAnsi="宋体"/>
          <w:color w:val="auto"/>
          <w:szCs w:val="21"/>
        </w:rPr>
      </w:pPr>
      <w:r>
        <w:rPr>
          <w:rFonts w:ascii="宋体" w:hAnsi="宋体"/>
          <w:color w:val="auto"/>
          <w:szCs w:val="21"/>
        </w:rPr>
        <w:t>1</w:t>
      </w:r>
      <w:bookmarkStart w:id="452" w:name="_Toc318581177"/>
      <w:bookmarkStart w:id="453" w:name="_Toc312678035"/>
      <w:bookmarkStart w:id="454" w:name="_Toc312677509"/>
      <w:r>
        <w:rPr>
          <w:rFonts w:ascii="宋体" w:hAnsi="宋体"/>
          <w:color w:val="auto"/>
          <w:szCs w:val="21"/>
        </w:rPr>
        <w:t>0.7.1 依法必须招标的暂估价项目</w:t>
      </w:r>
    </w:p>
    <w:bookmarkEnd w:id="452"/>
    <w:bookmarkEnd w:id="453"/>
    <w:bookmarkEnd w:id="454"/>
    <w:p>
      <w:pPr>
        <w:spacing w:line="400" w:lineRule="exact"/>
        <w:ind w:firstLine="420" w:firstLineChars="200"/>
        <w:jc w:val="left"/>
        <w:rPr>
          <w:rFonts w:ascii="宋体" w:hAnsi="宋体"/>
          <w:color w:val="auto"/>
          <w:szCs w:val="21"/>
        </w:rPr>
      </w:pPr>
      <w:r>
        <w:rPr>
          <w:rFonts w:ascii="宋体" w:hAnsi="宋体"/>
          <w:color w:val="auto"/>
          <w:szCs w:val="21"/>
        </w:rPr>
        <w:t>对于依法必须招标的暂估价项目的确认和批准采取第</w:t>
      </w:r>
      <w:r>
        <w:rPr>
          <w:rFonts w:ascii="宋体" w:hAnsi="宋体"/>
          <w:color w:val="auto"/>
          <w:szCs w:val="21"/>
          <w:u w:val="single"/>
        </w:rPr>
        <w:t xml:space="preserve">    </w:t>
      </w:r>
      <w:r>
        <w:rPr>
          <w:rFonts w:ascii="宋体" w:hAnsi="宋体"/>
          <w:color w:val="auto"/>
          <w:szCs w:val="21"/>
        </w:rPr>
        <w:t>种方式确定。</w:t>
      </w:r>
    </w:p>
    <w:p>
      <w:pPr>
        <w:spacing w:line="400" w:lineRule="exact"/>
        <w:ind w:firstLine="420" w:firstLineChars="200"/>
        <w:jc w:val="left"/>
        <w:rPr>
          <w:rFonts w:ascii="宋体" w:hAnsi="宋体"/>
          <w:color w:val="auto"/>
          <w:szCs w:val="21"/>
        </w:rPr>
      </w:pPr>
      <w:r>
        <w:rPr>
          <w:rFonts w:ascii="宋体" w:hAnsi="宋体"/>
          <w:color w:val="auto"/>
          <w:szCs w:val="21"/>
        </w:rPr>
        <w:t>10.7.2 不属于依法必须招标的暂估价项目</w:t>
      </w:r>
    </w:p>
    <w:p>
      <w:pPr>
        <w:spacing w:line="400" w:lineRule="exact"/>
        <w:ind w:firstLine="420" w:firstLineChars="200"/>
        <w:jc w:val="left"/>
        <w:rPr>
          <w:rFonts w:hint="eastAsia" w:ascii="宋体" w:hAnsi="宋体"/>
          <w:color w:val="auto"/>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ascii="宋体" w:hAnsi="宋体"/>
          <w:color w:val="auto"/>
          <w:szCs w:val="21"/>
        </w:rPr>
        <w:t xml:space="preserve"> 种方式确定。</w:t>
      </w:r>
    </w:p>
    <w:p>
      <w:pPr>
        <w:spacing w:line="400" w:lineRule="exact"/>
        <w:ind w:firstLine="420" w:firstLineChars="200"/>
        <w:jc w:val="left"/>
        <w:rPr>
          <w:rFonts w:ascii="宋体" w:hAnsi="宋体"/>
          <w:color w:val="auto"/>
          <w:szCs w:val="21"/>
        </w:rPr>
      </w:pPr>
      <w:r>
        <w:rPr>
          <w:rFonts w:ascii="宋体" w:hAnsi="宋体"/>
          <w:color w:val="auto"/>
          <w:szCs w:val="21"/>
        </w:rPr>
        <w:t>第3种方式：承包人直接实施的暂估价项目</w:t>
      </w:r>
    </w:p>
    <w:p>
      <w:pPr>
        <w:spacing w:line="400" w:lineRule="exact"/>
        <w:ind w:firstLine="420" w:firstLineChars="200"/>
        <w:jc w:val="left"/>
        <w:rPr>
          <w:rFonts w:hint="eastAsia" w:ascii="宋体" w:hAnsi="宋体"/>
          <w:color w:val="auto"/>
          <w:szCs w:val="21"/>
        </w:rPr>
      </w:pPr>
      <w:r>
        <w:rPr>
          <w:rFonts w:ascii="宋体" w:hAnsi="宋体"/>
          <w:color w:val="auto"/>
          <w:szCs w:val="21"/>
        </w:rPr>
        <w:t>承包人直接实施的暂估价项目的约定：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10.8 暂列金额</w:t>
      </w:r>
    </w:p>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合同当事人关于暂列金额使用的约定：</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455" w:name="_Toc351203643"/>
      <w:r>
        <w:rPr>
          <w:rFonts w:ascii="宋体" w:hAnsi="宋体" w:eastAsia="宋体"/>
          <w:b w:val="0"/>
          <w:color w:val="auto"/>
          <w:sz w:val="21"/>
          <w:szCs w:val="21"/>
        </w:rPr>
        <w:t>11. 价格调整</w:t>
      </w:r>
      <w:bookmarkEnd w:id="455"/>
    </w:p>
    <w:p>
      <w:pPr>
        <w:spacing w:after="120" w:line="400" w:lineRule="exact"/>
        <w:ind w:firstLine="420" w:firstLineChars="200"/>
        <w:rPr>
          <w:rFonts w:ascii="宋体" w:hAnsi="宋体"/>
          <w:color w:val="auto"/>
          <w:szCs w:val="21"/>
        </w:rPr>
      </w:pPr>
      <w:bookmarkStart w:id="456" w:name="_Toc296503201"/>
      <w:bookmarkStart w:id="457" w:name="_Toc304295577"/>
      <w:bookmarkStart w:id="458" w:name="_Toc296891029"/>
      <w:bookmarkStart w:id="459" w:name="_Toc296347200"/>
      <w:bookmarkStart w:id="460" w:name="_Toc312678039"/>
      <w:bookmarkStart w:id="461" w:name="_Toc303539157"/>
      <w:bookmarkStart w:id="462" w:name="_Toc292559406"/>
      <w:bookmarkStart w:id="463" w:name="_Toc297123550"/>
      <w:bookmarkStart w:id="464" w:name="_Toc296891241"/>
      <w:bookmarkStart w:id="465" w:name="_Toc296944540"/>
      <w:bookmarkStart w:id="466" w:name="_Toc300935000"/>
      <w:bookmarkStart w:id="467" w:name="_Toc297216209"/>
      <w:bookmarkStart w:id="468" w:name="_Toc292559911"/>
      <w:bookmarkStart w:id="469" w:name="_Toc297048387"/>
      <w:bookmarkStart w:id="470" w:name="_Toc296346702"/>
      <w:bookmarkStart w:id="471" w:name="_Toc297120501"/>
      <w:r>
        <w:rPr>
          <w:rFonts w:ascii="宋体" w:hAnsi="宋体"/>
          <w:color w:val="auto"/>
          <w:szCs w:val="21"/>
        </w:rPr>
        <w:t>11.1 市场价格波动引起的调整</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Pr>
        <w:spacing w:line="400" w:lineRule="exact"/>
        <w:ind w:firstLine="420" w:firstLineChars="200"/>
        <w:jc w:val="left"/>
        <w:rPr>
          <w:rFonts w:ascii="宋体" w:hAnsi="宋体"/>
          <w:color w:val="auto"/>
          <w:szCs w:val="21"/>
        </w:rPr>
      </w:pPr>
      <w:r>
        <w:rPr>
          <w:rFonts w:ascii="宋体" w:hAnsi="宋体"/>
          <w:color w:val="auto"/>
          <w:szCs w:val="21"/>
        </w:rPr>
        <w:t>市场价格波动是否调整合同价格的约定：</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因市场价格波动调整合同价格，采用以下第</w:t>
      </w:r>
      <w:r>
        <w:rPr>
          <w:rFonts w:ascii="宋体" w:hAnsi="宋体"/>
          <w:color w:val="auto"/>
          <w:szCs w:val="21"/>
          <w:u w:val="single"/>
        </w:rPr>
        <w:t xml:space="preserve">    </w:t>
      </w:r>
      <w:r>
        <w:rPr>
          <w:rFonts w:ascii="宋体" w:hAnsi="宋体"/>
          <w:color w:val="auto"/>
          <w:szCs w:val="21"/>
        </w:rPr>
        <w:t>种方式对合同价格进行调整：</w:t>
      </w:r>
    </w:p>
    <w:p>
      <w:pPr>
        <w:spacing w:line="400" w:lineRule="exact"/>
        <w:ind w:firstLine="420" w:firstLineChars="200"/>
        <w:jc w:val="left"/>
        <w:rPr>
          <w:rFonts w:ascii="宋体" w:hAnsi="宋体"/>
          <w:color w:val="auto"/>
          <w:szCs w:val="21"/>
        </w:rPr>
      </w:pPr>
      <w:r>
        <w:rPr>
          <w:rFonts w:ascii="宋体" w:hAnsi="宋体"/>
          <w:color w:val="auto"/>
          <w:szCs w:val="21"/>
        </w:rPr>
        <w:t>第1种方式：采用价格指数</w:t>
      </w:r>
      <w:r>
        <w:rPr>
          <w:rFonts w:hint="eastAsia" w:ascii="宋体" w:hAnsi="宋体"/>
          <w:color w:val="auto"/>
          <w:szCs w:val="21"/>
        </w:rPr>
        <w:t>进行价格</w:t>
      </w:r>
      <w:r>
        <w:rPr>
          <w:rFonts w:ascii="宋体" w:hAnsi="宋体"/>
          <w:color w:val="auto"/>
          <w:szCs w:val="21"/>
        </w:rPr>
        <w:t>调整。</w:t>
      </w:r>
    </w:p>
    <w:p>
      <w:pPr>
        <w:spacing w:line="400" w:lineRule="exact"/>
        <w:ind w:firstLine="420" w:firstLineChars="200"/>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第2种方式：采用造价信息</w:t>
      </w:r>
      <w:r>
        <w:rPr>
          <w:rFonts w:hint="eastAsia" w:ascii="宋体" w:hAnsi="宋体"/>
          <w:color w:val="auto"/>
          <w:szCs w:val="21"/>
        </w:rPr>
        <w:t>进行价格</w:t>
      </w:r>
      <w:r>
        <w:rPr>
          <w:rFonts w:ascii="宋体" w:hAnsi="宋体"/>
          <w:color w:val="auto"/>
          <w:szCs w:val="21"/>
        </w:rPr>
        <w:t>调整。</w:t>
      </w:r>
    </w:p>
    <w:p>
      <w:pPr>
        <w:spacing w:line="400" w:lineRule="exact"/>
        <w:ind w:firstLine="420" w:firstLineChars="200"/>
        <w:jc w:val="left"/>
        <w:rPr>
          <w:rFonts w:ascii="宋体" w:hAnsi="宋体"/>
          <w:color w:val="auto"/>
          <w:szCs w:val="21"/>
        </w:rPr>
      </w:pPr>
      <w:r>
        <w:rPr>
          <w:rFonts w:ascii="宋体" w:hAnsi="宋体"/>
          <w:color w:val="auto"/>
          <w:szCs w:val="21"/>
        </w:rPr>
        <w:t>（2）关于基准价格的约定：</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专用合同条款</w:t>
      </w:r>
      <w:r>
        <w:rPr>
          <w:rFonts w:hint="eastAsia" w:ascii="宋体" w:hAnsi="宋体" w:cs="宋体"/>
          <w:color w:val="auto"/>
          <w:szCs w:val="21"/>
        </w:rPr>
        <w:t>①</w:t>
      </w:r>
      <w:r>
        <w:rPr>
          <w:rFonts w:ascii="宋体" w:hAnsi="宋体"/>
          <w:color w:val="auto"/>
          <w:szCs w:val="21"/>
        </w:rPr>
        <w:t>承包人在已标价工程量清单或预算书中载明的材料单价低于基准价格的：专用合同条款合同履行期间材料单价涨幅以基准价格为基础超过</w:t>
      </w:r>
      <w:r>
        <w:rPr>
          <w:rFonts w:ascii="宋体" w:hAnsi="宋体"/>
          <w:color w:val="auto"/>
          <w:szCs w:val="21"/>
          <w:u w:val="single"/>
        </w:rPr>
        <w:t xml:space="preserve">   </w:t>
      </w:r>
      <w:r>
        <w:rPr>
          <w:rFonts w:ascii="宋体" w:hAnsi="宋体"/>
          <w:color w:val="auto"/>
          <w:szCs w:val="21"/>
        </w:rPr>
        <w:t>%时，或材料单价跌幅以已标价工程量清单或预算书中载明材料单价为基础超过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②</w:t>
      </w:r>
      <w:r>
        <w:rPr>
          <w:rFonts w:ascii="宋体" w:hAnsi="宋体"/>
          <w:color w:val="auto"/>
          <w:szCs w:val="21"/>
        </w:rPr>
        <w:t>承包人在已标价工程量清单或预算书中载明的材料单价高于基准价格的：专用合同条款合同履行期间材料单价跌幅以基准价格为基础超过</w:t>
      </w:r>
      <w:r>
        <w:rPr>
          <w:rFonts w:ascii="宋体" w:hAnsi="宋体"/>
          <w:color w:val="auto"/>
          <w:szCs w:val="21"/>
          <w:u w:val="single"/>
        </w:rPr>
        <w:t xml:space="preserve">   </w:t>
      </w:r>
      <w:r>
        <w:rPr>
          <w:rFonts w:ascii="宋体" w:hAnsi="宋体"/>
          <w:color w:val="auto"/>
          <w:szCs w:val="21"/>
        </w:rPr>
        <w:t>%时，材料单价涨幅以已标价工程量清单或预算书中载明材料单价为基础超过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00" w:lineRule="exact"/>
        <w:ind w:firstLine="645"/>
        <w:jc w:val="left"/>
        <w:rPr>
          <w:rFonts w:ascii="宋体" w:hAnsi="宋体"/>
          <w:color w:val="auto"/>
          <w:szCs w:val="21"/>
        </w:rPr>
      </w:pPr>
      <w:r>
        <w:rPr>
          <w:rFonts w:hint="eastAsia" w:ascii="宋体" w:hAnsi="宋体" w:cs="宋体"/>
          <w:color w:val="auto"/>
          <w:szCs w:val="21"/>
        </w:rPr>
        <w:t>③</w:t>
      </w:r>
      <w:r>
        <w:rPr>
          <w:rFonts w:ascii="宋体" w:hAnsi="宋体"/>
          <w:color w:val="auto"/>
          <w:szCs w:val="21"/>
        </w:rPr>
        <w:t>承包人在已标价工程量清单或预算书中载明的材料单价等于基准单价的：专用合同条款合同履行期间材料单价涨跌幅以基准单价为基础超过±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00" w:lineRule="exact"/>
        <w:jc w:val="left"/>
        <w:rPr>
          <w:rFonts w:ascii="宋体" w:hAnsi="宋体"/>
          <w:color w:val="auto"/>
          <w:szCs w:val="21"/>
        </w:rPr>
      </w:pPr>
      <w:r>
        <w:rPr>
          <w:rFonts w:ascii="宋体" w:hAnsi="宋体"/>
          <w:color w:val="auto"/>
          <w:szCs w:val="21"/>
        </w:rPr>
        <w:t>第3种方式：其他价格调整方式：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59"/>
    <w:bookmarkEnd w:id="360"/>
    <w:bookmarkEnd w:id="361"/>
    <w:bookmarkEnd w:id="362"/>
    <w:bookmarkEnd w:id="363"/>
    <w:bookmarkEnd w:id="364"/>
    <w:p>
      <w:pPr>
        <w:pStyle w:val="6"/>
        <w:spacing w:before="120" w:after="120" w:line="400" w:lineRule="exact"/>
        <w:rPr>
          <w:rFonts w:ascii="宋体" w:hAnsi="宋体" w:eastAsia="宋体"/>
          <w:b w:val="0"/>
          <w:color w:val="auto"/>
          <w:sz w:val="21"/>
          <w:szCs w:val="21"/>
        </w:rPr>
      </w:pPr>
      <w:bookmarkStart w:id="472" w:name="_Toc292559410"/>
      <w:bookmarkStart w:id="473" w:name="_Toc292559915"/>
      <w:bookmarkStart w:id="474" w:name="_Toc296346706"/>
      <w:bookmarkStart w:id="475" w:name="_Toc296347204"/>
      <w:bookmarkStart w:id="476" w:name="_Toc296891033"/>
      <w:bookmarkStart w:id="477" w:name="_Toc297048391"/>
      <w:bookmarkStart w:id="478" w:name="_Toc296891245"/>
      <w:bookmarkStart w:id="479" w:name="_Toc296503205"/>
      <w:bookmarkStart w:id="480" w:name="_Toc296944544"/>
      <w:bookmarkStart w:id="481" w:name="_Toc297120505"/>
      <w:bookmarkStart w:id="482" w:name="_Toc351203644"/>
      <w:bookmarkStart w:id="483" w:name="_Toc312678040"/>
      <w:bookmarkStart w:id="484" w:name="_Toc297216211"/>
      <w:bookmarkStart w:id="485" w:name="_Toc303539159"/>
      <w:bookmarkStart w:id="486" w:name="_Toc300935002"/>
      <w:bookmarkStart w:id="487" w:name="_Toc304295579"/>
      <w:bookmarkStart w:id="488" w:name="_Toc297123552"/>
      <w:r>
        <w:rPr>
          <w:rFonts w:ascii="宋体" w:hAnsi="宋体" w:eastAsia="宋体"/>
          <w:b w:val="0"/>
          <w:color w:val="auto"/>
          <w:sz w:val="21"/>
          <w:szCs w:val="21"/>
        </w:rPr>
        <w:t xml:space="preserve">12. </w:t>
      </w:r>
      <w:bookmarkEnd w:id="472"/>
      <w:bookmarkEnd w:id="473"/>
      <w:bookmarkEnd w:id="474"/>
      <w:bookmarkEnd w:id="475"/>
      <w:bookmarkEnd w:id="476"/>
      <w:bookmarkEnd w:id="477"/>
      <w:bookmarkEnd w:id="478"/>
      <w:bookmarkEnd w:id="479"/>
      <w:bookmarkEnd w:id="480"/>
      <w:bookmarkEnd w:id="481"/>
      <w:r>
        <w:rPr>
          <w:rFonts w:ascii="宋体" w:hAnsi="宋体" w:eastAsia="宋体"/>
          <w:b w:val="0"/>
          <w:color w:val="auto"/>
          <w:sz w:val="21"/>
          <w:szCs w:val="21"/>
        </w:rPr>
        <w:t>合同价格、计量与支付</w:t>
      </w:r>
      <w:bookmarkEnd w:id="482"/>
    </w:p>
    <w:bookmarkEnd w:id="483"/>
    <w:bookmarkEnd w:id="484"/>
    <w:bookmarkEnd w:id="485"/>
    <w:bookmarkEnd w:id="486"/>
    <w:bookmarkEnd w:id="487"/>
    <w:bookmarkEnd w:id="488"/>
    <w:p>
      <w:pPr>
        <w:spacing w:after="120" w:line="400" w:lineRule="exact"/>
        <w:ind w:firstLine="420" w:firstLineChars="200"/>
        <w:rPr>
          <w:rFonts w:ascii="宋体" w:hAnsi="宋体"/>
          <w:color w:val="auto"/>
          <w:szCs w:val="21"/>
        </w:rPr>
      </w:pPr>
      <w:bookmarkStart w:id="489" w:name="_Toc292559916"/>
      <w:bookmarkStart w:id="490" w:name="_Toc267251461"/>
      <w:bookmarkStart w:id="491" w:name="_Toc292559411"/>
      <w:bookmarkStart w:id="492" w:name="_Toc296891034"/>
      <w:bookmarkStart w:id="493" w:name="_Toc297120506"/>
      <w:bookmarkStart w:id="494" w:name="_Toc297048392"/>
      <w:bookmarkStart w:id="495" w:name="_Toc296503206"/>
      <w:bookmarkStart w:id="496" w:name="_Toc296944545"/>
      <w:bookmarkStart w:id="497" w:name="_Toc296891246"/>
      <w:bookmarkStart w:id="498" w:name="_Toc296347205"/>
      <w:bookmarkStart w:id="499" w:name="_Toc296346707"/>
      <w:bookmarkStart w:id="500" w:name="_Toc300935003"/>
      <w:bookmarkStart w:id="501" w:name="_Toc297216212"/>
      <w:bookmarkStart w:id="502" w:name="_Toc304295580"/>
      <w:bookmarkStart w:id="503" w:name="_Toc303539160"/>
      <w:bookmarkStart w:id="504" w:name="_Toc312678041"/>
      <w:bookmarkStart w:id="505" w:name="_Toc297123553"/>
      <w:r>
        <w:rPr>
          <w:rFonts w:ascii="宋体" w:hAnsi="宋体"/>
          <w:color w:val="auto"/>
          <w:szCs w:val="21"/>
        </w:rPr>
        <w:t>12.1 合</w:t>
      </w:r>
      <w:bookmarkEnd w:id="489"/>
      <w:bookmarkEnd w:id="490"/>
      <w:bookmarkEnd w:id="491"/>
      <w:r>
        <w:rPr>
          <w:rFonts w:ascii="宋体" w:hAnsi="宋体"/>
          <w:color w:val="auto"/>
          <w:szCs w:val="21"/>
        </w:rPr>
        <w:t>同价</w:t>
      </w:r>
      <w:bookmarkEnd w:id="492"/>
      <w:bookmarkEnd w:id="493"/>
      <w:bookmarkEnd w:id="494"/>
      <w:bookmarkEnd w:id="495"/>
      <w:bookmarkEnd w:id="496"/>
      <w:bookmarkEnd w:id="497"/>
      <w:bookmarkEnd w:id="498"/>
      <w:bookmarkEnd w:id="499"/>
      <w:r>
        <w:rPr>
          <w:rFonts w:ascii="宋体" w:hAnsi="宋体"/>
          <w:color w:val="auto"/>
          <w:szCs w:val="21"/>
        </w:rPr>
        <w:t>格形式</w:t>
      </w:r>
    </w:p>
    <w:bookmarkEnd w:id="500"/>
    <w:bookmarkEnd w:id="501"/>
    <w:bookmarkEnd w:id="502"/>
    <w:bookmarkEnd w:id="503"/>
    <w:bookmarkEnd w:id="504"/>
    <w:bookmarkEnd w:id="505"/>
    <w:p>
      <w:pPr>
        <w:spacing w:line="400" w:lineRule="exact"/>
        <w:ind w:firstLine="420" w:firstLineChars="200"/>
        <w:jc w:val="left"/>
        <w:rPr>
          <w:rFonts w:ascii="宋体" w:hAnsi="宋体"/>
          <w:color w:val="auto"/>
          <w:szCs w:val="21"/>
        </w:rPr>
      </w:pPr>
      <w:r>
        <w:rPr>
          <w:rFonts w:ascii="宋体" w:hAnsi="宋体"/>
          <w:color w:val="auto"/>
          <w:szCs w:val="21"/>
        </w:rPr>
        <w:t>1、单价合同。</w:t>
      </w:r>
    </w:p>
    <w:p>
      <w:pPr>
        <w:spacing w:line="400" w:lineRule="exact"/>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2、总价合同。</w:t>
      </w:r>
    </w:p>
    <w:p>
      <w:pPr>
        <w:spacing w:line="400" w:lineRule="exact"/>
        <w:jc w:val="left"/>
        <w:rPr>
          <w:rFonts w:ascii="宋体" w:hAnsi="宋体"/>
          <w:color w:val="auto"/>
          <w:szCs w:val="21"/>
        </w:rPr>
      </w:pPr>
      <w:r>
        <w:rPr>
          <w:rFonts w:ascii="宋体" w:hAnsi="宋体"/>
          <w:color w:val="auto"/>
          <w:szCs w:val="21"/>
        </w:rPr>
        <w:t>总价包含的风险范围：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hint="eastAsia"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3、其他价格方式：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bookmarkStart w:id="506" w:name="_Toc303539161"/>
      <w:bookmarkStart w:id="507" w:name="_Toc297123554"/>
      <w:bookmarkStart w:id="508" w:name="_Toc300935004"/>
      <w:bookmarkStart w:id="509" w:name="_Toc312678042"/>
      <w:bookmarkStart w:id="510" w:name="_Toc304295581"/>
      <w:bookmarkStart w:id="511" w:name="_Toc297216213"/>
      <w:bookmarkStart w:id="512" w:name="_Toc296503207"/>
      <w:bookmarkStart w:id="513" w:name="_Toc296944546"/>
      <w:bookmarkStart w:id="514" w:name="_Toc296346708"/>
      <w:bookmarkStart w:id="515" w:name="_Toc296347206"/>
      <w:bookmarkStart w:id="516" w:name="_Toc292559412"/>
      <w:bookmarkStart w:id="517" w:name="_Toc292559917"/>
      <w:bookmarkStart w:id="518" w:name="_Toc297120507"/>
      <w:bookmarkStart w:id="519" w:name="_Toc296891035"/>
      <w:bookmarkStart w:id="520" w:name="_Toc297048393"/>
      <w:bookmarkStart w:id="521" w:name="_Toc296891247"/>
      <w:r>
        <w:rPr>
          <w:rFonts w:ascii="宋体" w:hAnsi="宋体"/>
          <w:color w:val="auto"/>
          <w:szCs w:val="21"/>
        </w:rPr>
        <w:t>12.2 预付款</w:t>
      </w:r>
    </w:p>
    <w:bookmarkEnd w:id="506"/>
    <w:bookmarkEnd w:id="507"/>
    <w:bookmarkEnd w:id="508"/>
    <w:bookmarkEnd w:id="509"/>
    <w:bookmarkEnd w:id="510"/>
    <w:bookmarkEnd w:id="511"/>
    <w:p>
      <w:pPr>
        <w:spacing w:line="400" w:lineRule="exact"/>
        <w:ind w:firstLine="420" w:firstLineChars="200"/>
        <w:jc w:val="left"/>
        <w:rPr>
          <w:rFonts w:ascii="宋体" w:hAnsi="宋体"/>
          <w:color w:val="auto"/>
          <w:szCs w:val="21"/>
        </w:rPr>
      </w:pPr>
      <w:r>
        <w:rPr>
          <w:rFonts w:ascii="宋体" w:hAnsi="宋体"/>
          <w:color w:val="auto"/>
          <w:szCs w:val="21"/>
        </w:rPr>
        <w:t>12.2.1 预付款的支付</w:t>
      </w:r>
    </w:p>
    <w:p>
      <w:pPr>
        <w:spacing w:line="400" w:lineRule="exact"/>
        <w:ind w:firstLine="420" w:firstLineChars="200"/>
        <w:jc w:val="lef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 xml:space="preserve">  </w:t>
      </w:r>
      <w:r>
        <w:rPr>
          <w:rFonts w:hint="eastAsia" w:ascii="宋体" w:hAnsi="宋体"/>
          <w:color w:val="auto"/>
          <w:szCs w:val="21"/>
          <w:u w:val="single"/>
        </w:rPr>
        <w:t xml:space="preserve">合同价款的 30 %作为预付款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预付款支付期限：</w:t>
      </w:r>
      <w:r>
        <w:rPr>
          <w:rFonts w:hint="eastAsia" w:ascii="宋体" w:hAnsi="宋体"/>
          <w:color w:val="auto"/>
          <w:szCs w:val="21"/>
          <w:u w:val="single"/>
        </w:rPr>
        <w:t xml:space="preserve"> 在本工程签订合同后，1</w:t>
      </w:r>
      <w:r>
        <w:rPr>
          <w:rFonts w:hint="eastAsia" w:ascii="宋体" w:hAnsi="宋体"/>
          <w:color w:val="auto"/>
          <w:szCs w:val="21"/>
          <w:u w:val="single"/>
          <w:lang w:val="en-US" w:eastAsia="zh-CN"/>
        </w:rPr>
        <w:t>5</w:t>
      </w:r>
      <w:r>
        <w:rPr>
          <w:rFonts w:hint="eastAsia" w:ascii="宋体" w:hAnsi="宋体"/>
          <w:color w:val="auto"/>
          <w:szCs w:val="21"/>
          <w:u w:val="single"/>
        </w:rPr>
        <w:t>个工作日内支付</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预付款扣回的方式：</w:t>
      </w:r>
      <w:r>
        <w:rPr>
          <w:rFonts w:hint="eastAsia" w:ascii="宋体" w:hAnsi="宋体"/>
          <w:color w:val="auto"/>
          <w:szCs w:val="21"/>
          <w:u w:val="single"/>
        </w:rPr>
        <w:t xml:space="preserve"> 预付款从工程进度款中一次性扣回</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12.2.2 预付款担保</w:t>
      </w:r>
    </w:p>
    <w:p>
      <w:pPr>
        <w:spacing w:line="400" w:lineRule="exact"/>
        <w:ind w:firstLine="420" w:firstLineChars="200"/>
        <w:jc w:val="left"/>
        <w:rPr>
          <w:rFonts w:ascii="宋体" w:hAnsi="宋体"/>
          <w:color w:val="auto"/>
          <w:szCs w:val="21"/>
        </w:rPr>
      </w:pPr>
      <w:r>
        <w:rPr>
          <w:rFonts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预付款担保的形式为：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12"/>
    <w:bookmarkEnd w:id="513"/>
    <w:bookmarkEnd w:id="514"/>
    <w:bookmarkEnd w:id="515"/>
    <w:bookmarkEnd w:id="516"/>
    <w:bookmarkEnd w:id="517"/>
    <w:bookmarkEnd w:id="518"/>
    <w:bookmarkEnd w:id="519"/>
    <w:bookmarkEnd w:id="520"/>
    <w:bookmarkEnd w:id="521"/>
    <w:p>
      <w:pPr>
        <w:spacing w:after="120" w:line="400" w:lineRule="exact"/>
        <w:ind w:firstLine="420" w:firstLineChars="200"/>
        <w:rPr>
          <w:rFonts w:ascii="宋体" w:hAnsi="宋体"/>
          <w:color w:val="auto"/>
          <w:szCs w:val="21"/>
        </w:rPr>
      </w:pPr>
      <w:r>
        <w:rPr>
          <w:rFonts w:ascii="宋体" w:hAnsi="宋体"/>
          <w:color w:val="auto"/>
          <w:szCs w:val="21"/>
        </w:rPr>
        <w:t>12.3 计量</w:t>
      </w:r>
    </w:p>
    <w:p>
      <w:pPr>
        <w:spacing w:line="400" w:lineRule="exact"/>
        <w:ind w:firstLine="420" w:firstLineChars="200"/>
        <w:jc w:val="left"/>
        <w:rPr>
          <w:rFonts w:ascii="宋体" w:hAnsi="宋体"/>
          <w:color w:val="auto"/>
          <w:szCs w:val="21"/>
        </w:rPr>
      </w:pPr>
      <w:r>
        <w:rPr>
          <w:rFonts w:ascii="宋体" w:hAnsi="宋体"/>
          <w:color w:val="auto"/>
          <w:szCs w:val="21"/>
        </w:rPr>
        <w:t>12.3.1 计量原则</w:t>
      </w:r>
    </w:p>
    <w:p>
      <w:pPr>
        <w:tabs>
          <w:tab w:val="left" w:pos="3570"/>
        </w:tabs>
        <w:spacing w:line="400" w:lineRule="exact"/>
        <w:ind w:firstLine="420" w:firstLineChars="200"/>
        <w:jc w:val="left"/>
        <w:rPr>
          <w:rFonts w:ascii="宋体" w:hAnsi="宋体"/>
          <w:color w:val="auto"/>
          <w:szCs w:val="21"/>
        </w:rPr>
      </w:pPr>
      <w:r>
        <w:rPr>
          <w:rFonts w:ascii="宋体" w:hAnsi="宋体"/>
          <w:color w:val="auto"/>
          <w:szCs w:val="21"/>
        </w:rPr>
        <w:t>工程量计算规则：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12.3.2 计量周期</w:t>
      </w:r>
    </w:p>
    <w:p>
      <w:pPr>
        <w:spacing w:line="400" w:lineRule="exact"/>
        <w:ind w:firstLine="420" w:firstLineChars="200"/>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12.3.3 单价合同的计量</w:t>
      </w:r>
    </w:p>
    <w:p>
      <w:pPr>
        <w:spacing w:line="400" w:lineRule="exact"/>
        <w:ind w:firstLine="420" w:firstLineChars="200"/>
        <w:jc w:val="left"/>
        <w:rPr>
          <w:rFonts w:ascii="宋体" w:hAnsi="宋体"/>
          <w:color w:val="auto"/>
          <w:szCs w:val="21"/>
        </w:rPr>
      </w:pPr>
      <w:r>
        <w:rPr>
          <w:rFonts w:ascii="宋体" w:hAnsi="宋体"/>
          <w:color w:val="auto"/>
          <w:szCs w:val="21"/>
        </w:rPr>
        <w:t>关于单价合同计量的约定：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12.3.4 总价合同的计量</w:t>
      </w:r>
    </w:p>
    <w:p>
      <w:pPr>
        <w:spacing w:line="400" w:lineRule="exact"/>
        <w:ind w:firstLine="420" w:firstLineChars="200"/>
        <w:jc w:val="left"/>
        <w:rPr>
          <w:rFonts w:hint="eastAsia" w:ascii="宋体" w:hAnsi="宋体"/>
          <w:color w:val="auto"/>
          <w:szCs w:val="21"/>
        </w:rPr>
      </w:pPr>
      <w:r>
        <w:rPr>
          <w:rFonts w:ascii="宋体" w:hAnsi="宋体"/>
          <w:color w:val="auto"/>
          <w:szCs w:val="21"/>
        </w:rPr>
        <w:t>关于总价合同计量的约定：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12.3.5总价合同采用支付分解表计量支付的，是否适用第12.3.4 项</w:t>
      </w:r>
      <w:r>
        <w:rPr>
          <w:rFonts w:hint="eastAsia" w:ascii="宋体" w:hAnsi="宋体"/>
          <w:color w:val="auto"/>
          <w:szCs w:val="21"/>
        </w:rPr>
        <w:t>〔</w:t>
      </w:r>
      <w:r>
        <w:rPr>
          <w:rFonts w:ascii="宋体" w:hAnsi="宋体"/>
          <w:color w:val="auto"/>
          <w:szCs w:val="21"/>
        </w:rPr>
        <w:t>总价合同的计量</w:t>
      </w:r>
      <w:r>
        <w:rPr>
          <w:rFonts w:hint="eastAsia" w:ascii="宋体" w:hAnsi="宋体"/>
          <w:color w:val="auto"/>
          <w:szCs w:val="21"/>
        </w:rPr>
        <w:t>〕</w:t>
      </w:r>
      <w:r>
        <w:rPr>
          <w:rFonts w:ascii="宋体" w:hAnsi="宋体"/>
          <w:color w:val="auto"/>
          <w:szCs w:val="21"/>
        </w:rPr>
        <w:t>约定</w:t>
      </w:r>
      <w:r>
        <w:rPr>
          <w:rFonts w:hint="eastAsia" w:ascii="宋体" w:hAnsi="宋体"/>
          <w:color w:val="auto"/>
          <w:szCs w:val="21"/>
        </w:rPr>
        <w:t>进行计量：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12.3.6 其他价格形式合同的计量</w:t>
      </w:r>
    </w:p>
    <w:p>
      <w:pPr>
        <w:spacing w:line="400" w:lineRule="exact"/>
        <w:jc w:val="left"/>
        <w:rPr>
          <w:rFonts w:ascii="宋体" w:hAnsi="宋体"/>
          <w:color w:val="auto"/>
          <w:szCs w:val="21"/>
        </w:rPr>
      </w:pPr>
      <w:r>
        <w:rPr>
          <w:rFonts w:ascii="宋体" w:hAnsi="宋体"/>
          <w:color w:val="auto"/>
          <w:szCs w:val="21"/>
        </w:rPr>
        <w:t>其他价格形式的计量方式和程序：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12.4 工程进度款支付</w:t>
      </w:r>
    </w:p>
    <w:p>
      <w:pPr>
        <w:spacing w:line="400" w:lineRule="exact"/>
        <w:ind w:firstLine="420" w:firstLineChars="200"/>
        <w:jc w:val="left"/>
        <w:rPr>
          <w:rFonts w:ascii="宋体" w:hAnsi="宋体"/>
          <w:color w:val="auto"/>
          <w:szCs w:val="21"/>
        </w:rPr>
      </w:pPr>
      <w:bookmarkStart w:id="522" w:name="_Toc296944550"/>
      <w:bookmarkStart w:id="523" w:name="_Toc296346712"/>
      <w:bookmarkStart w:id="524" w:name="_Toc297216215"/>
      <w:bookmarkStart w:id="525" w:name="_Toc296503211"/>
      <w:bookmarkStart w:id="526" w:name="_Toc296891251"/>
      <w:bookmarkStart w:id="527" w:name="_Toc296891039"/>
      <w:bookmarkStart w:id="528" w:name="_Toc292559921"/>
      <w:bookmarkStart w:id="529" w:name="_Toc300935006"/>
      <w:bookmarkStart w:id="530" w:name="_Toc303539163"/>
      <w:bookmarkStart w:id="531" w:name="_Toc297120511"/>
      <w:bookmarkStart w:id="532" w:name="_Toc297123556"/>
      <w:bookmarkStart w:id="533" w:name="_Toc296347210"/>
      <w:bookmarkStart w:id="534" w:name="_Toc292559416"/>
      <w:bookmarkStart w:id="535" w:name="_Toc297048397"/>
      <w:r>
        <w:rPr>
          <w:rFonts w:ascii="宋体" w:hAnsi="宋体"/>
          <w:color w:val="auto"/>
          <w:szCs w:val="21"/>
        </w:rPr>
        <w:t>12.4.1 付款周期</w:t>
      </w:r>
    </w:p>
    <w:p>
      <w:pPr>
        <w:spacing w:line="400" w:lineRule="exact"/>
        <w:ind w:firstLine="420" w:firstLineChars="200"/>
        <w:jc w:val="left"/>
        <w:rPr>
          <w:rFonts w:ascii="宋体" w:hAnsi="宋体"/>
          <w:color w:val="auto"/>
          <w:szCs w:val="21"/>
        </w:rPr>
      </w:pPr>
      <w:r>
        <w:rPr>
          <w:rFonts w:ascii="宋体" w:hAnsi="宋体"/>
          <w:color w:val="auto"/>
          <w:szCs w:val="21"/>
        </w:rPr>
        <w:t>关于付款周期的约定：</w:t>
      </w:r>
      <w:r>
        <w:rPr>
          <w:rFonts w:ascii="宋体" w:hAnsi="宋体"/>
          <w:color w:val="auto"/>
          <w:szCs w:val="21"/>
          <w:u w:val="single"/>
        </w:rPr>
        <w:t xml:space="preserve">     </w:t>
      </w:r>
      <w:r>
        <w:rPr>
          <w:rFonts w:hint="eastAsia" w:ascii="宋体" w:hAnsi="宋体"/>
          <w:color w:val="auto"/>
          <w:szCs w:val="21"/>
          <w:u w:val="single"/>
          <w:lang w:eastAsia="zh-CN"/>
        </w:rPr>
        <w:t>双方协商</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12.4.2 进度付款申请单的编制</w:t>
      </w:r>
    </w:p>
    <w:p>
      <w:pPr>
        <w:spacing w:line="400" w:lineRule="exact"/>
        <w:jc w:val="left"/>
        <w:rPr>
          <w:rFonts w:ascii="宋体" w:hAnsi="宋体"/>
          <w:color w:val="auto"/>
          <w:szCs w:val="21"/>
        </w:rPr>
      </w:pPr>
      <w:r>
        <w:rPr>
          <w:rFonts w:ascii="宋体" w:hAnsi="宋体"/>
          <w:color w:val="auto"/>
          <w:szCs w:val="21"/>
        </w:rPr>
        <w:t>关于进度付款申请单编制的约定：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ascii="宋体" w:hAnsi="宋体"/>
          <w:color w:val="auto"/>
          <w:szCs w:val="21"/>
        </w:rPr>
        <w:t>2.4.3 进度付款申请单的提交</w:t>
      </w:r>
    </w:p>
    <w:p>
      <w:pPr>
        <w:spacing w:line="400" w:lineRule="exact"/>
        <w:ind w:firstLine="420" w:firstLineChars="200"/>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（3）其他价格形式合同进度付款申请单提交的约定：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12.4.4 进度款审核和支付</w:t>
      </w:r>
    </w:p>
    <w:p>
      <w:pPr>
        <w:spacing w:line="400" w:lineRule="exact"/>
        <w:ind w:firstLine="420" w:firstLineChars="200"/>
        <w:jc w:val="left"/>
        <w:rPr>
          <w:rFonts w:ascii="宋体" w:hAnsi="宋体"/>
          <w:color w:val="auto"/>
          <w:szCs w:val="21"/>
          <w:u w:val="single"/>
        </w:rPr>
      </w:pPr>
      <w:r>
        <w:rPr>
          <w:rFonts w:ascii="宋体" w:hAnsi="宋体"/>
          <w:color w:val="auto"/>
          <w:szCs w:val="21"/>
        </w:rPr>
        <w:t>（1）监理人审查并报送发包人的期限：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发包人完成审批并签发进度款支付证书的期限：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（2）发包人支付进度款的期限：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hint="eastAsia" w:ascii="宋体" w:hAnsi="宋体"/>
          <w:color w:val="auto"/>
          <w:szCs w:val="21"/>
        </w:rPr>
      </w:pPr>
      <w:r>
        <w:rPr>
          <w:rFonts w:ascii="宋体" w:hAnsi="宋体"/>
          <w:color w:val="auto"/>
          <w:szCs w:val="21"/>
        </w:rPr>
        <w:t>发包人逾期支付进度款的违约金的计算方式：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525" w:firstLineChars="250"/>
        <w:jc w:val="left"/>
        <w:rPr>
          <w:rFonts w:hint="eastAsia" w:ascii="宋体" w:hAnsi="宋体"/>
          <w:color w:val="auto"/>
          <w:szCs w:val="21"/>
        </w:rPr>
      </w:pPr>
      <w:r>
        <w:rPr>
          <w:rFonts w:ascii="宋体" w:hAnsi="宋体"/>
          <w:color w:val="auto"/>
          <w:szCs w:val="21"/>
        </w:rPr>
        <w:t>12.4.6 支付分解表的编制</w:t>
      </w:r>
    </w:p>
    <w:p>
      <w:pPr>
        <w:spacing w:line="400" w:lineRule="exact"/>
        <w:ind w:left="4200" w:hanging="4200" w:hangingChars="2000"/>
        <w:jc w:val="left"/>
        <w:rPr>
          <w:rFonts w:ascii="宋体" w:hAnsi="宋体"/>
          <w:color w:val="auto"/>
          <w:szCs w:val="21"/>
        </w:rPr>
      </w:pPr>
      <w:r>
        <w:rPr>
          <w:rFonts w:ascii="宋体" w:hAnsi="宋体"/>
          <w:color w:val="auto"/>
          <w:szCs w:val="21"/>
        </w:rPr>
        <w:t>2、总价合同支付分解表的编制与审批：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3、单价合同的总价项目支付分解表的编制与审批：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65"/>
    <w:p>
      <w:pPr>
        <w:pStyle w:val="6"/>
        <w:spacing w:before="120" w:after="120" w:line="400" w:lineRule="exact"/>
        <w:rPr>
          <w:rFonts w:ascii="宋体" w:hAnsi="宋体" w:eastAsia="宋体"/>
          <w:b w:val="0"/>
          <w:color w:val="auto"/>
          <w:sz w:val="21"/>
          <w:szCs w:val="21"/>
        </w:rPr>
      </w:pPr>
      <w:bookmarkStart w:id="536" w:name="_Toc351203645"/>
      <w:bookmarkStart w:id="537" w:name="_Toc296891259"/>
      <w:bookmarkStart w:id="538" w:name="_Toc296503219"/>
      <w:bookmarkStart w:id="539" w:name="_Toc303539172"/>
      <w:bookmarkStart w:id="540" w:name="_Toc304295593"/>
      <w:bookmarkStart w:id="541" w:name="_Toc312678053"/>
      <w:bookmarkStart w:id="542" w:name="_Toc292559424"/>
      <w:bookmarkStart w:id="543" w:name="_Toc296891047"/>
      <w:bookmarkStart w:id="544" w:name="_Toc297048405"/>
      <w:bookmarkStart w:id="545" w:name="_Toc297123564"/>
      <w:bookmarkStart w:id="546" w:name="_Toc297120519"/>
      <w:bookmarkStart w:id="547" w:name="_Toc296944558"/>
      <w:bookmarkStart w:id="548" w:name="_Toc300935015"/>
      <w:bookmarkStart w:id="549" w:name="_Toc292559929"/>
      <w:bookmarkStart w:id="550" w:name="_Toc297216223"/>
      <w:bookmarkStart w:id="551" w:name="_Toc296346720"/>
      <w:bookmarkStart w:id="552" w:name="_Toc296347218"/>
      <w:r>
        <w:rPr>
          <w:rFonts w:ascii="宋体" w:hAnsi="宋体" w:eastAsia="宋体"/>
          <w:b w:val="0"/>
          <w:color w:val="auto"/>
          <w:sz w:val="21"/>
          <w:szCs w:val="21"/>
        </w:rPr>
        <w:t>13.</w:t>
      </w:r>
      <w:r>
        <w:rPr>
          <w:rFonts w:hint="eastAsia" w:ascii="宋体" w:hAnsi="宋体" w:eastAsia="宋体"/>
          <w:b w:val="0"/>
          <w:color w:val="auto"/>
          <w:sz w:val="21"/>
          <w:szCs w:val="21"/>
        </w:rPr>
        <w:t xml:space="preserve"> </w:t>
      </w:r>
      <w:r>
        <w:rPr>
          <w:rFonts w:ascii="宋体" w:hAnsi="宋体" w:eastAsia="宋体"/>
          <w:b w:val="0"/>
          <w:color w:val="auto"/>
          <w:sz w:val="21"/>
          <w:szCs w:val="21"/>
        </w:rPr>
        <w:t>验收和工程试车</w:t>
      </w:r>
      <w:bookmarkEnd w:id="536"/>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Pr>
        <w:spacing w:after="120" w:line="400" w:lineRule="exact"/>
        <w:ind w:firstLine="420" w:firstLineChars="200"/>
        <w:rPr>
          <w:rFonts w:ascii="宋体" w:hAnsi="宋体"/>
          <w:color w:val="auto"/>
          <w:szCs w:val="21"/>
        </w:rPr>
      </w:pPr>
      <w:r>
        <w:rPr>
          <w:rFonts w:ascii="宋体" w:hAnsi="宋体"/>
          <w:color w:val="auto"/>
          <w:szCs w:val="21"/>
        </w:rPr>
        <w:t>13.1 分部分项工程验收</w:t>
      </w:r>
    </w:p>
    <w:p>
      <w:pPr>
        <w:spacing w:line="400" w:lineRule="exact"/>
        <w:ind w:firstLine="420" w:firstLineChars="200"/>
        <w:jc w:val="left"/>
        <w:rPr>
          <w:rFonts w:ascii="宋体" w:hAnsi="宋体"/>
          <w:color w:val="auto"/>
          <w:szCs w:val="21"/>
        </w:rPr>
      </w:pPr>
      <w:r>
        <w:rPr>
          <w:rFonts w:ascii="宋体" w:hAnsi="宋体"/>
          <w:color w:val="auto"/>
          <w:szCs w:val="21"/>
        </w:rPr>
        <w:t>13.1.2监理人不能按时进行验收时，应提前</w:t>
      </w:r>
      <w:r>
        <w:rPr>
          <w:rFonts w:ascii="宋体" w:hAnsi="宋体"/>
          <w:color w:val="auto"/>
          <w:szCs w:val="21"/>
          <w:u w:val="single"/>
        </w:rPr>
        <w:t xml:space="preserve">       </w:t>
      </w:r>
      <w:r>
        <w:rPr>
          <w:rFonts w:ascii="宋体" w:hAnsi="宋体"/>
          <w:color w:val="auto"/>
          <w:szCs w:val="21"/>
        </w:rPr>
        <w:t>小时提交书面延期要求。</w:t>
      </w:r>
    </w:p>
    <w:p>
      <w:pPr>
        <w:spacing w:line="400" w:lineRule="exact"/>
        <w:ind w:firstLine="420" w:firstLineChars="200"/>
        <w:jc w:val="left"/>
        <w:rPr>
          <w:rFonts w:ascii="宋体" w:hAnsi="宋体"/>
          <w:b/>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spacing w:after="120" w:line="400" w:lineRule="exact"/>
        <w:ind w:firstLine="420" w:firstLineChars="200"/>
        <w:rPr>
          <w:rFonts w:ascii="宋体" w:hAnsi="宋体"/>
          <w:color w:val="auto"/>
          <w:szCs w:val="21"/>
        </w:rPr>
      </w:pPr>
      <w:bookmarkStart w:id="553" w:name="_Toc303539173"/>
      <w:bookmarkStart w:id="554" w:name="_Toc296891051"/>
      <w:bookmarkStart w:id="555" w:name="_Toc297120523"/>
      <w:bookmarkStart w:id="556" w:name="_Toc297048409"/>
      <w:bookmarkStart w:id="557" w:name="_Toc312678056"/>
      <w:bookmarkStart w:id="558" w:name="_Toc297123565"/>
      <w:bookmarkStart w:id="559" w:name="_Toc296346724"/>
      <w:bookmarkStart w:id="560" w:name="_Toc296503223"/>
      <w:bookmarkStart w:id="561" w:name="_Toc296944562"/>
      <w:bookmarkStart w:id="562" w:name="_Toc296891263"/>
      <w:bookmarkStart w:id="563" w:name="_Toc300935016"/>
      <w:bookmarkStart w:id="564" w:name="_Toc297216224"/>
      <w:bookmarkStart w:id="565" w:name="_Toc304295596"/>
      <w:bookmarkStart w:id="566" w:name="_Toc292559933"/>
      <w:bookmarkStart w:id="567" w:name="_Toc292559428"/>
      <w:bookmarkStart w:id="568" w:name="_Toc296347222"/>
      <w:bookmarkStart w:id="569" w:name="_Toc267251475"/>
      <w:bookmarkStart w:id="570" w:name="_Toc267251472"/>
      <w:bookmarkStart w:id="571" w:name="_Toc267251473"/>
      <w:bookmarkStart w:id="572" w:name="_Toc267251470"/>
      <w:bookmarkStart w:id="573" w:name="_Toc267251476"/>
      <w:bookmarkStart w:id="574" w:name="_Toc267251474"/>
      <w:bookmarkStart w:id="575" w:name="_Toc267251471"/>
      <w:r>
        <w:rPr>
          <w:rFonts w:ascii="宋体" w:hAnsi="宋体"/>
          <w:color w:val="auto"/>
          <w:szCs w:val="21"/>
        </w:rPr>
        <w:t>13.2 竣工验收</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spacing w:line="400" w:lineRule="exact"/>
        <w:ind w:firstLine="420" w:firstLineChars="200"/>
        <w:jc w:val="left"/>
        <w:rPr>
          <w:rFonts w:ascii="宋体" w:hAnsi="宋体"/>
          <w:color w:val="auto"/>
          <w:szCs w:val="21"/>
        </w:rPr>
      </w:pPr>
      <w:bookmarkStart w:id="576" w:name="_Toc280868704"/>
      <w:bookmarkStart w:id="577" w:name="_Toc280868705"/>
      <w:bookmarkStart w:id="578" w:name="_Toc280868706"/>
      <w:bookmarkStart w:id="579" w:name="_Toc280868707"/>
      <w:bookmarkStart w:id="580" w:name="_Toc280868708"/>
      <w:bookmarkStart w:id="581" w:name="_Toc280868709"/>
      <w:r>
        <w:rPr>
          <w:rFonts w:ascii="宋体" w:hAnsi="宋体"/>
          <w:color w:val="auto"/>
          <w:szCs w:val="21"/>
        </w:rPr>
        <w:t>13.2.2竣工验收程序</w:t>
      </w:r>
    </w:p>
    <w:bookmarkEnd w:id="576"/>
    <w:p>
      <w:pPr>
        <w:spacing w:line="400" w:lineRule="exact"/>
        <w:ind w:firstLine="420" w:firstLineChars="200"/>
        <w:jc w:val="left"/>
        <w:rPr>
          <w:rFonts w:ascii="宋体" w:hAnsi="宋体"/>
          <w:color w:val="auto"/>
          <w:szCs w:val="21"/>
        </w:rPr>
      </w:pPr>
      <w:r>
        <w:rPr>
          <w:rFonts w:ascii="宋体" w:hAnsi="宋体"/>
          <w:color w:val="auto"/>
          <w:szCs w:val="21"/>
        </w:rPr>
        <w:t>关于竣工验收程序的约定：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rPr>
        <w:t>发包人不按照本项约定组织竣工验收、颁发工程接收证书的违约金的计算方法：</w:t>
      </w:r>
      <w:r>
        <w:rPr>
          <w:rFonts w:ascii="宋体" w:hAnsi="宋体"/>
          <w:color w:val="auto"/>
          <w:szCs w:val="21"/>
          <w:u w:val="single"/>
        </w:rPr>
        <w:t xml:space="preserve">            </w:t>
      </w:r>
      <w:r>
        <w:rPr>
          <w:rFonts w:ascii="宋体" w:hAnsi="宋体"/>
          <w:color w:val="auto"/>
          <w:szCs w:val="21"/>
        </w:rPr>
        <w:t>。</w:t>
      </w:r>
    </w:p>
    <w:bookmarkEnd w:id="577"/>
    <w:p>
      <w:pPr>
        <w:spacing w:line="400" w:lineRule="exact"/>
        <w:ind w:firstLine="420" w:firstLineChars="200"/>
        <w:jc w:val="left"/>
        <w:rPr>
          <w:rFonts w:ascii="宋体" w:hAnsi="宋体"/>
          <w:color w:val="auto"/>
          <w:szCs w:val="21"/>
        </w:rPr>
      </w:pPr>
      <w:r>
        <w:rPr>
          <w:rFonts w:ascii="宋体" w:hAnsi="宋体"/>
          <w:color w:val="auto"/>
          <w:szCs w:val="21"/>
        </w:rPr>
        <w:t>13.2.5移交、接收全部与部分工程</w:t>
      </w:r>
    </w:p>
    <w:bookmarkEnd w:id="578"/>
    <w:p>
      <w:pPr>
        <w:spacing w:line="400" w:lineRule="exact"/>
        <w:ind w:firstLine="420" w:firstLineChars="200"/>
        <w:jc w:val="left"/>
        <w:rPr>
          <w:rFonts w:hint="eastAsia" w:ascii="宋体" w:hAnsi="宋体"/>
          <w:color w:val="auto"/>
          <w:szCs w:val="21"/>
        </w:rPr>
      </w:pPr>
      <w:r>
        <w:rPr>
          <w:rFonts w:hint="eastAsia" w:ascii="宋体" w:hAnsi="宋体"/>
          <w:color w:val="auto"/>
          <w:szCs w:val="21"/>
        </w:rPr>
        <w:t>承包人向发包人移交工程的期限：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发包人未按本合同约定接收全部或部分工程的，违约金的计算方法为：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79"/>
    <w:p>
      <w:pPr>
        <w:spacing w:line="400" w:lineRule="exact"/>
        <w:ind w:firstLine="420" w:firstLineChars="200"/>
        <w:jc w:val="left"/>
        <w:rPr>
          <w:rFonts w:ascii="宋体" w:hAnsi="宋体"/>
          <w:color w:val="auto"/>
          <w:szCs w:val="21"/>
        </w:rPr>
      </w:pPr>
      <w:r>
        <w:rPr>
          <w:rFonts w:ascii="宋体" w:hAnsi="宋体"/>
          <w:color w:val="auto"/>
          <w:szCs w:val="21"/>
        </w:rPr>
        <w:t>承包人未按时移交工程的，违约金的计算方法为：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13.3 工程试车</w:t>
      </w:r>
    </w:p>
    <w:bookmarkEnd w:id="580"/>
    <w:p>
      <w:pPr>
        <w:spacing w:line="400" w:lineRule="exact"/>
        <w:ind w:firstLine="420" w:firstLineChars="200"/>
        <w:jc w:val="left"/>
        <w:rPr>
          <w:rFonts w:ascii="宋体" w:hAnsi="宋体"/>
          <w:color w:val="auto"/>
          <w:szCs w:val="21"/>
        </w:rPr>
      </w:pPr>
      <w:r>
        <w:rPr>
          <w:rFonts w:ascii="宋体" w:hAnsi="宋体"/>
          <w:color w:val="auto"/>
          <w:szCs w:val="21"/>
        </w:rPr>
        <w:t>13.3.1 试车程序</w:t>
      </w:r>
    </w:p>
    <w:p>
      <w:pPr>
        <w:spacing w:line="400" w:lineRule="exact"/>
        <w:ind w:firstLine="420" w:firstLineChars="200"/>
        <w:jc w:val="left"/>
        <w:rPr>
          <w:rFonts w:ascii="宋体" w:hAnsi="宋体"/>
          <w:color w:val="auto"/>
          <w:szCs w:val="21"/>
        </w:rPr>
      </w:pPr>
      <w:r>
        <w:rPr>
          <w:rFonts w:ascii="宋体" w:hAnsi="宋体"/>
          <w:color w:val="auto"/>
          <w:szCs w:val="21"/>
        </w:rPr>
        <w:t>工程试车内容：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（1）单机无负荷试车费用由</w:t>
      </w:r>
      <w:r>
        <w:rPr>
          <w:rFonts w:ascii="宋体" w:hAnsi="宋体"/>
          <w:color w:val="auto"/>
          <w:szCs w:val="21"/>
          <w:u w:val="single"/>
        </w:rPr>
        <w:t xml:space="preserve">                     </w:t>
      </w:r>
      <w:r>
        <w:rPr>
          <w:rFonts w:ascii="宋体" w:hAnsi="宋体"/>
          <w:color w:val="auto"/>
          <w:szCs w:val="21"/>
        </w:rPr>
        <w:t>承担；</w:t>
      </w:r>
    </w:p>
    <w:p>
      <w:pPr>
        <w:spacing w:line="400" w:lineRule="exact"/>
        <w:ind w:firstLine="420" w:firstLineChars="200"/>
        <w:jc w:val="left"/>
        <w:rPr>
          <w:rFonts w:hint="eastAsia" w:ascii="宋体" w:hAnsi="宋体"/>
          <w:color w:val="auto"/>
          <w:szCs w:val="21"/>
        </w:rPr>
      </w:pPr>
      <w:r>
        <w:rPr>
          <w:rFonts w:ascii="宋体" w:hAnsi="宋体"/>
          <w:color w:val="auto"/>
          <w:szCs w:val="21"/>
        </w:rPr>
        <w:t>（2）无负荷联动试车费用由</w:t>
      </w:r>
      <w:r>
        <w:rPr>
          <w:rFonts w:ascii="宋体" w:hAnsi="宋体"/>
          <w:color w:val="auto"/>
          <w:szCs w:val="21"/>
          <w:u w:val="single"/>
        </w:rPr>
        <w:t xml:space="preserve">                     </w:t>
      </w:r>
      <w:r>
        <w:rPr>
          <w:rFonts w:ascii="宋体" w:hAnsi="宋体"/>
          <w:color w:val="auto"/>
          <w:szCs w:val="21"/>
        </w:rPr>
        <w:t>承担。</w:t>
      </w:r>
    </w:p>
    <w:p>
      <w:pPr>
        <w:spacing w:line="400" w:lineRule="exact"/>
        <w:ind w:firstLine="420" w:firstLineChars="200"/>
        <w:jc w:val="left"/>
        <w:rPr>
          <w:rFonts w:ascii="宋体" w:hAnsi="宋体"/>
          <w:color w:val="auto"/>
          <w:szCs w:val="21"/>
        </w:rPr>
      </w:pPr>
      <w:r>
        <w:rPr>
          <w:rFonts w:ascii="宋体" w:hAnsi="宋体"/>
          <w:color w:val="auto"/>
          <w:szCs w:val="21"/>
        </w:rPr>
        <w:t>13.3.3 投料试车</w:t>
      </w:r>
    </w:p>
    <w:p>
      <w:pPr>
        <w:spacing w:line="400" w:lineRule="exact"/>
        <w:ind w:firstLine="420" w:firstLineChars="200"/>
        <w:jc w:val="left"/>
        <w:rPr>
          <w:rFonts w:ascii="宋体" w:hAnsi="宋体"/>
          <w:color w:val="auto"/>
          <w:szCs w:val="21"/>
        </w:rPr>
      </w:pPr>
      <w:r>
        <w:rPr>
          <w:rFonts w:hint="eastAsia" w:ascii="宋体" w:hAnsi="宋体"/>
          <w:color w:val="auto"/>
          <w:szCs w:val="21"/>
        </w:rPr>
        <w:t>关于投料试车相关事项的约定：</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13.6 竣工退场</w:t>
      </w:r>
    </w:p>
    <w:p>
      <w:pPr>
        <w:spacing w:line="400" w:lineRule="exact"/>
        <w:ind w:firstLine="420" w:firstLineChars="200"/>
        <w:jc w:val="left"/>
        <w:rPr>
          <w:rFonts w:ascii="宋体" w:hAnsi="宋体"/>
          <w:color w:val="auto"/>
          <w:szCs w:val="21"/>
        </w:rPr>
      </w:pPr>
      <w:r>
        <w:rPr>
          <w:rFonts w:ascii="宋体" w:hAnsi="宋体"/>
          <w:color w:val="auto"/>
          <w:szCs w:val="21"/>
        </w:rPr>
        <w:t>13.6.1 竣工退场</w:t>
      </w:r>
    </w:p>
    <w:p>
      <w:pPr>
        <w:spacing w:line="400" w:lineRule="exact"/>
        <w:ind w:firstLine="420" w:firstLineChars="200"/>
        <w:jc w:val="left"/>
        <w:rPr>
          <w:rFonts w:ascii="宋体" w:hAnsi="宋体"/>
          <w:color w:val="auto"/>
          <w:szCs w:val="21"/>
        </w:rPr>
      </w:pPr>
      <w:r>
        <w:rPr>
          <w:rFonts w:ascii="宋体" w:hAnsi="宋体"/>
          <w:color w:val="auto"/>
          <w:szCs w:val="21"/>
        </w:rPr>
        <w:t>承包人完成竣工退场的期限：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582" w:name="_Toc351203646"/>
      <w:r>
        <w:rPr>
          <w:rFonts w:ascii="宋体" w:hAnsi="宋体" w:eastAsia="宋体"/>
          <w:b w:val="0"/>
          <w:color w:val="auto"/>
          <w:sz w:val="21"/>
          <w:szCs w:val="21"/>
        </w:rPr>
        <w:t>14. 竣工结算</w:t>
      </w:r>
      <w:bookmarkEnd w:id="582"/>
    </w:p>
    <w:p>
      <w:pPr>
        <w:spacing w:after="120" w:line="400" w:lineRule="exact"/>
        <w:ind w:firstLine="420" w:firstLineChars="200"/>
        <w:rPr>
          <w:rFonts w:ascii="宋体" w:hAnsi="宋体"/>
          <w:color w:val="auto"/>
          <w:szCs w:val="21"/>
        </w:rPr>
      </w:pPr>
      <w:r>
        <w:rPr>
          <w:rFonts w:ascii="宋体" w:hAnsi="宋体"/>
          <w:color w:val="auto"/>
          <w:szCs w:val="21"/>
        </w:rPr>
        <w:t>14.1 竣工付款申请</w:t>
      </w:r>
    </w:p>
    <w:p>
      <w:pPr>
        <w:spacing w:line="400" w:lineRule="exact"/>
        <w:ind w:firstLine="420" w:firstLineChars="200"/>
        <w:jc w:val="left"/>
        <w:rPr>
          <w:rFonts w:ascii="宋体" w:hAnsi="宋体"/>
          <w:color w:val="auto"/>
          <w:szCs w:val="21"/>
        </w:rPr>
      </w:pPr>
      <w:r>
        <w:rPr>
          <w:rFonts w:ascii="宋体" w:hAnsi="宋体"/>
          <w:color w:val="auto"/>
          <w:szCs w:val="21"/>
        </w:rPr>
        <w:t>承包人提交竣工付款申请单的期限：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竣工付款申请单应包括的内容：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14.2 竣工结算审核</w:t>
      </w:r>
    </w:p>
    <w:p>
      <w:pPr>
        <w:spacing w:line="400" w:lineRule="exact"/>
        <w:ind w:firstLine="420" w:firstLineChars="200"/>
        <w:jc w:val="left"/>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竣工付款申请单的期限：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hint="eastAsia" w:ascii="宋体" w:hAnsi="宋体"/>
          <w:color w:val="auto"/>
          <w:szCs w:val="21"/>
        </w:rPr>
      </w:pPr>
      <w:r>
        <w:rPr>
          <w:rFonts w:ascii="宋体" w:hAnsi="宋体"/>
          <w:color w:val="auto"/>
          <w:szCs w:val="21"/>
        </w:rPr>
        <w:t>发包人完成竣工付款的期限：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关于竣工付款证书异议部分复核的方式和程序：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14.4 最终结清</w:t>
      </w:r>
    </w:p>
    <w:p>
      <w:pPr>
        <w:spacing w:line="400" w:lineRule="exact"/>
        <w:ind w:firstLine="420" w:firstLineChars="200"/>
        <w:jc w:val="left"/>
        <w:rPr>
          <w:rFonts w:ascii="宋体" w:hAnsi="宋体"/>
          <w:color w:val="auto"/>
          <w:szCs w:val="21"/>
        </w:rPr>
      </w:pPr>
      <w:r>
        <w:rPr>
          <w:rFonts w:ascii="宋体" w:hAnsi="宋体"/>
          <w:color w:val="auto"/>
          <w:szCs w:val="21"/>
        </w:rPr>
        <w:t>14.4.1 最终结清申请单</w:t>
      </w:r>
    </w:p>
    <w:p>
      <w:pPr>
        <w:spacing w:line="400" w:lineRule="exact"/>
        <w:ind w:firstLine="420" w:firstLineChars="200"/>
        <w:jc w:val="left"/>
        <w:rPr>
          <w:rFonts w:ascii="宋体" w:hAnsi="宋体"/>
          <w:color w:val="auto"/>
          <w:szCs w:val="21"/>
        </w:rPr>
      </w:pPr>
      <w:r>
        <w:rPr>
          <w:rFonts w:ascii="宋体" w:hAnsi="宋体"/>
          <w:color w:val="auto"/>
          <w:szCs w:val="21"/>
        </w:rPr>
        <w:t>承包人提交最终结清申请单的份数：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承包人提交最终结算申请单的期限：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14.4.2 最终结清证书和支付</w:t>
      </w:r>
    </w:p>
    <w:p>
      <w:pPr>
        <w:spacing w:line="400" w:lineRule="exact"/>
        <w:ind w:firstLine="420" w:firstLineChars="200"/>
        <w:jc w:val="left"/>
        <w:rPr>
          <w:rFonts w:ascii="宋体" w:hAnsi="宋体"/>
          <w:color w:val="auto"/>
          <w:szCs w:val="21"/>
        </w:rPr>
      </w:pPr>
      <w:r>
        <w:rPr>
          <w:rFonts w:ascii="宋体" w:hAnsi="宋体"/>
          <w:color w:val="auto"/>
          <w:szCs w:val="21"/>
        </w:rPr>
        <w:t>（1）发包人完成最终结清申请单的</w:t>
      </w:r>
      <w:r>
        <w:rPr>
          <w:rFonts w:hint="eastAsia" w:ascii="宋体" w:hAnsi="宋体"/>
          <w:color w:val="auto"/>
          <w:szCs w:val="21"/>
        </w:rPr>
        <w:t>审批</w:t>
      </w:r>
      <w:r>
        <w:rPr>
          <w:rFonts w:ascii="宋体" w:hAnsi="宋体"/>
          <w:color w:val="auto"/>
          <w:szCs w:val="21"/>
        </w:rPr>
        <w:t>并颁发最终结清证书的期限：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（2）发包人完成支付的期限：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69"/>
    <w:bookmarkEnd w:id="570"/>
    <w:bookmarkEnd w:id="571"/>
    <w:bookmarkEnd w:id="572"/>
    <w:bookmarkEnd w:id="573"/>
    <w:bookmarkEnd w:id="574"/>
    <w:bookmarkEnd w:id="575"/>
    <w:bookmarkEnd w:id="581"/>
    <w:p>
      <w:pPr>
        <w:pStyle w:val="6"/>
        <w:spacing w:before="120" w:after="120" w:line="400" w:lineRule="exact"/>
        <w:rPr>
          <w:rFonts w:ascii="宋体" w:hAnsi="宋体" w:eastAsia="宋体"/>
          <w:b w:val="0"/>
          <w:color w:val="auto"/>
          <w:sz w:val="21"/>
          <w:szCs w:val="21"/>
        </w:rPr>
      </w:pPr>
      <w:bookmarkStart w:id="583" w:name="_Toc351203647"/>
      <w:bookmarkStart w:id="584" w:name="_Toc267251483"/>
      <w:bookmarkStart w:id="585" w:name="_Toc267251482"/>
      <w:bookmarkStart w:id="586" w:name="_Toc267251484"/>
      <w:bookmarkStart w:id="587" w:name="_Toc267251485"/>
      <w:bookmarkStart w:id="588" w:name="_Toc267251489"/>
      <w:bookmarkStart w:id="589" w:name="_Toc267251490"/>
      <w:bookmarkStart w:id="590" w:name="_Toc267251488"/>
      <w:bookmarkStart w:id="591" w:name="_Toc267251486"/>
      <w:bookmarkStart w:id="592" w:name="_Toc267251494"/>
      <w:bookmarkStart w:id="593" w:name="_Toc267251493"/>
      <w:bookmarkStart w:id="594" w:name="_Toc267251495"/>
      <w:bookmarkStart w:id="595" w:name="_Toc267251491"/>
      <w:bookmarkStart w:id="596" w:name="_Toc267251502"/>
      <w:bookmarkStart w:id="597" w:name="_Toc267251498"/>
      <w:bookmarkStart w:id="598" w:name="_Toc267251492"/>
      <w:bookmarkStart w:id="599" w:name="_Toc267251497"/>
      <w:bookmarkStart w:id="600" w:name="_Toc267251496"/>
      <w:bookmarkStart w:id="601" w:name="_Toc267251499"/>
      <w:bookmarkStart w:id="602" w:name="_Toc267251503"/>
      <w:bookmarkStart w:id="603" w:name="_Toc267251501"/>
      <w:bookmarkStart w:id="604" w:name="_Toc267251504"/>
      <w:bookmarkStart w:id="605" w:name="_Toc267251506"/>
      <w:bookmarkStart w:id="606" w:name="_Toc267251507"/>
      <w:bookmarkStart w:id="607" w:name="_Toc267251508"/>
      <w:bookmarkStart w:id="608" w:name="_Toc267251509"/>
      <w:bookmarkStart w:id="609" w:name="_Toc267251513"/>
      <w:bookmarkStart w:id="610" w:name="_Toc267251511"/>
      <w:bookmarkStart w:id="611" w:name="_Toc267251515"/>
      <w:bookmarkStart w:id="612" w:name="_Toc267251514"/>
      <w:bookmarkStart w:id="613" w:name="_Toc267251510"/>
      <w:r>
        <w:rPr>
          <w:rFonts w:ascii="宋体" w:hAnsi="宋体" w:eastAsia="宋体"/>
          <w:b w:val="0"/>
          <w:color w:val="auto"/>
          <w:sz w:val="21"/>
          <w:szCs w:val="21"/>
        </w:rPr>
        <w:t>15. 缺陷责任期与保修</w:t>
      </w:r>
      <w:bookmarkEnd w:id="583"/>
    </w:p>
    <w:p>
      <w:pPr>
        <w:spacing w:after="120" w:line="400" w:lineRule="exact"/>
        <w:ind w:firstLine="420" w:firstLineChars="200"/>
        <w:rPr>
          <w:rFonts w:ascii="宋体" w:hAnsi="宋体"/>
          <w:color w:val="auto"/>
          <w:szCs w:val="21"/>
        </w:rPr>
      </w:pPr>
      <w:r>
        <w:rPr>
          <w:rFonts w:ascii="宋体" w:hAnsi="宋体"/>
          <w:color w:val="auto"/>
          <w:szCs w:val="21"/>
        </w:rPr>
        <w:t>15.2缺陷责任期</w:t>
      </w:r>
      <w:bookmarkEnd w:id="584"/>
    </w:p>
    <w:p>
      <w:pPr>
        <w:spacing w:line="400" w:lineRule="exact"/>
        <w:ind w:firstLine="420" w:firstLineChars="200"/>
        <w:jc w:val="left"/>
        <w:rPr>
          <w:rFonts w:ascii="宋体" w:hAnsi="宋体"/>
          <w:color w:val="auto"/>
          <w:szCs w:val="21"/>
        </w:rPr>
      </w:pPr>
      <w:r>
        <w:rPr>
          <w:rFonts w:ascii="宋体" w:hAnsi="宋体"/>
          <w:color w:val="auto"/>
          <w:szCs w:val="21"/>
        </w:rPr>
        <w:t>缺陷责任期的具体期限：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15.3 质量保证金</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关于是否扣留质量保证金的约定：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 xml:space="preserve">15.3.1 </w:t>
      </w:r>
      <w:r>
        <w:rPr>
          <w:rFonts w:hint="eastAsia" w:ascii="宋体" w:hAnsi="宋体"/>
          <w:color w:val="auto"/>
          <w:szCs w:val="21"/>
        </w:rPr>
        <w:t>承包人提供</w:t>
      </w:r>
      <w:r>
        <w:rPr>
          <w:rFonts w:ascii="宋体" w:hAnsi="宋体"/>
          <w:color w:val="auto"/>
          <w:szCs w:val="21"/>
        </w:rPr>
        <w:t>质量保证金的</w:t>
      </w:r>
      <w:r>
        <w:rPr>
          <w:rFonts w:hint="eastAsia" w:ascii="宋体" w:hAnsi="宋体"/>
          <w:color w:val="auto"/>
          <w:szCs w:val="21"/>
        </w:rPr>
        <w:t>方</w:t>
      </w:r>
      <w:r>
        <w:rPr>
          <w:rFonts w:ascii="宋体" w:hAnsi="宋体"/>
          <w:color w:val="auto"/>
          <w:szCs w:val="21"/>
        </w:rPr>
        <w:t>式</w:t>
      </w:r>
    </w:p>
    <w:p>
      <w:pPr>
        <w:spacing w:line="400" w:lineRule="exact"/>
        <w:ind w:firstLine="420" w:firstLineChars="200"/>
        <w:jc w:val="left"/>
        <w:rPr>
          <w:rFonts w:ascii="宋体" w:hAnsi="宋体"/>
          <w:color w:val="auto"/>
          <w:szCs w:val="21"/>
        </w:rPr>
      </w:pPr>
      <w:r>
        <w:rPr>
          <w:rFonts w:ascii="宋体" w:hAnsi="宋体"/>
          <w:color w:val="auto"/>
          <w:szCs w:val="21"/>
        </w:rPr>
        <w:t>质量保证金采用以下第</w:t>
      </w:r>
      <w:r>
        <w:rPr>
          <w:rFonts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（1）质量保证金保函，保证金额为：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bCs/>
          <w:color w:val="auto"/>
          <w:szCs w:val="21"/>
        </w:rPr>
        <w:t>（1%-3%）</w:t>
      </w:r>
      <w:r>
        <w:rPr>
          <w:rFonts w:ascii="宋体" w:hAnsi="宋体"/>
          <w:color w:val="auto"/>
          <w:szCs w:val="21"/>
        </w:rPr>
        <w:t>的工程款；</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（3）其他</w:t>
      </w:r>
      <w:r>
        <w:rPr>
          <w:rFonts w:hint="eastAsia" w:ascii="宋体" w:hAnsi="宋体"/>
          <w:color w:val="auto"/>
          <w:szCs w:val="21"/>
        </w:rPr>
        <w:t>方</w:t>
      </w:r>
      <w:r>
        <w:rPr>
          <w:rFonts w:ascii="宋体" w:hAnsi="宋体"/>
          <w:color w:val="auto"/>
          <w:szCs w:val="21"/>
        </w:rPr>
        <w:t>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 xml:space="preserve">15.3.2 质量保证金的扣留 </w:t>
      </w:r>
    </w:p>
    <w:p>
      <w:pPr>
        <w:spacing w:line="400" w:lineRule="exact"/>
        <w:ind w:firstLine="420" w:firstLineChars="200"/>
        <w:jc w:val="left"/>
        <w:rPr>
          <w:rFonts w:ascii="宋体" w:hAnsi="宋体"/>
          <w:color w:val="auto"/>
          <w:szCs w:val="21"/>
        </w:rPr>
      </w:pPr>
      <w:r>
        <w:rPr>
          <w:rFonts w:ascii="宋体" w:hAnsi="宋体"/>
          <w:color w:val="auto"/>
          <w:szCs w:val="21"/>
        </w:rPr>
        <w:t>质量保证金的扣留采取以下第</w:t>
      </w:r>
      <w:r>
        <w:rPr>
          <w:rFonts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（2）工程竣工结算时一次性扣留质量保证金；</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（3）其他扣留方式: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关于质量保证金的补充约定：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bookmarkEnd w:id="585"/>
    <w:bookmarkEnd w:id="586"/>
    <w:p>
      <w:pPr>
        <w:spacing w:after="120" w:line="400" w:lineRule="exact"/>
        <w:ind w:firstLine="420" w:firstLineChars="200"/>
        <w:rPr>
          <w:rFonts w:ascii="宋体" w:hAnsi="宋体"/>
          <w:color w:val="auto"/>
          <w:szCs w:val="21"/>
        </w:rPr>
      </w:pPr>
      <w:r>
        <w:rPr>
          <w:rFonts w:ascii="宋体" w:hAnsi="宋体"/>
          <w:color w:val="auto"/>
          <w:szCs w:val="21"/>
        </w:rPr>
        <w:t>15.4保修</w:t>
      </w:r>
    </w:p>
    <w:bookmarkEnd w:id="587"/>
    <w:p>
      <w:pPr>
        <w:spacing w:line="400" w:lineRule="exact"/>
        <w:ind w:firstLine="409" w:firstLineChars="195"/>
        <w:jc w:val="left"/>
        <w:rPr>
          <w:rFonts w:ascii="宋体" w:hAnsi="宋体"/>
          <w:color w:val="auto"/>
          <w:szCs w:val="21"/>
        </w:rPr>
      </w:pPr>
      <w:r>
        <w:rPr>
          <w:rFonts w:ascii="宋体" w:hAnsi="宋体"/>
          <w:color w:val="auto"/>
          <w:szCs w:val="21"/>
        </w:rPr>
        <w:t>15.4.1 保修责任</w:t>
      </w:r>
    </w:p>
    <w:p>
      <w:pPr>
        <w:spacing w:line="400" w:lineRule="exact"/>
        <w:jc w:val="left"/>
        <w:rPr>
          <w:rFonts w:ascii="宋体" w:hAnsi="宋体"/>
          <w:color w:val="auto"/>
          <w:szCs w:val="21"/>
        </w:rPr>
      </w:pPr>
      <w:r>
        <w:rPr>
          <w:rFonts w:ascii="宋体" w:hAnsi="宋体"/>
          <w:color w:val="auto"/>
          <w:szCs w:val="21"/>
        </w:rPr>
        <w:t>工程保修期为：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09" w:firstLineChars="195"/>
        <w:jc w:val="left"/>
        <w:rPr>
          <w:rFonts w:ascii="宋体" w:hAnsi="宋体"/>
          <w:color w:val="auto"/>
          <w:szCs w:val="21"/>
        </w:rPr>
      </w:pPr>
      <w:r>
        <w:rPr>
          <w:rFonts w:ascii="宋体" w:hAnsi="宋体"/>
          <w:color w:val="auto"/>
          <w:szCs w:val="21"/>
        </w:rPr>
        <w:t>15.4.3 修复通知</w:t>
      </w:r>
    </w:p>
    <w:p>
      <w:pPr>
        <w:spacing w:line="400" w:lineRule="exact"/>
        <w:jc w:val="left"/>
        <w:rPr>
          <w:rFonts w:ascii="宋体" w:hAnsi="宋体"/>
          <w:color w:val="auto"/>
          <w:szCs w:val="21"/>
        </w:rPr>
      </w:pPr>
      <w:r>
        <w:rPr>
          <w:rFonts w:ascii="宋体" w:hAnsi="宋体"/>
          <w:color w:val="auto"/>
          <w:szCs w:val="21"/>
        </w:rPr>
        <w:t>承包人收到保修通知并到达工程现场的合理时间：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88"/>
    <w:bookmarkEnd w:id="589"/>
    <w:bookmarkEnd w:id="590"/>
    <w:bookmarkEnd w:id="591"/>
    <w:p>
      <w:pPr>
        <w:pStyle w:val="6"/>
        <w:spacing w:before="120" w:after="120" w:line="400" w:lineRule="exact"/>
        <w:rPr>
          <w:rFonts w:ascii="宋体" w:hAnsi="宋体" w:eastAsia="宋体"/>
          <w:b w:val="0"/>
          <w:color w:val="auto"/>
          <w:sz w:val="21"/>
          <w:szCs w:val="21"/>
        </w:rPr>
      </w:pPr>
      <w:bookmarkStart w:id="614" w:name="_Toc351203648"/>
      <w:bookmarkStart w:id="615" w:name="_Toc280868717"/>
      <w:bookmarkStart w:id="616" w:name="_Toc280868718"/>
      <w:r>
        <w:rPr>
          <w:rFonts w:ascii="宋体" w:hAnsi="宋体" w:eastAsia="宋体"/>
          <w:b w:val="0"/>
          <w:color w:val="auto"/>
          <w:sz w:val="21"/>
          <w:szCs w:val="21"/>
        </w:rPr>
        <w:t>16. 违约</w:t>
      </w:r>
      <w:bookmarkEnd w:id="614"/>
    </w:p>
    <w:p>
      <w:pPr>
        <w:spacing w:after="120" w:line="400" w:lineRule="exact"/>
        <w:ind w:firstLine="420" w:firstLineChars="200"/>
        <w:rPr>
          <w:rFonts w:ascii="宋体" w:hAnsi="宋体"/>
          <w:color w:val="auto"/>
          <w:szCs w:val="21"/>
        </w:rPr>
      </w:pPr>
      <w:r>
        <w:rPr>
          <w:rFonts w:ascii="宋体" w:hAnsi="宋体"/>
          <w:color w:val="auto"/>
          <w:szCs w:val="21"/>
        </w:rPr>
        <w:t>16.1 发包人违约</w:t>
      </w:r>
    </w:p>
    <w:p>
      <w:pPr>
        <w:spacing w:line="400" w:lineRule="exact"/>
        <w:ind w:firstLine="420" w:firstLineChars="200"/>
        <w:jc w:val="left"/>
        <w:rPr>
          <w:rFonts w:ascii="宋体" w:hAnsi="宋体"/>
          <w:color w:val="auto"/>
          <w:szCs w:val="21"/>
        </w:rPr>
      </w:pPr>
      <w:r>
        <w:rPr>
          <w:rFonts w:ascii="宋体" w:hAnsi="宋体"/>
          <w:color w:val="auto"/>
          <w:szCs w:val="21"/>
        </w:rPr>
        <w:t>16.1.1发包人违约的情形</w:t>
      </w:r>
    </w:p>
    <w:p>
      <w:pPr>
        <w:spacing w:line="400" w:lineRule="exact"/>
        <w:ind w:left="1050" w:hanging="1050" w:hangingChars="500"/>
        <w:jc w:val="left"/>
        <w:rPr>
          <w:rFonts w:hint="eastAsia" w:ascii="宋体" w:hAnsi="宋体"/>
          <w:color w:val="auto"/>
          <w:szCs w:val="21"/>
        </w:rPr>
      </w:pPr>
      <w:r>
        <w:rPr>
          <w:rFonts w:ascii="宋体" w:hAnsi="宋体"/>
          <w:color w:val="auto"/>
          <w:szCs w:val="21"/>
        </w:rPr>
        <w:t>发包人违约的其他情形：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left="1050" w:hanging="1050" w:hangingChars="500"/>
        <w:jc w:val="left"/>
        <w:rPr>
          <w:rFonts w:ascii="宋体" w:hAnsi="宋体"/>
          <w:color w:val="auto"/>
          <w:szCs w:val="21"/>
        </w:rPr>
      </w:pPr>
      <w:r>
        <w:rPr>
          <w:rFonts w:ascii="宋体" w:hAnsi="宋体"/>
          <w:color w:val="auto"/>
          <w:szCs w:val="21"/>
        </w:rPr>
        <w:t xml:space="preserve">    16.1.2 发包人违约的责任</w:t>
      </w:r>
    </w:p>
    <w:p>
      <w:pPr>
        <w:spacing w:line="400" w:lineRule="exact"/>
        <w:ind w:firstLine="420" w:firstLineChars="200"/>
        <w:jc w:val="left"/>
        <w:rPr>
          <w:rFonts w:ascii="宋体" w:hAnsi="宋体"/>
          <w:color w:val="auto"/>
          <w:szCs w:val="21"/>
        </w:rPr>
      </w:pPr>
      <w:r>
        <w:rPr>
          <w:rFonts w:ascii="宋体" w:hAnsi="宋体"/>
          <w:color w:val="auto"/>
          <w:szCs w:val="21"/>
        </w:rPr>
        <w:t>发包人违约责任的承担方式和计算方法：</w:t>
      </w:r>
    </w:p>
    <w:p>
      <w:pPr>
        <w:spacing w:line="400" w:lineRule="exact"/>
        <w:ind w:firstLine="420" w:firstLineChars="200"/>
        <w:jc w:val="left"/>
        <w:rPr>
          <w:rFonts w:ascii="宋体" w:hAnsi="宋体"/>
          <w:color w:val="auto"/>
          <w:szCs w:val="21"/>
          <w:u w:val="single"/>
        </w:rPr>
      </w:pPr>
      <w:r>
        <w:rPr>
          <w:rFonts w:ascii="宋体" w:hAnsi="宋体"/>
          <w:color w:val="auto"/>
          <w:szCs w:val="21"/>
        </w:rPr>
        <w:t>（1）因发包人原因未能在计划开工日期前7天内下达开工通知的违约责任：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（2）因发包人原因未能按合同约定支付合同价款的违约责任：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（3）发包人违反第10.1款</w:t>
      </w:r>
      <w:r>
        <w:rPr>
          <w:rFonts w:hint="eastAsia" w:ascii="宋体" w:hAnsi="宋体"/>
          <w:color w:val="auto"/>
          <w:szCs w:val="21"/>
        </w:rPr>
        <w:t>〔</w:t>
      </w:r>
      <w:r>
        <w:rPr>
          <w:rFonts w:ascii="宋体" w:hAnsi="宋体"/>
          <w:color w:val="auto"/>
          <w:szCs w:val="21"/>
        </w:rPr>
        <w:t>变更的范围</w:t>
      </w:r>
      <w:r>
        <w:rPr>
          <w:rFonts w:hint="eastAsia" w:ascii="宋体" w:hAnsi="宋体"/>
          <w:color w:val="auto"/>
          <w:szCs w:val="21"/>
        </w:rPr>
        <w:t>〕</w:t>
      </w:r>
      <w:r>
        <w:rPr>
          <w:rFonts w:ascii="宋体" w:hAnsi="宋体"/>
          <w:color w:val="auto"/>
          <w:szCs w:val="21"/>
        </w:rPr>
        <w:t xml:space="preserve">第（2）项约定，自行实施被取消的工作或转由他人实施的违约责任：      </w:t>
      </w:r>
      <w:r>
        <w:rPr>
          <w:rFonts w:hint="eastAsia" w:ascii="宋体" w:hAnsi="宋体"/>
          <w:color w:val="auto"/>
          <w:szCs w:val="21"/>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（4）发包人提供的材料、工程设备的规格、数量或质量不符合合同约定，或因发包人原因导致交货日期延误或交货地点变更等情况的违约责任：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（5）因发包人违反合同约定造成暂停施工的违约责任：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（6）发包人无正当理由没有在约定期限内发出复工指示，导致承包人无法复工的违约责任：</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其他：</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16.1.3 因发包人违约解除合同</w:t>
      </w:r>
    </w:p>
    <w:p>
      <w:pPr>
        <w:autoSpaceDE w:val="0"/>
        <w:autoSpaceDN w:val="0"/>
        <w:adjustRightInd w:val="0"/>
        <w:spacing w:line="400" w:lineRule="exact"/>
        <w:ind w:firstLine="420" w:firstLineChars="200"/>
        <w:jc w:val="left"/>
        <w:rPr>
          <w:rFonts w:hint="eastAsia" w:ascii="宋体" w:hAnsi="宋体"/>
          <w:color w:val="auto"/>
          <w:szCs w:val="21"/>
        </w:rPr>
      </w:pPr>
      <w:r>
        <w:rPr>
          <w:rFonts w:ascii="宋体" w:hAnsi="宋体"/>
          <w:color w:val="auto"/>
          <w:szCs w:val="21"/>
        </w:rPr>
        <w:t>承包人按16.1.1项</w:t>
      </w:r>
      <w:r>
        <w:rPr>
          <w:rFonts w:hint="eastAsia" w:ascii="宋体" w:hAnsi="宋体"/>
          <w:color w:val="auto"/>
          <w:szCs w:val="21"/>
        </w:rPr>
        <w:t>〔</w:t>
      </w:r>
      <w:r>
        <w:rPr>
          <w:rFonts w:ascii="宋体" w:hAnsi="宋体"/>
          <w:color w:val="auto"/>
          <w:szCs w:val="21"/>
        </w:rPr>
        <w:t>发包人违约的情形</w:t>
      </w:r>
      <w:r>
        <w:rPr>
          <w:rFonts w:hint="eastAsia" w:ascii="宋体" w:hAnsi="宋体"/>
          <w:color w:val="auto"/>
          <w:szCs w:val="21"/>
        </w:rPr>
        <w:t>〕</w:t>
      </w:r>
      <w:r>
        <w:rPr>
          <w:rFonts w:ascii="宋体" w:hAnsi="宋体"/>
          <w:color w:val="auto"/>
          <w:szCs w:val="21"/>
        </w:rPr>
        <w:t>约定暂停施工满</w:t>
      </w:r>
      <w:r>
        <w:rPr>
          <w:rFonts w:ascii="宋体" w:hAnsi="宋体"/>
          <w:color w:val="auto"/>
          <w:szCs w:val="21"/>
          <w:u w:val="single"/>
        </w:rPr>
        <w:t xml:space="preserve">    </w:t>
      </w:r>
      <w:r>
        <w:rPr>
          <w:rFonts w:ascii="宋体" w:hAnsi="宋体"/>
          <w:color w:val="auto"/>
          <w:szCs w:val="21"/>
        </w:rPr>
        <w:t>天后发包人仍不纠正其违约行为并致使合同目的不能实现的，承包人有权解除合同。</w:t>
      </w:r>
    </w:p>
    <w:p>
      <w:pPr>
        <w:spacing w:after="120" w:line="400" w:lineRule="exact"/>
        <w:ind w:firstLine="420" w:firstLineChars="200"/>
        <w:rPr>
          <w:rFonts w:ascii="宋体" w:hAnsi="宋体"/>
          <w:color w:val="auto"/>
          <w:szCs w:val="21"/>
        </w:rPr>
      </w:pPr>
      <w:r>
        <w:rPr>
          <w:rFonts w:ascii="宋体" w:hAnsi="宋体"/>
          <w:color w:val="auto"/>
          <w:szCs w:val="21"/>
        </w:rPr>
        <w:t>16.2 承包人违约</w:t>
      </w:r>
    </w:p>
    <w:p>
      <w:pPr>
        <w:spacing w:line="400" w:lineRule="exact"/>
        <w:ind w:firstLine="420" w:firstLineChars="200"/>
        <w:jc w:val="left"/>
        <w:rPr>
          <w:rFonts w:ascii="宋体" w:hAnsi="宋体"/>
          <w:color w:val="auto"/>
          <w:szCs w:val="21"/>
        </w:rPr>
      </w:pPr>
      <w:r>
        <w:rPr>
          <w:rFonts w:ascii="宋体" w:hAnsi="宋体"/>
          <w:color w:val="auto"/>
          <w:szCs w:val="21"/>
        </w:rPr>
        <w:t>16.2.1 承包人违约的情形</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承包人违约的其他情形：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16.2.2承包人违约的责任</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rPr>
        <w:t>承包人违约责任的承担方式和计算方法：</w:t>
      </w:r>
      <w:r>
        <w:rPr>
          <w:rFonts w:ascii="宋体" w:hAnsi="宋体"/>
          <w:color w:val="auto"/>
          <w:szCs w:val="21"/>
          <w:u w:val="single"/>
        </w:rPr>
        <w:t xml:space="preserve">                               </w:t>
      </w:r>
      <w:r>
        <w:rPr>
          <w:rFonts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16.2.3 因承包人违约解除合同</w:t>
      </w:r>
    </w:p>
    <w:p>
      <w:pPr>
        <w:autoSpaceDE w:val="0"/>
        <w:autoSpaceDN w:val="0"/>
        <w:adjustRightInd w:val="0"/>
        <w:spacing w:line="400" w:lineRule="exact"/>
        <w:ind w:firstLine="420" w:firstLineChars="200"/>
        <w:jc w:val="left"/>
        <w:rPr>
          <w:rFonts w:hint="eastAsia" w:ascii="宋体" w:hAnsi="宋体"/>
          <w:color w:val="auto"/>
          <w:szCs w:val="21"/>
        </w:rPr>
      </w:pPr>
      <w:r>
        <w:rPr>
          <w:rFonts w:ascii="宋体" w:hAnsi="宋体"/>
          <w:color w:val="auto"/>
          <w:szCs w:val="21"/>
        </w:rPr>
        <w:t>关于承包人违约解除合同的特别约定：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发包人</w:t>
      </w:r>
      <w:r>
        <w:rPr>
          <w:rFonts w:hint="eastAsia" w:ascii="宋体" w:hAnsi="宋体"/>
          <w:color w:val="auto"/>
          <w:szCs w:val="21"/>
        </w:rPr>
        <w:t>继续</w:t>
      </w:r>
      <w:r>
        <w:rPr>
          <w:rFonts w:ascii="宋体" w:hAnsi="宋体"/>
          <w:color w:val="auto"/>
          <w:szCs w:val="21"/>
        </w:rPr>
        <w:t>使用承包人在施工现场的材料、设备、临时工程、承包人文件和由承包人或以其名义编制的其他文件</w:t>
      </w:r>
      <w:r>
        <w:rPr>
          <w:rFonts w:hint="eastAsia" w:ascii="宋体" w:hAnsi="宋体"/>
          <w:color w:val="auto"/>
          <w:szCs w:val="21"/>
        </w:rPr>
        <w:t>的费用承担方式</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pStyle w:val="6"/>
        <w:spacing w:before="120" w:after="120" w:line="400" w:lineRule="exact"/>
        <w:rPr>
          <w:rFonts w:ascii="宋体" w:hAnsi="宋体" w:eastAsia="宋体"/>
          <w:b w:val="0"/>
          <w:color w:val="auto"/>
          <w:sz w:val="21"/>
          <w:szCs w:val="21"/>
        </w:rPr>
      </w:pPr>
      <w:bookmarkStart w:id="617" w:name="_Toc351203649"/>
      <w:r>
        <w:rPr>
          <w:rFonts w:ascii="宋体" w:hAnsi="宋体" w:eastAsia="宋体"/>
          <w:b w:val="0"/>
          <w:color w:val="auto"/>
          <w:sz w:val="21"/>
          <w:szCs w:val="21"/>
        </w:rPr>
        <w:t>17. 不可抗力</w:t>
      </w:r>
      <w:bookmarkEnd w:id="617"/>
      <w:r>
        <w:rPr>
          <w:rFonts w:ascii="宋体" w:hAnsi="宋体" w:eastAsia="宋体"/>
          <w:b w:val="0"/>
          <w:color w:val="auto"/>
          <w:sz w:val="21"/>
          <w:szCs w:val="21"/>
        </w:rPr>
        <w:t xml:space="preserve"> </w:t>
      </w:r>
      <w:bookmarkEnd w:id="615"/>
    </w:p>
    <w:p>
      <w:pPr>
        <w:spacing w:after="120" w:line="400" w:lineRule="exact"/>
        <w:ind w:firstLine="420" w:firstLineChars="200"/>
        <w:rPr>
          <w:rFonts w:ascii="宋体" w:hAnsi="宋体"/>
          <w:color w:val="auto"/>
          <w:szCs w:val="21"/>
        </w:rPr>
      </w:pPr>
      <w:r>
        <w:rPr>
          <w:rFonts w:ascii="宋体" w:hAnsi="宋体"/>
          <w:color w:val="auto"/>
          <w:szCs w:val="21"/>
        </w:rPr>
        <w:t>17.1 不可抗力的确认</w:t>
      </w:r>
    </w:p>
    <w:p>
      <w:pPr>
        <w:spacing w:line="400" w:lineRule="exact"/>
        <w:ind w:firstLine="420" w:firstLineChars="200"/>
        <w:jc w:val="left"/>
        <w:rPr>
          <w:rFonts w:ascii="宋体" w:hAnsi="宋体"/>
          <w:color w:val="auto"/>
          <w:szCs w:val="21"/>
          <w:u w:val="single"/>
        </w:rPr>
      </w:pPr>
      <w:r>
        <w:rPr>
          <w:rFonts w:ascii="宋体" w:hAnsi="宋体"/>
          <w:color w:val="auto"/>
          <w:szCs w:val="21"/>
        </w:rPr>
        <w:t xml:space="preserve">除通用合同条款约定的不可抗力事件之外，视为不可抗力的其他情形：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17.4 因不可抗力解除合同</w:t>
      </w:r>
    </w:p>
    <w:p>
      <w:pPr>
        <w:spacing w:line="400" w:lineRule="exact"/>
        <w:ind w:firstLine="420" w:firstLineChars="200"/>
        <w:jc w:val="left"/>
        <w:rPr>
          <w:rFonts w:hint="eastAsia" w:ascii="宋体" w:hAnsi="宋体"/>
          <w:color w:val="auto"/>
          <w:szCs w:val="21"/>
        </w:rPr>
      </w:pPr>
      <w:r>
        <w:rPr>
          <w:rFonts w:ascii="宋体" w:hAnsi="宋体"/>
          <w:color w:val="auto"/>
          <w:szCs w:val="21"/>
        </w:rPr>
        <w:t>合同解除后，发包人应在商定或确定发包人应支付款项后</w:t>
      </w:r>
      <w:r>
        <w:rPr>
          <w:rFonts w:ascii="宋体" w:hAnsi="宋体"/>
          <w:color w:val="auto"/>
          <w:szCs w:val="21"/>
          <w:u w:val="single"/>
        </w:rPr>
        <w:t xml:space="preserve">    </w:t>
      </w:r>
      <w:r>
        <w:rPr>
          <w:rFonts w:ascii="宋体" w:hAnsi="宋体"/>
          <w:color w:val="auto"/>
          <w:szCs w:val="21"/>
        </w:rPr>
        <w:t>天内完成款项的支付。</w:t>
      </w:r>
    </w:p>
    <w:p>
      <w:pPr>
        <w:pStyle w:val="6"/>
        <w:spacing w:before="120" w:after="120" w:line="400" w:lineRule="exact"/>
        <w:rPr>
          <w:rFonts w:ascii="宋体" w:hAnsi="宋体" w:eastAsia="宋体"/>
          <w:b w:val="0"/>
          <w:color w:val="auto"/>
          <w:sz w:val="21"/>
          <w:szCs w:val="21"/>
        </w:rPr>
      </w:pPr>
      <w:bookmarkStart w:id="618" w:name="_Toc351203650"/>
      <w:r>
        <w:rPr>
          <w:rFonts w:ascii="宋体" w:hAnsi="宋体" w:eastAsia="宋体"/>
          <w:b w:val="0"/>
          <w:color w:val="auto"/>
          <w:sz w:val="21"/>
          <w:szCs w:val="21"/>
        </w:rPr>
        <w:t>18. 保险</w:t>
      </w:r>
      <w:bookmarkEnd w:id="618"/>
    </w:p>
    <w:bookmarkEnd w:id="616"/>
    <w:p>
      <w:pPr>
        <w:spacing w:after="120" w:line="400" w:lineRule="exact"/>
        <w:ind w:firstLine="420" w:firstLineChars="200"/>
        <w:rPr>
          <w:rFonts w:ascii="宋体" w:hAnsi="宋体"/>
          <w:color w:val="auto"/>
          <w:szCs w:val="21"/>
        </w:rPr>
      </w:pPr>
      <w:r>
        <w:rPr>
          <w:rFonts w:ascii="宋体" w:hAnsi="宋体"/>
          <w:color w:val="auto"/>
          <w:szCs w:val="21"/>
        </w:rPr>
        <w:t>18.1 工程保险</w:t>
      </w:r>
    </w:p>
    <w:p>
      <w:pPr>
        <w:spacing w:line="400" w:lineRule="exact"/>
        <w:ind w:firstLine="420" w:firstLineChars="200"/>
        <w:jc w:val="left"/>
        <w:rPr>
          <w:rFonts w:ascii="宋体" w:hAnsi="宋体"/>
          <w:color w:val="auto"/>
          <w:szCs w:val="21"/>
        </w:rPr>
      </w:pPr>
      <w:r>
        <w:rPr>
          <w:rFonts w:ascii="宋体" w:hAnsi="宋体"/>
          <w:color w:val="auto"/>
          <w:szCs w:val="21"/>
        </w:rPr>
        <w:t>关于工程保险的特别约定：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18.3 其他保险</w:t>
      </w:r>
    </w:p>
    <w:p>
      <w:pPr>
        <w:spacing w:line="400" w:lineRule="exact"/>
        <w:ind w:firstLine="420" w:firstLineChars="200"/>
        <w:jc w:val="left"/>
        <w:rPr>
          <w:rFonts w:ascii="宋体" w:hAnsi="宋体"/>
          <w:color w:val="auto"/>
          <w:szCs w:val="21"/>
        </w:rPr>
      </w:pPr>
      <w:r>
        <w:rPr>
          <w:rFonts w:ascii="宋体" w:hAnsi="宋体"/>
          <w:color w:val="auto"/>
          <w:szCs w:val="21"/>
        </w:rPr>
        <w:t>关于其他保险的约定：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承包人是否应为其施工设备等办理财产保险：</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ascii="宋体" w:hAnsi="宋体"/>
          <w:color w:val="auto"/>
          <w:szCs w:val="21"/>
        </w:rPr>
      </w:pPr>
      <w:r>
        <w:rPr>
          <w:rFonts w:ascii="宋体" w:hAnsi="宋体"/>
          <w:color w:val="auto"/>
          <w:szCs w:val="21"/>
        </w:rPr>
        <w:t>18.7 通知义务</w:t>
      </w:r>
    </w:p>
    <w:p>
      <w:pPr>
        <w:spacing w:line="400" w:lineRule="exact"/>
        <w:ind w:firstLine="420" w:firstLineChars="200"/>
        <w:jc w:val="left"/>
        <w:rPr>
          <w:rFonts w:ascii="宋体" w:hAnsi="宋体"/>
          <w:color w:val="auto"/>
          <w:szCs w:val="21"/>
        </w:rPr>
      </w:pPr>
      <w:r>
        <w:rPr>
          <w:rFonts w:ascii="宋体" w:hAnsi="宋体"/>
          <w:color w:val="auto"/>
          <w:szCs w:val="21"/>
        </w:rPr>
        <w:t>关于变更保险合同时的通知义务的约定：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92"/>
    <w:bookmarkEnd w:id="593"/>
    <w:bookmarkEnd w:id="594"/>
    <w:bookmarkEnd w:id="595"/>
    <w:bookmarkEnd w:id="596"/>
    <w:bookmarkEnd w:id="597"/>
    <w:bookmarkEnd w:id="598"/>
    <w:bookmarkEnd w:id="599"/>
    <w:bookmarkEnd w:id="600"/>
    <w:bookmarkEnd w:id="601"/>
    <w:bookmarkEnd w:id="602"/>
    <w:bookmarkEnd w:id="603"/>
    <w:p>
      <w:pPr>
        <w:pStyle w:val="6"/>
        <w:spacing w:before="120" w:after="120" w:line="400" w:lineRule="exact"/>
        <w:rPr>
          <w:rFonts w:ascii="宋体" w:hAnsi="宋体" w:eastAsia="宋体"/>
          <w:b w:val="0"/>
          <w:color w:val="auto"/>
          <w:sz w:val="21"/>
          <w:szCs w:val="21"/>
        </w:rPr>
      </w:pPr>
      <w:bookmarkStart w:id="619" w:name="_Toc351203651"/>
      <w:r>
        <w:rPr>
          <w:rFonts w:ascii="宋体" w:hAnsi="宋体" w:eastAsia="宋体"/>
          <w:b w:val="0"/>
          <w:color w:val="auto"/>
          <w:sz w:val="21"/>
          <w:szCs w:val="21"/>
        </w:rPr>
        <w:t>20. 争议解决</w:t>
      </w:r>
      <w:bookmarkEnd w:id="619"/>
    </w:p>
    <w:bookmarkEnd w:id="604"/>
    <w:bookmarkEnd w:id="605"/>
    <w:p>
      <w:pPr>
        <w:spacing w:after="120" w:line="400" w:lineRule="exact"/>
        <w:ind w:firstLine="420" w:firstLineChars="200"/>
        <w:rPr>
          <w:rFonts w:ascii="宋体" w:hAnsi="宋体"/>
          <w:color w:val="auto"/>
          <w:szCs w:val="21"/>
        </w:rPr>
      </w:pPr>
      <w:r>
        <w:rPr>
          <w:rFonts w:ascii="宋体" w:hAnsi="宋体"/>
          <w:color w:val="auto"/>
          <w:szCs w:val="21"/>
        </w:rPr>
        <w:t>20.3 争</w:t>
      </w:r>
      <w:bookmarkEnd w:id="606"/>
      <w:r>
        <w:rPr>
          <w:rFonts w:ascii="宋体" w:hAnsi="宋体"/>
          <w:color w:val="auto"/>
          <w:szCs w:val="21"/>
        </w:rPr>
        <w:t>议评审</w:t>
      </w:r>
    </w:p>
    <w:p>
      <w:pPr>
        <w:spacing w:line="400" w:lineRule="exact"/>
        <w:ind w:firstLine="420" w:firstLineChars="200"/>
        <w:jc w:val="left"/>
        <w:rPr>
          <w:rFonts w:ascii="宋体" w:hAnsi="宋体"/>
          <w:color w:val="auto"/>
          <w:szCs w:val="21"/>
        </w:rPr>
      </w:pPr>
      <w:r>
        <w:rPr>
          <w:rFonts w:ascii="宋体" w:hAnsi="宋体"/>
          <w:color w:val="auto"/>
          <w:szCs w:val="21"/>
        </w:rPr>
        <w:t>合同当事人是否同意将工程争议提交争议评审小组决</w:t>
      </w:r>
      <w:r>
        <w:rPr>
          <w:rFonts w:hint="eastAsia" w:ascii="宋体" w:hAnsi="宋体"/>
          <w:color w:val="auto"/>
          <w:szCs w:val="21"/>
        </w:rPr>
        <w:t>定：</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20.3.1 争议评审小组的确定</w:t>
      </w:r>
    </w:p>
    <w:p>
      <w:pPr>
        <w:spacing w:line="400" w:lineRule="exact"/>
        <w:ind w:firstLine="420" w:firstLineChars="200"/>
        <w:jc w:val="left"/>
        <w:rPr>
          <w:rFonts w:ascii="宋体" w:hAnsi="宋体"/>
          <w:color w:val="auto"/>
          <w:szCs w:val="21"/>
          <w:u w:val="single"/>
        </w:rPr>
      </w:pPr>
      <w:r>
        <w:rPr>
          <w:rFonts w:ascii="宋体" w:hAnsi="宋体"/>
          <w:color w:val="auto"/>
          <w:szCs w:val="21"/>
        </w:rPr>
        <w:t>争议评审小组成员的确定：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选定争议评审员的期限：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争议评审小组成员的报酬承担方式：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其他事项的约定：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20.3.2 争议评审小组的决定</w:t>
      </w:r>
    </w:p>
    <w:p>
      <w:pPr>
        <w:spacing w:line="400" w:lineRule="exact"/>
        <w:ind w:firstLine="420" w:firstLineChars="200"/>
        <w:jc w:val="left"/>
        <w:rPr>
          <w:rFonts w:ascii="宋体" w:hAnsi="宋体"/>
          <w:color w:val="auto"/>
          <w:szCs w:val="21"/>
        </w:rPr>
      </w:pPr>
      <w:r>
        <w:rPr>
          <w:rFonts w:ascii="宋体" w:hAnsi="宋体"/>
          <w:color w:val="auto"/>
          <w:szCs w:val="21"/>
        </w:rPr>
        <w:t>合同当事人关于本项的约定：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00" w:lineRule="exact"/>
        <w:ind w:firstLine="420" w:firstLineChars="200"/>
        <w:rPr>
          <w:rFonts w:hint="eastAsia" w:ascii="宋体" w:hAnsi="宋体"/>
          <w:color w:val="auto"/>
          <w:szCs w:val="21"/>
        </w:rPr>
      </w:pPr>
      <w:r>
        <w:rPr>
          <w:rFonts w:ascii="宋体" w:hAnsi="宋体"/>
          <w:color w:val="auto"/>
          <w:szCs w:val="21"/>
        </w:rPr>
        <w:t>20.4仲裁或诉讼</w:t>
      </w:r>
      <w:bookmarkEnd w:id="607"/>
    </w:p>
    <w:p>
      <w:pPr>
        <w:spacing w:after="120" w:line="400" w:lineRule="exact"/>
        <w:ind w:firstLine="420" w:firstLineChars="200"/>
        <w:rPr>
          <w:rFonts w:ascii="宋体" w:hAnsi="宋体"/>
          <w:color w:val="auto"/>
          <w:szCs w:val="21"/>
        </w:rPr>
      </w:pPr>
      <w:r>
        <w:rPr>
          <w:rFonts w:ascii="宋体" w:hAnsi="宋体"/>
          <w:color w:val="auto"/>
          <w:szCs w:val="21"/>
        </w:rPr>
        <w:t>因合同及合同有关事项发生的争议，按下列第</w:t>
      </w:r>
      <w:r>
        <w:rPr>
          <w:rFonts w:ascii="宋体" w:hAnsi="宋体"/>
          <w:color w:val="auto"/>
          <w:szCs w:val="21"/>
          <w:u w:val="single"/>
        </w:rPr>
        <w:t xml:space="preserve">     </w:t>
      </w:r>
      <w:r>
        <w:rPr>
          <w:rFonts w:ascii="宋体" w:hAnsi="宋体"/>
          <w:color w:val="auto"/>
          <w:szCs w:val="21"/>
        </w:rPr>
        <w:t>种方式</w:t>
      </w:r>
      <w:r>
        <w:rPr>
          <w:rFonts w:hint="eastAsia" w:ascii="宋体" w:hAnsi="宋体"/>
          <w:color w:val="auto"/>
          <w:szCs w:val="21"/>
        </w:rPr>
        <w:t>解</w:t>
      </w:r>
      <w:r>
        <w:rPr>
          <w:rFonts w:ascii="宋体" w:hAnsi="宋体"/>
          <w:color w:val="auto"/>
          <w:szCs w:val="21"/>
        </w:rPr>
        <w:t>决：</w:t>
      </w:r>
    </w:p>
    <w:p>
      <w:pPr>
        <w:spacing w:line="400" w:lineRule="exact"/>
        <w:ind w:firstLine="420" w:firstLineChars="200"/>
        <w:jc w:val="lef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pPr>
        <w:spacing w:line="400" w:lineRule="exact"/>
        <w:ind w:firstLine="420" w:firstLineChars="200"/>
        <w:jc w:val="left"/>
        <w:rPr>
          <w:rFonts w:hint="eastAsia"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ascii="宋体" w:hAnsi="宋体"/>
          <w:color w:val="auto"/>
          <w:szCs w:val="21"/>
        </w:rPr>
        <w:t>人民法院起诉。</w:t>
      </w:r>
      <w:bookmarkEnd w:id="608"/>
      <w:bookmarkEnd w:id="609"/>
      <w:bookmarkEnd w:id="610"/>
      <w:bookmarkEnd w:id="611"/>
      <w:bookmarkEnd w:id="612"/>
      <w:bookmarkEnd w:id="613"/>
    </w:p>
    <w:p>
      <w:pPr>
        <w:spacing w:line="440" w:lineRule="exact"/>
        <w:rPr>
          <w:rFonts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spacing w:line="440" w:lineRule="exact"/>
        <w:rPr>
          <w:rFonts w:hint="eastAsia" w:ascii="宋体" w:hAnsi="宋体"/>
          <w:color w:val="auto"/>
          <w:sz w:val="24"/>
          <w:szCs w:val="24"/>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jc w:val="center"/>
        <w:outlineLvl w:val="0"/>
        <w:rPr>
          <w:rFonts w:hint="eastAsia" w:ascii="宋体" w:hAnsi="宋体" w:eastAsia="宋体" w:cs="宋体"/>
          <w:b/>
          <w:bCs/>
          <w:color w:val="auto"/>
          <w:sz w:val="48"/>
          <w:szCs w:val="48"/>
          <w:highlight w:val="none"/>
          <w:lang w:val="en-US" w:eastAsia="zh-CN"/>
        </w:rPr>
      </w:pPr>
      <w:bookmarkStart w:id="620" w:name="_Toc27810"/>
      <w:bookmarkStart w:id="621" w:name="_Toc20178"/>
      <w:bookmarkStart w:id="622" w:name="_Toc13544"/>
      <w:r>
        <w:rPr>
          <w:rFonts w:hint="eastAsia" w:ascii="宋体" w:hAnsi="宋体" w:eastAsia="宋体" w:cs="宋体"/>
          <w:b/>
          <w:bCs/>
          <w:color w:val="auto"/>
          <w:sz w:val="48"/>
          <w:szCs w:val="48"/>
          <w:highlight w:val="none"/>
          <w:lang w:val="en-US" w:eastAsia="zh-CN"/>
        </w:rPr>
        <w:t>第五章 工程量清单</w:t>
      </w:r>
      <w:bookmarkEnd w:id="620"/>
      <w:bookmarkEnd w:id="621"/>
      <w:bookmarkEnd w:id="622"/>
    </w:p>
    <w:p>
      <w:pPr>
        <w:outlineLvl w:val="9"/>
        <w:rPr>
          <w:rFonts w:hint="eastAsia" w:ascii="宋体" w:hAnsi="宋体" w:eastAsia="宋体" w:cs="宋体"/>
          <w:color w:val="auto"/>
          <w:sz w:val="21"/>
          <w:szCs w:val="21"/>
          <w:highlight w:val="none"/>
          <w:lang w:val="en-US" w:eastAsia="zh-CN"/>
        </w:rPr>
      </w:pPr>
    </w:p>
    <w:p>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1、工程量清单应与投标须知、合同协议条款、合同的通用条款、合同专用条款、技术规范及图纸等文件一起结合使用。</w:t>
      </w:r>
    </w:p>
    <w:p>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2、工程量清单中所列工程量系发包人按照现有图纸及有关资料依据建设行政主管部门所颁布的计量规则计算的，它是招标文件的组成部分，作为投标报价的共同基础。</w:t>
      </w:r>
    </w:p>
    <w:p>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3、对工程和材料的一般指示或说明已写于合同文件、图纸和技术规范内。给工程量清单各细目标价前，须参阅合同文件和技术规范的有关部分。</w:t>
      </w:r>
    </w:p>
    <w:p>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4、按格式要求盖章并签字。</w:t>
      </w:r>
    </w:p>
    <w:p>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5、所有报价应以人民币表示。</w:t>
      </w:r>
    </w:p>
    <w:p>
      <w:pPr>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6、工程量清单另册发放。</w:t>
      </w: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9"/>
        <w:rPr>
          <w:rFonts w:hint="eastAsia" w:ascii="宋体" w:hAnsi="宋体" w:eastAsia="宋体" w:cs="宋体"/>
          <w:color w:val="auto"/>
          <w:sz w:val="21"/>
          <w:szCs w:val="21"/>
          <w:highlight w:val="none"/>
          <w:lang w:val="en-US" w:eastAsia="zh-CN"/>
        </w:rPr>
      </w:pPr>
    </w:p>
    <w:p>
      <w:pPr>
        <w:pStyle w:val="2"/>
        <w:outlineLvl w:val="0"/>
        <w:rPr>
          <w:rFonts w:hint="eastAsia" w:ascii="宋体" w:hAnsi="宋体" w:eastAsia="宋体" w:cs="宋体"/>
          <w:color w:val="auto"/>
          <w:sz w:val="21"/>
          <w:szCs w:val="21"/>
          <w:highlight w:val="none"/>
          <w:lang w:val="en-US" w:eastAsia="zh-CN"/>
        </w:rPr>
      </w:pPr>
    </w:p>
    <w:p>
      <w:pPr>
        <w:jc w:val="center"/>
        <w:outlineLvl w:val="0"/>
        <w:rPr>
          <w:rFonts w:hint="eastAsia" w:ascii="宋体" w:hAnsi="宋体" w:eastAsia="宋体" w:cs="宋体"/>
          <w:b/>
          <w:bCs/>
          <w:color w:val="auto"/>
          <w:sz w:val="52"/>
          <w:szCs w:val="52"/>
          <w:highlight w:val="none"/>
          <w:lang w:val="en-US" w:eastAsia="zh-CN"/>
        </w:rPr>
      </w:pPr>
      <w:bookmarkStart w:id="623" w:name="_Toc16379"/>
      <w:bookmarkStart w:id="624" w:name="_Toc27953"/>
      <w:bookmarkStart w:id="625" w:name="_Toc26162"/>
      <w:r>
        <w:rPr>
          <w:rFonts w:hint="eastAsia" w:ascii="宋体" w:hAnsi="宋体" w:eastAsia="宋体" w:cs="宋体"/>
          <w:b/>
          <w:bCs/>
          <w:color w:val="auto"/>
          <w:sz w:val="52"/>
          <w:szCs w:val="52"/>
          <w:highlight w:val="none"/>
          <w:lang w:val="en-US" w:eastAsia="zh-CN"/>
        </w:rPr>
        <w:t>第二卷</w:t>
      </w:r>
      <w:bookmarkEnd w:id="623"/>
      <w:bookmarkEnd w:id="624"/>
      <w:bookmarkEnd w:id="625"/>
    </w:p>
    <w:p>
      <w:pPr>
        <w:jc w:val="center"/>
        <w:outlineLvl w:val="9"/>
        <w:rPr>
          <w:rFonts w:hint="eastAsia" w:ascii="宋体" w:hAnsi="宋体" w:eastAsia="宋体" w:cs="宋体"/>
          <w:b/>
          <w:bCs/>
          <w:color w:val="auto"/>
          <w:sz w:val="52"/>
          <w:szCs w:val="52"/>
          <w:highlight w:val="none"/>
          <w:lang w:val="en-US" w:eastAsia="zh-CN"/>
        </w:rPr>
      </w:pPr>
    </w:p>
    <w:p>
      <w:pPr>
        <w:jc w:val="center"/>
        <w:outlineLvl w:val="0"/>
        <w:rPr>
          <w:rFonts w:hint="eastAsia" w:ascii="宋体" w:hAnsi="宋体" w:eastAsia="宋体" w:cs="宋体"/>
          <w:b/>
          <w:bCs/>
          <w:color w:val="auto"/>
          <w:sz w:val="52"/>
          <w:szCs w:val="52"/>
          <w:highlight w:val="none"/>
          <w:lang w:val="en-US" w:eastAsia="zh-CN"/>
        </w:rPr>
      </w:pPr>
      <w:bookmarkStart w:id="626" w:name="_Toc9742"/>
      <w:bookmarkStart w:id="627" w:name="_Toc20476"/>
      <w:bookmarkStart w:id="628" w:name="_Toc20770"/>
      <w:r>
        <w:rPr>
          <w:rFonts w:hint="eastAsia" w:ascii="宋体" w:hAnsi="宋体" w:eastAsia="宋体" w:cs="宋体"/>
          <w:b/>
          <w:bCs/>
          <w:color w:val="auto"/>
          <w:sz w:val="52"/>
          <w:szCs w:val="52"/>
          <w:highlight w:val="none"/>
          <w:lang w:val="en-US" w:eastAsia="zh-CN"/>
        </w:rPr>
        <w:t>第六章 图纸</w:t>
      </w:r>
      <w:bookmarkEnd w:id="626"/>
      <w:bookmarkEnd w:id="627"/>
      <w:bookmarkEnd w:id="628"/>
    </w:p>
    <w:p>
      <w:pPr>
        <w:jc w:val="center"/>
        <w:outlineLvl w:val="9"/>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（另册发放）</w:t>
      </w: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pStyle w:val="2"/>
        <w:outlineLvl w:val="9"/>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pStyle w:val="2"/>
        <w:jc w:val="center"/>
        <w:outlineLvl w:val="0"/>
        <w:rPr>
          <w:rFonts w:hint="eastAsia" w:ascii="宋体" w:hAnsi="宋体" w:eastAsia="宋体" w:cs="宋体"/>
          <w:b/>
          <w:bCs/>
          <w:color w:val="auto"/>
          <w:sz w:val="52"/>
          <w:szCs w:val="52"/>
          <w:highlight w:val="none"/>
          <w:lang w:val="en-US" w:eastAsia="zh-CN"/>
        </w:rPr>
      </w:pPr>
      <w:bookmarkStart w:id="629" w:name="_Toc16918"/>
      <w:bookmarkStart w:id="630" w:name="_Toc23340"/>
      <w:bookmarkStart w:id="631" w:name="_Toc28763"/>
      <w:r>
        <w:rPr>
          <w:rFonts w:hint="eastAsia" w:ascii="宋体" w:hAnsi="宋体" w:eastAsia="宋体" w:cs="宋体"/>
          <w:b/>
          <w:bCs/>
          <w:color w:val="auto"/>
          <w:sz w:val="52"/>
          <w:szCs w:val="52"/>
          <w:highlight w:val="none"/>
          <w:lang w:val="en-US" w:eastAsia="zh-CN"/>
        </w:rPr>
        <w:t>第三卷</w:t>
      </w:r>
      <w:bookmarkEnd w:id="629"/>
      <w:bookmarkEnd w:id="630"/>
      <w:bookmarkEnd w:id="631"/>
    </w:p>
    <w:p>
      <w:pPr>
        <w:pStyle w:val="2"/>
        <w:jc w:val="center"/>
        <w:outlineLvl w:val="9"/>
        <w:rPr>
          <w:rFonts w:hint="eastAsia" w:ascii="宋体" w:hAnsi="宋体" w:eastAsia="宋体" w:cs="宋体"/>
          <w:b/>
          <w:bCs/>
          <w:color w:val="auto"/>
          <w:sz w:val="52"/>
          <w:szCs w:val="52"/>
          <w:highlight w:val="none"/>
          <w:lang w:val="en-US" w:eastAsia="zh-CN"/>
        </w:rPr>
      </w:pPr>
    </w:p>
    <w:p>
      <w:pPr>
        <w:pStyle w:val="2"/>
        <w:jc w:val="center"/>
        <w:outlineLvl w:val="0"/>
        <w:rPr>
          <w:rFonts w:hint="eastAsia" w:ascii="宋体" w:hAnsi="宋体" w:eastAsia="宋体" w:cs="宋体"/>
          <w:b/>
          <w:bCs/>
          <w:color w:val="auto"/>
          <w:sz w:val="52"/>
          <w:szCs w:val="52"/>
          <w:highlight w:val="none"/>
          <w:lang w:val="en-US" w:eastAsia="zh-CN"/>
        </w:rPr>
      </w:pPr>
      <w:bookmarkStart w:id="632" w:name="_Toc11970"/>
      <w:bookmarkStart w:id="633" w:name="_Toc24522"/>
      <w:bookmarkStart w:id="634" w:name="_Toc7489"/>
      <w:r>
        <w:rPr>
          <w:rFonts w:hint="eastAsia" w:ascii="宋体" w:hAnsi="宋体" w:eastAsia="宋体" w:cs="宋体"/>
          <w:b/>
          <w:bCs/>
          <w:color w:val="auto"/>
          <w:sz w:val="52"/>
          <w:szCs w:val="52"/>
          <w:highlight w:val="none"/>
          <w:lang w:val="en-US" w:eastAsia="zh-CN"/>
        </w:rPr>
        <w:t>第七章 技术标准和要求</w:t>
      </w:r>
      <w:bookmarkEnd w:id="632"/>
      <w:bookmarkEnd w:id="633"/>
      <w:bookmarkEnd w:id="634"/>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本工程执行国家现行的水利工程施工及验收规范、市政房建工程施工及验收规范、验评标准及强制性标准条文、以及本项目施工图纸载明的其他有关规范标准。</w:t>
      </w: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0"/>
        <w:rPr>
          <w:rFonts w:hint="eastAsia" w:ascii="宋体" w:hAnsi="宋体" w:eastAsia="宋体" w:cs="宋体"/>
          <w:b/>
          <w:bCs/>
          <w:color w:val="auto"/>
          <w:sz w:val="21"/>
          <w:szCs w:val="21"/>
          <w:highlight w:val="none"/>
          <w:lang w:val="en-US" w:eastAsia="zh-CN"/>
        </w:rPr>
      </w:pPr>
    </w:p>
    <w:p>
      <w:pPr>
        <w:rPr>
          <w:b/>
          <w:color w:val="auto"/>
          <w:sz w:val="52"/>
          <w:highlight w:val="none"/>
        </w:rPr>
      </w:pPr>
      <w:bookmarkStart w:id="635" w:name="_Toc8281"/>
      <w:bookmarkStart w:id="636" w:name="_Toc8290"/>
      <w:r>
        <w:rPr>
          <w:b/>
          <w:color w:val="auto"/>
          <w:sz w:val="52"/>
          <w:highlight w:val="none"/>
        </w:rPr>
        <w:br w:type="page"/>
      </w:r>
    </w:p>
    <w:p>
      <w:pPr>
        <w:spacing w:before="17"/>
        <w:ind w:left="1123" w:right="1052" w:firstLine="0"/>
        <w:jc w:val="center"/>
        <w:outlineLvl w:val="0"/>
        <w:rPr>
          <w:b/>
          <w:color w:val="auto"/>
          <w:sz w:val="52"/>
          <w:highlight w:val="none"/>
        </w:rPr>
      </w:pPr>
      <w:bookmarkStart w:id="637" w:name="_Toc14034"/>
      <w:r>
        <w:rPr>
          <w:b/>
          <w:color w:val="auto"/>
          <w:sz w:val="52"/>
          <w:highlight w:val="none"/>
        </w:rPr>
        <w:t>第四卷</w:t>
      </w:r>
      <w:bookmarkEnd w:id="635"/>
      <w:bookmarkEnd w:id="636"/>
      <w:bookmarkEnd w:id="637"/>
    </w:p>
    <w:p>
      <w:pPr>
        <w:pStyle w:val="11"/>
        <w:spacing w:before="10"/>
        <w:outlineLvl w:val="9"/>
        <w:rPr>
          <w:b/>
          <w:color w:val="auto"/>
          <w:sz w:val="39"/>
          <w:highlight w:val="none"/>
        </w:rPr>
      </w:pPr>
    </w:p>
    <w:p>
      <w:pPr>
        <w:spacing w:before="0"/>
        <w:ind w:left="0" w:right="315" w:firstLine="0"/>
        <w:jc w:val="center"/>
        <w:outlineLvl w:val="0"/>
        <w:rPr>
          <w:b/>
          <w:color w:val="auto"/>
          <w:sz w:val="52"/>
          <w:highlight w:val="none"/>
        </w:rPr>
      </w:pPr>
      <w:bookmarkStart w:id="638" w:name="_bookmark11"/>
      <w:bookmarkEnd w:id="638"/>
      <w:bookmarkStart w:id="639" w:name="第八章 投标文件格式"/>
      <w:bookmarkEnd w:id="639"/>
      <w:bookmarkStart w:id="640" w:name="_Toc28827"/>
      <w:bookmarkStart w:id="641" w:name="_Toc30412"/>
      <w:bookmarkStart w:id="642" w:name="_Toc2439"/>
      <w:r>
        <w:rPr>
          <w:b/>
          <w:color w:val="auto"/>
          <w:sz w:val="52"/>
          <w:highlight w:val="none"/>
        </w:rPr>
        <w:t>第八章 投标文件格式</w:t>
      </w:r>
      <w:bookmarkEnd w:id="640"/>
      <w:bookmarkEnd w:id="641"/>
      <w:bookmarkEnd w:id="642"/>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pStyle w:val="2"/>
        <w:jc w:val="center"/>
        <w:outlineLvl w:val="9"/>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br w:type="page"/>
      </w:r>
    </w:p>
    <w:p>
      <w:pPr>
        <w:pStyle w:val="2"/>
        <w:jc w:val="center"/>
        <w:outlineLvl w:val="0"/>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3" w:name="_Toc27958"/>
      <w:bookmarkStart w:id="644" w:name="_Toc29339"/>
      <w:r>
        <w:rPr>
          <w:rFonts w:hint="eastAsia" w:ascii="宋体" w:hAnsi="宋体" w:eastAsia="宋体" w:cs="宋体"/>
          <w:b w:val="0"/>
          <w:bCs w:val="0"/>
          <w:color w:val="auto"/>
          <w:sz w:val="32"/>
          <w:szCs w:val="32"/>
          <w:highlight w:val="none"/>
          <w:u w:val="single"/>
          <w:lang w:val="en-US" w:eastAsia="zh-CN"/>
        </w:rPr>
        <w:t>（项目名称）</w:t>
      </w:r>
      <w:bookmarkEnd w:id="643"/>
      <w:bookmarkEnd w:id="644"/>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72"/>
          <w:szCs w:val="72"/>
          <w:highlight w:val="none"/>
          <w:lang w:val="en-US" w:eastAsia="zh-CN"/>
        </w:rPr>
      </w:pPr>
    </w:p>
    <w:p>
      <w:pPr>
        <w:pStyle w:val="2"/>
        <w:jc w:val="center"/>
        <w:outlineLvl w:val="9"/>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投</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件</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0"/>
        <w:rPr>
          <w:rFonts w:hint="eastAsia" w:ascii="宋体" w:hAnsi="宋体" w:eastAsia="宋体" w:cs="宋体"/>
          <w:b w:val="0"/>
          <w:bCs w:val="0"/>
          <w:color w:val="auto"/>
          <w:sz w:val="32"/>
          <w:szCs w:val="32"/>
          <w:highlight w:val="none"/>
          <w:lang w:val="en-US" w:eastAsia="zh-CN"/>
        </w:rPr>
      </w:pPr>
      <w:bookmarkStart w:id="645" w:name="_Toc1454"/>
      <w:bookmarkStart w:id="646" w:name="_Toc5489"/>
      <w:r>
        <w:rPr>
          <w:rFonts w:hint="eastAsia" w:ascii="宋体" w:hAnsi="宋体" w:eastAsia="宋体" w:cs="宋体"/>
          <w:b w:val="0"/>
          <w:bCs w:val="0"/>
          <w:color w:val="auto"/>
          <w:sz w:val="32"/>
          <w:szCs w:val="32"/>
          <w:highlight w:val="none"/>
          <w:lang w:val="en-US" w:eastAsia="zh-CN"/>
        </w:rPr>
        <w:t>项目编号：</w:t>
      </w:r>
      <w:bookmarkEnd w:id="645"/>
      <w:bookmarkEnd w:id="646"/>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ind w:leftChars="600"/>
        <w:jc w:val="left"/>
        <w:outlineLvl w:val="9"/>
        <w:rPr>
          <w:rFonts w:hint="default" w:ascii="宋体" w:hAnsi="宋体" w:eastAsia="宋体" w:cs="宋体"/>
          <w:b w:val="0"/>
          <w:bCs w:val="0"/>
          <w:color w:val="auto"/>
          <w:sz w:val="32"/>
          <w:szCs w:val="32"/>
          <w:highlight w:val="none"/>
          <w:u w:val="single"/>
          <w:lang w:val="en-US" w:eastAsia="zh-CN"/>
        </w:rPr>
      </w:pPr>
      <w:r>
        <w:rPr>
          <w:rFonts w:hint="eastAsia" w:ascii="宋体" w:hAnsi="宋体" w:eastAsia="宋体" w:cs="宋体"/>
          <w:b w:val="0"/>
          <w:bCs w:val="0"/>
          <w:color w:val="auto"/>
          <w:sz w:val="32"/>
          <w:szCs w:val="32"/>
          <w:highlight w:val="none"/>
          <w:lang w:val="en-US" w:eastAsia="zh-CN"/>
        </w:rPr>
        <w:t>投标内容</w:t>
      </w:r>
      <w:r>
        <w:rPr>
          <w:rFonts w:hint="eastAsia" w:ascii="宋体" w:hAnsi="宋体" w:cs="宋体"/>
          <w:b w:val="0"/>
          <w:bCs w:val="0"/>
          <w:color w:val="auto"/>
          <w:sz w:val="32"/>
          <w:szCs w:val="32"/>
          <w:highlight w:val="none"/>
          <w:lang w:val="en-US" w:eastAsia="zh-CN"/>
        </w:rPr>
        <w:t>：</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资格审查文件          </w:t>
      </w:r>
    </w:p>
    <w:p>
      <w:pPr>
        <w:pStyle w:val="2"/>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（盖单位公章）</w:t>
      </w:r>
    </w:p>
    <w:p>
      <w:pPr>
        <w:pStyle w:val="2"/>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法定代表人或其委托代理人：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（签字或盖章）</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7" w:name="_Toc19998"/>
      <w:bookmarkStart w:id="648" w:name="_Toc19882"/>
      <w:r>
        <w:rPr>
          <w:rFonts w:hint="eastAsia" w:ascii="宋体" w:hAnsi="宋体" w:eastAsia="宋体" w:cs="宋体"/>
          <w:b w:val="0"/>
          <w:bCs w:val="0"/>
          <w:color w:val="auto"/>
          <w:sz w:val="32"/>
          <w:szCs w:val="32"/>
          <w:highlight w:val="none"/>
          <w:lang w:val="en-US" w:eastAsia="zh-CN"/>
        </w:rPr>
        <w:t>年</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月</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日</w:t>
      </w:r>
      <w:bookmarkEnd w:id="647"/>
      <w:bookmarkEnd w:id="648"/>
    </w:p>
    <w:p>
      <w:pPr>
        <w:pStyle w:val="2"/>
        <w:jc w:val="center"/>
        <w:outlineLvl w:val="9"/>
        <w:rPr>
          <w:rFonts w:hint="eastAsia" w:ascii="宋体" w:hAnsi="宋体" w:eastAsia="宋体" w:cs="宋体"/>
          <w:b w:val="0"/>
          <w:bCs w:val="0"/>
          <w:color w:val="auto"/>
          <w:sz w:val="32"/>
          <w:szCs w:val="32"/>
          <w:highlight w:val="none"/>
          <w:lang w:val="en-US" w:eastAsia="zh-CN"/>
        </w:rPr>
      </w:pPr>
    </w:p>
    <w:p>
      <w:pPr>
        <w:jc w:val="center"/>
        <w:outlineLvl w:val="9"/>
        <w:rPr>
          <w:rFonts w:hint="eastAsia"/>
          <w:b/>
          <w:bCs/>
          <w:color w:val="auto"/>
          <w:sz w:val="28"/>
          <w:szCs w:val="36"/>
          <w:highlight w:val="none"/>
          <w:lang w:val="en-US" w:eastAsia="zh-CN"/>
        </w:rPr>
      </w:pPr>
    </w:p>
    <w:p>
      <w:pPr>
        <w:jc w:val="center"/>
        <w:outlineLvl w:val="9"/>
        <w:rPr>
          <w:rFonts w:hint="eastAsia"/>
          <w:b/>
          <w:bCs/>
          <w:color w:val="auto"/>
          <w:sz w:val="28"/>
          <w:szCs w:val="36"/>
          <w:highlight w:val="none"/>
          <w:lang w:val="en-US" w:eastAsia="zh-CN"/>
        </w:rPr>
      </w:pPr>
      <w:r>
        <w:rPr>
          <w:rFonts w:hint="eastAsia"/>
          <w:b/>
          <w:bCs/>
          <w:color w:val="auto"/>
          <w:sz w:val="28"/>
          <w:szCs w:val="36"/>
          <w:highlight w:val="none"/>
          <w:lang w:val="en-US" w:eastAsia="zh-CN"/>
        </w:rPr>
        <w:t>目录</w:t>
      </w:r>
    </w:p>
    <w:p>
      <w:pPr>
        <w:pStyle w:val="2"/>
        <w:outlineLvl w:val="9"/>
        <w:rPr>
          <w:rFonts w:hint="eastAsia"/>
          <w:color w:val="auto"/>
          <w:highlight w:val="none"/>
          <w:lang w:val="en-US" w:eastAsia="zh-CN"/>
        </w:rPr>
      </w:pPr>
    </w:p>
    <w:p>
      <w:pPr>
        <w:pStyle w:val="2"/>
        <w:jc w:val="center"/>
        <w:outlineLvl w:val="9"/>
        <w:rPr>
          <w:rFonts w:hint="eastAsia"/>
          <w:color w:val="auto"/>
          <w:highlight w:val="none"/>
          <w:lang w:val="en-US" w:eastAsia="zh-CN"/>
        </w:rPr>
      </w:pPr>
      <w:r>
        <w:rPr>
          <w:rFonts w:hint="eastAsia"/>
          <w:color w:val="auto"/>
          <w:highlight w:val="none"/>
          <w:lang w:val="en-US" w:eastAsia="zh-CN"/>
        </w:rPr>
        <w:t>根据招标文件规定及投标人提供的材料自行编写目录</w:t>
      </w:r>
      <w:r>
        <w:rPr>
          <w:rFonts w:hint="eastAsia" w:ascii="宋体" w:hAnsi="宋体" w:eastAsia="宋体" w:cs="宋体"/>
          <w:color w:val="auto"/>
          <w:sz w:val="24"/>
          <w:szCs w:val="24"/>
          <w:highlight w:val="none"/>
        </w:rPr>
        <w:t>（部分格式后附）</w:t>
      </w:r>
      <w:r>
        <w:rPr>
          <w:rFonts w:hint="eastAsia"/>
          <w:color w:val="auto"/>
          <w:highlight w:val="none"/>
          <w:lang w:val="en-US" w:eastAsia="zh-CN"/>
        </w:rPr>
        <w:t>。</w:t>
      </w: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spacing w:before="36"/>
        <w:ind w:left="1137" w:right="1052" w:firstLine="0"/>
        <w:jc w:val="center"/>
        <w:outlineLvl w:val="9"/>
        <w:rPr>
          <w:b/>
          <w:color w:val="auto"/>
          <w:sz w:val="29"/>
          <w:highlight w:val="none"/>
        </w:rPr>
      </w:pPr>
      <w:r>
        <w:rPr>
          <w:b/>
          <w:color w:val="auto"/>
          <w:sz w:val="30"/>
          <w:highlight w:val="none"/>
        </w:rPr>
        <w:t>投标人基本情况表</w:t>
      </w:r>
    </w:p>
    <w:tbl>
      <w:tblPr>
        <w:tblStyle w:val="25"/>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897"/>
        <w:gridCol w:w="1021"/>
        <w:gridCol w:w="1160"/>
        <w:gridCol w:w="311"/>
        <w:gridCol w:w="1288"/>
        <w:gridCol w:w="741"/>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投标人名称</w:t>
            </w:r>
          </w:p>
        </w:tc>
        <w:tc>
          <w:tcPr>
            <w:tcW w:w="7192" w:type="dxa"/>
            <w:gridSpan w:val="7"/>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注册地址</w:t>
            </w:r>
          </w:p>
        </w:tc>
        <w:tc>
          <w:tcPr>
            <w:tcW w:w="3389" w:type="dxa"/>
            <w:gridSpan w:val="4"/>
            <w:vAlign w:val="center"/>
          </w:tcPr>
          <w:p>
            <w:pPr>
              <w:jc w:val="center"/>
              <w:outlineLvl w:val="9"/>
              <w:rPr>
                <w:color w:val="auto"/>
                <w:highlight w:val="none"/>
              </w:rPr>
            </w:pPr>
          </w:p>
        </w:tc>
        <w:tc>
          <w:tcPr>
            <w:tcW w:w="1288" w:type="dxa"/>
            <w:vAlign w:val="center"/>
          </w:tcPr>
          <w:p>
            <w:pPr>
              <w:jc w:val="center"/>
              <w:outlineLvl w:val="9"/>
              <w:rPr>
                <w:color w:val="auto"/>
                <w:highlight w:val="none"/>
              </w:rPr>
            </w:pPr>
            <w:r>
              <w:rPr>
                <w:color w:val="auto"/>
                <w:highlight w:val="none"/>
              </w:rPr>
              <w:t>邮政编码</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Merge w:val="restart"/>
            <w:vAlign w:val="center"/>
          </w:tcPr>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r>
              <w:rPr>
                <w:color w:val="auto"/>
                <w:highlight w:val="none"/>
              </w:rPr>
              <w:t>联系方式</w:t>
            </w:r>
          </w:p>
        </w:tc>
        <w:tc>
          <w:tcPr>
            <w:tcW w:w="897" w:type="dxa"/>
            <w:vAlign w:val="center"/>
          </w:tcPr>
          <w:p>
            <w:pPr>
              <w:jc w:val="center"/>
              <w:outlineLvl w:val="9"/>
              <w:rPr>
                <w:color w:val="auto"/>
                <w:highlight w:val="none"/>
              </w:rPr>
            </w:pPr>
            <w:r>
              <w:rPr>
                <w:color w:val="auto"/>
                <w:highlight w:val="none"/>
              </w:rPr>
              <w:t>联系人</w:t>
            </w:r>
          </w:p>
        </w:tc>
        <w:tc>
          <w:tcPr>
            <w:tcW w:w="2492" w:type="dxa"/>
            <w:gridSpan w:val="3"/>
            <w:vAlign w:val="center"/>
          </w:tcPr>
          <w:p>
            <w:pPr>
              <w:jc w:val="center"/>
              <w:outlineLvl w:val="9"/>
              <w:rPr>
                <w:color w:val="auto"/>
                <w:highlight w:val="none"/>
              </w:rPr>
            </w:pPr>
          </w:p>
        </w:tc>
        <w:tc>
          <w:tcPr>
            <w:tcW w:w="1288" w:type="dxa"/>
            <w:vAlign w:val="center"/>
          </w:tcPr>
          <w:p>
            <w:pPr>
              <w:jc w:val="center"/>
              <w:outlineLvl w:val="9"/>
              <w:rPr>
                <w:color w:val="auto"/>
                <w:highlight w:val="none"/>
              </w:rPr>
            </w:pPr>
            <w:r>
              <w:rPr>
                <w:color w:val="auto"/>
                <w:highlight w:val="none"/>
              </w:rPr>
              <w:t>电</w:t>
            </w:r>
            <w:r>
              <w:rPr>
                <w:color w:val="auto"/>
                <w:highlight w:val="none"/>
              </w:rPr>
              <w:tab/>
            </w:r>
            <w:r>
              <w:rPr>
                <w:color w:val="auto"/>
                <w:highlight w:val="none"/>
              </w:rPr>
              <w:t>话</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Merge w:val="continue"/>
            <w:tcBorders>
              <w:top w:val="nil"/>
            </w:tcBorders>
            <w:vAlign w:val="center"/>
          </w:tcPr>
          <w:p>
            <w:pPr>
              <w:jc w:val="center"/>
              <w:outlineLvl w:val="9"/>
              <w:rPr>
                <w:color w:val="auto"/>
                <w:highlight w:val="none"/>
              </w:rPr>
            </w:pPr>
          </w:p>
        </w:tc>
        <w:tc>
          <w:tcPr>
            <w:tcW w:w="897" w:type="dxa"/>
            <w:vAlign w:val="center"/>
          </w:tcPr>
          <w:p>
            <w:pPr>
              <w:jc w:val="center"/>
              <w:outlineLvl w:val="9"/>
              <w:rPr>
                <w:color w:val="auto"/>
                <w:highlight w:val="none"/>
              </w:rPr>
            </w:pPr>
            <w:r>
              <w:rPr>
                <w:color w:val="auto"/>
                <w:highlight w:val="none"/>
              </w:rPr>
              <w:t>传</w:t>
            </w:r>
            <w:r>
              <w:rPr>
                <w:color w:val="auto"/>
                <w:highlight w:val="none"/>
              </w:rPr>
              <w:tab/>
            </w:r>
            <w:r>
              <w:rPr>
                <w:color w:val="auto"/>
                <w:highlight w:val="none"/>
              </w:rPr>
              <w:t>真</w:t>
            </w:r>
          </w:p>
        </w:tc>
        <w:tc>
          <w:tcPr>
            <w:tcW w:w="2492" w:type="dxa"/>
            <w:gridSpan w:val="3"/>
            <w:vAlign w:val="center"/>
          </w:tcPr>
          <w:p>
            <w:pPr>
              <w:jc w:val="center"/>
              <w:outlineLvl w:val="9"/>
              <w:rPr>
                <w:color w:val="auto"/>
                <w:highlight w:val="none"/>
              </w:rPr>
            </w:pPr>
          </w:p>
        </w:tc>
        <w:tc>
          <w:tcPr>
            <w:tcW w:w="1288" w:type="dxa"/>
            <w:vAlign w:val="center"/>
          </w:tcPr>
          <w:p>
            <w:pPr>
              <w:jc w:val="center"/>
              <w:outlineLvl w:val="9"/>
              <w:rPr>
                <w:color w:val="auto"/>
                <w:highlight w:val="none"/>
              </w:rPr>
            </w:pPr>
            <w:r>
              <w:rPr>
                <w:color w:val="auto"/>
                <w:highlight w:val="none"/>
              </w:rPr>
              <w:t>网</w:t>
            </w:r>
            <w:r>
              <w:rPr>
                <w:color w:val="auto"/>
                <w:highlight w:val="none"/>
              </w:rPr>
              <w:tab/>
            </w:r>
            <w:r>
              <w:rPr>
                <w:color w:val="auto"/>
                <w:highlight w:val="none"/>
              </w:rPr>
              <w:t>址</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3" w:type="dxa"/>
            <w:vAlign w:val="center"/>
          </w:tcPr>
          <w:p>
            <w:pPr>
              <w:jc w:val="center"/>
              <w:outlineLvl w:val="9"/>
              <w:rPr>
                <w:color w:val="auto"/>
                <w:highlight w:val="none"/>
              </w:rPr>
            </w:pPr>
            <w:r>
              <w:rPr>
                <w:color w:val="auto"/>
                <w:highlight w:val="none"/>
              </w:rPr>
              <w:t>统一社会信用代码</w:t>
            </w:r>
          </w:p>
        </w:tc>
        <w:tc>
          <w:tcPr>
            <w:tcW w:w="7192" w:type="dxa"/>
            <w:gridSpan w:val="7"/>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法定代表人</w:t>
            </w:r>
          </w:p>
        </w:tc>
        <w:tc>
          <w:tcPr>
            <w:tcW w:w="897" w:type="dxa"/>
            <w:vAlign w:val="center"/>
          </w:tcPr>
          <w:p>
            <w:pPr>
              <w:jc w:val="center"/>
              <w:outlineLvl w:val="9"/>
              <w:rPr>
                <w:color w:val="auto"/>
                <w:highlight w:val="none"/>
              </w:rPr>
            </w:pPr>
            <w:r>
              <w:rPr>
                <w:color w:val="auto"/>
                <w:highlight w:val="none"/>
              </w:rPr>
              <w:t>姓名</w:t>
            </w:r>
          </w:p>
        </w:tc>
        <w:tc>
          <w:tcPr>
            <w:tcW w:w="1021" w:type="dxa"/>
            <w:vAlign w:val="center"/>
          </w:tcPr>
          <w:p>
            <w:pPr>
              <w:jc w:val="center"/>
              <w:outlineLvl w:val="9"/>
              <w:rPr>
                <w:color w:val="auto"/>
                <w:highlight w:val="none"/>
              </w:rPr>
            </w:pPr>
          </w:p>
        </w:tc>
        <w:tc>
          <w:tcPr>
            <w:tcW w:w="1160" w:type="dxa"/>
            <w:vAlign w:val="center"/>
          </w:tcPr>
          <w:p>
            <w:pPr>
              <w:jc w:val="center"/>
              <w:outlineLvl w:val="9"/>
              <w:rPr>
                <w:color w:val="auto"/>
                <w:highlight w:val="none"/>
              </w:rPr>
            </w:pPr>
            <w:r>
              <w:rPr>
                <w:color w:val="auto"/>
                <w:highlight w:val="none"/>
              </w:rPr>
              <w:t>技术职称</w:t>
            </w:r>
          </w:p>
        </w:tc>
        <w:tc>
          <w:tcPr>
            <w:tcW w:w="1599" w:type="dxa"/>
            <w:gridSpan w:val="2"/>
            <w:vAlign w:val="center"/>
          </w:tcPr>
          <w:p>
            <w:pPr>
              <w:jc w:val="center"/>
              <w:outlineLvl w:val="9"/>
              <w:rPr>
                <w:color w:val="auto"/>
                <w:highlight w:val="none"/>
              </w:rPr>
            </w:pPr>
          </w:p>
        </w:tc>
        <w:tc>
          <w:tcPr>
            <w:tcW w:w="741" w:type="dxa"/>
            <w:vAlign w:val="center"/>
          </w:tcPr>
          <w:p>
            <w:pPr>
              <w:jc w:val="center"/>
              <w:outlineLvl w:val="9"/>
              <w:rPr>
                <w:color w:val="auto"/>
                <w:highlight w:val="none"/>
              </w:rPr>
            </w:pPr>
            <w:r>
              <w:rPr>
                <w:color w:val="auto"/>
                <w:highlight w:val="none"/>
              </w:rPr>
              <w:t>电话</w:t>
            </w:r>
          </w:p>
        </w:tc>
        <w:tc>
          <w:tcPr>
            <w:tcW w:w="1774"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技术负责人</w:t>
            </w:r>
          </w:p>
        </w:tc>
        <w:tc>
          <w:tcPr>
            <w:tcW w:w="897" w:type="dxa"/>
            <w:vAlign w:val="center"/>
          </w:tcPr>
          <w:p>
            <w:pPr>
              <w:jc w:val="center"/>
              <w:outlineLvl w:val="9"/>
              <w:rPr>
                <w:color w:val="auto"/>
                <w:highlight w:val="none"/>
              </w:rPr>
            </w:pPr>
            <w:r>
              <w:rPr>
                <w:color w:val="auto"/>
                <w:highlight w:val="none"/>
              </w:rPr>
              <w:t>姓名</w:t>
            </w:r>
          </w:p>
        </w:tc>
        <w:tc>
          <w:tcPr>
            <w:tcW w:w="1021" w:type="dxa"/>
            <w:vAlign w:val="center"/>
          </w:tcPr>
          <w:p>
            <w:pPr>
              <w:jc w:val="center"/>
              <w:outlineLvl w:val="9"/>
              <w:rPr>
                <w:color w:val="auto"/>
                <w:highlight w:val="none"/>
              </w:rPr>
            </w:pPr>
          </w:p>
        </w:tc>
        <w:tc>
          <w:tcPr>
            <w:tcW w:w="1160" w:type="dxa"/>
            <w:vAlign w:val="center"/>
          </w:tcPr>
          <w:p>
            <w:pPr>
              <w:jc w:val="center"/>
              <w:outlineLvl w:val="9"/>
              <w:rPr>
                <w:color w:val="auto"/>
                <w:highlight w:val="none"/>
              </w:rPr>
            </w:pPr>
            <w:r>
              <w:rPr>
                <w:color w:val="auto"/>
                <w:highlight w:val="none"/>
              </w:rPr>
              <w:t>技术职称</w:t>
            </w:r>
          </w:p>
        </w:tc>
        <w:tc>
          <w:tcPr>
            <w:tcW w:w="1599" w:type="dxa"/>
            <w:gridSpan w:val="2"/>
            <w:vAlign w:val="center"/>
          </w:tcPr>
          <w:p>
            <w:pPr>
              <w:jc w:val="center"/>
              <w:outlineLvl w:val="9"/>
              <w:rPr>
                <w:color w:val="auto"/>
                <w:highlight w:val="none"/>
              </w:rPr>
            </w:pPr>
          </w:p>
        </w:tc>
        <w:tc>
          <w:tcPr>
            <w:tcW w:w="741" w:type="dxa"/>
            <w:vAlign w:val="center"/>
          </w:tcPr>
          <w:p>
            <w:pPr>
              <w:jc w:val="center"/>
              <w:outlineLvl w:val="9"/>
              <w:rPr>
                <w:color w:val="auto"/>
                <w:highlight w:val="none"/>
              </w:rPr>
            </w:pPr>
            <w:r>
              <w:rPr>
                <w:color w:val="auto"/>
                <w:highlight w:val="none"/>
              </w:rPr>
              <w:t>电话</w:t>
            </w:r>
          </w:p>
        </w:tc>
        <w:tc>
          <w:tcPr>
            <w:tcW w:w="1774"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3" w:type="dxa"/>
            <w:vAlign w:val="center"/>
          </w:tcPr>
          <w:p>
            <w:pPr>
              <w:jc w:val="center"/>
              <w:outlineLvl w:val="9"/>
              <w:rPr>
                <w:color w:val="auto"/>
                <w:highlight w:val="none"/>
              </w:rPr>
            </w:pPr>
            <w:r>
              <w:rPr>
                <w:color w:val="auto"/>
                <w:highlight w:val="none"/>
              </w:rPr>
              <w:t>成立时间</w:t>
            </w:r>
          </w:p>
        </w:tc>
        <w:tc>
          <w:tcPr>
            <w:tcW w:w="1918" w:type="dxa"/>
            <w:gridSpan w:val="2"/>
            <w:vAlign w:val="center"/>
          </w:tcPr>
          <w:p>
            <w:pPr>
              <w:jc w:val="center"/>
              <w:outlineLvl w:val="9"/>
              <w:rPr>
                <w:color w:val="auto"/>
                <w:highlight w:val="none"/>
              </w:rPr>
            </w:pPr>
          </w:p>
        </w:tc>
        <w:tc>
          <w:tcPr>
            <w:tcW w:w="5274" w:type="dxa"/>
            <w:gridSpan w:val="5"/>
            <w:vAlign w:val="center"/>
          </w:tcPr>
          <w:p>
            <w:pPr>
              <w:jc w:val="center"/>
              <w:outlineLvl w:val="9"/>
              <w:rPr>
                <w:color w:val="auto"/>
                <w:highlight w:val="none"/>
              </w:rPr>
            </w:pPr>
            <w:r>
              <w:rPr>
                <w:color w:val="auto"/>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资质等级</w:t>
            </w:r>
          </w:p>
        </w:tc>
        <w:tc>
          <w:tcPr>
            <w:tcW w:w="1918" w:type="dxa"/>
            <w:gridSpan w:val="2"/>
            <w:vAlign w:val="center"/>
          </w:tcPr>
          <w:p>
            <w:pPr>
              <w:jc w:val="center"/>
              <w:outlineLvl w:val="9"/>
              <w:rPr>
                <w:color w:val="auto"/>
                <w:highlight w:val="none"/>
              </w:rPr>
            </w:pPr>
          </w:p>
        </w:tc>
        <w:tc>
          <w:tcPr>
            <w:tcW w:w="1160" w:type="dxa"/>
            <w:vMerge w:val="restart"/>
            <w:vAlign w:val="center"/>
          </w:tcPr>
          <w:p>
            <w:pPr>
              <w:jc w:val="center"/>
              <w:outlineLvl w:val="9"/>
              <w:rPr>
                <w:color w:val="auto"/>
                <w:highlight w:val="none"/>
              </w:rPr>
            </w:pPr>
            <w:r>
              <w:rPr>
                <w:color w:val="auto"/>
                <w:highlight w:val="none"/>
              </w:rPr>
              <w:t>其中</w:t>
            </w:r>
          </w:p>
        </w:tc>
        <w:tc>
          <w:tcPr>
            <w:tcW w:w="1599" w:type="dxa"/>
            <w:gridSpan w:val="2"/>
            <w:vAlign w:val="center"/>
          </w:tcPr>
          <w:p>
            <w:pPr>
              <w:jc w:val="center"/>
              <w:outlineLvl w:val="9"/>
              <w:rPr>
                <w:color w:val="auto"/>
                <w:highlight w:val="none"/>
              </w:rPr>
            </w:pPr>
            <w:r>
              <w:rPr>
                <w:color w:val="auto"/>
                <w:highlight w:val="none"/>
              </w:rPr>
              <w:t>项目经理</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安全生产许可证号</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高级职称人员</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注册资金</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中级职称人员</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开户银行</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初级职称人员</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账号</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技</w:t>
            </w:r>
            <w:r>
              <w:rPr>
                <w:color w:val="auto"/>
                <w:highlight w:val="none"/>
              </w:rPr>
              <w:tab/>
            </w:r>
            <w:r>
              <w:rPr>
                <w:color w:val="auto"/>
                <w:highlight w:val="none"/>
              </w:rPr>
              <w:t>工</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983" w:type="dxa"/>
            <w:vAlign w:val="center"/>
          </w:tcPr>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r>
              <w:rPr>
                <w:color w:val="auto"/>
                <w:highlight w:val="none"/>
              </w:rPr>
              <w:t>经营范围</w:t>
            </w:r>
          </w:p>
        </w:tc>
        <w:tc>
          <w:tcPr>
            <w:tcW w:w="7192" w:type="dxa"/>
            <w:gridSpan w:val="7"/>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备注</w:t>
            </w:r>
          </w:p>
        </w:tc>
        <w:tc>
          <w:tcPr>
            <w:tcW w:w="7192" w:type="dxa"/>
            <w:gridSpan w:val="7"/>
          </w:tcPr>
          <w:p>
            <w:pPr>
              <w:outlineLvl w:val="9"/>
              <w:rPr>
                <w:color w:val="auto"/>
                <w:highlight w:val="none"/>
              </w:rPr>
            </w:pPr>
          </w:p>
        </w:tc>
      </w:tr>
    </w:tbl>
    <w:p>
      <w:pPr>
        <w:pStyle w:val="11"/>
        <w:outlineLvl w:val="9"/>
        <w:rPr>
          <w:b/>
          <w:color w:val="auto"/>
          <w:sz w:val="20"/>
          <w:highlight w:val="none"/>
        </w:rPr>
      </w:pPr>
    </w:p>
    <w:p>
      <w:pPr>
        <w:pStyle w:val="11"/>
        <w:spacing w:before="6"/>
        <w:outlineLvl w:val="9"/>
        <w:rPr>
          <w:b/>
          <w:color w:val="auto"/>
          <w:sz w:val="20"/>
          <w:highlight w:val="none"/>
        </w:rPr>
      </w:pPr>
    </w:p>
    <w:p>
      <w:pPr>
        <w:pStyle w:val="2"/>
        <w:outlineLvl w:val="9"/>
        <w:rPr>
          <w:rFonts w:hint="eastAsia"/>
          <w:b/>
          <w:bCs/>
          <w:color w:val="auto"/>
          <w:highlight w:val="none"/>
          <w:lang w:val="en-US" w:eastAsia="zh-CN"/>
        </w:rPr>
      </w:pPr>
      <w:r>
        <w:rPr>
          <w:rFonts w:hint="eastAsia"/>
          <w:b/>
          <w:bCs/>
          <w:color w:val="auto"/>
          <w:highlight w:val="none"/>
          <w:lang w:val="en-US" w:eastAsia="zh-CN"/>
        </w:rPr>
        <w:t>备注：</w:t>
      </w:r>
    </w:p>
    <w:p>
      <w:pPr>
        <w:pStyle w:val="2"/>
        <w:outlineLvl w:val="9"/>
        <w:rPr>
          <w:rFonts w:hint="default"/>
          <w:b/>
          <w:bCs/>
          <w:color w:val="auto"/>
          <w:highlight w:val="none"/>
          <w:lang w:val="en-US" w:eastAsia="zh-CN"/>
        </w:rPr>
      </w:pPr>
    </w:p>
    <w:p>
      <w:pPr>
        <w:pStyle w:val="2"/>
        <w:outlineLvl w:val="9"/>
        <w:rPr>
          <w:rFonts w:hint="eastAsia" w:eastAsia="宋体"/>
          <w:b/>
          <w:bCs/>
          <w:color w:val="auto"/>
          <w:highlight w:val="none"/>
          <w:lang w:val="en-US" w:eastAsia="zh-CN"/>
        </w:rPr>
      </w:pPr>
      <w:r>
        <w:rPr>
          <w:rFonts w:hint="eastAsia" w:eastAsia="宋体"/>
          <w:b/>
          <w:bCs/>
          <w:color w:val="auto"/>
          <w:highlight w:val="none"/>
          <w:lang w:val="en-US" w:eastAsia="zh-CN"/>
        </w:rPr>
        <w:t>附有效的营业执照副本复印件</w:t>
      </w:r>
      <w:r>
        <w:rPr>
          <w:rFonts w:hint="eastAsia"/>
          <w:b/>
          <w:bCs/>
          <w:color w:val="auto"/>
          <w:highlight w:val="none"/>
          <w:lang w:val="en-US" w:eastAsia="zh-CN"/>
        </w:rPr>
        <w:t>。</w:t>
      </w: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jc w:val="center"/>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36"/>
          <w:szCs w:val="44"/>
          <w:highlight w:val="none"/>
          <w:lang w:val="en-US" w:eastAsia="zh-CN"/>
        </w:rPr>
        <w:t>建设工程项目管理承诺书</w:t>
      </w:r>
    </w:p>
    <w:p>
      <w:pPr>
        <w:outlineLvl w:val="9"/>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作为参与</w:t>
      </w:r>
      <w:r>
        <w:rPr>
          <w:rFonts w:hint="eastAsia" w:ascii="宋体" w:hAnsi="宋体" w:eastAsia="宋体" w:cs="宋体"/>
          <w:color w:val="auto"/>
          <w:sz w:val="24"/>
          <w:szCs w:val="24"/>
          <w:highlight w:val="none"/>
          <w:u w:val="single"/>
          <w:lang w:val="en-US" w:eastAsia="zh-CN"/>
        </w:rPr>
        <w:t xml:space="preserve"> （工程名称）</w:t>
      </w:r>
      <w:r>
        <w:rPr>
          <w:rFonts w:hint="eastAsia" w:ascii="宋体" w:hAnsi="宋体" w:eastAsia="宋体" w:cs="宋体"/>
          <w:color w:val="auto"/>
          <w:sz w:val="24"/>
          <w:szCs w:val="24"/>
          <w:highlight w:val="none"/>
          <w:lang w:val="en-US" w:eastAsia="zh-CN"/>
        </w:rPr>
        <w:t>项目的投标方，根据国家、自治区相关文件规定，我方在此向采购人承诺：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1、一旦中标，我方保证按照政府相关部门的规定，在发出中标通知书之日起 7 个工作日内足额将农民工工资保障金转入农民工工资保障金专用账户。一旦我方所承包的该项目中出现拖欠农民工工资情况，由劳动保障按照《关于进一步完善建筑行业农民工工资保证金制度的通知》（桂劳社发〔2009〕50 号）从我方农民工工资保障金中先予划支。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2、一旦中标，我方保证在施工过程中，严格执行散装水泥和预拌混凝土管理的  有关规定， 确保建设工程按规定使用散装水泥和预拌混凝土。如我方在该项目的承包中出现未按规定执行的情形，我方愿意按照相关规定接受建设单位及有关主管部门的处罚。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3、一旦中标，我方保证在施工过程中，严格执行《关于禁止使用不符合规范要  求的竹脚手 架的通知》（桂建管字〔2003〕40 号）的有关规定，不使用竹脚手架。如我方在该项目的承包中出现未按规定执行的情形，我方愿意按照相关规定接受建设单位及有关主管部门的处罚。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法定代表人或授权代理人：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rPr>
          <w:rFonts w:hint="eastAsia"/>
          <w:b/>
          <w:bCs/>
          <w:color w:val="auto"/>
          <w:sz w:val="32"/>
          <w:szCs w:val="40"/>
          <w:highlight w:val="none"/>
          <w:lang w:val="en-US" w:eastAsia="zh-CN"/>
        </w:rPr>
      </w:pPr>
      <w:r>
        <w:rPr>
          <w:rFonts w:hint="eastAsia"/>
          <w:b/>
          <w:bCs/>
          <w:color w:val="auto"/>
          <w:sz w:val="32"/>
          <w:szCs w:val="40"/>
          <w:highlight w:val="none"/>
          <w:lang w:val="en-US" w:eastAsia="zh-CN"/>
        </w:rPr>
        <w:br w:type="page"/>
      </w:r>
    </w:p>
    <w:p>
      <w:pPr>
        <w:jc w:val="center"/>
        <w:outlineLvl w:val="9"/>
        <w:rPr>
          <w:rFonts w:hint="eastAsia"/>
          <w:b/>
          <w:bCs/>
          <w:color w:val="auto"/>
          <w:sz w:val="32"/>
          <w:szCs w:val="40"/>
          <w:highlight w:val="none"/>
          <w:lang w:val="en-US" w:eastAsia="zh-CN"/>
        </w:rPr>
      </w:pPr>
      <w:r>
        <w:rPr>
          <w:rFonts w:hint="eastAsia"/>
          <w:b/>
          <w:bCs/>
          <w:color w:val="auto"/>
          <w:sz w:val="32"/>
          <w:szCs w:val="40"/>
          <w:highlight w:val="none"/>
          <w:lang w:val="en-US" w:eastAsia="zh-CN"/>
        </w:rPr>
        <w:t>广西壮族自治区建筑工程安全文明施工措施项目清单内容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80"/>
        <w:gridCol w:w="1230"/>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类别</w:t>
            </w:r>
          </w:p>
        </w:tc>
        <w:tc>
          <w:tcPr>
            <w:tcW w:w="1710" w:type="dxa"/>
            <w:gridSpan w:val="2"/>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项目名称</w:t>
            </w:r>
          </w:p>
        </w:tc>
        <w:tc>
          <w:tcPr>
            <w:tcW w:w="7737"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default"/>
                <w:b/>
                <w:bCs/>
                <w:color w:val="auto"/>
                <w:highlight w:val="none"/>
                <w:lang w:val="en-US" w:eastAsia="zh-CN"/>
              </w:rPr>
            </w:pPr>
            <w:r>
              <w:rPr>
                <w:rFonts w:hint="eastAsia"/>
                <w:b/>
                <w:bCs/>
                <w:color w:val="auto"/>
                <w:highlight w:val="none"/>
                <w:lang w:val="en-US" w:eastAsia="zh-CN"/>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文明施工与 环境保护</w:t>
            </w: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安全警示标志牌</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现场围挡</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现场采用封闭围挡，高度不小于1.8m；</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七牌二图</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企业标志</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场容场貌</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道路畅通；</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排水沟、排水设施畅通；</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材料堆放</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材料、构件、料具等堆放时，悬挂有名称、品种、规格等标牌；</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水泥和其他易飞扬细颗粒建筑材料应封闭存放或采取覆盖等措施；</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现场防火</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垃圾清运</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val="en-US" w:eastAsia="zh-CN"/>
              </w:rPr>
              <w:t>1.</w:t>
            </w:r>
            <w:r>
              <w:rPr>
                <w:rFonts w:hint="eastAsia"/>
                <w:color w:val="auto"/>
                <w:highlight w:val="none"/>
              </w:rPr>
              <w:t>施工现场应设置密闭式垃圾站，施工垃圾、生活垃圾应分类存放。</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2"/>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宣传栏、环保及不扰民措施</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宣传栏、安全宣传标语等，洗车（防止污染市区道路）、粉尘、噪声控制，和排污（污水、废气）措施等。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临时设施</w:t>
            </w:r>
          </w:p>
        </w:tc>
        <w:tc>
          <w:tcPr>
            <w:tcW w:w="480" w:type="dxa"/>
            <w:vMerge w:val="restart"/>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施工现场临时用电</w:t>
            </w: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配电线路</w:t>
            </w:r>
          </w:p>
        </w:tc>
        <w:tc>
          <w:tcPr>
            <w:tcW w:w="7737" w:type="dxa"/>
            <w:vAlign w:val="center"/>
          </w:tcPr>
          <w:p>
            <w:pPr>
              <w:pStyle w:val="32"/>
              <w:keepNext w:val="0"/>
              <w:keepLines w:val="0"/>
              <w:pageBreakBefore w:val="0"/>
              <w:widowControl w:val="0"/>
              <w:numPr>
                <w:ilvl w:val="0"/>
                <w:numId w:val="11"/>
              </w:numPr>
              <w:tabs>
                <w:tab w:val="left" w:pos="661"/>
              </w:tabs>
              <w:kinsoku/>
              <w:wordWrap/>
              <w:overflowPunct/>
              <w:topLinePunct w:val="0"/>
              <w:bidi w:val="0"/>
              <w:snapToGrid/>
              <w:spacing w:before="18" w:after="0" w:line="380" w:lineRule="exact"/>
              <w:ind w:left="660" w:right="0" w:hanging="554"/>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2"/>
                <w:sz w:val="21"/>
                <w:szCs w:val="22"/>
                <w:highlight w:val="none"/>
              </w:rPr>
              <w:t>按照</w:t>
            </w:r>
            <w:r>
              <w:rPr>
                <w:rFonts w:hint="eastAsia" w:ascii="新宋体" w:eastAsia="新宋体"/>
                <w:color w:val="auto"/>
                <w:sz w:val="21"/>
                <w:szCs w:val="22"/>
                <w:highlight w:val="none"/>
              </w:rPr>
              <w:t>TN-S</w:t>
            </w:r>
            <w:r>
              <w:rPr>
                <w:rFonts w:hint="eastAsia" w:ascii="新宋体" w:eastAsia="新宋体"/>
                <w:color w:val="auto"/>
                <w:spacing w:val="-3"/>
                <w:sz w:val="21"/>
                <w:szCs w:val="22"/>
                <w:highlight w:val="none"/>
              </w:rPr>
              <w:t>系统要求配备五芯电缆、四芯电缆和三芯电缆。</w:t>
            </w:r>
          </w:p>
          <w:p>
            <w:pPr>
              <w:pStyle w:val="32"/>
              <w:keepNext w:val="0"/>
              <w:keepLines w:val="0"/>
              <w:pageBreakBefore w:val="0"/>
              <w:widowControl w:val="0"/>
              <w:numPr>
                <w:ilvl w:val="0"/>
                <w:numId w:val="11"/>
              </w:numPr>
              <w:tabs>
                <w:tab w:val="left" w:pos="661"/>
              </w:tabs>
              <w:kinsoku/>
              <w:wordWrap/>
              <w:overflowPunct/>
              <w:topLinePunct w:val="0"/>
              <w:bidi w:val="0"/>
              <w:snapToGrid/>
              <w:spacing w:before="18" w:after="0" w:line="380" w:lineRule="exact"/>
              <w:ind w:left="107" w:right="97" w:firstLine="0"/>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3"/>
                <w:sz w:val="21"/>
                <w:szCs w:val="22"/>
                <w:highlight w:val="none"/>
              </w:rPr>
              <w:t>按要求架设临时用电线路的电杆、横担、瓷夹、瓷瓶等，或电缆埋地的地沟。</w:t>
            </w:r>
          </w:p>
          <w:p>
            <w:pPr>
              <w:pStyle w:val="32"/>
              <w:keepNext w:val="0"/>
              <w:keepLines w:val="0"/>
              <w:pageBreakBefore w:val="0"/>
              <w:widowControl w:val="0"/>
              <w:numPr>
                <w:ilvl w:val="0"/>
                <w:numId w:val="11"/>
              </w:numPr>
              <w:tabs>
                <w:tab w:val="left" w:pos="661"/>
              </w:tabs>
              <w:kinsoku/>
              <w:wordWrap/>
              <w:overflowPunct/>
              <w:topLinePunct w:val="0"/>
              <w:bidi w:val="0"/>
              <w:snapToGrid/>
              <w:spacing w:before="2" w:after="0" w:line="380" w:lineRule="exact"/>
              <w:ind w:left="660" w:right="0" w:hanging="554"/>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pacing w:val="-3"/>
                <w:sz w:val="21"/>
                <w:szCs w:val="22"/>
                <w:highlight w:val="none"/>
              </w:rPr>
              <w:t>对靠近施工现场的外电线路，设置木质、塑料等绝缘体的防护设</w:t>
            </w:r>
            <w:r>
              <w:rPr>
                <w:rFonts w:hint="eastAsia" w:ascii="新宋体" w:eastAsia="新宋体"/>
                <w:color w:val="auto"/>
                <w:sz w:val="21"/>
                <w:szCs w:val="22"/>
                <w:highlight w:val="none"/>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480" w:type="dxa"/>
            <w:vMerge w:val="continue"/>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配电箱开关箱</w:t>
            </w:r>
          </w:p>
        </w:tc>
        <w:tc>
          <w:tcPr>
            <w:tcW w:w="7737" w:type="dxa"/>
            <w:vAlign w:val="center"/>
          </w:tcPr>
          <w:p>
            <w:pPr>
              <w:pStyle w:val="32"/>
              <w:keepNext w:val="0"/>
              <w:keepLines w:val="0"/>
              <w:pageBreakBefore w:val="0"/>
              <w:widowControl w:val="0"/>
              <w:numPr>
                <w:ilvl w:val="0"/>
                <w:numId w:val="12"/>
              </w:numPr>
              <w:tabs>
                <w:tab w:val="left" w:pos="661"/>
              </w:tabs>
              <w:kinsoku/>
              <w:wordWrap/>
              <w:overflowPunct/>
              <w:topLinePunct w:val="0"/>
              <w:bidi w:val="0"/>
              <w:snapToGrid/>
              <w:spacing w:before="20" w:after="0" w:line="380" w:lineRule="exact"/>
              <w:ind w:left="107" w:right="210" w:firstLine="0"/>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3"/>
                <w:sz w:val="21"/>
                <w:szCs w:val="22"/>
                <w:highlight w:val="none"/>
              </w:rPr>
              <w:t>按三级配电要求，配备总配电箱、分配电箱、开关箱三类</w:t>
            </w:r>
            <w:r>
              <w:rPr>
                <w:rFonts w:hint="eastAsia" w:ascii="新宋体" w:eastAsia="新宋体"/>
                <w:color w:val="auto"/>
                <w:sz w:val="21"/>
                <w:szCs w:val="22"/>
                <w:highlight w:val="none"/>
              </w:rPr>
              <w:t>（铁</w:t>
            </w:r>
            <w:r>
              <w:rPr>
                <w:rFonts w:hint="eastAsia" w:ascii="新宋体" w:eastAsia="新宋体"/>
                <w:color w:val="auto"/>
                <w:spacing w:val="-1"/>
                <w:sz w:val="21"/>
                <w:szCs w:val="22"/>
                <w:highlight w:val="none"/>
              </w:rPr>
              <w:t>质</w:t>
            </w:r>
            <w:r>
              <w:rPr>
                <w:rFonts w:hint="eastAsia" w:ascii="新宋体" w:eastAsia="新宋体"/>
                <w:color w:val="auto"/>
                <w:spacing w:val="-3"/>
                <w:sz w:val="21"/>
                <w:szCs w:val="22"/>
                <w:highlight w:val="none"/>
              </w:rPr>
              <w:t>）标准电箱。开关箱应符合一机、一箱、一闸、一漏。三类电箱中的各类电器应是合格品。</w:t>
            </w:r>
          </w:p>
          <w:p>
            <w:pPr>
              <w:pStyle w:val="32"/>
              <w:keepNext w:val="0"/>
              <w:keepLines w:val="0"/>
              <w:pageBreakBefore w:val="0"/>
              <w:widowControl w:val="0"/>
              <w:numPr>
                <w:ilvl w:val="0"/>
                <w:numId w:val="12"/>
              </w:numPr>
              <w:tabs>
                <w:tab w:val="left" w:pos="661"/>
              </w:tabs>
              <w:kinsoku/>
              <w:wordWrap/>
              <w:overflowPunct/>
              <w:topLinePunct w:val="0"/>
              <w:bidi w:val="0"/>
              <w:snapToGrid/>
              <w:spacing w:before="4" w:after="0" w:line="380" w:lineRule="exact"/>
              <w:ind w:left="107" w:right="97" w:firstLine="0"/>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3"/>
                <w:sz w:val="21"/>
                <w:szCs w:val="22"/>
                <w:highlight w:val="none"/>
              </w:rPr>
              <w:t>按两级保护的要求，选取符合容量要求和质量合格的总配电箱和开关箱中的漏电保护器。</w:t>
            </w:r>
          </w:p>
          <w:p>
            <w:pPr>
              <w:pStyle w:val="32"/>
              <w:keepNext w:val="0"/>
              <w:keepLines w:val="0"/>
              <w:pageBreakBefore w:val="0"/>
              <w:widowControl w:val="0"/>
              <w:kinsoku/>
              <w:wordWrap/>
              <w:overflowPunct/>
              <w:topLinePunct w:val="0"/>
              <w:bidi w:val="0"/>
              <w:snapToGrid/>
              <w:spacing w:before="2" w:line="380" w:lineRule="exact"/>
              <w:ind w:left="107" w:left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z w:val="21"/>
                <w:szCs w:val="22"/>
                <w:highlight w:val="none"/>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480" w:type="dxa"/>
            <w:vMerge w:val="continue"/>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接地装置</w:t>
            </w:r>
          </w:p>
        </w:tc>
        <w:tc>
          <w:tcPr>
            <w:tcW w:w="7737" w:type="dxa"/>
            <w:vAlign w:val="center"/>
          </w:tcPr>
          <w:p>
            <w:pPr>
              <w:pStyle w:val="32"/>
              <w:keepNext w:val="0"/>
              <w:keepLines w:val="0"/>
              <w:pageBreakBefore w:val="0"/>
              <w:widowControl w:val="0"/>
              <w:kinsoku/>
              <w:wordWrap/>
              <w:overflowPunct/>
              <w:topLinePunct w:val="0"/>
              <w:bidi w:val="0"/>
              <w:snapToGrid/>
              <w:spacing w:before="20" w:line="380" w:lineRule="exact"/>
              <w:ind w:left="107" w:left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z w:val="21"/>
                <w:szCs w:val="22"/>
                <w:highlight w:val="none"/>
              </w:rPr>
              <w:t>施工现场应设置不少于三处的接地保护装置。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480" w:type="dxa"/>
            <w:vMerge w:val="continue"/>
            <w:vAlign w:val="center"/>
          </w:tcPr>
          <w:p>
            <w:pPr>
              <w:pStyle w:val="2"/>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现场变配电装置</w:t>
            </w:r>
          </w:p>
        </w:tc>
        <w:tc>
          <w:tcPr>
            <w:tcW w:w="7737" w:type="dxa"/>
            <w:vAlign w:val="center"/>
          </w:tcPr>
          <w:p>
            <w:pPr>
              <w:pStyle w:val="32"/>
              <w:keepNext w:val="0"/>
              <w:keepLines w:val="0"/>
              <w:pageBreakBefore w:val="0"/>
              <w:widowControl w:val="0"/>
              <w:kinsoku/>
              <w:wordWrap/>
              <w:overflowPunct/>
              <w:topLinePunct w:val="0"/>
              <w:bidi w:val="0"/>
              <w:snapToGrid/>
              <w:spacing w:before="179" w:line="380" w:lineRule="exact"/>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z w:val="21"/>
                <w:szCs w:val="22"/>
                <w:highlight w:val="none"/>
              </w:rPr>
              <w:t>总配电室建筑材料必须达到消防防火要求，室内做硬地坪、电缆沟。</w:t>
            </w:r>
          </w:p>
        </w:tc>
      </w:tr>
    </w:tbl>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727"/>
        <w:gridCol w:w="1367"/>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32"/>
              <w:keepNext w:val="0"/>
              <w:keepLines w:val="0"/>
              <w:pageBreakBefore w:val="0"/>
              <w:widowControl w:val="0"/>
              <w:kinsoku/>
              <w:wordWrap/>
              <w:overflowPunct/>
              <w:topLinePunct w:val="0"/>
              <w:autoSpaceDE/>
              <w:autoSpaceDN/>
              <w:bidi w:val="0"/>
              <w:adjustRightInd/>
              <w:snapToGrid/>
              <w:spacing w:before="92" w:line="360" w:lineRule="auto"/>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类别</w:t>
            </w:r>
          </w:p>
        </w:tc>
        <w:tc>
          <w:tcPr>
            <w:tcW w:w="2094"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before="92" w:line="360" w:lineRule="auto"/>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项目名称</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安全施工</w:t>
            </w:r>
          </w:p>
        </w:tc>
        <w:tc>
          <w:tcPr>
            <w:tcW w:w="7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临边洞口交叉高处作业防护</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楼层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屋面、阳台等临边</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设两道防护栏杆和18cm高的踢脚板，用密目式安全立网全封闭。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通道口</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预留洞口</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电梯井口</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设置定型化、工具化的防护门。在电梯井内每隔2层（不大于10m）设置一道水平防护。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楼梯边</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设1.2m高的定型化、工具化的防护栏，18cm高的踢脚板。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垂直方向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交叉作业</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设置防护隔离棚或其他设施。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高空作业</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基坑、卸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料平台</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pStyle w:val="32"/>
              <w:keepNext w:val="0"/>
              <w:keepLines w:val="0"/>
              <w:pageBreakBefore w:val="0"/>
              <w:widowControl w:val="0"/>
              <w:kinsoku/>
              <w:wordWrap/>
              <w:overflowPunct/>
              <w:topLinePunct w:val="0"/>
              <w:autoSpaceDE/>
              <w:autoSpaceDN/>
              <w:bidi w:val="0"/>
              <w:adjustRightInd/>
              <w:snapToGrid/>
              <w:spacing w:before="92" w:line="360" w:lineRule="auto"/>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安全防护用品</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安全帽、安全带、特种作业人员（电工、焊工、架子工等）防护服装、用品等。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w:t>
            </w:r>
          </w:p>
        </w:tc>
        <w:tc>
          <w:tcPr>
            <w:tcW w:w="7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机械设备防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护</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中小型机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械</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设防护棚（同通道口防护并有防雨措施）。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垂直运输设备</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垂直运输设备检测、检验、日常维护、保养等。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物料提升机、施工电梯等卸料平台搭设、外侧用密目式安全立网全封闭</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有安全通道、安全防护门、防护棚等。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专家论证审查</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超过一定规模的危险性较大分部分项工程专家论证审查。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应急救援预案</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非正常情况施工</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其它特殊情况下的防护费用，如：城市主干道、人流密集、河边等处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施工及文物、古建筑、古树保护等。</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注：本表所列建筑工程安全防护、文明施工措施项目，是依据现行法律法规及标准规范确定的。如法律法规和标准规范修订，本表所列项目应按照修订后的法律法规和标准规范进行调整。</w:t>
      </w:r>
    </w:p>
    <w:p>
      <w:pPr>
        <w:spacing w:line="320" w:lineRule="exact"/>
        <w:jc w:val="center"/>
        <w:outlineLvl w:val="9"/>
        <w:rPr>
          <w:rFonts w:hint="eastAsia" w:ascii="宋体" w:hAnsi="宋体" w:eastAsia="宋体" w:cs="宋体"/>
          <w:b/>
          <w:color w:val="auto"/>
          <w:sz w:val="32"/>
          <w:szCs w:val="32"/>
          <w:highlight w:val="none"/>
          <w:lang w:val="en-US" w:eastAsia="zh-CN"/>
        </w:rPr>
      </w:pPr>
    </w:p>
    <w:p>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投标人</w:t>
      </w:r>
      <w:r>
        <w:rPr>
          <w:rFonts w:hint="eastAsia" w:ascii="宋体" w:hAnsi="宋体" w:eastAsia="宋体" w:cs="宋体"/>
          <w:b/>
          <w:color w:val="auto"/>
          <w:sz w:val="32"/>
          <w:szCs w:val="32"/>
          <w:highlight w:val="none"/>
        </w:rPr>
        <w:t>直接控股、管理关系信息表</w:t>
      </w:r>
    </w:p>
    <w:p>
      <w:pPr>
        <w:snapToGrid w:val="0"/>
        <w:spacing w:before="120" w:beforeLines="50" w:after="50" w:line="360" w:lineRule="auto"/>
        <w:jc w:val="center"/>
        <w:outlineLvl w:val="9"/>
        <w:rPr>
          <w:rFonts w:hint="eastAsia" w:ascii="宋体" w:hAnsi="宋体" w:eastAsia="宋体" w:cs="宋体"/>
          <w:b/>
          <w:color w:val="auto"/>
          <w:sz w:val="24"/>
          <w:highlight w:val="none"/>
        </w:rPr>
      </w:pPr>
    </w:p>
    <w:p>
      <w:pPr>
        <w:spacing w:line="360" w:lineRule="auto"/>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投标人</w:t>
      </w:r>
      <w:r>
        <w:rPr>
          <w:rFonts w:hint="eastAsia" w:ascii="宋体" w:hAnsi="宋体" w:eastAsia="宋体" w:cs="宋体"/>
          <w:b/>
          <w:color w:val="auto"/>
          <w:sz w:val="32"/>
          <w:szCs w:val="32"/>
          <w:highlight w:val="none"/>
        </w:rPr>
        <w:t>直接控股股东信息表</w:t>
      </w:r>
    </w:p>
    <w:p>
      <w:pPr>
        <w:spacing w:line="360" w:lineRule="auto"/>
        <w:contextualSpacing/>
        <w:jc w:val="center"/>
        <w:outlineLvl w:val="9"/>
        <w:rPr>
          <w:rFonts w:hint="eastAsia" w:ascii="宋体" w:hAnsi="宋体" w:eastAsia="宋体" w:cs="宋体"/>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bl>
    <w:p>
      <w:pPr>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不存在直接控股股东的，则填“无”。</w:t>
      </w:r>
    </w:p>
    <w:p>
      <w:pPr>
        <w:snapToGrid w:val="0"/>
        <w:spacing w:line="360" w:lineRule="auto"/>
        <w:jc w:val="left"/>
        <w:outlineLvl w:val="9"/>
        <w:rPr>
          <w:rFonts w:hint="eastAsia" w:ascii="宋体" w:hAnsi="宋体" w:eastAsia="宋体" w:cs="宋体"/>
          <w:color w:val="auto"/>
          <w:sz w:val="24"/>
          <w:highlight w:val="none"/>
        </w:rPr>
      </w:pPr>
    </w:p>
    <w:p>
      <w:pPr>
        <w:snapToGrid w:val="0"/>
        <w:spacing w:line="360" w:lineRule="auto"/>
        <w:ind w:firstLine="3120" w:firstLineChars="1300"/>
        <w:jc w:val="left"/>
        <w:outlineLvl w:val="9"/>
        <w:rPr>
          <w:rFonts w:hint="eastAsia" w:ascii="宋体" w:hAnsi="宋体" w:eastAsia="宋体" w:cs="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其</w:t>
      </w: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napToGrid w:val="0"/>
        <w:spacing w:line="360" w:lineRule="auto"/>
        <w:jc w:val="left"/>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snapToGrid w:val="0"/>
        <w:spacing w:before="120" w:beforeLines="50" w:after="50" w:line="360" w:lineRule="auto"/>
        <w:ind w:right="480" w:firstLine="3000" w:firstLineChars="1250"/>
        <w:outlineLvl w:val="9"/>
        <w:rPr>
          <w:rFonts w:hint="eastAsia" w:ascii="宋体" w:hAnsi="宋体" w:eastAsia="宋体" w:cs="宋体"/>
          <w:color w:val="auto"/>
          <w:sz w:val="24"/>
          <w:highlight w:val="none"/>
          <w:u w:val="single"/>
        </w:rPr>
      </w:pPr>
    </w:p>
    <w:p>
      <w:pPr>
        <w:snapToGrid w:val="0"/>
        <w:spacing w:before="120" w:beforeLines="50" w:after="50" w:line="360" w:lineRule="auto"/>
        <w:ind w:right="480" w:firstLine="5280" w:firstLineChars="2200"/>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pPr>
        <w:snapToGrid w:val="0"/>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投标人</w:t>
      </w:r>
      <w:r>
        <w:rPr>
          <w:rFonts w:hint="eastAsia" w:ascii="宋体" w:hAnsi="宋体" w:eastAsia="宋体" w:cs="宋体"/>
          <w:b/>
          <w:color w:val="auto"/>
          <w:sz w:val="32"/>
          <w:szCs w:val="32"/>
          <w:highlight w:val="none"/>
        </w:rPr>
        <w:t>直接管理关系信息表</w:t>
      </w:r>
    </w:p>
    <w:p>
      <w:pPr>
        <w:snapToGrid w:val="0"/>
        <w:spacing w:line="360" w:lineRule="auto"/>
        <w:jc w:val="center"/>
        <w:outlineLvl w:val="9"/>
        <w:rPr>
          <w:rFonts w:hint="eastAsia" w:ascii="宋体" w:hAnsi="宋体" w:eastAsia="宋体" w:cs="宋体"/>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bl>
    <w:p>
      <w:pPr>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不存在直接管理关系的，则填“无”。</w:t>
      </w: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ind w:firstLine="4560" w:firstLineChars="1900"/>
        <w:contextualSpacing/>
        <w:jc w:val="left"/>
        <w:outlineLvl w:val="9"/>
        <w:rPr>
          <w:rFonts w:hint="default" w:ascii="宋体" w:hAnsi="宋体" w:cs="宋体" w:eastAsiaTheme="minorEastAsia"/>
          <w:color w:val="auto"/>
          <w:sz w:val="24"/>
          <w:highlight w:val="none"/>
          <w:lang w:val="en-US" w:eastAsia="zh-CN"/>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或其</w:t>
      </w: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spacing w:line="360" w:lineRule="auto"/>
        <w:ind w:right="480" w:firstLine="240" w:firstLineChars="100"/>
        <w:contextualSpacing/>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年    月    日</w:t>
      </w: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pStyle w:val="17"/>
        <w:outlineLvl w:val="9"/>
        <w:rPr>
          <w:rFonts w:hint="eastAsia" w:ascii="宋体" w:hAnsi="宋体" w:eastAsia="宋体" w:cs="宋体"/>
          <w:b/>
          <w:bCs/>
          <w:color w:val="auto"/>
          <w:sz w:val="32"/>
          <w:szCs w:val="40"/>
          <w:highlight w:val="none"/>
        </w:rPr>
      </w:pPr>
    </w:p>
    <w:p>
      <w:pPr>
        <w:pStyle w:val="17"/>
        <w:outlineLvl w:val="9"/>
        <w:rPr>
          <w:rFonts w:hint="eastAsia" w:ascii="宋体" w:hAnsi="宋体" w:eastAsia="宋体" w:cs="宋体"/>
          <w:b/>
          <w:bCs/>
          <w:color w:val="auto"/>
          <w:sz w:val="32"/>
          <w:szCs w:val="40"/>
          <w:highlight w:val="none"/>
        </w:rPr>
      </w:pPr>
    </w:p>
    <w:p>
      <w:pPr>
        <w:pStyle w:val="17"/>
        <w:outlineLvl w:val="9"/>
        <w:rPr>
          <w:rFonts w:hint="eastAsia" w:ascii="宋体" w:hAnsi="宋体" w:eastAsia="宋体" w:cs="宋体"/>
          <w:b/>
          <w:bCs/>
          <w:color w:val="auto"/>
          <w:sz w:val="32"/>
          <w:szCs w:val="40"/>
          <w:highlight w:val="none"/>
        </w:rPr>
      </w:pPr>
    </w:p>
    <w:p>
      <w:pPr>
        <w:pStyle w:val="17"/>
        <w:outlineLvl w:val="9"/>
        <w:rPr>
          <w:rFonts w:hint="eastAsia" w:ascii="宋体" w:hAnsi="宋体" w:eastAsia="宋体" w:cs="宋体"/>
          <w:b/>
          <w:bCs/>
          <w:color w:val="auto"/>
          <w:sz w:val="32"/>
          <w:szCs w:val="40"/>
          <w:highlight w:val="none"/>
        </w:rPr>
      </w:pPr>
    </w:p>
    <w:p>
      <w:pPr>
        <w:pStyle w:val="17"/>
        <w:outlineLvl w:val="9"/>
        <w:rPr>
          <w:rFonts w:hint="eastAsia" w:ascii="宋体" w:hAnsi="宋体" w:eastAsia="宋体" w:cs="宋体"/>
          <w:b/>
          <w:bCs/>
          <w:color w:val="auto"/>
          <w:sz w:val="32"/>
          <w:szCs w:val="40"/>
          <w:highlight w:val="none"/>
        </w:rPr>
      </w:pPr>
    </w:p>
    <w:p>
      <w:pPr>
        <w:pStyle w:val="17"/>
        <w:outlineLvl w:val="9"/>
        <w:rPr>
          <w:rFonts w:hint="eastAsia" w:ascii="宋体" w:hAnsi="宋体" w:eastAsia="宋体" w:cs="宋体"/>
          <w:b/>
          <w:bCs/>
          <w:color w:val="auto"/>
          <w:sz w:val="32"/>
          <w:szCs w:val="40"/>
          <w:highlight w:val="none"/>
        </w:rPr>
      </w:pPr>
    </w:p>
    <w:p>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w:t>
      </w:r>
      <w:r>
        <w:rPr>
          <w:rFonts w:hint="eastAsia" w:ascii="宋体" w:hAnsi="宋体" w:eastAsia="宋体" w:cs="宋体"/>
          <w:b/>
          <w:color w:val="auto"/>
          <w:sz w:val="32"/>
          <w:szCs w:val="32"/>
          <w:highlight w:val="none"/>
        </w:rPr>
        <w:t>标声明</w:t>
      </w:r>
    </w:p>
    <w:p>
      <w:pPr>
        <w:spacing w:line="320" w:lineRule="exact"/>
        <w:jc w:val="center"/>
        <w:outlineLvl w:val="9"/>
        <w:rPr>
          <w:rFonts w:hint="eastAsia" w:ascii="宋体" w:hAnsi="宋体" w:eastAsia="宋体" w:cs="宋体"/>
          <w:color w:val="auto"/>
          <w:sz w:val="24"/>
          <w:szCs w:val="20"/>
          <w:highlight w:val="none"/>
        </w:rPr>
      </w:pPr>
    </w:p>
    <w:p>
      <w:pPr>
        <w:keepNext w:val="0"/>
        <w:keepLines w:val="0"/>
        <w:pageBreakBefore w:val="0"/>
        <w:widowControl w:val="0"/>
        <w:kinsoku/>
        <w:wordWrap w:val="0"/>
        <w:overflowPunct/>
        <w:topLinePunct w:val="0"/>
        <w:autoSpaceDE/>
        <w:autoSpaceDN/>
        <w:bidi w:val="0"/>
        <w:adjustRightInd/>
        <w:snapToGrid/>
        <w:spacing w:before="120" w:beforeLines="50" w:after="50" w:line="400" w:lineRule="exact"/>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（采购人名称）</w:t>
      </w:r>
      <w:r>
        <w:rPr>
          <w:rFonts w:hint="eastAsia" w:ascii="宋体" w:hAnsi="宋体" w:eastAsia="宋体" w:cs="宋体"/>
          <w:color w:val="auto"/>
          <w:szCs w:val="21"/>
        </w:rPr>
        <w:t>：</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我方参加贵单位组织</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）的政府采购活动。我方在此郑重声明：</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我方向贵方提交的所有</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文件、资料都是准确的和真实的。</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我方承诺符合《中华人民共和国政府采购法》第二十二条规定：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（1）具有独立承担民事责任的能力；</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4"/>
        <w:keepNext w:val="0"/>
        <w:keepLines w:val="0"/>
        <w:pageBreakBefore w:val="0"/>
        <w:widowControl w:val="0"/>
        <w:tabs>
          <w:tab w:val="left" w:pos="939"/>
        </w:tabs>
        <w:kinsoku/>
        <w:wordWrap w:val="0"/>
        <w:overflowPunct/>
        <w:topLinePunct w:val="0"/>
        <w:autoSpaceDE/>
        <w:autoSpaceDN/>
        <w:bidi w:val="0"/>
        <w:adjustRightInd/>
        <w:snapToGrid/>
        <w:spacing w:line="400" w:lineRule="exact"/>
        <w:ind w:left="141" w:leftChars="67" w:firstLine="315" w:firstLineChars="150"/>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以上事项如有虚假或隐瞒，我方愿意承担一切后果，并不再寻求任何旨在减轻或免除法律责任的辩解。</w:t>
      </w:r>
    </w:p>
    <w:p>
      <w:pPr>
        <w:pStyle w:val="14"/>
        <w:keepNext w:val="0"/>
        <w:keepLines w:val="0"/>
        <w:pageBreakBefore w:val="0"/>
        <w:widowControl w:val="0"/>
        <w:tabs>
          <w:tab w:val="left" w:pos="939"/>
        </w:tabs>
        <w:kinsoku/>
        <w:wordWrap w:val="0"/>
        <w:overflowPunct/>
        <w:topLinePunct w:val="0"/>
        <w:autoSpaceDE/>
        <w:autoSpaceDN/>
        <w:bidi w:val="0"/>
        <w:adjustRightInd/>
        <w:snapToGrid/>
        <w:spacing w:line="400" w:lineRule="exact"/>
        <w:ind w:left="141" w:leftChars="67" w:firstLine="315" w:firstLineChars="15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特此承诺。</w:t>
      </w:r>
    </w:p>
    <w:p>
      <w:pPr>
        <w:wordWrap w:val="0"/>
        <w:spacing w:line="320" w:lineRule="exact"/>
        <w:ind w:firstLine="3780" w:firstLineChars="1800"/>
        <w:outlineLvl w:val="9"/>
        <w:rPr>
          <w:rFonts w:hint="eastAsia" w:ascii="宋体" w:hAnsi="宋体" w:eastAsia="宋体" w:cs="宋体"/>
          <w:color w:val="auto"/>
        </w:rPr>
      </w:pPr>
    </w:p>
    <w:p>
      <w:pPr>
        <w:wordWrap w:val="0"/>
        <w:spacing w:line="320" w:lineRule="exact"/>
        <w:ind w:firstLine="3780" w:firstLineChars="1800"/>
        <w:outlineLvl w:val="9"/>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pStyle w:val="9"/>
        <w:overflowPunct w:val="0"/>
        <w:spacing w:line="520" w:lineRule="exact"/>
        <w:ind w:firstLine="0"/>
        <w:outlineLvl w:val="9"/>
        <w:rPr>
          <w:rFonts w:hint="eastAsia" w:ascii="宋体" w:hAnsi="宋体" w:eastAsia="宋体" w:cs="宋体"/>
          <w:b/>
          <w:bCs/>
          <w:color w:val="auto"/>
          <w:sz w:val="32"/>
          <w:szCs w:val="32"/>
          <w:highlight w:val="none"/>
        </w:rPr>
      </w:pPr>
      <w:r>
        <w:rPr>
          <w:rFonts w:hint="eastAsia" w:ascii="宋体" w:hAnsi="宋体" w:eastAsia="宋体" w:cs="宋体"/>
          <w:color w:val="auto"/>
          <w:szCs w:val="21"/>
        </w:rPr>
        <w:t xml:space="preserve">                                                        </w:t>
      </w:r>
      <w:r>
        <w:rPr>
          <w:rFonts w:hint="eastAsia" w:ascii="宋体" w:hAnsi="宋体" w:eastAsia="宋体" w:cs="宋体"/>
          <w:color w:val="auto"/>
        </w:rPr>
        <w:t xml:space="preserve"> 年    月    日 </w:t>
      </w: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wordWrap w:val="0"/>
        <w:spacing w:line="520" w:lineRule="exact"/>
        <w:jc w:val="center"/>
        <w:outlineLvl w:val="9"/>
        <w:rPr>
          <w:rFonts w:hint="eastAsia" w:ascii="宋体" w:hAnsi="宋体" w:eastAsia="宋体" w:cs="宋体"/>
          <w:bCs/>
          <w:color w:val="auto"/>
          <w:sz w:val="44"/>
          <w:szCs w:val="44"/>
          <w:highlight w:val="none"/>
          <w:lang w:eastAsia="zh-CN"/>
        </w:rPr>
      </w:pPr>
      <w:r>
        <w:rPr>
          <w:rFonts w:hint="eastAsia" w:ascii="宋体" w:hAnsi="宋体" w:eastAsia="宋体" w:cs="宋体"/>
          <w:bCs/>
          <w:color w:val="auto"/>
          <w:sz w:val="44"/>
          <w:szCs w:val="44"/>
          <w:highlight w:val="none"/>
          <w:lang w:val="en-US" w:eastAsia="zh-CN"/>
        </w:rPr>
        <w:t>投</w:t>
      </w:r>
      <w:r>
        <w:rPr>
          <w:rFonts w:hint="eastAsia" w:ascii="宋体" w:hAnsi="宋体" w:eastAsia="宋体" w:cs="宋体"/>
          <w:bCs/>
          <w:color w:val="auto"/>
          <w:sz w:val="44"/>
          <w:szCs w:val="44"/>
          <w:highlight w:val="none"/>
          <w:lang w:eastAsia="zh-CN"/>
        </w:rPr>
        <w:t>标</w:t>
      </w:r>
      <w:r>
        <w:rPr>
          <w:rFonts w:hint="eastAsia" w:ascii="宋体" w:hAnsi="宋体" w:eastAsia="宋体" w:cs="宋体"/>
          <w:bCs/>
          <w:color w:val="auto"/>
          <w:sz w:val="44"/>
          <w:szCs w:val="44"/>
          <w:highlight w:val="none"/>
          <w:lang w:val="en-US" w:eastAsia="zh-CN"/>
        </w:rPr>
        <w:t>函</w:t>
      </w:r>
      <w:r>
        <w:rPr>
          <w:rFonts w:hint="eastAsia" w:ascii="宋体" w:hAnsi="宋体" w:eastAsia="宋体" w:cs="宋体"/>
          <w:bCs/>
          <w:color w:val="auto"/>
          <w:sz w:val="44"/>
          <w:szCs w:val="44"/>
          <w:highlight w:val="none"/>
          <w:lang w:eastAsia="zh-CN"/>
        </w:rPr>
        <w:t>附录</w:t>
      </w:r>
    </w:p>
    <w:p>
      <w:pPr>
        <w:wordWrap w:val="0"/>
        <w:spacing w:line="520" w:lineRule="exact"/>
        <w:jc w:val="center"/>
        <w:outlineLvl w:val="9"/>
        <w:rPr>
          <w:rFonts w:hint="eastAsia" w:ascii="宋体" w:hAnsi="宋体" w:eastAsia="宋体" w:cs="宋体"/>
          <w:bCs/>
          <w:color w:val="auto"/>
          <w:sz w:val="44"/>
          <w:szCs w:val="4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rFonts w:hint="eastAsia" w:cs="宋体"/>
                <w:color w:val="auto"/>
              </w:rPr>
              <w:t>序</w:t>
            </w:r>
            <w:r>
              <w:rPr>
                <w:color w:val="auto"/>
              </w:rPr>
              <w:t xml:space="preserve"> </w:t>
            </w:r>
            <w:r>
              <w:rPr>
                <w:rFonts w:hint="eastAsia" w:cs="宋体"/>
                <w:color w:val="auto"/>
              </w:rPr>
              <w:t>号</w:t>
            </w:r>
          </w:p>
        </w:tc>
        <w:tc>
          <w:tcPr>
            <w:tcW w:w="1985" w:type="dxa"/>
            <w:noWrap w:val="0"/>
            <w:vAlign w:val="center"/>
          </w:tcPr>
          <w:p>
            <w:pPr>
              <w:jc w:val="center"/>
              <w:outlineLvl w:val="9"/>
              <w:rPr>
                <w:color w:val="auto"/>
              </w:rPr>
            </w:pPr>
            <w:r>
              <w:rPr>
                <w:rFonts w:hint="eastAsia" w:cs="宋体"/>
                <w:color w:val="auto"/>
              </w:rPr>
              <w:t>条款内容</w:t>
            </w:r>
          </w:p>
        </w:tc>
        <w:tc>
          <w:tcPr>
            <w:tcW w:w="2126" w:type="dxa"/>
            <w:noWrap w:val="0"/>
            <w:vAlign w:val="center"/>
          </w:tcPr>
          <w:p>
            <w:pPr>
              <w:jc w:val="center"/>
              <w:outlineLvl w:val="9"/>
              <w:rPr>
                <w:color w:val="auto"/>
              </w:rPr>
            </w:pPr>
            <w:r>
              <w:rPr>
                <w:rFonts w:hint="eastAsia" w:cs="宋体"/>
                <w:color w:val="auto"/>
              </w:rPr>
              <w:t>合同条款号</w:t>
            </w:r>
          </w:p>
        </w:tc>
        <w:tc>
          <w:tcPr>
            <w:tcW w:w="1984" w:type="dxa"/>
            <w:noWrap w:val="0"/>
            <w:vAlign w:val="center"/>
          </w:tcPr>
          <w:p>
            <w:pPr>
              <w:jc w:val="center"/>
              <w:outlineLvl w:val="9"/>
              <w:rPr>
                <w:color w:val="auto"/>
              </w:rPr>
            </w:pPr>
            <w:r>
              <w:rPr>
                <w:rFonts w:hint="eastAsia" w:cs="宋体"/>
                <w:color w:val="auto"/>
              </w:rPr>
              <w:t>约定内容</w:t>
            </w:r>
          </w:p>
        </w:tc>
        <w:tc>
          <w:tcPr>
            <w:tcW w:w="1843" w:type="dxa"/>
            <w:noWrap w:val="0"/>
            <w:vAlign w:val="center"/>
          </w:tcPr>
          <w:p>
            <w:pPr>
              <w:jc w:val="center"/>
              <w:outlineLvl w:val="9"/>
              <w:rPr>
                <w:color w:val="auto"/>
              </w:rPr>
            </w:pPr>
            <w:r>
              <w:rPr>
                <w:rFonts w:hint="eastAsia" w:cs="宋体"/>
                <w:color w:val="auto"/>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1</w:t>
            </w:r>
          </w:p>
        </w:tc>
        <w:tc>
          <w:tcPr>
            <w:tcW w:w="1985" w:type="dxa"/>
            <w:noWrap w:val="0"/>
            <w:vAlign w:val="center"/>
          </w:tcPr>
          <w:p>
            <w:pPr>
              <w:outlineLvl w:val="9"/>
              <w:rPr>
                <w:color w:val="auto"/>
              </w:rPr>
            </w:pPr>
            <w:r>
              <w:rPr>
                <w:rFonts w:hint="eastAsia" w:cs="宋体"/>
                <w:color w:val="auto"/>
              </w:rPr>
              <w:t>项目经理</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outlineLvl w:val="9"/>
              <w:rPr>
                <w:color w:val="auto"/>
              </w:rPr>
            </w:pPr>
            <w:r>
              <w:rPr>
                <w:rFonts w:hint="eastAsia" w:cs="宋体"/>
                <w:color w:val="auto"/>
              </w:rPr>
              <w:t>姓名：</w:t>
            </w:r>
            <w:r>
              <w:rPr>
                <w:color w:val="auto"/>
                <w:u w:val="single"/>
              </w:rPr>
              <w:t xml:space="preserve">          </w:t>
            </w: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2</w:t>
            </w:r>
          </w:p>
        </w:tc>
        <w:tc>
          <w:tcPr>
            <w:tcW w:w="1985" w:type="dxa"/>
            <w:noWrap w:val="0"/>
            <w:vAlign w:val="center"/>
          </w:tcPr>
          <w:p>
            <w:pPr>
              <w:outlineLvl w:val="9"/>
              <w:rPr>
                <w:color w:val="auto"/>
              </w:rPr>
            </w:pPr>
            <w:r>
              <w:rPr>
                <w:rFonts w:hint="eastAsia" w:cs="宋体"/>
                <w:color w:val="auto"/>
              </w:rPr>
              <w:t>投标有效期</w:t>
            </w:r>
          </w:p>
        </w:tc>
        <w:tc>
          <w:tcPr>
            <w:tcW w:w="2126" w:type="dxa"/>
            <w:noWrap w:val="0"/>
            <w:tcMar>
              <w:left w:w="170" w:type="dxa"/>
            </w:tcMar>
            <w:vAlign w:val="center"/>
          </w:tcPr>
          <w:p>
            <w:pPr>
              <w:outlineLvl w:val="9"/>
              <w:rPr>
                <w:color w:val="auto"/>
              </w:rPr>
            </w:pPr>
          </w:p>
        </w:tc>
        <w:tc>
          <w:tcPr>
            <w:tcW w:w="1984" w:type="dxa"/>
            <w:noWrap w:val="0"/>
            <w:vAlign w:val="center"/>
          </w:tcPr>
          <w:p>
            <w:pPr>
              <w:jc w:val="center"/>
              <w:outlineLvl w:val="9"/>
              <w:rPr>
                <w:color w:val="auto"/>
                <w:u w:val="single"/>
              </w:rPr>
            </w:pPr>
            <w:r>
              <w:rPr>
                <w:color w:val="auto"/>
                <w:u w:val="single"/>
              </w:rPr>
              <w:t xml:space="preserve">          </w:t>
            </w:r>
            <w:r>
              <w:rPr>
                <w:rFonts w:hint="eastAsia" w:cs="宋体"/>
                <w:color w:val="auto"/>
              </w:rPr>
              <w:t>日历天</w:t>
            </w: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3</w:t>
            </w:r>
          </w:p>
        </w:tc>
        <w:tc>
          <w:tcPr>
            <w:tcW w:w="1985" w:type="dxa"/>
            <w:noWrap w:val="0"/>
            <w:vAlign w:val="center"/>
          </w:tcPr>
          <w:p>
            <w:pPr>
              <w:outlineLvl w:val="9"/>
              <w:rPr>
                <w:color w:val="auto"/>
              </w:rPr>
            </w:pPr>
            <w:r>
              <w:rPr>
                <w:rFonts w:hint="eastAsia" w:cs="宋体"/>
                <w:color w:val="auto"/>
              </w:rPr>
              <w:t>工期</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r>
              <w:rPr>
                <w:color w:val="auto"/>
                <w:u w:val="single"/>
              </w:rPr>
              <w:t xml:space="preserve">          </w:t>
            </w:r>
            <w:r>
              <w:rPr>
                <w:rFonts w:hint="eastAsia" w:cs="宋体"/>
                <w:color w:val="auto"/>
              </w:rPr>
              <w:t>日历天</w:t>
            </w: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4</w:t>
            </w:r>
          </w:p>
        </w:tc>
        <w:tc>
          <w:tcPr>
            <w:tcW w:w="1985" w:type="dxa"/>
            <w:noWrap w:val="0"/>
            <w:vAlign w:val="center"/>
          </w:tcPr>
          <w:p>
            <w:pPr>
              <w:outlineLvl w:val="9"/>
              <w:rPr>
                <w:color w:val="auto"/>
              </w:rPr>
            </w:pPr>
            <w:r>
              <w:rPr>
                <w:rFonts w:hint="eastAsia" w:cs="宋体"/>
                <w:color w:val="auto"/>
              </w:rPr>
              <w:t>缺陷责任期</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5</w:t>
            </w:r>
          </w:p>
        </w:tc>
        <w:tc>
          <w:tcPr>
            <w:tcW w:w="1985" w:type="dxa"/>
            <w:noWrap w:val="0"/>
            <w:vAlign w:val="center"/>
          </w:tcPr>
          <w:p>
            <w:pPr>
              <w:outlineLvl w:val="9"/>
              <w:rPr>
                <w:color w:val="auto"/>
              </w:rPr>
            </w:pPr>
            <w:r>
              <w:rPr>
                <w:rFonts w:hint="eastAsia" w:cs="宋体"/>
                <w:color w:val="auto"/>
              </w:rPr>
              <w:t>发包人支付担保</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6</w:t>
            </w:r>
          </w:p>
        </w:tc>
        <w:tc>
          <w:tcPr>
            <w:tcW w:w="1985" w:type="dxa"/>
            <w:noWrap w:val="0"/>
            <w:vAlign w:val="center"/>
          </w:tcPr>
          <w:p>
            <w:pPr>
              <w:outlineLvl w:val="9"/>
              <w:rPr>
                <w:color w:val="auto"/>
              </w:rPr>
            </w:pPr>
            <w:r>
              <w:rPr>
                <w:rFonts w:hint="eastAsia" w:cs="宋体"/>
                <w:color w:val="auto"/>
              </w:rPr>
              <w:t>承包人履约担保金额</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7</w:t>
            </w:r>
          </w:p>
        </w:tc>
        <w:tc>
          <w:tcPr>
            <w:tcW w:w="1985" w:type="dxa"/>
            <w:noWrap w:val="0"/>
            <w:vAlign w:val="center"/>
          </w:tcPr>
          <w:p>
            <w:pPr>
              <w:outlineLvl w:val="9"/>
              <w:rPr>
                <w:color w:val="auto"/>
              </w:rPr>
            </w:pPr>
            <w:r>
              <w:rPr>
                <w:rFonts w:hint="eastAsia" w:cs="宋体"/>
                <w:color w:val="auto"/>
              </w:rPr>
              <w:t>分包</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r>
              <w:rPr>
                <w:rFonts w:hint="eastAsia" w:cs="宋体"/>
                <w:color w:val="auto"/>
              </w:rPr>
              <w:t>见分包项目情况表</w:t>
            </w: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8</w:t>
            </w:r>
          </w:p>
        </w:tc>
        <w:tc>
          <w:tcPr>
            <w:tcW w:w="1985" w:type="dxa"/>
            <w:noWrap w:val="0"/>
            <w:vAlign w:val="center"/>
          </w:tcPr>
          <w:p>
            <w:pPr>
              <w:outlineLvl w:val="9"/>
              <w:rPr>
                <w:color w:val="auto"/>
              </w:rPr>
            </w:pPr>
            <w:r>
              <w:rPr>
                <w:rFonts w:hint="eastAsia" w:cs="宋体"/>
                <w:color w:val="auto"/>
              </w:rPr>
              <w:t>逾期竣工违约金</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9</w:t>
            </w:r>
          </w:p>
        </w:tc>
        <w:tc>
          <w:tcPr>
            <w:tcW w:w="1985" w:type="dxa"/>
            <w:noWrap w:val="0"/>
            <w:vAlign w:val="center"/>
          </w:tcPr>
          <w:p>
            <w:pPr>
              <w:outlineLvl w:val="9"/>
              <w:rPr>
                <w:color w:val="auto"/>
              </w:rPr>
            </w:pPr>
            <w:r>
              <w:rPr>
                <w:rFonts w:hint="eastAsia" w:cs="宋体"/>
                <w:color w:val="auto"/>
              </w:rPr>
              <w:t>逾期竣工违约金最高限额</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10</w:t>
            </w:r>
          </w:p>
        </w:tc>
        <w:tc>
          <w:tcPr>
            <w:tcW w:w="1985" w:type="dxa"/>
            <w:noWrap w:val="0"/>
            <w:vAlign w:val="center"/>
          </w:tcPr>
          <w:p>
            <w:pPr>
              <w:outlineLvl w:val="9"/>
              <w:rPr>
                <w:color w:val="auto"/>
              </w:rPr>
            </w:pPr>
            <w:r>
              <w:rPr>
                <w:rFonts w:hint="eastAsia" w:cs="宋体"/>
                <w:color w:val="auto"/>
              </w:rPr>
              <w:t>质量标准</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11</w:t>
            </w:r>
          </w:p>
        </w:tc>
        <w:tc>
          <w:tcPr>
            <w:tcW w:w="1985" w:type="dxa"/>
            <w:noWrap w:val="0"/>
            <w:vAlign w:val="center"/>
          </w:tcPr>
          <w:p>
            <w:pPr>
              <w:outlineLvl w:val="9"/>
              <w:rPr>
                <w:color w:val="auto"/>
              </w:rPr>
            </w:pPr>
            <w:r>
              <w:rPr>
                <w:rFonts w:hint="eastAsia" w:cs="宋体"/>
                <w:color w:val="auto"/>
              </w:rPr>
              <w:t>预付款额度</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12</w:t>
            </w:r>
          </w:p>
        </w:tc>
        <w:tc>
          <w:tcPr>
            <w:tcW w:w="1985" w:type="dxa"/>
            <w:noWrap w:val="0"/>
            <w:vAlign w:val="center"/>
          </w:tcPr>
          <w:p>
            <w:pPr>
              <w:outlineLvl w:val="9"/>
              <w:rPr>
                <w:color w:val="auto"/>
              </w:rPr>
            </w:pPr>
            <w:r>
              <w:rPr>
                <w:rFonts w:hint="eastAsia" w:cs="宋体"/>
                <w:color w:val="auto"/>
              </w:rPr>
              <w:t>预付款保函金额</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13</w:t>
            </w:r>
          </w:p>
        </w:tc>
        <w:tc>
          <w:tcPr>
            <w:tcW w:w="1985" w:type="dxa"/>
            <w:noWrap w:val="0"/>
            <w:vAlign w:val="center"/>
          </w:tcPr>
          <w:p>
            <w:pPr>
              <w:outlineLvl w:val="9"/>
              <w:rPr>
                <w:color w:val="auto"/>
              </w:rPr>
            </w:pPr>
            <w:r>
              <w:rPr>
                <w:rFonts w:hint="eastAsia" w:cs="宋体"/>
                <w:color w:val="auto"/>
              </w:rPr>
              <w:t>质量保证金额度</w:t>
            </w:r>
          </w:p>
        </w:tc>
        <w:tc>
          <w:tcPr>
            <w:tcW w:w="2126" w:type="dxa"/>
            <w:noWrap w:val="0"/>
            <w:tcMar>
              <w:left w:w="170" w:type="dxa"/>
            </w:tcMar>
            <w:vAlign w:val="center"/>
          </w:tcPr>
          <w:p>
            <w:pPr>
              <w:jc w:val="center"/>
              <w:outlineLvl w:val="9"/>
              <w:rPr>
                <w:color w:val="auto"/>
              </w:rPr>
            </w:pPr>
            <w:r>
              <w:rPr>
                <w:rFonts w:hint="eastAsia" w:cs="宋体"/>
                <w:color w:val="auto"/>
              </w:rPr>
              <w:t>专用条款</w:t>
            </w:r>
          </w:p>
        </w:tc>
        <w:tc>
          <w:tcPr>
            <w:tcW w:w="1984" w:type="dxa"/>
            <w:noWrap w:val="0"/>
            <w:vAlign w:val="center"/>
          </w:tcPr>
          <w:p>
            <w:pPr>
              <w:jc w:val="center"/>
              <w:outlineLvl w:val="9"/>
              <w:rPr>
                <w:color w:val="auto"/>
              </w:rPr>
            </w:pPr>
            <w:r>
              <w:rPr>
                <w:rFonts w:hint="eastAsia" w:cs="宋体"/>
                <w:color w:val="auto"/>
              </w:rPr>
              <w:t>结算价的</w:t>
            </w:r>
            <w:r>
              <w:rPr>
                <w:color w:val="auto"/>
                <w:u w:val="single"/>
              </w:rPr>
              <w:t xml:space="preserve">     </w:t>
            </w:r>
            <w:r>
              <w:rPr>
                <w:color w:val="auto"/>
              </w:rPr>
              <w:t xml:space="preserve">% </w:t>
            </w:r>
            <w:r>
              <w:rPr>
                <w:color w:val="auto"/>
                <w:u w:val="single"/>
              </w:rPr>
              <w:t xml:space="preserve"> </w:t>
            </w: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rPr>
            </w:pPr>
            <w:r>
              <w:rPr>
                <w:color w:val="auto"/>
              </w:rPr>
              <w:t>……</w:t>
            </w:r>
          </w:p>
        </w:tc>
        <w:tc>
          <w:tcPr>
            <w:tcW w:w="1985" w:type="dxa"/>
            <w:noWrap w:val="0"/>
            <w:vAlign w:val="center"/>
          </w:tcPr>
          <w:p>
            <w:pPr>
              <w:jc w:val="center"/>
              <w:outlineLvl w:val="9"/>
              <w:rPr>
                <w:color w:val="auto"/>
              </w:rPr>
            </w:pPr>
            <w:r>
              <w:rPr>
                <w:color w:val="auto"/>
              </w:rPr>
              <w:t>……</w:t>
            </w:r>
          </w:p>
        </w:tc>
        <w:tc>
          <w:tcPr>
            <w:tcW w:w="2126" w:type="dxa"/>
            <w:noWrap w:val="0"/>
            <w:tcMar>
              <w:left w:w="170" w:type="dxa"/>
            </w:tcMar>
            <w:vAlign w:val="center"/>
          </w:tcPr>
          <w:p>
            <w:pPr>
              <w:outlineLvl w:val="9"/>
              <w:rPr>
                <w:color w:val="auto"/>
              </w:rPr>
            </w:pPr>
          </w:p>
        </w:tc>
        <w:tc>
          <w:tcPr>
            <w:tcW w:w="1984" w:type="dxa"/>
            <w:noWrap w:val="0"/>
            <w:vAlign w:val="center"/>
          </w:tcPr>
          <w:p>
            <w:pPr>
              <w:jc w:val="center"/>
              <w:outlineLvl w:val="9"/>
              <w:rPr>
                <w:color w:val="auto"/>
              </w:rPr>
            </w:pPr>
          </w:p>
        </w:tc>
        <w:tc>
          <w:tcPr>
            <w:tcW w:w="1843"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outlineLvl w:val="9"/>
              <w:rPr>
                <w:color w:val="auto"/>
              </w:rPr>
            </w:pPr>
            <w:r>
              <w:rPr>
                <w:rFonts w:hint="eastAsia" w:cs="宋体"/>
                <w:color w:val="auto"/>
              </w:rPr>
              <w:t>说明：投标人在响应招标文件中规定的实质性要求和条件的基础上，可做出其他有利于招标人的承诺。此类承诺可在本表中予以补充填写。</w:t>
            </w:r>
          </w:p>
        </w:tc>
      </w:tr>
    </w:tbl>
    <w:p>
      <w:pPr>
        <w:wordWrap w:val="0"/>
        <w:spacing w:line="480" w:lineRule="exact"/>
        <w:ind w:firstLine="2520" w:firstLineChars="1200"/>
        <w:outlineLvl w:val="9"/>
        <w:rPr>
          <w:rFonts w:hint="eastAsia" w:ascii="宋体" w:hAnsi="宋体" w:eastAsia="宋体" w:cs="宋体"/>
          <w:color w:val="auto"/>
          <w:szCs w:val="21"/>
          <w:lang w:val="en-US" w:eastAsia="zh-CN"/>
        </w:rPr>
      </w:pPr>
    </w:p>
    <w:p>
      <w:pPr>
        <w:wordWrap w:val="0"/>
        <w:spacing w:line="480" w:lineRule="exact"/>
        <w:ind w:firstLine="2520" w:firstLineChars="1200"/>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（盖单位公章）</w:t>
      </w:r>
    </w:p>
    <w:p>
      <w:pPr>
        <w:wordWrap w:val="0"/>
        <w:spacing w:line="480" w:lineRule="exact"/>
        <w:ind w:firstLine="2520" w:firstLineChars="1200"/>
        <w:outlineLvl w:val="9"/>
        <w:rPr>
          <w:rFonts w:hint="eastAsia" w:ascii="宋体" w:hAnsi="宋体" w:eastAsia="宋体" w:cs="宋体"/>
          <w:color w:val="auto"/>
          <w:szCs w:val="21"/>
          <w:u w:val="single"/>
          <w:lang w:val="en-US" w:eastAsia="zh-CN"/>
        </w:rPr>
      </w:pPr>
      <w:r>
        <w:rPr>
          <w:rFonts w:hint="eastAsia" w:ascii="宋体" w:hAnsi="宋体" w:eastAsia="宋体" w:cs="宋体"/>
          <w:color w:val="auto"/>
          <w:szCs w:val="21"/>
          <w:lang w:val="en-US" w:eastAsia="zh-CN"/>
        </w:rPr>
        <w:t>法人代表或委托代理人（签字或盖章）：</w:t>
      </w:r>
      <w:r>
        <w:rPr>
          <w:rFonts w:hint="eastAsia" w:ascii="宋体" w:hAnsi="宋体" w:eastAsia="宋体" w:cs="宋体"/>
          <w:color w:val="auto"/>
          <w:szCs w:val="21"/>
          <w:u w:val="single"/>
          <w:lang w:val="en-US" w:eastAsia="zh-CN"/>
        </w:rPr>
        <w:t xml:space="preserve">             </w:t>
      </w:r>
    </w:p>
    <w:p>
      <w:pPr>
        <w:wordWrap w:val="0"/>
        <w:spacing w:line="480" w:lineRule="exact"/>
        <w:ind w:firstLine="2520" w:firstLineChars="1200"/>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日期：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年</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月</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日</w:t>
      </w: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pStyle w:val="2"/>
        <w:jc w:val="center"/>
        <w:outlineLvl w:val="0"/>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9" w:name="_Toc18739"/>
      <w:bookmarkStart w:id="650" w:name="_Toc20995"/>
      <w:r>
        <w:rPr>
          <w:rFonts w:hint="eastAsia" w:ascii="宋体" w:hAnsi="宋体" w:eastAsia="宋体" w:cs="宋体"/>
          <w:b w:val="0"/>
          <w:bCs w:val="0"/>
          <w:color w:val="auto"/>
          <w:sz w:val="32"/>
          <w:szCs w:val="32"/>
          <w:highlight w:val="none"/>
          <w:u w:val="single"/>
          <w:lang w:val="en-US" w:eastAsia="zh-CN"/>
        </w:rPr>
        <w:t>（项目名称）</w:t>
      </w:r>
      <w:bookmarkEnd w:id="649"/>
      <w:bookmarkEnd w:id="650"/>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72"/>
          <w:szCs w:val="72"/>
          <w:highlight w:val="none"/>
          <w:lang w:val="en-US" w:eastAsia="zh-CN"/>
        </w:rPr>
      </w:pPr>
    </w:p>
    <w:p>
      <w:pPr>
        <w:pStyle w:val="2"/>
        <w:jc w:val="center"/>
        <w:outlineLvl w:val="9"/>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投</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件</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0"/>
        <w:rPr>
          <w:rFonts w:hint="eastAsia" w:ascii="宋体" w:hAnsi="宋体" w:eastAsia="宋体" w:cs="宋体"/>
          <w:b w:val="0"/>
          <w:bCs w:val="0"/>
          <w:color w:val="auto"/>
          <w:sz w:val="32"/>
          <w:szCs w:val="32"/>
          <w:highlight w:val="none"/>
          <w:lang w:val="en-US" w:eastAsia="zh-CN"/>
        </w:rPr>
      </w:pPr>
      <w:bookmarkStart w:id="651" w:name="_Toc20578"/>
      <w:bookmarkStart w:id="652" w:name="_Toc31995"/>
      <w:r>
        <w:rPr>
          <w:rFonts w:hint="eastAsia" w:ascii="宋体" w:hAnsi="宋体" w:eastAsia="宋体" w:cs="宋体"/>
          <w:b w:val="0"/>
          <w:bCs w:val="0"/>
          <w:color w:val="auto"/>
          <w:sz w:val="32"/>
          <w:szCs w:val="32"/>
          <w:highlight w:val="none"/>
          <w:lang w:val="en-US" w:eastAsia="zh-CN"/>
        </w:rPr>
        <w:t>项目编号：</w:t>
      </w:r>
      <w:bookmarkEnd w:id="651"/>
      <w:bookmarkEnd w:id="652"/>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ind w:leftChars="600"/>
        <w:jc w:val="left"/>
        <w:outlineLvl w:val="9"/>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val="0"/>
          <w:bCs w:val="0"/>
          <w:color w:val="auto"/>
          <w:sz w:val="32"/>
          <w:szCs w:val="32"/>
          <w:highlight w:val="none"/>
          <w:lang w:val="en-US" w:eastAsia="zh-CN"/>
        </w:rPr>
        <w:t>投标内容：</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报价文件  </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  </w:t>
      </w:r>
    </w:p>
    <w:p>
      <w:pPr>
        <w:pStyle w:val="2"/>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（盖单位公章）</w:t>
      </w:r>
    </w:p>
    <w:p>
      <w:pPr>
        <w:pStyle w:val="2"/>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法定代表人或其委托代理人：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（签字或盖章）</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53" w:name="_Toc15285"/>
      <w:bookmarkStart w:id="654" w:name="_Toc19451"/>
      <w:r>
        <w:rPr>
          <w:rFonts w:hint="eastAsia" w:ascii="宋体" w:hAnsi="宋体" w:eastAsia="宋体" w:cs="宋体"/>
          <w:b w:val="0"/>
          <w:bCs w:val="0"/>
          <w:color w:val="auto"/>
          <w:sz w:val="32"/>
          <w:szCs w:val="32"/>
          <w:highlight w:val="none"/>
          <w:lang w:val="en-US" w:eastAsia="zh-CN"/>
        </w:rPr>
        <w:t>年</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月</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日</w:t>
      </w:r>
      <w:bookmarkEnd w:id="653"/>
      <w:bookmarkEnd w:id="654"/>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目录</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根据招标文件规定及投标人提供的材料自行编写目录（部分格式后附）。</w:t>
      </w: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pStyle w:val="2"/>
        <w:jc w:val="left"/>
        <w:outlineLvl w:val="9"/>
        <w:rPr>
          <w:rFonts w:hint="eastAsia" w:ascii="宋体" w:hAnsi="宋体" w:eastAsia="宋体" w:cs="宋体"/>
          <w:b w:val="0"/>
          <w:bCs w:val="0"/>
          <w:color w:val="auto"/>
          <w:sz w:val="32"/>
          <w:szCs w:val="32"/>
          <w:highlight w:val="none"/>
          <w:lang w:val="en-US" w:eastAsia="zh-CN"/>
        </w:rPr>
      </w:pPr>
    </w:p>
    <w:p>
      <w:pPr>
        <w:rPr>
          <w:rFonts w:hint="eastAsia"/>
          <w:b/>
          <w:bCs/>
          <w:color w:val="auto"/>
          <w:sz w:val="32"/>
          <w:szCs w:val="40"/>
          <w:highlight w:val="none"/>
          <w:lang w:val="en-US" w:eastAsia="zh-CN"/>
        </w:rPr>
      </w:pPr>
      <w:r>
        <w:rPr>
          <w:rFonts w:hint="eastAsia"/>
          <w:b/>
          <w:bCs/>
          <w:color w:val="auto"/>
          <w:sz w:val="32"/>
          <w:szCs w:val="40"/>
          <w:highlight w:val="none"/>
          <w:lang w:val="en-US" w:eastAsia="zh-CN"/>
        </w:rPr>
        <w:br w:type="page"/>
      </w:r>
    </w:p>
    <w:p>
      <w:pPr>
        <w:jc w:val="center"/>
        <w:outlineLvl w:val="9"/>
        <w:rPr>
          <w:rFonts w:hint="eastAsia"/>
          <w:b/>
          <w:bCs/>
          <w:color w:val="auto"/>
          <w:sz w:val="32"/>
          <w:szCs w:val="40"/>
          <w:highlight w:val="none"/>
          <w:lang w:val="en-US" w:eastAsia="zh-CN"/>
        </w:rPr>
      </w:pPr>
      <w:r>
        <w:rPr>
          <w:rFonts w:hint="eastAsia"/>
          <w:b/>
          <w:bCs/>
          <w:color w:val="auto"/>
          <w:sz w:val="32"/>
          <w:szCs w:val="40"/>
          <w:highlight w:val="none"/>
          <w:lang w:val="en-US" w:eastAsia="zh-CN"/>
        </w:rPr>
        <w:t>投标函</w:t>
      </w:r>
    </w:p>
    <w:p>
      <w:pPr>
        <w:outlineLvl w:val="9"/>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1、根据你方项目编号为</w:t>
      </w:r>
      <w:r>
        <w:rPr>
          <w:rFonts w:hint="eastAsia" w:ascii="宋体" w:hAnsi="宋体" w:eastAsia="宋体" w:cs="宋体"/>
          <w:color w:val="auto"/>
          <w:sz w:val="24"/>
          <w:szCs w:val="24"/>
          <w:highlight w:val="none"/>
          <w:u w:val="single"/>
          <w:lang w:val="en-US" w:eastAsia="zh-CN"/>
        </w:rPr>
        <w:t xml:space="preserve">（项目编号） </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 xml:space="preserve">（项目名称） </w:t>
      </w:r>
      <w:r>
        <w:rPr>
          <w:rFonts w:hint="eastAsia" w:ascii="宋体" w:hAnsi="宋体" w:eastAsia="宋体" w:cs="宋体"/>
          <w:color w:val="auto"/>
          <w:sz w:val="24"/>
          <w:szCs w:val="24"/>
          <w:highlight w:val="none"/>
          <w:lang w:val="en-US" w:eastAsia="zh-CN"/>
        </w:rPr>
        <w:t>工程招标文件，遵照《中华人民共和国政府采购法》等有关规定，经踏勘项目现场和研究上述招标文件的投标人须知、合同条款、工程建设标准和工程量清单及其他有关文件后，我方愿以人民币（大写）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元（RMB</w:t>
      </w:r>
      <w:r>
        <w:rPr>
          <w:rFonts w:hint="default" w:ascii="Arial" w:hAnsi="Arial" w:eastAsia="宋体" w:cs="Arial"/>
          <w:color w:val="auto"/>
          <w:sz w:val="24"/>
          <w:szCs w:val="24"/>
          <w:highlight w:val="none"/>
          <w:u w:val="single"/>
          <w:lang w:val="en-US" w:eastAsia="zh-CN"/>
        </w:rPr>
        <w:t>¥</w:t>
      </w:r>
      <w:r>
        <w:rPr>
          <w:rFonts w:hint="eastAsia" w:ascii="Arial" w:hAnsi="Arial" w:eastAsia="宋体" w:cs="Arial"/>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元）的投标报价并按上述合同条款、工程建设标准和工程量清单（如有）的条件要求承包上述工程的施工、竣工，并承担任何质量缺陷保修责任。我方保证工程质量达到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2、我方已详细审核全部招标文件，包括修改文件（如有时）及有关附件。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3、我方承认投标函附录是我方投标函的组成部分。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4、一旦我方中标，我方保证按合同书中规定的工期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日历天内完成并移交全部工程。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5、如果我方中标，我方将按照文件规定提交履约保证金作为履约担保。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6、我方同意所提交的投标文件在招标文件的“投标人须知”中规定的投标有效期内有效，  在此期间内如果中标，我方将受此约束。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7、除非另外达成协议并生效，你方的中标通知书和本投标文件将成为约束双方的合同文件  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 标 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单位地址：</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（签字或盖章）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传真：</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开户银行名称：</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Style w:val="2"/>
        <w:outlineLvl w:val="9"/>
        <w:rPr>
          <w:rFonts w:hint="eastAsia" w:ascii="宋体" w:hAnsi="宋体" w:eastAsia="宋体" w:cs="宋体"/>
          <w:color w:val="auto"/>
          <w:sz w:val="24"/>
          <w:szCs w:val="24"/>
          <w:highlight w:val="none"/>
          <w:lang w:val="en-US" w:eastAsia="zh-CN"/>
        </w:rPr>
      </w:pPr>
    </w:p>
    <w:p>
      <w:pPr>
        <w:rPr>
          <w:b/>
          <w:color w:val="auto"/>
          <w:sz w:val="28"/>
          <w:szCs w:val="36"/>
          <w:highlight w:val="none"/>
        </w:rPr>
      </w:pPr>
      <w:r>
        <w:rPr>
          <w:b/>
          <w:color w:val="auto"/>
          <w:sz w:val="28"/>
          <w:szCs w:val="36"/>
          <w:highlight w:val="none"/>
        </w:rPr>
        <w:br w:type="page"/>
      </w:r>
    </w:p>
    <w:p>
      <w:pPr>
        <w:spacing w:before="53"/>
        <w:ind w:left="0" w:right="430" w:firstLine="0"/>
        <w:jc w:val="center"/>
        <w:outlineLvl w:val="9"/>
        <w:rPr>
          <w:b/>
          <w:color w:val="auto"/>
          <w:sz w:val="28"/>
          <w:szCs w:val="36"/>
          <w:highlight w:val="none"/>
        </w:rPr>
      </w:pPr>
      <w:r>
        <w:rPr>
          <w:b/>
          <w:color w:val="auto"/>
          <w:sz w:val="28"/>
          <w:szCs w:val="36"/>
          <w:highlight w:val="none"/>
        </w:rPr>
        <w:t>投标函附录</w:t>
      </w:r>
    </w:p>
    <w:p>
      <w:pPr>
        <w:pStyle w:val="11"/>
        <w:outlineLvl w:val="9"/>
        <w:rPr>
          <w:b/>
          <w:color w:val="auto"/>
          <w:sz w:val="20"/>
          <w:highlight w:val="none"/>
        </w:rPr>
      </w:pPr>
    </w:p>
    <w:p>
      <w:pPr>
        <w:pStyle w:val="11"/>
        <w:spacing w:before="8"/>
        <w:outlineLvl w:val="9"/>
        <w:rPr>
          <w:b/>
          <w:color w:val="auto"/>
          <w:sz w:val="14"/>
          <w:highlight w:val="none"/>
        </w:rPr>
      </w:pPr>
    </w:p>
    <w:p>
      <w:pPr>
        <w:pStyle w:val="11"/>
        <w:tabs>
          <w:tab w:val="left" w:pos="3255"/>
        </w:tabs>
        <w:spacing w:after="4"/>
        <w:ind w:left="1036"/>
        <w:outlineLvl w:val="9"/>
        <w:rPr>
          <w:color w:val="auto"/>
          <w:highlight w:val="none"/>
        </w:rPr>
      </w:pPr>
      <w:r>
        <w:rPr>
          <w:color w:val="auto"/>
          <w:highlight w:val="none"/>
        </w:rPr>
        <w:t>项目名称：</w:t>
      </w:r>
      <w:r>
        <w:rPr>
          <w:color w:val="auto"/>
          <w:highlight w:val="none"/>
        </w:rPr>
        <w:tab/>
      </w:r>
      <w:r>
        <w:rPr>
          <w:color w:val="auto"/>
          <w:highlight w:val="none"/>
        </w:rPr>
        <w:t>项目编号：</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2111"/>
        <w:gridCol w:w="2319"/>
        <w:gridCol w:w="198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合同条款号</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843"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both"/>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2319" w:type="dxa"/>
            <w:vAlign w:val="center"/>
          </w:tcPr>
          <w:p>
            <w:pPr>
              <w:jc w:val="center"/>
              <w:outlineLvl w:val="9"/>
              <w:rPr>
                <w:rFonts w:hint="eastAsia" w:ascii="宋体" w:hAnsi="宋体" w:eastAsia="宋体" w:cs="宋体"/>
                <w:color w:val="auto"/>
                <w:sz w:val="24"/>
                <w:szCs w:val="24"/>
                <w:highlight w:val="none"/>
              </w:rPr>
            </w:pP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个月</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发包人支付担保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承包人履约担保金额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逾期竣工违约金最高限额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预付款额度</w:t>
            </w:r>
          </w:p>
        </w:tc>
        <w:tc>
          <w:tcPr>
            <w:tcW w:w="2319" w:type="dxa"/>
            <w:vAlign w:val="center"/>
          </w:tcPr>
          <w:p>
            <w:pPr>
              <w:jc w:val="both"/>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预付款保函金额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质量保证金额度</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19" w:type="dxa"/>
            <w:vAlign w:val="center"/>
          </w:tcPr>
          <w:p>
            <w:pPr>
              <w:jc w:val="center"/>
              <w:outlineLvl w:val="9"/>
              <w:rPr>
                <w:rFonts w:hint="eastAsia" w:ascii="宋体" w:hAnsi="宋体" w:eastAsia="宋体" w:cs="宋体"/>
                <w:color w:val="auto"/>
                <w:sz w:val="24"/>
                <w:szCs w:val="24"/>
                <w:highlight w:val="none"/>
              </w:rPr>
            </w:pP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9248" w:type="dxa"/>
            <w:gridSpan w:val="5"/>
            <w:vAlign w:val="center"/>
          </w:tcPr>
          <w:p>
            <w:pPr>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备注：投标人在响应招标文件中规定的实质性要求和条件的基础上，可做出其他有利于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的承诺。此类承诺可在本表中予以补充</w:t>
            </w:r>
            <w:r>
              <w:rPr>
                <w:rFonts w:hint="eastAsia" w:ascii="宋体" w:hAnsi="宋体" w:eastAsia="宋体" w:cs="宋体"/>
                <w:color w:val="auto"/>
                <w:sz w:val="24"/>
                <w:szCs w:val="24"/>
                <w:highlight w:val="none"/>
                <w:lang w:eastAsia="zh-CN"/>
              </w:rPr>
              <w:t>编写</w:t>
            </w:r>
            <w:r>
              <w:rPr>
                <w:rFonts w:hint="eastAsia" w:ascii="宋体" w:hAnsi="宋体" w:eastAsia="宋体" w:cs="宋体"/>
                <w:color w:val="auto"/>
                <w:sz w:val="24"/>
                <w:szCs w:val="24"/>
                <w:highlight w:val="none"/>
              </w:rPr>
              <w:t>。</w:t>
            </w:r>
          </w:p>
        </w:tc>
      </w:tr>
    </w:tbl>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wordWrap w:val="0"/>
        <w:spacing w:line="480" w:lineRule="exact"/>
        <w:ind w:firstLine="2520" w:firstLineChars="1200"/>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（盖单位公章）</w:t>
      </w:r>
    </w:p>
    <w:p>
      <w:pPr>
        <w:wordWrap w:val="0"/>
        <w:spacing w:line="480" w:lineRule="exact"/>
        <w:ind w:firstLine="2520" w:firstLineChars="1200"/>
        <w:outlineLvl w:val="9"/>
        <w:rPr>
          <w:rFonts w:hint="eastAsia" w:ascii="宋体" w:hAnsi="宋体" w:eastAsia="宋体" w:cs="宋体"/>
          <w:color w:val="auto"/>
          <w:szCs w:val="21"/>
          <w:u w:val="single"/>
          <w:lang w:val="en-US" w:eastAsia="zh-CN"/>
        </w:rPr>
      </w:pPr>
      <w:r>
        <w:rPr>
          <w:rFonts w:hint="eastAsia" w:ascii="宋体" w:hAnsi="宋体" w:eastAsia="宋体" w:cs="宋体"/>
          <w:color w:val="auto"/>
          <w:szCs w:val="21"/>
          <w:lang w:val="en-US" w:eastAsia="zh-CN"/>
        </w:rPr>
        <w:t>法人代表或其委托代理人（签字或盖章）：</w:t>
      </w:r>
      <w:r>
        <w:rPr>
          <w:rFonts w:hint="eastAsia" w:ascii="宋体" w:hAnsi="宋体" w:eastAsia="宋体" w:cs="宋体"/>
          <w:color w:val="auto"/>
          <w:szCs w:val="21"/>
          <w:u w:val="single"/>
          <w:lang w:val="en-US" w:eastAsia="zh-CN"/>
        </w:rPr>
        <w:t xml:space="preserve">             </w:t>
      </w:r>
    </w:p>
    <w:p>
      <w:pPr>
        <w:wordWrap w:val="0"/>
        <w:spacing w:line="480" w:lineRule="exact"/>
        <w:ind w:firstLine="2520" w:firstLineChars="1200"/>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日期：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年</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月</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日</w:t>
      </w:r>
    </w:p>
    <w:p>
      <w:pPr>
        <w:pStyle w:val="2"/>
        <w:outlineLvl w:val="9"/>
        <w:rPr>
          <w:rFonts w:hint="eastAsia" w:ascii="宋体" w:hAnsi="宋体" w:eastAsia="宋体" w:cs="宋体"/>
          <w:color w:val="auto"/>
          <w:sz w:val="24"/>
          <w:szCs w:val="24"/>
          <w:highlight w:val="none"/>
          <w:lang w:val="en-US" w:eastAsia="zh-CN"/>
        </w:rPr>
      </w:pPr>
    </w:p>
    <w:p>
      <w:pPr>
        <w:spacing w:before="37"/>
        <w:ind w:left="0" w:right="425" w:firstLine="0"/>
        <w:jc w:val="center"/>
        <w:outlineLvl w:val="9"/>
        <w:rPr>
          <w:b/>
          <w:color w:val="auto"/>
          <w:sz w:val="24"/>
          <w:highlight w:val="none"/>
        </w:rPr>
      </w:pPr>
    </w:p>
    <w:p>
      <w:pPr>
        <w:spacing w:before="37"/>
        <w:ind w:left="0" w:right="425" w:firstLine="0"/>
        <w:jc w:val="center"/>
        <w:outlineLvl w:val="9"/>
        <w:rPr>
          <w:b/>
          <w:color w:val="auto"/>
          <w:sz w:val="24"/>
          <w:highlight w:val="none"/>
        </w:rPr>
      </w:pPr>
    </w:p>
    <w:p>
      <w:pPr>
        <w:spacing w:before="37"/>
        <w:ind w:left="0" w:right="425" w:firstLine="0"/>
        <w:jc w:val="center"/>
        <w:outlineLvl w:val="9"/>
        <w:rPr>
          <w:b/>
          <w:color w:val="auto"/>
          <w:sz w:val="24"/>
          <w:highlight w:val="none"/>
        </w:rPr>
      </w:pPr>
      <w:r>
        <w:rPr>
          <w:b/>
          <w:color w:val="auto"/>
          <w:sz w:val="24"/>
          <w:highlight w:val="none"/>
        </w:rPr>
        <w:t>投标报价表</w:t>
      </w:r>
    </w:p>
    <w:p>
      <w:pPr>
        <w:pStyle w:val="11"/>
        <w:spacing w:before="2"/>
        <w:outlineLvl w:val="9"/>
        <w:rPr>
          <w:b/>
          <w:color w:val="auto"/>
          <w:sz w:val="25"/>
          <w:highlight w:val="none"/>
        </w:rPr>
      </w:pPr>
    </w:p>
    <w:p>
      <w:pPr>
        <w:pStyle w:val="11"/>
        <w:ind w:left="1036"/>
        <w:outlineLvl w:val="9"/>
        <w:rPr>
          <w:color w:val="auto"/>
          <w:highlight w:val="none"/>
        </w:rPr>
      </w:pPr>
      <w:r>
        <w:rPr>
          <w:color w:val="auto"/>
          <w:highlight w:val="none"/>
        </w:rPr>
        <w:t>项目名称</w:t>
      </w:r>
    </w:p>
    <w:p>
      <w:pPr>
        <w:pStyle w:val="11"/>
        <w:tabs>
          <w:tab w:val="left" w:pos="7515"/>
        </w:tabs>
        <w:spacing w:before="2" w:after="2"/>
        <w:ind w:left="1036"/>
        <w:outlineLvl w:val="9"/>
        <w:rPr>
          <w:color w:val="auto"/>
          <w:highlight w:val="none"/>
        </w:rPr>
      </w:pPr>
      <w:r>
        <w:rPr>
          <w:color w:val="auto"/>
          <w:position w:val="-6"/>
          <w:highlight w:val="none"/>
        </w:rPr>
        <w:t>项目编号：</w:t>
      </w:r>
      <w:r>
        <w:rPr>
          <w:color w:val="auto"/>
          <w:position w:val="-6"/>
          <w:highlight w:val="none"/>
        </w:rPr>
        <w:tab/>
      </w:r>
      <w:r>
        <w:rPr>
          <w:color w:val="auto"/>
          <w:highlight w:val="none"/>
        </w:rPr>
        <w:t>币种：人民币</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jc w:val="center"/>
              <w:outlineLvl w:val="9"/>
              <w:rPr>
                <w:color w:val="auto"/>
              </w:rPr>
            </w:pPr>
            <w:r>
              <w:rPr>
                <w:rFonts w:hint="eastAsia" w:cs="宋体"/>
                <w:color w:val="auto"/>
              </w:rPr>
              <w:t>投标总价</w:t>
            </w:r>
          </w:p>
        </w:tc>
        <w:tc>
          <w:tcPr>
            <w:tcW w:w="1987" w:type="dxa"/>
            <w:noWrap w:val="0"/>
            <w:vAlign w:val="center"/>
          </w:tcPr>
          <w:p>
            <w:pPr>
              <w:widowControl/>
              <w:jc w:val="right"/>
              <w:outlineLvl w:val="9"/>
              <w:rPr>
                <w:color w:val="auto"/>
              </w:rPr>
            </w:pPr>
            <w:r>
              <w:rPr>
                <w:rFonts w:hint="eastAsia" w:cs="宋体"/>
                <w:color w:val="auto"/>
              </w:rPr>
              <w:t>万元</w:t>
            </w:r>
          </w:p>
        </w:tc>
        <w:tc>
          <w:tcPr>
            <w:tcW w:w="1702" w:type="dxa"/>
            <w:noWrap w:val="0"/>
            <w:vAlign w:val="center"/>
          </w:tcPr>
          <w:p>
            <w:pPr>
              <w:widowControl/>
              <w:jc w:val="center"/>
              <w:outlineLvl w:val="9"/>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pPr>
              <w:jc w:val="center"/>
              <w:outlineLvl w:val="9"/>
              <w:rPr>
                <w:color w:val="auto"/>
              </w:rPr>
            </w:pPr>
            <w:r>
              <w:rPr>
                <w:rFonts w:hint="eastAsia" w:cs="宋体"/>
                <w:color w:val="auto"/>
              </w:rPr>
              <w:t>其中</w:t>
            </w:r>
          </w:p>
        </w:tc>
        <w:tc>
          <w:tcPr>
            <w:tcW w:w="3116" w:type="dxa"/>
            <w:noWrap w:val="0"/>
            <w:vAlign w:val="center"/>
          </w:tcPr>
          <w:p>
            <w:pPr>
              <w:jc w:val="center"/>
              <w:outlineLvl w:val="9"/>
              <w:rPr>
                <w:color w:val="auto"/>
              </w:rPr>
            </w:pPr>
            <w:r>
              <w:rPr>
                <w:rFonts w:hint="eastAsia" w:cs="宋体"/>
                <w:color w:val="auto"/>
              </w:rPr>
              <w:t>安全文明施工费</w:t>
            </w:r>
          </w:p>
        </w:tc>
        <w:tc>
          <w:tcPr>
            <w:tcW w:w="1987" w:type="dxa"/>
            <w:noWrap w:val="0"/>
            <w:vAlign w:val="center"/>
          </w:tcPr>
          <w:p>
            <w:pPr>
              <w:jc w:val="right"/>
              <w:outlineLvl w:val="9"/>
              <w:rPr>
                <w:color w:val="auto"/>
              </w:rPr>
            </w:pPr>
            <w:r>
              <w:rPr>
                <w:rFonts w:hint="eastAsia" w:cs="宋体"/>
                <w:color w:val="auto"/>
              </w:rPr>
              <w:t>万元</w:t>
            </w:r>
          </w:p>
        </w:tc>
        <w:tc>
          <w:tcPr>
            <w:tcW w:w="1702" w:type="dxa"/>
            <w:noWrap w:val="0"/>
            <w:vAlign w:val="center"/>
          </w:tcPr>
          <w:p>
            <w:pPr>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984" w:type="dxa"/>
            <w:vMerge w:val="continue"/>
            <w:noWrap w:val="0"/>
            <w:vAlign w:val="center"/>
          </w:tcPr>
          <w:p>
            <w:pPr>
              <w:widowControl/>
              <w:jc w:val="center"/>
              <w:outlineLvl w:val="9"/>
              <w:rPr>
                <w:color w:val="auto"/>
              </w:rPr>
            </w:pPr>
          </w:p>
        </w:tc>
        <w:tc>
          <w:tcPr>
            <w:tcW w:w="3116" w:type="dxa"/>
            <w:noWrap w:val="0"/>
            <w:vAlign w:val="center"/>
          </w:tcPr>
          <w:p>
            <w:pPr>
              <w:jc w:val="center"/>
              <w:outlineLvl w:val="9"/>
              <w:rPr>
                <w:color w:val="auto"/>
              </w:rPr>
            </w:pPr>
            <w:r>
              <w:rPr>
                <w:rFonts w:hint="eastAsia" w:cs="宋体"/>
                <w:color w:val="auto"/>
              </w:rPr>
              <w:t>发包人提供材料（设备）暂估价（如有）</w:t>
            </w:r>
          </w:p>
        </w:tc>
        <w:tc>
          <w:tcPr>
            <w:tcW w:w="1987" w:type="dxa"/>
            <w:noWrap w:val="0"/>
            <w:vAlign w:val="center"/>
          </w:tcPr>
          <w:p>
            <w:pPr>
              <w:widowControl/>
              <w:jc w:val="right"/>
              <w:outlineLvl w:val="9"/>
              <w:rPr>
                <w:color w:val="auto"/>
              </w:rPr>
            </w:pPr>
            <w:r>
              <w:rPr>
                <w:rFonts w:hint="eastAsia" w:cs="宋体"/>
                <w:color w:val="auto"/>
              </w:rPr>
              <w:t>万元</w:t>
            </w:r>
          </w:p>
        </w:tc>
        <w:tc>
          <w:tcPr>
            <w:tcW w:w="1702" w:type="dxa"/>
            <w:noWrap w:val="0"/>
            <w:vAlign w:val="top"/>
          </w:tcPr>
          <w:p>
            <w:pPr>
              <w:widowControl/>
              <w:ind w:right="480"/>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outlineLvl w:val="9"/>
              <w:rPr>
                <w:color w:val="auto"/>
              </w:rPr>
            </w:pPr>
          </w:p>
        </w:tc>
        <w:tc>
          <w:tcPr>
            <w:tcW w:w="3116" w:type="dxa"/>
            <w:noWrap w:val="0"/>
            <w:vAlign w:val="center"/>
          </w:tcPr>
          <w:p>
            <w:pPr>
              <w:widowControl/>
              <w:jc w:val="center"/>
              <w:outlineLvl w:val="9"/>
              <w:rPr>
                <w:color w:val="auto"/>
              </w:rPr>
            </w:pPr>
            <w:r>
              <w:rPr>
                <w:rFonts w:hint="eastAsia" w:cs="宋体"/>
                <w:color w:val="auto"/>
              </w:rPr>
              <w:t>专业工程暂估价（如有）</w:t>
            </w:r>
          </w:p>
        </w:tc>
        <w:tc>
          <w:tcPr>
            <w:tcW w:w="1987" w:type="dxa"/>
            <w:noWrap w:val="0"/>
            <w:vAlign w:val="center"/>
          </w:tcPr>
          <w:p>
            <w:pPr>
              <w:widowControl/>
              <w:jc w:val="right"/>
              <w:outlineLvl w:val="9"/>
              <w:rPr>
                <w:color w:val="auto"/>
              </w:rPr>
            </w:pPr>
            <w:r>
              <w:rPr>
                <w:rFonts w:hint="eastAsia" w:cs="宋体"/>
                <w:color w:val="auto"/>
              </w:rPr>
              <w:t>万元</w:t>
            </w:r>
          </w:p>
        </w:tc>
        <w:tc>
          <w:tcPr>
            <w:tcW w:w="1702" w:type="dxa"/>
            <w:noWrap w:val="0"/>
            <w:vAlign w:val="top"/>
          </w:tcPr>
          <w:p>
            <w:pPr>
              <w:widowControl/>
              <w:ind w:right="480"/>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outlineLvl w:val="9"/>
              <w:rPr>
                <w:color w:val="auto"/>
              </w:rPr>
            </w:pPr>
          </w:p>
        </w:tc>
        <w:tc>
          <w:tcPr>
            <w:tcW w:w="3116" w:type="dxa"/>
            <w:noWrap w:val="0"/>
            <w:vAlign w:val="center"/>
          </w:tcPr>
          <w:p>
            <w:pPr>
              <w:widowControl/>
              <w:ind w:firstLine="945" w:firstLineChars="450"/>
              <w:jc w:val="center"/>
              <w:outlineLvl w:val="9"/>
              <w:rPr>
                <w:color w:val="auto"/>
              </w:rPr>
            </w:pPr>
            <w:r>
              <w:rPr>
                <w:rFonts w:hint="eastAsia" w:cs="宋体"/>
                <w:color w:val="auto"/>
              </w:rPr>
              <w:t>暂列金额（如有）</w:t>
            </w:r>
          </w:p>
        </w:tc>
        <w:tc>
          <w:tcPr>
            <w:tcW w:w="1987" w:type="dxa"/>
            <w:noWrap w:val="0"/>
            <w:vAlign w:val="center"/>
          </w:tcPr>
          <w:p>
            <w:pPr>
              <w:widowControl/>
              <w:jc w:val="right"/>
              <w:outlineLvl w:val="9"/>
              <w:rPr>
                <w:color w:val="auto"/>
              </w:rPr>
            </w:pPr>
            <w:r>
              <w:rPr>
                <w:rFonts w:hint="eastAsia" w:cs="宋体"/>
                <w:color w:val="auto"/>
              </w:rPr>
              <w:t>万元</w:t>
            </w:r>
          </w:p>
        </w:tc>
        <w:tc>
          <w:tcPr>
            <w:tcW w:w="1702" w:type="dxa"/>
            <w:noWrap w:val="0"/>
            <w:vAlign w:val="top"/>
          </w:tcPr>
          <w:p>
            <w:pPr>
              <w:widowControl/>
              <w:ind w:right="480"/>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jc w:val="center"/>
              <w:outlineLvl w:val="9"/>
              <w:rPr>
                <w:color w:val="auto"/>
              </w:rPr>
            </w:pPr>
            <w:r>
              <w:rPr>
                <w:rFonts w:hint="eastAsia" w:cs="宋体"/>
                <w:color w:val="auto"/>
              </w:rPr>
              <w:t>主要材料</w:t>
            </w:r>
          </w:p>
        </w:tc>
        <w:tc>
          <w:tcPr>
            <w:tcW w:w="3116" w:type="dxa"/>
            <w:noWrap w:val="0"/>
            <w:vAlign w:val="center"/>
          </w:tcPr>
          <w:p>
            <w:pPr>
              <w:widowControl/>
              <w:jc w:val="center"/>
              <w:outlineLvl w:val="9"/>
              <w:rPr>
                <w:color w:val="auto"/>
              </w:rPr>
            </w:pPr>
            <w:r>
              <w:rPr>
                <w:rFonts w:hint="eastAsia" w:cs="宋体"/>
                <w:color w:val="auto"/>
              </w:rPr>
              <w:t>钢筋</w:t>
            </w:r>
          </w:p>
        </w:tc>
        <w:tc>
          <w:tcPr>
            <w:tcW w:w="1987" w:type="dxa"/>
            <w:noWrap w:val="0"/>
            <w:vAlign w:val="center"/>
          </w:tcPr>
          <w:p>
            <w:pPr>
              <w:widowControl/>
              <w:jc w:val="right"/>
              <w:outlineLvl w:val="9"/>
              <w:rPr>
                <w:color w:val="auto"/>
              </w:rPr>
            </w:pPr>
            <w:r>
              <w:rPr>
                <w:rFonts w:hint="eastAsia" w:cs="宋体"/>
                <w:color w:val="auto"/>
              </w:rPr>
              <w:t>吨</w:t>
            </w:r>
          </w:p>
        </w:tc>
        <w:tc>
          <w:tcPr>
            <w:tcW w:w="1702" w:type="dxa"/>
            <w:noWrap w:val="0"/>
            <w:vAlign w:val="top"/>
          </w:tcPr>
          <w:p>
            <w:pPr>
              <w:widowControl/>
              <w:jc w:val="right"/>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jc w:val="center"/>
              <w:outlineLvl w:val="9"/>
              <w:rPr>
                <w:color w:val="auto"/>
              </w:rPr>
            </w:pPr>
          </w:p>
        </w:tc>
        <w:tc>
          <w:tcPr>
            <w:tcW w:w="3116" w:type="dxa"/>
            <w:noWrap w:val="0"/>
            <w:vAlign w:val="center"/>
          </w:tcPr>
          <w:p>
            <w:pPr>
              <w:widowControl/>
              <w:jc w:val="center"/>
              <w:outlineLvl w:val="9"/>
              <w:rPr>
                <w:color w:val="auto"/>
              </w:rPr>
            </w:pPr>
            <w:r>
              <w:rPr>
                <w:rFonts w:hint="eastAsia" w:cs="宋体"/>
                <w:color w:val="auto"/>
              </w:rPr>
              <w:t>水泥（不含商品混凝土用量）</w:t>
            </w:r>
          </w:p>
        </w:tc>
        <w:tc>
          <w:tcPr>
            <w:tcW w:w="1987" w:type="dxa"/>
            <w:noWrap w:val="0"/>
            <w:vAlign w:val="center"/>
          </w:tcPr>
          <w:p>
            <w:pPr>
              <w:widowControl/>
              <w:tabs>
                <w:tab w:val="left" w:pos="2398"/>
              </w:tabs>
              <w:ind w:right="18"/>
              <w:jc w:val="right"/>
              <w:outlineLvl w:val="9"/>
              <w:rPr>
                <w:color w:val="auto"/>
              </w:rPr>
            </w:pPr>
            <w:r>
              <w:rPr>
                <w:rFonts w:hint="eastAsia" w:cs="宋体"/>
                <w:color w:val="auto"/>
              </w:rPr>
              <w:t>吨</w:t>
            </w:r>
          </w:p>
        </w:tc>
        <w:tc>
          <w:tcPr>
            <w:tcW w:w="1702" w:type="dxa"/>
            <w:noWrap w:val="0"/>
            <w:vAlign w:val="top"/>
          </w:tcPr>
          <w:p>
            <w:pPr>
              <w:widowControl/>
              <w:jc w:val="right"/>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jc w:val="center"/>
              <w:outlineLvl w:val="9"/>
              <w:rPr>
                <w:color w:val="auto"/>
              </w:rPr>
            </w:pPr>
          </w:p>
        </w:tc>
        <w:tc>
          <w:tcPr>
            <w:tcW w:w="3116" w:type="dxa"/>
            <w:noWrap w:val="0"/>
            <w:vAlign w:val="center"/>
          </w:tcPr>
          <w:p>
            <w:pPr>
              <w:widowControl/>
              <w:jc w:val="center"/>
              <w:outlineLvl w:val="9"/>
              <w:rPr>
                <w:color w:val="auto"/>
              </w:rPr>
            </w:pPr>
            <w:r>
              <w:rPr>
                <w:rFonts w:hint="eastAsia" w:cs="宋体"/>
                <w:color w:val="auto"/>
              </w:rPr>
              <w:t>商品混凝土</w:t>
            </w:r>
          </w:p>
        </w:tc>
        <w:tc>
          <w:tcPr>
            <w:tcW w:w="1987" w:type="dxa"/>
            <w:noWrap w:val="0"/>
            <w:vAlign w:val="center"/>
          </w:tcPr>
          <w:p>
            <w:pPr>
              <w:widowControl/>
              <w:jc w:val="right"/>
              <w:outlineLvl w:val="9"/>
              <w:rPr>
                <w:color w:val="auto"/>
              </w:rPr>
            </w:pPr>
            <w:r>
              <w:rPr>
                <w:color w:val="auto"/>
              </w:rPr>
              <w:t>m</w:t>
            </w:r>
            <w:r>
              <w:rPr>
                <w:color w:val="auto"/>
                <w:vertAlign w:val="superscript"/>
              </w:rPr>
              <w:t>3</w:t>
            </w:r>
          </w:p>
        </w:tc>
        <w:tc>
          <w:tcPr>
            <w:tcW w:w="1702" w:type="dxa"/>
            <w:noWrap w:val="0"/>
            <w:vAlign w:val="top"/>
          </w:tcPr>
          <w:p>
            <w:pPr>
              <w:widowControl/>
              <w:jc w:val="right"/>
              <w:outlineLvl w:val="9"/>
              <w:rPr>
                <w:color w:val="auto"/>
              </w:rPr>
            </w:pPr>
          </w:p>
        </w:tc>
      </w:tr>
    </w:tbl>
    <w:p>
      <w:pPr>
        <w:pStyle w:val="11"/>
        <w:outlineLvl w:val="9"/>
        <w:rPr>
          <w:color w:val="auto"/>
          <w:sz w:val="28"/>
          <w:highlight w:val="none"/>
        </w:rPr>
      </w:pPr>
    </w:p>
    <w:p>
      <w:pPr>
        <w:pStyle w:val="11"/>
        <w:outlineLvl w:val="9"/>
        <w:rPr>
          <w:color w:val="auto"/>
          <w:sz w:val="28"/>
          <w:highlight w:val="none"/>
        </w:rPr>
      </w:pPr>
    </w:p>
    <w:p>
      <w:pPr>
        <w:pStyle w:val="11"/>
        <w:spacing w:before="1"/>
        <w:ind w:firstLine="3300" w:firstLineChars="1500"/>
        <w:outlineLvl w:val="9"/>
        <w:rPr>
          <w:rFonts w:hint="eastAsia"/>
          <w:color w:val="auto"/>
          <w:sz w:val="22"/>
          <w:highlight w:val="none"/>
          <w:lang w:val="en-US" w:eastAsia="zh-CN"/>
        </w:rPr>
      </w:pPr>
      <w:r>
        <w:rPr>
          <w:rFonts w:hint="eastAsia"/>
          <w:color w:val="auto"/>
          <w:sz w:val="22"/>
          <w:highlight w:val="none"/>
          <w:lang w:val="en-US" w:eastAsia="zh-CN"/>
        </w:rPr>
        <w:t>投标人：</w:t>
      </w:r>
      <w:r>
        <w:rPr>
          <w:rFonts w:hint="eastAsia"/>
          <w:color w:val="auto"/>
          <w:sz w:val="22"/>
          <w:highlight w:val="none"/>
          <w:u w:val="single"/>
          <w:lang w:val="en-US" w:eastAsia="zh-CN"/>
        </w:rPr>
        <w:t xml:space="preserve">                      </w:t>
      </w:r>
      <w:r>
        <w:rPr>
          <w:rFonts w:hint="eastAsia"/>
          <w:color w:val="auto"/>
          <w:sz w:val="22"/>
          <w:highlight w:val="none"/>
          <w:lang w:val="en-US" w:eastAsia="zh-CN"/>
        </w:rPr>
        <w:t>（盖单位公章）</w:t>
      </w:r>
    </w:p>
    <w:p>
      <w:pPr>
        <w:pStyle w:val="11"/>
        <w:spacing w:before="1"/>
        <w:outlineLvl w:val="9"/>
        <w:rPr>
          <w:color w:val="auto"/>
          <w:sz w:val="22"/>
          <w:highlight w:val="none"/>
        </w:rPr>
      </w:pPr>
    </w:p>
    <w:p>
      <w:pPr>
        <w:pStyle w:val="11"/>
        <w:ind w:left="1036" w:firstLine="1890" w:firstLineChars="900"/>
        <w:outlineLvl w:val="9"/>
        <w:rPr>
          <w:rFonts w:hint="default" w:eastAsia="宋体"/>
          <w:color w:val="auto"/>
          <w:highlight w:val="none"/>
          <w:lang w:val="en-US" w:eastAsia="zh-CN"/>
        </w:rPr>
      </w:pPr>
      <w:r>
        <w:rPr>
          <w:color w:val="auto"/>
          <w:highlight w:val="none"/>
        </w:rPr>
        <w:t>法定代表人或其委托代理人（签字或盖章）：</w:t>
      </w:r>
      <w:r>
        <w:rPr>
          <w:rFonts w:hint="eastAsia"/>
          <w:color w:val="auto"/>
          <w:highlight w:val="none"/>
          <w:u w:val="single"/>
          <w:lang w:val="en-US" w:eastAsia="zh-CN"/>
        </w:rPr>
        <w:t xml:space="preserve">        </w:t>
      </w:r>
    </w:p>
    <w:p>
      <w:pPr>
        <w:pStyle w:val="11"/>
        <w:tabs>
          <w:tab w:val="left" w:pos="3363"/>
          <w:tab w:val="left" w:pos="4203"/>
          <w:tab w:val="left" w:pos="5437"/>
        </w:tabs>
        <w:ind w:left="1362" w:firstLine="2520" w:firstLineChars="1200"/>
        <w:outlineLvl w:val="9"/>
        <w:rPr>
          <w:color w:val="auto"/>
          <w:highlight w:val="none"/>
        </w:rPr>
      </w:pPr>
      <w:r>
        <w:rPr>
          <w:color w:val="auto"/>
          <w:highlight w:val="none"/>
        </w:rPr>
        <w:t>日期：</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jc w:val="center"/>
        <w:outlineLvl w:val="9"/>
        <w:rPr>
          <w:rFonts w:hint="eastAsia"/>
          <w:b/>
          <w:color w:val="auto"/>
          <w:sz w:val="28"/>
          <w:szCs w:val="28"/>
          <w:highlight w:val="none"/>
          <w:lang w:val="en-US" w:eastAsia="zh-CN"/>
        </w:rPr>
      </w:pPr>
      <w:r>
        <w:rPr>
          <w:rFonts w:hint="eastAsia"/>
          <w:b/>
          <w:color w:val="auto"/>
          <w:sz w:val="28"/>
          <w:szCs w:val="28"/>
          <w:highlight w:val="none"/>
          <w:lang w:val="en-US" w:eastAsia="zh-CN"/>
        </w:rPr>
        <w:t>已标价工程量清单</w:t>
      </w:r>
    </w:p>
    <w:p>
      <w:pPr>
        <w:pStyle w:val="2"/>
        <w:widowControl w:val="0"/>
        <w:numPr>
          <w:ilvl w:val="0"/>
          <w:numId w:val="0"/>
        </w:numPr>
        <w:autoSpaceDE w:val="0"/>
        <w:autoSpaceDN w:val="0"/>
        <w:adjustRightInd w:val="0"/>
        <w:jc w:val="center"/>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已标价工程量清单表格要严格按照招标工程量清单给出的表格要求和内容填报。</w:t>
      </w: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
        <w:jc w:val="center"/>
        <w:outlineLvl w:val="0"/>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55" w:name="_Toc21409"/>
      <w:bookmarkStart w:id="656" w:name="_Toc27736"/>
      <w:r>
        <w:rPr>
          <w:rFonts w:hint="eastAsia" w:ascii="宋体" w:hAnsi="宋体" w:eastAsia="宋体" w:cs="宋体"/>
          <w:b w:val="0"/>
          <w:bCs w:val="0"/>
          <w:color w:val="auto"/>
          <w:sz w:val="32"/>
          <w:szCs w:val="32"/>
          <w:highlight w:val="none"/>
          <w:u w:val="single"/>
          <w:lang w:val="en-US" w:eastAsia="zh-CN"/>
        </w:rPr>
        <w:t>（项目名称）</w:t>
      </w:r>
      <w:bookmarkEnd w:id="655"/>
      <w:bookmarkEnd w:id="656"/>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72"/>
          <w:szCs w:val="72"/>
          <w:highlight w:val="none"/>
          <w:lang w:val="en-US" w:eastAsia="zh-CN"/>
        </w:rPr>
      </w:pPr>
    </w:p>
    <w:p>
      <w:pPr>
        <w:pStyle w:val="2"/>
        <w:jc w:val="center"/>
        <w:outlineLvl w:val="9"/>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投</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件</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0"/>
        <w:rPr>
          <w:rFonts w:hint="eastAsia" w:ascii="宋体" w:hAnsi="宋体" w:eastAsia="宋体" w:cs="宋体"/>
          <w:b w:val="0"/>
          <w:bCs w:val="0"/>
          <w:color w:val="auto"/>
          <w:sz w:val="32"/>
          <w:szCs w:val="32"/>
          <w:highlight w:val="none"/>
          <w:lang w:val="en-US" w:eastAsia="zh-CN"/>
        </w:rPr>
      </w:pPr>
      <w:bookmarkStart w:id="657" w:name="_Toc946"/>
      <w:bookmarkStart w:id="658" w:name="_Toc20678"/>
      <w:r>
        <w:rPr>
          <w:rFonts w:hint="eastAsia" w:ascii="宋体" w:hAnsi="宋体" w:eastAsia="宋体" w:cs="宋体"/>
          <w:b w:val="0"/>
          <w:bCs w:val="0"/>
          <w:color w:val="auto"/>
          <w:sz w:val="32"/>
          <w:szCs w:val="32"/>
          <w:highlight w:val="none"/>
          <w:lang w:val="en-US" w:eastAsia="zh-CN"/>
        </w:rPr>
        <w:t>项目编号：</w:t>
      </w:r>
      <w:bookmarkEnd w:id="657"/>
      <w:bookmarkEnd w:id="658"/>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ind w:leftChars="600"/>
        <w:jc w:val="left"/>
        <w:outlineLvl w:val="9"/>
        <w:rPr>
          <w:rFonts w:hint="default" w:ascii="宋体" w:hAnsi="宋体" w:eastAsia="宋体" w:cs="宋体"/>
          <w:b w:val="0"/>
          <w:bCs w:val="0"/>
          <w:color w:val="auto"/>
          <w:sz w:val="32"/>
          <w:szCs w:val="32"/>
          <w:highlight w:val="none"/>
          <w:u w:val="single"/>
          <w:lang w:val="en-US" w:eastAsia="zh-CN"/>
        </w:rPr>
      </w:pPr>
      <w:r>
        <w:rPr>
          <w:rFonts w:hint="eastAsia" w:ascii="宋体" w:hAnsi="宋体" w:eastAsia="宋体" w:cs="宋体"/>
          <w:b w:val="0"/>
          <w:bCs w:val="0"/>
          <w:color w:val="auto"/>
          <w:sz w:val="32"/>
          <w:szCs w:val="32"/>
          <w:highlight w:val="none"/>
          <w:lang w:val="en-US" w:eastAsia="zh-CN"/>
        </w:rPr>
        <w:t>投标内容：</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商务技术文件       </w:t>
      </w:r>
    </w:p>
    <w:p>
      <w:pPr>
        <w:pStyle w:val="2"/>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（盖单位公章）</w:t>
      </w:r>
    </w:p>
    <w:p>
      <w:pPr>
        <w:pStyle w:val="2"/>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法定代表人或其委托代理人：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（签字或盖章）</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widowControl w:val="0"/>
        <w:numPr>
          <w:ilvl w:val="0"/>
          <w:numId w:val="0"/>
        </w:numPr>
        <w:autoSpaceDE w:val="0"/>
        <w:autoSpaceDN w:val="0"/>
        <w:adjustRightInd w:val="0"/>
        <w:jc w:val="center"/>
        <w:outlineLvl w:val="0"/>
        <w:rPr>
          <w:rFonts w:hint="eastAsia"/>
          <w:b w:val="0"/>
          <w:bCs/>
          <w:color w:val="auto"/>
          <w:sz w:val="24"/>
          <w:szCs w:val="24"/>
          <w:highlight w:val="none"/>
          <w:lang w:val="en-US"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59" w:name="_Toc28583"/>
      <w:bookmarkStart w:id="660" w:name="_Toc5610"/>
      <w:r>
        <w:rPr>
          <w:rFonts w:hint="eastAsia" w:ascii="宋体" w:hAnsi="宋体" w:eastAsia="宋体" w:cs="宋体"/>
          <w:b w:val="0"/>
          <w:bCs w:val="0"/>
          <w:color w:val="auto"/>
          <w:sz w:val="32"/>
          <w:szCs w:val="32"/>
          <w:highlight w:val="none"/>
          <w:lang w:val="en-US" w:eastAsia="zh-CN"/>
        </w:rPr>
        <w:t>年</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月</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日</w:t>
      </w:r>
      <w:bookmarkEnd w:id="659"/>
      <w:bookmarkEnd w:id="660"/>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2"/>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目录</w:t>
      </w:r>
    </w:p>
    <w:p>
      <w:pPr>
        <w:pStyle w:val="2"/>
        <w:jc w:val="center"/>
        <w:outlineLvl w:val="9"/>
        <w:rPr>
          <w:rFonts w:hint="eastAsia" w:ascii="宋体" w:hAnsi="宋体" w:eastAsia="宋体" w:cs="宋体"/>
          <w:b w:val="0"/>
          <w:bCs w:val="0"/>
          <w:color w:val="auto"/>
          <w:sz w:val="32"/>
          <w:szCs w:val="32"/>
          <w:highlight w:val="none"/>
          <w:lang w:val="en-US" w:eastAsia="zh-CN"/>
        </w:rPr>
      </w:pPr>
    </w:p>
    <w:p>
      <w:pPr>
        <w:pStyle w:val="2"/>
        <w:jc w:val="center"/>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根据招标文件规定及投标人提供的材料自行编写目录（部分格式后附）。</w:t>
      </w: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snapToGrid w:val="0"/>
        <w:spacing w:before="120" w:beforeLines="50" w:after="50"/>
        <w:jc w:val="center"/>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无串通</w:t>
      </w:r>
      <w:r>
        <w:rPr>
          <w:rFonts w:hint="eastAsia" w:ascii="宋体" w:hAnsi="宋体" w:eastAsia="宋体" w:cs="宋体"/>
          <w:b/>
          <w:color w:val="auto"/>
          <w:sz w:val="52"/>
          <w:szCs w:val="52"/>
          <w:lang w:val="en-US" w:eastAsia="zh-CN"/>
        </w:rPr>
        <w:t>投</w:t>
      </w:r>
      <w:r>
        <w:rPr>
          <w:rFonts w:hint="eastAsia" w:ascii="宋体" w:hAnsi="宋体" w:eastAsia="宋体" w:cs="宋体"/>
          <w:b/>
          <w:color w:val="auto"/>
          <w:sz w:val="52"/>
          <w:szCs w:val="52"/>
        </w:rPr>
        <w:t>标行为的承诺函</w:t>
      </w:r>
    </w:p>
    <w:p>
      <w:pPr>
        <w:pStyle w:val="17"/>
        <w:outlineLvl w:val="9"/>
        <w:rPr>
          <w:rFonts w:hint="eastAsia"/>
          <w:color w:val="auto"/>
        </w:rPr>
      </w:pPr>
    </w:p>
    <w:p>
      <w:pPr>
        <w:spacing w:line="400" w:lineRule="exact"/>
        <w:contextualSpacing/>
        <w:jc w:val="left"/>
        <w:outlineLvl w:val="9"/>
        <w:rPr>
          <w:rFonts w:hint="eastAsia" w:ascii="宋体" w:hAnsi="宋体" w:eastAsia="宋体" w:cs="宋体"/>
          <w:b/>
          <w:color w:val="auto"/>
          <w:sz w:val="24"/>
        </w:rPr>
      </w:pPr>
      <w:r>
        <w:rPr>
          <w:rFonts w:hint="eastAsia" w:ascii="宋体" w:hAnsi="宋体" w:eastAsia="宋体" w:cs="宋体"/>
          <w:b/>
          <w:color w:val="auto"/>
          <w:sz w:val="24"/>
        </w:rPr>
        <w:t>一、我方承诺无下列相互串通投标的情形：</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 xml:space="preserve">1.不同投标人的投标文件由同一单位或者个人编制； </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2.不同投标人委托同一单位或者个人办理投标事宜；</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3.不同的投标人的投标文件载明的项目管理员为同一个人；</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4.不同投标人的投标文件异常一致或者投标报价呈规律性差异；</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5.不同投标人的投标文件相互混装；</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6.不同投标人的投标保证金从同一单位或者个人账户转出。</w:t>
      </w:r>
    </w:p>
    <w:p>
      <w:pPr>
        <w:spacing w:line="400" w:lineRule="exact"/>
        <w:contextualSpacing/>
        <w:jc w:val="left"/>
        <w:outlineLvl w:val="9"/>
        <w:rPr>
          <w:rFonts w:hint="eastAsia" w:ascii="宋体" w:hAnsi="宋体" w:eastAsia="宋体" w:cs="宋体"/>
          <w:color w:val="auto"/>
          <w:sz w:val="24"/>
        </w:rPr>
      </w:pPr>
      <w:r>
        <w:rPr>
          <w:rFonts w:hint="eastAsia" w:ascii="宋体" w:hAnsi="宋体" w:eastAsia="宋体" w:cs="宋体"/>
          <w:b/>
          <w:color w:val="auto"/>
          <w:sz w:val="24"/>
        </w:rPr>
        <w:t>二、我方承诺无下列恶意串通的情形：</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1.投标人直接或者间接从采购人或者采购代理机构处获得其他投标人的相关信息并修改其投标文件或者投标文件；</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2.投标人按照采购人或者采购代理机构的授意撤换、修改投标文件或者投标文件；</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3.投标人之间协商报价、技术方案等投标文件或者投标文件的实质性内容；</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4.属于同一集团、协会、商会等组织成员的投标人按照该组织要求协同参加政府采购活动；</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6.投标人之间商定部分投标人放弃参加政府采购活动或者放弃中标；</w:t>
      </w:r>
    </w:p>
    <w:p>
      <w:pPr>
        <w:spacing w:line="400" w:lineRule="exact"/>
        <w:ind w:firstLine="470" w:firstLineChars="196"/>
        <w:contextualSpacing/>
        <w:jc w:val="left"/>
        <w:outlineLvl w:val="9"/>
        <w:rPr>
          <w:rFonts w:hint="eastAsia" w:ascii="宋体" w:hAnsi="宋体" w:eastAsia="宋体" w:cs="宋体"/>
          <w:color w:val="auto"/>
          <w:sz w:val="24"/>
        </w:rPr>
      </w:pPr>
      <w:r>
        <w:rPr>
          <w:rFonts w:hint="eastAsia" w:ascii="宋体" w:hAnsi="宋体" w:eastAsia="宋体" w:cs="宋体"/>
          <w:color w:val="auto"/>
          <w:sz w:val="24"/>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outlineLvl w:val="9"/>
        <w:rPr>
          <w:rFonts w:hint="eastAsia" w:ascii="宋体" w:hAnsi="宋体" w:eastAsia="宋体" w:cs="宋体"/>
          <w:b/>
          <w:color w:val="auto"/>
          <w:sz w:val="24"/>
        </w:rPr>
      </w:pPr>
      <w:r>
        <w:rPr>
          <w:rFonts w:hint="eastAsia" w:ascii="宋体" w:hAnsi="宋体" w:eastAsia="宋体" w:cs="宋体"/>
          <w:b/>
          <w:color w:val="auto"/>
          <w:sz w:val="24"/>
        </w:rPr>
        <w:t>以上情形一经核查属实，我方愿意承担一切后果，并不再寻求任何旨在减轻或者免除法律责任的辩解。</w:t>
      </w:r>
    </w:p>
    <w:p>
      <w:pPr>
        <w:pStyle w:val="13"/>
        <w:spacing w:line="400" w:lineRule="exact"/>
        <w:ind w:firstLine="6840" w:firstLineChars="2850"/>
        <w:contextualSpacing/>
        <w:outlineLvl w:val="9"/>
        <w:rPr>
          <w:rFonts w:hint="eastAsia" w:ascii="宋体" w:hAnsi="宋体" w:eastAsia="宋体" w:cs="宋体"/>
          <w:color w:val="auto"/>
          <w:sz w:val="24"/>
          <w:szCs w:val="24"/>
        </w:rPr>
      </w:pPr>
    </w:p>
    <w:p>
      <w:pPr>
        <w:pStyle w:val="13"/>
        <w:spacing w:line="400" w:lineRule="exact"/>
        <w:contextualSpacing/>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投标人名称（公章）</w:t>
      </w:r>
    </w:p>
    <w:p>
      <w:pPr>
        <w:pStyle w:val="13"/>
        <w:spacing w:line="400" w:lineRule="exact"/>
        <w:contextualSpacing/>
        <w:outlineLvl w:val="9"/>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jc w:val="center"/>
        <w:outlineLvl w:val="9"/>
        <w:rPr>
          <w:rFonts w:hint="default"/>
          <w:b/>
          <w:bCs/>
          <w:color w:val="auto"/>
          <w:sz w:val="44"/>
          <w:szCs w:val="52"/>
          <w:highlight w:val="none"/>
          <w:lang w:val="en-US" w:eastAsia="zh-CN"/>
        </w:rPr>
      </w:pPr>
      <w:r>
        <w:rPr>
          <w:rFonts w:hint="eastAsia"/>
          <w:b/>
          <w:bCs/>
          <w:color w:val="auto"/>
          <w:sz w:val="44"/>
          <w:szCs w:val="52"/>
          <w:highlight w:val="none"/>
          <w:lang w:val="en-US" w:eastAsia="zh-CN"/>
        </w:rPr>
        <w:t>法定代表人身份证明</w:t>
      </w:r>
    </w:p>
    <w:p>
      <w:pPr>
        <w:outlineLvl w:val="9"/>
        <w:rPr>
          <w:rFonts w:hint="eastAsia"/>
          <w:color w:val="auto"/>
          <w:highlight w:val="none"/>
          <w:lang w:val="en-US" w:eastAsia="zh-CN"/>
        </w:rPr>
      </w:pPr>
    </w:p>
    <w:p>
      <w:pPr>
        <w:spacing w:line="500" w:lineRule="exact"/>
        <w:ind w:left="540"/>
        <w:outlineLvl w:val="9"/>
        <w:rPr>
          <w:rFonts w:hint="eastAsia"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pPr>
        <w:spacing w:line="500" w:lineRule="exact"/>
        <w:ind w:left="540"/>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500" w:lineRule="exact"/>
        <w:ind w:left="540"/>
        <w:outlineLvl w:val="9"/>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500" w:lineRule="exact"/>
        <w:ind w:left="540"/>
        <w:outlineLvl w:val="9"/>
        <w:rPr>
          <w:rFonts w:hint="eastAsia"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500" w:lineRule="exact"/>
        <w:ind w:left="540"/>
        <w:outlineLvl w:val="9"/>
        <w:rPr>
          <w:rFonts w:hint="eastAsia" w:ascii="宋体" w:hAnsi="宋体"/>
          <w:color w:val="auto"/>
          <w:sz w:val="24"/>
        </w:rPr>
      </w:pPr>
      <w:r>
        <w:rPr>
          <w:rFonts w:hint="eastAsia" w:ascii="宋体" w:hAnsi="宋体"/>
          <w:color w:val="auto"/>
          <w:sz w:val="24"/>
        </w:rPr>
        <w:t>身份证</w:t>
      </w:r>
      <w:r>
        <w:rPr>
          <w:rFonts w:hint="eastAsia"/>
          <w:color w:val="auto"/>
          <w:sz w:val="24"/>
        </w:rPr>
        <w:t>号码：</w:t>
      </w:r>
      <w:r>
        <w:rPr>
          <w:rFonts w:hint="eastAsia"/>
          <w:color w:val="auto"/>
          <w:sz w:val="24"/>
          <w:u w:val="single"/>
        </w:rPr>
        <w:t xml:space="preserve">                                 </w:t>
      </w:r>
    </w:p>
    <w:p>
      <w:pPr>
        <w:spacing w:line="500" w:lineRule="exact"/>
        <w:ind w:left="540"/>
        <w:outlineLvl w:val="9"/>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pPr>
        <w:spacing w:line="500" w:lineRule="exact"/>
        <w:ind w:left="540"/>
        <w:outlineLvl w:val="9"/>
        <w:rPr>
          <w:rFonts w:hint="eastAsia" w:ascii="宋体" w:hAnsi="宋体"/>
          <w:color w:val="auto"/>
          <w:sz w:val="24"/>
        </w:rPr>
      </w:pPr>
      <w:r>
        <w:rPr>
          <w:rFonts w:hint="eastAsia" w:ascii="宋体" w:hAnsi="宋体"/>
          <w:color w:val="auto"/>
          <w:sz w:val="24"/>
        </w:rPr>
        <w:t>特此证明。</w:t>
      </w:r>
    </w:p>
    <w:p>
      <w:pPr>
        <w:spacing w:line="500" w:lineRule="exact"/>
        <w:ind w:left="540"/>
        <w:outlineLvl w:val="9"/>
        <w:rPr>
          <w:rFonts w:hint="eastAsia" w:ascii="宋体" w:hAnsi="宋体"/>
          <w:color w:val="auto"/>
          <w:sz w:val="24"/>
        </w:rPr>
      </w:pPr>
    </w:p>
    <w:p>
      <w:pPr>
        <w:spacing w:line="500" w:lineRule="exact"/>
        <w:ind w:left="540"/>
        <w:outlineLvl w:val="9"/>
        <w:rPr>
          <w:rFonts w:hint="eastAsia" w:ascii="宋体" w:hAnsi="宋体"/>
          <w:color w:val="auto"/>
          <w:sz w:val="24"/>
        </w:rPr>
      </w:pPr>
    </w:p>
    <w:p>
      <w:pPr>
        <w:spacing w:line="500" w:lineRule="exact"/>
        <w:ind w:left="540"/>
        <w:outlineLvl w:val="9"/>
        <w:rPr>
          <w:rFonts w:hint="eastAsia" w:ascii="宋体" w:hAnsi="宋体"/>
          <w:color w:val="auto"/>
          <w:sz w:val="24"/>
        </w:rPr>
      </w:pPr>
      <w:r>
        <w:rPr>
          <w:rFonts w:hint="eastAsia" w:ascii="宋体" w:hAnsi="宋体"/>
          <w:color w:val="auto"/>
          <w:sz w:val="24"/>
        </w:rPr>
        <w:t>附件：法定代表人有效身份证正反面复印件</w:t>
      </w:r>
    </w:p>
    <w:p>
      <w:pPr>
        <w:spacing w:line="500" w:lineRule="exact"/>
        <w:ind w:left="540"/>
        <w:outlineLvl w:val="9"/>
        <w:rPr>
          <w:rFonts w:hint="eastAsia" w:ascii="宋体" w:hAnsi="宋体"/>
          <w:color w:val="auto"/>
          <w:sz w:val="24"/>
        </w:rPr>
      </w:pPr>
    </w:p>
    <w:p>
      <w:pPr>
        <w:spacing w:line="500" w:lineRule="exact"/>
        <w:ind w:left="540"/>
        <w:jc w:val="right"/>
        <w:outlineLvl w:val="9"/>
        <w:rPr>
          <w:rFonts w:hint="eastAsia" w:ascii="宋体" w:hAnsi="宋体"/>
          <w:color w:val="auto"/>
          <w:sz w:val="24"/>
        </w:rPr>
      </w:pPr>
      <w:r>
        <w:rPr>
          <w:rFonts w:hint="eastAsia" w:ascii="宋体" w:hAnsi="宋体"/>
          <w:color w:val="auto"/>
          <w:sz w:val="24"/>
        </w:rPr>
        <w:t>投标人名称（公章）</w:t>
      </w:r>
    </w:p>
    <w:p>
      <w:pPr>
        <w:spacing w:line="500" w:lineRule="exact"/>
        <w:ind w:left="540"/>
        <w:jc w:val="right"/>
        <w:outlineLvl w:val="9"/>
        <w:rPr>
          <w:rFonts w:hint="eastAsia" w:ascii="宋体" w:hAnsi="宋体"/>
          <w:color w:val="auto"/>
          <w:sz w:val="24"/>
        </w:rPr>
      </w:pPr>
    </w:p>
    <w:p>
      <w:pPr>
        <w:snapToGrid w:val="0"/>
        <w:spacing w:before="120" w:beforeLines="50" w:after="50"/>
        <w:ind w:left="540"/>
        <w:jc w:val="right"/>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snapToGrid w:val="0"/>
        <w:spacing w:before="120" w:beforeLines="50" w:after="50"/>
        <w:jc w:val="center"/>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授权委托书</w:t>
      </w:r>
    </w:p>
    <w:p>
      <w:pPr>
        <w:snapToGrid w:val="0"/>
        <w:spacing w:before="120" w:beforeLines="50" w:after="50"/>
        <w:jc w:val="center"/>
        <w:outlineLvl w:val="9"/>
        <w:rPr>
          <w:rFonts w:hint="eastAsia" w:ascii="宋体" w:hAnsi="宋体"/>
          <w:b/>
          <w:color w:val="auto"/>
          <w:sz w:val="32"/>
          <w:szCs w:val="32"/>
        </w:rPr>
      </w:pPr>
      <w:r>
        <w:rPr>
          <w:rFonts w:hint="eastAsia" w:ascii="宋体" w:hAnsi="宋体"/>
          <w:b/>
          <w:color w:val="auto"/>
          <w:sz w:val="32"/>
          <w:szCs w:val="32"/>
        </w:rPr>
        <w:t>（非联合体投标格式）</w:t>
      </w:r>
    </w:p>
    <w:p>
      <w:pPr>
        <w:snapToGrid w:val="0"/>
        <w:spacing w:before="120" w:beforeLines="50" w:after="50"/>
        <w:jc w:val="center"/>
        <w:outlineLvl w:val="9"/>
        <w:rPr>
          <w:rFonts w:hint="eastAsia" w:ascii="宋体" w:hAnsi="宋体"/>
          <w:b/>
          <w:color w:val="auto"/>
          <w:sz w:val="24"/>
        </w:rPr>
      </w:pPr>
      <w:r>
        <w:rPr>
          <w:rFonts w:hint="eastAsia" w:ascii="宋体" w:hAnsi="宋体"/>
          <w:b/>
          <w:color w:val="auto"/>
          <w:sz w:val="32"/>
          <w:szCs w:val="32"/>
        </w:rPr>
        <w:t>（如有委托时）</w:t>
      </w:r>
    </w:p>
    <w:p>
      <w:pPr>
        <w:snapToGrid w:val="0"/>
        <w:spacing w:before="120" w:beforeLines="50" w:after="50"/>
        <w:jc w:val="center"/>
        <w:outlineLvl w:val="9"/>
        <w:rPr>
          <w:rFonts w:hint="eastAsia" w:ascii="宋体" w:hAnsi="宋体"/>
          <w:b/>
          <w:color w:val="auto"/>
          <w:sz w:val="24"/>
        </w:rPr>
      </w:pPr>
    </w:p>
    <w:p>
      <w:pPr>
        <w:spacing w:line="360" w:lineRule="auto"/>
        <w:contextualSpacing/>
        <w:outlineLvl w:val="9"/>
        <w:rPr>
          <w:rFonts w:hint="eastAsia"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pPr>
        <w:spacing w:line="360" w:lineRule="auto"/>
        <w:ind w:firstLine="566" w:firstLineChars="236"/>
        <w:contextualSpacing/>
        <w:outlineLvl w:val="9"/>
        <w:rPr>
          <w:rFonts w:hint="eastAsia"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项目的投标活动，并代表我方全权办理针对上述项目的所有采购程序和环节的具体事务和签署相关文件。</w:t>
      </w:r>
    </w:p>
    <w:p>
      <w:pPr>
        <w:spacing w:line="360" w:lineRule="auto"/>
        <w:contextualSpacing/>
        <w:outlineLvl w:val="9"/>
        <w:rPr>
          <w:rFonts w:hint="eastAsia" w:ascii="宋体" w:hAnsi="宋体"/>
          <w:color w:val="auto"/>
          <w:sz w:val="24"/>
        </w:rPr>
      </w:pPr>
      <w:r>
        <w:rPr>
          <w:rFonts w:hint="eastAsia" w:ascii="宋体" w:hAnsi="宋体"/>
          <w:color w:val="auto"/>
          <w:sz w:val="24"/>
        </w:rPr>
        <w:t xml:space="preserve">    我方对委托代理人的签字事项负全部责任。</w:t>
      </w:r>
    </w:p>
    <w:p>
      <w:pPr>
        <w:spacing w:line="360" w:lineRule="auto"/>
        <w:ind w:firstLine="480"/>
        <w:contextualSpacing/>
        <w:outlineLvl w:val="9"/>
        <w:rPr>
          <w:rFonts w:hint="eastAsia"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outlineLvl w:val="9"/>
        <w:rPr>
          <w:rFonts w:hint="eastAsia" w:ascii="宋体" w:hAnsi="宋体"/>
          <w:color w:val="auto"/>
          <w:sz w:val="24"/>
        </w:rPr>
      </w:pPr>
      <w:r>
        <w:rPr>
          <w:rFonts w:hint="eastAsia" w:ascii="宋体" w:hAnsi="宋体"/>
          <w:color w:val="auto"/>
          <w:sz w:val="24"/>
        </w:rPr>
        <w:t>委托代理人无转委托权，特此委托。</w:t>
      </w:r>
    </w:p>
    <w:p>
      <w:pPr>
        <w:spacing w:line="360" w:lineRule="auto"/>
        <w:ind w:firstLine="480"/>
        <w:contextualSpacing/>
        <w:outlineLvl w:val="9"/>
        <w:rPr>
          <w:rFonts w:hint="eastAsia" w:ascii="宋体" w:hAnsi="宋体"/>
          <w:color w:val="auto"/>
          <w:sz w:val="24"/>
        </w:rPr>
      </w:pPr>
      <w:r>
        <w:rPr>
          <w:rFonts w:hint="eastAsia" w:ascii="宋体" w:hAnsi="宋体"/>
          <w:color w:val="auto"/>
          <w:sz w:val="24"/>
        </w:rPr>
        <w:t>附：法定代表人身份证明及委托代理人有效身份证正反面复印件</w:t>
      </w:r>
    </w:p>
    <w:p>
      <w:pPr>
        <w:spacing w:line="360" w:lineRule="auto"/>
        <w:contextualSpacing/>
        <w:outlineLvl w:val="9"/>
        <w:rPr>
          <w:rFonts w:hint="eastAsia" w:ascii="宋体" w:hAnsi="宋体"/>
          <w:color w:val="auto"/>
          <w:sz w:val="24"/>
        </w:rPr>
      </w:pPr>
    </w:p>
    <w:p>
      <w:pPr>
        <w:spacing w:line="360" w:lineRule="auto"/>
        <w:contextualSpacing/>
        <w:outlineLvl w:val="9"/>
        <w:rPr>
          <w:rFonts w:hint="eastAsia" w:ascii="宋体" w:hAnsi="宋体"/>
          <w:color w:val="auto"/>
          <w:sz w:val="24"/>
          <w:u w:val="single"/>
        </w:rPr>
      </w:pPr>
      <w:r>
        <w:rPr>
          <w:rFonts w:hint="eastAsia" w:ascii="宋体" w:hAnsi="宋体"/>
          <w:color w:val="auto"/>
          <w:sz w:val="24"/>
        </w:rPr>
        <w:t>委托代理人（签字）：</w:t>
      </w:r>
      <w:r>
        <w:rPr>
          <w:rFonts w:hint="eastAsia" w:ascii="宋体" w:hAnsi="宋体"/>
          <w:color w:val="auto"/>
          <w:sz w:val="24"/>
          <w:u w:val="single"/>
        </w:rPr>
        <w:t xml:space="preserve">               </w:t>
      </w:r>
      <w:r>
        <w:rPr>
          <w:rFonts w:hint="eastAsia" w:ascii="宋体" w:hAnsi="宋体"/>
          <w:color w:val="auto"/>
          <w:sz w:val="24"/>
        </w:rPr>
        <w:t xml:space="preserve">            法定代表人（签字或者盖章）：</w:t>
      </w:r>
      <w:r>
        <w:rPr>
          <w:rFonts w:hint="eastAsia" w:ascii="宋体" w:hAnsi="宋体"/>
          <w:color w:val="auto"/>
          <w:sz w:val="24"/>
          <w:u w:val="single"/>
        </w:rPr>
        <w:t xml:space="preserve">              </w:t>
      </w:r>
    </w:p>
    <w:p>
      <w:pPr>
        <w:spacing w:line="360" w:lineRule="auto"/>
        <w:contextualSpacing/>
        <w:outlineLvl w:val="9"/>
        <w:rPr>
          <w:rFonts w:hint="eastAsia" w:ascii="宋体" w:hAnsi="宋体"/>
          <w:color w:val="auto"/>
          <w:sz w:val="24"/>
        </w:rPr>
      </w:pPr>
      <w:r>
        <w:rPr>
          <w:rFonts w:hint="eastAsia" w:ascii="宋体" w:hAnsi="宋体"/>
          <w:color w:val="auto"/>
          <w:sz w:val="24"/>
        </w:rPr>
        <w:t>委托代理人身份证号码：</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contextualSpacing/>
        <w:jc w:val="center"/>
        <w:outlineLvl w:val="9"/>
        <w:rPr>
          <w:rFonts w:hint="eastAsia" w:ascii="宋体" w:hAnsi="宋体"/>
          <w:color w:val="auto"/>
          <w:sz w:val="24"/>
        </w:rPr>
      </w:pPr>
      <w:r>
        <w:rPr>
          <w:rFonts w:hint="eastAsia" w:ascii="宋体" w:hAnsi="宋体"/>
          <w:color w:val="auto"/>
          <w:sz w:val="24"/>
        </w:rPr>
        <w:t xml:space="preserve">                                                投标人（盖公章）：</w:t>
      </w:r>
    </w:p>
    <w:p>
      <w:pPr>
        <w:spacing w:line="360" w:lineRule="auto"/>
        <w:contextualSpacing/>
        <w:jc w:val="center"/>
        <w:outlineLvl w:val="9"/>
        <w:rPr>
          <w:rFonts w:hint="eastAsia" w:ascii="宋体" w:hAnsi="宋体"/>
          <w:color w:val="auto"/>
          <w:sz w:val="24"/>
        </w:rPr>
      </w:pPr>
      <w:r>
        <w:rPr>
          <w:rFonts w:hint="eastAsia" w:ascii="宋体" w:hAnsi="宋体"/>
          <w:color w:val="auto"/>
          <w:sz w:val="24"/>
        </w:rPr>
        <w:t xml:space="preserve">                                              年    月    日</w:t>
      </w:r>
    </w:p>
    <w:p>
      <w:pPr>
        <w:spacing w:line="360" w:lineRule="auto"/>
        <w:contextualSpacing/>
        <w:outlineLvl w:val="9"/>
        <w:rPr>
          <w:rFonts w:hint="eastAsia" w:ascii="宋体" w:hAnsi="宋体"/>
          <w:color w:val="auto"/>
          <w:sz w:val="24"/>
        </w:rPr>
      </w:pPr>
    </w:p>
    <w:p>
      <w:pPr>
        <w:spacing w:line="360" w:lineRule="auto"/>
        <w:contextualSpacing/>
        <w:outlineLvl w:val="9"/>
        <w:rPr>
          <w:rFonts w:hint="eastAsia" w:ascii="宋体" w:hAnsi="宋体" w:cs="仿宋_GB2312"/>
          <w:color w:val="auto"/>
          <w:sz w:val="24"/>
        </w:rPr>
      </w:pPr>
      <w:r>
        <w:rPr>
          <w:rFonts w:hint="eastAsia" w:ascii="宋体" w:hAnsi="宋体" w:cs="仿宋_GB2312"/>
          <w:color w:val="auto"/>
          <w:sz w:val="24"/>
        </w:rPr>
        <w:t>注：1.</w:t>
      </w:r>
      <w:bookmarkStart w:id="661" w:name="_Hlk65851555"/>
      <w:r>
        <w:rPr>
          <w:rFonts w:hint="eastAsia" w:ascii="宋体" w:hAnsi="宋体" w:cs="仿宋_GB2312"/>
          <w:color w:val="auto"/>
          <w:sz w:val="24"/>
        </w:rPr>
        <w:t xml:space="preserve"> </w:t>
      </w:r>
      <w:bookmarkStart w:id="662" w:name="_Hlk65852380"/>
      <w:r>
        <w:rPr>
          <w:rFonts w:hint="eastAsia" w:ascii="宋体" w:hAnsi="宋体" w:cs="仿宋_GB2312"/>
          <w:color w:val="auto"/>
          <w:sz w:val="24"/>
        </w:rPr>
        <w:t>法定代表人必须在授权委托书上亲笔签字或者盖章，</w:t>
      </w:r>
      <w:bookmarkEnd w:id="661"/>
      <w:r>
        <w:rPr>
          <w:rFonts w:hint="eastAsia" w:ascii="宋体" w:hAnsi="宋体" w:cs="仿宋_GB2312"/>
          <w:color w:val="auto"/>
          <w:sz w:val="24"/>
        </w:rPr>
        <w:t>委托代理人必须在授权委托书上亲笔签字，</w:t>
      </w:r>
      <w:r>
        <w:rPr>
          <w:rFonts w:hint="eastAsia" w:ascii="宋体" w:hAnsi="宋体" w:cs="仿宋_GB2312"/>
          <w:b/>
          <w:bCs/>
          <w:color w:val="auto"/>
          <w:sz w:val="24"/>
        </w:rPr>
        <w:t>否则按无效投标处理</w:t>
      </w:r>
      <w:r>
        <w:rPr>
          <w:rFonts w:hint="eastAsia" w:ascii="宋体" w:hAnsi="宋体" w:cs="仿宋_GB2312"/>
          <w:color w:val="auto"/>
          <w:sz w:val="24"/>
        </w:rPr>
        <w:t>；</w:t>
      </w:r>
      <w:bookmarkEnd w:id="662"/>
    </w:p>
    <w:p>
      <w:pPr>
        <w:spacing w:line="360" w:lineRule="auto"/>
        <w:ind w:firstLine="480" w:firstLineChars="200"/>
        <w:contextualSpacing/>
        <w:jc w:val="left"/>
        <w:outlineLvl w:val="9"/>
        <w:rPr>
          <w:rFonts w:hint="eastAsia" w:ascii="宋体" w:hAnsi="宋体"/>
          <w:color w:val="auto"/>
          <w:sz w:val="24"/>
        </w:rPr>
      </w:pPr>
      <w:r>
        <w:rPr>
          <w:rFonts w:hint="eastAsia" w:ascii="宋体" w:hAnsi="宋体" w:cs="仿宋_GB2312"/>
          <w:color w:val="auto"/>
          <w:sz w:val="24"/>
        </w:rPr>
        <w:t>2.</w:t>
      </w:r>
      <w:bookmarkStart w:id="663" w:name="_Hlk65852305"/>
      <w:r>
        <w:rPr>
          <w:rFonts w:hint="eastAsia" w:ascii="宋体" w:hAnsi="宋体" w:cs="仿宋_GB2312"/>
          <w:color w:val="auto"/>
          <w:sz w:val="24"/>
        </w:rPr>
        <w:t>法人、其他组织投标时“我方”是指“我单位”，自然人投标时“我方”是指“本人”。</w:t>
      </w:r>
    </w:p>
    <w:bookmarkEnd w:id="663"/>
    <w:p>
      <w:pPr>
        <w:pStyle w:val="2"/>
        <w:outlineLvl w:val="9"/>
        <w:rPr>
          <w:rFonts w:hint="eastAsia"/>
          <w:color w:val="auto"/>
          <w:sz w:val="28"/>
          <w:szCs w:val="28"/>
          <w:highlight w:val="none"/>
        </w:rPr>
      </w:pPr>
    </w:p>
    <w:p>
      <w:pPr>
        <w:pStyle w:val="2"/>
        <w:outlineLvl w:val="9"/>
        <w:rPr>
          <w:rFonts w:hint="eastAsia"/>
          <w:color w:val="auto"/>
          <w:sz w:val="28"/>
          <w:szCs w:val="28"/>
          <w:highlight w:val="none"/>
        </w:rPr>
      </w:pPr>
    </w:p>
    <w:p>
      <w:pPr>
        <w:pStyle w:val="2"/>
        <w:outlineLvl w:val="9"/>
        <w:rPr>
          <w:rFonts w:hint="eastAsia"/>
          <w:color w:val="auto"/>
          <w:sz w:val="28"/>
          <w:szCs w:val="28"/>
          <w:highlight w:val="none"/>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pStyle w:val="2"/>
        <w:outlineLvl w:val="9"/>
        <w:rPr>
          <w:rFonts w:hint="eastAsia"/>
          <w:color w:val="auto"/>
          <w:highlight w:val="none"/>
          <w:lang w:val="en-US" w:eastAsia="zh-CN"/>
        </w:rPr>
      </w:pPr>
    </w:p>
    <w:p>
      <w:pPr>
        <w:spacing w:line="360" w:lineRule="auto"/>
        <w:jc w:val="center"/>
        <w:outlineLvl w:val="9"/>
        <w:rPr>
          <w:rFonts w:hint="eastAsia" w:ascii="宋体" w:hAnsi="宋体" w:eastAsia="宋体" w:cs="宋体"/>
          <w:b/>
          <w:bCs/>
          <w:color w:val="auto"/>
          <w:sz w:val="24"/>
          <w:szCs w:val="24"/>
          <w:highlight w:val="none"/>
          <w:lang w:val="en-US" w:eastAsia="zh-CN"/>
        </w:rPr>
      </w:pPr>
    </w:p>
    <w:p>
      <w:pPr>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施工组织设计</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1、投标人编制施工组织设计的要求：编制时应采用文字并结合图表形式说明施工方法；拟  投入本工程的主要施工设备情况、拟配备本工程的试验和检测仪器设备情况、劳动力计划等；   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2．施工组织设计除采用文字表述外可附下列图表，图表及格式要求附后。  </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附表一 拟投入本工程的主要施工设备表</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附表二 拟配备本工程的试验和检测仪器设备表</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附表三</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劳动力计划表</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附表四</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计划开、竣工日期和施工进度网络图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附表五</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施工总平面图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临时用地表</w:t>
      </w:r>
    </w:p>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附表一：拟投入本工程的主要施工设备表</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731"/>
        <w:gridCol w:w="735"/>
        <w:gridCol w:w="720"/>
        <w:gridCol w:w="825"/>
        <w:gridCol w:w="1242"/>
        <w:gridCol w:w="843"/>
        <w:gridCol w:w="106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758" w:type="dxa"/>
            <w:vAlign w:val="center"/>
          </w:tcPr>
          <w:p>
            <w:pPr>
              <w:pStyle w:val="32"/>
              <w:jc w:val="center"/>
              <w:outlineLvl w:val="9"/>
              <w:rPr>
                <w:color w:val="auto"/>
                <w:sz w:val="21"/>
                <w:highlight w:val="none"/>
              </w:rPr>
            </w:pPr>
            <w:r>
              <w:rPr>
                <w:color w:val="auto"/>
                <w:sz w:val="21"/>
                <w:highlight w:val="none"/>
              </w:rPr>
              <w:t>序号</w:t>
            </w:r>
          </w:p>
        </w:tc>
        <w:tc>
          <w:tcPr>
            <w:tcW w:w="1226" w:type="dxa"/>
            <w:vAlign w:val="center"/>
          </w:tcPr>
          <w:p>
            <w:pPr>
              <w:pStyle w:val="32"/>
              <w:jc w:val="center"/>
              <w:outlineLvl w:val="9"/>
              <w:rPr>
                <w:color w:val="auto"/>
                <w:sz w:val="21"/>
                <w:highlight w:val="none"/>
              </w:rPr>
            </w:pPr>
            <w:r>
              <w:rPr>
                <w:color w:val="auto"/>
                <w:sz w:val="21"/>
                <w:highlight w:val="none"/>
              </w:rPr>
              <w:t>设备名称</w:t>
            </w:r>
          </w:p>
        </w:tc>
        <w:tc>
          <w:tcPr>
            <w:tcW w:w="731" w:type="dxa"/>
            <w:vAlign w:val="center"/>
          </w:tcPr>
          <w:p>
            <w:pPr>
              <w:pStyle w:val="32"/>
              <w:spacing w:line="244" w:lineRule="auto"/>
              <w:ind w:right="201"/>
              <w:jc w:val="center"/>
              <w:outlineLvl w:val="9"/>
              <w:rPr>
                <w:color w:val="auto"/>
                <w:sz w:val="21"/>
                <w:highlight w:val="none"/>
              </w:rPr>
            </w:pPr>
            <w:r>
              <w:rPr>
                <w:color w:val="auto"/>
                <w:sz w:val="21"/>
                <w:highlight w:val="none"/>
              </w:rPr>
              <w:t>型号规格</w:t>
            </w:r>
          </w:p>
        </w:tc>
        <w:tc>
          <w:tcPr>
            <w:tcW w:w="735" w:type="dxa"/>
            <w:vAlign w:val="center"/>
          </w:tcPr>
          <w:p>
            <w:pPr>
              <w:pStyle w:val="32"/>
              <w:jc w:val="center"/>
              <w:outlineLvl w:val="9"/>
              <w:rPr>
                <w:color w:val="auto"/>
                <w:sz w:val="21"/>
                <w:highlight w:val="none"/>
              </w:rPr>
            </w:pPr>
            <w:r>
              <w:rPr>
                <w:color w:val="auto"/>
                <w:sz w:val="21"/>
                <w:highlight w:val="none"/>
              </w:rPr>
              <w:t>数量</w:t>
            </w:r>
          </w:p>
        </w:tc>
        <w:tc>
          <w:tcPr>
            <w:tcW w:w="720" w:type="dxa"/>
            <w:vAlign w:val="center"/>
          </w:tcPr>
          <w:p>
            <w:pPr>
              <w:pStyle w:val="32"/>
              <w:spacing w:line="244" w:lineRule="auto"/>
              <w:ind w:right="130"/>
              <w:jc w:val="center"/>
              <w:outlineLvl w:val="9"/>
              <w:rPr>
                <w:color w:val="auto"/>
                <w:sz w:val="21"/>
                <w:highlight w:val="none"/>
              </w:rPr>
            </w:pPr>
            <w:r>
              <w:rPr>
                <w:color w:val="auto"/>
                <w:sz w:val="21"/>
                <w:highlight w:val="none"/>
              </w:rPr>
              <w:t>国别产地</w:t>
            </w:r>
          </w:p>
        </w:tc>
        <w:tc>
          <w:tcPr>
            <w:tcW w:w="825" w:type="dxa"/>
            <w:vAlign w:val="center"/>
          </w:tcPr>
          <w:p>
            <w:pPr>
              <w:pStyle w:val="32"/>
              <w:spacing w:line="244" w:lineRule="auto"/>
              <w:ind w:right="201"/>
              <w:jc w:val="center"/>
              <w:outlineLvl w:val="9"/>
              <w:rPr>
                <w:color w:val="auto"/>
                <w:sz w:val="21"/>
                <w:highlight w:val="none"/>
              </w:rPr>
            </w:pPr>
            <w:r>
              <w:rPr>
                <w:color w:val="auto"/>
                <w:sz w:val="21"/>
                <w:highlight w:val="none"/>
              </w:rPr>
              <w:t>制造年份</w:t>
            </w:r>
          </w:p>
        </w:tc>
        <w:tc>
          <w:tcPr>
            <w:tcW w:w="1242" w:type="dxa"/>
            <w:vAlign w:val="center"/>
          </w:tcPr>
          <w:p>
            <w:pPr>
              <w:pStyle w:val="32"/>
              <w:ind w:right="116"/>
              <w:jc w:val="center"/>
              <w:outlineLvl w:val="9"/>
              <w:rPr>
                <w:color w:val="auto"/>
                <w:sz w:val="21"/>
                <w:highlight w:val="none"/>
              </w:rPr>
            </w:pPr>
            <w:r>
              <w:rPr>
                <w:color w:val="auto"/>
                <w:sz w:val="21"/>
                <w:highlight w:val="none"/>
              </w:rPr>
              <w:t>额定功率</w:t>
            </w:r>
          </w:p>
          <w:p>
            <w:pPr>
              <w:pStyle w:val="32"/>
              <w:spacing w:before="4"/>
              <w:ind w:left="127" w:right="109"/>
              <w:jc w:val="center"/>
              <w:outlineLvl w:val="9"/>
              <w:rPr>
                <w:color w:val="auto"/>
                <w:sz w:val="21"/>
                <w:highlight w:val="none"/>
              </w:rPr>
            </w:pPr>
            <w:r>
              <w:rPr>
                <w:color w:val="auto"/>
                <w:sz w:val="21"/>
                <w:highlight w:val="none"/>
              </w:rPr>
              <w:t>（KW）</w:t>
            </w:r>
          </w:p>
        </w:tc>
        <w:tc>
          <w:tcPr>
            <w:tcW w:w="843" w:type="dxa"/>
            <w:vAlign w:val="center"/>
          </w:tcPr>
          <w:p>
            <w:pPr>
              <w:pStyle w:val="32"/>
              <w:spacing w:line="244" w:lineRule="auto"/>
              <w:ind w:right="270"/>
              <w:jc w:val="center"/>
              <w:outlineLvl w:val="9"/>
              <w:rPr>
                <w:color w:val="auto"/>
                <w:sz w:val="21"/>
                <w:highlight w:val="none"/>
              </w:rPr>
            </w:pPr>
            <w:r>
              <w:rPr>
                <w:color w:val="auto"/>
                <w:sz w:val="21"/>
                <w:highlight w:val="none"/>
              </w:rPr>
              <w:t>生产能力</w:t>
            </w:r>
          </w:p>
        </w:tc>
        <w:tc>
          <w:tcPr>
            <w:tcW w:w="1065" w:type="dxa"/>
            <w:vAlign w:val="center"/>
          </w:tcPr>
          <w:p>
            <w:pPr>
              <w:pStyle w:val="32"/>
              <w:spacing w:line="244" w:lineRule="auto"/>
              <w:ind w:right="238"/>
              <w:jc w:val="center"/>
              <w:outlineLvl w:val="9"/>
              <w:rPr>
                <w:color w:val="auto"/>
                <w:sz w:val="21"/>
                <w:highlight w:val="none"/>
              </w:rPr>
            </w:pPr>
            <w:r>
              <w:rPr>
                <w:color w:val="auto"/>
                <w:sz w:val="21"/>
                <w:highlight w:val="none"/>
              </w:rPr>
              <w:t>用于施工部位</w:t>
            </w:r>
          </w:p>
        </w:tc>
        <w:tc>
          <w:tcPr>
            <w:tcW w:w="1210" w:type="dxa"/>
            <w:vAlign w:val="center"/>
          </w:tcPr>
          <w:p>
            <w:pPr>
              <w:pStyle w:val="32"/>
              <w:jc w:val="center"/>
              <w:outlineLvl w:val="9"/>
              <w:rPr>
                <w:color w:val="auto"/>
                <w:sz w:val="21"/>
                <w:highlight w:val="none"/>
              </w:rPr>
            </w:pPr>
            <w:r>
              <w:rPr>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58" w:type="dxa"/>
            <w:vAlign w:val="center"/>
          </w:tcPr>
          <w:p>
            <w:pPr>
              <w:pStyle w:val="32"/>
              <w:jc w:val="center"/>
              <w:outlineLvl w:val="9"/>
              <w:rPr>
                <w:rFonts w:ascii="Times New Roman"/>
                <w:color w:val="auto"/>
                <w:sz w:val="20"/>
                <w:highlight w:val="none"/>
              </w:rPr>
            </w:pPr>
          </w:p>
        </w:tc>
        <w:tc>
          <w:tcPr>
            <w:tcW w:w="1226" w:type="dxa"/>
            <w:vAlign w:val="center"/>
          </w:tcPr>
          <w:p>
            <w:pPr>
              <w:pStyle w:val="32"/>
              <w:jc w:val="center"/>
              <w:outlineLvl w:val="9"/>
              <w:rPr>
                <w:rFonts w:ascii="Times New Roman"/>
                <w:color w:val="auto"/>
                <w:sz w:val="20"/>
                <w:highlight w:val="none"/>
              </w:rPr>
            </w:pPr>
          </w:p>
        </w:tc>
        <w:tc>
          <w:tcPr>
            <w:tcW w:w="731" w:type="dxa"/>
            <w:vAlign w:val="center"/>
          </w:tcPr>
          <w:p>
            <w:pPr>
              <w:pStyle w:val="32"/>
              <w:jc w:val="center"/>
              <w:outlineLvl w:val="9"/>
              <w:rPr>
                <w:rFonts w:ascii="Times New Roman"/>
                <w:color w:val="auto"/>
                <w:sz w:val="20"/>
                <w:highlight w:val="none"/>
              </w:rPr>
            </w:pPr>
          </w:p>
        </w:tc>
        <w:tc>
          <w:tcPr>
            <w:tcW w:w="735" w:type="dxa"/>
            <w:vAlign w:val="center"/>
          </w:tcPr>
          <w:p>
            <w:pPr>
              <w:pStyle w:val="32"/>
              <w:jc w:val="center"/>
              <w:outlineLvl w:val="9"/>
              <w:rPr>
                <w:rFonts w:ascii="Times New Roman"/>
                <w:color w:val="auto"/>
                <w:sz w:val="20"/>
                <w:highlight w:val="none"/>
              </w:rPr>
            </w:pPr>
          </w:p>
        </w:tc>
        <w:tc>
          <w:tcPr>
            <w:tcW w:w="720" w:type="dxa"/>
            <w:vAlign w:val="center"/>
          </w:tcPr>
          <w:p>
            <w:pPr>
              <w:pStyle w:val="32"/>
              <w:jc w:val="center"/>
              <w:outlineLvl w:val="9"/>
              <w:rPr>
                <w:rFonts w:ascii="Times New Roman"/>
                <w:color w:val="auto"/>
                <w:sz w:val="20"/>
                <w:highlight w:val="none"/>
              </w:rPr>
            </w:pPr>
          </w:p>
        </w:tc>
        <w:tc>
          <w:tcPr>
            <w:tcW w:w="825" w:type="dxa"/>
            <w:vAlign w:val="center"/>
          </w:tcPr>
          <w:p>
            <w:pPr>
              <w:pStyle w:val="32"/>
              <w:jc w:val="center"/>
              <w:outlineLvl w:val="9"/>
              <w:rPr>
                <w:rFonts w:ascii="Times New Roman"/>
                <w:color w:val="auto"/>
                <w:sz w:val="20"/>
                <w:highlight w:val="none"/>
              </w:rPr>
            </w:pPr>
          </w:p>
        </w:tc>
        <w:tc>
          <w:tcPr>
            <w:tcW w:w="1242" w:type="dxa"/>
            <w:vAlign w:val="center"/>
          </w:tcPr>
          <w:p>
            <w:pPr>
              <w:pStyle w:val="32"/>
              <w:jc w:val="center"/>
              <w:outlineLvl w:val="9"/>
              <w:rPr>
                <w:rFonts w:ascii="Times New Roman"/>
                <w:color w:val="auto"/>
                <w:sz w:val="20"/>
                <w:highlight w:val="none"/>
              </w:rPr>
            </w:pPr>
          </w:p>
        </w:tc>
        <w:tc>
          <w:tcPr>
            <w:tcW w:w="843" w:type="dxa"/>
            <w:vAlign w:val="center"/>
          </w:tcPr>
          <w:p>
            <w:pPr>
              <w:pStyle w:val="32"/>
              <w:jc w:val="center"/>
              <w:outlineLvl w:val="9"/>
              <w:rPr>
                <w:rFonts w:ascii="Times New Roman"/>
                <w:color w:val="auto"/>
                <w:sz w:val="20"/>
                <w:highlight w:val="none"/>
              </w:rPr>
            </w:pPr>
          </w:p>
        </w:tc>
        <w:tc>
          <w:tcPr>
            <w:tcW w:w="1065" w:type="dxa"/>
            <w:vAlign w:val="center"/>
          </w:tcPr>
          <w:p>
            <w:pPr>
              <w:pStyle w:val="32"/>
              <w:jc w:val="center"/>
              <w:outlineLvl w:val="9"/>
              <w:rPr>
                <w:rFonts w:ascii="Times New Roman"/>
                <w:color w:val="auto"/>
                <w:sz w:val="20"/>
                <w:highlight w:val="none"/>
              </w:rPr>
            </w:pPr>
          </w:p>
        </w:tc>
        <w:tc>
          <w:tcPr>
            <w:tcW w:w="1210"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58" w:type="dxa"/>
            <w:vAlign w:val="center"/>
          </w:tcPr>
          <w:p>
            <w:pPr>
              <w:pStyle w:val="32"/>
              <w:jc w:val="center"/>
              <w:outlineLvl w:val="9"/>
              <w:rPr>
                <w:rFonts w:ascii="Times New Roman"/>
                <w:color w:val="auto"/>
                <w:sz w:val="20"/>
                <w:highlight w:val="none"/>
              </w:rPr>
            </w:pPr>
          </w:p>
        </w:tc>
        <w:tc>
          <w:tcPr>
            <w:tcW w:w="1226" w:type="dxa"/>
            <w:vAlign w:val="center"/>
          </w:tcPr>
          <w:p>
            <w:pPr>
              <w:pStyle w:val="32"/>
              <w:jc w:val="center"/>
              <w:outlineLvl w:val="9"/>
              <w:rPr>
                <w:rFonts w:ascii="Times New Roman"/>
                <w:color w:val="auto"/>
                <w:sz w:val="20"/>
                <w:highlight w:val="none"/>
              </w:rPr>
            </w:pPr>
          </w:p>
        </w:tc>
        <w:tc>
          <w:tcPr>
            <w:tcW w:w="731" w:type="dxa"/>
            <w:vAlign w:val="center"/>
          </w:tcPr>
          <w:p>
            <w:pPr>
              <w:pStyle w:val="32"/>
              <w:jc w:val="center"/>
              <w:outlineLvl w:val="9"/>
              <w:rPr>
                <w:rFonts w:ascii="Times New Roman"/>
                <w:color w:val="auto"/>
                <w:sz w:val="20"/>
                <w:highlight w:val="none"/>
              </w:rPr>
            </w:pPr>
          </w:p>
        </w:tc>
        <w:tc>
          <w:tcPr>
            <w:tcW w:w="735" w:type="dxa"/>
            <w:vAlign w:val="center"/>
          </w:tcPr>
          <w:p>
            <w:pPr>
              <w:pStyle w:val="32"/>
              <w:jc w:val="center"/>
              <w:outlineLvl w:val="9"/>
              <w:rPr>
                <w:rFonts w:ascii="Times New Roman"/>
                <w:color w:val="auto"/>
                <w:sz w:val="20"/>
                <w:highlight w:val="none"/>
              </w:rPr>
            </w:pPr>
          </w:p>
        </w:tc>
        <w:tc>
          <w:tcPr>
            <w:tcW w:w="720" w:type="dxa"/>
            <w:vAlign w:val="center"/>
          </w:tcPr>
          <w:p>
            <w:pPr>
              <w:pStyle w:val="32"/>
              <w:jc w:val="center"/>
              <w:outlineLvl w:val="9"/>
              <w:rPr>
                <w:rFonts w:ascii="Times New Roman"/>
                <w:color w:val="auto"/>
                <w:sz w:val="20"/>
                <w:highlight w:val="none"/>
              </w:rPr>
            </w:pPr>
          </w:p>
        </w:tc>
        <w:tc>
          <w:tcPr>
            <w:tcW w:w="825" w:type="dxa"/>
            <w:vAlign w:val="center"/>
          </w:tcPr>
          <w:p>
            <w:pPr>
              <w:pStyle w:val="32"/>
              <w:jc w:val="center"/>
              <w:outlineLvl w:val="9"/>
              <w:rPr>
                <w:rFonts w:ascii="Times New Roman"/>
                <w:color w:val="auto"/>
                <w:sz w:val="20"/>
                <w:highlight w:val="none"/>
              </w:rPr>
            </w:pPr>
          </w:p>
        </w:tc>
        <w:tc>
          <w:tcPr>
            <w:tcW w:w="1242" w:type="dxa"/>
            <w:vAlign w:val="center"/>
          </w:tcPr>
          <w:p>
            <w:pPr>
              <w:pStyle w:val="32"/>
              <w:jc w:val="center"/>
              <w:outlineLvl w:val="9"/>
              <w:rPr>
                <w:rFonts w:ascii="Times New Roman"/>
                <w:color w:val="auto"/>
                <w:sz w:val="20"/>
                <w:highlight w:val="none"/>
              </w:rPr>
            </w:pPr>
          </w:p>
        </w:tc>
        <w:tc>
          <w:tcPr>
            <w:tcW w:w="843" w:type="dxa"/>
            <w:vAlign w:val="center"/>
          </w:tcPr>
          <w:p>
            <w:pPr>
              <w:pStyle w:val="32"/>
              <w:jc w:val="center"/>
              <w:outlineLvl w:val="9"/>
              <w:rPr>
                <w:rFonts w:ascii="Times New Roman"/>
                <w:color w:val="auto"/>
                <w:sz w:val="20"/>
                <w:highlight w:val="none"/>
              </w:rPr>
            </w:pPr>
          </w:p>
        </w:tc>
        <w:tc>
          <w:tcPr>
            <w:tcW w:w="1065" w:type="dxa"/>
            <w:vAlign w:val="center"/>
          </w:tcPr>
          <w:p>
            <w:pPr>
              <w:pStyle w:val="32"/>
              <w:jc w:val="center"/>
              <w:outlineLvl w:val="9"/>
              <w:rPr>
                <w:rFonts w:ascii="Times New Roman"/>
                <w:color w:val="auto"/>
                <w:sz w:val="20"/>
                <w:highlight w:val="none"/>
              </w:rPr>
            </w:pPr>
          </w:p>
        </w:tc>
        <w:tc>
          <w:tcPr>
            <w:tcW w:w="1210"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58" w:type="dxa"/>
            <w:vAlign w:val="center"/>
          </w:tcPr>
          <w:p>
            <w:pPr>
              <w:pStyle w:val="32"/>
              <w:jc w:val="center"/>
              <w:outlineLvl w:val="9"/>
              <w:rPr>
                <w:rFonts w:ascii="Times New Roman"/>
                <w:color w:val="auto"/>
                <w:sz w:val="20"/>
                <w:highlight w:val="none"/>
              </w:rPr>
            </w:pPr>
          </w:p>
        </w:tc>
        <w:tc>
          <w:tcPr>
            <w:tcW w:w="1226" w:type="dxa"/>
            <w:vAlign w:val="center"/>
          </w:tcPr>
          <w:p>
            <w:pPr>
              <w:pStyle w:val="32"/>
              <w:jc w:val="center"/>
              <w:outlineLvl w:val="9"/>
              <w:rPr>
                <w:rFonts w:ascii="Times New Roman"/>
                <w:color w:val="auto"/>
                <w:sz w:val="20"/>
                <w:highlight w:val="none"/>
              </w:rPr>
            </w:pPr>
          </w:p>
        </w:tc>
        <w:tc>
          <w:tcPr>
            <w:tcW w:w="731" w:type="dxa"/>
            <w:vAlign w:val="center"/>
          </w:tcPr>
          <w:p>
            <w:pPr>
              <w:pStyle w:val="32"/>
              <w:jc w:val="center"/>
              <w:outlineLvl w:val="9"/>
              <w:rPr>
                <w:rFonts w:ascii="Times New Roman"/>
                <w:color w:val="auto"/>
                <w:sz w:val="20"/>
                <w:highlight w:val="none"/>
              </w:rPr>
            </w:pPr>
          </w:p>
        </w:tc>
        <w:tc>
          <w:tcPr>
            <w:tcW w:w="735" w:type="dxa"/>
            <w:vAlign w:val="center"/>
          </w:tcPr>
          <w:p>
            <w:pPr>
              <w:pStyle w:val="32"/>
              <w:jc w:val="center"/>
              <w:outlineLvl w:val="9"/>
              <w:rPr>
                <w:rFonts w:ascii="Times New Roman"/>
                <w:color w:val="auto"/>
                <w:sz w:val="20"/>
                <w:highlight w:val="none"/>
              </w:rPr>
            </w:pPr>
          </w:p>
        </w:tc>
        <w:tc>
          <w:tcPr>
            <w:tcW w:w="720" w:type="dxa"/>
            <w:vAlign w:val="center"/>
          </w:tcPr>
          <w:p>
            <w:pPr>
              <w:pStyle w:val="32"/>
              <w:jc w:val="center"/>
              <w:outlineLvl w:val="9"/>
              <w:rPr>
                <w:rFonts w:ascii="Times New Roman"/>
                <w:color w:val="auto"/>
                <w:sz w:val="20"/>
                <w:highlight w:val="none"/>
              </w:rPr>
            </w:pPr>
          </w:p>
        </w:tc>
        <w:tc>
          <w:tcPr>
            <w:tcW w:w="825" w:type="dxa"/>
            <w:vAlign w:val="center"/>
          </w:tcPr>
          <w:p>
            <w:pPr>
              <w:pStyle w:val="32"/>
              <w:jc w:val="center"/>
              <w:outlineLvl w:val="9"/>
              <w:rPr>
                <w:rFonts w:ascii="Times New Roman"/>
                <w:color w:val="auto"/>
                <w:sz w:val="20"/>
                <w:highlight w:val="none"/>
              </w:rPr>
            </w:pPr>
          </w:p>
        </w:tc>
        <w:tc>
          <w:tcPr>
            <w:tcW w:w="1242" w:type="dxa"/>
            <w:vAlign w:val="center"/>
          </w:tcPr>
          <w:p>
            <w:pPr>
              <w:pStyle w:val="32"/>
              <w:jc w:val="center"/>
              <w:outlineLvl w:val="9"/>
              <w:rPr>
                <w:rFonts w:ascii="Times New Roman"/>
                <w:color w:val="auto"/>
                <w:sz w:val="20"/>
                <w:highlight w:val="none"/>
              </w:rPr>
            </w:pPr>
          </w:p>
        </w:tc>
        <w:tc>
          <w:tcPr>
            <w:tcW w:w="843" w:type="dxa"/>
            <w:vAlign w:val="center"/>
          </w:tcPr>
          <w:p>
            <w:pPr>
              <w:pStyle w:val="32"/>
              <w:jc w:val="center"/>
              <w:outlineLvl w:val="9"/>
              <w:rPr>
                <w:rFonts w:ascii="Times New Roman"/>
                <w:color w:val="auto"/>
                <w:sz w:val="20"/>
                <w:highlight w:val="none"/>
              </w:rPr>
            </w:pPr>
          </w:p>
        </w:tc>
        <w:tc>
          <w:tcPr>
            <w:tcW w:w="1065" w:type="dxa"/>
            <w:vAlign w:val="center"/>
          </w:tcPr>
          <w:p>
            <w:pPr>
              <w:pStyle w:val="32"/>
              <w:jc w:val="center"/>
              <w:outlineLvl w:val="9"/>
              <w:rPr>
                <w:rFonts w:ascii="Times New Roman"/>
                <w:color w:val="auto"/>
                <w:sz w:val="20"/>
                <w:highlight w:val="none"/>
              </w:rPr>
            </w:pPr>
          </w:p>
        </w:tc>
        <w:tc>
          <w:tcPr>
            <w:tcW w:w="1210"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58" w:type="dxa"/>
            <w:vAlign w:val="center"/>
          </w:tcPr>
          <w:p>
            <w:pPr>
              <w:pStyle w:val="32"/>
              <w:jc w:val="center"/>
              <w:outlineLvl w:val="9"/>
              <w:rPr>
                <w:rFonts w:ascii="Times New Roman"/>
                <w:color w:val="auto"/>
                <w:sz w:val="20"/>
                <w:highlight w:val="none"/>
              </w:rPr>
            </w:pPr>
          </w:p>
        </w:tc>
        <w:tc>
          <w:tcPr>
            <w:tcW w:w="1226" w:type="dxa"/>
            <w:vAlign w:val="center"/>
          </w:tcPr>
          <w:p>
            <w:pPr>
              <w:pStyle w:val="32"/>
              <w:jc w:val="center"/>
              <w:outlineLvl w:val="9"/>
              <w:rPr>
                <w:rFonts w:ascii="Times New Roman"/>
                <w:color w:val="auto"/>
                <w:sz w:val="20"/>
                <w:highlight w:val="none"/>
              </w:rPr>
            </w:pPr>
          </w:p>
        </w:tc>
        <w:tc>
          <w:tcPr>
            <w:tcW w:w="731" w:type="dxa"/>
            <w:vAlign w:val="center"/>
          </w:tcPr>
          <w:p>
            <w:pPr>
              <w:pStyle w:val="32"/>
              <w:jc w:val="center"/>
              <w:outlineLvl w:val="9"/>
              <w:rPr>
                <w:rFonts w:ascii="Times New Roman"/>
                <w:color w:val="auto"/>
                <w:sz w:val="20"/>
                <w:highlight w:val="none"/>
              </w:rPr>
            </w:pPr>
          </w:p>
        </w:tc>
        <w:tc>
          <w:tcPr>
            <w:tcW w:w="735" w:type="dxa"/>
            <w:vAlign w:val="center"/>
          </w:tcPr>
          <w:p>
            <w:pPr>
              <w:pStyle w:val="32"/>
              <w:jc w:val="center"/>
              <w:outlineLvl w:val="9"/>
              <w:rPr>
                <w:rFonts w:ascii="Times New Roman"/>
                <w:color w:val="auto"/>
                <w:sz w:val="20"/>
                <w:highlight w:val="none"/>
              </w:rPr>
            </w:pPr>
          </w:p>
        </w:tc>
        <w:tc>
          <w:tcPr>
            <w:tcW w:w="720" w:type="dxa"/>
            <w:vAlign w:val="center"/>
          </w:tcPr>
          <w:p>
            <w:pPr>
              <w:pStyle w:val="32"/>
              <w:jc w:val="center"/>
              <w:outlineLvl w:val="9"/>
              <w:rPr>
                <w:rFonts w:ascii="Times New Roman"/>
                <w:color w:val="auto"/>
                <w:sz w:val="20"/>
                <w:highlight w:val="none"/>
              </w:rPr>
            </w:pPr>
          </w:p>
        </w:tc>
        <w:tc>
          <w:tcPr>
            <w:tcW w:w="825" w:type="dxa"/>
            <w:vAlign w:val="center"/>
          </w:tcPr>
          <w:p>
            <w:pPr>
              <w:pStyle w:val="32"/>
              <w:jc w:val="center"/>
              <w:outlineLvl w:val="9"/>
              <w:rPr>
                <w:rFonts w:ascii="Times New Roman"/>
                <w:color w:val="auto"/>
                <w:sz w:val="20"/>
                <w:highlight w:val="none"/>
              </w:rPr>
            </w:pPr>
          </w:p>
        </w:tc>
        <w:tc>
          <w:tcPr>
            <w:tcW w:w="1242" w:type="dxa"/>
            <w:vAlign w:val="center"/>
          </w:tcPr>
          <w:p>
            <w:pPr>
              <w:pStyle w:val="32"/>
              <w:jc w:val="center"/>
              <w:outlineLvl w:val="9"/>
              <w:rPr>
                <w:rFonts w:ascii="Times New Roman"/>
                <w:color w:val="auto"/>
                <w:sz w:val="20"/>
                <w:highlight w:val="none"/>
              </w:rPr>
            </w:pPr>
          </w:p>
        </w:tc>
        <w:tc>
          <w:tcPr>
            <w:tcW w:w="843" w:type="dxa"/>
            <w:vAlign w:val="center"/>
          </w:tcPr>
          <w:p>
            <w:pPr>
              <w:pStyle w:val="32"/>
              <w:jc w:val="center"/>
              <w:outlineLvl w:val="9"/>
              <w:rPr>
                <w:rFonts w:ascii="Times New Roman"/>
                <w:color w:val="auto"/>
                <w:sz w:val="20"/>
                <w:highlight w:val="none"/>
              </w:rPr>
            </w:pPr>
          </w:p>
        </w:tc>
        <w:tc>
          <w:tcPr>
            <w:tcW w:w="1065" w:type="dxa"/>
            <w:vAlign w:val="center"/>
          </w:tcPr>
          <w:p>
            <w:pPr>
              <w:pStyle w:val="32"/>
              <w:jc w:val="center"/>
              <w:outlineLvl w:val="9"/>
              <w:rPr>
                <w:rFonts w:ascii="Times New Roman"/>
                <w:color w:val="auto"/>
                <w:sz w:val="20"/>
                <w:highlight w:val="none"/>
              </w:rPr>
            </w:pPr>
          </w:p>
        </w:tc>
        <w:tc>
          <w:tcPr>
            <w:tcW w:w="1210"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58" w:type="dxa"/>
            <w:vAlign w:val="center"/>
          </w:tcPr>
          <w:p>
            <w:pPr>
              <w:pStyle w:val="32"/>
              <w:jc w:val="center"/>
              <w:outlineLvl w:val="9"/>
              <w:rPr>
                <w:rFonts w:ascii="Times New Roman"/>
                <w:color w:val="auto"/>
                <w:sz w:val="20"/>
                <w:highlight w:val="none"/>
              </w:rPr>
            </w:pPr>
          </w:p>
        </w:tc>
        <w:tc>
          <w:tcPr>
            <w:tcW w:w="1226" w:type="dxa"/>
            <w:vAlign w:val="center"/>
          </w:tcPr>
          <w:p>
            <w:pPr>
              <w:pStyle w:val="32"/>
              <w:jc w:val="center"/>
              <w:outlineLvl w:val="9"/>
              <w:rPr>
                <w:rFonts w:ascii="Times New Roman"/>
                <w:color w:val="auto"/>
                <w:sz w:val="20"/>
                <w:highlight w:val="none"/>
              </w:rPr>
            </w:pPr>
          </w:p>
        </w:tc>
        <w:tc>
          <w:tcPr>
            <w:tcW w:w="731" w:type="dxa"/>
            <w:vAlign w:val="center"/>
          </w:tcPr>
          <w:p>
            <w:pPr>
              <w:pStyle w:val="32"/>
              <w:jc w:val="center"/>
              <w:outlineLvl w:val="9"/>
              <w:rPr>
                <w:rFonts w:ascii="Times New Roman"/>
                <w:color w:val="auto"/>
                <w:sz w:val="20"/>
                <w:highlight w:val="none"/>
              </w:rPr>
            </w:pPr>
          </w:p>
        </w:tc>
        <w:tc>
          <w:tcPr>
            <w:tcW w:w="735" w:type="dxa"/>
            <w:vAlign w:val="center"/>
          </w:tcPr>
          <w:p>
            <w:pPr>
              <w:pStyle w:val="32"/>
              <w:jc w:val="center"/>
              <w:outlineLvl w:val="9"/>
              <w:rPr>
                <w:rFonts w:ascii="Times New Roman"/>
                <w:color w:val="auto"/>
                <w:sz w:val="20"/>
                <w:highlight w:val="none"/>
              </w:rPr>
            </w:pPr>
          </w:p>
        </w:tc>
        <w:tc>
          <w:tcPr>
            <w:tcW w:w="720" w:type="dxa"/>
            <w:vAlign w:val="center"/>
          </w:tcPr>
          <w:p>
            <w:pPr>
              <w:pStyle w:val="32"/>
              <w:jc w:val="center"/>
              <w:outlineLvl w:val="9"/>
              <w:rPr>
                <w:rFonts w:ascii="Times New Roman"/>
                <w:color w:val="auto"/>
                <w:sz w:val="20"/>
                <w:highlight w:val="none"/>
              </w:rPr>
            </w:pPr>
          </w:p>
        </w:tc>
        <w:tc>
          <w:tcPr>
            <w:tcW w:w="825" w:type="dxa"/>
            <w:vAlign w:val="center"/>
          </w:tcPr>
          <w:p>
            <w:pPr>
              <w:pStyle w:val="32"/>
              <w:jc w:val="center"/>
              <w:outlineLvl w:val="9"/>
              <w:rPr>
                <w:rFonts w:ascii="Times New Roman"/>
                <w:color w:val="auto"/>
                <w:sz w:val="20"/>
                <w:highlight w:val="none"/>
              </w:rPr>
            </w:pPr>
          </w:p>
        </w:tc>
        <w:tc>
          <w:tcPr>
            <w:tcW w:w="1242" w:type="dxa"/>
            <w:vAlign w:val="center"/>
          </w:tcPr>
          <w:p>
            <w:pPr>
              <w:pStyle w:val="32"/>
              <w:jc w:val="center"/>
              <w:outlineLvl w:val="9"/>
              <w:rPr>
                <w:rFonts w:ascii="Times New Roman"/>
                <w:color w:val="auto"/>
                <w:sz w:val="20"/>
                <w:highlight w:val="none"/>
              </w:rPr>
            </w:pPr>
          </w:p>
        </w:tc>
        <w:tc>
          <w:tcPr>
            <w:tcW w:w="843" w:type="dxa"/>
            <w:vAlign w:val="center"/>
          </w:tcPr>
          <w:p>
            <w:pPr>
              <w:pStyle w:val="32"/>
              <w:jc w:val="center"/>
              <w:outlineLvl w:val="9"/>
              <w:rPr>
                <w:rFonts w:ascii="Times New Roman"/>
                <w:color w:val="auto"/>
                <w:sz w:val="20"/>
                <w:highlight w:val="none"/>
              </w:rPr>
            </w:pPr>
          </w:p>
        </w:tc>
        <w:tc>
          <w:tcPr>
            <w:tcW w:w="1065" w:type="dxa"/>
            <w:vAlign w:val="center"/>
          </w:tcPr>
          <w:p>
            <w:pPr>
              <w:pStyle w:val="32"/>
              <w:jc w:val="center"/>
              <w:outlineLvl w:val="9"/>
              <w:rPr>
                <w:rFonts w:ascii="Times New Roman"/>
                <w:color w:val="auto"/>
                <w:sz w:val="20"/>
                <w:highlight w:val="none"/>
              </w:rPr>
            </w:pPr>
          </w:p>
        </w:tc>
        <w:tc>
          <w:tcPr>
            <w:tcW w:w="1210" w:type="dxa"/>
            <w:vAlign w:val="center"/>
          </w:tcPr>
          <w:p>
            <w:pPr>
              <w:pStyle w:val="32"/>
              <w:jc w:val="center"/>
              <w:outlineLvl w:val="9"/>
              <w:rPr>
                <w:rFonts w:ascii="Times New Roman"/>
                <w:color w:val="auto"/>
                <w:sz w:val="20"/>
                <w:highlight w:val="none"/>
              </w:rPr>
            </w:pPr>
          </w:p>
        </w:tc>
      </w:tr>
    </w:tbl>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附表二：拟配备本工程的试验和检测仪器设备表</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522"/>
        <w:gridCol w:w="675"/>
        <w:gridCol w:w="510"/>
        <w:gridCol w:w="720"/>
        <w:gridCol w:w="1095"/>
        <w:gridCol w:w="1815"/>
        <w:gridCol w:w="1050"/>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仪器设备名称</w:t>
            </w: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国别</w:t>
            </w:r>
          </w:p>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制造年份</w:t>
            </w: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已使用台时数</w:t>
            </w: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用途</w:t>
            </w: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bl>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附表三：劳动力计划表</w:t>
      </w:r>
    </w:p>
    <w:p>
      <w:pPr>
        <w:pStyle w:val="2"/>
        <w:ind w:firstLine="8160" w:firstLineChars="3400"/>
        <w:outlineLvl w:val="9"/>
        <w:rPr>
          <w:rFonts w:hint="eastAsia"/>
          <w:color w:val="auto"/>
          <w:highlight w:val="none"/>
          <w:lang w:val="en-US" w:eastAsia="zh-CN"/>
        </w:rPr>
      </w:pPr>
      <w:r>
        <w:rPr>
          <w:color w:val="auto"/>
          <w:highlight w:val="none"/>
        </w:rPr>
        <w:t>单位：人</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53" w:type="dxa"/>
            <w:vAlign w:val="center"/>
          </w:tcPr>
          <w:p>
            <w:pPr>
              <w:pStyle w:val="32"/>
              <w:spacing w:before="2"/>
              <w:ind w:left="218"/>
              <w:jc w:val="both"/>
              <w:outlineLvl w:val="9"/>
              <w:rPr>
                <w:color w:val="auto"/>
                <w:sz w:val="21"/>
                <w:highlight w:val="none"/>
              </w:rPr>
            </w:pPr>
            <w:r>
              <w:rPr>
                <w:color w:val="auto"/>
                <w:sz w:val="21"/>
                <w:highlight w:val="none"/>
              </w:rPr>
              <w:t>工种</w:t>
            </w:r>
          </w:p>
        </w:tc>
        <w:tc>
          <w:tcPr>
            <w:tcW w:w="8506" w:type="dxa"/>
            <w:gridSpan w:val="7"/>
            <w:vAlign w:val="center"/>
          </w:tcPr>
          <w:p>
            <w:pPr>
              <w:pStyle w:val="32"/>
              <w:spacing w:before="2"/>
              <w:ind w:left="2764" w:right="2752"/>
              <w:jc w:val="center"/>
              <w:outlineLvl w:val="9"/>
              <w:rPr>
                <w:color w:val="auto"/>
                <w:sz w:val="21"/>
                <w:highlight w:val="none"/>
              </w:rPr>
            </w:pPr>
            <w:r>
              <w:rPr>
                <w:color w:val="auto"/>
                <w:sz w:val="21"/>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53" w:type="dxa"/>
            <w:vAlign w:val="center"/>
          </w:tcPr>
          <w:p>
            <w:pPr>
              <w:pStyle w:val="32"/>
              <w:jc w:val="center"/>
              <w:outlineLvl w:val="9"/>
              <w:rPr>
                <w:rFonts w:ascii="Times New Roman"/>
                <w:color w:val="auto"/>
                <w:sz w:val="20"/>
                <w:highlight w:val="none"/>
              </w:rPr>
            </w:pPr>
          </w:p>
        </w:tc>
        <w:tc>
          <w:tcPr>
            <w:tcW w:w="961"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c>
          <w:tcPr>
            <w:tcW w:w="1257" w:type="dxa"/>
            <w:vAlign w:val="center"/>
          </w:tcPr>
          <w:p>
            <w:pPr>
              <w:pStyle w:val="32"/>
              <w:jc w:val="center"/>
              <w:outlineLvl w:val="9"/>
              <w:rPr>
                <w:rFonts w:ascii="Times New Roman"/>
                <w:color w:val="auto"/>
                <w:sz w:val="20"/>
                <w:highlight w:val="none"/>
              </w:rPr>
            </w:pPr>
          </w:p>
        </w:tc>
        <w:tc>
          <w:tcPr>
            <w:tcW w:w="1258" w:type="dxa"/>
            <w:vAlign w:val="center"/>
          </w:tcPr>
          <w:p>
            <w:pPr>
              <w:pStyle w:val="32"/>
              <w:jc w:val="center"/>
              <w:outlineLvl w:val="9"/>
              <w:rPr>
                <w:rFonts w:ascii="Times New Roman"/>
                <w:color w:val="auto"/>
                <w:sz w:val="20"/>
                <w:highlight w:val="none"/>
              </w:rPr>
            </w:pPr>
          </w:p>
        </w:tc>
      </w:tr>
    </w:tbl>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附表四：计划开、竣工日期和施工进度计划（网络图或横道图）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1.投标人应提交施工进度计划，说明按招标文件要求的工期进行施工的各个关键日期。中标的投标人还应按合同条件有关条款的要求提交详细的施工进度计划。</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2.施工进度计划可采用网络图（或横道图）表示，说明计划开工日期和各分项工程各阶段的完工日期和分包合同签订的日期。</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3.施工进度计划应与施工组织设计相适应。</w:t>
      </w:r>
    </w:p>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附表五：施工总平面图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投标人应递交一份施工总平面图，绘出现场临时设施布置图表并附文字说明，说明临时设施、加工车间、现场办公、设备及仓储、供电、供水、卫生、生活、道路、消防等设施的情况和布置。</w:t>
      </w:r>
    </w:p>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附表六：临时用地表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356" w:type="dxa"/>
            <w:vAlign w:val="center"/>
          </w:tcPr>
          <w:p>
            <w:pPr>
              <w:pStyle w:val="32"/>
              <w:spacing w:before="170"/>
              <w:ind w:right="934"/>
              <w:jc w:val="center"/>
              <w:outlineLvl w:val="9"/>
              <w:rPr>
                <w:color w:val="auto"/>
                <w:sz w:val="24"/>
                <w:szCs w:val="24"/>
                <w:highlight w:val="none"/>
              </w:rPr>
            </w:pPr>
            <w:r>
              <w:rPr>
                <w:color w:val="auto"/>
                <w:sz w:val="24"/>
                <w:szCs w:val="24"/>
                <w:highlight w:val="none"/>
              </w:rPr>
              <w:t>用途</w:t>
            </w:r>
          </w:p>
        </w:tc>
        <w:tc>
          <w:tcPr>
            <w:tcW w:w="2357" w:type="dxa"/>
            <w:vAlign w:val="center"/>
          </w:tcPr>
          <w:p>
            <w:pPr>
              <w:pStyle w:val="32"/>
              <w:spacing w:before="170"/>
              <w:jc w:val="center"/>
              <w:outlineLvl w:val="9"/>
              <w:rPr>
                <w:color w:val="auto"/>
                <w:sz w:val="24"/>
                <w:szCs w:val="24"/>
                <w:highlight w:val="none"/>
              </w:rPr>
            </w:pPr>
            <w:r>
              <w:rPr>
                <w:color w:val="auto"/>
                <w:sz w:val="24"/>
                <w:szCs w:val="24"/>
                <w:highlight w:val="none"/>
              </w:rPr>
              <w:t>面积（平方米）</w:t>
            </w:r>
          </w:p>
        </w:tc>
        <w:tc>
          <w:tcPr>
            <w:tcW w:w="2356" w:type="dxa"/>
            <w:vAlign w:val="center"/>
          </w:tcPr>
          <w:p>
            <w:pPr>
              <w:pStyle w:val="32"/>
              <w:spacing w:before="170"/>
              <w:ind w:right="936"/>
              <w:jc w:val="center"/>
              <w:outlineLvl w:val="9"/>
              <w:rPr>
                <w:color w:val="auto"/>
                <w:sz w:val="24"/>
                <w:szCs w:val="24"/>
                <w:highlight w:val="none"/>
              </w:rPr>
            </w:pPr>
            <w:r>
              <w:rPr>
                <w:color w:val="auto"/>
                <w:sz w:val="24"/>
                <w:szCs w:val="24"/>
                <w:highlight w:val="none"/>
              </w:rPr>
              <w:t>位置</w:t>
            </w:r>
          </w:p>
        </w:tc>
        <w:tc>
          <w:tcPr>
            <w:tcW w:w="2357" w:type="dxa"/>
            <w:vAlign w:val="center"/>
          </w:tcPr>
          <w:p>
            <w:pPr>
              <w:pStyle w:val="32"/>
              <w:spacing w:before="170"/>
              <w:jc w:val="center"/>
              <w:outlineLvl w:val="9"/>
              <w:rPr>
                <w:color w:val="auto"/>
                <w:sz w:val="24"/>
                <w:szCs w:val="24"/>
                <w:highlight w:val="none"/>
              </w:rPr>
            </w:pPr>
            <w:r>
              <w:rPr>
                <w:color w:val="auto"/>
                <w:sz w:val="24"/>
                <w:szCs w:val="24"/>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 w:hRule="atLeast"/>
          <w:jc w:val="center"/>
        </w:trPr>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c>
          <w:tcPr>
            <w:tcW w:w="2356" w:type="dxa"/>
            <w:vAlign w:val="center"/>
          </w:tcPr>
          <w:p>
            <w:pPr>
              <w:pStyle w:val="32"/>
              <w:jc w:val="center"/>
              <w:outlineLvl w:val="9"/>
              <w:rPr>
                <w:rFonts w:ascii="Times New Roman"/>
                <w:color w:val="auto"/>
                <w:sz w:val="24"/>
                <w:szCs w:val="24"/>
                <w:highlight w:val="none"/>
              </w:rPr>
            </w:pPr>
          </w:p>
        </w:tc>
        <w:tc>
          <w:tcPr>
            <w:tcW w:w="2357" w:type="dxa"/>
            <w:vAlign w:val="center"/>
          </w:tcPr>
          <w:p>
            <w:pPr>
              <w:pStyle w:val="32"/>
              <w:jc w:val="center"/>
              <w:outlineLvl w:val="9"/>
              <w:rPr>
                <w:rFonts w:ascii="Times New Roman"/>
                <w:color w:val="auto"/>
                <w:sz w:val="24"/>
                <w:szCs w:val="24"/>
                <w:highlight w:val="none"/>
              </w:rPr>
            </w:pPr>
          </w:p>
        </w:tc>
      </w:tr>
    </w:tbl>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spacing w:before="56"/>
        <w:ind w:left="0" w:right="423" w:firstLine="0"/>
        <w:jc w:val="center"/>
        <w:outlineLvl w:val="9"/>
        <w:rPr>
          <w:b/>
          <w:color w:val="auto"/>
          <w:sz w:val="24"/>
          <w:highlight w:val="none"/>
        </w:rPr>
      </w:pPr>
      <w:r>
        <w:rPr>
          <w:rFonts w:hint="eastAsia" w:ascii="宋体" w:hAnsi="宋体" w:eastAsia="宋体" w:cs="宋体"/>
          <w:color w:val="auto"/>
          <w:sz w:val="24"/>
          <w:szCs w:val="24"/>
          <w:highlight w:val="none"/>
          <w:lang w:val="en-US" w:eastAsia="zh-CN"/>
        </w:rPr>
        <w:tab/>
      </w:r>
    </w:p>
    <w:p>
      <w:pPr>
        <w:spacing w:before="7"/>
        <w:ind w:left="0" w:right="413" w:firstLine="0"/>
        <w:jc w:val="center"/>
        <w:outlineLvl w:val="9"/>
        <w:rPr>
          <w:b/>
          <w:color w:val="auto"/>
          <w:sz w:val="24"/>
          <w:highlight w:val="none"/>
        </w:rPr>
      </w:pPr>
      <w:bookmarkStart w:id="664" w:name="（一）项目管理机构配备情况表"/>
      <w:bookmarkEnd w:id="664"/>
      <w:r>
        <w:rPr>
          <w:b/>
          <w:color w:val="auto"/>
          <w:sz w:val="24"/>
          <w:highlight w:val="none"/>
        </w:rPr>
        <w:t>项目管理机构配备情况表</w:t>
      </w:r>
    </w:p>
    <w:p>
      <w:pPr>
        <w:pStyle w:val="11"/>
        <w:spacing w:before="12"/>
        <w:outlineLvl w:val="9"/>
        <w:rPr>
          <w:b/>
          <w:color w:val="auto"/>
          <w:highlight w:val="none"/>
        </w:rPr>
      </w:pPr>
    </w:p>
    <w:p>
      <w:pPr>
        <w:pStyle w:val="11"/>
        <w:tabs>
          <w:tab w:val="left" w:pos="2312"/>
          <w:tab w:val="left" w:pos="5251"/>
        </w:tabs>
        <w:spacing w:after="7"/>
        <w:ind w:left="1051"/>
        <w:outlineLvl w:val="9"/>
        <w:rPr>
          <w:rFonts w:hint="default" w:eastAsia="宋体"/>
          <w:color w:val="auto"/>
          <w:highlight w:val="none"/>
          <w:lang w:val="en-US" w:eastAsia="zh-CN"/>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（项目名称）</w:t>
      </w:r>
      <w:r>
        <w:rPr>
          <w:rFonts w:hint="eastAsia"/>
          <w:color w:val="auto"/>
          <w:highlight w:val="none"/>
          <w:u w:val="single"/>
          <w:lang w:val="en-US" w:eastAsia="zh-CN"/>
        </w:rPr>
        <w:t xml:space="preserve">       </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93" w:type="dxa"/>
            <w:vMerge w:val="restart"/>
            <w:vAlign w:val="center"/>
          </w:tcPr>
          <w:p>
            <w:pPr>
              <w:jc w:val="center"/>
              <w:outlineLvl w:val="9"/>
              <w:rPr>
                <w:color w:val="auto"/>
                <w:highlight w:val="none"/>
              </w:rPr>
            </w:pPr>
          </w:p>
          <w:p>
            <w:pPr>
              <w:jc w:val="center"/>
              <w:outlineLvl w:val="9"/>
              <w:rPr>
                <w:color w:val="auto"/>
                <w:highlight w:val="none"/>
              </w:rPr>
            </w:pPr>
            <w:r>
              <w:rPr>
                <w:color w:val="auto"/>
                <w:highlight w:val="none"/>
              </w:rPr>
              <w:t>岗位</w:t>
            </w:r>
          </w:p>
        </w:tc>
        <w:tc>
          <w:tcPr>
            <w:tcW w:w="829" w:type="dxa"/>
            <w:vMerge w:val="restart"/>
            <w:vAlign w:val="center"/>
          </w:tcPr>
          <w:p>
            <w:pPr>
              <w:jc w:val="center"/>
              <w:outlineLvl w:val="9"/>
              <w:rPr>
                <w:color w:val="auto"/>
                <w:highlight w:val="none"/>
              </w:rPr>
            </w:pPr>
          </w:p>
          <w:p>
            <w:pPr>
              <w:jc w:val="center"/>
              <w:outlineLvl w:val="9"/>
              <w:rPr>
                <w:color w:val="auto"/>
                <w:highlight w:val="none"/>
              </w:rPr>
            </w:pPr>
            <w:r>
              <w:rPr>
                <w:color w:val="auto"/>
                <w:highlight w:val="none"/>
              </w:rPr>
              <w:t>姓名</w:t>
            </w:r>
          </w:p>
        </w:tc>
        <w:tc>
          <w:tcPr>
            <w:tcW w:w="816" w:type="dxa"/>
            <w:vMerge w:val="restart"/>
            <w:vAlign w:val="center"/>
          </w:tcPr>
          <w:p>
            <w:pPr>
              <w:jc w:val="center"/>
              <w:outlineLvl w:val="9"/>
              <w:rPr>
                <w:color w:val="auto"/>
                <w:highlight w:val="none"/>
              </w:rPr>
            </w:pPr>
          </w:p>
          <w:p>
            <w:pPr>
              <w:jc w:val="center"/>
              <w:outlineLvl w:val="9"/>
              <w:rPr>
                <w:color w:val="auto"/>
                <w:highlight w:val="none"/>
              </w:rPr>
            </w:pPr>
            <w:r>
              <w:rPr>
                <w:color w:val="auto"/>
                <w:highlight w:val="none"/>
              </w:rPr>
              <w:t>职称</w:t>
            </w:r>
          </w:p>
        </w:tc>
        <w:tc>
          <w:tcPr>
            <w:tcW w:w="4592" w:type="dxa"/>
            <w:gridSpan w:val="4"/>
            <w:vAlign w:val="center"/>
          </w:tcPr>
          <w:p>
            <w:pPr>
              <w:jc w:val="center"/>
              <w:outlineLvl w:val="9"/>
              <w:rPr>
                <w:color w:val="auto"/>
                <w:highlight w:val="none"/>
              </w:rPr>
            </w:pPr>
            <w:r>
              <w:rPr>
                <w:color w:val="auto"/>
                <w:highlight w:val="none"/>
              </w:rPr>
              <w:t>执业或职业资格证明</w:t>
            </w:r>
          </w:p>
        </w:tc>
        <w:tc>
          <w:tcPr>
            <w:tcW w:w="2126" w:type="dxa"/>
            <w:gridSpan w:val="2"/>
            <w:vAlign w:val="center"/>
          </w:tcPr>
          <w:p>
            <w:pPr>
              <w:jc w:val="center"/>
              <w:outlineLvl w:val="9"/>
              <w:rPr>
                <w:color w:val="auto"/>
                <w:highlight w:val="none"/>
              </w:rPr>
            </w:pPr>
            <w:r>
              <w:rPr>
                <w:color w:val="auto"/>
                <w:highlight w:val="none"/>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93" w:type="dxa"/>
            <w:vMerge w:val="continue"/>
            <w:tcBorders>
              <w:top w:val="nil"/>
            </w:tcBorders>
            <w:vAlign w:val="center"/>
          </w:tcPr>
          <w:p>
            <w:pPr>
              <w:jc w:val="center"/>
              <w:outlineLvl w:val="9"/>
              <w:rPr>
                <w:color w:val="auto"/>
                <w:highlight w:val="none"/>
              </w:rPr>
            </w:pPr>
          </w:p>
        </w:tc>
        <w:tc>
          <w:tcPr>
            <w:tcW w:w="829" w:type="dxa"/>
            <w:vMerge w:val="continue"/>
            <w:tcBorders>
              <w:top w:val="nil"/>
            </w:tcBorders>
            <w:vAlign w:val="center"/>
          </w:tcPr>
          <w:p>
            <w:pPr>
              <w:jc w:val="center"/>
              <w:outlineLvl w:val="9"/>
              <w:rPr>
                <w:color w:val="auto"/>
                <w:highlight w:val="none"/>
              </w:rPr>
            </w:pPr>
          </w:p>
        </w:tc>
        <w:tc>
          <w:tcPr>
            <w:tcW w:w="816" w:type="dxa"/>
            <w:vMerge w:val="continue"/>
            <w:tcBorders>
              <w:top w:val="nil"/>
            </w:tcBorders>
            <w:vAlign w:val="center"/>
          </w:tcPr>
          <w:p>
            <w:pPr>
              <w:jc w:val="center"/>
              <w:outlineLvl w:val="9"/>
              <w:rPr>
                <w:color w:val="auto"/>
                <w:highlight w:val="none"/>
              </w:rPr>
            </w:pPr>
          </w:p>
        </w:tc>
        <w:tc>
          <w:tcPr>
            <w:tcW w:w="1148" w:type="dxa"/>
            <w:vAlign w:val="center"/>
          </w:tcPr>
          <w:p>
            <w:pPr>
              <w:jc w:val="center"/>
              <w:outlineLvl w:val="9"/>
              <w:rPr>
                <w:color w:val="auto"/>
                <w:highlight w:val="none"/>
              </w:rPr>
            </w:pPr>
            <w:r>
              <w:rPr>
                <w:color w:val="auto"/>
                <w:highlight w:val="none"/>
              </w:rPr>
              <w:t>证书名称</w:t>
            </w:r>
          </w:p>
        </w:tc>
        <w:tc>
          <w:tcPr>
            <w:tcW w:w="1148" w:type="dxa"/>
            <w:vAlign w:val="center"/>
          </w:tcPr>
          <w:p>
            <w:pPr>
              <w:jc w:val="center"/>
              <w:outlineLvl w:val="9"/>
              <w:rPr>
                <w:color w:val="auto"/>
                <w:highlight w:val="none"/>
              </w:rPr>
            </w:pPr>
            <w:r>
              <w:rPr>
                <w:color w:val="auto"/>
                <w:highlight w:val="none"/>
              </w:rPr>
              <w:t>级别</w:t>
            </w:r>
          </w:p>
        </w:tc>
        <w:tc>
          <w:tcPr>
            <w:tcW w:w="1148" w:type="dxa"/>
            <w:vAlign w:val="center"/>
          </w:tcPr>
          <w:p>
            <w:pPr>
              <w:jc w:val="center"/>
              <w:outlineLvl w:val="9"/>
              <w:rPr>
                <w:color w:val="auto"/>
                <w:highlight w:val="none"/>
              </w:rPr>
            </w:pPr>
            <w:r>
              <w:rPr>
                <w:color w:val="auto"/>
                <w:highlight w:val="none"/>
              </w:rPr>
              <w:t>证号</w:t>
            </w:r>
          </w:p>
        </w:tc>
        <w:tc>
          <w:tcPr>
            <w:tcW w:w="1148" w:type="dxa"/>
            <w:vAlign w:val="center"/>
          </w:tcPr>
          <w:p>
            <w:pPr>
              <w:jc w:val="center"/>
              <w:outlineLvl w:val="9"/>
              <w:rPr>
                <w:color w:val="auto"/>
                <w:highlight w:val="none"/>
              </w:rPr>
            </w:pPr>
            <w:r>
              <w:rPr>
                <w:color w:val="auto"/>
                <w:highlight w:val="none"/>
              </w:rPr>
              <w:t>专业</w:t>
            </w:r>
          </w:p>
        </w:tc>
        <w:tc>
          <w:tcPr>
            <w:tcW w:w="850" w:type="dxa"/>
            <w:vAlign w:val="center"/>
          </w:tcPr>
          <w:p>
            <w:pPr>
              <w:jc w:val="center"/>
              <w:outlineLvl w:val="9"/>
              <w:rPr>
                <w:color w:val="auto"/>
                <w:highlight w:val="none"/>
              </w:rPr>
            </w:pPr>
            <w:r>
              <w:rPr>
                <w:color w:val="auto"/>
                <w:highlight w:val="none"/>
              </w:rPr>
              <w:t>项目数</w:t>
            </w:r>
          </w:p>
        </w:tc>
        <w:tc>
          <w:tcPr>
            <w:tcW w:w="1276" w:type="dxa"/>
            <w:vAlign w:val="center"/>
          </w:tcPr>
          <w:p>
            <w:pPr>
              <w:jc w:val="center"/>
              <w:outlineLvl w:val="9"/>
              <w:rPr>
                <w:color w:val="auto"/>
                <w:highlight w:val="none"/>
              </w:rPr>
            </w:pPr>
            <w:r>
              <w:rPr>
                <w:color w:val="auto"/>
                <w:highlight w:val="none"/>
              </w:rPr>
              <w:t>主要项目</w:t>
            </w:r>
          </w:p>
          <w:p>
            <w:pPr>
              <w:jc w:val="center"/>
              <w:outlineLvl w:val="9"/>
              <w:rPr>
                <w:color w:val="auto"/>
                <w:highlight w:val="none"/>
              </w:rPr>
            </w:pPr>
            <w:r>
              <w:rPr>
                <w:color w:val="auto"/>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93" w:type="dxa"/>
            <w:vAlign w:val="center"/>
          </w:tcPr>
          <w:p>
            <w:pPr>
              <w:jc w:val="center"/>
              <w:outlineLvl w:val="9"/>
              <w:rPr>
                <w:color w:val="auto"/>
                <w:highlight w:val="none"/>
              </w:rPr>
            </w:pPr>
            <w:r>
              <w:rPr>
                <w:color w:val="auto"/>
                <w:highlight w:val="none"/>
              </w:rPr>
              <w:t>项目经理</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93" w:type="dxa"/>
            <w:vAlign w:val="center"/>
          </w:tcPr>
          <w:p>
            <w:pPr>
              <w:jc w:val="center"/>
              <w:outlineLvl w:val="9"/>
              <w:rPr>
                <w:color w:val="auto"/>
                <w:highlight w:val="none"/>
              </w:rPr>
            </w:pPr>
            <w:r>
              <w:rPr>
                <w:color w:val="auto"/>
                <w:highlight w:val="none"/>
              </w:rPr>
              <w:t>技术</w:t>
            </w:r>
          </w:p>
          <w:p>
            <w:pPr>
              <w:jc w:val="center"/>
              <w:outlineLvl w:val="9"/>
              <w:rPr>
                <w:color w:val="auto"/>
                <w:highlight w:val="none"/>
              </w:rPr>
            </w:pPr>
            <w:r>
              <w:rPr>
                <w:color w:val="auto"/>
                <w:highlight w:val="none"/>
              </w:rPr>
              <w:t>负责人</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施工员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质量员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Merge w:val="restart"/>
            <w:vAlign w:val="center"/>
          </w:tcPr>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r>
              <w:rPr>
                <w:rFonts w:hint="eastAsia"/>
                <w:color w:val="auto"/>
                <w:highlight w:val="none"/>
                <w:lang w:val="en-US" w:eastAsia="zh-CN"/>
              </w:rPr>
              <w:t>专职安全员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Merge w:val="continue"/>
            <w:tcBorders>
              <w:top w:val="nil"/>
            </w:tcBorders>
            <w:vAlign w:val="center"/>
          </w:tcPr>
          <w:p>
            <w:pPr>
              <w:jc w:val="center"/>
              <w:outlineLvl w:val="9"/>
              <w:rPr>
                <w:color w:val="auto"/>
                <w:highlight w:val="none"/>
              </w:rPr>
            </w:pP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Merge w:val="continue"/>
            <w:tcBorders>
              <w:top w:val="nil"/>
            </w:tcBorders>
            <w:vAlign w:val="center"/>
          </w:tcPr>
          <w:p>
            <w:pPr>
              <w:jc w:val="center"/>
              <w:outlineLvl w:val="9"/>
              <w:rPr>
                <w:color w:val="auto"/>
                <w:highlight w:val="none"/>
              </w:rPr>
            </w:pP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材料员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9356" w:type="dxa"/>
            <w:gridSpan w:val="9"/>
            <w:vAlign w:val="center"/>
          </w:tcPr>
          <w:p>
            <w:pPr>
              <w:jc w:val="both"/>
              <w:outlineLvl w:val="9"/>
              <w:rPr>
                <w:color w:val="auto"/>
                <w:highlight w:val="none"/>
              </w:rPr>
            </w:pPr>
            <w:r>
              <w:rPr>
                <w:color w:val="auto"/>
                <w:highlight w:val="none"/>
              </w:rPr>
              <w:t>一旦我单位中标，将实行项目经理负责制，我方保证并配备上述项目管理机构。上述填报内容真实</w:t>
            </w:r>
            <w:r>
              <w:rPr>
                <w:rFonts w:hint="eastAsia"/>
                <w:color w:val="auto"/>
                <w:highlight w:val="none"/>
                <w:lang w:eastAsia="zh-CN"/>
              </w:rPr>
              <w:t>，</w:t>
            </w:r>
            <w:r>
              <w:rPr>
                <w:color w:val="auto"/>
                <w:highlight w:val="none"/>
              </w:rPr>
              <w:t>若不真实，愿按有关规定接受处理。项目管理班子机构设置、职责分工等情况另附资料说明。</w:t>
            </w:r>
          </w:p>
        </w:tc>
      </w:tr>
    </w:tbl>
    <w:p>
      <w:pPr>
        <w:ind w:firstLine="420" w:firstLineChars="200"/>
        <w:outlineLvl w:val="9"/>
        <w:rPr>
          <w:color w:val="auto"/>
          <w:highlight w:val="none"/>
        </w:rPr>
      </w:pPr>
      <w:r>
        <w:rPr>
          <w:color w:val="auto"/>
          <w:highlight w:val="none"/>
        </w:rPr>
        <w:t>【备注：附以上各岗位人员资格证件等相关证明材料的复印件，以及投标人认为需要增加的其他证明材料复印件，以上复印件均须加盖投标人单位公章。】</w:t>
      </w: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pStyle w:val="2"/>
        <w:outlineLvl w:val="9"/>
        <w:rPr>
          <w:color w:val="auto"/>
          <w:highlight w:val="none"/>
        </w:rPr>
      </w:pPr>
    </w:p>
    <w:p>
      <w:pPr>
        <w:spacing w:before="37"/>
        <w:ind w:left="0" w:right="416" w:firstLine="0"/>
        <w:jc w:val="center"/>
        <w:outlineLvl w:val="9"/>
        <w:rPr>
          <w:b/>
          <w:color w:val="auto"/>
          <w:sz w:val="24"/>
          <w:highlight w:val="none"/>
        </w:rPr>
      </w:pPr>
      <w:r>
        <w:rPr>
          <w:b/>
          <w:color w:val="auto"/>
          <w:sz w:val="24"/>
          <w:highlight w:val="none"/>
        </w:rPr>
        <w:t>项目经理简历表</w:t>
      </w:r>
    </w:p>
    <w:p>
      <w:pPr>
        <w:pStyle w:val="11"/>
        <w:spacing w:before="10"/>
        <w:outlineLvl w:val="9"/>
        <w:rPr>
          <w:b/>
          <w:color w:val="auto"/>
          <w:highlight w:val="none"/>
        </w:rPr>
      </w:pPr>
    </w:p>
    <w:p>
      <w:pPr>
        <w:pStyle w:val="11"/>
        <w:tabs>
          <w:tab w:val="left" w:pos="2312"/>
          <w:tab w:val="left" w:pos="5251"/>
        </w:tabs>
        <w:spacing w:after="7"/>
        <w:ind w:left="1051"/>
        <w:outlineLvl w:val="9"/>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（项目名称）</w:t>
      </w:r>
      <w:r>
        <w:rPr>
          <w:color w:val="auto"/>
          <w:highlight w:val="none"/>
          <w:u w:val="single"/>
        </w:rPr>
        <w:tab/>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vAlign w:val="center"/>
          </w:tcPr>
          <w:p>
            <w:pPr>
              <w:jc w:val="center"/>
              <w:outlineLvl w:val="9"/>
              <w:rPr>
                <w:color w:val="auto"/>
                <w:highlight w:val="none"/>
              </w:rPr>
            </w:pPr>
            <w:r>
              <w:rPr>
                <w:color w:val="auto"/>
                <w:highlight w:val="none"/>
              </w:rPr>
              <w:t>姓名</w:t>
            </w:r>
          </w:p>
        </w:tc>
        <w:tc>
          <w:tcPr>
            <w:tcW w:w="2340" w:type="dxa"/>
            <w:gridSpan w:val="3"/>
            <w:vAlign w:val="center"/>
          </w:tcPr>
          <w:p>
            <w:pPr>
              <w:jc w:val="center"/>
              <w:outlineLvl w:val="9"/>
              <w:rPr>
                <w:color w:val="auto"/>
                <w:highlight w:val="none"/>
              </w:rPr>
            </w:pPr>
          </w:p>
        </w:tc>
        <w:tc>
          <w:tcPr>
            <w:tcW w:w="1893" w:type="dxa"/>
            <w:gridSpan w:val="2"/>
            <w:vAlign w:val="center"/>
          </w:tcPr>
          <w:p>
            <w:pPr>
              <w:jc w:val="center"/>
              <w:outlineLvl w:val="9"/>
              <w:rPr>
                <w:color w:val="auto"/>
                <w:highlight w:val="none"/>
              </w:rPr>
            </w:pPr>
            <w:r>
              <w:rPr>
                <w:color w:val="auto"/>
                <w:highlight w:val="none"/>
              </w:rPr>
              <w:t>性别</w:t>
            </w:r>
          </w:p>
        </w:tc>
        <w:tc>
          <w:tcPr>
            <w:tcW w:w="1585" w:type="dxa"/>
            <w:gridSpan w:val="2"/>
            <w:vAlign w:val="center"/>
          </w:tcPr>
          <w:p>
            <w:pPr>
              <w:jc w:val="center"/>
              <w:outlineLvl w:val="9"/>
              <w:rPr>
                <w:color w:val="auto"/>
                <w:highlight w:val="none"/>
              </w:rPr>
            </w:pPr>
          </w:p>
        </w:tc>
        <w:tc>
          <w:tcPr>
            <w:tcW w:w="1108" w:type="dxa"/>
            <w:gridSpan w:val="2"/>
            <w:vAlign w:val="center"/>
          </w:tcPr>
          <w:p>
            <w:pPr>
              <w:jc w:val="center"/>
              <w:outlineLvl w:val="9"/>
              <w:rPr>
                <w:color w:val="auto"/>
                <w:highlight w:val="none"/>
              </w:rPr>
            </w:pPr>
            <w:r>
              <w:rPr>
                <w:color w:val="auto"/>
                <w:highlight w:val="none"/>
              </w:rPr>
              <w:t>年龄</w:t>
            </w: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083" w:type="dxa"/>
            <w:vAlign w:val="center"/>
          </w:tcPr>
          <w:p>
            <w:pPr>
              <w:jc w:val="center"/>
              <w:outlineLvl w:val="9"/>
              <w:rPr>
                <w:color w:val="auto"/>
                <w:highlight w:val="none"/>
              </w:rPr>
            </w:pPr>
            <w:r>
              <w:rPr>
                <w:color w:val="auto"/>
                <w:highlight w:val="none"/>
              </w:rPr>
              <w:t>职务</w:t>
            </w:r>
          </w:p>
        </w:tc>
        <w:tc>
          <w:tcPr>
            <w:tcW w:w="2340" w:type="dxa"/>
            <w:gridSpan w:val="3"/>
            <w:vAlign w:val="center"/>
          </w:tcPr>
          <w:p>
            <w:pPr>
              <w:jc w:val="center"/>
              <w:outlineLvl w:val="9"/>
              <w:rPr>
                <w:color w:val="auto"/>
                <w:highlight w:val="none"/>
              </w:rPr>
            </w:pPr>
          </w:p>
        </w:tc>
        <w:tc>
          <w:tcPr>
            <w:tcW w:w="1893" w:type="dxa"/>
            <w:gridSpan w:val="2"/>
            <w:vAlign w:val="center"/>
          </w:tcPr>
          <w:p>
            <w:pPr>
              <w:jc w:val="center"/>
              <w:outlineLvl w:val="9"/>
              <w:rPr>
                <w:color w:val="auto"/>
                <w:highlight w:val="none"/>
              </w:rPr>
            </w:pPr>
            <w:r>
              <w:rPr>
                <w:color w:val="auto"/>
                <w:highlight w:val="none"/>
              </w:rPr>
              <w:t>职称</w:t>
            </w:r>
          </w:p>
        </w:tc>
        <w:tc>
          <w:tcPr>
            <w:tcW w:w="1585" w:type="dxa"/>
            <w:gridSpan w:val="2"/>
            <w:vAlign w:val="center"/>
          </w:tcPr>
          <w:p>
            <w:pPr>
              <w:jc w:val="center"/>
              <w:outlineLvl w:val="9"/>
              <w:rPr>
                <w:color w:val="auto"/>
                <w:highlight w:val="none"/>
              </w:rPr>
            </w:pPr>
          </w:p>
        </w:tc>
        <w:tc>
          <w:tcPr>
            <w:tcW w:w="1108" w:type="dxa"/>
            <w:gridSpan w:val="2"/>
            <w:vAlign w:val="center"/>
          </w:tcPr>
          <w:p>
            <w:pPr>
              <w:jc w:val="center"/>
              <w:outlineLvl w:val="9"/>
              <w:rPr>
                <w:color w:val="auto"/>
                <w:highlight w:val="none"/>
              </w:rPr>
            </w:pPr>
            <w:r>
              <w:rPr>
                <w:color w:val="auto"/>
                <w:highlight w:val="none"/>
              </w:rPr>
              <w:t>学历</w:t>
            </w: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4"/>
            <w:vAlign w:val="center"/>
          </w:tcPr>
          <w:p>
            <w:pPr>
              <w:jc w:val="center"/>
              <w:outlineLvl w:val="9"/>
              <w:rPr>
                <w:color w:val="auto"/>
                <w:highlight w:val="none"/>
              </w:rPr>
            </w:pPr>
            <w:r>
              <w:rPr>
                <w:color w:val="auto"/>
                <w:highlight w:val="none"/>
              </w:rPr>
              <w:t>参加工作时间</w:t>
            </w:r>
          </w:p>
        </w:tc>
        <w:tc>
          <w:tcPr>
            <w:tcW w:w="1893" w:type="dxa"/>
            <w:gridSpan w:val="2"/>
            <w:vAlign w:val="center"/>
          </w:tcPr>
          <w:p>
            <w:pPr>
              <w:jc w:val="center"/>
              <w:outlineLvl w:val="9"/>
              <w:rPr>
                <w:color w:val="auto"/>
                <w:highlight w:val="none"/>
              </w:rPr>
            </w:pPr>
          </w:p>
        </w:tc>
        <w:tc>
          <w:tcPr>
            <w:tcW w:w="2693" w:type="dxa"/>
            <w:gridSpan w:val="4"/>
            <w:vAlign w:val="center"/>
          </w:tcPr>
          <w:p>
            <w:pPr>
              <w:jc w:val="center"/>
              <w:outlineLvl w:val="9"/>
              <w:rPr>
                <w:color w:val="auto"/>
                <w:highlight w:val="none"/>
              </w:rPr>
            </w:pPr>
            <w:r>
              <w:rPr>
                <w:color w:val="auto"/>
                <w:highlight w:val="none"/>
              </w:rPr>
              <w:t>担任项目经理年限</w:t>
            </w: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423" w:type="dxa"/>
            <w:gridSpan w:val="4"/>
            <w:vAlign w:val="center"/>
          </w:tcPr>
          <w:p>
            <w:pPr>
              <w:jc w:val="center"/>
              <w:outlineLvl w:val="9"/>
              <w:rPr>
                <w:color w:val="auto"/>
                <w:highlight w:val="none"/>
              </w:rPr>
            </w:pPr>
            <w:r>
              <w:rPr>
                <w:color w:val="auto"/>
                <w:highlight w:val="none"/>
              </w:rPr>
              <w:t>建造师注册编号</w:t>
            </w:r>
          </w:p>
        </w:tc>
        <w:tc>
          <w:tcPr>
            <w:tcW w:w="5862" w:type="dxa"/>
            <w:gridSpan w:val="7"/>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jc w:val="center"/>
        </w:trPr>
        <w:tc>
          <w:tcPr>
            <w:tcW w:w="9285" w:type="dxa"/>
            <w:gridSpan w:val="11"/>
            <w:vAlign w:val="center"/>
          </w:tcPr>
          <w:p>
            <w:pPr>
              <w:jc w:val="center"/>
              <w:outlineLvl w:val="9"/>
              <w:rPr>
                <w:color w:val="auto"/>
                <w:highlight w:val="none"/>
              </w:rPr>
            </w:pPr>
            <w:r>
              <w:rPr>
                <w:color w:val="auto"/>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2"/>
            <w:vAlign w:val="center"/>
          </w:tcPr>
          <w:p>
            <w:pPr>
              <w:jc w:val="center"/>
              <w:outlineLvl w:val="9"/>
              <w:rPr>
                <w:color w:val="auto"/>
                <w:highlight w:val="none"/>
              </w:rPr>
            </w:pPr>
            <w:r>
              <w:rPr>
                <w:color w:val="auto"/>
                <w:highlight w:val="none"/>
              </w:rPr>
              <w:t>建设单位</w:t>
            </w:r>
          </w:p>
        </w:tc>
        <w:tc>
          <w:tcPr>
            <w:tcW w:w="1548" w:type="dxa"/>
            <w:vAlign w:val="center"/>
          </w:tcPr>
          <w:p>
            <w:pPr>
              <w:jc w:val="center"/>
              <w:outlineLvl w:val="9"/>
              <w:rPr>
                <w:color w:val="auto"/>
                <w:highlight w:val="none"/>
              </w:rPr>
            </w:pPr>
            <w:r>
              <w:rPr>
                <w:color w:val="auto"/>
                <w:highlight w:val="none"/>
              </w:rPr>
              <w:t>项目名称</w:t>
            </w:r>
          </w:p>
        </w:tc>
        <w:tc>
          <w:tcPr>
            <w:tcW w:w="1547" w:type="dxa"/>
            <w:gridSpan w:val="2"/>
            <w:vAlign w:val="center"/>
          </w:tcPr>
          <w:p>
            <w:pPr>
              <w:jc w:val="center"/>
              <w:outlineLvl w:val="9"/>
              <w:rPr>
                <w:color w:val="auto"/>
                <w:highlight w:val="none"/>
              </w:rPr>
            </w:pPr>
            <w:r>
              <w:rPr>
                <w:color w:val="auto"/>
                <w:highlight w:val="none"/>
              </w:rPr>
              <w:t>建设规模</w:t>
            </w:r>
          </w:p>
        </w:tc>
        <w:tc>
          <w:tcPr>
            <w:tcW w:w="1548" w:type="dxa"/>
            <w:gridSpan w:val="2"/>
            <w:vAlign w:val="center"/>
          </w:tcPr>
          <w:p>
            <w:pPr>
              <w:jc w:val="center"/>
              <w:outlineLvl w:val="9"/>
              <w:rPr>
                <w:color w:val="auto"/>
                <w:highlight w:val="none"/>
              </w:rPr>
            </w:pPr>
            <w:r>
              <w:rPr>
                <w:color w:val="auto"/>
                <w:highlight w:val="none"/>
              </w:rPr>
              <w:t>开、竣工日期</w:t>
            </w:r>
          </w:p>
        </w:tc>
        <w:tc>
          <w:tcPr>
            <w:tcW w:w="1547" w:type="dxa"/>
            <w:gridSpan w:val="2"/>
            <w:vAlign w:val="center"/>
          </w:tcPr>
          <w:p>
            <w:pPr>
              <w:jc w:val="center"/>
              <w:outlineLvl w:val="9"/>
              <w:rPr>
                <w:color w:val="auto"/>
                <w:highlight w:val="none"/>
              </w:rPr>
            </w:pPr>
            <w:r>
              <w:rPr>
                <w:color w:val="auto"/>
                <w:highlight w:val="none"/>
              </w:rPr>
              <w:t>在建或已完</w:t>
            </w:r>
          </w:p>
        </w:tc>
        <w:tc>
          <w:tcPr>
            <w:tcW w:w="1548" w:type="dxa"/>
            <w:gridSpan w:val="2"/>
            <w:vAlign w:val="center"/>
          </w:tcPr>
          <w:p>
            <w:pPr>
              <w:jc w:val="center"/>
              <w:outlineLvl w:val="9"/>
              <w:rPr>
                <w:color w:val="auto"/>
                <w:highlight w:val="none"/>
              </w:rPr>
            </w:pPr>
            <w:r>
              <w:rPr>
                <w:color w:val="auto"/>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bl>
    <w:p>
      <w:pPr>
        <w:outlineLvl w:val="9"/>
        <w:rPr>
          <w:color w:val="auto"/>
          <w:highlight w:val="none"/>
        </w:rPr>
      </w:pP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numPr>
          <w:ilvl w:val="0"/>
          <w:numId w:val="13"/>
        </w:numPr>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附项目经理注册建造师注册证书、安全生产考核合格证书（B 证）和已完工程中标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通知书（工程合同协议书）或工程竣工验收证明材料的复印件，以及投标人认为需要增加的其他证明材料复印件，以上复印件均须加盖投标人单位公章。</w:t>
      </w: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spacing w:before="56"/>
        <w:ind w:left="0" w:right="413" w:firstLine="0"/>
        <w:jc w:val="center"/>
        <w:outlineLvl w:val="9"/>
        <w:rPr>
          <w:b/>
          <w:color w:val="auto"/>
          <w:sz w:val="24"/>
          <w:highlight w:val="none"/>
        </w:rPr>
      </w:pPr>
      <w:r>
        <w:rPr>
          <w:b/>
          <w:color w:val="auto"/>
          <w:sz w:val="24"/>
          <w:highlight w:val="none"/>
        </w:rPr>
        <w:t>项目技术负责人简历表</w:t>
      </w:r>
    </w:p>
    <w:p>
      <w:pPr>
        <w:pStyle w:val="11"/>
        <w:outlineLvl w:val="9"/>
        <w:rPr>
          <w:b/>
          <w:color w:val="auto"/>
          <w:sz w:val="22"/>
          <w:highlight w:val="none"/>
        </w:rPr>
      </w:pPr>
    </w:p>
    <w:p>
      <w:pPr>
        <w:pStyle w:val="11"/>
        <w:tabs>
          <w:tab w:val="left" w:pos="2312"/>
          <w:tab w:val="left" w:pos="5251"/>
        </w:tabs>
        <w:spacing w:after="6"/>
        <w:ind w:left="1051"/>
        <w:outlineLvl w:val="9"/>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（项目名称）</w:t>
      </w:r>
      <w:r>
        <w:rPr>
          <w:color w:val="auto"/>
          <w:highlight w:val="none"/>
          <w:u w:val="single"/>
        </w:rPr>
        <w:tab/>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vAlign w:val="center"/>
          </w:tcPr>
          <w:p>
            <w:pPr>
              <w:jc w:val="center"/>
              <w:outlineLvl w:val="9"/>
              <w:rPr>
                <w:rFonts w:hint="eastAsia" w:ascii="宋体" w:hAnsi="宋体" w:eastAsia="宋体" w:cs="宋体"/>
                <w:color w:val="auto"/>
                <w:highlight w:val="none"/>
              </w:rPr>
            </w:pPr>
          </w:p>
        </w:tc>
        <w:tc>
          <w:tcPr>
            <w:tcW w:w="1893"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vAlign w:val="center"/>
          </w:tcPr>
          <w:p>
            <w:pPr>
              <w:jc w:val="center"/>
              <w:outlineLvl w:val="9"/>
              <w:rPr>
                <w:rFonts w:hint="eastAsia" w:ascii="宋体" w:hAnsi="宋体" w:eastAsia="宋体" w:cs="宋体"/>
                <w:color w:val="auto"/>
                <w:highlight w:val="none"/>
              </w:rPr>
            </w:pPr>
          </w:p>
        </w:tc>
        <w:tc>
          <w:tcPr>
            <w:tcW w:w="110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083"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vAlign w:val="center"/>
          </w:tcPr>
          <w:p>
            <w:pPr>
              <w:jc w:val="center"/>
              <w:outlineLvl w:val="9"/>
              <w:rPr>
                <w:rFonts w:hint="eastAsia" w:ascii="宋体" w:hAnsi="宋体" w:eastAsia="宋体" w:cs="宋体"/>
                <w:color w:val="auto"/>
                <w:highlight w:val="none"/>
              </w:rPr>
            </w:pPr>
          </w:p>
        </w:tc>
        <w:tc>
          <w:tcPr>
            <w:tcW w:w="1893"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vAlign w:val="center"/>
          </w:tcPr>
          <w:p>
            <w:pPr>
              <w:jc w:val="center"/>
              <w:outlineLvl w:val="9"/>
              <w:rPr>
                <w:rFonts w:hint="eastAsia" w:ascii="宋体" w:hAnsi="宋体" w:eastAsia="宋体" w:cs="宋体"/>
                <w:color w:val="auto"/>
                <w:highlight w:val="none"/>
              </w:rPr>
            </w:pPr>
          </w:p>
        </w:tc>
        <w:tc>
          <w:tcPr>
            <w:tcW w:w="110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4"/>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vAlign w:val="center"/>
          </w:tcPr>
          <w:p>
            <w:pPr>
              <w:jc w:val="center"/>
              <w:outlineLvl w:val="9"/>
              <w:rPr>
                <w:rFonts w:hint="eastAsia" w:ascii="宋体" w:hAnsi="宋体" w:eastAsia="宋体" w:cs="宋体"/>
                <w:color w:val="auto"/>
                <w:highlight w:val="none"/>
              </w:rPr>
            </w:pPr>
          </w:p>
        </w:tc>
        <w:tc>
          <w:tcPr>
            <w:tcW w:w="2693" w:type="dxa"/>
            <w:gridSpan w:val="4"/>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担任技术负责人年限</w:t>
            </w:r>
          </w:p>
        </w:tc>
        <w:tc>
          <w:tcPr>
            <w:tcW w:w="1276" w:type="dxa"/>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9285" w:type="dxa"/>
            <w:gridSpan w:val="11"/>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bl>
    <w:p>
      <w:pPr>
        <w:pStyle w:val="11"/>
        <w:spacing w:before="6"/>
        <w:outlineLvl w:val="9"/>
        <w:rPr>
          <w:color w:val="auto"/>
          <w:sz w:val="32"/>
          <w:highlight w:val="none"/>
        </w:rPr>
      </w:pPr>
    </w:p>
    <w:p>
      <w:pPr>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p>
      <w:pPr>
        <w:ind w:firstLine="840" w:firstLineChars="400"/>
        <w:outlineLvl w:val="9"/>
        <w:rPr>
          <w:rFonts w:hint="eastAsia" w:ascii="宋体" w:hAnsi="宋体" w:eastAsia="宋体" w:cs="宋体"/>
          <w:color w:val="auto"/>
          <w:highlight w:val="none"/>
        </w:rPr>
      </w:pPr>
      <w:r>
        <w:rPr>
          <w:rFonts w:hint="eastAsia" w:ascii="宋体" w:hAnsi="宋体" w:eastAsia="宋体" w:cs="宋体"/>
          <w:color w:val="auto"/>
          <w:highlight w:val="none"/>
        </w:rPr>
        <w:t>1、附技术负责人的职称证、资格证和已完工程中标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通知书（工程合同协议书）或工程竣工验收证明材料的复印件，以及投标人认为需要增加的其他证明材料复印件，以上复印件须加盖投标人单位公章。</w:t>
      </w:r>
    </w:p>
    <w:p>
      <w:pPr>
        <w:pStyle w:val="11"/>
        <w:outlineLvl w:val="9"/>
        <w:rPr>
          <w:color w:val="auto"/>
          <w:sz w:val="20"/>
          <w:highlight w:val="none"/>
        </w:rPr>
      </w:pPr>
    </w:p>
    <w:p>
      <w:pPr>
        <w:pStyle w:val="11"/>
        <w:outlineLvl w:val="9"/>
        <w:rPr>
          <w:color w:val="auto"/>
          <w:sz w:val="20"/>
          <w:highlight w:val="none"/>
        </w:rPr>
      </w:pPr>
    </w:p>
    <w:p>
      <w:pPr>
        <w:pStyle w:val="11"/>
        <w:outlineLvl w:val="9"/>
        <w:rPr>
          <w:color w:val="auto"/>
          <w:sz w:val="20"/>
          <w:highlight w:val="none"/>
        </w:rPr>
      </w:pPr>
    </w:p>
    <w:p>
      <w:pPr>
        <w:pStyle w:val="11"/>
        <w:outlineLvl w:val="9"/>
        <w:rPr>
          <w:color w:val="auto"/>
          <w:sz w:val="20"/>
          <w:highlight w:val="none"/>
        </w:rPr>
      </w:pPr>
    </w:p>
    <w:p>
      <w:pPr>
        <w:pStyle w:val="11"/>
        <w:outlineLvl w:val="9"/>
        <w:rPr>
          <w:color w:val="auto"/>
          <w:sz w:val="20"/>
          <w:highlight w:val="none"/>
        </w:rPr>
      </w:pPr>
    </w:p>
    <w:p>
      <w:pPr>
        <w:pStyle w:val="11"/>
        <w:spacing w:before="7"/>
        <w:outlineLvl w:val="9"/>
        <w:rPr>
          <w:color w:val="auto"/>
          <w:sz w:val="24"/>
          <w:highlight w:val="none"/>
        </w:rPr>
      </w:pPr>
    </w:p>
    <w:p>
      <w:pPr>
        <w:pStyle w:val="2"/>
        <w:widowControl w:val="0"/>
        <w:numPr>
          <w:ilvl w:val="0"/>
          <w:numId w:val="0"/>
        </w:numPr>
        <w:autoSpaceDE w:val="0"/>
        <w:autoSpaceDN w:val="0"/>
        <w:adjustRightInd w:val="0"/>
        <w:outlineLvl w:val="9"/>
        <w:rPr>
          <w:rFonts w:hint="eastAsia"/>
          <w:color w:val="auto"/>
          <w:highlight w:val="none"/>
        </w:rPr>
      </w:pPr>
      <w:bookmarkStart w:id="665" w:name="（四）项目管理机构配备辅助说明资料"/>
      <w:bookmarkEnd w:id="665"/>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widowControl w:val="0"/>
        <w:numPr>
          <w:ilvl w:val="0"/>
          <w:numId w:val="0"/>
        </w:numPr>
        <w:autoSpaceDE w:val="0"/>
        <w:autoSpaceDN w:val="0"/>
        <w:adjustRightInd w:val="0"/>
        <w:outlineLvl w:val="9"/>
        <w:rPr>
          <w:rFonts w:hint="eastAsia"/>
          <w:color w:val="auto"/>
          <w:highlight w:val="none"/>
        </w:rPr>
      </w:pPr>
    </w:p>
    <w:p>
      <w:pPr>
        <w:pStyle w:val="2"/>
        <w:outlineLvl w:val="9"/>
        <w:rPr>
          <w:rFonts w:hint="eastAsia"/>
          <w:color w:val="auto"/>
          <w:highlight w:val="none"/>
          <w:lang w:val="en-US" w:eastAsia="zh-CN"/>
        </w:rPr>
      </w:pPr>
    </w:p>
    <w:p>
      <w:pPr>
        <w:jc w:val="both"/>
        <w:outlineLvl w:val="9"/>
        <w:rPr>
          <w:rFonts w:hint="eastAsia" w:ascii="宋体" w:hAnsi="宋体" w:eastAsia="宋体" w:cs="宋体"/>
          <w:b/>
          <w:bCs/>
          <w:color w:val="auto"/>
          <w:sz w:val="24"/>
          <w:highlight w:val="none"/>
        </w:rPr>
      </w:pPr>
    </w:p>
    <w:p>
      <w:pPr>
        <w:jc w:val="both"/>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其他文书、文件格式</w:t>
      </w:r>
    </w:p>
    <w:p>
      <w:pPr>
        <w:jc w:val="both"/>
        <w:outlineLvl w:val="9"/>
        <w:rPr>
          <w:rFonts w:hint="eastAsia" w:ascii="宋体" w:hAnsi="宋体" w:eastAsia="宋体" w:cs="宋体"/>
          <w:b/>
          <w:bCs/>
          <w:color w:val="auto"/>
          <w:sz w:val="32"/>
          <w:szCs w:val="40"/>
          <w:highlight w:val="none"/>
          <w:lang w:val="en-US" w:eastAsia="zh-CN"/>
        </w:rPr>
      </w:pPr>
    </w:p>
    <w:p>
      <w:pPr>
        <w:jc w:val="center"/>
        <w:outlineLvl w:val="9"/>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中小企业声明函（工程）</w:t>
      </w:r>
    </w:p>
    <w:p>
      <w:pPr>
        <w:pStyle w:val="2"/>
        <w:outlineLvl w:val="9"/>
        <w:rPr>
          <w:rFonts w:hint="eastAsia" w:ascii="宋体" w:hAnsi="宋体" w:eastAsia="宋体" w:cs="宋体"/>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本公司（联合体）郑重声明，根据《政府采购促进中小企业发展管理办法》（财库﹝2020﹞46号）的规定，本公司</w:t>
      </w:r>
      <w:r>
        <w:rPr>
          <w:rFonts w:hint="eastAsia" w:ascii="宋体" w:hAnsi="宋体" w:eastAsia="宋体" w:cs="宋体"/>
          <w:color w:val="auto"/>
          <w:sz w:val="24"/>
          <w:szCs w:val="24"/>
          <w:highlight w:val="none"/>
          <w:u w:val="none"/>
          <w:lang w:val="en-US" w:eastAsia="zh-CN"/>
        </w:rPr>
        <w:t>（联合体）</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en-US" w:eastAsia="zh-CN"/>
        </w:rPr>
        <w:t>采购活动，工程的施工单位全部为符合政策要求的中小企业。相关企业（含联合体中的中小企业、签订分包意向协议的中小企业）的具体情况如下：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（招标文件中明确的所属行业）</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36"/>
          <w:szCs w:val="36"/>
          <w:highlight w:val="none"/>
          <w:vertAlign w:val="superscript"/>
          <w:lang w:val="en-US" w:eastAsia="zh-CN"/>
        </w:rPr>
        <w:t>1</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（招标文件中明确的所属行业）</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万元，属于</w:t>
      </w:r>
      <w:r>
        <w:rPr>
          <w:rFonts w:hint="eastAsia" w:ascii="宋体" w:hAnsi="宋体" w:eastAsia="宋体" w:cs="宋体"/>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企业名称（章）：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2.享受《政府采购促进中小企业发展管理办法》（财库〔2020〕46号）规定的中小企业扶持政策的，采购人、采购代理机构应当随成交结果公开成交供应商的《中小企业声明函》。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3.根据《关于印发中小企业划型标准规定的通知》（工信部联企业〔2011〕300号），本项目全部采购标的所属行业为：建筑业。</w:t>
      </w:r>
    </w:p>
    <w:p>
      <w:pPr>
        <w:pStyle w:val="2"/>
        <w:outlineLvl w:val="9"/>
        <w:rPr>
          <w:rFonts w:hint="eastAsia" w:ascii="宋体" w:hAnsi="宋体" w:eastAsia="宋体" w:cs="宋体"/>
          <w:b/>
          <w:bCs/>
          <w:color w:val="auto"/>
          <w:sz w:val="24"/>
          <w:szCs w:val="24"/>
          <w:highlight w:val="none"/>
          <w:lang w:val="en-US" w:eastAsia="zh-CN"/>
        </w:rPr>
      </w:pPr>
    </w:p>
    <w:p>
      <w:pPr>
        <w:spacing w:before="41"/>
        <w:ind w:left="100" w:right="0" w:firstLine="0"/>
        <w:jc w:val="left"/>
        <w:rPr>
          <w:rFonts w:hint="eastAsia" w:ascii="Arial Unicode MS" w:eastAsia="Arial Unicode MS"/>
          <w:color w:val="auto"/>
          <w:sz w:val="28"/>
        </w:rPr>
      </w:pPr>
      <w:r>
        <w:rPr>
          <w:rFonts w:hint="eastAsia" w:ascii="Arial Unicode MS" w:eastAsia="Arial Unicode MS"/>
          <w:color w:val="auto"/>
          <w:sz w:val="28"/>
        </w:rPr>
        <w:t>附：</w:t>
      </w:r>
    </w:p>
    <w:p>
      <w:pPr>
        <w:spacing w:before="41"/>
        <w:ind w:left="100" w:right="0" w:firstLine="0"/>
        <w:jc w:val="center"/>
        <w:rPr>
          <w:b/>
          <w:color w:val="auto"/>
          <w:sz w:val="17"/>
        </w:rPr>
      </w:pPr>
      <w:r>
        <w:rPr>
          <w:rFonts w:hint="eastAsia" w:ascii="宋体" w:eastAsia="宋体"/>
          <w:b/>
          <w:color w:val="auto"/>
          <w:sz w:val="28"/>
        </w:rPr>
        <w:t>中小微企业划型标准</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7"/>
        <w:gridCol w:w="1617"/>
        <w:gridCol w:w="1383"/>
        <w:gridCol w:w="1983"/>
        <w:gridCol w:w="170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967" w:type="dxa"/>
            <w:vAlign w:val="center"/>
          </w:tcPr>
          <w:p>
            <w:pPr>
              <w:pStyle w:val="32"/>
              <w:spacing w:before="178"/>
              <w:ind w:left="0" w:leftChars="0" w:firstLine="0" w:firstLineChars="0"/>
              <w:jc w:val="center"/>
              <w:rPr>
                <w:rFonts w:hint="eastAsia" w:ascii="新宋体" w:hAnsi="新宋体" w:eastAsia="新宋体" w:cs="新宋体"/>
                <w:b/>
                <w:color w:val="auto"/>
                <w:sz w:val="24"/>
              </w:rPr>
            </w:pPr>
            <w:r>
              <w:rPr>
                <w:rFonts w:hint="eastAsia" w:ascii="新宋体" w:hAnsi="新宋体" w:eastAsia="新宋体" w:cs="新宋体"/>
                <w:b/>
                <w:color w:val="auto"/>
                <w:sz w:val="24"/>
              </w:rPr>
              <w:t>行业名称</w:t>
            </w:r>
          </w:p>
        </w:tc>
        <w:tc>
          <w:tcPr>
            <w:tcW w:w="1617" w:type="dxa"/>
            <w:vAlign w:val="center"/>
          </w:tcPr>
          <w:p>
            <w:pPr>
              <w:pStyle w:val="32"/>
              <w:spacing w:before="178"/>
              <w:ind w:left="0" w:leftChars="0" w:firstLine="0" w:firstLineChars="0"/>
              <w:jc w:val="center"/>
              <w:rPr>
                <w:rFonts w:hint="eastAsia" w:ascii="新宋体" w:hAnsi="新宋体" w:eastAsia="新宋体" w:cs="新宋体"/>
                <w:b/>
                <w:color w:val="auto"/>
                <w:sz w:val="24"/>
              </w:rPr>
            </w:pPr>
            <w:r>
              <w:rPr>
                <w:rFonts w:hint="eastAsia" w:ascii="新宋体" w:hAnsi="新宋体" w:eastAsia="新宋体" w:cs="新宋体"/>
                <w:b/>
                <w:color w:val="auto"/>
                <w:sz w:val="24"/>
              </w:rPr>
              <w:t>指标名称</w:t>
            </w:r>
          </w:p>
        </w:tc>
        <w:tc>
          <w:tcPr>
            <w:tcW w:w="1383" w:type="dxa"/>
            <w:vAlign w:val="center"/>
          </w:tcPr>
          <w:p>
            <w:pPr>
              <w:pStyle w:val="32"/>
              <w:spacing w:before="12"/>
              <w:ind w:left="0" w:leftChars="0" w:firstLine="0" w:firstLineChars="0"/>
              <w:jc w:val="center"/>
              <w:rPr>
                <w:rFonts w:hint="eastAsia" w:ascii="新宋体" w:hAnsi="新宋体" w:eastAsia="新宋体" w:cs="新宋体"/>
                <w:b/>
                <w:color w:val="auto"/>
                <w:sz w:val="24"/>
              </w:rPr>
            </w:pPr>
            <w:r>
              <w:rPr>
                <w:rFonts w:hint="eastAsia" w:ascii="新宋体" w:hAnsi="新宋体" w:eastAsia="新宋体" w:cs="新宋体"/>
                <w:b/>
                <w:color w:val="auto"/>
                <w:sz w:val="24"/>
              </w:rPr>
              <w:t>计量单</w:t>
            </w:r>
            <w:r>
              <w:rPr>
                <w:rFonts w:hint="eastAsia" w:ascii="新宋体" w:hAnsi="新宋体" w:eastAsia="新宋体" w:cs="新宋体"/>
                <w:b/>
                <w:color w:val="auto"/>
                <w:w w:val="99"/>
                <w:sz w:val="24"/>
              </w:rPr>
              <w:t>位</w:t>
            </w:r>
          </w:p>
        </w:tc>
        <w:tc>
          <w:tcPr>
            <w:tcW w:w="1983" w:type="dxa"/>
            <w:vAlign w:val="center"/>
          </w:tcPr>
          <w:p>
            <w:pPr>
              <w:pStyle w:val="32"/>
              <w:spacing w:before="178"/>
              <w:ind w:left="0" w:leftChars="0" w:firstLine="0" w:firstLineChars="0"/>
              <w:jc w:val="center"/>
              <w:rPr>
                <w:rFonts w:hint="eastAsia" w:ascii="新宋体" w:hAnsi="新宋体" w:eastAsia="新宋体" w:cs="新宋体"/>
                <w:b/>
                <w:color w:val="auto"/>
                <w:sz w:val="24"/>
              </w:rPr>
            </w:pPr>
            <w:r>
              <w:rPr>
                <w:rFonts w:hint="eastAsia" w:ascii="新宋体" w:hAnsi="新宋体" w:eastAsia="新宋体" w:cs="新宋体"/>
                <w:b/>
                <w:color w:val="auto"/>
                <w:sz w:val="24"/>
              </w:rPr>
              <w:t>中型</w:t>
            </w:r>
          </w:p>
        </w:tc>
        <w:tc>
          <w:tcPr>
            <w:tcW w:w="1700" w:type="dxa"/>
            <w:vAlign w:val="center"/>
          </w:tcPr>
          <w:p>
            <w:pPr>
              <w:pStyle w:val="32"/>
              <w:spacing w:before="178"/>
              <w:ind w:left="0" w:leftChars="0" w:firstLine="0" w:firstLineChars="0"/>
              <w:jc w:val="center"/>
              <w:rPr>
                <w:rFonts w:hint="eastAsia" w:ascii="新宋体" w:hAnsi="新宋体" w:eastAsia="新宋体" w:cs="新宋体"/>
                <w:b/>
                <w:color w:val="auto"/>
                <w:sz w:val="24"/>
              </w:rPr>
            </w:pPr>
            <w:r>
              <w:rPr>
                <w:rFonts w:hint="eastAsia" w:ascii="新宋体" w:hAnsi="新宋体" w:eastAsia="新宋体" w:cs="新宋体"/>
                <w:b/>
                <w:color w:val="auto"/>
                <w:sz w:val="24"/>
              </w:rPr>
              <w:t>小型</w:t>
            </w:r>
          </w:p>
        </w:tc>
        <w:tc>
          <w:tcPr>
            <w:tcW w:w="1367" w:type="dxa"/>
            <w:vAlign w:val="center"/>
          </w:tcPr>
          <w:p>
            <w:pPr>
              <w:pStyle w:val="32"/>
              <w:spacing w:before="178"/>
              <w:ind w:left="0" w:leftChars="0" w:firstLine="0" w:firstLineChars="0"/>
              <w:jc w:val="center"/>
              <w:rPr>
                <w:rFonts w:hint="eastAsia" w:ascii="新宋体" w:hAnsi="新宋体" w:eastAsia="新宋体" w:cs="新宋体"/>
                <w:b/>
                <w:color w:val="auto"/>
                <w:sz w:val="24"/>
              </w:rPr>
            </w:pPr>
            <w:r>
              <w:rPr>
                <w:rFonts w:hint="eastAsia" w:ascii="新宋体" w:hAnsi="新宋体" w:eastAsia="新宋体" w:cs="新宋体"/>
                <w:b/>
                <w:color w:val="auto"/>
                <w:sz w:val="24"/>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Align w:val="center"/>
          </w:tcPr>
          <w:p>
            <w:pPr>
              <w:pStyle w:val="32"/>
              <w:spacing w:before="51"/>
              <w:ind w:left="0" w:right="277"/>
              <w:jc w:val="center"/>
              <w:rPr>
                <w:rFonts w:hint="eastAsia" w:ascii="新宋体" w:hAnsi="新宋体" w:eastAsia="新宋体" w:cs="新宋体"/>
                <w:b/>
                <w:color w:val="auto"/>
                <w:sz w:val="18"/>
              </w:rPr>
            </w:pPr>
            <w:r>
              <w:rPr>
                <w:rFonts w:hint="eastAsia" w:ascii="新宋体" w:hAnsi="新宋体" w:eastAsia="新宋体" w:cs="新宋体"/>
                <w:b/>
                <w:color w:val="auto"/>
                <w:w w:val="95"/>
                <w:sz w:val="18"/>
              </w:rPr>
              <w:t>农、林、牧、渔</w:t>
            </w: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500≤Y＜20000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50≤Y＜500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161"/>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工业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300≤X＜1000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20≤X＜300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2000≤Y＜40000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300≤Y＜2000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60"/>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建筑业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6000≤Y＜80000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300≤Y＜6000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资产总额（Z）</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5000≤Z＜80000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300≤Z＜5000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0"/>
              <w:ind w:left="0"/>
              <w:jc w:val="center"/>
              <w:rPr>
                <w:rFonts w:hint="eastAsia" w:ascii="新宋体" w:hAnsi="新宋体" w:eastAsia="新宋体" w:cs="新宋体"/>
                <w:b/>
                <w:color w:val="auto"/>
                <w:sz w:val="18"/>
              </w:rPr>
            </w:pPr>
          </w:p>
          <w:p>
            <w:pPr>
              <w:pStyle w:val="32"/>
              <w:spacing w:before="1"/>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批发业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20≤X＜200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5≤X＜20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5000≤Y＜40000</w:t>
            </w:r>
          </w:p>
        </w:tc>
        <w:tc>
          <w:tcPr>
            <w:tcW w:w="1700" w:type="dxa"/>
            <w:vAlign w:val="center"/>
          </w:tcPr>
          <w:p>
            <w:pPr>
              <w:pStyle w:val="32"/>
              <w:spacing w:before="5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1000≤Y＜5000</w:t>
            </w:r>
          </w:p>
        </w:tc>
        <w:tc>
          <w:tcPr>
            <w:tcW w:w="1367"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0"/>
              <w:ind w:left="0"/>
              <w:jc w:val="center"/>
              <w:rPr>
                <w:rFonts w:hint="eastAsia" w:ascii="新宋体" w:hAnsi="新宋体" w:eastAsia="新宋体" w:cs="新宋体"/>
                <w:b/>
                <w:color w:val="auto"/>
                <w:sz w:val="18"/>
              </w:rPr>
            </w:pPr>
          </w:p>
          <w:p>
            <w:pPr>
              <w:pStyle w:val="32"/>
              <w:spacing w:before="0"/>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零售业</w:t>
            </w:r>
          </w:p>
        </w:tc>
        <w:tc>
          <w:tcPr>
            <w:tcW w:w="1617"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50≤X＜300</w:t>
            </w:r>
          </w:p>
        </w:tc>
        <w:tc>
          <w:tcPr>
            <w:tcW w:w="1700" w:type="dxa"/>
            <w:vAlign w:val="center"/>
          </w:tcPr>
          <w:p>
            <w:pPr>
              <w:pStyle w:val="32"/>
              <w:spacing w:before="5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10≤X＜50</w:t>
            </w:r>
          </w:p>
        </w:tc>
        <w:tc>
          <w:tcPr>
            <w:tcW w:w="1367"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500≤Y＜20000</w:t>
            </w:r>
          </w:p>
        </w:tc>
        <w:tc>
          <w:tcPr>
            <w:tcW w:w="1700" w:type="dxa"/>
            <w:vAlign w:val="center"/>
          </w:tcPr>
          <w:p>
            <w:pPr>
              <w:pStyle w:val="32"/>
              <w:spacing w:before="5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100≤Y＜500</w:t>
            </w:r>
          </w:p>
        </w:tc>
        <w:tc>
          <w:tcPr>
            <w:tcW w:w="1367"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61"/>
              <w:ind w:left="0" w:leftChars="0"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交通运输业</w:t>
            </w: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300≤X＜1000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20≤X＜300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3000≤Y＜30000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200≤Y＜3000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61"/>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仓储业</w:t>
            </w: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100≤X＜200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20≤X＜100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1000≤Y＜30000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100≤Y＜1000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61"/>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邮政业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300≤X＜1000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20≤X＜300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2000≤Y＜30000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100≤Y＜2000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160"/>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住宿业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100≤X＜300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10≤X＜100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2000≤Y＜10000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100≤Y＜2000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
              <w:ind w:left="0" w:leftChars="0" w:right="165"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餐饮业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100≤X＜300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10≤X＜100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2000≤Y＜10000</w:t>
            </w:r>
          </w:p>
        </w:tc>
        <w:tc>
          <w:tcPr>
            <w:tcW w:w="1700" w:type="dxa"/>
            <w:vAlign w:val="center"/>
          </w:tcPr>
          <w:p>
            <w:pPr>
              <w:pStyle w:val="32"/>
              <w:spacing w:before="5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100≤Y＜2000</w:t>
            </w:r>
          </w:p>
        </w:tc>
        <w:tc>
          <w:tcPr>
            <w:tcW w:w="1367"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0"/>
              <w:ind w:left="0" w:leftChars="0"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信息传输业</w:t>
            </w:r>
          </w:p>
        </w:tc>
        <w:tc>
          <w:tcPr>
            <w:tcW w:w="1617"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100≤X＜2000</w:t>
            </w:r>
          </w:p>
        </w:tc>
        <w:tc>
          <w:tcPr>
            <w:tcW w:w="1700" w:type="dxa"/>
            <w:vAlign w:val="center"/>
          </w:tcPr>
          <w:p>
            <w:pPr>
              <w:pStyle w:val="32"/>
              <w:spacing w:before="5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10≤X＜100</w:t>
            </w:r>
          </w:p>
        </w:tc>
        <w:tc>
          <w:tcPr>
            <w:tcW w:w="1367"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1000≤Y＜100000</w:t>
            </w:r>
          </w:p>
        </w:tc>
        <w:tc>
          <w:tcPr>
            <w:tcW w:w="1700" w:type="dxa"/>
            <w:vAlign w:val="center"/>
          </w:tcPr>
          <w:p>
            <w:pPr>
              <w:pStyle w:val="32"/>
              <w:spacing w:before="5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100≤Y＜1000</w:t>
            </w:r>
          </w:p>
        </w:tc>
        <w:tc>
          <w:tcPr>
            <w:tcW w:w="1367" w:type="dxa"/>
            <w:vAlign w:val="center"/>
          </w:tcPr>
          <w:p>
            <w:pPr>
              <w:pStyle w:val="32"/>
              <w:spacing w:before="52"/>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61"/>
              <w:ind w:left="0" w:leftChars="0" w:right="170"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软件和信息技术服务业</w:t>
            </w: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100≤X＜300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10≤X＜100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1000≤Y＜10000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50≤Y＜1000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2"/>
              <w:spacing w:before="161"/>
              <w:ind w:left="0" w:leftChars="0"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房地产开发经营</w:t>
            </w: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1000≤Y＜200000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100≤X＜1000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资产总额（Z）</w:t>
            </w:r>
          </w:p>
        </w:tc>
        <w:tc>
          <w:tcPr>
            <w:tcW w:w="1383"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spacing w:before="51"/>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5000≤Z＜10000</w:t>
            </w:r>
          </w:p>
        </w:tc>
        <w:tc>
          <w:tcPr>
            <w:tcW w:w="1700" w:type="dxa"/>
            <w:vAlign w:val="center"/>
          </w:tcPr>
          <w:p>
            <w:pPr>
              <w:pStyle w:val="32"/>
              <w:spacing w:before="51"/>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2000≤Y＜5000</w:t>
            </w:r>
          </w:p>
        </w:tc>
        <w:tc>
          <w:tcPr>
            <w:tcW w:w="1367" w:type="dxa"/>
            <w:vAlign w:val="center"/>
          </w:tcPr>
          <w:p>
            <w:pPr>
              <w:pStyle w:val="32"/>
              <w:spacing w:before="51"/>
              <w:jc w:val="center"/>
              <w:rPr>
                <w:rFonts w:hint="eastAsia" w:ascii="新宋体" w:hAnsi="新宋体" w:eastAsia="新宋体" w:cs="新宋体"/>
                <w:color w:val="auto"/>
                <w:sz w:val="18"/>
              </w:rPr>
            </w:pPr>
            <w:r>
              <w:rPr>
                <w:rFonts w:hint="eastAsia" w:ascii="新宋体" w:hAnsi="新宋体" w:eastAsia="新宋体" w:cs="新宋体"/>
                <w:color w:val="auto"/>
                <w:sz w:val="18"/>
              </w:rPr>
              <w:t>Y＜2000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61"/>
              <w:ind w:left="0" w:leftChars="0"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物业管理</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300≤X＜1000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100≤X＜300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营业收入（Y）</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1000≤Y＜5000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500≤Y＜1000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2"/>
              <w:spacing w:before="160"/>
              <w:ind w:left="0" w:leftChars="0" w:firstLine="0" w:firstLineChars="0"/>
              <w:jc w:val="center"/>
              <w:rPr>
                <w:rFonts w:hint="eastAsia" w:ascii="新宋体" w:hAnsi="新宋体" w:eastAsia="新宋体" w:cs="新宋体"/>
                <w:b/>
                <w:color w:val="auto"/>
                <w:sz w:val="18"/>
              </w:rPr>
            </w:pPr>
            <w:r>
              <w:rPr>
                <w:rFonts w:hint="eastAsia" w:ascii="新宋体" w:hAnsi="新宋体" w:eastAsia="新宋体" w:cs="新宋体"/>
                <w:b/>
                <w:color w:val="auto"/>
                <w:sz w:val="18"/>
              </w:rPr>
              <w:t>租赁和商务服务业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100≤X＜300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10≤X＜100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rPr>
            </w:pP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资产总额（Z）</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万元</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8000≤Z＜120000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100≤Z＜8000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Align w:val="center"/>
          </w:tcPr>
          <w:p>
            <w:pPr>
              <w:pStyle w:val="32"/>
              <w:ind w:left="0" w:right="277"/>
              <w:jc w:val="center"/>
              <w:rPr>
                <w:rFonts w:hint="eastAsia" w:ascii="新宋体" w:hAnsi="新宋体" w:eastAsia="新宋体" w:cs="新宋体"/>
                <w:b/>
                <w:color w:val="auto"/>
                <w:sz w:val="18"/>
              </w:rPr>
            </w:pPr>
            <w:r>
              <w:rPr>
                <w:rFonts w:hint="eastAsia" w:ascii="新宋体" w:hAnsi="新宋体" w:eastAsia="新宋体" w:cs="新宋体"/>
                <w:b/>
                <w:color w:val="auto"/>
                <w:w w:val="95"/>
                <w:sz w:val="18"/>
              </w:rPr>
              <w:t>其他未列明行业</w:t>
            </w:r>
          </w:p>
        </w:tc>
        <w:tc>
          <w:tcPr>
            <w:tcW w:w="1617"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从业人员（X）</w:t>
            </w:r>
          </w:p>
        </w:tc>
        <w:tc>
          <w:tcPr>
            <w:tcW w:w="1383"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人</w:t>
            </w:r>
          </w:p>
        </w:tc>
        <w:tc>
          <w:tcPr>
            <w:tcW w:w="1983" w:type="dxa"/>
            <w:vAlign w:val="center"/>
          </w:tcPr>
          <w:p>
            <w:pPr>
              <w:pStyle w:val="32"/>
              <w:ind w:left="106"/>
              <w:jc w:val="center"/>
              <w:rPr>
                <w:rFonts w:hint="eastAsia" w:ascii="新宋体" w:hAnsi="新宋体" w:eastAsia="新宋体" w:cs="新宋体"/>
                <w:color w:val="auto"/>
                <w:sz w:val="18"/>
              </w:rPr>
            </w:pPr>
            <w:r>
              <w:rPr>
                <w:rFonts w:hint="eastAsia" w:ascii="新宋体" w:hAnsi="新宋体" w:eastAsia="新宋体" w:cs="新宋体"/>
                <w:color w:val="auto"/>
                <w:sz w:val="18"/>
              </w:rPr>
              <w:t>100≤X＜300</w:t>
            </w:r>
          </w:p>
        </w:tc>
        <w:tc>
          <w:tcPr>
            <w:tcW w:w="1700" w:type="dxa"/>
            <w:vAlign w:val="center"/>
          </w:tcPr>
          <w:p>
            <w:pPr>
              <w:pStyle w:val="32"/>
              <w:ind w:left="108"/>
              <w:jc w:val="center"/>
              <w:rPr>
                <w:rFonts w:hint="eastAsia" w:ascii="新宋体" w:hAnsi="新宋体" w:eastAsia="新宋体" w:cs="新宋体"/>
                <w:color w:val="auto"/>
                <w:sz w:val="18"/>
              </w:rPr>
            </w:pPr>
            <w:r>
              <w:rPr>
                <w:rFonts w:hint="eastAsia" w:ascii="新宋体" w:hAnsi="新宋体" w:eastAsia="新宋体" w:cs="新宋体"/>
                <w:color w:val="auto"/>
                <w:sz w:val="18"/>
              </w:rPr>
              <w:t>10≤X＜100</w:t>
            </w:r>
          </w:p>
        </w:tc>
        <w:tc>
          <w:tcPr>
            <w:tcW w:w="1367" w:type="dxa"/>
            <w:vAlign w:val="center"/>
          </w:tcPr>
          <w:p>
            <w:pPr>
              <w:pStyle w:val="32"/>
              <w:jc w:val="center"/>
              <w:rPr>
                <w:rFonts w:hint="eastAsia" w:ascii="新宋体" w:hAnsi="新宋体" w:eastAsia="新宋体" w:cs="新宋体"/>
                <w:color w:val="auto"/>
                <w:sz w:val="18"/>
              </w:rPr>
            </w:pPr>
            <w:r>
              <w:rPr>
                <w:rFonts w:hint="eastAsia" w:ascii="新宋体" w:hAnsi="新宋体" w:eastAsia="新宋体" w:cs="新宋体"/>
                <w:color w:val="auto"/>
                <w:sz w:val="18"/>
              </w:rPr>
              <w:t>X＜10</w:t>
            </w:r>
          </w:p>
        </w:tc>
      </w:tr>
    </w:tbl>
    <w:p>
      <w:pPr>
        <w:pStyle w:val="11"/>
        <w:spacing w:before="70" w:line="444" w:lineRule="auto"/>
        <w:ind w:right="114"/>
        <w:rPr>
          <w:color w:val="auto"/>
        </w:rPr>
      </w:pPr>
      <w:r>
        <w:rPr>
          <w:color w:val="auto"/>
          <w:spacing w:val="-11"/>
        </w:rPr>
        <w:t>说明：上述标准参照《关于印发中小企业划型标准规定的通知》</w:t>
      </w:r>
      <w:r>
        <w:rPr>
          <w:color w:val="auto"/>
        </w:rPr>
        <w:t>（工信部联企业[2011]300</w:t>
      </w:r>
      <w:r>
        <w:rPr>
          <w:color w:val="auto"/>
          <w:spacing w:val="-36"/>
        </w:rPr>
        <w:t xml:space="preserve"> 号</w:t>
      </w:r>
      <w:r>
        <w:rPr>
          <w:color w:val="auto"/>
          <w:spacing w:val="-28"/>
        </w:rPr>
        <w:t>）</w:t>
      </w:r>
      <w:r>
        <w:rPr>
          <w:color w:val="auto"/>
          <w:spacing w:val="-8"/>
        </w:rPr>
        <w:t>，大型、中型和小型企业须同时满足所列指标的下限，否则下划一档；微型企业只须满足所列指标中的一项即</w:t>
      </w:r>
      <w:r>
        <w:rPr>
          <w:color w:val="auto"/>
        </w:rPr>
        <w:t>可。</w:t>
      </w:r>
    </w:p>
    <w:p>
      <w:pPr>
        <w:outlineLvl w:val="9"/>
        <w:rPr>
          <w:rFonts w:hint="eastAsia" w:ascii="宋体" w:hAnsi="宋体" w:eastAsia="宋体" w:cs="宋体"/>
          <w:b/>
          <w:bCs/>
          <w:color w:val="auto"/>
          <w:sz w:val="28"/>
          <w:szCs w:val="28"/>
          <w:highlight w:val="none"/>
          <w:lang w:val="en-US" w:eastAsia="zh-CN"/>
        </w:rPr>
      </w:pPr>
    </w:p>
    <w:p>
      <w:pPr>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残疾人福利性单位声明函</w:t>
      </w:r>
    </w:p>
    <w:p>
      <w:pPr>
        <w:pStyle w:val="2"/>
        <w:outlineLvl w:val="9"/>
        <w:rPr>
          <w:rFonts w:hint="eastAsia" w:ascii="宋体" w:hAnsi="宋体" w:eastAsia="宋体" w:cs="宋体"/>
          <w:b/>
          <w:bCs/>
          <w:color w:val="auto"/>
          <w:sz w:val="28"/>
          <w:szCs w:val="28"/>
          <w:highlight w:val="none"/>
          <w:lang w:val="en-US" w:eastAsia="zh-CN"/>
        </w:rPr>
      </w:pPr>
    </w:p>
    <w:p>
      <w:pPr>
        <w:spacing w:line="52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52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spacing w:line="520" w:lineRule="exact"/>
        <w:ind w:firstLine="2100" w:firstLineChars="10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spacing w:line="52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pStyle w:val="2"/>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注：请根据自己的真实情况出具《残疾人福利性单位声明函》。依法享受中小企业优惠政策的，采购人或采购代理机构在公告中标结果时，同时公告其《残疾人福利性单位声明函》，接受社会监督。</w:t>
      </w:r>
    </w:p>
    <w:p>
      <w:pPr>
        <w:pStyle w:val="2"/>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
        <w:widowControl w:val="0"/>
        <w:numPr>
          <w:ilvl w:val="0"/>
          <w:numId w:val="0"/>
        </w:numPr>
        <w:autoSpaceDE w:val="0"/>
        <w:autoSpaceDN w:val="0"/>
        <w:adjustRightInd w:val="0"/>
        <w:outlineLvl w:val="9"/>
        <w:rPr>
          <w:rFonts w:hint="eastAsia"/>
          <w:color w:val="auto"/>
          <w:highlight w:val="none"/>
        </w:rPr>
      </w:pPr>
    </w:p>
    <w:p>
      <w:pPr>
        <w:pStyle w:val="2"/>
        <w:outlineLvl w:val="9"/>
        <w:rPr>
          <w:color w:val="auto"/>
          <w:highlight w:val="none"/>
        </w:rPr>
      </w:pPr>
    </w:p>
    <w:p>
      <w:pPr>
        <w:outlineLvl w:val="9"/>
        <w:rPr>
          <w:rFonts w:hint="eastAsia"/>
          <w:color w:val="auto"/>
          <w:highlight w:val="none"/>
          <w:lang w:val="en-US" w:eastAsia="zh-CN"/>
        </w:rPr>
      </w:pPr>
      <w:r>
        <w:rPr>
          <w:rFonts w:hint="eastAsia"/>
          <w:color w:val="auto"/>
          <w:highlight w:val="none"/>
          <w:lang w:val="en-US" w:eastAsia="zh-CN"/>
        </w:rPr>
        <w:tab/>
      </w:r>
      <w:r>
        <w:rPr>
          <w:rFonts w:hint="eastAsia"/>
          <w:color w:val="auto"/>
          <w:highlight w:val="none"/>
          <w:lang w:val="en-US" w:eastAsia="zh-CN"/>
        </w:rPr>
        <w:tab/>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4"/>
          <w:szCs w:val="24"/>
          <w:highlight w:val="none"/>
          <w:lang w:val="en-US" w:eastAsia="zh-CN"/>
        </w:rPr>
      </w:pPr>
    </w:p>
    <w:p>
      <w:pPr>
        <w:spacing w:line="360" w:lineRule="auto"/>
        <w:jc w:val="center"/>
        <w:outlineLvl w:val="0"/>
        <w:rPr>
          <w:rFonts w:hint="eastAsia" w:ascii="方正小标宋简体" w:hAnsi="方正小标宋简体" w:eastAsia="方正小标宋简体" w:cs="方正小标宋简体"/>
          <w:color w:val="auto"/>
          <w:sz w:val="44"/>
          <w:szCs w:val="44"/>
        </w:rPr>
      </w:pPr>
      <w:bookmarkStart w:id="666" w:name="_Toc957"/>
      <w:bookmarkStart w:id="667" w:name="_Toc12010"/>
      <w:r>
        <w:rPr>
          <w:rFonts w:hint="eastAsia" w:ascii="宋体" w:hAnsi="宋体" w:eastAsia="宋体" w:cs="宋体"/>
          <w:color w:val="auto"/>
          <w:sz w:val="44"/>
          <w:szCs w:val="44"/>
        </w:rPr>
        <w:t>质疑函（格式）</w:t>
      </w:r>
      <w:bookmarkEnd w:id="666"/>
      <w:bookmarkEnd w:id="667"/>
    </w:p>
    <w:p>
      <w:pPr>
        <w:pStyle w:val="13"/>
        <w:snapToGrid w:val="0"/>
        <w:spacing w:line="360" w:lineRule="auto"/>
        <w:ind w:firstLine="482" w:firstLineChars="200"/>
        <w:outlineLvl w:val="0"/>
        <w:rPr>
          <w:rFonts w:hAnsi="宋体"/>
          <w:b/>
          <w:bCs/>
          <w:color w:val="auto"/>
          <w:sz w:val="24"/>
          <w:szCs w:val="24"/>
        </w:rPr>
      </w:pPr>
      <w:bookmarkStart w:id="668" w:name="_Toc6728"/>
      <w:bookmarkStart w:id="669" w:name="_Toc11159"/>
      <w:r>
        <w:rPr>
          <w:rFonts w:hint="eastAsia" w:hAnsi="宋体"/>
          <w:b/>
          <w:bCs/>
          <w:color w:val="auto"/>
          <w:sz w:val="24"/>
          <w:szCs w:val="24"/>
        </w:rPr>
        <w:t>一、质疑供应商基本信息：</w:t>
      </w:r>
      <w:bookmarkEnd w:id="668"/>
      <w:bookmarkEnd w:id="669"/>
    </w:p>
    <w:p>
      <w:pPr>
        <w:pStyle w:val="13"/>
        <w:snapToGrid w:val="0"/>
        <w:spacing w:line="360" w:lineRule="auto"/>
        <w:ind w:firstLine="480" w:firstLineChars="200"/>
        <w:outlineLvl w:val="9"/>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snapToGrid w:val="0"/>
        <w:spacing w:line="360" w:lineRule="auto"/>
        <w:ind w:firstLine="480" w:firstLineChars="200"/>
        <w:outlineLvl w:val="9"/>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snapToGrid w:val="0"/>
        <w:spacing w:line="360" w:lineRule="auto"/>
        <w:ind w:firstLine="480" w:firstLineChars="200"/>
        <w:outlineLvl w:val="9"/>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pPr>
        <w:pStyle w:val="13"/>
        <w:snapToGrid w:val="0"/>
        <w:spacing w:line="360" w:lineRule="auto"/>
        <w:ind w:firstLine="480" w:firstLineChars="200"/>
        <w:outlineLvl w:val="9"/>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pPr>
        <w:pStyle w:val="13"/>
        <w:snapToGrid w:val="0"/>
        <w:spacing w:line="360" w:lineRule="auto"/>
        <w:ind w:firstLine="480" w:firstLineChars="200"/>
        <w:outlineLvl w:val="9"/>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13"/>
        <w:snapToGrid w:val="0"/>
        <w:spacing w:line="360" w:lineRule="auto"/>
        <w:ind w:firstLine="480" w:firstLineChars="200"/>
        <w:outlineLvl w:val="9"/>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snapToGrid w:val="0"/>
        <w:spacing w:line="360" w:lineRule="auto"/>
        <w:ind w:firstLine="482" w:firstLineChars="200"/>
        <w:outlineLvl w:val="0"/>
        <w:rPr>
          <w:rFonts w:hint="eastAsia" w:hAnsi="宋体"/>
          <w:b/>
          <w:bCs/>
          <w:color w:val="auto"/>
          <w:sz w:val="24"/>
          <w:szCs w:val="24"/>
        </w:rPr>
      </w:pPr>
      <w:bookmarkStart w:id="670" w:name="_Toc3637"/>
      <w:bookmarkStart w:id="671" w:name="_Toc7094"/>
      <w:r>
        <w:rPr>
          <w:rFonts w:hint="eastAsia" w:hAnsi="宋体"/>
          <w:b/>
          <w:bCs/>
          <w:color w:val="auto"/>
          <w:sz w:val="24"/>
          <w:szCs w:val="24"/>
        </w:rPr>
        <w:t>二、质疑项目基本情况：</w:t>
      </w:r>
      <w:bookmarkEnd w:id="670"/>
      <w:bookmarkEnd w:id="671"/>
    </w:p>
    <w:p>
      <w:pPr>
        <w:pStyle w:val="13"/>
        <w:spacing w:line="360" w:lineRule="auto"/>
        <w:ind w:left="25" w:leftChars="12" w:firstLine="472" w:firstLineChars="197"/>
        <w:outlineLvl w:val="9"/>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质疑事项：</w:t>
      </w:r>
    </w:p>
    <w:p>
      <w:pPr>
        <w:pStyle w:val="13"/>
        <w:spacing w:line="360" w:lineRule="auto"/>
        <w:ind w:left="25" w:leftChars="12" w:firstLine="352" w:firstLineChars="147"/>
        <w:outlineLvl w:val="9"/>
        <w:rPr>
          <w:rFonts w:hint="eastAsia" w:hAnsi="宋体"/>
          <w:color w:val="auto"/>
          <w:sz w:val="24"/>
          <w:szCs w:val="24"/>
        </w:rPr>
      </w:pPr>
      <w:r>
        <w:rPr>
          <w:rFonts w:hint="eastAsia" w:hAnsi="宋体"/>
          <w:color w:val="auto"/>
          <w:sz w:val="24"/>
          <w:szCs w:val="24"/>
        </w:rPr>
        <w:t>□招标文件   招标文件获取日期：</w:t>
      </w:r>
      <w:r>
        <w:rPr>
          <w:rFonts w:hint="eastAsia" w:hAnsi="宋体"/>
          <w:bCs/>
          <w:color w:val="auto"/>
          <w:sz w:val="24"/>
          <w:szCs w:val="24"/>
          <w:u w:val="single"/>
        </w:rPr>
        <w:t xml:space="preserve">                                   </w:t>
      </w:r>
    </w:p>
    <w:p>
      <w:pPr>
        <w:pStyle w:val="13"/>
        <w:spacing w:line="360" w:lineRule="auto"/>
        <w:ind w:left="25" w:leftChars="12" w:firstLine="352" w:firstLineChars="147"/>
        <w:outlineLvl w:val="9"/>
        <w:rPr>
          <w:rFonts w:hint="eastAsia" w:hAnsi="宋体"/>
          <w:color w:val="auto"/>
          <w:sz w:val="24"/>
          <w:szCs w:val="24"/>
        </w:rPr>
      </w:pPr>
      <w:r>
        <w:rPr>
          <w:rFonts w:hint="eastAsia" w:hAnsi="宋体"/>
          <w:color w:val="auto"/>
          <w:sz w:val="24"/>
          <w:szCs w:val="24"/>
        </w:rPr>
        <w:t xml:space="preserve">□采购过程   </w:t>
      </w:r>
    </w:p>
    <w:p>
      <w:pPr>
        <w:pStyle w:val="13"/>
        <w:spacing w:line="360" w:lineRule="auto"/>
        <w:ind w:left="25" w:leftChars="12" w:firstLine="352" w:firstLineChars="147"/>
        <w:outlineLvl w:val="9"/>
        <w:rPr>
          <w:rFonts w:hint="eastAsia" w:hAnsi="宋体"/>
          <w:bCs/>
          <w:color w:val="auto"/>
          <w:sz w:val="24"/>
          <w:szCs w:val="24"/>
          <w:u w:val="single"/>
        </w:rPr>
      </w:pPr>
      <w:r>
        <w:rPr>
          <w:rFonts w:hint="eastAsia" w:hAnsi="宋体"/>
          <w:color w:val="auto"/>
          <w:sz w:val="24"/>
          <w:szCs w:val="24"/>
        </w:rPr>
        <w:t xml:space="preserve">□中标结果   </w:t>
      </w:r>
    </w:p>
    <w:p>
      <w:pPr>
        <w:pStyle w:val="13"/>
        <w:spacing w:line="360" w:lineRule="auto"/>
        <w:ind w:left="25" w:leftChars="12" w:firstLine="472" w:firstLineChars="196"/>
        <w:outlineLvl w:val="0"/>
        <w:rPr>
          <w:rFonts w:hint="eastAsia" w:hAnsi="宋体"/>
          <w:b/>
          <w:color w:val="auto"/>
          <w:sz w:val="24"/>
          <w:szCs w:val="24"/>
        </w:rPr>
      </w:pPr>
      <w:bookmarkStart w:id="672" w:name="_Toc15347"/>
      <w:bookmarkStart w:id="673" w:name="_Toc8530"/>
      <w:r>
        <w:rPr>
          <w:rFonts w:hint="eastAsia" w:hAnsi="宋体"/>
          <w:b/>
          <w:color w:val="auto"/>
          <w:sz w:val="24"/>
          <w:szCs w:val="24"/>
        </w:rPr>
        <w:t>三、质疑事项具体内容</w:t>
      </w:r>
      <w:bookmarkEnd w:id="672"/>
      <w:bookmarkEnd w:id="673"/>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质疑事项2</w:t>
      </w:r>
    </w:p>
    <w:p>
      <w:pPr>
        <w:pStyle w:val="13"/>
        <w:spacing w:line="360" w:lineRule="auto"/>
        <w:ind w:left="25" w:leftChars="12" w:firstLine="472" w:firstLineChars="197"/>
        <w:outlineLvl w:val="9"/>
        <w:rPr>
          <w:rFonts w:hint="eastAsia" w:hAnsi="宋体"/>
          <w:color w:val="auto"/>
          <w:sz w:val="24"/>
          <w:szCs w:val="24"/>
        </w:rPr>
      </w:pPr>
      <w:r>
        <w:rPr>
          <w:rFonts w:hAnsi="宋体"/>
          <w:color w:val="auto"/>
          <w:sz w:val="24"/>
          <w:szCs w:val="24"/>
        </w:rPr>
        <w:t>……</w:t>
      </w:r>
    </w:p>
    <w:p>
      <w:pPr>
        <w:pStyle w:val="13"/>
        <w:spacing w:line="360" w:lineRule="auto"/>
        <w:ind w:left="25" w:leftChars="12" w:firstLine="472" w:firstLineChars="197"/>
        <w:outlineLvl w:val="0"/>
        <w:rPr>
          <w:rFonts w:hint="eastAsia" w:hAnsi="宋体"/>
          <w:color w:val="auto"/>
          <w:sz w:val="24"/>
          <w:szCs w:val="24"/>
        </w:rPr>
      </w:pPr>
      <w:bookmarkStart w:id="674" w:name="_Toc17818"/>
      <w:bookmarkStart w:id="675" w:name="_Toc13634"/>
      <w:r>
        <w:rPr>
          <w:rFonts w:hint="eastAsia" w:hAnsi="宋体"/>
          <w:color w:val="auto"/>
          <w:sz w:val="24"/>
          <w:szCs w:val="24"/>
        </w:rPr>
        <w:t>四、与质疑事项相关的质疑请求：</w:t>
      </w:r>
      <w:bookmarkEnd w:id="674"/>
      <w:bookmarkEnd w:id="675"/>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pPr>
        <w:pStyle w:val="13"/>
        <w:spacing w:line="360" w:lineRule="auto"/>
        <w:ind w:left="25" w:leftChars="12" w:firstLine="352" w:firstLineChars="147"/>
        <w:outlineLvl w:val="9"/>
        <w:rPr>
          <w:rFonts w:hint="eastAsia" w:hAnsi="宋体"/>
          <w:color w:val="auto"/>
          <w:sz w:val="24"/>
          <w:szCs w:val="24"/>
        </w:rPr>
      </w:pP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签字（签章）：                                       公章：</w:t>
      </w:r>
    </w:p>
    <w:p>
      <w:pPr>
        <w:pStyle w:val="13"/>
        <w:spacing w:line="360" w:lineRule="auto"/>
        <w:ind w:left="25" w:leftChars="12" w:firstLine="352" w:firstLineChars="147"/>
        <w:outlineLvl w:val="9"/>
        <w:rPr>
          <w:rFonts w:hint="eastAsia" w:hAnsi="宋体"/>
          <w:color w:val="auto"/>
          <w:sz w:val="24"/>
          <w:szCs w:val="24"/>
        </w:rPr>
      </w:pP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日期：</w:t>
      </w:r>
    </w:p>
    <w:p>
      <w:pPr>
        <w:pStyle w:val="13"/>
        <w:snapToGrid w:val="0"/>
        <w:spacing w:line="360" w:lineRule="auto"/>
        <w:outlineLvl w:val="9"/>
        <w:rPr>
          <w:rFonts w:hint="eastAsia" w:hAnsi="宋体"/>
          <w:b/>
          <w:color w:val="auto"/>
          <w:sz w:val="24"/>
          <w:szCs w:val="24"/>
        </w:rPr>
      </w:pPr>
    </w:p>
    <w:p>
      <w:pPr>
        <w:pStyle w:val="13"/>
        <w:snapToGrid w:val="0"/>
        <w:spacing w:line="360" w:lineRule="auto"/>
        <w:outlineLvl w:val="9"/>
        <w:rPr>
          <w:rFonts w:hint="eastAsia" w:hAnsi="宋体"/>
          <w:b/>
          <w:color w:val="auto"/>
          <w:sz w:val="24"/>
          <w:szCs w:val="24"/>
        </w:rPr>
      </w:pPr>
    </w:p>
    <w:p>
      <w:pPr>
        <w:pStyle w:val="13"/>
        <w:snapToGrid w:val="0"/>
        <w:spacing w:line="360" w:lineRule="auto"/>
        <w:outlineLvl w:val="9"/>
        <w:rPr>
          <w:rFonts w:hint="eastAsia" w:hAnsi="宋体"/>
          <w:b/>
          <w:color w:val="auto"/>
          <w:sz w:val="24"/>
          <w:szCs w:val="24"/>
        </w:rPr>
      </w:pPr>
    </w:p>
    <w:p>
      <w:pPr>
        <w:pStyle w:val="13"/>
        <w:snapToGrid w:val="0"/>
        <w:spacing w:line="360" w:lineRule="auto"/>
        <w:outlineLvl w:val="9"/>
        <w:rPr>
          <w:rFonts w:hint="eastAsia" w:hAnsi="宋体"/>
          <w:b/>
          <w:color w:val="auto"/>
          <w:sz w:val="24"/>
          <w:szCs w:val="24"/>
        </w:rPr>
      </w:pPr>
      <w:r>
        <w:rPr>
          <w:rFonts w:hint="eastAsia" w:hAnsi="宋体"/>
          <w:b/>
          <w:color w:val="auto"/>
          <w:sz w:val="24"/>
          <w:szCs w:val="24"/>
        </w:rPr>
        <w:t>说明：</w:t>
      </w:r>
    </w:p>
    <w:p>
      <w:pPr>
        <w:pStyle w:val="13"/>
        <w:spacing w:line="360" w:lineRule="auto"/>
        <w:ind w:left="25" w:leftChars="12" w:firstLine="354" w:firstLineChars="147"/>
        <w:outlineLvl w:val="9"/>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4.质疑函的质疑请求应与质疑事项相关。</w:t>
      </w:r>
    </w:p>
    <w:p>
      <w:pPr>
        <w:pStyle w:val="13"/>
        <w:spacing w:line="360" w:lineRule="auto"/>
        <w:ind w:left="25" w:leftChars="12" w:firstLine="354" w:firstLineChars="147"/>
        <w:outlineLvl w:val="9"/>
        <w:rPr>
          <w:rFonts w:hint="eastAsia"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spacing w:line="460" w:lineRule="exact"/>
        <w:outlineLvl w:val="9"/>
        <w:rPr>
          <w:rFonts w:hint="eastAsia" w:eastAsia="隶书"/>
          <w:color w:val="auto"/>
          <w:sz w:val="44"/>
        </w:rPr>
      </w:pPr>
    </w:p>
    <w:p>
      <w:pPr>
        <w:spacing w:line="360" w:lineRule="auto"/>
        <w:jc w:val="left"/>
        <w:outlineLvl w:val="9"/>
        <w:rPr>
          <w:rFonts w:hint="eastAsia" w:ascii="宋体" w:hAnsi="宋体"/>
          <w:b/>
          <w:color w:val="auto"/>
          <w:sz w:val="24"/>
        </w:rPr>
      </w:pPr>
      <w:r>
        <w:rPr>
          <w:rFonts w:ascii="宋体" w:hAnsi="宋体"/>
          <w:b/>
          <w:color w:val="auto"/>
          <w:sz w:val="24"/>
        </w:rPr>
        <w:br w:type="page"/>
      </w:r>
    </w:p>
    <w:p>
      <w:pPr>
        <w:spacing w:line="360" w:lineRule="auto"/>
        <w:jc w:val="center"/>
        <w:outlineLvl w:val="0"/>
        <w:rPr>
          <w:rFonts w:hint="eastAsia" w:ascii="方正小标宋简体" w:hAnsi="方正小标宋简体" w:eastAsia="方正小标宋简体" w:cs="方正小标宋简体"/>
          <w:color w:val="auto"/>
          <w:sz w:val="44"/>
          <w:szCs w:val="44"/>
        </w:rPr>
      </w:pPr>
      <w:bookmarkStart w:id="676" w:name="_Toc22299"/>
      <w:bookmarkStart w:id="677" w:name="_Toc8628"/>
      <w:r>
        <w:rPr>
          <w:rFonts w:hint="eastAsia" w:ascii="方正小标宋简体" w:hAnsi="方正小标宋简体" w:eastAsia="方正小标宋简体" w:cs="方正小标宋简体"/>
          <w:color w:val="auto"/>
          <w:sz w:val="44"/>
          <w:szCs w:val="44"/>
        </w:rPr>
        <w:t>投诉书（格式）</w:t>
      </w:r>
      <w:bookmarkEnd w:id="676"/>
      <w:bookmarkEnd w:id="677"/>
    </w:p>
    <w:p>
      <w:pPr>
        <w:pStyle w:val="13"/>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outlineLvl w:val="0"/>
        <w:rPr>
          <w:rFonts w:hAnsi="宋体"/>
          <w:b/>
          <w:bCs/>
          <w:color w:val="auto"/>
          <w:sz w:val="24"/>
          <w:szCs w:val="24"/>
        </w:rPr>
      </w:pPr>
      <w:bookmarkStart w:id="678" w:name="_Toc13507"/>
      <w:bookmarkStart w:id="679" w:name="_Toc19755"/>
      <w:r>
        <w:rPr>
          <w:rFonts w:hint="eastAsia" w:hAnsi="宋体"/>
          <w:b/>
          <w:bCs/>
          <w:color w:val="auto"/>
          <w:sz w:val="24"/>
          <w:szCs w:val="24"/>
        </w:rPr>
        <w:t>一、投诉相关主体基本情况：</w:t>
      </w:r>
      <w:bookmarkEnd w:id="678"/>
      <w:bookmarkEnd w:id="679"/>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int="eastAsia" w:hAnsi="宋体"/>
          <w:bCs/>
          <w:color w:val="auto"/>
          <w:sz w:val="24"/>
          <w:szCs w:val="24"/>
        </w:rPr>
        <w:t>投标人：</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int="eastAsia" w:hAnsi="宋体"/>
          <w:bCs/>
          <w:color w:val="auto"/>
          <w:sz w:val="24"/>
          <w:szCs w:val="24"/>
        </w:rPr>
        <w:t>被投诉人1：</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int="eastAsia" w:hAnsi="宋体"/>
          <w:bCs/>
          <w:color w:val="auto"/>
          <w:sz w:val="24"/>
          <w:szCs w:val="24"/>
        </w:rPr>
        <w:t>被投诉人2：</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Ansi="宋体"/>
          <w:bCs/>
          <w:color w:val="auto"/>
          <w:sz w:val="24"/>
          <w:szCs w:val="24"/>
        </w:rPr>
        <w:t>……</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outlineLvl w:val="0"/>
        <w:rPr>
          <w:rFonts w:hint="eastAsia" w:hAnsi="宋体"/>
          <w:b/>
          <w:bCs/>
          <w:color w:val="auto"/>
          <w:sz w:val="24"/>
          <w:szCs w:val="24"/>
        </w:rPr>
      </w:pPr>
      <w:bookmarkStart w:id="680" w:name="_Toc32161"/>
      <w:bookmarkStart w:id="681" w:name="_Toc19107"/>
      <w:r>
        <w:rPr>
          <w:rFonts w:hint="eastAsia" w:hAnsi="宋体"/>
          <w:b/>
          <w:bCs/>
          <w:color w:val="auto"/>
          <w:sz w:val="24"/>
          <w:szCs w:val="24"/>
        </w:rPr>
        <w:t>二、投诉项目基本情况：</w:t>
      </w:r>
      <w:bookmarkEnd w:id="680"/>
      <w:bookmarkEnd w:id="681"/>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6"/>
        <w:textAlignment w:val="auto"/>
        <w:outlineLvl w:val="0"/>
        <w:rPr>
          <w:rFonts w:hint="eastAsia" w:hAnsi="宋体"/>
          <w:b/>
          <w:color w:val="auto"/>
          <w:sz w:val="24"/>
          <w:szCs w:val="24"/>
        </w:rPr>
      </w:pPr>
      <w:bookmarkStart w:id="682" w:name="_Toc21777"/>
      <w:bookmarkStart w:id="683" w:name="_Toc15163"/>
      <w:r>
        <w:rPr>
          <w:rFonts w:hint="eastAsia" w:hAnsi="宋体"/>
          <w:b/>
          <w:color w:val="auto"/>
          <w:sz w:val="24"/>
          <w:szCs w:val="24"/>
        </w:rPr>
        <w:t>三、质疑基本情况</w:t>
      </w:r>
      <w:bookmarkEnd w:id="682"/>
      <w:bookmarkEnd w:id="683"/>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80" w:firstLineChars="200"/>
        <w:textAlignment w:val="auto"/>
        <w:outlineLvl w:val="9"/>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pPr>
        <w:pStyle w:val="13"/>
        <w:keepNext w:val="0"/>
        <w:keepLines w:val="0"/>
        <w:pageBreakBefore w:val="0"/>
        <w:widowControl w:val="0"/>
        <w:kinsoku/>
        <w:wordWrap/>
        <w:overflowPunct/>
        <w:topLinePunct w:val="0"/>
        <w:autoSpaceDE/>
        <w:autoSpaceDN/>
        <w:bidi w:val="0"/>
        <w:adjustRightInd/>
        <w:spacing w:line="336" w:lineRule="auto"/>
        <w:ind w:firstLine="241"/>
        <w:textAlignment w:val="auto"/>
        <w:outlineLvl w:val="9"/>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firstLine="241"/>
        <w:textAlignment w:val="auto"/>
        <w:outlineLvl w:val="9"/>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outlineLvl w:val="9"/>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pPr>
        <w:pStyle w:val="13"/>
        <w:spacing w:line="360" w:lineRule="auto"/>
        <w:ind w:left="25" w:leftChars="12" w:firstLine="472" w:firstLineChars="196"/>
        <w:outlineLvl w:val="0"/>
        <w:rPr>
          <w:rFonts w:hint="eastAsia" w:hAnsi="宋体"/>
          <w:b/>
          <w:color w:val="auto"/>
          <w:sz w:val="24"/>
          <w:szCs w:val="24"/>
        </w:rPr>
      </w:pPr>
      <w:bookmarkStart w:id="684" w:name="_Toc16573"/>
      <w:bookmarkStart w:id="685" w:name="_Toc26099"/>
      <w:r>
        <w:rPr>
          <w:rFonts w:hint="eastAsia" w:hAnsi="宋体"/>
          <w:b/>
          <w:color w:val="auto"/>
          <w:sz w:val="24"/>
          <w:szCs w:val="24"/>
        </w:rPr>
        <w:t>四、投诉事项具体内容</w:t>
      </w:r>
      <w:bookmarkEnd w:id="684"/>
      <w:bookmarkEnd w:id="685"/>
    </w:p>
    <w:p>
      <w:pPr>
        <w:pStyle w:val="13"/>
        <w:spacing w:line="360" w:lineRule="auto"/>
        <w:ind w:left="25" w:leftChars="12" w:firstLine="472" w:firstLineChars="197"/>
        <w:outlineLvl w:val="9"/>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pPr>
        <w:pStyle w:val="13"/>
        <w:spacing w:line="360" w:lineRule="auto"/>
        <w:ind w:firstLine="480" w:firstLineChars="200"/>
        <w:outlineLvl w:val="9"/>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color w:val="auto"/>
          <w:sz w:val="24"/>
          <w:szCs w:val="24"/>
        </w:rPr>
      </w:pPr>
      <w:r>
        <w:rPr>
          <w:rFonts w:hint="eastAsia" w:hAnsi="宋体"/>
          <w:bCs/>
          <w:color w:val="auto"/>
          <w:sz w:val="24"/>
          <w:szCs w:val="24"/>
          <w:u w:val="single"/>
        </w:rPr>
        <w:t xml:space="preserve">                                                                                        </w:t>
      </w:r>
    </w:p>
    <w:p>
      <w:pPr>
        <w:pStyle w:val="13"/>
        <w:spacing w:line="360" w:lineRule="auto"/>
        <w:ind w:firstLine="480" w:firstLineChars="200"/>
        <w:outlineLvl w:val="9"/>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pPr>
        <w:pStyle w:val="13"/>
        <w:spacing w:line="360" w:lineRule="auto"/>
        <w:ind w:left="25" w:leftChars="12" w:firstLine="352" w:firstLineChars="147"/>
        <w:outlineLvl w:val="9"/>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pPr>
        <w:pStyle w:val="13"/>
        <w:spacing w:line="360" w:lineRule="auto"/>
        <w:ind w:left="25" w:leftChars="12" w:firstLine="472" w:firstLineChars="197"/>
        <w:outlineLvl w:val="9"/>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pPr>
        <w:pStyle w:val="13"/>
        <w:spacing w:line="360" w:lineRule="auto"/>
        <w:ind w:left="25" w:leftChars="12" w:firstLine="472" w:firstLineChars="197"/>
        <w:outlineLvl w:val="9"/>
        <w:rPr>
          <w:rFonts w:hint="eastAsia" w:hAnsi="宋体"/>
          <w:bCs/>
          <w:color w:val="auto"/>
          <w:sz w:val="24"/>
          <w:szCs w:val="24"/>
        </w:rPr>
      </w:pPr>
      <w:r>
        <w:rPr>
          <w:rFonts w:hAnsi="宋体"/>
          <w:bCs/>
          <w:color w:val="auto"/>
          <w:sz w:val="24"/>
          <w:szCs w:val="24"/>
        </w:rPr>
        <w:t>……</w:t>
      </w:r>
    </w:p>
    <w:p>
      <w:pPr>
        <w:pStyle w:val="13"/>
        <w:spacing w:line="360" w:lineRule="auto"/>
        <w:ind w:left="25" w:leftChars="12" w:firstLine="472" w:firstLineChars="196"/>
        <w:outlineLvl w:val="0"/>
        <w:rPr>
          <w:rFonts w:hint="eastAsia" w:hAnsi="宋体"/>
          <w:b/>
          <w:color w:val="auto"/>
          <w:sz w:val="24"/>
          <w:szCs w:val="24"/>
        </w:rPr>
      </w:pPr>
      <w:bookmarkStart w:id="686" w:name="_Toc14519"/>
      <w:bookmarkStart w:id="687" w:name="_Toc8308"/>
      <w:r>
        <w:rPr>
          <w:rFonts w:hint="eastAsia" w:hAnsi="宋体"/>
          <w:b/>
          <w:color w:val="auto"/>
          <w:sz w:val="24"/>
          <w:szCs w:val="24"/>
        </w:rPr>
        <w:t>五、与投诉事项相关的投诉请求：</w:t>
      </w:r>
      <w:bookmarkEnd w:id="686"/>
      <w:bookmarkEnd w:id="687"/>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pPr>
        <w:pStyle w:val="13"/>
        <w:spacing w:line="360" w:lineRule="auto"/>
        <w:ind w:left="25" w:leftChars="12" w:firstLine="352" w:firstLineChars="147"/>
        <w:outlineLvl w:val="9"/>
        <w:rPr>
          <w:rFonts w:hint="eastAsia" w:hAnsi="宋体"/>
          <w:color w:val="auto"/>
          <w:sz w:val="24"/>
          <w:szCs w:val="24"/>
        </w:rPr>
      </w:pP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签字（签章）：                                       公章：</w:t>
      </w:r>
    </w:p>
    <w:p>
      <w:pPr>
        <w:pStyle w:val="13"/>
        <w:spacing w:line="360" w:lineRule="auto"/>
        <w:ind w:left="25" w:leftChars="12" w:firstLine="352" w:firstLineChars="147"/>
        <w:outlineLvl w:val="9"/>
        <w:rPr>
          <w:rFonts w:hint="eastAsia" w:hAnsi="宋体"/>
          <w:color w:val="auto"/>
          <w:sz w:val="24"/>
          <w:szCs w:val="24"/>
        </w:rPr>
      </w:pPr>
    </w:p>
    <w:p>
      <w:pPr>
        <w:pStyle w:val="13"/>
        <w:spacing w:line="360" w:lineRule="auto"/>
        <w:ind w:left="25" w:leftChars="12" w:firstLine="472" w:firstLineChars="197"/>
        <w:outlineLvl w:val="9"/>
        <w:rPr>
          <w:rFonts w:hint="eastAsia" w:hAnsi="宋体"/>
          <w:color w:val="auto"/>
          <w:sz w:val="24"/>
          <w:szCs w:val="24"/>
        </w:rPr>
      </w:pPr>
      <w:r>
        <w:rPr>
          <w:rFonts w:hint="eastAsia" w:hAnsi="宋体"/>
          <w:color w:val="auto"/>
          <w:sz w:val="24"/>
          <w:szCs w:val="24"/>
        </w:rPr>
        <w:t>日期：</w:t>
      </w:r>
    </w:p>
    <w:p>
      <w:pPr>
        <w:pStyle w:val="13"/>
        <w:spacing w:line="360" w:lineRule="auto"/>
        <w:ind w:left="25" w:leftChars="12" w:firstLine="472" w:firstLineChars="197"/>
        <w:outlineLvl w:val="9"/>
        <w:rPr>
          <w:rFonts w:hint="eastAsia" w:hAnsi="宋体"/>
          <w:b/>
          <w:color w:val="auto"/>
          <w:sz w:val="24"/>
          <w:szCs w:val="24"/>
        </w:rPr>
      </w:pPr>
      <w:r>
        <w:rPr>
          <w:rFonts w:hint="eastAsia" w:hAnsi="宋体"/>
          <w:bCs/>
          <w:color w:val="auto"/>
          <w:sz w:val="24"/>
          <w:szCs w:val="24"/>
        </w:rPr>
        <w:t xml:space="preserve">                                                                                </w:t>
      </w:r>
      <w:r>
        <w:rPr>
          <w:rFonts w:hint="eastAsia" w:hAnsi="宋体"/>
          <w:b/>
          <w:color w:val="auto"/>
          <w:sz w:val="24"/>
          <w:szCs w:val="24"/>
        </w:rPr>
        <w:t>说明：</w:t>
      </w:r>
    </w:p>
    <w:p>
      <w:pPr>
        <w:pStyle w:val="13"/>
        <w:spacing w:line="360" w:lineRule="auto"/>
        <w:ind w:left="25" w:leftChars="12" w:firstLine="354" w:firstLineChars="147"/>
        <w:outlineLvl w:val="9"/>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pPr>
        <w:pStyle w:val="13"/>
        <w:spacing w:line="360" w:lineRule="auto"/>
        <w:ind w:left="25" w:leftChars="12" w:firstLine="354" w:firstLineChars="147"/>
        <w:outlineLvl w:val="9"/>
        <w:rPr>
          <w:rFonts w:hint="eastAsia" w:hAnsi="宋体"/>
          <w:b/>
          <w:color w:val="auto"/>
          <w:sz w:val="24"/>
          <w:szCs w:val="24"/>
        </w:rPr>
      </w:pPr>
      <w:r>
        <w:rPr>
          <w:rFonts w:hint="eastAsia" w:hAnsi="宋体"/>
          <w:b/>
          <w:color w:val="auto"/>
          <w:sz w:val="24"/>
          <w:szCs w:val="24"/>
        </w:rPr>
        <w:t>5.投诉书的投诉请求应与投诉事项相关。</w:t>
      </w:r>
    </w:p>
    <w:p>
      <w:pPr>
        <w:pStyle w:val="13"/>
        <w:spacing w:line="360" w:lineRule="auto"/>
        <w:ind w:left="25" w:leftChars="12" w:firstLine="354" w:firstLineChars="147"/>
        <w:outlineLvl w:val="9"/>
        <w:rPr>
          <w:rFonts w:hint="eastAsia"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pPr>
        <w:pStyle w:val="17"/>
        <w:outlineLvl w:val="9"/>
        <w:rPr>
          <w:rFonts w:hint="eastAsia" w:ascii="宋体" w:hAnsi="宋体" w:eastAsia="宋体" w:cs="宋体"/>
          <w:color w:val="auto"/>
          <w:sz w:val="24"/>
          <w:szCs w:val="24"/>
          <w:highlight w:val="none"/>
          <w:lang w:val="en-US" w:eastAsia="zh-CN"/>
        </w:rPr>
      </w:pPr>
    </w:p>
    <w:p>
      <w:pPr>
        <w:pStyle w:val="17"/>
        <w:outlineLvl w:val="9"/>
        <w:rPr>
          <w:rFonts w:hint="eastAsia" w:ascii="宋体" w:hAnsi="宋体" w:eastAsia="宋体" w:cs="宋体"/>
          <w:color w:val="auto"/>
          <w:sz w:val="21"/>
          <w:szCs w:val="21"/>
          <w:highlight w:val="none"/>
          <w:lang w:val="en-US" w:eastAsia="zh-CN"/>
        </w:rPr>
      </w:pPr>
    </w:p>
    <w:sectPr>
      <w:footerReference r:id="rId5" w:type="default"/>
      <w:pgSz w:w="11906" w:h="16838"/>
      <w:pgMar w:top="1134" w:right="850"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7"/>
      </w:rPr>
    </w:pPr>
    <w:r>
      <mc:AlternateContent>
        <mc:Choice Requires="wps">
          <w:drawing>
            <wp:anchor distT="0" distB="0" distL="114300" distR="114300" simplePos="0" relativeHeight="251659264" behindDoc="1" locked="0" layoutInCell="1" allowOverlap="1">
              <wp:simplePos x="0" y="0"/>
              <wp:positionH relativeFrom="page">
                <wp:posOffset>3729355</wp:posOffset>
              </wp:positionH>
              <wp:positionV relativeFrom="page">
                <wp:posOffset>10076180</wp:posOffset>
              </wp:positionV>
              <wp:extent cx="224790" cy="1733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24790" cy="173355"/>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65pt;margin-top:793.4pt;height:13.65pt;width:17.7pt;mso-position-horizontal-relative:page;mso-position-vertical-relative:page;z-index:-251657216;mso-width-relative:page;mso-height-relative:page;" filled="f" stroked="f" coordsize="21600,21600" o:gfxdata="UEsDBAoAAAAAAIdO4kAAAAAAAAAAAAAAAAAEAAAAZHJzL1BLAwQUAAAACACHTuJAx8M5CN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wzkI2wAAAA0BAAAPAAAAAAAAAAEAIAAAACIAAABkcnMvZG93bnJldi54bWxQ&#10;SwECFAAUAAAACACHTuJAt/LUiLsBAABz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firstLineChars="200"/>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5FAEB"/>
    <w:multiLevelType w:val="singleLevel"/>
    <w:tmpl w:val="9805FAEB"/>
    <w:lvl w:ilvl="0" w:tentative="0">
      <w:start w:val="1"/>
      <w:numFmt w:val="decimal"/>
      <w:suff w:val="nothing"/>
      <w:lvlText w:val="（%1）"/>
      <w:lvlJc w:val="left"/>
    </w:lvl>
  </w:abstractNum>
  <w:abstractNum w:abstractNumId="1">
    <w:nsid w:val="A0C93552"/>
    <w:multiLevelType w:val="multilevel"/>
    <w:tmpl w:val="A0C93552"/>
    <w:lvl w:ilvl="0" w:tentative="0">
      <w:start w:val="1"/>
      <w:numFmt w:val="decimal"/>
      <w:lvlText w:val="（%1）"/>
      <w:lvlJc w:val="left"/>
      <w:pPr>
        <w:ind w:left="107"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782" w:hanging="554"/>
      </w:pPr>
      <w:rPr>
        <w:rFonts w:hint="default"/>
        <w:lang w:val="zh-CN" w:eastAsia="zh-CN" w:bidi="zh-CN"/>
      </w:rPr>
    </w:lvl>
    <w:lvl w:ilvl="2" w:tentative="0">
      <w:start w:val="0"/>
      <w:numFmt w:val="bullet"/>
      <w:lvlText w:val="•"/>
      <w:lvlJc w:val="left"/>
      <w:pPr>
        <w:ind w:left="1464" w:hanging="554"/>
      </w:pPr>
      <w:rPr>
        <w:rFonts w:hint="default"/>
        <w:lang w:val="zh-CN" w:eastAsia="zh-CN" w:bidi="zh-CN"/>
      </w:rPr>
    </w:lvl>
    <w:lvl w:ilvl="3" w:tentative="0">
      <w:start w:val="0"/>
      <w:numFmt w:val="bullet"/>
      <w:lvlText w:val="•"/>
      <w:lvlJc w:val="left"/>
      <w:pPr>
        <w:ind w:left="2146" w:hanging="554"/>
      </w:pPr>
      <w:rPr>
        <w:rFonts w:hint="default"/>
        <w:lang w:val="zh-CN" w:eastAsia="zh-CN" w:bidi="zh-CN"/>
      </w:rPr>
    </w:lvl>
    <w:lvl w:ilvl="4" w:tentative="0">
      <w:start w:val="0"/>
      <w:numFmt w:val="bullet"/>
      <w:lvlText w:val="•"/>
      <w:lvlJc w:val="left"/>
      <w:pPr>
        <w:ind w:left="2828" w:hanging="554"/>
      </w:pPr>
      <w:rPr>
        <w:rFonts w:hint="default"/>
        <w:lang w:val="zh-CN" w:eastAsia="zh-CN" w:bidi="zh-CN"/>
      </w:rPr>
    </w:lvl>
    <w:lvl w:ilvl="5" w:tentative="0">
      <w:start w:val="0"/>
      <w:numFmt w:val="bullet"/>
      <w:lvlText w:val="•"/>
      <w:lvlJc w:val="left"/>
      <w:pPr>
        <w:ind w:left="3510" w:hanging="554"/>
      </w:pPr>
      <w:rPr>
        <w:rFonts w:hint="default"/>
        <w:lang w:val="zh-CN" w:eastAsia="zh-CN" w:bidi="zh-CN"/>
      </w:rPr>
    </w:lvl>
    <w:lvl w:ilvl="6" w:tentative="0">
      <w:start w:val="0"/>
      <w:numFmt w:val="bullet"/>
      <w:lvlText w:val="•"/>
      <w:lvlJc w:val="left"/>
      <w:pPr>
        <w:ind w:left="4192" w:hanging="554"/>
      </w:pPr>
      <w:rPr>
        <w:rFonts w:hint="default"/>
        <w:lang w:val="zh-CN" w:eastAsia="zh-CN" w:bidi="zh-CN"/>
      </w:rPr>
    </w:lvl>
    <w:lvl w:ilvl="7" w:tentative="0">
      <w:start w:val="0"/>
      <w:numFmt w:val="bullet"/>
      <w:lvlText w:val="•"/>
      <w:lvlJc w:val="left"/>
      <w:pPr>
        <w:ind w:left="4874" w:hanging="554"/>
      </w:pPr>
      <w:rPr>
        <w:rFonts w:hint="default"/>
        <w:lang w:val="zh-CN" w:eastAsia="zh-CN" w:bidi="zh-CN"/>
      </w:rPr>
    </w:lvl>
    <w:lvl w:ilvl="8" w:tentative="0">
      <w:start w:val="0"/>
      <w:numFmt w:val="bullet"/>
      <w:lvlText w:val="•"/>
      <w:lvlJc w:val="left"/>
      <w:pPr>
        <w:ind w:left="5556" w:hanging="554"/>
      </w:pPr>
      <w:rPr>
        <w:rFonts w:hint="default"/>
        <w:lang w:val="zh-CN" w:eastAsia="zh-CN" w:bidi="zh-CN"/>
      </w:rPr>
    </w:lvl>
  </w:abstractNum>
  <w:abstractNum w:abstractNumId="2">
    <w:nsid w:val="C4E0D24A"/>
    <w:multiLevelType w:val="multilevel"/>
    <w:tmpl w:val="C4E0D24A"/>
    <w:lvl w:ilvl="0" w:tentative="0">
      <w:start w:val="1"/>
      <w:numFmt w:val="decimal"/>
      <w:lvlText w:val="（%1）"/>
      <w:lvlJc w:val="left"/>
      <w:pPr>
        <w:ind w:left="660"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3">
    <w:nsid w:val="CE8FD8AC"/>
    <w:multiLevelType w:val="singleLevel"/>
    <w:tmpl w:val="CE8FD8AC"/>
    <w:lvl w:ilvl="0" w:tentative="0">
      <w:start w:val="2"/>
      <w:numFmt w:val="decimal"/>
      <w:suff w:val="nothing"/>
      <w:lvlText w:val="（%1）"/>
      <w:lvlJc w:val="left"/>
    </w:lvl>
  </w:abstractNum>
  <w:abstractNum w:abstractNumId="4">
    <w:nsid w:val="DBCF878B"/>
    <w:multiLevelType w:val="singleLevel"/>
    <w:tmpl w:val="DBCF878B"/>
    <w:lvl w:ilvl="0" w:tentative="0">
      <w:start w:val="4"/>
      <w:numFmt w:val="chineseCounting"/>
      <w:lvlText w:val="第%1章"/>
      <w:lvlJc w:val="left"/>
      <w:rPr>
        <w:rFonts w:hint="eastAsia"/>
      </w:rPr>
    </w:lvl>
  </w:abstractNum>
  <w:abstractNum w:abstractNumId="5">
    <w:nsid w:val="DF59C0AD"/>
    <w:multiLevelType w:val="singleLevel"/>
    <w:tmpl w:val="DF59C0AD"/>
    <w:lvl w:ilvl="0" w:tentative="0">
      <w:start w:val="1"/>
      <w:numFmt w:val="decimal"/>
      <w:suff w:val="nothing"/>
      <w:lvlText w:val="（%1）"/>
      <w:lvlJc w:val="left"/>
    </w:lvl>
  </w:abstractNum>
  <w:abstractNum w:abstractNumId="6">
    <w:nsid w:val="E692E8C4"/>
    <w:multiLevelType w:val="singleLevel"/>
    <w:tmpl w:val="E692E8C4"/>
    <w:lvl w:ilvl="0" w:tentative="0">
      <w:start w:val="1"/>
      <w:numFmt w:val="decimal"/>
      <w:suff w:val="nothing"/>
      <w:lvlText w:val="%1、"/>
      <w:lvlJc w:val="left"/>
    </w:lvl>
  </w:abstractNum>
  <w:abstractNum w:abstractNumId="7">
    <w:nsid w:val="F34EA67B"/>
    <w:multiLevelType w:val="singleLevel"/>
    <w:tmpl w:val="F34EA67B"/>
    <w:lvl w:ilvl="0" w:tentative="0">
      <w:start w:val="1"/>
      <w:numFmt w:val="decimal"/>
      <w:suff w:val="nothing"/>
      <w:lvlText w:val="（%1）"/>
      <w:lvlJc w:val="left"/>
    </w:lvl>
  </w:abstractNum>
  <w:abstractNum w:abstractNumId="8">
    <w:nsid w:val="01179D48"/>
    <w:multiLevelType w:val="singleLevel"/>
    <w:tmpl w:val="01179D48"/>
    <w:lvl w:ilvl="0" w:tentative="0">
      <w:start w:val="1"/>
      <w:numFmt w:val="decimal"/>
      <w:suff w:val="nothing"/>
      <w:lvlText w:val="（%1）"/>
      <w:lvlJc w:val="left"/>
      <w:pPr>
        <w:ind w:left="420"/>
      </w:pPr>
    </w:lvl>
  </w:abstractNum>
  <w:abstractNum w:abstractNumId="9">
    <w:nsid w:val="0F03683C"/>
    <w:multiLevelType w:val="singleLevel"/>
    <w:tmpl w:val="0F03683C"/>
    <w:lvl w:ilvl="0" w:tentative="0">
      <w:start w:val="3"/>
      <w:numFmt w:val="chineseCounting"/>
      <w:suff w:val="space"/>
      <w:lvlText w:val="第%1章"/>
      <w:lvlJc w:val="left"/>
      <w:rPr>
        <w:rFonts w:hint="eastAsia"/>
      </w:rPr>
    </w:lvl>
  </w:abstractNum>
  <w:abstractNum w:abstractNumId="10">
    <w:nsid w:val="277764B8"/>
    <w:multiLevelType w:val="singleLevel"/>
    <w:tmpl w:val="277764B8"/>
    <w:lvl w:ilvl="0" w:tentative="0">
      <w:start w:val="1"/>
      <w:numFmt w:val="decimal"/>
      <w:suff w:val="space"/>
      <w:lvlText w:val="（%1）"/>
      <w:lvlJc w:val="left"/>
    </w:lvl>
  </w:abstractNum>
  <w:abstractNum w:abstractNumId="1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3AF05C44"/>
    <w:multiLevelType w:val="singleLevel"/>
    <w:tmpl w:val="3AF05C44"/>
    <w:lvl w:ilvl="0" w:tentative="0">
      <w:start w:val="1"/>
      <w:numFmt w:val="decimal"/>
      <w:suff w:val="nothing"/>
      <w:lvlText w:val="（%1）"/>
      <w:lvlJc w:val="left"/>
      <w:pPr>
        <w:ind w:left="420"/>
      </w:pPr>
    </w:lvl>
  </w:abstractNum>
  <w:num w:numId="1">
    <w:abstractNumId w:val="11"/>
  </w:num>
  <w:num w:numId="2">
    <w:abstractNumId w:val="8"/>
  </w:num>
  <w:num w:numId="3">
    <w:abstractNumId w:val="12"/>
  </w:num>
  <w:num w:numId="4">
    <w:abstractNumId w:val="0"/>
  </w:num>
  <w:num w:numId="5">
    <w:abstractNumId w:val="7"/>
  </w:num>
  <w:num w:numId="6">
    <w:abstractNumId w:val="10"/>
  </w:num>
  <w:num w:numId="7">
    <w:abstractNumId w:val="9"/>
  </w:num>
  <w:num w:numId="8">
    <w:abstractNumId w:val="5"/>
  </w:num>
  <w:num w:numId="9">
    <w:abstractNumId w:val="3"/>
  </w:num>
  <w:num w:numId="10">
    <w:abstractNumId w:val="4"/>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AGLaDMhU1uPOF+w+5QUo681ApV4=" w:salt="UKpnBbFUeBu4/Rsvp0eC+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OTI1ODY4NWRjMzhmMGVhZjE4MGFiYTgxYTI1NGIifQ=="/>
  </w:docVars>
  <w:rsids>
    <w:rsidRoot w:val="65373265"/>
    <w:rsid w:val="00062A29"/>
    <w:rsid w:val="003A354C"/>
    <w:rsid w:val="00B635D6"/>
    <w:rsid w:val="00C85F20"/>
    <w:rsid w:val="012D25A3"/>
    <w:rsid w:val="013000C0"/>
    <w:rsid w:val="01325E22"/>
    <w:rsid w:val="016610E0"/>
    <w:rsid w:val="0170036D"/>
    <w:rsid w:val="01F537BF"/>
    <w:rsid w:val="02086FB5"/>
    <w:rsid w:val="023D0AE2"/>
    <w:rsid w:val="026373FD"/>
    <w:rsid w:val="029719DD"/>
    <w:rsid w:val="02AF7F85"/>
    <w:rsid w:val="02BA3AFD"/>
    <w:rsid w:val="02CE0FD1"/>
    <w:rsid w:val="02D818FF"/>
    <w:rsid w:val="02E32825"/>
    <w:rsid w:val="02E81B31"/>
    <w:rsid w:val="02E903CF"/>
    <w:rsid w:val="02F841E8"/>
    <w:rsid w:val="03487014"/>
    <w:rsid w:val="036A1510"/>
    <w:rsid w:val="038933A9"/>
    <w:rsid w:val="03FA548B"/>
    <w:rsid w:val="0424555B"/>
    <w:rsid w:val="04394F62"/>
    <w:rsid w:val="04513891"/>
    <w:rsid w:val="04624B06"/>
    <w:rsid w:val="047C599F"/>
    <w:rsid w:val="04944B46"/>
    <w:rsid w:val="04C335CE"/>
    <w:rsid w:val="04E946A2"/>
    <w:rsid w:val="04F548E2"/>
    <w:rsid w:val="04FF1CB4"/>
    <w:rsid w:val="05224F54"/>
    <w:rsid w:val="056A06B9"/>
    <w:rsid w:val="057B698E"/>
    <w:rsid w:val="05CA0360"/>
    <w:rsid w:val="05D21AD3"/>
    <w:rsid w:val="05D92456"/>
    <w:rsid w:val="05EF4C17"/>
    <w:rsid w:val="06011F04"/>
    <w:rsid w:val="064C13A1"/>
    <w:rsid w:val="066C6727"/>
    <w:rsid w:val="06700E88"/>
    <w:rsid w:val="067601CC"/>
    <w:rsid w:val="068C79F0"/>
    <w:rsid w:val="07922D72"/>
    <w:rsid w:val="079364BB"/>
    <w:rsid w:val="079B75C7"/>
    <w:rsid w:val="07AE4C64"/>
    <w:rsid w:val="07D226A6"/>
    <w:rsid w:val="07DC2493"/>
    <w:rsid w:val="07E95AC2"/>
    <w:rsid w:val="080B3EC8"/>
    <w:rsid w:val="082B61E8"/>
    <w:rsid w:val="08420A09"/>
    <w:rsid w:val="085845C1"/>
    <w:rsid w:val="08930288"/>
    <w:rsid w:val="08DF2DD9"/>
    <w:rsid w:val="0902158C"/>
    <w:rsid w:val="092E628A"/>
    <w:rsid w:val="094A2D13"/>
    <w:rsid w:val="09765D9E"/>
    <w:rsid w:val="09B82114"/>
    <w:rsid w:val="09BA5836"/>
    <w:rsid w:val="09D33507"/>
    <w:rsid w:val="0A0250B2"/>
    <w:rsid w:val="0A136224"/>
    <w:rsid w:val="0A220239"/>
    <w:rsid w:val="0A463E76"/>
    <w:rsid w:val="0A8A15FF"/>
    <w:rsid w:val="0AA43F7D"/>
    <w:rsid w:val="0B994EA4"/>
    <w:rsid w:val="0BDD6D3A"/>
    <w:rsid w:val="0C1C48A3"/>
    <w:rsid w:val="0C4B0529"/>
    <w:rsid w:val="0CDF52E8"/>
    <w:rsid w:val="0D981119"/>
    <w:rsid w:val="0DB94D00"/>
    <w:rsid w:val="0DD4723D"/>
    <w:rsid w:val="0DE4306B"/>
    <w:rsid w:val="0DF30D4B"/>
    <w:rsid w:val="0E1053AA"/>
    <w:rsid w:val="0E136C6E"/>
    <w:rsid w:val="0E964A57"/>
    <w:rsid w:val="0EC74268"/>
    <w:rsid w:val="0EEF6D6E"/>
    <w:rsid w:val="0F1A4BD3"/>
    <w:rsid w:val="0F1B7B63"/>
    <w:rsid w:val="0F2B7068"/>
    <w:rsid w:val="0F4D723B"/>
    <w:rsid w:val="0F631FEF"/>
    <w:rsid w:val="0FED3C1C"/>
    <w:rsid w:val="0FF2045B"/>
    <w:rsid w:val="10060813"/>
    <w:rsid w:val="102E6056"/>
    <w:rsid w:val="105B5F58"/>
    <w:rsid w:val="10AA446F"/>
    <w:rsid w:val="10AF1D60"/>
    <w:rsid w:val="10BA71CC"/>
    <w:rsid w:val="10C62B44"/>
    <w:rsid w:val="11780641"/>
    <w:rsid w:val="1186118F"/>
    <w:rsid w:val="119A56B6"/>
    <w:rsid w:val="11BF0FDA"/>
    <w:rsid w:val="11C7782E"/>
    <w:rsid w:val="11D15227"/>
    <w:rsid w:val="11E166BC"/>
    <w:rsid w:val="11EE155E"/>
    <w:rsid w:val="123A11BB"/>
    <w:rsid w:val="12585B57"/>
    <w:rsid w:val="12E3641F"/>
    <w:rsid w:val="132310B1"/>
    <w:rsid w:val="132536A6"/>
    <w:rsid w:val="132D60B6"/>
    <w:rsid w:val="134705C6"/>
    <w:rsid w:val="1356385F"/>
    <w:rsid w:val="13720C73"/>
    <w:rsid w:val="13872542"/>
    <w:rsid w:val="13976F69"/>
    <w:rsid w:val="1439771F"/>
    <w:rsid w:val="14547C02"/>
    <w:rsid w:val="147409B1"/>
    <w:rsid w:val="14985E63"/>
    <w:rsid w:val="14B2068C"/>
    <w:rsid w:val="14C863B7"/>
    <w:rsid w:val="14CF1739"/>
    <w:rsid w:val="14E76EE9"/>
    <w:rsid w:val="14F43330"/>
    <w:rsid w:val="15200C70"/>
    <w:rsid w:val="15337F68"/>
    <w:rsid w:val="159D49D2"/>
    <w:rsid w:val="15E92BC7"/>
    <w:rsid w:val="15FC454B"/>
    <w:rsid w:val="15FE47D0"/>
    <w:rsid w:val="160475A2"/>
    <w:rsid w:val="1749564C"/>
    <w:rsid w:val="1845671A"/>
    <w:rsid w:val="184E6DC6"/>
    <w:rsid w:val="18622CA6"/>
    <w:rsid w:val="186B7074"/>
    <w:rsid w:val="187257ED"/>
    <w:rsid w:val="187A72A6"/>
    <w:rsid w:val="1883416B"/>
    <w:rsid w:val="18B96776"/>
    <w:rsid w:val="18F130B8"/>
    <w:rsid w:val="190B0C48"/>
    <w:rsid w:val="191D090F"/>
    <w:rsid w:val="19287A4C"/>
    <w:rsid w:val="19385463"/>
    <w:rsid w:val="193F5C23"/>
    <w:rsid w:val="198729C4"/>
    <w:rsid w:val="1A090128"/>
    <w:rsid w:val="1A544BDB"/>
    <w:rsid w:val="1A690E8C"/>
    <w:rsid w:val="1A8F7475"/>
    <w:rsid w:val="1A9161A9"/>
    <w:rsid w:val="1AFD7B05"/>
    <w:rsid w:val="1B0471C6"/>
    <w:rsid w:val="1B495E8F"/>
    <w:rsid w:val="1B5C0B0E"/>
    <w:rsid w:val="1BF94843"/>
    <w:rsid w:val="1C424D86"/>
    <w:rsid w:val="1C4E7F9D"/>
    <w:rsid w:val="1C75345E"/>
    <w:rsid w:val="1C8A6F02"/>
    <w:rsid w:val="1CA259F2"/>
    <w:rsid w:val="1CCA4A17"/>
    <w:rsid w:val="1CDF6673"/>
    <w:rsid w:val="1CE93FF3"/>
    <w:rsid w:val="1CF76581"/>
    <w:rsid w:val="1CF86F14"/>
    <w:rsid w:val="1D085BCA"/>
    <w:rsid w:val="1D1F7ACD"/>
    <w:rsid w:val="1D4D6358"/>
    <w:rsid w:val="1D6C348C"/>
    <w:rsid w:val="1D704A8D"/>
    <w:rsid w:val="1D894E19"/>
    <w:rsid w:val="1D9A50F5"/>
    <w:rsid w:val="1D9D14F0"/>
    <w:rsid w:val="1E026ABD"/>
    <w:rsid w:val="1E7230AE"/>
    <w:rsid w:val="1EA05710"/>
    <w:rsid w:val="1EB27F15"/>
    <w:rsid w:val="1EBE5BDF"/>
    <w:rsid w:val="1EC478CB"/>
    <w:rsid w:val="1ECA544B"/>
    <w:rsid w:val="1F570E04"/>
    <w:rsid w:val="1F774272"/>
    <w:rsid w:val="1F9362B6"/>
    <w:rsid w:val="1F9A0F77"/>
    <w:rsid w:val="20084541"/>
    <w:rsid w:val="202F56BF"/>
    <w:rsid w:val="2039274C"/>
    <w:rsid w:val="20597B10"/>
    <w:rsid w:val="20692D4A"/>
    <w:rsid w:val="207D2378"/>
    <w:rsid w:val="20932183"/>
    <w:rsid w:val="2115788F"/>
    <w:rsid w:val="21C66BF1"/>
    <w:rsid w:val="21C92C2C"/>
    <w:rsid w:val="21E607A9"/>
    <w:rsid w:val="21F4496F"/>
    <w:rsid w:val="22055B57"/>
    <w:rsid w:val="221C2EE3"/>
    <w:rsid w:val="22372AAE"/>
    <w:rsid w:val="224D086D"/>
    <w:rsid w:val="227409B8"/>
    <w:rsid w:val="228935CA"/>
    <w:rsid w:val="22934188"/>
    <w:rsid w:val="22D02936"/>
    <w:rsid w:val="22DC2E13"/>
    <w:rsid w:val="22F35D70"/>
    <w:rsid w:val="237D6BE6"/>
    <w:rsid w:val="23806F3E"/>
    <w:rsid w:val="23A45F21"/>
    <w:rsid w:val="23B00D6A"/>
    <w:rsid w:val="24460587"/>
    <w:rsid w:val="246F22D4"/>
    <w:rsid w:val="24FF6042"/>
    <w:rsid w:val="25034540"/>
    <w:rsid w:val="25404CED"/>
    <w:rsid w:val="25777D91"/>
    <w:rsid w:val="25787F75"/>
    <w:rsid w:val="259954BD"/>
    <w:rsid w:val="259D33CE"/>
    <w:rsid w:val="263A0DBE"/>
    <w:rsid w:val="264056AC"/>
    <w:rsid w:val="26485289"/>
    <w:rsid w:val="268E1CE4"/>
    <w:rsid w:val="26B21445"/>
    <w:rsid w:val="26CB07C5"/>
    <w:rsid w:val="26E34EAD"/>
    <w:rsid w:val="26E36659"/>
    <w:rsid w:val="26EA45B3"/>
    <w:rsid w:val="271A77A2"/>
    <w:rsid w:val="27D063FC"/>
    <w:rsid w:val="27ED4839"/>
    <w:rsid w:val="28170541"/>
    <w:rsid w:val="28222078"/>
    <w:rsid w:val="2858552C"/>
    <w:rsid w:val="285C7F19"/>
    <w:rsid w:val="28737A3F"/>
    <w:rsid w:val="28996D28"/>
    <w:rsid w:val="28A950AE"/>
    <w:rsid w:val="28BE1833"/>
    <w:rsid w:val="28C122CB"/>
    <w:rsid w:val="28E042E1"/>
    <w:rsid w:val="28E64FFB"/>
    <w:rsid w:val="28E7785D"/>
    <w:rsid w:val="293C4BE8"/>
    <w:rsid w:val="29451F54"/>
    <w:rsid w:val="29855625"/>
    <w:rsid w:val="29E730AA"/>
    <w:rsid w:val="29FA24AC"/>
    <w:rsid w:val="2A5900A7"/>
    <w:rsid w:val="2A932893"/>
    <w:rsid w:val="2AC53DBD"/>
    <w:rsid w:val="2AFA72B8"/>
    <w:rsid w:val="2B0A3C40"/>
    <w:rsid w:val="2B2F4C6A"/>
    <w:rsid w:val="2B6C1A1A"/>
    <w:rsid w:val="2B835524"/>
    <w:rsid w:val="2B854103"/>
    <w:rsid w:val="2BA32C12"/>
    <w:rsid w:val="2BA80578"/>
    <w:rsid w:val="2BD32E6E"/>
    <w:rsid w:val="2BE710A1"/>
    <w:rsid w:val="2C196849"/>
    <w:rsid w:val="2C1C50A9"/>
    <w:rsid w:val="2C6E050B"/>
    <w:rsid w:val="2C7B1AEF"/>
    <w:rsid w:val="2CAB0320"/>
    <w:rsid w:val="2CAD5E46"/>
    <w:rsid w:val="2CC74348"/>
    <w:rsid w:val="2CF1507F"/>
    <w:rsid w:val="2D1221C8"/>
    <w:rsid w:val="2D5B274A"/>
    <w:rsid w:val="2D5D0E74"/>
    <w:rsid w:val="2D8753FE"/>
    <w:rsid w:val="2D92235B"/>
    <w:rsid w:val="2DA01C6E"/>
    <w:rsid w:val="2DDA3054"/>
    <w:rsid w:val="2E141EF5"/>
    <w:rsid w:val="2E16616E"/>
    <w:rsid w:val="2E6B116C"/>
    <w:rsid w:val="2E8150F8"/>
    <w:rsid w:val="2E9A471C"/>
    <w:rsid w:val="2EE713B8"/>
    <w:rsid w:val="2EF35FAE"/>
    <w:rsid w:val="2F030FEF"/>
    <w:rsid w:val="2F0401BB"/>
    <w:rsid w:val="2F397E65"/>
    <w:rsid w:val="2F424051"/>
    <w:rsid w:val="2F7353AD"/>
    <w:rsid w:val="2F8059C9"/>
    <w:rsid w:val="2FBC3872"/>
    <w:rsid w:val="2FD80DB4"/>
    <w:rsid w:val="305D4027"/>
    <w:rsid w:val="309016A9"/>
    <w:rsid w:val="30B74643"/>
    <w:rsid w:val="30F24C20"/>
    <w:rsid w:val="31475DEB"/>
    <w:rsid w:val="314E4ECB"/>
    <w:rsid w:val="31536091"/>
    <w:rsid w:val="31B25CAD"/>
    <w:rsid w:val="31BB55E2"/>
    <w:rsid w:val="31D420C7"/>
    <w:rsid w:val="31E32A9B"/>
    <w:rsid w:val="320F1351"/>
    <w:rsid w:val="326441FC"/>
    <w:rsid w:val="32D46DFA"/>
    <w:rsid w:val="32F8145F"/>
    <w:rsid w:val="33003007"/>
    <w:rsid w:val="330914AE"/>
    <w:rsid w:val="33341945"/>
    <w:rsid w:val="333D1ED5"/>
    <w:rsid w:val="33742CAA"/>
    <w:rsid w:val="33B17B08"/>
    <w:rsid w:val="33CC50C5"/>
    <w:rsid w:val="33CD2241"/>
    <w:rsid w:val="340B7C5C"/>
    <w:rsid w:val="343229C5"/>
    <w:rsid w:val="34363DB7"/>
    <w:rsid w:val="34684D49"/>
    <w:rsid w:val="346F4486"/>
    <w:rsid w:val="34733E19"/>
    <w:rsid w:val="348D003D"/>
    <w:rsid w:val="34D709E0"/>
    <w:rsid w:val="34E3565D"/>
    <w:rsid w:val="35161256"/>
    <w:rsid w:val="354E3B8F"/>
    <w:rsid w:val="358D6304"/>
    <w:rsid w:val="358E6C59"/>
    <w:rsid w:val="35AF70D3"/>
    <w:rsid w:val="35BD7A86"/>
    <w:rsid w:val="35C329B4"/>
    <w:rsid w:val="35D02E59"/>
    <w:rsid w:val="35D5391B"/>
    <w:rsid w:val="35D84D43"/>
    <w:rsid w:val="35E6196F"/>
    <w:rsid w:val="35F51D72"/>
    <w:rsid w:val="3609582F"/>
    <w:rsid w:val="364D2448"/>
    <w:rsid w:val="369F4305"/>
    <w:rsid w:val="36A52422"/>
    <w:rsid w:val="36B70951"/>
    <w:rsid w:val="36CA6D3E"/>
    <w:rsid w:val="36E3350C"/>
    <w:rsid w:val="376E2676"/>
    <w:rsid w:val="37835644"/>
    <w:rsid w:val="37B71B6F"/>
    <w:rsid w:val="37CE71B4"/>
    <w:rsid w:val="37EF1A35"/>
    <w:rsid w:val="37F37919"/>
    <w:rsid w:val="37FC5ED4"/>
    <w:rsid w:val="38171BB0"/>
    <w:rsid w:val="382634BB"/>
    <w:rsid w:val="38435AE8"/>
    <w:rsid w:val="38746B20"/>
    <w:rsid w:val="38B80196"/>
    <w:rsid w:val="38F372D7"/>
    <w:rsid w:val="38F57E3A"/>
    <w:rsid w:val="397E6716"/>
    <w:rsid w:val="39811594"/>
    <w:rsid w:val="39932868"/>
    <w:rsid w:val="39AC56D7"/>
    <w:rsid w:val="39B0341A"/>
    <w:rsid w:val="39F567E6"/>
    <w:rsid w:val="39FA53B3"/>
    <w:rsid w:val="3A3E6C77"/>
    <w:rsid w:val="3A6F0CD3"/>
    <w:rsid w:val="3A886145"/>
    <w:rsid w:val="3AB5150B"/>
    <w:rsid w:val="3B4B164C"/>
    <w:rsid w:val="3B5129DB"/>
    <w:rsid w:val="3B546371"/>
    <w:rsid w:val="3B842993"/>
    <w:rsid w:val="3B954917"/>
    <w:rsid w:val="3B961BEF"/>
    <w:rsid w:val="3B9B19BE"/>
    <w:rsid w:val="3BC00874"/>
    <w:rsid w:val="3BC96A15"/>
    <w:rsid w:val="3BE22471"/>
    <w:rsid w:val="3C0D12E9"/>
    <w:rsid w:val="3C2021F6"/>
    <w:rsid w:val="3C916221"/>
    <w:rsid w:val="3CE60F00"/>
    <w:rsid w:val="3CE9555D"/>
    <w:rsid w:val="3CF61295"/>
    <w:rsid w:val="3D04507A"/>
    <w:rsid w:val="3D184C2E"/>
    <w:rsid w:val="3D430983"/>
    <w:rsid w:val="3D63193E"/>
    <w:rsid w:val="3D8B6A5C"/>
    <w:rsid w:val="3DB72EEB"/>
    <w:rsid w:val="3DFE0DC4"/>
    <w:rsid w:val="3E337F0E"/>
    <w:rsid w:val="3E7D1058"/>
    <w:rsid w:val="3E902881"/>
    <w:rsid w:val="3EB87669"/>
    <w:rsid w:val="3EFE4C27"/>
    <w:rsid w:val="3F444158"/>
    <w:rsid w:val="3F4C0AAE"/>
    <w:rsid w:val="3F5D679C"/>
    <w:rsid w:val="3F877A39"/>
    <w:rsid w:val="3FCD7DD3"/>
    <w:rsid w:val="400A0470"/>
    <w:rsid w:val="40185875"/>
    <w:rsid w:val="40294288"/>
    <w:rsid w:val="406B3AC3"/>
    <w:rsid w:val="40812B19"/>
    <w:rsid w:val="4093139F"/>
    <w:rsid w:val="409A6309"/>
    <w:rsid w:val="40B111CA"/>
    <w:rsid w:val="40E65224"/>
    <w:rsid w:val="40FF384E"/>
    <w:rsid w:val="41135957"/>
    <w:rsid w:val="412066E5"/>
    <w:rsid w:val="414A3343"/>
    <w:rsid w:val="41561C6C"/>
    <w:rsid w:val="416C06CB"/>
    <w:rsid w:val="41721DEE"/>
    <w:rsid w:val="4176746E"/>
    <w:rsid w:val="41E64F02"/>
    <w:rsid w:val="421F2475"/>
    <w:rsid w:val="42520CBD"/>
    <w:rsid w:val="42CA3174"/>
    <w:rsid w:val="42DA6A8C"/>
    <w:rsid w:val="431810BA"/>
    <w:rsid w:val="432804C5"/>
    <w:rsid w:val="432D334E"/>
    <w:rsid w:val="436240CE"/>
    <w:rsid w:val="436C1C33"/>
    <w:rsid w:val="436F39FE"/>
    <w:rsid w:val="4373683C"/>
    <w:rsid w:val="4392593E"/>
    <w:rsid w:val="43963680"/>
    <w:rsid w:val="43BE6733"/>
    <w:rsid w:val="43BE6768"/>
    <w:rsid w:val="43DF0B28"/>
    <w:rsid w:val="440E76BA"/>
    <w:rsid w:val="44421112"/>
    <w:rsid w:val="447C2011"/>
    <w:rsid w:val="449C16C2"/>
    <w:rsid w:val="44C3096D"/>
    <w:rsid w:val="44E76B10"/>
    <w:rsid w:val="45286568"/>
    <w:rsid w:val="45697428"/>
    <w:rsid w:val="457C3B2E"/>
    <w:rsid w:val="459A2E5E"/>
    <w:rsid w:val="45A60722"/>
    <w:rsid w:val="45AA0617"/>
    <w:rsid w:val="45D97854"/>
    <w:rsid w:val="45E23C25"/>
    <w:rsid w:val="46006A45"/>
    <w:rsid w:val="4646797C"/>
    <w:rsid w:val="466A337B"/>
    <w:rsid w:val="4670113A"/>
    <w:rsid w:val="46843C64"/>
    <w:rsid w:val="46E14C12"/>
    <w:rsid w:val="47383A72"/>
    <w:rsid w:val="476103C3"/>
    <w:rsid w:val="4793496F"/>
    <w:rsid w:val="48210B1D"/>
    <w:rsid w:val="486852F2"/>
    <w:rsid w:val="486E52F1"/>
    <w:rsid w:val="48A64365"/>
    <w:rsid w:val="48B84CC0"/>
    <w:rsid w:val="48CA1C78"/>
    <w:rsid w:val="49202E21"/>
    <w:rsid w:val="494106BF"/>
    <w:rsid w:val="499B3684"/>
    <w:rsid w:val="49A6045E"/>
    <w:rsid w:val="49F82D4A"/>
    <w:rsid w:val="49F9600A"/>
    <w:rsid w:val="4A355940"/>
    <w:rsid w:val="4A454624"/>
    <w:rsid w:val="4A6F74E6"/>
    <w:rsid w:val="4A7F6265"/>
    <w:rsid w:val="4A8420B3"/>
    <w:rsid w:val="4A95649E"/>
    <w:rsid w:val="4AC425D5"/>
    <w:rsid w:val="4AF44E96"/>
    <w:rsid w:val="4B092567"/>
    <w:rsid w:val="4B2D511D"/>
    <w:rsid w:val="4B2E67E5"/>
    <w:rsid w:val="4B6A3808"/>
    <w:rsid w:val="4BED22AB"/>
    <w:rsid w:val="4C0F3FD0"/>
    <w:rsid w:val="4C366473"/>
    <w:rsid w:val="4C585D88"/>
    <w:rsid w:val="4C707A3A"/>
    <w:rsid w:val="4C94678C"/>
    <w:rsid w:val="4D0E1838"/>
    <w:rsid w:val="4D245859"/>
    <w:rsid w:val="4D50271B"/>
    <w:rsid w:val="4D7001EC"/>
    <w:rsid w:val="4D712C1A"/>
    <w:rsid w:val="4D8B58D8"/>
    <w:rsid w:val="4DEC07E3"/>
    <w:rsid w:val="4E065B36"/>
    <w:rsid w:val="4E2552CD"/>
    <w:rsid w:val="4E273DE5"/>
    <w:rsid w:val="4E2E4AAF"/>
    <w:rsid w:val="4E37074E"/>
    <w:rsid w:val="4E4B2500"/>
    <w:rsid w:val="4E5C7274"/>
    <w:rsid w:val="4E822243"/>
    <w:rsid w:val="4E886911"/>
    <w:rsid w:val="4EB20E17"/>
    <w:rsid w:val="4EC82830"/>
    <w:rsid w:val="4ED83ED2"/>
    <w:rsid w:val="4F1539DA"/>
    <w:rsid w:val="4F4E508B"/>
    <w:rsid w:val="4FBF2ED5"/>
    <w:rsid w:val="4FE2797A"/>
    <w:rsid w:val="50677322"/>
    <w:rsid w:val="507C3A71"/>
    <w:rsid w:val="511B0671"/>
    <w:rsid w:val="512B0535"/>
    <w:rsid w:val="51343C08"/>
    <w:rsid w:val="51353FAC"/>
    <w:rsid w:val="516279E3"/>
    <w:rsid w:val="517C2FD8"/>
    <w:rsid w:val="518B643D"/>
    <w:rsid w:val="51A17B70"/>
    <w:rsid w:val="51B226C2"/>
    <w:rsid w:val="51D112E0"/>
    <w:rsid w:val="5220662D"/>
    <w:rsid w:val="5224647B"/>
    <w:rsid w:val="522D028B"/>
    <w:rsid w:val="52996452"/>
    <w:rsid w:val="52E13EFC"/>
    <w:rsid w:val="53014D19"/>
    <w:rsid w:val="53083527"/>
    <w:rsid w:val="533C00AE"/>
    <w:rsid w:val="5342189D"/>
    <w:rsid w:val="5371731E"/>
    <w:rsid w:val="538155A2"/>
    <w:rsid w:val="53867EFF"/>
    <w:rsid w:val="54414B5E"/>
    <w:rsid w:val="5463310B"/>
    <w:rsid w:val="548A2E17"/>
    <w:rsid w:val="54A21A2D"/>
    <w:rsid w:val="54CB42AE"/>
    <w:rsid w:val="552C5BF2"/>
    <w:rsid w:val="55466065"/>
    <w:rsid w:val="557D7B97"/>
    <w:rsid w:val="559E4C2C"/>
    <w:rsid w:val="55A72A4E"/>
    <w:rsid w:val="55C73173"/>
    <w:rsid w:val="569958AC"/>
    <w:rsid w:val="56A705AA"/>
    <w:rsid w:val="56B714EC"/>
    <w:rsid w:val="573054EE"/>
    <w:rsid w:val="57660674"/>
    <w:rsid w:val="57666B21"/>
    <w:rsid w:val="577614AB"/>
    <w:rsid w:val="57C352C5"/>
    <w:rsid w:val="57FF75EE"/>
    <w:rsid w:val="58160F06"/>
    <w:rsid w:val="58485A69"/>
    <w:rsid w:val="585D3D56"/>
    <w:rsid w:val="58873140"/>
    <w:rsid w:val="58DE4F46"/>
    <w:rsid w:val="59590F80"/>
    <w:rsid w:val="598B5965"/>
    <w:rsid w:val="59D31B87"/>
    <w:rsid w:val="59DE30B0"/>
    <w:rsid w:val="59EF3FFD"/>
    <w:rsid w:val="5A020049"/>
    <w:rsid w:val="5A582FE6"/>
    <w:rsid w:val="5A70032F"/>
    <w:rsid w:val="5A726B80"/>
    <w:rsid w:val="5AC860CB"/>
    <w:rsid w:val="5AF24E72"/>
    <w:rsid w:val="5B4F611A"/>
    <w:rsid w:val="5B7F45A2"/>
    <w:rsid w:val="5C107F59"/>
    <w:rsid w:val="5C501C06"/>
    <w:rsid w:val="5C741473"/>
    <w:rsid w:val="5C7470F4"/>
    <w:rsid w:val="5CD86465"/>
    <w:rsid w:val="5CEE7C31"/>
    <w:rsid w:val="5CF143BA"/>
    <w:rsid w:val="5D027239"/>
    <w:rsid w:val="5D1900CC"/>
    <w:rsid w:val="5D1D21F5"/>
    <w:rsid w:val="5D541002"/>
    <w:rsid w:val="5D805D3A"/>
    <w:rsid w:val="5D87149F"/>
    <w:rsid w:val="5DC005C7"/>
    <w:rsid w:val="5DCB7926"/>
    <w:rsid w:val="5DFA2748"/>
    <w:rsid w:val="5DFD100B"/>
    <w:rsid w:val="5E105C4F"/>
    <w:rsid w:val="5E2751A9"/>
    <w:rsid w:val="5ED608A8"/>
    <w:rsid w:val="5F02484E"/>
    <w:rsid w:val="5F4973A1"/>
    <w:rsid w:val="5F795FA5"/>
    <w:rsid w:val="5F856D92"/>
    <w:rsid w:val="5F94205B"/>
    <w:rsid w:val="5FCD1D80"/>
    <w:rsid w:val="60874625"/>
    <w:rsid w:val="609603C4"/>
    <w:rsid w:val="60E45C7D"/>
    <w:rsid w:val="60E90E3C"/>
    <w:rsid w:val="60ED5B78"/>
    <w:rsid w:val="61156BE3"/>
    <w:rsid w:val="61160B5C"/>
    <w:rsid w:val="612F27E2"/>
    <w:rsid w:val="615C049C"/>
    <w:rsid w:val="619D5E33"/>
    <w:rsid w:val="61A760F4"/>
    <w:rsid w:val="61AE3147"/>
    <w:rsid w:val="61BA07E9"/>
    <w:rsid w:val="61CA5B0E"/>
    <w:rsid w:val="61F05A31"/>
    <w:rsid w:val="623E7861"/>
    <w:rsid w:val="624350F9"/>
    <w:rsid w:val="624F2F20"/>
    <w:rsid w:val="62A90E3F"/>
    <w:rsid w:val="62DF24F6"/>
    <w:rsid w:val="63372029"/>
    <w:rsid w:val="63462575"/>
    <w:rsid w:val="635974FF"/>
    <w:rsid w:val="636F2CBC"/>
    <w:rsid w:val="638F7AD0"/>
    <w:rsid w:val="63FC5AE3"/>
    <w:rsid w:val="644F75AB"/>
    <w:rsid w:val="646C4D22"/>
    <w:rsid w:val="646E7C67"/>
    <w:rsid w:val="64835BB5"/>
    <w:rsid w:val="64D57287"/>
    <w:rsid w:val="64E40F22"/>
    <w:rsid w:val="64EE729B"/>
    <w:rsid w:val="652D5E8A"/>
    <w:rsid w:val="65373265"/>
    <w:rsid w:val="653D6207"/>
    <w:rsid w:val="656736F7"/>
    <w:rsid w:val="65C474C8"/>
    <w:rsid w:val="65E824CF"/>
    <w:rsid w:val="65F23B0B"/>
    <w:rsid w:val="662C2441"/>
    <w:rsid w:val="66742405"/>
    <w:rsid w:val="66AE6A0F"/>
    <w:rsid w:val="67177D85"/>
    <w:rsid w:val="673A0CF0"/>
    <w:rsid w:val="673C7B87"/>
    <w:rsid w:val="674A0A62"/>
    <w:rsid w:val="677907C7"/>
    <w:rsid w:val="678E0047"/>
    <w:rsid w:val="67A10FC8"/>
    <w:rsid w:val="67B30841"/>
    <w:rsid w:val="67EB5499"/>
    <w:rsid w:val="68416876"/>
    <w:rsid w:val="68583E7F"/>
    <w:rsid w:val="68751207"/>
    <w:rsid w:val="68A90854"/>
    <w:rsid w:val="68F42A0B"/>
    <w:rsid w:val="69324EAF"/>
    <w:rsid w:val="694344FB"/>
    <w:rsid w:val="69484A8D"/>
    <w:rsid w:val="69625ABD"/>
    <w:rsid w:val="69B35CEF"/>
    <w:rsid w:val="69C00342"/>
    <w:rsid w:val="69F23B80"/>
    <w:rsid w:val="6A20553F"/>
    <w:rsid w:val="6A6A21A0"/>
    <w:rsid w:val="6A6C21D7"/>
    <w:rsid w:val="6A6D53CE"/>
    <w:rsid w:val="6A922624"/>
    <w:rsid w:val="6AC953DC"/>
    <w:rsid w:val="6ACF2E50"/>
    <w:rsid w:val="6AE42076"/>
    <w:rsid w:val="6B692DB3"/>
    <w:rsid w:val="6BA84BCE"/>
    <w:rsid w:val="6C7555DC"/>
    <w:rsid w:val="6C847D14"/>
    <w:rsid w:val="6C875340"/>
    <w:rsid w:val="6C8D3707"/>
    <w:rsid w:val="6C967E80"/>
    <w:rsid w:val="6CAC506B"/>
    <w:rsid w:val="6CB87914"/>
    <w:rsid w:val="6CC15F9B"/>
    <w:rsid w:val="6CCA5ED9"/>
    <w:rsid w:val="6CD51C5E"/>
    <w:rsid w:val="6CE55E74"/>
    <w:rsid w:val="6D6D787D"/>
    <w:rsid w:val="6DDB7FD5"/>
    <w:rsid w:val="6DDD76B3"/>
    <w:rsid w:val="6E00631E"/>
    <w:rsid w:val="6E5A5127"/>
    <w:rsid w:val="6E6B70EB"/>
    <w:rsid w:val="6E777A87"/>
    <w:rsid w:val="6EC01978"/>
    <w:rsid w:val="6EE41587"/>
    <w:rsid w:val="6EF45667"/>
    <w:rsid w:val="6EF81860"/>
    <w:rsid w:val="6EFE1F56"/>
    <w:rsid w:val="6F4F6476"/>
    <w:rsid w:val="6F71619F"/>
    <w:rsid w:val="6F7936F4"/>
    <w:rsid w:val="6F8B131A"/>
    <w:rsid w:val="6FA652D6"/>
    <w:rsid w:val="6FA8400A"/>
    <w:rsid w:val="6FDB4E2B"/>
    <w:rsid w:val="7046768A"/>
    <w:rsid w:val="70553AFC"/>
    <w:rsid w:val="70C27A56"/>
    <w:rsid w:val="716E0A19"/>
    <w:rsid w:val="71767403"/>
    <w:rsid w:val="719A715D"/>
    <w:rsid w:val="71B87C50"/>
    <w:rsid w:val="71BE318A"/>
    <w:rsid w:val="71CA2179"/>
    <w:rsid w:val="71E9637C"/>
    <w:rsid w:val="720D141A"/>
    <w:rsid w:val="72417954"/>
    <w:rsid w:val="726D48AC"/>
    <w:rsid w:val="72AE02CE"/>
    <w:rsid w:val="72CE7F48"/>
    <w:rsid w:val="72DC7923"/>
    <w:rsid w:val="73102258"/>
    <w:rsid w:val="7314395B"/>
    <w:rsid w:val="734E5E3C"/>
    <w:rsid w:val="735C4608"/>
    <w:rsid w:val="735D2FC3"/>
    <w:rsid w:val="73C22DCA"/>
    <w:rsid w:val="73C96A6E"/>
    <w:rsid w:val="73D17095"/>
    <w:rsid w:val="73E56091"/>
    <w:rsid w:val="742A740D"/>
    <w:rsid w:val="747A4220"/>
    <w:rsid w:val="747D2327"/>
    <w:rsid w:val="749A2BB6"/>
    <w:rsid w:val="74CA4972"/>
    <w:rsid w:val="750A36D7"/>
    <w:rsid w:val="754B16DE"/>
    <w:rsid w:val="75A2594F"/>
    <w:rsid w:val="75BF12C2"/>
    <w:rsid w:val="75DC56DE"/>
    <w:rsid w:val="75EF20B4"/>
    <w:rsid w:val="76037E52"/>
    <w:rsid w:val="76377AFB"/>
    <w:rsid w:val="766563F6"/>
    <w:rsid w:val="766D7FD4"/>
    <w:rsid w:val="76894838"/>
    <w:rsid w:val="76960075"/>
    <w:rsid w:val="76D373A1"/>
    <w:rsid w:val="770245AD"/>
    <w:rsid w:val="770A729F"/>
    <w:rsid w:val="777F6B20"/>
    <w:rsid w:val="77AB69F3"/>
    <w:rsid w:val="77CF650E"/>
    <w:rsid w:val="78186A8F"/>
    <w:rsid w:val="78197713"/>
    <w:rsid w:val="784815EC"/>
    <w:rsid w:val="78A65F8E"/>
    <w:rsid w:val="78FF0DA4"/>
    <w:rsid w:val="79285931"/>
    <w:rsid w:val="79436224"/>
    <w:rsid w:val="7A584107"/>
    <w:rsid w:val="7AB43E11"/>
    <w:rsid w:val="7B333E7E"/>
    <w:rsid w:val="7B70773E"/>
    <w:rsid w:val="7BAE34E2"/>
    <w:rsid w:val="7C301748"/>
    <w:rsid w:val="7C32323F"/>
    <w:rsid w:val="7C7C44BA"/>
    <w:rsid w:val="7C964471"/>
    <w:rsid w:val="7D6639CA"/>
    <w:rsid w:val="7D705FAD"/>
    <w:rsid w:val="7D8301A5"/>
    <w:rsid w:val="7DA43CC8"/>
    <w:rsid w:val="7DA71A7C"/>
    <w:rsid w:val="7DF22173"/>
    <w:rsid w:val="7E0E3838"/>
    <w:rsid w:val="7E69126D"/>
    <w:rsid w:val="7E9F1159"/>
    <w:rsid w:val="7EAD3241"/>
    <w:rsid w:val="7EC4446B"/>
    <w:rsid w:val="7EE9246A"/>
    <w:rsid w:val="7F0D3AEF"/>
    <w:rsid w:val="7F464A56"/>
    <w:rsid w:val="7F573F88"/>
    <w:rsid w:val="7F612FDD"/>
    <w:rsid w:val="7F733106"/>
    <w:rsid w:val="7F9D4B3D"/>
    <w:rsid w:val="7FD6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477" w:hanging="426"/>
      <w:outlineLvl w:val="1"/>
    </w:pPr>
    <w:rPr>
      <w:rFonts w:ascii="宋体" w:hAnsi="宋体" w:eastAsia="宋体" w:cs="宋体"/>
      <w:b/>
      <w:bCs/>
      <w:sz w:val="21"/>
      <w:szCs w:val="21"/>
      <w:lang w:val="zh-CN" w:eastAsia="zh-CN" w:bidi="zh-CN"/>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qFormat/>
    <w:uiPriority w:val="1"/>
    <w:rPr>
      <w:rFonts w:ascii="宋体" w:hAnsi="宋体" w:eastAsia="宋体" w:cs="宋体"/>
      <w:sz w:val="21"/>
      <w:szCs w:val="21"/>
      <w:lang w:val="zh-CN" w:eastAsia="zh-CN" w:bidi="zh-CN"/>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Plain Text"/>
    <w:basedOn w:val="1"/>
    <w:next w:val="1"/>
    <w:qFormat/>
    <w:uiPriority w:val="0"/>
    <w:rPr>
      <w:rFonts w:ascii="宋体" w:hAnsi="Courier New"/>
      <w:kern w:val="0"/>
      <w:sz w:val="20"/>
      <w:szCs w:val="21"/>
    </w:rPr>
  </w:style>
  <w:style w:type="paragraph" w:styleId="14">
    <w:name w:val="List 2"/>
    <w:basedOn w:val="1"/>
    <w:unhideWhenUsed/>
    <w:qFormat/>
    <w:uiPriority w:val="99"/>
    <w:pPr>
      <w:ind w:left="100" w:leftChars="200" w:hanging="200" w:hangingChars="200"/>
      <w:contextualSpacing/>
    </w:pPr>
  </w:style>
  <w:style w:type="paragraph" w:styleId="15">
    <w:name w:val="Body Text Indent 2"/>
    <w:basedOn w:val="1"/>
    <w:qFormat/>
    <w:uiPriority w:val="0"/>
    <w:pPr>
      <w:spacing w:line="360" w:lineRule="exact"/>
      <w:ind w:firstLine="562" w:firstLineChars="200"/>
    </w:pPr>
    <w:rPr>
      <w:b/>
      <w:sz w:val="28"/>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envelope return"/>
    <w:basedOn w:val="1"/>
    <w:qFormat/>
    <w:uiPriority w:val="0"/>
    <w:pPr>
      <w:snapToGrid w:val="0"/>
    </w:pPr>
    <w:rPr>
      <w:rFonts w:ascii="Arial" w:hAnsi="Arial" w:eastAsia="宋体" w:cs="Times New Roman"/>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23">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4">
    <w:name w:val="Body Text First Indent 2"/>
    <w:basedOn w:val="12"/>
    <w:next w:val="1"/>
    <w:unhideWhenUsed/>
    <w:qFormat/>
    <w:uiPriority w:val="99"/>
    <w:pPr>
      <w:spacing w:after="120" w:line="240" w:lineRule="auto"/>
      <w:ind w:left="420" w:leftChars="200" w:firstLine="420"/>
      <w:jc w:val="both"/>
    </w:pPr>
    <w:rPr>
      <w:color w:val="000000"/>
      <w:sz w:val="21"/>
      <w:szCs w:val="21"/>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qFormat/>
    <w:uiPriority w:val="0"/>
  </w:style>
  <w:style w:type="paragraph" w:customStyle="1" w:styleId="29">
    <w:name w:val="表格文字"/>
    <w:basedOn w:val="12"/>
    <w:next w:val="11"/>
    <w:qFormat/>
    <w:uiPriority w:val="99"/>
    <w:pPr>
      <w:spacing w:before="25" w:after="25"/>
      <w:jc w:val="left"/>
    </w:pPr>
    <w:rPr>
      <w:bCs/>
      <w:spacing w:val="10"/>
      <w:kern w:val="0"/>
      <w:sz w:val="24"/>
      <w:szCs w:val="20"/>
    </w:rPr>
  </w:style>
  <w:style w:type="paragraph" w:customStyle="1" w:styleId="30">
    <w:name w:val="正文1"/>
    <w:basedOn w:val="1"/>
    <w:next w:val="1"/>
    <w:qFormat/>
    <w:uiPriority w:val="0"/>
    <w:pPr>
      <w:widowControl/>
      <w:spacing w:beforeLines="50"/>
      <w:ind w:firstLine="420" w:firstLineChars="175"/>
      <w:jc w:val="center"/>
    </w:pPr>
    <w:rPr>
      <w:rFonts w:ascii="宋体" w:hAnsi="宋体"/>
      <w:iCs/>
      <w:kern w:val="0"/>
      <w:szCs w:val="21"/>
    </w:rPr>
  </w:style>
  <w:style w:type="paragraph" w:styleId="31">
    <w:name w:val="List Paragraph"/>
    <w:basedOn w:val="1"/>
    <w:qFormat/>
    <w:uiPriority w:val="1"/>
    <w:pPr>
      <w:ind w:left="1736" w:firstLine="420"/>
    </w:pPr>
    <w:rPr>
      <w:rFonts w:ascii="宋体" w:hAnsi="宋体" w:eastAsia="宋体" w:cs="宋体"/>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Header or footer|1"/>
    <w:basedOn w:val="1"/>
    <w:qFormat/>
    <w:uiPriority w:val="0"/>
    <w:pPr>
      <w:widowControl w:val="0"/>
      <w:shd w:val="clear" w:color="auto" w:fill="auto"/>
    </w:pPr>
    <w:rPr>
      <w:i/>
      <w:iCs/>
      <w:sz w:val="19"/>
      <w:szCs w:val="19"/>
      <w:u w:val="none"/>
      <w:shd w:val="clear" w:color="auto" w:fill="auto"/>
      <w:lang w:val="zh-CN" w:eastAsia="zh-CN" w:bidi="zh-CN"/>
    </w:rPr>
  </w:style>
  <w:style w:type="paragraph" w:customStyle="1" w:styleId="34">
    <w:name w:val="WPSOffice手动目录 1"/>
    <w:qFormat/>
    <w:uiPriority w:val="0"/>
    <w:pPr>
      <w:ind w:leftChars="0"/>
    </w:pPr>
    <w:rPr>
      <w:rFonts w:asciiTheme="minorHAnsi" w:hAnsiTheme="minorHAnsi" w:eastAsiaTheme="minorHAnsi" w:cstheme="minorBidi"/>
      <w:sz w:val="20"/>
      <w:szCs w:val="20"/>
    </w:rPr>
  </w:style>
  <w:style w:type="paragraph" w:customStyle="1" w:styleId="35">
    <w:name w:val="WPSOffice手动目录 2"/>
    <w:qFormat/>
    <w:uiPriority w:val="0"/>
    <w:pPr>
      <w:ind w:leftChars="200"/>
    </w:pPr>
    <w:rPr>
      <w:rFonts w:asciiTheme="minorHAnsi" w:hAnsiTheme="minorHAnsi" w:eastAsiaTheme="minorHAnsi" w:cstheme="minorBidi"/>
      <w:sz w:val="20"/>
      <w:szCs w:val="20"/>
    </w:rPr>
  </w:style>
  <w:style w:type="paragraph" w:customStyle="1" w:styleId="36">
    <w:name w:val="Default Paragraph Font Para Char Char Char Char Char Char"/>
    <w:basedOn w:val="1"/>
    <w:qFormat/>
    <w:uiPriority w:val="0"/>
    <w:pPr>
      <w:widowControl/>
      <w:spacing w:after="160" w:afterLines="0" w:afterAutospacing="0" w:line="240" w:lineRule="exact"/>
      <w:jc w:val="left"/>
    </w:pPr>
  </w:style>
  <w:style w:type="paragraph" w:customStyle="1" w:styleId="37">
    <w:name w:val="Body text|1"/>
    <w:basedOn w:val="1"/>
    <w:qFormat/>
    <w:uiPriority w:val="0"/>
    <w:pPr>
      <w:spacing w:line="360" w:lineRule="auto"/>
      <w:ind w:firstLine="400"/>
    </w:pPr>
    <w:rPr>
      <w:rFonts w:ascii="宋体" w:hAnsi="宋体" w:cs="宋体"/>
      <w:szCs w:val="20"/>
      <w:lang w:val="zh-CN" w:eastAsia="zh-CN" w:bidi="zh-CN"/>
    </w:rPr>
  </w:style>
  <w:style w:type="paragraph" w:customStyle="1" w:styleId="38">
    <w:name w:val="toc 12"/>
    <w:next w:val="1"/>
    <w:qFormat/>
    <w:uiPriority w:val="0"/>
    <w:pPr>
      <w:wordWrap w:val="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38519</Words>
  <Characters>41196</Characters>
  <Lines>0</Lines>
  <Paragraphs>0</Paragraphs>
  <TotalTime>64</TotalTime>
  <ScaleCrop>false</ScaleCrop>
  <LinksUpToDate>false</LinksUpToDate>
  <CharactersWithSpaces>53147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2021-08-13T08:47:00Z</dcterms:created>
  <dc:creator>会抽烟的鱼</dc:creator>
  <cp:lastModifiedBy>悠悠琳</cp:lastModifiedBy>
  <cp:lastPrinted>2022-08-18T03:45:00Z</cp:lastPrinted>
  <dcterms:modified xsi:type="dcterms:W3CDTF">2022-08-23T02:08:52Z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296F99C4EEBC429DB56D33D044ED4BE6</vt:lpwstr>
  </property>
</Properties>
</file>