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7931"/>
        </w:tabs>
        <w:adjustRightInd/>
        <w:snapToGrid/>
        <w:spacing w:after="0"/>
        <w:jc w:val="both"/>
        <w:rPr>
          <w:rFonts w:ascii="宋体" w:hAnsi="宋体"/>
          <w:kern w:val="2"/>
          <w:sz w:val="52"/>
          <w:szCs w:val="52"/>
        </w:rPr>
      </w:pPr>
      <w:r>
        <w:rPr>
          <w:rFonts w:hint="eastAsia" w:ascii="宋体" w:hAnsi="宋体" w:eastAsia="宋体" w:cs="宋体"/>
          <w:b w:val="0"/>
          <w:bCs w:val="0"/>
          <w:kern w:val="2"/>
          <w:sz w:val="52"/>
          <w:szCs w:val="52"/>
        </w:rPr>
        <w:t xml:space="preserve"> </w:t>
      </w:r>
      <w:r>
        <w:rPr>
          <w:rFonts w:hint="eastAsia" w:ascii="宋体" w:hAnsi="宋体" w:eastAsia="宋体" w:cs="宋体"/>
          <w:b/>
          <w:bCs/>
          <w:kern w:val="2"/>
          <w:sz w:val="52"/>
          <w:szCs w:val="52"/>
          <w:u w:val="single"/>
          <w:lang w:eastAsia="zh-CN"/>
        </w:rPr>
        <w:t>广</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西</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旭</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航</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工</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程</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咨</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询</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有</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限</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公</w:t>
      </w:r>
      <w:r>
        <w:rPr>
          <w:rFonts w:hint="eastAsia" w:ascii="宋体" w:hAnsi="宋体" w:cs="宋体"/>
          <w:b/>
          <w:bCs/>
          <w:kern w:val="2"/>
          <w:sz w:val="52"/>
          <w:szCs w:val="52"/>
          <w:u w:val="single"/>
          <w:lang w:val="en-US" w:eastAsia="zh-CN"/>
        </w:rPr>
        <w:t xml:space="preserve"> </w:t>
      </w:r>
      <w:r>
        <w:rPr>
          <w:rFonts w:hint="eastAsia" w:ascii="宋体" w:hAnsi="宋体" w:eastAsia="宋体" w:cs="宋体"/>
          <w:b/>
          <w:bCs/>
          <w:kern w:val="2"/>
          <w:sz w:val="52"/>
          <w:szCs w:val="52"/>
          <w:u w:val="single"/>
          <w:lang w:eastAsia="zh-CN"/>
        </w:rPr>
        <w:t>司</w:t>
      </w:r>
    </w:p>
    <w:p>
      <w:pPr>
        <w:widowControl w:val="0"/>
        <w:tabs>
          <w:tab w:val="left" w:pos="7931"/>
        </w:tabs>
        <w:adjustRightInd/>
        <w:snapToGrid/>
        <w:spacing w:after="0"/>
        <w:jc w:val="both"/>
        <w:rPr>
          <w:rFonts w:ascii="宋体" w:hAnsi="宋体"/>
          <w:kern w:val="2"/>
          <w:sz w:val="86"/>
          <w:szCs w:val="86"/>
        </w:rPr>
      </w:pPr>
    </w:p>
    <w:p>
      <w:pPr>
        <w:widowControl w:val="0"/>
        <w:tabs>
          <w:tab w:val="left" w:pos="7931"/>
        </w:tabs>
        <w:adjustRightInd/>
        <w:snapToGrid/>
        <w:spacing w:after="0"/>
        <w:jc w:val="both"/>
        <w:rPr>
          <w:rFonts w:ascii="宋体" w:hAnsi="宋体"/>
          <w:kern w:val="2"/>
          <w:sz w:val="86"/>
          <w:szCs w:val="86"/>
        </w:rPr>
      </w:pPr>
    </w:p>
    <w:p>
      <w:pPr>
        <w:widowControl w:val="0"/>
        <w:tabs>
          <w:tab w:val="left" w:pos="7931"/>
        </w:tabs>
        <w:adjustRightInd/>
        <w:snapToGrid/>
        <w:spacing w:after="0"/>
        <w:jc w:val="both"/>
        <w:rPr>
          <w:rFonts w:ascii="宋体" w:hAnsi="宋体"/>
          <w:kern w:val="2"/>
          <w:sz w:val="86"/>
          <w:szCs w:val="86"/>
        </w:rPr>
      </w:pPr>
    </w:p>
    <w:p>
      <w:pPr>
        <w:widowControl w:val="0"/>
        <w:tabs>
          <w:tab w:val="left" w:pos="7931"/>
        </w:tabs>
        <w:adjustRightInd/>
        <w:snapToGrid/>
        <w:spacing w:after="0"/>
        <w:jc w:val="center"/>
        <w:rPr>
          <w:rFonts w:hint="eastAsia" w:ascii="宋体" w:hAnsi="宋体" w:eastAsia="宋体" w:cs="宋体"/>
          <w:kern w:val="2"/>
          <w:sz w:val="72"/>
          <w:szCs w:val="20"/>
        </w:rPr>
      </w:pPr>
      <w:r>
        <w:rPr>
          <w:rFonts w:hint="eastAsia" w:ascii="宋体" w:hAnsi="宋体" w:cs="宋体"/>
          <w:kern w:val="2"/>
          <w:sz w:val="86"/>
          <w:szCs w:val="86"/>
          <w:lang w:eastAsia="zh-CN"/>
        </w:rPr>
        <w:t>竞争性谈判文件</w:t>
      </w:r>
      <w:r>
        <w:rPr>
          <w:rFonts w:hint="eastAsia" w:ascii="宋体" w:hAnsi="宋体" w:eastAsia="宋体" w:cs="宋体"/>
          <w:b/>
          <w:kern w:val="2"/>
          <w:sz w:val="72"/>
          <w:szCs w:val="20"/>
        </w:rPr>
        <w:cr/>
      </w:r>
    </w:p>
    <w:p>
      <w:pPr>
        <w:widowControl w:val="0"/>
        <w:adjustRightInd/>
        <w:snapToGrid/>
        <w:spacing w:after="0" w:line="600" w:lineRule="exact"/>
        <w:jc w:val="center"/>
        <w:rPr>
          <w:rFonts w:hint="eastAsia" w:ascii="宋体" w:hAnsi="宋体" w:cs="宋体"/>
          <w:kern w:val="2"/>
          <w:sz w:val="32"/>
          <w:szCs w:val="32"/>
          <w:lang w:eastAsia="zh-CN"/>
        </w:rPr>
      </w:pPr>
      <w:r>
        <w:rPr>
          <w:rFonts w:hint="eastAsia" w:ascii="宋体" w:hAnsi="宋体" w:eastAsia="宋体" w:cs="宋体"/>
          <w:kern w:val="2"/>
          <w:sz w:val="32"/>
          <w:szCs w:val="32"/>
        </w:rPr>
        <w:t>项目名称：2020年市委宣传部党员活动室规范化建设项目</w:t>
      </w:r>
    </w:p>
    <w:p>
      <w:pPr>
        <w:widowControl w:val="0"/>
        <w:adjustRightInd/>
        <w:snapToGrid/>
        <w:spacing w:after="0" w:line="600" w:lineRule="exact"/>
        <w:ind w:firstLine="1600" w:firstLineChars="500"/>
        <w:jc w:val="both"/>
        <w:rPr>
          <w:rFonts w:hint="eastAsia" w:ascii="宋体" w:hAnsi="宋体" w:eastAsia="宋体" w:cs="宋体"/>
          <w:kern w:val="2"/>
          <w:sz w:val="32"/>
          <w:szCs w:val="32"/>
          <w:lang w:eastAsia="zh-CN"/>
        </w:rPr>
      </w:pPr>
      <w:r>
        <w:rPr>
          <w:rFonts w:hint="eastAsia" w:ascii="宋体" w:hAnsi="宋体" w:eastAsia="宋体" w:cs="宋体"/>
          <w:kern w:val="2"/>
          <w:sz w:val="32"/>
          <w:szCs w:val="32"/>
        </w:rPr>
        <w:t>项目编号：</w:t>
      </w:r>
      <w:r>
        <w:rPr>
          <w:rFonts w:hint="eastAsia" w:ascii="宋体" w:hAnsi="宋体" w:cs="宋体"/>
          <w:kern w:val="2"/>
          <w:sz w:val="32"/>
          <w:szCs w:val="32"/>
          <w:lang w:eastAsia="zh-CN"/>
        </w:rPr>
        <w:t>YLZC2020-J3-000637-GXXH</w:t>
      </w:r>
    </w:p>
    <w:p>
      <w:pPr>
        <w:widowControl w:val="0"/>
        <w:adjustRightInd/>
        <w:snapToGrid/>
        <w:spacing w:after="0" w:line="600" w:lineRule="exact"/>
        <w:ind w:left="-2" w:leftChars="-1"/>
        <w:jc w:val="both"/>
        <w:rPr>
          <w:rFonts w:hint="eastAsia" w:ascii="宋体" w:hAnsi="宋体" w:eastAsia="宋体" w:cs="宋体"/>
          <w:kern w:val="2"/>
          <w:sz w:val="32"/>
          <w:szCs w:val="32"/>
        </w:rPr>
      </w:pPr>
    </w:p>
    <w:p>
      <w:pPr>
        <w:widowControl w:val="0"/>
        <w:adjustRightInd/>
        <w:snapToGrid/>
        <w:spacing w:after="0" w:line="600" w:lineRule="exact"/>
        <w:ind w:left="-2" w:leftChars="-1"/>
        <w:jc w:val="both"/>
        <w:rPr>
          <w:rFonts w:hint="eastAsia" w:ascii="宋体" w:hAnsi="宋体" w:eastAsia="宋体" w:cs="宋体"/>
          <w:kern w:val="2"/>
          <w:sz w:val="32"/>
          <w:szCs w:val="32"/>
        </w:rPr>
      </w:pPr>
    </w:p>
    <w:p>
      <w:pPr>
        <w:pStyle w:val="2"/>
        <w:rPr>
          <w:rFonts w:hint="eastAsia" w:ascii="宋体" w:hAnsi="宋体" w:eastAsia="宋体" w:cs="宋体"/>
          <w:kern w:val="2"/>
          <w:sz w:val="32"/>
          <w:szCs w:val="32"/>
        </w:rPr>
      </w:pPr>
    </w:p>
    <w:p>
      <w:pPr>
        <w:rPr>
          <w:rFonts w:hint="eastAsia"/>
        </w:rPr>
      </w:pPr>
    </w:p>
    <w:p>
      <w:pPr>
        <w:widowControl w:val="0"/>
        <w:adjustRightInd/>
        <w:snapToGrid/>
        <w:spacing w:after="0" w:line="600" w:lineRule="exact"/>
        <w:ind w:left="-2" w:leftChars="-1"/>
        <w:jc w:val="both"/>
        <w:rPr>
          <w:rFonts w:hint="eastAsia" w:ascii="宋体" w:hAnsi="宋体" w:eastAsia="宋体" w:cs="宋体"/>
          <w:kern w:val="2"/>
          <w:sz w:val="32"/>
          <w:szCs w:val="32"/>
        </w:rPr>
      </w:pPr>
    </w:p>
    <w:p>
      <w:pPr>
        <w:widowControl w:val="0"/>
        <w:adjustRightInd/>
        <w:snapToGrid/>
        <w:spacing w:after="0" w:line="600" w:lineRule="exact"/>
        <w:ind w:left="-2" w:leftChars="-1"/>
        <w:jc w:val="both"/>
        <w:rPr>
          <w:rFonts w:hint="eastAsia" w:ascii="宋体" w:hAnsi="宋体" w:eastAsia="宋体" w:cs="宋体"/>
          <w:kern w:val="2"/>
          <w:sz w:val="32"/>
          <w:szCs w:val="32"/>
        </w:rPr>
      </w:pPr>
    </w:p>
    <w:p>
      <w:pPr>
        <w:widowControl w:val="0"/>
        <w:adjustRightInd/>
        <w:snapToGrid/>
        <w:spacing w:after="0" w:line="720" w:lineRule="auto"/>
        <w:ind w:firstLine="1600" w:firstLineChars="500"/>
        <w:jc w:val="both"/>
        <w:rPr>
          <w:rFonts w:hint="default" w:ascii="宋体" w:hAnsi="宋体" w:eastAsia="宋体" w:cs="宋体"/>
          <w:bCs/>
          <w:kern w:val="2"/>
          <w:sz w:val="32"/>
          <w:szCs w:val="32"/>
          <w:lang w:val="en-US" w:eastAsia="zh-CN"/>
        </w:rPr>
      </w:pPr>
      <w:r>
        <w:rPr>
          <w:rFonts w:hint="eastAsia" w:ascii="宋体" w:hAnsi="宋体" w:eastAsia="宋体" w:cs="宋体"/>
          <w:bCs/>
          <w:kern w:val="2"/>
          <w:sz w:val="32"/>
          <w:szCs w:val="32"/>
        </w:rPr>
        <w:t xml:space="preserve">采 </w:t>
      </w:r>
      <w:r>
        <w:rPr>
          <w:rFonts w:hint="eastAsia" w:ascii="宋体" w:hAnsi="宋体" w:eastAsia="宋体" w:cs="宋体"/>
          <w:bCs/>
          <w:kern w:val="2"/>
          <w:sz w:val="32"/>
          <w:szCs w:val="32"/>
          <w:lang w:val="en-US" w:eastAsia="zh-CN"/>
        </w:rPr>
        <w:t xml:space="preserve"> </w:t>
      </w:r>
      <w:r>
        <w:rPr>
          <w:rFonts w:hint="eastAsia" w:ascii="宋体" w:hAnsi="宋体" w:eastAsia="宋体" w:cs="宋体"/>
          <w:bCs/>
          <w:kern w:val="2"/>
          <w:sz w:val="32"/>
          <w:szCs w:val="32"/>
        </w:rPr>
        <w:t>购 单 位：</w:t>
      </w:r>
      <w:r>
        <w:rPr>
          <w:rFonts w:hint="eastAsia" w:ascii="宋体" w:hAnsi="宋体" w:cs="宋体"/>
          <w:bCs/>
          <w:kern w:val="2"/>
          <w:sz w:val="32"/>
          <w:szCs w:val="32"/>
          <w:lang w:eastAsia="zh-CN"/>
        </w:rPr>
        <w:t>中国共产党玉林市委员会宣传部</w:t>
      </w:r>
    </w:p>
    <w:p>
      <w:pPr>
        <w:keepNext w:val="0"/>
        <w:keepLines w:val="0"/>
        <w:pageBreakBefore w:val="0"/>
        <w:widowControl w:val="0"/>
        <w:kinsoku/>
        <w:wordWrap/>
        <w:overflowPunct/>
        <w:topLinePunct w:val="0"/>
        <w:autoSpaceDE/>
        <w:autoSpaceDN/>
        <w:bidi w:val="0"/>
        <w:adjustRightInd/>
        <w:snapToGrid/>
        <w:spacing w:before="17" w:beforeLines="5" w:after="17" w:afterLines="5" w:line="720" w:lineRule="auto"/>
        <w:jc w:val="center"/>
        <w:textAlignment w:val="auto"/>
        <w:rPr>
          <w:rFonts w:hint="eastAsia" w:ascii="宋体" w:hAnsi="宋体" w:cs="宋体"/>
          <w:bCs/>
          <w:color w:val="auto"/>
          <w:kern w:val="2"/>
          <w:sz w:val="32"/>
          <w:szCs w:val="32"/>
          <w:lang w:val="en-US" w:eastAsia="zh-CN"/>
        </w:rPr>
      </w:pPr>
      <w:r>
        <w:rPr>
          <w:rFonts w:hint="eastAsia" w:ascii="宋体" w:hAnsi="宋体" w:eastAsia="宋体" w:cs="宋体"/>
          <w:bCs/>
          <w:kern w:val="2"/>
          <w:sz w:val="32"/>
          <w:szCs w:val="32"/>
        </w:rPr>
        <w:t>采购</w:t>
      </w:r>
      <w:r>
        <w:rPr>
          <w:rFonts w:hint="eastAsia" w:ascii="宋体" w:hAnsi="宋体" w:eastAsia="宋体" w:cs="宋体"/>
          <w:bCs/>
          <w:color w:val="auto"/>
          <w:kern w:val="2"/>
          <w:sz w:val="32"/>
          <w:szCs w:val="32"/>
        </w:rPr>
        <w:t>代理机构：</w:t>
      </w:r>
      <w:bookmarkStart w:id="0" w:name="OLE_LINK15"/>
      <w:bookmarkStart w:id="1" w:name="OLE_LINK16"/>
      <w:r>
        <w:rPr>
          <w:rFonts w:hint="eastAsia" w:ascii="宋体" w:hAnsi="宋体" w:eastAsia="宋体" w:cs="宋体"/>
          <w:bCs/>
          <w:color w:val="auto"/>
          <w:kern w:val="2"/>
          <w:sz w:val="32"/>
          <w:szCs w:val="32"/>
          <w:lang w:eastAsia="zh-CN"/>
        </w:rPr>
        <w:t>广西旭航工程咨询有限公司</w:t>
      </w:r>
      <w:r>
        <w:rPr>
          <w:rFonts w:hint="eastAsia" w:ascii="宋体" w:hAnsi="宋体" w:cs="宋体"/>
          <w:bCs/>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7" w:beforeLines="5" w:after="17" w:afterLines="5" w:line="720" w:lineRule="auto"/>
        <w:jc w:val="center"/>
        <w:textAlignment w:val="auto"/>
        <w:rPr>
          <w:rFonts w:hint="default" w:ascii="宋体" w:hAnsi="宋体" w:eastAsia="宋体" w:cs="宋体"/>
          <w:bCs/>
          <w:color w:val="auto"/>
          <w:sz w:val="32"/>
          <w:szCs w:val="32"/>
          <w:lang w:val="en-US"/>
        </w:rPr>
        <w:sectPr>
          <w:headerReference r:id="rId4" w:type="first"/>
          <w:footerReference r:id="rId5" w:type="default"/>
          <w:headerReference r:id="rId3" w:type="even"/>
          <w:footerReference r:id="rId6" w:type="even"/>
          <w:pgSz w:w="11907" w:h="16840"/>
          <w:pgMar w:top="1077" w:right="1418" w:bottom="1418" w:left="1077" w:header="624" w:footer="737" w:gutter="0"/>
          <w:pgNumType w:fmt="decimal" w:start="1"/>
          <w:cols w:space="720" w:num="1"/>
          <w:titlePg/>
          <w:docGrid w:linePitch="312" w:charSpace="0"/>
        </w:sectPr>
      </w:pPr>
      <w:r>
        <w:rPr>
          <w:rFonts w:hint="eastAsia" w:ascii="宋体" w:hAnsi="宋体" w:eastAsia="宋体" w:cs="宋体"/>
          <w:bCs/>
          <w:color w:val="auto"/>
          <w:kern w:val="2"/>
          <w:sz w:val="32"/>
          <w:szCs w:val="32"/>
        </w:rPr>
        <w:t>20</w:t>
      </w:r>
      <w:r>
        <w:rPr>
          <w:rFonts w:hint="eastAsia" w:ascii="宋体" w:hAnsi="宋体" w:cs="宋体"/>
          <w:bCs/>
          <w:color w:val="auto"/>
          <w:kern w:val="2"/>
          <w:sz w:val="32"/>
          <w:szCs w:val="32"/>
          <w:lang w:val="en-US" w:eastAsia="zh-CN"/>
        </w:rPr>
        <w:t>20</w:t>
      </w:r>
      <w:r>
        <w:rPr>
          <w:rFonts w:hint="eastAsia" w:ascii="宋体" w:hAnsi="宋体" w:eastAsia="宋体" w:cs="宋体"/>
          <w:bCs/>
          <w:color w:val="auto"/>
          <w:kern w:val="2"/>
          <w:sz w:val="32"/>
          <w:szCs w:val="32"/>
        </w:rPr>
        <w:t>年</w:t>
      </w:r>
      <w:r>
        <w:rPr>
          <w:rFonts w:hint="eastAsia" w:ascii="宋体" w:hAnsi="宋体" w:cs="宋体"/>
          <w:bCs/>
          <w:color w:val="auto"/>
          <w:kern w:val="2"/>
          <w:sz w:val="32"/>
          <w:szCs w:val="32"/>
          <w:lang w:val="en-US" w:eastAsia="zh-CN"/>
        </w:rPr>
        <w:t>1</w:t>
      </w:r>
      <w:bookmarkEnd w:id="0"/>
      <w:bookmarkEnd w:id="1"/>
      <w:r>
        <w:rPr>
          <w:rFonts w:hint="eastAsia" w:ascii="宋体" w:hAnsi="宋体" w:cs="宋体"/>
          <w:bCs/>
          <w:color w:val="auto"/>
          <w:kern w:val="2"/>
          <w:sz w:val="32"/>
          <w:szCs w:val="32"/>
          <w:lang w:val="en-US" w:eastAsia="zh-CN"/>
        </w:rPr>
        <w:t>1月</w:t>
      </w:r>
    </w:p>
    <w:p>
      <w:pPr>
        <w:pStyle w:val="24"/>
        <w:spacing w:before="100" w:beforeAutospacing="1" w:after="100" w:afterAutospacing="1" w:line="560" w:lineRule="exac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目   录</w:t>
      </w:r>
      <w:bookmarkStart w:id="2" w:name="_Toc312878805"/>
      <w:bookmarkStart w:id="3" w:name="_Toc205001176"/>
      <w:bookmarkStart w:id="4" w:name="_Toc312922712"/>
    </w:p>
    <w:p>
      <w:pPr>
        <w:pStyle w:val="24"/>
        <w:spacing w:before="100" w:beforeAutospacing="1" w:after="100" w:afterAutospacing="1" w:line="560" w:lineRule="exact"/>
        <w:rPr>
          <w:rFonts w:hint="eastAsia" w:ascii="宋体" w:hAnsi="宋体" w:eastAsia="宋体" w:cs="宋体"/>
          <w:b/>
          <w:color w:val="auto"/>
          <w:sz w:val="30"/>
          <w:szCs w:val="30"/>
        </w:rPr>
      </w:pPr>
    </w:p>
    <w:p>
      <w:pPr>
        <w:pStyle w:val="2"/>
        <w:tabs>
          <w:tab w:val="right" w:leader="dot" w:pos="9746"/>
          <w:tab w:val="clear" w:pos="985"/>
          <w:tab w:val="clear" w:pos="9356"/>
        </w:tabs>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TOC \o "1-3" \h \z \u </w:instrText>
      </w:r>
      <w:r>
        <w:rPr>
          <w:rFonts w:hint="eastAsia" w:ascii="宋体" w:hAnsi="宋体" w:eastAsia="宋体" w:cs="宋体"/>
          <w:color w:val="auto"/>
          <w:sz w:val="30"/>
          <w:szCs w:val="30"/>
        </w:rPr>
        <w:fldChar w:fldCharType="separate"/>
      </w:r>
    </w:p>
    <w:p>
      <w:pPr>
        <w:pStyle w:val="2"/>
        <w:tabs>
          <w:tab w:val="right" w:leader="dot" w:pos="9746"/>
          <w:tab w:val="clear" w:pos="985"/>
          <w:tab w:val="clear" w:pos="9356"/>
        </w:tabs>
        <w:spacing w:line="720" w:lineRule="auto"/>
      </w:pPr>
      <w:r>
        <w:rPr>
          <w:rFonts w:hint="eastAsia" w:ascii="宋体" w:hAnsi="宋体" w:eastAsia="宋体" w:cs="宋体"/>
          <w:color w:val="auto"/>
          <w:szCs w:val="30"/>
        </w:rPr>
        <w:fldChar w:fldCharType="begin"/>
      </w:r>
      <w:r>
        <w:rPr>
          <w:rFonts w:hint="eastAsia" w:ascii="宋体" w:hAnsi="宋体" w:eastAsia="宋体" w:cs="宋体"/>
          <w:szCs w:val="30"/>
        </w:rPr>
        <w:instrText xml:space="preserve"> HYPERLINK \l _Toc6729 </w:instrText>
      </w:r>
      <w:r>
        <w:rPr>
          <w:rFonts w:hint="eastAsia" w:ascii="宋体" w:hAnsi="宋体" w:eastAsia="宋体" w:cs="宋体"/>
          <w:szCs w:val="30"/>
        </w:rPr>
        <w:fldChar w:fldCharType="separate"/>
      </w:r>
      <w:r>
        <w:rPr>
          <w:rFonts w:hint="eastAsia" w:ascii="宋体" w:hAnsi="宋体" w:cs="宋体"/>
          <w:szCs w:val="36"/>
          <w:lang w:val="en-US" w:eastAsia="zh-CN"/>
        </w:rPr>
        <w:t>竞争性谈判公告</w:t>
      </w:r>
      <w:r>
        <w:tab/>
      </w:r>
      <w:r>
        <w:fldChar w:fldCharType="begin"/>
      </w:r>
      <w:r>
        <w:instrText xml:space="preserve"> PAGEREF _Toc6729 </w:instrText>
      </w:r>
      <w:r>
        <w:fldChar w:fldCharType="separate"/>
      </w:r>
      <w:r>
        <w:t>3</w:t>
      </w:r>
      <w:r>
        <w:fldChar w:fldCharType="end"/>
      </w:r>
      <w:r>
        <w:rPr>
          <w:rFonts w:hint="eastAsia" w:ascii="宋体" w:hAnsi="宋体" w:eastAsia="宋体" w:cs="宋体"/>
          <w:color w:val="auto"/>
          <w:szCs w:val="30"/>
        </w:rPr>
        <w:fldChar w:fldCharType="end"/>
      </w:r>
    </w:p>
    <w:p>
      <w:pPr>
        <w:pStyle w:val="2"/>
        <w:tabs>
          <w:tab w:val="right" w:leader="dot" w:pos="9746"/>
          <w:tab w:val="clear" w:pos="985"/>
          <w:tab w:val="clear" w:pos="9356"/>
        </w:tabs>
        <w:spacing w:line="720" w:lineRule="auto"/>
      </w:pPr>
      <w:r>
        <w:rPr>
          <w:rFonts w:hint="eastAsia" w:ascii="宋体" w:hAnsi="宋体" w:eastAsia="宋体" w:cs="宋体"/>
          <w:color w:val="auto"/>
          <w:szCs w:val="30"/>
        </w:rPr>
        <w:fldChar w:fldCharType="begin"/>
      </w:r>
      <w:r>
        <w:rPr>
          <w:rFonts w:hint="eastAsia" w:ascii="宋体" w:hAnsi="宋体" w:eastAsia="宋体" w:cs="宋体"/>
          <w:szCs w:val="30"/>
        </w:rPr>
        <w:instrText xml:space="preserve"> HYPERLINK \l _Toc24868 </w:instrText>
      </w:r>
      <w:r>
        <w:rPr>
          <w:rFonts w:hint="eastAsia" w:ascii="宋体" w:hAnsi="宋体" w:eastAsia="宋体" w:cs="宋体"/>
          <w:szCs w:val="30"/>
        </w:rPr>
        <w:fldChar w:fldCharType="separate"/>
      </w:r>
      <w:r>
        <w:rPr>
          <w:rFonts w:hint="eastAsia" w:ascii="宋体" w:hAnsi="宋体" w:cs="宋体"/>
          <w:szCs w:val="36"/>
          <w:lang w:val="en-US" w:eastAsia="zh-CN"/>
        </w:rPr>
        <w:t xml:space="preserve">第一章  </w:t>
      </w:r>
      <w:r>
        <w:rPr>
          <w:rFonts w:hint="eastAsia" w:ascii="宋体" w:hAnsi="宋体" w:eastAsia="宋体" w:cs="宋体"/>
          <w:szCs w:val="36"/>
        </w:rPr>
        <w:t>谈判供应商须知及前附表</w:t>
      </w:r>
      <w:r>
        <w:tab/>
      </w:r>
      <w:r>
        <w:fldChar w:fldCharType="begin"/>
      </w:r>
      <w:r>
        <w:instrText xml:space="preserve"> PAGEREF _Toc24868 </w:instrText>
      </w:r>
      <w:r>
        <w:fldChar w:fldCharType="separate"/>
      </w:r>
      <w:r>
        <w:t>5</w:t>
      </w:r>
      <w:r>
        <w:fldChar w:fldCharType="end"/>
      </w:r>
      <w:r>
        <w:rPr>
          <w:rFonts w:hint="eastAsia" w:ascii="宋体" w:hAnsi="宋体" w:eastAsia="宋体" w:cs="宋体"/>
          <w:color w:val="auto"/>
          <w:szCs w:val="30"/>
        </w:rPr>
        <w:fldChar w:fldCharType="end"/>
      </w:r>
    </w:p>
    <w:p>
      <w:pPr>
        <w:pStyle w:val="2"/>
        <w:tabs>
          <w:tab w:val="right" w:leader="dot" w:pos="9746"/>
          <w:tab w:val="clear" w:pos="985"/>
          <w:tab w:val="clear" w:pos="9356"/>
        </w:tabs>
        <w:spacing w:line="720" w:lineRule="auto"/>
      </w:pPr>
      <w:r>
        <w:rPr>
          <w:rFonts w:hint="eastAsia" w:ascii="宋体" w:hAnsi="宋体" w:eastAsia="宋体" w:cs="宋体"/>
          <w:color w:val="auto"/>
          <w:szCs w:val="30"/>
        </w:rPr>
        <w:fldChar w:fldCharType="begin"/>
      </w:r>
      <w:r>
        <w:rPr>
          <w:rFonts w:hint="eastAsia" w:ascii="宋体" w:hAnsi="宋体" w:eastAsia="宋体" w:cs="宋体"/>
          <w:szCs w:val="30"/>
        </w:rPr>
        <w:instrText xml:space="preserve"> HYPERLINK \l _Toc20533 </w:instrText>
      </w:r>
      <w:r>
        <w:rPr>
          <w:rFonts w:hint="eastAsia" w:ascii="宋体" w:hAnsi="宋体" w:eastAsia="宋体" w:cs="宋体"/>
          <w:szCs w:val="30"/>
        </w:rPr>
        <w:fldChar w:fldCharType="separate"/>
      </w:r>
      <w:r>
        <w:rPr>
          <w:rFonts w:hint="eastAsia" w:ascii="宋体" w:hAnsi="宋体" w:cs="宋体"/>
          <w:szCs w:val="36"/>
          <w:lang w:val="en-US" w:eastAsia="zh-CN"/>
        </w:rPr>
        <w:t>第二章  项目需求</w:t>
      </w:r>
      <w:r>
        <w:tab/>
      </w:r>
      <w:r>
        <w:fldChar w:fldCharType="begin"/>
      </w:r>
      <w:r>
        <w:instrText xml:space="preserve"> PAGEREF _Toc20533 </w:instrText>
      </w:r>
      <w:r>
        <w:fldChar w:fldCharType="separate"/>
      </w:r>
      <w:r>
        <w:t>15</w:t>
      </w:r>
      <w:r>
        <w:fldChar w:fldCharType="end"/>
      </w:r>
      <w:r>
        <w:rPr>
          <w:rFonts w:hint="eastAsia" w:ascii="宋体" w:hAnsi="宋体" w:eastAsia="宋体" w:cs="宋体"/>
          <w:color w:val="auto"/>
          <w:szCs w:val="30"/>
        </w:rPr>
        <w:fldChar w:fldCharType="end"/>
      </w:r>
    </w:p>
    <w:p>
      <w:pPr>
        <w:pStyle w:val="2"/>
        <w:tabs>
          <w:tab w:val="right" w:leader="dot" w:pos="9746"/>
          <w:tab w:val="clear" w:pos="985"/>
          <w:tab w:val="clear" w:pos="9356"/>
        </w:tabs>
        <w:spacing w:line="720" w:lineRule="auto"/>
      </w:pPr>
      <w:r>
        <w:rPr>
          <w:rFonts w:hint="eastAsia" w:ascii="宋体" w:hAnsi="宋体" w:eastAsia="宋体" w:cs="宋体"/>
          <w:color w:val="auto"/>
          <w:szCs w:val="30"/>
        </w:rPr>
        <w:fldChar w:fldCharType="begin"/>
      </w:r>
      <w:r>
        <w:rPr>
          <w:rFonts w:hint="eastAsia" w:ascii="宋体" w:hAnsi="宋体" w:eastAsia="宋体" w:cs="宋体"/>
          <w:szCs w:val="30"/>
        </w:rPr>
        <w:instrText xml:space="preserve"> HYPERLINK \l _Toc8902 </w:instrText>
      </w:r>
      <w:r>
        <w:rPr>
          <w:rFonts w:hint="eastAsia" w:ascii="宋体" w:hAnsi="宋体" w:eastAsia="宋体" w:cs="宋体"/>
          <w:szCs w:val="30"/>
        </w:rPr>
        <w:fldChar w:fldCharType="separate"/>
      </w:r>
      <w:r>
        <w:rPr>
          <w:rFonts w:hint="eastAsia" w:ascii="宋体" w:hAnsi="宋体" w:cs="宋体"/>
          <w:szCs w:val="44"/>
          <w:lang w:val="en-US" w:eastAsia="zh-CN"/>
        </w:rPr>
        <w:t xml:space="preserve">第三章 </w:t>
      </w:r>
      <w:r>
        <w:rPr>
          <w:rFonts w:hint="eastAsia" w:ascii="宋体" w:hAnsi="宋体" w:eastAsia="宋体" w:cs="宋体"/>
          <w:szCs w:val="44"/>
        </w:rPr>
        <w:t>评标办法</w:t>
      </w:r>
      <w:r>
        <w:tab/>
      </w:r>
      <w:r>
        <w:fldChar w:fldCharType="begin"/>
      </w:r>
      <w:r>
        <w:instrText xml:space="preserve"> PAGEREF _Toc8902 </w:instrText>
      </w:r>
      <w:r>
        <w:fldChar w:fldCharType="separate"/>
      </w:r>
      <w:r>
        <w:t>18</w:t>
      </w:r>
      <w:r>
        <w:fldChar w:fldCharType="end"/>
      </w:r>
      <w:r>
        <w:rPr>
          <w:rFonts w:hint="eastAsia" w:ascii="宋体" w:hAnsi="宋体" w:eastAsia="宋体" w:cs="宋体"/>
          <w:color w:val="auto"/>
          <w:szCs w:val="30"/>
        </w:rPr>
        <w:fldChar w:fldCharType="end"/>
      </w:r>
    </w:p>
    <w:p>
      <w:pPr>
        <w:pStyle w:val="2"/>
        <w:tabs>
          <w:tab w:val="right" w:leader="dot" w:pos="9746"/>
          <w:tab w:val="clear" w:pos="985"/>
          <w:tab w:val="clear" w:pos="9356"/>
        </w:tabs>
        <w:spacing w:line="720" w:lineRule="auto"/>
      </w:pPr>
      <w:r>
        <w:rPr>
          <w:rFonts w:hint="eastAsia" w:ascii="宋体" w:hAnsi="宋体" w:eastAsia="宋体" w:cs="宋体"/>
          <w:color w:val="auto"/>
          <w:szCs w:val="30"/>
        </w:rPr>
        <w:fldChar w:fldCharType="begin"/>
      </w:r>
      <w:r>
        <w:rPr>
          <w:rFonts w:hint="eastAsia" w:ascii="宋体" w:hAnsi="宋体" w:eastAsia="宋体" w:cs="宋体"/>
          <w:szCs w:val="30"/>
        </w:rPr>
        <w:instrText xml:space="preserve"> HYPERLINK \l _Toc27206 </w:instrText>
      </w:r>
      <w:r>
        <w:rPr>
          <w:rFonts w:hint="eastAsia" w:ascii="宋体" w:hAnsi="宋体" w:eastAsia="宋体" w:cs="宋体"/>
          <w:szCs w:val="30"/>
        </w:rPr>
        <w:fldChar w:fldCharType="separate"/>
      </w:r>
      <w:r>
        <w:rPr>
          <w:rFonts w:hint="eastAsia" w:ascii="宋体" w:hAnsi="宋体" w:cs="宋体"/>
          <w:szCs w:val="44"/>
          <w:lang w:val="en-US" w:eastAsia="zh-CN"/>
        </w:rPr>
        <w:t xml:space="preserve">第四章  </w:t>
      </w:r>
      <w:r>
        <w:rPr>
          <w:rFonts w:hint="eastAsia" w:ascii="宋体" w:hAnsi="宋体" w:eastAsia="宋体" w:cs="宋体"/>
          <w:szCs w:val="44"/>
        </w:rPr>
        <w:t>合同主要条款格式</w:t>
      </w:r>
      <w:r>
        <w:tab/>
      </w:r>
      <w:r>
        <w:fldChar w:fldCharType="begin"/>
      </w:r>
      <w:r>
        <w:instrText xml:space="preserve"> PAGEREF _Toc27206 </w:instrText>
      </w:r>
      <w:r>
        <w:fldChar w:fldCharType="separate"/>
      </w:r>
      <w:r>
        <w:t>19</w:t>
      </w:r>
      <w:r>
        <w:fldChar w:fldCharType="end"/>
      </w:r>
      <w:r>
        <w:rPr>
          <w:rFonts w:hint="eastAsia" w:ascii="宋体" w:hAnsi="宋体" w:eastAsia="宋体" w:cs="宋体"/>
          <w:color w:val="auto"/>
          <w:szCs w:val="30"/>
        </w:rPr>
        <w:fldChar w:fldCharType="end"/>
      </w:r>
    </w:p>
    <w:p>
      <w:pPr>
        <w:pStyle w:val="2"/>
        <w:tabs>
          <w:tab w:val="right" w:leader="dot" w:pos="9746"/>
          <w:tab w:val="clear" w:pos="985"/>
          <w:tab w:val="clear" w:pos="9356"/>
        </w:tabs>
        <w:spacing w:line="720" w:lineRule="auto"/>
      </w:pPr>
      <w:r>
        <w:rPr>
          <w:rFonts w:hint="eastAsia" w:ascii="宋体" w:hAnsi="宋体" w:eastAsia="宋体" w:cs="宋体"/>
          <w:color w:val="auto"/>
          <w:szCs w:val="30"/>
        </w:rPr>
        <w:fldChar w:fldCharType="begin"/>
      </w:r>
      <w:r>
        <w:rPr>
          <w:rFonts w:hint="eastAsia" w:ascii="宋体" w:hAnsi="宋体" w:eastAsia="宋体" w:cs="宋体"/>
          <w:szCs w:val="30"/>
        </w:rPr>
        <w:instrText xml:space="preserve"> HYPERLINK \l _Toc2398 </w:instrText>
      </w:r>
      <w:r>
        <w:rPr>
          <w:rFonts w:hint="eastAsia" w:ascii="宋体" w:hAnsi="宋体" w:eastAsia="宋体" w:cs="宋体"/>
          <w:szCs w:val="30"/>
        </w:rPr>
        <w:fldChar w:fldCharType="separate"/>
      </w:r>
      <w:r>
        <w:rPr>
          <w:rFonts w:hint="eastAsia" w:ascii="宋体" w:hAnsi="宋体" w:cs="宋体"/>
          <w:szCs w:val="44"/>
          <w:lang w:val="en-US" w:eastAsia="zh-CN"/>
        </w:rPr>
        <w:t xml:space="preserve">第五章  </w:t>
      </w:r>
      <w:r>
        <w:rPr>
          <w:rFonts w:hint="eastAsia" w:ascii="宋体" w:hAnsi="宋体" w:eastAsia="宋体" w:cs="宋体"/>
          <w:szCs w:val="44"/>
        </w:rPr>
        <w:t>竞争性谈判响应文件（格式）</w:t>
      </w:r>
      <w:r>
        <w:tab/>
      </w:r>
      <w:r>
        <w:fldChar w:fldCharType="begin"/>
      </w:r>
      <w:r>
        <w:instrText xml:space="preserve"> PAGEREF _Toc2398 </w:instrText>
      </w:r>
      <w:r>
        <w:fldChar w:fldCharType="separate"/>
      </w:r>
      <w:r>
        <w:t>23</w:t>
      </w:r>
      <w:r>
        <w:fldChar w:fldCharType="end"/>
      </w:r>
      <w:r>
        <w:rPr>
          <w:rFonts w:hint="eastAsia" w:ascii="宋体" w:hAnsi="宋体" w:eastAsia="宋体" w:cs="宋体"/>
          <w:color w:val="auto"/>
          <w:szCs w:val="30"/>
        </w:rPr>
        <w:fldChar w:fldCharType="end"/>
      </w:r>
    </w:p>
    <w:p>
      <w:pPr>
        <w:pStyle w:val="2"/>
        <w:spacing w:before="24" w:after="24" w:line="720" w:lineRule="auto"/>
        <w:jc w:val="center"/>
        <w:rPr>
          <w:rFonts w:hint="eastAsia" w:ascii="宋体" w:hAnsi="宋体" w:eastAsia="宋体" w:cs="宋体"/>
          <w:color w:val="auto"/>
          <w:lang w:eastAsia="zh-CN"/>
        </w:rPr>
      </w:pPr>
      <w:r>
        <w:rPr>
          <w:rFonts w:hint="eastAsia" w:ascii="宋体" w:hAnsi="宋体" w:eastAsia="宋体" w:cs="宋体"/>
          <w:color w:val="auto"/>
          <w:szCs w:val="30"/>
        </w:rPr>
        <w:fldChar w:fldCharType="end"/>
      </w:r>
      <w:bookmarkEnd w:id="2"/>
      <w:bookmarkEnd w:id="3"/>
      <w:bookmarkEnd w:id="4"/>
      <w:bookmarkStart w:id="5" w:name="_Toc205001179"/>
      <w:bookmarkStart w:id="6" w:name="_Toc181594748"/>
      <w:bookmarkStart w:id="7" w:name="_Toc181594900"/>
      <w:bookmarkStart w:id="8" w:name="_Toc312878808"/>
      <w:bookmarkStart w:id="9" w:name="_Toc181594747"/>
      <w:bookmarkStart w:id="10" w:name="_Toc181594899"/>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6"/>
        <w:rPr>
          <w:rFonts w:hint="eastAsia" w:ascii="宋体" w:hAnsi="宋体" w:eastAsia="宋体" w:cs="宋体"/>
          <w:color w:val="auto"/>
        </w:rPr>
      </w:pPr>
    </w:p>
    <w:p>
      <w:pPr>
        <w:pStyle w:val="17"/>
        <w:rPr>
          <w:rFonts w:hint="eastAsia" w:ascii="宋体" w:hAnsi="宋体" w:eastAsia="宋体" w:cs="宋体"/>
          <w:color w:val="auto"/>
        </w:rPr>
      </w:pPr>
    </w:p>
    <w:p>
      <w:pPr>
        <w:pStyle w:val="19"/>
        <w:rPr>
          <w:rFonts w:hint="eastAsia" w:ascii="宋体" w:hAnsi="宋体" w:eastAsia="宋体" w:cs="宋体"/>
          <w:color w:val="auto"/>
        </w:rPr>
      </w:pPr>
    </w:p>
    <w:p>
      <w:pPr>
        <w:rPr>
          <w:rFonts w:hint="eastAsia"/>
        </w:rPr>
      </w:pPr>
    </w:p>
    <w:p>
      <w:pPr>
        <w:pStyle w:val="24"/>
        <w:spacing w:line="500" w:lineRule="exact"/>
        <w:rPr>
          <w:rFonts w:hint="eastAsia" w:ascii="宋体" w:hAnsi="宋体" w:eastAsia="宋体" w:cs="宋体"/>
          <w:b/>
          <w:color w:val="auto"/>
          <w:sz w:val="30"/>
          <w:szCs w:val="30"/>
        </w:rPr>
      </w:pPr>
      <w:bookmarkStart w:id="11" w:name="OLE_LINK5"/>
      <w:bookmarkStart w:id="12" w:name="OLE_LINK1"/>
    </w:p>
    <w:bookmarkEnd w:id="11"/>
    <w:bookmarkEnd w:id="12"/>
    <w:p>
      <w:pPr>
        <w:pStyle w:val="40"/>
        <w:spacing w:line="240" w:lineRule="auto"/>
        <w:rPr>
          <w:rFonts w:hint="eastAsia" w:ascii="宋体" w:hAnsi="宋体" w:eastAsia="宋体" w:cs="宋体"/>
          <w:color w:val="auto"/>
          <w:lang w:eastAsia="zh-CN"/>
        </w:rPr>
      </w:pPr>
      <w:bookmarkStart w:id="13" w:name="_Toc342313041"/>
      <w:r>
        <w:rPr>
          <w:rFonts w:hint="eastAsia" w:ascii="宋体" w:hAnsi="宋体" w:eastAsia="宋体" w:cs="宋体"/>
          <w:color w:val="auto"/>
        </w:rPr>
        <w:t xml:space="preserve"> </w:t>
      </w:r>
      <w:bookmarkStart w:id="14" w:name="_Toc30068"/>
      <w:r>
        <w:rPr>
          <w:rFonts w:hint="eastAsia" w:ascii="宋体" w:hAnsi="宋体" w:cs="宋体"/>
          <w:color w:val="auto"/>
          <w:lang w:eastAsia="zh-CN"/>
        </w:rPr>
        <w:t>2020年市委宣传部党员活动室规范化建设项目</w:t>
      </w:r>
    </w:p>
    <w:p>
      <w:pPr>
        <w:pStyle w:val="3"/>
        <w:bidi w:val="0"/>
        <w:jc w:val="center"/>
        <w:rPr>
          <w:rFonts w:hint="eastAsia" w:ascii="宋体" w:hAnsi="宋体" w:eastAsia="宋体" w:cs="宋体"/>
          <w:color w:val="auto"/>
          <w:sz w:val="36"/>
          <w:szCs w:val="36"/>
        </w:rPr>
      </w:pPr>
      <w:bookmarkStart w:id="15" w:name="_Toc28403"/>
      <w:r>
        <w:rPr>
          <w:rFonts w:hint="eastAsia" w:ascii="宋体" w:hAnsi="宋体" w:eastAsia="宋体" w:cs="宋体"/>
          <w:color w:val="auto"/>
          <w:sz w:val="36"/>
          <w:szCs w:val="36"/>
        </w:rPr>
        <w:t>（项目编号：</w:t>
      </w:r>
      <w:r>
        <w:rPr>
          <w:rFonts w:hint="eastAsia" w:ascii="宋体" w:hAnsi="宋体" w:cs="宋体"/>
          <w:color w:val="auto"/>
          <w:sz w:val="36"/>
          <w:szCs w:val="36"/>
          <w:lang w:eastAsia="zh-CN"/>
        </w:rPr>
        <w:t>YLZC2020-J3-000637-GXXH</w:t>
      </w:r>
      <w:r>
        <w:rPr>
          <w:rFonts w:hint="eastAsia" w:ascii="宋体" w:hAnsi="宋体" w:eastAsia="宋体" w:cs="宋体"/>
          <w:color w:val="auto"/>
          <w:sz w:val="36"/>
          <w:szCs w:val="36"/>
        </w:rPr>
        <w:t>）</w:t>
      </w:r>
      <w:bookmarkEnd w:id="14"/>
      <w:bookmarkEnd w:id="15"/>
    </w:p>
    <w:p>
      <w:pPr>
        <w:pStyle w:val="3"/>
        <w:numPr>
          <w:ilvl w:val="0"/>
          <w:numId w:val="0"/>
        </w:numPr>
        <w:spacing w:before="120" w:beforeLines="50" w:after="120" w:afterLines="50" w:line="440" w:lineRule="exact"/>
        <w:ind w:leftChars="0"/>
        <w:jc w:val="center"/>
        <w:rPr>
          <w:rFonts w:hint="eastAsia" w:ascii="宋体" w:hAnsi="宋体" w:cs="宋体"/>
          <w:color w:val="auto"/>
          <w:sz w:val="36"/>
          <w:szCs w:val="36"/>
          <w:lang w:val="en-US" w:eastAsia="zh-CN"/>
        </w:rPr>
      </w:pPr>
      <w:bookmarkStart w:id="16" w:name="_Toc25697"/>
      <w:bookmarkStart w:id="17" w:name="_Toc6729"/>
      <w:bookmarkStart w:id="18" w:name="_Toc14203"/>
      <w:r>
        <w:rPr>
          <w:rFonts w:hint="eastAsia" w:ascii="宋体" w:hAnsi="宋体" w:cs="宋体"/>
          <w:color w:val="auto"/>
          <w:sz w:val="36"/>
          <w:szCs w:val="36"/>
          <w:lang w:val="en-US" w:eastAsia="zh-CN"/>
        </w:rPr>
        <w:t>竞争性谈判公告</w:t>
      </w:r>
      <w:bookmarkEnd w:id="16"/>
      <w:bookmarkEnd w:id="17"/>
      <w:bookmarkEnd w:id="18"/>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ind w:firstLine="480" w:firstLineChars="200"/>
              <w:rPr>
                <w:rFonts w:hint="eastAsia" w:ascii="宋体" w:hAnsi="宋体" w:eastAsia="宋体" w:cs="宋体"/>
                <w:color w:val="auto"/>
                <w:sz w:val="24"/>
                <w:szCs w:val="24"/>
                <w:vertAlign w:val="baseline"/>
              </w:rPr>
            </w:pPr>
            <w:r>
              <w:rPr>
                <w:rFonts w:hint="eastAsia" w:ascii="宋体" w:hAnsi="宋体" w:cs="宋体"/>
                <w:color w:val="auto"/>
                <w:sz w:val="24"/>
                <w:szCs w:val="24"/>
                <w:lang w:eastAsia="zh-CN"/>
              </w:rPr>
              <w:t>2020年市委宣传部党员活动室规范化建设项目</w:t>
            </w:r>
            <w:r>
              <w:rPr>
                <w:rFonts w:hint="eastAsia" w:ascii="宋体" w:hAnsi="宋体" w:eastAsia="宋体" w:cs="宋体"/>
                <w:color w:val="auto"/>
                <w:sz w:val="24"/>
                <w:szCs w:val="24"/>
              </w:rPr>
              <w:t>采购项目的潜在供应商应在政采云平台（https://www.zcygov.cn/）在线办理并自行下载采购文件，并于2020年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日1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点</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0分（北京时间）前提交响应文件。</w:t>
            </w:r>
          </w:p>
        </w:tc>
      </w:tr>
    </w:tbl>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YLZC2020-J3-000637-GXXH</w:t>
      </w:r>
      <w:r>
        <w:rPr>
          <w:rFonts w:hint="eastAsia" w:ascii="宋体" w:hAnsi="宋体" w:eastAsia="宋体" w:cs="宋体"/>
          <w:color w:val="auto"/>
          <w:sz w:val="24"/>
          <w:szCs w:val="24"/>
        </w:rPr>
        <w:t xml:space="preserve">  </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2020年市委宣传部党员活动室规范化建设项目</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采购方式：竞争性</w:t>
      </w:r>
      <w:r>
        <w:rPr>
          <w:rFonts w:hint="eastAsia" w:ascii="宋体" w:hAnsi="宋体" w:cs="宋体"/>
          <w:color w:val="auto"/>
          <w:sz w:val="24"/>
          <w:szCs w:val="24"/>
          <w:lang w:val="en-US" w:eastAsia="zh-CN"/>
        </w:rPr>
        <w:t>谈判</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预算金额：（人民币）：</w:t>
      </w:r>
      <w:r>
        <w:rPr>
          <w:rFonts w:hint="eastAsia" w:ascii="宋体" w:hAnsi="宋体" w:cs="宋体"/>
          <w:color w:val="auto"/>
          <w:sz w:val="24"/>
          <w:szCs w:val="24"/>
          <w:lang w:val="en-US" w:eastAsia="zh-CN"/>
        </w:rPr>
        <w:t>99782.52</w:t>
      </w:r>
      <w:r>
        <w:rPr>
          <w:rFonts w:hint="eastAsia" w:ascii="宋体" w:hAnsi="宋体" w:eastAsia="宋体" w:cs="宋体"/>
          <w:color w:val="auto"/>
          <w:sz w:val="24"/>
          <w:szCs w:val="24"/>
        </w:rPr>
        <w:t>元。</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cs="宋体"/>
          <w:color w:val="auto"/>
          <w:sz w:val="24"/>
          <w:szCs w:val="24"/>
          <w:lang w:eastAsia="zh-CN"/>
        </w:rPr>
        <w:t>2020年市委宣传部党员活动室规范化建设项目</w:t>
      </w:r>
      <w:r>
        <w:rPr>
          <w:rFonts w:hint="eastAsia" w:ascii="宋体" w:hAnsi="宋体" w:eastAsia="宋体" w:cs="宋体"/>
          <w:color w:val="auto"/>
          <w:sz w:val="24"/>
          <w:szCs w:val="24"/>
          <w:lang w:val="en-US" w:eastAsia="zh-CN"/>
        </w:rPr>
        <w:t>1项。如需进一步了解详细内容，详见竞争性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自签订合同之日起</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日内</w:t>
      </w:r>
      <w:r>
        <w:rPr>
          <w:rFonts w:hint="eastAsia" w:ascii="宋体" w:hAnsi="宋体" w:eastAsia="宋体" w:cs="宋体"/>
          <w:color w:val="auto"/>
          <w:sz w:val="24"/>
          <w:szCs w:val="24"/>
        </w:rPr>
        <w:t>通过验收</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交付使用</w:t>
      </w:r>
      <w:r>
        <w:rPr>
          <w:rFonts w:hint="eastAsia" w:ascii="宋体" w:hAnsi="宋体" w:eastAsia="宋体" w:cs="宋体"/>
          <w:color w:val="auto"/>
          <w:sz w:val="24"/>
          <w:szCs w:val="24"/>
          <w:lang w:eastAsia="zh-CN"/>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二、申请人的资格要求：</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政府采购促进中小企业发展；政府采购支持采用本国产品的政策；强制采购、优先采购环境标志产品、节能产品；政府采购促进残疾人就业政策；政府采购支持监狱企业发展。</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3、本项目的特定资格要求：无</w:t>
      </w:r>
      <w:r>
        <w:rPr>
          <w:rFonts w:hint="eastAsia" w:ascii="宋体" w:hAnsi="宋体" w:eastAsia="宋体" w:cs="宋体"/>
          <w:color w:val="auto"/>
          <w:sz w:val="24"/>
          <w:szCs w:val="24"/>
          <w:lang w:eastAsia="zh-CN"/>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1、获取时间：自公告发布之时起至2020年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日止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工作日</w:t>
      </w:r>
      <w:r>
        <w:rPr>
          <w:rFonts w:hint="eastAsia" w:ascii="宋体" w:hAnsi="宋体" w:eastAsia="宋体" w:cs="宋体"/>
          <w:color w:val="auto"/>
          <w:sz w:val="24"/>
          <w:szCs w:val="24"/>
          <w:lang w:eastAsia="zh-CN"/>
        </w:rPr>
        <w:t>），每日8:00-12:00时，15:00-18:00时，供应商未获取本项目竞争性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文件的，代理机构将拒收该响应文件</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2、获取方式：供应商须登录政采云平台（https://www.zcygov.cn/）在线办理</w:t>
      </w:r>
      <w:r>
        <w:rPr>
          <w:rFonts w:hint="eastAsia" w:ascii="宋体" w:hAnsi="宋体" w:eastAsia="宋体" w:cs="宋体"/>
          <w:color w:val="auto"/>
          <w:sz w:val="24"/>
          <w:szCs w:val="24"/>
          <w:lang w:val="en-US" w:eastAsia="zh-CN"/>
        </w:rPr>
        <w:t>报名</w:t>
      </w:r>
      <w:r>
        <w:rPr>
          <w:rFonts w:hint="eastAsia" w:ascii="宋体" w:hAnsi="宋体" w:eastAsia="宋体" w:cs="宋体"/>
          <w:color w:val="auto"/>
          <w:sz w:val="24"/>
          <w:szCs w:val="24"/>
        </w:rPr>
        <w:t>并自行下载</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rPr>
        <w:t>文件；未注册的供应商可在政采云平台完成注册后再进行报名</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下载。如在操作过程中遇到问题或需技术支持，请致电政采云客服热线：400-881-7190。</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截止时间：2020年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日1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点</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0分（北京时间）</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w:t>
      </w:r>
      <w:r>
        <w:rPr>
          <w:rFonts w:hint="eastAsia" w:ascii="宋体" w:hAnsi="宋体" w:cs="宋体"/>
          <w:color w:val="auto"/>
          <w:sz w:val="24"/>
          <w:szCs w:val="24"/>
          <w:lang w:eastAsia="zh-CN"/>
        </w:rPr>
        <w:t>广西旭航工程咨询有限公司（玉林市中港路南侧爱尚佳酒店旁）</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五、开启</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时间：2020年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日1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点</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0分（北京时间）</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w:t>
      </w:r>
      <w:r>
        <w:rPr>
          <w:rFonts w:hint="eastAsia" w:ascii="宋体" w:hAnsi="宋体" w:cs="宋体"/>
          <w:color w:val="auto"/>
          <w:sz w:val="24"/>
          <w:szCs w:val="24"/>
          <w:lang w:eastAsia="zh-CN"/>
        </w:rPr>
        <w:t>广西旭航工程咨询有限公司（玉林市中港路南侧爱尚佳酒店旁）</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个工作日。</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其他补充事宜</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网上查询地址：中国政府采购网(www.ccgp.gov.cn)、广西壮族自治区政府采购网（zfcg.gxzf.gov.cn）、</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"http://www.ccgp.gov.cn/" </w:instrText>
      </w:r>
      <w:r>
        <w:rPr>
          <w:rFonts w:hint="eastAsia" w:ascii="宋体" w:hAnsi="宋体" w:eastAsia="宋体" w:cs="宋体"/>
          <w:color w:val="auto"/>
          <w:sz w:val="24"/>
          <w:szCs w:val="24"/>
          <w:lang w:val="en-US" w:eastAsia="zh-CN"/>
        </w:rPr>
        <w:fldChar w:fldCharType="separate"/>
      </w:r>
      <w:r>
        <w:rPr>
          <w:rFonts w:hint="eastAsia" w:ascii="宋体" w:hAnsi="宋体" w:cs="宋体"/>
          <w:color w:val="auto"/>
          <w:sz w:val="24"/>
          <w:szCs w:val="24"/>
          <w:lang w:val="en-US" w:eastAsia="zh-CN"/>
        </w:rPr>
        <w:t>中国玉林政府门户网(www.yulin.gov.cn)</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rPr>
        <w:t xml:space="preserve"> </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八、凡对本次采购提出询问，请按以下方式联系。</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采购人信息</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名称：</w:t>
      </w:r>
      <w:r>
        <w:rPr>
          <w:rFonts w:hint="eastAsia" w:ascii="宋体" w:hAnsi="宋体" w:cs="宋体"/>
          <w:color w:val="auto"/>
          <w:sz w:val="24"/>
          <w:szCs w:val="24"/>
          <w:lang w:eastAsia="zh-CN"/>
        </w:rPr>
        <w:t>中国共产党玉林市委员会宣传部</w:t>
      </w:r>
      <w:r>
        <w:rPr>
          <w:rFonts w:hint="eastAsia" w:ascii="宋体" w:hAnsi="宋体" w:eastAsia="宋体" w:cs="宋体"/>
          <w:color w:val="auto"/>
          <w:sz w:val="24"/>
          <w:szCs w:val="24"/>
        </w:rPr>
        <w:t xml:space="preserve">  </w:t>
      </w: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地址：玉林城东办公大楼</w:t>
      </w:r>
    </w:p>
    <w:p>
      <w:pPr>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联系人：夏四根</w:t>
      </w: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0775-</w:t>
      </w:r>
      <w:r>
        <w:rPr>
          <w:rFonts w:hint="eastAsia" w:ascii="宋体" w:hAnsi="宋体" w:cs="宋体"/>
          <w:color w:val="auto"/>
          <w:sz w:val="24"/>
          <w:szCs w:val="24"/>
          <w:lang w:val="en-US" w:eastAsia="zh-CN"/>
        </w:rPr>
        <w:t>2336988</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广西旭航工程咨询有限公司</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址：玉林市中港路南侧爱尚佳酒店旁</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rPr>
        <w:t>：0775-3251933</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项目联系方式</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宋盛丽</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电话：0775-3251933</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监督部门</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名称：玉林市财政局</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联系电话：0775-2697961</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广西旭航工程咨询有限公司</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2020年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w:t>
      </w:r>
    </w:p>
    <w:p>
      <w:pPr>
        <w:pStyle w:val="3"/>
        <w:numPr>
          <w:ilvl w:val="0"/>
          <w:numId w:val="0"/>
        </w:numPr>
        <w:spacing w:before="120" w:beforeLines="50" w:after="120" w:afterLines="50" w:line="440" w:lineRule="exact"/>
        <w:ind w:leftChars="0"/>
        <w:jc w:val="both"/>
        <w:rPr>
          <w:rFonts w:hint="eastAsia" w:ascii="宋体" w:hAnsi="宋体" w:eastAsia="宋体" w:cs="宋体"/>
          <w:color w:val="auto"/>
          <w:sz w:val="36"/>
          <w:szCs w:val="36"/>
        </w:rPr>
      </w:pPr>
    </w:p>
    <w:p>
      <w:pPr>
        <w:pStyle w:val="3"/>
        <w:numPr>
          <w:ilvl w:val="0"/>
          <w:numId w:val="0"/>
        </w:numPr>
        <w:spacing w:before="120" w:beforeLines="50" w:after="120" w:afterLines="50" w:line="440" w:lineRule="exact"/>
        <w:ind w:leftChars="0"/>
        <w:jc w:val="both"/>
        <w:rPr>
          <w:rFonts w:hint="eastAsia" w:ascii="宋体" w:hAnsi="宋体" w:eastAsia="宋体" w:cs="宋体"/>
          <w:color w:val="auto"/>
          <w:sz w:val="36"/>
          <w:szCs w:val="36"/>
        </w:rPr>
      </w:pPr>
    </w:p>
    <w:p>
      <w:pPr>
        <w:pStyle w:val="3"/>
        <w:numPr>
          <w:ilvl w:val="0"/>
          <w:numId w:val="0"/>
        </w:numPr>
        <w:spacing w:before="120" w:beforeLines="50" w:after="120" w:afterLines="50" w:line="440" w:lineRule="exact"/>
        <w:ind w:leftChars="0"/>
        <w:jc w:val="both"/>
        <w:rPr>
          <w:rFonts w:hint="eastAsia" w:ascii="宋体" w:hAnsi="宋体" w:eastAsia="宋体" w:cs="宋体"/>
          <w:color w:val="auto"/>
          <w:sz w:val="36"/>
          <w:szCs w:val="36"/>
        </w:rPr>
      </w:pPr>
    </w:p>
    <w:p>
      <w:pPr>
        <w:pStyle w:val="3"/>
        <w:numPr>
          <w:ilvl w:val="0"/>
          <w:numId w:val="0"/>
        </w:numPr>
        <w:spacing w:before="120" w:beforeLines="50" w:after="120" w:afterLines="50" w:line="440" w:lineRule="exact"/>
        <w:ind w:leftChars="0"/>
        <w:jc w:val="both"/>
        <w:rPr>
          <w:rFonts w:hint="eastAsia" w:ascii="宋体" w:hAnsi="宋体" w:eastAsia="宋体" w:cs="宋体"/>
          <w:color w:val="auto"/>
          <w:sz w:val="36"/>
          <w:szCs w:val="36"/>
        </w:rPr>
      </w:pPr>
    </w:p>
    <w:p>
      <w:pPr>
        <w:pStyle w:val="3"/>
        <w:numPr>
          <w:ilvl w:val="0"/>
          <w:numId w:val="0"/>
        </w:numPr>
        <w:spacing w:before="120" w:beforeLines="50" w:after="120" w:afterLines="50" w:line="440" w:lineRule="exact"/>
        <w:ind w:leftChars="0"/>
        <w:jc w:val="both"/>
        <w:rPr>
          <w:rFonts w:hint="eastAsia" w:ascii="宋体" w:hAnsi="宋体" w:eastAsia="宋体" w:cs="宋体"/>
          <w:color w:val="auto"/>
          <w:sz w:val="36"/>
          <w:szCs w:val="36"/>
        </w:rPr>
      </w:pPr>
    </w:p>
    <w:p>
      <w:pPr>
        <w:pStyle w:val="3"/>
        <w:numPr>
          <w:ilvl w:val="0"/>
          <w:numId w:val="0"/>
        </w:numPr>
        <w:spacing w:before="120" w:beforeLines="50" w:after="120" w:afterLines="50" w:line="440" w:lineRule="exact"/>
        <w:ind w:leftChars="0"/>
        <w:jc w:val="both"/>
        <w:rPr>
          <w:rFonts w:hint="eastAsia" w:ascii="宋体" w:hAnsi="宋体" w:eastAsia="宋体" w:cs="宋体"/>
          <w:color w:val="auto"/>
          <w:sz w:val="36"/>
          <w:szCs w:val="36"/>
        </w:rPr>
      </w:pPr>
    </w:p>
    <w:p>
      <w:pPr>
        <w:rPr>
          <w:rFonts w:hint="eastAsia" w:ascii="宋体" w:hAnsi="宋体" w:eastAsia="宋体" w:cs="宋体"/>
          <w:color w:val="auto"/>
          <w:sz w:val="36"/>
          <w:szCs w:val="36"/>
        </w:rPr>
      </w:pPr>
    </w:p>
    <w:p>
      <w:pPr>
        <w:pStyle w:val="16"/>
        <w:rPr>
          <w:rFonts w:hint="eastAsia"/>
        </w:rPr>
      </w:pPr>
    </w:p>
    <w:p>
      <w:pPr>
        <w:pStyle w:val="3"/>
        <w:numPr>
          <w:ilvl w:val="0"/>
          <w:numId w:val="0"/>
        </w:numPr>
        <w:spacing w:before="120" w:beforeLines="50" w:after="120" w:afterLines="50" w:line="440" w:lineRule="exact"/>
        <w:ind w:leftChars="0"/>
        <w:jc w:val="both"/>
        <w:rPr>
          <w:rFonts w:hint="eastAsia" w:ascii="宋体" w:hAnsi="宋体" w:eastAsia="宋体" w:cs="宋体"/>
          <w:color w:val="auto"/>
          <w:sz w:val="36"/>
          <w:szCs w:val="36"/>
        </w:rPr>
      </w:pPr>
    </w:p>
    <w:p>
      <w:pPr>
        <w:rPr>
          <w:rFonts w:hint="eastAsia"/>
        </w:rPr>
      </w:pPr>
    </w:p>
    <w:p>
      <w:pPr>
        <w:pStyle w:val="3"/>
        <w:numPr>
          <w:ilvl w:val="0"/>
          <w:numId w:val="0"/>
        </w:numPr>
        <w:spacing w:before="120" w:beforeLines="50" w:after="120" w:afterLines="50" w:line="440" w:lineRule="exact"/>
        <w:ind w:leftChars="0"/>
        <w:jc w:val="center"/>
        <w:rPr>
          <w:rFonts w:hint="eastAsia" w:ascii="宋体" w:hAnsi="宋体" w:eastAsia="宋体" w:cs="宋体"/>
          <w:color w:val="auto"/>
          <w:sz w:val="36"/>
          <w:szCs w:val="36"/>
        </w:rPr>
      </w:pPr>
      <w:bookmarkStart w:id="19" w:name="_Toc24868"/>
      <w:r>
        <w:rPr>
          <w:rFonts w:hint="eastAsia" w:ascii="宋体" w:hAnsi="宋体" w:cs="宋体"/>
          <w:color w:val="auto"/>
          <w:sz w:val="36"/>
          <w:szCs w:val="36"/>
          <w:lang w:val="en-US" w:eastAsia="zh-CN"/>
        </w:rPr>
        <w:t xml:space="preserve">第一章  </w:t>
      </w:r>
      <w:r>
        <w:rPr>
          <w:rFonts w:hint="eastAsia" w:ascii="宋体" w:hAnsi="宋体" w:eastAsia="宋体" w:cs="宋体"/>
          <w:color w:val="auto"/>
          <w:sz w:val="36"/>
          <w:szCs w:val="36"/>
        </w:rPr>
        <w:t>谈判供应商须知及前附表</w:t>
      </w:r>
      <w:bookmarkEnd w:id="13"/>
      <w:bookmarkEnd w:id="19"/>
    </w:p>
    <w:p>
      <w:pPr>
        <w:pStyle w:val="4"/>
        <w:spacing w:before="120" w:beforeLines="50" w:after="120" w:afterLines="50" w:line="440" w:lineRule="exact"/>
        <w:jc w:val="center"/>
        <w:rPr>
          <w:rFonts w:hint="eastAsia" w:ascii="宋体" w:hAnsi="宋体" w:eastAsia="宋体" w:cs="宋体"/>
          <w:color w:val="auto"/>
        </w:rPr>
      </w:pPr>
      <w:bookmarkStart w:id="20" w:name="_Toc342312889"/>
      <w:bookmarkStart w:id="21" w:name="_Toc342313042"/>
      <w:bookmarkStart w:id="22" w:name="_Toc475431131"/>
      <w:bookmarkStart w:id="23" w:name="_Toc2956489"/>
      <w:bookmarkStart w:id="24" w:name="_Toc2956543"/>
      <w:r>
        <w:rPr>
          <w:rFonts w:hint="eastAsia" w:ascii="宋体" w:hAnsi="宋体" w:eastAsia="宋体" w:cs="宋体"/>
          <w:color w:val="auto"/>
        </w:rPr>
        <w:tab/>
      </w:r>
      <w:bookmarkStart w:id="25" w:name="_Toc686"/>
      <w:r>
        <w:rPr>
          <w:rFonts w:hint="eastAsia" w:ascii="宋体" w:hAnsi="宋体" w:eastAsia="宋体" w:cs="宋体"/>
          <w:color w:val="auto"/>
        </w:rPr>
        <w:t>谈判供应商须知前附表</w:t>
      </w:r>
      <w:bookmarkEnd w:id="5"/>
      <w:bookmarkEnd w:id="6"/>
      <w:bookmarkEnd w:id="7"/>
      <w:bookmarkEnd w:id="8"/>
      <w:bookmarkEnd w:id="9"/>
      <w:bookmarkEnd w:id="10"/>
      <w:bookmarkEnd w:id="20"/>
      <w:bookmarkEnd w:id="21"/>
      <w:bookmarkEnd w:id="22"/>
      <w:bookmarkEnd w:id="23"/>
      <w:bookmarkEnd w:id="24"/>
      <w:bookmarkEnd w:id="25"/>
    </w:p>
    <w:tbl>
      <w:tblPr>
        <w:tblStyle w:val="4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11"/>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7904"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904" w:type="dxa"/>
            <w:vAlign w:val="top"/>
          </w:tcPr>
          <w:p>
            <w:pPr>
              <w:widowControl/>
              <w:spacing w:before="12" w:beforeLines="5" w:after="12" w:afterLines="5" w:line="440" w:lineRule="exact"/>
              <w:jc w:val="left"/>
              <w:rPr>
                <w:rFonts w:hint="eastAsia" w:ascii="宋体" w:hAnsi="宋体" w:eastAsia="宋体" w:cs="宋体"/>
                <w:color w:val="auto"/>
                <w:szCs w:val="21"/>
              </w:rPr>
            </w:pPr>
            <w:r>
              <w:rPr>
                <w:rFonts w:hint="eastAsia" w:ascii="宋体" w:hAnsi="宋体" w:eastAsia="宋体" w:cs="宋体"/>
                <w:color w:val="auto"/>
              </w:rPr>
              <w:t>项目名称：</w:t>
            </w:r>
            <w:r>
              <w:rPr>
                <w:rFonts w:hint="eastAsia" w:ascii="宋体" w:hAnsi="宋体" w:cs="宋体"/>
                <w:color w:val="auto"/>
                <w:lang w:eastAsia="zh-CN"/>
              </w:rPr>
              <w:t>2020年市委宣传部党员活动室规范化建设项目</w:t>
            </w:r>
          </w:p>
          <w:p>
            <w:pPr>
              <w:pStyle w:val="24"/>
              <w:spacing w:before="12" w:beforeLines="5" w:after="12" w:afterLines="5" w:line="440" w:lineRule="exact"/>
              <w:rPr>
                <w:rFonts w:hint="eastAsia" w:ascii="宋体" w:hAnsi="宋体" w:eastAsia="宋体" w:cs="宋体"/>
                <w:color w:val="auto"/>
                <w:kern w:val="0"/>
                <w:szCs w:val="21"/>
                <w:lang w:eastAsia="zh-CN"/>
              </w:rPr>
            </w:pPr>
            <w:r>
              <w:rPr>
                <w:rFonts w:hint="eastAsia" w:ascii="宋体" w:hAnsi="宋体" w:eastAsia="宋体" w:cs="宋体"/>
                <w:color w:val="auto"/>
                <w:szCs w:val="21"/>
              </w:rPr>
              <w:t>项目编号：</w:t>
            </w:r>
            <w:r>
              <w:rPr>
                <w:rFonts w:hint="eastAsia" w:hAnsi="宋体" w:cs="宋体"/>
                <w:color w:val="auto"/>
                <w:szCs w:val="21"/>
                <w:lang w:eastAsia="zh-CN"/>
              </w:rPr>
              <w:t>YLZC2020-J3-000637-GXXH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9"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7904" w:type="dxa"/>
            <w:vAlign w:val="center"/>
          </w:tcPr>
          <w:p>
            <w:pPr>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谈判供应商资格：</w:t>
            </w:r>
          </w:p>
          <w:p>
            <w:pPr>
              <w:widowControl/>
              <w:spacing w:before="12" w:beforeLines="5" w:after="12" w:afterLines="5"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pPr>
              <w:widowControl/>
              <w:spacing w:before="12" w:beforeLines="5" w:after="12" w:afterLines="5"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政府采购促进中小企业发展；政府采购支持采用本国产品的政策；强制采购、优先采购环境标志产品、节能产品；政府采购促进残疾人就业政策；政府采购支持监狱企业发展。</w:t>
            </w:r>
          </w:p>
          <w:p>
            <w:pPr>
              <w:widowControl/>
              <w:spacing w:before="12" w:beforeLines="5" w:after="12" w:afterLines="5" w:line="44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3、本项目的特定资格要求：无</w:t>
            </w:r>
            <w:r>
              <w:rPr>
                <w:rFonts w:hint="eastAsia" w:ascii="宋体" w:hAnsi="宋体" w:eastAsia="宋体" w:cs="宋体"/>
                <w:color w:val="auto"/>
                <w:szCs w:val="21"/>
                <w:lang w:eastAsia="zh-CN"/>
              </w:rPr>
              <w:t>。</w:t>
            </w:r>
          </w:p>
          <w:p>
            <w:pPr>
              <w:widowControl/>
              <w:spacing w:before="12" w:beforeLines="5" w:after="12" w:afterLines="5"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before="12" w:beforeLines="5" w:after="12" w:afterLines="5"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10.1</w:t>
            </w:r>
          </w:p>
        </w:tc>
        <w:tc>
          <w:tcPr>
            <w:tcW w:w="7904" w:type="dxa"/>
            <w:vAlign w:val="center"/>
          </w:tcPr>
          <w:p>
            <w:pPr>
              <w:pStyle w:val="79"/>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谈判报价：谈判供应商须就《项目需求》作出完整唯一报价。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3</w:t>
            </w:r>
            <w:r>
              <w:rPr>
                <w:rFonts w:hint="eastAsia" w:ascii="宋体" w:hAnsi="宋体" w:eastAsia="宋体" w:cs="宋体"/>
                <w:color w:val="auto"/>
                <w:szCs w:val="21"/>
              </w:rPr>
              <w:t>.1</w:t>
            </w:r>
          </w:p>
        </w:tc>
        <w:tc>
          <w:tcPr>
            <w:tcW w:w="7904" w:type="dxa"/>
            <w:vAlign w:val="center"/>
          </w:tcPr>
          <w:p>
            <w:pPr>
              <w:pStyle w:val="79"/>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谈判有效期：谈判截止日期</w:t>
            </w:r>
            <w:r>
              <w:rPr>
                <w:rFonts w:hint="eastAsia" w:hAnsi="宋体" w:cs="宋体"/>
                <w:color w:val="auto"/>
                <w:szCs w:val="21"/>
                <w:lang w:val="en-US" w:eastAsia="zh-CN"/>
              </w:rPr>
              <w:t>起</w:t>
            </w:r>
            <w:r>
              <w:rPr>
                <w:rFonts w:hint="eastAsia" w:ascii="宋体" w:hAnsi="宋体" w:eastAsia="宋体" w:cs="宋体"/>
                <w:color w:val="auto"/>
                <w:szCs w:val="21"/>
              </w:rPr>
              <w:t>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4</w:t>
            </w:r>
            <w:r>
              <w:rPr>
                <w:rFonts w:hint="eastAsia" w:ascii="宋体" w:hAnsi="宋体" w:eastAsia="宋体" w:cs="宋体"/>
                <w:color w:val="auto"/>
                <w:szCs w:val="21"/>
              </w:rPr>
              <w:t>.4</w:t>
            </w:r>
          </w:p>
        </w:tc>
        <w:tc>
          <w:tcPr>
            <w:tcW w:w="7904" w:type="dxa"/>
            <w:vAlign w:val="center"/>
          </w:tcPr>
          <w:p>
            <w:pPr>
              <w:pStyle w:val="79"/>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竞争性谈判响应文件：一份正本，三份副本，共四份。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5</w:t>
            </w:r>
            <w:r>
              <w:rPr>
                <w:rFonts w:hint="eastAsia" w:ascii="宋体" w:hAnsi="宋体" w:eastAsia="宋体" w:cs="宋体"/>
                <w:color w:val="auto"/>
                <w:szCs w:val="21"/>
              </w:rPr>
              <w:t>.1</w:t>
            </w:r>
          </w:p>
        </w:tc>
        <w:tc>
          <w:tcPr>
            <w:tcW w:w="7904" w:type="dxa"/>
            <w:vAlign w:val="center"/>
          </w:tcPr>
          <w:p>
            <w:pPr>
              <w:pStyle w:val="79"/>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谈判保证金（人民币）：</w:t>
            </w:r>
            <w:r>
              <w:rPr>
                <w:rFonts w:hint="eastAsia" w:hAnsi="宋体" w:cs="宋体"/>
                <w:color w:val="auto"/>
                <w:kern w:val="0"/>
                <w:szCs w:val="21"/>
                <w:lang w:val="en-US" w:eastAsia="zh-CN"/>
              </w:rPr>
              <w:t>无</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7</w:t>
            </w:r>
          </w:p>
        </w:tc>
        <w:tc>
          <w:tcPr>
            <w:tcW w:w="7904" w:type="dxa"/>
            <w:vAlign w:val="center"/>
          </w:tcPr>
          <w:p>
            <w:pPr>
              <w:pStyle w:val="24"/>
              <w:spacing w:before="12" w:beforeLines="5" w:after="12" w:afterLines="5" w:line="440" w:lineRule="exact"/>
              <w:rPr>
                <w:rFonts w:hint="eastAsia" w:ascii="宋体" w:hAnsi="宋体" w:eastAsia="宋体" w:cs="宋体"/>
                <w:color w:val="auto"/>
                <w:kern w:val="0"/>
                <w:szCs w:val="21"/>
              </w:rPr>
            </w:pPr>
            <w:r>
              <w:rPr>
                <w:rFonts w:hint="eastAsia" w:ascii="宋体" w:hAnsi="宋体" w:eastAsia="宋体" w:cs="宋体"/>
                <w:color w:val="auto"/>
                <w:szCs w:val="21"/>
              </w:rPr>
              <w:t>竞争性谈判响应文件递交截止时间：2020年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w:t>
            </w:r>
            <w:r>
              <w:rPr>
                <w:rFonts w:hint="eastAsia" w:hAnsi="宋体" w:cs="宋体"/>
                <w:color w:val="auto"/>
                <w:szCs w:val="21"/>
                <w:lang w:val="en-US" w:eastAsia="zh-CN"/>
              </w:rPr>
              <w:t>6</w:t>
            </w:r>
            <w:r>
              <w:rPr>
                <w:rFonts w:hint="eastAsia" w:ascii="宋体" w:hAnsi="宋体" w:eastAsia="宋体" w:cs="宋体"/>
                <w:color w:val="auto"/>
                <w:szCs w:val="21"/>
              </w:rPr>
              <w:t>日北京时间1</w:t>
            </w:r>
            <w:r>
              <w:rPr>
                <w:rFonts w:hint="eastAsia" w:hAnsi="宋体" w:cs="宋体"/>
                <w:color w:val="auto"/>
                <w:szCs w:val="21"/>
                <w:lang w:val="en-US" w:eastAsia="zh-CN"/>
              </w:rPr>
              <w:t>0</w:t>
            </w:r>
            <w:r>
              <w:rPr>
                <w:rFonts w:hint="eastAsia" w:ascii="宋体" w:hAnsi="宋体" w:eastAsia="宋体" w:cs="宋体"/>
                <w:color w:val="auto"/>
                <w:szCs w:val="21"/>
              </w:rPr>
              <w:t>时</w:t>
            </w:r>
            <w:r>
              <w:rPr>
                <w:rFonts w:hint="eastAsia" w:hAnsi="宋体" w:cs="宋体"/>
                <w:color w:val="auto"/>
                <w:szCs w:val="21"/>
                <w:lang w:val="en-US" w:eastAsia="zh-CN"/>
              </w:rPr>
              <w:t>0</w:t>
            </w:r>
            <w:r>
              <w:rPr>
                <w:rFonts w:hint="eastAsia" w:ascii="宋体" w:hAnsi="宋体" w:eastAsia="宋体" w:cs="宋体"/>
                <w:color w:val="auto"/>
                <w:szCs w:val="21"/>
              </w:rPr>
              <w:t>0分</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hAnsi="宋体" w:cs="宋体"/>
                <w:color w:val="auto"/>
                <w:szCs w:val="21"/>
                <w:lang w:eastAsia="zh-CN"/>
              </w:rPr>
              <w:t>广西旭航工程咨询有限公司（玉林市中港路南侧爱尚佳酒店旁）</w:t>
            </w:r>
            <w:r>
              <w:rPr>
                <w:rFonts w:hint="eastAsia" w:ascii="宋体" w:hAnsi="宋体" w:eastAsia="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8</w:t>
            </w:r>
            <w:r>
              <w:rPr>
                <w:rFonts w:hint="eastAsia" w:ascii="宋体" w:hAnsi="宋体" w:eastAsia="宋体" w:cs="宋体"/>
                <w:color w:val="auto"/>
                <w:szCs w:val="21"/>
              </w:rPr>
              <w:t>.1</w:t>
            </w:r>
          </w:p>
        </w:tc>
        <w:tc>
          <w:tcPr>
            <w:tcW w:w="7904" w:type="dxa"/>
            <w:vAlign w:val="center"/>
          </w:tcPr>
          <w:p>
            <w:pPr>
              <w:pStyle w:val="79"/>
              <w:spacing w:before="12" w:beforeLines="5" w:after="12" w:afterLines="5" w:line="440" w:lineRule="exact"/>
              <w:rPr>
                <w:rFonts w:hint="eastAsia" w:ascii="宋体" w:hAnsi="宋体" w:eastAsia="宋体" w:cs="宋体"/>
                <w:color w:val="auto"/>
                <w:kern w:val="0"/>
                <w:szCs w:val="21"/>
              </w:rPr>
            </w:pPr>
            <w:r>
              <w:rPr>
                <w:rFonts w:hint="eastAsia" w:ascii="宋体" w:hAnsi="宋体" w:eastAsia="宋体" w:cs="宋体"/>
                <w:color w:val="auto"/>
                <w:szCs w:val="21"/>
              </w:rPr>
              <w:t>谈判时间：2020年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w:t>
            </w:r>
            <w:r>
              <w:rPr>
                <w:rFonts w:hint="eastAsia" w:hAnsi="宋体" w:cs="宋体"/>
                <w:color w:val="auto"/>
                <w:szCs w:val="21"/>
                <w:lang w:val="en-US" w:eastAsia="zh-CN"/>
              </w:rPr>
              <w:t>6</w:t>
            </w:r>
            <w:r>
              <w:rPr>
                <w:rFonts w:hint="eastAsia" w:ascii="宋体" w:hAnsi="宋体" w:eastAsia="宋体" w:cs="宋体"/>
                <w:color w:val="auto"/>
                <w:szCs w:val="21"/>
              </w:rPr>
              <w:t>日北京时间1</w:t>
            </w:r>
            <w:r>
              <w:rPr>
                <w:rFonts w:hint="eastAsia" w:hAnsi="宋体" w:cs="宋体"/>
                <w:color w:val="auto"/>
                <w:szCs w:val="21"/>
                <w:lang w:val="en-US" w:eastAsia="zh-CN"/>
              </w:rPr>
              <w:t>0</w:t>
            </w:r>
            <w:r>
              <w:rPr>
                <w:rFonts w:hint="eastAsia" w:ascii="宋体" w:hAnsi="宋体" w:eastAsia="宋体" w:cs="宋体"/>
                <w:color w:val="auto"/>
                <w:szCs w:val="21"/>
              </w:rPr>
              <w:t>时</w:t>
            </w:r>
            <w:r>
              <w:rPr>
                <w:rFonts w:hint="eastAsia" w:hAnsi="宋体" w:cs="宋体"/>
                <w:color w:val="auto"/>
                <w:szCs w:val="21"/>
                <w:lang w:val="en-US" w:eastAsia="zh-CN"/>
              </w:rPr>
              <w:t>0</w:t>
            </w:r>
            <w:r>
              <w:rPr>
                <w:rFonts w:hint="eastAsia" w:ascii="宋体" w:hAnsi="宋体" w:eastAsia="宋体" w:cs="宋体"/>
                <w:color w:val="auto"/>
                <w:szCs w:val="21"/>
              </w:rPr>
              <w:t>0分截标后（</w:t>
            </w:r>
            <w:r>
              <w:rPr>
                <w:rFonts w:hint="eastAsia" w:ascii="宋体" w:hAnsi="宋体" w:eastAsia="宋体" w:cs="宋体"/>
                <w:color w:val="auto"/>
                <w:kern w:val="0"/>
                <w:szCs w:val="21"/>
              </w:rPr>
              <w:t>具体时间由采购代理机构）另行通知</w:t>
            </w:r>
            <w:r>
              <w:rPr>
                <w:rFonts w:hint="eastAsia" w:ascii="宋体" w:hAnsi="宋体" w:eastAsia="宋体" w:cs="宋体"/>
                <w:color w:val="auto"/>
                <w:szCs w:val="21"/>
              </w:rPr>
              <w:t>。</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谈判地点：</w:t>
            </w:r>
            <w:r>
              <w:rPr>
                <w:rFonts w:hint="eastAsia" w:hAnsi="宋体" w:cs="宋体"/>
                <w:color w:val="auto"/>
                <w:szCs w:val="21"/>
                <w:lang w:eastAsia="zh-CN"/>
              </w:rPr>
              <w:t>广西旭航工程咨询有限公司（玉林市中港路南侧爱尚佳酒店旁）</w:t>
            </w:r>
            <w:r>
              <w:rPr>
                <w:rFonts w:hint="eastAsia" w:ascii="宋体" w:hAnsi="宋体" w:eastAsia="宋体" w:cs="宋体"/>
                <w:color w:val="auto"/>
                <w:szCs w:val="21"/>
              </w:rPr>
              <w:t>，参加谈判的法定代表人（负责人）或委托代理人必须</w:t>
            </w:r>
            <w:r>
              <w:rPr>
                <w:rFonts w:hint="eastAsia" w:ascii="宋体" w:hAnsi="宋体" w:eastAsia="宋体" w:cs="宋体"/>
                <w:color w:val="auto"/>
                <w:kern w:val="0"/>
                <w:szCs w:val="21"/>
              </w:rPr>
              <w:t>持有效证件[法定代表人(负责人)凭身份证</w:t>
            </w:r>
            <w:r>
              <w:rPr>
                <w:rFonts w:hint="eastAsia" w:ascii="宋体" w:hAnsi="宋体" w:eastAsia="宋体" w:cs="宋体"/>
                <w:color w:val="auto"/>
                <w:szCs w:val="21"/>
              </w:rPr>
              <w:t>原件</w:t>
            </w:r>
            <w:r>
              <w:rPr>
                <w:rFonts w:hint="eastAsia" w:ascii="宋体" w:hAnsi="宋体" w:eastAsia="宋体" w:cs="宋体"/>
                <w:color w:val="auto"/>
                <w:kern w:val="0"/>
                <w:szCs w:val="21"/>
              </w:rPr>
              <w:t>及营业执照副本复印件或委托代理人凭</w:t>
            </w:r>
            <w:r>
              <w:rPr>
                <w:rFonts w:hint="eastAsia" w:ascii="宋体" w:hAnsi="宋体" w:eastAsia="宋体" w:cs="宋体"/>
                <w:color w:val="auto"/>
                <w:szCs w:val="21"/>
              </w:rPr>
              <w:t>身份证原件、</w:t>
            </w:r>
            <w:r>
              <w:rPr>
                <w:rFonts w:hint="eastAsia" w:ascii="宋体" w:hAnsi="宋体" w:eastAsia="宋体" w:cs="宋体"/>
                <w:color w:val="auto"/>
                <w:kern w:val="0"/>
                <w:szCs w:val="21"/>
              </w:rPr>
              <w:t>营业执照副本复印件</w:t>
            </w:r>
            <w:r>
              <w:rPr>
                <w:rFonts w:hint="eastAsia" w:ascii="宋体" w:hAnsi="宋体" w:eastAsia="宋体" w:cs="宋体"/>
                <w:color w:val="auto"/>
                <w:szCs w:val="21"/>
              </w:rPr>
              <w:t>和授权委托书原件</w:t>
            </w:r>
            <w:r>
              <w:rPr>
                <w:rFonts w:hint="eastAsia" w:ascii="宋体" w:hAnsi="宋体" w:eastAsia="宋体" w:cs="宋体"/>
                <w:color w:val="auto"/>
                <w:kern w:val="0"/>
                <w:szCs w:val="21"/>
              </w:rPr>
              <w:t>]</w:t>
            </w:r>
            <w:r>
              <w:rPr>
                <w:rFonts w:hint="eastAsia" w:ascii="宋体" w:hAnsi="宋体" w:eastAsia="宋体" w:cs="宋体"/>
                <w:color w:val="auto"/>
                <w:szCs w:val="21"/>
              </w:rPr>
              <w:t xml:space="preserve">依时到达指定地点等候当面谈判。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5</w:t>
            </w:r>
          </w:p>
        </w:tc>
        <w:tc>
          <w:tcPr>
            <w:tcW w:w="7904" w:type="dxa"/>
            <w:vAlign w:val="center"/>
          </w:tcPr>
          <w:p>
            <w:pPr>
              <w:pStyle w:val="79"/>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 xml:space="preserve">成交评审办法: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r>
              <w:rPr>
                <w:rFonts w:hint="eastAsia" w:hAnsi="宋体" w:cs="宋体"/>
                <w:color w:val="auto"/>
                <w:szCs w:val="21"/>
                <w:lang w:val="en-US" w:eastAsia="zh-CN"/>
              </w:rPr>
              <w:t>3</w:t>
            </w:r>
          </w:p>
        </w:tc>
        <w:tc>
          <w:tcPr>
            <w:tcW w:w="7904" w:type="dxa"/>
            <w:vAlign w:val="center"/>
          </w:tcPr>
          <w:p>
            <w:pPr>
              <w:pStyle w:val="24"/>
              <w:snapToGrid w:val="0"/>
              <w:spacing w:before="12" w:beforeLines="5" w:after="12" w:afterLines="5" w:line="440" w:lineRule="exact"/>
              <w:outlineLvl w:val="1"/>
              <w:rPr>
                <w:rFonts w:hint="eastAsia" w:ascii="宋体" w:hAnsi="宋体" w:eastAsia="宋体" w:cs="宋体"/>
                <w:color w:val="auto"/>
                <w:szCs w:val="21"/>
              </w:rPr>
            </w:pPr>
            <w:bookmarkStart w:id="26" w:name="_Toc475431132"/>
            <w:bookmarkStart w:id="27" w:name="_Toc2480"/>
            <w:bookmarkStart w:id="28" w:name="_Toc2956490"/>
            <w:bookmarkStart w:id="29" w:name="_Toc2956544"/>
            <w:r>
              <w:rPr>
                <w:rFonts w:hint="eastAsia" w:ascii="宋体" w:hAnsi="宋体" w:eastAsia="宋体" w:cs="宋体"/>
                <w:color w:val="auto"/>
                <w:szCs w:val="21"/>
              </w:rPr>
              <w:t>成交服务费：本项目成交服务费经双方商定按成交总金额的</w:t>
            </w:r>
            <w:r>
              <w:rPr>
                <w:rFonts w:hint="eastAsia" w:ascii="宋体" w:hAnsi="宋体" w:eastAsia="宋体" w:cs="宋体"/>
                <w:color w:val="auto"/>
                <w:szCs w:val="21"/>
                <w:u w:val="single"/>
              </w:rPr>
              <w:t>1.5%</w:t>
            </w:r>
            <w:r>
              <w:rPr>
                <w:rFonts w:hint="eastAsia" w:ascii="宋体" w:hAnsi="宋体" w:eastAsia="宋体" w:cs="宋体"/>
                <w:color w:val="auto"/>
                <w:szCs w:val="21"/>
              </w:rPr>
              <w:t>向成交供应商收取。</w:t>
            </w:r>
            <w:bookmarkEnd w:id="26"/>
            <w:bookmarkEnd w:id="27"/>
            <w:bookmarkEnd w:id="28"/>
            <w:bookmarkEnd w:id="29"/>
            <w:r>
              <w:rPr>
                <w:rFonts w:hint="eastAsia" w:ascii="宋体" w:hAnsi="宋体" w:eastAsia="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p>
        </w:tc>
        <w:tc>
          <w:tcPr>
            <w:tcW w:w="7904"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pStyle w:val="79"/>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2、本文件中描述供应商的“签字”是指供应商的法定代表人或被授权人亲自在文件规定签署处亲笔写上个人的名字的行为，私章、签字章、印鉴、影印等其它形式均不能代替亲笔签字。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jc w:val="center"/>
        </w:trPr>
        <w:tc>
          <w:tcPr>
            <w:tcW w:w="656" w:type="dxa"/>
            <w:vAlign w:val="center"/>
          </w:tcPr>
          <w:p>
            <w:pPr>
              <w:pStyle w:val="79"/>
              <w:spacing w:before="12" w:beforeLines="5" w:after="12" w:afterLines="5" w:line="440" w:lineRule="exact"/>
              <w:jc w:val="center"/>
              <w:rPr>
                <w:rFonts w:hint="eastAsia" w:ascii="宋体" w:hAnsi="宋体" w:eastAsia="宋体" w:cs="宋体"/>
                <w:color w:val="auto"/>
                <w:szCs w:val="21"/>
              </w:rPr>
            </w:pPr>
          </w:p>
        </w:tc>
        <w:tc>
          <w:tcPr>
            <w:tcW w:w="1011" w:type="dxa"/>
            <w:vAlign w:val="center"/>
          </w:tcPr>
          <w:p>
            <w:pPr>
              <w:pStyle w:val="79"/>
              <w:spacing w:before="12" w:beforeLines="5" w:after="12" w:afterLines="5" w:line="440" w:lineRule="exact"/>
              <w:jc w:val="center"/>
              <w:rPr>
                <w:rFonts w:hint="eastAsia" w:ascii="宋体" w:hAnsi="宋体" w:eastAsia="宋体" w:cs="宋体"/>
                <w:color w:val="auto"/>
                <w:szCs w:val="21"/>
              </w:rPr>
            </w:pPr>
          </w:p>
        </w:tc>
        <w:tc>
          <w:tcPr>
            <w:tcW w:w="7904"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在对供应商资格审查时由谈判小组进行信用查询：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查询渠道：“信用中国”网站(www.creditchina.gov.cn)、中国政府采购网(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50"/>
                <w:rFonts w:hint="eastAsia" w:ascii="宋体" w:hAnsi="宋体" w:eastAsia="宋体" w:cs="宋体"/>
                <w:color w:val="auto"/>
                <w:szCs w:val="21"/>
                <w:u w:val="none"/>
              </w:rPr>
              <w:t>www.ccgp.gov.cn</w:t>
            </w:r>
            <w:r>
              <w:rPr>
                <w:rFonts w:hint="eastAsia" w:ascii="宋体" w:hAnsi="宋体" w:eastAsia="宋体" w:cs="宋体"/>
                <w:color w:val="auto"/>
                <w:szCs w:val="21"/>
              </w:rPr>
              <w:fldChar w:fldCharType="end"/>
            </w:r>
            <w:r>
              <w:rPr>
                <w:rFonts w:hint="eastAsia" w:ascii="宋体" w:hAnsi="宋体" w:eastAsia="宋体" w:cs="宋体"/>
                <w:color w:val="auto"/>
                <w:szCs w:val="21"/>
              </w:rPr>
              <w:t>)等；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查询起止时间：</w:t>
            </w:r>
            <w:r>
              <w:rPr>
                <w:rFonts w:hint="eastAsia" w:ascii="宋体" w:hAnsi="宋体" w:eastAsia="宋体" w:cs="宋体"/>
                <w:color w:val="auto"/>
                <w:szCs w:val="21"/>
                <w:u w:val="single"/>
              </w:rPr>
              <w:t>截标时间前起3年内；</w:t>
            </w:r>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查询记录和证据留存方式：在查询网站中直接打印查询记录，打印材料作为评审资料保存。</w:t>
            </w:r>
          </w:p>
          <w:p>
            <w:pPr>
              <w:pStyle w:val="79"/>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4"/>
        <w:spacing w:before="120" w:beforeLines="50" w:after="120" w:afterLines="50" w:line="440" w:lineRule="exact"/>
        <w:jc w:val="center"/>
        <w:rPr>
          <w:rFonts w:hint="eastAsia" w:ascii="宋体" w:hAnsi="宋体" w:eastAsia="宋体" w:cs="宋体"/>
          <w:color w:val="auto"/>
          <w:spacing w:val="40"/>
        </w:rPr>
      </w:pPr>
      <w:r>
        <w:rPr>
          <w:rFonts w:hint="eastAsia" w:ascii="宋体" w:hAnsi="宋体" w:eastAsia="宋体" w:cs="宋体"/>
          <w:color w:val="auto"/>
        </w:rPr>
        <w:br w:type="page"/>
      </w:r>
      <w:bookmarkStart w:id="30" w:name="_Toc2956491"/>
      <w:bookmarkStart w:id="31" w:name="_Toc181594749"/>
      <w:bookmarkStart w:id="32" w:name="_Toc342313043"/>
      <w:bookmarkStart w:id="33" w:name="_Toc475431133"/>
      <w:bookmarkStart w:id="34" w:name="_Toc2042"/>
      <w:bookmarkStart w:id="35" w:name="_Toc342312890"/>
      <w:bookmarkStart w:id="36" w:name="_Toc2956545"/>
      <w:bookmarkStart w:id="37" w:name="_Toc312878809"/>
      <w:bookmarkStart w:id="38" w:name="_Toc181594901"/>
      <w:r>
        <w:rPr>
          <w:rFonts w:hint="eastAsia" w:ascii="宋体" w:hAnsi="宋体" w:eastAsia="宋体" w:cs="宋体"/>
          <w:color w:val="auto"/>
          <w:spacing w:val="40"/>
        </w:rPr>
        <w:t>谈判供应商须知</w:t>
      </w:r>
      <w:bookmarkEnd w:id="30"/>
      <w:bookmarkEnd w:id="31"/>
      <w:bookmarkEnd w:id="32"/>
      <w:bookmarkEnd w:id="33"/>
      <w:bookmarkEnd w:id="34"/>
      <w:bookmarkEnd w:id="35"/>
      <w:bookmarkEnd w:id="36"/>
      <w:bookmarkEnd w:id="37"/>
      <w:bookmarkEnd w:id="38"/>
      <w:bookmarkStart w:id="39" w:name="_Toc312878810"/>
      <w:bookmarkStart w:id="40" w:name="_Toc181594750"/>
      <w:bookmarkStart w:id="41" w:name="_Toc342313044"/>
      <w:bookmarkStart w:id="42" w:name="_Toc181594902"/>
    </w:p>
    <w:p>
      <w:pPr>
        <w:pStyle w:val="5"/>
        <w:spacing w:before="120" w:beforeLines="50" w:after="120" w:afterLines="50" w:line="440" w:lineRule="exact"/>
        <w:jc w:val="center"/>
        <w:rPr>
          <w:rFonts w:hint="eastAsia" w:ascii="宋体" w:hAnsi="宋体" w:eastAsia="宋体" w:cs="宋体"/>
          <w:color w:val="auto"/>
        </w:rPr>
      </w:pPr>
      <w:bookmarkStart w:id="43" w:name="_Toc2956546"/>
      <w:bookmarkStart w:id="44" w:name="_Toc4249"/>
      <w:bookmarkStart w:id="45" w:name="_Toc2956492"/>
      <w:r>
        <w:rPr>
          <w:rFonts w:hint="eastAsia" w:ascii="宋体" w:hAnsi="宋体" w:eastAsia="宋体" w:cs="宋体"/>
          <w:color w:val="auto"/>
        </w:rPr>
        <w:t>一 、总  则</w:t>
      </w:r>
      <w:bookmarkEnd w:id="39"/>
      <w:bookmarkEnd w:id="40"/>
      <w:bookmarkEnd w:id="41"/>
      <w:bookmarkEnd w:id="42"/>
      <w:bookmarkEnd w:id="43"/>
      <w:bookmarkEnd w:id="44"/>
      <w:bookmarkEnd w:id="45"/>
    </w:p>
    <w:p>
      <w:pPr>
        <w:widowControl/>
        <w:spacing w:before="12" w:beforeLines="5" w:after="12" w:afterLines="5" w:line="440" w:lineRule="exact"/>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color w:val="auto"/>
          <w:szCs w:val="21"/>
        </w:rPr>
        <w:t>.项目名称：</w:t>
      </w:r>
      <w:r>
        <w:rPr>
          <w:rFonts w:hint="eastAsia" w:ascii="宋体" w:hAnsi="宋体" w:cs="宋体"/>
          <w:b w:val="0"/>
          <w:bCs/>
          <w:color w:val="auto"/>
          <w:szCs w:val="21"/>
          <w:lang w:eastAsia="zh-CN"/>
        </w:rPr>
        <w:t>2020年市委宣传部党员活动室规范化建设项目</w:t>
      </w:r>
    </w:p>
    <w:p>
      <w:pPr>
        <w:spacing w:before="12" w:beforeLines="5" w:after="12" w:afterLines="5" w:line="440" w:lineRule="exact"/>
        <w:ind w:firstLine="211" w:firstLineChars="100"/>
        <w:jc w:val="left"/>
        <w:rPr>
          <w:rFonts w:hint="eastAsia" w:ascii="宋体" w:hAnsi="宋体" w:eastAsia="宋体" w:cs="宋体"/>
          <w:color w:val="auto"/>
          <w:kern w:val="0"/>
          <w:szCs w:val="21"/>
          <w:lang w:eastAsia="zh-CN"/>
        </w:rPr>
      </w:pPr>
      <w:r>
        <w:rPr>
          <w:rFonts w:hint="eastAsia" w:ascii="宋体" w:hAnsi="宋体" w:eastAsia="宋体" w:cs="宋体"/>
          <w:b/>
          <w:color w:val="auto"/>
          <w:szCs w:val="21"/>
        </w:rPr>
        <w:t>项目编号</w:t>
      </w:r>
      <w:r>
        <w:rPr>
          <w:rFonts w:hint="eastAsia" w:ascii="宋体" w:hAnsi="宋体" w:eastAsia="宋体" w:cs="宋体"/>
          <w:color w:val="auto"/>
          <w:szCs w:val="21"/>
        </w:rPr>
        <w:t>：</w:t>
      </w:r>
      <w:r>
        <w:rPr>
          <w:rFonts w:hint="eastAsia" w:ascii="宋体" w:hAnsi="宋体" w:cs="宋体"/>
          <w:color w:val="auto"/>
          <w:szCs w:val="21"/>
          <w:lang w:eastAsia="zh-CN"/>
        </w:rPr>
        <w:t>YLZC2020-J3-000637-GXXH</w:t>
      </w:r>
    </w:p>
    <w:p>
      <w:pPr>
        <w:spacing w:before="12" w:beforeLines="5" w:after="12" w:afterLines="5" w:line="44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2. </w:t>
      </w:r>
      <w:r>
        <w:rPr>
          <w:rFonts w:hint="eastAsia" w:ascii="宋体" w:hAnsi="宋体" w:eastAsia="宋体" w:cs="宋体"/>
          <w:b/>
          <w:color w:val="auto"/>
          <w:szCs w:val="21"/>
        </w:rPr>
        <w:t>谈判供应商资格</w:t>
      </w:r>
      <w:r>
        <w:rPr>
          <w:rFonts w:hint="eastAsia" w:ascii="宋体" w:hAnsi="宋体" w:eastAsia="宋体" w:cs="宋体"/>
          <w:color w:val="auto"/>
          <w:szCs w:val="21"/>
        </w:rPr>
        <w:t>：</w:t>
      </w:r>
    </w:p>
    <w:p>
      <w:pPr>
        <w:snapToGrid w:val="0"/>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2.1  参加本项目的谈判供应商必须满足本须知前附表第2项要求的资格；</w:t>
      </w:r>
    </w:p>
    <w:p>
      <w:pPr>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2.2  符合谈判供应商资格的谈判供应商应承担谈判及履约中应承担的全部责任与义务。</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3.  谈判费用：</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3.1 谈判供应商应自行承担所有与本次谈判有关的全部费用。</w:t>
      </w:r>
    </w:p>
    <w:p>
      <w:pPr>
        <w:pStyle w:val="5"/>
        <w:spacing w:before="240" w:beforeLines="100" w:after="240" w:afterLines="100" w:line="440" w:lineRule="exact"/>
        <w:jc w:val="center"/>
        <w:rPr>
          <w:rFonts w:hint="eastAsia" w:ascii="宋体" w:hAnsi="宋体" w:eastAsia="宋体" w:cs="宋体"/>
          <w:color w:val="auto"/>
        </w:rPr>
      </w:pPr>
      <w:bookmarkStart w:id="46" w:name="_Toc312878811"/>
      <w:bookmarkStart w:id="47" w:name="_Toc2956493"/>
      <w:bookmarkStart w:id="48" w:name="_Toc2956547"/>
      <w:bookmarkStart w:id="49" w:name="_Toc181594903"/>
      <w:bookmarkStart w:id="50" w:name="_Toc181594751"/>
      <w:bookmarkStart w:id="51" w:name="_Toc342313045"/>
      <w:bookmarkStart w:id="52" w:name="_Toc29683"/>
      <w:r>
        <w:rPr>
          <w:rFonts w:hint="eastAsia" w:ascii="宋体" w:hAnsi="宋体" w:eastAsia="宋体" w:cs="宋体"/>
          <w:color w:val="auto"/>
        </w:rPr>
        <w:t>二 、竞争性谈判文件（简称采购文件）</w:t>
      </w:r>
      <w:bookmarkEnd w:id="46"/>
      <w:bookmarkEnd w:id="47"/>
      <w:bookmarkEnd w:id="48"/>
      <w:bookmarkEnd w:id="49"/>
      <w:bookmarkEnd w:id="50"/>
      <w:bookmarkEnd w:id="51"/>
      <w:bookmarkEnd w:id="52"/>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4.   采购文件的构成</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4.1  采购文件包括：</w:t>
      </w:r>
    </w:p>
    <w:p>
      <w:pPr>
        <w:pStyle w:val="24"/>
        <w:spacing w:before="12" w:beforeLines="5" w:after="12" w:afterLines="5" w:line="440" w:lineRule="exact"/>
        <w:ind w:firstLine="621" w:firstLineChars="296"/>
        <w:rPr>
          <w:rFonts w:hint="eastAsia" w:ascii="宋体" w:hAnsi="宋体" w:eastAsia="宋体" w:cs="宋体"/>
          <w:color w:val="auto"/>
          <w:szCs w:val="21"/>
        </w:rPr>
      </w:pPr>
      <w:r>
        <w:rPr>
          <w:rFonts w:hint="eastAsia" w:ascii="宋体" w:hAnsi="宋体" w:eastAsia="宋体" w:cs="宋体"/>
          <w:color w:val="auto"/>
          <w:szCs w:val="21"/>
        </w:rPr>
        <w:t>⑴竞争性谈判公告；</w:t>
      </w:r>
    </w:p>
    <w:p>
      <w:pPr>
        <w:pStyle w:val="24"/>
        <w:spacing w:before="12" w:beforeLines="5" w:after="12" w:afterLines="5" w:line="440" w:lineRule="exact"/>
        <w:ind w:firstLine="621" w:firstLineChars="296"/>
        <w:rPr>
          <w:rFonts w:hint="eastAsia" w:ascii="宋体" w:hAnsi="宋体" w:eastAsia="宋体" w:cs="宋体"/>
          <w:color w:val="auto"/>
          <w:szCs w:val="21"/>
        </w:rPr>
      </w:pPr>
      <w:r>
        <w:rPr>
          <w:rFonts w:hint="eastAsia" w:ascii="宋体" w:hAnsi="宋体" w:eastAsia="宋体" w:cs="宋体"/>
          <w:color w:val="auto"/>
          <w:szCs w:val="21"/>
        </w:rPr>
        <w:t>⑵谈判供应商须知及前附表；</w:t>
      </w:r>
    </w:p>
    <w:p>
      <w:pPr>
        <w:pStyle w:val="24"/>
        <w:spacing w:before="12" w:beforeLines="5" w:after="12" w:afterLines="5" w:line="440" w:lineRule="exact"/>
        <w:ind w:firstLine="621" w:firstLineChars="296"/>
        <w:rPr>
          <w:rFonts w:hint="eastAsia" w:ascii="宋体" w:hAnsi="宋体" w:eastAsia="宋体" w:cs="宋体"/>
          <w:color w:val="auto"/>
          <w:szCs w:val="21"/>
        </w:rPr>
      </w:pPr>
      <w:r>
        <w:rPr>
          <w:rFonts w:hint="eastAsia" w:ascii="宋体" w:hAnsi="宋体" w:eastAsia="宋体" w:cs="宋体"/>
          <w:color w:val="auto"/>
          <w:szCs w:val="21"/>
        </w:rPr>
        <w:t>⑶项目需求；</w:t>
      </w:r>
    </w:p>
    <w:p>
      <w:pPr>
        <w:pStyle w:val="24"/>
        <w:spacing w:before="12" w:beforeLines="5" w:after="12" w:afterLines="5" w:line="44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4 \* GB2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⑷</w:t>
      </w:r>
      <w:r>
        <w:rPr>
          <w:rFonts w:hint="eastAsia" w:ascii="宋体" w:hAnsi="宋体" w:eastAsia="宋体" w:cs="宋体"/>
          <w:color w:val="auto"/>
          <w:szCs w:val="21"/>
        </w:rPr>
        <w:fldChar w:fldCharType="end"/>
      </w:r>
      <w:r>
        <w:rPr>
          <w:rFonts w:hint="eastAsia" w:ascii="宋体" w:hAnsi="宋体" w:eastAsia="宋体" w:cs="宋体"/>
          <w:color w:val="auto"/>
          <w:szCs w:val="21"/>
        </w:rPr>
        <w:t>评标办法；</w:t>
      </w:r>
    </w:p>
    <w:p>
      <w:pPr>
        <w:pStyle w:val="24"/>
        <w:spacing w:before="12" w:beforeLines="5" w:after="12" w:afterLines="5" w:line="440" w:lineRule="exact"/>
        <w:ind w:firstLine="621" w:firstLineChars="296"/>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5 \* GB2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⑸</w:t>
      </w:r>
      <w:r>
        <w:rPr>
          <w:rFonts w:hint="eastAsia" w:ascii="宋体" w:hAnsi="宋体" w:eastAsia="宋体" w:cs="宋体"/>
          <w:color w:val="auto"/>
          <w:szCs w:val="21"/>
        </w:rPr>
        <w:fldChar w:fldCharType="end"/>
      </w:r>
      <w:r>
        <w:rPr>
          <w:rFonts w:hint="eastAsia" w:ascii="宋体" w:hAnsi="宋体" w:eastAsia="宋体" w:cs="宋体"/>
          <w:color w:val="auto"/>
          <w:szCs w:val="21"/>
        </w:rPr>
        <w:t>合同书；</w:t>
      </w:r>
    </w:p>
    <w:p>
      <w:pPr>
        <w:pStyle w:val="24"/>
        <w:spacing w:before="12" w:beforeLines="5" w:after="12" w:afterLines="5" w:line="440" w:lineRule="exact"/>
        <w:ind w:firstLine="621" w:firstLineChars="296"/>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6 \* GB2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⑹</w:t>
      </w:r>
      <w:r>
        <w:rPr>
          <w:rFonts w:hint="eastAsia" w:ascii="宋体" w:hAnsi="宋体" w:eastAsia="宋体" w:cs="宋体"/>
          <w:color w:val="auto"/>
          <w:szCs w:val="21"/>
        </w:rPr>
        <w:fldChar w:fldCharType="end"/>
      </w:r>
      <w:r>
        <w:rPr>
          <w:rFonts w:hint="eastAsia" w:ascii="宋体" w:hAnsi="宋体" w:eastAsia="宋体" w:cs="宋体"/>
          <w:color w:val="auto"/>
          <w:szCs w:val="21"/>
        </w:rPr>
        <w:t>竞争性谈判响应文件格式。</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b/>
          <w:color w:val="auto"/>
          <w:szCs w:val="21"/>
        </w:rPr>
        <w:t>5.   采购文件的澄清和修改</w:t>
      </w:r>
    </w:p>
    <w:p>
      <w:pPr>
        <w:pStyle w:val="24"/>
        <w:spacing w:before="12" w:beforeLines="5" w:after="12" w:afterLines="5" w:line="440" w:lineRule="exact"/>
        <w:rPr>
          <w:rFonts w:hAnsi="宋体" w:cs="宋体"/>
          <w:szCs w:val="21"/>
          <w:highlight w:val="none"/>
        </w:rPr>
      </w:pPr>
      <w:bookmarkStart w:id="53" w:name="_Toc2956494"/>
      <w:bookmarkStart w:id="54" w:name="_Toc312878812"/>
      <w:bookmarkStart w:id="55" w:name="_Toc181594904"/>
      <w:bookmarkStart w:id="56" w:name="_Toc342313046"/>
      <w:bookmarkStart w:id="57" w:name="_Toc2956548"/>
      <w:bookmarkStart w:id="58" w:name="_Toc181594752"/>
      <w:r>
        <w:rPr>
          <w:rFonts w:hint="eastAsia" w:hAnsi="宋体" w:cs="宋体"/>
          <w:szCs w:val="21"/>
          <w:highlight w:val="none"/>
        </w:rPr>
        <w:t xml:space="preserve">5.1 </w:t>
      </w:r>
      <w:r>
        <w:rPr>
          <w:rFonts w:hint="eastAsia" w:hAnsi="宋体" w:cs="宋体"/>
          <w:szCs w:val="21"/>
          <w:highlight w:val="none"/>
          <w:lang w:val="en-US" w:eastAsia="zh-CN"/>
        </w:rPr>
        <w:t>谈判</w:t>
      </w:r>
      <w:r>
        <w:rPr>
          <w:rFonts w:hint="eastAsia" w:hAnsi="宋体" w:cs="宋体"/>
          <w:szCs w:val="21"/>
          <w:highlight w:val="none"/>
        </w:rPr>
        <w:t>供应商应认真阅读谈判文件的采购需求，如发现需求中有误或要求不合理的，</w:t>
      </w:r>
      <w:r>
        <w:rPr>
          <w:rFonts w:hint="eastAsia" w:hAnsi="宋体" w:cs="宋体"/>
          <w:szCs w:val="21"/>
          <w:highlight w:val="none"/>
          <w:lang w:val="en-US" w:eastAsia="zh-CN"/>
        </w:rPr>
        <w:t>谈判</w:t>
      </w:r>
      <w:r>
        <w:rPr>
          <w:rFonts w:hint="eastAsia" w:hAnsi="宋体" w:cs="宋体"/>
          <w:szCs w:val="21"/>
          <w:highlight w:val="none"/>
        </w:rPr>
        <w:t>供应商必须在提交首次响应文件截止之日前，以书面形式向采购人、采购代理机构提出，</w:t>
      </w:r>
      <w:r>
        <w:rPr>
          <w:rFonts w:hint="eastAsia" w:hAnsi="宋体" w:cs="宋体"/>
          <w:szCs w:val="21"/>
          <w:highlight w:val="none"/>
          <w:lang w:val="en-US" w:eastAsia="zh-CN"/>
        </w:rPr>
        <w:t>谈判</w:t>
      </w:r>
      <w:r>
        <w:rPr>
          <w:rFonts w:hint="eastAsia" w:hAnsi="宋体" w:cs="宋体"/>
          <w:szCs w:val="21"/>
          <w:highlight w:val="none"/>
        </w:rPr>
        <w:t>供应商在法定质疑期内必须一次性提出针对同一采购程序环节的质疑。</w:t>
      </w:r>
    </w:p>
    <w:p>
      <w:pPr>
        <w:pStyle w:val="24"/>
        <w:spacing w:before="12" w:beforeLines="5" w:after="12" w:afterLines="5" w:line="440" w:lineRule="exact"/>
        <w:rPr>
          <w:rFonts w:hint="eastAsia" w:ascii="宋体" w:hAnsi="宋体" w:cs="Courier New"/>
          <w:szCs w:val="21"/>
          <w:highlight w:val="none"/>
        </w:rPr>
      </w:pPr>
      <w:r>
        <w:rPr>
          <w:rFonts w:hint="eastAsia" w:hAnsi="宋体" w:cs="宋体"/>
          <w:szCs w:val="21"/>
          <w:highlight w:val="none"/>
        </w:rPr>
        <w:t xml:space="preserve">5.2  </w:t>
      </w:r>
      <w:r>
        <w:rPr>
          <w:rFonts w:hint="eastAsia" w:ascii="宋体" w:hAnsi="宋体" w:cs="Courier New"/>
          <w:szCs w:val="21"/>
          <w:highlight w:val="none"/>
        </w:rPr>
        <w:t>提交首次响应文件截止之日前，采购人、采购代理机构或者谈判小组可以对已发出的</w:t>
      </w:r>
      <w:r>
        <w:rPr>
          <w:rFonts w:hint="eastAsia" w:hAnsi="宋体" w:cs="Courier New"/>
          <w:szCs w:val="21"/>
          <w:highlight w:val="none"/>
          <w:lang w:val="en-US" w:eastAsia="zh-CN"/>
        </w:rPr>
        <w:t>竞争性</w:t>
      </w:r>
      <w:r>
        <w:rPr>
          <w:rFonts w:hint="eastAsia" w:ascii="宋体" w:hAnsi="宋体" w:cs="Courier New"/>
          <w:szCs w:val="21"/>
          <w:highlight w:val="none"/>
        </w:rPr>
        <w:t>谈判文件进行必要的澄清或者修改，澄清或者修改的内容作为</w:t>
      </w:r>
      <w:r>
        <w:rPr>
          <w:rFonts w:hint="eastAsia" w:hAnsi="宋体" w:cs="Courier New"/>
          <w:szCs w:val="21"/>
          <w:highlight w:val="none"/>
          <w:lang w:val="en-US" w:eastAsia="zh-CN"/>
        </w:rPr>
        <w:t>竞争性</w:t>
      </w:r>
      <w:r>
        <w:rPr>
          <w:rFonts w:hint="eastAsia" w:ascii="宋体" w:hAnsi="宋体" w:cs="Courier New"/>
          <w:szCs w:val="21"/>
          <w:highlight w:val="none"/>
        </w:rPr>
        <w:t>谈判文件的组成部分。澄清或者修改的内容可能影响响应文件编制的，采购人、采购代理机构或者谈判小组应当在提交首次响应文件截止之日3个工作日前，以书面形式通知所有接收</w:t>
      </w:r>
      <w:r>
        <w:rPr>
          <w:rFonts w:hint="eastAsia" w:hAnsi="宋体" w:cs="Courier New"/>
          <w:szCs w:val="21"/>
          <w:highlight w:val="none"/>
          <w:lang w:val="en-US" w:eastAsia="zh-CN"/>
        </w:rPr>
        <w:t>竞争性</w:t>
      </w:r>
      <w:r>
        <w:rPr>
          <w:rFonts w:hint="eastAsia" w:ascii="宋体" w:hAnsi="宋体" w:cs="Courier New"/>
          <w:szCs w:val="21"/>
          <w:highlight w:val="none"/>
        </w:rPr>
        <w:t>谈判文件的供应商，不足3个工作日的，应当顺延提交首次响应文件截止之日。</w:t>
      </w:r>
    </w:p>
    <w:p>
      <w:pPr>
        <w:pStyle w:val="24"/>
        <w:spacing w:before="12" w:beforeLines="5" w:after="12" w:afterLines="5" w:line="440" w:lineRule="exact"/>
        <w:rPr>
          <w:rFonts w:hint="eastAsia" w:hAnsi="宋体" w:cs="宋体"/>
          <w:szCs w:val="21"/>
          <w:highlight w:val="none"/>
        </w:rPr>
      </w:pPr>
      <w:r>
        <w:rPr>
          <w:rFonts w:hint="eastAsia" w:hAnsi="宋体" w:cs="宋体"/>
          <w:szCs w:val="21"/>
          <w:highlight w:val="none"/>
        </w:rPr>
        <w:t>5.3 谈判供应商接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电话通知时以谈判供应商购买竞争性谈判文件所留电话，如谈判供应商所留电话有误或打不通等造成的一切后果由谈判供应商负责</w:t>
      </w:r>
      <w:r>
        <w:rPr>
          <w:rFonts w:hint="eastAsia" w:hAnsi="宋体" w:cs="宋体"/>
          <w:szCs w:val="21"/>
          <w:highlight w:val="none"/>
          <w:lang w:eastAsia="zh-CN"/>
        </w:rPr>
        <w:t>。</w:t>
      </w:r>
      <w:r>
        <w:rPr>
          <w:rFonts w:hint="eastAsia" w:hAnsi="宋体" w:cs="宋体"/>
          <w:szCs w:val="21"/>
          <w:highlight w:val="none"/>
        </w:rPr>
        <w:t>）</w:t>
      </w:r>
    </w:p>
    <w:p>
      <w:pPr>
        <w:pStyle w:val="5"/>
        <w:spacing w:before="240" w:beforeLines="100" w:after="240" w:afterLines="100" w:line="440" w:lineRule="exact"/>
        <w:jc w:val="center"/>
        <w:rPr>
          <w:rFonts w:hint="eastAsia" w:ascii="宋体" w:hAnsi="宋体" w:eastAsia="宋体" w:cs="宋体"/>
          <w:color w:val="auto"/>
        </w:rPr>
      </w:pPr>
      <w:bookmarkStart w:id="59" w:name="_Toc31540"/>
      <w:r>
        <w:rPr>
          <w:rFonts w:hint="eastAsia" w:ascii="宋体" w:hAnsi="宋体" w:eastAsia="宋体" w:cs="宋体"/>
          <w:color w:val="auto"/>
        </w:rPr>
        <w:t>三 、竞争性谈判响应文件的编制格式</w:t>
      </w:r>
      <w:bookmarkEnd w:id="53"/>
      <w:bookmarkEnd w:id="54"/>
      <w:bookmarkEnd w:id="55"/>
      <w:bookmarkEnd w:id="56"/>
      <w:bookmarkEnd w:id="57"/>
      <w:bookmarkEnd w:id="58"/>
      <w:bookmarkEnd w:id="59"/>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b/>
          <w:color w:val="auto"/>
          <w:szCs w:val="21"/>
        </w:rPr>
        <w:t>6.  竞争性谈判响应文件编写的注意事项</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6.1 谈判供应商应仔细阅读采购文件，在完全了解采购文件的内容、要求后，编写竞争性谈判响应文件。</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7.  竞争性谈判响应文件的构成</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7.1 谈判供应商编写的竞争性谈判响应文件应包括下列内容（谈判供应商必须按下列顺序自编目录及页码装订成册，否则文件失散引起的后果自负）；</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（1）谈判书（按竞争性谈判响应文件第五章“谈判书(格式)”要求填写，未按照本谈判书要求填报的谈判书将被视为非实质性响应谈判，其谈判报价无效）；</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（2）谈判报价表；</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（3）技术规格偏离表；</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（4）服务承诺书(由谈判供应商就《项目需求》要求自行填写)；</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（5）谈判供应商资格证明文件（按本须知12条提供）；</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（6）</w:t>
      </w:r>
      <w:r>
        <w:rPr>
          <w:rFonts w:hint="eastAsia" w:hAnsi="宋体" w:cs="宋体"/>
          <w:color w:val="auto"/>
          <w:szCs w:val="21"/>
          <w:lang w:val="en-US" w:eastAsia="zh-CN"/>
        </w:rPr>
        <w:t>项目设计方案</w:t>
      </w:r>
      <w:r>
        <w:rPr>
          <w:rFonts w:hint="eastAsia" w:ascii="宋体" w:hAnsi="宋体" w:eastAsia="宋体" w:cs="宋体"/>
          <w:color w:val="auto"/>
          <w:szCs w:val="21"/>
        </w:rPr>
        <w:t>(由谈判供应商就《项目需求》要求自行</w:t>
      </w:r>
      <w:r>
        <w:rPr>
          <w:rFonts w:hint="eastAsia" w:hAnsi="宋体" w:cs="宋体"/>
          <w:color w:val="auto"/>
          <w:szCs w:val="21"/>
          <w:lang w:val="en-US" w:eastAsia="zh-CN"/>
        </w:rPr>
        <w:t>填写</w:t>
      </w:r>
      <w:r>
        <w:rPr>
          <w:rFonts w:hint="eastAsia" w:ascii="宋体" w:hAnsi="宋体" w:eastAsia="宋体" w:cs="宋体"/>
          <w:color w:val="auto"/>
          <w:szCs w:val="21"/>
        </w:rPr>
        <w:t>)；</w:t>
      </w:r>
    </w:p>
    <w:p>
      <w:pPr>
        <w:pStyle w:val="24"/>
        <w:spacing w:before="12" w:beforeLines="5" w:after="12" w:afterLines="5" w:line="440" w:lineRule="exact"/>
        <w:rPr>
          <w:rFonts w:hint="eastAsia" w:ascii="宋体" w:hAnsi="宋体" w:eastAsia="宋体" w:cs="宋体"/>
          <w:color w:val="auto"/>
          <w:szCs w:val="21"/>
        </w:rPr>
      </w:pPr>
      <w:r>
        <w:rPr>
          <w:rStyle w:val="50"/>
          <w:rFonts w:hint="eastAsia" w:hAnsi="宋体" w:cs="宋体"/>
          <w:color w:val="auto"/>
          <w:u w:val="none"/>
          <w:lang w:eastAsia="zh-CN"/>
        </w:rPr>
        <w:t>（</w:t>
      </w:r>
      <w:r>
        <w:rPr>
          <w:rStyle w:val="50"/>
          <w:rFonts w:hint="eastAsia" w:hAnsi="宋体" w:cs="宋体"/>
          <w:color w:val="auto"/>
          <w:u w:val="none"/>
          <w:lang w:val="en-US" w:eastAsia="zh-CN"/>
        </w:rPr>
        <w:t>7）</w:t>
      </w:r>
      <w:r>
        <w:rPr>
          <w:rStyle w:val="50"/>
          <w:rFonts w:hint="eastAsia" w:ascii="宋体" w:hAnsi="宋体" w:eastAsia="宋体" w:cs="宋体"/>
          <w:color w:val="auto"/>
          <w:u w:val="none"/>
        </w:rPr>
        <w:t>谈判供应商</w:t>
      </w:r>
      <w:r>
        <w:rPr>
          <w:rFonts w:hint="eastAsia" w:ascii="宋体" w:hAnsi="宋体" w:eastAsia="宋体" w:cs="宋体"/>
          <w:color w:val="auto"/>
          <w:szCs w:val="21"/>
        </w:rPr>
        <w:t>认为有必要提供的其他有关材料。</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8. 竞争性谈判响应文件的语言及计量单位</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8.1  谈判供应商的</w:t>
      </w:r>
      <w:r>
        <w:rPr>
          <w:rFonts w:hint="eastAsia" w:ascii="宋体" w:hAnsi="宋体" w:eastAsia="宋体" w:cs="宋体"/>
          <w:color w:val="auto"/>
        </w:rPr>
        <w:t>竞争性谈判响应文件</w:t>
      </w:r>
      <w:r>
        <w:rPr>
          <w:rFonts w:hint="eastAsia" w:ascii="宋体" w:hAnsi="宋体" w:eastAsia="宋体" w:cs="宋体"/>
          <w:color w:val="auto"/>
          <w:szCs w:val="21"/>
        </w:rPr>
        <w:t>以及谈判供应商与采购代理机构的所有来往的函电统一使用中文（另有规定的除外）。</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8.2  竞争性谈判响应文件中使用的计量单位除采购文件中有特殊规定外，一律使用法定计量单位。</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9.  竞争性谈判响应文件格式</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9.1 谈判供应商应按采购文件第五章中的“竞争性谈判响应文件（格式）”编制竞争性谈判响应文件。</w:t>
      </w:r>
    </w:p>
    <w:p>
      <w:pPr>
        <w:shd w:val="clear" w:color="auto" w:fill="FFFFFF"/>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9.2谈判供应商应按竞争性谈判响应文件提供的谈判书、谈判报价表、技术规格偏离表等格式详细完整的填写各项内容。</w:t>
      </w:r>
    </w:p>
    <w:p>
      <w:pPr>
        <w:shd w:val="clear" w:color="auto" w:fill="FFFFFF"/>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9.3在谈判报价表中，谈判供应商应详细标明所提供的货物及部件名称、品牌型号、技术参数、配置、产地、生产厂家、数量及产品所执行的标准及标准号等。</w:t>
      </w:r>
    </w:p>
    <w:p>
      <w:pPr>
        <w:shd w:val="clear" w:color="auto" w:fill="FFFFFF"/>
        <w:spacing w:before="12" w:beforeLines="5" w:after="12" w:afterLines="5" w:line="440" w:lineRule="exact"/>
        <w:rPr>
          <w:rFonts w:hint="eastAsia" w:ascii="宋体" w:hAnsi="宋体" w:eastAsia="宋体" w:cs="宋体"/>
          <w:b/>
          <w:bCs/>
          <w:color w:val="auto"/>
          <w:szCs w:val="21"/>
        </w:rPr>
      </w:pPr>
      <w:r>
        <w:rPr>
          <w:rFonts w:hint="eastAsia" w:ascii="宋体" w:hAnsi="宋体" w:eastAsia="宋体" w:cs="宋体"/>
          <w:color w:val="auto"/>
          <w:szCs w:val="21"/>
        </w:rPr>
        <w:t>9.4竞争性谈判响应文件必须编制目录及页码，目录与页码必须保持一致，否则因此造成的一切后果由谈判供应商自行承担。</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10. 谈判报价</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10.1 谈判供应商须就</w:t>
      </w:r>
      <w:r>
        <w:rPr>
          <w:rFonts w:hint="eastAsia" w:ascii="宋体" w:hAnsi="宋体" w:eastAsia="宋体" w:cs="宋体"/>
          <w:b/>
          <w:bCs/>
          <w:color w:val="auto"/>
          <w:szCs w:val="21"/>
        </w:rPr>
        <w:t>《项目需求》</w:t>
      </w:r>
      <w:r>
        <w:rPr>
          <w:rFonts w:hint="eastAsia" w:ascii="宋体" w:hAnsi="宋体" w:eastAsia="宋体" w:cs="宋体"/>
          <w:b/>
          <w:color w:val="auto"/>
          <w:szCs w:val="21"/>
        </w:rPr>
        <w:t>中的内容作出完整唯一报价。</w:t>
      </w:r>
    </w:p>
    <w:p>
      <w:pPr>
        <w:pStyle w:val="24"/>
        <w:spacing w:before="12" w:beforeLines="5" w:after="12" w:afterLines="5" w:line="440" w:lineRule="exact"/>
        <w:rPr>
          <w:rFonts w:hint="eastAsia" w:ascii="宋体" w:hAnsi="宋体" w:eastAsia="宋体" w:cs="宋体"/>
          <w:color w:val="auto"/>
          <w:szCs w:val="21"/>
          <w:u w:val="single"/>
        </w:rPr>
      </w:pPr>
      <w:r>
        <w:rPr>
          <w:rFonts w:hint="eastAsia" w:ascii="宋体" w:hAnsi="宋体" w:eastAsia="宋体" w:cs="宋体"/>
          <w:color w:val="auto"/>
          <w:szCs w:val="21"/>
        </w:rPr>
        <w:t>10.2 谈判供应商应在谈判报价表上标明单价和总价。如单价和总价不符，以单价累计为准。小写与大写不符的，以大写为准。如果因谈判供应商原因引起的谈判失误，同时又被谈判时所接受，其后果由谈判供应商。</w:t>
      </w:r>
    </w:p>
    <w:p>
      <w:pPr>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10.3谈判报价包含货物、随配附件、备品备件、工具、运抵指定交货地点、现场验收、检测的各种费用和售后服务、税金及其他所有成本费用的总和。</w:t>
      </w:r>
    </w:p>
    <w:p>
      <w:pPr>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11. 谈判货币</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11.1 谈判应以人民币谈判。</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12. 谈判供应商资格证明文件：</w:t>
      </w:r>
    </w:p>
    <w:p>
      <w:pPr>
        <w:pStyle w:val="24"/>
        <w:spacing w:before="12" w:beforeLines="5" w:after="12" w:afterLines="5" w:line="4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下述资格审查证件材料中如提供的材料不完备或无效或未按规定加盖公章的，将视为资格审查不合格，不进入详评（属复印件的必须加盖单位公章并携带原件备核）：</w:t>
      </w:r>
    </w:p>
    <w:p>
      <w:pPr>
        <w:pStyle w:val="24"/>
        <w:spacing w:before="12" w:beforeLines="5" w:after="12" w:afterLines="5" w:line="440" w:lineRule="exact"/>
        <w:ind w:firstLine="420"/>
        <w:jc w:val="left"/>
        <w:rPr>
          <w:rFonts w:hAnsi="宋体" w:cs="宋体"/>
          <w:color w:val="auto"/>
          <w:szCs w:val="21"/>
        </w:rPr>
      </w:pPr>
      <w:r>
        <w:rPr>
          <w:rFonts w:hint="eastAsia" w:hAnsi="宋体" w:cs="宋体"/>
          <w:color w:val="auto"/>
          <w:szCs w:val="21"/>
        </w:rPr>
        <w:t>（1）有效的“营业执照”副本复印件</w:t>
      </w:r>
      <w:r>
        <w:rPr>
          <w:rFonts w:hint="eastAsia" w:hAnsi="宋体" w:cs="宋体"/>
          <w:szCs w:val="21"/>
        </w:rPr>
        <w:t>（</w:t>
      </w:r>
      <w:r>
        <w:rPr>
          <w:rFonts w:hint="eastAsia" w:hAnsi="宋体"/>
        </w:rPr>
        <w:t>谈判供应商为事业单位的不需要提供“营业执照”，但需提供“事业单位法人证书”）</w:t>
      </w:r>
      <w:r>
        <w:rPr>
          <w:rFonts w:hint="eastAsia" w:hAnsi="宋体" w:cs="宋体"/>
          <w:szCs w:val="21"/>
        </w:rPr>
        <w:t>复印件</w:t>
      </w:r>
      <w:r>
        <w:rPr>
          <w:rFonts w:hint="eastAsia" w:hAnsi="宋体"/>
        </w:rPr>
        <w:t>，（</w:t>
      </w:r>
      <w:r>
        <w:rPr>
          <w:rFonts w:hint="eastAsia" w:hAnsi="宋体" w:cs="宋体"/>
          <w:b/>
        </w:rPr>
        <w:t>加盖单位公章，必须提供，否则谈判无效</w:t>
      </w:r>
      <w:r>
        <w:rPr>
          <w:rFonts w:hint="eastAsia" w:hAnsi="宋体" w:cs="宋体"/>
          <w:szCs w:val="21"/>
        </w:rPr>
        <w:t>）；</w:t>
      </w:r>
      <w:r>
        <w:rPr>
          <w:rFonts w:hint="eastAsia" w:hAnsi="宋体" w:cs="宋体"/>
          <w:color w:val="auto"/>
          <w:szCs w:val="21"/>
        </w:rPr>
        <w:t xml:space="preserve"> </w:t>
      </w:r>
    </w:p>
    <w:p>
      <w:pPr>
        <w:pStyle w:val="24"/>
        <w:spacing w:before="12" w:beforeLines="5" w:after="12" w:afterLines="5" w:line="440" w:lineRule="exact"/>
        <w:ind w:firstLine="420"/>
        <w:jc w:val="left"/>
        <w:rPr>
          <w:rFonts w:hAnsi="宋体" w:cs="宋体"/>
          <w:bCs/>
          <w:color w:val="auto"/>
        </w:rPr>
      </w:pPr>
      <w:r>
        <w:rPr>
          <w:rFonts w:hint="eastAsia" w:hAnsi="宋体" w:cs="宋体"/>
          <w:color w:val="auto"/>
          <w:szCs w:val="21"/>
        </w:rPr>
        <w:t>（2）法定代表人</w:t>
      </w:r>
      <w:r>
        <w:rPr>
          <w:rFonts w:hint="eastAsia" w:hAnsi="宋体" w:cs="宋体"/>
          <w:color w:val="auto"/>
        </w:rPr>
        <w:t>（负责人）</w:t>
      </w:r>
      <w:r>
        <w:rPr>
          <w:rFonts w:hint="eastAsia" w:hAnsi="宋体" w:cs="宋体"/>
          <w:color w:val="auto"/>
          <w:szCs w:val="21"/>
        </w:rPr>
        <w:t>身份证复印件〔</w:t>
      </w:r>
      <w:r>
        <w:rPr>
          <w:rFonts w:hint="eastAsia" w:hAnsi="宋体" w:cs="宋体"/>
          <w:b/>
          <w:color w:val="auto"/>
          <w:szCs w:val="21"/>
        </w:rPr>
        <w:t>如法定代表人</w:t>
      </w:r>
      <w:r>
        <w:rPr>
          <w:rFonts w:hint="eastAsia" w:hAnsi="宋体" w:cs="宋体"/>
          <w:b/>
          <w:color w:val="auto"/>
        </w:rPr>
        <w:t>（负责人）</w:t>
      </w:r>
      <w:r>
        <w:rPr>
          <w:rFonts w:hint="eastAsia" w:hAnsi="宋体" w:cs="宋体"/>
          <w:b/>
          <w:color w:val="auto"/>
          <w:szCs w:val="21"/>
        </w:rPr>
        <w:t>参加开标，须提供本人身份证原件</w:t>
      </w:r>
      <w:r>
        <w:rPr>
          <w:rFonts w:hint="eastAsia" w:hAnsi="宋体" w:cs="宋体"/>
          <w:color w:val="auto"/>
          <w:szCs w:val="21"/>
        </w:rPr>
        <w:t>〕；</w:t>
      </w:r>
    </w:p>
    <w:p>
      <w:pPr>
        <w:pStyle w:val="24"/>
        <w:spacing w:before="12" w:beforeLines="5" w:after="12" w:afterLines="5" w:line="440" w:lineRule="exact"/>
        <w:ind w:firstLine="420"/>
        <w:jc w:val="left"/>
        <w:rPr>
          <w:rFonts w:hAnsi="宋体" w:cs="宋体"/>
          <w:color w:val="auto"/>
          <w:szCs w:val="21"/>
        </w:rPr>
      </w:pPr>
      <w:r>
        <w:rPr>
          <w:rFonts w:hint="eastAsia" w:hAnsi="宋体" w:cs="宋体"/>
          <w:color w:val="auto"/>
          <w:szCs w:val="21"/>
        </w:rPr>
        <w:t>（3）法定代表人（负责人）授权委托书原件和委托代理人身份证复印件（委托代理时必须提供，</w:t>
      </w:r>
      <w:r>
        <w:rPr>
          <w:rFonts w:hint="eastAsia" w:hAnsi="宋体" w:cs="宋体"/>
          <w:b/>
          <w:color w:val="auto"/>
          <w:szCs w:val="21"/>
        </w:rPr>
        <w:t>开标时原件核查</w:t>
      </w:r>
      <w:r>
        <w:rPr>
          <w:rFonts w:hint="eastAsia" w:hAnsi="宋体" w:cs="宋体"/>
          <w:color w:val="auto"/>
          <w:szCs w:val="21"/>
        </w:rPr>
        <w:t>）；</w:t>
      </w:r>
    </w:p>
    <w:p>
      <w:pPr>
        <w:pStyle w:val="24"/>
        <w:spacing w:before="12" w:beforeLines="5" w:after="12" w:afterLines="5" w:line="440" w:lineRule="exact"/>
        <w:ind w:firstLine="420"/>
        <w:jc w:val="left"/>
        <w:rPr>
          <w:rFonts w:hAnsi="宋体" w:cs="宋体"/>
          <w:color w:val="auto"/>
          <w:szCs w:val="21"/>
        </w:rPr>
      </w:pPr>
      <w:r>
        <w:rPr>
          <w:rFonts w:hint="eastAsia" w:hAnsi="宋体" w:cs="宋体"/>
          <w:color w:val="auto"/>
          <w:szCs w:val="21"/>
        </w:rPr>
        <w:t>（4）</w:t>
      </w:r>
      <w:r>
        <w:rPr>
          <w:rFonts w:hint="eastAsia" w:hAnsi="宋体" w:cs="宋体"/>
          <w:szCs w:val="21"/>
          <w:highlight w:val="none"/>
        </w:rPr>
        <w:t>201</w:t>
      </w:r>
      <w:r>
        <w:rPr>
          <w:rFonts w:hint="eastAsia" w:hAnsi="宋体" w:cs="宋体"/>
          <w:szCs w:val="21"/>
          <w:highlight w:val="none"/>
          <w:lang w:val="en-US" w:eastAsia="zh-CN"/>
        </w:rPr>
        <w:t>9</w:t>
      </w:r>
      <w:r>
        <w:rPr>
          <w:rFonts w:hint="eastAsia" w:hAnsi="宋体" w:cs="宋体"/>
          <w:szCs w:val="21"/>
          <w:highlight w:val="none"/>
        </w:rPr>
        <w:t>年</w:t>
      </w:r>
      <w:r>
        <w:rPr>
          <w:rFonts w:hAnsi="宋体" w:cs="宋体"/>
          <w:szCs w:val="21"/>
          <w:highlight w:val="none"/>
        </w:rPr>
        <w:t>财务</w:t>
      </w:r>
      <w:r>
        <w:rPr>
          <w:rFonts w:hint="eastAsia" w:hAnsi="宋体" w:cs="宋体"/>
          <w:szCs w:val="21"/>
          <w:highlight w:val="none"/>
          <w:lang w:val="en-US" w:eastAsia="zh-CN"/>
        </w:rPr>
        <w:t>状况</w:t>
      </w:r>
      <w:r>
        <w:rPr>
          <w:rFonts w:hint="eastAsia" w:hAnsi="宋体" w:cs="宋体"/>
          <w:szCs w:val="21"/>
          <w:highlight w:val="none"/>
        </w:rPr>
        <w:t>报告</w:t>
      </w:r>
      <w:r>
        <w:rPr>
          <w:rFonts w:hint="eastAsia" w:hAnsi="宋体" w:cs="宋体"/>
          <w:szCs w:val="21"/>
          <w:highlight w:val="none"/>
          <w:lang w:val="en-US" w:eastAsia="zh-CN"/>
        </w:rPr>
        <w:t>复印件</w:t>
      </w:r>
      <w:r>
        <w:rPr>
          <w:rFonts w:hint="eastAsia" w:ascii="宋体" w:hAnsi="宋体"/>
          <w:color w:val="auto"/>
          <w:szCs w:val="21"/>
          <w:highlight w:val="none"/>
        </w:rPr>
        <w:t>（可以是财务报表或银行出具的资信证明或第三方审计报告等证明材料</w:t>
      </w:r>
      <w:r>
        <w:rPr>
          <w:rFonts w:hint="eastAsia" w:hAnsi="宋体"/>
          <w:color w:val="auto"/>
          <w:szCs w:val="21"/>
          <w:highlight w:val="none"/>
          <w:lang w:eastAsia="zh-CN"/>
        </w:rPr>
        <w:t>，</w:t>
      </w:r>
      <w:r>
        <w:rPr>
          <w:rFonts w:hint="eastAsia" w:ascii="宋体" w:hAnsi="宋体"/>
          <w:color w:val="auto"/>
          <w:szCs w:val="21"/>
          <w:highlight w:val="none"/>
        </w:rPr>
        <w:t>新成立的企业按实际情况提供</w:t>
      </w:r>
      <w:r>
        <w:rPr>
          <w:rFonts w:hint="eastAsia" w:hAnsi="宋体"/>
          <w:bCs/>
          <w:color w:val="auto"/>
          <w:szCs w:val="21"/>
          <w:highlight w:val="none"/>
          <w:lang w:eastAsia="zh-CN"/>
        </w:rPr>
        <w:t>）</w:t>
      </w:r>
      <w:r>
        <w:rPr>
          <w:rFonts w:hint="eastAsia" w:hAnsi="宋体" w:cs="宋体"/>
          <w:b/>
          <w:bCs/>
          <w:szCs w:val="21"/>
          <w:highlight w:val="none"/>
        </w:rPr>
        <w:t>（格式自拟，必须提供）</w:t>
      </w:r>
      <w:r>
        <w:rPr>
          <w:rFonts w:hint="eastAsia" w:hAnsi="宋体" w:cs="宋体"/>
          <w:szCs w:val="21"/>
          <w:highlight w:val="none"/>
        </w:rPr>
        <w:t>；</w:t>
      </w:r>
      <w:r>
        <w:rPr>
          <w:rFonts w:hint="eastAsia" w:hAnsi="宋体" w:cs="宋体"/>
          <w:color w:val="auto"/>
          <w:szCs w:val="21"/>
        </w:rPr>
        <w:t xml:space="preserve"> </w:t>
      </w:r>
    </w:p>
    <w:p>
      <w:pPr>
        <w:pStyle w:val="24"/>
        <w:spacing w:before="12" w:beforeLines="5" w:after="12" w:afterLines="5" w:line="440" w:lineRule="exact"/>
        <w:ind w:firstLine="420"/>
        <w:jc w:val="left"/>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w:t>
      </w:r>
      <w:r>
        <w:rPr>
          <w:rFonts w:hint="eastAsia" w:hAnsi="宋体" w:cs="宋体"/>
          <w:color w:val="auto"/>
          <w:szCs w:val="21"/>
          <w:lang w:val="en-US" w:eastAsia="zh-CN"/>
        </w:rPr>
        <w:t>响应文件递交</w:t>
      </w:r>
      <w:r>
        <w:rPr>
          <w:rFonts w:hint="eastAsia" w:hAnsi="宋体" w:cs="宋体"/>
          <w:color w:val="auto"/>
          <w:szCs w:val="21"/>
        </w:rPr>
        <w:t>截止之日前半年内供应商连续三个月的依法缴纳社保费的缴费凭证复印件（</w:t>
      </w:r>
      <w:r>
        <w:rPr>
          <w:rFonts w:hint="eastAsia" w:hAnsi="宋体" w:cs="宋体"/>
          <w:b/>
          <w:bCs/>
          <w:color w:val="auto"/>
          <w:szCs w:val="21"/>
        </w:rPr>
        <w:t>格式自拟，必须提供</w:t>
      </w:r>
      <w:r>
        <w:rPr>
          <w:rFonts w:hint="eastAsia" w:hAnsi="宋体" w:cs="宋体"/>
          <w:b/>
          <w:bCs/>
          <w:color w:val="auto"/>
          <w:szCs w:val="21"/>
          <w:lang w:eastAsia="zh-CN"/>
        </w:rPr>
        <w:t>，加盖公章</w:t>
      </w:r>
      <w:r>
        <w:rPr>
          <w:rFonts w:hint="eastAsia" w:hAnsi="宋体" w:cs="宋体"/>
          <w:color w:val="auto"/>
          <w:szCs w:val="21"/>
          <w:lang w:eastAsia="zh-CN"/>
        </w:rPr>
        <w:t>）</w:t>
      </w:r>
      <w:r>
        <w:rPr>
          <w:rFonts w:hint="eastAsia" w:hAnsi="宋体" w:cs="宋体"/>
          <w:color w:val="auto"/>
          <w:szCs w:val="21"/>
        </w:rPr>
        <w:t>；无缴费记录的，应提供由供应商所在地社保部门出具的《依法缴纳或依法免缴社保费证明》复印件（格式自拟）（成立不足要求月份的提供成立之后的依法缴纳社保费的缴费凭证或</w:t>
      </w:r>
      <w:r>
        <w:rPr>
          <w:rFonts w:hint="eastAsia" w:hAnsi="宋体" w:cs="宋体"/>
          <w:color w:val="auto"/>
          <w:szCs w:val="21"/>
          <w:lang w:val="en-US" w:eastAsia="zh-CN"/>
        </w:rPr>
        <w:t>供应商</w:t>
      </w:r>
      <w:r>
        <w:rPr>
          <w:rFonts w:hint="eastAsia" w:hAnsi="宋体" w:cs="宋体"/>
          <w:color w:val="auto"/>
          <w:szCs w:val="21"/>
        </w:rPr>
        <w:t>所在地相关行政主管部门出具的《依法缴纳或依法免缴社保费证明》）；</w:t>
      </w:r>
    </w:p>
    <w:p>
      <w:pPr>
        <w:pStyle w:val="24"/>
        <w:spacing w:before="12" w:beforeLines="5" w:after="12" w:afterLines="5" w:line="440" w:lineRule="exact"/>
        <w:ind w:firstLine="420"/>
        <w:jc w:val="left"/>
        <w:rPr>
          <w:rFonts w:hAnsi="宋体" w:cs="宋体"/>
          <w:color w:val="auto"/>
          <w:szCs w:val="21"/>
        </w:rPr>
      </w:pPr>
      <w:r>
        <w:rPr>
          <w:rFonts w:hint="eastAsia" w:hAnsi="宋体" w:cs="宋体"/>
          <w:color w:val="auto"/>
          <w:szCs w:val="21"/>
        </w:rPr>
        <w:t>（</w:t>
      </w:r>
      <w:r>
        <w:rPr>
          <w:rFonts w:hint="eastAsia" w:hAnsi="宋体" w:cs="宋体"/>
          <w:color w:val="auto"/>
          <w:szCs w:val="21"/>
          <w:lang w:val="en-US" w:eastAsia="zh-CN"/>
        </w:rPr>
        <w:t>6</w:t>
      </w:r>
      <w:r>
        <w:rPr>
          <w:rFonts w:hint="eastAsia" w:hAnsi="宋体" w:cs="宋体"/>
          <w:color w:val="auto"/>
          <w:szCs w:val="21"/>
        </w:rPr>
        <w:t>）参加政府采购活动前三年内在经营活动中没有重大违法记录和不良信用记录的书面声明</w:t>
      </w:r>
      <w:r>
        <w:rPr>
          <w:rFonts w:hint="eastAsia" w:hAnsi="宋体" w:cs="宋体"/>
          <w:b/>
          <w:bCs/>
          <w:color w:val="auto"/>
          <w:szCs w:val="21"/>
        </w:rPr>
        <w:t>（格式自拟，必须提供）</w:t>
      </w:r>
      <w:r>
        <w:rPr>
          <w:rFonts w:hint="eastAsia" w:hAnsi="宋体" w:cs="宋体"/>
          <w:color w:val="auto"/>
          <w:szCs w:val="21"/>
        </w:rPr>
        <w:t>；</w:t>
      </w:r>
    </w:p>
    <w:p>
      <w:pPr>
        <w:pStyle w:val="24"/>
        <w:spacing w:before="12" w:beforeLines="5" w:after="12" w:afterLines="5" w:line="440" w:lineRule="exact"/>
        <w:ind w:firstLine="420"/>
        <w:jc w:val="left"/>
        <w:rPr>
          <w:rFonts w:hAnsi="宋体" w:cs="宋体"/>
          <w:color w:val="auto"/>
          <w:szCs w:val="21"/>
        </w:rPr>
      </w:pPr>
      <w:r>
        <w:rPr>
          <w:rFonts w:hint="eastAsia" w:hAnsi="宋体" w:cs="宋体"/>
          <w:color w:val="auto"/>
          <w:szCs w:val="21"/>
          <w:lang w:eastAsia="zh-CN"/>
        </w:rPr>
        <w:t>（</w:t>
      </w:r>
      <w:r>
        <w:rPr>
          <w:rFonts w:hint="eastAsia" w:hAnsi="宋体" w:cs="宋体"/>
          <w:color w:val="auto"/>
          <w:szCs w:val="21"/>
          <w:lang w:val="en-US" w:eastAsia="zh-CN"/>
        </w:rPr>
        <w:t>7）</w:t>
      </w:r>
      <w:r>
        <w:rPr>
          <w:rFonts w:hint="eastAsia" w:hAnsi="宋体" w:cs="宋体"/>
          <w:color w:val="auto"/>
          <w:szCs w:val="21"/>
        </w:rPr>
        <w:t>谈判供应商认为有必要提供的其他有关材料。</w:t>
      </w:r>
    </w:p>
    <w:p>
      <w:pPr>
        <w:spacing w:before="12" w:beforeLines="5" w:after="12" w:afterLines="5" w:line="440" w:lineRule="exact"/>
        <w:rPr>
          <w:rFonts w:ascii="宋体" w:hAnsi="宋体" w:cs="宋体"/>
          <w:b/>
          <w:szCs w:val="21"/>
        </w:rPr>
      </w:pPr>
      <w:bookmarkStart w:id="60" w:name="_Toc181594905"/>
      <w:bookmarkStart w:id="61" w:name="_Toc2956549"/>
      <w:bookmarkStart w:id="62" w:name="_Toc2956495"/>
      <w:bookmarkStart w:id="63" w:name="_Toc312878813"/>
      <w:bookmarkStart w:id="64" w:name="_Toc181594753"/>
      <w:bookmarkStart w:id="65" w:name="_Toc5810"/>
      <w:bookmarkStart w:id="66" w:name="_Toc342313047"/>
      <w:r>
        <w:rPr>
          <w:rFonts w:hint="eastAsia"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  谈判有效期</w:t>
      </w:r>
    </w:p>
    <w:p>
      <w:pPr>
        <w:pStyle w:val="24"/>
        <w:spacing w:before="12" w:beforeLines="5" w:after="12" w:afterLines="5" w:line="440" w:lineRule="exact"/>
        <w:rPr>
          <w:rFonts w:hAnsi="宋体" w:cs="宋体"/>
          <w:b/>
          <w:szCs w:val="21"/>
        </w:rPr>
      </w:pPr>
      <w:r>
        <w:rPr>
          <w:rFonts w:hint="eastAsia" w:hAnsi="宋体" w:cs="宋体"/>
          <w:bCs/>
          <w:szCs w:val="21"/>
        </w:rPr>
        <w:t>1</w:t>
      </w:r>
      <w:r>
        <w:rPr>
          <w:rFonts w:hint="eastAsia" w:hAnsi="宋体" w:cs="宋体"/>
          <w:bCs/>
          <w:szCs w:val="21"/>
          <w:lang w:val="en-US" w:eastAsia="zh-CN"/>
        </w:rPr>
        <w:t>3</w:t>
      </w:r>
      <w:r>
        <w:rPr>
          <w:rFonts w:hint="eastAsia" w:hAnsi="宋体" w:cs="宋体"/>
          <w:bCs/>
          <w:szCs w:val="21"/>
        </w:rPr>
        <w:t xml:space="preserve">.1 </w:t>
      </w:r>
      <w:r>
        <w:rPr>
          <w:rFonts w:hint="eastAsia" w:hAnsi="宋体" w:cs="宋体"/>
          <w:szCs w:val="21"/>
        </w:rPr>
        <w:t>竞争性谈判响应文件从谈判截止日期起60天内有效。</w:t>
      </w:r>
    </w:p>
    <w:p>
      <w:pPr>
        <w:pStyle w:val="24"/>
        <w:spacing w:before="12" w:beforeLines="5" w:after="12" w:afterLines="5" w:line="440" w:lineRule="exact"/>
        <w:rPr>
          <w:rFonts w:hAnsi="宋体" w:cs="宋体"/>
          <w:szCs w:val="21"/>
        </w:rPr>
      </w:pPr>
      <w:r>
        <w:rPr>
          <w:rFonts w:hint="eastAsia" w:hAnsi="宋体" w:cs="宋体"/>
          <w:szCs w:val="21"/>
        </w:rPr>
        <w:t>1</w:t>
      </w:r>
      <w:r>
        <w:rPr>
          <w:rFonts w:hint="eastAsia" w:hAnsi="宋体" w:cs="宋体"/>
          <w:szCs w:val="21"/>
          <w:lang w:val="en-US" w:eastAsia="zh-CN"/>
        </w:rPr>
        <w:t>3</w:t>
      </w:r>
      <w:r>
        <w:rPr>
          <w:rFonts w:hint="eastAsia" w:hAnsi="宋体" w:cs="宋体"/>
          <w:szCs w:val="21"/>
        </w:rPr>
        <w:t>.2 在特殊情况下，采购代理机构可与谈判供应商协商延长竞争性谈判响应文件的有效期。</w:t>
      </w:r>
    </w:p>
    <w:p>
      <w:pPr>
        <w:pStyle w:val="24"/>
        <w:spacing w:before="12" w:beforeLines="5" w:after="12" w:afterLines="5" w:line="440" w:lineRule="exact"/>
        <w:rPr>
          <w:rFonts w:hAnsi="宋体" w:cs="宋体"/>
          <w:szCs w:val="21"/>
        </w:rPr>
      </w:pPr>
      <w:r>
        <w:rPr>
          <w:rFonts w:hint="eastAsia" w:hAnsi="宋体" w:cs="宋体"/>
          <w:b/>
          <w:szCs w:val="21"/>
        </w:rPr>
        <w:t>1</w:t>
      </w:r>
      <w:r>
        <w:rPr>
          <w:rFonts w:hint="eastAsia" w:hAnsi="宋体" w:cs="宋体"/>
          <w:b/>
          <w:szCs w:val="21"/>
          <w:lang w:val="en-US" w:eastAsia="zh-CN"/>
        </w:rPr>
        <w:t>4</w:t>
      </w:r>
      <w:r>
        <w:rPr>
          <w:rFonts w:hint="eastAsia" w:hAnsi="宋体" w:cs="宋体"/>
          <w:b/>
          <w:szCs w:val="21"/>
        </w:rPr>
        <w:t>.  竞争性谈判响应文件书写及签字、盖章要求</w:t>
      </w:r>
    </w:p>
    <w:p>
      <w:pPr>
        <w:pStyle w:val="24"/>
        <w:spacing w:before="12" w:beforeLines="5" w:after="12" w:afterLines="5" w:line="440" w:lineRule="exact"/>
        <w:rPr>
          <w:rFonts w:hAnsi="宋体" w:cs="宋体"/>
          <w:szCs w:val="21"/>
        </w:rPr>
      </w:pPr>
      <w:r>
        <w:rPr>
          <w:rFonts w:hint="eastAsia" w:hAnsi="宋体" w:cs="宋体"/>
          <w:szCs w:val="21"/>
        </w:rPr>
        <w:t>1</w:t>
      </w:r>
      <w:r>
        <w:rPr>
          <w:rFonts w:hint="eastAsia" w:hAnsi="宋体" w:cs="宋体"/>
          <w:szCs w:val="21"/>
          <w:lang w:val="en-US" w:eastAsia="zh-CN"/>
        </w:rPr>
        <w:t>4</w:t>
      </w:r>
      <w:r>
        <w:rPr>
          <w:rFonts w:hint="eastAsia" w:hAnsi="宋体" w:cs="宋体"/>
          <w:szCs w:val="21"/>
        </w:rPr>
        <w:t>.1 竞争性谈判响应文件须用不褪色的墨水工整书写或打印，修改处应由法定代表人（负责人）或委托代理人签字和盖公章（副本可以用正本复印）。</w:t>
      </w:r>
    </w:p>
    <w:p>
      <w:pPr>
        <w:pStyle w:val="24"/>
        <w:spacing w:before="12" w:beforeLines="5" w:after="12" w:afterLines="5" w:line="440" w:lineRule="exact"/>
        <w:rPr>
          <w:rFonts w:hAnsi="宋体" w:cs="宋体"/>
          <w:szCs w:val="21"/>
        </w:rPr>
      </w:pPr>
      <w:r>
        <w:rPr>
          <w:rFonts w:hint="eastAsia" w:hAnsi="宋体" w:cs="宋体"/>
          <w:szCs w:val="21"/>
        </w:rPr>
        <w:t>1</w:t>
      </w:r>
      <w:r>
        <w:rPr>
          <w:rFonts w:hint="eastAsia" w:hAnsi="宋体" w:cs="宋体"/>
          <w:szCs w:val="21"/>
          <w:lang w:val="en-US" w:eastAsia="zh-CN"/>
        </w:rPr>
        <w:t>4</w:t>
      </w:r>
      <w:r>
        <w:rPr>
          <w:rFonts w:hint="eastAsia" w:hAnsi="宋体" w:cs="宋体"/>
          <w:szCs w:val="21"/>
        </w:rPr>
        <w:t>.2 字迹工整、表达清晰，按要求填写竞争性谈判响应文件。</w:t>
      </w:r>
    </w:p>
    <w:p>
      <w:pPr>
        <w:pStyle w:val="24"/>
        <w:spacing w:before="12" w:beforeLines="5" w:after="12" w:afterLines="5" w:line="440" w:lineRule="exact"/>
        <w:rPr>
          <w:rFonts w:hint="eastAsia" w:hAnsi="宋体" w:cs="宋体"/>
          <w:szCs w:val="21"/>
        </w:rPr>
      </w:pPr>
      <w:r>
        <w:rPr>
          <w:rFonts w:hint="eastAsia" w:hAnsi="宋体" w:cs="宋体"/>
          <w:szCs w:val="21"/>
        </w:rPr>
        <w:t>1</w:t>
      </w:r>
      <w:r>
        <w:rPr>
          <w:rFonts w:hint="eastAsia" w:hAnsi="宋体" w:cs="宋体"/>
          <w:szCs w:val="21"/>
          <w:lang w:val="en-US" w:eastAsia="zh-CN"/>
        </w:rPr>
        <w:t>4</w:t>
      </w:r>
      <w:r>
        <w:rPr>
          <w:rFonts w:hint="eastAsia" w:hAnsi="宋体" w:cs="宋体"/>
          <w:szCs w:val="21"/>
        </w:rPr>
        <w:t>.3 竞争性谈判响应文件应由法定代表人或委托代理人在凡规定签章处逐一签名和盖公章，否则将会在评审中按无效竞争性谈判响应文件处理。</w:t>
      </w:r>
    </w:p>
    <w:p>
      <w:pPr>
        <w:pStyle w:val="24"/>
        <w:spacing w:before="12" w:beforeLines="5" w:after="12" w:afterLines="5" w:line="440" w:lineRule="exact"/>
        <w:rPr>
          <w:rFonts w:hAnsi="宋体" w:cs="宋体"/>
          <w:szCs w:val="21"/>
        </w:rPr>
      </w:pPr>
      <w:r>
        <w:rPr>
          <w:rFonts w:hint="eastAsia" w:hAnsi="宋体" w:cs="宋体"/>
          <w:szCs w:val="21"/>
        </w:rPr>
        <w:t>1</w:t>
      </w:r>
      <w:r>
        <w:rPr>
          <w:rFonts w:hint="eastAsia" w:hAnsi="宋体" w:cs="宋体"/>
          <w:szCs w:val="21"/>
          <w:lang w:val="en-US" w:eastAsia="zh-CN"/>
        </w:rPr>
        <w:t>4</w:t>
      </w:r>
      <w:r>
        <w:rPr>
          <w:rFonts w:hint="eastAsia" w:hAnsi="宋体" w:cs="宋体"/>
          <w:szCs w:val="21"/>
        </w:rPr>
        <w:t>.4 竞争性谈判响应文件的份数：</w:t>
      </w:r>
      <w:r>
        <w:rPr>
          <w:rFonts w:hint="eastAsia" w:hAnsi="宋体" w:cs="宋体"/>
          <w:b/>
          <w:szCs w:val="21"/>
          <w:u w:val="single"/>
        </w:rPr>
        <w:t>正本一份，副本三份，共四份</w:t>
      </w:r>
      <w:r>
        <w:rPr>
          <w:rFonts w:hint="eastAsia" w:hAnsi="宋体" w:cs="宋体"/>
          <w:szCs w:val="21"/>
        </w:rPr>
        <w:t>。并在每份文件封面上注明“正本”或“副本”字样，一旦正本和副本不符，以正本为准。</w:t>
      </w:r>
    </w:p>
    <w:p>
      <w:pPr>
        <w:pStyle w:val="24"/>
        <w:spacing w:before="12" w:beforeLines="5" w:after="12" w:afterLines="5" w:line="440" w:lineRule="exact"/>
        <w:rPr>
          <w:rFonts w:hAnsi="宋体" w:cs="宋体"/>
          <w:bCs/>
          <w:szCs w:val="21"/>
        </w:rPr>
      </w:pPr>
      <w:r>
        <w:rPr>
          <w:rFonts w:hint="eastAsia" w:hAnsi="宋体" w:cs="宋体"/>
          <w:b/>
          <w:szCs w:val="21"/>
        </w:rPr>
        <w:t>1</w:t>
      </w:r>
      <w:r>
        <w:rPr>
          <w:rFonts w:hint="eastAsia" w:hAnsi="宋体" w:cs="宋体"/>
          <w:b/>
          <w:szCs w:val="21"/>
          <w:lang w:val="en-US" w:eastAsia="zh-CN"/>
        </w:rPr>
        <w:t>5</w:t>
      </w:r>
      <w:r>
        <w:rPr>
          <w:rFonts w:hint="eastAsia" w:hAnsi="宋体" w:cs="宋体"/>
          <w:b/>
          <w:szCs w:val="21"/>
        </w:rPr>
        <w:t>.  谈判保证金</w:t>
      </w:r>
      <w:r>
        <w:rPr>
          <w:rFonts w:hint="eastAsia" w:hAnsi="宋体" w:cs="宋体"/>
          <w:b/>
          <w:szCs w:val="21"/>
          <w:lang w:eastAsia="zh-CN"/>
        </w:rPr>
        <w:t>：</w:t>
      </w:r>
      <w:r>
        <w:rPr>
          <w:rFonts w:hint="eastAsia" w:hAnsi="宋体" w:cs="宋体"/>
          <w:spacing w:val="-4"/>
          <w:szCs w:val="21"/>
          <w:lang w:val="en-US" w:eastAsia="zh-CN"/>
        </w:rPr>
        <w:t>无</w:t>
      </w:r>
      <w:r>
        <w:rPr>
          <w:rFonts w:hint="eastAsia" w:hAnsi="宋体" w:cs="宋体"/>
          <w:bCs/>
          <w:szCs w:val="21"/>
        </w:rPr>
        <w:t>。</w:t>
      </w:r>
    </w:p>
    <w:p>
      <w:pPr>
        <w:pStyle w:val="5"/>
        <w:spacing w:before="240" w:beforeLines="100" w:after="240" w:afterLines="100" w:line="440" w:lineRule="exact"/>
        <w:jc w:val="center"/>
        <w:rPr>
          <w:rFonts w:hint="eastAsia" w:ascii="宋体" w:hAnsi="宋体" w:eastAsia="宋体" w:cs="宋体"/>
          <w:color w:val="auto"/>
        </w:rPr>
      </w:pPr>
      <w:r>
        <w:rPr>
          <w:rFonts w:hint="eastAsia" w:ascii="宋体" w:hAnsi="宋体" w:eastAsia="宋体" w:cs="宋体"/>
          <w:color w:val="auto"/>
        </w:rPr>
        <w:t>四 、</w:t>
      </w:r>
      <w:r>
        <w:rPr>
          <w:rFonts w:hint="eastAsia" w:ascii="宋体" w:hAnsi="宋体" w:eastAsia="宋体" w:cs="宋体"/>
          <w:color w:val="auto"/>
          <w:szCs w:val="21"/>
        </w:rPr>
        <w:t>竞争性谈判响应</w:t>
      </w:r>
      <w:r>
        <w:rPr>
          <w:rFonts w:hint="eastAsia" w:ascii="宋体" w:hAnsi="宋体" w:eastAsia="宋体" w:cs="宋体"/>
          <w:color w:val="auto"/>
        </w:rPr>
        <w:t>文件的递交</w:t>
      </w:r>
      <w:bookmarkEnd w:id="60"/>
      <w:bookmarkEnd w:id="61"/>
      <w:bookmarkEnd w:id="62"/>
      <w:bookmarkEnd w:id="63"/>
      <w:bookmarkEnd w:id="64"/>
      <w:bookmarkEnd w:id="65"/>
      <w:bookmarkEnd w:id="66"/>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hAnsi="宋体" w:cs="宋体"/>
          <w:b/>
          <w:color w:val="auto"/>
          <w:szCs w:val="21"/>
          <w:lang w:val="en-US" w:eastAsia="zh-CN"/>
        </w:rPr>
        <w:t>6</w:t>
      </w:r>
      <w:r>
        <w:rPr>
          <w:rFonts w:hint="eastAsia" w:ascii="宋体" w:hAnsi="宋体" w:eastAsia="宋体" w:cs="宋体"/>
          <w:b/>
          <w:color w:val="auto"/>
          <w:szCs w:val="21"/>
        </w:rPr>
        <w:t>.</w:t>
      </w:r>
      <w:r>
        <w:rPr>
          <w:rFonts w:hint="eastAsia" w:ascii="宋体" w:hAnsi="宋体" w:eastAsia="宋体" w:cs="宋体"/>
          <w:color w:val="auto"/>
        </w:rPr>
        <w:t xml:space="preserve"> </w:t>
      </w:r>
      <w:r>
        <w:rPr>
          <w:rFonts w:hint="eastAsia" w:ascii="宋体" w:hAnsi="宋体" w:eastAsia="宋体" w:cs="宋体"/>
          <w:b/>
          <w:color w:val="auto"/>
          <w:szCs w:val="21"/>
        </w:rPr>
        <w:t>竞争性谈判响应文件的密封与标记</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6</w:t>
      </w:r>
      <w:r>
        <w:rPr>
          <w:rFonts w:hint="eastAsia" w:ascii="宋体" w:hAnsi="宋体" w:eastAsia="宋体" w:cs="宋体"/>
          <w:color w:val="auto"/>
          <w:szCs w:val="21"/>
        </w:rPr>
        <w:t>.1 谈判供应商应将竞争性谈判响应文件正、副本分别装订成册，在每个文本封面上标明“正本”或“副本”，以及项目名称、项目编号、谈判供应商名称等内容。</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6</w:t>
      </w:r>
      <w:r>
        <w:rPr>
          <w:rFonts w:hint="eastAsia" w:ascii="宋体" w:hAnsi="宋体" w:eastAsia="宋体" w:cs="宋体"/>
          <w:color w:val="auto"/>
          <w:szCs w:val="21"/>
        </w:rPr>
        <w:t>.2谈判供应商应将全部竞争性谈判响应文件装入竞争性谈判响应文件袋内加以密封，并在外层包封上所有的封口处均须骑缝加盖谈判供应商的公章，在文件袋上应写明：</w:t>
      </w:r>
    </w:p>
    <w:p>
      <w:pPr>
        <w:pStyle w:val="24"/>
        <w:numPr>
          <w:ilvl w:val="0"/>
          <w:numId w:val="8"/>
        </w:numPr>
        <w:spacing w:before="12" w:beforeLines="5" w:after="12" w:afterLines="5" w:line="440" w:lineRule="exact"/>
        <w:ind w:left="777" w:hanging="357"/>
        <w:rPr>
          <w:rFonts w:hint="eastAsia" w:ascii="宋体" w:hAnsi="宋体" w:eastAsia="宋体" w:cs="宋体"/>
          <w:color w:val="auto"/>
          <w:szCs w:val="21"/>
        </w:rPr>
      </w:pPr>
      <w:r>
        <w:rPr>
          <w:rFonts w:hint="eastAsia" w:ascii="宋体" w:hAnsi="宋体" w:eastAsia="宋体" w:cs="宋体"/>
          <w:color w:val="auto"/>
          <w:szCs w:val="21"/>
        </w:rPr>
        <w:t xml:space="preserve"> 采购代理机构：</w:t>
      </w:r>
      <w:r>
        <w:rPr>
          <w:rFonts w:hint="eastAsia" w:hAnsi="宋体" w:cs="宋体"/>
          <w:color w:val="auto"/>
          <w:szCs w:val="21"/>
          <w:u w:val="single"/>
          <w:lang w:eastAsia="zh-CN"/>
        </w:rPr>
        <w:t>广西旭航工程咨询有限公司</w:t>
      </w:r>
    </w:p>
    <w:p>
      <w:pPr>
        <w:numPr>
          <w:ilvl w:val="0"/>
          <w:numId w:val="8"/>
        </w:numPr>
        <w:spacing w:before="12" w:beforeLines="5" w:after="12" w:afterLines="5" w:line="440" w:lineRule="exact"/>
        <w:ind w:left="777" w:hanging="357"/>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 项目名称：</w:t>
      </w:r>
      <w:r>
        <w:rPr>
          <w:rFonts w:hint="eastAsia" w:ascii="宋体" w:hAnsi="宋体" w:cs="宋体"/>
          <w:color w:val="auto"/>
          <w:szCs w:val="21"/>
          <w:u w:val="single"/>
          <w:lang w:eastAsia="zh-CN"/>
        </w:rPr>
        <w:t>2020年市委宣传部党员活动室规范化建设项目</w:t>
      </w:r>
    </w:p>
    <w:p>
      <w:pPr>
        <w:numPr>
          <w:ilvl w:val="0"/>
          <w:numId w:val="8"/>
        </w:numPr>
        <w:spacing w:before="12" w:beforeLines="5" w:after="12" w:afterLines="5" w:line="440" w:lineRule="exact"/>
        <w:ind w:left="777" w:hanging="357"/>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 项目编号：</w:t>
      </w:r>
      <w:r>
        <w:rPr>
          <w:rFonts w:hint="eastAsia" w:ascii="宋体" w:hAnsi="宋体" w:eastAsia="宋体" w:cs="宋体"/>
          <w:color w:val="auto"/>
          <w:szCs w:val="21"/>
          <w:u w:val="single"/>
        </w:rPr>
        <w:t xml:space="preserve"> </w:t>
      </w:r>
      <w:r>
        <w:rPr>
          <w:rFonts w:hint="eastAsia" w:ascii="宋体" w:hAnsi="宋体" w:cs="宋体"/>
          <w:color w:val="auto"/>
          <w:szCs w:val="21"/>
          <w:u w:val="single"/>
          <w:lang w:eastAsia="zh-CN"/>
        </w:rPr>
        <w:t>YLZC2020-J3-000637-GXXH</w:t>
      </w:r>
    </w:p>
    <w:p>
      <w:pPr>
        <w:pStyle w:val="24"/>
        <w:numPr>
          <w:ilvl w:val="0"/>
          <w:numId w:val="8"/>
        </w:numPr>
        <w:spacing w:before="12" w:beforeLines="5" w:after="12" w:afterLines="5" w:line="440" w:lineRule="exact"/>
        <w:rPr>
          <w:rFonts w:hint="eastAsia" w:ascii="宋体" w:hAnsi="宋体" w:eastAsia="宋体" w:cs="宋体"/>
          <w:color w:val="auto"/>
          <w:szCs w:val="21"/>
          <w:u w:val="single"/>
        </w:rPr>
      </w:pPr>
      <w:r>
        <w:rPr>
          <w:rFonts w:hint="eastAsia" w:ascii="宋体" w:hAnsi="宋体" w:eastAsia="宋体" w:cs="宋体"/>
          <w:color w:val="auto"/>
          <w:szCs w:val="21"/>
        </w:rPr>
        <w:t>谈判供应商：</w:t>
      </w:r>
      <w:r>
        <w:rPr>
          <w:rFonts w:hint="eastAsia" w:ascii="宋体" w:hAnsi="宋体" w:eastAsia="宋体" w:cs="宋体"/>
          <w:color w:val="auto"/>
          <w:szCs w:val="21"/>
          <w:u w:val="single"/>
        </w:rPr>
        <w:t xml:space="preserve">                                   </w:t>
      </w:r>
    </w:p>
    <w:p>
      <w:pPr>
        <w:pStyle w:val="24"/>
        <w:numPr>
          <w:ilvl w:val="0"/>
          <w:numId w:val="8"/>
        </w:numPr>
        <w:spacing w:before="12" w:beforeLines="5" w:after="12" w:afterLines="5" w:line="440" w:lineRule="exact"/>
        <w:rPr>
          <w:rFonts w:hint="eastAsia" w:ascii="宋体" w:hAnsi="宋体" w:eastAsia="宋体" w:cs="宋体"/>
          <w:color w:val="auto"/>
          <w:szCs w:val="21"/>
          <w:u w:val="single"/>
        </w:rPr>
      </w:pPr>
      <w:r>
        <w:rPr>
          <w:rFonts w:hint="eastAsia" w:ascii="宋体" w:hAnsi="宋体" w:eastAsia="宋体" w:cs="宋体"/>
          <w:color w:val="auto"/>
          <w:szCs w:val="21"/>
        </w:rPr>
        <w:t>注    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分（即开标时间）以前不得开封</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6</w:t>
      </w:r>
      <w:r>
        <w:rPr>
          <w:rFonts w:hint="eastAsia" w:ascii="宋体" w:hAnsi="宋体" w:eastAsia="宋体" w:cs="宋体"/>
          <w:color w:val="auto"/>
          <w:szCs w:val="21"/>
        </w:rPr>
        <w:t>.3谈判供应商在递交竞争性谈判响应文件时，未按本须知要求密封、标记的，采购代理机构有权拒收。</w:t>
      </w:r>
    </w:p>
    <w:p>
      <w:pPr>
        <w:pStyle w:val="24"/>
        <w:spacing w:before="12" w:beforeLines="5" w:after="12" w:afterLines="5" w:line="440" w:lineRule="exact"/>
        <w:rPr>
          <w:rFonts w:hAnsi="宋体" w:cs="宋体"/>
          <w:b/>
          <w:szCs w:val="21"/>
        </w:rPr>
      </w:pPr>
      <w:bookmarkStart w:id="67" w:name="_Toc8421"/>
      <w:bookmarkStart w:id="68" w:name="_Toc2956550"/>
      <w:bookmarkStart w:id="69" w:name="_Toc181594754"/>
      <w:bookmarkStart w:id="70" w:name="_Toc2956496"/>
      <w:bookmarkStart w:id="71" w:name="_Toc342313048"/>
      <w:bookmarkStart w:id="72" w:name="_Toc312878814"/>
      <w:bookmarkStart w:id="73" w:name="_Toc181594906"/>
      <w:r>
        <w:rPr>
          <w:rFonts w:hint="eastAsia" w:hAnsi="宋体" w:cs="宋体"/>
          <w:b/>
          <w:szCs w:val="21"/>
        </w:rPr>
        <w:t>1</w:t>
      </w:r>
      <w:r>
        <w:rPr>
          <w:rFonts w:hint="eastAsia" w:hAnsi="宋体" w:cs="宋体"/>
          <w:b/>
          <w:szCs w:val="21"/>
          <w:lang w:val="en-US" w:eastAsia="zh-CN"/>
        </w:rPr>
        <w:t>7</w:t>
      </w:r>
      <w:r>
        <w:rPr>
          <w:rFonts w:hint="eastAsia" w:hAnsi="宋体" w:cs="宋体"/>
          <w:b/>
          <w:szCs w:val="21"/>
        </w:rPr>
        <w:t>.  谈判截止时间</w:t>
      </w:r>
    </w:p>
    <w:p>
      <w:pPr>
        <w:pStyle w:val="24"/>
        <w:tabs>
          <w:tab w:val="left" w:pos="1957"/>
        </w:tabs>
        <w:spacing w:before="12" w:beforeLines="5" w:after="12" w:afterLines="5" w:line="440" w:lineRule="exact"/>
        <w:rPr>
          <w:rFonts w:hAnsi="宋体" w:cs="宋体"/>
          <w:spacing w:val="-4"/>
          <w:szCs w:val="21"/>
        </w:rPr>
      </w:pPr>
      <w:r>
        <w:rPr>
          <w:rFonts w:hint="eastAsia" w:hAnsi="宋体" w:cs="宋体"/>
          <w:szCs w:val="21"/>
        </w:rPr>
        <w:t>1</w:t>
      </w:r>
      <w:r>
        <w:rPr>
          <w:rFonts w:hint="eastAsia" w:hAnsi="宋体" w:cs="宋体"/>
          <w:szCs w:val="21"/>
          <w:lang w:val="en-US" w:eastAsia="zh-CN"/>
        </w:rPr>
        <w:t>7</w:t>
      </w:r>
      <w:r>
        <w:rPr>
          <w:rFonts w:hint="eastAsia" w:hAnsi="宋体" w:cs="宋体"/>
          <w:szCs w:val="21"/>
        </w:rPr>
        <w:t>.1竞争性谈判响应</w:t>
      </w:r>
      <w:r>
        <w:rPr>
          <w:rFonts w:hint="eastAsia" w:hAnsi="宋体" w:cs="宋体"/>
          <w:spacing w:val="-4"/>
          <w:szCs w:val="21"/>
        </w:rPr>
        <w:t>文件的递交不得迟于本须知前附表第7项规定的截止时间。</w:t>
      </w:r>
    </w:p>
    <w:p>
      <w:pPr>
        <w:pStyle w:val="24"/>
        <w:spacing w:before="12" w:beforeLines="5" w:after="12" w:afterLines="5" w:line="440" w:lineRule="exact"/>
        <w:rPr>
          <w:rFonts w:hAnsi="宋体" w:cs="宋体"/>
          <w:szCs w:val="21"/>
        </w:rPr>
      </w:pPr>
      <w:r>
        <w:rPr>
          <w:rFonts w:hint="eastAsia" w:hAnsi="宋体" w:cs="宋体"/>
          <w:szCs w:val="21"/>
        </w:rPr>
        <w:t>1</w:t>
      </w:r>
      <w:r>
        <w:rPr>
          <w:rFonts w:hint="eastAsia" w:hAnsi="宋体" w:cs="宋体"/>
          <w:szCs w:val="21"/>
          <w:lang w:val="en-US" w:eastAsia="zh-CN"/>
        </w:rPr>
        <w:t>7</w:t>
      </w:r>
      <w:r>
        <w:rPr>
          <w:rFonts w:hint="eastAsia" w:hAnsi="宋体" w:cs="宋体"/>
          <w:szCs w:val="21"/>
        </w:rPr>
        <w:t>.2 谈判供应商必须在规定时间内将竞争性谈判响应文件送到本须知前附表第7项规定地点，超过谈判截止时间送达的竞争性谈判响应文件将不予受理。</w:t>
      </w:r>
    </w:p>
    <w:p>
      <w:pPr>
        <w:pStyle w:val="5"/>
        <w:spacing w:before="240" w:beforeLines="100" w:after="240" w:afterLines="100" w:line="440" w:lineRule="exact"/>
        <w:jc w:val="center"/>
        <w:rPr>
          <w:rFonts w:hint="eastAsia" w:ascii="宋体" w:hAnsi="宋体" w:eastAsia="宋体" w:cs="宋体"/>
          <w:color w:val="auto"/>
        </w:rPr>
      </w:pPr>
      <w:r>
        <w:rPr>
          <w:rFonts w:hint="eastAsia" w:ascii="宋体" w:hAnsi="宋体" w:eastAsia="宋体" w:cs="宋体"/>
          <w:color w:val="auto"/>
        </w:rPr>
        <w:t>五 、竞争性谈判（简称谈判）与评标</w:t>
      </w:r>
      <w:bookmarkEnd w:id="67"/>
      <w:bookmarkEnd w:id="68"/>
      <w:bookmarkEnd w:id="69"/>
      <w:bookmarkEnd w:id="70"/>
      <w:bookmarkEnd w:id="71"/>
      <w:bookmarkEnd w:id="72"/>
      <w:bookmarkEnd w:id="73"/>
    </w:p>
    <w:p>
      <w:pPr>
        <w:pStyle w:val="24"/>
        <w:spacing w:before="12" w:beforeLines="5" w:after="12" w:afterLines="5" w:line="440" w:lineRule="exact"/>
        <w:rPr>
          <w:rFonts w:hint="eastAsia" w:ascii="宋体" w:hAnsi="宋体" w:eastAsia="宋体" w:cs="宋体"/>
          <w:b/>
          <w:color w:val="auto"/>
          <w:szCs w:val="21"/>
        </w:rPr>
      </w:pPr>
      <w:bookmarkStart w:id="74" w:name="_Toc342312329"/>
      <w:bookmarkStart w:id="75" w:name="_Toc342059691"/>
      <w:bookmarkStart w:id="76" w:name="_Toc2956555"/>
      <w:bookmarkStart w:id="77" w:name="_Toc2956501"/>
      <w:bookmarkStart w:id="78" w:name="_Toc342313052"/>
      <w:bookmarkStart w:id="79" w:name="_Toc342312899"/>
      <w:bookmarkStart w:id="80" w:name="_Toc449425437"/>
      <w:bookmarkStart w:id="81" w:name="_Toc342059436"/>
      <w:bookmarkStart w:id="82" w:name="_Toc342313074"/>
      <w:bookmarkStart w:id="83" w:name="_Toc145330455"/>
      <w:bookmarkStart w:id="84" w:name="_Toc181594911"/>
      <w:bookmarkStart w:id="85" w:name="_Toc162715976"/>
      <w:bookmarkStart w:id="86" w:name="_Toc205001191"/>
      <w:bookmarkStart w:id="87" w:name="_Toc181594759"/>
      <w:bookmarkStart w:id="88" w:name="_Toc312878820"/>
      <w:r>
        <w:rPr>
          <w:rFonts w:hint="eastAsia" w:ascii="宋体" w:hAnsi="宋体" w:eastAsia="宋体" w:cs="宋体"/>
          <w:b/>
          <w:color w:val="auto"/>
          <w:szCs w:val="21"/>
        </w:rPr>
        <w:t>1</w:t>
      </w:r>
      <w:r>
        <w:rPr>
          <w:rFonts w:hint="eastAsia" w:hAnsi="宋体" w:cs="宋体"/>
          <w:b/>
          <w:color w:val="auto"/>
          <w:szCs w:val="21"/>
          <w:lang w:val="en-US" w:eastAsia="zh-CN"/>
        </w:rPr>
        <w:t>8</w:t>
      </w:r>
      <w:r>
        <w:rPr>
          <w:rFonts w:hint="eastAsia" w:ascii="宋体" w:hAnsi="宋体" w:eastAsia="宋体" w:cs="宋体"/>
          <w:b/>
          <w:color w:val="auto"/>
          <w:szCs w:val="21"/>
        </w:rPr>
        <w:t>.截标开标</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8</w:t>
      </w:r>
      <w:r>
        <w:rPr>
          <w:rFonts w:hint="eastAsia" w:ascii="宋体" w:hAnsi="宋体" w:eastAsia="宋体" w:cs="宋体"/>
          <w:color w:val="auto"/>
          <w:szCs w:val="21"/>
        </w:rPr>
        <w:t>.1采购代理机构于20</w:t>
      </w:r>
      <w:r>
        <w:rPr>
          <w:rFonts w:hint="eastAsia" w:ascii="宋体" w:hAnsi="宋体" w:cs="宋体"/>
          <w:color w:val="auto"/>
          <w:szCs w:val="21"/>
          <w:lang w:val="en-US" w:eastAsia="zh-CN"/>
        </w:rPr>
        <w:t>20</w:t>
      </w:r>
      <w:r>
        <w:rPr>
          <w:rFonts w:hint="eastAsia" w:ascii="宋体" w:hAnsi="宋体" w:eastAsia="宋体" w:cs="宋体"/>
          <w:color w:val="auto"/>
          <w:szCs w:val="21"/>
        </w:rPr>
        <w:t>年</w:t>
      </w:r>
      <w:r>
        <w:rPr>
          <w:rFonts w:hint="eastAsia" w:hAnsi="宋体" w:cs="宋体"/>
          <w:color w:val="auto"/>
          <w:szCs w:val="21"/>
          <w:lang w:val="en-US" w:eastAsia="zh-CN"/>
        </w:rPr>
        <w:t>11</w:t>
      </w:r>
      <w:r>
        <w:rPr>
          <w:rFonts w:hint="eastAsia" w:ascii="宋体" w:hAnsi="宋体" w:eastAsia="宋体" w:cs="宋体"/>
          <w:color w:val="auto"/>
          <w:szCs w:val="21"/>
        </w:rPr>
        <w:t>月</w:t>
      </w:r>
      <w:r>
        <w:rPr>
          <w:rFonts w:hint="eastAsia" w:hAnsi="宋体" w:cs="宋体"/>
          <w:color w:val="auto"/>
          <w:szCs w:val="21"/>
          <w:lang w:val="en-US" w:eastAsia="zh-CN"/>
        </w:rPr>
        <w:t>16</w:t>
      </w:r>
      <w:r>
        <w:rPr>
          <w:rFonts w:hint="eastAsia" w:ascii="宋体" w:hAnsi="宋体" w:eastAsia="宋体" w:cs="宋体"/>
          <w:color w:val="auto"/>
          <w:szCs w:val="21"/>
        </w:rPr>
        <w:t>日北京时间1</w:t>
      </w:r>
      <w:r>
        <w:rPr>
          <w:rFonts w:hint="eastAsia" w:hAnsi="宋体" w:cs="宋体"/>
          <w:color w:val="auto"/>
          <w:szCs w:val="21"/>
          <w:lang w:val="en-US" w:eastAsia="zh-CN"/>
        </w:rPr>
        <w:t>0</w:t>
      </w:r>
      <w:r>
        <w:rPr>
          <w:rFonts w:hint="eastAsia" w:ascii="宋体" w:hAnsi="宋体" w:eastAsia="宋体" w:cs="宋体"/>
          <w:color w:val="auto"/>
          <w:szCs w:val="21"/>
        </w:rPr>
        <w:t>时</w:t>
      </w:r>
      <w:r>
        <w:rPr>
          <w:rFonts w:hint="eastAsia" w:hAnsi="宋体" w:cs="宋体"/>
          <w:color w:val="auto"/>
          <w:szCs w:val="21"/>
          <w:lang w:val="en-US" w:eastAsia="zh-CN"/>
        </w:rPr>
        <w:t>0</w:t>
      </w:r>
      <w:r>
        <w:rPr>
          <w:rFonts w:hint="eastAsia" w:ascii="宋体" w:hAnsi="宋体" w:eastAsia="宋体" w:cs="宋体"/>
          <w:color w:val="auto"/>
          <w:szCs w:val="21"/>
        </w:rPr>
        <w:t>0分在</w:t>
      </w:r>
      <w:r>
        <w:rPr>
          <w:rFonts w:hint="eastAsia" w:hAnsi="宋体" w:cs="宋体"/>
          <w:color w:val="auto"/>
          <w:szCs w:val="21"/>
          <w:lang w:eastAsia="zh-CN"/>
        </w:rPr>
        <w:t>广西旭航工程咨询有限公司（玉林市中港路南侧爱尚佳酒店旁）</w:t>
      </w:r>
      <w:r>
        <w:rPr>
          <w:rFonts w:hint="eastAsia" w:ascii="宋体" w:hAnsi="宋体" w:eastAsia="宋体" w:cs="宋体"/>
          <w:color w:val="auto"/>
          <w:szCs w:val="21"/>
        </w:rPr>
        <w:t>进行截标开标，</w:t>
      </w:r>
      <w:r>
        <w:rPr>
          <w:rFonts w:hint="eastAsia" w:ascii="宋体" w:hAnsi="宋体" w:eastAsia="宋体" w:cs="宋体"/>
          <w:color w:val="auto"/>
        </w:rPr>
        <w:t>参加谈判的</w:t>
      </w:r>
      <w:r>
        <w:rPr>
          <w:rFonts w:hint="eastAsia" w:ascii="宋体" w:hAnsi="宋体" w:eastAsia="宋体" w:cs="宋体"/>
          <w:color w:val="auto"/>
          <w:szCs w:val="21"/>
        </w:rPr>
        <w:t>如是法定代表人（负责人），应提供法定代表人（负责人）身份证原件、</w:t>
      </w:r>
      <w:r>
        <w:rPr>
          <w:rFonts w:hint="eastAsia" w:ascii="宋体" w:hAnsi="宋体" w:eastAsia="宋体" w:cs="宋体"/>
          <w:color w:val="auto"/>
          <w:kern w:val="0"/>
          <w:szCs w:val="21"/>
        </w:rPr>
        <w:t>营业执照副本复印件</w:t>
      </w:r>
      <w:r>
        <w:rPr>
          <w:rFonts w:hint="eastAsia" w:ascii="宋体" w:hAnsi="宋体" w:eastAsia="宋体" w:cs="宋体"/>
          <w:color w:val="auto"/>
          <w:szCs w:val="21"/>
        </w:rPr>
        <w:t>；如果其委托代理人参加，应提供其委托代理人身份证原件、</w:t>
      </w:r>
      <w:r>
        <w:rPr>
          <w:rFonts w:hint="eastAsia" w:ascii="宋体" w:hAnsi="宋体" w:eastAsia="宋体" w:cs="宋体"/>
          <w:color w:val="auto"/>
          <w:kern w:val="0"/>
          <w:szCs w:val="21"/>
        </w:rPr>
        <w:t>营业执照副本复印件</w:t>
      </w:r>
      <w:r>
        <w:rPr>
          <w:rFonts w:hint="eastAsia" w:ascii="宋体" w:hAnsi="宋体" w:eastAsia="宋体" w:cs="宋体"/>
          <w:color w:val="auto"/>
          <w:szCs w:val="21"/>
        </w:rPr>
        <w:t>和授权委托书原件</w:t>
      </w:r>
      <w:r>
        <w:rPr>
          <w:rFonts w:hint="eastAsia" w:ascii="宋体" w:hAnsi="宋体" w:eastAsia="宋体" w:cs="宋体"/>
          <w:color w:val="auto"/>
        </w:rPr>
        <w:t>（格式自拟，内容必须清楚明确授权范围）</w:t>
      </w:r>
      <w:r>
        <w:rPr>
          <w:rFonts w:hint="eastAsia" w:ascii="宋体" w:hAnsi="宋体" w:eastAsia="宋体" w:cs="宋体"/>
          <w:color w:val="auto"/>
          <w:szCs w:val="21"/>
        </w:rPr>
        <w:t>。</w:t>
      </w:r>
      <w:r>
        <w:rPr>
          <w:rFonts w:hint="eastAsia" w:ascii="宋体" w:hAnsi="宋体" w:eastAsia="宋体" w:cs="宋体"/>
          <w:color w:val="auto"/>
        </w:rPr>
        <w:t>如</w:t>
      </w:r>
      <w:r>
        <w:rPr>
          <w:rFonts w:hint="eastAsia" w:ascii="宋体" w:hAnsi="宋体" w:eastAsia="宋体" w:cs="宋体"/>
          <w:color w:val="auto"/>
          <w:szCs w:val="21"/>
        </w:rPr>
        <w:t>谈判供应商的法定代表人（负责人）或其委托代理人未按时签到的，视同放弃开标监督权利、认可开标结果。</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8</w:t>
      </w:r>
      <w:r>
        <w:rPr>
          <w:rFonts w:hint="eastAsia" w:ascii="宋体" w:hAnsi="宋体" w:eastAsia="宋体" w:cs="宋体"/>
          <w:color w:val="auto"/>
          <w:szCs w:val="21"/>
        </w:rPr>
        <w:t>.2开标时，由监督人员和谈判供应商代表检查竞争性谈判响应文件的密封性情况，经确认无误后，由采购代理机构工作人员宣读谈判过程中应遵守的纪律和应注意的事项。</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8</w:t>
      </w:r>
      <w:r>
        <w:rPr>
          <w:rFonts w:hint="eastAsia" w:ascii="宋体" w:hAnsi="宋体" w:eastAsia="宋体" w:cs="宋体"/>
          <w:color w:val="auto"/>
          <w:szCs w:val="21"/>
        </w:rPr>
        <w:t>.3采购代理机构将做开标记录。</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8</w:t>
      </w:r>
      <w:r>
        <w:rPr>
          <w:rFonts w:hint="eastAsia" w:ascii="宋体" w:hAnsi="宋体" w:eastAsia="宋体" w:cs="宋体"/>
          <w:color w:val="auto"/>
          <w:szCs w:val="21"/>
        </w:rPr>
        <w:t>.4当整个谈判项目的谈判供应商不足3家时，除采购取消情形外，采购代理机构将按政府采购管理的有关规定报主管部门批准后根据《中华人民共和国政府采购法》将该项目改为其他方式进行采购，或依法重新组织采购。</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hAnsi="宋体" w:cs="宋体"/>
          <w:color w:val="auto"/>
          <w:szCs w:val="21"/>
          <w:lang w:val="en-US" w:eastAsia="zh-CN"/>
        </w:rPr>
        <w:t>8</w:t>
      </w:r>
      <w:r>
        <w:rPr>
          <w:rFonts w:hint="eastAsia" w:ascii="宋体" w:hAnsi="宋体" w:eastAsia="宋体" w:cs="宋体"/>
          <w:color w:val="auto"/>
          <w:szCs w:val="21"/>
        </w:rPr>
        <w:t>.5开标后，因符合专业条件的供应商或者竞争性谈判文件作实质响应的供应商不足3家的，项目作废标处理；采购代理机构将按政府采购管理的有关规定报主管部门批准后将改为其他方式进行采购，或依法重新采购。</w:t>
      </w:r>
    </w:p>
    <w:p>
      <w:pPr>
        <w:pStyle w:val="24"/>
        <w:spacing w:before="12" w:beforeLines="5" w:after="12" w:afterLines="5" w:line="440" w:lineRule="exact"/>
        <w:rPr>
          <w:rFonts w:hint="eastAsia" w:ascii="宋体" w:hAnsi="宋体" w:eastAsia="宋体" w:cs="宋体"/>
          <w:b/>
          <w:color w:val="auto"/>
          <w:szCs w:val="21"/>
        </w:rPr>
      </w:pPr>
      <w:r>
        <w:rPr>
          <w:rFonts w:hint="eastAsia" w:hAnsi="宋体" w:cs="宋体"/>
          <w:b/>
          <w:color w:val="auto"/>
          <w:szCs w:val="21"/>
          <w:lang w:val="en-US" w:eastAsia="zh-CN"/>
        </w:rPr>
        <w:t>19</w:t>
      </w:r>
      <w:r>
        <w:rPr>
          <w:rFonts w:hint="eastAsia" w:ascii="宋体" w:hAnsi="宋体" w:eastAsia="宋体" w:cs="宋体"/>
          <w:b/>
          <w:color w:val="auto"/>
          <w:szCs w:val="21"/>
        </w:rPr>
        <w:t>.谈判原则如下：</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19</w:t>
      </w:r>
      <w:r>
        <w:rPr>
          <w:rFonts w:hint="eastAsia" w:ascii="宋体" w:hAnsi="宋体" w:eastAsia="宋体" w:cs="宋体"/>
          <w:color w:val="auto"/>
          <w:szCs w:val="21"/>
        </w:rPr>
        <w:t>.1谈判供应商由1~3人参加谈判；谈判中谈判供应商成员之间意见不一致时，以谈判供应商的法定代表人（负责人）（或其委托代理人）的意见为准。谈判供应商的法定代表人（负责人）或其授权的委托人必须持证件（法定代表人（负责人）持本人身份证或授权的委托人持授权委托书及本人身份证）依时到达现场等候参加谈判，并自觉接受核验上述证件，谈判供应商不在规定时间内参加谈判的，或不在规定时间内对谈判内容进行应答的，视为无效谈判。</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19</w:t>
      </w:r>
      <w:r>
        <w:rPr>
          <w:rFonts w:hint="eastAsia" w:ascii="宋体" w:hAnsi="宋体" w:eastAsia="宋体" w:cs="宋体"/>
          <w:color w:val="auto"/>
          <w:szCs w:val="21"/>
        </w:rPr>
        <w:t>.2谈判小组成员作为一个集体与各谈判供应商分别进行谈判，谈判的内容包括技术条件、商务性条件以及谈判小组认为需要谈判的内容。当竞争性谈判响应文件有实质性变动的；谈判小组以书面密封形式报价。根据政府采购法第三十条第（二）款；项目谈判时间可能涉及到本文件中未确定的规格或技术要求；由此将可能造成某些谈判供应商因谈判产品无法满足采购需求而失去成交机会；此时谈判供应商应自行承担此风险且不得向采购人或代理机构索取参与谈判的任何费用。</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19</w:t>
      </w:r>
      <w:r>
        <w:rPr>
          <w:rFonts w:hint="eastAsia" w:ascii="宋体" w:hAnsi="宋体" w:eastAsia="宋体" w:cs="宋体"/>
          <w:color w:val="auto"/>
          <w:szCs w:val="21"/>
        </w:rPr>
        <w:t>.3谈判内容应作记录，或由谈判供应商及谈判小组成员签字确认。</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19</w:t>
      </w:r>
      <w:r>
        <w:rPr>
          <w:rFonts w:hint="eastAsia" w:ascii="宋体" w:hAnsi="宋体" w:eastAsia="宋体" w:cs="宋体"/>
          <w:color w:val="auto"/>
          <w:szCs w:val="21"/>
        </w:rPr>
        <w:t>.4谈判结束后，谈判小组应要求谈判供应商在规定的时间、地点以书面密封形式递交谈判时要求其就商务和技术条件作出的包含补充、修改、承诺、重新报价等内容的应答文件；应答文件必须由谈判供应商的法定代表人（负责人）或委托人签名或盖公章；应答文件构成竞争性谈判响应文件的一部分、成交候选人作第二轮谈判，密封递交谈判小组。第二轮谈判小组未能确定成交候选人的；对谈判文件修正后进行第二轮谈判。以此类推。</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19</w:t>
      </w:r>
      <w:r>
        <w:rPr>
          <w:rFonts w:hint="eastAsia" w:ascii="宋体" w:hAnsi="宋体" w:eastAsia="宋体" w:cs="宋体"/>
          <w:color w:val="auto"/>
          <w:szCs w:val="21"/>
        </w:rPr>
        <w:t>.5成交候选人作最后报价；密封递交谈判小组。</w:t>
      </w:r>
      <w:r>
        <w:rPr>
          <w:rFonts w:hint="eastAsia" w:ascii="宋体" w:hAnsi="宋体" w:eastAsia="宋体" w:cs="宋体"/>
          <w:color w:val="auto"/>
        </w:rPr>
        <w:t>谈判小组对各谈判供应商递交的应答文件统一开启，并进行评审，认为有必要再次进行谈判的，可再次与谈判供应商进行谈判（最多三轮）。</w:t>
      </w:r>
      <w:r>
        <w:rPr>
          <w:rFonts w:hint="eastAsia" w:ascii="宋体" w:hAnsi="宋体" w:eastAsia="宋体" w:cs="宋体"/>
          <w:color w:val="auto"/>
          <w:szCs w:val="21"/>
        </w:rPr>
        <w:t>对最后一轮谈判，谈判小组应明确告知谈判供应商人，并要求所有谈判供应商在规定的时间、地点以书面密封形式递交最终的应答文件。谈判小组按报价从低到高排序、推荐成交候选人顺序，形成谈判报告。</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19</w:t>
      </w:r>
      <w:r>
        <w:rPr>
          <w:rFonts w:hint="eastAsia" w:ascii="宋体" w:hAnsi="宋体" w:eastAsia="宋体" w:cs="宋体"/>
          <w:color w:val="auto"/>
          <w:szCs w:val="21"/>
        </w:rPr>
        <w:t>.6最终谈判结束后，谈判小组不得再与谈判供应商进行任何形式的商谈。</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19</w:t>
      </w:r>
      <w:r>
        <w:rPr>
          <w:rFonts w:hint="eastAsia" w:ascii="宋体" w:hAnsi="宋体" w:eastAsia="宋体" w:cs="宋体"/>
          <w:color w:val="auto"/>
          <w:szCs w:val="21"/>
        </w:rPr>
        <w:t>.7 谈判的任何一方不得透露与谈判有关的其他谈判供应商的技术资料、报价和其他信息。</w:t>
      </w:r>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2</w:t>
      </w:r>
      <w:r>
        <w:rPr>
          <w:rFonts w:hint="eastAsia" w:hAnsi="宋体" w:cs="宋体"/>
          <w:b/>
          <w:color w:val="auto"/>
          <w:szCs w:val="21"/>
          <w:lang w:val="en-US" w:eastAsia="zh-CN"/>
        </w:rPr>
        <w:t>0</w:t>
      </w:r>
      <w:r>
        <w:rPr>
          <w:rFonts w:hint="eastAsia" w:ascii="宋体" w:hAnsi="宋体" w:eastAsia="宋体" w:cs="宋体"/>
          <w:b/>
          <w:color w:val="auto"/>
          <w:szCs w:val="21"/>
        </w:rPr>
        <w:t xml:space="preserve">.  评标 </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0</w:t>
      </w:r>
      <w:r>
        <w:rPr>
          <w:rFonts w:hint="eastAsia" w:ascii="宋体" w:hAnsi="宋体" w:eastAsia="宋体" w:cs="宋体"/>
          <w:color w:val="auto"/>
          <w:szCs w:val="21"/>
        </w:rPr>
        <w:t>.1本采购项目是以采购预算价为最高限价，超出采购预算价的最终谈判报价，采购人不能支付时，谈判小组将不予以评审。</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0</w:t>
      </w:r>
      <w:r>
        <w:rPr>
          <w:rFonts w:hint="eastAsia" w:ascii="宋体" w:hAnsi="宋体" w:eastAsia="宋体" w:cs="宋体"/>
          <w:color w:val="auto"/>
          <w:szCs w:val="21"/>
        </w:rPr>
        <w:t>.2本采购项目的评标依照为竞争性谈判文件和竞争性谈判响应文件。</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0</w:t>
      </w:r>
      <w:r>
        <w:rPr>
          <w:rFonts w:hint="eastAsia" w:ascii="宋体" w:hAnsi="宋体" w:eastAsia="宋体" w:cs="宋体"/>
          <w:color w:val="auto"/>
          <w:szCs w:val="21"/>
        </w:rPr>
        <w:t>.3本项目采用的评标方法按本须知前附表第9项规定执行；“谈判小组”成员、有关工作人员及其他知情人不得透露对竞争性谈判响应文件的评审。比较和成交候选供应商的推荐情况以及与评标有关的其他情况。</w:t>
      </w:r>
    </w:p>
    <w:p>
      <w:pPr>
        <w:pStyle w:val="24"/>
        <w:spacing w:before="12" w:beforeLines="5" w:after="12" w:afterLines="5" w:line="440" w:lineRule="exact"/>
        <w:rPr>
          <w:rFonts w:hint="eastAsia" w:ascii="宋体" w:hAnsi="宋体" w:eastAsia="宋体" w:cs="宋体"/>
          <w:color w:val="auto"/>
          <w:spacing w:val="-4"/>
        </w:rPr>
      </w:pPr>
      <w:r>
        <w:rPr>
          <w:rFonts w:hint="eastAsia" w:ascii="宋体" w:hAnsi="宋体" w:eastAsia="宋体" w:cs="宋体"/>
          <w:color w:val="auto"/>
          <w:szCs w:val="21"/>
        </w:rPr>
        <w:t>2</w:t>
      </w:r>
      <w:r>
        <w:rPr>
          <w:rFonts w:hint="eastAsia" w:hAnsi="宋体" w:cs="宋体"/>
          <w:color w:val="auto"/>
          <w:szCs w:val="21"/>
          <w:lang w:val="en-US" w:eastAsia="zh-CN"/>
        </w:rPr>
        <w:t>0</w:t>
      </w:r>
      <w:r>
        <w:rPr>
          <w:rFonts w:hint="eastAsia" w:ascii="宋体" w:hAnsi="宋体" w:eastAsia="宋体" w:cs="宋体"/>
          <w:color w:val="auto"/>
          <w:szCs w:val="21"/>
        </w:rPr>
        <w:t>.4谈判供应商在评标过程中，所进行的力图影响评标结果公正性的活动，将可能导致其成交资格被取消。</w:t>
      </w:r>
      <w:r>
        <w:rPr>
          <w:rFonts w:hint="eastAsia" w:ascii="宋体" w:hAnsi="宋体" w:eastAsia="宋体" w:cs="宋体"/>
          <w:color w:val="auto"/>
          <w:spacing w:val="-4"/>
        </w:rPr>
        <w:t xml:space="preserve">  </w:t>
      </w:r>
      <w:r>
        <w:rPr>
          <w:rFonts w:hint="eastAsia" w:hAnsi="宋体" w:cs="宋体"/>
          <w:color w:val="auto"/>
          <w:spacing w:val="-4"/>
          <w:lang w:val="en-US" w:eastAsia="zh-CN"/>
        </w:rPr>
        <w:t>20</w:t>
      </w:r>
      <w:r>
        <w:rPr>
          <w:rFonts w:hint="eastAsia" w:ascii="宋体" w:hAnsi="宋体" w:eastAsia="宋体" w:cs="宋体"/>
          <w:color w:val="auto"/>
          <w:spacing w:val="-4"/>
        </w:rPr>
        <w:t xml:space="preserve">.5谈判供应商的竞标报价或某些分项报价明显低于其他谈判供应商的竞标报价，且其竞标报价可能低于其成本的，应当要求该谈判供应商做出书面说明并提供相关证明材料。谈判供应商不能合理说明并提供相关证明材料的，谈判小组将认定该投标人以低于成本价投标，报价严重不平衡、不合理，是恶意不正当竞争行为,其投标将作无效投标处理。                                                                                                                                                  </w:t>
      </w:r>
    </w:p>
    <w:p>
      <w:pPr>
        <w:pStyle w:val="24"/>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b/>
          <w:color w:val="auto"/>
          <w:kern w:val="21"/>
          <w:szCs w:val="21"/>
        </w:rPr>
        <w:t>2</w:t>
      </w:r>
      <w:r>
        <w:rPr>
          <w:rFonts w:hint="eastAsia" w:hAnsi="宋体" w:cs="宋体"/>
          <w:b/>
          <w:color w:val="auto"/>
          <w:kern w:val="21"/>
          <w:szCs w:val="21"/>
          <w:lang w:val="en-US" w:eastAsia="zh-CN"/>
        </w:rPr>
        <w:t>1.</w:t>
      </w:r>
      <w:r>
        <w:rPr>
          <w:rFonts w:hint="eastAsia" w:ascii="宋体" w:hAnsi="宋体" w:eastAsia="宋体" w:cs="宋体"/>
          <w:b/>
          <w:bCs/>
          <w:color w:val="auto"/>
          <w:kern w:val="21"/>
          <w:szCs w:val="21"/>
        </w:rPr>
        <w:t>竞争性谈判响应文件有下列之一者，应予谈判报价无效：</w:t>
      </w:r>
    </w:p>
    <w:p>
      <w:pPr>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（1）超越了按照法律法规规定必须获得行政许可或者行政审批的经营范围的；</w:t>
      </w:r>
    </w:p>
    <w:p>
      <w:pPr>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（2）竞争性谈判响应文件送达采购代理机构的时间超过规定的报价截止时间；</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（3）资格证明文件不齐全的，或者不符合本项目竞争性谈判采购标明的资格要求；</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（4）</w:t>
      </w:r>
      <w:r>
        <w:rPr>
          <w:rFonts w:hint="eastAsia" w:ascii="宋体" w:hAnsi="宋体" w:eastAsia="宋体" w:cs="宋体"/>
          <w:color w:val="auto"/>
          <w:szCs w:val="21"/>
        </w:rPr>
        <w:t>谈判供应商</w:t>
      </w:r>
      <w:r>
        <w:rPr>
          <w:rFonts w:hint="eastAsia" w:ascii="宋体" w:hAnsi="宋体" w:eastAsia="宋体" w:cs="宋体"/>
          <w:color w:val="auto"/>
          <w:kern w:val="21"/>
          <w:szCs w:val="21"/>
        </w:rPr>
        <w:t>未按规定向采购代理机构购买本项目竞争性谈判文件；</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（5）</w:t>
      </w:r>
      <w:r>
        <w:rPr>
          <w:rFonts w:hint="eastAsia" w:ascii="宋体" w:hAnsi="宋体" w:eastAsia="宋体" w:cs="宋体"/>
          <w:color w:val="auto"/>
          <w:szCs w:val="21"/>
        </w:rPr>
        <w:t>谈判供应商</w:t>
      </w:r>
      <w:r>
        <w:rPr>
          <w:rFonts w:hint="eastAsia" w:ascii="宋体" w:hAnsi="宋体" w:eastAsia="宋体" w:cs="宋体"/>
          <w:color w:val="auto"/>
          <w:kern w:val="21"/>
          <w:szCs w:val="21"/>
        </w:rPr>
        <w:t>未就《项目需求》中的货物内容作完整唯一报价；</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（6）</w:t>
      </w:r>
      <w:r>
        <w:rPr>
          <w:rFonts w:hint="eastAsia" w:ascii="宋体" w:hAnsi="宋体" w:eastAsia="宋体" w:cs="宋体"/>
          <w:color w:val="auto"/>
          <w:kern w:val="21"/>
          <w:szCs w:val="21"/>
          <w:highlight w:val="none"/>
        </w:rPr>
        <w:t>未按竞争性谈判文件</w:t>
      </w:r>
      <w:r>
        <w:rPr>
          <w:rFonts w:hint="eastAsia" w:hAnsi="宋体" w:cs="宋体"/>
          <w:color w:val="auto"/>
          <w:kern w:val="21"/>
          <w:szCs w:val="21"/>
          <w:highlight w:val="none"/>
          <w:lang w:val="en-US" w:eastAsia="zh-CN"/>
        </w:rPr>
        <w:t>规定完整提交</w:t>
      </w:r>
      <w:r>
        <w:rPr>
          <w:rFonts w:hint="eastAsia" w:ascii="宋体" w:hAnsi="宋体" w:eastAsia="宋体" w:cs="宋体"/>
          <w:color w:val="auto"/>
          <w:kern w:val="21"/>
          <w:szCs w:val="21"/>
          <w:highlight w:val="none"/>
        </w:rPr>
        <w:t>竞争性谈判响应文件</w:t>
      </w:r>
      <w:r>
        <w:rPr>
          <w:rFonts w:hint="eastAsia" w:hAnsi="宋体" w:cs="宋体"/>
          <w:color w:val="auto"/>
          <w:kern w:val="21"/>
          <w:szCs w:val="21"/>
          <w:highlight w:val="none"/>
          <w:lang w:val="en-US" w:eastAsia="zh-CN"/>
        </w:rPr>
        <w:t>或未按规定</w:t>
      </w:r>
      <w:r>
        <w:rPr>
          <w:rFonts w:hint="eastAsia" w:ascii="宋体" w:hAnsi="宋体" w:eastAsia="宋体" w:cs="宋体"/>
          <w:color w:val="auto"/>
          <w:kern w:val="21"/>
          <w:szCs w:val="21"/>
          <w:highlight w:val="none"/>
        </w:rPr>
        <w:t>要求密封、包装袋标记、签署、盖章的；</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（7）字迹潦草、表达不清或未按要求填写的竞争性谈判响应文件；</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（8）超出采购预算报价的谈判报价；</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（9）不符合本竞争性谈判文件书规定的实质性要求并且在谈判规定的时间内无法说明和澄清的；</w:t>
      </w:r>
    </w:p>
    <w:p>
      <w:pPr>
        <w:pStyle w:val="24"/>
        <w:tabs>
          <w:tab w:val="left" w:pos="630"/>
        </w:tabs>
        <w:spacing w:before="12" w:beforeLines="5" w:after="12" w:afterLines="5" w:line="440" w:lineRule="exact"/>
        <w:rPr>
          <w:rFonts w:hint="eastAsia" w:ascii="宋体" w:hAnsi="宋体" w:eastAsia="宋体" w:cs="宋体"/>
          <w:color w:val="auto"/>
          <w:kern w:val="21"/>
          <w:szCs w:val="21"/>
        </w:rPr>
      </w:pPr>
      <w:r>
        <w:rPr>
          <w:rFonts w:hint="eastAsia" w:ascii="宋体" w:hAnsi="宋体" w:eastAsia="宋体" w:cs="宋体"/>
          <w:color w:val="auto"/>
          <w:kern w:val="21"/>
          <w:szCs w:val="21"/>
        </w:rPr>
        <w:t>（10）不符合法律、法规或竞争性谈判文件规定的其他实质性要求和条件的。</w:t>
      </w:r>
    </w:p>
    <w:p>
      <w:pPr>
        <w:pStyle w:val="24"/>
        <w:tabs>
          <w:tab w:val="left" w:pos="630"/>
        </w:tabs>
        <w:spacing w:before="12" w:beforeLines="5" w:after="12" w:afterLines="5" w:line="440" w:lineRule="exact"/>
        <w:rPr>
          <w:rFonts w:hint="eastAsia" w:ascii="宋体" w:hAnsi="宋体" w:eastAsia="宋体" w:cs="宋体"/>
          <w:b/>
          <w:bCs/>
          <w:color w:val="auto"/>
          <w:szCs w:val="21"/>
        </w:rPr>
      </w:pPr>
      <w:r>
        <w:rPr>
          <w:rFonts w:hint="eastAsia" w:ascii="宋体" w:hAnsi="宋体" w:eastAsia="宋体" w:cs="宋体"/>
          <w:b/>
          <w:color w:val="auto"/>
          <w:szCs w:val="21"/>
        </w:rPr>
        <w:t>2</w:t>
      </w:r>
      <w:r>
        <w:rPr>
          <w:rFonts w:hint="eastAsia" w:hAnsi="宋体" w:cs="宋体"/>
          <w:b/>
          <w:color w:val="auto"/>
          <w:szCs w:val="21"/>
          <w:lang w:val="en-US" w:eastAsia="zh-CN"/>
        </w:rPr>
        <w:t>2</w:t>
      </w:r>
      <w:r>
        <w:rPr>
          <w:rFonts w:hint="eastAsia" w:ascii="宋体" w:hAnsi="宋体" w:eastAsia="宋体" w:cs="宋体"/>
          <w:b/>
          <w:color w:val="auto"/>
          <w:szCs w:val="21"/>
        </w:rPr>
        <w:t>.采购过程中有下列行为之一者，应予废标：</w:t>
      </w:r>
    </w:p>
    <w:p>
      <w:pPr>
        <w:spacing w:before="12" w:beforeLines="5" w:after="12" w:afterLines="5" w:line="440" w:lineRule="exact"/>
        <w:rPr>
          <w:rFonts w:hint="eastAsia" w:ascii="宋体" w:hAnsi="宋体" w:eastAsia="宋体" w:cs="宋体"/>
          <w:b/>
          <w:color w:val="auto"/>
          <w:kern w:val="21"/>
          <w:szCs w:val="21"/>
        </w:rPr>
      </w:pPr>
      <w:r>
        <w:rPr>
          <w:rFonts w:hint="eastAsia" w:ascii="宋体" w:hAnsi="宋体" w:eastAsia="宋体" w:cs="宋体"/>
          <w:b/>
          <w:color w:val="auto"/>
          <w:kern w:val="21"/>
          <w:szCs w:val="21"/>
        </w:rPr>
        <w:t>（1）谈判采购过程中出现下列情形之一的，将予以废标：</w:t>
      </w:r>
    </w:p>
    <w:p>
      <w:pPr>
        <w:spacing w:before="12" w:beforeLines="5" w:after="12" w:afterLines="5" w:line="440" w:lineRule="exact"/>
        <w:rPr>
          <w:rFonts w:hint="eastAsia" w:ascii="宋体" w:hAnsi="宋体" w:eastAsia="宋体" w:cs="宋体"/>
          <w:b/>
          <w:color w:val="auto"/>
          <w:kern w:val="21"/>
          <w:szCs w:val="21"/>
        </w:rPr>
      </w:pPr>
      <w:r>
        <w:rPr>
          <w:rFonts w:hint="eastAsia" w:ascii="宋体" w:hAnsi="宋体" w:eastAsia="宋体" w:cs="宋体"/>
          <w:b/>
          <w:color w:val="auto"/>
          <w:kern w:val="21"/>
          <w:szCs w:val="21"/>
        </w:rPr>
        <w:t>（2）符合专业条件的供应商或者对竞争性谈判文件作实质响应的供应商不足三家的；</w:t>
      </w:r>
    </w:p>
    <w:p>
      <w:pPr>
        <w:spacing w:before="12" w:beforeLines="5" w:after="12" w:afterLines="5" w:line="440" w:lineRule="exact"/>
        <w:rPr>
          <w:rFonts w:hint="eastAsia" w:ascii="宋体" w:hAnsi="宋体" w:eastAsia="宋体" w:cs="宋体"/>
          <w:b/>
          <w:color w:val="auto"/>
          <w:kern w:val="21"/>
          <w:szCs w:val="21"/>
        </w:rPr>
      </w:pPr>
      <w:r>
        <w:rPr>
          <w:rFonts w:hint="eastAsia" w:ascii="宋体" w:hAnsi="宋体" w:eastAsia="宋体" w:cs="宋体"/>
          <w:b/>
          <w:color w:val="auto"/>
          <w:kern w:val="21"/>
          <w:szCs w:val="21"/>
        </w:rPr>
        <w:t>（3）出现影响采购公正的违法、违规行为的；</w:t>
      </w:r>
    </w:p>
    <w:p>
      <w:pPr>
        <w:spacing w:before="12" w:beforeLines="5" w:after="12" w:afterLines="5" w:line="440" w:lineRule="exact"/>
        <w:rPr>
          <w:rFonts w:hint="eastAsia" w:ascii="宋体" w:hAnsi="宋体" w:eastAsia="宋体" w:cs="宋体"/>
          <w:b/>
          <w:color w:val="auto"/>
          <w:kern w:val="21"/>
          <w:szCs w:val="21"/>
        </w:rPr>
      </w:pPr>
      <w:r>
        <w:rPr>
          <w:rFonts w:hint="eastAsia" w:ascii="宋体" w:hAnsi="宋体" w:eastAsia="宋体" w:cs="宋体"/>
          <w:b/>
          <w:color w:val="auto"/>
          <w:kern w:val="21"/>
          <w:szCs w:val="21"/>
        </w:rPr>
        <w:t>（4）谈判供应商的报价均超过了采购预算，采购人不能支付的；</w:t>
      </w:r>
    </w:p>
    <w:p>
      <w:pPr>
        <w:spacing w:before="12" w:beforeLines="5" w:after="12" w:afterLines="5" w:line="440" w:lineRule="exact"/>
        <w:rPr>
          <w:rFonts w:hint="eastAsia" w:ascii="宋体" w:hAnsi="宋体" w:eastAsia="宋体" w:cs="宋体"/>
          <w:b/>
          <w:color w:val="auto"/>
          <w:kern w:val="21"/>
          <w:szCs w:val="21"/>
        </w:rPr>
      </w:pPr>
      <w:r>
        <w:rPr>
          <w:rFonts w:hint="eastAsia" w:ascii="宋体" w:hAnsi="宋体" w:eastAsia="宋体" w:cs="宋体"/>
          <w:b/>
          <w:color w:val="auto"/>
          <w:kern w:val="21"/>
          <w:szCs w:val="21"/>
        </w:rPr>
        <w:t>（5）因重大变故，采购任务取消的；</w:t>
      </w:r>
    </w:p>
    <w:p>
      <w:pPr>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2</w:t>
      </w:r>
      <w:r>
        <w:rPr>
          <w:rFonts w:hint="eastAsia" w:ascii="宋体" w:hAnsi="宋体" w:cs="宋体"/>
          <w:b/>
          <w:color w:val="auto"/>
          <w:szCs w:val="21"/>
          <w:lang w:val="en-US" w:eastAsia="zh-CN"/>
        </w:rPr>
        <w:t>3</w:t>
      </w:r>
      <w:r>
        <w:rPr>
          <w:rFonts w:hint="eastAsia" w:ascii="宋体" w:hAnsi="宋体" w:eastAsia="宋体" w:cs="宋体"/>
          <w:b/>
          <w:color w:val="auto"/>
          <w:szCs w:val="21"/>
        </w:rPr>
        <w:t>.重新招标</w:t>
      </w:r>
    </w:p>
    <w:p>
      <w:pPr>
        <w:spacing w:before="12" w:beforeLines="5" w:after="12" w:afterLines="5"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有下列情形之一的，采购人将重新招标：</w:t>
      </w:r>
    </w:p>
    <w:p>
      <w:pPr>
        <w:spacing w:before="12" w:beforeLines="5" w:after="12" w:afterLines="5" w:line="44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（1）谈判截止时间止，提交竞争性谈判响应文件的谈判供应商少于三家；</w:t>
      </w:r>
    </w:p>
    <w:p>
      <w:pPr>
        <w:spacing w:before="12" w:beforeLines="5" w:after="12" w:afterLines="5" w:line="44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（2）经评标委员会评审后否决所有谈判的。</w:t>
      </w:r>
    </w:p>
    <w:p>
      <w:pPr>
        <w:spacing w:before="12" w:beforeLines="5" w:after="12" w:afterLines="5" w:line="440" w:lineRule="exact"/>
        <w:ind w:left="526" w:hanging="527" w:hangingChars="250"/>
        <w:rPr>
          <w:rFonts w:hint="eastAsia" w:ascii="宋体" w:hAnsi="宋体" w:eastAsia="宋体" w:cs="宋体"/>
          <w:b/>
          <w:color w:val="auto"/>
          <w:szCs w:val="21"/>
        </w:rPr>
      </w:pPr>
      <w:r>
        <w:rPr>
          <w:rFonts w:hint="eastAsia" w:ascii="宋体" w:hAnsi="宋体" w:eastAsia="宋体" w:cs="宋体"/>
          <w:b/>
          <w:color w:val="auto"/>
          <w:szCs w:val="21"/>
        </w:rPr>
        <w:t>2</w:t>
      </w:r>
      <w:r>
        <w:rPr>
          <w:rFonts w:hint="eastAsia" w:ascii="宋体" w:hAnsi="宋体" w:cs="宋体"/>
          <w:b/>
          <w:color w:val="auto"/>
          <w:szCs w:val="21"/>
          <w:lang w:val="en-US" w:eastAsia="zh-CN"/>
        </w:rPr>
        <w:t>4</w:t>
      </w:r>
      <w:r>
        <w:rPr>
          <w:rFonts w:hint="eastAsia" w:ascii="宋体" w:hAnsi="宋体" w:eastAsia="宋体" w:cs="宋体"/>
          <w:b/>
          <w:color w:val="auto"/>
          <w:szCs w:val="21"/>
        </w:rPr>
        <w:t>.不再招标</w:t>
      </w:r>
    </w:p>
    <w:p>
      <w:pPr>
        <w:spacing w:before="12" w:beforeLines="5" w:after="12" w:afterLines="5"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重新招标后谈判供应商仍少于三家或者所有投标被否决的，属于必须审核或批准的工程建设项目，经原审核或核准部门批准后不再进行招标。</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5</w:t>
      </w:r>
      <w:r>
        <w:rPr>
          <w:rFonts w:hint="eastAsia" w:ascii="宋体" w:hAnsi="宋体" w:eastAsia="宋体" w:cs="宋体"/>
          <w:color w:val="auto"/>
          <w:szCs w:val="21"/>
        </w:rPr>
        <w:t>.本项目评标办法为</w:t>
      </w:r>
      <w:r>
        <w:rPr>
          <w:rFonts w:hint="eastAsia" w:ascii="宋体" w:hAnsi="宋体" w:eastAsia="宋体" w:cs="宋体"/>
          <w:b/>
          <w:color w:val="auto"/>
          <w:szCs w:val="21"/>
          <w:u w:val="single"/>
        </w:rPr>
        <w:t>最低评标价法</w:t>
      </w:r>
      <w:r>
        <w:rPr>
          <w:rFonts w:hint="eastAsia" w:ascii="宋体" w:hAnsi="宋体" w:eastAsia="宋体" w:cs="宋体"/>
          <w:color w:val="auto"/>
          <w:szCs w:val="21"/>
          <w:u w:val="single"/>
        </w:rPr>
        <w:t>。</w:t>
      </w:r>
      <w:r>
        <w:rPr>
          <w:rFonts w:hint="eastAsia" w:ascii="宋体" w:hAnsi="宋体" w:eastAsia="宋体" w:cs="宋体"/>
          <w:color w:val="auto"/>
          <w:szCs w:val="21"/>
        </w:rPr>
        <w:t>（详见第三章）</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6</w:t>
      </w:r>
      <w:r>
        <w:rPr>
          <w:rFonts w:hint="eastAsia" w:ascii="宋体" w:hAnsi="宋体" w:eastAsia="宋体" w:cs="宋体"/>
          <w:color w:val="auto"/>
          <w:szCs w:val="21"/>
        </w:rPr>
        <w:t>.谈判供应商在评标过程中，所进行的力图影响评标结果公正性的活动，将取消其成交资格。</w:t>
      </w:r>
    </w:p>
    <w:p>
      <w:pPr>
        <w:pStyle w:val="5"/>
        <w:spacing w:before="240" w:beforeLines="100" w:after="240" w:afterLines="100" w:line="440" w:lineRule="exact"/>
        <w:jc w:val="center"/>
        <w:rPr>
          <w:rFonts w:hint="eastAsia" w:ascii="宋体" w:hAnsi="宋体" w:eastAsia="宋体" w:cs="宋体"/>
          <w:color w:val="auto"/>
        </w:rPr>
      </w:pPr>
      <w:bookmarkStart w:id="89" w:name="_Toc312878815"/>
      <w:bookmarkStart w:id="90" w:name="_Toc181594907"/>
      <w:bookmarkStart w:id="91" w:name="_Toc342313049"/>
      <w:bookmarkStart w:id="92" w:name="_Toc2956551"/>
      <w:bookmarkStart w:id="93" w:name="_Toc23287"/>
      <w:bookmarkStart w:id="94" w:name="_Toc2956497"/>
      <w:bookmarkStart w:id="95" w:name="_Toc181594755"/>
      <w:r>
        <w:rPr>
          <w:rFonts w:hint="eastAsia" w:ascii="宋体" w:hAnsi="宋体" w:eastAsia="宋体" w:cs="宋体"/>
          <w:color w:val="auto"/>
        </w:rPr>
        <w:t>六、 签订合同</w:t>
      </w:r>
      <w:bookmarkEnd w:id="89"/>
      <w:bookmarkEnd w:id="90"/>
      <w:bookmarkEnd w:id="91"/>
      <w:bookmarkEnd w:id="92"/>
      <w:bookmarkEnd w:id="93"/>
      <w:bookmarkEnd w:id="94"/>
      <w:bookmarkEnd w:id="95"/>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2</w:t>
      </w:r>
      <w:r>
        <w:rPr>
          <w:rFonts w:hint="eastAsia" w:hAnsi="宋体" w:cs="宋体"/>
          <w:b/>
          <w:color w:val="auto"/>
          <w:szCs w:val="21"/>
          <w:lang w:val="en-US" w:eastAsia="zh-CN"/>
        </w:rPr>
        <w:t>7</w:t>
      </w:r>
      <w:r>
        <w:rPr>
          <w:rFonts w:hint="eastAsia" w:ascii="宋体" w:hAnsi="宋体" w:eastAsia="宋体" w:cs="宋体"/>
          <w:b/>
          <w:color w:val="auto"/>
          <w:szCs w:val="21"/>
        </w:rPr>
        <w:t>. 成交结果公告</w:t>
      </w:r>
    </w:p>
    <w:p>
      <w:pPr>
        <w:snapToGrid w:val="0"/>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7</w:t>
      </w:r>
      <w:r>
        <w:rPr>
          <w:rFonts w:hint="eastAsia" w:ascii="宋体" w:hAnsi="宋体" w:eastAsia="宋体" w:cs="宋体"/>
          <w:color w:val="auto"/>
          <w:szCs w:val="21"/>
        </w:rPr>
        <w:t>.1 采购代理机构在</w:t>
      </w:r>
      <w:r>
        <w:rPr>
          <w:rFonts w:hint="eastAsia" w:ascii="宋体" w:hAnsi="宋体" w:cs="宋体"/>
          <w:color w:val="auto"/>
          <w:szCs w:val="21"/>
          <w:lang w:val="en-US" w:eastAsia="zh-CN"/>
        </w:rPr>
        <w:t>评审结束后</w:t>
      </w:r>
      <w:bookmarkStart w:id="122" w:name="_GoBack"/>
      <w:bookmarkEnd w:id="122"/>
      <w:r>
        <w:rPr>
          <w:rFonts w:hint="eastAsia" w:ascii="宋体" w:hAnsi="宋体" w:cs="宋体"/>
          <w:color w:val="auto"/>
          <w:szCs w:val="21"/>
          <w:lang w:val="en-US" w:eastAsia="zh-CN"/>
        </w:rPr>
        <w:t>2</w:t>
      </w:r>
      <w:r>
        <w:rPr>
          <w:rFonts w:hint="eastAsia" w:ascii="宋体" w:hAnsi="宋体" w:eastAsia="宋体" w:cs="宋体"/>
          <w:color w:val="auto"/>
          <w:szCs w:val="21"/>
        </w:rPr>
        <w:t>个工作日内将</w:t>
      </w:r>
      <w:r>
        <w:rPr>
          <w:rFonts w:hint="eastAsia" w:ascii="宋体" w:hAnsi="宋体" w:cs="宋体"/>
          <w:color w:val="auto"/>
          <w:szCs w:val="21"/>
          <w:lang w:val="en-US" w:eastAsia="zh-CN"/>
        </w:rPr>
        <w:t>评审</w:t>
      </w:r>
      <w:r>
        <w:rPr>
          <w:rFonts w:hint="eastAsia" w:ascii="宋体" w:hAnsi="宋体" w:eastAsia="宋体" w:cs="宋体"/>
          <w:color w:val="auto"/>
          <w:szCs w:val="21"/>
        </w:rPr>
        <w:t>报告送采购人，采购人确认后，成交结果将在</w:t>
      </w:r>
      <w:r>
        <w:rPr>
          <w:rFonts w:hint="eastAsia" w:ascii="宋体" w:hAnsi="宋体" w:eastAsia="宋体" w:cs="宋体"/>
          <w:color w:val="auto"/>
          <w:szCs w:val="21"/>
          <w:lang w:val="en-US" w:eastAsia="zh-CN"/>
        </w:rPr>
        <w:t>中国政府采购网(www.ccgp.gov.cn)、广西壮族自治区政府采购网（zfcg.gxzf.gov.cn）、</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"http://www.ccgp.gov.cn/" </w:instrText>
      </w:r>
      <w:r>
        <w:rPr>
          <w:rFonts w:hint="eastAsia" w:ascii="宋体" w:hAnsi="宋体" w:eastAsia="宋体" w:cs="宋体"/>
          <w:color w:val="auto"/>
          <w:szCs w:val="21"/>
          <w:lang w:val="en-US" w:eastAsia="zh-CN"/>
        </w:rPr>
        <w:fldChar w:fldCharType="separate"/>
      </w:r>
      <w:r>
        <w:rPr>
          <w:rFonts w:hint="eastAsia" w:ascii="宋体" w:hAnsi="宋体" w:cs="宋体"/>
          <w:color w:val="auto"/>
          <w:szCs w:val="21"/>
          <w:lang w:val="en-US" w:eastAsia="zh-CN"/>
        </w:rPr>
        <w:t>中国玉林政府门户网(www.yulin.gov.cn)</w:t>
      </w:r>
      <w:r>
        <w:rPr>
          <w:rFonts w:hint="eastAsia" w:ascii="宋体" w:hAnsi="宋体" w:eastAsia="宋体" w:cs="宋体"/>
          <w:color w:val="auto"/>
          <w:szCs w:val="21"/>
          <w:lang w:val="en-US" w:eastAsia="zh-CN"/>
        </w:rPr>
        <w:fldChar w:fldCharType="end"/>
      </w:r>
      <w:r>
        <w:rPr>
          <w:rFonts w:hint="eastAsia" w:ascii="宋体" w:hAnsi="宋体" w:eastAsia="宋体" w:cs="宋体"/>
          <w:color w:val="auto"/>
          <w:szCs w:val="21"/>
        </w:rPr>
        <w:t>发布成交结果公告。</w:t>
      </w:r>
    </w:p>
    <w:p>
      <w:pPr>
        <w:snapToGrid w:val="0"/>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7</w:t>
      </w:r>
      <w:r>
        <w:rPr>
          <w:rFonts w:hint="eastAsia" w:ascii="宋体" w:hAnsi="宋体" w:eastAsia="宋体" w:cs="宋体"/>
          <w:color w:val="auto"/>
          <w:szCs w:val="21"/>
        </w:rPr>
        <w:t>.2 谈判供应商如对成交公告有异议，可以在成交公告发布后七个工作日内以书面形式向采购代理机构提出质疑。采购代理机构在收到谈判供应商的书面质疑后七个工作日内做出答复，但是答复的内容不得涉及商业秘密。</w:t>
      </w:r>
    </w:p>
    <w:p>
      <w:pPr>
        <w:snapToGrid w:val="0"/>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7</w:t>
      </w:r>
      <w:r>
        <w:rPr>
          <w:rFonts w:hint="eastAsia" w:ascii="宋体" w:hAnsi="宋体" w:eastAsia="宋体" w:cs="宋体"/>
          <w:color w:val="auto"/>
          <w:szCs w:val="21"/>
        </w:rPr>
        <w:t>.3 质疑谈判供应商必须首先经过质疑程序，在对采购代理机构的答复不满意或者采购代理机构未在规定的时间内做出答复的，可以在答复期满后十五个工作日内书面向同级人民政府财政部门投诉。</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b/>
          <w:color w:val="auto"/>
          <w:szCs w:val="21"/>
        </w:rPr>
        <w:t>2</w:t>
      </w:r>
      <w:r>
        <w:rPr>
          <w:rFonts w:hint="eastAsia" w:hAnsi="宋体" w:cs="宋体"/>
          <w:b/>
          <w:color w:val="auto"/>
          <w:szCs w:val="21"/>
          <w:lang w:val="en-US" w:eastAsia="zh-CN"/>
        </w:rPr>
        <w:t>8</w:t>
      </w:r>
      <w:r>
        <w:rPr>
          <w:rFonts w:hint="eastAsia" w:ascii="宋体" w:hAnsi="宋体" w:eastAsia="宋体" w:cs="宋体"/>
          <w:b/>
          <w:color w:val="auto"/>
          <w:szCs w:val="21"/>
        </w:rPr>
        <w:t>.  签订合同</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8</w:t>
      </w:r>
      <w:r>
        <w:rPr>
          <w:rFonts w:hint="eastAsia" w:ascii="宋体" w:hAnsi="宋体" w:eastAsia="宋体" w:cs="宋体"/>
          <w:color w:val="auto"/>
          <w:szCs w:val="21"/>
        </w:rPr>
        <w:t>.1采购人与成交人应当在成交通知书发出之日起</w:t>
      </w:r>
      <w:r>
        <w:rPr>
          <w:rFonts w:hint="eastAsia" w:hAnsi="宋体" w:cs="宋体"/>
          <w:color w:val="auto"/>
          <w:szCs w:val="21"/>
          <w:lang w:val="en-US" w:eastAsia="zh-CN"/>
        </w:rPr>
        <w:t>25日</w:t>
      </w:r>
      <w:r>
        <w:rPr>
          <w:rFonts w:hint="eastAsia" w:ascii="宋体" w:hAnsi="宋体" w:eastAsia="宋体" w:cs="宋体"/>
          <w:color w:val="auto"/>
          <w:szCs w:val="21"/>
        </w:rPr>
        <w:t>内，按照采购文件确定的事项签订政府采购合同。</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8</w:t>
      </w:r>
      <w:r>
        <w:rPr>
          <w:rFonts w:hint="eastAsia" w:ascii="宋体" w:hAnsi="宋体" w:eastAsia="宋体" w:cs="宋体"/>
          <w:color w:val="auto"/>
          <w:szCs w:val="21"/>
        </w:rPr>
        <w:t>.2 如成交人不按成交通知书的规定签订合同，则按成交人违约处理。</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cs="宋体"/>
          <w:color w:val="auto"/>
          <w:szCs w:val="21"/>
          <w:lang w:val="en-US" w:eastAsia="zh-CN"/>
        </w:rPr>
        <w:t>8</w:t>
      </w:r>
      <w:r>
        <w:rPr>
          <w:rFonts w:hint="eastAsia" w:ascii="宋体" w:hAnsi="宋体" w:eastAsia="宋体" w:cs="宋体"/>
          <w:color w:val="auto"/>
          <w:szCs w:val="21"/>
        </w:rPr>
        <w:t>.3 如遇成交人违约，采购代理机构有权在采购管理机构的监督下确定经谈判小组一致确认的第二成交候选人为成交人，依次类推，或重新组织采购。</w:t>
      </w:r>
      <w:bookmarkStart w:id="96" w:name="_Toc181594756"/>
      <w:bookmarkStart w:id="97" w:name="_Toc181594908"/>
      <w:bookmarkStart w:id="98" w:name="_Toc312878816"/>
    </w:p>
    <w:p>
      <w:pPr>
        <w:pStyle w:val="24"/>
        <w:spacing w:before="12" w:beforeLines="5" w:after="12" w:afterLines="5" w:line="440" w:lineRule="exact"/>
        <w:rPr>
          <w:rFonts w:hint="eastAsia" w:ascii="宋体" w:hAnsi="宋体" w:eastAsia="宋体" w:cs="宋体"/>
          <w:b/>
          <w:color w:val="auto"/>
          <w:szCs w:val="21"/>
        </w:rPr>
      </w:pPr>
      <w:r>
        <w:rPr>
          <w:rFonts w:hint="eastAsia" w:hAnsi="宋体" w:cs="宋体"/>
          <w:b/>
          <w:color w:val="auto"/>
          <w:szCs w:val="21"/>
          <w:lang w:val="en-US" w:eastAsia="zh-CN"/>
        </w:rPr>
        <w:t>29</w:t>
      </w:r>
      <w:r>
        <w:rPr>
          <w:rFonts w:hint="eastAsia" w:ascii="宋体" w:hAnsi="宋体" w:eastAsia="宋体" w:cs="宋体"/>
          <w:b/>
          <w:color w:val="auto"/>
          <w:szCs w:val="21"/>
        </w:rPr>
        <w:t>.履约保证金</w:t>
      </w:r>
    </w:p>
    <w:p>
      <w:pPr>
        <w:pStyle w:val="24"/>
        <w:spacing w:before="12" w:beforeLines="5" w:after="12" w:afterLines="5" w:line="440" w:lineRule="exact"/>
        <w:rPr>
          <w:rFonts w:hint="eastAsia" w:ascii="宋体" w:hAnsi="宋体" w:eastAsia="宋体" w:cs="宋体"/>
          <w:color w:val="auto"/>
          <w:szCs w:val="21"/>
        </w:rPr>
      </w:pPr>
      <w:r>
        <w:rPr>
          <w:rFonts w:hint="eastAsia" w:hAnsi="宋体" w:cs="宋体"/>
          <w:color w:val="auto"/>
          <w:szCs w:val="21"/>
          <w:lang w:val="en-US" w:eastAsia="zh-CN"/>
        </w:rPr>
        <w:t>29</w:t>
      </w:r>
      <w:r>
        <w:rPr>
          <w:rFonts w:hint="eastAsia" w:ascii="宋体" w:hAnsi="宋体" w:eastAsia="宋体" w:cs="宋体"/>
          <w:color w:val="auto"/>
          <w:szCs w:val="21"/>
        </w:rPr>
        <w:t>.1</w:t>
      </w:r>
      <w:r>
        <w:rPr>
          <w:rFonts w:hint="eastAsia" w:ascii="宋体" w:hAnsi="宋体" w:eastAsia="宋体" w:cs="宋体"/>
          <w:color w:val="auto"/>
        </w:rPr>
        <w:t>本项目履约保证金</w:t>
      </w:r>
      <w:r>
        <w:rPr>
          <w:rFonts w:hint="eastAsia" w:ascii="宋体" w:hAnsi="宋体" w:eastAsia="宋体" w:cs="宋体"/>
          <w:color w:val="auto"/>
          <w:u w:val="single"/>
        </w:rPr>
        <w:t xml:space="preserve"> 无 </w:t>
      </w:r>
      <w:r>
        <w:rPr>
          <w:rFonts w:hint="eastAsia" w:ascii="宋体" w:hAnsi="宋体" w:eastAsia="宋体" w:cs="宋体"/>
          <w:color w:val="auto"/>
        </w:rPr>
        <w:t>。</w:t>
      </w:r>
    </w:p>
    <w:p>
      <w:pPr>
        <w:pStyle w:val="24"/>
        <w:spacing w:before="12" w:beforeLines="5" w:after="12" w:afterLines="5" w:line="440" w:lineRule="exact"/>
        <w:rPr>
          <w:rFonts w:hint="eastAsia" w:ascii="宋体" w:hAnsi="宋体" w:eastAsia="宋体" w:cs="宋体"/>
          <w:b/>
          <w:color w:val="auto"/>
          <w:szCs w:val="21"/>
        </w:rPr>
      </w:pPr>
      <w:bookmarkStart w:id="99" w:name="_Toc342313050"/>
      <w:r>
        <w:rPr>
          <w:rFonts w:hint="eastAsia" w:ascii="宋体" w:hAnsi="宋体" w:eastAsia="宋体" w:cs="宋体"/>
          <w:b/>
          <w:color w:val="auto"/>
          <w:szCs w:val="21"/>
        </w:rPr>
        <w:t>3</w:t>
      </w:r>
      <w:r>
        <w:rPr>
          <w:rFonts w:hint="eastAsia" w:hAnsi="宋体" w:cs="宋体"/>
          <w:b/>
          <w:color w:val="auto"/>
          <w:szCs w:val="21"/>
          <w:lang w:val="en-US" w:eastAsia="zh-CN"/>
        </w:rPr>
        <w:t>0</w:t>
      </w:r>
      <w:r>
        <w:rPr>
          <w:rFonts w:hint="eastAsia" w:ascii="宋体" w:hAnsi="宋体" w:eastAsia="宋体" w:cs="宋体"/>
          <w:b/>
          <w:color w:val="auto"/>
          <w:szCs w:val="21"/>
        </w:rPr>
        <w:t>.质疑</w:t>
      </w:r>
    </w:p>
    <w:p>
      <w:pPr>
        <w:pStyle w:val="24"/>
        <w:spacing w:before="12" w:beforeLines="5" w:after="12" w:afterLines="5" w:line="440" w:lineRule="exact"/>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hAnsi="宋体" w:cs="宋体"/>
          <w:bCs/>
          <w:color w:val="auto"/>
          <w:szCs w:val="21"/>
          <w:lang w:val="en-US" w:eastAsia="zh-CN"/>
        </w:rPr>
        <w:t>0</w:t>
      </w:r>
      <w:r>
        <w:rPr>
          <w:rFonts w:hint="eastAsia" w:ascii="宋体" w:hAnsi="宋体" w:eastAsia="宋体" w:cs="宋体"/>
          <w:bCs/>
          <w:color w:val="auto"/>
          <w:szCs w:val="21"/>
        </w:rPr>
        <w:t>.1</w:t>
      </w:r>
      <w:r>
        <w:rPr>
          <w:rFonts w:hint="eastAsia" w:ascii="宋体" w:hAnsi="宋体" w:eastAsia="宋体" w:cs="宋体"/>
          <w:color w:val="auto"/>
          <w:szCs w:val="21"/>
        </w:rPr>
        <w:t>谈判供应商</w:t>
      </w:r>
      <w:r>
        <w:rPr>
          <w:rFonts w:hint="eastAsia" w:ascii="宋体" w:hAnsi="宋体" w:eastAsia="宋体" w:cs="宋体"/>
          <w:bCs/>
          <w:color w:val="auto"/>
          <w:szCs w:val="21"/>
        </w:rPr>
        <w:t>认为采购文件、采购过程和中标、成交结果使自己的权益受到损害的，可以在知道或者应知其权益受到损害之日起七个工作日内，以书面形式向采购代理机构提出质疑。</w:t>
      </w:r>
    </w:p>
    <w:p>
      <w:pPr>
        <w:pStyle w:val="24"/>
        <w:spacing w:before="12" w:beforeLines="5" w:after="12" w:afterLines="5" w:line="440" w:lineRule="exact"/>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hAnsi="宋体" w:cs="宋体"/>
          <w:bCs/>
          <w:color w:val="auto"/>
          <w:szCs w:val="21"/>
          <w:lang w:val="en-US" w:eastAsia="zh-CN"/>
        </w:rPr>
        <w:t>0</w:t>
      </w:r>
      <w:r>
        <w:rPr>
          <w:rFonts w:hint="eastAsia" w:ascii="宋体" w:hAnsi="宋体" w:eastAsia="宋体" w:cs="宋体"/>
          <w:bCs/>
          <w:color w:val="auto"/>
          <w:szCs w:val="21"/>
        </w:rPr>
        <w:t>.2 采购代理机构应当依照第5条的规定就采购人委托授权范围内的事项在收到</w:t>
      </w:r>
      <w:r>
        <w:rPr>
          <w:rFonts w:hint="eastAsia" w:ascii="宋体" w:hAnsi="宋体" w:eastAsia="宋体" w:cs="宋体"/>
          <w:color w:val="auto"/>
          <w:szCs w:val="21"/>
        </w:rPr>
        <w:t>谈判供应商</w:t>
      </w:r>
      <w:r>
        <w:rPr>
          <w:rFonts w:hint="eastAsia" w:ascii="宋体" w:hAnsi="宋体" w:eastAsia="宋体" w:cs="宋体"/>
          <w:bCs/>
          <w:color w:val="auto"/>
          <w:szCs w:val="21"/>
        </w:rPr>
        <w:t>的书面质疑后七个工作日内做出答复，但答复的内容不得涉及商业秘密。</w:t>
      </w:r>
    </w:p>
    <w:p>
      <w:pPr>
        <w:pStyle w:val="24"/>
        <w:spacing w:before="12" w:beforeLines="5" w:after="12" w:afterLines="5" w:line="440" w:lineRule="exact"/>
        <w:rPr>
          <w:rFonts w:hint="eastAsia" w:ascii="宋体" w:hAnsi="宋体" w:eastAsia="宋体" w:cs="宋体"/>
          <w:bCs/>
          <w:color w:val="auto"/>
          <w:szCs w:val="21"/>
        </w:rPr>
      </w:pPr>
      <w:r>
        <w:rPr>
          <w:rFonts w:hint="eastAsia" w:ascii="宋体" w:hAnsi="宋体" w:eastAsia="宋体" w:cs="宋体"/>
          <w:b/>
          <w:color w:val="auto"/>
          <w:szCs w:val="21"/>
        </w:rPr>
        <w:t>3</w:t>
      </w:r>
      <w:r>
        <w:rPr>
          <w:rFonts w:hint="eastAsia" w:hAnsi="宋体" w:cs="宋体"/>
          <w:b/>
          <w:color w:val="auto"/>
          <w:szCs w:val="21"/>
          <w:lang w:val="en-US" w:eastAsia="zh-CN"/>
        </w:rPr>
        <w:t>1</w:t>
      </w:r>
      <w:r>
        <w:rPr>
          <w:rFonts w:hint="eastAsia" w:ascii="宋体" w:hAnsi="宋体" w:eastAsia="宋体" w:cs="宋体"/>
          <w:b/>
          <w:color w:val="auto"/>
          <w:szCs w:val="21"/>
        </w:rPr>
        <w:t>.投诉</w:t>
      </w:r>
    </w:p>
    <w:p>
      <w:pPr>
        <w:pStyle w:val="24"/>
        <w:spacing w:before="12" w:beforeLines="5" w:after="12" w:afterLines="5" w:line="440" w:lineRule="exact"/>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hAnsi="宋体" w:cs="宋体"/>
          <w:bCs/>
          <w:color w:val="auto"/>
          <w:szCs w:val="21"/>
          <w:lang w:val="en-US" w:eastAsia="zh-CN"/>
        </w:rPr>
        <w:t>1</w:t>
      </w:r>
      <w:r>
        <w:rPr>
          <w:rFonts w:hint="eastAsia" w:ascii="宋体" w:hAnsi="宋体" w:eastAsia="宋体" w:cs="宋体"/>
          <w:bCs/>
          <w:color w:val="auto"/>
          <w:szCs w:val="21"/>
        </w:rPr>
        <w:t>.1质疑</w:t>
      </w:r>
      <w:r>
        <w:rPr>
          <w:rFonts w:hint="eastAsia" w:ascii="宋体" w:hAnsi="宋体" w:eastAsia="宋体" w:cs="宋体"/>
          <w:color w:val="auto"/>
          <w:szCs w:val="21"/>
        </w:rPr>
        <w:t>谈判供应商</w:t>
      </w:r>
      <w:r>
        <w:rPr>
          <w:rFonts w:hint="eastAsia" w:ascii="宋体" w:hAnsi="宋体" w:eastAsia="宋体" w:cs="宋体"/>
          <w:bCs/>
          <w:color w:val="auto"/>
          <w:szCs w:val="21"/>
        </w:rPr>
        <w:t>必须首先经过质疑程序，在对采购代理机构的答复不满意或者采购代理机构未在规定的时间内做出答复的，可以在答复期满后十五个工作日内书面向政府采购监督管理机构投诉。</w:t>
      </w:r>
    </w:p>
    <w:p>
      <w:pPr>
        <w:pStyle w:val="24"/>
        <w:spacing w:before="12" w:beforeLines="5" w:after="12" w:afterLines="5" w:line="440" w:lineRule="exact"/>
        <w:ind w:left="630" w:hanging="630" w:hangingChars="30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hAnsi="宋体" w:cs="宋体"/>
          <w:bCs/>
          <w:color w:val="auto"/>
          <w:szCs w:val="21"/>
          <w:lang w:val="en-US" w:eastAsia="zh-CN"/>
        </w:rPr>
        <w:t>1</w:t>
      </w:r>
      <w:r>
        <w:rPr>
          <w:rFonts w:hint="eastAsia" w:ascii="宋体" w:hAnsi="宋体" w:eastAsia="宋体" w:cs="宋体"/>
          <w:bCs/>
          <w:color w:val="auto"/>
          <w:szCs w:val="21"/>
        </w:rPr>
        <w:t>.2政府采购监督管理机构在处理投诉事项期间，可以视具体情况书面通知采购人暂停采购活动。</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b/>
          <w:color w:val="auto"/>
          <w:szCs w:val="21"/>
        </w:rPr>
        <w:t>3</w:t>
      </w:r>
      <w:r>
        <w:rPr>
          <w:rFonts w:hint="eastAsia" w:hAnsi="宋体" w:cs="宋体"/>
          <w:b/>
          <w:color w:val="auto"/>
          <w:szCs w:val="21"/>
          <w:lang w:val="en-US" w:eastAsia="zh-CN"/>
        </w:rPr>
        <w:t>2</w:t>
      </w:r>
      <w:r>
        <w:rPr>
          <w:rFonts w:hint="eastAsia" w:ascii="宋体" w:hAnsi="宋体" w:eastAsia="宋体" w:cs="宋体"/>
          <w:b/>
          <w:color w:val="auto"/>
          <w:szCs w:val="21"/>
        </w:rPr>
        <w:t>.质疑和投诉书面要求</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hAnsi="宋体" w:cs="宋体"/>
          <w:color w:val="auto"/>
          <w:szCs w:val="21"/>
          <w:lang w:val="en-US" w:eastAsia="zh-CN"/>
        </w:rPr>
        <w:t>2</w:t>
      </w:r>
      <w:r>
        <w:rPr>
          <w:rFonts w:hint="eastAsia" w:ascii="宋体" w:hAnsi="宋体" w:eastAsia="宋体" w:cs="宋体"/>
          <w:color w:val="auto"/>
          <w:szCs w:val="21"/>
        </w:rPr>
        <w:t>.1质疑人或投诉人提供的书面材料（如材料中有外文资料应同时附上中文译本）应当包括以下内容：</w:t>
      </w:r>
    </w:p>
    <w:p>
      <w:pPr>
        <w:spacing w:before="12" w:beforeLines="5" w:after="12" w:afterLines="5"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（1）质疑人或投诉人的单位名称或姓名、详细地址、邮政编码、联系电话等；</w:t>
      </w:r>
    </w:p>
    <w:p>
      <w:pPr>
        <w:spacing w:before="12" w:beforeLines="5" w:after="12" w:afterLines="5"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（2）被质疑人或被投诉人的单位名称或姓名等；</w:t>
      </w:r>
    </w:p>
    <w:p>
      <w:pPr>
        <w:spacing w:before="12" w:beforeLines="5" w:after="12" w:afterLines="5"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（3）质疑或投诉的事实及理由；</w:t>
      </w:r>
    </w:p>
    <w:p>
      <w:pPr>
        <w:spacing w:before="12" w:beforeLines="5" w:after="12" w:afterLines="5"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（4）有关违纪违规的情况和有效证明材料；</w:t>
      </w:r>
    </w:p>
    <w:p>
      <w:pPr>
        <w:spacing w:before="12" w:beforeLines="5" w:after="12" w:afterLines="5"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（5）质疑人或投诉人的签章及质疑或投诉时间；</w:t>
      </w:r>
    </w:p>
    <w:p>
      <w:pPr>
        <w:pStyle w:val="24"/>
        <w:spacing w:before="12" w:beforeLines="5" w:after="12" w:afterLines="5" w:line="440" w:lineRule="exact"/>
        <w:ind w:firstLine="422" w:firstLineChars="200"/>
        <w:rPr>
          <w:rFonts w:hint="eastAsia" w:ascii="宋体" w:hAnsi="宋体" w:eastAsia="宋体" w:cs="宋体"/>
          <w:b/>
          <w:bCs/>
          <w:color w:val="auto"/>
          <w:kern w:val="21"/>
          <w:szCs w:val="21"/>
        </w:rPr>
      </w:pPr>
      <w:r>
        <w:rPr>
          <w:rFonts w:hint="eastAsia" w:ascii="宋体" w:hAnsi="宋体" w:eastAsia="宋体" w:cs="宋体"/>
          <w:b/>
          <w:bCs/>
          <w:color w:val="auto"/>
          <w:kern w:val="21"/>
          <w:szCs w:val="21"/>
        </w:rPr>
        <w:t>如未按上述要求所进行的质疑或投诉将被视为无效，不予受理。</w:t>
      </w:r>
    </w:p>
    <w:p>
      <w:pPr>
        <w:pStyle w:val="5"/>
        <w:spacing w:before="240" w:beforeLines="100" w:after="240" w:afterLines="100" w:line="440" w:lineRule="exact"/>
        <w:jc w:val="center"/>
        <w:rPr>
          <w:rFonts w:hint="eastAsia" w:ascii="宋体" w:hAnsi="宋体" w:eastAsia="宋体" w:cs="宋体"/>
          <w:color w:val="auto"/>
        </w:rPr>
      </w:pPr>
      <w:bookmarkStart w:id="100" w:name="_Toc2956552"/>
      <w:bookmarkStart w:id="101" w:name="_Toc2956498"/>
      <w:bookmarkStart w:id="102" w:name="_Toc5804"/>
      <w:r>
        <w:rPr>
          <w:rFonts w:hint="eastAsia" w:ascii="宋体" w:hAnsi="宋体" w:eastAsia="宋体" w:cs="宋体"/>
          <w:color w:val="auto"/>
        </w:rPr>
        <w:t>七 、其他事项</w:t>
      </w:r>
      <w:bookmarkEnd w:id="96"/>
      <w:bookmarkEnd w:id="97"/>
      <w:bookmarkEnd w:id="98"/>
      <w:bookmarkEnd w:id="99"/>
      <w:bookmarkEnd w:id="100"/>
      <w:bookmarkEnd w:id="101"/>
      <w:bookmarkEnd w:id="102"/>
    </w:p>
    <w:p>
      <w:pPr>
        <w:pStyle w:val="24"/>
        <w:spacing w:before="12" w:beforeLines="5" w:after="12" w:afterLines="5" w:line="440" w:lineRule="exact"/>
        <w:rPr>
          <w:rFonts w:hint="eastAsia" w:ascii="宋体" w:hAnsi="宋体" w:eastAsia="宋体" w:cs="宋体"/>
          <w:b/>
          <w:color w:val="auto"/>
          <w:szCs w:val="21"/>
          <w:u w:val="single"/>
        </w:rPr>
      </w:pPr>
      <w:r>
        <w:rPr>
          <w:rFonts w:hint="eastAsia" w:ascii="宋体" w:hAnsi="宋体" w:eastAsia="宋体" w:cs="宋体"/>
          <w:b/>
          <w:color w:val="auto"/>
          <w:szCs w:val="21"/>
        </w:rPr>
        <w:t>3</w:t>
      </w:r>
      <w:r>
        <w:rPr>
          <w:rFonts w:hint="eastAsia" w:hAnsi="宋体" w:cs="宋体"/>
          <w:b/>
          <w:color w:val="auto"/>
          <w:szCs w:val="21"/>
          <w:lang w:val="en-US" w:eastAsia="zh-CN"/>
        </w:rPr>
        <w:t>3</w:t>
      </w:r>
      <w:r>
        <w:rPr>
          <w:rFonts w:hint="eastAsia" w:ascii="宋体" w:hAnsi="宋体" w:eastAsia="宋体" w:cs="宋体"/>
          <w:b/>
          <w:color w:val="auto"/>
          <w:szCs w:val="21"/>
        </w:rPr>
        <w:t xml:space="preserve">.  成交服务费 </w:t>
      </w:r>
    </w:p>
    <w:p>
      <w:pPr>
        <w:pStyle w:val="24"/>
        <w:snapToGrid w:val="0"/>
        <w:spacing w:before="12" w:beforeLines="5" w:after="12" w:afterLines="5" w:line="440" w:lineRule="exact"/>
        <w:ind w:firstLine="411" w:firstLineChars="196"/>
        <w:outlineLvl w:val="1"/>
        <w:rPr>
          <w:rFonts w:hint="eastAsia" w:ascii="宋体" w:hAnsi="宋体" w:eastAsia="宋体" w:cs="宋体"/>
          <w:color w:val="auto"/>
          <w:szCs w:val="21"/>
        </w:rPr>
      </w:pPr>
      <w:bookmarkStart w:id="103" w:name="_Toc2956553"/>
      <w:bookmarkStart w:id="104" w:name="_Toc475431141"/>
      <w:bookmarkStart w:id="105" w:name="_Toc2555"/>
      <w:bookmarkStart w:id="106" w:name="_Toc2956499"/>
      <w:r>
        <w:rPr>
          <w:rFonts w:hint="eastAsia" w:ascii="宋体" w:hAnsi="宋体" w:eastAsia="宋体" w:cs="宋体"/>
          <w:color w:val="auto"/>
          <w:szCs w:val="21"/>
        </w:rPr>
        <w:t>3</w:t>
      </w:r>
      <w:r>
        <w:rPr>
          <w:rFonts w:hint="eastAsia" w:hAnsi="宋体" w:cs="宋体"/>
          <w:color w:val="auto"/>
          <w:szCs w:val="21"/>
          <w:lang w:val="en-US" w:eastAsia="zh-CN"/>
        </w:rPr>
        <w:t>3</w:t>
      </w:r>
      <w:r>
        <w:rPr>
          <w:rFonts w:hint="eastAsia" w:ascii="宋体" w:hAnsi="宋体" w:eastAsia="宋体" w:cs="宋体"/>
          <w:color w:val="auto"/>
          <w:szCs w:val="21"/>
        </w:rPr>
        <w:t>.1成交服务费经双方商定按成交总金额的</w:t>
      </w:r>
      <w:r>
        <w:rPr>
          <w:rFonts w:hint="eastAsia" w:ascii="宋体" w:hAnsi="宋体" w:eastAsia="宋体" w:cs="宋体"/>
          <w:color w:val="auto"/>
          <w:szCs w:val="21"/>
          <w:u w:val="single"/>
        </w:rPr>
        <w:t>1.5%</w:t>
      </w:r>
      <w:r>
        <w:rPr>
          <w:rFonts w:hint="eastAsia" w:ascii="宋体" w:hAnsi="宋体" w:eastAsia="宋体" w:cs="宋体"/>
          <w:color w:val="auto"/>
          <w:szCs w:val="21"/>
        </w:rPr>
        <w:t>向成交供应商收取，领取成交通知书前，成交供应商应向采购代理机构一次性付清成交服务费。</w:t>
      </w:r>
      <w:bookmarkEnd w:id="103"/>
      <w:bookmarkEnd w:id="104"/>
      <w:bookmarkEnd w:id="105"/>
      <w:bookmarkEnd w:id="106"/>
    </w:p>
    <w:p>
      <w:pPr>
        <w:pStyle w:val="24"/>
        <w:spacing w:before="12" w:beforeLines="5" w:after="12" w:afterLines="5" w:line="440" w:lineRule="exact"/>
        <w:rPr>
          <w:rFonts w:hint="eastAsia" w:ascii="宋体" w:hAnsi="宋体" w:eastAsia="宋体" w:cs="宋体"/>
          <w:b/>
          <w:color w:val="auto"/>
          <w:szCs w:val="21"/>
        </w:rPr>
      </w:pPr>
      <w:r>
        <w:rPr>
          <w:rFonts w:hint="eastAsia" w:ascii="宋体" w:hAnsi="宋体" w:eastAsia="宋体" w:cs="宋体"/>
          <w:b/>
          <w:color w:val="auto"/>
          <w:szCs w:val="21"/>
        </w:rPr>
        <w:t>3</w:t>
      </w:r>
      <w:r>
        <w:rPr>
          <w:rFonts w:hint="eastAsia" w:hAnsi="宋体" w:cs="宋体"/>
          <w:b/>
          <w:color w:val="auto"/>
          <w:szCs w:val="21"/>
          <w:lang w:val="en-US" w:eastAsia="zh-CN"/>
        </w:rPr>
        <w:t>4</w:t>
      </w:r>
      <w:r>
        <w:rPr>
          <w:rFonts w:hint="eastAsia" w:ascii="宋体" w:hAnsi="宋体" w:eastAsia="宋体" w:cs="宋体"/>
          <w:b/>
          <w:color w:val="auto"/>
          <w:szCs w:val="21"/>
        </w:rPr>
        <w:t>.  解释权</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hAnsi="宋体" w:cs="宋体"/>
          <w:color w:val="auto"/>
          <w:szCs w:val="21"/>
          <w:lang w:val="en-US" w:eastAsia="zh-CN"/>
        </w:rPr>
        <w:t>4</w:t>
      </w:r>
      <w:r>
        <w:rPr>
          <w:rFonts w:hint="eastAsia" w:ascii="宋体" w:hAnsi="宋体" w:eastAsia="宋体" w:cs="宋体"/>
          <w:color w:val="auto"/>
          <w:szCs w:val="21"/>
        </w:rPr>
        <w:t>.1 本采购文件是根据《中华人民共和国政府采购法》及国际惯例编制，解释权属本采购代理机构。</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b/>
          <w:color w:val="auto"/>
          <w:szCs w:val="21"/>
        </w:rPr>
        <w:t>3</w:t>
      </w:r>
      <w:r>
        <w:rPr>
          <w:rFonts w:hint="eastAsia" w:hAnsi="宋体" w:cs="宋体"/>
          <w:b/>
          <w:color w:val="auto"/>
          <w:szCs w:val="21"/>
          <w:lang w:val="en-US" w:eastAsia="zh-CN"/>
        </w:rPr>
        <w:t>5</w:t>
      </w:r>
      <w:r>
        <w:rPr>
          <w:rFonts w:hint="eastAsia" w:ascii="宋体" w:hAnsi="宋体" w:eastAsia="宋体" w:cs="宋体"/>
          <w:b/>
          <w:color w:val="auto"/>
          <w:szCs w:val="21"/>
        </w:rPr>
        <w:t>.  有关事宜</w:t>
      </w:r>
    </w:p>
    <w:p>
      <w:pPr>
        <w:pStyle w:val="24"/>
        <w:spacing w:before="12" w:beforeLines="5" w:after="12" w:afterLines="5" w:line="44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hAnsi="宋体" w:cs="宋体"/>
          <w:color w:val="auto"/>
          <w:szCs w:val="21"/>
          <w:lang w:val="en-US" w:eastAsia="zh-CN"/>
        </w:rPr>
        <w:t>5</w:t>
      </w:r>
      <w:r>
        <w:rPr>
          <w:rFonts w:hint="eastAsia" w:ascii="宋体" w:hAnsi="宋体" w:eastAsia="宋体" w:cs="宋体"/>
          <w:color w:val="auto"/>
          <w:szCs w:val="21"/>
        </w:rPr>
        <w:t>.1 所有与本采购文件有关的函电请按下列通讯地址联系：</w:t>
      </w:r>
    </w:p>
    <w:p>
      <w:pPr>
        <w:pStyle w:val="24"/>
        <w:spacing w:before="12" w:beforeLines="5" w:after="12" w:afterLines="5" w:line="440" w:lineRule="exact"/>
        <w:ind w:firstLine="525" w:firstLineChars="250"/>
        <w:rPr>
          <w:rFonts w:hint="eastAsia" w:ascii="宋体" w:hAnsi="宋体" w:eastAsia="宋体" w:cs="宋体"/>
          <w:color w:val="auto"/>
          <w:szCs w:val="21"/>
          <w:lang w:eastAsia="zh-CN"/>
        </w:rPr>
      </w:pPr>
      <w:r>
        <w:rPr>
          <w:rFonts w:hint="eastAsia" w:ascii="宋体" w:hAnsi="宋体" w:eastAsia="宋体" w:cs="宋体"/>
          <w:color w:val="auto"/>
          <w:szCs w:val="21"/>
        </w:rPr>
        <w:t>采购代理机构：</w:t>
      </w:r>
      <w:r>
        <w:rPr>
          <w:rFonts w:hint="eastAsia" w:hAnsi="宋体" w:cs="宋体"/>
          <w:color w:val="auto"/>
          <w:szCs w:val="21"/>
          <w:u w:val="single"/>
          <w:lang w:eastAsia="zh-CN"/>
        </w:rPr>
        <w:t>广西旭航工程咨询有限公司</w:t>
      </w:r>
    </w:p>
    <w:p>
      <w:pPr>
        <w:pStyle w:val="24"/>
        <w:tabs>
          <w:tab w:val="left" w:pos="1990"/>
        </w:tabs>
        <w:spacing w:before="12" w:beforeLines="5" w:after="12" w:afterLines="5" w:line="44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通讯地址：</w:t>
      </w:r>
      <w:r>
        <w:rPr>
          <w:rFonts w:hint="eastAsia" w:ascii="宋体" w:hAnsi="宋体" w:eastAsia="宋体" w:cs="宋体"/>
          <w:color w:val="auto"/>
          <w:szCs w:val="21"/>
          <w:u w:val="single"/>
        </w:rPr>
        <w:t>玉林市中港路南侧爱尚佳酒店旁</w:t>
      </w:r>
    </w:p>
    <w:p>
      <w:pPr>
        <w:pStyle w:val="24"/>
        <w:tabs>
          <w:tab w:val="left" w:pos="1990"/>
        </w:tabs>
        <w:spacing w:before="12" w:beforeLines="5" w:after="12" w:afterLines="5" w:line="440" w:lineRule="exact"/>
        <w:ind w:firstLine="525" w:firstLineChars="250"/>
        <w:rPr>
          <w:rFonts w:hint="eastAsia" w:ascii="宋体" w:hAnsi="宋体" w:eastAsia="宋体" w:cs="宋体"/>
          <w:color w:val="auto"/>
          <w:szCs w:val="21"/>
          <w:u w:val="single"/>
        </w:rPr>
      </w:pPr>
      <w:r>
        <w:rPr>
          <w:rFonts w:hint="eastAsia" w:ascii="宋体" w:hAnsi="宋体" w:eastAsia="宋体" w:cs="宋体"/>
          <w:color w:val="auto"/>
          <w:szCs w:val="21"/>
        </w:rPr>
        <w:t>电话及传真：</w:t>
      </w:r>
      <w:r>
        <w:rPr>
          <w:rFonts w:hint="eastAsia" w:ascii="宋体" w:hAnsi="宋体" w:eastAsia="宋体" w:cs="宋体"/>
          <w:color w:val="auto"/>
          <w:szCs w:val="21"/>
          <w:u w:val="single"/>
        </w:rPr>
        <w:t>0775-3251933</w:t>
      </w:r>
    </w:p>
    <w:p>
      <w:pPr>
        <w:pStyle w:val="24"/>
        <w:spacing w:before="12" w:beforeLines="5" w:after="12" w:afterLines="5" w:line="440" w:lineRule="exact"/>
        <w:ind w:firstLine="525" w:firstLineChars="250"/>
        <w:rPr>
          <w:rFonts w:hint="eastAsia" w:ascii="宋体" w:hAnsi="宋体" w:eastAsia="宋体" w:cs="宋体"/>
          <w:color w:val="auto"/>
          <w:szCs w:val="21"/>
          <w:lang w:eastAsia="zh-CN"/>
        </w:rPr>
      </w:pPr>
      <w:r>
        <w:rPr>
          <w:rFonts w:hint="eastAsia" w:ascii="宋体" w:hAnsi="宋体" w:eastAsia="宋体" w:cs="宋体"/>
          <w:color w:val="auto"/>
          <w:szCs w:val="21"/>
        </w:rPr>
        <w:t>开户名称：</w:t>
      </w:r>
      <w:r>
        <w:rPr>
          <w:rFonts w:hint="eastAsia" w:hAnsi="宋体" w:cs="宋体"/>
          <w:color w:val="auto"/>
          <w:szCs w:val="21"/>
          <w:u w:val="single"/>
          <w:lang w:eastAsia="zh-CN"/>
        </w:rPr>
        <w:t>广西旭航工程咨询有限公司</w:t>
      </w:r>
    </w:p>
    <w:p>
      <w:pPr>
        <w:pStyle w:val="24"/>
        <w:tabs>
          <w:tab w:val="left" w:pos="1990"/>
        </w:tabs>
        <w:spacing w:before="12" w:beforeLines="5" w:after="12" w:afterLines="5" w:line="440" w:lineRule="exact"/>
        <w:ind w:firstLine="525" w:firstLineChars="250"/>
        <w:rPr>
          <w:rFonts w:hint="eastAsia" w:ascii="宋体" w:hAnsi="宋体" w:eastAsia="宋体" w:cs="宋体"/>
          <w:color w:val="auto"/>
          <w:szCs w:val="21"/>
          <w:u w:val="single"/>
          <w:lang w:eastAsia="zh-CN"/>
        </w:rPr>
      </w:pPr>
      <w:r>
        <w:rPr>
          <w:rFonts w:hint="eastAsia" w:ascii="宋体" w:hAnsi="宋体" w:eastAsia="宋体" w:cs="宋体"/>
          <w:color w:val="auto"/>
          <w:szCs w:val="21"/>
        </w:rPr>
        <w:t>开户银行：</w:t>
      </w:r>
      <w:r>
        <w:rPr>
          <w:rFonts w:hint="eastAsia" w:ascii="宋体" w:hAnsi="宋体" w:eastAsia="宋体" w:cs="宋体"/>
          <w:color w:val="auto"/>
          <w:szCs w:val="21"/>
          <w:u w:val="single"/>
        </w:rPr>
        <w:t>中国</w:t>
      </w:r>
      <w:r>
        <w:rPr>
          <w:rFonts w:hint="eastAsia" w:ascii="宋体" w:hAnsi="宋体" w:eastAsia="宋体" w:cs="宋体"/>
          <w:color w:val="auto"/>
          <w:szCs w:val="21"/>
          <w:u w:val="single"/>
          <w:lang w:val="en-US" w:eastAsia="zh-CN"/>
        </w:rPr>
        <w:t>工商</w:t>
      </w:r>
      <w:r>
        <w:rPr>
          <w:rFonts w:hint="eastAsia" w:ascii="宋体" w:hAnsi="宋体" w:eastAsia="宋体" w:cs="宋体"/>
          <w:color w:val="auto"/>
          <w:szCs w:val="21"/>
          <w:u w:val="single"/>
        </w:rPr>
        <w:t>银行股份有限公司</w:t>
      </w:r>
      <w:r>
        <w:rPr>
          <w:rFonts w:hint="eastAsia" w:ascii="宋体" w:hAnsi="宋体" w:eastAsia="宋体" w:cs="宋体"/>
          <w:color w:val="auto"/>
          <w:szCs w:val="21"/>
          <w:u w:val="single"/>
          <w:lang w:val="en-US" w:eastAsia="zh-CN"/>
        </w:rPr>
        <w:t>玉林市中山路</w:t>
      </w:r>
      <w:r>
        <w:rPr>
          <w:rFonts w:hint="eastAsia" w:ascii="宋体" w:hAnsi="宋体" w:eastAsia="宋体" w:cs="宋体"/>
          <w:color w:val="auto"/>
          <w:szCs w:val="21"/>
          <w:u w:val="single"/>
        </w:rPr>
        <w:t>支行</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rPr>
        <w:t>网银支付</w:t>
      </w:r>
      <w:r>
        <w:rPr>
          <w:rFonts w:hint="eastAsia" w:ascii="宋体" w:hAnsi="宋体" w:eastAsia="宋体" w:cs="宋体"/>
          <w:color w:val="auto"/>
          <w:szCs w:val="21"/>
          <w:u w:val="single"/>
          <w:lang w:val="en-US" w:eastAsia="zh-CN"/>
        </w:rPr>
        <w:t>可选江南支行</w:t>
      </w:r>
      <w:r>
        <w:rPr>
          <w:rFonts w:hint="eastAsia" w:ascii="宋体" w:hAnsi="宋体" w:eastAsia="宋体" w:cs="宋体"/>
          <w:color w:val="auto"/>
          <w:szCs w:val="21"/>
          <w:u w:val="single"/>
          <w:lang w:eastAsia="zh-CN"/>
        </w:rPr>
        <w:t>）</w:t>
      </w:r>
    </w:p>
    <w:p>
      <w:pPr>
        <w:pStyle w:val="24"/>
        <w:tabs>
          <w:tab w:val="left" w:pos="1990"/>
        </w:tabs>
        <w:spacing w:before="12" w:beforeLines="5" w:after="12" w:afterLines="5" w:line="440" w:lineRule="exact"/>
        <w:ind w:firstLine="525" w:firstLineChars="250"/>
        <w:rPr>
          <w:rFonts w:hAnsi="宋体" w:cs="宋体"/>
          <w:szCs w:val="21"/>
          <w:u w:val="single"/>
        </w:rPr>
      </w:pPr>
      <w:r>
        <w:rPr>
          <w:rFonts w:hint="eastAsia" w:hAnsi="宋体" w:cs="宋体"/>
          <w:szCs w:val="21"/>
        </w:rPr>
        <w:t>银行账号：</w:t>
      </w:r>
      <w:r>
        <w:rPr>
          <w:rFonts w:hint="eastAsia" w:hAnsi="宋体" w:cs="宋体"/>
          <w:szCs w:val="21"/>
          <w:u w:val="single"/>
        </w:rPr>
        <w:t>2111704709100020752</w:t>
      </w:r>
    </w:p>
    <w:p>
      <w:pPr>
        <w:rPr>
          <w:rFonts w:hint="eastAsia"/>
          <w:lang w:val="en-US" w:eastAsia="zh-CN"/>
        </w:rPr>
      </w:pPr>
      <w:bookmarkStart w:id="107" w:name="_Toc20533"/>
    </w:p>
    <w:p>
      <w:pPr>
        <w:pStyle w:val="3"/>
        <w:numPr>
          <w:ilvl w:val="0"/>
          <w:numId w:val="0"/>
        </w:numPr>
        <w:spacing w:before="120" w:beforeLines="50" w:after="120" w:afterLines="50" w:line="440" w:lineRule="exact"/>
        <w:ind w:leftChars="0"/>
        <w:jc w:val="center"/>
        <w:rPr>
          <w:rFonts w:hint="default" w:ascii="宋体" w:hAnsi="宋体" w:cs="宋体"/>
          <w:color w:val="auto"/>
          <w:sz w:val="36"/>
          <w:szCs w:val="36"/>
          <w:lang w:val="en-US" w:eastAsia="zh-CN"/>
        </w:rPr>
      </w:pPr>
      <w:r>
        <w:rPr>
          <w:rFonts w:hint="eastAsia" w:ascii="宋体" w:hAnsi="宋体" w:cs="宋体"/>
          <w:color w:val="auto"/>
          <w:sz w:val="36"/>
          <w:szCs w:val="36"/>
          <w:lang w:val="en-US" w:eastAsia="zh-CN"/>
        </w:rPr>
        <w:t>第二章  项目需求</w:t>
      </w:r>
      <w:bookmarkEnd w:id="107"/>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响应文件中提供所竞标产品的节能产品认证证书复印件（加盖供应商公章），否则相应响应文件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2.竞争性</w:t>
      </w:r>
      <w:r>
        <w:rPr>
          <w:rFonts w:hint="eastAsia" w:ascii="宋体" w:hAnsi="宋体" w:cs="宋体"/>
          <w:sz w:val="21"/>
          <w:szCs w:val="21"/>
          <w:lang w:val="en-US" w:eastAsia="zh-CN"/>
        </w:rPr>
        <w:t>谈判</w:t>
      </w:r>
      <w:r>
        <w:rPr>
          <w:rFonts w:hint="eastAsia" w:ascii="宋体" w:hAnsi="宋体" w:eastAsia="宋体" w:cs="宋体"/>
          <w:sz w:val="21"/>
          <w:szCs w:val="21"/>
        </w:rPr>
        <w:t>文件中标注“</w:t>
      </w:r>
      <w:r>
        <w:rPr>
          <w:rFonts w:hint="eastAsia" w:ascii="宋体" w:hAnsi="宋体" w:eastAsia="宋体" w:cs="宋体"/>
          <w:color w:val="000000"/>
          <w:sz w:val="21"/>
          <w:szCs w:val="21"/>
        </w:rPr>
        <w:t>▲</w:t>
      </w:r>
      <w:r>
        <w:rPr>
          <w:rFonts w:hint="eastAsia" w:ascii="宋体" w:hAnsi="宋体" w:eastAsia="宋体" w:cs="宋体"/>
          <w:sz w:val="21"/>
          <w:szCs w:val="21"/>
        </w:rPr>
        <w:t>”号的条款为实质性条款，必须满足，否则竞标无效。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3.供应商必须自行为其</w:t>
      </w:r>
      <w:r>
        <w:rPr>
          <w:rFonts w:hint="eastAsia" w:ascii="宋体" w:hAnsi="宋体" w:cs="宋体"/>
          <w:sz w:val="21"/>
          <w:szCs w:val="21"/>
          <w:lang w:val="en-US" w:eastAsia="zh-CN"/>
        </w:rPr>
        <w:t>竞标</w:t>
      </w:r>
      <w:r>
        <w:rPr>
          <w:rFonts w:hint="eastAsia" w:ascii="宋体" w:hAnsi="宋体" w:eastAsia="宋体" w:cs="宋体"/>
          <w:sz w:val="21"/>
          <w:szCs w:val="21"/>
        </w:rPr>
        <w:t>产品侵犯其他供应商或专利人的专利成果承担相应法律责任；同时，具有产品专利的供应商应在其响应文件中提供与其自有产品专利相关的有效证明材料，否则，不能就其产品的专利在本项目</w:t>
      </w:r>
      <w:r>
        <w:rPr>
          <w:rFonts w:hint="eastAsia" w:ascii="宋体" w:hAnsi="宋体" w:cs="宋体"/>
          <w:sz w:val="21"/>
          <w:szCs w:val="21"/>
          <w:lang w:val="en-US" w:eastAsia="zh-CN"/>
        </w:rPr>
        <w:t>竞标</w:t>
      </w:r>
      <w:r>
        <w:rPr>
          <w:rFonts w:hint="eastAsia" w:ascii="宋体" w:hAnsi="宋体" w:eastAsia="宋体" w:cs="宋体"/>
          <w:sz w:val="21"/>
          <w:szCs w:val="21"/>
        </w:rPr>
        <w:t>过程中被侵权问题提出异议。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4.项目采购需求具有国家或其他强制性标准、规范等要求的，响应文件中必须提供相关强制性认证资料，否则相应</w:t>
      </w:r>
      <w:r>
        <w:rPr>
          <w:rFonts w:hint="eastAsia" w:ascii="宋体" w:hAnsi="宋体" w:cs="宋体"/>
          <w:sz w:val="21"/>
          <w:szCs w:val="21"/>
          <w:lang w:val="en-US" w:eastAsia="zh-CN"/>
        </w:rPr>
        <w:t>竞标</w:t>
      </w:r>
      <w:r>
        <w:rPr>
          <w:rFonts w:hint="eastAsia" w:ascii="宋体" w:hAnsi="宋体" w:eastAsia="宋体" w:cs="宋体"/>
          <w:sz w:val="21"/>
          <w:szCs w:val="21"/>
        </w:rPr>
        <w:t>无效。</w:t>
      </w:r>
    </w:p>
    <w:p>
      <w:pPr>
        <w:pStyle w:val="2"/>
        <w:keepNext w:val="0"/>
        <w:keepLines w:val="0"/>
        <w:pageBreakBefore w:val="0"/>
        <w:kinsoku/>
        <w:wordWrap/>
        <w:overflowPunct/>
        <w:topLinePunct w:val="0"/>
        <w:autoSpaceDE/>
        <w:autoSpaceDN/>
        <w:bidi w:val="0"/>
        <w:adjustRightInd/>
        <w:snapToGrid/>
        <w:spacing w:before="18" w:beforeLines="5" w:after="18" w:afterLines="5"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一、项目需求：</w:t>
      </w:r>
    </w:p>
    <w:bookmarkEnd w:id="74"/>
    <w:bookmarkEnd w:id="75"/>
    <w:bookmarkEnd w:id="76"/>
    <w:bookmarkEnd w:id="77"/>
    <w:bookmarkEnd w:id="78"/>
    <w:bookmarkEnd w:id="79"/>
    <w:bookmarkEnd w:id="80"/>
    <w:bookmarkEnd w:id="81"/>
    <w:tbl>
      <w:tblPr>
        <w:tblStyle w:val="43"/>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777"/>
        <w:gridCol w:w="790"/>
        <w:gridCol w:w="780"/>
        <w:gridCol w:w="3791"/>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2777"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服务名称</w:t>
            </w:r>
          </w:p>
        </w:tc>
        <w:tc>
          <w:tcPr>
            <w:tcW w:w="790"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780"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c>
          <w:tcPr>
            <w:tcW w:w="3791"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服务内容</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default" w:ascii="宋体" w:hAnsi="宋体" w:eastAsia="宋体" w:cs="宋体"/>
                <w:b/>
                <w:color w:val="auto"/>
                <w:sz w:val="21"/>
                <w:szCs w:val="21"/>
                <w:lang w:val="en-US" w:eastAsia="zh-CN"/>
              </w:rPr>
            </w:pPr>
            <w:r>
              <w:rPr>
                <w:rFonts w:hint="eastAsia" w:ascii="宋体" w:hAnsi="宋体" w:cs="宋体"/>
                <w:b w:val="0"/>
                <w:bCs/>
                <w:color w:val="auto"/>
                <w:sz w:val="21"/>
                <w:szCs w:val="21"/>
                <w:u w:val="none"/>
                <w:lang w:val="en-US" w:eastAsia="zh-CN"/>
              </w:rPr>
              <w:t>一</w:t>
            </w:r>
          </w:p>
        </w:tc>
        <w:tc>
          <w:tcPr>
            <w:tcW w:w="8967" w:type="dxa"/>
            <w:gridSpan w:val="5"/>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b/>
                <w:color w:val="auto"/>
                <w:sz w:val="21"/>
                <w:szCs w:val="21"/>
              </w:rPr>
            </w:pPr>
            <w:r>
              <w:rPr>
                <w:rFonts w:hint="eastAsia"/>
                <w:b/>
                <w:bCs/>
                <w:sz w:val="24"/>
              </w:rPr>
              <w:t>党员活动室提升改造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777"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sz w:val="21"/>
                <w:szCs w:val="21"/>
              </w:rPr>
              <w:t>"入党誓词"宣传版块</w:t>
            </w:r>
          </w:p>
        </w:tc>
        <w:tc>
          <w:tcPr>
            <w:tcW w:w="79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2</w:t>
            </w:r>
          </w:p>
        </w:tc>
        <w:tc>
          <w:tcPr>
            <w:tcW w:w="78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块</w:t>
            </w:r>
          </w:p>
        </w:tc>
        <w:tc>
          <w:tcPr>
            <w:tcW w:w="3791" w:type="dxa"/>
            <w:noWrap w:val="0"/>
            <w:vAlign w:val="top"/>
          </w:tcPr>
          <w:p>
            <w:pPr>
              <w:numPr>
                <w:ilvl w:val="0"/>
                <w:numId w:val="9"/>
              </w:numPr>
              <w:jc w:val="left"/>
              <w:rPr>
                <w:rFonts w:hint="eastAsia" w:ascii="宋体" w:hAnsi="宋体" w:eastAsia="宋体" w:cs="宋体"/>
                <w:sz w:val="21"/>
                <w:szCs w:val="21"/>
              </w:rPr>
            </w:pPr>
            <w:r>
              <w:rPr>
                <w:rFonts w:hint="eastAsia" w:ascii="宋体" w:hAnsi="宋体" w:eastAsia="宋体" w:cs="宋体"/>
                <w:sz w:val="21"/>
                <w:szCs w:val="21"/>
              </w:rPr>
              <w:t>规格：145cm*96cm*2块；</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sz w:val="21"/>
                <w:szCs w:val="21"/>
              </w:rPr>
              <w:t>2、材质：亚克力板，双层立体字。</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62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3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77"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sz w:val="21"/>
                <w:szCs w:val="21"/>
              </w:rPr>
              <w:t>入党誓词背景墙</w:t>
            </w:r>
          </w:p>
        </w:tc>
        <w:tc>
          <w:tcPr>
            <w:tcW w:w="79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 xml:space="preserve">1 </w:t>
            </w:r>
          </w:p>
        </w:tc>
        <w:tc>
          <w:tcPr>
            <w:tcW w:w="780"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项</w:t>
            </w:r>
          </w:p>
        </w:tc>
        <w:tc>
          <w:tcPr>
            <w:tcW w:w="3791" w:type="dxa"/>
            <w:noWrap w:val="0"/>
            <w:vAlign w:val="top"/>
          </w:tcPr>
          <w:p>
            <w:pPr>
              <w:numPr>
                <w:ilvl w:val="0"/>
                <w:numId w:val="10"/>
              </w:numPr>
              <w:jc w:val="left"/>
              <w:rPr>
                <w:rFonts w:hint="eastAsia" w:ascii="宋体" w:hAnsi="宋体" w:eastAsia="宋体" w:cs="宋体"/>
                <w:sz w:val="21"/>
                <w:szCs w:val="21"/>
              </w:rPr>
            </w:pPr>
            <w:r>
              <w:rPr>
                <w:rFonts w:hint="eastAsia" w:ascii="宋体" w:hAnsi="宋体" w:eastAsia="宋体" w:cs="宋体"/>
                <w:sz w:val="21"/>
                <w:szCs w:val="21"/>
              </w:rPr>
              <w:t>规格：2.4m*2.54m；</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sz w:val="21"/>
                <w:szCs w:val="21"/>
              </w:rPr>
              <w:t>2、材质：大芯板底层及埃特板面层，刮腻子及油涂料。</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777"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sz w:val="21"/>
                <w:szCs w:val="21"/>
              </w:rPr>
              <w:t>书吧书柜</w:t>
            </w:r>
          </w:p>
        </w:tc>
        <w:tc>
          <w:tcPr>
            <w:tcW w:w="79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1</w:t>
            </w:r>
          </w:p>
        </w:tc>
        <w:tc>
          <w:tcPr>
            <w:tcW w:w="78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项</w:t>
            </w:r>
          </w:p>
        </w:tc>
        <w:tc>
          <w:tcPr>
            <w:tcW w:w="3791" w:type="dxa"/>
            <w:noWrap w:val="0"/>
            <w:vAlign w:val="top"/>
          </w:tcPr>
          <w:p>
            <w:pPr>
              <w:numPr>
                <w:ilvl w:val="0"/>
                <w:numId w:val="11"/>
              </w:numPr>
              <w:jc w:val="left"/>
              <w:rPr>
                <w:rFonts w:hint="eastAsia" w:ascii="宋体" w:hAnsi="宋体" w:eastAsia="宋体" w:cs="宋体"/>
                <w:sz w:val="21"/>
                <w:szCs w:val="21"/>
              </w:rPr>
            </w:pPr>
            <w:r>
              <w:rPr>
                <w:rFonts w:hint="eastAsia" w:ascii="宋体" w:hAnsi="宋体" w:eastAsia="宋体" w:cs="宋体"/>
                <w:sz w:val="21"/>
                <w:szCs w:val="21"/>
              </w:rPr>
              <w:t>规格：3.5m*1.8m；</w:t>
            </w:r>
          </w:p>
          <w:p>
            <w:pPr>
              <w:numPr>
                <w:ilvl w:val="0"/>
                <w:numId w:val="0"/>
              </w:numPr>
              <w:jc w:val="left"/>
              <w:rPr>
                <w:rFonts w:hint="eastAsia" w:ascii="宋体" w:hAnsi="宋体" w:eastAsia="宋体" w:cs="宋体"/>
                <w:color w:val="auto"/>
                <w:sz w:val="21"/>
                <w:szCs w:val="21"/>
                <w:lang w:eastAsia="zh-CN"/>
              </w:rPr>
            </w:pPr>
            <w:r>
              <w:rPr>
                <w:rFonts w:hint="eastAsia" w:ascii="宋体" w:hAnsi="宋体" w:eastAsia="宋体" w:cs="宋体"/>
                <w:sz w:val="21"/>
                <w:szCs w:val="21"/>
              </w:rPr>
              <w:t>2、材质：多层免漆板书柜，130cm长PVC立体雕刻花纹，36cm高立体字*2个</w:t>
            </w:r>
            <w:r>
              <w:rPr>
                <w:rFonts w:hint="eastAsia" w:ascii="宋体" w:hAnsi="宋体" w:cs="宋体"/>
                <w:sz w:val="21"/>
                <w:szCs w:val="21"/>
                <w:lang w:eastAsia="zh-CN"/>
              </w:rPr>
              <w:t>。</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制度牌版块</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6</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块</w:t>
            </w:r>
          </w:p>
        </w:tc>
        <w:tc>
          <w:tcPr>
            <w:tcW w:w="3791" w:type="dxa"/>
            <w:noWrap w:val="0"/>
            <w:vAlign w:val="center"/>
          </w:tcPr>
          <w:p>
            <w:pPr>
              <w:numPr>
                <w:ilvl w:val="0"/>
                <w:numId w:val="12"/>
              </w:numPr>
              <w:jc w:val="left"/>
              <w:rPr>
                <w:rFonts w:hint="eastAsia" w:ascii="宋体" w:hAnsi="宋体" w:eastAsia="宋体" w:cs="宋体"/>
                <w:sz w:val="21"/>
                <w:szCs w:val="21"/>
              </w:rPr>
            </w:pPr>
            <w:r>
              <w:rPr>
                <w:rFonts w:hint="eastAsia" w:ascii="宋体" w:hAnsi="宋体" w:eastAsia="宋体" w:cs="宋体"/>
                <w:sz w:val="21"/>
                <w:szCs w:val="21"/>
              </w:rPr>
              <w:t>规格：70cm*120cm</w:t>
            </w:r>
            <w:r>
              <w:rPr>
                <w:rFonts w:hint="eastAsia" w:ascii="宋体" w:hAnsi="宋体" w:cs="宋体"/>
                <w:sz w:val="21"/>
                <w:szCs w:val="21"/>
                <w:lang w:eastAsia="zh-CN"/>
              </w:rPr>
              <w:t>；</w:t>
            </w:r>
          </w:p>
          <w:p>
            <w:pPr>
              <w:numPr>
                <w:ilvl w:val="0"/>
                <w:numId w:val="12"/>
              </w:num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材质：双层PVC板UV喷写真；</w:t>
            </w:r>
          </w:p>
          <w:p>
            <w:pPr>
              <w:numPr>
                <w:ilvl w:val="0"/>
                <w:numId w:val="0"/>
              </w:numPr>
              <w:ind w:leftChars="0"/>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3、内容：“三会一课”“党费收缴”“民主评议党员”“党员义务”“党员权利”“党内监督制度”</w:t>
            </w:r>
            <w:r>
              <w:rPr>
                <w:rFonts w:hint="eastAsia" w:ascii="宋体" w:hAnsi="宋体" w:cs="宋体"/>
                <w:sz w:val="21"/>
                <w:szCs w:val="21"/>
                <w:lang w:eastAsia="zh-CN"/>
              </w:rPr>
              <w:t>。</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领导机构人员组成板块</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块</w:t>
            </w:r>
          </w:p>
        </w:tc>
        <w:tc>
          <w:tcPr>
            <w:tcW w:w="3791" w:type="dxa"/>
            <w:noWrap w:val="0"/>
            <w:vAlign w:val="center"/>
          </w:tcPr>
          <w:p>
            <w:pPr>
              <w:numPr>
                <w:ilvl w:val="0"/>
                <w:numId w:val="13"/>
              </w:numPr>
              <w:jc w:val="left"/>
              <w:rPr>
                <w:rFonts w:hint="eastAsia" w:ascii="宋体" w:hAnsi="宋体" w:eastAsia="宋体" w:cs="宋体"/>
                <w:color w:val="000000"/>
                <w:sz w:val="21"/>
                <w:szCs w:val="21"/>
              </w:rPr>
            </w:pPr>
            <w:r>
              <w:rPr>
                <w:rFonts w:hint="eastAsia" w:ascii="宋体" w:hAnsi="宋体" w:eastAsia="宋体" w:cs="宋体"/>
                <w:color w:val="000000"/>
                <w:sz w:val="21"/>
                <w:szCs w:val="21"/>
              </w:rPr>
              <w:t>规格：62cm*96cm</w:t>
            </w:r>
            <w:r>
              <w:rPr>
                <w:rFonts w:hint="eastAsia" w:ascii="宋体" w:hAnsi="宋体" w:cs="宋体"/>
                <w:color w:val="000000"/>
                <w:sz w:val="21"/>
                <w:szCs w:val="21"/>
                <w:lang w:eastAsia="zh-CN"/>
              </w:rPr>
              <w:t>；</w:t>
            </w:r>
          </w:p>
          <w:p>
            <w:pPr>
              <w:numPr>
                <w:ilvl w:val="0"/>
                <w:numId w:val="0"/>
              </w:num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2、材质：2cm厚PVC板UV喷写真画面</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党员活动室形象造型</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14"/>
              </w:numPr>
              <w:jc w:val="left"/>
              <w:rPr>
                <w:rFonts w:hint="eastAsia" w:ascii="宋体" w:hAnsi="宋体" w:eastAsia="宋体" w:cs="宋体"/>
                <w:sz w:val="21"/>
                <w:szCs w:val="21"/>
              </w:rPr>
            </w:pPr>
            <w:r>
              <w:rPr>
                <w:rFonts w:hint="eastAsia" w:ascii="宋体" w:hAnsi="宋体" w:eastAsia="宋体" w:cs="宋体"/>
                <w:sz w:val="21"/>
                <w:szCs w:val="21"/>
              </w:rPr>
              <w:t>规格：200cm*120cm；</w:t>
            </w:r>
          </w:p>
          <w:p>
            <w:pPr>
              <w:numPr>
                <w:ilvl w:val="0"/>
                <w:numId w:val="0"/>
              </w:numPr>
              <w:jc w:val="left"/>
              <w:rPr>
                <w:rFonts w:hint="eastAsia" w:ascii="宋体" w:hAnsi="宋体" w:eastAsia="宋体" w:cs="宋体"/>
                <w:color w:val="000000"/>
                <w:sz w:val="21"/>
                <w:szCs w:val="21"/>
              </w:rPr>
            </w:pPr>
            <w:r>
              <w:rPr>
                <w:rFonts w:hint="eastAsia" w:ascii="宋体" w:hAnsi="宋体" w:eastAsia="宋体" w:cs="宋体"/>
                <w:sz w:val="21"/>
                <w:szCs w:val="21"/>
              </w:rPr>
              <w:t>2、材质：双层PVC/立体字,铝型材立体LOGO定制。</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“主要职责”版块造型</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0"/>
              </w:numPr>
              <w:jc w:val="left"/>
              <w:rPr>
                <w:rFonts w:hint="eastAsia" w:ascii="宋体" w:hAnsi="宋体" w:eastAsia="宋体" w:cs="宋体"/>
                <w:color w:val="000000"/>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规格：400cm*150cm；</w:t>
            </w:r>
          </w:p>
          <w:p>
            <w:pPr>
              <w:numPr>
                <w:ilvl w:val="0"/>
                <w:numId w:val="0"/>
              </w:numPr>
              <w:jc w:val="left"/>
              <w:rPr>
                <w:rFonts w:hint="eastAsia" w:ascii="宋体" w:hAnsi="宋体" w:eastAsia="宋体" w:cs="宋体"/>
                <w:color w:val="000000"/>
                <w:sz w:val="21"/>
                <w:szCs w:val="21"/>
              </w:rPr>
            </w:pPr>
            <w:r>
              <w:rPr>
                <w:rFonts w:hint="eastAsia" w:ascii="宋体" w:hAnsi="宋体" w:eastAsia="宋体" w:cs="宋体"/>
                <w:sz w:val="21"/>
                <w:szCs w:val="21"/>
              </w:rPr>
              <w:t>2、材质：双层PVC板UV喷写真画面</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平面排版设计</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sz w:val="21"/>
                <w:szCs w:val="21"/>
              </w:rPr>
              <w:t>平面设计师4人，通过运用多种软件和多种方式的专业技巧来创造和结合符号、图文、文字等。如文字排版，图片设计，资料收集。</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卷帘</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15"/>
              </w:numPr>
              <w:jc w:val="left"/>
              <w:rPr>
                <w:rFonts w:hint="eastAsia" w:ascii="宋体" w:hAnsi="宋体" w:eastAsia="宋体" w:cs="宋体"/>
                <w:sz w:val="21"/>
                <w:szCs w:val="21"/>
              </w:rPr>
            </w:pPr>
            <w:r>
              <w:rPr>
                <w:rFonts w:hint="eastAsia" w:ascii="宋体" w:hAnsi="宋体" w:eastAsia="宋体" w:cs="宋体"/>
                <w:sz w:val="21"/>
                <w:szCs w:val="21"/>
              </w:rPr>
              <w:t>规格：5m*2.6m</w:t>
            </w:r>
            <w:r>
              <w:rPr>
                <w:rFonts w:hint="eastAsia" w:ascii="宋体" w:hAnsi="宋体" w:cs="宋体"/>
                <w:sz w:val="21"/>
                <w:szCs w:val="21"/>
                <w:lang w:eastAsia="zh-CN"/>
              </w:rPr>
              <w:t>；</w:t>
            </w:r>
          </w:p>
          <w:p>
            <w:pPr>
              <w:numPr>
                <w:ilvl w:val="0"/>
                <w:numId w:val="0"/>
              </w:numPr>
              <w:jc w:val="left"/>
              <w:rPr>
                <w:rFonts w:hint="eastAsia" w:ascii="宋体" w:hAnsi="宋体" w:eastAsia="宋体" w:cs="宋体"/>
                <w:color w:val="000000"/>
                <w:sz w:val="21"/>
                <w:szCs w:val="21"/>
              </w:rPr>
            </w:pPr>
            <w:r>
              <w:rPr>
                <w:rFonts w:hint="eastAsia" w:ascii="宋体" w:hAnsi="宋体" w:eastAsia="宋体" w:cs="宋体"/>
                <w:sz w:val="21"/>
                <w:szCs w:val="21"/>
              </w:rPr>
              <w:t>2、材质：手动卷帘纯白透光窗帘</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活动室桌子</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张</w:t>
            </w:r>
          </w:p>
        </w:tc>
        <w:tc>
          <w:tcPr>
            <w:tcW w:w="3791" w:type="dxa"/>
            <w:noWrap w:val="0"/>
            <w:vAlign w:val="center"/>
          </w:tcPr>
          <w:p>
            <w:pPr>
              <w:numPr>
                <w:ilvl w:val="0"/>
                <w:numId w:val="16"/>
              </w:numPr>
              <w:jc w:val="left"/>
              <w:rPr>
                <w:rFonts w:hint="eastAsia" w:ascii="宋体" w:hAnsi="宋体" w:cs="宋体"/>
                <w:sz w:val="21"/>
                <w:szCs w:val="21"/>
                <w:lang w:eastAsia="zh-CN"/>
              </w:rPr>
            </w:pPr>
            <w:r>
              <w:rPr>
                <w:rFonts w:hint="eastAsia" w:ascii="宋体" w:hAnsi="宋体" w:eastAsia="宋体" w:cs="宋体"/>
                <w:sz w:val="21"/>
                <w:szCs w:val="21"/>
              </w:rPr>
              <w:t>规格：3m*1.4m</w:t>
            </w:r>
            <w:r>
              <w:rPr>
                <w:rFonts w:hint="eastAsia" w:ascii="宋体" w:hAnsi="宋体" w:cs="宋体"/>
                <w:sz w:val="21"/>
                <w:szCs w:val="21"/>
                <w:lang w:eastAsia="zh-CN"/>
              </w:rPr>
              <w:t>；</w:t>
            </w:r>
          </w:p>
          <w:p>
            <w:pPr>
              <w:numPr>
                <w:ilvl w:val="0"/>
                <w:numId w:val="0"/>
              </w:numPr>
              <w:jc w:val="left"/>
              <w:rPr>
                <w:rFonts w:hint="eastAsia" w:ascii="宋体" w:hAnsi="宋体" w:eastAsia="宋体" w:cs="宋体"/>
                <w:color w:val="000000"/>
                <w:sz w:val="21"/>
                <w:szCs w:val="21"/>
              </w:rPr>
            </w:pPr>
            <w:r>
              <w:rPr>
                <w:rFonts w:hint="eastAsia" w:ascii="宋体" w:hAnsi="宋体" w:eastAsia="宋体" w:cs="宋体"/>
                <w:sz w:val="21"/>
                <w:szCs w:val="21"/>
              </w:rPr>
              <w:t>2、材质：E1级环保板材，</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活动室椅子</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12</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张</w:t>
            </w:r>
          </w:p>
        </w:tc>
        <w:tc>
          <w:tcPr>
            <w:tcW w:w="3791" w:type="dxa"/>
            <w:noWrap w:val="0"/>
            <w:vAlign w:val="center"/>
          </w:tcPr>
          <w:p>
            <w:pPr>
              <w:numPr>
                <w:ilvl w:val="0"/>
                <w:numId w:val="17"/>
              </w:numPr>
              <w:jc w:val="left"/>
              <w:rPr>
                <w:rFonts w:hint="eastAsia" w:ascii="宋体" w:hAnsi="宋体" w:eastAsia="宋体" w:cs="宋体"/>
                <w:sz w:val="21"/>
                <w:szCs w:val="21"/>
              </w:rPr>
            </w:pPr>
            <w:r>
              <w:rPr>
                <w:rFonts w:hint="eastAsia" w:ascii="宋体" w:hAnsi="宋体" w:eastAsia="宋体" w:cs="宋体"/>
                <w:sz w:val="21"/>
                <w:szCs w:val="21"/>
              </w:rPr>
              <w:t>规格：42cm*45cm*77cm；</w:t>
            </w:r>
          </w:p>
          <w:p>
            <w:pPr>
              <w:numPr>
                <w:ilvl w:val="0"/>
                <w:numId w:val="0"/>
              </w:numPr>
              <w:jc w:val="left"/>
              <w:rPr>
                <w:rFonts w:hint="eastAsia" w:ascii="宋体" w:hAnsi="宋体" w:eastAsia="宋体" w:cs="宋体"/>
                <w:color w:val="000000"/>
                <w:sz w:val="21"/>
                <w:szCs w:val="21"/>
              </w:rPr>
            </w:pPr>
            <w:r>
              <w:rPr>
                <w:rFonts w:hint="eastAsia" w:ascii="宋体" w:hAnsi="宋体" w:eastAsia="宋体" w:cs="宋体"/>
                <w:sz w:val="21"/>
                <w:szCs w:val="21"/>
              </w:rPr>
              <w:t>2、材质：白蜡木 坐垫皮革软包 环抱式靠背</w:t>
            </w:r>
            <w:r>
              <w:rPr>
                <w:rFonts w:hint="eastAsia" w:ascii="宋体" w:hAnsi="宋体" w:cs="宋体"/>
                <w:sz w:val="21"/>
                <w:szCs w:val="21"/>
                <w:lang w:eastAsia="zh-CN"/>
              </w:rPr>
              <w:t>。</w:t>
            </w:r>
            <w:r>
              <w:rPr>
                <w:rFonts w:hint="eastAsia" w:ascii="宋体" w:hAnsi="宋体" w:eastAsia="宋体" w:cs="宋体"/>
                <w:sz w:val="21"/>
                <w:szCs w:val="21"/>
              </w:rPr>
              <w:t xml:space="preserve"> </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121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折叠凳</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 xml:space="preserve">20 </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张</w:t>
            </w:r>
          </w:p>
        </w:tc>
        <w:tc>
          <w:tcPr>
            <w:tcW w:w="3791" w:type="dxa"/>
            <w:noWrap w:val="0"/>
            <w:vAlign w:val="center"/>
          </w:tcPr>
          <w:p>
            <w:pPr>
              <w:numPr>
                <w:ilvl w:val="0"/>
                <w:numId w:val="18"/>
              </w:numPr>
              <w:jc w:val="left"/>
              <w:rPr>
                <w:rFonts w:hint="eastAsia" w:ascii="宋体" w:hAnsi="宋体" w:eastAsia="宋体" w:cs="宋体"/>
                <w:color w:val="000000"/>
                <w:sz w:val="21"/>
                <w:szCs w:val="21"/>
              </w:rPr>
            </w:pPr>
            <w:r>
              <w:rPr>
                <w:rFonts w:hint="eastAsia" w:ascii="宋体" w:hAnsi="宋体" w:eastAsia="宋体" w:cs="宋体"/>
                <w:color w:val="000000"/>
                <w:sz w:val="21"/>
                <w:szCs w:val="21"/>
              </w:rPr>
              <w:t>规格：坐面尺寸:39cm×39cm；</w:t>
            </w:r>
          </w:p>
          <w:p>
            <w:pPr>
              <w:numPr>
                <w:ilvl w:val="0"/>
                <w:numId w:val="0"/>
              </w:num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2、材质：进口加厚PP塑胶 无毒无味 表面经磨砂防滑处理 椅脚及骨架1.0mm钢管</w:t>
            </w:r>
            <w:r>
              <w:rPr>
                <w:rFonts w:hint="eastAsia" w:ascii="宋体" w:hAnsi="宋体" w:cs="宋体"/>
                <w:color w:val="000000"/>
                <w:sz w:val="21"/>
                <w:szCs w:val="21"/>
                <w:lang w:eastAsia="zh-CN"/>
              </w:rPr>
              <w:t>。</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硅藻泥/零星</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64</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p>
        </w:tc>
        <w:tc>
          <w:tcPr>
            <w:tcW w:w="3791"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暗纹图案，防火阻燃，吸音降噪，净化空气，保温隔热。含人工及辅材</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LED射灯</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7</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套</w:t>
            </w:r>
          </w:p>
        </w:tc>
        <w:tc>
          <w:tcPr>
            <w:tcW w:w="3791" w:type="dxa"/>
            <w:noWrap w:val="0"/>
            <w:vAlign w:val="center"/>
          </w:tcPr>
          <w:p>
            <w:pPr>
              <w:numPr>
                <w:ilvl w:val="0"/>
                <w:numId w:val="19"/>
              </w:numPr>
              <w:jc w:val="left"/>
              <w:rPr>
                <w:rFonts w:hint="eastAsia" w:ascii="宋体" w:hAnsi="宋体" w:eastAsia="宋体" w:cs="宋体"/>
                <w:color w:val="000000"/>
                <w:sz w:val="21"/>
                <w:szCs w:val="21"/>
              </w:rPr>
            </w:pPr>
            <w:r>
              <w:rPr>
                <w:rFonts w:hint="eastAsia" w:ascii="宋体" w:hAnsi="宋体" w:eastAsia="宋体" w:cs="宋体"/>
                <w:color w:val="000000"/>
                <w:sz w:val="21"/>
                <w:szCs w:val="21"/>
              </w:rPr>
              <w:t>规格：18W，2.5寸</w:t>
            </w:r>
            <w:r>
              <w:rPr>
                <w:rFonts w:hint="eastAsia" w:ascii="宋体" w:hAnsi="宋体" w:cs="宋体"/>
                <w:color w:val="000000"/>
                <w:sz w:val="21"/>
                <w:szCs w:val="21"/>
                <w:lang w:eastAsia="zh-CN"/>
              </w:rPr>
              <w:t>；</w:t>
            </w:r>
          </w:p>
          <w:p>
            <w:pPr>
              <w:numPr>
                <w:ilvl w:val="0"/>
                <w:numId w:val="19"/>
              </w:numPr>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拆除原有射灯；</w:t>
            </w:r>
          </w:p>
          <w:p>
            <w:pPr>
              <w:numPr>
                <w:ilvl w:val="0"/>
                <w:numId w:val="0"/>
              </w:numPr>
              <w:ind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3、含电路整改及开关。</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门口“党员活动室”标题</w:t>
            </w:r>
          </w:p>
        </w:tc>
        <w:tc>
          <w:tcPr>
            <w:tcW w:w="79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套</w:t>
            </w:r>
          </w:p>
        </w:tc>
        <w:tc>
          <w:tcPr>
            <w:tcW w:w="3791" w:type="dxa"/>
            <w:noWrap w:val="0"/>
            <w:vAlign w:val="center"/>
          </w:tcPr>
          <w:p>
            <w:pPr>
              <w:numPr>
                <w:ilvl w:val="0"/>
                <w:numId w:val="20"/>
              </w:numPr>
              <w:jc w:val="left"/>
              <w:rPr>
                <w:rFonts w:hint="eastAsia" w:ascii="宋体" w:hAnsi="宋体" w:eastAsia="宋体" w:cs="宋体"/>
                <w:sz w:val="21"/>
                <w:szCs w:val="21"/>
              </w:rPr>
            </w:pPr>
            <w:r>
              <w:rPr>
                <w:rFonts w:hint="eastAsia" w:ascii="宋体" w:hAnsi="宋体" w:eastAsia="宋体" w:cs="宋体"/>
                <w:sz w:val="21"/>
                <w:szCs w:val="21"/>
              </w:rPr>
              <w:t>规格：8.9cm*140cm,22cm*118cm；</w:t>
            </w:r>
          </w:p>
          <w:p>
            <w:pPr>
              <w:numPr>
                <w:ilvl w:val="0"/>
                <w:numId w:val="0"/>
              </w:numPr>
              <w:jc w:val="left"/>
              <w:rPr>
                <w:rFonts w:hint="eastAsia" w:ascii="宋体" w:hAnsi="宋体" w:eastAsia="宋体" w:cs="宋体"/>
                <w:color w:val="000000"/>
                <w:sz w:val="21"/>
                <w:szCs w:val="21"/>
                <w:lang w:eastAsia="zh-CN"/>
              </w:rPr>
            </w:pPr>
            <w:r>
              <w:rPr>
                <w:rFonts w:hint="eastAsia" w:ascii="宋体" w:hAnsi="宋体" w:eastAsia="宋体" w:cs="宋体"/>
                <w:sz w:val="21"/>
                <w:szCs w:val="21"/>
              </w:rPr>
              <w:t>2、材质：红色PVC立体字，4mm黄色弗朗板，面贴红色水晶字</w:t>
            </w:r>
            <w:r>
              <w:rPr>
                <w:rFonts w:hint="eastAsia" w:ascii="宋体" w:hAnsi="宋体" w:cs="宋体"/>
                <w:sz w:val="21"/>
                <w:szCs w:val="21"/>
                <w:lang w:eastAsia="zh-CN"/>
              </w:rPr>
              <w:t>。</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default" w:ascii="宋体" w:hAnsi="宋体" w:cs="宋体"/>
                <w:color w:val="auto"/>
                <w:sz w:val="21"/>
                <w:szCs w:val="21"/>
                <w:lang w:val="en-US" w:eastAsia="zh-CN"/>
              </w:rPr>
            </w:pPr>
            <w:r>
              <w:rPr>
                <w:rFonts w:hint="eastAsia" w:ascii="宋体" w:hAnsi="宋体" w:cs="宋体"/>
                <w:b w:val="0"/>
                <w:bCs w:val="0"/>
                <w:color w:val="auto"/>
                <w:sz w:val="21"/>
                <w:szCs w:val="21"/>
                <w:lang w:val="en-US" w:eastAsia="zh-CN"/>
              </w:rPr>
              <w:t>二</w:t>
            </w:r>
          </w:p>
        </w:tc>
        <w:tc>
          <w:tcPr>
            <w:tcW w:w="8967" w:type="dxa"/>
            <w:gridSpan w:val="5"/>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r>
              <w:rPr>
                <w:rFonts w:hint="eastAsia"/>
                <w:b/>
                <w:bCs/>
                <w:sz w:val="24"/>
              </w:rPr>
              <w:t>制作党建宣传栏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宣传栏1/会议室外</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21"/>
              </w:numPr>
              <w:rPr>
                <w:rFonts w:hint="eastAsia" w:ascii="宋体" w:hAnsi="宋体" w:eastAsia="宋体" w:cs="宋体"/>
                <w:sz w:val="21"/>
                <w:szCs w:val="21"/>
              </w:rPr>
            </w:pPr>
            <w:r>
              <w:rPr>
                <w:rFonts w:hint="eastAsia" w:ascii="宋体" w:hAnsi="宋体" w:eastAsia="宋体" w:cs="宋体"/>
                <w:sz w:val="21"/>
                <w:szCs w:val="21"/>
              </w:rPr>
              <w:t>规格：5.4m*1.41m；</w:t>
            </w:r>
          </w:p>
          <w:p>
            <w:pPr>
              <w:numPr>
                <w:ilvl w:val="0"/>
                <w:numId w:val="21"/>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材质： 底板及写真画面制作安装</w:t>
            </w:r>
            <w:r>
              <w:rPr>
                <w:rFonts w:hint="eastAsia" w:ascii="宋体" w:hAnsi="宋体" w:eastAsia="宋体" w:cs="宋体"/>
                <w:sz w:val="21"/>
                <w:szCs w:val="21"/>
                <w:lang w:eastAsia="zh-CN"/>
              </w:rPr>
              <w:t>；</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sz w:val="21"/>
                <w:szCs w:val="21"/>
              </w:rPr>
              <w:t>3、</w:t>
            </w:r>
            <w:r>
              <w:rPr>
                <w:rFonts w:hint="eastAsia" w:ascii="宋体" w:hAnsi="宋体" w:eastAsia="宋体" w:cs="宋体"/>
                <w:color w:val="000000"/>
                <w:sz w:val="21"/>
                <w:szCs w:val="21"/>
              </w:rPr>
              <w:t>100cm宽</w:t>
            </w:r>
            <w:r>
              <w:rPr>
                <w:rFonts w:hint="eastAsia" w:ascii="宋体" w:hAnsi="宋体" w:eastAsia="宋体" w:cs="宋体"/>
                <w:sz w:val="21"/>
                <w:szCs w:val="21"/>
              </w:rPr>
              <w:t>实木画框。</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宣传栏2/会议室外</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22"/>
              </w:numPr>
              <w:rPr>
                <w:rFonts w:hint="eastAsia" w:ascii="宋体" w:hAnsi="宋体" w:eastAsia="宋体" w:cs="宋体"/>
                <w:sz w:val="21"/>
                <w:szCs w:val="21"/>
              </w:rPr>
            </w:pPr>
            <w:r>
              <w:rPr>
                <w:rFonts w:hint="eastAsia" w:ascii="宋体" w:hAnsi="宋体" w:eastAsia="宋体" w:cs="宋体"/>
                <w:sz w:val="21"/>
                <w:szCs w:val="21"/>
              </w:rPr>
              <w:t>规格：2.6m*1.41m；</w:t>
            </w:r>
          </w:p>
          <w:p>
            <w:pPr>
              <w:numPr>
                <w:ilvl w:val="0"/>
                <w:numId w:val="22"/>
              </w:numPr>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材质： 底板及写真画面制作安装</w:t>
            </w:r>
            <w:r>
              <w:rPr>
                <w:rFonts w:hint="eastAsia" w:ascii="宋体" w:hAnsi="宋体" w:eastAsia="宋体" w:cs="宋体"/>
                <w:sz w:val="21"/>
                <w:szCs w:val="21"/>
                <w:lang w:eastAsia="zh-CN"/>
              </w:rPr>
              <w:t>；</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sz w:val="21"/>
                <w:szCs w:val="21"/>
              </w:rPr>
              <w:t>3、100cm宽实木画框。</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default" w:ascii="宋体" w:hAnsi="宋体" w:cs="宋体"/>
                <w:color w:val="auto"/>
                <w:sz w:val="21"/>
                <w:szCs w:val="21"/>
                <w:lang w:val="en-US" w:eastAsia="zh-CN"/>
              </w:rPr>
            </w:pPr>
            <w:r>
              <w:rPr>
                <w:rFonts w:hint="eastAsia"/>
                <w:b/>
                <w:bCs/>
                <w:sz w:val="20"/>
                <w:szCs w:val="20"/>
                <w:lang w:val="en-US" w:eastAsia="zh-CN"/>
              </w:rPr>
              <w:t>三</w:t>
            </w:r>
          </w:p>
        </w:tc>
        <w:tc>
          <w:tcPr>
            <w:tcW w:w="8967" w:type="dxa"/>
            <w:gridSpan w:val="5"/>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r>
              <w:rPr>
                <w:rFonts w:hint="eastAsia" w:ascii="宋体" w:hAnsi="宋体"/>
                <w:b/>
                <w:bCs/>
                <w:sz w:val="24"/>
              </w:rPr>
              <w:t>党员第一学习室（5C02)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2060"/>
                <w:sz w:val="21"/>
                <w:szCs w:val="21"/>
              </w:rPr>
              <w:t>1</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修补腻子，重新贴墙纸</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23"/>
              </w:numPr>
              <w:rPr>
                <w:rFonts w:hint="eastAsia" w:ascii="宋体" w:hAnsi="宋体" w:eastAsia="宋体" w:cs="宋体"/>
                <w:color w:val="000000"/>
                <w:sz w:val="21"/>
                <w:szCs w:val="21"/>
              </w:rPr>
            </w:pPr>
            <w:r>
              <w:rPr>
                <w:rFonts w:hint="eastAsia" w:ascii="宋体" w:hAnsi="宋体" w:eastAsia="宋体" w:cs="宋体"/>
                <w:color w:val="000000"/>
                <w:sz w:val="21"/>
                <w:szCs w:val="21"/>
              </w:rPr>
              <w:t>规格：4000*2650mm；</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2、内容：铲除原有字体及墙纸，修补腻子，贴米黄色布纹墙纸</w:t>
            </w:r>
            <w:r>
              <w:rPr>
                <w:rFonts w:hint="eastAsia" w:ascii="宋体" w:hAnsi="宋体" w:cs="宋体"/>
                <w:color w:val="000000"/>
                <w:sz w:val="21"/>
                <w:szCs w:val="21"/>
                <w:lang w:eastAsia="zh-CN"/>
              </w:rPr>
              <w:t>。</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2</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会议室后墙PVC立体字</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420</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cm</w:t>
            </w:r>
          </w:p>
        </w:tc>
        <w:tc>
          <w:tcPr>
            <w:tcW w:w="3791" w:type="dxa"/>
            <w:noWrap w:val="0"/>
            <w:vAlign w:val="center"/>
          </w:tcPr>
          <w:p>
            <w:pPr>
              <w:numPr>
                <w:ilvl w:val="0"/>
                <w:numId w:val="24"/>
              </w:numPr>
              <w:rPr>
                <w:rFonts w:hint="eastAsia" w:ascii="宋体" w:hAnsi="宋体" w:eastAsia="宋体" w:cs="宋体"/>
                <w:sz w:val="21"/>
                <w:szCs w:val="21"/>
              </w:rPr>
            </w:pPr>
            <w:r>
              <w:rPr>
                <w:rFonts w:hint="eastAsia" w:ascii="宋体" w:hAnsi="宋体" w:eastAsia="宋体" w:cs="宋体"/>
                <w:sz w:val="21"/>
                <w:szCs w:val="21"/>
              </w:rPr>
              <w:t>规格：22.5cm*9个；</w:t>
            </w:r>
          </w:p>
          <w:p>
            <w:pPr>
              <w:numPr>
                <w:ilvl w:val="0"/>
                <w:numId w:val="24"/>
              </w:numPr>
              <w:ind w:left="0" w:leftChars="0" w:firstLine="0" w:firstLineChars="0"/>
              <w:rPr>
                <w:rFonts w:hint="eastAsia" w:ascii="宋体" w:hAnsi="宋体" w:cs="宋体"/>
                <w:sz w:val="21"/>
                <w:szCs w:val="21"/>
                <w:lang w:eastAsia="zh-CN"/>
              </w:rPr>
            </w:pPr>
            <w:r>
              <w:rPr>
                <w:rFonts w:hint="eastAsia" w:ascii="宋体" w:hAnsi="宋体" w:eastAsia="宋体" w:cs="宋体"/>
                <w:sz w:val="21"/>
                <w:szCs w:val="21"/>
              </w:rPr>
              <w:t>材质：双层PVC立体字</w:t>
            </w:r>
            <w:r>
              <w:rPr>
                <w:rFonts w:hint="eastAsia" w:ascii="宋体" w:hAnsi="宋体" w:cs="宋体"/>
                <w:sz w:val="21"/>
                <w:szCs w:val="21"/>
                <w:lang w:eastAsia="zh-CN"/>
              </w:rPr>
              <w:t>；</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sz w:val="21"/>
                <w:szCs w:val="21"/>
              </w:rPr>
              <w:t>3、内容：“中共玉林市委宣传部”。</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3</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PVC立体字</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338</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cm</w:t>
            </w:r>
          </w:p>
        </w:tc>
        <w:tc>
          <w:tcPr>
            <w:tcW w:w="3791" w:type="dxa"/>
            <w:noWrap w:val="0"/>
            <w:vAlign w:val="center"/>
          </w:tcPr>
          <w:p>
            <w:pPr>
              <w:numPr>
                <w:ilvl w:val="0"/>
                <w:numId w:val="25"/>
              </w:numPr>
              <w:rPr>
                <w:rFonts w:hint="eastAsia" w:ascii="宋体" w:hAnsi="宋体" w:eastAsia="宋体" w:cs="宋体"/>
                <w:color w:val="000000"/>
                <w:sz w:val="21"/>
                <w:szCs w:val="21"/>
              </w:rPr>
            </w:pPr>
            <w:r>
              <w:rPr>
                <w:rFonts w:hint="eastAsia" w:ascii="宋体" w:hAnsi="宋体" w:eastAsia="宋体" w:cs="宋体"/>
                <w:sz w:val="21"/>
                <w:szCs w:val="21"/>
              </w:rPr>
              <w:t>规格：22.5cm*15个；</w:t>
            </w:r>
          </w:p>
          <w:p>
            <w:pPr>
              <w:numPr>
                <w:ilvl w:val="0"/>
                <w:numId w:val="25"/>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双层PVC立体字；</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sz w:val="21"/>
                <w:szCs w:val="21"/>
              </w:rPr>
              <w:t>3、内容：“举旗帜 聚民心 育新人 兴文化 展形象”。</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4" w:type="dxa"/>
            <w:noWrap w:val="0"/>
            <w:vAlign w:val="center"/>
          </w:tcPr>
          <w:p>
            <w:pPr>
              <w:keepNext w:val="0"/>
              <w:keepLines w:val="0"/>
              <w:pageBreakBefore w:val="0"/>
              <w:kinsoku/>
              <w:wordWrap/>
              <w:overflowPunct/>
              <w:topLinePunct w:val="0"/>
              <w:autoSpaceDE/>
              <w:autoSpaceDN/>
              <w:bidi w:val="0"/>
              <w:adjustRightInd/>
              <w:snapToGrid/>
              <w:spacing w:before="17" w:beforeLines="5" w:after="17" w:afterLines="5" w:line="400" w:lineRule="exact"/>
              <w:jc w:val="center"/>
              <w:textAlignment w:val="auto"/>
              <w:rPr>
                <w:rFonts w:hint="eastAsia" w:ascii="宋体" w:hAnsi="宋体" w:cs="宋体"/>
                <w:color w:val="auto"/>
                <w:sz w:val="21"/>
                <w:szCs w:val="21"/>
                <w:lang w:val="en-US" w:eastAsia="zh-CN"/>
              </w:rPr>
            </w:pPr>
            <w:r>
              <w:rPr>
                <w:rFonts w:hint="eastAsia"/>
                <w:b/>
                <w:bCs/>
                <w:sz w:val="20"/>
                <w:szCs w:val="20"/>
              </w:rPr>
              <w:t>四</w:t>
            </w:r>
          </w:p>
        </w:tc>
        <w:tc>
          <w:tcPr>
            <w:tcW w:w="8967" w:type="dxa"/>
            <w:gridSpan w:val="5"/>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r>
              <w:rPr>
                <w:rFonts w:hint="eastAsia"/>
                <w:b/>
                <w:bCs/>
                <w:sz w:val="24"/>
              </w:rPr>
              <w:t>党</w:t>
            </w:r>
            <w:r>
              <w:rPr>
                <w:rFonts w:hint="eastAsia" w:ascii="宋体" w:hAnsi="宋体" w:eastAsia="宋体" w:cs="宋体"/>
                <w:b/>
                <w:bCs/>
                <w:sz w:val="24"/>
              </w:rPr>
              <w:t>员第二学习室（6E03B）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1</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定制风光背景画</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幅</w:t>
            </w:r>
          </w:p>
        </w:tc>
        <w:tc>
          <w:tcPr>
            <w:tcW w:w="3791" w:type="dxa"/>
            <w:noWrap w:val="0"/>
            <w:vAlign w:val="center"/>
          </w:tcPr>
          <w:p>
            <w:pPr>
              <w:numPr>
                <w:ilvl w:val="0"/>
                <w:numId w:val="26"/>
              </w:numPr>
              <w:rPr>
                <w:rFonts w:hint="eastAsia" w:ascii="宋体" w:hAnsi="宋体" w:cs="宋体"/>
                <w:color w:val="000000"/>
                <w:sz w:val="21"/>
                <w:szCs w:val="21"/>
                <w:lang w:eastAsia="zh-CN"/>
              </w:rPr>
            </w:pPr>
            <w:r>
              <w:rPr>
                <w:rFonts w:hint="eastAsia" w:ascii="宋体" w:hAnsi="宋体" w:eastAsia="宋体" w:cs="宋体"/>
                <w:color w:val="000000"/>
                <w:sz w:val="21"/>
                <w:szCs w:val="21"/>
              </w:rPr>
              <w:t>规格：4050mm*1480mm</w:t>
            </w:r>
            <w:r>
              <w:rPr>
                <w:rFonts w:hint="eastAsia" w:ascii="宋体" w:hAnsi="宋体" w:cs="宋体"/>
                <w:color w:val="000000"/>
                <w:sz w:val="21"/>
                <w:szCs w:val="21"/>
                <w:lang w:eastAsia="zh-CN"/>
              </w:rPr>
              <w:t>；</w:t>
            </w:r>
          </w:p>
          <w:p>
            <w:pPr>
              <w:numPr>
                <w:ilvl w:val="0"/>
                <w:numId w:val="26"/>
              </w:numPr>
              <w:ind w:left="0" w:leftChars="0" w:firstLine="0" w:firstLineChars="0"/>
              <w:rPr>
                <w:rFonts w:hint="eastAsia" w:ascii="宋体" w:hAnsi="宋体" w:cs="宋体"/>
                <w:color w:val="000000"/>
                <w:sz w:val="21"/>
                <w:szCs w:val="21"/>
                <w:lang w:eastAsia="zh-CN"/>
              </w:rPr>
            </w:pPr>
            <w:r>
              <w:rPr>
                <w:rFonts w:hint="eastAsia" w:ascii="宋体" w:hAnsi="宋体" w:eastAsia="宋体" w:cs="宋体"/>
                <w:color w:val="000000"/>
                <w:sz w:val="21"/>
                <w:szCs w:val="21"/>
              </w:rPr>
              <w:t>内容：拆除原有画面</w:t>
            </w:r>
            <w:r>
              <w:rPr>
                <w:rFonts w:hint="eastAsia" w:ascii="宋体" w:hAnsi="宋体" w:cs="宋体"/>
                <w:color w:val="000000"/>
                <w:sz w:val="21"/>
                <w:szCs w:val="21"/>
                <w:lang w:eastAsia="zh-CN"/>
              </w:rPr>
              <w:t>；</w:t>
            </w:r>
          </w:p>
          <w:p>
            <w:pPr>
              <w:numPr>
                <w:ilvl w:val="0"/>
                <w:numId w:val="26"/>
              </w:numPr>
              <w:ind w:left="0" w:leftChars="0" w:firstLine="0" w:firstLineChars="0"/>
              <w:rPr>
                <w:rFonts w:hint="eastAsia" w:ascii="宋体" w:hAnsi="宋体" w:cs="宋体"/>
                <w:color w:val="000000"/>
                <w:sz w:val="21"/>
                <w:szCs w:val="21"/>
                <w:lang w:eastAsia="zh-CN"/>
              </w:rPr>
            </w:pPr>
            <w:r>
              <w:rPr>
                <w:rFonts w:hint="eastAsia" w:ascii="宋体" w:hAnsi="宋体" w:eastAsia="宋体" w:cs="宋体"/>
                <w:color w:val="000000"/>
                <w:sz w:val="21"/>
                <w:szCs w:val="21"/>
              </w:rPr>
              <w:t>材质：PVC板底层，高清油画布，裱6cm宽实木画框</w:t>
            </w:r>
            <w:r>
              <w:rPr>
                <w:rFonts w:hint="eastAsia" w:ascii="宋体" w:hAnsi="宋体" w:cs="宋体"/>
                <w:color w:val="000000"/>
                <w:sz w:val="21"/>
                <w:szCs w:val="21"/>
                <w:lang w:eastAsia="zh-CN"/>
              </w:rPr>
              <w:t>；</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4、装好画面后二次拆除更换画面。</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2</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上墙制度宣传牌</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幅</w:t>
            </w:r>
          </w:p>
        </w:tc>
        <w:tc>
          <w:tcPr>
            <w:tcW w:w="3791" w:type="dxa"/>
            <w:noWrap w:val="0"/>
            <w:vAlign w:val="center"/>
          </w:tcPr>
          <w:p>
            <w:pPr>
              <w:numPr>
                <w:ilvl w:val="0"/>
                <w:numId w:val="27"/>
              </w:numPr>
              <w:rPr>
                <w:rFonts w:hint="eastAsia" w:ascii="宋体" w:hAnsi="宋体" w:cs="宋体"/>
                <w:color w:val="000000"/>
                <w:sz w:val="21"/>
                <w:szCs w:val="21"/>
                <w:lang w:eastAsia="zh-CN"/>
              </w:rPr>
            </w:pPr>
            <w:r>
              <w:rPr>
                <w:rFonts w:hint="eastAsia" w:ascii="宋体" w:hAnsi="宋体" w:eastAsia="宋体" w:cs="宋体"/>
                <w:color w:val="000000"/>
                <w:sz w:val="21"/>
                <w:szCs w:val="21"/>
              </w:rPr>
              <w:t>规格：55cm*80cm</w:t>
            </w:r>
            <w:r>
              <w:rPr>
                <w:rFonts w:hint="eastAsia" w:ascii="宋体" w:hAnsi="宋体" w:cs="宋体"/>
                <w:color w:val="000000"/>
                <w:sz w:val="21"/>
                <w:szCs w:val="21"/>
                <w:lang w:eastAsia="zh-CN"/>
              </w:rPr>
              <w:t>；</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2、材质：双层水晶板，UV写真</w:t>
            </w:r>
            <w:r>
              <w:rPr>
                <w:rFonts w:hint="eastAsia" w:ascii="宋体" w:hAnsi="宋体" w:cs="宋体"/>
                <w:color w:val="000000"/>
                <w:sz w:val="21"/>
                <w:szCs w:val="21"/>
                <w:lang w:eastAsia="zh-CN"/>
              </w:rPr>
              <w:t>。</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3</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公告栏/会议室外</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个</w:t>
            </w:r>
          </w:p>
        </w:tc>
        <w:tc>
          <w:tcPr>
            <w:tcW w:w="3791" w:type="dxa"/>
            <w:noWrap w:val="0"/>
            <w:vAlign w:val="center"/>
          </w:tcPr>
          <w:p>
            <w:pPr>
              <w:numPr>
                <w:ilvl w:val="0"/>
                <w:numId w:val="28"/>
              </w:numPr>
              <w:rPr>
                <w:rFonts w:hint="eastAsia" w:ascii="宋体" w:hAnsi="宋体" w:eastAsia="宋体" w:cs="宋体"/>
                <w:sz w:val="21"/>
                <w:szCs w:val="21"/>
              </w:rPr>
            </w:pPr>
            <w:r>
              <w:rPr>
                <w:rFonts w:hint="eastAsia" w:ascii="宋体" w:hAnsi="宋体" w:eastAsia="宋体" w:cs="宋体"/>
                <w:sz w:val="21"/>
                <w:szCs w:val="21"/>
              </w:rPr>
              <w:t>规格：2.2m*1.2m；</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sz w:val="21"/>
                <w:szCs w:val="21"/>
              </w:rPr>
              <w:t>2、亚克力板基层，亚克力卡槽</w:t>
            </w:r>
            <w:r>
              <w:rPr>
                <w:rFonts w:hint="eastAsia" w:ascii="宋体" w:hAnsi="宋体" w:cs="宋体"/>
                <w:sz w:val="21"/>
                <w:szCs w:val="21"/>
                <w:lang w:eastAsia="zh-CN"/>
              </w:rPr>
              <w:t>。</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4</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窗帘</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m</w:t>
            </w:r>
          </w:p>
        </w:tc>
        <w:tc>
          <w:tcPr>
            <w:tcW w:w="3791" w:type="dxa"/>
            <w:noWrap w:val="0"/>
            <w:vAlign w:val="center"/>
          </w:tcPr>
          <w:p>
            <w:pPr>
              <w:numPr>
                <w:ilvl w:val="0"/>
                <w:numId w:val="29"/>
              </w:numPr>
              <w:rPr>
                <w:rFonts w:hint="eastAsia" w:ascii="宋体" w:hAnsi="宋体" w:eastAsia="宋体" w:cs="宋体"/>
                <w:sz w:val="21"/>
                <w:szCs w:val="21"/>
              </w:rPr>
            </w:pPr>
            <w:r>
              <w:rPr>
                <w:rFonts w:hint="eastAsia" w:ascii="宋体" w:hAnsi="宋体" w:eastAsia="宋体" w:cs="宋体"/>
                <w:sz w:val="21"/>
                <w:szCs w:val="21"/>
              </w:rPr>
              <w:t>规格：3.5宽*2倍*2个窗；</w:t>
            </w:r>
          </w:p>
          <w:p>
            <w:pPr>
              <w:numPr>
                <w:ilvl w:val="0"/>
                <w:numId w:val="0"/>
              </w:numPr>
              <w:rPr>
                <w:rFonts w:hint="eastAsia" w:ascii="宋体" w:hAnsi="宋体" w:eastAsia="宋体" w:cs="宋体"/>
                <w:color w:val="000000"/>
                <w:sz w:val="21"/>
                <w:szCs w:val="21"/>
              </w:rPr>
            </w:pPr>
            <w:r>
              <w:rPr>
                <w:rFonts w:hint="eastAsia" w:ascii="宋体" w:hAnsi="宋体" w:eastAsia="宋体" w:cs="宋体"/>
                <w:sz w:val="21"/>
                <w:szCs w:val="21"/>
              </w:rPr>
              <w:t>2、材质：窗纱、遮光窗帘。</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5</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铲除原有腻子，墙面防水</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处理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rPr>
                <w:rFonts w:hint="eastAsia" w:ascii="宋体" w:hAnsi="宋体" w:eastAsia="宋体" w:cs="宋体"/>
                <w:color w:val="000000"/>
                <w:sz w:val="21"/>
                <w:szCs w:val="21"/>
              </w:rPr>
            </w:pPr>
            <w:r>
              <w:rPr>
                <w:rFonts w:hint="eastAsia" w:ascii="宋体" w:hAnsi="宋体" w:eastAsia="宋体" w:cs="宋体"/>
                <w:sz w:val="21"/>
                <w:szCs w:val="21"/>
              </w:rPr>
              <w:t>铲除原有墙面腻子，做防水处理，约35平方。</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6</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修补腻子，重新油油漆/零星</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rPr>
                <w:rFonts w:hint="eastAsia" w:ascii="宋体" w:hAnsi="宋体" w:eastAsia="宋体" w:cs="宋体"/>
                <w:color w:val="000000"/>
                <w:sz w:val="21"/>
                <w:szCs w:val="21"/>
              </w:rPr>
            </w:pPr>
            <w:r>
              <w:rPr>
                <w:rFonts w:hint="eastAsia" w:ascii="宋体" w:hAnsi="宋体" w:eastAsia="宋体" w:cs="宋体"/>
                <w:sz w:val="21"/>
                <w:szCs w:val="21"/>
              </w:rPr>
              <w:t>新刮腻子及环保墙面漆。（含会议室公告栏位置、办公室位置、小会议室休息间）。规格：约220平方。</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会议桌椅保养服务</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会议桌1张，椅子24个。</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8</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修补会议桌面玻璃/异形</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30"/>
              </w:numPr>
              <w:rPr>
                <w:rFonts w:hint="eastAsia" w:ascii="宋体" w:hAnsi="宋体" w:eastAsia="宋体" w:cs="宋体"/>
                <w:color w:val="000000"/>
                <w:sz w:val="21"/>
                <w:szCs w:val="21"/>
              </w:rPr>
            </w:pPr>
            <w:r>
              <w:rPr>
                <w:rFonts w:hint="eastAsia" w:ascii="宋体" w:hAnsi="宋体" w:eastAsia="宋体" w:cs="宋体"/>
                <w:color w:val="000000"/>
                <w:sz w:val="21"/>
                <w:szCs w:val="21"/>
              </w:rPr>
              <w:t>规格：3600mm*700mm；</w:t>
            </w:r>
          </w:p>
          <w:p>
            <w:pPr>
              <w:numPr>
                <w:ilvl w:val="0"/>
                <w:numId w:val="30"/>
              </w:numPr>
              <w:ind w:left="0" w:leftChars="0" w:firstLine="0" w:firstLineChars="0"/>
              <w:rPr>
                <w:rFonts w:hint="eastAsia" w:ascii="宋体" w:hAnsi="宋体" w:cs="宋体"/>
                <w:color w:val="000000"/>
                <w:sz w:val="21"/>
                <w:szCs w:val="21"/>
                <w:lang w:eastAsia="zh-CN"/>
              </w:rPr>
            </w:pPr>
            <w:r>
              <w:rPr>
                <w:rFonts w:hint="eastAsia" w:ascii="宋体" w:hAnsi="宋体" w:eastAsia="宋体" w:cs="宋体"/>
                <w:color w:val="000000"/>
                <w:sz w:val="21"/>
                <w:szCs w:val="21"/>
              </w:rPr>
              <w:t>材质：木龙骨支架，10mm磨砂玻璃</w:t>
            </w:r>
            <w:r>
              <w:rPr>
                <w:rFonts w:hint="eastAsia" w:ascii="宋体" w:hAnsi="宋体" w:cs="宋体"/>
                <w:color w:val="000000"/>
                <w:sz w:val="21"/>
                <w:szCs w:val="21"/>
                <w:lang w:eastAsia="zh-CN"/>
              </w:rPr>
              <w:t>；</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3、5mm板1:1放样；</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4、清理原有桌面。</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9</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清理地板贴胶及卫生</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清理人工及辅材</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10</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拆除原有音响，电线线槽</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改造</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rPr>
                <w:rFonts w:hint="eastAsia" w:ascii="宋体" w:hAnsi="宋体" w:eastAsia="宋体" w:cs="宋体"/>
                <w:color w:val="000000"/>
                <w:sz w:val="21"/>
                <w:szCs w:val="21"/>
              </w:rPr>
            </w:pPr>
            <w:r>
              <w:rPr>
                <w:rFonts w:hint="eastAsia" w:ascii="宋体" w:hAnsi="宋体" w:eastAsia="宋体" w:cs="宋体"/>
                <w:sz w:val="21"/>
                <w:szCs w:val="21"/>
              </w:rPr>
              <w:t>拆除人工及辅材</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11</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LED射灯（公告栏位置）</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套</w:t>
            </w:r>
          </w:p>
        </w:tc>
        <w:tc>
          <w:tcPr>
            <w:tcW w:w="3791" w:type="dxa"/>
            <w:noWrap w:val="0"/>
            <w:vAlign w:val="center"/>
          </w:tcPr>
          <w:p>
            <w:pPr>
              <w:numPr>
                <w:ilvl w:val="0"/>
                <w:numId w:val="31"/>
              </w:numPr>
              <w:rPr>
                <w:rFonts w:hint="eastAsia" w:ascii="宋体" w:hAnsi="宋体" w:cs="宋体"/>
                <w:sz w:val="21"/>
                <w:szCs w:val="21"/>
                <w:lang w:eastAsia="zh-CN"/>
              </w:rPr>
            </w:pPr>
            <w:r>
              <w:rPr>
                <w:rFonts w:hint="eastAsia" w:ascii="宋体" w:hAnsi="宋体" w:eastAsia="宋体" w:cs="宋体"/>
                <w:sz w:val="21"/>
                <w:szCs w:val="21"/>
              </w:rPr>
              <w:t>规格：18W，2.5寸</w:t>
            </w:r>
            <w:r>
              <w:rPr>
                <w:rFonts w:hint="eastAsia" w:ascii="宋体" w:hAnsi="宋体" w:cs="宋体"/>
                <w:sz w:val="21"/>
                <w:szCs w:val="21"/>
                <w:lang w:eastAsia="zh-CN"/>
              </w:rPr>
              <w:t>；</w:t>
            </w:r>
          </w:p>
          <w:p>
            <w:pPr>
              <w:numPr>
                <w:ilvl w:val="0"/>
                <w:numId w:val="0"/>
              </w:numPr>
              <w:rPr>
                <w:rFonts w:hint="eastAsia" w:ascii="宋体" w:hAnsi="宋体" w:eastAsia="宋体" w:cs="宋体"/>
                <w:color w:val="000000"/>
                <w:sz w:val="21"/>
                <w:szCs w:val="21"/>
              </w:rPr>
            </w:pPr>
            <w:r>
              <w:rPr>
                <w:rFonts w:hint="eastAsia" w:ascii="宋体" w:hAnsi="宋体" w:eastAsia="宋体" w:cs="宋体"/>
                <w:sz w:val="21"/>
                <w:szCs w:val="21"/>
              </w:rPr>
              <w:t>2、含线路整改及开关。</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12</w:t>
            </w:r>
          </w:p>
        </w:tc>
        <w:tc>
          <w:tcPr>
            <w:tcW w:w="2777"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整体安装调试</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0"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项</w:t>
            </w:r>
          </w:p>
        </w:tc>
        <w:tc>
          <w:tcPr>
            <w:tcW w:w="3791" w:type="dxa"/>
            <w:noWrap w:val="0"/>
            <w:vAlign w:val="center"/>
          </w:tcPr>
          <w:p>
            <w:pPr>
              <w:numPr>
                <w:ilvl w:val="0"/>
                <w:numId w:val="32"/>
              </w:numPr>
              <w:rPr>
                <w:rFonts w:hint="eastAsia" w:ascii="宋体" w:hAnsi="宋体" w:eastAsia="宋体" w:cs="宋体"/>
                <w:sz w:val="21"/>
                <w:szCs w:val="21"/>
              </w:rPr>
            </w:pPr>
            <w:r>
              <w:rPr>
                <w:rFonts w:hint="eastAsia" w:ascii="宋体" w:hAnsi="宋体" w:eastAsia="宋体" w:cs="宋体"/>
                <w:sz w:val="21"/>
                <w:szCs w:val="21"/>
              </w:rPr>
              <w:t>指导或负责组织安装施工，解决安装过程中的各种技术疑难问题；</w:t>
            </w:r>
          </w:p>
          <w:p>
            <w:pPr>
              <w:numPr>
                <w:ilvl w:val="0"/>
                <w:numId w:val="32"/>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监督和检查产品安装的质量，确保质量达到规定的技术标准；</w:t>
            </w:r>
          </w:p>
          <w:p>
            <w:pPr>
              <w:numPr>
                <w:ilvl w:val="0"/>
                <w:numId w:val="32"/>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指导或负责进行产品调试，处理产品调试过程中发生的各种异常现象；</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sz w:val="21"/>
                <w:szCs w:val="21"/>
              </w:rPr>
              <w:t>4、确保产品成功并正常投入使用。</w:t>
            </w:r>
          </w:p>
        </w:tc>
        <w:tc>
          <w:tcPr>
            <w:tcW w:w="829" w:type="dxa"/>
            <w:noWrap w:val="0"/>
            <w:vAlign w:val="center"/>
          </w:tcPr>
          <w:p>
            <w:pPr>
              <w:keepNext w:val="0"/>
              <w:keepLines w:val="0"/>
              <w:pageBreakBefore w:val="0"/>
              <w:kinsoku/>
              <w:wordWrap/>
              <w:overflowPunct/>
              <w:topLinePunct w:val="0"/>
              <w:autoSpaceDE/>
              <w:autoSpaceDN/>
              <w:bidi w:val="0"/>
              <w:adjustRightInd/>
              <w:snapToGrid/>
              <w:spacing w:before="18" w:beforeLines="5" w:after="18" w:afterLines="5" w:line="400" w:lineRule="exact"/>
              <w:jc w:val="center"/>
              <w:rPr>
                <w:rFonts w:hint="eastAsia" w:ascii="宋体" w:hAnsi="宋体" w:eastAsia="宋体" w:cs="宋体"/>
                <w:color w:val="auto"/>
                <w:sz w:val="21"/>
                <w:szCs w:val="21"/>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8" w:beforeLines="5" w:after="18" w:afterLines="5" w:line="380" w:lineRule="exact"/>
        <w:ind w:firstLine="422" w:firstLineChars="200"/>
        <w:textAlignment w:val="auto"/>
        <w:rPr>
          <w:rFonts w:hint="eastAsia" w:ascii="宋体" w:hAnsi="宋体" w:eastAsia="宋体" w:cs="宋体"/>
          <w:b w:val="0"/>
          <w:bCs/>
          <w:lang w:val="en-US" w:eastAsia="zh-CN"/>
        </w:rPr>
      </w:pPr>
      <w:r>
        <w:rPr>
          <w:rFonts w:hint="eastAsia" w:ascii="宋体" w:hAnsi="宋体" w:cs="宋体"/>
          <w:b/>
          <w:bCs/>
          <w:lang w:val="en-US" w:eastAsia="zh-CN"/>
        </w:rPr>
        <w:t>二、</w:t>
      </w:r>
      <w:r>
        <w:rPr>
          <w:rFonts w:hint="eastAsia" w:ascii="宋体" w:hAnsi="宋体" w:eastAsia="宋体" w:cs="宋体"/>
          <w:b/>
          <w:bCs/>
          <w:lang w:val="en-US" w:eastAsia="zh-CN"/>
        </w:rPr>
        <w:t>其他</w:t>
      </w:r>
      <w:r>
        <w:rPr>
          <w:rFonts w:hint="eastAsia" w:ascii="宋体" w:hAnsi="宋体" w:eastAsia="宋体" w:cs="宋体"/>
          <w:b/>
          <w:bCs/>
        </w:rPr>
        <w:t>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8" w:beforeLines="5" w:after="18" w:afterLines="5" w:line="380" w:lineRule="exact"/>
        <w:ind w:leftChars="0"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lang w:val="en-US" w:eastAsia="zh-CN"/>
        </w:rPr>
        <w:t>▲1、供应商需</w:t>
      </w:r>
      <w:r>
        <w:rPr>
          <w:rFonts w:hint="eastAsia" w:ascii="宋体" w:hAnsi="宋体" w:eastAsia="宋体" w:cs="宋体"/>
          <w:b w:val="0"/>
          <w:bCs w:val="0"/>
          <w:color w:val="auto"/>
          <w:lang w:val="en-US" w:eastAsia="zh-CN"/>
        </w:rPr>
        <w:t>在响应文件中提供设计方案，否则竞标无效。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8" w:beforeLines="5" w:after="18" w:afterLines="5" w:line="380" w:lineRule="exact"/>
        <w:ind w:leftChars="0" w:firstLine="420" w:firstLineChars="200"/>
        <w:textAlignment w:val="auto"/>
        <w:rPr>
          <w:rFonts w:hint="default" w:ascii="宋体" w:hAnsi="宋体" w:eastAsia="宋体" w:cs="宋体"/>
          <w:b w:val="0"/>
          <w:bCs w:val="0"/>
          <w:lang w:val="en-US" w:eastAsia="zh-CN"/>
        </w:rPr>
      </w:pPr>
      <w:r>
        <w:rPr>
          <w:rFonts w:hint="eastAsia" w:ascii="宋体" w:hAnsi="宋体" w:cs="宋体"/>
          <w:b w:val="0"/>
          <w:bCs w:val="0"/>
          <w:color w:val="auto"/>
          <w:lang w:val="en-US" w:eastAsia="zh-CN"/>
        </w:rPr>
        <w:t>2、服务</w:t>
      </w:r>
      <w:r>
        <w:rPr>
          <w:rFonts w:hint="eastAsia" w:ascii="宋体" w:hAnsi="宋体" w:eastAsia="宋体" w:cs="宋体"/>
          <w:b w:val="0"/>
          <w:bCs w:val="0"/>
          <w:color w:val="auto"/>
        </w:rPr>
        <w:t>时间：</w:t>
      </w:r>
      <w:r>
        <w:rPr>
          <w:rFonts w:hint="eastAsia" w:ascii="宋体" w:hAnsi="宋体" w:eastAsia="宋体" w:cs="宋体"/>
          <w:b w:val="0"/>
          <w:bCs w:val="0"/>
          <w:color w:val="auto"/>
          <w:lang w:val="en-US" w:eastAsia="zh-CN"/>
        </w:rPr>
        <w:t>自签订合同之日起</w:t>
      </w:r>
      <w:r>
        <w:rPr>
          <w:rFonts w:hint="eastAsia" w:ascii="宋体" w:hAnsi="宋体" w:cs="宋体"/>
          <w:b w:val="0"/>
          <w:bCs w:val="0"/>
          <w:color w:val="auto"/>
          <w:lang w:val="en-US" w:eastAsia="zh-CN"/>
        </w:rPr>
        <w:t>10</w:t>
      </w:r>
      <w:r>
        <w:rPr>
          <w:rFonts w:hint="eastAsia" w:ascii="宋体" w:hAnsi="宋体" w:eastAsia="宋体" w:cs="宋体"/>
          <w:b w:val="0"/>
          <w:bCs w:val="0"/>
          <w:color w:val="auto"/>
          <w:lang w:val="en-US" w:eastAsia="zh-CN"/>
        </w:rPr>
        <w:t>日内</w:t>
      </w:r>
      <w:r>
        <w:rPr>
          <w:rFonts w:hint="eastAsia" w:ascii="宋体" w:hAnsi="宋体" w:eastAsia="宋体" w:cs="宋体"/>
          <w:b w:val="0"/>
          <w:bCs w:val="0"/>
          <w:color w:val="auto"/>
        </w:rPr>
        <w:t>通过验收</w:t>
      </w:r>
      <w:r>
        <w:rPr>
          <w:rFonts w:hint="eastAsia" w:ascii="宋体" w:hAnsi="宋体" w:eastAsia="宋体" w:cs="宋体"/>
          <w:b w:val="0"/>
          <w:bCs w:val="0"/>
          <w:color w:val="auto"/>
          <w:lang w:val="en-US" w:eastAsia="zh-CN"/>
        </w:rPr>
        <w:t>并</w:t>
      </w:r>
      <w:r>
        <w:rPr>
          <w:rFonts w:hint="eastAsia" w:ascii="宋体" w:hAnsi="宋体" w:eastAsia="宋体" w:cs="宋体"/>
          <w:b w:val="0"/>
          <w:bCs w:val="0"/>
          <w:color w:val="auto"/>
        </w:rPr>
        <w:t>交付使用</w:t>
      </w:r>
      <w:r>
        <w:rPr>
          <w:rFonts w:hint="eastAsia" w:ascii="宋体" w:hAnsi="宋体" w:eastAsia="宋体" w:cs="宋体"/>
          <w:b w:val="0"/>
          <w:bCs w:val="0"/>
          <w:color w:val="auto"/>
          <w:lang w:eastAsia="zh-CN"/>
        </w:rPr>
        <w:t>。</w:t>
      </w:r>
      <w:r>
        <w:rPr>
          <w:rFonts w:hint="eastAsia" w:ascii="宋体" w:hAnsi="宋体" w:cs="宋体"/>
          <w:b w:val="0"/>
          <w:bCs w:val="0"/>
          <w:color w:val="auto"/>
          <w:lang w:val="en-US" w:eastAsia="zh-CN"/>
        </w:rPr>
        <w:t>服务</w:t>
      </w:r>
      <w:r>
        <w:rPr>
          <w:rFonts w:hint="eastAsia" w:ascii="宋体" w:hAnsi="宋体" w:cs="宋体"/>
          <w:b w:val="0"/>
          <w:bCs w:val="0"/>
          <w:lang w:val="en-US" w:eastAsia="zh-CN"/>
        </w:rPr>
        <w:t>地点</w:t>
      </w:r>
      <w:r>
        <w:rPr>
          <w:rFonts w:hint="eastAsia" w:ascii="宋体" w:hAnsi="宋体" w:eastAsia="宋体" w:cs="宋体"/>
          <w:b w:val="0"/>
          <w:bCs w:val="0"/>
        </w:rPr>
        <w:t>：</w:t>
      </w:r>
      <w:r>
        <w:rPr>
          <w:rFonts w:hint="eastAsia" w:ascii="宋体" w:hAnsi="宋体" w:cs="宋体"/>
          <w:b w:val="0"/>
          <w:bCs w:val="0"/>
          <w:lang w:val="en-US" w:eastAsia="zh-CN"/>
        </w:rPr>
        <w:t>广西玉林市采购人指定地点。</w:t>
      </w:r>
    </w:p>
    <w:p>
      <w:pPr>
        <w:keepNext w:val="0"/>
        <w:keepLines w:val="0"/>
        <w:pageBreakBefore w:val="0"/>
        <w:numPr>
          <w:ilvl w:val="0"/>
          <w:numId w:val="0"/>
        </w:numPr>
        <w:tabs>
          <w:tab w:val="left" w:pos="180"/>
          <w:tab w:val="left" w:pos="1620"/>
        </w:tabs>
        <w:kinsoku/>
        <w:wordWrap/>
        <w:overflowPunct/>
        <w:topLinePunct w:val="0"/>
        <w:autoSpaceDE/>
        <w:autoSpaceDN/>
        <w:bidi w:val="0"/>
        <w:adjustRightInd/>
        <w:snapToGrid/>
        <w:spacing w:before="18" w:beforeLines="5" w:after="18" w:afterLines="5" w:line="380" w:lineRule="exac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lang w:val="en-US" w:eastAsia="zh-CN"/>
        </w:rPr>
        <w:t>3、</w:t>
      </w:r>
      <w:r>
        <w:rPr>
          <w:rFonts w:hint="eastAsia" w:ascii="宋体" w:hAnsi="宋体" w:eastAsia="宋体" w:cs="宋体"/>
          <w:b w:val="0"/>
          <w:bCs w:val="0"/>
        </w:rPr>
        <w:t>付款方式</w:t>
      </w:r>
      <w:r>
        <w:rPr>
          <w:rFonts w:hint="eastAsia" w:ascii="宋体" w:hAnsi="宋体" w:cs="宋体"/>
          <w:b w:val="0"/>
          <w:bCs w:val="0"/>
          <w:lang w:eastAsia="zh-CN"/>
        </w:rPr>
        <w:t>：</w:t>
      </w:r>
      <w:r>
        <w:rPr>
          <w:rFonts w:hint="eastAsia" w:ascii="宋体" w:hAnsi="宋体" w:eastAsia="宋体" w:cs="宋体"/>
          <w:b w:val="0"/>
          <w:bCs w:val="0"/>
        </w:rPr>
        <w:t>付款方式：</w:t>
      </w:r>
      <w:r>
        <w:rPr>
          <w:rFonts w:hint="eastAsia" w:ascii="宋体" w:hAnsi="宋体" w:eastAsia="宋体" w:cs="宋体"/>
          <w:b w:val="0"/>
          <w:bCs w:val="0"/>
          <w:color w:val="auto"/>
          <w:sz w:val="21"/>
          <w:szCs w:val="21"/>
          <w:highlight w:val="none"/>
          <w:lang w:val="en-US" w:eastAsia="zh-CN"/>
        </w:rPr>
        <w:t>本项目无预付款，交付并验收合格后，由采购人凭成交人开具的有效发票于10日内支付合同价款总额100%款项。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before="18" w:beforeLines="5" w:after="18" w:afterLines="5" w:line="3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谈判小组根据与供应商谈判情况可能实质性变动的内容</w:t>
      </w:r>
      <w:r>
        <w:rPr>
          <w:rFonts w:hint="eastAsia" w:ascii="宋体" w:hAnsi="宋体" w:eastAsia="宋体" w:cs="宋体"/>
          <w:b/>
          <w:color w:val="auto"/>
          <w:sz w:val="21"/>
          <w:szCs w:val="21"/>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before="18" w:beforeLines="5" w:after="18" w:afterLines="5" w:line="3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1.未标注“</w:t>
      </w:r>
      <w:r>
        <w:rPr>
          <w:rFonts w:hint="eastAsia" w:ascii="宋体" w:hAnsi="宋体" w:eastAsia="宋体" w:cs="宋体"/>
          <w:color w:val="000000"/>
          <w:sz w:val="21"/>
          <w:szCs w:val="21"/>
        </w:rPr>
        <w:t>▲</w:t>
      </w:r>
      <w:r>
        <w:rPr>
          <w:rFonts w:hint="eastAsia" w:ascii="宋体" w:hAnsi="宋体" w:eastAsia="宋体" w:cs="宋体"/>
          <w:color w:val="auto"/>
          <w:sz w:val="21"/>
          <w:szCs w:val="21"/>
          <w:highlight w:val="none"/>
        </w:rPr>
        <w:t>”的内容。</w:t>
      </w:r>
    </w:p>
    <w:p>
      <w:pPr>
        <w:pStyle w:val="3"/>
        <w:numPr>
          <w:ilvl w:val="0"/>
          <w:numId w:val="0"/>
        </w:numPr>
        <w:spacing w:before="100" w:beforeAutospacing="1" w:after="100" w:afterAutospacing="1" w:line="480" w:lineRule="auto"/>
        <w:ind w:leftChars="0"/>
        <w:jc w:val="center"/>
        <w:rPr>
          <w:rFonts w:hint="eastAsia" w:ascii="宋体" w:hAnsi="宋体" w:eastAsia="宋体" w:cs="宋体"/>
          <w:color w:val="auto"/>
          <w:sz w:val="44"/>
          <w:szCs w:val="44"/>
        </w:rPr>
      </w:pPr>
      <w:bookmarkStart w:id="108" w:name="_Toc8902"/>
      <w:r>
        <w:rPr>
          <w:rFonts w:hint="eastAsia" w:ascii="宋体" w:hAnsi="宋体" w:cs="宋体"/>
          <w:color w:val="auto"/>
          <w:sz w:val="44"/>
          <w:szCs w:val="44"/>
          <w:lang w:val="en-US" w:eastAsia="zh-CN"/>
        </w:rPr>
        <w:t xml:space="preserve">第三章 </w:t>
      </w:r>
      <w:r>
        <w:rPr>
          <w:rFonts w:hint="eastAsia" w:ascii="宋体" w:hAnsi="宋体" w:eastAsia="宋体" w:cs="宋体"/>
          <w:color w:val="auto"/>
          <w:sz w:val="44"/>
          <w:szCs w:val="44"/>
        </w:rPr>
        <w:t>评标办法</w:t>
      </w:r>
      <w:bookmarkEnd w:id="82"/>
      <w:bookmarkEnd w:id="108"/>
    </w:p>
    <w:p>
      <w:pPr>
        <w:pStyle w:val="73"/>
        <w:numPr>
          <w:ilvl w:val="0"/>
          <w:numId w:val="6"/>
        </w:numPr>
        <w:spacing w:before="12" w:beforeLines="5" w:after="12" w:afterLines="5" w:line="360" w:lineRule="exact"/>
        <w:rPr>
          <w:rFonts w:ascii="宋体" w:hAnsi="宋体" w:cs="宋体"/>
          <w:b/>
          <w:szCs w:val="21"/>
        </w:rPr>
      </w:pPr>
      <w:bookmarkStart w:id="109" w:name="_Toc342313076"/>
      <w:r>
        <w:rPr>
          <w:rFonts w:hint="eastAsia" w:ascii="宋体" w:hAnsi="宋体" w:cs="宋体"/>
          <w:b/>
          <w:szCs w:val="21"/>
        </w:rPr>
        <w:t>评标原则</w:t>
      </w:r>
    </w:p>
    <w:p>
      <w:pPr>
        <w:spacing w:line="400" w:lineRule="exact"/>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谈判小组成员构成：本采购项目的谈判小组成员分别由依法组成的专家、采购单位代表共三人及以上单数构成，其中评审专家人数不少于谈判小组成员总数的三分之二。</w:t>
      </w:r>
    </w:p>
    <w:p>
      <w:pPr>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Cs/>
          <w:szCs w:val="21"/>
        </w:rPr>
        <w:t>评审依据：谈判小组以谈判文件、响应文件及谈判结果为评审依据。</w:t>
      </w:r>
    </w:p>
    <w:p>
      <w:pPr>
        <w:pStyle w:val="24"/>
        <w:spacing w:line="380" w:lineRule="exact"/>
        <w:rPr>
          <w:rFonts w:hAnsi="宋体"/>
          <w:b/>
          <w:bCs/>
          <w:color w:val="000000"/>
        </w:rPr>
      </w:pPr>
      <w:bookmarkStart w:id="110" w:name="_Toc2956503"/>
      <w:bookmarkStart w:id="111" w:name="_Toc2956557"/>
      <w:bookmarkStart w:id="112" w:name="_Toc492571387"/>
      <w:r>
        <w:rPr>
          <w:rFonts w:hint="eastAsia" w:hAnsi="宋体" w:cs="宋体"/>
          <w:b/>
          <w:bCs/>
          <w:szCs w:val="21"/>
        </w:rPr>
        <w:t>二、评审标准</w:t>
      </w:r>
      <w:bookmarkEnd w:id="110"/>
      <w:bookmarkEnd w:id="111"/>
      <w:bookmarkEnd w:id="112"/>
      <w:r>
        <w:rPr>
          <w:rFonts w:hint="eastAsia" w:hAnsi="宋体"/>
          <w:b/>
          <w:bCs/>
          <w:color w:val="000000"/>
        </w:rPr>
        <w:t xml:space="preserve">  </w:t>
      </w:r>
    </w:p>
    <w:p>
      <w:pPr>
        <w:pStyle w:val="24"/>
        <w:spacing w:line="380" w:lineRule="exact"/>
        <w:ind w:firstLine="420" w:firstLineChars="200"/>
        <w:rPr>
          <w:rFonts w:hAnsi="宋体" w:cs="宋体"/>
          <w:kern w:val="0"/>
        </w:rPr>
      </w:pPr>
      <w:r>
        <w:rPr>
          <w:rFonts w:hint="eastAsia" w:hAnsi="宋体" w:cs="宋体"/>
          <w:kern w:val="0"/>
        </w:rPr>
        <w:t>对资格性和符合性检查合格的竞争性谈判响应文件，采用</w:t>
      </w:r>
      <w:r>
        <w:rPr>
          <w:rFonts w:hint="eastAsia" w:hAnsi="宋体" w:cs="宋体"/>
          <w:b/>
          <w:kern w:val="0"/>
        </w:rPr>
        <w:t>最低评标价法</w:t>
      </w:r>
      <w:r>
        <w:rPr>
          <w:rFonts w:hint="eastAsia" w:hAnsi="宋体" w:cs="宋体"/>
          <w:kern w:val="0"/>
        </w:rPr>
        <w:t>进行评审。</w:t>
      </w:r>
    </w:p>
    <w:p>
      <w:pPr>
        <w:pStyle w:val="24"/>
        <w:spacing w:line="380" w:lineRule="exact"/>
        <w:rPr>
          <w:rFonts w:hAnsi="宋体" w:cs="宋体"/>
          <w:kern w:val="0"/>
        </w:rPr>
      </w:pPr>
      <w:r>
        <w:rPr>
          <w:rFonts w:hint="eastAsia" w:hAnsi="宋体" w:cs="宋体"/>
          <w:kern w:val="0"/>
        </w:rPr>
        <w:t xml:space="preserve">    谈判小组将以</w:t>
      </w:r>
      <w:r>
        <w:rPr>
          <w:rFonts w:hint="eastAsia" w:hAnsi="宋体"/>
        </w:rPr>
        <w:t>竞争性</w:t>
      </w:r>
      <w:r>
        <w:rPr>
          <w:rFonts w:hint="eastAsia" w:hAnsi="宋体" w:cs="宋体"/>
          <w:kern w:val="0"/>
        </w:rPr>
        <w:t>谈判文件、竞争性谈判响应文件为评审依据，在质量和服务均能满足</w:t>
      </w:r>
      <w:r>
        <w:rPr>
          <w:rFonts w:hint="eastAsia" w:hAnsi="宋体"/>
        </w:rPr>
        <w:t>竞争性</w:t>
      </w:r>
      <w:r>
        <w:rPr>
          <w:rFonts w:hint="eastAsia" w:hAnsi="宋体" w:cs="宋体"/>
          <w:kern w:val="0"/>
        </w:rPr>
        <w:t>谈判文件实质性响应要求的供应商中，以提出最后报价（价格扣除后）最低的供应商作为成交供应商。该价格扣除后的报价仅用于评审排序，不作为合同签订价，合同按谈判供应商实际提出的最后报价签订。</w:t>
      </w:r>
    </w:p>
    <w:p>
      <w:pPr>
        <w:pStyle w:val="24"/>
        <w:spacing w:line="380" w:lineRule="exact"/>
      </w:pPr>
      <w:r>
        <w:rPr>
          <w:rFonts w:hint="eastAsia" w:hAnsi="宋体" w:cs="宋体"/>
          <w:kern w:val="0"/>
        </w:rPr>
        <w:t xml:space="preserve">   </w:t>
      </w:r>
      <w:r>
        <w:rPr>
          <w:rFonts w:hint="eastAsia"/>
        </w:rPr>
        <w:t>按《政府采购促进中小企业发展暂行办法》（财库〔</w:t>
      </w:r>
      <w:r>
        <w:t>2011</w:t>
      </w:r>
      <w:r>
        <w:rPr>
          <w:rFonts w:hint="eastAsia"/>
        </w:rPr>
        <w:t>〕</w:t>
      </w:r>
      <w:r>
        <w:t>181</w:t>
      </w:r>
      <w:r>
        <w:rPr>
          <w:rFonts w:hint="eastAsia"/>
        </w:rPr>
        <w:t>号）认定为小型和微型企业</w:t>
      </w:r>
      <w:r>
        <w:rPr>
          <w:rFonts w:hint="eastAsia"/>
          <w:lang w:val="en-US" w:eastAsia="zh-CN"/>
        </w:rPr>
        <w:t>，</w:t>
      </w:r>
      <w:r>
        <w:rPr>
          <w:rFonts w:hint="eastAsia"/>
        </w:rPr>
        <w:t>提供《中小企业声明函》的，对其</w:t>
      </w:r>
      <w:r>
        <w:rPr>
          <w:rFonts w:hint="eastAsia"/>
          <w:b/>
        </w:rPr>
        <w:t>最后报价</w:t>
      </w:r>
      <w:r>
        <w:rPr>
          <w:rFonts w:hint="eastAsia"/>
        </w:rPr>
        <w:t>给予</w:t>
      </w:r>
      <w:r>
        <w:rPr>
          <w:rFonts w:hint="eastAsia"/>
          <w:lang w:val="en-US" w:eastAsia="zh-CN"/>
        </w:rPr>
        <w:t>10</w:t>
      </w:r>
      <w:r>
        <w:t>%</w:t>
      </w:r>
      <w:r>
        <w:rPr>
          <w:rFonts w:hint="eastAsia"/>
        </w:rPr>
        <w:t>的扣除；大中型企业与小型、微型企业组成联合体进行谈判，其中小型、微型企业的协议合同金额占到联合体协议合同总金额</w:t>
      </w:r>
      <w:r>
        <w:t>30%</w:t>
      </w:r>
      <w:r>
        <w:rPr>
          <w:rFonts w:hint="eastAsia"/>
        </w:rPr>
        <w:t>以上的，对联合体</w:t>
      </w:r>
      <w:r>
        <w:rPr>
          <w:rFonts w:hint="eastAsia"/>
          <w:b/>
        </w:rPr>
        <w:t>最后报价</w:t>
      </w:r>
      <w:r>
        <w:rPr>
          <w:rFonts w:hint="eastAsia"/>
        </w:rPr>
        <w:t>给予</w:t>
      </w:r>
      <w:r>
        <w:t>2%</w:t>
      </w:r>
      <w:r>
        <w:rPr>
          <w:rFonts w:hint="eastAsia"/>
        </w:rPr>
        <w:t>的扣除。</w:t>
      </w:r>
    </w:p>
    <w:p>
      <w:pPr>
        <w:pStyle w:val="24"/>
        <w:spacing w:line="380" w:lineRule="exact"/>
        <w:ind w:firstLine="420"/>
      </w:pPr>
      <w:r>
        <w:rPr>
          <w:rFonts w:hint="eastAsia"/>
        </w:rPr>
        <w:t>按《</w:t>
      </w:r>
      <w:r>
        <w:t>关于政府采购支持监狱企业发展有关问题的通知</w:t>
      </w:r>
      <w:r>
        <w:rPr>
          <w:rFonts w:hint="eastAsia"/>
        </w:rPr>
        <w:t>》(</w:t>
      </w:r>
      <w:r>
        <w:t>财库</w:t>
      </w:r>
      <w:r>
        <w:rPr>
          <w:rFonts w:hint="eastAsia"/>
        </w:rPr>
        <w:t>〔</w:t>
      </w:r>
      <w:r>
        <w:t>2014</w:t>
      </w:r>
      <w:r>
        <w:rPr>
          <w:rFonts w:hint="eastAsia"/>
        </w:rPr>
        <w:t>〕</w:t>
      </w:r>
      <w:r>
        <w:t>68号</w:t>
      </w:r>
      <w:r>
        <w:rPr>
          <w:rFonts w:hint="eastAsia"/>
        </w:rPr>
        <w:t>)认定为</w:t>
      </w:r>
      <w:r>
        <w:t>监狱企业</w:t>
      </w:r>
      <w:r>
        <w:rPr>
          <w:rFonts w:hint="eastAsia"/>
        </w:rPr>
        <w:t>的，</w:t>
      </w:r>
      <w:r>
        <w:t>在政府采购活动中，监狱企业视同小型、微型企业。监狱企业参加政府采购活动时，应当提供由省级以上监狱管理局、戒毒管理局(含新疆生产建设兵团)出具的属于监狱企业的证明文件。</w:t>
      </w:r>
    </w:p>
    <w:p>
      <w:pPr>
        <w:pStyle w:val="24"/>
        <w:spacing w:line="380" w:lineRule="exact"/>
        <w:ind w:firstLine="420"/>
        <w:rPr>
          <w:rFonts w:hAnsi="宋体" w:cs="宋体"/>
          <w:b/>
          <w:bCs/>
          <w:szCs w:val="21"/>
        </w:rPr>
      </w:pPr>
      <w:r>
        <w:rPr>
          <w:rFonts w:hint="eastAsia"/>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pPr>
        <w:pStyle w:val="24"/>
        <w:numPr>
          <w:ilvl w:val="0"/>
          <w:numId w:val="33"/>
        </w:numPr>
        <w:tabs>
          <w:tab w:val="left" w:pos="4214"/>
        </w:tabs>
        <w:spacing w:line="400" w:lineRule="exact"/>
        <w:ind w:firstLine="422" w:firstLineChars="200"/>
        <w:rPr>
          <w:b/>
        </w:rPr>
      </w:pPr>
      <w:r>
        <w:rPr>
          <w:rFonts w:hint="eastAsia"/>
          <w:b/>
        </w:rPr>
        <w:t>成交候选人推荐原则</w:t>
      </w:r>
    </w:p>
    <w:p>
      <w:pPr>
        <w:pStyle w:val="24"/>
        <w:spacing w:line="380" w:lineRule="exact"/>
        <w:rPr>
          <w:rFonts w:ascii="宋体" w:hAnsi="宋体" w:cs="宋体"/>
        </w:rPr>
      </w:pPr>
      <w:r>
        <w:rPr>
          <w:rFonts w:hint="eastAsia"/>
          <w:b/>
        </w:rPr>
        <w:t xml:space="preserve"> </w:t>
      </w:r>
      <w:r>
        <w:rPr>
          <w:rFonts w:hint="eastAsia"/>
          <w:b/>
          <w:lang w:val="en-US" w:eastAsia="zh-CN"/>
        </w:rPr>
        <w:t xml:space="preserve">   </w:t>
      </w:r>
      <w:r>
        <w:rPr>
          <w:rFonts w:hint="eastAsia" w:ascii="Times New Roman" w:hAnsi="Times New Roman"/>
        </w:rPr>
        <w:t>竞争性谈判响应文件</w:t>
      </w:r>
      <w:r>
        <w:rPr>
          <w:rFonts w:hint="eastAsia"/>
        </w:rPr>
        <w:t>在</w:t>
      </w:r>
      <w:r>
        <w:rPr>
          <w:rFonts w:hint="eastAsia" w:hAnsi="宋体" w:cs="宋体"/>
          <w:kern w:val="0"/>
        </w:rPr>
        <w:t>质量和服务均能满足</w:t>
      </w:r>
      <w:r>
        <w:rPr>
          <w:rFonts w:hint="eastAsia" w:hAnsi="宋体"/>
        </w:rPr>
        <w:t>竞争性</w:t>
      </w:r>
      <w:r>
        <w:rPr>
          <w:rFonts w:hint="eastAsia" w:hAnsi="宋体" w:cs="宋体"/>
          <w:kern w:val="0"/>
        </w:rPr>
        <w:t>谈判文件实质性响应要求时</w:t>
      </w:r>
      <w:r>
        <w:rPr>
          <w:rFonts w:hint="eastAsia" w:ascii="Times New Roman" w:hAnsi="Times New Roman"/>
          <w:bCs/>
        </w:rPr>
        <w:t>，谈判小组将按最后报价（价格扣除后）由低到高</w:t>
      </w:r>
      <w:r>
        <w:rPr>
          <w:rFonts w:hint="eastAsia" w:ascii="宋体" w:hAnsi="宋体" w:eastAsia="宋体" w:cs="宋体"/>
          <w:bCs/>
        </w:rPr>
        <w:t>顺序推荐3名以上成交候选人（最后报价相同时，由谈判小组根据响应文件中技术、服务、合同条款情况、项目</w:t>
      </w:r>
      <w:r>
        <w:rPr>
          <w:rFonts w:hint="eastAsia" w:hAnsi="宋体" w:cs="宋体"/>
          <w:bCs/>
          <w:lang w:val="en-US" w:eastAsia="zh-CN"/>
        </w:rPr>
        <w:t>设计</w:t>
      </w:r>
      <w:r>
        <w:rPr>
          <w:rFonts w:hint="eastAsia" w:ascii="宋体" w:hAnsi="宋体" w:eastAsia="宋体" w:cs="宋体"/>
          <w:bCs/>
        </w:rPr>
        <w:t>方案确定排序，并</w:t>
      </w:r>
      <w:r>
        <w:rPr>
          <w:rFonts w:hint="eastAsia" w:ascii="Times New Roman" w:hAnsi="Times New Roman"/>
          <w:bCs/>
        </w:rPr>
        <w:t>按确定排序由低到高的原则推荐成交候选人）。采购人应当确定谈判小组推荐排名第一的成交候选人为成交</w:t>
      </w:r>
      <w:r>
        <w:rPr>
          <w:rFonts w:hint="eastAsia"/>
          <w:bCs/>
        </w:rPr>
        <w:t>供应商</w:t>
      </w:r>
      <w:r>
        <w:rPr>
          <w:rFonts w:hint="eastAsia" w:ascii="Times New Roman" w:hAnsi="Times New Roman"/>
          <w:bCs/>
        </w:rPr>
        <w:t>。排名第一的成交候选人</w:t>
      </w:r>
      <w:r>
        <w:rPr>
          <w:rFonts w:hint="eastAsia" w:hAnsi="宋体" w:cs="宋体"/>
          <w:kern w:val="0"/>
        </w:rPr>
        <w:t>拒绝签订政府采购合同的</w:t>
      </w:r>
      <w:r>
        <w:rPr>
          <w:rFonts w:hint="eastAsia" w:ascii="Times New Roman" w:hAnsi="Times New Roman"/>
          <w:bCs/>
        </w:rPr>
        <w:t>，采购人可以确定排名第二的成交候选人为成交</w:t>
      </w:r>
      <w:r>
        <w:rPr>
          <w:rFonts w:hint="eastAsia"/>
          <w:bCs/>
        </w:rPr>
        <w:t>供应商</w:t>
      </w:r>
      <w:r>
        <w:rPr>
          <w:rFonts w:hint="eastAsia" w:ascii="Times New Roman" w:hAnsi="Times New Roman"/>
          <w:bCs/>
        </w:rPr>
        <w:t>。排名第二的成交候选人因前款规定的同样原因不能签订合同的，采购人可以确定排名第三的成交候选人为成交</w:t>
      </w:r>
      <w:r>
        <w:rPr>
          <w:rFonts w:hint="eastAsia"/>
          <w:bCs/>
        </w:rPr>
        <w:t>供应商</w:t>
      </w:r>
      <w:r>
        <w:rPr>
          <w:rFonts w:hint="eastAsia" w:ascii="Times New Roman" w:hAnsi="Times New Roman"/>
          <w:bCs/>
        </w:rPr>
        <w:t>，其余以此类推。采购人也可以决定重新采购。</w:t>
      </w:r>
      <w:r>
        <w:rPr>
          <w:rFonts w:hint="eastAsia" w:hAnsi="宋体"/>
        </w:rPr>
        <w:t>对采购过程、成交结果提出的质疑</w:t>
      </w:r>
      <w:r>
        <w:rPr>
          <w:rFonts w:hAnsi="宋体"/>
        </w:rPr>
        <w:t>成立</w:t>
      </w:r>
      <w:r>
        <w:rPr>
          <w:rFonts w:hint="eastAsia" w:hAnsi="宋体"/>
        </w:rPr>
        <w:t>后取消成交资格，合格供应商符合法定数量时，可以从合格的成交候选人中另行确定成交供应商的，应当依法另行确定成交供应商，否则应当重新开展采购活动。</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3"/>
        <w:numPr>
          <w:ilvl w:val="0"/>
          <w:numId w:val="0"/>
        </w:numPr>
        <w:spacing w:before="100" w:beforeAutospacing="1" w:after="100" w:afterAutospacing="1"/>
        <w:ind w:leftChars="0"/>
        <w:jc w:val="center"/>
        <w:rPr>
          <w:rFonts w:hint="eastAsia" w:ascii="宋体" w:hAnsi="宋体" w:eastAsia="宋体" w:cs="宋体"/>
          <w:color w:val="auto"/>
          <w:sz w:val="44"/>
          <w:szCs w:val="44"/>
        </w:rPr>
      </w:pPr>
      <w:bookmarkStart w:id="113" w:name="_Toc27206"/>
      <w:r>
        <w:rPr>
          <w:rFonts w:hint="eastAsia" w:ascii="宋体" w:hAnsi="宋体" w:cs="宋体"/>
          <w:color w:val="auto"/>
          <w:sz w:val="44"/>
          <w:szCs w:val="44"/>
          <w:lang w:val="en-US" w:eastAsia="zh-CN"/>
        </w:rPr>
        <w:t xml:space="preserve">第四章  </w:t>
      </w:r>
      <w:r>
        <w:rPr>
          <w:rFonts w:hint="eastAsia" w:ascii="宋体" w:hAnsi="宋体" w:eastAsia="宋体" w:cs="宋体"/>
          <w:color w:val="auto"/>
          <w:sz w:val="44"/>
          <w:szCs w:val="44"/>
        </w:rPr>
        <w:t>合同主要条款格式</w:t>
      </w:r>
      <w:bookmarkEnd w:id="113"/>
    </w:p>
    <w:p>
      <w:pPr>
        <w:snapToGrid w:val="0"/>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广西壮族自治区政府采购合同（格式）</w:t>
      </w:r>
    </w:p>
    <w:p>
      <w:pPr>
        <w:snapToGrid w:val="0"/>
        <w:spacing w:line="400" w:lineRule="exact"/>
        <w:jc w:val="center"/>
        <w:rPr>
          <w:rFonts w:hint="eastAsia" w:ascii="宋体" w:hAnsi="宋体" w:eastAsia="宋体" w:cs="宋体"/>
          <w:bCs/>
          <w:color w:val="auto"/>
          <w:szCs w:val="21"/>
        </w:rPr>
      </w:pPr>
      <w:r>
        <w:rPr>
          <w:rFonts w:hint="eastAsia" w:ascii="宋体" w:hAnsi="宋体" w:eastAsia="宋体" w:cs="宋体"/>
          <w:b/>
          <w:bCs/>
          <w:color w:val="auto"/>
          <w:sz w:val="18"/>
          <w:szCs w:val="18"/>
        </w:rPr>
        <w:t xml:space="preserve">                                                           </w:t>
      </w:r>
      <w:r>
        <w:rPr>
          <w:rFonts w:hint="eastAsia" w:ascii="宋体" w:hAnsi="宋体" w:eastAsia="宋体" w:cs="宋体"/>
          <w:bCs/>
          <w:color w:val="auto"/>
          <w:szCs w:val="21"/>
        </w:rPr>
        <w:t>合同编号：</w:t>
      </w:r>
    </w:p>
    <w:p>
      <w:pPr>
        <w:snapToGrid w:val="0"/>
        <w:spacing w:line="400" w:lineRule="exact"/>
        <w:rPr>
          <w:rFonts w:hint="eastAsia" w:ascii="宋体" w:hAnsi="宋体" w:eastAsia="宋体" w:cs="宋体"/>
          <w:bCs/>
          <w:color w:val="auto"/>
          <w:szCs w:val="21"/>
        </w:rPr>
      </w:pPr>
    </w:p>
    <w:p>
      <w:pPr>
        <w:snapToGrid w:val="0"/>
        <w:spacing w:line="440" w:lineRule="exact"/>
        <w:rPr>
          <w:rFonts w:hint="eastAsia" w:ascii="宋体" w:hAnsi="宋体" w:eastAsia="宋体" w:cs="宋体"/>
          <w:bCs/>
          <w:color w:val="auto"/>
          <w:szCs w:val="21"/>
          <w:u w:val="single"/>
        </w:rPr>
      </w:pPr>
      <w:r>
        <w:rPr>
          <w:rFonts w:hint="eastAsia" w:ascii="宋体" w:hAnsi="宋体" w:eastAsia="宋体" w:cs="宋体"/>
          <w:bCs/>
          <w:color w:val="auto"/>
          <w:szCs w:val="21"/>
        </w:rPr>
        <w:t>采购单位（甲方）：</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        采购计划号：</w:t>
      </w:r>
      <w:r>
        <w:rPr>
          <w:rFonts w:hint="eastAsia" w:ascii="宋体" w:hAnsi="宋体" w:eastAsia="宋体" w:cs="宋体"/>
          <w:bCs/>
          <w:color w:val="auto"/>
          <w:szCs w:val="21"/>
          <w:u w:val="single"/>
        </w:rPr>
        <w:t xml:space="preserve">                     </w:t>
      </w:r>
    </w:p>
    <w:p>
      <w:pPr>
        <w:snapToGrid w:val="0"/>
        <w:spacing w:line="440" w:lineRule="exact"/>
        <w:rPr>
          <w:rFonts w:hint="eastAsia" w:ascii="宋体" w:hAnsi="宋体" w:eastAsia="宋体" w:cs="宋体"/>
          <w:bCs/>
          <w:color w:val="auto"/>
          <w:szCs w:val="21"/>
          <w:u w:val="single"/>
        </w:rPr>
      </w:pPr>
      <w:r>
        <w:rPr>
          <w:rFonts w:hint="eastAsia" w:ascii="宋体" w:hAnsi="宋体" w:eastAsia="宋体" w:cs="宋体"/>
          <w:bCs/>
          <w:color w:val="auto"/>
          <w:szCs w:val="21"/>
        </w:rPr>
        <w:t>供应商（乙方）：</w:t>
      </w:r>
      <w:r>
        <w:rPr>
          <w:rFonts w:hint="eastAsia" w:ascii="宋体" w:hAnsi="宋体" w:eastAsia="宋体" w:cs="宋体"/>
          <w:bCs/>
          <w:color w:val="auto"/>
          <w:szCs w:val="21"/>
          <w:u w:val="single"/>
        </w:rPr>
        <w:t xml:space="preserve">                                   </w:t>
      </w:r>
    </w:p>
    <w:p>
      <w:pPr>
        <w:spacing w:before="100" w:beforeAutospacing="1" w:after="100" w:afterAutospacing="1" w:line="440" w:lineRule="exact"/>
        <w:rPr>
          <w:rFonts w:hint="default" w:ascii="宋体" w:hAnsi="宋体" w:eastAsia="宋体" w:cs="宋体"/>
          <w:color w:val="auto"/>
          <w:szCs w:val="21"/>
          <w:u w:val="single"/>
          <w:lang w:val="en-US" w:eastAsia="zh-CN"/>
        </w:rPr>
      </w:pPr>
      <w:r>
        <w:rPr>
          <w:rFonts w:hint="eastAsia" w:ascii="宋体" w:hAnsi="宋体" w:eastAsia="宋体" w:cs="宋体"/>
          <w:bCs/>
          <w:color w:val="auto"/>
          <w:szCs w:val="21"/>
        </w:rPr>
        <w:t>项目名称和编号：</w:t>
      </w:r>
      <w:r>
        <w:rPr>
          <w:rFonts w:hint="eastAsia" w:ascii="宋体" w:hAnsi="宋体" w:cs="宋体"/>
          <w:color w:val="auto"/>
          <w:szCs w:val="21"/>
          <w:u w:val="single"/>
          <w:lang w:val="en-US" w:eastAsia="zh-CN"/>
        </w:rPr>
        <w:t xml:space="preserve">                                    </w:t>
      </w:r>
    </w:p>
    <w:p>
      <w:pPr>
        <w:snapToGrid w:val="0"/>
        <w:spacing w:line="440" w:lineRule="exact"/>
        <w:rPr>
          <w:rFonts w:hint="eastAsia" w:ascii="宋体" w:hAnsi="宋体" w:eastAsia="宋体" w:cs="宋体"/>
          <w:bCs/>
          <w:color w:val="auto"/>
          <w:szCs w:val="21"/>
          <w:u w:val="single"/>
        </w:rPr>
      </w:pPr>
      <w:r>
        <w:rPr>
          <w:rFonts w:hint="eastAsia" w:ascii="宋体" w:hAnsi="宋体" w:eastAsia="宋体" w:cs="宋体"/>
          <w:bCs/>
          <w:color w:val="auto"/>
          <w:szCs w:val="21"/>
        </w:rPr>
        <w:t xml:space="preserve">签 订 地 </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签 订 时  间</w:t>
      </w:r>
      <w:r>
        <w:rPr>
          <w:rFonts w:hint="eastAsia" w:ascii="宋体" w:hAnsi="宋体" w:eastAsia="宋体" w:cs="宋体"/>
          <w:bCs/>
          <w:color w:val="auto"/>
          <w:szCs w:val="21"/>
          <w:u w:val="single"/>
        </w:rPr>
        <w:t xml:space="preserve">                          </w:t>
      </w:r>
    </w:p>
    <w:p>
      <w:pPr>
        <w:snapToGrid w:val="0"/>
        <w:spacing w:line="440" w:lineRule="exact"/>
        <w:rPr>
          <w:rFonts w:hint="eastAsia" w:ascii="宋体" w:hAnsi="宋体" w:eastAsia="宋体" w:cs="宋体"/>
          <w:bCs/>
          <w:color w:val="auto"/>
          <w:szCs w:val="21"/>
        </w:rPr>
      </w:pPr>
    </w:p>
    <w:p>
      <w:pPr>
        <w:snapToGrid w:val="0"/>
        <w:spacing w:line="440" w:lineRule="exact"/>
        <w:ind w:firstLine="420"/>
        <w:rPr>
          <w:rFonts w:hint="eastAsia" w:ascii="宋体" w:hAnsi="宋体" w:eastAsia="宋体" w:cs="宋体"/>
          <w:bCs/>
          <w:color w:val="auto"/>
          <w:szCs w:val="21"/>
        </w:rPr>
      </w:pPr>
      <w:r>
        <w:rPr>
          <w:rFonts w:hint="eastAsia" w:ascii="宋体" w:hAnsi="宋体" w:eastAsia="宋体" w:cs="宋体"/>
          <w:bCs/>
          <w:color w:val="auto"/>
          <w:szCs w:val="21"/>
        </w:rPr>
        <w:t>根据《中华人民共和国政府采购法》、《中华人民共和国合同法》等法律、法规规定，按照</w:t>
      </w:r>
      <w:r>
        <w:rPr>
          <w:rFonts w:hint="eastAsia" w:ascii="宋体" w:hAnsi="宋体" w:eastAsia="宋体" w:cs="宋体"/>
          <w:color w:val="auto"/>
        </w:rPr>
        <w:t>竞争性谈判文件</w:t>
      </w:r>
      <w:r>
        <w:rPr>
          <w:rFonts w:hint="eastAsia" w:ascii="宋体" w:hAnsi="宋体" w:eastAsia="宋体" w:cs="宋体"/>
          <w:bCs/>
          <w:color w:val="auto"/>
          <w:szCs w:val="21"/>
        </w:rPr>
        <w:t>（竞争性谈判响应文件）规定条款和中标（成交）供应商承诺，甲乙双方签订本合同。</w:t>
      </w:r>
    </w:p>
    <w:p>
      <w:pPr>
        <w:spacing w:line="440" w:lineRule="exact"/>
        <w:ind w:firstLine="422" w:firstLineChars="200"/>
        <w:rPr>
          <w:rFonts w:hint="eastAsia" w:ascii="宋体" w:hAnsi="宋体" w:eastAsia="宋体" w:cs="宋体"/>
          <w:b/>
          <w:color w:val="auto"/>
        </w:rPr>
      </w:pPr>
      <w:r>
        <w:rPr>
          <w:rFonts w:hint="eastAsia" w:ascii="宋体" w:hAnsi="宋体" w:eastAsia="宋体" w:cs="宋体"/>
          <w:b/>
          <w:color w:val="auto"/>
        </w:rPr>
        <w:t>第一条  合同标的</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下列文件是构成本合同不可分割的部分：</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（1）成交供应商提交的谈判报价明细表，技术规格偏离表，货物供货清单和售后服务承诺书；</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（2）成交通知书；</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（3）本合同协议书及有关补充资料；</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（4）谈判文件的条款要求。</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第二条　合同金额</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根据《成交通知书》的中标内容，合同的总金额为：人民币（大写）：</w:t>
      </w:r>
      <w:r>
        <w:rPr>
          <w:rFonts w:hint="eastAsia" w:ascii="宋体" w:hAnsi="宋体" w:eastAsia="宋体" w:cs="宋体"/>
          <w:color w:val="auto"/>
          <w:szCs w:val="21"/>
          <w:u w:val="single"/>
        </w:rPr>
        <w:t>　　　       　</w:t>
      </w:r>
      <w:r>
        <w:rPr>
          <w:rFonts w:hint="eastAsia" w:ascii="宋体" w:hAnsi="宋体" w:eastAsia="宋体" w:cs="宋体"/>
          <w:color w:val="auto"/>
          <w:szCs w:val="21"/>
        </w:rPr>
        <w:t>元（￥</w:t>
      </w:r>
      <w:r>
        <w:rPr>
          <w:rFonts w:hint="eastAsia" w:ascii="宋体" w:hAnsi="宋体" w:eastAsia="宋体" w:cs="宋体"/>
          <w:color w:val="auto"/>
          <w:szCs w:val="21"/>
          <w:u w:val="single"/>
        </w:rPr>
        <w:t>　    　</w:t>
      </w:r>
      <w:r>
        <w:rPr>
          <w:rFonts w:hint="eastAsia" w:ascii="宋体" w:hAnsi="宋体" w:eastAsia="宋体" w:cs="宋体"/>
          <w:color w:val="auto"/>
          <w:szCs w:val="21"/>
        </w:rPr>
        <w:t>）。</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第三条  质量保证</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应按竞争性谈判响应文件规定的货物型号、规格、技术参数、质量标准向甲方提供未经使用的全新原装产品及相应服务，且在正常使用和保养条件下，其使用寿命期内各项指标均达到质量标准。乙方提供的节能和环境标志产品必须是列入现行政府采购清单目录内的产品。</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货物的质量保证期为自交货物验收合格之日起至十二个月内止（厂家规定质保期超过一年的，按厂家规定，“货物采购需求”有规定的，按规定执行）。在质保期内因货物本身的质量问题发生的问题。对达不到技术要求者，根据实际情况，经双方协商，可按以下办法处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（1）更换：由乙方承担所有发生的全部费用。</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（2）贬值处理：由甲乙双方合议定价。</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（3）退货处理：乙方应退还甲方支付的合同款，同时应承担该货物的直接费用（运输、保险、检验、贷款利息及银行手续费等）。</w:t>
      </w:r>
    </w:p>
    <w:p>
      <w:p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第四条  权力保证</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 乙方应保证所提供货物在使用时不会侵犯任何第三方的专利权、商标权、工业设计权或其他权利。</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2、乙方应按谈判文件规定的时间向甲方提供使用货物的有关技术资料。</w:t>
      </w:r>
    </w:p>
    <w:p>
      <w:pPr>
        <w:spacing w:line="440" w:lineRule="exact"/>
        <w:ind w:firstLine="405"/>
        <w:rPr>
          <w:rFonts w:hint="eastAsia" w:ascii="宋体" w:hAnsi="宋体" w:eastAsia="宋体" w:cs="宋体"/>
          <w:color w:val="auto"/>
          <w:szCs w:val="21"/>
        </w:rPr>
      </w:pPr>
      <w:r>
        <w:rPr>
          <w:rFonts w:hint="eastAsia" w:ascii="宋体" w:hAnsi="宋体" w:eastAsia="宋体" w:cs="宋体"/>
          <w:color w:val="auto"/>
          <w:szCs w:val="21"/>
        </w:rPr>
        <w:t>3、乙方保证所交付的货物的所有权完全属于乙方且无任何抵押、质押、查封等产权瑕疵。</w:t>
      </w:r>
    </w:p>
    <w:p>
      <w:p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第五条  货物包装、运输</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1、乙方应在货物发运前对其进行满足运输距离、防潮、防震、防锈和防破损装卸等要求包装，以保证货物安全运达甲方指定地点。</w:t>
      </w:r>
    </w:p>
    <w:p>
      <w:pPr>
        <w:tabs>
          <w:tab w:val="left" w:pos="780"/>
        </w:tabs>
        <w:spacing w:line="440" w:lineRule="exact"/>
        <w:ind w:left="420"/>
        <w:rPr>
          <w:rFonts w:hint="eastAsia" w:ascii="宋体" w:hAnsi="宋体" w:eastAsia="宋体" w:cs="宋体"/>
          <w:color w:val="auto"/>
          <w:szCs w:val="21"/>
        </w:rPr>
      </w:pPr>
      <w:r>
        <w:rPr>
          <w:rFonts w:hint="eastAsia" w:ascii="宋体" w:hAnsi="宋体" w:eastAsia="宋体" w:cs="宋体"/>
          <w:color w:val="auto"/>
          <w:szCs w:val="21"/>
        </w:rPr>
        <w:t>2、使用说明书、质量检验证明书、随配附件和工具以及清单一并附于货物内。</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3、乙方在货物发运手续办理完毕后二十四小时内或货到甲方四十八小时前通知甲方，以准备接货。</w:t>
      </w:r>
    </w:p>
    <w:p>
      <w:pPr>
        <w:numPr>
          <w:ilvl w:val="0"/>
          <w:numId w:val="34"/>
        </w:numPr>
        <w:tabs>
          <w:tab w:val="left" w:pos="780"/>
        </w:tabs>
        <w:spacing w:line="440" w:lineRule="exact"/>
        <w:ind w:left="780" w:hanging="360"/>
        <w:rPr>
          <w:rFonts w:hint="eastAsia" w:ascii="宋体" w:hAnsi="宋体" w:eastAsia="宋体" w:cs="宋体"/>
          <w:color w:val="auto"/>
          <w:szCs w:val="21"/>
        </w:rPr>
      </w:pPr>
      <w:r>
        <w:rPr>
          <w:rFonts w:hint="eastAsia" w:ascii="宋体" w:hAnsi="宋体" w:eastAsia="宋体" w:cs="宋体"/>
          <w:color w:val="auto"/>
          <w:szCs w:val="21"/>
        </w:rPr>
        <w:t>货物在交付甲方前发生的风险均由乙方负责。</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第六条  交付</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b w:val="0"/>
          <w:bCs w:val="0"/>
          <w:color w:val="auto"/>
          <w:lang w:val="en-US" w:eastAsia="zh-CN"/>
        </w:rPr>
        <w:t>服务</w:t>
      </w:r>
      <w:r>
        <w:rPr>
          <w:rFonts w:hint="eastAsia" w:ascii="宋体" w:hAnsi="宋体" w:eastAsia="宋体" w:cs="宋体"/>
          <w:b w:val="0"/>
          <w:bCs w:val="0"/>
          <w:color w:val="auto"/>
        </w:rPr>
        <w:t>时间</w:t>
      </w:r>
      <w:r>
        <w:rPr>
          <w:rFonts w:hint="eastAsia" w:ascii="宋体" w:hAnsi="宋体" w:eastAsia="宋体" w:cs="宋体"/>
          <w:color w:val="auto"/>
          <w:szCs w:val="21"/>
        </w:rPr>
        <w:t>：________________________、</w:t>
      </w:r>
      <w:r>
        <w:rPr>
          <w:rFonts w:hint="eastAsia" w:ascii="宋体" w:hAnsi="宋体" w:cs="宋体"/>
          <w:color w:val="auto"/>
          <w:szCs w:val="21"/>
          <w:lang w:val="en-US" w:eastAsia="zh-CN"/>
        </w:rPr>
        <w:t>服务</w:t>
      </w:r>
      <w:r>
        <w:rPr>
          <w:rFonts w:hint="eastAsia" w:ascii="宋体" w:hAnsi="宋体" w:eastAsia="宋体" w:cs="宋体"/>
          <w:color w:val="auto"/>
          <w:szCs w:val="21"/>
        </w:rPr>
        <w:t>地点：__________________________。</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2、乙方提供的货物、服务不符合竞争性谈判文件、竞争性谈判响应文件和本合同规定的，甲方有权拒绝接受。</w:t>
      </w:r>
    </w:p>
    <w:p>
      <w:pPr>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3、乙方应将所有提供货物的装箱清单、用户手册、随机资料和备用、备件等交付给甲方、如有缺失应及时补齐，否则视为逾期交货。</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4、甲方依据竞争性谈判响应文件的技术规格要求和国家有关质量标准对货物进行现场初步验收，外观、说明书符合竞争性谈判响应文件技术要求的，给予签收，并签署货物验收单，初步验收不合格的不予签收。</w:t>
      </w:r>
    </w:p>
    <w:p>
      <w:pPr>
        <w:spacing w:line="440" w:lineRule="exact"/>
        <w:ind w:left="413"/>
        <w:rPr>
          <w:rFonts w:hint="eastAsia" w:ascii="宋体" w:hAnsi="宋体" w:eastAsia="宋体" w:cs="宋体"/>
          <w:b/>
          <w:color w:val="auto"/>
          <w:szCs w:val="21"/>
        </w:rPr>
      </w:pPr>
      <w:r>
        <w:rPr>
          <w:rFonts w:hint="eastAsia" w:ascii="宋体" w:hAnsi="宋体" w:eastAsia="宋体" w:cs="宋体"/>
          <w:b/>
          <w:color w:val="auto"/>
          <w:szCs w:val="21"/>
        </w:rPr>
        <w:t>第七条  调试和验收</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1、乙方交货前应对产品做出全面的检查和对验收文件进行整理，并列出清单，作为甲方验收和使用的技术条件依据，验收的结果应随货物交甲方。</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甲方依据竞标文件的技术规格要求和国家有关质量标准对货物进行现场初步验收，外观、说明书符合竞标文件技术要求的，给予签收，初步验收不合格的不予签收。货到后，甲方应当在到货后七个工作日内进行验收，验收合格后由甲乙双方签署货物验收单并加盖公章，甲乙双方各执一份。</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3、甲方对验收有异议的，在验收后五个工作日内以书面形式向乙方提出，乙方应自收到甲方书面异议后</w:t>
      </w:r>
      <w:r>
        <w:rPr>
          <w:rFonts w:hint="eastAsia" w:ascii="宋体" w:hAnsi="宋体" w:eastAsia="宋体" w:cs="宋体"/>
          <w:color w:val="auto"/>
          <w:szCs w:val="21"/>
          <w:u w:val="single"/>
        </w:rPr>
        <w:t>　　　</w:t>
      </w:r>
      <w:r>
        <w:rPr>
          <w:rFonts w:hint="eastAsia" w:ascii="宋体" w:hAnsi="宋体" w:eastAsia="宋体" w:cs="宋体"/>
          <w:color w:val="auto"/>
          <w:szCs w:val="21"/>
        </w:rPr>
        <w:t>日内及时予以解决。</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第八条  售后服务、保修期</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1、乙方应按照国家有关法律规定和“三包”规定以及竞争性谈判响应文件和本合同所附的《服务承诺》，为甲方提供售后服务。</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2、如在使用过程中发生质量问题，乙方在接到甲方通知后在24小时内到达甲方现场处理。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3、在质保期内，乙方应对货物出现的质量及安全问题负责处理解决并承担一切费用。</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第十条  税费</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第十一条  付款方式</w:t>
      </w:r>
    </w:p>
    <w:p>
      <w:pPr>
        <w:spacing w:line="440" w:lineRule="exact"/>
        <w:ind w:firstLine="411" w:firstLineChars="196"/>
        <w:rPr>
          <w:rFonts w:hint="eastAsia" w:ascii="宋体" w:hAnsi="宋体" w:eastAsia="宋体" w:cs="宋体"/>
          <w:color w:val="auto"/>
          <w:szCs w:val="21"/>
        </w:rPr>
      </w:pP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第十二条  违约责任</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1、乙方所提供的货物规格、技术标准、材料等质量不合格的，应及时更换，更换不及时的按逾期交货处罚，乙方应向甲方支付合同金额</w:t>
      </w:r>
      <w:r>
        <w:rPr>
          <w:rFonts w:hint="eastAsia" w:ascii="宋体" w:hAnsi="宋体" w:eastAsia="宋体" w:cs="宋体"/>
          <w:color w:val="auto"/>
          <w:szCs w:val="21"/>
          <w:u w:val="single"/>
        </w:rPr>
        <w:t>　　</w:t>
      </w:r>
      <w:r>
        <w:rPr>
          <w:rFonts w:hint="eastAsia" w:ascii="宋体" w:hAnsi="宋体" w:eastAsia="宋体" w:cs="宋体"/>
          <w:color w:val="auto"/>
          <w:szCs w:val="21"/>
        </w:rPr>
        <w:t>%违约金并赔偿甲方经济损失。</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2、乙方提供的货物如果侵犯了第三方合法权益而引发的任何纠纷或诉讼，均由乙方负责交涉并承担全部责任。</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3、因包装、运输引起的货物损坏，按质量不合格处理。</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4、甲方无故延期接受货物、乙方逾期交货的，每天向对方偿付合同金额</w:t>
      </w:r>
      <w:r>
        <w:rPr>
          <w:rFonts w:hint="eastAsia" w:ascii="宋体" w:hAnsi="宋体" w:eastAsia="宋体" w:cs="宋体"/>
          <w:color w:val="auto"/>
          <w:szCs w:val="21"/>
          <w:u w:val="single"/>
        </w:rPr>
        <w:t>　　</w:t>
      </w:r>
      <w:r>
        <w:rPr>
          <w:rFonts w:hint="eastAsia" w:ascii="宋体" w:hAnsi="宋体" w:eastAsia="宋体" w:cs="宋体"/>
          <w:color w:val="auto"/>
          <w:szCs w:val="21"/>
        </w:rPr>
        <w:t>‰违约金，但违约金额不得超过合同金额</w:t>
      </w:r>
      <w:r>
        <w:rPr>
          <w:rFonts w:hint="eastAsia" w:ascii="宋体" w:hAnsi="宋体" w:eastAsia="宋体" w:cs="宋体"/>
          <w:color w:val="auto"/>
          <w:szCs w:val="21"/>
          <w:u w:val="single"/>
        </w:rPr>
        <w:t>　　</w:t>
      </w:r>
      <w:r>
        <w:rPr>
          <w:rFonts w:hint="eastAsia" w:ascii="宋体" w:hAnsi="宋体" w:eastAsia="宋体" w:cs="宋体"/>
          <w:color w:val="auto"/>
          <w:szCs w:val="21"/>
        </w:rPr>
        <w:t>%，超过</w:t>
      </w:r>
      <w:r>
        <w:rPr>
          <w:rFonts w:hint="eastAsia" w:ascii="宋体" w:hAnsi="宋体" w:eastAsia="宋体" w:cs="宋体"/>
          <w:color w:val="auto"/>
          <w:szCs w:val="21"/>
          <w:u w:val="single"/>
        </w:rPr>
        <w:t>　　</w:t>
      </w:r>
      <w:r>
        <w:rPr>
          <w:rFonts w:hint="eastAsia" w:ascii="宋体" w:hAnsi="宋体" w:eastAsia="宋体" w:cs="宋体"/>
          <w:color w:val="auto"/>
          <w:szCs w:val="21"/>
        </w:rPr>
        <w:t>天对方有权解除合同，违约方承担因此给对方造成的经济损失：甲方延期付货款的，每天向乙方偿付合同金额</w:t>
      </w:r>
      <w:r>
        <w:rPr>
          <w:rFonts w:hint="eastAsia" w:ascii="宋体" w:hAnsi="宋体" w:eastAsia="宋体" w:cs="宋体"/>
          <w:color w:val="auto"/>
          <w:szCs w:val="21"/>
          <w:u w:val="single"/>
        </w:rPr>
        <w:t>　　</w:t>
      </w:r>
      <w:r>
        <w:rPr>
          <w:rFonts w:hint="eastAsia" w:ascii="宋体" w:hAnsi="宋体" w:eastAsia="宋体" w:cs="宋体"/>
          <w:color w:val="auto"/>
          <w:szCs w:val="21"/>
        </w:rPr>
        <w:t>‰滞纳金，但滞纳金累计不得超过合同金额</w:t>
      </w:r>
      <w:r>
        <w:rPr>
          <w:rFonts w:hint="eastAsia" w:ascii="宋体" w:hAnsi="宋体" w:eastAsia="宋体" w:cs="宋体"/>
          <w:color w:val="auto"/>
          <w:szCs w:val="21"/>
          <w:u w:val="single"/>
        </w:rPr>
        <w:t>　　</w:t>
      </w:r>
      <w:r>
        <w:rPr>
          <w:rFonts w:hint="eastAsia" w:ascii="宋体" w:hAnsi="宋体" w:eastAsia="宋体" w:cs="宋体"/>
          <w:color w:val="auto"/>
          <w:szCs w:val="21"/>
        </w:rPr>
        <w:t>%。</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5、乙方未按本合同和竞标文件中规定的服务承诺提供售后服务的，乙方应按本合同合同金额</w:t>
      </w:r>
      <w:r>
        <w:rPr>
          <w:rFonts w:hint="eastAsia" w:ascii="宋体" w:hAnsi="宋体" w:eastAsia="宋体" w:cs="宋体"/>
          <w:color w:val="auto"/>
          <w:szCs w:val="21"/>
          <w:u w:val="single"/>
        </w:rPr>
        <w:t>　　</w:t>
      </w:r>
      <w:r>
        <w:rPr>
          <w:rFonts w:hint="eastAsia" w:ascii="宋体" w:hAnsi="宋体" w:eastAsia="宋体" w:cs="宋体"/>
          <w:color w:val="auto"/>
          <w:szCs w:val="21"/>
        </w:rPr>
        <w:t>%向甲方支付违约金。</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6、乙方提供的货物在质保期内，因设计、工艺或材料的缺陷和其他质量原因造成的问题，由乙方负责，费用从质量保证金中扣除，不足另补。</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7、其他违约行为按违约货款额</w:t>
      </w:r>
      <w:r>
        <w:rPr>
          <w:rFonts w:hint="eastAsia" w:ascii="宋体" w:hAnsi="宋体" w:eastAsia="宋体" w:cs="宋体"/>
          <w:color w:val="auto"/>
          <w:szCs w:val="21"/>
          <w:u w:val="single"/>
        </w:rPr>
        <w:t>　　　</w:t>
      </w:r>
      <w:r>
        <w:rPr>
          <w:rFonts w:hint="eastAsia" w:ascii="宋体" w:hAnsi="宋体" w:eastAsia="宋体" w:cs="宋体"/>
          <w:color w:val="auto"/>
          <w:szCs w:val="21"/>
        </w:rPr>
        <w:t>%收取违约金并赔偿经济损失。</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第十三条  不可抗力事件处理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1、在合同有效期内，乙方因不可抗力事件导致不能履行合同，则合同履行期可延长，其延长期与不可抗力影响期相同。</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第十四条  合同争议解决</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2、因履行本合同引起的或与本合同有关的争议，甲乙双方应首先通过友好协商解决，如果协商不能解决，可向</w:t>
      </w:r>
      <w:r>
        <w:rPr>
          <w:rFonts w:hint="eastAsia" w:ascii="宋体" w:hAnsi="宋体" w:cs="宋体"/>
          <w:color w:val="auto"/>
          <w:szCs w:val="21"/>
          <w:lang w:val="en-US" w:eastAsia="zh-CN"/>
        </w:rPr>
        <w:t>项目所在地</w:t>
      </w:r>
      <w:r>
        <w:rPr>
          <w:rFonts w:hint="eastAsia" w:ascii="宋体" w:hAnsi="宋体" w:eastAsia="宋体" w:cs="宋体"/>
          <w:color w:val="auto"/>
          <w:szCs w:val="21"/>
        </w:rPr>
        <w:t>仲裁委员会申请仲裁或向</w:t>
      </w:r>
      <w:r>
        <w:rPr>
          <w:rFonts w:hint="eastAsia" w:ascii="宋体" w:hAnsi="宋体" w:cs="宋体"/>
          <w:color w:val="auto"/>
          <w:szCs w:val="21"/>
          <w:lang w:val="en-US" w:eastAsia="zh-CN"/>
        </w:rPr>
        <w:t>项目所在地</w:t>
      </w:r>
      <w:r>
        <w:rPr>
          <w:rFonts w:hint="eastAsia" w:ascii="宋体" w:hAnsi="宋体" w:eastAsia="宋体" w:cs="宋体"/>
          <w:color w:val="auto"/>
          <w:szCs w:val="21"/>
        </w:rPr>
        <w:t>人民法院提起诉讼。</w:t>
      </w:r>
    </w:p>
    <w:p>
      <w:pPr>
        <w:spacing w:line="440" w:lineRule="exact"/>
        <w:ind w:left="435"/>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第十五条  合同生效及其它</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1、合同经甲乙双方法定代表人或授权代表签字并加盖单位公章后生效。</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2、本合同未尽事宜，遵照《合同法》有关条文执行。</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第十六条  合同的变更、终止与转让</w:t>
      </w:r>
    </w:p>
    <w:p>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1、除《中华人民共和国政府采购法》第五十条规定的情形外，本合同一经签订，甲乙双方不得擅自变更，中止或终止。</w:t>
      </w:r>
    </w:p>
    <w:p>
      <w:pPr>
        <w:spacing w:line="440" w:lineRule="exact"/>
        <w:ind w:left="420"/>
        <w:rPr>
          <w:rFonts w:hint="eastAsia" w:ascii="宋体" w:hAnsi="宋体" w:eastAsia="宋体" w:cs="宋体"/>
          <w:color w:val="auto"/>
          <w:szCs w:val="21"/>
        </w:rPr>
      </w:pPr>
      <w:r>
        <w:rPr>
          <w:rFonts w:hint="eastAsia" w:ascii="宋体" w:hAnsi="宋体" w:eastAsia="宋体" w:cs="宋体"/>
          <w:color w:val="auto"/>
          <w:szCs w:val="21"/>
        </w:rPr>
        <w:t>2、乙方不得擅自转让(无进口资格的供应商委托进口货物除外)其应履行的合同义务。</w:t>
      </w:r>
    </w:p>
    <w:p>
      <w:pPr>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第十七条  签订本合同依据</w:t>
      </w:r>
    </w:p>
    <w:p>
      <w:pPr>
        <w:spacing w:line="440" w:lineRule="exact"/>
        <w:ind w:left="420"/>
        <w:rPr>
          <w:rFonts w:hint="eastAsia" w:ascii="宋体" w:hAnsi="宋体" w:eastAsia="宋体" w:cs="宋体"/>
          <w:color w:val="auto"/>
          <w:szCs w:val="21"/>
        </w:rPr>
      </w:pPr>
      <w:r>
        <w:rPr>
          <w:rFonts w:hint="eastAsia" w:ascii="宋体" w:hAnsi="宋体" w:eastAsia="宋体" w:cs="宋体"/>
          <w:color w:val="auto"/>
          <w:szCs w:val="21"/>
        </w:rPr>
        <w:t>1、竞争性谈判文件：</w:t>
      </w:r>
    </w:p>
    <w:p>
      <w:pPr>
        <w:spacing w:line="440" w:lineRule="exact"/>
        <w:ind w:left="225" w:leftChars="107" w:firstLine="210" w:firstLineChars="100"/>
        <w:rPr>
          <w:rFonts w:hint="eastAsia" w:ascii="宋体" w:hAnsi="宋体" w:eastAsia="宋体" w:cs="宋体"/>
          <w:color w:val="auto"/>
          <w:szCs w:val="21"/>
        </w:rPr>
      </w:pPr>
      <w:r>
        <w:rPr>
          <w:rFonts w:hint="eastAsia" w:ascii="宋体" w:hAnsi="宋体" w:eastAsia="宋体" w:cs="宋体"/>
          <w:color w:val="auto"/>
          <w:szCs w:val="21"/>
        </w:rPr>
        <w:t>2、成交供应商的谈判报价明细表、技术规格偏离表、货物供货清单；</w:t>
      </w:r>
    </w:p>
    <w:p>
      <w:pPr>
        <w:spacing w:line="440" w:lineRule="exact"/>
        <w:ind w:left="225" w:leftChars="107" w:firstLine="210" w:firstLineChars="100"/>
        <w:rPr>
          <w:rFonts w:hint="eastAsia" w:ascii="宋体" w:hAnsi="宋体" w:eastAsia="宋体" w:cs="宋体"/>
          <w:color w:val="auto"/>
          <w:szCs w:val="21"/>
        </w:rPr>
      </w:pPr>
      <w:r>
        <w:rPr>
          <w:rFonts w:hint="eastAsia" w:ascii="宋体" w:hAnsi="宋体" w:eastAsia="宋体" w:cs="宋体"/>
          <w:color w:val="auto"/>
          <w:szCs w:val="21"/>
        </w:rPr>
        <w:t>3、承诺书</w:t>
      </w:r>
    </w:p>
    <w:p>
      <w:pPr>
        <w:spacing w:line="440" w:lineRule="exact"/>
        <w:ind w:left="225" w:leftChars="107" w:firstLine="210" w:firstLineChars="100"/>
        <w:rPr>
          <w:rFonts w:hint="eastAsia" w:ascii="宋体" w:hAnsi="宋体" w:eastAsia="宋体" w:cs="宋体"/>
          <w:color w:val="auto"/>
          <w:szCs w:val="21"/>
        </w:rPr>
      </w:pPr>
      <w:r>
        <w:rPr>
          <w:rFonts w:hint="eastAsia" w:ascii="宋体" w:hAnsi="宋体" w:eastAsia="宋体" w:cs="宋体"/>
          <w:color w:val="auto"/>
          <w:szCs w:val="21"/>
        </w:rPr>
        <w:t>4、成交通知书</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本合同甲乙双方签字盖章后生效，一式四份，具有同等法律效力，甲、乙双方各二份。</w:t>
      </w:r>
    </w:p>
    <w:p>
      <w:pPr>
        <w:spacing w:line="440" w:lineRule="exact"/>
        <w:ind w:firstLine="420" w:firstLineChars="200"/>
        <w:rPr>
          <w:rFonts w:hint="eastAsia" w:ascii="宋体" w:hAnsi="宋体" w:eastAsia="宋体" w:cs="宋体"/>
          <w:color w:val="auto"/>
          <w:szCs w:val="21"/>
        </w:rPr>
      </w:pPr>
    </w:p>
    <w:p>
      <w:pPr>
        <w:tabs>
          <w:tab w:val="left" w:pos="4320"/>
          <w:tab w:val="left" w:pos="4500"/>
        </w:tabs>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甲方名称（公章）：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乙方名称（公章）：</w:t>
      </w:r>
      <w:r>
        <w:rPr>
          <w:rFonts w:hint="eastAsia" w:ascii="宋体" w:hAnsi="宋体" w:eastAsia="宋体" w:cs="宋体"/>
          <w:color w:val="auto"/>
          <w:szCs w:val="21"/>
          <w:u w:val="single"/>
        </w:rPr>
        <w:t xml:space="preserve">                           </w:t>
      </w:r>
    </w:p>
    <w:p>
      <w:pPr>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法定代表人：</w:t>
      </w:r>
      <w:r>
        <w:rPr>
          <w:rFonts w:hint="eastAsia" w:ascii="宋体" w:hAnsi="宋体" w:eastAsia="宋体" w:cs="宋体"/>
          <w:color w:val="auto"/>
          <w:szCs w:val="21"/>
          <w:u w:val="single"/>
        </w:rPr>
        <w:t xml:space="preserve">                                 </w:t>
      </w:r>
    </w:p>
    <w:p>
      <w:pPr>
        <w:tabs>
          <w:tab w:val="left" w:pos="4680"/>
        </w:tabs>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委托代理人：</w:t>
      </w:r>
      <w:r>
        <w:rPr>
          <w:rFonts w:hint="eastAsia" w:ascii="宋体" w:hAnsi="宋体" w:eastAsia="宋体" w:cs="宋体"/>
          <w:color w:val="auto"/>
          <w:szCs w:val="21"/>
          <w:u w:val="single"/>
        </w:rPr>
        <w:t xml:space="preserve">                                 </w:t>
      </w:r>
    </w:p>
    <w:p>
      <w:pPr>
        <w:tabs>
          <w:tab w:val="left" w:pos="5040"/>
        </w:tabs>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电   话： </w:t>
      </w:r>
      <w:r>
        <w:rPr>
          <w:rFonts w:hint="eastAsia" w:ascii="宋体" w:hAnsi="宋体" w:eastAsia="宋体" w:cs="宋体"/>
          <w:color w:val="auto"/>
          <w:szCs w:val="21"/>
          <w:u w:val="single"/>
        </w:rPr>
        <w:t xml:space="preserve">                                  </w:t>
      </w:r>
    </w:p>
    <w:p>
      <w:pPr>
        <w:tabs>
          <w:tab w:val="left" w:pos="5040"/>
        </w:tabs>
        <w:spacing w:line="440" w:lineRule="exact"/>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5040"/>
        </w:tabs>
        <w:spacing w:line="440" w:lineRule="exact"/>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5040"/>
        </w:tabs>
        <w:spacing w:line="440" w:lineRule="exact"/>
        <w:rPr>
          <w:rFonts w:hint="eastAsia" w:ascii="宋体" w:hAnsi="宋体" w:eastAsia="宋体" w:cs="宋体"/>
          <w:color w:val="auto"/>
          <w:szCs w:val="21"/>
        </w:rPr>
      </w:pPr>
      <w:r>
        <w:rPr>
          <w:rFonts w:hint="eastAsia" w:ascii="宋体" w:hAnsi="宋体" w:eastAsia="宋体" w:cs="宋体"/>
          <w:color w:val="auto"/>
          <w:szCs w:val="21"/>
        </w:rPr>
        <w:t>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5040"/>
        </w:tabs>
        <w:spacing w:line="440" w:lineRule="exact"/>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p>
      <w:pPr>
        <w:tabs>
          <w:tab w:val="left" w:pos="5040"/>
        </w:tabs>
        <w:spacing w:line="440" w:lineRule="exact"/>
        <w:rPr>
          <w:rFonts w:hint="eastAsia" w:ascii="宋体" w:hAnsi="宋体" w:eastAsia="宋体" w:cs="宋体"/>
          <w:color w:val="auto"/>
          <w:szCs w:val="21"/>
        </w:rPr>
      </w:pPr>
    </w:p>
    <w:bookmarkEnd w:id="83"/>
    <w:bookmarkEnd w:id="84"/>
    <w:bookmarkEnd w:id="85"/>
    <w:bookmarkEnd w:id="86"/>
    <w:bookmarkEnd w:id="87"/>
    <w:p>
      <w:pPr>
        <w:pStyle w:val="3"/>
        <w:numPr>
          <w:ilvl w:val="0"/>
          <w:numId w:val="0"/>
        </w:numPr>
        <w:spacing w:before="5" w:after="5" w:line="800" w:lineRule="atLeast"/>
        <w:ind w:leftChars="0"/>
        <w:jc w:val="center"/>
        <w:rPr>
          <w:rFonts w:hint="eastAsia" w:ascii="宋体" w:hAnsi="宋体" w:eastAsia="宋体" w:cs="宋体"/>
          <w:color w:val="auto"/>
          <w:sz w:val="44"/>
          <w:szCs w:val="44"/>
        </w:rPr>
      </w:pPr>
      <w:bookmarkStart w:id="114" w:name="_Toc2398"/>
      <w:r>
        <w:rPr>
          <w:rFonts w:hint="eastAsia" w:ascii="宋体" w:hAnsi="宋体" w:cs="宋体"/>
          <w:color w:val="auto"/>
          <w:sz w:val="44"/>
          <w:szCs w:val="44"/>
          <w:lang w:val="en-US" w:eastAsia="zh-CN"/>
        </w:rPr>
        <w:t xml:space="preserve">第五章  </w:t>
      </w:r>
      <w:r>
        <w:rPr>
          <w:rFonts w:hint="eastAsia" w:ascii="宋体" w:hAnsi="宋体" w:eastAsia="宋体" w:cs="宋体"/>
          <w:color w:val="auto"/>
          <w:sz w:val="44"/>
          <w:szCs w:val="44"/>
        </w:rPr>
        <w:t>竞争性谈判响应文件（格式）</w:t>
      </w:r>
      <w:bookmarkEnd w:id="88"/>
      <w:bookmarkEnd w:id="109"/>
      <w:bookmarkEnd w:id="114"/>
    </w:p>
    <w:p>
      <w:pPr>
        <w:spacing w:before="5" w:after="5" w:line="360" w:lineRule="exact"/>
        <w:rPr>
          <w:rFonts w:hint="eastAsia" w:ascii="宋体" w:hAnsi="宋体" w:eastAsia="宋体" w:cs="宋体"/>
          <w:b/>
          <w:color w:val="auto"/>
          <w:sz w:val="28"/>
        </w:rPr>
      </w:pPr>
    </w:p>
    <w:p>
      <w:pPr>
        <w:spacing w:before="5" w:after="5" w:line="360" w:lineRule="exact"/>
        <w:jc w:val="center"/>
        <w:rPr>
          <w:rFonts w:hint="eastAsia" w:ascii="宋体" w:hAnsi="宋体" w:eastAsia="宋体" w:cs="宋体"/>
          <w:b/>
          <w:color w:val="auto"/>
          <w:sz w:val="28"/>
        </w:rPr>
      </w:pPr>
      <w:r>
        <w:rPr>
          <w:rFonts w:hint="eastAsia" w:ascii="宋体" w:hAnsi="宋体" w:eastAsia="宋体" w:cs="宋体"/>
          <w:b/>
          <w:color w:val="auto"/>
          <w:sz w:val="28"/>
        </w:rPr>
        <w:t>竞争性谈判响应文件封面格式</w:t>
      </w:r>
    </w:p>
    <w:p>
      <w:pPr>
        <w:spacing w:before="5" w:after="5" w:line="360" w:lineRule="exact"/>
        <w:jc w:val="center"/>
        <w:rPr>
          <w:rFonts w:hint="eastAsia" w:ascii="宋体" w:hAnsi="宋体" w:eastAsia="宋体" w:cs="宋体"/>
          <w:b/>
          <w:color w:val="auto"/>
          <w:sz w:val="28"/>
        </w:rPr>
      </w:pPr>
      <w:r>
        <w:rPr>
          <w:rFonts w:hint="eastAsia" w:ascii="宋体" w:hAnsi="宋体" w:eastAsia="宋体" w:cs="宋体"/>
          <w:b/>
          <w:color w:val="auto"/>
          <w:sz w:val="28"/>
        </w:rPr>
        <w:t xml:space="preserve">                                           </w:t>
      </w:r>
    </w:p>
    <w:p>
      <w:pPr>
        <w:spacing w:before="5" w:after="5" w:line="360" w:lineRule="exact"/>
        <w:jc w:val="center"/>
        <w:rPr>
          <w:rFonts w:hint="eastAsia" w:ascii="宋体" w:hAnsi="宋体" w:eastAsia="宋体" w:cs="宋体"/>
          <w:b/>
          <w:color w:val="auto"/>
          <w:sz w:val="28"/>
        </w:rPr>
      </w:pPr>
      <w:r>
        <w:rPr>
          <w:rFonts w:hint="eastAsia" w:ascii="宋体" w:hAnsi="宋体" w:eastAsia="宋体" w:cs="宋体"/>
          <w:b/>
          <w:color w:val="auto"/>
          <w:sz w:val="28"/>
        </w:rPr>
        <w:t xml:space="preserve">                                      </w:t>
      </w:r>
      <w:r>
        <w:rPr>
          <w:rFonts w:hint="eastAsia" w:ascii="宋体" w:hAnsi="宋体" w:eastAsia="宋体" w:cs="宋体"/>
          <w:b/>
          <w:bCs/>
          <w:color w:val="auto"/>
          <w:sz w:val="32"/>
          <w:szCs w:val="32"/>
        </w:rPr>
        <w:t>（正/副本）</w:t>
      </w:r>
    </w:p>
    <w:p>
      <w:pPr>
        <w:snapToGrid w:val="0"/>
        <w:spacing w:before="240" w:beforeLines="100" w:after="240" w:afterLines="100" w:line="440" w:lineRule="exact"/>
        <w:jc w:val="center"/>
        <w:rPr>
          <w:rFonts w:hint="eastAsia" w:ascii="宋体" w:hAnsi="宋体" w:eastAsia="宋体" w:cs="宋体"/>
          <w:color w:val="auto"/>
          <w:sz w:val="84"/>
          <w:szCs w:val="84"/>
        </w:rPr>
      </w:pPr>
      <w:r>
        <w:rPr>
          <w:rFonts w:hint="eastAsia" w:ascii="宋体" w:hAnsi="宋体" w:eastAsia="宋体" w:cs="宋体"/>
          <w:b/>
          <w:bCs/>
          <w:color w:val="auto"/>
          <w:sz w:val="32"/>
          <w:szCs w:val="32"/>
        </w:rPr>
        <w:t>××××××（谈判供应商名称）</w:t>
      </w:r>
    </w:p>
    <w:p>
      <w:pPr>
        <w:snapToGrid w:val="0"/>
        <w:spacing w:before="360" w:beforeLines="150" w:after="360" w:afterLines="150" w:line="480" w:lineRule="auto"/>
        <w:jc w:val="center"/>
        <w:rPr>
          <w:rFonts w:hint="eastAsia" w:ascii="宋体" w:hAnsi="宋体" w:eastAsia="宋体" w:cs="宋体"/>
          <w:bCs/>
          <w:color w:val="auto"/>
          <w:sz w:val="72"/>
          <w:szCs w:val="72"/>
        </w:rPr>
      </w:pPr>
      <w:r>
        <w:rPr>
          <w:rFonts w:hint="eastAsia" w:ascii="宋体" w:hAnsi="宋体" w:eastAsia="宋体" w:cs="宋体"/>
          <w:color w:val="auto"/>
          <w:sz w:val="72"/>
          <w:szCs w:val="72"/>
        </w:rPr>
        <w:t>竞争性谈判响应文件</w:t>
      </w:r>
    </w:p>
    <w:p>
      <w:pPr>
        <w:snapToGrid w:val="0"/>
        <w:spacing w:before="240" w:beforeLines="100" w:after="240" w:afterLines="100" w:line="360" w:lineRule="auto"/>
        <w:ind w:firstLine="1600" w:firstLineChars="500"/>
        <w:rPr>
          <w:rFonts w:hint="eastAsia" w:ascii="宋体" w:hAnsi="宋体" w:eastAsia="宋体" w:cs="宋体"/>
          <w:bCs/>
          <w:color w:val="auto"/>
          <w:sz w:val="32"/>
          <w:szCs w:val="32"/>
        </w:rPr>
      </w:pPr>
    </w:p>
    <w:p>
      <w:pPr>
        <w:snapToGrid w:val="0"/>
        <w:spacing w:before="240" w:beforeLines="100" w:after="240" w:afterLines="100" w:line="360" w:lineRule="auto"/>
        <w:ind w:firstLine="1600" w:firstLineChars="5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项目名称： </w:t>
      </w:r>
    </w:p>
    <w:p>
      <w:pPr>
        <w:snapToGrid w:val="0"/>
        <w:spacing w:before="240" w:beforeLines="100" w:after="240" w:afterLines="100" w:line="360" w:lineRule="auto"/>
        <w:ind w:firstLine="1600" w:firstLineChars="5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snapToGrid w:val="0"/>
        <w:spacing w:before="240" w:beforeLines="100" w:after="240" w:afterLines="100" w:line="440" w:lineRule="exact"/>
        <w:ind w:firstLine="960" w:firstLineChars="300"/>
        <w:rPr>
          <w:rFonts w:hint="eastAsia" w:ascii="宋体" w:hAnsi="宋体" w:eastAsia="宋体" w:cs="宋体"/>
          <w:bCs/>
          <w:color w:val="auto"/>
          <w:sz w:val="32"/>
          <w:szCs w:val="32"/>
        </w:rPr>
      </w:pPr>
    </w:p>
    <w:p>
      <w:pPr>
        <w:snapToGrid w:val="0"/>
        <w:spacing w:before="240" w:beforeLines="100" w:after="240" w:afterLines="100" w:line="440" w:lineRule="exact"/>
        <w:ind w:firstLine="960" w:firstLineChars="300"/>
        <w:rPr>
          <w:rFonts w:hint="eastAsia" w:ascii="宋体" w:hAnsi="宋体" w:eastAsia="宋体" w:cs="宋体"/>
          <w:color w:val="auto"/>
          <w:sz w:val="32"/>
          <w:szCs w:val="32"/>
        </w:rPr>
      </w:pPr>
      <w:r>
        <w:rPr>
          <w:rFonts w:hint="eastAsia" w:ascii="宋体" w:hAnsi="宋体" w:eastAsia="宋体" w:cs="宋体"/>
          <w:bCs/>
          <w:color w:val="auto"/>
          <w:sz w:val="32"/>
          <w:szCs w:val="32"/>
        </w:rPr>
        <w:t>谈判供应商（加盖单位公章）：</w:t>
      </w:r>
      <w:r>
        <w:rPr>
          <w:rFonts w:hint="eastAsia" w:ascii="宋体" w:hAnsi="宋体" w:eastAsia="宋体" w:cs="宋体"/>
          <w:bCs/>
          <w:color w:val="auto"/>
          <w:sz w:val="32"/>
          <w:szCs w:val="32"/>
          <w:u w:val="single"/>
        </w:rPr>
        <w:t xml:space="preserve">                           </w:t>
      </w:r>
      <w:r>
        <w:rPr>
          <w:rFonts w:hint="eastAsia" w:ascii="宋体" w:hAnsi="宋体" w:eastAsia="宋体" w:cs="宋体"/>
          <w:bCs/>
          <w:color w:val="auto"/>
          <w:sz w:val="32"/>
          <w:szCs w:val="32"/>
        </w:rPr>
        <w:t xml:space="preserve">                       </w:t>
      </w:r>
    </w:p>
    <w:p>
      <w:pPr>
        <w:snapToGrid w:val="0"/>
        <w:spacing w:before="240" w:beforeLines="100" w:after="240" w:afterLines="100" w:line="440" w:lineRule="exact"/>
        <w:ind w:firstLine="960" w:firstLineChars="300"/>
        <w:rPr>
          <w:rFonts w:hint="eastAsia" w:ascii="宋体" w:hAnsi="宋体" w:eastAsia="宋体" w:cs="宋体"/>
          <w:bCs/>
          <w:color w:val="auto"/>
          <w:sz w:val="32"/>
          <w:szCs w:val="32"/>
        </w:rPr>
      </w:pPr>
      <w:r>
        <w:rPr>
          <w:rFonts w:hint="eastAsia" w:ascii="宋体" w:hAnsi="宋体" w:eastAsia="宋体" w:cs="宋体"/>
          <w:bCs/>
          <w:color w:val="auto"/>
          <w:sz w:val="32"/>
          <w:szCs w:val="32"/>
        </w:rPr>
        <w:t>地  址：</w:t>
      </w:r>
      <w:r>
        <w:rPr>
          <w:rFonts w:hint="eastAsia" w:ascii="宋体" w:hAnsi="宋体" w:eastAsia="宋体" w:cs="宋体"/>
          <w:bCs/>
          <w:color w:val="auto"/>
          <w:sz w:val="32"/>
          <w:szCs w:val="32"/>
          <w:u w:val="single"/>
        </w:rPr>
        <w:t xml:space="preserve">                                          </w:t>
      </w:r>
      <w:r>
        <w:rPr>
          <w:rFonts w:hint="eastAsia" w:ascii="宋体" w:hAnsi="宋体" w:eastAsia="宋体" w:cs="宋体"/>
          <w:bCs/>
          <w:color w:val="auto"/>
          <w:sz w:val="32"/>
          <w:szCs w:val="32"/>
        </w:rPr>
        <w:t xml:space="preserve">                       </w:t>
      </w:r>
    </w:p>
    <w:p>
      <w:pPr>
        <w:snapToGrid w:val="0"/>
        <w:spacing w:before="240" w:beforeLines="100" w:after="240" w:afterLines="100" w:line="440" w:lineRule="exact"/>
        <w:ind w:firstLine="960" w:firstLineChars="300"/>
        <w:rPr>
          <w:rFonts w:hint="eastAsia" w:ascii="宋体" w:hAnsi="宋体" w:eastAsia="宋体" w:cs="宋体"/>
          <w:bCs/>
          <w:color w:val="auto"/>
          <w:sz w:val="32"/>
          <w:szCs w:val="32"/>
        </w:rPr>
      </w:pPr>
      <w:r>
        <w:rPr>
          <w:rFonts w:hint="eastAsia" w:ascii="宋体" w:hAnsi="宋体" w:eastAsia="宋体" w:cs="宋体"/>
          <w:bCs/>
          <w:color w:val="auto"/>
          <w:sz w:val="32"/>
          <w:szCs w:val="32"/>
        </w:rPr>
        <w:t>联系电话：</w:t>
      </w:r>
      <w:r>
        <w:rPr>
          <w:rFonts w:hint="eastAsia" w:ascii="宋体" w:hAnsi="宋体" w:eastAsia="宋体" w:cs="宋体"/>
          <w:bCs/>
          <w:color w:val="auto"/>
          <w:sz w:val="32"/>
          <w:szCs w:val="32"/>
          <w:u w:val="single"/>
        </w:rPr>
        <w:t xml:space="preserve">                                        </w:t>
      </w:r>
    </w:p>
    <w:p>
      <w:pPr>
        <w:snapToGrid w:val="0"/>
        <w:spacing w:before="240" w:beforeLines="100" w:after="240" w:afterLines="100" w:line="440" w:lineRule="exact"/>
        <w:ind w:firstLine="960" w:firstLineChars="300"/>
        <w:rPr>
          <w:rFonts w:hint="eastAsia" w:ascii="宋体" w:hAnsi="宋体" w:eastAsia="宋体" w:cs="宋体"/>
          <w:bCs/>
          <w:color w:val="auto"/>
          <w:sz w:val="32"/>
          <w:szCs w:val="32"/>
          <w:u w:val="single"/>
        </w:rPr>
      </w:pPr>
      <w:r>
        <w:rPr>
          <w:rFonts w:hint="eastAsia" w:ascii="宋体" w:hAnsi="宋体" w:eastAsia="宋体" w:cs="宋体"/>
          <w:bCs/>
          <w:color w:val="auto"/>
          <w:sz w:val="32"/>
          <w:szCs w:val="32"/>
        </w:rPr>
        <w:t>法定代表人（负责人）或委托代理人签字：</w:t>
      </w:r>
      <w:r>
        <w:rPr>
          <w:rFonts w:hint="eastAsia" w:ascii="宋体" w:hAnsi="宋体" w:eastAsia="宋体" w:cs="宋体"/>
          <w:bCs/>
          <w:color w:val="auto"/>
          <w:sz w:val="32"/>
          <w:szCs w:val="32"/>
          <w:u w:val="single"/>
        </w:rPr>
        <w:t xml:space="preserve">              </w:t>
      </w:r>
    </w:p>
    <w:p>
      <w:pPr>
        <w:pStyle w:val="24"/>
        <w:spacing w:before="240" w:beforeLines="100" w:after="240" w:afterLines="100" w:line="440" w:lineRule="exact"/>
        <w:ind w:firstLine="960" w:firstLineChars="300"/>
        <w:rPr>
          <w:rFonts w:hint="eastAsia" w:ascii="宋体" w:hAnsi="宋体" w:eastAsia="宋体" w:cs="宋体"/>
          <w:b/>
          <w:color w:val="auto"/>
          <w:sz w:val="30"/>
          <w:szCs w:val="30"/>
        </w:rPr>
      </w:pPr>
      <w:r>
        <w:rPr>
          <w:rFonts w:hint="eastAsia" w:ascii="宋体" w:hAnsi="宋体" w:eastAsia="宋体" w:cs="宋体"/>
          <w:bCs/>
          <w:color w:val="auto"/>
          <w:sz w:val="32"/>
          <w:szCs w:val="32"/>
        </w:rPr>
        <w:t>日期：</w:t>
      </w:r>
      <w:r>
        <w:rPr>
          <w:rFonts w:hint="eastAsia" w:ascii="宋体" w:hAnsi="宋体" w:eastAsia="宋体" w:cs="宋体"/>
          <w:bCs/>
          <w:color w:val="auto"/>
          <w:sz w:val="32"/>
          <w:szCs w:val="32"/>
          <w:u w:val="single"/>
        </w:rPr>
        <w:t xml:space="preserve">                                        </w:t>
      </w:r>
    </w:p>
    <w:p>
      <w:pPr>
        <w:pStyle w:val="24"/>
        <w:spacing w:before="5" w:after="5" w:line="360" w:lineRule="exact"/>
        <w:rPr>
          <w:rFonts w:hint="eastAsia" w:ascii="宋体" w:hAnsi="宋体" w:eastAsia="宋体" w:cs="宋体"/>
          <w:b/>
          <w:color w:val="auto"/>
          <w:sz w:val="32"/>
        </w:rPr>
      </w:pPr>
    </w:p>
    <w:p>
      <w:pPr>
        <w:pStyle w:val="24"/>
        <w:spacing w:before="5" w:after="5" w:line="360" w:lineRule="exact"/>
        <w:rPr>
          <w:rFonts w:hint="eastAsia" w:ascii="宋体" w:hAnsi="宋体" w:eastAsia="宋体" w:cs="宋体"/>
          <w:b/>
          <w:color w:val="auto"/>
          <w:sz w:val="32"/>
        </w:rPr>
      </w:pPr>
    </w:p>
    <w:p>
      <w:pPr>
        <w:pStyle w:val="24"/>
        <w:spacing w:before="5" w:after="5" w:line="360" w:lineRule="exact"/>
        <w:rPr>
          <w:rFonts w:hint="eastAsia" w:ascii="宋体" w:hAnsi="宋体" w:eastAsia="宋体" w:cs="宋体"/>
          <w:b/>
          <w:color w:val="auto"/>
          <w:sz w:val="32"/>
        </w:rPr>
      </w:pPr>
    </w:p>
    <w:p>
      <w:pPr>
        <w:pStyle w:val="24"/>
        <w:spacing w:before="5" w:after="5" w:line="360" w:lineRule="exact"/>
        <w:rPr>
          <w:rFonts w:hint="eastAsia" w:ascii="宋体" w:hAnsi="宋体" w:eastAsia="宋体" w:cs="宋体"/>
          <w:b/>
          <w:color w:val="auto"/>
          <w:sz w:val="32"/>
        </w:rPr>
      </w:pPr>
    </w:p>
    <w:p>
      <w:pPr>
        <w:pStyle w:val="24"/>
        <w:spacing w:before="5" w:after="5" w:line="360" w:lineRule="exact"/>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pPr>
        <w:spacing w:line="5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（页码及文件顺序由谈判供应商自行编制）</w:t>
      </w:r>
    </w:p>
    <w:p>
      <w:pPr>
        <w:spacing w:line="500" w:lineRule="exact"/>
        <w:ind w:firstLine="420" w:firstLineChars="200"/>
        <w:jc w:val="center"/>
        <w:rPr>
          <w:rFonts w:hint="eastAsia" w:ascii="宋体" w:hAnsi="宋体" w:eastAsia="宋体" w:cs="宋体"/>
          <w:color w:val="auto"/>
        </w:rPr>
      </w:pPr>
    </w:p>
    <w:p>
      <w:pPr>
        <w:numPr>
          <w:ilvl w:val="0"/>
          <w:numId w:val="35"/>
        </w:numPr>
        <w:spacing w:line="480" w:lineRule="auto"/>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谈判书……………………………………………………………………</w:t>
      </w:r>
    </w:p>
    <w:p>
      <w:pPr>
        <w:numPr>
          <w:ilvl w:val="0"/>
          <w:numId w:val="35"/>
        </w:numPr>
        <w:spacing w:line="480" w:lineRule="auto"/>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谈判报价表………………………………………………………………</w:t>
      </w:r>
    </w:p>
    <w:p>
      <w:pPr>
        <w:numPr>
          <w:ilvl w:val="0"/>
          <w:numId w:val="35"/>
        </w:numPr>
        <w:spacing w:line="480" w:lineRule="auto"/>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技术规格偏离表…………………………………………………………</w:t>
      </w:r>
    </w:p>
    <w:p>
      <w:pPr>
        <w:numPr>
          <w:ilvl w:val="0"/>
          <w:numId w:val="35"/>
        </w:numPr>
        <w:spacing w:line="48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服务承诺书…………………………………………………………</w:t>
      </w:r>
    </w:p>
    <w:p>
      <w:pPr>
        <w:pStyle w:val="24"/>
        <w:numPr>
          <w:ilvl w:val="0"/>
          <w:numId w:val="35"/>
        </w:numPr>
        <w:spacing w:line="48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谈判供应商资格证明文件</w:t>
      </w:r>
      <w:r>
        <w:rPr>
          <w:rFonts w:hint="eastAsia" w:ascii="宋体" w:hAnsi="宋体" w:eastAsia="宋体" w:cs="宋体"/>
          <w:color w:val="auto"/>
          <w:szCs w:val="21"/>
        </w:rPr>
        <w:t>（按照“谈判供应商须知”第12条要求提供）</w:t>
      </w:r>
      <w:r>
        <w:rPr>
          <w:rFonts w:hint="eastAsia" w:ascii="宋体" w:hAnsi="宋体" w:eastAsia="宋体" w:cs="宋体"/>
          <w:color w:val="auto"/>
          <w:sz w:val="28"/>
          <w:szCs w:val="28"/>
        </w:rPr>
        <w:t>………</w:t>
      </w:r>
    </w:p>
    <w:p>
      <w:pPr>
        <w:pStyle w:val="24"/>
        <w:spacing w:line="48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授权委托书………………………………………………</w:t>
      </w:r>
    </w:p>
    <w:p>
      <w:pPr>
        <w:pStyle w:val="24"/>
        <w:numPr>
          <w:ilvl w:val="0"/>
          <w:numId w:val="36"/>
        </w:numPr>
        <w:spacing w:line="480" w:lineRule="auto"/>
        <w:ind w:firstLine="560" w:firstLineChars="200"/>
        <w:rPr>
          <w:rFonts w:hint="eastAsia" w:hAnsi="宋体" w:cs="宋体"/>
          <w:sz w:val="28"/>
          <w:szCs w:val="28"/>
        </w:rPr>
      </w:pPr>
      <w:r>
        <w:rPr>
          <w:rFonts w:hint="eastAsia" w:hAnsi="宋体" w:cs="宋体"/>
          <w:sz w:val="28"/>
          <w:szCs w:val="28"/>
          <w:lang w:val="en-US" w:eastAsia="zh-CN"/>
        </w:rPr>
        <w:t xml:space="preserve"> 项目设计方案(由谈判供应商就《项目需求》要求自行填写)</w:t>
      </w:r>
      <w:r>
        <w:rPr>
          <w:rFonts w:hint="eastAsia" w:hAnsi="宋体" w:cs="宋体"/>
          <w:sz w:val="28"/>
          <w:szCs w:val="28"/>
        </w:rPr>
        <w:t>…………………………………………………………………………………</w:t>
      </w:r>
    </w:p>
    <w:p>
      <w:pPr>
        <w:pStyle w:val="24"/>
        <w:numPr>
          <w:ilvl w:val="0"/>
          <w:numId w:val="36"/>
        </w:numPr>
        <w:spacing w:line="480" w:lineRule="auto"/>
        <w:ind w:left="0" w:leftChars="0" w:firstLine="560" w:firstLineChars="200"/>
        <w:rPr>
          <w:rFonts w:hint="eastAsia" w:ascii="宋体" w:hAnsi="宋体" w:eastAsia="宋体" w:cs="宋体"/>
          <w:color w:val="auto"/>
          <w:sz w:val="28"/>
          <w:szCs w:val="28"/>
        </w:rPr>
      </w:pPr>
      <w:r>
        <w:rPr>
          <w:rFonts w:hint="eastAsia" w:hAnsi="宋体" w:cs="宋体"/>
          <w:color w:val="auto"/>
          <w:sz w:val="28"/>
          <w:szCs w:val="28"/>
          <w:lang w:val="en-US" w:eastAsia="zh-CN"/>
        </w:rPr>
        <w:t xml:space="preserve"> </w:t>
      </w:r>
      <w:r>
        <w:rPr>
          <w:rFonts w:hint="eastAsia" w:ascii="宋体" w:hAnsi="宋体" w:eastAsia="宋体" w:cs="宋体"/>
          <w:color w:val="auto"/>
          <w:sz w:val="28"/>
          <w:szCs w:val="28"/>
        </w:rPr>
        <w:t>谈判供应商认为有必要提供的其他有关材料…………………………</w:t>
      </w:r>
    </w:p>
    <w:p>
      <w:pPr>
        <w:pStyle w:val="24"/>
        <w:spacing w:before="5" w:after="5" w:line="360" w:lineRule="auto"/>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p>
    <w:p>
      <w:pPr>
        <w:pStyle w:val="24"/>
        <w:spacing w:before="5" w:after="5" w:line="360" w:lineRule="exact"/>
        <w:rPr>
          <w:rFonts w:hint="eastAsia" w:ascii="宋体" w:hAnsi="宋体" w:eastAsia="宋体" w:cs="宋体"/>
          <w:b/>
          <w:color w:val="auto"/>
          <w:sz w:val="32"/>
          <w:szCs w:val="32"/>
        </w:rPr>
      </w:pPr>
    </w:p>
    <w:p>
      <w:pPr>
        <w:pStyle w:val="24"/>
        <w:spacing w:before="5" w:after="5" w:line="3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一、谈判书 （格 式）</w:t>
      </w:r>
    </w:p>
    <w:p>
      <w:pPr>
        <w:pStyle w:val="24"/>
        <w:spacing w:before="5" w:after="5" w:line="360" w:lineRule="exact"/>
        <w:jc w:val="center"/>
        <w:rPr>
          <w:rFonts w:hint="eastAsia" w:ascii="宋体" w:hAnsi="宋体" w:eastAsia="宋体" w:cs="宋体"/>
          <w:b/>
          <w:color w:val="auto"/>
          <w:sz w:val="32"/>
        </w:rPr>
      </w:pPr>
    </w:p>
    <w:p>
      <w:pPr>
        <w:spacing w:before="5" w:after="5" w:line="360" w:lineRule="exact"/>
        <w:rPr>
          <w:rFonts w:hint="eastAsia" w:ascii="宋体" w:hAnsi="宋体" w:eastAsia="宋体" w:cs="宋体"/>
          <w:b/>
          <w:color w:val="auto"/>
          <w:szCs w:val="21"/>
          <w:u w:val="single"/>
          <w:lang w:eastAsia="zh-CN"/>
        </w:rPr>
      </w:pPr>
      <w:r>
        <w:rPr>
          <w:rFonts w:hint="eastAsia" w:ascii="宋体" w:hAnsi="宋体" w:eastAsia="宋体" w:cs="宋体"/>
          <w:color w:val="auto"/>
        </w:rPr>
        <w:t>致：</w:t>
      </w:r>
      <w:r>
        <w:rPr>
          <w:rFonts w:hint="eastAsia" w:ascii="宋体" w:hAnsi="宋体" w:cs="宋体"/>
          <w:color w:val="auto"/>
          <w:szCs w:val="21"/>
          <w:u w:val="single"/>
          <w:lang w:eastAsia="zh-CN"/>
        </w:rPr>
        <w:t>广西旭航工程咨询有限公司</w:t>
      </w:r>
    </w:p>
    <w:p>
      <w:pPr>
        <w:pStyle w:val="24"/>
        <w:spacing w:before="100" w:beforeAutospacing="1" w:after="100" w:afterAutospacing="1" w:line="360" w:lineRule="exact"/>
        <w:ind w:firstLine="500" w:firstLineChars="200"/>
        <w:jc w:val="left"/>
        <w:rPr>
          <w:rFonts w:hint="eastAsia" w:ascii="宋体" w:hAnsi="宋体" w:eastAsia="宋体" w:cs="宋体"/>
          <w:color w:val="auto"/>
        </w:rPr>
      </w:pPr>
      <w:r>
        <w:rPr>
          <w:rFonts w:hint="eastAsia" w:ascii="宋体" w:hAnsi="宋体" w:eastAsia="宋体" w:cs="宋体"/>
          <w:color w:val="auto"/>
          <w:spacing w:val="20"/>
        </w:rPr>
        <w:t>根据贵方</w:t>
      </w:r>
      <w:r>
        <w:rPr>
          <w:rFonts w:hint="eastAsia" w:ascii="宋体" w:hAnsi="宋体" w:eastAsia="宋体" w:cs="宋体"/>
          <w:color w:val="auto"/>
          <w:szCs w:val="21"/>
          <w:u w:val="single"/>
        </w:rPr>
        <w:t xml:space="preserve">                </w:t>
      </w:r>
      <w:r>
        <w:rPr>
          <w:rFonts w:hint="eastAsia" w:ascii="宋体" w:hAnsi="宋体" w:eastAsia="宋体" w:cs="宋体"/>
          <w:color w:val="auto"/>
          <w:spacing w:val="20"/>
        </w:rPr>
        <w:t>项目竞争性谈判文件，项目编号</w:t>
      </w:r>
      <w:r>
        <w:rPr>
          <w:rFonts w:hint="eastAsia" w:ascii="宋体" w:hAnsi="宋体" w:eastAsia="宋体" w:cs="宋体"/>
          <w:color w:val="auto"/>
          <w:kern w:val="0"/>
          <w:szCs w:val="21"/>
          <w:u w:val="single"/>
        </w:rPr>
        <w:t xml:space="preserve">                  </w:t>
      </w:r>
      <w:r>
        <w:rPr>
          <w:rFonts w:hint="eastAsia" w:ascii="宋体" w:hAnsi="宋体" w:eastAsia="宋体" w:cs="宋体"/>
          <w:color w:val="auto"/>
          <w:spacing w:val="20"/>
        </w:rPr>
        <w:t>，正式授权下述签字人</w:t>
      </w:r>
      <w:r>
        <w:rPr>
          <w:rFonts w:hint="eastAsia" w:ascii="宋体" w:hAnsi="宋体" w:eastAsia="宋体" w:cs="宋体"/>
          <w:color w:val="auto"/>
          <w:spacing w:val="20"/>
          <w:u w:val="single"/>
        </w:rPr>
        <w:t xml:space="preserve">        </w:t>
      </w:r>
      <w:r>
        <w:rPr>
          <w:rFonts w:hint="eastAsia" w:ascii="宋体" w:hAnsi="宋体" w:eastAsia="宋体" w:cs="宋体"/>
          <w:color w:val="auto"/>
          <w:spacing w:val="20"/>
        </w:rPr>
        <w:t>（姓名和职务）</w:t>
      </w:r>
      <w:r>
        <w:rPr>
          <w:rFonts w:hint="eastAsia" w:ascii="宋体" w:hAnsi="宋体" w:eastAsia="宋体" w:cs="宋体"/>
          <w:color w:val="auto"/>
        </w:rPr>
        <w:t>代表谈判供应商</w:t>
      </w:r>
      <w:r>
        <w:rPr>
          <w:rFonts w:hint="eastAsia" w:ascii="宋体" w:hAnsi="宋体" w:eastAsia="宋体" w:cs="宋体"/>
          <w:color w:val="auto"/>
          <w:u w:val="single"/>
        </w:rPr>
        <w:t xml:space="preserve">          （</w:t>
      </w:r>
      <w:r>
        <w:rPr>
          <w:rFonts w:hint="eastAsia" w:ascii="宋体" w:hAnsi="宋体" w:eastAsia="宋体" w:cs="宋体"/>
          <w:color w:val="auto"/>
        </w:rPr>
        <w:t>谈判供应商单位名称），提交下述文件正本一份，副本三份。</w:t>
      </w:r>
    </w:p>
    <w:p>
      <w:pPr>
        <w:pStyle w:val="24"/>
        <w:spacing w:before="5" w:after="5" w:line="360" w:lineRule="exact"/>
        <w:rPr>
          <w:rFonts w:hint="eastAsia" w:ascii="宋体" w:hAnsi="宋体" w:eastAsia="宋体" w:cs="宋体"/>
          <w:color w:val="auto"/>
        </w:rPr>
      </w:pPr>
      <w:r>
        <w:rPr>
          <w:rFonts w:hint="eastAsia" w:ascii="宋体" w:hAnsi="宋体" w:eastAsia="宋体" w:cs="宋体"/>
          <w:color w:val="auto"/>
        </w:rPr>
        <w:t>据此函，签字人兹宣布同意如下：</w:t>
      </w:r>
    </w:p>
    <w:p>
      <w:pPr>
        <w:pStyle w:val="24"/>
        <w:spacing w:before="5" w:after="5" w:line="360" w:lineRule="exact"/>
        <w:ind w:firstLine="420" w:firstLineChars="200"/>
        <w:rPr>
          <w:rFonts w:hint="eastAsia" w:ascii="宋体" w:hAnsi="宋体" w:eastAsia="宋体" w:cs="宋体"/>
          <w:color w:val="auto"/>
        </w:rPr>
      </w:pPr>
      <w:r>
        <w:rPr>
          <w:rFonts w:hint="eastAsia" w:ascii="宋体" w:hAnsi="宋体" w:eastAsia="宋体" w:cs="宋体"/>
          <w:color w:val="auto"/>
        </w:rPr>
        <w:t>1、我方同意在谈判供应商须知规定的开标日期起遵循本竞争性谈判响应文件，并在谈判供应商须知第13条规定的谈判有效期满之前均具有约束力，并有可能成交。</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2、我方承诺已经具备《中华人民共和国政府采购法》中规定的参加政府采购活动的供应商应当具备的条件：</w:t>
      </w:r>
    </w:p>
    <w:p>
      <w:pPr>
        <w:pStyle w:val="24"/>
        <w:numPr>
          <w:ilvl w:val="0"/>
          <w:numId w:val="4"/>
        </w:numPr>
        <w:spacing w:before="5" w:after="5" w:line="360" w:lineRule="exact"/>
        <w:rPr>
          <w:rFonts w:hint="eastAsia" w:ascii="宋体" w:hAnsi="宋体" w:eastAsia="宋体" w:cs="宋体"/>
          <w:color w:val="auto"/>
        </w:rPr>
      </w:pPr>
      <w:r>
        <w:rPr>
          <w:rFonts w:hint="eastAsia" w:ascii="宋体" w:hAnsi="宋体" w:eastAsia="宋体" w:cs="宋体"/>
          <w:color w:val="auto"/>
        </w:rPr>
        <w:t>具有独立承担民事责任的能力；</w:t>
      </w:r>
    </w:p>
    <w:p>
      <w:pPr>
        <w:pStyle w:val="24"/>
        <w:numPr>
          <w:ilvl w:val="0"/>
          <w:numId w:val="4"/>
        </w:numPr>
        <w:spacing w:before="5" w:after="5" w:line="360" w:lineRule="exact"/>
        <w:rPr>
          <w:rFonts w:hint="eastAsia" w:ascii="宋体" w:hAnsi="宋体" w:eastAsia="宋体" w:cs="宋体"/>
          <w:color w:val="auto"/>
        </w:rPr>
      </w:pPr>
      <w:r>
        <w:rPr>
          <w:rFonts w:hint="eastAsia" w:ascii="宋体" w:hAnsi="宋体" w:eastAsia="宋体" w:cs="宋体"/>
          <w:color w:val="auto"/>
        </w:rPr>
        <w:t>具有良好的商业信誉和健全的财务会计制度；</w:t>
      </w:r>
    </w:p>
    <w:p>
      <w:pPr>
        <w:pStyle w:val="24"/>
        <w:numPr>
          <w:ilvl w:val="0"/>
          <w:numId w:val="4"/>
        </w:numPr>
        <w:spacing w:before="5" w:after="5" w:line="360" w:lineRule="exact"/>
        <w:rPr>
          <w:rFonts w:hint="eastAsia" w:ascii="宋体" w:hAnsi="宋体" w:eastAsia="宋体" w:cs="宋体"/>
          <w:color w:val="auto"/>
        </w:rPr>
      </w:pPr>
      <w:r>
        <w:rPr>
          <w:rFonts w:hint="eastAsia" w:ascii="宋体" w:hAnsi="宋体" w:eastAsia="宋体" w:cs="宋体"/>
          <w:color w:val="auto"/>
        </w:rPr>
        <w:t>具有履行合同所必需的设备和专业技术能力；</w:t>
      </w:r>
    </w:p>
    <w:p>
      <w:pPr>
        <w:pStyle w:val="24"/>
        <w:numPr>
          <w:ilvl w:val="0"/>
          <w:numId w:val="4"/>
        </w:numPr>
        <w:spacing w:before="5" w:after="5" w:line="360" w:lineRule="exact"/>
        <w:rPr>
          <w:rFonts w:hint="eastAsia" w:ascii="宋体" w:hAnsi="宋体" w:eastAsia="宋体" w:cs="宋体"/>
          <w:color w:val="auto"/>
        </w:rPr>
      </w:pPr>
      <w:r>
        <w:rPr>
          <w:rFonts w:hint="eastAsia" w:ascii="宋体" w:hAnsi="宋体" w:eastAsia="宋体" w:cs="宋体"/>
          <w:color w:val="auto"/>
        </w:rPr>
        <w:t>有依法缴纳税收和社会保障资金的良好记录；</w:t>
      </w:r>
    </w:p>
    <w:p>
      <w:pPr>
        <w:pStyle w:val="24"/>
        <w:numPr>
          <w:ilvl w:val="0"/>
          <w:numId w:val="4"/>
        </w:numPr>
        <w:spacing w:before="5" w:after="5" w:line="360" w:lineRule="exact"/>
        <w:rPr>
          <w:rFonts w:hint="eastAsia" w:ascii="宋体" w:hAnsi="宋体" w:eastAsia="宋体" w:cs="宋体"/>
          <w:color w:val="auto"/>
        </w:rPr>
      </w:pPr>
      <w:r>
        <w:rPr>
          <w:rFonts w:hint="eastAsia" w:ascii="宋体" w:hAnsi="宋体" w:eastAsia="宋体" w:cs="宋体"/>
          <w:color w:val="auto"/>
        </w:rPr>
        <w:t>参加此项采购活动前三年内，在经营活动中没有重大违法记录。</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3、我方根据竞争性谈判文件的规定，承担完成合同的责任和义务。</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4、我方已详细审核竞争性谈判文件，我方知道必须放弃提出含糊不清或误解问题的权利。</w:t>
      </w:r>
    </w:p>
    <w:p>
      <w:pPr>
        <w:pStyle w:val="24"/>
        <w:spacing w:before="5" w:after="5" w:line="360" w:lineRule="exact"/>
        <w:ind w:firstLine="420" w:firstLineChars="200"/>
        <w:rPr>
          <w:rFonts w:hint="eastAsia" w:ascii="宋体" w:hAnsi="宋体" w:eastAsia="宋体" w:cs="宋体"/>
          <w:color w:val="auto"/>
        </w:rPr>
      </w:pPr>
      <w:r>
        <w:rPr>
          <w:rFonts w:hint="eastAsia" w:ascii="宋体" w:hAnsi="宋体" w:eastAsia="宋体" w:cs="宋体"/>
          <w:color w:val="auto"/>
        </w:rPr>
        <w:t>5、如果在谈判截止时间后的谈判有效期内撤回谈判或者有其他违约行为，我方的谈判保证金可被贵方全部没收。我方承诺在收到成交通知书后，在成交通知书规定的期限内与采购方签订合同。</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6、同意向贵方提供贵方可能要求的与本谈判有关的任何数据或资料。</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7、我方完全理解贵方不一定要接受最低谈判的谈判供应商为成交供应商。</w:t>
      </w:r>
    </w:p>
    <w:p>
      <w:pPr>
        <w:pStyle w:val="24"/>
        <w:spacing w:before="5" w:after="5" w:line="360" w:lineRule="exact"/>
        <w:ind w:firstLine="420" w:firstLineChars="200"/>
        <w:rPr>
          <w:rFonts w:hint="eastAsia" w:ascii="宋体" w:hAnsi="宋体" w:eastAsia="宋体" w:cs="宋体"/>
          <w:color w:val="auto"/>
        </w:rPr>
      </w:pPr>
      <w:r>
        <w:rPr>
          <w:rFonts w:hint="eastAsia" w:ascii="宋体" w:hAnsi="宋体" w:eastAsia="宋体" w:cs="宋体"/>
          <w:color w:val="auto"/>
        </w:rPr>
        <w:t>8、若贵方需要，我方愿意提供我方作出的一切承诺的证明材料。</w:t>
      </w:r>
    </w:p>
    <w:p>
      <w:pPr>
        <w:pStyle w:val="24"/>
        <w:spacing w:before="5" w:after="5" w:line="360" w:lineRule="exact"/>
        <w:ind w:firstLine="338" w:firstLineChars="161"/>
        <w:rPr>
          <w:rFonts w:hint="eastAsia" w:ascii="宋体" w:hAnsi="宋体" w:eastAsia="宋体" w:cs="宋体"/>
          <w:color w:val="auto"/>
        </w:rPr>
      </w:pPr>
      <w:r>
        <w:rPr>
          <w:rFonts w:hint="eastAsia" w:ascii="宋体" w:hAnsi="宋体" w:eastAsia="宋体" w:cs="宋体"/>
          <w:color w:val="auto"/>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4"/>
        <w:numPr>
          <w:ilvl w:val="0"/>
          <w:numId w:val="37"/>
        </w:numPr>
        <w:spacing w:before="5" w:after="5" w:line="360" w:lineRule="exact"/>
        <w:rPr>
          <w:rFonts w:hint="eastAsia" w:ascii="宋体" w:hAnsi="宋体" w:eastAsia="宋体" w:cs="宋体"/>
          <w:color w:val="auto"/>
        </w:rPr>
      </w:pPr>
      <w:r>
        <w:rPr>
          <w:rFonts w:hint="eastAsia" w:ascii="宋体" w:hAnsi="宋体" w:eastAsia="宋体" w:cs="宋体"/>
          <w:color w:val="auto"/>
        </w:rPr>
        <w:t>提供虚假材料谋取成交、成交的；</w:t>
      </w:r>
    </w:p>
    <w:p>
      <w:pPr>
        <w:pStyle w:val="24"/>
        <w:numPr>
          <w:ilvl w:val="0"/>
          <w:numId w:val="37"/>
        </w:numPr>
        <w:spacing w:before="5" w:after="5" w:line="360" w:lineRule="exact"/>
        <w:rPr>
          <w:rFonts w:hint="eastAsia" w:ascii="宋体" w:hAnsi="宋体" w:eastAsia="宋体" w:cs="宋体"/>
          <w:color w:val="auto"/>
        </w:rPr>
      </w:pPr>
      <w:r>
        <w:rPr>
          <w:rFonts w:hint="eastAsia" w:ascii="宋体" w:hAnsi="宋体" w:eastAsia="宋体" w:cs="宋体"/>
          <w:color w:val="auto"/>
        </w:rPr>
        <w:t>采取不正当手段诋毁、排挤其他供应商的；</w:t>
      </w:r>
    </w:p>
    <w:p>
      <w:pPr>
        <w:pStyle w:val="24"/>
        <w:numPr>
          <w:ilvl w:val="0"/>
          <w:numId w:val="37"/>
        </w:numPr>
        <w:spacing w:before="5" w:after="5" w:line="360" w:lineRule="exact"/>
        <w:rPr>
          <w:rFonts w:hint="eastAsia" w:ascii="宋体" w:hAnsi="宋体" w:eastAsia="宋体" w:cs="宋体"/>
          <w:color w:val="auto"/>
        </w:rPr>
      </w:pPr>
      <w:r>
        <w:rPr>
          <w:rFonts w:hint="eastAsia" w:ascii="宋体" w:hAnsi="宋体" w:eastAsia="宋体" w:cs="宋体"/>
          <w:color w:val="auto"/>
        </w:rPr>
        <w:t>与采购人、其他供应商或者采购代理机构恶意串通的；</w:t>
      </w:r>
    </w:p>
    <w:p>
      <w:pPr>
        <w:pStyle w:val="24"/>
        <w:numPr>
          <w:ilvl w:val="0"/>
          <w:numId w:val="37"/>
        </w:numPr>
        <w:spacing w:before="5" w:after="5" w:line="360" w:lineRule="exact"/>
        <w:rPr>
          <w:rFonts w:hint="eastAsia" w:ascii="宋体" w:hAnsi="宋体" w:eastAsia="宋体" w:cs="宋体"/>
          <w:color w:val="auto"/>
        </w:rPr>
      </w:pPr>
      <w:r>
        <w:rPr>
          <w:rFonts w:hint="eastAsia" w:ascii="宋体" w:hAnsi="宋体" w:eastAsia="宋体" w:cs="宋体"/>
          <w:color w:val="auto"/>
        </w:rPr>
        <w:t>向采购人、采购代理机构行贿或者提供其他不正当利益的；</w:t>
      </w:r>
    </w:p>
    <w:p>
      <w:pPr>
        <w:pStyle w:val="24"/>
        <w:numPr>
          <w:ilvl w:val="0"/>
          <w:numId w:val="37"/>
        </w:numPr>
        <w:spacing w:before="5" w:after="5" w:line="360" w:lineRule="exact"/>
        <w:rPr>
          <w:rFonts w:hint="eastAsia" w:ascii="宋体" w:hAnsi="宋体" w:eastAsia="宋体" w:cs="宋体"/>
          <w:color w:val="auto"/>
        </w:rPr>
      </w:pPr>
      <w:r>
        <w:rPr>
          <w:rFonts w:hint="eastAsia" w:ascii="宋体" w:hAnsi="宋体" w:eastAsia="宋体" w:cs="宋体"/>
          <w:color w:val="auto"/>
        </w:rPr>
        <w:t>未经采购人同意，在采购过程中与采购人进行协商谈判的；</w:t>
      </w:r>
    </w:p>
    <w:p>
      <w:pPr>
        <w:pStyle w:val="24"/>
        <w:numPr>
          <w:ilvl w:val="0"/>
          <w:numId w:val="37"/>
        </w:numPr>
        <w:spacing w:before="5" w:after="5" w:line="360" w:lineRule="exact"/>
        <w:rPr>
          <w:rFonts w:hint="eastAsia" w:ascii="宋体" w:hAnsi="宋体" w:eastAsia="宋体" w:cs="宋体"/>
          <w:color w:val="auto"/>
        </w:rPr>
      </w:pPr>
      <w:r>
        <w:rPr>
          <w:rFonts w:hint="eastAsia" w:ascii="宋体" w:hAnsi="宋体" w:eastAsia="宋体" w:cs="宋体"/>
          <w:color w:val="auto"/>
        </w:rPr>
        <w:t>拒绝有关部门监督检查或提供虚假情况的。</w:t>
      </w:r>
    </w:p>
    <w:p>
      <w:pPr>
        <w:pStyle w:val="24"/>
        <w:spacing w:before="5" w:after="5" w:line="360" w:lineRule="exact"/>
        <w:rPr>
          <w:rFonts w:hint="eastAsia" w:ascii="宋体" w:hAnsi="宋体" w:eastAsia="宋体" w:cs="宋体"/>
          <w:color w:val="auto"/>
        </w:rPr>
      </w:pPr>
    </w:p>
    <w:p>
      <w:pPr>
        <w:pStyle w:val="24"/>
        <w:spacing w:before="5" w:after="5" w:line="360" w:lineRule="exact"/>
        <w:rPr>
          <w:rFonts w:hint="eastAsia" w:ascii="宋体" w:hAnsi="宋体" w:eastAsia="宋体" w:cs="宋体"/>
          <w:color w:val="auto"/>
        </w:rPr>
      </w:pPr>
    </w:p>
    <w:p>
      <w:pPr>
        <w:pStyle w:val="24"/>
        <w:spacing w:before="5" w:after="5" w:line="360" w:lineRule="exact"/>
        <w:rPr>
          <w:rFonts w:hint="eastAsia" w:ascii="宋体" w:hAnsi="宋体" w:eastAsia="宋体" w:cs="宋体"/>
          <w:color w:val="auto"/>
        </w:rPr>
      </w:pP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与本谈判有关的正式通讯地址为：</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color w:val="auto"/>
          <w:u w:val="single"/>
        </w:rPr>
        <w:t xml:space="preserve">                                </w:t>
      </w:r>
      <w:r>
        <w:rPr>
          <w:rFonts w:hint="eastAsia" w:ascii="宋体" w:hAnsi="宋体" w:eastAsia="宋体" w:cs="宋体"/>
          <w:color w:val="auto"/>
        </w:rPr>
        <w:t xml:space="preserve"> 邮政编码：</w:t>
      </w:r>
      <w:r>
        <w:rPr>
          <w:rFonts w:hint="eastAsia" w:ascii="宋体" w:hAnsi="宋体" w:eastAsia="宋体" w:cs="宋体"/>
          <w:color w:val="auto"/>
          <w:u w:val="single"/>
        </w:rPr>
        <w:t xml:space="preserve">             </w:t>
      </w:r>
    </w:p>
    <w:p>
      <w:pPr>
        <w:pStyle w:val="24"/>
        <w:spacing w:before="5" w:after="5" w:line="360" w:lineRule="exact"/>
        <w:ind w:firstLine="420"/>
        <w:rPr>
          <w:rFonts w:hint="eastAsia" w:ascii="宋体" w:hAnsi="宋体" w:eastAsia="宋体" w:cs="宋体"/>
          <w:color w:val="auto"/>
          <w:u w:val="single"/>
        </w:rPr>
      </w:pPr>
      <w:r>
        <w:rPr>
          <w:rFonts w:hint="eastAsia" w:ascii="宋体" w:hAnsi="宋体" w:eastAsia="宋体" w:cs="宋体"/>
          <w:color w:val="auto"/>
        </w:rPr>
        <w:t>电话、电报、传真或电传：</w:t>
      </w:r>
      <w:r>
        <w:rPr>
          <w:rFonts w:hint="eastAsia" w:ascii="宋体" w:hAnsi="宋体" w:eastAsia="宋体" w:cs="宋体"/>
          <w:color w:val="auto"/>
          <w:u w:val="single"/>
        </w:rPr>
        <w:t xml:space="preserve">                                      </w:t>
      </w:r>
    </w:p>
    <w:p>
      <w:pPr>
        <w:pStyle w:val="24"/>
        <w:spacing w:before="5" w:after="5" w:line="360" w:lineRule="exact"/>
        <w:ind w:firstLine="420"/>
        <w:rPr>
          <w:rFonts w:hint="eastAsia" w:ascii="宋体" w:hAnsi="宋体" w:eastAsia="宋体" w:cs="宋体"/>
          <w:color w:val="auto"/>
          <w:u w:val="single"/>
        </w:rPr>
      </w:pPr>
      <w:r>
        <w:rPr>
          <w:rFonts w:hint="eastAsia" w:ascii="宋体" w:hAnsi="宋体" w:eastAsia="宋体" w:cs="宋体"/>
          <w:color w:val="auto"/>
        </w:rPr>
        <w:t>开户名称：</w:t>
      </w:r>
      <w:r>
        <w:rPr>
          <w:rFonts w:hint="eastAsia" w:ascii="宋体" w:hAnsi="宋体" w:eastAsia="宋体" w:cs="宋体"/>
          <w:color w:val="auto"/>
          <w:u w:val="single"/>
        </w:rPr>
        <w:t xml:space="preserve">                                                    </w:t>
      </w:r>
    </w:p>
    <w:p>
      <w:pPr>
        <w:pStyle w:val="24"/>
        <w:spacing w:before="5" w:after="5" w:line="360" w:lineRule="exact"/>
        <w:ind w:firstLine="420"/>
        <w:rPr>
          <w:rFonts w:hint="eastAsia" w:ascii="宋体" w:hAnsi="宋体" w:eastAsia="宋体" w:cs="宋体"/>
          <w:color w:val="auto"/>
          <w:u w:val="single"/>
        </w:rPr>
      </w:pPr>
      <w:r>
        <w:rPr>
          <w:rFonts w:hint="eastAsia" w:ascii="宋体" w:hAnsi="宋体" w:eastAsia="宋体" w:cs="宋体"/>
          <w:color w:val="auto"/>
        </w:rPr>
        <w:t>开户银行：</w:t>
      </w:r>
      <w:r>
        <w:rPr>
          <w:rFonts w:hint="eastAsia" w:ascii="宋体" w:hAnsi="宋体" w:eastAsia="宋体" w:cs="宋体"/>
          <w:color w:val="auto"/>
          <w:u w:val="single"/>
        </w:rPr>
        <w:t xml:space="preserve">                                                    </w:t>
      </w:r>
    </w:p>
    <w:p>
      <w:pPr>
        <w:pStyle w:val="24"/>
        <w:spacing w:before="5" w:after="5" w:line="360" w:lineRule="exact"/>
        <w:ind w:firstLine="420"/>
        <w:rPr>
          <w:rFonts w:hint="eastAsia" w:ascii="宋体" w:hAnsi="宋体" w:eastAsia="宋体" w:cs="宋体"/>
          <w:color w:val="auto"/>
          <w:u w:val="single"/>
        </w:rPr>
      </w:pPr>
      <w:r>
        <w:rPr>
          <w:rFonts w:hint="eastAsia" w:ascii="宋体" w:hAnsi="宋体" w:eastAsia="宋体" w:cs="宋体"/>
          <w:color w:val="auto"/>
        </w:rPr>
        <w:t>账    号：</w:t>
      </w:r>
      <w:r>
        <w:rPr>
          <w:rFonts w:hint="eastAsia" w:ascii="宋体" w:hAnsi="宋体" w:eastAsia="宋体" w:cs="宋体"/>
          <w:color w:val="auto"/>
          <w:u w:val="single"/>
        </w:rPr>
        <w:t xml:space="preserve">                                                    </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法定代表人（负责人）或委托代理人签字：</w:t>
      </w:r>
      <w:r>
        <w:rPr>
          <w:rFonts w:hint="eastAsia" w:ascii="宋体" w:hAnsi="宋体" w:eastAsia="宋体" w:cs="宋体"/>
          <w:color w:val="auto"/>
          <w:u w:val="single"/>
        </w:rPr>
        <w:t xml:space="preserve">                                  </w:t>
      </w:r>
    </w:p>
    <w:p>
      <w:pPr>
        <w:pStyle w:val="24"/>
        <w:spacing w:before="5" w:after="5" w:line="360" w:lineRule="exact"/>
        <w:ind w:firstLine="420"/>
        <w:rPr>
          <w:rFonts w:hint="eastAsia" w:ascii="宋体" w:hAnsi="宋体" w:eastAsia="宋体" w:cs="宋体"/>
          <w:color w:val="auto"/>
        </w:rPr>
      </w:pPr>
      <w:r>
        <w:rPr>
          <w:rFonts w:hint="eastAsia" w:ascii="宋体" w:hAnsi="宋体" w:eastAsia="宋体" w:cs="宋体"/>
          <w:color w:val="auto"/>
        </w:rPr>
        <w:t>谈判供应商（盖公章）：</w:t>
      </w:r>
      <w:r>
        <w:rPr>
          <w:rFonts w:hint="eastAsia" w:ascii="宋体" w:hAnsi="宋体" w:eastAsia="宋体" w:cs="宋体"/>
          <w:color w:val="auto"/>
          <w:u w:val="single"/>
        </w:rPr>
        <w:t xml:space="preserve">                                             </w:t>
      </w:r>
    </w:p>
    <w:p>
      <w:pPr>
        <w:pStyle w:val="24"/>
        <w:spacing w:before="5" w:after="5" w:line="360" w:lineRule="exact"/>
        <w:ind w:firstLine="420" w:firstLineChars="200"/>
        <w:rPr>
          <w:rFonts w:hint="eastAsia" w:ascii="宋体" w:hAnsi="宋体" w:eastAsia="宋体" w:cs="宋体"/>
          <w:color w:val="auto"/>
          <w:u w:val="single"/>
        </w:rPr>
        <w:sectPr>
          <w:footerReference r:id="rId9" w:type="first"/>
          <w:headerReference r:id="rId7" w:type="default"/>
          <w:footerReference r:id="rId8" w:type="default"/>
          <w:pgSz w:w="11906" w:h="16838"/>
          <w:pgMar w:top="1440" w:right="1080" w:bottom="1440" w:left="1080" w:header="680" w:footer="680" w:gutter="0"/>
          <w:pgNumType w:fmt="decimal"/>
          <w:cols w:space="720" w:num="1"/>
          <w:docGrid w:linePitch="331" w:charSpace="0"/>
        </w:sectPr>
      </w:pPr>
      <w:r>
        <w:rPr>
          <w:rFonts w:hint="eastAsia" w:ascii="宋体" w:hAnsi="宋体" w:eastAsia="宋体" w:cs="宋体"/>
          <w:color w:val="auto"/>
        </w:rPr>
        <w:t>日期：</w:t>
      </w:r>
      <w:r>
        <w:rPr>
          <w:rFonts w:hint="eastAsia" w:ascii="宋体" w:hAnsi="宋体" w:eastAsia="宋体" w:cs="宋体"/>
          <w:color w:val="auto"/>
          <w:u w:val="single"/>
        </w:rPr>
        <w:t xml:space="preserve">                                         </w:t>
      </w:r>
    </w:p>
    <w:p>
      <w:pPr>
        <w:shd w:val="clear" w:color="auto" w:fill="FFFFFF"/>
        <w:jc w:val="center"/>
        <w:rPr>
          <w:rFonts w:hint="eastAsia" w:ascii="宋体" w:hAnsi="宋体" w:eastAsia="宋体" w:cs="宋体"/>
          <w:b/>
          <w:bCs/>
          <w:color w:val="auto"/>
          <w:sz w:val="32"/>
          <w:szCs w:val="32"/>
        </w:rPr>
      </w:pPr>
      <w:bookmarkStart w:id="115" w:name="_Toc137551185"/>
      <w:r>
        <w:rPr>
          <w:rFonts w:hint="eastAsia" w:ascii="宋体" w:hAnsi="宋体" w:eastAsia="宋体" w:cs="宋体"/>
          <w:b/>
          <w:bCs/>
          <w:color w:val="auto"/>
          <w:sz w:val="32"/>
          <w:szCs w:val="32"/>
        </w:rPr>
        <w:t>二、谈判报价表</w:t>
      </w:r>
      <w:bookmarkEnd w:id="115"/>
      <w:r>
        <w:rPr>
          <w:rFonts w:hint="eastAsia" w:ascii="宋体" w:hAnsi="宋体" w:eastAsia="宋体" w:cs="宋体"/>
          <w:b/>
          <w:bCs/>
          <w:color w:val="auto"/>
          <w:sz w:val="32"/>
          <w:szCs w:val="32"/>
        </w:rPr>
        <w:t>（格式）</w:t>
      </w:r>
    </w:p>
    <w:p>
      <w:pPr>
        <w:shd w:val="clear" w:color="auto" w:fill="FFFFFF"/>
        <w:jc w:val="center"/>
        <w:rPr>
          <w:rFonts w:hint="eastAsia" w:ascii="宋体" w:hAnsi="宋体" w:eastAsia="宋体" w:cs="宋体"/>
          <w:color w:val="auto"/>
          <w:szCs w:val="20"/>
        </w:rPr>
      </w:pPr>
      <w:r>
        <w:rPr>
          <w:rFonts w:hint="eastAsia" w:ascii="宋体" w:hAnsi="宋体" w:eastAsia="宋体" w:cs="宋体"/>
          <w:b/>
          <w:bCs/>
          <w:color w:val="auto"/>
          <w:sz w:val="32"/>
          <w:szCs w:val="32"/>
        </w:rPr>
        <w:t> </w:t>
      </w:r>
      <w:r>
        <w:rPr>
          <w:rFonts w:hint="eastAsia" w:ascii="宋体" w:hAnsi="宋体" w:eastAsia="宋体" w:cs="宋体"/>
          <w:color w:val="auto"/>
          <w:szCs w:val="21"/>
        </w:rPr>
        <w:t xml:space="preserve">    </w:t>
      </w:r>
    </w:p>
    <w:tbl>
      <w:tblPr>
        <w:tblStyle w:val="43"/>
        <w:tblpPr w:leftFromText="180" w:rightFromText="180" w:vertAnchor="text" w:horzAnchor="page" w:tblpX="1173" w:tblpY="499"/>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65"/>
        <w:gridCol w:w="810"/>
        <w:gridCol w:w="780"/>
        <w:gridCol w:w="2595"/>
        <w:gridCol w:w="779"/>
        <w:gridCol w:w="111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trPr>
        <w:tc>
          <w:tcPr>
            <w:tcW w:w="915" w:type="dxa"/>
            <w:tcBorders>
              <w:bottom w:val="single" w:color="auto" w:sz="4" w:space="0"/>
            </w:tcBorders>
            <w:noWrap w:val="0"/>
            <w:vAlign w:val="center"/>
          </w:tcPr>
          <w:p>
            <w:pPr>
              <w:pStyle w:val="24"/>
              <w:spacing w:line="400" w:lineRule="exact"/>
              <w:jc w:val="center"/>
              <w:rPr>
                <w:rFonts w:hint="eastAsia" w:hAnsi="宋体"/>
                <w:color w:val="auto"/>
                <w:spacing w:val="-20"/>
                <w:highlight w:val="none"/>
              </w:rPr>
            </w:pPr>
            <w:r>
              <w:rPr>
                <w:rFonts w:hint="eastAsia" w:hAnsi="宋体"/>
                <w:color w:val="auto"/>
                <w:spacing w:val="-20"/>
                <w:highlight w:val="none"/>
              </w:rPr>
              <w:t>序号</w:t>
            </w:r>
          </w:p>
        </w:tc>
        <w:tc>
          <w:tcPr>
            <w:tcW w:w="1665" w:type="dxa"/>
            <w:tcBorders>
              <w:bottom w:val="single" w:color="auto" w:sz="4" w:space="0"/>
            </w:tcBorders>
            <w:noWrap w:val="0"/>
            <w:vAlign w:val="center"/>
          </w:tcPr>
          <w:p>
            <w:pPr>
              <w:tabs>
                <w:tab w:val="left" w:pos="180"/>
                <w:tab w:val="left" w:pos="1620"/>
              </w:tabs>
              <w:spacing w:line="40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名称</w:t>
            </w:r>
          </w:p>
        </w:tc>
        <w:tc>
          <w:tcPr>
            <w:tcW w:w="810" w:type="dxa"/>
            <w:tcBorders>
              <w:bottom w:val="single" w:color="auto" w:sz="4" w:space="0"/>
            </w:tcBorders>
            <w:noWrap w:val="0"/>
            <w:vAlign w:val="center"/>
          </w:tcPr>
          <w:p>
            <w:pPr>
              <w:tabs>
                <w:tab w:val="left" w:pos="180"/>
                <w:tab w:val="left" w:pos="1620"/>
              </w:tabs>
              <w:spacing w:line="40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780" w:type="dxa"/>
            <w:tcBorders>
              <w:bottom w:val="single" w:color="auto" w:sz="4" w:space="0"/>
            </w:tcBorders>
            <w:noWrap w:val="0"/>
            <w:vAlign w:val="center"/>
          </w:tcPr>
          <w:p>
            <w:pPr>
              <w:tabs>
                <w:tab w:val="left" w:pos="180"/>
                <w:tab w:val="left" w:pos="1620"/>
              </w:tabs>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单位</w:t>
            </w:r>
          </w:p>
        </w:tc>
        <w:tc>
          <w:tcPr>
            <w:tcW w:w="2595" w:type="dxa"/>
            <w:tcBorders>
              <w:bottom w:val="single" w:color="auto" w:sz="4" w:space="0"/>
            </w:tcBorders>
            <w:noWrap w:val="0"/>
            <w:vAlign w:val="center"/>
          </w:tcPr>
          <w:p>
            <w:pPr>
              <w:tabs>
                <w:tab w:val="left" w:pos="180"/>
                <w:tab w:val="left" w:pos="1620"/>
              </w:tabs>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服务内容</w:t>
            </w:r>
          </w:p>
        </w:tc>
        <w:tc>
          <w:tcPr>
            <w:tcW w:w="779" w:type="dxa"/>
            <w:tcBorders>
              <w:bottom w:val="single" w:color="auto" w:sz="4" w:space="0"/>
            </w:tcBorders>
            <w:noWrap w:val="0"/>
            <w:vAlign w:val="center"/>
          </w:tcPr>
          <w:p>
            <w:pPr>
              <w:jc w:val="center"/>
              <w:rPr>
                <w:rFonts w:hint="eastAsia" w:ascii="宋体" w:hAnsi="宋体" w:eastAsia="宋体" w:cs="宋体"/>
                <w:b w:val="0"/>
                <w:bCs/>
                <w:color w:val="auto"/>
                <w:szCs w:val="20"/>
              </w:rPr>
            </w:pPr>
            <w:r>
              <w:rPr>
                <w:rFonts w:hint="eastAsia" w:ascii="宋体" w:hAnsi="宋体" w:eastAsia="宋体" w:cs="宋体"/>
                <w:b w:val="0"/>
                <w:bCs/>
                <w:color w:val="auto"/>
                <w:szCs w:val="20"/>
              </w:rPr>
              <w:t>单价</w:t>
            </w:r>
          </w:p>
          <w:p>
            <w:pPr>
              <w:tabs>
                <w:tab w:val="left" w:pos="180"/>
                <w:tab w:val="left" w:pos="1620"/>
              </w:tabs>
              <w:spacing w:line="400" w:lineRule="exact"/>
              <w:jc w:val="center"/>
              <w:rPr>
                <w:rFonts w:hint="eastAsia" w:ascii="宋体" w:hAnsi="宋体"/>
                <w:b w:val="0"/>
                <w:bCs/>
                <w:color w:val="auto"/>
                <w:szCs w:val="21"/>
                <w:highlight w:val="none"/>
              </w:rPr>
            </w:pPr>
            <w:r>
              <w:rPr>
                <w:rFonts w:hint="eastAsia" w:ascii="宋体" w:hAnsi="宋体" w:eastAsia="宋体" w:cs="宋体"/>
                <w:b w:val="0"/>
                <w:bCs/>
                <w:color w:val="auto"/>
                <w:szCs w:val="20"/>
              </w:rPr>
              <w:t>(元)</w:t>
            </w:r>
          </w:p>
        </w:tc>
        <w:tc>
          <w:tcPr>
            <w:tcW w:w="1111" w:type="dxa"/>
            <w:tcBorders>
              <w:bottom w:val="single" w:color="auto" w:sz="4" w:space="0"/>
            </w:tcBorders>
            <w:noWrap w:val="0"/>
            <w:vAlign w:val="center"/>
          </w:tcPr>
          <w:p>
            <w:pPr>
              <w:jc w:val="center"/>
              <w:rPr>
                <w:rFonts w:hint="eastAsia" w:ascii="宋体" w:hAnsi="宋体" w:eastAsia="宋体" w:cs="宋体"/>
                <w:b w:val="0"/>
                <w:bCs/>
                <w:color w:val="auto"/>
                <w:szCs w:val="20"/>
              </w:rPr>
            </w:pPr>
            <w:r>
              <w:rPr>
                <w:rFonts w:hint="eastAsia" w:ascii="宋体" w:hAnsi="宋体" w:eastAsia="宋体" w:cs="宋体"/>
                <w:b w:val="0"/>
                <w:bCs/>
                <w:color w:val="auto"/>
                <w:szCs w:val="20"/>
              </w:rPr>
              <w:t>合计</w:t>
            </w:r>
          </w:p>
          <w:p>
            <w:pPr>
              <w:pStyle w:val="24"/>
              <w:spacing w:line="400" w:lineRule="exact"/>
              <w:jc w:val="center"/>
              <w:rPr>
                <w:rFonts w:hAnsi="宋体"/>
                <w:b w:val="0"/>
                <w:bCs/>
                <w:color w:val="auto"/>
                <w:highlight w:val="none"/>
              </w:rPr>
            </w:pPr>
            <w:r>
              <w:rPr>
                <w:rFonts w:hint="eastAsia" w:ascii="宋体" w:hAnsi="宋体" w:eastAsia="宋体" w:cs="宋体"/>
                <w:b w:val="0"/>
                <w:bCs/>
                <w:color w:val="auto"/>
                <w:szCs w:val="20"/>
              </w:rPr>
              <w:t>（元）</w:t>
            </w:r>
          </w:p>
        </w:tc>
        <w:tc>
          <w:tcPr>
            <w:tcW w:w="1304" w:type="dxa"/>
            <w:tcBorders>
              <w:bottom w:val="single" w:color="auto" w:sz="4" w:space="0"/>
            </w:tcBorders>
            <w:noWrap w:val="0"/>
            <w:vAlign w:val="center"/>
          </w:tcPr>
          <w:p>
            <w:pPr>
              <w:pStyle w:val="24"/>
              <w:spacing w:line="400" w:lineRule="exact"/>
              <w:jc w:val="center"/>
              <w:rPr>
                <w:rFonts w:hint="eastAsia" w:hAnsi="宋体"/>
                <w:color w:val="auto"/>
                <w:highlight w:val="none"/>
              </w:rPr>
            </w:pPr>
            <w:r>
              <w:rPr>
                <w:rFonts w:hint="eastAsia"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1665" w:type="dxa"/>
            <w:noWrap w:val="0"/>
            <w:vAlign w:val="center"/>
          </w:tcPr>
          <w:p>
            <w:pPr>
              <w:jc w:val="center"/>
              <w:rPr>
                <w:rFonts w:hint="eastAsia" w:ascii="宋体" w:hAnsi="宋体"/>
                <w:color w:val="auto"/>
                <w:highlight w:val="none"/>
              </w:rPr>
            </w:pPr>
          </w:p>
        </w:tc>
        <w:tc>
          <w:tcPr>
            <w:tcW w:w="810" w:type="dxa"/>
            <w:noWrap w:val="0"/>
            <w:vAlign w:val="center"/>
          </w:tcPr>
          <w:p>
            <w:pPr>
              <w:pStyle w:val="24"/>
              <w:rPr>
                <w:rFonts w:hint="eastAsia" w:hAnsi="宋体"/>
                <w:color w:val="auto"/>
                <w:highlight w:val="none"/>
              </w:rPr>
            </w:pPr>
          </w:p>
        </w:tc>
        <w:tc>
          <w:tcPr>
            <w:tcW w:w="780" w:type="dxa"/>
            <w:noWrap w:val="0"/>
            <w:vAlign w:val="center"/>
          </w:tcPr>
          <w:p>
            <w:pPr>
              <w:pStyle w:val="24"/>
              <w:rPr>
                <w:rFonts w:hint="eastAsia" w:hAnsi="宋体"/>
                <w:color w:val="auto"/>
                <w:highlight w:val="none"/>
              </w:rPr>
            </w:pPr>
          </w:p>
        </w:tc>
        <w:tc>
          <w:tcPr>
            <w:tcW w:w="2595" w:type="dxa"/>
            <w:noWrap w:val="0"/>
            <w:vAlign w:val="center"/>
          </w:tcPr>
          <w:p>
            <w:pPr>
              <w:pStyle w:val="24"/>
              <w:rPr>
                <w:rFonts w:hint="eastAsia" w:hAnsi="宋体"/>
                <w:color w:val="auto"/>
                <w:highlight w:val="none"/>
              </w:rPr>
            </w:pPr>
          </w:p>
        </w:tc>
        <w:tc>
          <w:tcPr>
            <w:tcW w:w="779" w:type="dxa"/>
            <w:noWrap w:val="0"/>
            <w:vAlign w:val="center"/>
          </w:tcPr>
          <w:p>
            <w:pPr>
              <w:pStyle w:val="24"/>
              <w:rPr>
                <w:rFonts w:hint="eastAsia" w:hAnsi="宋体"/>
                <w:color w:val="auto"/>
                <w:highlight w:val="none"/>
              </w:rPr>
            </w:pPr>
          </w:p>
        </w:tc>
        <w:tc>
          <w:tcPr>
            <w:tcW w:w="1111" w:type="dxa"/>
            <w:noWrap w:val="0"/>
            <w:vAlign w:val="center"/>
          </w:tcPr>
          <w:p>
            <w:pPr>
              <w:pStyle w:val="24"/>
              <w:rPr>
                <w:rFonts w:hint="eastAsia" w:hAnsi="宋体"/>
                <w:color w:val="auto"/>
                <w:highlight w:val="none"/>
              </w:rPr>
            </w:pPr>
          </w:p>
        </w:tc>
        <w:tc>
          <w:tcPr>
            <w:tcW w:w="1304" w:type="dxa"/>
            <w:noWrap w:val="0"/>
            <w:vAlign w:val="center"/>
          </w:tcPr>
          <w:p>
            <w:pPr>
              <w:pStyle w:val="24"/>
              <w:rPr>
                <w:rFonts w:hint="eastAsia" w:hAnsi="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91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c>
          <w:tcPr>
            <w:tcW w:w="1665" w:type="dxa"/>
            <w:noWrap w:val="0"/>
            <w:vAlign w:val="center"/>
          </w:tcPr>
          <w:p>
            <w:pPr>
              <w:jc w:val="center"/>
              <w:rPr>
                <w:rFonts w:hint="eastAsia" w:ascii="宋体" w:hAnsi="宋体"/>
                <w:color w:val="auto"/>
                <w:highlight w:val="none"/>
              </w:rPr>
            </w:pPr>
          </w:p>
        </w:tc>
        <w:tc>
          <w:tcPr>
            <w:tcW w:w="810" w:type="dxa"/>
            <w:noWrap w:val="0"/>
            <w:vAlign w:val="center"/>
          </w:tcPr>
          <w:p>
            <w:pPr>
              <w:pStyle w:val="24"/>
              <w:rPr>
                <w:rFonts w:hint="eastAsia" w:hAnsi="宋体"/>
                <w:color w:val="auto"/>
                <w:highlight w:val="none"/>
              </w:rPr>
            </w:pPr>
          </w:p>
        </w:tc>
        <w:tc>
          <w:tcPr>
            <w:tcW w:w="780" w:type="dxa"/>
            <w:noWrap w:val="0"/>
            <w:vAlign w:val="center"/>
          </w:tcPr>
          <w:p>
            <w:pPr>
              <w:pStyle w:val="24"/>
              <w:rPr>
                <w:rFonts w:hint="eastAsia" w:hAnsi="宋体"/>
                <w:color w:val="auto"/>
                <w:highlight w:val="none"/>
              </w:rPr>
            </w:pPr>
          </w:p>
        </w:tc>
        <w:tc>
          <w:tcPr>
            <w:tcW w:w="2595" w:type="dxa"/>
            <w:noWrap w:val="0"/>
            <w:vAlign w:val="center"/>
          </w:tcPr>
          <w:p>
            <w:pPr>
              <w:pStyle w:val="24"/>
              <w:rPr>
                <w:rFonts w:hint="eastAsia" w:hAnsi="宋体"/>
                <w:color w:val="auto"/>
                <w:highlight w:val="none"/>
              </w:rPr>
            </w:pPr>
          </w:p>
        </w:tc>
        <w:tc>
          <w:tcPr>
            <w:tcW w:w="779" w:type="dxa"/>
            <w:noWrap w:val="0"/>
            <w:vAlign w:val="center"/>
          </w:tcPr>
          <w:p>
            <w:pPr>
              <w:pStyle w:val="24"/>
              <w:rPr>
                <w:rFonts w:hint="eastAsia" w:hAnsi="宋体"/>
                <w:color w:val="auto"/>
                <w:highlight w:val="none"/>
              </w:rPr>
            </w:pPr>
          </w:p>
        </w:tc>
        <w:tc>
          <w:tcPr>
            <w:tcW w:w="1111" w:type="dxa"/>
            <w:noWrap w:val="0"/>
            <w:vAlign w:val="center"/>
          </w:tcPr>
          <w:p>
            <w:pPr>
              <w:pStyle w:val="24"/>
              <w:rPr>
                <w:rFonts w:hint="eastAsia" w:hAnsi="宋体"/>
                <w:color w:val="auto"/>
                <w:highlight w:val="none"/>
              </w:rPr>
            </w:pPr>
          </w:p>
        </w:tc>
        <w:tc>
          <w:tcPr>
            <w:tcW w:w="1304" w:type="dxa"/>
            <w:noWrap w:val="0"/>
            <w:vAlign w:val="center"/>
          </w:tcPr>
          <w:p>
            <w:pPr>
              <w:pStyle w:val="24"/>
              <w:rPr>
                <w:rFonts w:hint="eastAsia" w:hAnsi="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5" w:type="dxa"/>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665" w:type="dxa"/>
            <w:noWrap w:val="0"/>
            <w:vAlign w:val="center"/>
          </w:tcPr>
          <w:p>
            <w:pPr>
              <w:jc w:val="center"/>
              <w:rPr>
                <w:rFonts w:hint="eastAsia" w:ascii="宋体" w:hAnsi="宋体"/>
                <w:color w:val="auto"/>
                <w:highlight w:val="none"/>
              </w:rPr>
            </w:pPr>
          </w:p>
        </w:tc>
        <w:tc>
          <w:tcPr>
            <w:tcW w:w="810" w:type="dxa"/>
            <w:noWrap w:val="0"/>
            <w:vAlign w:val="center"/>
          </w:tcPr>
          <w:p>
            <w:pPr>
              <w:pStyle w:val="24"/>
              <w:rPr>
                <w:rFonts w:hint="eastAsia" w:hAnsi="宋体"/>
                <w:color w:val="auto"/>
                <w:highlight w:val="none"/>
              </w:rPr>
            </w:pPr>
          </w:p>
        </w:tc>
        <w:tc>
          <w:tcPr>
            <w:tcW w:w="780" w:type="dxa"/>
            <w:noWrap w:val="0"/>
            <w:vAlign w:val="center"/>
          </w:tcPr>
          <w:p>
            <w:pPr>
              <w:pStyle w:val="24"/>
              <w:rPr>
                <w:rFonts w:hint="eastAsia" w:hAnsi="宋体"/>
                <w:color w:val="auto"/>
                <w:highlight w:val="none"/>
              </w:rPr>
            </w:pPr>
          </w:p>
        </w:tc>
        <w:tc>
          <w:tcPr>
            <w:tcW w:w="2595" w:type="dxa"/>
            <w:noWrap w:val="0"/>
            <w:vAlign w:val="center"/>
          </w:tcPr>
          <w:p>
            <w:pPr>
              <w:pStyle w:val="24"/>
              <w:rPr>
                <w:rFonts w:hint="eastAsia" w:hAnsi="宋体"/>
                <w:color w:val="auto"/>
                <w:highlight w:val="none"/>
              </w:rPr>
            </w:pPr>
          </w:p>
        </w:tc>
        <w:tc>
          <w:tcPr>
            <w:tcW w:w="779" w:type="dxa"/>
            <w:noWrap w:val="0"/>
            <w:vAlign w:val="center"/>
          </w:tcPr>
          <w:p>
            <w:pPr>
              <w:pStyle w:val="24"/>
              <w:rPr>
                <w:rFonts w:hint="eastAsia" w:hAnsi="宋体"/>
                <w:color w:val="auto"/>
                <w:highlight w:val="none"/>
              </w:rPr>
            </w:pPr>
          </w:p>
        </w:tc>
        <w:tc>
          <w:tcPr>
            <w:tcW w:w="1111" w:type="dxa"/>
            <w:noWrap w:val="0"/>
            <w:vAlign w:val="center"/>
          </w:tcPr>
          <w:p>
            <w:pPr>
              <w:pStyle w:val="24"/>
              <w:rPr>
                <w:rFonts w:hint="eastAsia" w:hAnsi="宋体"/>
                <w:color w:val="auto"/>
                <w:highlight w:val="none"/>
              </w:rPr>
            </w:pPr>
          </w:p>
        </w:tc>
        <w:tc>
          <w:tcPr>
            <w:tcW w:w="1304" w:type="dxa"/>
            <w:noWrap w:val="0"/>
            <w:vAlign w:val="center"/>
          </w:tcPr>
          <w:p>
            <w:pPr>
              <w:pStyle w:val="24"/>
              <w:rPr>
                <w:rFonts w:hint="eastAsia" w:hAnsi="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8"/>
            <w:noWrap w:val="0"/>
            <w:vAlign w:val="center"/>
          </w:tcPr>
          <w:p>
            <w:pPr>
              <w:pStyle w:val="24"/>
              <w:rPr>
                <w:rFonts w:hint="eastAsia" w:hAnsi="宋体"/>
                <w:color w:val="auto"/>
                <w:spacing w:val="-6"/>
                <w:highlight w:val="none"/>
              </w:rPr>
            </w:pPr>
            <w:r>
              <w:rPr>
                <w:rFonts w:hint="eastAsia" w:hAnsi="宋体"/>
                <w:color w:val="auto"/>
                <w:spacing w:val="-6"/>
                <w:highlight w:val="none"/>
              </w:rPr>
              <w:t>总报价（人民币大写）：</w:t>
            </w:r>
            <w:r>
              <w:rPr>
                <w:rFonts w:hint="eastAsia" w:hAnsi="宋体"/>
                <w:color w:val="auto"/>
                <w:spacing w:val="-6"/>
                <w:highlight w:val="none"/>
                <w:u w:val="single"/>
              </w:rPr>
              <w:t xml:space="preserve">                                       </w:t>
            </w:r>
            <w:r>
              <w:rPr>
                <w:rFonts w:hint="eastAsia" w:hAnsi="宋体"/>
                <w:color w:val="auto"/>
                <w:spacing w:val="-6"/>
                <w:highlight w:val="none"/>
              </w:rPr>
              <w:t>（￥</w:t>
            </w:r>
            <w:r>
              <w:rPr>
                <w:rFonts w:hint="eastAsia" w:hAnsi="宋体"/>
                <w:color w:val="auto"/>
                <w:spacing w:val="-6"/>
                <w:highlight w:val="none"/>
                <w:u w:val="single"/>
              </w:rPr>
              <w:t xml:space="preserve">                </w:t>
            </w:r>
            <w:r>
              <w:rPr>
                <w:rFonts w:hint="eastAsia" w:hAnsi="宋体"/>
                <w:color w:val="auto"/>
                <w:spacing w:val="-6"/>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8"/>
            <w:noWrap w:val="0"/>
            <w:vAlign w:val="center"/>
          </w:tcPr>
          <w:p>
            <w:pPr>
              <w:pStyle w:val="24"/>
              <w:rPr>
                <w:rFonts w:hint="default" w:hAnsi="宋体" w:eastAsia="宋体"/>
                <w:color w:val="auto"/>
                <w:spacing w:val="-6"/>
                <w:highlight w:val="none"/>
                <w:lang w:val="en-US" w:eastAsia="zh-CN"/>
              </w:rPr>
            </w:pPr>
            <w:r>
              <w:rPr>
                <w:rFonts w:hint="eastAsia" w:hAnsi="宋体" w:cs="宋体"/>
                <w:b w:val="0"/>
                <w:bCs w:val="0"/>
                <w:lang w:val="en-US" w:eastAsia="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8"/>
            <w:noWrap w:val="0"/>
            <w:vAlign w:val="center"/>
          </w:tcPr>
          <w:p>
            <w:pPr>
              <w:pStyle w:val="24"/>
              <w:rPr>
                <w:rFonts w:hint="eastAsia" w:hAnsi="宋体"/>
                <w:color w:val="auto"/>
                <w:spacing w:val="-6"/>
                <w:highlight w:val="none"/>
              </w:rPr>
            </w:pPr>
            <w:r>
              <w:rPr>
                <w:rFonts w:hint="eastAsia"/>
                <w:color w:val="auto"/>
                <w:spacing w:val="-6"/>
                <w:highlight w:val="none"/>
                <w:lang w:val="en-US" w:eastAsia="zh-CN"/>
              </w:rPr>
              <w:t>服务</w:t>
            </w:r>
            <w:r>
              <w:rPr>
                <w:rFonts w:hint="eastAsia"/>
                <w:color w:val="auto"/>
                <w:spacing w:val="-6"/>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59" w:type="dxa"/>
            <w:gridSpan w:val="8"/>
            <w:noWrap w:val="0"/>
            <w:vAlign w:val="center"/>
          </w:tcPr>
          <w:p>
            <w:pPr>
              <w:pStyle w:val="24"/>
              <w:rPr>
                <w:rFonts w:hint="eastAsia"/>
                <w:color w:val="auto"/>
                <w:spacing w:val="-6"/>
                <w:highlight w:val="none"/>
              </w:rPr>
            </w:pPr>
            <w:r>
              <w:rPr>
                <w:rFonts w:hint="eastAsia" w:hAnsi="宋体"/>
                <w:color w:val="auto"/>
                <w:spacing w:val="-6"/>
                <w:highlight w:val="none"/>
              </w:rPr>
              <w:t>谈判报价包含货物、随配附件、备品备件、工具、运抵指定交货地点、保险、安装、安全、调试及验收的各种费用和售后服务、税金及其他所有成本费用的总和。</w:t>
            </w:r>
          </w:p>
        </w:tc>
      </w:tr>
    </w:tbl>
    <w:p>
      <w:pPr>
        <w:shd w:val="clear" w:color="auto" w:fill="FFFFFF"/>
        <w:rPr>
          <w:rFonts w:hint="eastAsia" w:ascii="宋体" w:hAnsi="宋体" w:eastAsia="宋体" w:cs="宋体"/>
          <w:color w:val="auto"/>
          <w:szCs w:val="20"/>
        </w:rPr>
      </w:pPr>
    </w:p>
    <w:p>
      <w:pPr>
        <w:shd w:val="clear" w:color="auto" w:fill="FFFFFF"/>
        <w:rPr>
          <w:rFonts w:hint="eastAsia" w:ascii="宋体" w:hAnsi="宋体" w:eastAsia="宋体" w:cs="宋体"/>
          <w:color w:val="auto"/>
          <w:szCs w:val="20"/>
        </w:rPr>
      </w:pPr>
    </w:p>
    <w:p>
      <w:pPr>
        <w:shd w:val="clear" w:color="auto" w:fill="FFFFFF"/>
        <w:rPr>
          <w:rFonts w:hint="eastAsia" w:ascii="宋体" w:hAnsi="宋体" w:eastAsia="宋体" w:cs="宋体"/>
          <w:color w:val="auto"/>
          <w:szCs w:val="20"/>
        </w:rPr>
      </w:pPr>
      <w:r>
        <w:rPr>
          <w:rFonts w:hint="eastAsia" w:ascii="宋体" w:hAnsi="宋体" w:eastAsia="宋体" w:cs="宋体"/>
          <w:color w:val="auto"/>
        </w:rPr>
        <w:t>谈判供应商</w:t>
      </w:r>
      <w:r>
        <w:rPr>
          <w:rFonts w:hint="eastAsia" w:ascii="宋体" w:hAnsi="宋体" w:eastAsia="宋体" w:cs="宋体"/>
          <w:color w:val="auto"/>
          <w:szCs w:val="20"/>
        </w:rPr>
        <w:t xml:space="preserve">(公章)：  </w:t>
      </w:r>
      <w:r>
        <w:rPr>
          <w:rFonts w:hint="eastAsia" w:ascii="宋体" w:hAnsi="宋体" w:eastAsia="宋体" w:cs="宋体"/>
          <w:color w:val="auto"/>
          <w:szCs w:val="20"/>
          <w:u w:val="single"/>
        </w:rPr>
        <w:t xml:space="preserve">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法定代表人（负责人）或委托代理人签字：</w:t>
      </w:r>
      <w:r>
        <w:rPr>
          <w:rFonts w:hint="eastAsia" w:ascii="宋体" w:hAnsi="宋体" w:eastAsia="宋体" w:cs="宋体"/>
          <w:color w:val="auto"/>
          <w:szCs w:val="20"/>
          <w:u w:val="single"/>
        </w:rPr>
        <w:t xml:space="preserve">                  </w:t>
      </w:r>
    </w:p>
    <w:p>
      <w:pPr>
        <w:shd w:val="clear" w:color="auto" w:fill="FFFFFF"/>
        <w:spacing w:line="240" w:lineRule="exact"/>
        <w:rPr>
          <w:rFonts w:hint="eastAsia" w:ascii="宋体" w:hAnsi="宋体" w:eastAsia="宋体" w:cs="宋体"/>
          <w:b/>
          <w:bCs/>
          <w:color w:val="auto"/>
          <w:sz w:val="44"/>
          <w:szCs w:val="44"/>
        </w:rPr>
      </w:pPr>
      <w:r>
        <w:rPr>
          <w:rFonts w:hint="eastAsia" w:ascii="宋体" w:hAnsi="宋体" w:eastAsia="宋体" w:cs="宋体"/>
          <w:b/>
          <w:bCs/>
          <w:color w:val="auto"/>
          <w:sz w:val="44"/>
          <w:szCs w:val="44"/>
        </w:rPr>
        <w:t> </w:t>
      </w:r>
    </w:p>
    <w:p>
      <w:pPr>
        <w:shd w:val="clear" w:color="auto" w:fill="FFFFFF"/>
        <w:spacing w:line="240" w:lineRule="exact"/>
        <w:rPr>
          <w:rFonts w:hint="eastAsia" w:ascii="宋体" w:hAnsi="宋体" w:eastAsia="宋体" w:cs="宋体"/>
          <w:b/>
          <w:bCs/>
          <w:color w:val="auto"/>
          <w:sz w:val="44"/>
          <w:szCs w:val="44"/>
        </w:rPr>
      </w:pPr>
      <w:r>
        <w:rPr>
          <w:rFonts w:hint="eastAsia" w:ascii="宋体" w:hAnsi="宋体" w:eastAsia="宋体" w:cs="宋体"/>
          <w:color w:val="auto"/>
          <w:szCs w:val="20"/>
        </w:rPr>
        <w:t>日期：</w:t>
      </w:r>
      <w:r>
        <w:rPr>
          <w:rFonts w:hint="eastAsia" w:ascii="宋体" w:hAnsi="宋体" w:eastAsia="宋体" w:cs="宋体"/>
          <w:color w:val="auto"/>
          <w:szCs w:val="20"/>
          <w:u w:val="single"/>
        </w:rPr>
        <w:t xml:space="preserve">                            </w:t>
      </w:r>
    </w:p>
    <w:p>
      <w:pPr>
        <w:shd w:val="clear" w:color="auto" w:fill="FFFFFF"/>
        <w:spacing w:line="240" w:lineRule="exact"/>
        <w:rPr>
          <w:rFonts w:hint="eastAsia" w:ascii="宋体" w:hAnsi="宋体" w:eastAsia="宋体" w:cs="宋体"/>
          <w:b/>
          <w:bCs/>
          <w:color w:val="auto"/>
          <w:sz w:val="44"/>
          <w:szCs w:val="44"/>
        </w:rPr>
      </w:pPr>
      <w:r>
        <w:rPr>
          <w:rFonts w:hint="eastAsia" w:ascii="宋体" w:hAnsi="宋体" w:eastAsia="宋体" w:cs="宋体"/>
          <w:b/>
          <w:bCs/>
          <w:color w:val="auto"/>
          <w:sz w:val="44"/>
          <w:szCs w:val="44"/>
        </w:rPr>
        <w:t> </w:t>
      </w:r>
    </w:p>
    <w:p>
      <w:pPr>
        <w:shd w:val="clear" w:color="auto" w:fill="FFFFFF"/>
        <w:spacing w:line="400" w:lineRule="exact"/>
        <w:rPr>
          <w:rFonts w:hint="eastAsia" w:ascii="宋体" w:hAnsi="宋体" w:eastAsia="宋体" w:cs="宋体"/>
          <w:color w:val="auto"/>
          <w:szCs w:val="20"/>
        </w:rPr>
      </w:pPr>
      <w:r>
        <w:rPr>
          <w:rFonts w:hint="eastAsia" w:ascii="宋体" w:hAnsi="宋体" w:eastAsia="宋体" w:cs="宋体"/>
          <w:color w:val="auto"/>
        </w:rPr>
        <w:t>谈判</w:t>
      </w:r>
      <w:r>
        <w:rPr>
          <w:rFonts w:hint="eastAsia" w:ascii="宋体" w:hAnsi="宋体" w:eastAsia="宋体" w:cs="宋体"/>
          <w:color w:val="auto"/>
          <w:szCs w:val="20"/>
        </w:rPr>
        <w:t>说明：</w:t>
      </w:r>
    </w:p>
    <w:p>
      <w:pPr>
        <w:shd w:val="clear" w:color="auto" w:fill="FFFFFF"/>
        <w:spacing w:line="38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rPr>
        <w:t>1、</w:t>
      </w:r>
      <w:r>
        <w:rPr>
          <w:rFonts w:hint="eastAsia" w:ascii="宋体" w:hAnsi="宋体" w:eastAsia="宋体" w:cs="宋体"/>
          <w:color w:val="auto"/>
        </w:rPr>
        <w:t>谈判供应商</w:t>
      </w:r>
      <w:r>
        <w:rPr>
          <w:rFonts w:hint="eastAsia" w:ascii="宋体" w:hAnsi="宋体" w:eastAsia="宋体" w:cs="宋体"/>
          <w:color w:val="auto"/>
          <w:szCs w:val="20"/>
        </w:rPr>
        <w:t>必须加盖公章并签字，无签字、盖公章的谈判无效。</w:t>
      </w:r>
    </w:p>
    <w:p>
      <w:pPr>
        <w:shd w:val="clear" w:color="auto" w:fill="FFFFFF"/>
        <w:spacing w:line="380" w:lineRule="exact"/>
        <w:ind w:firstLine="420"/>
        <w:rPr>
          <w:rFonts w:hint="eastAsia" w:ascii="宋体" w:hAnsi="宋体" w:eastAsia="宋体" w:cs="宋体"/>
          <w:color w:val="auto"/>
          <w:szCs w:val="20"/>
        </w:rPr>
      </w:pPr>
      <w:r>
        <w:rPr>
          <w:rFonts w:hint="eastAsia" w:ascii="宋体" w:hAnsi="宋体" w:eastAsia="宋体" w:cs="宋体"/>
          <w:color w:val="auto"/>
          <w:szCs w:val="20"/>
        </w:rPr>
        <w:t>2、凡在“技术参数及性能（配置）要求”中表述为“标配”或“标准配置”的设备，</w:t>
      </w:r>
      <w:r>
        <w:rPr>
          <w:rFonts w:hint="eastAsia" w:ascii="宋体" w:hAnsi="宋体" w:eastAsia="宋体" w:cs="宋体"/>
          <w:color w:val="auto"/>
        </w:rPr>
        <w:t>谈判供应商</w:t>
      </w:r>
      <w:r>
        <w:rPr>
          <w:rFonts w:hint="eastAsia" w:ascii="宋体" w:hAnsi="宋体" w:eastAsia="宋体" w:cs="宋体"/>
          <w:color w:val="auto"/>
          <w:szCs w:val="20"/>
        </w:rPr>
        <w:t>应在谈判报价表中将其标配参数详细列明，否则该谈判无效。</w:t>
      </w:r>
    </w:p>
    <w:p>
      <w:pPr>
        <w:shd w:val="clear" w:color="auto" w:fill="FFFFFF"/>
        <w:spacing w:line="380" w:lineRule="exact"/>
        <w:ind w:firstLine="420" w:firstLineChars="200"/>
        <w:rPr>
          <w:rFonts w:hint="eastAsia" w:ascii="宋体" w:hAnsi="宋体" w:eastAsia="宋体" w:cs="宋体"/>
          <w:b/>
          <w:bCs/>
          <w:color w:val="auto"/>
          <w:sz w:val="44"/>
          <w:szCs w:val="44"/>
        </w:rPr>
        <w:sectPr>
          <w:footerReference r:id="rId10" w:type="default"/>
          <w:pgSz w:w="11907" w:h="16840"/>
          <w:pgMar w:top="1418" w:right="1134" w:bottom="1418" w:left="1418" w:header="851" w:footer="992" w:gutter="0"/>
          <w:pgNumType w:fmt="decimal"/>
          <w:cols w:space="720" w:num="1"/>
          <w:docGrid w:linePitch="312" w:charSpace="0"/>
        </w:sectPr>
      </w:pPr>
      <w:r>
        <w:rPr>
          <w:rFonts w:hint="eastAsia" w:ascii="宋体" w:hAnsi="宋体" w:eastAsia="宋体" w:cs="宋体"/>
          <w:bCs/>
          <w:color w:val="auto"/>
          <w:szCs w:val="20"/>
        </w:rPr>
        <w:t>3、若此表由多页构成的，应逐页加盖</w:t>
      </w:r>
      <w:r>
        <w:rPr>
          <w:rFonts w:hint="eastAsia" w:ascii="宋体" w:hAnsi="宋体" w:eastAsia="宋体" w:cs="宋体"/>
          <w:color w:val="auto"/>
        </w:rPr>
        <w:t>谈判供应商法人</w:t>
      </w:r>
      <w:r>
        <w:rPr>
          <w:rFonts w:hint="eastAsia" w:ascii="宋体" w:hAnsi="宋体" w:eastAsia="宋体" w:cs="宋体"/>
          <w:bCs/>
          <w:color w:val="auto"/>
          <w:szCs w:val="20"/>
        </w:rPr>
        <w:t>公章并由</w:t>
      </w:r>
      <w:r>
        <w:rPr>
          <w:rFonts w:hint="eastAsia" w:ascii="宋体" w:hAnsi="宋体" w:eastAsia="宋体" w:cs="宋体"/>
          <w:color w:val="auto"/>
          <w:szCs w:val="21"/>
        </w:rPr>
        <w:t>法定代表人(负责人)</w:t>
      </w:r>
      <w:r>
        <w:rPr>
          <w:rFonts w:hint="eastAsia" w:ascii="宋体" w:hAnsi="宋体" w:eastAsia="宋体" w:cs="宋体"/>
          <w:bCs/>
          <w:color w:val="auto"/>
          <w:szCs w:val="20"/>
        </w:rPr>
        <w:t>或委托代理人签字。</w:t>
      </w:r>
    </w:p>
    <w:p>
      <w:pPr>
        <w:shd w:val="clear" w:color="auto" w:fill="FFFFFF"/>
        <w:jc w:val="center"/>
        <w:rPr>
          <w:rFonts w:hint="eastAsia" w:ascii="宋体" w:hAnsi="宋体" w:eastAsia="宋体" w:cs="宋体"/>
          <w:b/>
          <w:bCs/>
          <w:color w:val="auto"/>
          <w:sz w:val="32"/>
          <w:szCs w:val="32"/>
        </w:rPr>
      </w:pPr>
      <w:r>
        <w:rPr>
          <w:rFonts w:hint="eastAsia" w:ascii="宋体" w:hAnsi="宋体" w:eastAsia="宋体" w:cs="宋体"/>
          <w:b/>
          <w:color w:val="auto"/>
          <w:kern w:val="0"/>
          <w:sz w:val="32"/>
          <w:szCs w:val="32"/>
        </w:rPr>
        <w:t>三、</w:t>
      </w:r>
      <w:r>
        <w:rPr>
          <w:rFonts w:hint="eastAsia" w:ascii="宋体" w:hAnsi="宋体" w:eastAsia="宋体" w:cs="宋体"/>
          <w:b/>
          <w:bCs/>
          <w:color w:val="auto"/>
          <w:sz w:val="32"/>
          <w:szCs w:val="32"/>
        </w:rPr>
        <w:t>技术规格偏离表</w:t>
      </w:r>
    </w:p>
    <w:p>
      <w:pPr>
        <w:shd w:val="clear" w:color="auto" w:fill="FFFFFF"/>
        <w:ind w:firstLine="210" w:firstLineChars="100"/>
        <w:jc w:val="center"/>
        <w:rPr>
          <w:rFonts w:hint="eastAsia" w:ascii="宋体" w:hAnsi="宋体" w:eastAsia="宋体" w:cs="宋体"/>
          <w:color w:val="auto"/>
          <w:szCs w:val="20"/>
        </w:rPr>
      </w:pPr>
    </w:p>
    <w:p>
      <w:pPr>
        <w:shd w:val="clear" w:color="auto" w:fill="FFFFFF"/>
        <w:spacing w:line="400" w:lineRule="exact"/>
        <w:ind w:firstLine="425"/>
        <w:rPr>
          <w:rFonts w:hint="eastAsia" w:ascii="宋体" w:hAnsi="宋体" w:eastAsia="宋体" w:cs="宋体"/>
          <w:bCs/>
          <w:color w:val="auto"/>
          <w:szCs w:val="20"/>
        </w:rPr>
      </w:pPr>
      <w:r>
        <w:rPr>
          <w:rFonts w:hint="eastAsia" w:ascii="宋体" w:hAnsi="宋体" w:eastAsia="宋体" w:cs="宋体"/>
          <w:bCs/>
          <w:color w:val="auto"/>
          <w:szCs w:val="20"/>
        </w:rPr>
        <w:t>请按所谈判产品的实际品牌型号及其技术参数性能（配置），逐条对应竞争性谈判文件《</w:t>
      </w:r>
      <w:r>
        <w:rPr>
          <w:rFonts w:hint="eastAsia" w:ascii="宋体" w:hAnsi="宋体" w:eastAsia="宋体" w:cs="宋体"/>
          <w:bCs/>
          <w:color w:val="auto"/>
          <w:szCs w:val="20"/>
          <w:lang w:val="en-US" w:eastAsia="zh-CN"/>
        </w:rPr>
        <w:t>项目需求</w:t>
      </w:r>
      <w:r>
        <w:rPr>
          <w:rFonts w:hint="eastAsia" w:ascii="宋体" w:hAnsi="宋体" w:eastAsia="宋体" w:cs="宋体"/>
          <w:bCs/>
          <w:color w:val="auto"/>
          <w:szCs w:val="20"/>
        </w:rPr>
        <w:t>》中的要求认真填写本表（本表填写时应针对争性谈判采购文件《</w:t>
      </w:r>
      <w:r>
        <w:rPr>
          <w:rFonts w:hint="eastAsia" w:ascii="宋体" w:hAnsi="宋体" w:eastAsia="宋体" w:cs="宋体"/>
          <w:bCs/>
          <w:color w:val="auto"/>
          <w:szCs w:val="20"/>
          <w:lang w:val="en-US" w:eastAsia="zh-CN"/>
        </w:rPr>
        <w:t>项目需求</w:t>
      </w:r>
      <w:r>
        <w:rPr>
          <w:rFonts w:hint="eastAsia" w:ascii="宋体" w:hAnsi="宋体" w:eastAsia="宋体" w:cs="宋体"/>
          <w:bCs/>
          <w:color w:val="auto"/>
          <w:szCs w:val="20"/>
        </w:rPr>
        <w:t>》中货物技术参数进行对照填写，如低于招标要求时写负偏离，如与招标要求完全一致时写无偏离，如高于招标要求时写正偏离。</w:t>
      </w:r>
    </w:p>
    <w:p>
      <w:pPr>
        <w:shd w:val="clear" w:color="auto" w:fill="FFFFFF"/>
        <w:spacing w:line="400" w:lineRule="exact"/>
        <w:rPr>
          <w:rFonts w:hint="eastAsia" w:ascii="宋体" w:hAnsi="宋体" w:eastAsia="宋体" w:cs="宋体"/>
          <w:b/>
          <w:bCs/>
          <w:color w:val="auto"/>
          <w:szCs w:val="20"/>
        </w:rPr>
      </w:pPr>
      <w:r>
        <w:rPr>
          <w:rFonts w:hint="eastAsia" w:ascii="宋体" w:hAnsi="宋体" w:eastAsia="宋体" w:cs="宋体"/>
          <w:b/>
          <w:bCs/>
          <w:color w:val="auto"/>
          <w:szCs w:val="20"/>
        </w:rPr>
        <w:t> </w:t>
      </w:r>
      <w:r>
        <w:rPr>
          <w:rFonts w:hint="eastAsia" w:ascii="宋体" w:hAnsi="宋体" w:eastAsia="宋体" w:cs="宋体"/>
          <w:color w:val="auto"/>
          <w:szCs w:val="21"/>
        </w:rPr>
        <w:t xml:space="preserve"> </w:t>
      </w:r>
    </w:p>
    <w:tbl>
      <w:tblPr>
        <w:tblStyle w:val="43"/>
        <w:tblW w:w="8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5"/>
        <w:gridCol w:w="1861"/>
        <w:gridCol w:w="1805"/>
        <w:gridCol w:w="2041"/>
        <w:gridCol w:w="22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0"/>
              </w:rPr>
            </w:pPr>
            <w:r>
              <w:rPr>
                <w:rFonts w:hint="eastAsia" w:ascii="宋体" w:hAnsi="宋体" w:eastAsia="宋体" w:cs="宋体"/>
                <w:color w:val="auto"/>
                <w:szCs w:val="20"/>
              </w:rPr>
              <w:t>项号</w:t>
            </w:r>
          </w:p>
        </w:tc>
        <w:tc>
          <w:tcPr>
            <w:tcW w:w="18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0"/>
              </w:rPr>
            </w:pPr>
            <w:r>
              <w:rPr>
                <w:rFonts w:hint="eastAsia" w:ascii="宋体" w:hAnsi="宋体" w:eastAsia="宋体" w:cs="宋体"/>
                <w:color w:val="auto"/>
                <w:szCs w:val="20"/>
              </w:rPr>
              <w:t>货物名称或</w:t>
            </w:r>
          </w:p>
          <w:p>
            <w:pPr>
              <w:spacing w:line="400" w:lineRule="exact"/>
              <w:jc w:val="center"/>
              <w:rPr>
                <w:rFonts w:hint="eastAsia" w:ascii="宋体" w:hAnsi="宋体" w:eastAsia="宋体" w:cs="宋体"/>
                <w:color w:val="auto"/>
                <w:szCs w:val="20"/>
              </w:rPr>
            </w:pPr>
            <w:r>
              <w:rPr>
                <w:rFonts w:hint="eastAsia" w:ascii="宋体" w:hAnsi="宋体" w:eastAsia="宋体" w:cs="宋体"/>
                <w:color w:val="auto"/>
                <w:szCs w:val="20"/>
              </w:rPr>
              <w:t>技术条款</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0"/>
              </w:rPr>
            </w:pPr>
            <w:r>
              <w:rPr>
                <w:rFonts w:hint="eastAsia" w:ascii="宋体" w:hAnsi="宋体" w:eastAsia="宋体" w:cs="宋体"/>
                <w:color w:val="auto"/>
                <w:szCs w:val="20"/>
              </w:rPr>
              <w:t>竞争性谈判文件要求</w:t>
            </w:r>
          </w:p>
        </w:tc>
        <w:tc>
          <w:tcPr>
            <w:tcW w:w="20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0"/>
              </w:rPr>
            </w:pPr>
            <w:r>
              <w:rPr>
                <w:rFonts w:hint="eastAsia" w:ascii="宋体" w:hAnsi="宋体" w:eastAsia="宋体" w:cs="宋体"/>
                <w:color w:val="auto"/>
                <w:szCs w:val="20"/>
              </w:rPr>
              <w:t>谈判响应文件具体响应</w:t>
            </w:r>
          </w:p>
        </w:tc>
        <w:tc>
          <w:tcPr>
            <w:tcW w:w="22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0"/>
              </w:rPr>
            </w:pPr>
            <w:r>
              <w:rPr>
                <w:rFonts w:hint="eastAsia" w:ascii="宋体" w:hAnsi="宋体" w:eastAsia="宋体" w:cs="宋体"/>
                <w:color w:val="auto"/>
                <w:szCs w:val="20"/>
              </w:rPr>
              <w:t>响应/偏离说明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6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1805"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041"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c>
          <w:tcPr>
            <w:tcW w:w="2283"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宋体" w:hAnsi="宋体" w:eastAsia="宋体" w:cs="宋体"/>
                <w:color w:val="auto"/>
                <w:szCs w:val="20"/>
              </w:rPr>
            </w:pPr>
            <w:r>
              <w:rPr>
                <w:rFonts w:hint="eastAsia" w:ascii="宋体" w:hAnsi="宋体" w:eastAsia="宋体" w:cs="宋体"/>
                <w:color w:val="auto"/>
                <w:szCs w:val="20"/>
              </w:rPr>
              <w:t> </w:t>
            </w:r>
          </w:p>
        </w:tc>
      </w:tr>
    </w:tbl>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 </w:t>
      </w:r>
    </w:p>
    <w:p>
      <w:pPr>
        <w:shd w:val="clear" w:color="auto" w:fill="FFFFFF"/>
        <w:ind w:firstLine="2100" w:firstLineChars="1000"/>
        <w:rPr>
          <w:rFonts w:hint="eastAsia" w:ascii="宋体" w:hAnsi="宋体" w:eastAsia="宋体" w:cs="宋体"/>
          <w:color w:val="auto"/>
          <w:szCs w:val="20"/>
        </w:rPr>
      </w:pPr>
      <w:r>
        <w:rPr>
          <w:rFonts w:hint="eastAsia" w:ascii="宋体" w:hAnsi="宋体" w:eastAsia="宋体" w:cs="宋体"/>
          <w:color w:val="auto"/>
          <w:szCs w:val="20"/>
        </w:rPr>
        <w:t>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 </w:t>
      </w:r>
    </w:p>
    <w:p>
      <w:pPr>
        <w:shd w:val="clear" w:color="auto" w:fill="FFFFFF"/>
        <w:rPr>
          <w:rFonts w:hint="eastAsia" w:ascii="宋体" w:hAnsi="宋体" w:eastAsia="宋体" w:cs="宋体"/>
          <w:color w:val="auto"/>
          <w:szCs w:val="20"/>
        </w:rPr>
      </w:pPr>
      <w:r>
        <w:rPr>
          <w:rFonts w:hint="eastAsia" w:ascii="宋体" w:hAnsi="宋体" w:eastAsia="宋体" w:cs="宋体"/>
          <w:color w:val="auto"/>
        </w:rPr>
        <w:t>谈判供应商</w:t>
      </w:r>
      <w:r>
        <w:rPr>
          <w:rFonts w:hint="eastAsia" w:ascii="宋体" w:hAnsi="宋体" w:eastAsia="宋体" w:cs="宋体"/>
          <w:color w:val="auto"/>
          <w:szCs w:val="20"/>
        </w:rPr>
        <w:t xml:space="preserve">(公章)  </w:t>
      </w:r>
      <w:r>
        <w:rPr>
          <w:rFonts w:hint="eastAsia" w:ascii="宋体" w:hAnsi="宋体" w:eastAsia="宋体" w:cs="宋体"/>
          <w:color w:val="auto"/>
          <w:szCs w:val="20"/>
          <w:u w:val="single"/>
        </w:rPr>
        <w:t xml:space="preserve">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1"/>
        </w:rPr>
        <w:t>法定代表人(负责人)</w:t>
      </w:r>
      <w:r>
        <w:rPr>
          <w:rFonts w:hint="eastAsia" w:ascii="宋体" w:hAnsi="宋体" w:eastAsia="宋体" w:cs="宋体"/>
          <w:color w:val="auto"/>
          <w:szCs w:val="20"/>
        </w:rPr>
        <w:t>或委托代理人签字</w:t>
      </w:r>
      <w:r>
        <w:rPr>
          <w:rFonts w:hint="eastAsia" w:ascii="宋体" w:hAnsi="宋体" w:eastAsia="宋体" w:cs="宋体"/>
          <w:color w:val="auto"/>
          <w:szCs w:val="20"/>
          <w:u w:val="single"/>
        </w:rPr>
        <w:t xml:space="preserve">                  </w:t>
      </w:r>
    </w:p>
    <w:p>
      <w:pPr>
        <w:shd w:val="clear" w:color="auto" w:fill="FFFFFF"/>
        <w:spacing w:line="240" w:lineRule="exact"/>
        <w:rPr>
          <w:rFonts w:hint="eastAsia" w:ascii="宋体" w:hAnsi="宋体" w:eastAsia="宋体" w:cs="宋体"/>
          <w:b/>
          <w:bCs/>
          <w:color w:val="auto"/>
          <w:sz w:val="44"/>
          <w:szCs w:val="44"/>
        </w:rPr>
      </w:pPr>
      <w:r>
        <w:rPr>
          <w:rFonts w:hint="eastAsia" w:ascii="宋体" w:hAnsi="宋体" w:eastAsia="宋体" w:cs="宋体"/>
          <w:b/>
          <w:bCs/>
          <w:color w:val="auto"/>
          <w:sz w:val="44"/>
          <w:szCs w:val="44"/>
        </w:rPr>
        <w:t>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日期</w:t>
      </w:r>
      <w:r>
        <w:rPr>
          <w:rFonts w:hint="eastAsia" w:ascii="宋体" w:hAnsi="宋体" w:eastAsia="宋体" w:cs="宋体"/>
          <w:color w:val="auto"/>
          <w:szCs w:val="20"/>
          <w:u w:val="single"/>
        </w:rPr>
        <w:t xml:space="preserve">                            </w:t>
      </w:r>
      <w:r>
        <w:rPr>
          <w:rFonts w:hint="eastAsia" w:ascii="宋体" w:hAnsi="宋体" w:eastAsia="宋体" w:cs="宋体"/>
          <w:color w:val="auto"/>
          <w:szCs w:val="20"/>
        </w:rPr>
        <w:t xml:space="preserve">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 </w:t>
      </w:r>
    </w:p>
    <w:p>
      <w:pPr>
        <w:shd w:val="clear" w:color="auto" w:fill="FFFFFF"/>
        <w:rPr>
          <w:rFonts w:hint="eastAsia" w:ascii="宋体" w:hAnsi="宋体" w:eastAsia="宋体" w:cs="宋体"/>
          <w:color w:val="auto"/>
        </w:rPr>
      </w:pPr>
      <w:r>
        <w:rPr>
          <w:rFonts w:hint="eastAsia" w:ascii="宋体" w:hAnsi="宋体" w:eastAsia="宋体" w:cs="宋体"/>
          <w:color w:val="auto"/>
        </w:rPr>
        <w:t> </w:t>
      </w:r>
    </w:p>
    <w:p>
      <w:pPr>
        <w:shd w:val="clear" w:color="auto" w:fill="FFFFFF"/>
        <w:rPr>
          <w:rFonts w:hint="eastAsia" w:ascii="宋体" w:hAnsi="宋体" w:eastAsia="宋体" w:cs="宋体"/>
          <w:bCs/>
          <w:color w:val="auto"/>
        </w:rPr>
      </w:pPr>
      <w:r>
        <w:rPr>
          <w:rFonts w:hint="eastAsia" w:ascii="宋体" w:hAnsi="宋体" w:eastAsia="宋体" w:cs="宋体"/>
          <w:bCs/>
          <w:color w:val="auto"/>
        </w:rPr>
        <w:t>说明：此表由多页构成的，应逐页加盖</w:t>
      </w:r>
      <w:r>
        <w:rPr>
          <w:rFonts w:hint="eastAsia" w:ascii="宋体" w:hAnsi="宋体" w:eastAsia="宋体" w:cs="宋体"/>
          <w:color w:val="auto"/>
        </w:rPr>
        <w:t>谈判供应商</w:t>
      </w:r>
      <w:r>
        <w:rPr>
          <w:rFonts w:hint="eastAsia" w:ascii="宋体" w:hAnsi="宋体" w:eastAsia="宋体" w:cs="宋体"/>
          <w:bCs/>
          <w:color w:val="auto"/>
        </w:rPr>
        <w:t>法人公章并由</w:t>
      </w:r>
      <w:r>
        <w:rPr>
          <w:rFonts w:hint="eastAsia" w:ascii="宋体" w:hAnsi="宋体" w:eastAsia="宋体" w:cs="宋体"/>
          <w:color w:val="auto"/>
          <w:szCs w:val="21"/>
        </w:rPr>
        <w:t>法定代表人(负责人)</w:t>
      </w:r>
      <w:r>
        <w:rPr>
          <w:rFonts w:hint="eastAsia" w:ascii="宋体" w:hAnsi="宋体" w:eastAsia="宋体" w:cs="宋体"/>
          <w:bCs/>
          <w:color w:val="auto"/>
        </w:rPr>
        <w:t>或委托代理人签字。</w:t>
      </w:r>
    </w:p>
    <w:p>
      <w:pPr>
        <w:shd w:val="clear" w:color="auto" w:fill="FFFFFF"/>
        <w:jc w:val="both"/>
        <w:rPr>
          <w:rFonts w:hint="eastAsia" w:ascii="宋体" w:hAnsi="宋体" w:eastAsia="宋体" w:cs="宋体"/>
          <w:b/>
          <w:color w:val="auto"/>
          <w:sz w:val="32"/>
          <w:szCs w:val="32"/>
        </w:rPr>
      </w:pPr>
    </w:p>
    <w:p>
      <w:pPr>
        <w:shd w:val="clear" w:color="auto" w:fill="FFFFFF"/>
        <w:rPr>
          <w:rFonts w:hint="eastAsia" w:ascii="宋体" w:hAnsi="宋体" w:eastAsia="宋体" w:cs="宋体"/>
          <w:b/>
          <w:color w:val="auto"/>
          <w:sz w:val="32"/>
          <w:szCs w:val="32"/>
        </w:rPr>
      </w:pPr>
    </w:p>
    <w:p>
      <w:pPr>
        <w:shd w:val="clear" w:color="auto" w:fill="FFFFFF"/>
        <w:rPr>
          <w:rFonts w:hint="eastAsia" w:ascii="宋体" w:hAnsi="宋体" w:eastAsia="宋体" w:cs="宋体"/>
          <w:b/>
          <w:color w:val="auto"/>
          <w:sz w:val="32"/>
          <w:szCs w:val="32"/>
        </w:rPr>
      </w:pPr>
    </w:p>
    <w:p>
      <w:pPr>
        <w:pStyle w:val="2"/>
        <w:rPr>
          <w:rFonts w:hint="eastAsia"/>
        </w:rPr>
      </w:pPr>
    </w:p>
    <w:p>
      <w:pPr>
        <w:shd w:val="clear" w:color="auto" w:fill="FFFFFF"/>
        <w:rPr>
          <w:rFonts w:hint="eastAsia" w:ascii="宋体" w:hAnsi="宋体" w:eastAsia="宋体" w:cs="宋体"/>
          <w:b/>
          <w:color w:val="auto"/>
          <w:sz w:val="32"/>
          <w:szCs w:val="32"/>
        </w:rPr>
      </w:pPr>
    </w:p>
    <w:p>
      <w:pPr>
        <w:shd w:val="clear" w:color="auto" w:fill="FFFFFF"/>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rPr>
        <w:t>、服务承诺书</w:t>
      </w:r>
    </w:p>
    <w:p>
      <w:pPr>
        <w:pStyle w:val="24"/>
        <w:spacing w:before="12" w:beforeLines="5" w:after="12" w:afterLines="5" w:line="360" w:lineRule="exact"/>
        <w:ind w:firstLine="420"/>
        <w:jc w:val="center"/>
        <w:rPr>
          <w:rFonts w:hint="eastAsia" w:ascii="宋体" w:hAnsi="宋体" w:eastAsia="宋体" w:cs="宋体"/>
          <w:b/>
          <w:color w:val="auto"/>
          <w:sz w:val="36"/>
          <w:szCs w:val="36"/>
        </w:rPr>
      </w:pPr>
    </w:p>
    <w:p>
      <w:pPr>
        <w:shd w:val="clear" w:color="auto" w:fill="FFFFFF"/>
        <w:jc w:val="center"/>
        <w:rPr>
          <w:rFonts w:hint="eastAsia" w:ascii="宋体" w:hAnsi="宋体" w:eastAsia="宋体" w:cs="宋体"/>
          <w:color w:val="auto"/>
          <w:szCs w:val="20"/>
        </w:rPr>
      </w:pPr>
      <w:r>
        <w:rPr>
          <w:rFonts w:hint="eastAsia" w:ascii="宋体" w:hAnsi="宋体" w:eastAsia="宋体" w:cs="宋体"/>
          <w:color w:val="auto"/>
          <w:szCs w:val="20"/>
        </w:rPr>
        <w:t>(由</w:t>
      </w:r>
      <w:r>
        <w:rPr>
          <w:rFonts w:hint="eastAsia" w:ascii="宋体" w:hAnsi="宋体" w:eastAsia="宋体" w:cs="宋体"/>
          <w:color w:val="auto"/>
        </w:rPr>
        <w:t>谈判供应商</w:t>
      </w:r>
      <w:r>
        <w:rPr>
          <w:rFonts w:hint="eastAsia" w:ascii="宋体" w:hAnsi="宋体" w:eastAsia="宋体" w:cs="宋体"/>
          <w:color w:val="auto"/>
          <w:szCs w:val="20"/>
        </w:rPr>
        <w:t>就《项目需求》要求自行填写)</w:t>
      </w: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shd w:val="clear" w:color="auto" w:fill="FFFFFF"/>
        <w:ind w:right="420" w:firstLine="4410" w:firstLineChars="2100"/>
        <w:rPr>
          <w:rFonts w:hint="eastAsia" w:ascii="宋体" w:hAnsi="宋体" w:eastAsia="宋体" w:cs="宋体"/>
          <w:color w:val="auto"/>
          <w:szCs w:val="20"/>
        </w:rPr>
      </w:pPr>
      <w:r>
        <w:rPr>
          <w:rFonts w:hint="eastAsia" w:ascii="宋体" w:hAnsi="宋体" w:eastAsia="宋体" w:cs="宋体"/>
          <w:color w:val="auto"/>
        </w:rPr>
        <w:t>谈判供应商</w:t>
      </w:r>
      <w:r>
        <w:rPr>
          <w:rFonts w:hint="eastAsia" w:ascii="宋体" w:hAnsi="宋体" w:eastAsia="宋体" w:cs="宋体"/>
          <w:color w:val="auto"/>
          <w:szCs w:val="20"/>
        </w:rPr>
        <w:t>(公章)：</w:t>
      </w:r>
      <w:r>
        <w:rPr>
          <w:rFonts w:hint="eastAsia" w:ascii="宋体" w:hAnsi="宋体" w:eastAsia="宋体" w:cs="宋体"/>
          <w:color w:val="auto"/>
          <w:szCs w:val="20"/>
          <w:u w:val="single"/>
        </w:rPr>
        <w:t xml:space="preserve">                                 </w:t>
      </w:r>
    </w:p>
    <w:p>
      <w:pPr>
        <w:shd w:val="clear" w:color="auto" w:fill="FFFFFF"/>
        <w:jc w:val="right"/>
        <w:rPr>
          <w:rFonts w:hint="eastAsia" w:ascii="宋体" w:hAnsi="宋体" w:eastAsia="宋体" w:cs="宋体"/>
          <w:color w:val="auto"/>
          <w:szCs w:val="20"/>
        </w:rPr>
      </w:pPr>
    </w:p>
    <w:p>
      <w:pPr>
        <w:shd w:val="clear" w:color="auto" w:fill="FFFFFF"/>
        <w:ind w:right="420" w:firstLine="4410" w:firstLineChars="2100"/>
        <w:rPr>
          <w:rFonts w:hint="eastAsia" w:ascii="宋体" w:hAnsi="宋体" w:eastAsia="宋体" w:cs="宋体"/>
          <w:color w:val="auto"/>
          <w:szCs w:val="20"/>
          <w:u w:val="single"/>
        </w:rPr>
      </w:pPr>
      <w:r>
        <w:rPr>
          <w:rFonts w:hint="eastAsia" w:ascii="宋体" w:hAnsi="宋体" w:eastAsia="宋体" w:cs="宋体"/>
          <w:color w:val="auto"/>
          <w:szCs w:val="21"/>
        </w:rPr>
        <w:t>法定代表人(负责人)</w:t>
      </w:r>
      <w:r>
        <w:rPr>
          <w:rFonts w:hint="eastAsia" w:ascii="宋体" w:hAnsi="宋体" w:eastAsia="宋体" w:cs="宋体"/>
          <w:color w:val="auto"/>
          <w:szCs w:val="20"/>
        </w:rPr>
        <w:t>或委托代理人签字：</w:t>
      </w:r>
      <w:r>
        <w:rPr>
          <w:rFonts w:hint="eastAsia" w:ascii="宋体" w:hAnsi="宋体" w:eastAsia="宋体" w:cs="宋体"/>
          <w:color w:val="auto"/>
          <w:szCs w:val="20"/>
          <w:u w:val="single"/>
        </w:rPr>
        <w:t xml:space="preserve">                            </w:t>
      </w:r>
    </w:p>
    <w:p>
      <w:pPr>
        <w:shd w:val="clear" w:color="auto" w:fill="FFFFFF"/>
        <w:spacing w:line="240" w:lineRule="exact"/>
        <w:jc w:val="right"/>
        <w:rPr>
          <w:rFonts w:hint="eastAsia" w:ascii="宋体" w:hAnsi="宋体" w:eastAsia="宋体" w:cs="宋体"/>
          <w:b/>
          <w:bCs/>
          <w:color w:val="auto"/>
          <w:sz w:val="44"/>
          <w:szCs w:val="44"/>
        </w:rPr>
      </w:pPr>
    </w:p>
    <w:p>
      <w:pPr>
        <w:shd w:val="clear" w:color="auto" w:fill="FFFFFF"/>
        <w:ind w:right="420"/>
        <w:jc w:val="center"/>
        <w:rPr>
          <w:rFonts w:hint="eastAsia" w:ascii="宋体" w:hAnsi="宋体" w:eastAsia="宋体" w:cs="宋体"/>
          <w:color w:val="auto"/>
          <w:szCs w:val="20"/>
        </w:rPr>
      </w:pPr>
      <w:r>
        <w:rPr>
          <w:rFonts w:hint="eastAsia" w:ascii="宋体" w:hAnsi="宋体" w:eastAsia="宋体" w:cs="宋体"/>
          <w:color w:val="auto"/>
          <w:szCs w:val="20"/>
        </w:rPr>
        <w:t xml:space="preserve">日期 </w:t>
      </w:r>
      <w:r>
        <w:rPr>
          <w:rFonts w:hint="eastAsia" w:ascii="宋体" w:hAnsi="宋体" w:eastAsia="宋体" w:cs="宋体"/>
          <w:color w:val="auto"/>
          <w:szCs w:val="20"/>
          <w:u w:val="single"/>
        </w:rPr>
        <w:t xml:space="preserve">                           </w:t>
      </w:r>
      <w:r>
        <w:rPr>
          <w:rFonts w:hint="eastAsia" w:ascii="宋体" w:hAnsi="宋体" w:eastAsia="宋体" w:cs="宋体"/>
          <w:color w:val="auto"/>
          <w:szCs w:val="20"/>
        </w:rPr>
        <w:t xml:space="preserve">          </w:t>
      </w:r>
    </w:p>
    <w:p>
      <w:pPr>
        <w:shd w:val="clear" w:color="auto" w:fill="FFFFFF"/>
        <w:rPr>
          <w:rFonts w:hint="eastAsia" w:ascii="宋体" w:hAnsi="宋体" w:eastAsia="宋体" w:cs="宋体"/>
          <w:color w:val="auto"/>
          <w:szCs w:val="20"/>
        </w:rPr>
      </w:pPr>
      <w:r>
        <w:rPr>
          <w:rFonts w:hint="eastAsia" w:ascii="宋体" w:hAnsi="宋体" w:eastAsia="宋体" w:cs="宋体"/>
          <w:color w:val="auto"/>
          <w:szCs w:val="20"/>
        </w:rPr>
        <w:t> </w:t>
      </w:r>
    </w:p>
    <w:p>
      <w:pPr>
        <w:shd w:val="clear" w:color="auto" w:fill="FFFFFF"/>
        <w:rPr>
          <w:rFonts w:hint="eastAsia" w:ascii="宋体" w:hAnsi="宋体" w:eastAsia="宋体" w:cs="宋体"/>
          <w:color w:val="auto"/>
        </w:rPr>
      </w:pPr>
      <w:r>
        <w:rPr>
          <w:rFonts w:hint="eastAsia" w:ascii="宋体" w:hAnsi="宋体" w:eastAsia="宋体" w:cs="宋体"/>
          <w:color w:val="auto"/>
        </w:rPr>
        <w:t> </w:t>
      </w:r>
    </w:p>
    <w:p>
      <w:pPr>
        <w:shd w:val="clear" w:color="auto" w:fill="FFFFFF"/>
        <w:rPr>
          <w:rFonts w:hint="eastAsia" w:ascii="宋体" w:hAnsi="宋体" w:eastAsia="宋体" w:cs="宋体"/>
          <w:bCs/>
          <w:color w:val="auto"/>
        </w:rPr>
      </w:pPr>
      <w:r>
        <w:rPr>
          <w:rFonts w:hint="eastAsia" w:ascii="宋体" w:hAnsi="宋体" w:eastAsia="宋体" w:cs="宋体"/>
          <w:bCs/>
          <w:color w:val="auto"/>
        </w:rPr>
        <w:t>说明：此表由多页构成的，应逐页加盖</w:t>
      </w:r>
      <w:r>
        <w:rPr>
          <w:rFonts w:hint="eastAsia" w:ascii="宋体" w:hAnsi="宋体" w:eastAsia="宋体" w:cs="宋体"/>
          <w:color w:val="auto"/>
        </w:rPr>
        <w:t>谈判供应商</w:t>
      </w:r>
      <w:r>
        <w:rPr>
          <w:rFonts w:hint="eastAsia" w:ascii="宋体" w:hAnsi="宋体" w:eastAsia="宋体" w:cs="宋体"/>
          <w:bCs/>
          <w:color w:val="auto"/>
        </w:rPr>
        <w:t>法人公章并由</w:t>
      </w:r>
      <w:r>
        <w:rPr>
          <w:rFonts w:hint="eastAsia" w:ascii="宋体" w:hAnsi="宋体" w:eastAsia="宋体" w:cs="宋体"/>
          <w:color w:val="auto"/>
          <w:szCs w:val="21"/>
        </w:rPr>
        <w:t>法定代表人(负责人)</w:t>
      </w:r>
      <w:r>
        <w:rPr>
          <w:rFonts w:hint="eastAsia" w:ascii="宋体" w:hAnsi="宋体" w:eastAsia="宋体" w:cs="宋体"/>
          <w:bCs/>
          <w:color w:val="auto"/>
        </w:rPr>
        <w:t>或委托代理人签字。</w:t>
      </w: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pStyle w:val="24"/>
        <w:tabs>
          <w:tab w:val="center" w:pos="4883"/>
        </w:tabs>
        <w:spacing w:before="12" w:beforeLines="5" w:after="12" w:afterLines="5" w:line="360" w:lineRule="exact"/>
        <w:ind w:firstLine="412"/>
        <w:jc w:val="center"/>
        <w:rPr>
          <w:rFonts w:hint="eastAsia" w:ascii="宋体" w:hAnsi="宋体" w:eastAsia="宋体" w:cs="宋体"/>
          <w:b/>
          <w:color w:val="auto"/>
          <w:sz w:val="36"/>
          <w:szCs w:val="36"/>
        </w:rPr>
      </w:pPr>
    </w:p>
    <w:p>
      <w:pPr>
        <w:spacing w:before="5" w:after="5" w:line="360" w:lineRule="exact"/>
        <w:rPr>
          <w:rFonts w:hint="eastAsia" w:ascii="宋体" w:hAnsi="宋体" w:eastAsia="宋体" w:cs="宋体"/>
          <w:b/>
          <w:color w:val="auto"/>
          <w:kern w:val="0"/>
          <w:sz w:val="32"/>
          <w:szCs w:val="32"/>
        </w:rPr>
      </w:pPr>
    </w:p>
    <w:p>
      <w:pPr>
        <w:spacing w:before="5" w:after="5" w:line="360" w:lineRule="exact"/>
        <w:jc w:val="center"/>
        <w:rPr>
          <w:rFonts w:hint="eastAsia" w:ascii="宋体" w:hAnsi="宋体" w:eastAsia="宋体" w:cs="宋体"/>
          <w:b/>
          <w:color w:val="auto"/>
          <w:kern w:val="0"/>
          <w:sz w:val="28"/>
          <w:szCs w:val="28"/>
        </w:rPr>
      </w:pPr>
      <w:r>
        <w:rPr>
          <w:rFonts w:hint="eastAsia" w:ascii="宋体" w:hAnsi="宋体" w:cs="宋体"/>
          <w:b/>
          <w:color w:val="auto"/>
          <w:kern w:val="0"/>
          <w:sz w:val="32"/>
          <w:szCs w:val="32"/>
          <w:lang w:val="en-US" w:eastAsia="zh-CN"/>
        </w:rPr>
        <w:t>五</w:t>
      </w:r>
      <w:r>
        <w:rPr>
          <w:rFonts w:hint="eastAsia" w:ascii="宋体" w:hAnsi="宋体" w:eastAsia="宋体" w:cs="宋体"/>
          <w:b/>
          <w:color w:val="auto"/>
          <w:kern w:val="0"/>
          <w:sz w:val="32"/>
          <w:szCs w:val="32"/>
        </w:rPr>
        <w:t>、谈判供应商资格证明文件</w:t>
      </w:r>
    </w:p>
    <w:p>
      <w:pPr>
        <w:pStyle w:val="24"/>
        <w:spacing w:before="12" w:beforeLines="5" w:after="12" w:afterLines="5" w:line="360" w:lineRule="exact"/>
        <w:ind w:firstLine="412"/>
        <w:jc w:val="center"/>
        <w:rPr>
          <w:rFonts w:hint="eastAsia" w:ascii="宋体" w:hAnsi="宋体" w:eastAsia="宋体" w:cs="宋体"/>
          <w:color w:val="auto"/>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rPr>
          <w:rFonts w:hint="eastAsia" w:ascii="宋体" w:hAnsi="宋体" w:eastAsia="宋体" w:cs="宋体"/>
          <w:b/>
          <w:color w:val="auto"/>
          <w:kern w:val="0"/>
          <w:sz w:val="32"/>
          <w:szCs w:val="32"/>
        </w:rPr>
      </w:pPr>
    </w:p>
    <w:p>
      <w:pPr>
        <w:spacing w:before="5" w:after="5" w:line="360" w:lineRule="exact"/>
        <w:jc w:val="center"/>
        <w:rPr>
          <w:rFonts w:hint="eastAsia" w:ascii="宋体" w:hAnsi="宋体" w:eastAsia="宋体" w:cs="宋体"/>
          <w:b/>
          <w:color w:val="auto"/>
          <w:kern w:val="0"/>
          <w:sz w:val="32"/>
          <w:szCs w:val="32"/>
        </w:rPr>
      </w:pPr>
    </w:p>
    <w:p>
      <w:pPr>
        <w:spacing w:before="5" w:after="5" w:line="360" w:lineRule="exact"/>
        <w:jc w:val="center"/>
        <w:rPr>
          <w:rFonts w:hint="eastAsia" w:ascii="宋体" w:hAnsi="宋体" w:eastAsia="宋体" w:cs="宋体"/>
          <w:b/>
          <w:color w:val="auto"/>
          <w:kern w:val="0"/>
          <w:sz w:val="28"/>
          <w:szCs w:val="28"/>
        </w:rPr>
      </w:pPr>
      <w:r>
        <w:rPr>
          <w:rFonts w:hint="eastAsia" w:ascii="宋体" w:hAnsi="宋体" w:eastAsia="宋体" w:cs="宋体"/>
          <w:b/>
          <w:bCs/>
          <w:color w:val="auto"/>
          <w:sz w:val="30"/>
          <w:szCs w:val="30"/>
        </w:rPr>
        <w:t>响应文件签署</w:t>
      </w:r>
      <w:r>
        <w:rPr>
          <w:rFonts w:hint="eastAsia" w:ascii="宋体" w:hAnsi="宋体" w:eastAsia="宋体" w:cs="宋体"/>
          <w:b/>
          <w:color w:val="auto"/>
          <w:kern w:val="0"/>
          <w:sz w:val="28"/>
          <w:szCs w:val="28"/>
        </w:rPr>
        <w:t>授权委托书（格式）</w:t>
      </w:r>
    </w:p>
    <w:p>
      <w:pPr>
        <w:spacing w:before="5" w:after="5" w:line="360" w:lineRule="exact"/>
        <w:ind w:firstLine="313" w:firstLineChars="98"/>
        <w:rPr>
          <w:rFonts w:hint="eastAsia" w:ascii="宋体" w:hAnsi="宋体" w:eastAsia="宋体" w:cs="宋体"/>
          <w:color w:val="auto"/>
          <w:sz w:val="32"/>
        </w:rPr>
      </w:pPr>
    </w:p>
    <w:p>
      <w:pPr>
        <w:spacing w:before="5" w:after="5" w:line="360" w:lineRule="exact"/>
        <w:ind w:firstLine="313" w:firstLineChars="98"/>
        <w:rPr>
          <w:rFonts w:hint="eastAsia" w:ascii="宋体" w:hAnsi="宋体" w:eastAsia="宋体" w:cs="宋体"/>
          <w:color w:val="auto"/>
          <w:sz w:val="32"/>
        </w:rPr>
      </w:pPr>
    </w:p>
    <w:p>
      <w:pPr>
        <w:spacing w:before="5" w:after="5" w:line="480" w:lineRule="auto"/>
        <w:ind w:firstLine="525" w:firstLineChars="250"/>
        <w:rPr>
          <w:rFonts w:hint="eastAsia" w:ascii="宋体" w:hAnsi="宋体" w:eastAsia="宋体" w:cs="宋体"/>
          <w:color w:val="auto"/>
        </w:rPr>
      </w:pPr>
    </w:p>
    <w:p>
      <w:pPr>
        <w:spacing w:before="5" w:after="5" w:line="480" w:lineRule="auto"/>
        <w:ind w:firstLine="525" w:firstLineChars="250"/>
        <w:rPr>
          <w:rFonts w:hint="eastAsia" w:ascii="宋体" w:hAnsi="宋体" w:eastAsia="宋体" w:cs="宋体"/>
          <w:color w:val="auto"/>
        </w:rPr>
      </w:pPr>
      <w:r>
        <w:rPr>
          <w:rFonts w:hint="eastAsia" w:ascii="宋体" w:hAnsi="宋体" w:eastAsia="宋体" w:cs="宋体"/>
          <w:color w:val="auto"/>
        </w:rPr>
        <w:t>本授权委托书声明：我</w:t>
      </w:r>
      <w:r>
        <w:rPr>
          <w:rFonts w:hint="eastAsia" w:ascii="宋体" w:hAnsi="宋体" w:eastAsia="宋体" w:cs="宋体"/>
          <w:color w:val="auto"/>
          <w:u w:val="single"/>
        </w:rPr>
        <w:t> （姓名）</w:t>
      </w:r>
      <w:r>
        <w:rPr>
          <w:rFonts w:hint="eastAsia" w:ascii="宋体" w:hAnsi="宋体" w:eastAsia="宋体" w:cs="宋体"/>
          <w:color w:val="auto"/>
        </w:rPr>
        <w:t>系</w:t>
      </w:r>
      <w:r>
        <w:rPr>
          <w:rFonts w:hint="eastAsia" w:ascii="宋体" w:hAnsi="宋体" w:eastAsia="宋体" w:cs="宋体"/>
          <w:color w:val="auto"/>
          <w:u w:val="single"/>
        </w:rPr>
        <w:t xml:space="preserve">        （谈判供应商单位名称）</w:t>
      </w:r>
      <w:r>
        <w:rPr>
          <w:rFonts w:hint="eastAsia" w:ascii="宋体" w:hAnsi="宋体" w:eastAsia="宋体" w:cs="宋体"/>
          <w:color w:val="auto"/>
        </w:rPr>
        <w:t>的法定代表人（负责人），现授权委托</w:t>
      </w:r>
      <w:r>
        <w:rPr>
          <w:rFonts w:hint="eastAsia" w:ascii="宋体" w:hAnsi="宋体" w:eastAsia="宋体" w:cs="宋体"/>
          <w:color w:val="auto"/>
          <w:u w:val="single"/>
        </w:rPr>
        <w:t xml:space="preserve">      （单位名称）     </w:t>
      </w:r>
      <w:r>
        <w:rPr>
          <w:rFonts w:hint="eastAsia" w:ascii="宋体" w:hAnsi="宋体" w:eastAsia="宋体" w:cs="宋体"/>
          <w:color w:val="auto"/>
        </w:rPr>
        <w:t>的</w:t>
      </w:r>
      <w:r>
        <w:rPr>
          <w:rFonts w:hint="eastAsia" w:ascii="宋体" w:hAnsi="宋体" w:eastAsia="宋体" w:cs="宋体"/>
          <w:color w:val="auto"/>
          <w:u w:val="single"/>
        </w:rPr>
        <w:t xml:space="preserve">    （姓名）</w:t>
      </w:r>
      <w:r>
        <w:rPr>
          <w:rFonts w:hint="eastAsia" w:ascii="宋体" w:hAnsi="宋体" w:eastAsia="宋体" w:cs="宋体"/>
          <w:color w:val="auto"/>
        </w:rPr>
        <w:t>为我公司签署本次谈判</w:t>
      </w:r>
      <w:r>
        <w:rPr>
          <w:rFonts w:hint="eastAsia" w:ascii="宋体" w:hAnsi="宋体" w:eastAsia="宋体" w:cs="宋体"/>
          <w:color w:val="auto"/>
          <w:u w:val="single"/>
        </w:rPr>
        <w:t xml:space="preserve">             （项目名称及项目编号）</w:t>
      </w:r>
      <w:r>
        <w:rPr>
          <w:rFonts w:hint="eastAsia" w:ascii="宋体" w:hAnsi="宋体" w:eastAsia="宋体" w:cs="宋体"/>
          <w:color w:val="auto"/>
        </w:rPr>
        <w:t>的响应文件的法定代表人（负责人）授权委托代理人，我承认代理人全权代表我所签署的本次谈判的响应文件的内容。</w:t>
      </w:r>
    </w:p>
    <w:p>
      <w:pPr>
        <w:spacing w:before="5" w:after="5" w:line="480" w:lineRule="auto"/>
        <w:ind w:firstLine="525" w:firstLineChars="250"/>
        <w:rPr>
          <w:rFonts w:hint="eastAsia" w:ascii="宋体" w:hAnsi="宋体" w:eastAsia="宋体" w:cs="宋体"/>
          <w:color w:val="auto"/>
        </w:rPr>
      </w:pPr>
    </w:p>
    <w:p>
      <w:pPr>
        <w:spacing w:before="5" w:after="5" w:line="480" w:lineRule="auto"/>
        <w:ind w:firstLine="525" w:firstLineChars="250"/>
        <w:rPr>
          <w:rFonts w:hint="eastAsia" w:ascii="宋体" w:hAnsi="宋体" w:eastAsia="宋体" w:cs="宋体"/>
          <w:color w:val="auto"/>
        </w:rPr>
      </w:pPr>
      <w:r>
        <w:rPr>
          <w:rFonts w:hint="eastAsia" w:ascii="宋体" w:hAnsi="宋体" w:eastAsia="宋体" w:cs="宋体"/>
          <w:color w:val="auto"/>
        </w:rPr>
        <w:t>代理人无转委托权，特此委托。</w:t>
      </w:r>
    </w:p>
    <w:p>
      <w:pPr>
        <w:spacing w:before="5" w:after="5" w:line="480" w:lineRule="auto"/>
        <w:ind w:firstLine="525" w:firstLineChars="250"/>
        <w:rPr>
          <w:rFonts w:hint="eastAsia" w:ascii="宋体" w:hAnsi="宋体" w:eastAsia="宋体" w:cs="宋体"/>
          <w:color w:val="auto"/>
        </w:rPr>
      </w:pPr>
    </w:p>
    <w:p>
      <w:pPr>
        <w:spacing w:before="5" w:after="5" w:line="480" w:lineRule="auto"/>
        <w:ind w:firstLine="525" w:firstLineChars="250"/>
        <w:rPr>
          <w:rFonts w:hint="eastAsia" w:ascii="宋体" w:hAnsi="宋体" w:eastAsia="宋体" w:cs="宋体"/>
          <w:color w:val="auto"/>
          <w:u w:val="single"/>
        </w:rPr>
      </w:pPr>
      <w:r>
        <w:rPr>
          <w:rFonts w:hint="eastAsia" w:ascii="宋体" w:hAnsi="宋体" w:eastAsia="宋体" w:cs="宋体"/>
          <w:color w:val="auto"/>
        </w:rPr>
        <w:t>代理人：</w:t>
      </w:r>
      <w:r>
        <w:rPr>
          <w:rFonts w:hint="eastAsia" w:ascii="宋体" w:hAnsi="宋体" w:eastAsia="宋体" w:cs="宋体"/>
          <w:color w:val="auto"/>
          <w:u w:val="single"/>
        </w:rPr>
        <w:t xml:space="preserve">                    </w:t>
      </w:r>
      <w:r>
        <w:rPr>
          <w:rFonts w:hint="eastAsia" w:ascii="宋体" w:hAnsi="宋体" w:eastAsia="宋体" w:cs="宋体"/>
          <w:color w:val="auto"/>
        </w:rPr>
        <w:t xml:space="preserve"> 性别：</w:t>
      </w:r>
      <w:r>
        <w:rPr>
          <w:rFonts w:hint="eastAsia" w:ascii="宋体" w:hAnsi="宋体" w:eastAsia="宋体" w:cs="宋体"/>
          <w:color w:val="auto"/>
          <w:u w:val="single"/>
        </w:rPr>
        <w:t xml:space="preserve">                       </w:t>
      </w:r>
      <w:r>
        <w:rPr>
          <w:rFonts w:hint="eastAsia" w:ascii="宋体" w:hAnsi="宋体" w:eastAsia="宋体" w:cs="宋体"/>
          <w:color w:val="auto"/>
        </w:rPr>
        <w:t xml:space="preserve"> 年龄：</w:t>
      </w:r>
      <w:r>
        <w:rPr>
          <w:rFonts w:hint="eastAsia" w:ascii="宋体" w:hAnsi="宋体" w:eastAsia="宋体" w:cs="宋体"/>
          <w:color w:val="auto"/>
          <w:u w:val="single"/>
        </w:rPr>
        <w:t xml:space="preserve">             </w:t>
      </w:r>
    </w:p>
    <w:p>
      <w:pPr>
        <w:spacing w:before="5" w:after="5" w:line="480" w:lineRule="auto"/>
        <w:ind w:firstLine="525" w:firstLineChars="250"/>
        <w:rPr>
          <w:rFonts w:hint="eastAsia" w:ascii="宋体" w:hAnsi="宋体" w:eastAsia="宋体" w:cs="宋体"/>
          <w:color w:val="auto"/>
          <w:u w:val="single"/>
        </w:rPr>
      </w:pPr>
      <w:r>
        <w:rPr>
          <w:rFonts w:hint="eastAsia" w:ascii="宋体" w:hAnsi="宋体" w:eastAsia="宋体" w:cs="宋体"/>
          <w:color w:val="auto"/>
        </w:rPr>
        <w:t>单  位：</w:t>
      </w:r>
      <w:r>
        <w:rPr>
          <w:rFonts w:hint="eastAsia" w:ascii="宋体" w:hAnsi="宋体" w:eastAsia="宋体" w:cs="宋体"/>
          <w:color w:val="auto"/>
          <w:u w:val="single"/>
        </w:rPr>
        <w:t xml:space="preserve">                    </w:t>
      </w:r>
      <w:r>
        <w:rPr>
          <w:rFonts w:hint="eastAsia" w:ascii="宋体" w:hAnsi="宋体" w:eastAsia="宋体" w:cs="宋体"/>
          <w:color w:val="auto"/>
        </w:rPr>
        <w:t xml:space="preserve"> 部门：</w:t>
      </w:r>
      <w:r>
        <w:rPr>
          <w:rFonts w:hint="eastAsia" w:ascii="宋体" w:hAnsi="宋体" w:eastAsia="宋体" w:cs="宋体"/>
          <w:color w:val="auto"/>
          <w:u w:val="single"/>
        </w:rPr>
        <w:t xml:space="preserve">                       </w:t>
      </w:r>
      <w:r>
        <w:rPr>
          <w:rFonts w:hint="eastAsia" w:ascii="宋体" w:hAnsi="宋体" w:eastAsia="宋体" w:cs="宋体"/>
          <w:color w:val="auto"/>
        </w:rPr>
        <w:t xml:space="preserve"> 职务：</w:t>
      </w:r>
      <w:r>
        <w:rPr>
          <w:rFonts w:hint="eastAsia" w:ascii="宋体" w:hAnsi="宋体" w:eastAsia="宋体" w:cs="宋体"/>
          <w:color w:val="auto"/>
          <w:u w:val="single"/>
        </w:rPr>
        <w:t xml:space="preserve">             </w:t>
      </w:r>
    </w:p>
    <w:p>
      <w:pPr>
        <w:spacing w:before="5" w:after="5" w:line="480" w:lineRule="auto"/>
        <w:ind w:firstLine="525" w:firstLineChars="250"/>
        <w:rPr>
          <w:rFonts w:hint="eastAsia" w:ascii="宋体" w:hAnsi="宋体" w:eastAsia="宋体" w:cs="宋体"/>
          <w:color w:val="auto"/>
        </w:rPr>
      </w:pPr>
    </w:p>
    <w:p>
      <w:pPr>
        <w:spacing w:before="5" w:after="5" w:line="480" w:lineRule="auto"/>
        <w:ind w:firstLine="525" w:firstLineChars="250"/>
        <w:rPr>
          <w:rFonts w:hint="eastAsia" w:ascii="宋体" w:hAnsi="宋体" w:eastAsia="宋体" w:cs="宋体"/>
          <w:color w:val="auto"/>
        </w:rPr>
      </w:pPr>
      <w:r>
        <w:rPr>
          <w:rFonts w:hint="eastAsia" w:ascii="宋体" w:hAnsi="宋体" w:eastAsia="宋体" w:cs="宋体"/>
          <w:color w:val="auto"/>
        </w:rPr>
        <w:t xml:space="preserve">      谈判供应商单位：（盖章）</w:t>
      </w:r>
    </w:p>
    <w:p>
      <w:pPr>
        <w:spacing w:before="5" w:after="5" w:line="480" w:lineRule="auto"/>
        <w:ind w:firstLine="525" w:firstLineChars="250"/>
        <w:rPr>
          <w:rFonts w:hint="eastAsia" w:ascii="宋体" w:hAnsi="宋体" w:eastAsia="宋体" w:cs="宋体"/>
          <w:color w:val="auto"/>
        </w:rPr>
      </w:pPr>
    </w:p>
    <w:p>
      <w:pPr>
        <w:spacing w:before="5" w:after="5" w:line="480" w:lineRule="auto"/>
        <w:ind w:firstLine="525" w:firstLineChars="250"/>
        <w:rPr>
          <w:rFonts w:hint="eastAsia" w:ascii="宋体" w:hAnsi="宋体" w:eastAsia="宋体" w:cs="宋体"/>
          <w:color w:val="auto"/>
        </w:rPr>
      </w:pPr>
      <w:r>
        <w:rPr>
          <w:rFonts w:hint="eastAsia" w:ascii="宋体" w:hAnsi="宋体" w:eastAsia="宋体" w:cs="宋体"/>
          <w:color w:val="auto"/>
        </w:rPr>
        <w:t xml:space="preserve">       法定代表人（负责人）：（签字）</w:t>
      </w:r>
    </w:p>
    <w:p>
      <w:pPr>
        <w:spacing w:before="5" w:after="5" w:line="480" w:lineRule="auto"/>
        <w:ind w:firstLine="525" w:firstLineChars="250"/>
        <w:rPr>
          <w:rFonts w:hint="eastAsia" w:ascii="宋体" w:hAnsi="宋体" w:eastAsia="宋体" w:cs="宋体"/>
          <w:color w:val="auto"/>
        </w:rPr>
      </w:pPr>
    </w:p>
    <w:p>
      <w:pPr>
        <w:spacing w:before="5" w:after="5" w:line="480" w:lineRule="auto"/>
        <w:ind w:firstLine="1260" w:firstLineChars="600"/>
        <w:rPr>
          <w:rFonts w:hint="eastAsia" w:ascii="宋体" w:hAnsi="宋体" w:eastAsia="宋体" w:cs="宋体"/>
          <w:color w:val="auto"/>
        </w:rPr>
      </w:pPr>
      <w:r>
        <w:rPr>
          <w:rFonts w:hint="eastAsia" w:ascii="宋体" w:hAnsi="宋体" w:eastAsia="宋体" w:cs="宋体"/>
          <w:color w:val="auto"/>
        </w:rPr>
        <w:t>授权委托人：（签字）</w:t>
      </w:r>
    </w:p>
    <w:p>
      <w:pPr>
        <w:spacing w:before="5" w:after="5" w:line="480" w:lineRule="auto"/>
        <w:ind w:firstLine="525" w:firstLineChars="250"/>
        <w:rPr>
          <w:rFonts w:hint="eastAsia" w:ascii="宋体" w:hAnsi="宋体" w:eastAsia="宋体" w:cs="宋体"/>
          <w:color w:val="auto"/>
        </w:rPr>
      </w:pPr>
    </w:p>
    <w:p>
      <w:pPr>
        <w:spacing w:before="5" w:after="5" w:line="480" w:lineRule="auto"/>
        <w:rPr>
          <w:rFonts w:hint="eastAsia" w:ascii="宋体" w:hAnsi="宋体" w:eastAsia="宋体" w:cs="宋体"/>
          <w:color w:val="auto"/>
        </w:rPr>
      </w:pPr>
      <w:r>
        <w:rPr>
          <w:rFonts w:hint="eastAsia" w:ascii="宋体" w:hAnsi="宋体" w:eastAsia="宋体" w:cs="宋体"/>
          <w:color w:val="auto"/>
        </w:rPr>
        <w:t xml:space="preserve">       日期：      年      月      日</w:t>
      </w:r>
    </w:p>
    <w:p>
      <w:pPr>
        <w:spacing w:before="5" w:after="5" w:line="360" w:lineRule="exact"/>
        <w:jc w:val="center"/>
        <w:rPr>
          <w:rFonts w:hint="eastAsia" w:ascii="宋体" w:hAnsi="宋体" w:eastAsia="宋体" w:cs="宋体"/>
          <w:color w:val="auto"/>
        </w:rPr>
      </w:pPr>
    </w:p>
    <w:p>
      <w:pPr>
        <w:spacing w:before="5" w:after="5" w:line="360" w:lineRule="exact"/>
        <w:rPr>
          <w:rFonts w:hint="eastAsia" w:ascii="宋体" w:hAnsi="宋体" w:eastAsia="宋体" w:cs="宋体"/>
          <w:b/>
          <w:bCs/>
          <w:color w:val="auto"/>
          <w:spacing w:val="6"/>
          <w:sz w:val="32"/>
        </w:rPr>
      </w:pPr>
    </w:p>
    <w:p>
      <w:pPr>
        <w:spacing w:before="5" w:after="5" w:line="360" w:lineRule="exact"/>
        <w:rPr>
          <w:rFonts w:hint="eastAsia" w:ascii="宋体" w:hAnsi="宋体" w:eastAsia="宋体" w:cs="宋体"/>
          <w:b/>
          <w:color w:val="auto"/>
          <w:kern w:val="0"/>
          <w:sz w:val="30"/>
        </w:rPr>
      </w:pPr>
    </w:p>
    <w:p>
      <w:pPr>
        <w:rPr>
          <w:rFonts w:hint="eastAsia" w:ascii="宋体" w:hAnsi="宋体" w:eastAsia="宋体" w:cs="宋体"/>
          <w:color w:val="auto"/>
        </w:rPr>
      </w:pPr>
      <w:bookmarkStart w:id="116" w:name="_Toc339549588"/>
      <w:bookmarkStart w:id="117" w:name="_Toc339809742"/>
      <w:bookmarkStart w:id="118" w:name="_Toc339894594"/>
      <w:bookmarkStart w:id="119" w:name="_Toc339890628"/>
      <w:bookmarkStart w:id="120" w:name="_Toc339809767"/>
      <w:bookmarkStart w:id="121" w:name="_Toc339549883"/>
    </w:p>
    <w:p>
      <w:pPr>
        <w:rPr>
          <w:rFonts w:hint="eastAsia" w:ascii="宋体" w:hAnsi="宋体" w:eastAsia="宋体" w:cs="宋体"/>
          <w:color w:val="auto"/>
        </w:rPr>
      </w:pPr>
    </w:p>
    <w:bookmarkEnd w:id="116"/>
    <w:bookmarkEnd w:id="117"/>
    <w:bookmarkEnd w:id="118"/>
    <w:bookmarkEnd w:id="119"/>
    <w:bookmarkEnd w:id="120"/>
    <w:bookmarkEnd w:id="121"/>
    <w:p>
      <w:pPr>
        <w:pStyle w:val="24"/>
        <w:spacing w:before="12" w:beforeLines="5" w:after="12" w:afterLines="5" w:line="360" w:lineRule="exact"/>
        <w:ind w:firstLine="412"/>
        <w:jc w:val="center"/>
        <w:rPr>
          <w:rFonts w:hint="eastAsia" w:ascii="宋体" w:hAnsi="宋体" w:eastAsia="宋体" w:cs="宋体"/>
          <w:b/>
          <w:color w:val="auto"/>
          <w:sz w:val="36"/>
          <w:szCs w:val="36"/>
        </w:rPr>
      </w:pPr>
    </w:p>
    <w:p>
      <w:pPr>
        <w:pStyle w:val="24"/>
        <w:spacing w:before="12" w:beforeLines="5" w:after="12" w:afterLines="5" w:line="360" w:lineRule="exact"/>
        <w:ind w:firstLine="412"/>
        <w:jc w:val="center"/>
        <w:rPr>
          <w:rFonts w:hint="eastAsia" w:ascii="宋体" w:hAnsi="宋体" w:eastAsia="宋体" w:cs="宋体"/>
          <w:b/>
          <w:color w:val="auto"/>
          <w:sz w:val="36"/>
          <w:szCs w:val="36"/>
        </w:rPr>
      </w:pPr>
    </w:p>
    <w:p>
      <w:pPr>
        <w:spacing w:before="5" w:after="5" w:line="360" w:lineRule="exact"/>
        <w:rPr>
          <w:rFonts w:hint="eastAsia" w:ascii="宋体" w:hAnsi="宋体" w:eastAsia="宋体" w:cs="宋体"/>
          <w:color w:val="auto"/>
        </w:rPr>
      </w:pPr>
    </w:p>
    <w:p>
      <w:pPr>
        <w:spacing w:before="5" w:after="5" w:line="360" w:lineRule="exact"/>
        <w:rPr>
          <w:rFonts w:hint="eastAsia" w:ascii="宋体" w:hAnsi="宋体" w:eastAsia="宋体" w:cs="宋体"/>
          <w:color w:val="auto"/>
        </w:rPr>
      </w:pPr>
    </w:p>
    <w:p>
      <w:pPr>
        <w:spacing w:before="5" w:after="5" w:line="360" w:lineRule="exact"/>
        <w:rPr>
          <w:rFonts w:hint="eastAsia" w:ascii="宋体" w:hAnsi="宋体" w:eastAsia="宋体" w:cs="宋体"/>
          <w:color w:val="auto"/>
        </w:rPr>
      </w:pPr>
    </w:p>
    <w:p>
      <w:pPr>
        <w:numPr>
          <w:ilvl w:val="0"/>
          <w:numId w:val="38"/>
        </w:numPr>
        <w:spacing w:before="5" w:after="5" w:line="360" w:lineRule="exact"/>
        <w:ind w:left="134"/>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项目设计方案</w:t>
      </w:r>
    </w:p>
    <w:p>
      <w:pPr>
        <w:shd w:val="clear" w:color="auto" w:fill="FFFFFF"/>
        <w:jc w:val="center"/>
        <w:rPr>
          <w:rFonts w:hint="eastAsia" w:ascii="宋体" w:hAnsi="宋体" w:eastAsia="宋体" w:cs="宋体"/>
          <w:color w:val="auto"/>
          <w:szCs w:val="20"/>
        </w:rPr>
      </w:pPr>
    </w:p>
    <w:p>
      <w:pPr>
        <w:shd w:val="clear" w:color="auto" w:fill="FFFFFF"/>
        <w:jc w:val="center"/>
        <w:rPr>
          <w:rFonts w:hint="eastAsia" w:ascii="宋体" w:hAnsi="宋体" w:eastAsia="宋体" w:cs="宋体"/>
          <w:color w:val="auto"/>
          <w:szCs w:val="20"/>
        </w:rPr>
      </w:pPr>
      <w:r>
        <w:rPr>
          <w:rFonts w:hint="eastAsia" w:ascii="宋体" w:hAnsi="宋体" w:eastAsia="宋体" w:cs="宋体"/>
          <w:color w:val="auto"/>
          <w:szCs w:val="20"/>
        </w:rPr>
        <w:t>(由谈判供应商就《项目需求》要求自行</w:t>
      </w:r>
      <w:r>
        <w:rPr>
          <w:rFonts w:hint="eastAsia" w:ascii="宋体" w:hAnsi="宋体" w:eastAsia="宋体" w:cs="宋体"/>
          <w:color w:val="auto"/>
          <w:szCs w:val="20"/>
          <w:lang w:val="en-US" w:eastAsia="zh-CN"/>
        </w:rPr>
        <w:t>填写</w:t>
      </w:r>
      <w:r>
        <w:rPr>
          <w:rFonts w:hint="eastAsia" w:ascii="宋体" w:hAnsi="宋体" w:eastAsia="宋体" w:cs="宋体"/>
          <w:color w:val="auto"/>
          <w:szCs w:val="20"/>
        </w:rPr>
        <w:t>)</w:t>
      </w: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jc w:val="both"/>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ind w:left="134"/>
        <w:jc w:val="center"/>
        <w:rPr>
          <w:rFonts w:hint="eastAsia" w:ascii="宋体" w:hAnsi="宋体" w:eastAsia="宋体" w:cs="宋体"/>
          <w:b/>
          <w:color w:val="auto"/>
          <w:sz w:val="32"/>
          <w:szCs w:val="32"/>
        </w:rPr>
      </w:pPr>
    </w:p>
    <w:p>
      <w:pPr>
        <w:pStyle w:val="2"/>
        <w:rPr>
          <w:rFonts w:hint="eastAsia"/>
        </w:rPr>
      </w:pPr>
    </w:p>
    <w:p>
      <w:pPr>
        <w:rPr>
          <w:rFonts w:hint="eastAsia"/>
        </w:rPr>
      </w:pPr>
    </w:p>
    <w:p>
      <w:pPr>
        <w:spacing w:before="5" w:after="5" w:line="360" w:lineRule="exact"/>
        <w:ind w:left="134"/>
        <w:jc w:val="center"/>
        <w:rPr>
          <w:rFonts w:hint="eastAsia" w:ascii="宋体" w:hAnsi="宋体" w:eastAsia="宋体" w:cs="宋体"/>
          <w:b/>
          <w:color w:val="auto"/>
          <w:sz w:val="32"/>
          <w:szCs w:val="32"/>
        </w:rPr>
      </w:pPr>
    </w:p>
    <w:p>
      <w:pPr>
        <w:spacing w:before="5" w:after="5" w:line="360" w:lineRule="exact"/>
        <w:jc w:val="center"/>
        <w:rPr>
          <w:rFonts w:hint="eastAsia" w:ascii="宋体" w:hAnsi="宋体" w:eastAsia="宋体" w:cs="宋体"/>
          <w:b/>
          <w:color w:val="auto"/>
          <w:sz w:val="32"/>
          <w:szCs w:val="32"/>
        </w:rPr>
      </w:pPr>
      <w:r>
        <w:rPr>
          <w:rFonts w:hint="eastAsia" w:ascii="宋体" w:hAnsi="宋体" w:cs="宋体"/>
          <w:b/>
          <w:color w:val="auto"/>
          <w:sz w:val="32"/>
          <w:szCs w:val="32"/>
          <w:lang w:val="en-US" w:eastAsia="zh-CN"/>
        </w:rPr>
        <w:t>七、</w:t>
      </w:r>
      <w:r>
        <w:rPr>
          <w:rFonts w:hint="eastAsia" w:ascii="宋体" w:hAnsi="宋体" w:eastAsia="宋体" w:cs="宋体"/>
          <w:b/>
          <w:color w:val="auto"/>
          <w:sz w:val="32"/>
          <w:szCs w:val="32"/>
        </w:rPr>
        <w:t>谈判供应商认为有必要提供的其他有关材料</w:t>
      </w:r>
    </w:p>
    <w:p>
      <w:pPr>
        <w:spacing w:before="5" w:after="5" w:line="360" w:lineRule="exact"/>
        <w:ind w:left="134"/>
        <w:jc w:val="center"/>
        <w:rPr>
          <w:rFonts w:hint="eastAsia" w:ascii="宋体" w:hAnsi="宋体" w:eastAsia="宋体" w:cs="宋体"/>
          <w:color w:val="auto"/>
          <w:szCs w:val="21"/>
        </w:rPr>
      </w:pPr>
      <w:r>
        <w:rPr>
          <w:rFonts w:hint="eastAsia" w:ascii="宋体" w:hAnsi="宋体" w:eastAsia="宋体" w:cs="宋体"/>
          <w:color w:val="auto"/>
          <w:szCs w:val="21"/>
        </w:rPr>
        <w:t>（格式自拟）</w:t>
      </w:r>
    </w:p>
    <w:p>
      <w:pPr>
        <w:spacing w:before="5" w:after="5" w:line="360" w:lineRule="exact"/>
        <w:ind w:left="134"/>
        <w:rPr>
          <w:rFonts w:hint="eastAsia" w:ascii="宋体" w:hAnsi="宋体" w:eastAsia="宋体" w:cs="宋体"/>
          <w:color w:val="auto"/>
        </w:rPr>
      </w:pPr>
    </w:p>
    <w:p>
      <w:pPr>
        <w:shd w:val="clear" w:color="auto" w:fill="FFFFFF"/>
        <w:jc w:val="center"/>
        <w:rPr>
          <w:rFonts w:hint="eastAsia" w:ascii="宋体" w:hAnsi="宋体" w:eastAsia="宋体" w:cs="宋体"/>
          <w:color w:val="auto"/>
        </w:rPr>
      </w:pPr>
    </w:p>
    <w:sectPr>
      <w:footerReference r:id="rId12" w:type="first"/>
      <w:footerReference r:id="rId11" w:type="default"/>
      <w:pgSz w:w="11906" w:h="16838"/>
      <w:pgMar w:top="1134" w:right="1134" w:bottom="1134" w:left="1134" w:header="680" w:footer="680" w:gutter="0"/>
      <w:pgNumType w:fmt="decimal"/>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5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spacing w:before="120" w:after="120"/>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9"/>
                      <w:spacing w:before="120" w:after="120"/>
                      <w:jc w:val="center"/>
                    </w:pP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default"/>
        <w:sz w:val="18"/>
        <w:szCs w:val="18"/>
        <w:lang w:val="en-US" w:eastAsia="zh-CN"/>
      </w:rPr>
    </w:pPr>
    <w:r>
      <w:rPr>
        <w:rFonts w:hint="eastAsia"/>
        <w:sz w:val="18"/>
        <w:szCs w:val="18"/>
        <w:lang w:val="en-US" w:eastAsia="zh-CN"/>
      </w:rPr>
      <w:t>31</w:t>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rPr>
                              <w:rStyle w:val="47"/>
                              <w:sz w:val="21"/>
                              <w:szCs w:val="21"/>
                            </w:rPr>
                          </w:pPr>
                          <w:r>
                            <w:rPr>
                              <w:sz w:val="21"/>
                              <w:szCs w:val="21"/>
                            </w:rPr>
                            <w:fldChar w:fldCharType="begin"/>
                          </w:r>
                          <w:r>
                            <w:rPr>
                              <w:rStyle w:val="47"/>
                              <w:sz w:val="21"/>
                              <w:szCs w:val="21"/>
                            </w:rPr>
                            <w:instrText xml:space="preserve">PAGE  </w:instrText>
                          </w:r>
                          <w:r>
                            <w:rPr>
                              <w:sz w:val="21"/>
                              <w:szCs w:val="21"/>
                            </w:rPr>
                            <w:fldChar w:fldCharType="separate"/>
                          </w:r>
                          <w:r>
                            <w:rPr>
                              <w:rStyle w:val="47"/>
                              <w:sz w:val="21"/>
                              <w:szCs w:val="21"/>
                            </w:rPr>
                            <w:t>27</w:t>
                          </w:r>
                          <w:r>
                            <w:rPr>
                              <w:sz w:val="21"/>
                              <w:szCs w:val="21"/>
                            </w:rPr>
                            <w:fldChar w:fldCharType="end"/>
                          </w:r>
                        </w:p>
                        <w:p>
                          <w:pPr>
                            <w:pStyle w:val="29"/>
                            <w:rPr>
                              <w:rStyle w:val="47"/>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9"/>
                      <w:jc w:val="center"/>
                      <w:rPr>
                        <w:rStyle w:val="47"/>
                        <w:sz w:val="21"/>
                        <w:szCs w:val="21"/>
                      </w:rPr>
                    </w:pPr>
                    <w:r>
                      <w:rPr>
                        <w:sz w:val="21"/>
                        <w:szCs w:val="21"/>
                      </w:rPr>
                      <w:fldChar w:fldCharType="begin"/>
                    </w:r>
                    <w:r>
                      <w:rPr>
                        <w:rStyle w:val="47"/>
                        <w:sz w:val="21"/>
                        <w:szCs w:val="21"/>
                      </w:rPr>
                      <w:instrText xml:space="preserve">PAGE  </w:instrText>
                    </w:r>
                    <w:r>
                      <w:rPr>
                        <w:sz w:val="21"/>
                        <w:szCs w:val="21"/>
                      </w:rPr>
                      <w:fldChar w:fldCharType="separate"/>
                    </w:r>
                    <w:r>
                      <w:rPr>
                        <w:rStyle w:val="47"/>
                        <w:sz w:val="21"/>
                        <w:szCs w:val="21"/>
                      </w:rPr>
                      <w:t>27</w:t>
                    </w:r>
                    <w:r>
                      <w:rPr>
                        <w:sz w:val="21"/>
                        <w:szCs w:val="21"/>
                      </w:rPr>
                      <w:fldChar w:fldCharType="end"/>
                    </w:r>
                  </w:p>
                  <w:p>
                    <w:pPr>
                      <w:pStyle w:val="29"/>
                      <w:rPr>
                        <w:rStyle w:val="47"/>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rPr>
                              <w:rStyle w:val="47"/>
                              <w:sz w:val="21"/>
                              <w:szCs w:val="21"/>
                            </w:rPr>
                          </w:pPr>
                          <w:r>
                            <w:rPr>
                              <w:sz w:val="21"/>
                              <w:szCs w:val="21"/>
                            </w:rPr>
                            <w:fldChar w:fldCharType="begin"/>
                          </w:r>
                          <w:r>
                            <w:rPr>
                              <w:rStyle w:val="47"/>
                              <w:sz w:val="21"/>
                              <w:szCs w:val="21"/>
                            </w:rPr>
                            <w:instrText xml:space="preserve">PAGE  </w:instrText>
                          </w:r>
                          <w:r>
                            <w:rPr>
                              <w:sz w:val="21"/>
                              <w:szCs w:val="21"/>
                            </w:rPr>
                            <w:fldChar w:fldCharType="separate"/>
                          </w:r>
                          <w:r>
                            <w:rPr>
                              <w:rStyle w:val="47"/>
                              <w:sz w:val="21"/>
                              <w:szCs w:val="21"/>
                            </w:rPr>
                            <w:t>33</w:t>
                          </w:r>
                          <w:r>
                            <w:rPr>
                              <w:sz w:val="21"/>
                              <w:szCs w:val="21"/>
                            </w:rPr>
                            <w:fldChar w:fldCharType="end"/>
                          </w:r>
                        </w:p>
                        <w:p>
                          <w:pPr>
                            <w:pStyle w:val="29"/>
                            <w:rPr>
                              <w:rStyle w:val="47"/>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9"/>
                      <w:jc w:val="center"/>
                      <w:rPr>
                        <w:rStyle w:val="47"/>
                        <w:sz w:val="21"/>
                        <w:szCs w:val="21"/>
                      </w:rPr>
                    </w:pPr>
                    <w:r>
                      <w:rPr>
                        <w:sz w:val="21"/>
                        <w:szCs w:val="21"/>
                      </w:rPr>
                      <w:fldChar w:fldCharType="begin"/>
                    </w:r>
                    <w:r>
                      <w:rPr>
                        <w:rStyle w:val="47"/>
                        <w:sz w:val="21"/>
                        <w:szCs w:val="21"/>
                      </w:rPr>
                      <w:instrText xml:space="preserve">PAGE  </w:instrText>
                    </w:r>
                    <w:r>
                      <w:rPr>
                        <w:sz w:val="21"/>
                        <w:szCs w:val="21"/>
                      </w:rPr>
                      <w:fldChar w:fldCharType="separate"/>
                    </w:r>
                    <w:r>
                      <w:rPr>
                        <w:rStyle w:val="47"/>
                        <w:sz w:val="21"/>
                        <w:szCs w:val="21"/>
                      </w:rPr>
                      <w:t>33</w:t>
                    </w:r>
                    <w:r>
                      <w:rPr>
                        <w:sz w:val="21"/>
                        <w:szCs w:val="21"/>
                      </w:rPr>
                      <w:fldChar w:fldCharType="end"/>
                    </w:r>
                  </w:p>
                  <w:p>
                    <w:pPr>
                      <w:pStyle w:val="29"/>
                      <w:rPr>
                        <w:rStyle w:val="4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default"/>
        <w:sz w:val="21"/>
        <w:szCs w:val="21"/>
        <w:lang w:val="en-US" w:eastAsia="zh-CN"/>
      </w:rPr>
    </w:pPr>
    <w:r>
      <w:rPr>
        <w:rFonts w:hint="eastAsia"/>
        <w:sz w:val="21"/>
        <w:szCs w:val="21"/>
        <w:lang w:val="en-US" w:eastAsia="zh-CN"/>
      </w:rPr>
      <w:t>31</w: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notBeside" w:vAnchor="text" w:hAnchor="page" w:x="5934" w:y="176"/>
      <w:pBdr>
        <w:bottom w:val="none" w:color="auto" w:sz="0" w:space="0"/>
      </w:pBdr>
      <w:rPr>
        <w:rStyle w:val="47"/>
        <w:rFonts w:hint="eastAsia"/>
      </w:rPr>
    </w:pPr>
  </w:p>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249E0"/>
    <w:multiLevelType w:val="singleLevel"/>
    <w:tmpl w:val="865249E0"/>
    <w:lvl w:ilvl="0" w:tentative="0">
      <w:start w:val="1"/>
      <w:numFmt w:val="decimal"/>
      <w:suff w:val="nothing"/>
      <w:lvlText w:val="%1、"/>
      <w:lvlJc w:val="left"/>
    </w:lvl>
  </w:abstractNum>
  <w:abstractNum w:abstractNumId="1">
    <w:nsid w:val="9145D611"/>
    <w:multiLevelType w:val="singleLevel"/>
    <w:tmpl w:val="9145D611"/>
    <w:lvl w:ilvl="0" w:tentative="0">
      <w:start w:val="1"/>
      <w:numFmt w:val="decimal"/>
      <w:suff w:val="nothing"/>
      <w:lvlText w:val="%1、"/>
      <w:lvlJc w:val="left"/>
    </w:lvl>
  </w:abstractNum>
  <w:abstractNum w:abstractNumId="2">
    <w:nsid w:val="B4044C0F"/>
    <w:multiLevelType w:val="singleLevel"/>
    <w:tmpl w:val="B4044C0F"/>
    <w:lvl w:ilvl="0" w:tentative="0">
      <w:start w:val="1"/>
      <w:numFmt w:val="decimal"/>
      <w:suff w:val="nothing"/>
      <w:lvlText w:val="%1、"/>
      <w:lvlJc w:val="left"/>
    </w:lvl>
  </w:abstractNum>
  <w:abstractNum w:abstractNumId="3">
    <w:nsid w:val="B521C853"/>
    <w:multiLevelType w:val="singleLevel"/>
    <w:tmpl w:val="B521C853"/>
    <w:lvl w:ilvl="0" w:tentative="0">
      <w:start w:val="1"/>
      <w:numFmt w:val="decimal"/>
      <w:suff w:val="nothing"/>
      <w:lvlText w:val="%1、"/>
      <w:lvlJc w:val="left"/>
    </w:lvl>
  </w:abstractNum>
  <w:abstractNum w:abstractNumId="4">
    <w:nsid w:val="B59022C8"/>
    <w:multiLevelType w:val="singleLevel"/>
    <w:tmpl w:val="B59022C8"/>
    <w:lvl w:ilvl="0" w:tentative="0">
      <w:start w:val="1"/>
      <w:numFmt w:val="decimal"/>
      <w:suff w:val="nothing"/>
      <w:lvlText w:val="%1、"/>
      <w:lvlJc w:val="left"/>
    </w:lvl>
  </w:abstractNum>
  <w:abstractNum w:abstractNumId="5">
    <w:nsid w:val="BD8F0C51"/>
    <w:multiLevelType w:val="singleLevel"/>
    <w:tmpl w:val="BD8F0C51"/>
    <w:lvl w:ilvl="0" w:tentative="0">
      <w:start w:val="3"/>
      <w:numFmt w:val="chineseCounting"/>
      <w:suff w:val="nothing"/>
      <w:lvlText w:val="%1、"/>
      <w:lvlJc w:val="left"/>
      <w:rPr>
        <w:rFonts w:hint="eastAsia"/>
      </w:rPr>
    </w:lvl>
  </w:abstractNum>
  <w:abstractNum w:abstractNumId="6">
    <w:nsid w:val="D09FE77F"/>
    <w:multiLevelType w:val="singleLevel"/>
    <w:tmpl w:val="D09FE77F"/>
    <w:lvl w:ilvl="0" w:tentative="0">
      <w:start w:val="1"/>
      <w:numFmt w:val="decimal"/>
      <w:suff w:val="nothing"/>
      <w:lvlText w:val="%1、"/>
      <w:lvlJc w:val="left"/>
    </w:lvl>
  </w:abstractNum>
  <w:abstractNum w:abstractNumId="7">
    <w:nsid w:val="D3D586A6"/>
    <w:multiLevelType w:val="singleLevel"/>
    <w:tmpl w:val="D3D586A6"/>
    <w:lvl w:ilvl="0" w:tentative="0">
      <w:start w:val="1"/>
      <w:numFmt w:val="decimal"/>
      <w:suff w:val="nothing"/>
      <w:lvlText w:val="%1、"/>
      <w:lvlJc w:val="left"/>
    </w:lvl>
  </w:abstractNum>
  <w:abstractNum w:abstractNumId="8">
    <w:nsid w:val="DC3CAB3D"/>
    <w:multiLevelType w:val="singleLevel"/>
    <w:tmpl w:val="DC3CAB3D"/>
    <w:lvl w:ilvl="0" w:tentative="0">
      <w:start w:val="1"/>
      <w:numFmt w:val="decimal"/>
      <w:suff w:val="nothing"/>
      <w:lvlText w:val="%1、"/>
      <w:lvlJc w:val="left"/>
    </w:lvl>
  </w:abstractNum>
  <w:abstractNum w:abstractNumId="9">
    <w:nsid w:val="E56033BF"/>
    <w:multiLevelType w:val="singleLevel"/>
    <w:tmpl w:val="E56033BF"/>
    <w:lvl w:ilvl="0" w:tentative="0">
      <w:start w:val="1"/>
      <w:numFmt w:val="decimal"/>
      <w:suff w:val="nothing"/>
      <w:lvlText w:val="%1、"/>
      <w:lvlJc w:val="left"/>
    </w:lvl>
  </w:abstractNum>
  <w:abstractNum w:abstractNumId="10">
    <w:nsid w:val="F0DAA7BB"/>
    <w:multiLevelType w:val="singleLevel"/>
    <w:tmpl w:val="F0DAA7BB"/>
    <w:lvl w:ilvl="0" w:tentative="0">
      <w:start w:val="1"/>
      <w:numFmt w:val="decimal"/>
      <w:suff w:val="nothing"/>
      <w:lvlText w:val="%1、"/>
      <w:lvlJc w:val="left"/>
    </w:lvl>
  </w:abstractNum>
  <w:abstractNum w:abstractNumId="11">
    <w:nsid w:val="F501322B"/>
    <w:multiLevelType w:val="singleLevel"/>
    <w:tmpl w:val="F501322B"/>
    <w:lvl w:ilvl="0" w:tentative="0">
      <w:start w:val="1"/>
      <w:numFmt w:val="decimal"/>
      <w:suff w:val="nothing"/>
      <w:lvlText w:val="%1、"/>
      <w:lvlJc w:val="left"/>
    </w:lvl>
  </w:abstractNum>
  <w:abstractNum w:abstractNumId="12">
    <w:nsid w:val="F5FDE970"/>
    <w:multiLevelType w:val="singleLevel"/>
    <w:tmpl w:val="F5FDE970"/>
    <w:lvl w:ilvl="0" w:tentative="0">
      <w:start w:val="1"/>
      <w:numFmt w:val="decimal"/>
      <w:suff w:val="nothing"/>
      <w:lvlText w:val="%1、"/>
      <w:lvlJc w:val="left"/>
    </w:lvl>
  </w:abstractNum>
  <w:abstractNum w:abstractNumId="13">
    <w:nsid w:val="FEE6A0FC"/>
    <w:multiLevelType w:val="singleLevel"/>
    <w:tmpl w:val="FEE6A0FC"/>
    <w:lvl w:ilvl="0" w:tentative="0">
      <w:start w:val="1"/>
      <w:numFmt w:val="decimal"/>
      <w:suff w:val="nothing"/>
      <w:lvlText w:val="%1、"/>
      <w:lvlJc w:val="left"/>
    </w:lvl>
  </w:abstractNum>
  <w:abstractNum w:abstractNumId="14">
    <w:nsid w:val="0000000A"/>
    <w:multiLevelType w:val="multilevel"/>
    <w:tmpl w:val="0000000A"/>
    <w:lvl w:ilvl="0" w:tentative="0">
      <w:start w:val="1"/>
      <w:numFmt w:val="decimal"/>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2FD5256"/>
    <w:multiLevelType w:val="multilevel"/>
    <w:tmpl w:val="02FD5256"/>
    <w:lvl w:ilvl="0" w:tentative="0">
      <w:start w:val="4"/>
      <w:numFmt w:val="japaneseCounting"/>
      <w:pStyle w:val="67"/>
      <w:lvlText w:val="第%1章"/>
      <w:lvlJc w:val="left"/>
      <w:pPr>
        <w:tabs>
          <w:tab w:val="left" w:pos="3750"/>
        </w:tabs>
        <w:ind w:left="3750" w:hanging="1770"/>
      </w:pPr>
      <w:rPr>
        <w:rFonts w:hint="eastAsia"/>
      </w:rPr>
    </w:lvl>
    <w:lvl w:ilvl="1" w:tentative="0">
      <w:start w:val="1"/>
      <w:numFmt w:val="lowerLetter"/>
      <w:lvlText w:val="%2)"/>
      <w:lvlJc w:val="left"/>
      <w:pPr>
        <w:tabs>
          <w:tab w:val="left" w:pos="2820"/>
        </w:tabs>
        <w:ind w:left="2820" w:hanging="420"/>
      </w:p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6">
    <w:nsid w:val="04D5357F"/>
    <w:multiLevelType w:val="singleLevel"/>
    <w:tmpl w:val="04D5357F"/>
    <w:lvl w:ilvl="0" w:tentative="0">
      <w:start w:val="6"/>
      <w:numFmt w:val="chineseCounting"/>
      <w:suff w:val="nothing"/>
      <w:lvlText w:val="%1、"/>
      <w:lvlJc w:val="left"/>
      <w:rPr>
        <w:rFonts w:hint="eastAsia"/>
      </w:rPr>
    </w:lvl>
  </w:abstractNum>
  <w:abstractNum w:abstractNumId="17">
    <w:nsid w:val="16810FFE"/>
    <w:multiLevelType w:val="multilevel"/>
    <w:tmpl w:val="16810FFE"/>
    <w:lvl w:ilvl="0" w:tentative="0">
      <w:start w:val="1"/>
      <w:numFmt w:val="japaneseCounting"/>
      <w:lvlText w:val="%1、"/>
      <w:lvlJc w:val="left"/>
      <w:pPr>
        <w:tabs>
          <w:tab w:val="left" w:pos="855"/>
        </w:tabs>
        <w:ind w:left="855" w:hanging="4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8">
    <w:nsid w:val="171EB9AC"/>
    <w:multiLevelType w:val="singleLevel"/>
    <w:tmpl w:val="171EB9AC"/>
    <w:lvl w:ilvl="0" w:tentative="0">
      <w:start w:val="1"/>
      <w:numFmt w:val="decimal"/>
      <w:suff w:val="nothing"/>
      <w:lvlText w:val="%1、"/>
      <w:lvlJc w:val="left"/>
    </w:lvl>
  </w:abstractNum>
  <w:abstractNum w:abstractNumId="19">
    <w:nsid w:val="197F54F7"/>
    <w:multiLevelType w:val="multilevel"/>
    <w:tmpl w:val="197F54F7"/>
    <w:lvl w:ilvl="0" w:tentative="0">
      <w:start w:val="1"/>
      <w:numFmt w:val="decimal"/>
      <w:pStyle w:val="61"/>
      <w:lvlText w:val="（%1）"/>
      <w:lvlJc w:val="left"/>
      <w:pPr>
        <w:tabs>
          <w:tab w:val="left" w:pos="720"/>
        </w:tabs>
        <w:ind w:left="720" w:hanging="720"/>
      </w:pPr>
      <w:rPr>
        <w:rFonts w:hint="default"/>
        <w:u w:val="none"/>
      </w:rPr>
    </w:lvl>
    <w:lvl w:ilvl="1" w:tentative="0">
      <w:start w:val="1"/>
      <w:numFmt w:val="lowerLetter"/>
      <w:pStyle w:val="86"/>
      <w:lvlText w:val="%2)"/>
      <w:lvlJc w:val="left"/>
      <w:pPr>
        <w:tabs>
          <w:tab w:val="left" w:pos="840"/>
        </w:tabs>
        <w:ind w:left="840" w:hanging="420"/>
      </w:pPr>
    </w:lvl>
    <w:lvl w:ilvl="2" w:tentative="0">
      <w:start w:val="1"/>
      <w:numFmt w:val="lowerRoman"/>
      <w:pStyle w:val="8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22B364E5"/>
    <w:multiLevelType w:val="multilevel"/>
    <w:tmpl w:val="22B364E5"/>
    <w:lvl w:ilvl="0" w:tentative="0">
      <w:start w:val="1"/>
      <w:numFmt w:val="decimal"/>
      <w:lvlText w:val="（%1）"/>
      <w:lvlJc w:val="left"/>
      <w:pPr>
        <w:tabs>
          <w:tab w:val="left" w:pos="1287"/>
        </w:tabs>
        <w:ind w:left="1287"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65"/>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2E174B6A"/>
    <w:multiLevelType w:val="singleLevel"/>
    <w:tmpl w:val="2E174B6A"/>
    <w:lvl w:ilvl="0" w:tentative="0">
      <w:start w:val="1"/>
      <w:numFmt w:val="decimal"/>
      <w:suff w:val="nothing"/>
      <w:lvlText w:val="%1、"/>
      <w:lvlJc w:val="left"/>
    </w:lvl>
  </w:abstractNum>
  <w:abstractNum w:abstractNumId="23">
    <w:nsid w:val="313C051E"/>
    <w:multiLevelType w:val="multilevel"/>
    <w:tmpl w:val="313C051E"/>
    <w:lvl w:ilvl="0" w:tentative="0">
      <w:start w:val="1"/>
      <w:numFmt w:val="none"/>
      <w:lvlText w:val="一、"/>
      <w:lvlJc w:val="left"/>
      <w:pPr>
        <w:tabs>
          <w:tab w:val="left" w:pos="735"/>
        </w:tabs>
        <w:ind w:left="735"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71"/>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38C5167F"/>
    <w:multiLevelType w:val="multilevel"/>
    <w:tmpl w:val="38C5167F"/>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B75083A"/>
    <w:multiLevelType w:val="singleLevel"/>
    <w:tmpl w:val="3B75083A"/>
    <w:lvl w:ilvl="0" w:tentative="0">
      <w:start w:val="6"/>
      <w:numFmt w:val="chineseCounting"/>
      <w:suff w:val="nothing"/>
      <w:lvlText w:val="%1、"/>
      <w:lvlJc w:val="left"/>
      <w:rPr>
        <w:rFonts w:hint="eastAsia"/>
      </w:rPr>
    </w:lvl>
  </w:abstractNum>
  <w:abstractNum w:abstractNumId="26">
    <w:nsid w:val="41640299"/>
    <w:multiLevelType w:val="singleLevel"/>
    <w:tmpl w:val="41640299"/>
    <w:lvl w:ilvl="0" w:tentative="0">
      <w:start w:val="1"/>
      <w:numFmt w:val="decimal"/>
      <w:suff w:val="nothing"/>
      <w:lvlText w:val="%1、"/>
      <w:lvlJc w:val="left"/>
    </w:lvl>
  </w:abstractNum>
  <w:abstractNum w:abstractNumId="27">
    <w:nsid w:val="44D088E5"/>
    <w:multiLevelType w:val="singleLevel"/>
    <w:tmpl w:val="44D088E5"/>
    <w:lvl w:ilvl="0" w:tentative="0">
      <w:start w:val="1"/>
      <w:numFmt w:val="decimal"/>
      <w:suff w:val="nothing"/>
      <w:lvlText w:val="%1、"/>
      <w:lvlJc w:val="left"/>
    </w:lvl>
  </w:abstractNum>
  <w:abstractNum w:abstractNumId="28">
    <w:nsid w:val="4D0FF5F6"/>
    <w:multiLevelType w:val="singleLevel"/>
    <w:tmpl w:val="4D0FF5F6"/>
    <w:lvl w:ilvl="0" w:tentative="0">
      <w:start w:val="1"/>
      <w:numFmt w:val="decimal"/>
      <w:suff w:val="nothing"/>
      <w:lvlText w:val="%1、"/>
      <w:lvlJc w:val="left"/>
    </w:lvl>
  </w:abstractNum>
  <w:abstractNum w:abstractNumId="29">
    <w:nsid w:val="4EE7F19C"/>
    <w:multiLevelType w:val="singleLevel"/>
    <w:tmpl w:val="4EE7F19C"/>
    <w:lvl w:ilvl="0" w:tentative="0">
      <w:start w:val="1"/>
      <w:numFmt w:val="decimal"/>
      <w:suff w:val="nothing"/>
      <w:lvlText w:val="%1、"/>
      <w:lvlJc w:val="left"/>
    </w:lvl>
  </w:abstractNum>
  <w:abstractNum w:abstractNumId="30">
    <w:nsid w:val="4F46A1C2"/>
    <w:multiLevelType w:val="singleLevel"/>
    <w:tmpl w:val="4F46A1C2"/>
    <w:lvl w:ilvl="0" w:tentative="0">
      <w:start w:val="1"/>
      <w:numFmt w:val="decimal"/>
      <w:suff w:val="nothing"/>
      <w:lvlText w:val="%1、"/>
      <w:lvlJc w:val="left"/>
    </w:lvl>
  </w:abstractNum>
  <w:abstractNum w:abstractNumId="31">
    <w:nsid w:val="581C7AB4"/>
    <w:multiLevelType w:val="multilevel"/>
    <w:tmpl w:val="581C7AB4"/>
    <w:lvl w:ilvl="0" w:tentative="0">
      <w:start w:val="0"/>
      <w:numFmt w:val="none"/>
      <w:pStyle w:val="82"/>
      <w:lvlText w:val=""/>
      <w:lvlJc w:val="left"/>
      <w:pPr>
        <w:tabs>
          <w:tab w:val="left" w:pos="360"/>
        </w:tabs>
        <w:ind w:left="0" w:firstLine="0"/>
      </w:pPr>
    </w:lvl>
    <w:lvl w:ilvl="1" w:tentative="0">
      <w:start w:val="0"/>
      <w:numFmt w:val="none"/>
      <w:pStyle w:val="57"/>
      <w:lvlText w:val=""/>
      <w:lvlJc w:val="left"/>
      <w:pPr>
        <w:tabs>
          <w:tab w:val="left" w:pos="360"/>
        </w:tabs>
        <w:ind w:left="0" w:firstLine="0"/>
      </w:pPr>
    </w:lvl>
    <w:lvl w:ilvl="2" w:tentative="0">
      <w:start w:val="0"/>
      <w:numFmt w:val="none"/>
      <w:pStyle w:val="52"/>
      <w:lvlText w:val=""/>
      <w:lvlJc w:val="left"/>
      <w:pPr>
        <w:tabs>
          <w:tab w:val="left" w:pos="360"/>
        </w:tabs>
        <w:ind w:left="0" w:firstLine="0"/>
      </w:pPr>
    </w:lvl>
    <w:lvl w:ilvl="3" w:tentative="0">
      <w:start w:val="0"/>
      <w:numFmt w:val="none"/>
      <w:lvlText w:val=""/>
      <w:lvlJc w:val="left"/>
      <w:pPr>
        <w:tabs>
          <w:tab w:val="left" w:pos="360"/>
        </w:tabs>
        <w:ind w:left="0" w:firstLine="0"/>
      </w:pPr>
    </w:lvl>
    <w:lvl w:ilvl="4" w:tentative="0">
      <w:start w:val="0"/>
      <w:numFmt w:val="none"/>
      <w:lvlText w:val=""/>
      <w:lvlJc w:val="left"/>
      <w:pPr>
        <w:tabs>
          <w:tab w:val="left" w:pos="360"/>
        </w:tabs>
        <w:ind w:left="0" w:firstLine="0"/>
      </w:pPr>
    </w:lvl>
    <w:lvl w:ilvl="5" w:tentative="0">
      <w:start w:val="0"/>
      <w:numFmt w:val="none"/>
      <w:lvlText w:val=""/>
      <w:lvlJc w:val="left"/>
      <w:pPr>
        <w:tabs>
          <w:tab w:val="left" w:pos="360"/>
        </w:tabs>
        <w:ind w:left="0" w:firstLine="0"/>
      </w:pPr>
    </w:lvl>
    <w:lvl w:ilvl="6" w:tentative="0">
      <w:start w:val="0"/>
      <w:numFmt w:val="none"/>
      <w:lvlText w:val=""/>
      <w:lvlJc w:val="left"/>
      <w:pPr>
        <w:tabs>
          <w:tab w:val="left" w:pos="360"/>
        </w:tabs>
        <w:ind w:left="0" w:firstLine="0"/>
      </w:pPr>
    </w:lvl>
    <w:lvl w:ilvl="7" w:tentative="0">
      <w:start w:val="0"/>
      <w:numFmt w:val="none"/>
      <w:lvlText w:val=""/>
      <w:lvlJc w:val="left"/>
      <w:pPr>
        <w:tabs>
          <w:tab w:val="left" w:pos="360"/>
        </w:tabs>
        <w:ind w:left="0" w:firstLine="0"/>
      </w:pPr>
    </w:lvl>
    <w:lvl w:ilvl="8" w:tentative="0">
      <w:start w:val="0"/>
      <w:numFmt w:val="none"/>
      <w:lvlText w:val=""/>
      <w:lvlJc w:val="left"/>
      <w:pPr>
        <w:tabs>
          <w:tab w:val="left" w:pos="360"/>
        </w:tabs>
        <w:ind w:left="0" w:firstLine="0"/>
      </w:pPr>
    </w:lvl>
  </w:abstractNum>
  <w:abstractNum w:abstractNumId="32">
    <w:nsid w:val="58AA2F0D"/>
    <w:multiLevelType w:val="multilevel"/>
    <w:tmpl w:val="58AA2F0D"/>
    <w:lvl w:ilvl="0" w:tentative="0">
      <w:start w:val="1"/>
      <w:numFmt w:val="decimal"/>
      <w:pStyle w:val="83"/>
      <w:lvlText w:val="（%1）"/>
      <w:lvlJc w:val="left"/>
      <w:pPr>
        <w:tabs>
          <w:tab w:val="left" w:pos="720"/>
        </w:tabs>
        <w:ind w:left="720" w:hanging="7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988056B"/>
    <w:multiLevelType w:val="singleLevel"/>
    <w:tmpl w:val="5988056B"/>
    <w:lvl w:ilvl="0" w:tentative="0">
      <w:start w:val="1"/>
      <w:numFmt w:val="decimal"/>
      <w:pStyle w:val="54"/>
      <w:lvlText w:val="%1."/>
      <w:lvlJc w:val="left"/>
      <w:pPr>
        <w:tabs>
          <w:tab w:val="left" w:pos="780"/>
        </w:tabs>
        <w:ind w:left="780" w:hanging="210"/>
      </w:pPr>
    </w:lvl>
  </w:abstractNum>
  <w:abstractNum w:abstractNumId="34">
    <w:nsid w:val="62620E21"/>
    <w:multiLevelType w:val="singleLevel"/>
    <w:tmpl w:val="62620E21"/>
    <w:lvl w:ilvl="0" w:tentative="0">
      <w:start w:val="1"/>
      <w:numFmt w:val="decimal"/>
      <w:suff w:val="nothing"/>
      <w:lvlText w:val="%1、"/>
      <w:lvlJc w:val="left"/>
    </w:lvl>
  </w:abstractNum>
  <w:abstractNum w:abstractNumId="35">
    <w:nsid w:val="67396A04"/>
    <w:multiLevelType w:val="singleLevel"/>
    <w:tmpl w:val="67396A04"/>
    <w:lvl w:ilvl="0" w:tentative="0">
      <w:start w:val="1"/>
      <w:numFmt w:val="decimal"/>
      <w:suff w:val="nothing"/>
      <w:lvlText w:val="%1、"/>
      <w:lvlJc w:val="left"/>
    </w:lvl>
  </w:abstractNum>
  <w:abstractNum w:abstractNumId="36">
    <w:nsid w:val="6B83E08B"/>
    <w:multiLevelType w:val="singleLevel"/>
    <w:tmpl w:val="6B83E08B"/>
    <w:lvl w:ilvl="0" w:tentative="0">
      <w:start w:val="1"/>
      <w:numFmt w:val="decimal"/>
      <w:suff w:val="nothing"/>
      <w:lvlText w:val="%1、"/>
      <w:lvlJc w:val="left"/>
    </w:lvl>
  </w:abstractNum>
  <w:abstractNum w:abstractNumId="37">
    <w:nsid w:val="7067D0F3"/>
    <w:multiLevelType w:val="singleLevel"/>
    <w:tmpl w:val="7067D0F3"/>
    <w:lvl w:ilvl="0" w:tentative="0">
      <w:start w:val="1"/>
      <w:numFmt w:val="decimal"/>
      <w:suff w:val="nothing"/>
      <w:lvlText w:val="%1、"/>
      <w:lvlJc w:val="left"/>
    </w:lvl>
  </w:abstractNum>
  <w:num w:numId="1">
    <w:abstractNumId w:val="31"/>
  </w:num>
  <w:num w:numId="2">
    <w:abstractNumId w:val="33"/>
  </w:num>
  <w:num w:numId="3">
    <w:abstractNumId w:val="19"/>
  </w:num>
  <w:num w:numId="4">
    <w:abstractNumId w:val="21"/>
  </w:num>
  <w:num w:numId="5">
    <w:abstractNumId w:val="15"/>
  </w:num>
  <w:num w:numId="6">
    <w:abstractNumId w:val="23"/>
  </w:num>
  <w:num w:numId="7">
    <w:abstractNumId w:val="32"/>
  </w:num>
  <w:num w:numId="8">
    <w:abstractNumId w:val="24"/>
  </w:num>
  <w:num w:numId="9">
    <w:abstractNumId w:val="13"/>
  </w:num>
  <w:num w:numId="10">
    <w:abstractNumId w:val="6"/>
  </w:num>
  <w:num w:numId="11">
    <w:abstractNumId w:val="18"/>
  </w:num>
  <w:num w:numId="12">
    <w:abstractNumId w:val="7"/>
  </w:num>
  <w:num w:numId="13">
    <w:abstractNumId w:val="8"/>
  </w:num>
  <w:num w:numId="14">
    <w:abstractNumId w:val="34"/>
  </w:num>
  <w:num w:numId="15">
    <w:abstractNumId w:val="35"/>
  </w:num>
  <w:num w:numId="16">
    <w:abstractNumId w:val="2"/>
  </w:num>
  <w:num w:numId="17">
    <w:abstractNumId w:val="27"/>
  </w:num>
  <w:num w:numId="18">
    <w:abstractNumId w:val="11"/>
  </w:num>
  <w:num w:numId="19">
    <w:abstractNumId w:val="22"/>
  </w:num>
  <w:num w:numId="20">
    <w:abstractNumId w:val="1"/>
  </w:num>
  <w:num w:numId="21">
    <w:abstractNumId w:val="30"/>
  </w:num>
  <w:num w:numId="22">
    <w:abstractNumId w:val="28"/>
  </w:num>
  <w:num w:numId="23">
    <w:abstractNumId w:val="9"/>
  </w:num>
  <w:num w:numId="24">
    <w:abstractNumId w:val="3"/>
  </w:num>
  <w:num w:numId="25">
    <w:abstractNumId w:val="10"/>
  </w:num>
  <w:num w:numId="26">
    <w:abstractNumId w:val="0"/>
  </w:num>
  <w:num w:numId="27">
    <w:abstractNumId w:val="4"/>
  </w:num>
  <w:num w:numId="28">
    <w:abstractNumId w:val="26"/>
  </w:num>
  <w:num w:numId="29">
    <w:abstractNumId w:val="36"/>
  </w:num>
  <w:num w:numId="30">
    <w:abstractNumId w:val="12"/>
  </w:num>
  <w:num w:numId="31">
    <w:abstractNumId w:val="37"/>
  </w:num>
  <w:num w:numId="32">
    <w:abstractNumId w:val="29"/>
  </w:num>
  <w:num w:numId="33">
    <w:abstractNumId w:val="5"/>
  </w:num>
  <w:num w:numId="34">
    <w:abstractNumId w:val="14"/>
  </w:num>
  <w:num w:numId="35">
    <w:abstractNumId w:val="17"/>
  </w:num>
  <w:num w:numId="36">
    <w:abstractNumId w:val="25"/>
  </w:num>
  <w:num w:numId="37">
    <w:abstractNumId w:val="2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52"/>
    <w:rsid w:val="00000DA8"/>
    <w:rsid w:val="00002BC1"/>
    <w:rsid w:val="00003F7D"/>
    <w:rsid w:val="00004070"/>
    <w:rsid w:val="000042EE"/>
    <w:rsid w:val="0000558E"/>
    <w:rsid w:val="000067AC"/>
    <w:rsid w:val="00006DE6"/>
    <w:rsid w:val="00006F5A"/>
    <w:rsid w:val="00007E1A"/>
    <w:rsid w:val="00010CFF"/>
    <w:rsid w:val="00011CCC"/>
    <w:rsid w:val="00011E1E"/>
    <w:rsid w:val="00012414"/>
    <w:rsid w:val="00012C65"/>
    <w:rsid w:val="00012F63"/>
    <w:rsid w:val="00013618"/>
    <w:rsid w:val="00015129"/>
    <w:rsid w:val="00015B3F"/>
    <w:rsid w:val="00015BF2"/>
    <w:rsid w:val="00016BE1"/>
    <w:rsid w:val="00017625"/>
    <w:rsid w:val="000200FF"/>
    <w:rsid w:val="000202CC"/>
    <w:rsid w:val="00020941"/>
    <w:rsid w:val="00020E83"/>
    <w:rsid w:val="0002176F"/>
    <w:rsid w:val="0002230D"/>
    <w:rsid w:val="000225B3"/>
    <w:rsid w:val="0002342C"/>
    <w:rsid w:val="00023635"/>
    <w:rsid w:val="00024BA5"/>
    <w:rsid w:val="00027037"/>
    <w:rsid w:val="00027EA8"/>
    <w:rsid w:val="00030877"/>
    <w:rsid w:val="00031159"/>
    <w:rsid w:val="00031E51"/>
    <w:rsid w:val="0003245E"/>
    <w:rsid w:val="000335C4"/>
    <w:rsid w:val="000345C7"/>
    <w:rsid w:val="0003559E"/>
    <w:rsid w:val="00035A27"/>
    <w:rsid w:val="00035E12"/>
    <w:rsid w:val="00036F7D"/>
    <w:rsid w:val="00037DDE"/>
    <w:rsid w:val="00040120"/>
    <w:rsid w:val="00042C38"/>
    <w:rsid w:val="00043008"/>
    <w:rsid w:val="00043E8D"/>
    <w:rsid w:val="00045403"/>
    <w:rsid w:val="000470C6"/>
    <w:rsid w:val="00047448"/>
    <w:rsid w:val="00050774"/>
    <w:rsid w:val="00051B5D"/>
    <w:rsid w:val="00052370"/>
    <w:rsid w:val="00054FE8"/>
    <w:rsid w:val="00055A1A"/>
    <w:rsid w:val="00055A50"/>
    <w:rsid w:val="00055E47"/>
    <w:rsid w:val="000568D2"/>
    <w:rsid w:val="000573DB"/>
    <w:rsid w:val="0006014E"/>
    <w:rsid w:val="00060243"/>
    <w:rsid w:val="000619AC"/>
    <w:rsid w:val="00062508"/>
    <w:rsid w:val="00063185"/>
    <w:rsid w:val="00063ADB"/>
    <w:rsid w:val="00063B02"/>
    <w:rsid w:val="00063D26"/>
    <w:rsid w:val="0006671E"/>
    <w:rsid w:val="0006676F"/>
    <w:rsid w:val="000669E3"/>
    <w:rsid w:val="00067F3C"/>
    <w:rsid w:val="000718B8"/>
    <w:rsid w:val="00071B06"/>
    <w:rsid w:val="00072124"/>
    <w:rsid w:val="0007293E"/>
    <w:rsid w:val="00072C44"/>
    <w:rsid w:val="000739E8"/>
    <w:rsid w:val="0007478F"/>
    <w:rsid w:val="000763A1"/>
    <w:rsid w:val="000768B6"/>
    <w:rsid w:val="00076BEC"/>
    <w:rsid w:val="000778B6"/>
    <w:rsid w:val="00080484"/>
    <w:rsid w:val="00080A58"/>
    <w:rsid w:val="00080DE0"/>
    <w:rsid w:val="00081AC4"/>
    <w:rsid w:val="00084BFC"/>
    <w:rsid w:val="000862DB"/>
    <w:rsid w:val="000872C2"/>
    <w:rsid w:val="00090AD2"/>
    <w:rsid w:val="000911AE"/>
    <w:rsid w:val="0009186D"/>
    <w:rsid w:val="00091CA7"/>
    <w:rsid w:val="0009387D"/>
    <w:rsid w:val="00093C53"/>
    <w:rsid w:val="00094528"/>
    <w:rsid w:val="00094E07"/>
    <w:rsid w:val="00094FCC"/>
    <w:rsid w:val="00096A95"/>
    <w:rsid w:val="000A05D1"/>
    <w:rsid w:val="000A13F1"/>
    <w:rsid w:val="000A2338"/>
    <w:rsid w:val="000A2C17"/>
    <w:rsid w:val="000A2EF9"/>
    <w:rsid w:val="000A436D"/>
    <w:rsid w:val="000A4509"/>
    <w:rsid w:val="000A4CEF"/>
    <w:rsid w:val="000A5C0C"/>
    <w:rsid w:val="000A5D43"/>
    <w:rsid w:val="000A5F66"/>
    <w:rsid w:val="000A6889"/>
    <w:rsid w:val="000A6E5E"/>
    <w:rsid w:val="000B103E"/>
    <w:rsid w:val="000B1736"/>
    <w:rsid w:val="000B2A76"/>
    <w:rsid w:val="000B2F39"/>
    <w:rsid w:val="000B31AF"/>
    <w:rsid w:val="000B3E46"/>
    <w:rsid w:val="000B5D14"/>
    <w:rsid w:val="000B6374"/>
    <w:rsid w:val="000B78A7"/>
    <w:rsid w:val="000B7C96"/>
    <w:rsid w:val="000B7F67"/>
    <w:rsid w:val="000C0012"/>
    <w:rsid w:val="000C0D73"/>
    <w:rsid w:val="000C11A2"/>
    <w:rsid w:val="000C1C1B"/>
    <w:rsid w:val="000C2D8C"/>
    <w:rsid w:val="000C3432"/>
    <w:rsid w:val="000C3554"/>
    <w:rsid w:val="000C5471"/>
    <w:rsid w:val="000C5FA5"/>
    <w:rsid w:val="000C6739"/>
    <w:rsid w:val="000D0DA2"/>
    <w:rsid w:val="000D10F1"/>
    <w:rsid w:val="000D1128"/>
    <w:rsid w:val="000D138D"/>
    <w:rsid w:val="000D18D3"/>
    <w:rsid w:val="000D262F"/>
    <w:rsid w:val="000D2B33"/>
    <w:rsid w:val="000D3DA3"/>
    <w:rsid w:val="000D51F3"/>
    <w:rsid w:val="000D59B7"/>
    <w:rsid w:val="000D5FF6"/>
    <w:rsid w:val="000D61AF"/>
    <w:rsid w:val="000D6212"/>
    <w:rsid w:val="000D6E4C"/>
    <w:rsid w:val="000D6ED5"/>
    <w:rsid w:val="000D7E67"/>
    <w:rsid w:val="000E0E74"/>
    <w:rsid w:val="000E0F7C"/>
    <w:rsid w:val="000E1B8C"/>
    <w:rsid w:val="000E1C38"/>
    <w:rsid w:val="000E2D64"/>
    <w:rsid w:val="000E3C55"/>
    <w:rsid w:val="000E4D10"/>
    <w:rsid w:val="000E5032"/>
    <w:rsid w:val="000E5555"/>
    <w:rsid w:val="000E59ED"/>
    <w:rsid w:val="000E6C71"/>
    <w:rsid w:val="000E7D0A"/>
    <w:rsid w:val="000E7E74"/>
    <w:rsid w:val="000F00AD"/>
    <w:rsid w:val="000F119C"/>
    <w:rsid w:val="000F1847"/>
    <w:rsid w:val="000F3F14"/>
    <w:rsid w:val="000F4019"/>
    <w:rsid w:val="000F437A"/>
    <w:rsid w:val="000F4D3B"/>
    <w:rsid w:val="000F556A"/>
    <w:rsid w:val="000F5BD2"/>
    <w:rsid w:val="000F5CA7"/>
    <w:rsid w:val="000F6D1A"/>
    <w:rsid w:val="000F756B"/>
    <w:rsid w:val="001002F4"/>
    <w:rsid w:val="00100FB5"/>
    <w:rsid w:val="001010D8"/>
    <w:rsid w:val="001039E6"/>
    <w:rsid w:val="001045FA"/>
    <w:rsid w:val="00104BCB"/>
    <w:rsid w:val="0010623D"/>
    <w:rsid w:val="001066BE"/>
    <w:rsid w:val="00107810"/>
    <w:rsid w:val="001102E0"/>
    <w:rsid w:val="001127EF"/>
    <w:rsid w:val="00113532"/>
    <w:rsid w:val="00113872"/>
    <w:rsid w:val="0011396D"/>
    <w:rsid w:val="00113D59"/>
    <w:rsid w:val="00113E8B"/>
    <w:rsid w:val="00115698"/>
    <w:rsid w:val="00115AC8"/>
    <w:rsid w:val="001163C2"/>
    <w:rsid w:val="0011690C"/>
    <w:rsid w:val="00116C4F"/>
    <w:rsid w:val="0012039A"/>
    <w:rsid w:val="001214C2"/>
    <w:rsid w:val="0012201D"/>
    <w:rsid w:val="00122B4C"/>
    <w:rsid w:val="00122D1D"/>
    <w:rsid w:val="00122F3B"/>
    <w:rsid w:val="001244D0"/>
    <w:rsid w:val="00125AB8"/>
    <w:rsid w:val="00126258"/>
    <w:rsid w:val="001269DB"/>
    <w:rsid w:val="00126A93"/>
    <w:rsid w:val="00126FBF"/>
    <w:rsid w:val="00127259"/>
    <w:rsid w:val="00127577"/>
    <w:rsid w:val="0013042C"/>
    <w:rsid w:val="00130CEC"/>
    <w:rsid w:val="00131587"/>
    <w:rsid w:val="00131F57"/>
    <w:rsid w:val="001320CA"/>
    <w:rsid w:val="00132412"/>
    <w:rsid w:val="00133DAD"/>
    <w:rsid w:val="001343FB"/>
    <w:rsid w:val="001348FC"/>
    <w:rsid w:val="001355B2"/>
    <w:rsid w:val="001360C5"/>
    <w:rsid w:val="00136324"/>
    <w:rsid w:val="001370C5"/>
    <w:rsid w:val="00137536"/>
    <w:rsid w:val="00140928"/>
    <w:rsid w:val="00140D97"/>
    <w:rsid w:val="00142386"/>
    <w:rsid w:val="00142C07"/>
    <w:rsid w:val="001434C6"/>
    <w:rsid w:val="00143AA6"/>
    <w:rsid w:val="00145544"/>
    <w:rsid w:val="001460CA"/>
    <w:rsid w:val="00146972"/>
    <w:rsid w:val="001477C2"/>
    <w:rsid w:val="00147AAA"/>
    <w:rsid w:val="00150AFD"/>
    <w:rsid w:val="00151195"/>
    <w:rsid w:val="00151353"/>
    <w:rsid w:val="0015232B"/>
    <w:rsid w:val="00152817"/>
    <w:rsid w:val="00153633"/>
    <w:rsid w:val="00154966"/>
    <w:rsid w:val="001565C6"/>
    <w:rsid w:val="00157E0E"/>
    <w:rsid w:val="00160DA7"/>
    <w:rsid w:val="001610A9"/>
    <w:rsid w:val="001622B7"/>
    <w:rsid w:val="001636DC"/>
    <w:rsid w:val="00165025"/>
    <w:rsid w:val="00165C65"/>
    <w:rsid w:val="00166C6D"/>
    <w:rsid w:val="001674B2"/>
    <w:rsid w:val="00167CE9"/>
    <w:rsid w:val="001702C0"/>
    <w:rsid w:val="00170B2A"/>
    <w:rsid w:val="00171496"/>
    <w:rsid w:val="00172836"/>
    <w:rsid w:val="001728AE"/>
    <w:rsid w:val="00172BB8"/>
    <w:rsid w:val="0017371E"/>
    <w:rsid w:val="00174174"/>
    <w:rsid w:val="00174791"/>
    <w:rsid w:val="00174857"/>
    <w:rsid w:val="00176431"/>
    <w:rsid w:val="00176B1A"/>
    <w:rsid w:val="00180184"/>
    <w:rsid w:val="00180DB0"/>
    <w:rsid w:val="00181188"/>
    <w:rsid w:val="00182483"/>
    <w:rsid w:val="001827C1"/>
    <w:rsid w:val="00183885"/>
    <w:rsid w:val="00184469"/>
    <w:rsid w:val="00185000"/>
    <w:rsid w:val="001857A9"/>
    <w:rsid w:val="00186236"/>
    <w:rsid w:val="00186466"/>
    <w:rsid w:val="00187103"/>
    <w:rsid w:val="001903D1"/>
    <w:rsid w:val="00190632"/>
    <w:rsid w:val="00191CA3"/>
    <w:rsid w:val="00194B12"/>
    <w:rsid w:val="001958E4"/>
    <w:rsid w:val="00197861"/>
    <w:rsid w:val="001A1462"/>
    <w:rsid w:val="001A2693"/>
    <w:rsid w:val="001A2FE7"/>
    <w:rsid w:val="001A3D74"/>
    <w:rsid w:val="001A3DA8"/>
    <w:rsid w:val="001A4F25"/>
    <w:rsid w:val="001A54B7"/>
    <w:rsid w:val="001A5B15"/>
    <w:rsid w:val="001A65A2"/>
    <w:rsid w:val="001A6A14"/>
    <w:rsid w:val="001A7599"/>
    <w:rsid w:val="001B0718"/>
    <w:rsid w:val="001B0C3D"/>
    <w:rsid w:val="001B295B"/>
    <w:rsid w:val="001B2E70"/>
    <w:rsid w:val="001B4069"/>
    <w:rsid w:val="001B57A9"/>
    <w:rsid w:val="001B659D"/>
    <w:rsid w:val="001B6D38"/>
    <w:rsid w:val="001B6D93"/>
    <w:rsid w:val="001B7DCC"/>
    <w:rsid w:val="001C1349"/>
    <w:rsid w:val="001C1506"/>
    <w:rsid w:val="001C2455"/>
    <w:rsid w:val="001C246B"/>
    <w:rsid w:val="001C246F"/>
    <w:rsid w:val="001C2F5A"/>
    <w:rsid w:val="001C3061"/>
    <w:rsid w:val="001C47B6"/>
    <w:rsid w:val="001C6642"/>
    <w:rsid w:val="001D03E2"/>
    <w:rsid w:val="001D04A1"/>
    <w:rsid w:val="001D0755"/>
    <w:rsid w:val="001D0E69"/>
    <w:rsid w:val="001D14CA"/>
    <w:rsid w:val="001D1719"/>
    <w:rsid w:val="001D17E8"/>
    <w:rsid w:val="001D2DCA"/>
    <w:rsid w:val="001D42AE"/>
    <w:rsid w:val="001D4BA2"/>
    <w:rsid w:val="001D513E"/>
    <w:rsid w:val="001D5AF6"/>
    <w:rsid w:val="001D6301"/>
    <w:rsid w:val="001D635B"/>
    <w:rsid w:val="001D6F66"/>
    <w:rsid w:val="001E0694"/>
    <w:rsid w:val="001E1F68"/>
    <w:rsid w:val="001E33E4"/>
    <w:rsid w:val="001E5852"/>
    <w:rsid w:val="001E58CC"/>
    <w:rsid w:val="001F0C1A"/>
    <w:rsid w:val="001F0FAD"/>
    <w:rsid w:val="001F3DED"/>
    <w:rsid w:val="001F3EC8"/>
    <w:rsid w:val="001F470D"/>
    <w:rsid w:val="001F51BD"/>
    <w:rsid w:val="001F57EE"/>
    <w:rsid w:val="001F5EDB"/>
    <w:rsid w:val="001F68EC"/>
    <w:rsid w:val="001F6C45"/>
    <w:rsid w:val="00200B39"/>
    <w:rsid w:val="00200D62"/>
    <w:rsid w:val="00200F8D"/>
    <w:rsid w:val="0020197F"/>
    <w:rsid w:val="002022C5"/>
    <w:rsid w:val="00202A4A"/>
    <w:rsid w:val="00202B95"/>
    <w:rsid w:val="00202D52"/>
    <w:rsid w:val="00202F87"/>
    <w:rsid w:val="00203003"/>
    <w:rsid w:val="00203E2E"/>
    <w:rsid w:val="00205B87"/>
    <w:rsid w:val="0020628D"/>
    <w:rsid w:val="0020737E"/>
    <w:rsid w:val="00207CDC"/>
    <w:rsid w:val="00210DF2"/>
    <w:rsid w:val="002111C6"/>
    <w:rsid w:val="002123B3"/>
    <w:rsid w:val="002124A2"/>
    <w:rsid w:val="002126EB"/>
    <w:rsid w:val="002128E5"/>
    <w:rsid w:val="00212F0D"/>
    <w:rsid w:val="00212F18"/>
    <w:rsid w:val="0021524E"/>
    <w:rsid w:val="0021532C"/>
    <w:rsid w:val="0021545E"/>
    <w:rsid w:val="002230D1"/>
    <w:rsid w:val="0022490A"/>
    <w:rsid w:val="00224987"/>
    <w:rsid w:val="00224D66"/>
    <w:rsid w:val="00225371"/>
    <w:rsid w:val="00225DAB"/>
    <w:rsid w:val="00225E92"/>
    <w:rsid w:val="00226024"/>
    <w:rsid w:val="00226080"/>
    <w:rsid w:val="00226413"/>
    <w:rsid w:val="00226F15"/>
    <w:rsid w:val="00230F58"/>
    <w:rsid w:val="00231981"/>
    <w:rsid w:val="00231990"/>
    <w:rsid w:val="00231D1F"/>
    <w:rsid w:val="00233617"/>
    <w:rsid w:val="00233622"/>
    <w:rsid w:val="002349C6"/>
    <w:rsid w:val="00235C59"/>
    <w:rsid w:val="00236D46"/>
    <w:rsid w:val="002371B3"/>
    <w:rsid w:val="0023750D"/>
    <w:rsid w:val="00241638"/>
    <w:rsid w:val="002419B8"/>
    <w:rsid w:val="00241BCD"/>
    <w:rsid w:val="00241C2D"/>
    <w:rsid w:val="0024249F"/>
    <w:rsid w:val="00243C26"/>
    <w:rsid w:val="00243CC5"/>
    <w:rsid w:val="00244099"/>
    <w:rsid w:val="00244A87"/>
    <w:rsid w:val="00245846"/>
    <w:rsid w:val="0024679E"/>
    <w:rsid w:val="00246C24"/>
    <w:rsid w:val="002478E2"/>
    <w:rsid w:val="0025013D"/>
    <w:rsid w:val="00250498"/>
    <w:rsid w:val="002508ED"/>
    <w:rsid w:val="00251122"/>
    <w:rsid w:val="002512EA"/>
    <w:rsid w:val="0025166F"/>
    <w:rsid w:val="00252EA1"/>
    <w:rsid w:val="00253381"/>
    <w:rsid w:val="0025353B"/>
    <w:rsid w:val="00253894"/>
    <w:rsid w:val="00253CF3"/>
    <w:rsid w:val="00254714"/>
    <w:rsid w:val="002549A9"/>
    <w:rsid w:val="002554D4"/>
    <w:rsid w:val="002559D5"/>
    <w:rsid w:val="0025699A"/>
    <w:rsid w:val="00256BE6"/>
    <w:rsid w:val="002572FA"/>
    <w:rsid w:val="002616C5"/>
    <w:rsid w:val="00261AE0"/>
    <w:rsid w:val="002622BB"/>
    <w:rsid w:val="0026252E"/>
    <w:rsid w:val="00262A34"/>
    <w:rsid w:val="00262BAD"/>
    <w:rsid w:val="0026339F"/>
    <w:rsid w:val="00263481"/>
    <w:rsid w:val="0026419B"/>
    <w:rsid w:val="002641A5"/>
    <w:rsid w:val="0026510C"/>
    <w:rsid w:val="00267719"/>
    <w:rsid w:val="00267974"/>
    <w:rsid w:val="0026799C"/>
    <w:rsid w:val="0027033B"/>
    <w:rsid w:val="00270425"/>
    <w:rsid w:val="00270AC5"/>
    <w:rsid w:val="002717A8"/>
    <w:rsid w:val="00273144"/>
    <w:rsid w:val="00273422"/>
    <w:rsid w:val="00274F75"/>
    <w:rsid w:val="002752DB"/>
    <w:rsid w:val="00275573"/>
    <w:rsid w:val="0027624B"/>
    <w:rsid w:val="00276BBE"/>
    <w:rsid w:val="00277968"/>
    <w:rsid w:val="00277E72"/>
    <w:rsid w:val="002813D3"/>
    <w:rsid w:val="00281BFE"/>
    <w:rsid w:val="002827F1"/>
    <w:rsid w:val="00283D06"/>
    <w:rsid w:val="00284CF8"/>
    <w:rsid w:val="0028693B"/>
    <w:rsid w:val="00286A93"/>
    <w:rsid w:val="00287A5B"/>
    <w:rsid w:val="00287C91"/>
    <w:rsid w:val="00290C3D"/>
    <w:rsid w:val="00291E57"/>
    <w:rsid w:val="0029207F"/>
    <w:rsid w:val="00292780"/>
    <w:rsid w:val="002934D1"/>
    <w:rsid w:val="00294319"/>
    <w:rsid w:val="002943CC"/>
    <w:rsid w:val="00294C82"/>
    <w:rsid w:val="00294FB9"/>
    <w:rsid w:val="0029511B"/>
    <w:rsid w:val="002A07EF"/>
    <w:rsid w:val="002A0B61"/>
    <w:rsid w:val="002A0C07"/>
    <w:rsid w:val="002A1304"/>
    <w:rsid w:val="002A15E4"/>
    <w:rsid w:val="002A1C1A"/>
    <w:rsid w:val="002A30E0"/>
    <w:rsid w:val="002A3FDB"/>
    <w:rsid w:val="002A4A6C"/>
    <w:rsid w:val="002A5157"/>
    <w:rsid w:val="002A648C"/>
    <w:rsid w:val="002A6724"/>
    <w:rsid w:val="002A7E50"/>
    <w:rsid w:val="002B035E"/>
    <w:rsid w:val="002B06ED"/>
    <w:rsid w:val="002B15AF"/>
    <w:rsid w:val="002B2145"/>
    <w:rsid w:val="002B26B2"/>
    <w:rsid w:val="002B3419"/>
    <w:rsid w:val="002B34F1"/>
    <w:rsid w:val="002B44A3"/>
    <w:rsid w:val="002B467F"/>
    <w:rsid w:val="002B5C33"/>
    <w:rsid w:val="002B61AE"/>
    <w:rsid w:val="002B6557"/>
    <w:rsid w:val="002B6A2A"/>
    <w:rsid w:val="002B6AC6"/>
    <w:rsid w:val="002B6B5C"/>
    <w:rsid w:val="002B7B92"/>
    <w:rsid w:val="002B7FEE"/>
    <w:rsid w:val="002C0C06"/>
    <w:rsid w:val="002C0F91"/>
    <w:rsid w:val="002C1393"/>
    <w:rsid w:val="002C294A"/>
    <w:rsid w:val="002C2C79"/>
    <w:rsid w:val="002C362D"/>
    <w:rsid w:val="002C3EF9"/>
    <w:rsid w:val="002C497B"/>
    <w:rsid w:val="002C4A25"/>
    <w:rsid w:val="002C51BA"/>
    <w:rsid w:val="002C69E9"/>
    <w:rsid w:val="002C7DE7"/>
    <w:rsid w:val="002D0087"/>
    <w:rsid w:val="002D172F"/>
    <w:rsid w:val="002D2383"/>
    <w:rsid w:val="002D2427"/>
    <w:rsid w:val="002D2BC1"/>
    <w:rsid w:val="002D3DA3"/>
    <w:rsid w:val="002D50FC"/>
    <w:rsid w:val="002E0C58"/>
    <w:rsid w:val="002E0EBA"/>
    <w:rsid w:val="002E0F30"/>
    <w:rsid w:val="002E1A3B"/>
    <w:rsid w:val="002E429D"/>
    <w:rsid w:val="002E4D04"/>
    <w:rsid w:val="002E59FE"/>
    <w:rsid w:val="002E725D"/>
    <w:rsid w:val="002E77A3"/>
    <w:rsid w:val="002E7E03"/>
    <w:rsid w:val="002F31DB"/>
    <w:rsid w:val="002F49B0"/>
    <w:rsid w:val="002F4D86"/>
    <w:rsid w:val="003005CB"/>
    <w:rsid w:val="0030060B"/>
    <w:rsid w:val="00301102"/>
    <w:rsid w:val="00302A8B"/>
    <w:rsid w:val="003042ED"/>
    <w:rsid w:val="00304387"/>
    <w:rsid w:val="00304CA0"/>
    <w:rsid w:val="00305322"/>
    <w:rsid w:val="00305AC2"/>
    <w:rsid w:val="00305CC6"/>
    <w:rsid w:val="00305D05"/>
    <w:rsid w:val="00305EE8"/>
    <w:rsid w:val="00307564"/>
    <w:rsid w:val="003075C7"/>
    <w:rsid w:val="003122BE"/>
    <w:rsid w:val="00313781"/>
    <w:rsid w:val="003138AA"/>
    <w:rsid w:val="00315181"/>
    <w:rsid w:val="00315B28"/>
    <w:rsid w:val="003168CF"/>
    <w:rsid w:val="003170D9"/>
    <w:rsid w:val="0031737D"/>
    <w:rsid w:val="003173A1"/>
    <w:rsid w:val="00317B22"/>
    <w:rsid w:val="00317F80"/>
    <w:rsid w:val="00322344"/>
    <w:rsid w:val="00322CC4"/>
    <w:rsid w:val="003232C8"/>
    <w:rsid w:val="00323A9E"/>
    <w:rsid w:val="0032424C"/>
    <w:rsid w:val="00327489"/>
    <w:rsid w:val="003277FE"/>
    <w:rsid w:val="00327C89"/>
    <w:rsid w:val="00327DC8"/>
    <w:rsid w:val="00333910"/>
    <w:rsid w:val="00333A55"/>
    <w:rsid w:val="003342EC"/>
    <w:rsid w:val="003345E5"/>
    <w:rsid w:val="00334652"/>
    <w:rsid w:val="00335C5C"/>
    <w:rsid w:val="00335DCE"/>
    <w:rsid w:val="00336B3C"/>
    <w:rsid w:val="00340027"/>
    <w:rsid w:val="00340297"/>
    <w:rsid w:val="0034037C"/>
    <w:rsid w:val="00340A38"/>
    <w:rsid w:val="00341913"/>
    <w:rsid w:val="00341FD6"/>
    <w:rsid w:val="003436BF"/>
    <w:rsid w:val="0034492C"/>
    <w:rsid w:val="00345F97"/>
    <w:rsid w:val="00346243"/>
    <w:rsid w:val="0035078C"/>
    <w:rsid w:val="00350DC2"/>
    <w:rsid w:val="00350FEF"/>
    <w:rsid w:val="003510F4"/>
    <w:rsid w:val="0035133A"/>
    <w:rsid w:val="0035422F"/>
    <w:rsid w:val="003548CE"/>
    <w:rsid w:val="00354D70"/>
    <w:rsid w:val="003553D6"/>
    <w:rsid w:val="003557C7"/>
    <w:rsid w:val="003574CD"/>
    <w:rsid w:val="00357E41"/>
    <w:rsid w:val="0036091C"/>
    <w:rsid w:val="00362117"/>
    <w:rsid w:val="00364833"/>
    <w:rsid w:val="00365D59"/>
    <w:rsid w:val="0037040E"/>
    <w:rsid w:val="0037203B"/>
    <w:rsid w:val="003733D0"/>
    <w:rsid w:val="00373AE7"/>
    <w:rsid w:val="00373F2C"/>
    <w:rsid w:val="00376ABE"/>
    <w:rsid w:val="00376DF8"/>
    <w:rsid w:val="00377060"/>
    <w:rsid w:val="00377114"/>
    <w:rsid w:val="00381D10"/>
    <w:rsid w:val="00382AFC"/>
    <w:rsid w:val="00383396"/>
    <w:rsid w:val="003839E2"/>
    <w:rsid w:val="00384D51"/>
    <w:rsid w:val="0038502F"/>
    <w:rsid w:val="00385560"/>
    <w:rsid w:val="00385F96"/>
    <w:rsid w:val="00387028"/>
    <w:rsid w:val="003922E8"/>
    <w:rsid w:val="00392B37"/>
    <w:rsid w:val="00392F1E"/>
    <w:rsid w:val="0039347E"/>
    <w:rsid w:val="00393BE2"/>
    <w:rsid w:val="003946C5"/>
    <w:rsid w:val="003A0EB3"/>
    <w:rsid w:val="003A1A1F"/>
    <w:rsid w:val="003A2F24"/>
    <w:rsid w:val="003A4C5A"/>
    <w:rsid w:val="003A4F40"/>
    <w:rsid w:val="003A69DB"/>
    <w:rsid w:val="003A71D6"/>
    <w:rsid w:val="003A7952"/>
    <w:rsid w:val="003A7E43"/>
    <w:rsid w:val="003B0E5A"/>
    <w:rsid w:val="003B11D6"/>
    <w:rsid w:val="003B1AD0"/>
    <w:rsid w:val="003B1DE9"/>
    <w:rsid w:val="003B230A"/>
    <w:rsid w:val="003B2E6F"/>
    <w:rsid w:val="003B3C3B"/>
    <w:rsid w:val="003B3DB9"/>
    <w:rsid w:val="003B5B0C"/>
    <w:rsid w:val="003C0368"/>
    <w:rsid w:val="003C08FD"/>
    <w:rsid w:val="003C0BFA"/>
    <w:rsid w:val="003C192F"/>
    <w:rsid w:val="003C2EF0"/>
    <w:rsid w:val="003C443F"/>
    <w:rsid w:val="003C4A78"/>
    <w:rsid w:val="003C4DDE"/>
    <w:rsid w:val="003C59F1"/>
    <w:rsid w:val="003C754A"/>
    <w:rsid w:val="003D14FE"/>
    <w:rsid w:val="003D2886"/>
    <w:rsid w:val="003D457A"/>
    <w:rsid w:val="003D4FFB"/>
    <w:rsid w:val="003D50E3"/>
    <w:rsid w:val="003D54B9"/>
    <w:rsid w:val="003D566B"/>
    <w:rsid w:val="003D5AEC"/>
    <w:rsid w:val="003D6742"/>
    <w:rsid w:val="003D6FB5"/>
    <w:rsid w:val="003E00B6"/>
    <w:rsid w:val="003E0B72"/>
    <w:rsid w:val="003E1953"/>
    <w:rsid w:val="003E3C3D"/>
    <w:rsid w:val="003E780D"/>
    <w:rsid w:val="003E79DA"/>
    <w:rsid w:val="003E7EA6"/>
    <w:rsid w:val="003F02A1"/>
    <w:rsid w:val="003F0312"/>
    <w:rsid w:val="003F1A4C"/>
    <w:rsid w:val="003F3D2E"/>
    <w:rsid w:val="003F42FF"/>
    <w:rsid w:val="003F43C9"/>
    <w:rsid w:val="003F4AAC"/>
    <w:rsid w:val="003F595B"/>
    <w:rsid w:val="003F7386"/>
    <w:rsid w:val="003F740E"/>
    <w:rsid w:val="004000B7"/>
    <w:rsid w:val="00400757"/>
    <w:rsid w:val="00400818"/>
    <w:rsid w:val="0040133C"/>
    <w:rsid w:val="004018B8"/>
    <w:rsid w:val="004023A4"/>
    <w:rsid w:val="00403EAA"/>
    <w:rsid w:val="004044A1"/>
    <w:rsid w:val="00404C15"/>
    <w:rsid w:val="004055BB"/>
    <w:rsid w:val="004068A5"/>
    <w:rsid w:val="00406F7B"/>
    <w:rsid w:val="00406F7E"/>
    <w:rsid w:val="00407298"/>
    <w:rsid w:val="004106A1"/>
    <w:rsid w:val="00410847"/>
    <w:rsid w:val="00411952"/>
    <w:rsid w:val="0041283F"/>
    <w:rsid w:val="00412BF7"/>
    <w:rsid w:val="00414D0B"/>
    <w:rsid w:val="004150E2"/>
    <w:rsid w:val="00417743"/>
    <w:rsid w:val="00417D03"/>
    <w:rsid w:val="004208B6"/>
    <w:rsid w:val="00420E11"/>
    <w:rsid w:val="004221CD"/>
    <w:rsid w:val="004251BA"/>
    <w:rsid w:val="00425796"/>
    <w:rsid w:val="0042617B"/>
    <w:rsid w:val="00426FF2"/>
    <w:rsid w:val="00427265"/>
    <w:rsid w:val="0042763E"/>
    <w:rsid w:val="00430269"/>
    <w:rsid w:val="00430B1C"/>
    <w:rsid w:val="00431187"/>
    <w:rsid w:val="00432A32"/>
    <w:rsid w:val="0043363B"/>
    <w:rsid w:val="004345DB"/>
    <w:rsid w:val="00434E36"/>
    <w:rsid w:val="00435059"/>
    <w:rsid w:val="00437329"/>
    <w:rsid w:val="004413CB"/>
    <w:rsid w:val="00441B6E"/>
    <w:rsid w:val="00441EF3"/>
    <w:rsid w:val="004422A4"/>
    <w:rsid w:val="00444536"/>
    <w:rsid w:val="00444935"/>
    <w:rsid w:val="00445ED4"/>
    <w:rsid w:val="0044666B"/>
    <w:rsid w:val="004469EC"/>
    <w:rsid w:val="00446ECA"/>
    <w:rsid w:val="00450063"/>
    <w:rsid w:val="0045081E"/>
    <w:rsid w:val="00451710"/>
    <w:rsid w:val="004520CB"/>
    <w:rsid w:val="00452D99"/>
    <w:rsid w:val="00453FF2"/>
    <w:rsid w:val="00454DDD"/>
    <w:rsid w:val="00455231"/>
    <w:rsid w:val="0045525F"/>
    <w:rsid w:val="00455EE4"/>
    <w:rsid w:val="00460074"/>
    <w:rsid w:val="00460983"/>
    <w:rsid w:val="00461FF0"/>
    <w:rsid w:val="00463FE6"/>
    <w:rsid w:val="00464947"/>
    <w:rsid w:val="00465462"/>
    <w:rsid w:val="00466A22"/>
    <w:rsid w:val="00466A55"/>
    <w:rsid w:val="00466B2E"/>
    <w:rsid w:val="00467012"/>
    <w:rsid w:val="00467D11"/>
    <w:rsid w:val="0047025E"/>
    <w:rsid w:val="00470CFF"/>
    <w:rsid w:val="00470E76"/>
    <w:rsid w:val="00470F0E"/>
    <w:rsid w:val="00471A05"/>
    <w:rsid w:val="004730B4"/>
    <w:rsid w:val="00473454"/>
    <w:rsid w:val="00473859"/>
    <w:rsid w:val="00476944"/>
    <w:rsid w:val="00476B84"/>
    <w:rsid w:val="00476CF8"/>
    <w:rsid w:val="00481978"/>
    <w:rsid w:val="00481A47"/>
    <w:rsid w:val="004840AB"/>
    <w:rsid w:val="0048423A"/>
    <w:rsid w:val="00484E8C"/>
    <w:rsid w:val="00486AB3"/>
    <w:rsid w:val="004874CF"/>
    <w:rsid w:val="00491EEB"/>
    <w:rsid w:val="004928BD"/>
    <w:rsid w:val="00492E5D"/>
    <w:rsid w:val="004944B2"/>
    <w:rsid w:val="00497CA8"/>
    <w:rsid w:val="004A00FD"/>
    <w:rsid w:val="004A0B29"/>
    <w:rsid w:val="004A119A"/>
    <w:rsid w:val="004A16E2"/>
    <w:rsid w:val="004A1F3D"/>
    <w:rsid w:val="004A2079"/>
    <w:rsid w:val="004A2803"/>
    <w:rsid w:val="004A34A5"/>
    <w:rsid w:val="004A40B3"/>
    <w:rsid w:val="004A5104"/>
    <w:rsid w:val="004A6862"/>
    <w:rsid w:val="004A7018"/>
    <w:rsid w:val="004A742B"/>
    <w:rsid w:val="004A7ADD"/>
    <w:rsid w:val="004B04BF"/>
    <w:rsid w:val="004B167F"/>
    <w:rsid w:val="004B1C43"/>
    <w:rsid w:val="004B337F"/>
    <w:rsid w:val="004B4209"/>
    <w:rsid w:val="004B66A0"/>
    <w:rsid w:val="004C02EC"/>
    <w:rsid w:val="004C120F"/>
    <w:rsid w:val="004C16BA"/>
    <w:rsid w:val="004C2A0E"/>
    <w:rsid w:val="004C4841"/>
    <w:rsid w:val="004C51FA"/>
    <w:rsid w:val="004C58B1"/>
    <w:rsid w:val="004C6102"/>
    <w:rsid w:val="004C6607"/>
    <w:rsid w:val="004C7F3A"/>
    <w:rsid w:val="004D004E"/>
    <w:rsid w:val="004D0392"/>
    <w:rsid w:val="004D1259"/>
    <w:rsid w:val="004D17F5"/>
    <w:rsid w:val="004D23DC"/>
    <w:rsid w:val="004D298F"/>
    <w:rsid w:val="004D3296"/>
    <w:rsid w:val="004D3D95"/>
    <w:rsid w:val="004D46CE"/>
    <w:rsid w:val="004D5709"/>
    <w:rsid w:val="004D5D4E"/>
    <w:rsid w:val="004D7195"/>
    <w:rsid w:val="004E03AB"/>
    <w:rsid w:val="004E06C3"/>
    <w:rsid w:val="004E0C68"/>
    <w:rsid w:val="004E25DD"/>
    <w:rsid w:val="004E2CB3"/>
    <w:rsid w:val="004E305F"/>
    <w:rsid w:val="004E570E"/>
    <w:rsid w:val="004E6489"/>
    <w:rsid w:val="004E719D"/>
    <w:rsid w:val="004E7FFC"/>
    <w:rsid w:val="004F00B0"/>
    <w:rsid w:val="004F06FF"/>
    <w:rsid w:val="004F0E9B"/>
    <w:rsid w:val="004F1589"/>
    <w:rsid w:val="004F2C51"/>
    <w:rsid w:val="004F2CFC"/>
    <w:rsid w:val="004F3309"/>
    <w:rsid w:val="004F3B61"/>
    <w:rsid w:val="004F3CFA"/>
    <w:rsid w:val="004F6FCB"/>
    <w:rsid w:val="004F716A"/>
    <w:rsid w:val="004F7871"/>
    <w:rsid w:val="004F7C70"/>
    <w:rsid w:val="00500292"/>
    <w:rsid w:val="00500B50"/>
    <w:rsid w:val="00502FDF"/>
    <w:rsid w:val="005030B1"/>
    <w:rsid w:val="005035D8"/>
    <w:rsid w:val="005042D7"/>
    <w:rsid w:val="00504E66"/>
    <w:rsid w:val="00505213"/>
    <w:rsid w:val="00505C07"/>
    <w:rsid w:val="00506A94"/>
    <w:rsid w:val="00507241"/>
    <w:rsid w:val="0051078E"/>
    <w:rsid w:val="00510C3D"/>
    <w:rsid w:val="00510F6B"/>
    <w:rsid w:val="00511277"/>
    <w:rsid w:val="005113DE"/>
    <w:rsid w:val="00511521"/>
    <w:rsid w:val="005157DE"/>
    <w:rsid w:val="00520907"/>
    <w:rsid w:val="00521F91"/>
    <w:rsid w:val="00523A77"/>
    <w:rsid w:val="00524636"/>
    <w:rsid w:val="00524C5B"/>
    <w:rsid w:val="0052501E"/>
    <w:rsid w:val="00526408"/>
    <w:rsid w:val="005266A3"/>
    <w:rsid w:val="00526BD3"/>
    <w:rsid w:val="00526EC7"/>
    <w:rsid w:val="00530010"/>
    <w:rsid w:val="0053676C"/>
    <w:rsid w:val="005368BC"/>
    <w:rsid w:val="005372FB"/>
    <w:rsid w:val="00540DC9"/>
    <w:rsid w:val="00541B77"/>
    <w:rsid w:val="00545B94"/>
    <w:rsid w:val="00546B48"/>
    <w:rsid w:val="005515BF"/>
    <w:rsid w:val="00552920"/>
    <w:rsid w:val="005531A3"/>
    <w:rsid w:val="005541F6"/>
    <w:rsid w:val="00555C38"/>
    <w:rsid w:val="00560163"/>
    <w:rsid w:val="00561DC7"/>
    <w:rsid w:val="00562AF3"/>
    <w:rsid w:val="005639CF"/>
    <w:rsid w:val="00563D57"/>
    <w:rsid w:val="00564258"/>
    <w:rsid w:val="005647D4"/>
    <w:rsid w:val="0056495F"/>
    <w:rsid w:val="00564FC6"/>
    <w:rsid w:val="00565180"/>
    <w:rsid w:val="00565C84"/>
    <w:rsid w:val="0056631D"/>
    <w:rsid w:val="00566357"/>
    <w:rsid w:val="00566520"/>
    <w:rsid w:val="00566C54"/>
    <w:rsid w:val="00566C6B"/>
    <w:rsid w:val="005708FF"/>
    <w:rsid w:val="00571308"/>
    <w:rsid w:val="005727C7"/>
    <w:rsid w:val="0057335F"/>
    <w:rsid w:val="00574D6D"/>
    <w:rsid w:val="00577056"/>
    <w:rsid w:val="00577490"/>
    <w:rsid w:val="0057774A"/>
    <w:rsid w:val="00577FBE"/>
    <w:rsid w:val="00580218"/>
    <w:rsid w:val="00580B83"/>
    <w:rsid w:val="00581150"/>
    <w:rsid w:val="00582C8C"/>
    <w:rsid w:val="0058393A"/>
    <w:rsid w:val="00583C4D"/>
    <w:rsid w:val="00584C9C"/>
    <w:rsid w:val="00586224"/>
    <w:rsid w:val="00586CF2"/>
    <w:rsid w:val="00586E2B"/>
    <w:rsid w:val="00590786"/>
    <w:rsid w:val="00590CBC"/>
    <w:rsid w:val="00592368"/>
    <w:rsid w:val="005948AC"/>
    <w:rsid w:val="0059521E"/>
    <w:rsid w:val="00595C11"/>
    <w:rsid w:val="0059675E"/>
    <w:rsid w:val="0059739A"/>
    <w:rsid w:val="005975A0"/>
    <w:rsid w:val="005A18A6"/>
    <w:rsid w:val="005A28B6"/>
    <w:rsid w:val="005A3B35"/>
    <w:rsid w:val="005A5C42"/>
    <w:rsid w:val="005A5F7B"/>
    <w:rsid w:val="005B0239"/>
    <w:rsid w:val="005B06BC"/>
    <w:rsid w:val="005B21DF"/>
    <w:rsid w:val="005B29FF"/>
    <w:rsid w:val="005B39C1"/>
    <w:rsid w:val="005B4242"/>
    <w:rsid w:val="005B4294"/>
    <w:rsid w:val="005B4CA5"/>
    <w:rsid w:val="005B5D7B"/>
    <w:rsid w:val="005C023B"/>
    <w:rsid w:val="005C252F"/>
    <w:rsid w:val="005C2CE5"/>
    <w:rsid w:val="005C4105"/>
    <w:rsid w:val="005C413B"/>
    <w:rsid w:val="005C4648"/>
    <w:rsid w:val="005C4D9F"/>
    <w:rsid w:val="005C50B9"/>
    <w:rsid w:val="005C5905"/>
    <w:rsid w:val="005C5C6B"/>
    <w:rsid w:val="005C5E81"/>
    <w:rsid w:val="005C675B"/>
    <w:rsid w:val="005C7292"/>
    <w:rsid w:val="005C7C4A"/>
    <w:rsid w:val="005D04AD"/>
    <w:rsid w:val="005D0571"/>
    <w:rsid w:val="005D0ADF"/>
    <w:rsid w:val="005D0B3B"/>
    <w:rsid w:val="005D0D59"/>
    <w:rsid w:val="005D1738"/>
    <w:rsid w:val="005D1A8B"/>
    <w:rsid w:val="005D2EEB"/>
    <w:rsid w:val="005D33B1"/>
    <w:rsid w:val="005D46F4"/>
    <w:rsid w:val="005D5690"/>
    <w:rsid w:val="005D5A9D"/>
    <w:rsid w:val="005D5B54"/>
    <w:rsid w:val="005D5CC6"/>
    <w:rsid w:val="005D6A31"/>
    <w:rsid w:val="005D7B7C"/>
    <w:rsid w:val="005E0A2A"/>
    <w:rsid w:val="005E118E"/>
    <w:rsid w:val="005E11C9"/>
    <w:rsid w:val="005E27A6"/>
    <w:rsid w:val="005E359B"/>
    <w:rsid w:val="005E4095"/>
    <w:rsid w:val="005E489E"/>
    <w:rsid w:val="005E49B7"/>
    <w:rsid w:val="005E4AFC"/>
    <w:rsid w:val="005E4E72"/>
    <w:rsid w:val="005E57D3"/>
    <w:rsid w:val="005E6201"/>
    <w:rsid w:val="005E6350"/>
    <w:rsid w:val="005E6CE8"/>
    <w:rsid w:val="005E6CF1"/>
    <w:rsid w:val="005E7359"/>
    <w:rsid w:val="005E75EA"/>
    <w:rsid w:val="005F0087"/>
    <w:rsid w:val="005F0CC5"/>
    <w:rsid w:val="005F0F0A"/>
    <w:rsid w:val="005F1084"/>
    <w:rsid w:val="005F133D"/>
    <w:rsid w:val="005F1A1C"/>
    <w:rsid w:val="005F2851"/>
    <w:rsid w:val="005F2BFF"/>
    <w:rsid w:val="005F2D74"/>
    <w:rsid w:val="005F72E6"/>
    <w:rsid w:val="005F76F7"/>
    <w:rsid w:val="006005DE"/>
    <w:rsid w:val="006007F9"/>
    <w:rsid w:val="006008A8"/>
    <w:rsid w:val="00600E29"/>
    <w:rsid w:val="00601D43"/>
    <w:rsid w:val="00601E46"/>
    <w:rsid w:val="00603EA2"/>
    <w:rsid w:val="0060740A"/>
    <w:rsid w:val="00610389"/>
    <w:rsid w:val="0061051C"/>
    <w:rsid w:val="00610607"/>
    <w:rsid w:val="006134A3"/>
    <w:rsid w:val="00613A28"/>
    <w:rsid w:val="00613B42"/>
    <w:rsid w:val="0061442E"/>
    <w:rsid w:val="00614700"/>
    <w:rsid w:val="0061481E"/>
    <w:rsid w:val="00616511"/>
    <w:rsid w:val="0061704F"/>
    <w:rsid w:val="00617353"/>
    <w:rsid w:val="0062017B"/>
    <w:rsid w:val="0062049E"/>
    <w:rsid w:val="00620545"/>
    <w:rsid w:val="00620995"/>
    <w:rsid w:val="00621246"/>
    <w:rsid w:val="0062161C"/>
    <w:rsid w:val="00621F32"/>
    <w:rsid w:val="00622263"/>
    <w:rsid w:val="006228BF"/>
    <w:rsid w:val="006230C7"/>
    <w:rsid w:val="00623472"/>
    <w:rsid w:val="00624251"/>
    <w:rsid w:val="00624766"/>
    <w:rsid w:val="00625DDA"/>
    <w:rsid w:val="00626C08"/>
    <w:rsid w:val="00627416"/>
    <w:rsid w:val="00627DC4"/>
    <w:rsid w:val="00630D74"/>
    <w:rsid w:val="006338A2"/>
    <w:rsid w:val="00634858"/>
    <w:rsid w:val="00634F65"/>
    <w:rsid w:val="00635063"/>
    <w:rsid w:val="006357FC"/>
    <w:rsid w:val="00635CB7"/>
    <w:rsid w:val="00635F68"/>
    <w:rsid w:val="00636C15"/>
    <w:rsid w:val="00637453"/>
    <w:rsid w:val="00640319"/>
    <w:rsid w:val="00640DC6"/>
    <w:rsid w:val="00641941"/>
    <w:rsid w:val="00641AC0"/>
    <w:rsid w:val="0064289D"/>
    <w:rsid w:val="00642DCA"/>
    <w:rsid w:val="00643038"/>
    <w:rsid w:val="00643E76"/>
    <w:rsid w:val="00644945"/>
    <w:rsid w:val="00644CBA"/>
    <w:rsid w:val="00644CDB"/>
    <w:rsid w:val="00645444"/>
    <w:rsid w:val="006455DF"/>
    <w:rsid w:val="00645F61"/>
    <w:rsid w:val="0064750A"/>
    <w:rsid w:val="006478E1"/>
    <w:rsid w:val="00650F4E"/>
    <w:rsid w:val="006520C4"/>
    <w:rsid w:val="006522CB"/>
    <w:rsid w:val="00653472"/>
    <w:rsid w:val="00653A38"/>
    <w:rsid w:val="00653AB3"/>
    <w:rsid w:val="00655A0D"/>
    <w:rsid w:val="006563B4"/>
    <w:rsid w:val="006572F2"/>
    <w:rsid w:val="0065751B"/>
    <w:rsid w:val="00657D41"/>
    <w:rsid w:val="00661017"/>
    <w:rsid w:val="00661F55"/>
    <w:rsid w:val="006627C1"/>
    <w:rsid w:val="00664062"/>
    <w:rsid w:val="0066500A"/>
    <w:rsid w:val="0066566B"/>
    <w:rsid w:val="006676B7"/>
    <w:rsid w:val="00670594"/>
    <w:rsid w:val="00672CA8"/>
    <w:rsid w:val="00673448"/>
    <w:rsid w:val="006735BF"/>
    <w:rsid w:val="00674614"/>
    <w:rsid w:val="0067464F"/>
    <w:rsid w:val="00674C1C"/>
    <w:rsid w:val="0067532A"/>
    <w:rsid w:val="0067623A"/>
    <w:rsid w:val="006775C9"/>
    <w:rsid w:val="00680989"/>
    <w:rsid w:val="006817B0"/>
    <w:rsid w:val="0068235A"/>
    <w:rsid w:val="006825AD"/>
    <w:rsid w:val="00682BC6"/>
    <w:rsid w:val="00682EFC"/>
    <w:rsid w:val="0068347D"/>
    <w:rsid w:val="006839A1"/>
    <w:rsid w:val="0068552B"/>
    <w:rsid w:val="00685573"/>
    <w:rsid w:val="006864BA"/>
    <w:rsid w:val="0068785C"/>
    <w:rsid w:val="00687E8F"/>
    <w:rsid w:val="00690E7A"/>
    <w:rsid w:val="00691E1C"/>
    <w:rsid w:val="0069221A"/>
    <w:rsid w:val="006935F2"/>
    <w:rsid w:val="0069471B"/>
    <w:rsid w:val="00694D2B"/>
    <w:rsid w:val="0069522D"/>
    <w:rsid w:val="006958C8"/>
    <w:rsid w:val="006958D4"/>
    <w:rsid w:val="00696EE3"/>
    <w:rsid w:val="006A0824"/>
    <w:rsid w:val="006A0865"/>
    <w:rsid w:val="006A08A5"/>
    <w:rsid w:val="006A0EDA"/>
    <w:rsid w:val="006A20B1"/>
    <w:rsid w:val="006A429A"/>
    <w:rsid w:val="006A6602"/>
    <w:rsid w:val="006A7B0A"/>
    <w:rsid w:val="006B0898"/>
    <w:rsid w:val="006B0A92"/>
    <w:rsid w:val="006B0DBE"/>
    <w:rsid w:val="006B121C"/>
    <w:rsid w:val="006B17D9"/>
    <w:rsid w:val="006B222F"/>
    <w:rsid w:val="006B2E5B"/>
    <w:rsid w:val="006B35F6"/>
    <w:rsid w:val="006B360C"/>
    <w:rsid w:val="006B394F"/>
    <w:rsid w:val="006B4306"/>
    <w:rsid w:val="006B55C0"/>
    <w:rsid w:val="006B5E02"/>
    <w:rsid w:val="006B616D"/>
    <w:rsid w:val="006B731F"/>
    <w:rsid w:val="006C0C5C"/>
    <w:rsid w:val="006C0F57"/>
    <w:rsid w:val="006C15A8"/>
    <w:rsid w:val="006C15AC"/>
    <w:rsid w:val="006C4B86"/>
    <w:rsid w:val="006C63A6"/>
    <w:rsid w:val="006C6BD3"/>
    <w:rsid w:val="006C743E"/>
    <w:rsid w:val="006C795E"/>
    <w:rsid w:val="006C7DC7"/>
    <w:rsid w:val="006D0071"/>
    <w:rsid w:val="006D017C"/>
    <w:rsid w:val="006D4EFB"/>
    <w:rsid w:val="006D5BC3"/>
    <w:rsid w:val="006D5E48"/>
    <w:rsid w:val="006D777A"/>
    <w:rsid w:val="006E04A5"/>
    <w:rsid w:val="006E09DD"/>
    <w:rsid w:val="006E1257"/>
    <w:rsid w:val="006E1A9E"/>
    <w:rsid w:val="006E3D31"/>
    <w:rsid w:val="006E4AA7"/>
    <w:rsid w:val="006E5351"/>
    <w:rsid w:val="006E6D4C"/>
    <w:rsid w:val="006E722F"/>
    <w:rsid w:val="006E72DE"/>
    <w:rsid w:val="006F02A5"/>
    <w:rsid w:val="006F093B"/>
    <w:rsid w:val="006F0E13"/>
    <w:rsid w:val="006F10F1"/>
    <w:rsid w:val="006F181C"/>
    <w:rsid w:val="006F23E5"/>
    <w:rsid w:val="006F36C0"/>
    <w:rsid w:val="006F36F1"/>
    <w:rsid w:val="006F3B57"/>
    <w:rsid w:val="006F4638"/>
    <w:rsid w:val="006F6C6A"/>
    <w:rsid w:val="006F6F25"/>
    <w:rsid w:val="006F716A"/>
    <w:rsid w:val="006F77E9"/>
    <w:rsid w:val="006F781B"/>
    <w:rsid w:val="006F79F7"/>
    <w:rsid w:val="006F7AEE"/>
    <w:rsid w:val="006F7BAF"/>
    <w:rsid w:val="0070000E"/>
    <w:rsid w:val="007008B1"/>
    <w:rsid w:val="00701406"/>
    <w:rsid w:val="00703332"/>
    <w:rsid w:val="00703E5B"/>
    <w:rsid w:val="00704C61"/>
    <w:rsid w:val="00704CF9"/>
    <w:rsid w:val="00704E45"/>
    <w:rsid w:val="00705028"/>
    <w:rsid w:val="00705BA0"/>
    <w:rsid w:val="007063E2"/>
    <w:rsid w:val="0070719C"/>
    <w:rsid w:val="00707634"/>
    <w:rsid w:val="0071009F"/>
    <w:rsid w:val="007106AC"/>
    <w:rsid w:val="007107D0"/>
    <w:rsid w:val="00710B72"/>
    <w:rsid w:val="0071143F"/>
    <w:rsid w:val="00711752"/>
    <w:rsid w:val="00711791"/>
    <w:rsid w:val="007136EB"/>
    <w:rsid w:val="00713CDF"/>
    <w:rsid w:val="007162C9"/>
    <w:rsid w:val="00716834"/>
    <w:rsid w:val="00717419"/>
    <w:rsid w:val="00717433"/>
    <w:rsid w:val="007203B6"/>
    <w:rsid w:val="00721430"/>
    <w:rsid w:val="007215A3"/>
    <w:rsid w:val="00722AA9"/>
    <w:rsid w:val="00722AD7"/>
    <w:rsid w:val="00722F11"/>
    <w:rsid w:val="00723262"/>
    <w:rsid w:val="00723717"/>
    <w:rsid w:val="00723D45"/>
    <w:rsid w:val="00724821"/>
    <w:rsid w:val="007260F8"/>
    <w:rsid w:val="0073073C"/>
    <w:rsid w:val="00730D6C"/>
    <w:rsid w:val="00731A2F"/>
    <w:rsid w:val="00732AC0"/>
    <w:rsid w:val="00732E1D"/>
    <w:rsid w:val="0073415D"/>
    <w:rsid w:val="00734194"/>
    <w:rsid w:val="00734749"/>
    <w:rsid w:val="00734A4D"/>
    <w:rsid w:val="00735010"/>
    <w:rsid w:val="007352F3"/>
    <w:rsid w:val="00735CF4"/>
    <w:rsid w:val="0073695A"/>
    <w:rsid w:val="00736F8F"/>
    <w:rsid w:val="00740821"/>
    <w:rsid w:val="007425F2"/>
    <w:rsid w:val="007429DE"/>
    <w:rsid w:val="00743E75"/>
    <w:rsid w:val="0074446D"/>
    <w:rsid w:val="0074671A"/>
    <w:rsid w:val="00746BAF"/>
    <w:rsid w:val="00746D17"/>
    <w:rsid w:val="00747674"/>
    <w:rsid w:val="0075143F"/>
    <w:rsid w:val="0075277D"/>
    <w:rsid w:val="00752D3A"/>
    <w:rsid w:val="00754397"/>
    <w:rsid w:val="00756EFF"/>
    <w:rsid w:val="007602BD"/>
    <w:rsid w:val="00760D1A"/>
    <w:rsid w:val="00761C86"/>
    <w:rsid w:val="00762F4D"/>
    <w:rsid w:val="00763A48"/>
    <w:rsid w:val="00763C74"/>
    <w:rsid w:val="00763DEB"/>
    <w:rsid w:val="007644CB"/>
    <w:rsid w:val="00765848"/>
    <w:rsid w:val="007668FF"/>
    <w:rsid w:val="00766B8B"/>
    <w:rsid w:val="00767209"/>
    <w:rsid w:val="0076731F"/>
    <w:rsid w:val="00767BAD"/>
    <w:rsid w:val="007708D5"/>
    <w:rsid w:val="00771011"/>
    <w:rsid w:val="00771AD2"/>
    <w:rsid w:val="0077223B"/>
    <w:rsid w:val="00773F32"/>
    <w:rsid w:val="00774282"/>
    <w:rsid w:val="00774F2F"/>
    <w:rsid w:val="0077531E"/>
    <w:rsid w:val="007753C7"/>
    <w:rsid w:val="0077690F"/>
    <w:rsid w:val="00776934"/>
    <w:rsid w:val="007776D4"/>
    <w:rsid w:val="007778DA"/>
    <w:rsid w:val="00777C4D"/>
    <w:rsid w:val="00777C64"/>
    <w:rsid w:val="00780CED"/>
    <w:rsid w:val="0078228A"/>
    <w:rsid w:val="00782DEB"/>
    <w:rsid w:val="00783D28"/>
    <w:rsid w:val="00783F59"/>
    <w:rsid w:val="007860C2"/>
    <w:rsid w:val="00787DD5"/>
    <w:rsid w:val="007906E5"/>
    <w:rsid w:val="00790760"/>
    <w:rsid w:val="007909DF"/>
    <w:rsid w:val="00790FC5"/>
    <w:rsid w:val="0079112E"/>
    <w:rsid w:val="00793C74"/>
    <w:rsid w:val="00793ED3"/>
    <w:rsid w:val="00795B01"/>
    <w:rsid w:val="00796830"/>
    <w:rsid w:val="00796D87"/>
    <w:rsid w:val="007972BC"/>
    <w:rsid w:val="0079750E"/>
    <w:rsid w:val="00797B27"/>
    <w:rsid w:val="007A040E"/>
    <w:rsid w:val="007A16C1"/>
    <w:rsid w:val="007A2452"/>
    <w:rsid w:val="007A3884"/>
    <w:rsid w:val="007A4250"/>
    <w:rsid w:val="007A554F"/>
    <w:rsid w:val="007B13B6"/>
    <w:rsid w:val="007B4771"/>
    <w:rsid w:val="007B4B8F"/>
    <w:rsid w:val="007B4FC5"/>
    <w:rsid w:val="007B50D9"/>
    <w:rsid w:val="007B6CF7"/>
    <w:rsid w:val="007C4C72"/>
    <w:rsid w:val="007C5A28"/>
    <w:rsid w:val="007C609C"/>
    <w:rsid w:val="007C6DCC"/>
    <w:rsid w:val="007D0D52"/>
    <w:rsid w:val="007D131E"/>
    <w:rsid w:val="007D2A09"/>
    <w:rsid w:val="007D3130"/>
    <w:rsid w:val="007D3A3A"/>
    <w:rsid w:val="007D3EAD"/>
    <w:rsid w:val="007D712B"/>
    <w:rsid w:val="007D7725"/>
    <w:rsid w:val="007E1FFC"/>
    <w:rsid w:val="007E2171"/>
    <w:rsid w:val="007E2B4C"/>
    <w:rsid w:val="007E31CE"/>
    <w:rsid w:val="007E3310"/>
    <w:rsid w:val="007E3C96"/>
    <w:rsid w:val="007E4D2C"/>
    <w:rsid w:val="007E4EC5"/>
    <w:rsid w:val="007E4EF7"/>
    <w:rsid w:val="007E5543"/>
    <w:rsid w:val="007E56A1"/>
    <w:rsid w:val="007E5BA9"/>
    <w:rsid w:val="007F02AC"/>
    <w:rsid w:val="007F02DB"/>
    <w:rsid w:val="007F1D72"/>
    <w:rsid w:val="007F1F5B"/>
    <w:rsid w:val="007F2106"/>
    <w:rsid w:val="007F358C"/>
    <w:rsid w:val="007F3F50"/>
    <w:rsid w:val="007F518E"/>
    <w:rsid w:val="007F6C26"/>
    <w:rsid w:val="007F6CE1"/>
    <w:rsid w:val="007F7881"/>
    <w:rsid w:val="00800967"/>
    <w:rsid w:val="00801DA7"/>
    <w:rsid w:val="0080362B"/>
    <w:rsid w:val="00803F0D"/>
    <w:rsid w:val="00804070"/>
    <w:rsid w:val="0080483B"/>
    <w:rsid w:val="0080499F"/>
    <w:rsid w:val="00805AAC"/>
    <w:rsid w:val="00806852"/>
    <w:rsid w:val="00807602"/>
    <w:rsid w:val="00807B27"/>
    <w:rsid w:val="00810430"/>
    <w:rsid w:val="00810AC9"/>
    <w:rsid w:val="00810C82"/>
    <w:rsid w:val="00811918"/>
    <w:rsid w:val="00811D1B"/>
    <w:rsid w:val="008123C0"/>
    <w:rsid w:val="00812545"/>
    <w:rsid w:val="00812D38"/>
    <w:rsid w:val="00814EF9"/>
    <w:rsid w:val="00814FF2"/>
    <w:rsid w:val="008155B1"/>
    <w:rsid w:val="00815820"/>
    <w:rsid w:val="00815870"/>
    <w:rsid w:val="0081600F"/>
    <w:rsid w:val="00816450"/>
    <w:rsid w:val="00816748"/>
    <w:rsid w:val="00817105"/>
    <w:rsid w:val="008171B8"/>
    <w:rsid w:val="008205A0"/>
    <w:rsid w:val="00820D5E"/>
    <w:rsid w:val="008225E3"/>
    <w:rsid w:val="00822643"/>
    <w:rsid w:val="00822C2D"/>
    <w:rsid w:val="00826227"/>
    <w:rsid w:val="008265B8"/>
    <w:rsid w:val="00827876"/>
    <w:rsid w:val="00830FCD"/>
    <w:rsid w:val="008317C3"/>
    <w:rsid w:val="00831F21"/>
    <w:rsid w:val="008325C7"/>
    <w:rsid w:val="008337DD"/>
    <w:rsid w:val="00833900"/>
    <w:rsid w:val="00835390"/>
    <w:rsid w:val="0083574E"/>
    <w:rsid w:val="00835870"/>
    <w:rsid w:val="00836242"/>
    <w:rsid w:val="00837317"/>
    <w:rsid w:val="00840FCD"/>
    <w:rsid w:val="008414E0"/>
    <w:rsid w:val="00841C37"/>
    <w:rsid w:val="0084282D"/>
    <w:rsid w:val="00842FD3"/>
    <w:rsid w:val="0084311D"/>
    <w:rsid w:val="008443B3"/>
    <w:rsid w:val="00844894"/>
    <w:rsid w:val="00844E14"/>
    <w:rsid w:val="00845D83"/>
    <w:rsid w:val="0084775D"/>
    <w:rsid w:val="008500C7"/>
    <w:rsid w:val="0085059A"/>
    <w:rsid w:val="00851BDF"/>
    <w:rsid w:val="00852A34"/>
    <w:rsid w:val="008540ED"/>
    <w:rsid w:val="008560CE"/>
    <w:rsid w:val="0085635B"/>
    <w:rsid w:val="00856CB0"/>
    <w:rsid w:val="008570D7"/>
    <w:rsid w:val="008600E7"/>
    <w:rsid w:val="00861528"/>
    <w:rsid w:val="0086192B"/>
    <w:rsid w:val="00861C2F"/>
    <w:rsid w:val="00862306"/>
    <w:rsid w:val="008632E7"/>
    <w:rsid w:val="00863ED1"/>
    <w:rsid w:val="008672DE"/>
    <w:rsid w:val="0086750B"/>
    <w:rsid w:val="008676A6"/>
    <w:rsid w:val="00867855"/>
    <w:rsid w:val="00870291"/>
    <w:rsid w:val="00870AA5"/>
    <w:rsid w:val="008724E4"/>
    <w:rsid w:val="00873B81"/>
    <w:rsid w:val="00874267"/>
    <w:rsid w:val="008745E5"/>
    <w:rsid w:val="00874C78"/>
    <w:rsid w:val="00875C5E"/>
    <w:rsid w:val="00875DF6"/>
    <w:rsid w:val="00877E03"/>
    <w:rsid w:val="00877F24"/>
    <w:rsid w:val="008800FB"/>
    <w:rsid w:val="0088037E"/>
    <w:rsid w:val="008816C6"/>
    <w:rsid w:val="00882C68"/>
    <w:rsid w:val="00884077"/>
    <w:rsid w:val="008841BF"/>
    <w:rsid w:val="00884815"/>
    <w:rsid w:val="00885A29"/>
    <w:rsid w:val="008872F7"/>
    <w:rsid w:val="00894606"/>
    <w:rsid w:val="00896409"/>
    <w:rsid w:val="00896CB6"/>
    <w:rsid w:val="008978E7"/>
    <w:rsid w:val="008A06AF"/>
    <w:rsid w:val="008A18EA"/>
    <w:rsid w:val="008A1ADF"/>
    <w:rsid w:val="008A2A60"/>
    <w:rsid w:val="008A3793"/>
    <w:rsid w:val="008A3D67"/>
    <w:rsid w:val="008A5331"/>
    <w:rsid w:val="008A67BA"/>
    <w:rsid w:val="008A6CE6"/>
    <w:rsid w:val="008A6E78"/>
    <w:rsid w:val="008A6F41"/>
    <w:rsid w:val="008A6F99"/>
    <w:rsid w:val="008A77DB"/>
    <w:rsid w:val="008B28F6"/>
    <w:rsid w:val="008B2A27"/>
    <w:rsid w:val="008B3231"/>
    <w:rsid w:val="008B3AC2"/>
    <w:rsid w:val="008B63B1"/>
    <w:rsid w:val="008B7104"/>
    <w:rsid w:val="008B735E"/>
    <w:rsid w:val="008B7A84"/>
    <w:rsid w:val="008B7BD5"/>
    <w:rsid w:val="008C1F26"/>
    <w:rsid w:val="008C3AD6"/>
    <w:rsid w:val="008C3C24"/>
    <w:rsid w:val="008C4A08"/>
    <w:rsid w:val="008C515B"/>
    <w:rsid w:val="008C6B2F"/>
    <w:rsid w:val="008C7427"/>
    <w:rsid w:val="008D06C9"/>
    <w:rsid w:val="008D0A1B"/>
    <w:rsid w:val="008D0D0F"/>
    <w:rsid w:val="008D1632"/>
    <w:rsid w:val="008D212F"/>
    <w:rsid w:val="008D223E"/>
    <w:rsid w:val="008D29B5"/>
    <w:rsid w:val="008D2B0D"/>
    <w:rsid w:val="008D2E56"/>
    <w:rsid w:val="008D5546"/>
    <w:rsid w:val="008D57DF"/>
    <w:rsid w:val="008D6D9A"/>
    <w:rsid w:val="008D6EE8"/>
    <w:rsid w:val="008E2985"/>
    <w:rsid w:val="008E32C8"/>
    <w:rsid w:val="008E4ECA"/>
    <w:rsid w:val="008E519F"/>
    <w:rsid w:val="008E5916"/>
    <w:rsid w:val="008E5E0B"/>
    <w:rsid w:val="008E6494"/>
    <w:rsid w:val="008E6C63"/>
    <w:rsid w:val="008E7432"/>
    <w:rsid w:val="008E784F"/>
    <w:rsid w:val="008F01F8"/>
    <w:rsid w:val="008F1485"/>
    <w:rsid w:val="008F22EB"/>
    <w:rsid w:val="008F3353"/>
    <w:rsid w:val="008F4095"/>
    <w:rsid w:val="008F6324"/>
    <w:rsid w:val="008F66E3"/>
    <w:rsid w:val="008F693F"/>
    <w:rsid w:val="008F6CCE"/>
    <w:rsid w:val="008F70B4"/>
    <w:rsid w:val="009002C4"/>
    <w:rsid w:val="00901B9D"/>
    <w:rsid w:val="00903824"/>
    <w:rsid w:val="009043DE"/>
    <w:rsid w:val="009044AF"/>
    <w:rsid w:val="00904F75"/>
    <w:rsid w:val="00905C46"/>
    <w:rsid w:val="00905C68"/>
    <w:rsid w:val="00905CEF"/>
    <w:rsid w:val="00905DB1"/>
    <w:rsid w:val="0091031A"/>
    <w:rsid w:val="00910928"/>
    <w:rsid w:val="00910C7B"/>
    <w:rsid w:val="00912644"/>
    <w:rsid w:val="00915718"/>
    <w:rsid w:val="00915ADE"/>
    <w:rsid w:val="00917217"/>
    <w:rsid w:val="00917B4B"/>
    <w:rsid w:val="00920029"/>
    <w:rsid w:val="00920274"/>
    <w:rsid w:val="00920419"/>
    <w:rsid w:val="0092170A"/>
    <w:rsid w:val="00921710"/>
    <w:rsid w:val="0092198D"/>
    <w:rsid w:val="00921F8B"/>
    <w:rsid w:val="0092231C"/>
    <w:rsid w:val="0092256E"/>
    <w:rsid w:val="00922B84"/>
    <w:rsid w:val="00923051"/>
    <w:rsid w:val="00923844"/>
    <w:rsid w:val="0092507B"/>
    <w:rsid w:val="0092604A"/>
    <w:rsid w:val="00930A0D"/>
    <w:rsid w:val="00931A20"/>
    <w:rsid w:val="00931CD5"/>
    <w:rsid w:val="00931D70"/>
    <w:rsid w:val="00932ABB"/>
    <w:rsid w:val="009370F1"/>
    <w:rsid w:val="00940502"/>
    <w:rsid w:val="0094060E"/>
    <w:rsid w:val="009420CC"/>
    <w:rsid w:val="009429DE"/>
    <w:rsid w:val="009450E9"/>
    <w:rsid w:val="0094588D"/>
    <w:rsid w:val="00945CD7"/>
    <w:rsid w:val="00946B3F"/>
    <w:rsid w:val="00951135"/>
    <w:rsid w:val="00951F79"/>
    <w:rsid w:val="009523C5"/>
    <w:rsid w:val="00952426"/>
    <w:rsid w:val="009525A1"/>
    <w:rsid w:val="00952645"/>
    <w:rsid w:val="00952A1D"/>
    <w:rsid w:val="00952F09"/>
    <w:rsid w:val="00953134"/>
    <w:rsid w:val="00954236"/>
    <w:rsid w:val="00954519"/>
    <w:rsid w:val="00955F66"/>
    <w:rsid w:val="009569E4"/>
    <w:rsid w:val="00956BD7"/>
    <w:rsid w:val="009572D2"/>
    <w:rsid w:val="0095763C"/>
    <w:rsid w:val="00957FBA"/>
    <w:rsid w:val="00960B04"/>
    <w:rsid w:val="009610E8"/>
    <w:rsid w:val="00962C51"/>
    <w:rsid w:val="009676C7"/>
    <w:rsid w:val="00967D2B"/>
    <w:rsid w:val="0097262E"/>
    <w:rsid w:val="00972999"/>
    <w:rsid w:val="00972F8D"/>
    <w:rsid w:val="00975DAB"/>
    <w:rsid w:val="0097749D"/>
    <w:rsid w:val="00977ED9"/>
    <w:rsid w:val="00980658"/>
    <w:rsid w:val="009809E4"/>
    <w:rsid w:val="00980E24"/>
    <w:rsid w:val="00981DC1"/>
    <w:rsid w:val="00982564"/>
    <w:rsid w:val="009827C8"/>
    <w:rsid w:val="009837A8"/>
    <w:rsid w:val="00983B9D"/>
    <w:rsid w:val="00984125"/>
    <w:rsid w:val="00985BEF"/>
    <w:rsid w:val="00985CE5"/>
    <w:rsid w:val="0098739F"/>
    <w:rsid w:val="00990541"/>
    <w:rsid w:val="00990704"/>
    <w:rsid w:val="0099158A"/>
    <w:rsid w:val="00991A91"/>
    <w:rsid w:val="00991BEB"/>
    <w:rsid w:val="00991F1E"/>
    <w:rsid w:val="00992192"/>
    <w:rsid w:val="00993560"/>
    <w:rsid w:val="009937E1"/>
    <w:rsid w:val="00993C9F"/>
    <w:rsid w:val="00994B4D"/>
    <w:rsid w:val="00994C69"/>
    <w:rsid w:val="00994D03"/>
    <w:rsid w:val="00996A75"/>
    <w:rsid w:val="00996F17"/>
    <w:rsid w:val="009A1C5B"/>
    <w:rsid w:val="009A3D24"/>
    <w:rsid w:val="009A610A"/>
    <w:rsid w:val="009A72B0"/>
    <w:rsid w:val="009A7891"/>
    <w:rsid w:val="009A7B50"/>
    <w:rsid w:val="009B18BA"/>
    <w:rsid w:val="009B25AF"/>
    <w:rsid w:val="009B2AC2"/>
    <w:rsid w:val="009B2DE1"/>
    <w:rsid w:val="009B2F86"/>
    <w:rsid w:val="009B4260"/>
    <w:rsid w:val="009B4BCD"/>
    <w:rsid w:val="009B5B8B"/>
    <w:rsid w:val="009B658A"/>
    <w:rsid w:val="009B73F3"/>
    <w:rsid w:val="009B7ADD"/>
    <w:rsid w:val="009C04A4"/>
    <w:rsid w:val="009C0E26"/>
    <w:rsid w:val="009C0F97"/>
    <w:rsid w:val="009C2266"/>
    <w:rsid w:val="009C3938"/>
    <w:rsid w:val="009C4232"/>
    <w:rsid w:val="009C4B52"/>
    <w:rsid w:val="009C636B"/>
    <w:rsid w:val="009C66B0"/>
    <w:rsid w:val="009D14D3"/>
    <w:rsid w:val="009D1798"/>
    <w:rsid w:val="009D1D39"/>
    <w:rsid w:val="009D2F96"/>
    <w:rsid w:val="009D3DE2"/>
    <w:rsid w:val="009D42C1"/>
    <w:rsid w:val="009D47BA"/>
    <w:rsid w:val="009D55C6"/>
    <w:rsid w:val="009D5679"/>
    <w:rsid w:val="009D616F"/>
    <w:rsid w:val="009D66C4"/>
    <w:rsid w:val="009E1D43"/>
    <w:rsid w:val="009E2BB2"/>
    <w:rsid w:val="009E2ED1"/>
    <w:rsid w:val="009E2FEB"/>
    <w:rsid w:val="009E31E9"/>
    <w:rsid w:val="009E33C4"/>
    <w:rsid w:val="009E355A"/>
    <w:rsid w:val="009E39CE"/>
    <w:rsid w:val="009E5E8B"/>
    <w:rsid w:val="009E7ED7"/>
    <w:rsid w:val="009F02F9"/>
    <w:rsid w:val="009F04AC"/>
    <w:rsid w:val="009F06AC"/>
    <w:rsid w:val="009F0B82"/>
    <w:rsid w:val="009F226D"/>
    <w:rsid w:val="009F3112"/>
    <w:rsid w:val="009F4BBB"/>
    <w:rsid w:val="009F5583"/>
    <w:rsid w:val="009F65BD"/>
    <w:rsid w:val="009F6F64"/>
    <w:rsid w:val="009F7297"/>
    <w:rsid w:val="009F7C77"/>
    <w:rsid w:val="00A006C7"/>
    <w:rsid w:val="00A04A4B"/>
    <w:rsid w:val="00A06816"/>
    <w:rsid w:val="00A073EE"/>
    <w:rsid w:val="00A07DAA"/>
    <w:rsid w:val="00A14C07"/>
    <w:rsid w:val="00A17847"/>
    <w:rsid w:val="00A201F6"/>
    <w:rsid w:val="00A21224"/>
    <w:rsid w:val="00A21958"/>
    <w:rsid w:val="00A21E2A"/>
    <w:rsid w:val="00A23CCA"/>
    <w:rsid w:val="00A24293"/>
    <w:rsid w:val="00A24C65"/>
    <w:rsid w:val="00A2509D"/>
    <w:rsid w:val="00A2589D"/>
    <w:rsid w:val="00A25F49"/>
    <w:rsid w:val="00A2704F"/>
    <w:rsid w:val="00A304C8"/>
    <w:rsid w:val="00A31987"/>
    <w:rsid w:val="00A32262"/>
    <w:rsid w:val="00A323E1"/>
    <w:rsid w:val="00A327F6"/>
    <w:rsid w:val="00A3423B"/>
    <w:rsid w:val="00A342B7"/>
    <w:rsid w:val="00A34B3D"/>
    <w:rsid w:val="00A3510D"/>
    <w:rsid w:val="00A3551F"/>
    <w:rsid w:val="00A35A8D"/>
    <w:rsid w:val="00A35C42"/>
    <w:rsid w:val="00A3649B"/>
    <w:rsid w:val="00A36829"/>
    <w:rsid w:val="00A40036"/>
    <w:rsid w:val="00A40189"/>
    <w:rsid w:val="00A41364"/>
    <w:rsid w:val="00A41BA3"/>
    <w:rsid w:val="00A433A6"/>
    <w:rsid w:val="00A443E6"/>
    <w:rsid w:val="00A44EAC"/>
    <w:rsid w:val="00A46C5F"/>
    <w:rsid w:val="00A5120C"/>
    <w:rsid w:val="00A51BFF"/>
    <w:rsid w:val="00A521DC"/>
    <w:rsid w:val="00A52866"/>
    <w:rsid w:val="00A54797"/>
    <w:rsid w:val="00A54BBD"/>
    <w:rsid w:val="00A554FA"/>
    <w:rsid w:val="00A55B60"/>
    <w:rsid w:val="00A55E59"/>
    <w:rsid w:val="00A56B72"/>
    <w:rsid w:val="00A57963"/>
    <w:rsid w:val="00A608CB"/>
    <w:rsid w:val="00A60C65"/>
    <w:rsid w:val="00A62A26"/>
    <w:rsid w:val="00A63031"/>
    <w:rsid w:val="00A64D0C"/>
    <w:rsid w:val="00A662E3"/>
    <w:rsid w:val="00A706A2"/>
    <w:rsid w:val="00A7108C"/>
    <w:rsid w:val="00A71840"/>
    <w:rsid w:val="00A7234E"/>
    <w:rsid w:val="00A729B0"/>
    <w:rsid w:val="00A72B03"/>
    <w:rsid w:val="00A7458B"/>
    <w:rsid w:val="00A75700"/>
    <w:rsid w:val="00A7583F"/>
    <w:rsid w:val="00A7787D"/>
    <w:rsid w:val="00A7793B"/>
    <w:rsid w:val="00A77F9F"/>
    <w:rsid w:val="00A80AB8"/>
    <w:rsid w:val="00A81559"/>
    <w:rsid w:val="00A816E2"/>
    <w:rsid w:val="00A817D1"/>
    <w:rsid w:val="00A82F0E"/>
    <w:rsid w:val="00A83C08"/>
    <w:rsid w:val="00A843C9"/>
    <w:rsid w:val="00A84E10"/>
    <w:rsid w:val="00A86521"/>
    <w:rsid w:val="00A865D5"/>
    <w:rsid w:val="00A866B7"/>
    <w:rsid w:val="00A87C4F"/>
    <w:rsid w:val="00A90ACF"/>
    <w:rsid w:val="00A9136E"/>
    <w:rsid w:val="00A92BB8"/>
    <w:rsid w:val="00A930AE"/>
    <w:rsid w:val="00A935E7"/>
    <w:rsid w:val="00A9466B"/>
    <w:rsid w:val="00A96844"/>
    <w:rsid w:val="00A969E6"/>
    <w:rsid w:val="00A97DD5"/>
    <w:rsid w:val="00AA1190"/>
    <w:rsid w:val="00AA1E3A"/>
    <w:rsid w:val="00AA23D4"/>
    <w:rsid w:val="00AA2807"/>
    <w:rsid w:val="00AA2A9B"/>
    <w:rsid w:val="00AA35D3"/>
    <w:rsid w:val="00AA4078"/>
    <w:rsid w:val="00AA44AC"/>
    <w:rsid w:val="00AA5C3A"/>
    <w:rsid w:val="00AA79E4"/>
    <w:rsid w:val="00AA7B5B"/>
    <w:rsid w:val="00AA7B78"/>
    <w:rsid w:val="00AB0430"/>
    <w:rsid w:val="00AB110C"/>
    <w:rsid w:val="00AB2360"/>
    <w:rsid w:val="00AB30B1"/>
    <w:rsid w:val="00AB48E8"/>
    <w:rsid w:val="00AB6148"/>
    <w:rsid w:val="00AB67FA"/>
    <w:rsid w:val="00AB6F00"/>
    <w:rsid w:val="00AB75AB"/>
    <w:rsid w:val="00AC067B"/>
    <w:rsid w:val="00AC099B"/>
    <w:rsid w:val="00AC1FC5"/>
    <w:rsid w:val="00AC33E0"/>
    <w:rsid w:val="00AC3F35"/>
    <w:rsid w:val="00AC3FEC"/>
    <w:rsid w:val="00AC6A72"/>
    <w:rsid w:val="00AC6DA2"/>
    <w:rsid w:val="00AC705F"/>
    <w:rsid w:val="00AD006A"/>
    <w:rsid w:val="00AD03BC"/>
    <w:rsid w:val="00AD0F4A"/>
    <w:rsid w:val="00AD1A3B"/>
    <w:rsid w:val="00AD26D0"/>
    <w:rsid w:val="00AD41D2"/>
    <w:rsid w:val="00AD4CB2"/>
    <w:rsid w:val="00AD526E"/>
    <w:rsid w:val="00AD6406"/>
    <w:rsid w:val="00AD70BE"/>
    <w:rsid w:val="00AE0291"/>
    <w:rsid w:val="00AE09CE"/>
    <w:rsid w:val="00AE142F"/>
    <w:rsid w:val="00AE1B4D"/>
    <w:rsid w:val="00AE2372"/>
    <w:rsid w:val="00AE2566"/>
    <w:rsid w:val="00AE26AA"/>
    <w:rsid w:val="00AE6178"/>
    <w:rsid w:val="00AE6D9E"/>
    <w:rsid w:val="00AF057A"/>
    <w:rsid w:val="00AF3959"/>
    <w:rsid w:val="00AF3AB4"/>
    <w:rsid w:val="00AF3C89"/>
    <w:rsid w:val="00AF4A98"/>
    <w:rsid w:val="00AF74C1"/>
    <w:rsid w:val="00AF79EF"/>
    <w:rsid w:val="00B00939"/>
    <w:rsid w:val="00B0224F"/>
    <w:rsid w:val="00B05AC9"/>
    <w:rsid w:val="00B05B59"/>
    <w:rsid w:val="00B05DD0"/>
    <w:rsid w:val="00B060AF"/>
    <w:rsid w:val="00B07871"/>
    <w:rsid w:val="00B078B1"/>
    <w:rsid w:val="00B07BA2"/>
    <w:rsid w:val="00B10404"/>
    <w:rsid w:val="00B11A1D"/>
    <w:rsid w:val="00B11AA6"/>
    <w:rsid w:val="00B11EF4"/>
    <w:rsid w:val="00B12A91"/>
    <w:rsid w:val="00B148FE"/>
    <w:rsid w:val="00B16979"/>
    <w:rsid w:val="00B16C16"/>
    <w:rsid w:val="00B1728E"/>
    <w:rsid w:val="00B1792E"/>
    <w:rsid w:val="00B2150A"/>
    <w:rsid w:val="00B23094"/>
    <w:rsid w:val="00B230DF"/>
    <w:rsid w:val="00B231FD"/>
    <w:rsid w:val="00B2373B"/>
    <w:rsid w:val="00B238C2"/>
    <w:rsid w:val="00B2414B"/>
    <w:rsid w:val="00B2496F"/>
    <w:rsid w:val="00B24EE1"/>
    <w:rsid w:val="00B30F4D"/>
    <w:rsid w:val="00B3223C"/>
    <w:rsid w:val="00B3331C"/>
    <w:rsid w:val="00B337DE"/>
    <w:rsid w:val="00B3498A"/>
    <w:rsid w:val="00B3567B"/>
    <w:rsid w:val="00B35BF1"/>
    <w:rsid w:val="00B376B2"/>
    <w:rsid w:val="00B37FE6"/>
    <w:rsid w:val="00B425DF"/>
    <w:rsid w:val="00B43E27"/>
    <w:rsid w:val="00B4553D"/>
    <w:rsid w:val="00B45BA0"/>
    <w:rsid w:val="00B463E0"/>
    <w:rsid w:val="00B47351"/>
    <w:rsid w:val="00B47A21"/>
    <w:rsid w:val="00B50456"/>
    <w:rsid w:val="00B50BF0"/>
    <w:rsid w:val="00B527E6"/>
    <w:rsid w:val="00B5354C"/>
    <w:rsid w:val="00B537B6"/>
    <w:rsid w:val="00B5482A"/>
    <w:rsid w:val="00B54AD5"/>
    <w:rsid w:val="00B55745"/>
    <w:rsid w:val="00B55CD5"/>
    <w:rsid w:val="00B55EAE"/>
    <w:rsid w:val="00B560A9"/>
    <w:rsid w:val="00B56204"/>
    <w:rsid w:val="00B61D05"/>
    <w:rsid w:val="00B620F0"/>
    <w:rsid w:val="00B621FB"/>
    <w:rsid w:val="00B62D2D"/>
    <w:rsid w:val="00B62EFB"/>
    <w:rsid w:val="00B63992"/>
    <w:rsid w:val="00B63B3F"/>
    <w:rsid w:val="00B64752"/>
    <w:rsid w:val="00B64BE1"/>
    <w:rsid w:val="00B65D7B"/>
    <w:rsid w:val="00B65F9D"/>
    <w:rsid w:val="00B67631"/>
    <w:rsid w:val="00B676CF"/>
    <w:rsid w:val="00B67872"/>
    <w:rsid w:val="00B72825"/>
    <w:rsid w:val="00B72A1B"/>
    <w:rsid w:val="00B72A89"/>
    <w:rsid w:val="00B72ABE"/>
    <w:rsid w:val="00B72D14"/>
    <w:rsid w:val="00B73C92"/>
    <w:rsid w:val="00B7404D"/>
    <w:rsid w:val="00B74DD4"/>
    <w:rsid w:val="00B754CF"/>
    <w:rsid w:val="00B76D51"/>
    <w:rsid w:val="00B80790"/>
    <w:rsid w:val="00B80D24"/>
    <w:rsid w:val="00B8363E"/>
    <w:rsid w:val="00B84A10"/>
    <w:rsid w:val="00B85735"/>
    <w:rsid w:val="00B85CE5"/>
    <w:rsid w:val="00B90784"/>
    <w:rsid w:val="00B92476"/>
    <w:rsid w:val="00B93104"/>
    <w:rsid w:val="00B93C0F"/>
    <w:rsid w:val="00B94A43"/>
    <w:rsid w:val="00B95324"/>
    <w:rsid w:val="00B953D5"/>
    <w:rsid w:val="00B9580F"/>
    <w:rsid w:val="00B9607F"/>
    <w:rsid w:val="00B96A16"/>
    <w:rsid w:val="00B96B80"/>
    <w:rsid w:val="00B97705"/>
    <w:rsid w:val="00B97BB9"/>
    <w:rsid w:val="00BA0629"/>
    <w:rsid w:val="00BA08EC"/>
    <w:rsid w:val="00BA1604"/>
    <w:rsid w:val="00BA1A8D"/>
    <w:rsid w:val="00BA1C3B"/>
    <w:rsid w:val="00BA1EFD"/>
    <w:rsid w:val="00BA34AC"/>
    <w:rsid w:val="00BA5CC6"/>
    <w:rsid w:val="00BA6B30"/>
    <w:rsid w:val="00BB3B8F"/>
    <w:rsid w:val="00BB6E46"/>
    <w:rsid w:val="00BC0ACC"/>
    <w:rsid w:val="00BC0AD6"/>
    <w:rsid w:val="00BC378A"/>
    <w:rsid w:val="00BC523D"/>
    <w:rsid w:val="00BC5627"/>
    <w:rsid w:val="00BC5B2C"/>
    <w:rsid w:val="00BC5E37"/>
    <w:rsid w:val="00BC795A"/>
    <w:rsid w:val="00BC7A94"/>
    <w:rsid w:val="00BC7AFB"/>
    <w:rsid w:val="00BD00C2"/>
    <w:rsid w:val="00BD0639"/>
    <w:rsid w:val="00BD0BEE"/>
    <w:rsid w:val="00BD1991"/>
    <w:rsid w:val="00BD2D4D"/>
    <w:rsid w:val="00BD2DE2"/>
    <w:rsid w:val="00BD3DC7"/>
    <w:rsid w:val="00BD44C0"/>
    <w:rsid w:val="00BD5AAC"/>
    <w:rsid w:val="00BD5BE9"/>
    <w:rsid w:val="00BD6B32"/>
    <w:rsid w:val="00BD779A"/>
    <w:rsid w:val="00BD7891"/>
    <w:rsid w:val="00BE0F97"/>
    <w:rsid w:val="00BE13A2"/>
    <w:rsid w:val="00BE1427"/>
    <w:rsid w:val="00BE3E20"/>
    <w:rsid w:val="00BE3F5E"/>
    <w:rsid w:val="00BE4658"/>
    <w:rsid w:val="00BE481F"/>
    <w:rsid w:val="00BE4942"/>
    <w:rsid w:val="00BE4FB5"/>
    <w:rsid w:val="00BE6899"/>
    <w:rsid w:val="00BE7497"/>
    <w:rsid w:val="00BF0799"/>
    <w:rsid w:val="00BF100D"/>
    <w:rsid w:val="00BF147A"/>
    <w:rsid w:val="00BF1836"/>
    <w:rsid w:val="00BF2D8E"/>
    <w:rsid w:val="00BF38EB"/>
    <w:rsid w:val="00BF41FF"/>
    <w:rsid w:val="00BF5014"/>
    <w:rsid w:val="00BF5468"/>
    <w:rsid w:val="00BF5F50"/>
    <w:rsid w:val="00BF6654"/>
    <w:rsid w:val="00C01934"/>
    <w:rsid w:val="00C01BEC"/>
    <w:rsid w:val="00C02973"/>
    <w:rsid w:val="00C02F10"/>
    <w:rsid w:val="00C05A7E"/>
    <w:rsid w:val="00C06574"/>
    <w:rsid w:val="00C07BA9"/>
    <w:rsid w:val="00C106DC"/>
    <w:rsid w:val="00C10D09"/>
    <w:rsid w:val="00C12564"/>
    <w:rsid w:val="00C12BCC"/>
    <w:rsid w:val="00C13E9A"/>
    <w:rsid w:val="00C13F5F"/>
    <w:rsid w:val="00C13F8D"/>
    <w:rsid w:val="00C14135"/>
    <w:rsid w:val="00C15A6F"/>
    <w:rsid w:val="00C15B74"/>
    <w:rsid w:val="00C1680C"/>
    <w:rsid w:val="00C1698E"/>
    <w:rsid w:val="00C21CE4"/>
    <w:rsid w:val="00C23DC8"/>
    <w:rsid w:val="00C2410C"/>
    <w:rsid w:val="00C25752"/>
    <w:rsid w:val="00C261FB"/>
    <w:rsid w:val="00C26315"/>
    <w:rsid w:val="00C26A2B"/>
    <w:rsid w:val="00C26DBE"/>
    <w:rsid w:val="00C27FE2"/>
    <w:rsid w:val="00C311D8"/>
    <w:rsid w:val="00C31D2D"/>
    <w:rsid w:val="00C329F2"/>
    <w:rsid w:val="00C3366A"/>
    <w:rsid w:val="00C33993"/>
    <w:rsid w:val="00C34980"/>
    <w:rsid w:val="00C34BA2"/>
    <w:rsid w:val="00C34E42"/>
    <w:rsid w:val="00C34F7C"/>
    <w:rsid w:val="00C3547D"/>
    <w:rsid w:val="00C358EC"/>
    <w:rsid w:val="00C371EF"/>
    <w:rsid w:val="00C37650"/>
    <w:rsid w:val="00C37D9C"/>
    <w:rsid w:val="00C40F0C"/>
    <w:rsid w:val="00C41FE4"/>
    <w:rsid w:val="00C422EE"/>
    <w:rsid w:val="00C4249F"/>
    <w:rsid w:val="00C430F2"/>
    <w:rsid w:val="00C439DF"/>
    <w:rsid w:val="00C43C78"/>
    <w:rsid w:val="00C440CB"/>
    <w:rsid w:val="00C46A10"/>
    <w:rsid w:val="00C46C2E"/>
    <w:rsid w:val="00C46D7A"/>
    <w:rsid w:val="00C47288"/>
    <w:rsid w:val="00C474D1"/>
    <w:rsid w:val="00C4760E"/>
    <w:rsid w:val="00C47C4D"/>
    <w:rsid w:val="00C51B63"/>
    <w:rsid w:val="00C52230"/>
    <w:rsid w:val="00C52C9F"/>
    <w:rsid w:val="00C5317C"/>
    <w:rsid w:val="00C540F5"/>
    <w:rsid w:val="00C54864"/>
    <w:rsid w:val="00C5498E"/>
    <w:rsid w:val="00C55FAD"/>
    <w:rsid w:val="00C5612F"/>
    <w:rsid w:val="00C562C0"/>
    <w:rsid w:val="00C56603"/>
    <w:rsid w:val="00C6065D"/>
    <w:rsid w:val="00C60DCB"/>
    <w:rsid w:val="00C60F73"/>
    <w:rsid w:val="00C641FA"/>
    <w:rsid w:val="00C64269"/>
    <w:rsid w:val="00C644E2"/>
    <w:rsid w:val="00C64589"/>
    <w:rsid w:val="00C64D7B"/>
    <w:rsid w:val="00C6510E"/>
    <w:rsid w:val="00C6518D"/>
    <w:rsid w:val="00C67D77"/>
    <w:rsid w:val="00C67F0E"/>
    <w:rsid w:val="00C70064"/>
    <w:rsid w:val="00C70DEB"/>
    <w:rsid w:val="00C72604"/>
    <w:rsid w:val="00C72DFE"/>
    <w:rsid w:val="00C7346D"/>
    <w:rsid w:val="00C73EA7"/>
    <w:rsid w:val="00C8081A"/>
    <w:rsid w:val="00C80BC2"/>
    <w:rsid w:val="00C81017"/>
    <w:rsid w:val="00C810AC"/>
    <w:rsid w:val="00C810C3"/>
    <w:rsid w:val="00C81A4B"/>
    <w:rsid w:val="00C83686"/>
    <w:rsid w:val="00C849EE"/>
    <w:rsid w:val="00C86A76"/>
    <w:rsid w:val="00C90F9E"/>
    <w:rsid w:val="00C91D9F"/>
    <w:rsid w:val="00C925D2"/>
    <w:rsid w:val="00C93B68"/>
    <w:rsid w:val="00C93DA5"/>
    <w:rsid w:val="00C93ED7"/>
    <w:rsid w:val="00C9409A"/>
    <w:rsid w:val="00C9486F"/>
    <w:rsid w:val="00C95F16"/>
    <w:rsid w:val="00C96BFB"/>
    <w:rsid w:val="00CA17A3"/>
    <w:rsid w:val="00CA1E81"/>
    <w:rsid w:val="00CA3C3C"/>
    <w:rsid w:val="00CA5907"/>
    <w:rsid w:val="00CA5F30"/>
    <w:rsid w:val="00CA6472"/>
    <w:rsid w:val="00CA6DBC"/>
    <w:rsid w:val="00CB0850"/>
    <w:rsid w:val="00CB1F09"/>
    <w:rsid w:val="00CB24D6"/>
    <w:rsid w:val="00CB3429"/>
    <w:rsid w:val="00CB3515"/>
    <w:rsid w:val="00CB4567"/>
    <w:rsid w:val="00CB5001"/>
    <w:rsid w:val="00CB61AD"/>
    <w:rsid w:val="00CB65C6"/>
    <w:rsid w:val="00CB7BE7"/>
    <w:rsid w:val="00CC012B"/>
    <w:rsid w:val="00CC11E7"/>
    <w:rsid w:val="00CC146E"/>
    <w:rsid w:val="00CC1C01"/>
    <w:rsid w:val="00CC209B"/>
    <w:rsid w:val="00CC4E20"/>
    <w:rsid w:val="00CC5C5D"/>
    <w:rsid w:val="00CC5E31"/>
    <w:rsid w:val="00CC73A3"/>
    <w:rsid w:val="00CD12A5"/>
    <w:rsid w:val="00CD2040"/>
    <w:rsid w:val="00CD2361"/>
    <w:rsid w:val="00CD3806"/>
    <w:rsid w:val="00CD3CB6"/>
    <w:rsid w:val="00CD45CF"/>
    <w:rsid w:val="00CD4F89"/>
    <w:rsid w:val="00CD55F2"/>
    <w:rsid w:val="00CD5A35"/>
    <w:rsid w:val="00CD68A2"/>
    <w:rsid w:val="00CD76A6"/>
    <w:rsid w:val="00CD7994"/>
    <w:rsid w:val="00CD7BE6"/>
    <w:rsid w:val="00CD7DE3"/>
    <w:rsid w:val="00CE003A"/>
    <w:rsid w:val="00CE0667"/>
    <w:rsid w:val="00CE09B2"/>
    <w:rsid w:val="00CE0EE7"/>
    <w:rsid w:val="00CE161C"/>
    <w:rsid w:val="00CE18F8"/>
    <w:rsid w:val="00CE19D8"/>
    <w:rsid w:val="00CE2D63"/>
    <w:rsid w:val="00CE34F0"/>
    <w:rsid w:val="00CE5F01"/>
    <w:rsid w:val="00CE694E"/>
    <w:rsid w:val="00CE6A6C"/>
    <w:rsid w:val="00CE7D1E"/>
    <w:rsid w:val="00CF0057"/>
    <w:rsid w:val="00CF0495"/>
    <w:rsid w:val="00CF0F14"/>
    <w:rsid w:val="00CF266D"/>
    <w:rsid w:val="00CF316A"/>
    <w:rsid w:val="00CF3854"/>
    <w:rsid w:val="00CF408F"/>
    <w:rsid w:val="00CF44B4"/>
    <w:rsid w:val="00CF48CE"/>
    <w:rsid w:val="00CF48F4"/>
    <w:rsid w:val="00CF671E"/>
    <w:rsid w:val="00CF6D58"/>
    <w:rsid w:val="00CF6FB3"/>
    <w:rsid w:val="00CF72EF"/>
    <w:rsid w:val="00CF7F3D"/>
    <w:rsid w:val="00D00025"/>
    <w:rsid w:val="00D0038D"/>
    <w:rsid w:val="00D01A2F"/>
    <w:rsid w:val="00D035B4"/>
    <w:rsid w:val="00D03E7E"/>
    <w:rsid w:val="00D0461B"/>
    <w:rsid w:val="00D05653"/>
    <w:rsid w:val="00D06542"/>
    <w:rsid w:val="00D10D8D"/>
    <w:rsid w:val="00D11146"/>
    <w:rsid w:val="00D114EA"/>
    <w:rsid w:val="00D134B5"/>
    <w:rsid w:val="00D13BF2"/>
    <w:rsid w:val="00D14F1F"/>
    <w:rsid w:val="00D2024C"/>
    <w:rsid w:val="00D205EA"/>
    <w:rsid w:val="00D22118"/>
    <w:rsid w:val="00D221C4"/>
    <w:rsid w:val="00D224DA"/>
    <w:rsid w:val="00D22A10"/>
    <w:rsid w:val="00D22F5D"/>
    <w:rsid w:val="00D2343C"/>
    <w:rsid w:val="00D23A3E"/>
    <w:rsid w:val="00D25366"/>
    <w:rsid w:val="00D273E9"/>
    <w:rsid w:val="00D313D8"/>
    <w:rsid w:val="00D3140D"/>
    <w:rsid w:val="00D3217A"/>
    <w:rsid w:val="00D32C63"/>
    <w:rsid w:val="00D341BE"/>
    <w:rsid w:val="00D35DDA"/>
    <w:rsid w:val="00D37268"/>
    <w:rsid w:val="00D37940"/>
    <w:rsid w:val="00D40DEB"/>
    <w:rsid w:val="00D41156"/>
    <w:rsid w:val="00D4132F"/>
    <w:rsid w:val="00D42561"/>
    <w:rsid w:val="00D427C1"/>
    <w:rsid w:val="00D42C55"/>
    <w:rsid w:val="00D45E2D"/>
    <w:rsid w:val="00D50E1F"/>
    <w:rsid w:val="00D5159F"/>
    <w:rsid w:val="00D51BEF"/>
    <w:rsid w:val="00D53793"/>
    <w:rsid w:val="00D53C11"/>
    <w:rsid w:val="00D54A97"/>
    <w:rsid w:val="00D5510E"/>
    <w:rsid w:val="00D60156"/>
    <w:rsid w:val="00D614E8"/>
    <w:rsid w:val="00D61D3F"/>
    <w:rsid w:val="00D62B51"/>
    <w:rsid w:val="00D6340D"/>
    <w:rsid w:val="00D63A73"/>
    <w:rsid w:val="00D640BA"/>
    <w:rsid w:val="00D67957"/>
    <w:rsid w:val="00D70EB7"/>
    <w:rsid w:val="00D72AA8"/>
    <w:rsid w:val="00D73033"/>
    <w:rsid w:val="00D742F9"/>
    <w:rsid w:val="00D761EE"/>
    <w:rsid w:val="00D772F5"/>
    <w:rsid w:val="00D777D9"/>
    <w:rsid w:val="00D813B9"/>
    <w:rsid w:val="00D81A26"/>
    <w:rsid w:val="00D8228A"/>
    <w:rsid w:val="00D860BB"/>
    <w:rsid w:val="00D869B5"/>
    <w:rsid w:val="00D872AD"/>
    <w:rsid w:val="00D87E90"/>
    <w:rsid w:val="00D900D2"/>
    <w:rsid w:val="00D90825"/>
    <w:rsid w:val="00D9146F"/>
    <w:rsid w:val="00D919FD"/>
    <w:rsid w:val="00D91E51"/>
    <w:rsid w:val="00D92925"/>
    <w:rsid w:val="00D92A83"/>
    <w:rsid w:val="00D933E3"/>
    <w:rsid w:val="00D9415B"/>
    <w:rsid w:val="00D97068"/>
    <w:rsid w:val="00D9748B"/>
    <w:rsid w:val="00D97998"/>
    <w:rsid w:val="00DA54E6"/>
    <w:rsid w:val="00DA5BEA"/>
    <w:rsid w:val="00DA6CFF"/>
    <w:rsid w:val="00DB0DF6"/>
    <w:rsid w:val="00DB1C9D"/>
    <w:rsid w:val="00DB4526"/>
    <w:rsid w:val="00DB4A07"/>
    <w:rsid w:val="00DB4E93"/>
    <w:rsid w:val="00DB5083"/>
    <w:rsid w:val="00DB51B5"/>
    <w:rsid w:val="00DB6133"/>
    <w:rsid w:val="00DB72CA"/>
    <w:rsid w:val="00DB76F3"/>
    <w:rsid w:val="00DB7B18"/>
    <w:rsid w:val="00DB7DB3"/>
    <w:rsid w:val="00DC0662"/>
    <w:rsid w:val="00DC1F82"/>
    <w:rsid w:val="00DC2465"/>
    <w:rsid w:val="00DC303A"/>
    <w:rsid w:val="00DC32C2"/>
    <w:rsid w:val="00DC65CD"/>
    <w:rsid w:val="00DD02AE"/>
    <w:rsid w:val="00DD0CA8"/>
    <w:rsid w:val="00DD0DAF"/>
    <w:rsid w:val="00DD132E"/>
    <w:rsid w:val="00DD1823"/>
    <w:rsid w:val="00DD1A4A"/>
    <w:rsid w:val="00DD40E7"/>
    <w:rsid w:val="00DD45F0"/>
    <w:rsid w:val="00DD4C89"/>
    <w:rsid w:val="00DD4DB0"/>
    <w:rsid w:val="00DD4E3B"/>
    <w:rsid w:val="00DD5B6F"/>
    <w:rsid w:val="00DD60BD"/>
    <w:rsid w:val="00DD69CB"/>
    <w:rsid w:val="00DD6C86"/>
    <w:rsid w:val="00DD7A38"/>
    <w:rsid w:val="00DE27B5"/>
    <w:rsid w:val="00DE292E"/>
    <w:rsid w:val="00DE579E"/>
    <w:rsid w:val="00DE5CD4"/>
    <w:rsid w:val="00DE695B"/>
    <w:rsid w:val="00DE7B02"/>
    <w:rsid w:val="00DF1836"/>
    <w:rsid w:val="00DF1A20"/>
    <w:rsid w:val="00DF2289"/>
    <w:rsid w:val="00DF32BB"/>
    <w:rsid w:val="00DF39D3"/>
    <w:rsid w:val="00DF6C12"/>
    <w:rsid w:val="00E00C83"/>
    <w:rsid w:val="00E01E73"/>
    <w:rsid w:val="00E02058"/>
    <w:rsid w:val="00E024F1"/>
    <w:rsid w:val="00E03F20"/>
    <w:rsid w:val="00E05199"/>
    <w:rsid w:val="00E05E5B"/>
    <w:rsid w:val="00E10954"/>
    <w:rsid w:val="00E10FA7"/>
    <w:rsid w:val="00E117CE"/>
    <w:rsid w:val="00E11BC4"/>
    <w:rsid w:val="00E122BE"/>
    <w:rsid w:val="00E124ED"/>
    <w:rsid w:val="00E1288A"/>
    <w:rsid w:val="00E1598C"/>
    <w:rsid w:val="00E1625A"/>
    <w:rsid w:val="00E201D7"/>
    <w:rsid w:val="00E21445"/>
    <w:rsid w:val="00E21AEF"/>
    <w:rsid w:val="00E2215C"/>
    <w:rsid w:val="00E2228B"/>
    <w:rsid w:val="00E22C0B"/>
    <w:rsid w:val="00E230C8"/>
    <w:rsid w:val="00E2368C"/>
    <w:rsid w:val="00E26C2C"/>
    <w:rsid w:val="00E26FC8"/>
    <w:rsid w:val="00E274AF"/>
    <w:rsid w:val="00E30832"/>
    <w:rsid w:val="00E31414"/>
    <w:rsid w:val="00E31433"/>
    <w:rsid w:val="00E31B03"/>
    <w:rsid w:val="00E31C03"/>
    <w:rsid w:val="00E34527"/>
    <w:rsid w:val="00E347A2"/>
    <w:rsid w:val="00E351A7"/>
    <w:rsid w:val="00E35433"/>
    <w:rsid w:val="00E3552D"/>
    <w:rsid w:val="00E3588F"/>
    <w:rsid w:val="00E3699C"/>
    <w:rsid w:val="00E40CD5"/>
    <w:rsid w:val="00E40ED4"/>
    <w:rsid w:val="00E4186A"/>
    <w:rsid w:val="00E42A39"/>
    <w:rsid w:val="00E42AC8"/>
    <w:rsid w:val="00E430DC"/>
    <w:rsid w:val="00E43D24"/>
    <w:rsid w:val="00E44992"/>
    <w:rsid w:val="00E455EF"/>
    <w:rsid w:val="00E4688A"/>
    <w:rsid w:val="00E4750A"/>
    <w:rsid w:val="00E50A51"/>
    <w:rsid w:val="00E50AF1"/>
    <w:rsid w:val="00E50FBD"/>
    <w:rsid w:val="00E5139D"/>
    <w:rsid w:val="00E51B47"/>
    <w:rsid w:val="00E51FAD"/>
    <w:rsid w:val="00E532A6"/>
    <w:rsid w:val="00E5480D"/>
    <w:rsid w:val="00E55CA3"/>
    <w:rsid w:val="00E55F38"/>
    <w:rsid w:val="00E5678F"/>
    <w:rsid w:val="00E57223"/>
    <w:rsid w:val="00E5761C"/>
    <w:rsid w:val="00E57AC8"/>
    <w:rsid w:val="00E6093D"/>
    <w:rsid w:val="00E60EAA"/>
    <w:rsid w:val="00E622DB"/>
    <w:rsid w:val="00E623AC"/>
    <w:rsid w:val="00E6280F"/>
    <w:rsid w:val="00E62D76"/>
    <w:rsid w:val="00E63042"/>
    <w:rsid w:val="00E63F30"/>
    <w:rsid w:val="00E64BC9"/>
    <w:rsid w:val="00E6531C"/>
    <w:rsid w:val="00E65CDE"/>
    <w:rsid w:val="00E670A5"/>
    <w:rsid w:val="00E674EB"/>
    <w:rsid w:val="00E67CF9"/>
    <w:rsid w:val="00E700D8"/>
    <w:rsid w:val="00E70126"/>
    <w:rsid w:val="00E712AA"/>
    <w:rsid w:val="00E71BB5"/>
    <w:rsid w:val="00E7202A"/>
    <w:rsid w:val="00E73CD8"/>
    <w:rsid w:val="00E73FCE"/>
    <w:rsid w:val="00E7433D"/>
    <w:rsid w:val="00E743E4"/>
    <w:rsid w:val="00E76523"/>
    <w:rsid w:val="00E76DFA"/>
    <w:rsid w:val="00E771A7"/>
    <w:rsid w:val="00E77544"/>
    <w:rsid w:val="00E776C2"/>
    <w:rsid w:val="00E779AC"/>
    <w:rsid w:val="00E77F65"/>
    <w:rsid w:val="00E80A4A"/>
    <w:rsid w:val="00E80D67"/>
    <w:rsid w:val="00E81700"/>
    <w:rsid w:val="00E81F5A"/>
    <w:rsid w:val="00E824D6"/>
    <w:rsid w:val="00E82CE4"/>
    <w:rsid w:val="00E83158"/>
    <w:rsid w:val="00E833D4"/>
    <w:rsid w:val="00E83B24"/>
    <w:rsid w:val="00E846DB"/>
    <w:rsid w:val="00E861BD"/>
    <w:rsid w:val="00E90221"/>
    <w:rsid w:val="00E904C7"/>
    <w:rsid w:val="00E92A3E"/>
    <w:rsid w:val="00E92A84"/>
    <w:rsid w:val="00E93F07"/>
    <w:rsid w:val="00E94750"/>
    <w:rsid w:val="00E951E2"/>
    <w:rsid w:val="00E960DB"/>
    <w:rsid w:val="00E966A6"/>
    <w:rsid w:val="00E96FF2"/>
    <w:rsid w:val="00EA0504"/>
    <w:rsid w:val="00EA0ED4"/>
    <w:rsid w:val="00EA20B0"/>
    <w:rsid w:val="00EA29BE"/>
    <w:rsid w:val="00EA2A11"/>
    <w:rsid w:val="00EA36CE"/>
    <w:rsid w:val="00EA3922"/>
    <w:rsid w:val="00EA392F"/>
    <w:rsid w:val="00EA3DC3"/>
    <w:rsid w:val="00EA3DE1"/>
    <w:rsid w:val="00EA4553"/>
    <w:rsid w:val="00EA5968"/>
    <w:rsid w:val="00EA5CAC"/>
    <w:rsid w:val="00EA5D30"/>
    <w:rsid w:val="00EA7BA4"/>
    <w:rsid w:val="00EA7BC6"/>
    <w:rsid w:val="00EA7F46"/>
    <w:rsid w:val="00EB022C"/>
    <w:rsid w:val="00EB05C3"/>
    <w:rsid w:val="00EB11D7"/>
    <w:rsid w:val="00EB20EF"/>
    <w:rsid w:val="00EB214B"/>
    <w:rsid w:val="00EB2607"/>
    <w:rsid w:val="00EB32F7"/>
    <w:rsid w:val="00EB42CE"/>
    <w:rsid w:val="00EB4A27"/>
    <w:rsid w:val="00EB5017"/>
    <w:rsid w:val="00EB53A0"/>
    <w:rsid w:val="00EB7AF1"/>
    <w:rsid w:val="00EC016D"/>
    <w:rsid w:val="00EC01F3"/>
    <w:rsid w:val="00EC0720"/>
    <w:rsid w:val="00EC3041"/>
    <w:rsid w:val="00EC31A6"/>
    <w:rsid w:val="00EC32D0"/>
    <w:rsid w:val="00EC3963"/>
    <w:rsid w:val="00EC5336"/>
    <w:rsid w:val="00EC672D"/>
    <w:rsid w:val="00ED099F"/>
    <w:rsid w:val="00ED0FE7"/>
    <w:rsid w:val="00ED101C"/>
    <w:rsid w:val="00ED1413"/>
    <w:rsid w:val="00ED15F4"/>
    <w:rsid w:val="00ED26F6"/>
    <w:rsid w:val="00ED3831"/>
    <w:rsid w:val="00ED5185"/>
    <w:rsid w:val="00ED63EE"/>
    <w:rsid w:val="00ED6D05"/>
    <w:rsid w:val="00ED6FF4"/>
    <w:rsid w:val="00ED7175"/>
    <w:rsid w:val="00ED76C1"/>
    <w:rsid w:val="00ED7CE9"/>
    <w:rsid w:val="00EE3E9F"/>
    <w:rsid w:val="00EE4580"/>
    <w:rsid w:val="00EE52CC"/>
    <w:rsid w:val="00EE58A6"/>
    <w:rsid w:val="00EE6A92"/>
    <w:rsid w:val="00EE6C40"/>
    <w:rsid w:val="00EF0511"/>
    <w:rsid w:val="00EF0B04"/>
    <w:rsid w:val="00EF1709"/>
    <w:rsid w:val="00EF1D35"/>
    <w:rsid w:val="00EF2C5A"/>
    <w:rsid w:val="00EF3D4A"/>
    <w:rsid w:val="00EF421F"/>
    <w:rsid w:val="00EF53A1"/>
    <w:rsid w:val="00EF5521"/>
    <w:rsid w:val="00EF692C"/>
    <w:rsid w:val="00EF6EC7"/>
    <w:rsid w:val="00EF7471"/>
    <w:rsid w:val="00EF7504"/>
    <w:rsid w:val="00F0011F"/>
    <w:rsid w:val="00F00CE5"/>
    <w:rsid w:val="00F00EB0"/>
    <w:rsid w:val="00F012AC"/>
    <w:rsid w:val="00F022CA"/>
    <w:rsid w:val="00F034B7"/>
    <w:rsid w:val="00F0410A"/>
    <w:rsid w:val="00F0460E"/>
    <w:rsid w:val="00F05605"/>
    <w:rsid w:val="00F05EAB"/>
    <w:rsid w:val="00F06AAC"/>
    <w:rsid w:val="00F071C5"/>
    <w:rsid w:val="00F07392"/>
    <w:rsid w:val="00F07C1E"/>
    <w:rsid w:val="00F10064"/>
    <w:rsid w:val="00F10491"/>
    <w:rsid w:val="00F10BA3"/>
    <w:rsid w:val="00F10F9F"/>
    <w:rsid w:val="00F1182B"/>
    <w:rsid w:val="00F1386C"/>
    <w:rsid w:val="00F14992"/>
    <w:rsid w:val="00F14AF3"/>
    <w:rsid w:val="00F15930"/>
    <w:rsid w:val="00F168E6"/>
    <w:rsid w:val="00F17876"/>
    <w:rsid w:val="00F17CE3"/>
    <w:rsid w:val="00F20BB0"/>
    <w:rsid w:val="00F215C3"/>
    <w:rsid w:val="00F22268"/>
    <w:rsid w:val="00F23354"/>
    <w:rsid w:val="00F236B8"/>
    <w:rsid w:val="00F24180"/>
    <w:rsid w:val="00F25A2C"/>
    <w:rsid w:val="00F27345"/>
    <w:rsid w:val="00F30420"/>
    <w:rsid w:val="00F30985"/>
    <w:rsid w:val="00F310EB"/>
    <w:rsid w:val="00F31216"/>
    <w:rsid w:val="00F33840"/>
    <w:rsid w:val="00F344BE"/>
    <w:rsid w:val="00F34545"/>
    <w:rsid w:val="00F34A68"/>
    <w:rsid w:val="00F34ACC"/>
    <w:rsid w:val="00F34B59"/>
    <w:rsid w:val="00F3547E"/>
    <w:rsid w:val="00F37727"/>
    <w:rsid w:val="00F37B63"/>
    <w:rsid w:val="00F43893"/>
    <w:rsid w:val="00F438E5"/>
    <w:rsid w:val="00F43F78"/>
    <w:rsid w:val="00F4525E"/>
    <w:rsid w:val="00F45DCB"/>
    <w:rsid w:val="00F468D3"/>
    <w:rsid w:val="00F472C9"/>
    <w:rsid w:val="00F47311"/>
    <w:rsid w:val="00F47D4A"/>
    <w:rsid w:val="00F47FDE"/>
    <w:rsid w:val="00F504ED"/>
    <w:rsid w:val="00F50B5A"/>
    <w:rsid w:val="00F51335"/>
    <w:rsid w:val="00F51450"/>
    <w:rsid w:val="00F5177E"/>
    <w:rsid w:val="00F52A8D"/>
    <w:rsid w:val="00F537DF"/>
    <w:rsid w:val="00F5450D"/>
    <w:rsid w:val="00F54C6B"/>
    <w:rsid w:val="00F559F4"/>
    <w:rsid w:val="00F55B65"/>
    <w:rsid w:val="00F5712E"/>
    <w:rsid w:val="00F57208"/>
    <w:rsid w:val="00F6141F"/>
    <w:rsid w:val="00F61489"/>
    <w:rsid w:val="00F61C90"/>
    <w:rsid w:val="00F61DCF"/>
    <w:rsid w:val="00F622C9"/>
    <w:rsid w:val="00F623EE"/>
    <w:rsid w:val="00F62E9E"/>
    <w:rsid w:val="00F63D88"/>
    <w:rsid w:val="00F63DA8"/>
    <w:rsid w:val="00F64069"/>
    <w:rsid w:val="00F654A5"/>
    <w:rsid w:val="00F6574B"/>
    <w:rsid w:val="00F66EA9"/>
    <w:rsid w:val="00F709E9"/>
    <w:rsid w:val="00F70E7B"/>
    <w:rsid w:val="00F72059"/>
    <w:rsid w:val="00F724C2"/>
    <w:rsid w:val="00F727F8"/>
    <w:rsid w:val="00F740F0"/>
    <w:rsid w:val="00F7460B"/>
    <w:rsid w:val="00F74A1D"/>
    <w:rsid w:val="00F74B66"/>
    <w:rsid w:val="00F800CF"/>
    <w:rsid w:val="00F80C9A"/>
    <w:rsid w:val="00F81102"/>
    <w:rsid w:val="00F818D6"/>
    <w:rsid w:val="00F81961"/>
    <w:rsid w:val="00F81D87"/>
    <w:rsid w:val="00F827B4"/>
    <w:rsid w:val="00F82A92"/>
    <w:rsid w:val="00F83DC2"/>
    <w:rsid w:val="00F86098"/>
    <w:rsid w:val="00F86918"/>
    <w:rsid w:val="00F8735F"/>
    <w:rsid w:val="00F9005D"/>
    <w:rsid w:val="00F90BBB"/>
    <w:rsid w:val="00F91DAE"/>
    <w:rsid w:val="00F91F5B"/>
    <w:rsid w:val="00F923AA"/>
    <w:rsid w:val="00F923C1"/>
    <w:rsid w:val="00F92F4A"/>
    <w:rsid w:val="00F93F1F"/>
    <w:rsid w:val="00F94F31"/>
    <w:rsid w:val="00F952DA"/>
    <w:rsid w:val="00F957D3"/>
    <w:rsid w:val="00F96C30"/>
    <w:rsid w:val="00F97F69"/>
    <w:rsid w:val="00FA0978"/>
    <w:rsid w:val="00FA0A97"/>
    <w:rsid w:val="00FA13BF"/>
    <w:rsid w:val="00FA311E"/>
    <w:rsid w:val="00FA3258"/>
    <w:rsid w:val="00FA3EE5"/>
    <w:rsid w:val="00FA5A61"/>
    <w:rsid w:val="00FA6D20"/>
    <w:rsid w:val="00FB015F"/>
    <w:rsid w:val="00FB072A"/>
    <w:rsid w:val="00FB08FF"/>
    <w:rsid w:val="00FB2553"/>
    <w:rsid w:val="00FB2BDD"/>
    <w:rsid w:val="00FB2C97"/>
    <w:rsid w:val="00FB3182"/>
    <w:rsid w:val="00FB3D66"/>
    <w:rsid w:val="00FB4A98"/>
    <w:rsid w:val="00FB60C4"/>
    <w:rsid w:val="00FB738A"/>
    <w:rsid w:val="00FC0F99"/>
    <w:rsid w:val="00FC0FD8"/>
    <w:rsid w:val="00FC12C1"/>
    <w:rsid w:val="00FC195C"/>
    <w:rsid w:val="00FC26E7"/>
    <w:rsid w:val="00FC28EA"/>
    <w:rsid w:val="00FC3B33"/>
    <w:rsid w:val="00FC3C41"/>
    <w:rsid w:val="00FC4AF4"/>
    <w:rsid w:val="00FC4C7F"/>
    <w:rsid w:val="00FC7A7C"/>
    <w:rsid w:val="00FD232A"/>
    <w:rsid w:val="00FD3CD8"/>
    <w:rsid w:val="00FD4372"/>
    <w:rsid w:val="00FD4D53"/>
    <w:rsid w:val="00FD4E29"/>
    <w:rsid w:val="00FD4E86"/>
    <w:rsid w:val="00FD4F15"/>
    <w:rsid w:val="00FD5AE0"/>
    <w:rsid w:val="00FD6148"/>
    <w:rsid w:val="00FD6532"/>
    <w:rsid w:val="00FD715B"/>
    <w:rsid w:val="00FE088B"/>
    <w:rsid w:val="00FE0964"/>
    <w:rsid w:val="00FE0FB1"/>
    <w:rsid w:val="00FE19D9"/>
    <w:rsid w:val="00FE24E9"/>
    <w:rsid w:val="00FE27BA"/>
    <w:rsid w:val="00FE4E56"/>
    <w:rsid w:val="00FE5975"/>
    <w:rsid w:val="00FE5E86"/>
    <w:rsid w:val="00FE6AF4"/>
    <w:rsid w:val="00FE70EB"/>
    <w:rsid w:val="00FE7F2A"/>
    <w:rsid w:val="00FF004C"/>
    <w:rsid w:val="00FF074D"/>
    <w:rsid w:val="00FF1862"/>
    <w:rsid w:val="00FF220E"/>
    <w:rsid w:val="00FF38CB"/>
    <w:rsid w:val="00FF3F0C"/>
    <w:rsid w:val="00FF4ACB"/>
    <w:rsid w:val="00FF563E"/>
    <w:rsid w:val="00FF5BFD"/>
    <w:rsid w:val="00FF6EF6"/>
    <w:rsid w:val="00FF6F5F"/>
    <w:rsid w:val="00FF7140"/>
    <w:rsid w:val="01360297"/>
    <w:rsid w:val="02184D39"/>
    <w:rsid w:val="0301045D"/>
    <w:rsid w:val="03B86D39"/>
    <w:rsid w:val="03D73153"/>
    <w:rsid w:val="03E01640"/>
    <w:rsid w:val="05857EAF"/>
    <w:rsid w:val="06414799"/>
    <w:rsid w:val="06AE1E49"/>
    <w:rsid w:val="06B118C5"/>
    <w:rsid w:val="06EC42AD"/>
    <w:rsid w:val="071D489A"/>
    <w:rsid w:val="07747FB2"/>
    <w:rsid w:val="08DB50CD"/>
    <w:rsid w:val="0994143A"/>
    <w:rsid w:val="09E21AE7"/>
    <w:rsid w:val="0B8F5915"/>
    <w:rsid w:val="0C073410"/>
    <w:rsid w:val="0C9404C1"/>
    <w:rsid w:val="0CFF2A4A"/>
    <w:rsid w:val="0D626AA8"/>
    <w:rsid w:val="0D9939C6"/>
    <w:rsid w:val="0DAA077F"/>
    <w:rsid w:val="0DBB0BF5"/>
    <w:rsid w:val="0EC70BDD"/>
    <w:rsid w:val="0F1444DC"/>
    <w:rsid w:val="0F66627D"/>
    <w:rsid w:val="0F686047"/>
    <w:rsid w:val="0F6C40C3"/>
    <w:rsid w:val="0FCD283F"/>
    <w:rsid w:val="10210A26"/>
    <w:rsid w:val="10CC32AB"/>
    <w:rsid w:val="11217656"/>
    <w:rsid w:val="113807F0"/>
    <w:rsid w:val="11EF63F6"/>
    <w:rsid w:val="125749BC"/>
    <w:rsid w:val="126D2FBC"/>
    <w:rsid w:val="12C42893"/>
    <w:rsid w:val="13A92A14"/>
    <w:rsid w:val="13E34023"/>
    <w:rsid w:val="14794B7A"/>
    <w:rsid w:val="1500381C"/>
    <w:rsid w:val="15017F63"/>
    <w:rsid w:val="15244663"/>
    <w:rsid w:val="153E34B2"/>
    <w:rsid w:val="154D767F"/>
    <w:rsid w:val="159412B5"/>
    <w:rsid w:val="15BE2516"/>
    <w:rsid w:val="169708BF"/>
    <w:rsid w:val="16E65C2A"/>
    <w:rsid w:val="17295BCF"/>
    <w:rsid w:val="177C1877"/>
    <w:rsid w:val="179D1E5A"/>
    <w:rsid w:val="18386DB3"/>
    <w:rsid w:val="194333AE"/>
    <w:rsid w:val="19642F5A"/>
    <w:rsid w:val="19B3145B"/>
    <w:rsid w:val="1A275720"/>
    <w:rsid w:val="1A532503"/>
    <w:rsid w:val="1AAD7625"/>
    <w:rsid w:val="1AD3755F"/>
    <w:rsid w:val="1C0B62E0"/>
    <w:rsid w:val="1C6A405D"/>
    <w:rsid w:val="1CCA4371"/>
    <w:rsid w:val="1CE83BB9"/>
    <w:rsid w:val="1CFE5AF3"/>
    <w:rsid w:val="1D3034A5"/>
    <w:rsid w:val="1D873989"/>
    <w:rsid w:val="1E044EAE"/>
    <w:rsid w:val="1E595AAE"/>
    <w:rsid w:val="1E7B26AF"/>
    <w:rsid w:val="1F55302A"/>
    <w:rsid w:val="1F98712D"/>
    <w:rsid w:val="1F9D1D30"/>
    <w:rsid w:val="1FE65C5F"/>
    <w:rsid w:val="20B952D7"/>
    <w:rsid w:val="212D4862"/>
    <w:rsid w:val="21A719B6"/>
    <w:rsid w:val="21BC66EA"/>
    <w:rsid w:val="220520E6"/>
    <w:rsid w:val="22835942"/>
    <w:rsid w:val="22BD2D52"/>
    <w:rsid w:val="22DD2C04"/>
    <w:rsid w:val="22F30A66"/>
    <w:rsid w:val="23F60138"/>
    <w:rsid w:val="245E4719"/>
    <w:rsid w:val="248E3A88"/>
    <w:rsid w:val="25CA0DDB"/>
    <w:rsid w:val="26820AEA"/>
    <w:rsid w:val="26FE3850"/>
    <w:rsid w:val="27545CC0"/>
    <w:rsid w:val="277C0C2E"/>
    <w:rsid w:val="284C5BCC"/>
    <w:rsid w:val="28792905"/>
    <w:rsid w:val="289C6616"/>
    <w:rsid w:val="28F65F5B"/>
    <w:rsid w:val="28FB0B77"/>
    <w:rsid w:val="29382E23"/>
    <w:rsid w:val="293D4A33"/>
    <w:rsid w:val="299A29B7"/>
    <w:rsid w:val="29E057F3"/>
    <w:rsid w:val="2A2E4130"/>
    <w:rsid w:val="2A647627"/>
    <w:rsid w:val="2A7862B9"/>
    <w:rsid w:val="2A9724AB"/>
    <w:rsid w:val="2C0E19C3"/>
    <w:rsid w:val="2C137617"/>
    <w:rsid w:val="2C42296B"/>
    <w:rsid w:val="2D341377"/>
    <w:rsid w:val="2D3747F0"/>
    <w:rsid w:val="2DF00FF9"/>
    <w:rsid w:val="2E241390"/>
    <w:rsid w:val="2E3E4344"/>
    <w:rsid w:val="2E8B1501"/>
    <w:rsid w:val="2EB44019"/>
    <w:rsid w:val="2EC63AB8"/>
    <w:rsid w:val="2EE27E86"/>
    <w:rsid w:val="2EE81C26"/>
    <w:rsid w:val="2EE87DF6"/>
    <w:rsid w:val="2F63235E"/>
    <w:rsid w:val="2F807931"/>
    <w:rsid w:val="2FD95999"/>
    <w:rsid w:val="302C4B9B"/>
    <w:rsid w:val="30950217"/>
    <w:rsid w:val="30E330BD"/>
    <w:rsid w:val="32821B2F"/>
    <w:rsid w:val="33970B34"/>
    <w:rsid w:val="33C306E5"/>
    <w:rsid w:val="33D82486"/>
    <w:rsid w:val="33EE4222"/>
    <w:rsid w:val="345468F8"/>
    <w:rsid w:val="349935CE"/>
    <w:rsid w:val="34B53EAE"/>
    <w:rsid w:val="34C70B68"/>
    <w:rsid w:val="34F34C32"/>
    <w:rsid w:val="351723AB"/>
    <w:rsid w:val="352C6A70"/>
    <w:rsid w:val="355478F9"/>
    <w:rsid w:val="357C35F6"/>
    <w:rsid w:val="3581522F"/>
    <w:rsid w:val="35FA7E6C"/>
    <w:rsid w:val="363E151A"/>
    <w:rsid w:val="374E04FF"/>
    <w:rsid w:val="37DF2D91"/>
    <w:rsid w:val="3A1C20A6"/>
    <w:rsid w:val="3AB96CD6"/>
    <w:rsid w:val="3ABA36BE"/>
    <w:rsid w:val="3AF21CD5"/>
    <w:rsid w:val="3B5E35AC"/>
    <w:rsid w:val="3BDB4289"/>
    <w:rsid w:val="3C285381"/>
    <w:rsid w:val="3C3576B0"/>
    <w:rsid w:val="3CB9626C"/>
    <w:rsid w:val="3CFA0373"/>
    <w:rsid w:val="3DC81092"/>
    <w:rsid w:val="3DCE743C"/>
    <w:rsid w:val="3E4852A6"/>
    <w:rsid w:val="3E4F0F26"/>
    <w:rsid w:val="3E5B0ECA"/>
    <w:rsid w:val="3EB44BF1"/>
    <w:rsid w:val="3F337F9E"/>
    <w:rsid w:val="3FB40EE2"/>
    <w:rsid w:val="40E14037"/>
    <w:rsid w:val="41604155"/>
    <w:rsid w:val="41E31979"/>
    <w:rsid w:val="41FE6B21"/>
    <w:rsid w:val="427C5145"/>
    <w:rsid w:val="429C5558"/>
    <w:rsid w:val="42AF4743"/>
    <w:rsid w:val="42BF2535"/>
    <w:rsid w:val="4414268D"/>
    <w:rsid w:val="44402ABB"/>
    <w:rsid w:val="448965AF"/>
    <w:rsid w:val="44AD4B06"/>
    <w:rsid w:val="45101AC1"/>
    <w:rsid w:val="45243F64"/>
    <w:rsid w:val="45354B00"/>
    <w:rsid w:val="458A0406"/>
    <w:rsid w:val="4608469C"/>
    <w:rsid w:val="46A95203"/>
    <w:rsid w:val="46E5188B"/>
    <w:rsid w:val="47A27763"/>
    <w:rsid w:val="47A369B3"/>
    <w:rsid w:val="47E70106"/>
    <w:rsid w:val="47F079E0"/>
    <w:rsid w:val="480E5022"/>
    <w:rsid w:val="48937F1B"/>
    <w:rsid w:val="48B66F84"/>
    <w:rsid w:val="49901A1F"/>
    <w:rsid w:val="49CC2AC2"/>
    <w:rsid w:val="4A09202C"/>
    <w:rsid w:val="4A861CAD"/>
    <w:rsid w:val="4B1425C6"/>
    <w:rsid w:val="4B2E0D40"/>
    <w:rsid w:val="4B520818"/>
    <w:rsid w:val="4B8E5B7B"/>
    <w:rsid w:val="4BF658AD"/>
    <w:rsid w:val="4C2017AA"/>
    <w:rsid w:val="4C911BAD"/>
    <w:rsid w:val="4CA870A3"/>
    <w:rsid w:val="4CAB3B0F"/>
    <w:rsid w:val="4D566347"/>
    <w:rsid w:val="4DAB2629"/>
    <w:rsid w:val="4DD559E2"/>
    <w:rsid w:val="4E1914A1"/>
    <w:rsid w:val="4E253400"/>
    <w:rsid w:val="4E3F5F07"/>
    <w:rsid w:val="4EDA4739"/>
    <w:rsid w:val="4EF048DC"/>
    <w:rsid w:val="4F6E62DA"/>
    <w:rsid w:val="4FC73C61"/>
    <w:rsid w:val="509D40D7"/>
    <w:rsid w:val="50C93399"/>
    <w:rsid w:val="51034380"/>
    <w:rsid w:val="5138037B"/>
    <w:rsid w:val="51382A95"/>
    <w:rsid w:val="513A2EA5"/>
    <w:rsid w:val="514848DE"/>
    <w:rsid w:val="514B7E93"/>
    <w:rsid w:val="51616FA7"/>
    <w:rsid w:val="52012AEB"/>
    <w:rsid w:val="52027BFA"/>
    <w:rsid w:val="522E042C"/>
    <w:rsid w:val="526C3C78"/>
    <w:rsid w:val="53CE5197"/>
    <w:rsid w:val="54DB1457"/>
    <w:rsid w:val="564D7633"/>
    <w:rsid w:val="569C0826"/>
    <w:rsid w:val="56CC5BBD"/>
    <w:rsid w:val="571C56F2"/>
    <w:rsid w:val="57502A0E"/>
    <w:rsid w:val="57855143"/>
    <w:rsid w:val="579F4735"/>
    <w:rsid w:val="57DE165E"/>
    <w:rsid w:val="57F20D6A"/>
    <w:rsid w:val="587860D8"/>
    <w:rsid w:val="59185CC4"/>
    <w:rsid w:val="598C0DBC"/>
    <w:rsid w:val="599815FB"/>
    <w:rsid w:val="599C6A44"/>
    <w:rsid w:val="5A53034F"/>
    <w:rsid w:val="5A897EEE"/>
    <w:rsid w:val="5A921D6A"/>
    <w:rsid w:val="5ADA6EAE"/>
    <w:rsid w:val="5B223712"/>
    <w:rsid w:val="5C5C680A"/>
    <w:rsid w:val="5CCA60EA"/>
    <w:rsid w:val="5CD01DCA"/>
    <w:rsid w:val="5D715967"/>
    <w:rsid w:val="5E404485"/>
    <w:rsid w:val="5E6A4688"/>
    <w:rsid w:val="5EBF43EF"/>
    <w:rsid w:val="5EC516F9"/>
    <w:rsid w:val="5F4021AB"/>
    <w:rsid w:val="5F5449ED"/>
    <w:rsid w:val="5F711333"/>
    <w:rsid w:val="5F7177FB"/>
    <w:rsid w:val="5F77154F"/>
    <w:rsid w:val="5F92394B"/>
    <w:rsid w:val="5FAE70F3"/>
    <w:rsid w:val="600B6B9C"/>
    <w:rsid w:val="605A3C70"/>
    <w:rsid w:val="606F424D"/>
    <w:rsid w:val="616D629E"/>
    <w:rsid w:val="625C1CDC"/>
    <w:rsid w:val="64E67A6A"/>
    <w:rsid w:val="65252732"/>
    <w:rsid w:val="6547078E"/>
    <w:rsid w:val="65B96BEB"/>
    <w:rsid w:val="65BC70EB"/>
    <w:rsid w:val="66051FCF"/>
    <w:rsid w:val="67283CED"/>
    <w:rsid w:val="67636178"/>
    <w:rsid w:val="677479F2"/>
    <w:rsid w:val="681419D0"/>
    <w:rsid w:val="68BE6227"/>
    <w:rsid w:val="69354808"/>
    <w:rsid w:val="693A261A"/>
    <w:rsid w:val="698E5714"/>
    <w:rsid w:val="69D67068"/>
    <w:rsid w:val="6AE0352A"/>
    <w:rsid w:val="6C9743E9"/>
    <w:rsid w:val="6CA16265"/>
    <w:rsid w:val="6D590228"/>
    <w:rsid w:val="6DAB0A16"/>
    <w:rsid w:val="6E0F1221"/>
    <w:rsid w:val="6E1C4FBD"/>
    <w:rsid w:val="6E8C639A"/>
    <w:rsid w:val="6EC44545"/>
    <w:rsid w:val="6EC47FD6"/>
    <w:rsid w:val="6FAF39B5"/>
    <w:rsid w:val="6FC877C5"/>
    <w:rsid w:val="70642A7D"/>
    <w:rsid w:val="70A00DFE"/>
    <w:rsid w:val="713E2FD9"/>
    <w:rsid w:val="71495502"/>
    <w:rsid w:val="7273598C"/>
    <w:rsid w:val="727E3C65"/>
    <w:rsid w:val="733A0943"/>
    <w:rsid w:val="734F7F50"/>
    <w:rsid w:val="73B54415"/>
    <w:rsid w:val="740A70EE"/>
    <w:rsid w:val="745423E2"/>
    <w:rsid w:val="746C4DD6"/>
    <w:rsid w:val="74CE7AFF"/>
    <w:rsid w:val="751009DF"/>
    <w:rsid w:val="756578CF"/>
    <w:rsid w:val="756E14B8"/>
    <w:rsid w:val="757A6274"/>
    <w:rsid w:val="75C129A9"/>
    <w:rsid w:val="75F429FA"/>
    <w:rsid w:val="76093256"/>
    <w:rsid w:val="76162A18"/>
    <w:rsid w:val="761F2E02"/>
    <w:rsid w:val="775C7777"/>
    <w:rsid w:val="77D45FA5"/>
    <w:rsid w:val="78691C70"/>
    <w:rsid w:val="789D0FD5"/>
    <w:rsid w:val="795F3754"/>
    <w:rsid w:val="79BB5106"/>
    <w:rsid w:val="7B0C6690"/>
    <w:rsid w:val="7C1D2576"/>
    <w:rsid w:val="7C6528F0"/>
    <w:rsid w:val="7C86311D"/>
    <w:rsid w:val="7D7732DC"/>
    <w:rsid w:val="7DD04B6C"/>
    <w:rsid w:val="7E694B7D"/>
    <w:rsid w:val="7F0F64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4"/>
    <w:qFormat/>
    <w:uiPriority w:val="0"/>
    <w:pPr>
      <w:keepNext/>
      <w:outlineLvl w:val="0"/>
    </w:pPr>
    <w:rPr>
      <w:b/>
    </w:rPr>
  </w:style>
  <w:style w:type="paragraph" w:styleId="4">
    <w:name w:val="heading 2"/>
    <w:basedOn w:val="1"/>
    <w:next w:val="1"/>
    <w:link w:val="10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7"/>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Lines="50" w:afterLines="50" w:line="374" w:lineRule="auto"/>
      <w:outlineLvl w:val="3"/>
    </w:pPr>
    <w:rPr>
      <w:rFonts w:ascii="Arial" w:hAnsi="Arial" w:eastAsia="黑体"/>
      <w:b/>
      <w:bCs/>
      <w:sz w:val="28"/>
      <w:szCs w:val="28"/>
    </w:rPr>
  </w:style>
  <w:style w:type="paragraph" w:styleId="7">
    <w:name w:val="heading 5"/>
    <w:basedOn w:val="1"/>
    <w:next w:val="1"/>
    <w:link w:val="103"/>
    <w:qFormat/>
    <w:uiPriority w:val="0"/>
    <w:pPr>
      <w:keepNext/>
      <w:keepLines/>
      <w:spacing w:before="280" w:after="290" w:line="376" w:lineRule="auto"/>
      <w:outlineLvl w:val="4"/>
    </w:pPr>
    <w:rPr>
      <w:b/>
      <w:bCs/>
      <w:sz w:val="28"/>
      <w:szCs w:val="28"/>
    </w:rPr>
  </w:style>
  <w:style w:type="paragraph" w:styleId="8">
    <w:name w:val="heading 6"/>
    <w:basedOn w:val="1"/>
    <w:next w:val="1"/>
    <w:link w:val="89"/>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5"/>
    </w:pPr>
    <w:rPr>
      <w:rFonts w:ascii="Arial" w:hAnsi="Arial" w:eastAsia="黑体"/>
      <w:b/>
      <w:kern w:val="0"/>
      <w:sz w:val="24"/>
      <w:szCs w:val="20"/>
    </w:rPr>
  </w:style>
  <w:style w:type="paragraph" w:styleId="9">
    <w:name w:val="heading 7"/>
    <w:basedOn w:val="1"/>
    <w:next w:val="1"/>
    <w:link w:val="90"/>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6"/>
    </w:pPr>
    <w:rPr>
      <w:b/>
      <w:kern w:val="0"/>
      <w:sz w:val="24"/>
      <w:szCs w:val="20"/>
    </w:rPr>
  </w:style>
  <w:style w:type="paragraph" w:styleId="10">
    <w:name w:val="heading 8"/>
    <w:basedOn w:val="1"/>
    <w:next w:val="1"/>
    <w:link w:val="92"/>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7"/>
    </w:pPr>
    <w:rPr>
      <w:rFonts w:ascii="Arial" w:hAnsi="Arial" w:eastAsia="黑体"/>
      <w:kern w:val="0"/>
      <w:sz w:val="24"/>
      <w:szCs w:val="20"/>
    </w:rPr>
  </w:style>
  <w:style w:type="paragraph" w:styleId="11">
    <w:name w:val="heading 9"/>
    <w:basedOn w:val="1"/>
    <w:next w:val="1"/>
    <w:link w:val="97"/>
    <w:qFormat/>
    <w:uiPriority w:val="0"/>
    <w:pPr>
      <w:keepNext/>
      <w:keepLines/>
      <w:widowControl/>
      <w:tabs>
        <w:tab w:val="left" w:pos="360"/>
      </w:tabs>
      <w:overflowPunct w:val="0"/>
      <w:autoSpaceDE w:val="0"/>
      <w:autoSpaceDN w:val="0"/>
      <w:adjustRightInd w:val="0"/>
      <w:snapToGrid w:val="0"/>
      <w:spacing w:beforeLines="50" w:afterLines="50" w:line="319" w:lineRule="auto"/>
      <w:ind w:firstLine="510"/>
      <w:outlineLvl w:val="8"/>
    </w:pPr>
    <w:rPr>
      <w:rFonts w:ascii="Arial" w:hAnsi="Arial" w:eastAsia="黑体"/>
      <w:kern w:val="0"/>
      <w:szCs w:val="20"/>
    </w:rPr>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985"/>
        <w:tab w:val="right" w:leader="dot" w:pos="9356"/>
      </w:tabs>
      <w:spacing w:before="33" w:beforeLines="10" w:after="33" w:afterLines="10" w:line="600" w:lineRule="exact"/>
      <w:jc w:val="left"/>
    </w:pPr>
    <w:rPr>
      <w:rFonts w:ascii="宋体" w:hAnsi="宋体"/>
      <w:b/>
      <w:kern w:val="0"/>
      <w:sz w:val="28"/>
      <w:szCs w:val="28"/>
    </w:rPr>
  </w:style>
  <w:style w:type="paragraph" w:styleId="12">
    <w:name w:val="toc 7"/>
    <w:basedOn w:val="1"/>
    <w:next w:val="1"/>
    <w:qFormat/>
    <w:uiPriority w:val="0"/>
    <w:pPr>
      <w:spacing w:beforeLines="50" w:line="240" w:lineRule="exact"/>
      <w:ind w:left="1260"/>
      <w:jc w:val="left"/>
    </w:pPr>
    <w:rPr>
      <w:rFonts w:ascii="Calibri" w:hAnsi="Calibri" w:cs="Calibri"/>
      <w:sz w:val="18"/>
      <w:szCs w:val="18"/>
    </w:rPr>
  </w:style>
  <w:style w:type="paragraph" w:styleId="13">
    <w:name w:val="Normal Indent"/>
    <w:basedOn w:val="1"/>
    <w:qFormat/>
    <w:uiPriority w:val="0"/>
    <w:pPr>
      <w:tabs>
        <w:tab w:val="left" w:pos="0"/>
      </w:tabs>
      <w:snapToGrid w:val="0"/>
      <w:spacing w:line="300" w:lineRule="auto"/>
      <w:ind w:firstLine="505"/>
      <w:jc w:val="left"/>
    </w:pPr>
    <w:rPr>
      <w:rFonts w:ascii="宋体" w:hAnsi="宋体"/>
      <w:snapToGrid w:val="0"/>
      <w:spacing w:val="-6"/>
      <w:kern w:val="0"/>
      <w:sz w:val="24"/>
    </w:rPr>
  </w:style>
  <w:style w:type="paragraph" w:styleId="14">
    <w:name w:val="Document Map"/>
    <w:basedOn w:val="1"/>
    <w:link w:val="93"/>
    <w:qFormat/>
    <w:uiPriority w:val="0"/>
    <w:pPr>
      <w:shd w:val="clear" w:color="auto" w:fill="000080"/>
      <w:spacing w:beforeLines="50" w:afterLines="50" w:line="240" w:lineRule="exact"/>
      <w:jc w:val="left"/>
    </w:pPr>
    <w:rPr>
      <w:rFonts w:ascii="宋体" w:hAnsi="宋体"/>
    </w:rPr>
  </w:style>
  <w:style w:type="paragraph" w:styleId="15">
    <w:name w:val="annotation text"/>
    <w:basedOn w:val="1"/>
    <w:link w:val="110"/>
    <w:qFormat/>
    <w:uiPriority w:val="0"/>
    <w:pPr>
      <w:spacing w:beforeLines="50" w:afterLines="50" w:line="240" w:lineRule="exact"/>
      <w:jc w:val="left"/>
    </w:pPr>
    <w:rPr>
      <w:rFonts w:ascii="宋体" w:hAnsi="宋体"/>
    </w:rPr>
  </w:style>
  <w:style w:type="paragraph" w:styleId="16">
    <w:name w:val="Body Text"/>
    <w:basedOn w:val="1"/>
    <w:next w:val="17"/>
    <w:link w:val="95"/>
    <w:qFormat/>
    <w:uiPriority w:val="0"/>
    <w:rPr>
      <w:rFonts w:ascii="金山简黑体" w:hAnsi="Courier New" w:eastAsia="金山简黑体"/>
      <w:b/>
      <w:spacing w:val="-8"/>
      <w:sz w:val="44"/>
      <w:szCs w:val="20"/>
    </w:rPr>
  </w:style>
  <w:style w:type="paragraph" w:customStyle="1" w:styleId="17">
    <w:name w:val="一级条标题"/>
    <w:basedOn w:val="18"/>
    <w:next w:val="19"/>
    <w:qFormat/>
    <w:uiPriority w:val="99"/>
    <w:pPr>
      <w:spacing w:line="240" w:lineRule="auto"/>
      <w:ind w:left="420"/>
      <w:outlineLvl w:val="2"/>
    </w:pPr>
  </w:style>
  <w:style w:type="paragraph" w:customStyle="1" w:styleId="18">
    <w:name w:val="章标题"/>
    <w:next w:val="1"/>
    <w:qFormat/>
    <w:uiPriority w:val="99"/>
    <w:pPr>
      <w:spacing w:line="360" w:lineRule="auto"/>
      <w:jc w:val="both"/>
      <w:outlineLvl w:val="1"/>
    </w:pPr>
    <w:rPr>
      <w:rFonts w:ascii="黑体" w:hAnsi="Times New Roman" w:eastAsia="黑体" w:cs="黑体"/>
      <w:kern w:val="0"/>
      <w:sz w:val="21"/>
      <w:szCs w:val="21"/>
      <w:lang w:val="en-US" w:eastAsia="zh-CN" w:bidi="ar-SA"/>
    </w:rPr>
  </w:style>
  <w:style w:type="paragraph" w:customStyle="1" w:styleId="19">
    <w:name w:val="段"/>
    <w:next w:val="1"/>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styleId="20">
    <w:name w:val="Body Text Indent"/>
    <w:basedOn w:val="1"/>
    <w:link w:val="120"/>
    <w:qFormat/>
    <w:uiPriority w:val="0"/>
    <w:pPr>
      <w:spacing w:line="200" w:lineRule="exact"/>
      <w:ind w:firstLine="301"/>
    </w:pPr>
    <w:rPr>
      <w:rFonts w:ascii="宋体" w:hAnsi="Courier New"/>
      <w:spacing w:val="-4"/>
      <w:sz w:val="18"/>
      <w:szCs w:val="20"/>
    </w:rPr>
  </w:style>
  <w:style w:type="paragraph" w:styleId="21">
    <w:name w:val="Block Text"/>
    <w:basedOn w:val="1"/>
    <w:qFormat/>
    <w:uiPriority w:val="0"/>
    <w:pPr>
      <w:widowControl/>
      <w:overflowPunct w:val="0"/>
      <w:autoSpaceDE w:val="0"/>
      <w:autoSpaceDN w:val="0"/>
      <w:adjustRightInd w:val="0"/>
      <w:snapToGrid w:val="0"/>
      <w:spacing w:beforeLines="50" w:afterLines="50" w:line="360" w:lineRule="auto"/>
      <w:ind w:left="1440" w:hanging="759"/>
    </w:pPr>
    <w:rPr>
      <w:kern w:val="0"/>
      <w:sz w:val="24"/>
      <w:szCs w:val="20"/>
    </w:rPr>
  </w:style>
  <w:style w:type="paragraph" w:styleId="22">
    <w:name w:val="toc 5"/>
    <w:basedOn w:val="1"/>
    <w:next w:val="1"/>
    <w:qFormat/>
    <w:uiPriority w:val="0"/>
    <w:pPr>
      <w:spacing w:beforeLines="50" w:line="240" w:lineRule="exact"/>
      <w:ind w:left="840"/>
      <w:jc w:val="left"/>
    </w:pPr>
    <w:rPr>
      <w:rFonts w:ascii="Calibri" w:hAnsi="Calibri" w:cs="Calibri"/>
      <w:sz w:val="18"/>
      <w:szCs w:val="18"/>
    </w:rPr>
  </w:style>
  <w:style w:type="paragraph" w:styleId="23">
    <w:name w:val="toc 3"/>
    <w:basedOn w:val="1"/>
    <w:next w:val="1"/>
    <w:qFormat/>
    <w:uiPriority w:val="39"/>
    <w:pPr>
      <w:tabs>
        <w:tab w:val="right" w:leader="dot" w:pos="9356"/>
      </w:tabs>
      <w:spacing w:before="33" w:beforeLines="10" w:after="33" w:afterLines="10"/>
    </w:pPr>
    <w:rPr>
      <w:rFonts w:ascii="宋体" w:hAnsi="宋体"/>
      <w:b/>
      <w:sz w:val="28"/>
      <w:szCs w:val="28"/>
    </w:rPr>
  </w:style>
  <w:style w:type="paragraph" w:styleId="24">
    <w:name w:val="Plain Text"/>
    <w:basedOn w:val="1"/>
    <w:link w:val="116"/>
    <w:qFormat/>
    <w:uiPriority w:val="0"/>
    <w:rPr>
      <w:rFonts w:ascii="宋体" w:hAnsi="Courier New"/>
      <w:szCs w:val="20"/>
    </w:rPr>
  </w:style>
  <w:style w:type="paragraph" w:styleId="25">
    <w:name w:val="toc 8"/>
    <w:basedOn w:val="1"/>
    <w:next w:val="1"/>
    <w:qFormat/>
    <w:uiPriority w:val="0"/>
    <w:pPr>
      <w:spacing w:beforeLines="50" w:line="240" w:lineRule="exact"/>
      <w:ind w:left="1470"/>
      <w:jc w:val="left"/>
    </w:pPr>
    <w:rPr>
      <w:rFonts w:ascii="Calibri" w:hAnsi="Calibri" w:cs="Calibri"/>
      <w:sz w:val="18"/>
      <w:szCs w:val="18"/>
    </w:rPr>
  </w:style>
  <w:style w:type="paragraph" w:styleId="26">
    <w:name w:val="Date"/>
    <w:basedOn w:val="1"/>
    <w:next w:val="1"/>
    <w:qFormat/>
    <w:uiPriority w:val="0"/>
    <w:pPr>
      <w:ind w:left="100" w:leftChars="2500"/>
    </w:pPr>
    <w:rPr>
      <w:rFonts w:ascii="宋体" w:hAnsi="宋体"/>
      <w:sz w:val="24"/>
    </w:rPr>
  </w:style>
  <w:style w:type="paragraph" w:styleId="27">
    <w:name w:val="Body Text Indent 2"/>
    <w:basedOn w:val="1"/>
    <w:qFormat/>
    <w:uiPriority w:val="0"/>
    <w:pPr>
      <w:ind w:firstLine="412" w:firstLineChars="196"/>
    </w:pPr>
  </w:style>
  <w:style w:type="paragraph" w:styleId="28">
    <w:name w:val="Balloon Text"/>
    <w:basedOn w:val="1"/>
    <w:link w:val="111"/>
    <w:semiHidden/>
    <w:qFormat/>
    <w:uiPriority w:val="0"/>
    <w:rPr>
      <w:sz w:val="18"/>
      <w:szCs w:val="18"/>
    </w:rPr>
  </w:style>
  <w:style w:type="paragraph" w:styleId="29">
    <w:name w:val="footer"/>
    <w:basedOn w:val="1"/>
    <w:link w:val="112"/>
    <w:qFormat/>
    <w:uiPriority w:val="99"/>
    <w:pPr>
      <w:tabs>
        <w:tab w:val="center" w:pos="4153"/>
        <w:tab w:val="right" w:pos="8306"/>
      </w:tabs>
      <w:snapToGrid w:val="0"/>
      <w:jc w:val="left"/>
    </w:pPr>
    <w:rPr>
      <w:rFonts w:ascii="宋体" w:hAnsi="Courier New"/>
      <w:sz w:val="18"/>
      <w:szCs w:val="20"/>
    </w:rPr>
  </w:style>
  <w:style w:type="paragraph" w:styleId="30">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31">
    <w:name w:val="toc 4"/>
    <w:basedOn w:val="1"/>
    <w:next w:val="1"/>
    <w:qFormat/>
    <w:uiPriority w:val="0"/>
    <w:pPr>
      <w:spacing w:beforeLines="50" w:line="240" w:lineRule="exact"/>
      <w:ind w:left="630"/>
      <w:jc w:val="left"/>
    </w:pPr>
    <w:rPr>
      <w:rFonts w:ascii="Calibri" w:hAnsi="Calibri" w:cs="Calibri"/>
      <w:sz w:val="18"/>
      <w:szCs w:val="18"/>
    </w:rPr>
  </w:style>
  <w:style w:type="paragraph" w:styleId="32">
    <w:name w:val="footnote text"/>
    <w:basedOn w:val="1"/>
    <w:link w:val="118"/>
    <w:qFormat/>
    <w:uiPriority w:val="0"/>
    <w:pPr>
      <w:snapToGrid w:val="0"/>
      <w:spacing w:beforeLines="50" w:afterLines="50" w:line="240" w:lineRule="exact"/>
      <w:jc w:val="left"/>
    </w:pPr>
    <w:rPr>
      <w:rFonts w:ascii="宋体" w:hAnsi="宋体"/>
      <w:sz w:val="18"/>
      <w:szCs w:val="20"/>
    </w:rPr>
  </w:style>
  <w:style w:type="paragraph" w:styleId="33">
    <w:name w:val="toc 6"/>
    <w:basedOn w:val="1"/>
    <w:next w:val="1"/>
    <w:qFormat/>
    <w:uiPriority w:val="0"/>
    <w:pPr>
      <w:spacing w:beforeLines="50" w:line="240" w:lineRule="exact"/>
      <w:ind w:left="1050"/>
      <w:jc w:val="left"/>
    </w:pPr>
    <w:rPr>
      <w:rFonts w:ascii="Calibri" w:hAnsi="Calibri" w:cs="Calibri"/>
      <w:sz w:val="18"/>
      <w:szCs w:val="18"/>
    </w:rPr>
  </w:style>
  <w:style w:type="paragraph" w:styleId="34">
    <w:name w:val="Body Text Indent 3"/>
    <w:basedOn w:val="1"/>
    <w:link w:val="119"/>
    <w:qFormat/>
    <w:uiPriority w:val="0"/>
    <w:pPr>
      <w:spacing w:line="720" w:lineRule="auto"/>
      <w:ind w:firstLine="269"/>
    </w:pPr>
    <w:rPr>
      <w:sz w:val="28"/>
      <w:szCs w:val="20"/>
    </w:rPr>
  </w:style>
  <w:style w:type="paragraph" w:styleId="35">
    <w:name w:val="toc 2"/>
    <w:basedOn w:val="1"/>
    <w:next w:val="1"/>
    <w:qFormat/>
    <w:uiPriority w:val="39"/>
    <w:pPr>
      <w:ind w:left="420" w:leftChars="200"/>
    </w:pPr>
  </w:style>
  <w:style w:type="paragraph" w:styleId="36">
    <w:name w:val="toc 9"/>
    <w:basedOn w:val="1"/>
    <w:next w:val="1"/>
    <w:qFormat/>
    <w:uiPriority w:val="0"/>
    <w:pPr>
      <w:spacing w:beforeLines="50" w:line="240" w:lineRule="exact"/>
      <w:ind w:left="1680"/>
      <w:jc w:val="left"/>
    </w:pPr>
    <w:rPr>
      <w:rFonts w:ascii="Calibri" w:hAnsi="Calibri" w:cs="Calibri"/>
      <w:sz w:val="18"/>
      <w:szCs w:val="18"/>
    </w:rPr>
  </w:style>
  <w:style w:type="paragraph" w:styleId="37">
    <w:name w:val="Body Text 2"/>
    <w:basedOn w:val="1"/>
    <w:link w:val="104"/>
    <w:qFormat/>
    <w:uiPriority w:val="0"/>
    <w:pPr>
      <w:snapToGrid w:val="0"/>
      <w:spacing w:beforeLines="50" w:afterLines="50" w:line="300" w:lineRule="auto"/>
    </w:pPr>
    <w:rPr>
      <w:rFonts w:ascii="宋体" w:hAnsi="宋体"/>
      <w:color w:val="FF0000"/>
      <w:szCs w:val="21"/>
    </w:r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index 1"/>
    <w:basedOn w:val="1"/>
    <w:next w:val="1"/>
    <w:semiHidden/>
    <w:qFormat/>
    <w:uiPriority w:val="0"/>
    <w:pPr>
      <w:ind w:right="257"/>
    </w:pPr>
    <w:rPr>
      <w:rFonts w:ascii="宋体" w:hAnsi="宋体"/>
      <w:szCs w:val="20"/>
    </w:rPr>
  </w:style>
  <w:style w:type="paragraph" w:styleId="40">
    <w:name w:val="Title"/>
    <w:basedOn w:val="1"/>
    <w:next w:val="1"/>
    <w:link w:val="98"/>
    <w:qFormat/>
    <w:uiPriority w:val="0"/>
    <w:pPr>
      <w:spacing w:beforeLines="50" w:afterLines="50" w:line="360" w:lineRule="exact"/>
      <w:jc w:val="center"/>
      <w:outlineLvl w:val="0"/>
    </w:pPr>
    <w:rPr>
      <w:rFonts w:ascii="Cambria" w:hAnsi="Cambria"/>
      <w:b/>
      <w:bCs/>
      <w:sz w:val="36"/>
      <w:szCs w:val="32"/>
    </w:rPr>
  </w:style>
  <w:style w:type="paragraph" w:styleId="41">
    <w:name w:val="annotation subject"/>
    <w:basedOn w:val="15"/>
    <w:next w:val="15"/>
    <w:link w:val="109"/>
    <w:semiHidden/>
    <w:qFormat/>
    <w:uiPriority w:val="0"/>
    <w:rPr>
      <w:b/>
      <w:bCs/>
    </w:rPr>
  </w:style>
  <w:style w:type="paragraph" w:styleId="42">
    <w:name w:val="Body Text First Indent"/>
    <w:basedOn w:val="16"/>
    <w:link w:val="94"/>
    <w:qFormat/>
    <w:uiPriority w:val="0"/>
    <w:pPr>
      <w:spacing w:beforeLines="50" w:afterLines="50"/>
      <w:ind w:firstLine="420" w:firstLineChars="100"/>
    </w:pPr>
    <w:rPr>
      <w:rFonts w:eastAsia="宋体"/>
      <w:sz w:val="21"/>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basedOn w:val="45"/>
    <w:qFormat/>
    <w:uiPriority w:val="0"/>
    <w:rPr>
      <w:color w:val="800080"/>
      <w:u w:val="single"/>
    </w:rPr>
  </w:style>
  <w:style w:type="character" w:styleId="49">
    <w:name w:val="Emphasis"/>
    <w:qFormat/>
    <w:uiPriority w:val="0"/>
    <w:rPr>
      <w:color w:val="CC0033"/>
    </w:rPr>
  </w:style>
  <w:style w:type="character" w:styleId="50">
    <w:name w:val="Hyperlink"/>
    <w:basedOn w:val="45"/>
    <w:qFormat/>
    <w:uiPriority w:val="99"/>
    <w:rPr>
      <w:color w:val="0000FF"/>
      <w:u w:val="single"/>
    </w:rPr>
  </w:style>
  <w:style w:type="paragraph" w:customStyle="1" w:styleId="5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i)正文"/>
    <w:basedOn w:val="1"/>
    <w:qFormat/>
    <w:uiPriority w:val="0"/>
    <w:pPr>
      <w:widowControl/>
      <w:numPr>
        <w:ilvl w:val="2"/>
        <w:numId w:val="1"/>
      </w:numPr>
      <w:tabs>
        <w:tab w:val="left" w:pos="2381"/>
        <w:tab w:val="clear" w:pos="360"/>
      </w:tabs>
      <w:spacing w:beforeLines="50" w:afterLines="50" w:line="360" w:lineRule="exact"/>
    </w:pPr>
    <w:rPr>
      <w:szCs w:val="20"/>
    </w:rPr>
  </w:style>
  <w:style w:type="paragraph" w:customStyle="1" w:styleId="53">
    <w:name w:val="**"/>
    <w:basedOn w:val="54"/>
    <w:qFormat/>
    <w:uiPriority w:val="0"/>
    <w:pPr/>
    <w:rPr>
      <w:rFonts w:ascii="楷体" w:eastAsia="楷体"/>
      <w:sz w:val="24"/>
    </w:rPr>
  </w:style>
  <w:style w:type="paragraph" w:customStyle="1" w:styleId="54">
    <w:name w:val="1.1"/>
    <w:basedOn w:val="1"/>
    <w:qFormat/>
    <w:uiPriority w:val="0"/>
    <w:pPr>
      <w:widowControl/>
      <w:numPr>
        <w:ilvl w:val="0"/>
        <w:numId w:val="2"/>
      </w:numPr>
      <w:tabs>
        <w:tab w:val="clear" w:pos="780"/>
      </w:tabs>
      <w:overflowPunct w:val="0"/>
      <w:autoSpaceDE w:val="0"/>
      <w:autoSpaceDN w:val="0"/>
      <w:adjustRightInd w:val="0"/>
      <w:spacing w:beforeLines="50" w:afterLines="50" w:line="240" w:lineRule="exact"/>
      <w:ind w:left="0" w:firstLine="0"/>
      <w:jc w:val="left"/>
    </w:pPr>
    <w:rPr>
      <w:rFonts w:ascii="黑体" w:eastAsia="黑体"/>
      <w:b/>
      <w:spacing w:val="-20"/>
      <w:kern w:val="28"/>
      <w:position w:val="-6"/>
      <w:sz w:val="28"/>
      <w:szCs w:val="20"/>
    </w:rPr>
  </w:style>
  <w:style w:type="paragraph" w:customStyle="1" w:styleId="55">
    <w:name w:val="·"/>
    <w:basedOn w:val="1"/>
    <w:qFormat/>
    <w:uiPriority w:val="0"/>
    <w:pPr>
      <w:widowControl/>
      <w:overflowPunct w:val="0"/>
      <w:autoSpaceDE w:val="0"/>
      <w:autoSpaceDN w:val="0"/>
      <w:adjustRightInd w:val="0"/>
      <w:spacing w:beforeLines="50" w:afterLines="50" w:line="240" w:lineRule="exact"/>
      <w:ind w:left="432" w:hanging="432"/>
    </w:pPr>
    <w:rPr>
      <w:rFonts w:ascii="楷体" w:eastAsia="楷体"/>
      <w:spacing w:val="-20"/>
      <w:kern w:val="28"/>
      <w:position w:val="-6"/>
      <w:sz w:val="24"/>
      <w:szCs w:val="20"/>
    </w:rPr>
  </w:style>
  <w:style w:type="paragraph" w:customStyle="1" w:styleId="56">
    <w:name w:val="µ"/>
    <w:basedOn w:val="1"/>
    <w:qFormat/>
    <w:uiPriority w:val="0"/>
    <w:pPr>
      <w:widowControl/>
      <w:overflowPunct w:val="0"/>
      <w:autoSpaceDE w:val="0"/>
      <w:autoSpaceDN w:val="0"/>
      <w:adjustRightInd w:val="0"/>
      <w:spacing w:beforeLines="50" w:afterLines="50" w:line="240" w:lineRule="exact"/>
      <w:ind w:left="360" w:hanging="360"/>
      <w:jc w:val="left"/>
    </w:pPr>
    <w:rPr>
      <w:rFonts w:ascii="宋体"/>
      <w:b/>
      <w:spacing w:val="2"/>
      <w:kern w:val="28"/>
      <w:position w:val="-6"/>
      <w:sz w:val="24"/>
      <w:szCs w:val="20"/>
    </w:rPr>
  </w:style>
  <w:style w:type="paragraph" w:customStyle="1" w:styleId="57">
    <w:name w:val="+正文"/>
    <w:basedOn w:val="1"/>
    <w:qFormat/>
    <w:uiPriority w:val="0"/>
    <w:pPr>
      <w:numPr>
        <w:ilvl w:val="1"/>
        <w:numId w:val="1"/>
      </w:numPr>
      <w:tabs>
        <w:tab w:val="clear" w:pos="360"/>
      </w:tabs>
      <w:spacing w:beforeLines="50" w:afterLines="50" w:line="360" w:lineRule="auto"/>
      <w:ind w:firstLine="200" w:firstLineChars="200"/>
    </w:pPr>
    <w:rPr>
      <w:sz w:val="24"/>
      <w:szCs w:val="28"/>
    </w:rPr>
  </w:style>
  <w:style w:type="paragraph" w:customStyle="1" w:styleId="58">
    <w:name w:val="Char1 Char Char Char Char Char Char Char Char Char Char Char Char Char Char Char"/>
    <w:basedOn w:val="7"/>
    <w:qFormat/>
    <w:uiPriority w:val="0"/>
    <w:pPr>
      <w:tabs>
        <w:tab w:val="left" w:pos="0"/>
      </w:tabs>
      <w:adjustRightInd w:val="0"/>
      <w:spacing w:line="240" w:lineRule="auto"/>
      <w:textAlignment w:val="baseline"/>
    </w:pPr>
    <w:rPr>
      <w:rFonts w:ascii="黑体" w:eastAsia="黑体"/>
      <w:b w:val="0"/>
      <w:kern w:val="0"/>
    </w:rPr>
  </w:style>
  <w:style w:type="paragraph" w:customStyle="1" w:styleId="59">
    <w:name w:val="(1)"/>
    <w:basedOn w:val="54"/>
    <w:qFormat/>
    <w:uiPriority w:val="0"/>
    <w:pPr>
      <w:ind w:left="431" w:hanging="431"/>
    </w:pPr>
    <w:rPr>
      <w:b w:val="0"/>
      <w:sz w:val="24"/>
    </w:rPr>
  </w:style>
  <w:style w:type="paragraph" w:customStyle="1" w:styleId="60">
    <w:name w:val="样式"/>
    <w:qFormat/>
    <w:uiPriority w:val="0"/>
    <w:pPr>
      <w:widowControl w:val="0"/>
      <w:autoSpaceDE w:val="0"/>
      <w:autoSpaceDN w:val="0"/>
      <w:adjustRightInd w:val="0"/>
      <w:spacing w:beforeLines="50" w:afterLines="50" w:line="240" w:lineRule="exact"/>
    </w:pPr>
    <w:rPr>
      <w:rFonts w:ascii="宋体" w:hAnsi="宋体" w:eastAsia="宋体" w:cs="宋体"/>
      <w:sz w:val="24"/>
      <w:szCs w:val="24"/>
      <w:lang w:val="en-US" w:eastAsia="zh-CN" w:bidi="ar-SA"/>
    </w:rPr>
  </w:style>
  <w:style w:type="paragraph" w:customStyle="1" w:styleId="61">
    <w:name w:val="A.正文"/>
    <w:basedOn w:val="1"/>
    <w:qFormat/>
    <w:uiPriority w:val="0"/>
    <w:pPr>
      <w:widowControl/>
      <w:numPr>
        <w:ilvl w:val="0"/>
        <w:numId w:val="3"/>
      </w:numPr>
      <w:spacing w:beforeLines="50" w:afterLines="50" w:line="300" w:lineRule="exact"/>
      <w:ind w:firstLine="510"/>
    </w:pPr>
    <w:rPr>
      <w:szCs w:val="20"/>
    </w:rPr>
  </w:style>
  <w:style w:type="paragraph" w:customStyle="1" w:styleId="62">
    <w:name w:val="(a)正文"/>
    <w:basedOn w:val="1"/>
    <w:qFormat/>
    <w:uiPriority w:val="0"/>
    <w:pPr>
      <w:widowControl/>
      <w:tabs>
        <w:tab w:val="left" w:pos="1871"/>
      </w:tabs>
      <w:spacing w:beforeLines="50" w:afterLines="50" w:line="360" w:lineRule="exact"/>
    </w:pPr>
    <w:rPr>
      <w:szCs w:val="20"/>
    </w:rPr>
  </w:style>
  <w:style w:type="paragraph" w:customStyle="1" w:styleId="63">
    <w:name w:val="1"/>
    <w:basedOn w:val="1"/>
    <w:next w:val="20"/>
    <w:qFormat/>
    <w:uiPriority w:val="0"/>
    <w:pPr>
      <w:spacing w:line="200" w:lineRule="exact"/>
      <w:ind w:firstLine="301"/>
    </w:pPr>
    <w:rPr>
      <w:rFonts w:ascii="宋体" w:hAnsi="Courier New"/>
      <w:spacing w:val="-4"/>
      <w:sz w:val="18"/>
      <w:szCs w:val="20"/>
    </w:rPr>
  </w:style>
  <w:style w:type="paragraph" w:customStyle="1" w:styleId="64">
    <w:name w:val=" Char1 Char Char Char Char Char Char"/>
    <w:basedOn w:val="1"/>
    <w:qFormat/>
    <w:uiPriority w:val="0"/>
    <w:rPr>
      <w:rFonts w:ascii="Tahoma" w:hAnsi="Tahoma"/>
      <w:sz w:val="24"/>
      <w:szCs w:val="20"/>
    </w:rPr>
  </w:style>
  <w:style w:type="paragraph" w:customStyle="1" w:styleId="65">
    <w:name w:val="部分编号"/>
    <w:basedOn w:val="1"/>
    <w:qFormat/>
    <w:uiPriority w:val="0"/>
    <w:pPr>
      <w:widowControl/>
      <w:numPr>
        <w:ilvl w:val="2"/>
        <w:numId w:val="4"/>
      </w:numPr>
      <w:tabs>
        <w:tab w:val="left" w:pos="1418"/>
      </w:tabs>
      <w:spacing w:beforeLines="50" w:afterLines="50" w:line="400" w:lineRule="exact"/>
      <w:ind w:left="1418" w:hanging="1418"/>
    </w:pPr>
    <w:rPr>
      <w:rFonts w:ascii="Arial" w:hAnsi="Arial" w:eastAsia="黑体"/>
      <w:spacing w:val="30"/>
      <w:sz w:val="24"/>
      <w:szCs w:val="20"/>
    </w:rPr>
  </w:style>
  <w:style w:type="paragraph" w:customStyle="1" w:styleId="66">
    <w:name w:val="_Style 62"/>
    <w:basedOn w:val="3"/>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67">
    <w:name w:val="样式2"/>
    <w:basedOn w:val="1"/>
    <w:qFormat/>
    <w:uiPriority w:val="0"/>
    <w:pPr>
      <w:numPr>
        <w:ilvl w:val="0"/>
        <w:numId w:val="5"/>
      </w:numPr>
      <w:spacing w:beforeLines="50" w:afterLines="50" w:line="240" w:lineRule="exact"/>
    </w:pPr>
    <w:rPr>
      <w:sz w:val="28"/>
      <w:szCs w:val="20"/>
    </w:rPr>
  </w:style>
  <w:style w:type="paragraph" w:customStyle="1" w:styleId="68">
    <w:name w:val="F2"/>
    <w:basedOn w:val="1"/>
    <w:qFormat/>
    <w:uiPriority w:val="0"/>
    <w:pPr>
      <w:autoSpaceDE w:val="0"/>
      <w:autoSpaceDN w:val="0"/>
      <w:adjustRightInd w:val="0"/>
      <w:ind w:firstLine="601"/>
      <w:textAlignment w:val="baseline"/>
    </w:pPr>
    <w:rPr>
      <w:kern w:val="0"/>
      <w:sz w:val="24"/>
      <w:szCs w:val="20"/>
    </w:rPr>
  </w:style>
  <w:style w:type="paragraph" w:customStyle="1" w:styleId="69">
    <w:name w:val="List Paragraph"/>
    <w:basedOn w:val="1"/>
    <w:qFormat/>
    <w:uiPriority w:val="0"/>
    <w:pPr>
      <w:ind w:firstLine="420" w:firstLineChars="200"/>
    </w:pPr>
    <w:rPr>
      <w:rFonts w:hint="eastAsia"/>
      <w:szCs w:val="20"/>
    </w:rPr>
  </w:style>
  <w:style w:type="paragraph" w:customStyle="1" w:styleId="70">
    <w:name w:val="a"/>
    <w:basedOn w:val="54"/>
    <w:qFormat/>
    <w:uiPriority w:val="0"/>
    <w:pPr>
      <w:ind w:left="360" w:hanging="360"/>
    </w:pPr>
    <w:rPr>
      <w:rFonts w:ascii="楷体" w:eastAsia="楷体"/>
      <w:sz w:val="24"/>
    </w:rPr>
  </w:style>
  <w:style w:type="paragraph" w:customStyle="1" w:styleId="71">
    <w:name w:val="样式 样式 标题 3 + 加粗 + 加粗"/>
    <w:basedOn w:val="1"/>
    <w:qFormat/>
    <w:uiPriority w:val="0"/>
    <w:pPr>
      <w:numPr>
        <w:ilvl w:val="3"/>
        <w:numId w:val="6"/>
      </w:numPr>
      <w:tabs>
        <w:tab w:val="left" w:pos="420"/>
      </w:tabs>
    </w:pPr>
  </w:style>
  <w:style w:type="paragraph" w:customStyle="1" w:styleId="72">
    <w:name w:val=" Char Char Char Char Char Char Char"/>
    <w:basedOn w:val="1"/>
    <w:qFormat/>
    <w:uiPriority w:val="0"/>
    <w:rPr>
      <w:szCs w:val="20"/>
    </w:rPr>
  </w:style>
  <w:style w:type="paragraph" w:customStyle="1" w:styleId="73">
    <w:name w:val="Default Paragraph Font Para Char Char Char Char Char Char"/>
    <w:basedOn w:val="1"/>
    <w:qFormat/>
    <w:uiPriority w:val="0"/>
    <w:pPr>
      <w:widowControl/>
      <w:spacing w:beforeLines="50" w:after="160" w:line="240" w:lineRule="exact"/>
      <w:jc w:val="left"/>
    </w:pPr>
    <w:rPr>
      <w:szCs w:val="20"/>
    </w:rPr>
  </w:style>
  <w:style w:type="paragraph" w:customStyle="1" w:styleId="74">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75">
    <w:name w:val="µ1"/>
    <w:basedOn w:val="1"/>
    <w:qFormat/>
    <w:uiPriority w:val="0"/>
    <w:pPr>
      <w:widowControl/>
      <w:overflowPunct w:val="0"/>
      <w:autoSpaceDE w:val="0"/>
      <w:autoSpaceDN w:val="0"/>
      <w:adjustRightInd w:val="0"/>
      <w:spacing w:beforeLines="50" w:afterLines="50" w:line="240" w:lineRule="exact"/>
      <w:ind w:left="432" w:hanging="432"/>
    </w:pPr>
    <w:rPr>
      <w:rFonts w:ascii="楷体" w:eastAsia="楷体"/>
      <w:spacing w:val="-20"/>
      <w:kern w:val="28"/>
      <w:position w:val="-6"/>
      <w:sz w:val="24"/>
      <w:szCs w:val="20"/>
    </w:rPr>
  </w:style>
  <w:style w:type="paragraph" w:customStyle="1" w:styleId="76">
    <w:name w:val="Char1 Char Char Char Char Char Char"/>
    <w:basedOn w:val="1"/>
    <w:qFormat/>
    <w:uiPriority w:val="0"/>
    <w:pPr>
      <w:spacing w:beforeLines="50" w:afterLines="50" w:line="240" w:lineRule="exact"/>
    </w:pPr>
    <w:rPr>
      <w:rFonts w:ascii="Tahoma" w:hAnsi="Tahoma"/>
      <w:sz w:val="24"/>
      <w:szCs w:val="20"/>
    </w:rPr>
  </w:style>
  <w:style w:type="paragraph" w:customStyle="1" w:styleId="77">
    <w:name w:val="Blockquote"/>
    <w:basedOn w:val="1"/>
    <w:link w:val="96"/>
    <w:qFormat/>
    <w:uiPriority w:val="0"/>
    <w:pPr>
      <w:autoSpaceDE w:val="0"/>
      <w:autoSpaceDN w:val="0"/>
      <w:adjustRightInd w:val="0"/>
      <w:spacing w:before="100" w:after="100"/>
      <w:ind w:left="360" w:right="360"/>
      <w:jc w:val="left"/>
    </w:pPr>
    <w:rPr>
      <w:kern w:val="0"/>
      <w:sz w:val="24"/>
      <w:szCs w:val="20"/>
    </w:rPr>
  </w:style>
  <w:style w:type="paragraph" w:customStyle="1" w:styleId="78">
    <w:name w:val="1.1编号"/>
    <w:basedOn w:val="1"/>
    <w:qFormat/>
    <w:uiPriority w:val="0"/>
    <w:pPr>
      <w:widowControl/>
      <w:tabs>
        <w:tab w:val="left" w:pos="1559"/>
      </w:tabs>
      <w:spacing w:beforeLines="50" w:afterLines="50" w:line="380" w:lineRule="exact"/>
      <w:ind w:left="1559" w:hanging="1559"/>
    </w:pPr>
    <w:rPr>
      <w:b/>
      <w:spacing w:val="20"/>
      <w:szCs w:val="20"/>
    </w:rPr>
  </w:style>
  <w:style w:type="paragraph" w:customStyle="1" w:styleId="79">
    <w:name w:val="2"/>
    <w:basedOn w:val="1"/>
    <w:next w:val="24"/>
    <w:qFormat/>
    <w:uiPriority w:val="0"/>
    <w:rPr>
      <w:rFonts w:ascii="宋体" w:hAnsi="Courier New"/>
      <w:szCs w:val="20"/>
    </w:rPr>
  </w:style>
  <w:style w:type="paragraph" w:customStyle="1" w:styleId="80">
    <w:name w:val="a 正文"/>
    <w:basedOn w:val="61"/>
    <w:qFormat/>
    <w:uiPriority w:val="0"/>
    <w:pPr>
      <w:numPr>
        <w:ilvl w:val="2"/>
        <w:numId w:val="3"/>
      </w:numPr>
      <w:tabs>
        <w:tab w:val="clear" w:pos="720"/>
      </w:tabs>
      <w:ind w:left="681" w:hanging="227"/>
    </w:pPr>
  </w:style>
  <w:style w:type="paragraph" w:customStyle="1" w:styleId="81">
    <w:name w:val=" Char"/>
    <w:basedOn w:val="1"/>
    <w:qFormat/>
    <w:uiPriority w:val="0"/>
    <w:rPr>
      <w:rFonts w:ascii="Tahoma" w:hAnsi="Tahoma"/>
      <w:sz w:val="24"/>
      <w:szCs w:val="20"/>
    </w:rPr>
  </w:style>
  <w:style w:type="paragraph" w:customStyle="1" w:styleId="82">
    <w:name w:val="section编号"/>
    <w:basedOn w:val="1"/>
    <w:qFormat/>
    <w:uiPriority w:val="0"/>
    <w:pPr>
      <w:widowControl/>
      <w:numPr>
        <w:ilvl w:val="0"/>
        <w:numId w:val="1"/>
      </w:numPr>
      <w:spacing w:beforeLines="50" w:afterLines="50" w:line="420" w:lineRule="exact"/>
      <w:jc w:val="center"/>
    </w:pPr>
    <w:rPr>
      <w:rFonts w:ascii="Arial" w:hAnsi="Arial" w:eastAsia="黑体"/>
      <w:spacing w:val="40"/>
      <w:sz w:val="28"/>
      <w:szCs w:val="20"/>
    </w:rPr>
  </w:style>
  <w:style w:type="paragraph" w:customStyle="1" w:styleId="83">
    <w:name w:val="样式3"/>
    <w:basedOn w:val="1"/>
    <w:qFormat/>
    <w:uiPriority w:val="0"/>
    <w:pPr>
      <w:numPr>
        <w:ilvl w:val="0"/>
        <w:numId w:val="7"/>
      </w:numPr>
      <w:spacing w:beforeLines="50" w:afterLines="50" w:line="240" w:lineRule="exact"/>
      <w:ind w:left="1065" w:firstLine="0"/>
    </w:pPr>
    <w:rPr>
      <w:sz w:val="28"/>
      <w:szCs w:val="20"/>
    </w:rPr>
  </w:style>
  <w:style w:type="paragraph" w:customStyle="1" w:styleId="84">
    <w:name w:val="table"/>
    <w:basedOn w:val="1"/>
    <w:qFormat/>
    <w:uiPriority w:val="0"/>
    <w:pPr>
      <w:keepNext/>
      <w:widowControl/>
      <w:overflowPunct w:val="0"/>
      <w:autoSpaceDE w:val="0"/>
      <w:autoSpaceDN w:val="0"/>
      <w:adjustRightInd w:val="0"/>
      <w:spacing w:beforeLines="50" w:afterLines="50" w:line="240" w:lineRule="exact"/>
      <w:jc w:val="left"/>
    </w:pPr>
    <w:rPr>
      <w:rFonts w:ascii="楷体" w:eastAsia="楷体"/>
      <w:b/>
      <w:spacing w:val="2"/>
      <w:kern w:val="28"/>
      <w:position w:val="-6"/>
      <w:sz w:val="24"/>
      <w:szCs w:val="20"/>
    </w:rPr>
  </w:style>
  <w:style w:type="paragraph" w:customStyle="1" w:styleId="85">
    <w:name w:val="."/>
    <w:basedOn w:val="1"/>
    <w:qFormat/>
    <w:uiPriority w:val="0"/>
    <w:pPr>
      <w:widowControl/>
      <w:overflowPunct w:val="0"/>
      <w:autoSpaceDE w:val="0"/>
      <w:autoSpaceDN w:val="0"/>
      <w:adjustRightInd w:val="0"/>
      <w:spacing w:beforeLines="50" w:afterLines="50" w:line="264" w:lineRule="auto"/>
      <w:ind w:left="681" w:hanging="227"/>
    </w:pPr>
    <w:rPr>
      <w:rFonts w:ascii="宋体"/>
      <w:kern w:val="0"/>
      <w:sz w:val="24"/>
      <w:szCs w:val="20"/>
    </w:rPr>
  </w:style>
  <w:style w:type="paragraph" w:customStyle="1" w:styleId="86">
    <w:name w:val="1.正文"/>
    <w:basedOn w:val="1"/>
    <w:qFormat/>
    <w:uiPriority w:val="0"/>
    <w:pPr>
      <w:widowControl/>
      <w:numPr>
        <w:ilvl w:val="1"/>
        <w:numId w:val="3"/>
      </w:numPr>
      <w:spacing w:beforeLines="50" w:afterLines="50" w:line="300" w:lineRule="exact"/>
    </w:pPr>
    <w:rPr>
      <w:szCs w:val="20"/>
    </w:rPr>
  </w:style>
  <w:style w:type="paragraph" w:customStyle="1" w:styleId="87">
    <w:name w:val="Char1"/>
    <w:basedOn w:val="1"/>
    <w:qFormat/>
    <w:uiPriority w:val="0"/>
    <w:pPr>
      <w:spacing w:beforeLines="50" w:afterLines="50" w:line="240" w:lineRule="exact"/>
    </w:pPr>
    <w:rPr>
      <w:rFonts w:ascii="Tahoma" w:hAnsi="Tahoma"/>
      <w:sz w:val="24"/>
      <w:szCs w:val="20"/>
    </w:rPr>
  </w:style>
  <w:style w:type="paragraph" w:customStyle="1" w:styleId="88">
    <w:name w:val="_Style 84"/>
    <w:basedOn w:val="1"/>
    <w:qFormat/>
    <w:uiPriority w:val="34"/>
    <w:pPr>
      <w:ind w:firstLine="420" w:firstLineChars="200"/>
    </w:pPr>
  </w:style>
  <w:style w:type="character" w:customStyle="1" w:styleId="89">
    <w:name w:val="标题 6 Char"/>
    <w:basedOn w:val="45"/>
    <w:link w:val="8"/>
    <w:qFormat/>
    <w:locked/>
    <w:uiPriority w:val="0"/>
    <w:rPr>
      <w:rFonts w:ascii="Arial" w:hAnsi="Arial" w:eastAsia="黑体"/>
      <w:b/>
      <w:sz w:val="24"/>
      <w:lang w:val="en-US" w:eastAsia="zh-CN" w:bidi="ar-SA"/>
    </w:rPr>
  </w:style>
  <w:style w:type="character" w:customStyle="1" w:styleId="90">
    <w:name w:val="标题 7 Char"/>
    <w:basedOn w:val="45"/>
    <w:link w:val="9"/>
    <w:qFormat/>
    <w:locked/>
    <w:uiPriority w:val="0"/>
    <w:rPr>
      <w:rFonts w:eastAsia="宋体"/>
      <w:b/>
      <w:sz w:val="24"/>
      <w:lang w:val="en-US" w:eastAsia="zh-CN" w:bidi="ar-SA"/>
    </w:rPr>
  </w:style>
  <w:style w:type="character" w:customStyle="1" w:styleId="91">
    <w:name w:val="en"/>
    <w:basedOn w:val="45"/>
    <w:qFormat/>
    <w:uiPriority w:val="0"/>
  </w:style>
  <w:style w:type="character" w:customStyle="1" w:styleId="92">
    <w:name w:val="标题 8 Char"/>
    <w:basedOn w:val="45"/>
    <w:link w:val="10"/>
    <w:qFormat/>
    <w:locked/>
    <w:uiPriority w:val="0"/>
    <w:rPr>
      <w:rFonts w:ascii="Arial" w:hAnsi="Arial" w:eastAsia="黑体"/>
      <w:sz w:val="24"/>
      <w:lang w:val="en-US" w:eastAsia="zh-CN" w:bidi="ar-SA"/>
    </w:rPr>
  </w:style>
  <w:style w:type="character" w:customStyle="1" w:styleId="93">
    <w:name w:val="文档结构图 Char"/>
    <w:basedOn w:val="45"/>
    <w:link w:val="14"/>
    <w:qFormat/>
    <w:locked/>
    <w:uiPriority w:val="0"/>
    <w:rPr>
      <w:rFonts w:ascii="宋体" w:hAnsi="宋体" w:eastAsia="宋体"/>
      <w:kern w:val="2"/>
      <w:sz w:val="21"/>
      <w:szCs w:val="24"/>
      <w:lang w:bidi="ar-SA"/>
    </w:rPr>
  </w:style>
  <w:style w:type="character" w:customStyle="1" w:styleId="94">
    <w:name w:val="正文首行缩进 Char"/>
    <w:basedOn w:val="95"/>
    <w:link w:val="42"/>
    <w:qFormat/>
    <w:locked/>
    <w:uiPriority w:val="0"/>
    <w:rPr>
      <w:rFonts w:eastAsia="宋体"/>
      <w:sz w:val="21"/>
      <w:szCs w:val="24"/>
    </w:rPr>
  </w:style>
  <w:style w:type="character" w:customStyle="1" w:styleId="95">
    <w:name w:val="正文文本 Char"/>
    <w:basedOn w:val="45"/>
    <w:link w:val="16"/>
    <w:qFormat/>
    <w:locked/>
    <w:uiPriority w:val="0"/>
    <w:rPr>
      <w:rFonts w:ascii="金山简黑体" w:hAnsi="Courier New" w:eastAsia="金山简黑体"/>
      <w:b/>
      <w:spacing w:val="-8"/>
      <w:kern w:val="2"/>
      <w:sz w:val="44"/>
      <w:lang w:val="en-US" w:eastAsia="zh-CN" w:bidi="ar-SA"/>
    </w:rPr>
  </w:style>
  <w:style w:type="character" w:customStyle="1" w:styleId="96">
    <w:name w:val="Blockquote Char2"/>
    <w:basedOn w:val="45"/>
    <w:link w:val="77"/>
    <w:qFormat/>
    <w:locked/>
    <w:uiPriority w:val="0"/>
    <w:rPr>
      <w:rFonts w:eastAsia="宋体"/>
      <w:sz w:val="24"/>
      <w:lang w:val="en-US" w:eastAsia="zh-CN" w:bidi="ar-SA"/>
    </w:rPr>
  </w:style>
  <w:style w:type="character" w:customStyle="1" w:styleId="97">
    <w:name w:val="标题 9 Char"/>
    <w:basedOn w:val="45"/>
    <w:link w:val="11"/>
    <w:qFormat/>
    <w:locked/>
    <w:uiPriority w:val="0"/>
    <w:rPr>
      <w:rFonts w:ascii="Arial" w:hAnsi="Arial" w:eastAsia="黑体"/>
      <w:sz w:val="21"/>
      <w:lang w:val="en-US" w:eastAsia="zh-CN" w:bidi="ar-SA"/>
    </w:rPr>
  </w:style>
  <w:style w:type="character" w:customStyle="1" w:styleId="98">
    <w:name w:val="标题 Char"/>
    <w:basedOn w:val="45"/>
    <w:link w:val="40"/>
    <w:qFormat/>
    <w:locked/>
    <w:uiPriority w:val="0"/>
    <w:rPr>
      <w:rFonts w:ascii="Cambria" w:hAnsi="Cambria" w:eastAsia="宋体"/>
      <w:b/>
      <w:bCs/>
      <w:kern w:val="2"/>
      <w:sz w:val="36"/>
      <w:szCs w:val="32"/>
      <w:lang w:val="en-US" w:eastAsia="zh-CN" w:bidi="ar-SA"/>
    </w:rPr>
  </w:style>
  <w:style w:type="character" w:customStyle="1" w:styleId="99">
    <w:name w:val="Char Char1"/>
    <w:qFormat/>
    <w:uiPriority w:val="0"/>
    <w:rPr>
      <w:rFonts w:hint="eastAsia" w:ascii="宋体" w:hAnsi="宋体" w:eastAsia="宋体"/>
      <w:kern w:val="2"/>
      <w:sz w:val="18"/>
      <w:szCs w:val="18"/>
      <w:lang w:val="en-US" w:eastAsia="zh-CN" w:bidi="ar-SA"/>
    </w:rPr>
  </w:style>
  <w:style w:type="character" w:customStyle="1" w:styleId="100">
    <w:name w:val="style1"/>
    <w:basedOn w:val="45"/>
    <w:qFormat/>
    <w:uiPriority w:val="0"/>
  </w:style>
  <w:style w:type="character" w:customStyle="1" w:styleId="101">
    <w:name w:val="标题 2 Char"/>
    <w:basedOn w:val="45"/>
    <w:link w:val="4"/>
    <w:qFormat/>
    <w:locked/>
    <w:uiPriority w:val="0"/>
    <w:rPr>
      <w:rFonts w:ascii="Arial" w:hAnsi="Arial" w:eastAsia="黑体"/>
      <w:b/>
      <w:bCs/>
      <w:kern w:val="2"/>
      <w:sz w:val="32"/>
      <w:szCs w:val="32"/>
      <w:lang w:val="en-US" w:eastAsia="zh-CN" w:bidi="ar-SA"/>
    </w:rPr>
  </w:style>
  <w:style w:type="character" w:customStyle="1" w:styleId="102">
    <w:name w:val="style6"/>
    <w:basedOn w:val="45"/>
    <w:qFormat/>
    <w:uiPriority w:val="0"/>
  </w:style>
  <w:style w:type="character" w:customStyle="1" w:styleId="103">
    <w:name w:val="标题 5 Char"/>
    <w:basedOn w:val="45"/>
    <w:link w:val="7"/>
    <w:qFormat/>
    <w:locked/>
    <w:uiPriority w:val="0"/>
    <w:rPr>
      <w:rFonts w:eastAsia="宋体"/>
      <w:b/>
      <w:bCs/>
      <w:kern w:val="2"/>
      <w:sz w:val="28"/>
      <w:szCs w:val="28"/>
      <w:lang w:val="en-US" w:eastAsia="zh-CN" w:bidi="ar-SA"/>
    </w:rPr>
  </w:style>
  <w:style w:type="character" w:customStyle="1" w:styleId="104">
    <w:name w:val="正文文本 2 Char"/>
    <w:basedOn w:val="45"/>
    <w:link w:val="37"/>
    <w:qFormat/>
    <w:locked/>
    <w:uiPriority w:val="0"/>
    <w:rPr>
      <w:rFonts w:ascii="宋体" w:hAnsi="宋体" w:eastAsia="宋体"/>
      <w:color w:val="FF0000"/>
      <w:kern w:val="2"/>
      <w:sz w:val="21"/>
      <w:szCs w:val="21"/>
      <w:lang w:val="en-US" w:eastAsia="zh-CN" w:bidi="ar-SA"/>
    </w:rPr>
  </w:style>
  <w:style w:type="character" w:customStyle="1" w:styleId="105">
    <w:name w:val="样式 Char"/>
    <w:qFormat/>
    <w:uiPriority w:val="0"/>
    <w:rPr>
      <w:rFonts w:hint="default" w:ascii="宋体" w:hAnsi="宋体" w:eastAsia="宋体" w:cs="宋体"/>
      <w:sz w:val="24"/>
      <w:szCs w:val="24"/>
      <w:lang w:val="en-US" w:eastAsia="zh-CN" w:bidi="ar-SA"/>
    </w:rPr>
  </w:style>
  <w:style w:type="character" w:customStyle="1" w:styleId="106">
    <w:name w:val="apple-converted-space"/>
    <w:basedOn w:val="45"/>
    <w:qFormat/>
    <w:uiPriority w:val="0"/>
  </w:style>
  <w:style w:type="character" w:customStyle="1" w:styleId="107">
    <w:name w:val="标题 3 Char"/>
    <w:link w:val="5"/>
    <w:qFormat/>
    <w:locked/>
    <w:uiPriority w:val="0"/>
    <w:rPr>
      <w:rFonts w:eastAsia="宋体"/>
      <w:b/>
      <w:bCs/>
      <w:kern w:val="2"/>
      <w:sz w:val="32"/>
      <w:szCs w:val="32"/>
      <w:lang w:val="en-US" w:eastAsia="zh-CN" w:bidi="ar-SA"/>
    </w:rPr>
  </w:style>
  <w:style w:type="character" w:customStyle="1" w:styleId="108">
    <w:name w:val="纯文本 Char1"/>
    <w:basedOn w:val="45"/>
    <w:qFormat/>
    <w:uiPriority w:val="0"/>
    <w:rPr>
      <w:rFonts w:ascii="宋体" w:hAnsi="Courier New" w:eastAsia="宋体"/>
      <w:kern w:val="2"/>
      <w:sz w:val="21"/>
      <w:lang w:val="en-US" w:eastAsia="zh-CN" w:bidi="ar-SA"/>
    </w:rPr>
  </w:style>
  <w:style w:type="character" w:customStyle="1" w:styleId="109">
    <w:name w:val="批注主题 Char"/>
    <w:basedOn w:val="110"/>
    <w:link w:val="41"/>
    <w:semiHidden/>
    <w:qFormat/>
    <w:locked/>
    <w:uiPriority w:val="0"/>
    <w:rPr>
      <w:b/>
      <w:bCs/>
    </w:rPr>
  </w:style>
  <w:style w:type="character" w:customStyle="1" w:styleId="110">
    <w:name w:val="批注文字 Char"/>
    <w:basedOn w:val="45"/>
    <w:link w:val="15"/>
    <w:qFormat/>
    <w:locked/>
    <w:uiPriority w:val="0"/>
    <w:rPr>
      <w:rFonts w:ascii="宋体" w:hAnsi="宋体" w:eastAsia="宋体"/>
      <w:kern w:val="2"/>
      <w:sz w:val="21"/>
      <w:szCs w:val="24"/>
      <w:lang w:bidi="ar-SA"/>
    </w:rPr>
  </w:style>
  <w:style w:type="character" w:customStyle="1" w:styleId="111">
    <w:name w:val="批注框文本 Char"/>
    <w:link w:val="28"/>
    <w:qFormat/>
    <w:locked/>
    <w:uiPriority w:val="0"/>
    <w:rPr>
      <w:rFonts w:eastAsia="宋体"/>
      <w:kern w:val="2"/>
      <w:sz w:val="18"/>
      <w:szCs w:val="18"/>
      <w:lang w:val="en-US" w:eastAsia="zh-CN" w:bidi="ar-SA"/>
    </w:rPr>
  </w:style>
  <w:style w:type="character" w:customStyle="1" w:styleId="112">
    <w:name w:val="页脚 Char"/>
    <w:basedOn w:val="45"/>
    <w:link w:val="29"/>
    <w:qFormat/>
    <w:uiPriority w:val="99"/>
    <w:rPr>
      <w:rFonts w:ascii="宋体" w:hAnsi="Courier New"/>
      <w:kern w:val="2"/>
      <w:sz w:val="18"/>
    </w:rPr>
  </w:style>
  <w:style w:type="character" w:customStyle="1" w:styleId="113">
    <w:name w:val="标题 4 Char"/>
    <w:basedOn w:val="45"/>
    <w:link w:val="6"/>
    <w:qFormat/>
    <w:locked/>
    <w:uiPriority w:val="0"/>
    <w:rPr>
      <w:rFonts w:ascii="Arial" w:hAnsi="Arial" w:eastAsia="黑体"/>
      <w:b/>
      <w:bCs/>
      <w:kern w:val="2"/>
      <w:sz w:val="28"/>
      <w:szCs w:val="28"/>
      <w:lang w:val="en-US" w:eastAsia="zh-CN" w:bidi="ar-SA"/>
    </w:rPr>
  </w:style>
  <w:style w:type="character" w:customStyle="1" w:styleId="114">
    <w:name w:val="标题 1 Char"/>
    <w:basedOn w:val="45"/>
    <w:link w:val="3"/>
    <w:qFormat/>
    <w:locked/>
    <w:uiPriority w:val="0"/>
    <w:rPr>
      <w:rFonts w:eastAsia="宋体"/>
      <w:b/>
      <w:kern w:val="2"/>
      <w:sz w:val="21"/>
      <w:szCs w:val="24"/>
      <w:lang w:val="en-US" w:eastAsia="zh-CN" w:bidi="ar-SA"/>
    </w:rPr>
  </w:style>
  <w:style w:type="character" w:customStyle="1" w:styleId="115">
    <w:name w:val="para1"/>
    <w:basedOn w:val="45"/>
    <w:qFormat/>
    <w:uiPriority w:val="0"/>
    <w:rPr>
      <w:rFonts w:hint="default" w:ascii="Arial" w:hAnsi="Arial" w:cs="Arial"/>
      <w:sz w:val="18"/>
      <w:szCs w:val="18"/>
    </w:rPr>
  </w:style>
  <w:style w:type="character" w:customStyle="1" w:styleId="116">
    <w:name w:val="纯文本 Char"/>
    <w:basedOn w:val="45"/>
    <w:link w:val="24"/>
    <w:qFormat/>
    <w:uiPriority w:val="99"/>
    <w:rPr>
      <w:rFonts w:ascii="宋体" w:hAnsi="Courier New" w:eastAsia="宋体"/>
      <w:kern w:val="2"/>
      <w:sz w:val="21"/>
      <w:lang w:val="en-US" w:eastAsia="zh-CN" w:bidi="ar-SA"/>
    </w:rPr>
  </w:style>
  <w:style w:type="character" w:customStyle="1" w:styleId="117">
    <w:name w:val="Char Char"/>
    <w:qFormat/>
    <w:uiPriority w:val="0"/>
    <w:rPr>
      <w:rFonts w:hint="eastAsia" w:ascii="宋体" w:hAnsi="宋体" w:eastAsia="宋体"/>
      <w:kern w:val="2"/>
      <w:sz w:val="18"/>
      <w:szCs w:val="18"/>
      <w:lang w:val="en-US" w:eastAsia="zh-CN" w:bidi="ar-SA"/>
    </w:rPr>
  </w:style>
  <w:style w:type="character" w:customStyle="1" w:styleId="118">
    <w:name w:val="脚注文本 Char"/>
    <w:basedOn w:val="45"/>
    <w:link w:val="32"/>
    <w:qFormat/>
    <w:locked/>
    <w:uiPriority w:val="0"/>
    <w:rPr>
      <w:rFonts w:ascii="宋体" w:hAnsi="宋体" w:eastAsia="宋体"/>
      <w:kern w:val="2"/>
      <w:sz w:val="18"/>
      <w:lang w:bidi="ar-SA"/>
    </w:rPr>
  </w:style>
  <w:style w:type="character" w:customStyle="1" w:styleId="119">
    <w:name w:val="正文文本缩进 3 Char"/>
    <w:basedOn w:val="45"/>
    <w:link w:val="34"/>
    <w:qFormat/>
    <w:locked/>
    <w:uiPriority w:val="0"/>
    <w:rPr>
      <w:rFonts w:eastAsia="宋体"/>
      <w:kern w:val="2"/>
      <w:sz w:val="28"/>
      <w:lang w:val="en-US" w:eastAsia="zh-CN" w:bidi="ar-SA"/>
    </w:rPr>
  </w:style>
  <w:style w:type="character" w:customStyle="1" w:styleId="120">
    <w:name w:val="正文文本缩进 Char"/>
    <w:basedOn w:val="45"/>
    <w:link w:val="20"/>
    <w:qFormat/>
    <w:uiPriority w:val="0"/>
    <w:rPr>
      <w:rFonts w:ascii="宋体" w:hAnsi="Courier New"/>
      <w:spacing w:val="-4"/>
      <w:kern w:val="2"/>
      <w:sz w:val="18"/>
    </w:rPr>
  </w:style>
  <w:style w:type="character" w:customStyle="1" w:styleId="121">
    <w:name w:val="font11"/>
    <w:basedOn w:val="45"/>
    <w:qFormat/>
    <w:uiPriority w:val="0"/>
    <w:rPr>
      <w:rFonts w:hint="eastAsia" w:ascii="新宋体" w:hAnsi="新宋体" w:eastAsia="新宋体" w:cs="新宋体"/>
      <w:color w:val="000000"/>
      <w:sz w:val="28"/>
      <w:szCs w:val="28"/>
      <w:u w:val="none"/>
    </w:rPr>
  </w:style>
  <w:style w:type="character" w:customStyle="1" w:styleId="122">
    <w:name w:val="font01"/>
    <w:basedOn w:val="45"/>
    <w:qFormat/>
    <w:uiPriority w:val="0"/>
    <w:rPr>
      <w:rFonts w:hint="eastAsia" w:ascii="新宋体" w:hAnsi="新宋体" w:eastAsia="新宋体" w:cs="新宋体"/>
      <w:color w:val="000000"/>
      <w:sz w:val="28"/>
      <w:szCs w:val="28"/>
      <w:u w:val="none"/>
      <w:vertAlign w:val="superscript"/>
    </w:rPr>
  </w:style>
  <w:style w:type="character" w:customStyle="1" w:styleId="123">
    <w:name w:val="query"/>
    <w:basedOn w:val="45"/>
    <w:qFormat/>
    <w:uiPriority w:val="0"/>
    <w:rPr>
      <w:color w:val="303030"/>
      <w:sz w:val="24"/>
      <w:szCs w:val="24"/>
    </w:rPr>
  </w:style>
  <w:style w:type="character" w:customStyle="1" w:styleId="124">
    <w:name w:val="highlight"/>
    <w:basedOn w:val="45"/>
    <w:qFormat/>
    <w:uiPriority w:val="0"/>
    <w:rPr>
      <w:color w:val="FF0000"/>
      <w:sz w:val="21"/>
      <w:szCs w:val="21"/>
    </w:rPr>
  </w:style>
  <w:style w:type="character" w:customStyle="1" w:styleId="125">
    <w:name w:val="left2"/>
    <w:basedOn w:val="45"/>
    <w:qFormat/>
    <w:uiPriority w:val="0"/>
  </w:style>
  <w:style w:type="character" w:customStyle="1" w:styleId="126">
    <w:name w:val="right"/>
    <w:basedOn w:val="45"/>
    <w:qFormat/>
    <w:uiPriority w:val="0"/>
  </w:style>
  <w:style w:type="character" w:customStyle="1" w:styleId="127">
    <w:name w:val="sp1"/>
    <w:basedOn w:val="45"/>
    <w:qFormat/>
    <w:uiPriority w:val="0"/>
  </w:style>
  <w:style w:type="character" w:customStyle="1" w:styleId="128">
    <w:name w:val="sp22"/>
    <w:basedOn w:val="45"/>
    <w:qFormat/>
    <w:uiPriority w:val="0"/>
  </w:style>
  <w:style w:type="character" w:customStyle="1" w:styleId="129">
    <w:name w:val="sp3"/>
    <w:basedOn w:val="45"/>
    <w:qFormat/>
    <w:uiPriority w:val="0"/>
  </w:style>
  <w:style w:type="character" w:customStyle="1" w:styleId="130">
    <w:name w:val="sp4"/>
    <w:basedOn w:val="45"/>
    <w:qFormat/>
    <w:uiPriority w:val="0"/>
  </w:style>
  <w:style w:type="character" w:customStyle="1" w:styleId="131">
    <w:name w:val="sp8"/>
    <w:basedOn w:val="45"/>
    <w:qFormat/>
    <w:uiPriority w:val="0"/>
    <w:rPr>
      <w:color w:val="F31E1E"/>
    </w:rPr>
  </w:style>
  <w:style w:type="character" w:customStyle="1" w:styleId="132">
    <w:name w:val="sp5"/>
    <w:basedOn w:val="45"/>
    <w:qFormat/>
    <w:uiPriority w:val="0"/>
  </w:style>
  <w:style w:type="character" w:customStyle="1" w:styleId="133">
    <w:name w:val="sp6"/>
    <w:basedOn w:val="45"/>
    <w:qFormat/>
    <w:uiPriority w:val="0"/>
  </w:style>
  <w:style w:type="character" w:customStyle="1" w:styleId="134">
    <w:name w:val="sp7"/>
    <w:basedOn w:val="45"/>
    <w:qFormat/>
    <w:uiPriority w:val="0"/>
  </w:style>
  <w:style w:type="character" w:customStyle="1" w:styleId="135">
    <w:name w:val="left"/>
    <w:basedOn w:val="45"/>
    <w:qFormat/>
    <w:uiPriority w:val="0"/>
  </w:style>
  <w:style w:type="character" w:customStyle="1" w:styleId="136">
    <w:name w:val="right2"/>
    <w:basedOn w:val="45"/>
    <w:qFormat/>
    <w:uiPriority w:val="0"/>
  </w:style>
  <w:style w:type="character" w:customStyle="1" w:styleId="137">
    <w:name w:val="font91"/>
    <w:basedOn w:val="45"/>
    <w:qFormat/>
    <w:uiPriority w:val="0"/>
    <w:rPr>
      <w:rFonts w:hint="default" w:ascii="Times New Roman" w:hAnsi="Times New Roman" w:cs="Times New Roman"/>
      <w:color w:val="000000"/>
      <w:sz w:val="20"/>
      <w:szCs w:val="20"/>
      <w:u w:val="none"/>
      <w:vertAlign w:val="superscript"/>
    </w:rPr>
  </w:style>
  <w:style w:type="character" w:customStyle="1" w:styleId="138">
    <w:name w:val="font51"/>
    <w:basedOn w:val="45"/>
    <w:qFormat/>
    <w:uiPriority w:val="0"/>
    <w:rPr>
      <w:rFonts w:hint="eastAsia" w:ascii="宋体" w:hAnsi="宋体" w:eastAsia="宋体" w:cs="宋体"/>
      <w:color w:val="000000"/>
      <w:sz w:val="20"/>
      <w:szCs w:val="20"/>
      <w:u w:val="none"/>
      <w:vertAlign w:val="superscript"/>
    </w:rPr>
  </w:style>
  <w:style w:type="character" w:customStyle="1" w:styleId="139">
    <w:name w:val="font61"/>
    <w:basedOn w:val="45"/>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3431</Words>
  <Characters>19563</Characters>
  <Lines>163</Lines>
  <Paragraphs>45</Paragraphs>
  <TotalTime>3</TotalTime>
  <ScaleCrop>false</ScaleCrop>
  <LinksUpToDate>false</LinksUpToDate>
  <CharactersWithSpaces>22949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2016-07-22T03:03:00Z</dcterms:created>
  <dc:creator>微软用户</dc:creator>
  <cp:lastModifiedBy>lisa</cp:lastModifiedBy>
  <cp:lastPrinted>2020-01-17T01:51:00Z</cp:lastPrinted>
  <dcterms:modified xsi:type="dcterms:W3CDTF">2020-11-10T00:40:46Z</dcterms:modified>
  <dc:title>广西创建项目咨询有限公司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