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1131" w:firstLineChars="145"/>
        <w:rPr>
          <w:rFonts w:hint="eastAsia" w:ascii="楷体" w:hAnsi="楷体" w:eastAsia="楷体"/>
          <w:bCs/>
          <w:color w:val="auto"/>
          <w:spacing w:val="90"/>
          <w:sz w:val="60"/>
          <w:highlight w:val="none"/>
        </w:rPr>
      </w:pPr>
      <w:bookmarkStart w:id="51" w:name="_GoBack"/>
      <w:bookmarkEnd w:id="51"/>
    </w:p>
    <w:p>
      <w:pPr>
        <w:spacing w:line="600" w:lineRule="exact"/>
        <w:jc w:val="center"/>
        <w:rPr>
          <w:rFonts w:hint="eastAsia" w:ascii="宋体" w:hAnsi="宋体"/>
          <w:b/>
          <w:color w:val="auto"/>
          <w:sz w:val="44"/>
          <w:szCs w:val="44"/>
          <w:highlight w:val="none"/>
        </w:rPr>
      </w:pPr>
      <w:r>
        <w:rPr>
          <w:rFonts w:hint="eastAsia" w:ascii="宋体" w:hAnsi="宋体"/>
          <w:b/>
          <w:color w:val="auto"/>
          <w:sz w:val="48"/>
          <w:szCs w:val="48"/>
          <w:highlight w:val="none"/>
        </w:rPr>
        <w:t>广西峻源项目管理有限公司</w:t>
      </w:r>
    </w:p>
    <w:p>
      <w:pPr>
        <w:spacing w:line="720" w:lineRule="exact"/>
        <w:jc w:val="center"/>
        <w:rPr>
          <w:rFonts w:hint="eastAsia" w:ascii="黑体" w:eastAsia="黑体"/>
          <w:color w:val="auto"/>
          <w:sz w:val="52"/>
          <w:highlight w:val="none"/>
        </w:rPr>
      </w:pPr>
    </w:p>
    <w:p>
      <w:pPr>
        <w:spacing w:line="720" w:lineRule="exact"/>
        <w:jc w:val="center"/>
        <w:rPr>
          <w:rFonts w:hint="eastAsia" w:ascii="黑体" w:eastAsia="黑体"/>
          <w:color w:val="auto"/>
          <w:sz w:val="52"/>
          <w:highlight w:val="none"/>
        </w:rPr>
      </w:pPr>
    </w:p>
    <w:p>
      <w:pPr>
        <w:spacing w:before="312" w:beforeLines="100" w:after="156" w:afterLines="50" w:line="360" w:lineRule="auto"/>
        <w:jc w:val="center"/>
        <w:rPr>
          <w:rFonts w:hint="eastAsia" w:ascii="宋体" w:hAnsi="宋体"/>
          <w:b/>
          <w:color w:val="auto"/>
          <w:sz w:val="84"/>
          <w:szCs w:val="84"/>
          <w:highlight w:val="none"/>
        </w:rPr>
      </w:pPr>
      <w:r>
        <w:rPr>
          <w:rFonts w:hint="eastAsia" w:ascii="宋体" w:hAnsi="宋体"/>
          <w:b/>
          <w:color w:val="auto"/>
          <w:sz w:val="84"/>
          <w:szCs w:val="84"/>
          <w:highlight w:val="none"/>
        </w:rPr>
        <w:t>竞争性谈判文件</w:t>
      </w:r>
    </w:p>
    <w:p>
      <w:pPr>
        <w:spacing w:line="720" w:lineRule="exact"/>
        <w:jc w:val="center"/>
        <w:rPr>
          <w:rFonts w:hint="eastAsia" w:ascii="黑体" w:eastAsia="黑体"/>
          <w:color w:val="auto"/>
          <w:highlight w:val="none"/>
        </w:rPr>
      </w:pPr>
    </w:p>
    <w:p>
      <w:pPr>
        <w:spacing w:line="720" w:lineRule="exact"/>
        <w:ind w:firstLine="1260" w:firstLineChars="600"/>
        <w:rPr>
          <w:rFonts w:hint="eastAsia" w:ascii="黑体" w:eastAsia="黑体"/>
          <w:color w:val="auto"/>
          <w:highlight w:val="none"/>
        </w:rPr>
      </w:pPr>
    </w:p>
    <w:p>
      <w:pPr>
        <w:spacing w:line="720" w:lineRule="exact"/>
        <w:ind w:firstLine="960" w:firstLineChars="300"/>
        <w:rPr>
          <w:rFonts w:hint="eastAsia" w:ascii="黑体" w:hAnsi="黑体" w:eastAsia="黑体"/>
          <w:bCs/>
          <w:color w:val="auto"/>
          <w:sz w:val="32"/>
          <w:szCs w:val="20"/>
          <w:highlight w:val="none"/>
        </w:rPr>
      </w:pPr>
      <w:r>
        <w:rPr>
          <w:rFonts w:hint="eastAsia" w:ascii="黑体" w:hAnsi="黑体" w:eastAsia="黑体"/>
          <w:bCs/>
          <w:color w:val="auto"/>
          <w:sz w:val="32"/>
          <w:szCs w:val="20"/>
          <w:highlight w:val="none"/>
        </w:rPr>
        <w:t>项目名称：2020年管道潜望镜、空气压缩机等设备采购项目</w:t>
      </w:r>
    </w:p>
    <w:p>
      <w:pPr>
        <w:spacing w:line="720" w:lineRule="exact"/>
        <w:ind w:firstLine="960" w:firstLineChars="300"/>
        <w:rPr>
          <w:rFonts w:hint="eastAsia" w:ascii="黑体" w:hAnsi="黑体" w:eastAsia="黑体"/>
          <w:bCs/>
          <w:color w:val="auto"/>
          <w:sz w:val="32"/>
          <w:szCs w:val="20"/>
          <w:highlight w:val="none"/>
        </w:rPr>
      </w:pPr>
      <w:r>
        <w:rPr>
          <w:rFonts w:hint="eastAsia" w:ascii="黑体" w:hAnsi="黑体" w:eastAsia="黑体"/>
          <w:bCs/>
          <w:color w:val="auto"/>
          <w:sz w:val="32"/>
          <w:szCs w:val="20"/>
          <w:highlight w:val="none"/>
        </w:rPr>
        <w:t>项目编号：YLZC2020-J1-000613-GXJY</w:t>
      </w:r>
    </w:p>
    <w:p>
      <w:pPr>
        <w:spacing w:line="700" w:lineRule="exact"/>
        <w:ind w:left="2800" w:leftChars="576" w:hanging="1590" w:hangingChars="497"/>
        <w:jc w:val="left"/>
        <w:rPr>
          <w:rFonts w:hint="eastAsia" w:ascii="黑体" w:hAnsi="黑体" w:eastAsia="黑体"/>
          <w:bCs/>
          <w:color w:val="auto"/>
          <w:sz w:val="32"/>
          <w:szCs w:val="20"/>
          <w:highlight w:val="none"/>
        </w:rPr>
      </w:pPr>
    </w:p>
    <w:p>
      <w:pPr>
        <w:pStyle w:val="15"/>
        <w:spacing w:line="700" w:lineRule="exact"/>
        <w:rPr>
          <w:rFonts w:hint="eastAsia" w:ascii="黑体" w:hAnsi="黑体" w:eastAsia="黑体"/>
          <w:bCs/>
          <w:color w:val="auto"/>
          <w:sz w:val="32"/>
          <w:highlight w:val="none"/>
        </w:rPr>
      </w:pPr>
    </w:p>
    <w:p>
      <w:pPr>
        <w:pStyle w:val="15"/>
        <w:spacing w:line="700" w:lineRule="exact"/>
        <w:rPr>
          <w:rFonts w:hint="eastAsia" w:ascii="黑体" w:hAnsi="黑体" w:eastAsia="黑体"/>
          <w:bCs/>
          <w:color w:val="auto"/>
          <w:sz w:val="32"/>
          <w:highlight w:val="none"/>
        </w:rPr>
      </w:pPr>
    </w:p>
    <w:p>
      <w:pPr>
        <w:pStyle w:val="15"/>
        <w:spacing w:line="700" w:lineRule="exact"/>
        <w:rPr>
          <w:rFonts w:hint="eastAsia" w:ascii="黑体" w:hAnsi="黑体" w:eastAsia="黑体"/>
          <w:bCs/>
          <w:color w:val="auto"/>
          <w:sz w:val="32"/>
          <w:highlight w:val="none"/>
        </w:rPr>
      </w:pPr>
    </w:p>
    <w:p>
      <w:pPr>
        <w:pStyle w:val="15"/>
        <w:spacing w:line="700" w:lineRule="exact"/>
        <w:ind w:firstLine="1600" w:firstLineChars="500"/>
        <w:rPr>
          <w:rFonts w:hint="eastAsia" w:ascii="黑体" w:hAnsi="黑体" w:eastAsia="黑体"/>
          <w:bCs/>
          <w:color w:val="auto"/>
          <w:sz w:val="32"/>
          <w:highlight w:val="none"/>
        </w:rPr>
      </w:pPr>
      <w:r>
        <w:rPr>
          <w:rFonts w:hint="eastAsia" w:ascii="黑体" w:hAnsi="黑体" w:eastAsia="黑体"/>
          <w:bCs/>
          <w:color w:val="auto"/>
          <w:sz w:val="32"/>
          <w:highlight w:val="none"/>
        </w:rPr>
        <w:t>采购人（盖章）：玉林市市政工程管护中心</w:t>
      </w:r>
    </w:p>
    <w:p>
      <w:pPr>
        <w:pStyle w:val="15"/>
        <w:spacing w:line="700" w:lineRule="exact"/>
        <w:ind w:left="1581" w:leftChars="753"/>
        <w:rPr>
          <w:rFonts w:hint="eastAsia" w:ascii="黑体" w:hAnsi="黑体" w:eastAsia="黑体"/>
          <w:bCs/>
          <w:color w:val="auto"/>
          <w:sz w:val="32"/>
          <w:highlight w:val="none"/>
        </w:rPr>
      </w:pPr>
    </w:p>
    <w:p>
      <w:pPr>
        <w:pStyle w:val="15"/>
        <w:spacing w:line="700" w:lineRule="exact"/>
        <w:ind w:left="1581" w:leftChars="753"/>
        <w:rPr>
          <w:rFonts w:hint="eastAsia" w:ascii="黑体" w:hAnsi="黑体" w:eastAsia="黑体"/>
          <w:bCs/>
          <w:color w:val="auto"/>
          <w:spacing w:val="40"/>
          <w:sz w:val="32"/>
          <w:szCs w:val="32"/>
          <w:highlight w:val="none"/>
        </w:rPr>
      </w:pPr>
      <w:r>
        <w:rPr>
          <w:rFonts w:hint="eastAsia" w:ascii="黑体" w:hAnsi="黑体" w:eastAsia="黑体"/>
          <w:bCs/>
          <w:color w:val="auto"/>
          <w:sz w:val="32"/>
          <w:highlight w:val="none"/>
        </w:rPr>
        <w:t>采购代理机构（盖章）：广西峻源项目管理有限公司</w:t>
      </w:r>
      <w:r>
        <w:rPr>
          <w:rFonts w:hint="eastAsia" w:ascii="黑体" w:hAnsi="黑体" w:eastAsia="黑体"/>
          <w:bCs/>
          <w:color w:val="auto"/>
          <w:spacing w:val="40"/>
          <w:sz w:val="32"/>
          <w:szCs w:val="32"/>
          <w:highlight w:val="none"/>
        </w:rPr>
        <w:t xml:space="preserve"> </w:t>
      </w:r>
    </w:p>
    <w:p>
      <w:pPr>
        <w:pStyle w:val="15"/>
        <w:spacing w:line="700" w:lineRule="exact"/>
        <w:ind w:left="1581" w:leftChars="753"/>
        <w:rPr>
          <w:rFonts w:hint="eastAsia" w:ascii="黑体" w:hAnsi="黑体" w:eastAsia="黑体"/>
          <w:color w:val="auto"/>
          <w:sz w:val="32"/>
          <w:highlight w:val="none"/>
        </w:rPr>
      </w:pPr>
    </w:p>
    <w:p>
      <w:pPr>
        <w:spacing w:line="700" w:lineRule="exact"/>
        <w:jc w:val="center"/>
        <w:rPr>
          <w:rFonts w:hint="eastAsia" w:ascii="黑体" w:hAnsi="黑体" w:eastAsia="黑体"/>
          <w:bCs/>
          <w:color w:val="auto"/>
          <w:sz w:val="32"/>
          <w:szCs w:val="32"/>
          <w:highlight w:val="none"/>
        </w:rPr>
      </w:pPr>
      <w:r>
        <w:rPr>
          <w:rFonts w:hint="eastAsia" w:ascii="黑体" w:hAnsi="黑体" w:eastAsia="黑体"/>
          <w:bCs/>
          <w:color w:val="auto"/>
          <w:sz w:val="32"/>
          <w:highlight w:val="none"/>
        </w:rPr>
        <w:t>二〇二〇年十一月</w:t>
      </w:r>
    </w:p>
    <w:p>
      <w:pPr>
        <w:pStyle w:val="11"/>
        <w:spacing w:line="400" w:lineRule="exact"/>
        <w:ind w:firstLine="560"/>
        <w:rPr>
          <w:rFonts w:hint="eastAsia" w:ascii="黑体" w:hAnsi="黑体" w:eastAsia="黑体"/>
          <w:color w:val="auto"/>
          <w:sz w:val="24"/>
          <w:highlight w:val="none"/>
        </w:rPr>
      </w:pPr>
      <w:r>
        <w:rPr>
          <w:rFonts w:ascii="黑体" w:hAnsi="黑体" w:eastAsia="黑体"/>
          <w:color w:val="auto"/>
          <w:sz w:val="28"/>
          <w:szCs w:val="28"/>
          <w:highlight w:val="none"/>
        </w:rPr>
        <w:br w:type="page"/>
      </w:r>
      <w:r>
        <w:rPr>
          <w:rFonts w:hint="eastAsia" w:ascii="宋体" w:hAnsi="宋体"/>
          <w:b/>
          <w:color w:val="auto"/>
          <w:sz w:val="28"/>
          <w:szCs w:val="28"/>
          <w:highlight w:val="none"/>
        </w:rPr>
        <w:t>广西峻源项目管理有限公司2020年管道潜望镜、空气压缩机等设备采购项目（项目编号：YLZC2020-J1-000613-GXJY)竞争性谈判公告</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8" w:type="dxa"/>
            <w:tcBorders>
              <w:top w:val="single" w:color="auto" w:sz="4" w:space="0"/>
              <w:left w:val="single" w:color="auto" w:sz="4" w:space="0"/>
              <w:bottom w:val="single" w:color="auto" w:sz="4" w:space="0"/>
              <w:right w:val="single" w:color="auto" w:sz="4" w:space="0"/>
            </w:tcBorders>
            <w:noWrap w:val="0"/>
            <w:vAlign w:val="top"/>
          </w:tcPr>
          <w:p>
            <w:pPr>
              <w:autoSpaceDE w:val="0"/>
              <w:spacing w:line="38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 项目概况</w:t>
            </w:r>
          </w:p>
          <w:p>
            <w:pPr>
              <w:autoSpaceDE w:val="0"/>
              <w:spacing w:line="38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Cs/>
                <w:color w:val="auto"/>
                <w:spacing w:val="-4"/>
                <w:szCs w:val="21"/>
                <w:highlight w:val="none"/>
                <w:u w:val="single"/>
              </w:rPr>
              <w:t>2020年管道潜望镜、空气压缩机等设备采购项目</w:t>
            </w:r>
            <w:r>
              <w:rPr>
                <w:rFonts w:hint="eastAsia" w:ascii="宋体" w:hAnsi="宋体" w:cs="宋体"/>
                <w:color w:val="auto"/>
                <w:szCs w:val="21"/>
                <w:highlight w:val="none"/>
              </w:rPr>
              <w:t>采购项目的潜在供应商应</w:t>
            </w:r>
            <w:r>
              <w:rPr>
                <w:rFonts w:hint="eastAsia" w:ascii="宋体" w:hAnsi="宋体" w:cs="宋体"/>
                <w:color w:val="auto"/>
                <w:szCs w:val="21"/>
                <w:highlight w:val="none"/>
                <w:u w:val="single"/>
              </w:rPr>
              <w:t>在</w:t>
            </w:r>
            <w:r>
              <w:rPr>
                <w:rFonts w:hint="eastAsia" w:ascii="宋体" w:hAnsi="宋体" w:cs="宋体"/>
                <w:bCs/>
                <w:color w:val="auto"/>
                <w:spacing w:val="-4"/>
                <w:szCs w:val="21"/>
                <w:highlight w:val="none"/>
                <w:u w:val="single"/>
              </w:rPr>
              <w:t>政采云平台（https://www.zcygov.cn/）</w:t>
            </w:r>
            <w:r>
              <w:rPr>
                <w:rFonts w:hint="eastAsia" w:ascii="宋体" w:hAnsi="宋体" w:cs="宋体"/>
                <w:color w:val="auto"/>
                <w:szCs w:val="21"/>
                <w:highlight w:val="none"/>
              </w:rPr>
              <w:t>获取采购文件，并于</w:t>
            </w:r>
            <w:r>
              <w:rPr>
                <w:rFonts w:hint="eastAsia" w:ascii="宋体" w:hAnsi="宋体" w:cs="宋体"/>
                <w:color w:val="auto"/>
                <w:szCs w:val="21"/>
                <w:highlight w:val="none"/>
                <w:u w:val="single"/>
                <w:lang w:eastAsia="zh-CN"/>
              </w:rPr>
              <w:t>2020年11月13日北京时间9时30分</w:t>
            </w:r>
            <w:r>
              <w:rPr>
                <w:rFonts w:hint="eastAsia" w:ascii="宋体" w:hAnsi="宋体" w:cs="宋体"/>
                <w:color w:val="auto"/>
                <w:szCs w:val="21"/>
                <w:highlight w:val="none"/>
              </w:rPr>
              <w:t>前提交响应文件。</w:t>
            </w:r>
          </w:p>
        </w:tc>
      </w:tr>
    </w:tbl>
    <w:p>
      <w:pPr>
        <w:autoSpaceDE w:val="0"/>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一、项目基本情况</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 YLZC2020-J1-000613-GXJY</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bCs/>
          <w:color w:val="auto"/>
          <w:spacing w:val="-4"/>
          <w:szCs w:val="21"/>
          <w:highlight w:val="none"/>
        </w:rPr>
        <w:t>2020年管道潜望镜、空气压缩机等设备采购项目</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采购方式：竞争性谈判 </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预算金额：人民币壹拾肆万柒仟玖佰肆拾元整（￥</w:t>
      </w:r>
      <w:r>
        <w:rPr>
          <w:rFonts w:hint="eastAsia" w:ascii="宋体" w:hAnsi="宋体" w:cs="宋体"/>
          <w:color w:val="auto"/>
          <w:kern w:val="0"/>
          <w:szCs w:val="21"/>
          <w:highlight w:val="none"/>
          <w:lang w:bidi="ar"/>
        </w:rPr>
        <w:t>147940.00</w:t>
      </w:r>
      <w:r>
        <w:rPr>
          <w:rFonts w:hint="eastAsia" w:ascii="宋体" w:hAnsi="宋体" w:cs="宋体"/>
          <w:color w:val="auto"/>
          <w:szCs w:val="21"/>
          <w:highlight w:val="none"/>
        </w:rPr>
        <w:t>元）</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最高限价：按预算金额</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采购需求：管道潜望镜1套</w:t>
      </w:r>
      <w:r>
        <w:rPr>
          <w:rFonts w:hint="eastAsia" w:ascii="宋体" w:hAnsi="宋体" w:cs="宋体"/>
          <w:color w:val="auto"/>
          <w:szCs w:val="21"/>
          <w:highlight w:val="none"/>
          <w:lang w:eastAsia="zh-CN"/>
        </w:rPr>
        <w:t>、</w:t>
      </w:r>
      <w:r>
        <w:rPr>
          <w:rFonts w:hint="eastAsia" w:ascii="宋体" w:hAnsi="宋体" w:cs="宋体"/>
          <w:color w:val="auto"/>
          <w:szCs w:val="21"/>
          <w:highlight w:val="none"/>
        </w:rPr>
        <w:t>多口径管道封堵气囊1套</w:t>
      </w:r>
      <w:r>
        <w:rPr>
          <w:rFonts w:hint="eastAsia" w:ascii="宋体" w:hAnsi="宋体" w:cs="宋体"/>
          <w:color w:val="auto"/>
          <w:szCs w:val="21"/>
          <w:highlight w:val="none"/>
          <w:lang w:eastAsia="zh-CN"/>
        </w:rPr>
        <w:t>、</w:t>
      </w:r>
      <w:r>
        <w:rPr>
          <w:rFonts w:hint="eastAsia" w:ascii="宋体" w:hAnsi="宋体" w:cs="宋体"/>
          <w:color w:val="auto"/>
          <w:szCs w:val="21"/>
          <w:highlight w:val="none"/>
        </w:rPr>
        <w:t>多口径管道封堵气囊1套</w:t>
      </w:r>
      <w:r>
        <w:rPr>
          <w:rFonts w:hint="eastAsia" w:ascii="宋体" w:hAnsi="宋体" w:cs="宋体"/>
          <w:color w:val="auto"/>
          <w:szCs w:val="21"/>
          <w:highlight w:val="none"/>
          <w:lang w:eastAsia="zh-CN"/>
        </w:rPr>
        <w:t>、</w:t>
      </w:r>
      <w:r>
        <w:rPr>
          <w:rFonts w:hint="eastAsia" w:ascii="宋体" w:hAnsi="宋体" w:cs="宋体"/>
          <w:color w:val="auto"/>
          <w:szCs w:val="21"/>
          <w:highlight w:val="none"/>
        </w:rPr>
        <w:t>空气压缩机1套</w:t>
      </w:r>
      <w:r>
        <w:rPr>
          <w:rFonts w:hint="eastAsia" w:ascii="宋体" w:hAnsi="宋体" w:cs="宋体"/>
          <w:color w:val="auto"/>
          <w:szCs w:val="21"/>
          <w:highlight w:val="none"/>
          <w:lang w:eastAsia="zh-CN"/>
        </w:rPr>
        <w:t>、</w:t>
      </w:r>
      <w:r>
        <w:rPr>
          <w:rFonts w:hint="eastAsia" w:ascii="宋体" w:hAnsi="宋体" w:cs="宋体"/>
          <w:color w:val="auto"/>
          <w:szCs w:val="21"/>
          <w:highlight w:val="none"/>
        </w:rPr>
        <w:t>苗园路口铁路涵洞安装水表1项</w:t>
      </w:r>
      <w:r>
        <w:rPr>
          <w:rFonts w:hint="eastAsia" w:ascii="宋体" w:hAnsi="宋体" w:cs="宋体"/>
          <w:color w:val="auto"/>
          <w:szCs w:val="21"/>
          <w:highlight w:val="none"/>
          <w:lang w:eastAsia="zh-CN"/>
        </w:rPr>
        <w:t>、</w:t>
      </w:r>
      <w:r>
        <w:rPr>
          <w:rFonts w:hint="eastAsia" w:ascii="宋体" w:hAnsi="宋体" w:cs="宋体"/>
          <w:color w:val="auto"/>
          <w:szCs w:val="21"/>
          <w:highlight w:val="none"/>
        </w:rPr>
        <w:t>陂头抽水站加装摄像头4只</w:t>
      </w:r>
      <w:r>
        <w:rPr>
          <w:rFonts w:hint="eastAsia" w:ascii="宋体" w:hAnsi="宋体" w:cs="宋体"/>
          <w:color w:val="auto"/>
          <w:szCs w:val="21"/>
          <w:highlight w:val="none"/>
          <w:lang w:eastAsia="zh-CN"/>
        </w:rPr>
        <w:t>、</w:t>
      </w:r>
      <w:r>
        <w:rPr>
          <w:rFonts w:hint="eastAsia" w:ascii="宋体" w:hAnsi="宋体" w:cs="宋体"/>
          <w:color w:val="auto"/>
          <w:szCs w:val="21"/>
          <w:highlight w:val="none"/>
        </w:rPr>
        <w:t>高压冲洗管200米</w:t>
      </w:r>
      <w:r>
        <w:rPr>
          <w:rFonts w:hint="eastAsia" w:ascii="宋体" w:hAnsi="宋体" w:cs="宋体"/>
          <w:color w:val="auto"/>
          <w:szCs w:val="21"/>
          <w:highlight w:val="none"/>
          <w:lang w:eastAsia="zh-CN"/>
        </w:rPr>
        <w:t>、</w:t>
      </w:r>
      <w:r>
        <w:rPr>
          <w:rFonts w:hint="eastAsia" w:ascii="宋体" w:hAnsi="宋体" w:cs="宋体"/>
          <w:color w:val="auto"/>
          <w:szCs w:val="21"/>
          <w:highlight w:val="none"/>
        </w:rPr>
        <w:t>移动式摄像头6套等</w:t>
      </w:r>
      <w:r>
        <w:rPr>
          <w:rFonts w:hint="eastAsia" w:ascii="宋体" w:hAnsi="宋体" w:cs="宋体"/>
          <w:color w:val="auto"/>
          <w:spacing w:val="2"/>
          <w:szCs w:val="21"/>
          <w:highlight w:val="none"/>
        </w:rPr>
        <w:t>；如需进一步了解详细内容，详见竞争性谈判文件</w:t>
      </w:r>
      <w:r>
        <w:rPr>
          <w:rFonts w:hint="eastAsia" w:ascii="宋体" w:hAnsi="宋体" w:cs="宋体"/>
          <w:bCs/>
          <w:color w:val="auto"/>
          <w:szCs w:val="21"/>
          <w:highlight w:val="none"/>
        </w:rPr>
        <w:t>。</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合同履行期限：签订合同之日起30天内（日历天）。</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w:t>
      </w:r>
    </w:p>
    <w:p>
      <w:pPr>
        <w:widowControl/>
        <w:autoSpaceDE w:val="0"/>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二、申请人的资格要求：</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1.满足《中华人民共和国政府采购法》第二十二条规定，且国内注册（指按国家有关规定要求注册的），提供本次采购货物，具备</w:t>
      </w:r>
      <w:r>
        <w:rPr>
          <w:rFonts w:hint="eastAsia" w:ascii="宋体" w:hAnsi="宋体" w:cs="宋体"/>
          <w:color w:val="auto"/>
          <w:szCs w:val="21"/>
          <w:highlight w:val="none"/>
          <w:lang w:eastAsia="zh-CN"/>
        </w:rPr>
        <w:t>法人</w:t>
      </w:r>
      <w:r>
        <w:rPr>
          <w:rFonts w:hint="eastAsia" w:ascii="宋体" w:hAnsi="宋体" w:cs="宋体"/>
          <w:color w:val="auto"/>
          <w:szCs w:val="21"/>
          <w:highlight w:val="none"/>
        </w:rPr>
        <w:t>资格的供应商。</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autoSpaceDE w:val="0"/>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三、获取采购文件</w:t>
      </w:r>
    </w:p>
    <w:p>
      <w:pPr>
        <w:widowControl/>
        <w:autoSpaceDE w:val="0"/>
        <w:spacing w:line="380" w:lineRule="atLeast"/>
        <w:rPr>
          <w:rFonts w:hint="eastAsia" w:ascii="宋体" w:hAnsi="宋体" w:cs="宋体"/>
          <w:color w:val="auto"/>
          <w:szCs w:val="21"/>
          <w:highlight w:val="none"/>
        </w:rPr>
      </w:pPr>
      <w:r>
        <w:rPr>
          <w:rFonts w:hint="eastAsia" w:ascii="宋体" w:hAnsi="宋体" w:cs="宋体"/>
          <w:color w:val="auto"/>
          <w:szCs w:val="21"/>
          <w:highlight w:val="none"/>
        </w:rPr>
        <w:t>1.获取时间：2020年11月9日自公告发布之时起至2020年</w:t>
      </w:r>
      <w:r>
        <w:rPr>
          <w:rFonts w:ascii="宋体" w:hAnsi="宋体" w:cs="宋体"/>
          <w:color w:val="auto"/>
          <w:szCs w:val="21"/>
          <w:highlight w:val="none"/>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日下午18:00止（工作日）。</w:t>
      </w:r>
    </w:p>
    <w:p>
      <w:pPr>
        <w:widowControl/>
        <w:autoSpaceDE w:val="0"/>
        <w:spacing w:line="380" w:lineRule="atLeast"/>
        <w:rPr>
          <w:rFonts w:hint="eastAsia" w:ascii="宋体" w:hAnsi="宋体" w:cs="宋体"/>
          <w:color w:val="auto"/>
          <w:szCs w:val="21"/>
          <w:highlight w:val="none"/>
        </w:rPr>
      </w:pPr>
      <w:r>
        <w:rPr>
          <w:rFonts w:hint="eastAsia" w:ascii="宋体" w:hAnsi="宋体" w:cs="宋体"/>
          <w:color w:val="auto"/>
          <w:szCs w:val="21"/>
          <w:highlight w:val="none"/>
        </w:rPr>
        <w:t>2.地点：登录政采云平台（https://www.zcygov.cn/）下载文件</w:t>
      </w:r>
    </w:p>
    <w:p>
      <w:pPr>
        <w:widowControl/>
        <w:autoSpaceDE w:val="0"/>
        <w:spacing w:line="380" w:lineRule="atLeast"/>
        <w:rPr>
          <w:rFonts w:hint="eastAsia" w:ascii="宋体" w:hAnsi="宋体" w:cs="宋体"/>
          <w:b/>
          <w:color w:val="auto"/>
          <w:szCs w:val="21"/>
          <w:highlight w:val="none"/>
        </w:rPr>
      </w:pPr>
      <w:r>
        <w:rPr>
          <w:rFonts w:hint="eastAsia" w:ascii="宋体" w:hAnsi="宋体" w:cs="宋体"/>
          <w:color w:val="auto"/>
          <w:szCs w:val="21"/>
          <w:highlight w:val="none"/>
        </w:rPr>
        <w:t>3.获取方式：供应商须登录政采云平台（https://www.zcygov.cn/）在线办理报名并自行下载竞争性谈判文件电子版。未注册的供应商可在政采云平台完成注册后再进行报名。</w:t>
      </w:r>
      <w:r>
        <w:rPr>
          <w:rFonts w:hint="eastAsia" w:ascii="宋体" w:hAnsi="宋体" w:cs="宋体"/>
          <w:b/>
          <w:color w:val="auto"/>
          <w:szCs w:val="21"/>
          <w:highlight w:val="none"/>
        </w:rPr>
        <w:t>如在操作过程中遇到问题或需技术支持，请致电政采云客服热线：400-881-7190。</w:t>
      </w:r>
    </w:p>
    <w:p>
      <w:pPr>
        <w:widowControl/>
        <w:autoSpaceDE w:val="0"/>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四、响应文件提交</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lang w:eastAsia="zh-CN"/>
        </w:rPr>
        <w:t>2020年11月13日北京时间9时30分</w:t>
      </w:r>
      <w:r>
        <w:rPr>
          <w:rFonts w:hint="eastAsia" w:ascii="宋体" w:hAnsi="宋体" w:cs="宋体"/>
          <w:color w:val="auto"/>
          <w:szCs w:val="21"/>
          <w:highlight w:val="none"/>
        </w:rPr>
        <w:t>，逾期送达的将予以拒收。</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地点：广西峻源项目管理有限公司（玉林市广场东路玫瑰园里A区5号）五楼开标室。</w:t>
      </w:r>
    </w:p>
    <w:p>
      <w:pPr>
        <w:widowControl/>
        <w:autoSpaceDE w:val="0"/>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五、开启</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2020年11月13日北京时间9时30分</w:t>
      </w:r>
      <w:r>
        <w:rPr>
          <w:rFonts w:hint="eastAsia" w:ascii="宋体" w:hAnsi="宋体" w:cs="宋体"/>
          <w:color w:val="auto"/>
          <w:szCs w:val="21"/>
          <w:highlight w:val="none"/>
        </w:rPr>
        <w:t>后。</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地点：广西峻源项目管理有限公司（玉林市广场东路玫瑰园里A区5号）五楼。</w:t>
      </w:r>
    </w:p>
    <w:p>
      <w:pPr>
        <w:widowControl/>
        <w:autoSpaceDE w:val="0"/>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六、公告期限</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自本公告发布之日起3个工作日。</w:t>
      </w:r>
    </w:p>
    <w:p>
      <w:pPr>
        <w:widowControl/>
        <w:autoSpaceDE w:val="0"/>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七、其他补充事宜</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1.采购计划文号：</w:t>
      </w:r>
      <w:r>
        <w:rPr>
          <w:rFonts w:ascii="宋体" w:hAnsi="宋体" w:cs="宋体"/>
          <w:color w:val="auto"/>
          <w:szCs w:val="21"/>
          <w:highlight w:val="none"/>
        </w:rPr>
        <w:t>YLZC2020-J1-11597-001</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2.网上公告查询：中国政府采购网(www.ccgp.gov.cn)、广西壮族自治区政府采购网（zfcg.gxzf.gov.cn）、广西玉林市人民政府门户网站（</w:t>
      </w: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HYPERLINK "D:\\微信\\WeChat Files\\yang860714\\FileStorage\\File\\2020-11\\www.yulin.gov.cn"</w:instrText>
      </w:r>
      <w:r>
        <w:rPr>
          <w:rFonts w:hint="eastAsia" w:ascii="宋体" w:hAnsi="宋体" w:cs="宋体"/>
          <w:color w:val="auto"/>
          <w:szCs w:val="21"/>
          <w:highlight w:val="none"/>
        </w:rPr>
        <w:fldChar w:fldCharType="separate"/>
      </w:r>
      <w:r>
        <w:rPr>
          <w:rStyle w:val="35"/>
          <w:rFonts w:hint="eastAsia" w:ascii="宋体" w:hAnsi="宋体" w:cs="宋体"/>
          <w:color w:val="auto"/>
          <w:szCs w:val="21"/>
          <w:highlight w:val="none"/>
        </w:rPr>
        <w:t>www.yulin.gov.cn</w:t>
      </w:r>
      <w:r>
        <w:rPr>
          <w:rFonts w:hint="eastAsia" w:ascii="宋体" w:hAnsi="宋体" w:cs="宋体"/>
          <w:color w:val="auto"/>
          <w:szCs w:val="21"/>
          <w:highlight w:val="none"/>
        </w:rPr>
        <w:fldChar w:fldCharType="end"/>
      </w:r>
      <w:r>
        <w:rPr>
          <w:rFonts w:hint="eastAsia" w:ascii="宋体" w:hAnsi="宋体" w:cs="宋体"/>
          <w:color w:val="auto"/>
          <w:szCs w:val="21"/>
          <w:highlight w:val="none"/>
        </w:rPr>
        <w:t>）。</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3.本项目不接受未在政采云系统下载本竞争性谈判文件的供应商竞标。</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4.本项目需要落实的政府采购政策</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 \* GB2 \* MERGEFORMAT </w:instrText>
      </w:r>
      <w:r>
        <w:rPr>
          <w:rFonts w:hint="eastAsia" w:ascii="宋体" w:hAnsi="宋体" w:cs="宋体"/>
          <w:color w:val="auto"/>
          <w:szCs w:val="21"/>
          <w:highlight w:val="none"/>
        </w:rPr>
        <w:fldChar w:fldCharType="separate"/>
      </w:r>
      <w:r>
        <w:rPr>
          <w:color w:val="auto"/>
          <w:highlight w:val="none"/>
        </w:rPr>
        <w:t>⑴</w:t>
      </w:r>
      <w:r>
        <w:rPr>
          <w:rFonts w:hint="eastAsia" w:ascii="宋体" w:hAnsi="宋体" w:cs="宋体"/>
          <w:color w:val="auto"/>
          <w:szCs w:val="21"/>
          <w:highlight w:val="none"/>
        </w:rPr>
        <w:fldChar w:fldCharType="end"/>
      </w:r>
      <w:r>
        <w:rPr>
          <w:rFonts w:hint="eastAsia" w:ascii="宋体" w:hAnsi="宋体" w:cs="宋体"/>
          <w:color w:val="auto"/>
          <w:szCs w:val="21"/>
          <w:highlight w:val="none"/>
        </w:rPr>
        <w:t>《政府采购促进中小企业发展暂行办法》</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2 \* GB2 \* MERGEFORMAT </w:instrText>
      </w:r>
      <w:r>
        <w:rPr>
          <w:rFonts w:hint="eastAsia" w:ascii="宋体" w:hAnsi="宋体" w:cs="宋体"/>
          <w:color w:val="auto"/>
          <w:szCs w:val="21"/>
          <w:highlight w:val="none"/>
        </w:rPr>
        <w:fldChar w:fldCharType="separate"/>
      </w:r>
      <w:r>
        <w:rPr>
          <w:color w:val="auto"/>
          <w:highlight w:val="none"/>
        </w:rPr>
        <w:t>⑵</w:t>
      </w:r>
      <w:r>
        <w:rPr>
          <w:rFonts w:hint="eastAsia" w:ascii="宋体" w:hAnsi="宋体" w:cs="宋体"/>
          <w:color w:val="auto"/>
          <w:szCs w:val="21"/>
          <w:highlight w:val="none"/>
        </w:rPr>
        <w:fldChar w:fldCharType="end"/>
      </w:r>
      <w:r>
        <w:rPr>
          <w:rFonts w:hint="eastAsia" w:ascii="宋体" w:hAnsi="宋体" w:cs="宋体"/>
          <w:color w:val="auto"/>
          <w:szCs w:val="21"/>
          <w:highlight w:val="none"/>
        </w:rPr>
        <w:t>政府采购支持采用本国产品的政策</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3 \* GB2 \* MERGEFORMAT </w:instrText>
      </w:r>
      <w:r>
        <w:rPr>
          <w:rFonts w:hint="eastAsia" w:ascii="宋体" w:hAnsi="宋体" w:cs="宋体"/>
          <w:color w:val="auto"/>
          <w:szCs w:val="21"/>
          <w:highlight w:val="none"/>
        </w:rPr>
        <w:fldChar w:fldCharType="separate"/>
      </w:r>
      <w:r>
        <w:rPr>
          <w:color w:val="auto"/>
          <w:highlight w:val="none"/>
        </w:rPr>
        <w:t>⑶</w:t>
      </w:r>
      <w:r>
        <w:rPr>
          <w:rFonts w:hint="eastAsia" w:ascii="宋体" w:hAnsi="宋体" w:cs="宋体"/>
          <w:color w:val="auto"/>
          <w:szCs w:val="21"/>
          <w:highlight w:val="none"/>
        </w:rPr>
        <w:fldChar w:fldCharType="end"/>
      </w:r>
      <w:r>
        <w:rPr>
          <w:rFonts w:hint="eastAsia" w:ascii="宋体" w:hAnsi="宋体" w:cs="宋体"/>
          <w:color w:val="auto"/>
          <w:szCs w:val="21"/>
          <w:highlight w:val="none"/>
        </w:rPr>
        <w:t>强制采购、优先采购环境标志产品、节能产品</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4 \* GB2 \* MERGEFORMAT </w:instrText>
      </w:r>
      <w:r>
        <w:rPr>
          <w:rFonts w:hint="eastAsia" w:ascii="宋体" w:hAnsi="宋体" w:cs="宋体"/>
          <w:color w:val="auto"/>
          <w:szCs w:val="21"/>
          <w:highlight w:val="none"/>
        </w:rPr>
        <w:fldChar w:fldCharType="separate"/>
      </w:r>
      <w:r>
        <w:rPr>
          <w:color w:val="auto"/>
          <w:highlight w:val="none"/>
        </w:rPr>
        <w:t>⑷</w:t>
      </w:r>
      <w:r>
        <w:rPr>
          <w:rFonts w:hint="eastAsia" w:ascii="宋体" w:hAnsi="宋体" w:cs="宋体"/>
          <w:color w:val="auto"/>
          <w:szCs w:val="21"/>
          <w:highlight w:val="none"/>
        </w:rPr>
        <w:fldChar w:fldCharType="end"/>
      </w:r>
      <w:r>
        <w:rPr>
          <w:rFonts w:hint="eastAsia" w:ascii="宋体" w:hAnsi="宋体" w:cs="宋体"/>
          <w:color w:val="auto"/>
          <w:szCs w:val="21"/>
          <w:highlight w:val="none"/>
        </w:rPr>
        <w:t>《财政部、司法部关于政府采购支持监狱企业发展有关问题的通知》</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GB2 \* MERGEFORMAT </w:instrText>
      </w:r>
      <w:r>
        <w:rPr>
          <w:rFonts w:hint="eastAsia" w:ascii="宋体" w:hAnsi="宋体" w:cs="宋体"/>
          <w:color w:val="auto"/>
          <w:szCs w:val="21"/>
          <w:highlight w:val="none"/>
        </w:rPr>
        <w:fldChar w:fldCharType="separate"/>
      </w:r>
      <w:r>
        <w:rPr>
          <w:color w:val="auto"/>
          <w:highlight w:val="none"/>
        </w:rPr>
        <w:t>⑸</w:t>
      </w:r>
      <w:r>
        <w:rPr>
          <w:rFonts w:hint="eastAsia" w:ascii="宋体" w:hAnsi="宋体" w:cs="宋体"/>
          <w:color w:val="auto"/>
          <w:szCs w:val="21"/>
          <w:highlight w:val="none"/>
        </w:rPr>
        <w:fldChar w:fldCharType="end"/>
      </w:r>
      <w:r>
        <w:rPr>
          <w:rFonts w:hint="eastAsia" w:ascii="宋体" w:hAnsi="宋体" w:cs="宋体"/>
          <w:color w:val="auto"/>
          <w:szCs w:val="21"/>
          <w:highlight w:val="none"/>
        </w:rPr>
        <w:t>《三部门联合发布关于促进残疾人就业政府采购政策的通知》</w:t>
      </w:r>
    </w:p>
    <w:p>
      <w:pPr>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5.监督部门 </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称：玉林市财政局</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联系电话：0775-2680769</w:t>
      </w:r>
    </w:p>
    <w:p>
      <w:pPr>
        <w:widowControl/>
        <w:autoSpaceDE w:val="0"/>
        <w:spacing w:line="380" w:lineRule="atLeast"/>
        <w:rPr>
          <w:rFonts w:hint="eastAsia" w:ascii="宋体" w:hAnsi="宋体" w:cs="宋体"/>
          <w:b/>
          <w:bCs/>
          <w:color w:val="auto"/>
          <w:szCs w:val="21"/>
          <w:highlight w:val="none"/>
        </w:rPr>
      </w:pPr>
      <w:r>
        <w:rPr>
          <w:rFonts w:hint="eastAsia" w:ascii="宋体" w:hAnsi="宋体" w:cs="宋体"/>
          <w:b/>
          <w:bCs/>
          <w:color w:val="auto"/>
          <w:szCs w:val="21"/>
          <w:highlight w:val="none"/>
        </w:rPr>
        <w:t>八、凡对本次采购提出询问，请按以下方式联系。</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1.采购人信息</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    称：玉林市市政工程管护中心</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    址：玉林市美林街165号</w:t>
      </w:r>
    </w:p>
    <w:p>
      <w:pPr>
        <w:widowControl/>
        <w:autoSpaceDE w:val="0"/>
        <w:spacing w:line="380" w:lineRule="atLeast"/>
        <w:ind w:firstLine="630" w:firstLineChars="3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联 系 人：杨冬华</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联系方式：0775-2809187</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    称：广西峻源项目管理有限公司</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    址：玉林市广场东路玫瑰园里A区5号</w:t>
      </w:r>
    </w:p>
    <w:p>
      <w:pPr>
        <w:widowControl/>
        <w:autoSpaceDE w:val="0"/>
        <w:spacing w:line="380" w:lineRule="atLeast"/>
        <w:ind w:firstLine="630" w:firstLineChars="300"/>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联 系 人：</w:t>
      </w:r>
      <w:r>
        <w:rPr>
          <w:rFonts w:hint="eastAsia" w:ascii="宋体" w:hAnsi="宋体" w:cs="宋体"/>
          <w:color w:val="auto"/>
          <w:szCs w:val="21"/>
          <w:highlight w:val="none"/>
        </w:rPr>
        <w:t>文彬梅</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联系方式：0775-2855323</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3.项目联系方式</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项目联系人：文彬梅</w:t>
      </w:r>
    </w:p>
    <w:p>
      <w:pPr>
        <w:widowControl/>
        <w:autoSpaceDE w:val="0"/>
        <w:spacing w:line="380" w:lineRule="atLeas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电      话：0775-2855323</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广西峻源项目管理有限公司</w:t>
      </w:r>
    </w:p>
    <w:p>
      <w:pPr>
        <w:widowControl/>
        <w:autoSpaceDE w:val="0"/>
        <w:spacing w:line="38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2020年</w:t>
      </w:r>
      <w:r>
        <w:rPr>
          <w:rFonts w:ascii="宋体" w:hAnsi="宋体" w:cs="宋体"/>
          <w:color w:val="auto"/>
          <w:szCs w:val="21"/>
          <w:highlight w:val="none"/>
        </w:rPr>
        <w:t>11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p>
    <w:p>
      <w:pPr>
        <w:pStyle w:val="11"/>
        <w:spacing w:line="360" w:lineRule="exact"/>
        <w:rPr>
          <w:rFonts w:hint="eastAsia" w:hAnsi="宋体"/>
          <w:b/>
          <w:color w:val="auto"/>
          <w:sz w:val="36"/>
          <w:szCs w:val="36"/>
          <w:highlight w:val="none"/>
        </w:rPr>
      </w:pPr>
      <w:r>
        <w:rPr>
          <w:rFonts w:hAnsi="宋体"/>
          <w:b/>
          <w:color w:val="auto"/>
          <w:sz w:val="36"/>
          <w:szCs w:val="36"/>
          <w:highlight w:val="none"/>
        </w:rPr>
        <w:br w:type="page"/>
      </w:r>
      <w:r>
        <w:rPr>
          <w:rFonts w:hint="eastAsia" w:hAnsi="宋体"/>
          <w:b/>
          <w:color w:val="auto"/>
          <w:sz w:val="36"/>
          <w:szCs w:val="36"/>
          <w:highlight w:val="none"/>
        </w:rPr>
        <w:t>目   录</w:t>
      </w:r>
    </w:p>
    <w:p>
      <w:pPr>
        <w:pStyle w:val="21"/>
        <w:rPr>
          <w:rFonts w:hint="eastAsia" w:ascii="宋体" w:hAnsi="宋体"/>
          <w:color w:val="auto"/>
          <w:sz w:val="28"/>
          <w:szCs w:val="28"/>
          <w:highlight w:val="none"/>
          <w:shd w:val="pct10" w:color="auto" w:fill="FFFFFF"/>
        </w:rPr>
      </w:pP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TOC \o "1-3" \h \z \u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_Toc14332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第一章  供应商须知及前附表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_Toc14332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_Toc1873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供应商须知前附表</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_Toc1873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_Toc23674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供应商须知</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_Toc23674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14"/>
        <w:keepNext w:val="0"/>
        <w:keepLines w:val="0"/>
        <w:pageBreakBefore w:val="0"/>
        <w:widowControl w:val="0"/>
        <w:tabs>
          <w:tab w:val="right" w:leader="dot" w:pos="9638"/>
          <w:tab w:val="clear" w:pos="906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_Toc16403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rPr>
        <w:t>一、总  则</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_Toc16403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14"/>
        <w:keepNext w:val="0"/>
        <w:keepLines w:val="0"/>
        <w:pageBreakBefore w:val="0"/>
        <w:widowControl w:val="0"/>
        <w:tabs>
          <w:tab w:val="right" w:leader="dot" w:pos="9638"/>
          <w:tab w:val="clear" w:pos="906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_Toc7999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rPr>
        <w:t>二、竞争性谈判文件</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_Toc7999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14"/>
        <w:keepNext w:val="0"/>
        <w:keepLines w:val="0"/>
        <w:pageBreakBefore w:val="0"/>
        <w:widowControl w:val="0"/>
        <w:tabs>
          <w:tab w:val="right" w:leader="dot" w:pos="9638"/>
          <w:tab w:val="clear" w:pos="906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_Toc2630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rPr>
        <w:t>三、响应文件的编制格式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_Toc2630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14"/>
        <w:keepNext w:val="0"/>
        <w:keepLines w:val="0"/>
        <w:pageBreakBefore w:val="0"/>
        <w:widowControl w:val="0"/>
        <w:tabs>
          <w:tab w:val="right" w:leader="dot" w:pos="9638"/>
          <w:tab w:val="clear" w:pos="906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_Toc31805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rPr>
        <w:t>四、响应文件的递交</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_Toc31805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14"/>
        <w:keepNext w:val="0"/>
        <w:keepLines w:val="0"/>
        <w:pageBreakBefore w:val="0"/>
        <w:widowControl w:val="0"/>
        <w:tabs>
          <w:tab w:val="right" w:leader="dot" w:pos="9638"/>
          <w:tab w:val="clear" w:pos="906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_Toc26399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rPr>
        <w:t>五、截标、开标与评标</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_Toc26399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14"/>
        <w:keepNext w:val="0"/>
        <w:keepLines w:val="0"/>
        <w:pageBreakBefore w:val="0"/>
        <w:widowControl w:val="0"/>
        <w:tabs>
          <w:tab w:val="right" w:leader="dot" w:pos="9638"/>
          <w:tab w:val="clear" w:pos="906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_Toc5718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rPr>
        <w:t>六、签订合同</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_Toc5718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14"/>
        <w:keepNext w:val="0"/>
        <w:keepLines w:val="0"/>
        <w:pageBreakBefore w:val="0"/>
        <w:widowControl w:val="0"/>
        <w:tabs>
          <w:tab w:val="right" w:leader="dot" w:pos="9638"/>
          <w:tab w:val="clear" w:pos="9060"/>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_Toc25231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rPr>
        <w:t>八、其他事项</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_Toc25231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_Toc13307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第二章  项目需求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_Toc13307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_Toc4700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sz w:val="21"/>
          <w:szCs w:val="21"/>
          <w:highlight w:val="none"/>
        </w:rPr>
        <w:t>项目需求</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_Toc4700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19</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_Toc24694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第三章  合同书及合同基本条款（格式）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_Toc24694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_Toc22245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合   同   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_Toc22245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_Toc15382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合同基本条款</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_Toc15382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_Toc13044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第四章  评审办法和成交标准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_Toc13044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3"/>
        <w:keepNext w:val="0"/>
        <w:keepLines w:val="0"/>
        <w:pageBreakBefore w:val="0"/>
        <w:widowControl w:val="0"/>
        <w:tabs>
          <w:tab w:val="right" w:leader="dot" w:pos="9638"/>
        </w:tabs>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_Toc6964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评审办法和成交标准</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_Toc6964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28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_Toc31577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第五章   响应文件（格式）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_Toc31577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_Toc20971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封面格式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_Toc20971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_Toc25633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一、谈判声明（格式）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_Toc25633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_Toc15090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二、报价表（格式）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_Toc15090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34</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_Toc24729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三、商务条款偏离表（格式）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_Toc24729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35</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_Toc14852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四、竞标技术资料表（格式）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_Toc14852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36</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_Toc13457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五、售后服务承诺书</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_Toc13457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37</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_Toc16048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六、供应商直接控股股东信息表（格式）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_Toc16048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38</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_Toc18543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七、授权委托书（格式）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_Toc18543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40</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_Toc12942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八、无重大违法记录声明书（格式）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_Toc12942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41</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_Toc7950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九、残疾人福利性单位声明函（格式）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_Toc7950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42</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21"/>
        <w:keepNext w:val="0"/>
        <w:keepLines w:val="0"/>
        <w:pageBreakBefore w:val="0"/>
        <w:widowControl w:val="0"/>
        <w:tabs>
          <w:tab w:val="right" w:leader="dot" w:pos="9638"/>
          <w:tab w:val="clear" w:pos="9628"/>
        </w:tabs>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shd w:val="pct10" w:color="auto" w:fill="FFFFFF"/>
        </w:rPr>
        <w:fldChar w:fldCharType="begin"/>
      </w:r>
      <w:r>
        <w:rPr>
          <w:rFonts w:hint="eastAsia" w:ascii="宋体" w:hAnsi="宋体" w:eastAsia="宋体" w:cs="宋体"/>
          <w:b/>
          <w:bCs/>
          <w:color w:val="auto"/>
          <w:sz w:val="21"/>
          <w:szCs w:val="21"/>
          <w:highlight w:val="none"/>
          <w:shd w:val="pct10" w:color="auto" w:fill="FFFFFF"/>
        </w:rPr>
        <w:instrText xml:space="preserve"> HYPERLINK \l _Toc22053 </w:instrText>
      </w:r>
      <w:r>
        <w:rPr>
          <w:rFonts w:hint="eastAsia" w:ascii="宋体" w:hAnsi="宋体" w:eastAsia="宋体" w:cs="宋体"/>
          <w:b/>
          <w:bCs/>
          <w:color w:val="auto"/>
          <w:sz w:val="21"/>
          <w:szCs w:val="21"/>
          <w:highlight w:val="none"/>
          <w:shd w:val="pct10" w:color="auto" w:fill="FFFFFF"/>
        </w:rPr>
        <w:fldChar w:fldCharType="separate"/>
      </w:r>
      <w:r>
        <w:rPr>
          <w:rFonts w:hint="eastAsia" w:ascii="宋体" w:hAnsi="宋体" w:eastAsia="宋体" w:cs="宋体"/>
          <w:b/>
          <w:bCs/>
          <w:color w:val="auto"/>
          <w:kern w:val="44"/>
          <w:sz w:val="21"/>
          <w:szCs w:val="21"/>
          <w:highlight w:val="none"/>
        </w:rPr>
        <w:t>十、中小企业声明函（格式）</w:t>
      </w:r>
      <w:r>
        <w:rPr>
          <w:rFonts w:hint="eastAsia" w:ascii="宋体" w:hAnsi="宋体" w:eastAsia="宋体" w:cs="宋体"/>
          <w:b/>
          <w:bCs/>
          <w:color w:val="auto"/>
          <w:sz w:val="21"/>
          <w:szCs w:val="21"/>
          <w:highlight w:val="none"/>
        </w:rPr>
        <w:tab/>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PAGEREF _Toc22053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
          <w:bCs/>
          <w:color w:val="auto"/>
          <w:sz w:val="21"/>
          <w:szCs w:val="21"/>
          <w:highlight w:val="none"/>
        </w:rPr>
        <w:t>43</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shd w:val="pct10" w:color="auto" w:fill="FFFFFF"/>
        </w:rPr>
        <w:fldChar w:fldCharType="end"/>
      </w:r>
    </w:p>
    <w:p>
      <w:pPr>
        <w:pStyle w:val="15"/>
        <w:keepNext w:val="0"/>
        <w:keepLines w:val="0"/>
        <w:pageBreakBefore w:val="0"/>
        <w:widowControl w:val="0"/>
        <w:tabs>
          <w:tab w:val="right" w:leader="dot" w:pos="9356"/>
        </w:tabs>
        <w:kinsoku/>
        <w:wordWrap/>
        <w:overflowPunct/>
        <w:topLinePunct w:val="0"/>
        <w:autoSpaceDE/>
        <w:autoSpaceDN/>
        <w:bidi w:val="0"/>
        <w:adjustRightInd/>
        <w:snapToGrid/>
        <w:spacing w:line="440" w:lineRule="exact"/>
        <w:ind w:left="141" w:leftChars="67"/>
        <w:textAlignment w:val="auto"/>
        <w:rPr>
          <w:rFonts w:hint="eastAsia" w:hAnsi="宋体" w:cs="宋体"/>
          <w:color w:val="auto"/>
          <w:sz w:val="24"/>
          <w:szCs w:val="24"/>
          <w:highlight w:val="none"/>
        </w:rPr>
      </w:pPr>
      <w:r>
        <w:rPr>
          <w:rFonts w:hint="eastAsia" w:ascii="宋体" w:hAnsi="宋体" w:eastAsia="宋体" w:cs="宋体"/>
          <w:b/>
          <w:bCs/>
          <w:color w:val="auto"/>
          <w:sz w:val="21"/>
          <w:szCs w:val="21"/>
          <w:highlight w:val="none"/>
          <w:shd w:val="pct10" w:color="auto" w:fill="FFFFFF"/>
        </w:rPr>
        <w:fldChar w:fldCharType="end"/>
      </w:r>
    </w:p>
    <w:p>
      <w:pPr>
        <w:pStyle w:val="3"/>
        <w:keepLines/>
        <w:spacing w:before="340" w:after="330" w:line="578" w:lineRule="auto"/>
        <w:jc w:val="center"/>
        <w:rPr>
          <w:rFonts w:hint="eastAsia"/>
          <w:bCs/>
          <w:color w:val="auto"/>
          <w:kern w:val="44"/>
          <w:sz w:val="44"/>
          <w:szCs w:val="44"/>
          <w:highlight w:val="none"/>
        </w:rPr>
      </w:pPr>
    </w:p>
    <w:p>
      <w:pPr>
        <w:pStyle w:val="3"/>
        <w:keepLines/>
        <w:spacing w:before="340" w:after="330" w:line="578" w:lineRule="auto"/>
        <w:jc w:val="center"/>
        <w:rPr>
          <w:rFonts w:hint="eastAsia"/>
          <w:bCs/>
          <w:color w:val="auto"/>
          <w:kern w:val="44"/>
          <w:sz w:val="44"/>
          <w:szCs w:val="44"/>
          <w:highlight w:val="none"/>
        </w:rPr>
      </w:pPr>
    </w:p>
    <w:p>
      <w:pPr>
        <w:pStyle w:val="3"/>
        <w:keepLines/>
        <w:spacing w:before="340" w:after="330" w:line="578" w:lineRule="auto"/>
        <w:jc w:val="center"/>
        <w:rPr>
          <w:rFonts w:hint="eastAsia"/>
          <w:bCs/>
          <w:color w:val="auto"/>
          <w:kern w:val="44"/>
          <w:sz w:val="44"/>
          <w:szCs w:val="44"/>
          <w:highlight w:val="none"/>
        </w:rPr>
      </w:pPr>
    </w:p>
    <w:p>
      <w:pPr>
        <w:pStyle w:val="3"/>
        <w:keepLines/>
        <w:spacing w:before="340" w:after="330" w:line="578" w:lineRule="auto"/>
        <w:jc w:val="center"/>
        <w:rPr>
          <w:rFonts w:hint="eastAsia"/>
          <w:bCs/>
          <w:color w:val="auto"/>
          <w:kern w:val="44"/>
          <w:sz w:val="44"/>
          <w:szCs w:val="44"/>
          <w:highlight w:val="none"/>
        </w:rPr>
      </w:pPr>
    </w:p>
    <w:p>
      <w:pPr>
        <w:pStyle w:val="3"/>
        <w:keepLines/>
        <w:spacing w:before="340" w:after="330" w:line="578" w:lineRule="auto"/>
        <w:jc w:val="center"/>
        <w:rPr>
          <w:rFonts w:hint="eastAsia"/>
          <w:bCs/>
          <w:color w:val="auto"/>
          <w:kern w:val="44"/>
          <w:sz w:val="44"/>
          <w:szCs w:val="44"/>
          <w:highlight w:val="none"/>
        </w:rPr>
      </w:pPr>
    </w:p>
    <w:p>
      <w:pPr>
        <w:pStyle w:val="3"/>
        <w:keepLines/>
        <w:spacing w:before="340" w:after="330" w:line="578" w:lineRule="auto"/>
        <w:jc w:val="center"/>
        <w:rPr>
          <w:rFonts w:hint="eastAsia" w:ascii="隶书" w:eastAsia="隶书"/>
          <w:color w:val="auto"/>
          <w:highlight w:val="none"/>
        </w:rPr>
      </w:pPr>
      <w:bookmarkStart w:id="0" w:name="_Toc14332"/>
      <w:r>
        <w:rPr>
          <w:rFonts w:hint="eastAsia"/>
          <w:bCs/>
          <w:color w:val="auto"/>
          <w:kern w:val="44"/>
          <w:sz w:val="44"/>
          <w:szCs w:val="44"/>
          <w:highlight w:val="none"/>
        </w:rPr>
        <w:t>第一章  供应商须知及前附表</w:t>
      </w:r>
      <w:bookmarkEnd w:id="0"/>
    </w:p>
    <w:p>
      <w:pPr>
        <w:pStyle w:val="3"/>
        <w:keepLines/>
        <w:spacing w:before="340" w:after="330" w:line="578" w:lineRule="auto"/>
        <w:jc w:val="center"/>
        <w:rPr>
          <w:rFonts w:hint="eastAsia"/>
          <w:color w:val="auto"/>
          <w:highlight w:val="none"/>
        </w:rPr>
      </w:pPr>
      <w:r>
        <w:rPr>
          <w:rFonts w:hint="eastAsia"/>
          <w:color w:val="auto"/>
          <w:highlight w:val="none"/>
        </w:rPr>
        <w:cr/>
      </w:r>
    </w:p>
    <w:p>
      <w:pPr>
        <w:pStyle w:val="3"/>
        <w:keepLines/>
        <w:spacing w:before="340" w:after="330" w:line="578" w:lineRule="auto"/>
        <w:jc w:val="center"/>
        <w:rPr>
          <w:rFonts w:hint="eastAsia"/>
          <w:color w:val="auto"/>
          <w:highlight w:val="none"/>
        </w:rPr>
      </w:pPr>
    </w:p>
    <w:p>
      <w:pPr>
        <w:pStyle w:val="3"/>
        <w:keepLines/>
        <w:spacing w:before="340" w:after="330" w:line="578" w:lineRule="auto"/>
        <w:jc w:val="center"/>
        <w:rPr>
          <w:rFonts w:hint="eastAsia"/>
          <w:color w:val="auto"/>
          <w:highlight w:val="none"/>
        </w:rPr>
      </w:pPr>
    </w:p>
    <w:p>
      <w:pPr>
        <w:pStyle w:val="3"/>
        <w:keepLines/>
        <w:spacing w:before="340" w:after="330" w:line="578" w:lineRule="auto"/>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3"/>
        <w:keepLines/>
        <w:wordWrap w:val="0"/>
        <w:spacing w:before="340" w:after="330"/>
        <w:jc w:val="center"/>
        <w:rPr>
          <w:rFonts w:hint="eastAsia"/>
          <w:color w:val="auto"/>
          <w:sz w:val="32"/>
          <w:highlight w:val="none"/>
        </w:rPr>
      </w:pPr>
      <w:bookmarkStart w:id="1" w:name="_Toc1873"/>
      <w:r>
        <w:rPr>
          <w:rFonts w:hint="eastAsia"/>
          <w:color w:val="auto"/>
          <w:kern w:val="44"/>
          <w:sz w:val="32"/>
          <w:highlight w:val="none"/>
        </w:rPr>
        <w:t>供应商须知前附表</w:t>
      </w:r>
      <w:bookmarkEnd w:id="1"/>
    </w:p>
    <w:tbl>
      <w:tblPr>
        <w:tblStyle w:val="28"/>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915"/>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jc w:val="center"/>
        </w:trPr>
        <w:tc>
          <w:tcPr>
            <w:tcW w:w="728" w:type="dxa"/>
            <w:noWrap w:val="0"/>
            <w:vAlign w:val="center"/>
          </w:tcPr>
          <w:p>
            <w:pPr>
              <w:pStyle w:val="44"/>
              <w:wordWrap w:val="0"/>
              <w:spacing w:line="360" w:lineRule="exact"/>
              <w:jc w:val="center"/>
              <w:rPr>
                <w:rFonts w:hint="eastAsia" w:hAnsi="宋体"/>
                <w:b/>
                <w:color w:val="auto"/>
                <w:szCs w:val="21"/>
                <w:highlight w:val="none"/>
              </w:rPr>
            </w:pPr>
            <w:r>
              <w:rPr>
                <w:rFonts w:hint="eastAsia" w:hAnsi="宋体"/>
                <w:b/>
                <w:color w:val="auto"/>
                <w:szCs w:val="21"/>
                <w:highlight w:val="none"/>
              </w:rPr>
              <w:t>项号</w:t>
            </w:r>
          </w:p>
        </w:tc>
        <w:tc>
          <w:tcPr>
            <w:tcW w:w="915" w:type="dxa"/>
            <w:noWrap w:val="0"/>
            <w:vAlign w:val="center"/>
          </w:tcPr>
          <w:p>
            <w:pPr>
              <w:pStyle w:val="44"/>
              <w:wordWrap w:val="0"/>
              <w:spacing w:line="360" w:lineRule="exact"/>
              <w:jc w:val="center"/>
              <w:rPr>
                <w:rFonts w:hint="eastAsia" w:hAnsi="宋体"/>
                <w:b/>
                <w:color w:val="auto"/>
                <w:szCs w:val="21"/>
                <w:highlight w:val="none"/>
              </w:rPr>
            </w:pPr>
            <w:r>
              <w:rPr>
                <w:rFonts w:hint="eastAsia" w:hAnsi="宋体"/>
                <w:b/>
                <w:color w:val="auto"/>
                <w:szCs w:val="21"/>
                <w:highlight w:val="none"/>
              </w:rPr>
              <w:t>条款号</w:t>
            </w:r>
          </w:p>
        </w:tc>
        <w:tc>
          <w:tcPr>
            <w:tcW w:w="8412" w:type="dxa"/>
            <w:noWrap w:val="0"/>
            <w:vAlign w:val="center"/>
          </w:tcPr>
          <w:p>
            <w:pPr>
              <w:pStyle w:val="44"/>
              <w:wordWrap w:val="0"/>
              <w:spacing w:line="360" w:lineRule="exact"/>
              <w:jc w:val="center"/>
              <w:rPr>
                <w:rFonts w:hint="eastAsia" w:hAnsi="宋体"/>
                <w:b/>
                <w:color w:val="auto"/>
                <w:szCs w:val="21"/>
                <w:highlight w:val="none"/>
              </w:rPr>
            </w:pPr>
            <w:r>
              <w:rPr>
                <w:rFonts w:hint="eastAsia" w:hAnsi="宋体"/>
                <w:b/>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4" w:hRule="atLeast"/>
          <w:jc w:val="center"/>
        </w:trPr>
        <w:tc>
          <w:tcPr>
            <w:tcW w:w="728" w:type="dxa"/>
            <w:noWrap w:val="0"/>
            <w:vAlign w:val="center"/>
          </w:tcPr>
          <w:p>
            <w:pPr>
              <w:wordWrap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w:t>
            </w:r>
          </w:p>
        </w:tc>
        <w:tc>
          <w:tcPr>
            <w:tcW w:w="915" w:type="dxa"/>
            <w:noWrap w:val="0"/>
            <w:vAlign w:val="center"/>
          </w:tcPr>
          <w:p>
            <w:pPr>
              <w:wordWrap w:val="0"/>
              <w:spacing w:line="360" w:lineRule="exact"/>
              <w:jc w:val="center"/>
              <w:rPr>
                <w:rFonts w:hint="eastAsia" w:ascii="宋体" w:hAnsi="宋体"/>
                <w:color w:val="auto"/>
                <w:szCs w:val="21"/>
                <w:highlight w:val="none"/>
              </w:rPr>
            </w:pPr>
            <w:r>
              <w:rPr>
                <w:rFonts w:hint="eastAsia" w:ascii="宋体" w:hAnsi="宋体"/>
                <w:color w:val="auto"/>
                <w:szCs w:val="21"/>
                <w:highlight w:val="none"/>
              </w:rPr>
              <w:t>1.1</w:t>
            </w:r>
          </w:p>
        </w:tc>
        <w:tc>
          <w:tcPr>
            <w:tcW w:w="8412" w:type="dxa"/>
            <w:noWrap w:val="0"/>
            <w:vAlign w:val="center"/>
          </w:tcPr>
          <w:p>
            <w:pPr>
              <w:wordWrap w:val="0"/>
              <w:spacing w:line="360" w:lineRule="exact"/>
              <w:jc w:val="left"/>
              <w:rPr>
                <w:rFonts w:hint="eastAsia" w:ascii="宋体" w:hAnsi="宋体" w:cs="宋体"/>
                <w:color w:val="auto"/>
                <w:kern w:val="0"/>
                <w:szCs w:val="21"/>
                <w:highlight w:val="none"/>
              </w:rPr>
            </w:pPr>
            <w:r>
              <w:rPr>
                <w:rFonts w:hint="eastAsia" w:ascii="宋体" w:hAnsi="宋体"/>
                <w:color w:val="auto"/>
                <w:szCs w:val="21"/>
                <w:highlight w:val="none"/>
              </w:rPr>
              <w:t>项目</w:t>
            </w:r>
            <w:r>
              <w:rPr>
                <w:rFonts w:hint="eastAsia" w:ascii="宋体" w:hAnsi="宋体"/>
                <w:bCs/>
                <w:color w:val="auto"/>
                <w:spacing w:val="-4"/>
                <w:szCs w:val="21"/>
                <w:highlight w:val="none"/>
              </w:rPr>
              <w:t>名称：</w:t>
            </w:r>
            <w:r>
              <w:rPr>
                <w:rFonts w:hint="eastAsia" w:ascii="宋体" w:hAnsi="宋体" w:cs="宋体"/>
                <w:color w:val="auto"/>
                <w:kern w:val="0"/>
                <w:szCs w:val="21"/>
                <w:highlight w:val="none"/>
              </w:rPr>
              <w:t>2020年管道潜望镜、空气压缩机等设备采购项目</w:t>
            </w:r>
          </w:p>
          <w:p>
            <w:pPr>
              <w:wordWrap w:val="0"/>
              <w:spacing w:line="360" w:lineRule="exact"/>
              <w:jc w:val="left"/>
              <w:rPr>
                <w:rFonts w:hint="eastAsia" w:ascii="宋体" w:hAnsi="宋体" w:cs="宋体"/>
                <w:color w:val="auto"/>
                <w:kern w:val="0"/>
                <w:szCs w:val="21"/>
                <w:highlight w:val="none"/>
              </w:rPr>
            </w:pPr>
            <w:r>
              <w:rPr>
                <w:rFonts w:hint="eastAsia" w:ascii="宋体" w:hAnsi="宋体"/>
                <w:bCs/>
                <w:color w:val="auto"/>
                <w:spacing w:val="-4"/>
                <w:szCs w:val="21"/>
                <w:highlight w:val="none"/>
              </w:rPr>
              <w:t>项目编号：</w:t>
            </w:r>
            <w:r>
              <w:rPr>
                <w:rFonts w:hint="eastAsia" w:ascii="宋体" w:hAnsi="宋体" w:cs="宋体"/>
                <w:color w:val="auto"/>
                <w:kern w:val="0"/>
                <w:szCs w:val="21"/>
                <w:highlight w:val="none"/>
              </w:rPr>
              <w:t>YLZC2020-J1-000613-GXJY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jc w:val="center"/>
        </w:trPr>
        <w:tc>
          <w:tcPr>
            <w:tcW w:w="728" w:type="dxa"/>
            <w:noWrap w:val="0"/>
            <w:vAlign w:val="center"/>
          </w:tcPr>
          <w:p>
            <w:pPr>
              <w:wordWrap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w:t>
            </w:r>
          </w:p>
        </w:tc>
        <w:tc>
          <w:tcPr>
            <w:tcW w:w="915" w:type="dxa"/>
            <w:noWrap w:val="0"/>
            <w:vAlign w:val="center"/>
          </w:tcPr>
          <w:p>
            <w:pPr>
              <w:wordWrap w:val="0"/>
              <w:spacing w:line="360" w:lineRule="exact"/>
              <w:jc w:val="center"/>
              <w:rPr>
                <w:rFonts w:hint="eastAsia" w:ascii="宋体" w:hAnsi="宋体"/>
                <w:color w:val="auto"/>
                <w:szCs w:val="21"/>
                <w:highlight w:val="none"/>
              </w:rPr>
            </w:pPr>
            <w:r>
              <w:rPr>
                <w:rFonts w:hint="eastAsia" w:ascii="宋体" w:hAnsi="宋体"/>
                <w:color w:val="auto"/>
                <w:szCs w:val="21"/>
                <w:highlight w:val="none"/>
              </w:rPr>
              <w:t>2.1</w:t>
            </w:r>
          </w:p>
        </w:tc>
        <w:tc>
          <w:tcPr>
            <w:tcW w:w="8412" w:type="dxa"/>
            <w:noWrap w:val="0"/>
            <w:vAlign w:val="center"/>
          </w:tcPr>
          <w:p>
            <w:pPr>
              <w:widowControl/>
              <w:shd w:val="clear" w:color="auto" w:fill="FFFFFF"/>
              <w:spacing w:line="360" w:lineRule="exact"/>
              <w:jc w:val="left"/>
              <w:rPr>
                <w:rFonts w:hint="eastAsia" w:ascii="宋体" w:hAnsi="宋体"/>
                <w:color w:val="auto"/>
                <w:szCs w:val="21"/>
                <w:highlight w:val="none"/>
              </w:rPr>
            </w:pPr>
            <w:r>
              <w:rPr>
                <w:rFonts w:hint="eastAsia" w:ascii="宋体" w:hAnsi="宋体"/>
                <w:color w:val="auto"/>
                <w:szCs w:val="21"/>
                <w:highlight w:val="none"/>
              </w:rPr>
              <w:t>基本资格要求：详见《</w:t>
            </w:r>
            <w:r>
              <w:rPr>
                <w:rFonts w:hint="eastAsia"/>
                <w:b/>
                <w:bCs/>
                <w:color w:val="auto"/>
                <w:highlight w:val="none"/>
              </w:rPr>
              <w:t>竞争性谈判公告</w:t>
            </w:r>
            <w:r>
              <w:rPr>
                <w:rFonts w:hint="eastAsia" w:ascii="宋体" w:hAnsi="宋体" w:cs="宋体"/>
                <w:color w:val="auto"/>
                <w:szCs w:val="21"/>
                <w:highlight w:val="none"/>
              </w:rPr>
              <w:t>》</w:t>
            </w:r>
            <w:r>
              <w:rPr>
                <w:rFonts w:hint="eastAsia" w:ascii="宋体" w:hAnsi="宋体"/>
                <w:b/>
                <w:bCs/>
                <w:color w:val="auto"/>
                <w:szCs w:val="21"/>
                <w:highlight w:val="none"/>
              </w:rPr>
              <w:t>“二、申请人的资格要求”。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9" w:hRule="atLeast"/>
          <w:jc w:val="center"/>
        </w:trPr>
        <w:tc>
          <w:tcPr>
            <w:tcW w:w="728"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3</w:t>
            </w:r>
          </w:p>
        </w:tc>
        <w:tc>
          <w:tcPr>
            <w:tcW w:w="915"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10.1</w:t>
            </w:r>
          </w:p>
        </w:tc>
        <w:tc>
          <w:tcPr>
            <w:tcW w:w="8412" w:type="dxa"/>
            <w:noWrap w:val="0"/>
            <w:vAlign w:val="center"/>
          </w:tcPr>
          <w:p>
            <w:pPr>
              <w:widowControl/>
              <w:shd w:val="clear" w:color="auto" w:fill="FFFFFF"/>
              <w:spacing w:line="360" w:lineRule="exact"/>
              <w:rPr>
                <w:rFonts w:hint="eastAsia" w:ascii="宋体" w:hAnsi="宋体"/>
                <w:color w:val="auto"/>
                <w:szCs w:val="21"/>
                <w:highlight w:val="none"/>
              </w:rPr>
            </w:pPr>
            <w:r>
              <w:rPr>
                <w:rFonts w:hint="eastAsia" w:ascii="宋体" w:hAnsi="宋体"/>
                <w:color w:val="auto"/>
                <w:szCs w:val="21"/>
                <w:highlight w:val="none"/>
              </w:rPr>
              <w:t>竞标报价：供应商必须就《项目需求》中的所有内容作完整报价，否则，其竞标将被拒绝。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30" w:hRule="atLeast"/>
          <w:jc w:val="center"/>
        </w:trPr>
        <w:tc>
          <w:tcPr>
            <w:tcW w:w="728"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4</w:t>
            </w:r>
          </w:p>
        </w:tc>
        <w:tc>
          <w:tcPr>
            <w:tcW w:w="915"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14.1</w:t>
            </w:r>
          </w:p>
        </w:tc>
        <w:tc>
          <w:tcPr>
            <w:tcW w:w="8412" w:type="dxa"/>
            <w:noWrap w:val="0"/>
            <w:vAlign w:val="center"/>
          </w:tcPr>
          <w:p>
            <w:pPr>
              <w:pStyle w:val="44"/>
              <w:wordWrap w:val="0"/>
              <w:spacing w:line="360" w:lineRule="exact"/>
              <w:rPr>
                <w:rFonts w:hint="eastAsia" w:hAnsi="宋体"/>
                <w:color w:val="auto"/>
                <w:szCs w:val="21"/>
                <w:highlight w:val="none"/>
              </w:rPr>
            </w:pPr>
            <w:r>
              <w:rPr>
                <w:rFonts w:hint="eastAsia" w:hAnsi="宋体"/>
                <w:color w:val="auto"/>
                <w:szCs w:val="21"/>
                <w:highlight w:val="none"/>
              </w:rPr>
              <w:t>竞标有效期：竞标截止之日起60天内。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0" w:hRule="atLeast"/>
          <w:jc w:val="center"/>
        </w:trPr>
        <w:tc>
          <w:tcPr>
            <w:tcW w:w="728"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5</w:t>
            </w:r>
          </w:p>
        </w:tc>
        <w:tc>
          <w:tcPr>
            <w:tcW w:w="915"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15.4</w:t>
            </w:r>
          </w:p>
        </w:tc>
        <w:tc>
          <w:tcPr>
            <w:tcW w:w="8412" w:type="dxa"/>
            <w:noWrap w:val="0"/>
            <w:vAlign w:val="center"/>
          </w:tcPr>
          <w:p>
            <w:pPr>
              <w:pStyle w:val="12"/>
              <w:wordWrap w:val="0"/>
              <w:spacing w:line="360" w:lineRule="exact"/>
              <w:ind w:left="1260" w:hanging="1260" w:hangingChars="600"/>
              <w:rPr>
                <w:rFonts w:hint="eastAsia" w:hAnsi="宋体"/>
                <w:color w:val="auto"/>
                <w:sz w:val="21"/>
                <w:szCs w:val="21"/>
                <w:highlight w:val="none"/>
              </w:rPr>
            </w:pPr>
            <w:r>
              <w:rPr>
                <w:rFonts w:hint="eastAsia" w:hAnsi="宋体"/>
                <w:color w:val="auto"/>
                <w:spacing w:val="0"/>
                <w:sz w:val="21"/>
                <w:szCs w:val="21"/>
                <w:highlight w:val="none"/>
              </w:rPr>
              <w:t>响应文件：正本一套、副本三套，共四套。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32" w:hRule="atLeast"/>
          <w:jc w:val="center"/>
        </w:trPr>
        <w:tc>
          <w:tcPr>
            <w:tcW w:w="728"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6</w:t>
            </w:r>
          </w:p>
        </w:tc>
        <w:tc>
          <w:tcPr>
            <w:tcW w:w="915"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16</w:t>
            </w:r>
          </w:p>
          <w:p>
            <w:pPr>
              <w:pStyle w:val="15"/>
              <w:wordWrap w:val="0"/>
              <w:spacing w:line="360" w:lineRule="exact"/>
              <w:jc w:val="center"/>
              <w:rPr>
                <w:rFonts w:hint="eastAsia" w:hAnsi="宋体"/>
                <w:color w:val="auto"/>
                <w:szCs w:val="21"/>
                <w:highlight w:val="none"/>
              </w:rPr>
            </w:pPr>
            <w:r>
              <w:rPr>
                <w:rFonts w:hint="eastAsia" w:hAnsi="宋体"/>
                <w:color w:val="auto"/>
                <w:szCs w:val="21"/>
                <w:highlight w:val="none"/>
              </w:rPr>
              <w:t>17</w:t>
            </w:r>
          </w:p>
        </w:tc>
        <w:tc>
          <w:tcPr>
            <w:tcW w:w="8412" w:type="dxa"/>
            <w:noWrap w:val="0"/>
            <w:vAlign w:val="center"/>
          </w:tcPr>
          <w:p>
            <w:pPr>
              <w:widowControl/>
              <w:shd w:val="clear" w:color="auto" w:fill="FFFFFF"/>
              <w:spacing w:line="400" w:lineRule="exact"/>
              <w:jc w:val="left"/>
              <w:rPr>
                <w:rFonts w:hint="eastAsia" w:ascii="宋体" w:hAnsi="宋体" w:cs="宋体"/>
                <w:color w:val="auto"/>
                <w:kern w:val="0"/>
                <w:szCs w:val="21"/>
                <w:highlight w:val="none"/>
              </w:rPr>
            </w:pPr>
            <w:r>
              <w:rPr>
                <w:rFonts w:hint="eastAsia" w:hAnsi="宋体"/>
                <w:color w:val="auto"/>
                <w:szCs w:val="21"/>
                <w:highlight w:val="none"/>
              </w:rPr>
              <w:t>谈判保证金：无</w:t>
            </w:r>
          </w:p>
          <w:p>
            <w:pPr>
              <w:pStyle w:val="15"/>
              <w:wordWrap w:val="0"/>
              <w:spacing w:line="360" w:lineRule="exact"/>
              <w:rPr>
                <w:rFonts w:hint="eastAsia" w:hAnsi="宋体"/>
                <w:color w:val="auto"/>
                <w:spacing w:val="-6"/>
                <w:szCs w:val="21"/>
                <w:highlight w:val="none"/>
              </w:rPr>
            </w:pPr>
            <w:r>
              <w:rPr>
                <w:rFonts w:hint="eastAsia" w:hAnsi="宋体"/>
                <w:color w:val="auto"/>
                <w:szCs w:val="21"/>
                <w:highlight w:val="none"/>
              </w:rPr>
              <w:t>履约保证金: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3" w:hRule="atLeast"/>
          <w:jc w:val="center"/>
        </w:trPr>
        <w:tc>
          <w:tcPr>
            <w:tcW w:w="728"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7</w:t>
            </w:r>
          </w:p>
        </w:tc>
        <w:tc>
          <w:tcPr>
            <w:tcW w:w="915" w:type="dxa"/>
            <w:noWrap w:val="0"/>
            <w:vAlign w:val="center"/>
          </w:tcPr>
          <w:p>
            <w:pPr>
              <w:pStyle w:val="44"/>
              <w:wordWrap w:val="0"/>
              <w:spacing w:line="360" w:lineRule="exact"/>
              <w:jc w:val="center"/>
              <w:rPr>
                <w:rFonts w:hAnsi="宋体"/>
                <w:color w:val="auto"/>
                <w:szCs w:val="21"/>
                <w:highlight w:val="none"/>
              </w:rPr>
            </w:pPr>
            <w:r>
              <w:rPr>
                <w:rFonts w:hint="eastAsia" w:hAnsi="宋体"/>
                <w:color w:val="auto"/>
                <w:szCs w:val="21"/>
                <w:highlight w:val="none"/>
              </w:rPr>
              <w:t>18.5</w:t>
            </w:r>
          </w:p>
          <w:p>
            <w:pPr>
              <w:pStyle w:val="44"/>
              <w:wordWrap w:val="0"/>
              <w:spacing w:line="360" w:lineRule="exact"/>
              <w:jc w:val="center"/>
              <w:rPr>
                <w:rFonts w:hAnsi="宋体"/>
                <w:color w:val="auto"/>
                <w:szCs w:val="21"/>
                <w:highlight w:val="none"/>
              </w:rPr>
            </w:pPr>
            <w:r>
              <w:rPr>
                <w:rFonts w:hint="eastAsia" w:hAnsi="宋体"/>
                <w:color w:val="auto"/>
                <w:szCs w:val="21"/>
                <w:highlight w:val="none"/>
              </w:rPr>
              <w:t>19.1</w:t>
            </w:r>
          </w:p>
        </w:tc>
        <w:tc>
          <w:tcPr>
            <w:tcW w:w="8412" w:type="dxa"/>
            <w:noWrap w:val="0"/>
            <w:vAlign w:val="center"/>
          </w:tcPr>
          <w:p>
            <w:pPr>
              <w:pStyle w:val="15"/>
              <w:wordWrap w:val="0"/>
              <w:spacing w:line="360" w:lineRule="exact"/>
              <w:rPr>
                <w:rFonts w:hint="eastAsia" w:hAnsi="宋体"/>
                <w:color w:val="auto"/>
                <w:szCs w:val="21"/>
                <w:highlight w:val="none"/>
              </w:rPr>
            </w:pPr>
            <w:r>
              <w:rPr>
                <w:rFonts w:hint="eastAsia" w:hAnsi="宋体"/>
                <w:color w:val="auto"/>
                <w:szCs w:val="21"/>
                <w:highlight w:val="none"/>
              </w:rPr>
              <w:t>响应文件提交截止时间：详见《</w:t>
            </w:r>
            <w:r>
              <w:rPr>
                <w:rFonts w:hint="eastAsia"/>
                <w:b/>
                <w:bCs/>
                <w:color w:val="auto"/>
                <w:highlight w:val="none"/>
              </w:rPr>
              <w:t>竞争性谈判公告</w:t>
            </w:r>
            <w:r>
              <w:rPr>
                <w:rFonts w:hint="eastAsia" w:hAnsi="宋体" w:cs="宋体"/>
                <w:color w:val="auto"/>
                <w:szCs w:val="21"/>
                <w:highlight w:val="none"/>
              </w:rPr>
              <w:t>》第四条规定</w:t>
            </w:r>
          </w:p>
          <w:p>
            <w:pPr>
              <w:pStyle w:val="15"/>
              <w:wordWrap w:val="0"/>
              <w:spacing w:line="360" w:lineRule="exact"/>
              <w:rPr>
                <w:rFonts w:hint="eastAsia" w:hAnsi="宋体"/>
                <w:color w:val="auto"/>
                <w:szCs w:val="21"/>
                <w:highlight w:val="none"/>
              </w:rPr>
            </w:pPr>
            <w:r>
              <w:rPr>
                <w:rFonts w:hint="eastAsia" w:hAnsi="宋体"/>
                <w:color w:val="auto"/>
                <w:szCs w:val="21"/>
                <w:highlight w:val="none"/>
              </w:rPr>
              <w:t>响应文件提交地点：详见《</w:t>
            </w:r>
            <w:r>
              <w:rPr>
                <w:rFonts w:hint="eastAsia"/>
                <w:b/>
                <w:bCs/>
                <w:color w:val="auto"/>
                <w:highlight w:val="none"/>
              </w:rPr>
              <w:t>竞争性谈判公告</w:t>
            </w:r>
            <w:r>
              <w:rPr>
                <w:rFonts w:hint="eastAsia" w:hAnsi="宋体" w:cs="宋体"/>
                <w:color w:val="auto"/>
                <w:szCs w:val="21"/>
                <w:highlight w:val="none"/>
              </w:rPr>
              <w:t>》第四条规定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jc w:val="center"/>
        </w:trPr>
        <w:tc>
          <w:tcPr>
            <w:tcW w:w="728"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8</w:t>
            </w:r>
          </w:p>
        </w:tc>
        <w:tc>
          <w:tcPr>
            <w:tcW w:w="915" w:type="dxa"/>
            <w:noWrap w:val="0"/>
            <w:vAlign w:val="center"/>
          </w:tcPr>
          <w:p>
            <w:pPr>
              <w:pStyle w:val="15"/>
              <w:spacing w:line="360" w:lineRule="exact"/>
              <w:jc w:val="center"/>
              <w:rPr>
                <w:rFonts w:hAnsi="宋体"/>
                <w:color w:val="auto"/>
                <w:szCs w:val="21"/>
                <w:highlight w:val="none"/>
              </w:rPr>
            </w:pPr>
            <w:r>
              <w:rPr>
                <w:rFonts w:hint="eastAsia" w:hAnsi="宋体"/>
                <w:color w:val="auto"/>
                <w:szCs w:val="21"/>
                <w:highlight w:val="none"/>
              </w:rPr>
              <w:t>20.1</w:t>
            </w:r>
          </w:p>
        </w:tc>
        <w:tc>
          <w:tcPr>
            <w:tcW w:w="8412" w:type="dxa"/>
            <w:noWrap w:val="0"/>
            <w:vAlign w:val="center"/>
          </w:tcPr>
          <w:p>
            <w:pPr>
              <w:pStyle w:val="15"/>
              <w:wordWrap w:val="0"/>
              <w:spacing w:line="360" w:lineRule="exact"/>
              <w:rPr>
                <w:rFonts w:hint="eastAsia" w:hAnsi="宋体"/>
                <w:color w:val="auto"/>
                <w:szCs w:val="21"/>
                <w:highlight w:val="none"/>
              </w:rPr>
            </w:pPr>
            <w:r>
              <w:rPr>
                <w:rFonts w:hint="eastAsia" w:hAnsi="宋体" w:cs="宋体"/>
                <w:color w:val="auto"/>
                <w:szCs w:val="21"/>
                <w:highlight w:val="none"/>
              </w:rPr>
              <w:t>谈判时间：</w:t>
            </w:r>
            <w:r>
              <w:rPr>
                <w:rFonts w:hint="eastAsia" w:hAnsi="宋体"/>
                <w:color w:val="auto"/>
                <w:szCs w:val="21"/>
                <w:highlight w:val="none"/>
              </w:rPr>
              <w:t>详见《</w:t>
            </w:r>
            <w:r>
              <w:rPr>
                <w:rFonts w:hint="eastAsia"/>
                <w:b/>
                <w:bCs/>
                <w:color w:val="auto"/>
                <w:highlight w:val="none"/>
              </w:rPr>
              <w:t>竞争性谈判公告</w:t>
            </w:r>
            <w:r>
              <w:rPr>
                <w:rFonts w:hint="eastAsia" w:hAnsi="宋体" w:cs="宋体"/>
                <w:color w:val="auto"/>
                <w:szCs w:val="21"/>
                <w:highlight w:val="none"/>
              </w:rPr>
              <w:t>》第五条规定</w:t>
            </w:r>
            <w:r>
              <w:rPr>
                <w:rFonts w:hint="eastAsia" w:hAnsi="宋体"/>
                <w:color w:val="auto"/>
                <w:szCs w:val="21"/>
                <w:highlight w:val="none"/>
              </w:rPr>
              <w:t>（具体时间由采购代理机构另行通知）</w:t>
            </w:r>
          </w:p>
          <w:p>
            <w:pPr>
              <w:pStyle w:val="15"/>
              <w:wordWrap w:val="0"/>
              <w:spacing w:line="360" w:lineRule="exact"/>
              <w:ind w:left="210" w:hanging="210" w:hangingChars="100"/>
              <w:rPr>
                <w:rFonts w:hint="eastAsia" w:hAnsi="宋体"/>
                <w:color w:val="auto"/>
                <w:szCs w:val="21"/>
                <w:highlight w:val="none"/>
              </w:rPr>
            </w:pPr>
            <w:r>
              <w:rPr>
                <w:rFonts w:hint="eastAsia" w:hAnsi="宋体" w:cs="宋体"/>
                <w:color w:val="auto"/>
                <w:szCs w:val="21"/>
                <w:highlight w:val="none"/>
              </w:rPr>
              <w:t>谈判地点：</w:t>
            </w:r>
            <w:r>
              <w:rPr>
                <w:rFonts w:hint="eastAsia" w:hAnsi="宋体"/>
                <w:color w:val="auto"/>
                <w:szCs w:val="21"/>
                <w:highlight w:val="none"/>
              </w:rPr>
              <w:t>详见《</w:t>
            </w:r>
            <w:r>
              <w:rPr>
                <w:rFonts w:hint="eastAsia"/>
                <w:b/>
                <w:bCs/>
                <w:color w:val="auto"/>
                <w:highlight w:val="none"/>
              </w:rPr>
              <w:t>竞争性谈判公告</w:t>
            </w:r>
            <w:r>
              <w:rPr>
                <w:rFonts w:hint="eastAsia" w:hAnsi="宋体" w:cs="宋体"/>
                <w:color w:val="auto"/>
                <w:szCs w:val="21"/>
                <w:highlight w:val="none"/>
              </w:rPr>
              <w:t>》第五条规定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62" w:hRule="atLeast"/>
          <w:jc w:val="center"/>
        </w:trPr>
        <w:tc>
          <w:tcPr>
            <w:tcW w:w="728"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9</w:t>
            </w:r>
          </w:p>
        </w:tc>
        <w:tc>
          <w:tcPr>
            <w:tcW w:w="915" w:type="dxa"/>
            <w:noWrap w:val="0"/>
            <w:vAlign w:val="center"/>
          </w:tcPr>
          <w:p>
            <w:pPr>
              <w:pStyle w:val="44"/>
              <w:wordWrap w:val="0"/>
              <w:spacing w:line="360" w:lineRule="exact"/>
              <w:jc w:val="center"/>
              <w:rPr>
                <w:rFonts w:hint="eastAsia" w:hAnsi="宋体"/>
                <w:color w:val="auto"/>
                <w:szCs w:val="21"/>
                <w:highlight w:val="none"/>
              </w:rPr>
            </w:pPr>
            <w:r>
              <w:rPr>
                <w:rFonts w:hint="eastAsia" w:hAnsi="宋体"/>
                <w:color w:val="auto"/>
                <w:szCs w:val="21"/>
                <w:highlight w:val="none"/>
              </w:rPr>
              <w:t>20.3</w:t>
            </w:r>
          </w:p>
        </w:tc>
        <w:tc>
          <w:tcPr>
            <w:tcW w:w="8412" w:type="dxa"/>
            <w:noWrap w:val="0"/>
            <w:vAlign w:val="center"/>
          </w:tcPr>
          <w:p>
            <w:pPr>
              <w:pStyle w:val="15"/>
              <w:wordWrap w:val="0"/>
              <w:spacing w:line="360" w:lineRule="exact"/>
              <w:rPr>
                <w:rFonts w:hint="eastAsia" w:hAnsi="宋体"/>
                <w:color w:val="auto"/>
                <w:szCs w:val="21"/>
                <w:highlight w:val="none"/>
              </w:rPr>
            </w:pPr>
            <w:r>
              <w:rPr>
                <w:rFonts w:hint="eastAsia" w:hAnsi="宋体"/>
                <w:color w:val="auto"/>
                <w:szCs w:val="21"/>
                <w:highlight w:val="none"/>
              </w:rPr>
              <w:t>在对供应商资格审查时进行信用查询，查询结果与响应文件不一致时，以采购人或采购代理机构查询结果为准。</w:t>
            </w:r>
          </w:p>
          <w:p>
            <w:pPr>
              <w:pStyle w:val="15"/>
              <w:wordWrap w:val="0"/>
              <w:spacing w:line="360" w:lineRule="exact"/>
              <w:rPr>
                <w:rFonts w:hint="eastAsia" w:hAnsi="宋体"/>
                <w:color w:val="auto"/>
                <w:szCs w:val="21"/>
                <w:highlight w:val="none"/>
              </w:rPr>
            </w:pPr>
            <w:r>
              <w:rPr>
                <w:rFonts w:hint="eastAsia" w:hAnsi="宋体"/>
                <w:color w:val="auto"/>
                <w:szCs w:val="21"/>
                <w:highlight w:val="none"/>
              </w:rPr>
              <w:t>查询渠道：“信用中国”网站(www.creditchina.gov.cn)、中国政府采购网(www.ccgp.gov.cn)等；</w:t>
            </w:r>
          </w:p>
          <w:p>
            <w:pPr>
              <w:widowControl/>
              <w:autoSpaceDE w:val="0"/>
              <w:spacing w:line="440" w:lineRule="atLeast"/>
              <w:rPr>
                <w:rFonts w:hint="eastAsia" w:hAnsi="宋体"/>
                <w:color w:val="auto"/>
                <w:szCs w:val="21"/>
                <w:highlight w:val="none"/>
              </w:rPr>
            </w:pPr>
            <w:r>
              <w:rPr>
                <w:rFonts w:hint="eastAsia" w:hAnsi="宋体"/>
                <w:b/>
                <w:bCs/>
                <w:color w:val="auto"/>
                <w:szCs w:val="21"/>
                <w:highlight w:val="none"/>
              </w:rPr>
              <w:t>信用查询截止时点：提交响应文件截止时间前一天至资格审查结束前</w:t>
            </w:r>
            <w:r>
              <w:rPr>
                <w:rFonts w:hint="eastAsia" w:ascii="宋体" w:hAnsi="宋体"/>
                <w:b/>
                <w:bCs/>
                <w:color w:val="auto"/>
                <w:highlight w:val="none"/>
              </w:rPr>
              <w:t>；</w:t>
            </w:r>
          </w:p>
          <w:p>
            <w:pPr>
              <w:pStyle w:val="15"/>
              <w:wordWrap w:val="0"/>
              <w:spacing w:line="360" w:lineRule="exact"/>
              <w:rPr>
                <w:rFonts w:hint="eastAsia" w:hAnsi="宋体"/>
                <w:color w:val="auto"/>
                <w:szCs w:val="21"/>
                <w:highlight w:val="none"/>
              </w:rPr>
            </w:pPr>
            <w:r>
              <w:rPr>
                <w:rFonts w:hint="eastAsia" w:hAnsi="宋体"/>
                <w:color w:val="auto"/>
                <w:szCs w:val="21"/>
                <w:highlight w:val="none"/>
              </w:rPr>
              <w:t>查询记录和证据留存方式：在查询网站中直接打印查询记录，打印材料作为评审资料保存；</w:t>
            </w:r>
          </w:p>
          <w:p>
            <w:pPr>
              <w:pStyle w:val="15"/>
              <w:wordWrap w:val="0"/>
              <w:spacing w:line="360" w:lineRule="exact"/>
              <w:rPr>
                <w:rFonts w:hint="eastAsia" w:hAnsi="宋体"/>
                <w:color w:val="auto"/>
                <w:szCs w:val="21"/>
                <w:highlight w:val="none"/>
              </w:rPr>
            </w:pPr>
            <w:r>
              <w:rPr>
                <w:rFonts w:hint="eastAsia" w:hAnsi="宋体"/>
                <w:color w:val="auto"/>
                <w:szCs w:val="21"/>
                <w:highlight w:val="none"/>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8" w:hRule="atLeast"/>
          <w:jc w:val="center"/>
        </w:trPr>
        <w:tc>
          <w:tcPr>
            <w:tcW w:w="728" w:type="dxa"/>
            <w:noWrap w:val="0"/>
            <w:vAlign w:val="center"/>
          </w:tcPr>
          <w:p>
            <w:pPr>
              <w:pStyle w:val="44"/>
              <w:spacing w:line="360" w:lineRule="exact"/>
              <w:jc w:val="center"/>
              <w:rPr>
                <w:rFonts w:hint="eastAsia" w:hAnsi="宋体"/>
                <w:color w:val="auto"/>
                <w:szCs w:val="21"/>
                <w:highlight w:val="none"/>
              </w:rPr>
            </w:pPr>
            <w:r>
              <w:rPr>
                <w:rFonts w:hint="eastAsia" w:hAnsi="宋体"/>
                <w:color w:val="auto"/>
                <w:szCs w:val="21"/>
                <w:highlight w:val="none"/>
              </w:rPr>
              <w:t>10</w:t>
            </w:r>
          </w:p>
        </w:tc>
        <w:tc>
          <w:tcPr>
            <w:tcW w:w="915" w:type="dxa"/>
            <w:noWrap w:val="0"/>
            <w:vAlign w:val="center"/>
          </w:tcPr>
          <w:p>
            <w:pPr>
              <w:pStyle w:val="44"/>
              <w:spacing w:line="360" w:lineRule="exact"/>
              <w:jc w:val="center"/>
              <w:rPr>
                <w:rFonts w:hint="eastAsia" w:hAnsi="宋体"/>
                <w:color w:val="auto"/>
                <w:szCs w:val="21"/>
                <w:highlight w:val="none"/>
              </w:rPr>
            </w:pPr>
            <w:r>
              <w:rPr>
                <w:rFonts w:hint="eastAsia" w:hAnsi="宋体"/>
                <w:color w:val="auto"/>
                <w:szCs w:val="21"/>
                <w:highlight w:val="none"/>
              </w:rPr>
              <w:t>21.3</w:t>
            </w:r>
          </w:p>
        </w:tc>
        <w:tc>
          <w:tcPr>
            <w:tcW w:w="8412" w:type="dxa"/>
            <w:noWrap w:val="0"/>
            <w:vAlign w:val="center"/>
          </w:tcPr>
          <w:p>
            <w:pPr>
              <w:pStyle w:val="15"/>
              <w:spacing w:line="360" w:lineRule="exact"/>
              <w:rPr>
                <w:rFonts w:hint="eastAsia" w:hAnsi="宋体"/>
                <w:color w:val="auto"/>
                <w:szCs w:val="21"/>
                <w:highlight w:val="none"/>
              </w:rPr>
            </w:pPr>
            <w:r>
              <w:rPr>
                <w:rFonts w:hint="eastAsia" w:hAnsi="宋体"/>
                <w:color w:val="auto"/>
                <w:szCs w:val="21"/>
                <w:highlight w:val="none"/>
              </w:rPr>
              <w:t>评审办法：详见 “评审办法和成交标准”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2" w:hRule="atLeast"/>
          <w:jc w:val="center"/>
        </w:trPr>
        <w:tc>
          <w:tcPr>
            <w:tcW w:w="728" w:type="dxa"/>
            <w:noWrap w:val="0"/>
            <w:vAlign w:val="center"/>
          </w:tcPr>
          <w:p>
            <w:pPr>
              <w:pStyle w:val="44"/>
              <w:spacing w:line="360" w:lineRule="exact"/>
              <w:jc w:val="center"/>
              <w:rPr>
                <w:rFonts w:hint="eastAsia" w:hAnsi="宋体"/>
                <w:color w:val="auto"/>
                <w:szCs w:val="21"/>
                <w:highlight w:val="none"/>
              </w:rPr>
            </w:pPr>
            <w:r>
              <w:rPr>
                <w:rFonts w:hint="eastAsia" w:hAnsi="宋体"/>
                <w:color w:val="auto"/>
                <w:szCs w:val="21"/>
                <w:highlight w:val="none"/>
              </w:rPr>
              <w:t>11</w:t>
            </w:r>
          </w:p>
        </w:tc>
        <w:tc>
          <w:tcPr>
            <w:tcW w:w="915" w:type="dxa"/>
            <w:noWrap w:val="0"/>
            <w:vAlign w:val="center"/>
          </w:tcPr>
          <w:p>
            <w:pPr>
              <w:pStyle w:val="44"/>
              <w:spacing w:line="360" w:lineRule="exact"/>
              <w:jc w:val="center"/>
              <w:rPr>
                <w:rFonts w:hint="eastAsia" w:hAnsi="宋体"/>
                <w:color w:val="auto"/>
                <w:szCs w:val="21"/>
                <w:highlight w:val="none"/>
              </w:rPr>
            </w:pPr>
            <w:r>
              <w:rPr>
                <w:rFonts w:hint="eastAsia" w:hAnsi="宋体"/>
                <w:color w:val="auto"/>
                <w:szCs w:val="21"/>
                <w:highlight w:val="none"/>
              </w:rPr>
              <w:t>28.1</w:t>
            </w:r>
          </w:p>
        </w:tc>
        <w:tc>
          <w:tcPr>
            <w:tcW w:w="8412" w:type="dxa"/>
            <w:noWrap w:val="0"/>
            <w:vAlign w:val="center"/>
          </w:tcPr>
          <w:p>
            <w:pPr>
              <w:pStyle w:val="15"/>
              <w:spacing w:line="360" w:lineRule="exact"/>
              <w:rPr>
                <w:rFonts w:hint="eastAsia" w:hAnsi="宋体"/>
                <w:color w:val="auto"/>
                <w:szCs w:val="21"/>
                <w:highlight w:val="none"/>
              </w:rPr>
            </w:pPr>
            <w:r>
              <w:rPr>
                <w:rFonts w:hint="eastAsia" w:hAnsi="宋体"/>
                <w:color w:val="auto"/>
                <w:szCs w:val="21"/>
                <w:highlight w:val="none"/>
              </w:rPr>
              <w:t>履约保证金的退付。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43" w:hRule="atLeast"/>
          <w:jc w:val="center"/>
        </w:trPr>
        <w:tc>
          <w:tcPr>
            <w:tcW w:w="728" w:type="dxa"/>
            <w:noWrap w:val="0"/>
            <w:vAlign w:val="center"/>
          </w:tcPr>
          <w:p>
            <w:pPr>
              <w:pStyle w:val="44"/>
              <w:spacing w:line="360" w:lineRule="exact"/>
              <w:jc w:val="center"/>
              <w:rPr>
                <w:rFonts w:hint="eastAsia" w:hAnsi="宋体"/>
                <w:color w:val="auto"/>
                <w:szCs w:val="21"/>
                <w:highlight w:val="none"/>
              </w:rPr>
            </w:pPr>
            <w:r>
              <w:rPr>
                <w:rFonts w:hint="eastAsia" w:hAnsi="宋体"/>
                <w:color w:val="auto"/>
                <w:szCs w:val="21"/>
                <w:highlight w:val="none"/>
              </w:rPr>
              <w:t>12</w:t>
            </w:r>
          </w:p>
        </w:tc>
        <w:tc>
          <w:tcPr>
            <w:tcW w:w="915" w:type="dxa"/>
            <w:noWrap w:val="0"/>
            <w:vAlign w:val="center"/>
          </w:tcPr>
          <w:p>
            <w:pPr>
              <w:spacing w:line="360" w:lineRule="exact"/>
              <w:jc w:val="center"/>
              <w:rPr>
                <w:rFonts w:hint="eastAsia" w:ascii="宋体" w:hAnsi="宋体"/>
                <w:color w:val="auto"/>
                <w:szCs w:val="21"/>
                <w:highlight w:val="none"/>
              </w:rPr>
            </w:pPr>
            <w:r>
              <w:rPr>
                <w:rFonts w:hint="eastAsia" w:ascii="宋体" w:hAnsi="宋体"/>
                <w:color w:val="auto"/>
                <w:szCs w:val="21"/>
                <w:highlight w:val="none"/>
              </w:rPr>
              <w:t>29.1</w:t>
            </w:r>
          </w:p>
        </w:tc>
        <w:tc>
          <w:tcPr>
            <w:tcW w:w="8412" w:type="dxa"/>
            <w:noWrap w:val="0"/>
            <w:vAlign w:val="center"/>
          </w:tcPr>
          <w:p>
            <w:pPr>
              <w:pStyle w:val="15"/>
              <w:spacing w:line="360" w:lineRule="auto"/>
              <w:rPr>
                <w:rFonts w:hAnsi="宋体" w:cs="宋体"/>
                <w:color w:val="auto"/>
                <w:szCs w:val="21"/>
                <w:highlight w:val="none"/>
              </w:rPr>
            </w:pPr>
            <w:r>
              <w:rPr>
                <w:rFonts w:hint="eastAsia" w:hAnsi="宋体" w:cs="宋体"/>
                <w:color w:val="auto"/>
                <w:szCs w:val="21"/>
                <w:highlight w:val="none"/>
              </w:rPr>
              <w:t>本项目成交服务费具体按</w:t>
            </w:r>
            <w:r>
              <w:rPr>
                <w:rFonts w:hint="eastAsia" w:hAnsi="宋体" w:cs="宋体"/>
                <w:color w:val="auto"/>
                <w:szCs w:val="21"/>
                <w:highlight w:val="none"/>
                <w:lang w:eastAsia="zh-CN"/>
              </w:rPr>
              <w:t>人民币</w:t>
            </w:r>
            <w:r>
              <w:rPr>
                <w:rFonts w:hint="eastAsia" w:hAnsi="宋体" w:cs="宋体"/>
                <w:b/>
                <w:bCs/>
                <w:color w:val="auto"/>
                <w:szCs w:val="21"/>
                <w:highlight w:val="none"/>
                <w:lang w:val="en-US" w:eastAsia="zh-CN"/>
              </w:rPr>
              <w:t>2200</w:t>
            </w:r>
            <w:r>
              <w:rPr>
                <w:rFonts w:hint="eastAsia" w:hAnsi="宋体" w:cs="宋体"/>
                <w:color w:val="auto"/>
                <w:szCs w:val="21"/>
                <w:highlight w:val="none"/>
                <w:lang w:val="en-US" w:eastAsia="zh-CN"/>
              </w:rPr>
              <w:t>元</w:t>
            </w:r>
            <w:r>
              <w:rPr>
                <w:rFonts w:hint="eastAsia" w:hAnsi="宋体" w:cs="宋体"/>
                <w:color w:val="auto"/>
                <w:szCs w:val="21"/>
                <w:highlight w:val="none"/>
              </w:rPr>
              <w:t>计取，由成交供应商向采购代理机构支付。账户如下：</w:t>
            </w:r>
          </w:p>
          <w:p>
            <w:pPr>
              <w:widowControl/>
              <w:shd w:val="clear" w:color="auto" w:fill="FFFFFF"/>
              <w:spacing w:line="38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开户名称：广西峻源项目管理有限公司</w:t>
            </w:r>
          </w:p>
          <w:p>
            <w:pPr>
              <w:widowControl/>
              <w:shd w:val="clear" w:color="auto" w:fill="FFFFFF"/>
              <w:spacing w:line="380" w:lineRule="exact"/>
              <w:ind w:firstLine="420"/>
              <w:jc w:val="left"/>
              <w:rPr>
                <w:rFonts w:hint="eastAsia" w:ascii="宋体" w:hAnsi="宋体" w:cs="宋体"/>
                <w:color w:val="auto"/>
                <w:szCs w:val="21"/>
                <w:highlight w:val="none"/>
              </w:rPr>
            </w:pPr>
            <w:r>
              <w:rPr>
                <w:rFonts w:hint="eastAsia" w:ascii="宋体" w:hAnsi="宋体" w:cs="宋体"/>
                <w:color w:val="auto"/>
                <w:szCs w:val="21"/>
                <w:highlight w:val="none"/>
              </w:rPr>
              <w:t>开户银行：中国工商银行股份有限公司玉林市广场东路支行</w:t>
            </w:r>
          </w:p>
          <w:p>
            <w:pPr>
              <w:pStyle w:val="12"/>
              <w:spacing w:line="360" w:lineRule="exact"/>
              <w:ind w:left="-4" w:leftChars="-2" w:firstLine="404" w:firstLineChars="200"/>
              <w:rPr>
                <w:rFonts w:hint="eastAsia" w:hAnsi="宋体"/>
                <w:color w:val="auto"/>
                <w:spacing w:val="0"/>
                <w:sz w:val="21"/>
                <w:szCs w:val="21"/>
                <w:highlight w:val="none"/>
              </w:rPr>
            </w:pPr>
            <w:r>
              <w:rPr>
                <w:rFonts w:hint="eastAsia" w:hAnsi="宋体" w:cs="宋体"/>
                <w:color w:val="auto"/>
                <w:sz w:val="21"/>
                <w:szCs w:val="21"/>
                <w:highlight w:val="none"/>
              </w:rPr>
              <w:t>银行账号：2111702609300002102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3" w:hRule="atLeast"/>
          <w:jc w:val="center"/>
        </w:trPr>
        <w:tc>
          <w:tcPr>
            <w:tcW w:w="728" w:type="dxa"/>
            <w:noWrap w:val="0"/>
            <w:vAlign w:val="center"/>
          </w:tcPr>
          <w:p>
            <w:pPr>
              <w:pStyle w:val="44"/>
              <w:spacing w:line="360" w:lineRule="exact"/>
              <w:jc w:val="center"/>
              <w:rPr>
                <w:rFonts w:hint="eastAsia" w:hAnsi="宋体"/>
                <w:color w:val="auto"/>
                <w:szCs w:val="21"/>
                <w:highlight w:val="none"/>
              </w:rPr>
            </w:pPr>
            <w:r>
              <w:rPr>
                <w:rFonts w:hint="eastAsia" w:hAnsi="宋体"/>
                <w:color w:val="auto"/>
                <w:szCs w:val="21"/>
                <w:highlight w:val="none"/>
              </w:rPr>
              <w:t>13</w:t>
            </w:r>
          </w:p>
        </w:tc>
        <w:tc>
          <w:tcPr>
            <w:tcW w:w="915" w:type="dxa"/>
            <w:noWrap w:val="0"/>
            <w:vAlign w:val="center"/>
          </w:tcPr>
          <w:p>
            <w:pPr>
              <w:spacing w:line="360" w:lineRule="exact"/>
              <w:jc w:val="center"/>
              <w:rPr>
                <w:rFonts w:hint="eastAsia" w:ascii="宋体" w:hAnsi="宋体"/>
                <w:color w:val="auto"/>
                <w:szCs w:val="21"/>
                <w:highlight w:val="none"/>
              </w:rPr>
            </w:pPr>
          </w:p>
        </w:tc>
        <w:tc>
          <w:tcPr>
            <w:tcW w:w="8412" w:type="dxa"/>
            <w:noWrap w:val="0"/>
            <w:vAlign w:val="center"/>
          </w:tcPr>
          <w:p>
            <w:pPr>
              <w:pStyle w:val="12"/>
              <w:spacing w:line="360" w:lineRule="exact"/>
              <w:ind w:left="-4" w:leftChars="-2" w:firstLine="4" w:firstLineChars="2"/>
              <w:rPr>
                <w:rFonts w:hint="eastAsia" w:hAnsi="宋体"/>
                <w:color w:val="auto"/>
                <w:spacing w:val="0"/>
                <w:sz w:val="21"/>
                <w:szCs w:val="21"/>
                <w:highlight w:val="none"/>
              </w:rPr>
            </w:pPr>
            <w:r>
              <w:rPr>
                <w:rFonts w:hint="eastAsia" w:hAnsi="宋体"/>
                <w:b/>
                <w:color w:val="auto"/>
                <w:spacing w:val="0"/>
                <w:sz w:val="21"/>
                <w:szCs w:val="21"/>
                <w:highlight w:val="none"/>
              </w:rPr>
              <w:t>政府采购预算价：详见《竞争性谈判公告》“一、项目基本情况”中的“预算金额”，“预算金额</w:t>
            </w:r>
            <w:r>
              <w:rPr>
                <w:rFonts w:hAnsi="宋体"/>
                <w:b/>
                <w:color w:val="auto"/>
                <w:spacing w:val="0"/>
                <w:sz w:val="21"/>
                <w:szCs w:val="21"/>
                <w:highlight w:val="none"/>
              </w:rPr>
              <w:t>”</w:t>
            </w:r>
            <w:r>
              <w:rPr>
                <w:rFonts w:hint="eastAsia" w:hAnsi="宋体"/>
                <w:b/>
                <w:color w:val="auto"/>
                <w:spacing w:val="0"/>
                <w:sz w:val="21"/>
                <w:szCs w:val="21"/>
                <w:highlight w:val="none"/>
              </w:rPr>
              <w:t>就是“政府采购预算价”。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7" w:hRule="atLeast"/>
          <w:jc w:val="center"/>
        </w:trPr>
        <w:tc>
          <w:tcPr>
            <w:tcW w:w="728" w:type="dxa"/>
            <w:noWrap w:val="0"/>
            <w:vAlign w:val="center"/>
          </w:tcPr>
          <w:p>
            <w:pPr>
              <w:pStyle w:val="44"/>
              <w:spacing w:line="360" w:lineRule="exact"/>
              <w:jc w:val="center"/>
              <w:rPr>
                <w:rFonts w:hint="eastAsia" w:hAnsi="宋体"/>
                <w:color w:val="auto"/>
                <w:szCs w:val="21"/>
                <w:highlight w:val="none"/>
              </w:rPr>
            </w:pPr>
            <w:r>
              <w:rPr>
                <w:rFonts w:hint="eastAsia" w:hAnsi="宋体"/>
                <w:color w:val="auto"/>
                <w:szCs w:val="21"/>
                <w:highlight w:val="none"/>
              </w:rPr>
              <w:t>14</w:t>
            </w:r>
          </w:p>
        </w:tc>
        <w:tc>
          <w:tcPr>
            <w:tcW w:w="915" w:type="dxa"/>
            <w:noWrap w:val="0"/>
            <w:vAlign w:val="center"/>
          </w:tcPr>
          <w:p>
            <w:pPr>
              <w:spacing w:line="360" w:lineRule="exact"/>
              <w:jc w:val="center"/>
              <w:rPr>
                <w:rFonts w:hint="eastAsia" w:ascii="宋体" w:hAnsi="宋体"/>
                <w:color w:val="auto"/>
                <w:szCs w:val="21"/>
                <w:highlight w:val="none"/>
              </w:rPr>
            </w:pPr>
          </w:p>
        </w:tc>
        <w:tc>
          <w:tcPr>
            <w:tcW w:w="8412" w:type="dxa"/>
            <w:noWrap w:val="0"/>
            <w:vAlign w:val="center"/>
          </w:tcPr>
          <w:p>
            <w:pPr>
              <w:pStyle w:val="12"/>
              <w:spacing w:line="360" w:lineRule="exact"/>
              <w:ind w:left="-4" w:leftChars="-2" w:firstLine="4" w:firstLineChars="2"/>
              <w:rPr>
                <w:rFonts w:hint="eastAsia" w:hAnsi="宋体"/>
                <w:color w:val="auto"/>
                <w:spacing w:val="0"/>
                <w:sz w:val="21"/>
                <w:szCs w:val="21"/>
                <w:highlight w:val="none"/>
              </w:rPr>
            </w:pPr>
            <w:r>
              <w:rPr>
                <w:rFonts w:hint="eastAsia" w:hAnsi="宋体"/>
                <w:color w:val="auto"/>
                <w:spacing w:val="0"/>
                <w:sz w:val="21"/>
                <w:szCs w:val="21"/>
                <w:highlight w:val="none"/>
              </w:rPr>
              <w:t>本竞争性谈判文件中描述的“公章”是指根据我国对公章的管理规定，用供应商法定主体行为名称制作的印章，除本文件有特殊规定外，供应商的财务章、部门章、分公司章、工会章、合同章、投标专用章、业务专用章及银行的转账章、现金收讫章、现金付讫章等其它形式印章均不能代替公章。</w:t>
            </w:r>
          </w:p>
          <w:p>
            <w:pPr>
              <w:pStyle w:val="12"/>
              <w:numPr>
                <w:ilvl w:val="0"/>
                <w:numId w:val="2"/>
              </w:numPr>
              <w:spacing w:line="360" w:lineRule="exact"/>
              <w:ind w:left="-4" w:leftChars="-2" w:firstLine="4" w:firstLineChars="2"/>
              <w:rPr>
                <w:rFonts w:hint="eastAsia" w:hAnsi="宋体"/>
                <w:color w:val="auto"/>
                <w:spacing w:val="0"/>
                <w:sz w:val="21"/>
                <w:szCs w:val="21"/>
                <w:highlight w:val="none"/>
              </w:rPr>
            </w:pPr>
            <w:r>
              <w:rPr>
                <w:rFonts w:hint="eastAsia" w:hAnsi="宋体"/>
                <w:color w:val="auto"/>
                <w:spacing w:val="0"/>
                <w:sz w:val="21"/>
                <w:szCs w:val="21"/>
                <w:highlight w:val="none"/>
              </w:rPr>
              <w:t>本竞争性谈判文件中描述的供应商的“签字”是指供应商的法定代表人或被授权人亲自在文件规定签署处亲笔写上个人的名字的行为，私章、签字章、印鉴、影印等其它形式均不能代替亲笔签字。</w:t>
            </w:r>
          </w:p>
          <w:p>
            <w:pPr>
              <w:pStyle w:val="12"/>
              <w:numPr>
                <w:ilvl w:val="0"/>
                <w:numId w:val="2"/>
              </w:numPr>
              <w:spacing w:line="360" w:lineRule="exact"/>
              <w:ind w:left="-4" w:leftChars="-2" w:firstLine="4" w:firstLineChars="2"/>
              <w:rPr>
                <w:rFonts w:hint="eastAsia" w:hAnsi="宋体"/>
                <w:color w:val="auto"/>
                <w:spacing w:val="0"/>
                <w:sz w:val="21"/>
                <w:szCs w:val="21"/>
                <w:highlight w:val="none"/>
              </w:rPr>
            </w:pPr>
            <w:r>
              <w:rPr>
                <w:rFonts w:hint="eastAsia" w:hAnsi="宋体"/>
                <w:color w:val="auto"/>
                <w:spacing w:val="0"/>
                <w:sz w:val="21"/>
                <w:szCs w:val="21"/>
                <w:highlight w:val="none"/>
              </w:rPr>
              <w:t>“供应商须知及前附表”与“竞争性谈判公告”就同一事项约定不一致的，以“竞争性谈判公告”的约定为准。</w:t>
            </w:r>
          </w:p>
        </w:tc>
      </w:tr>
    </w:tbl>
    <w:p>
      <w:pPr>
        <w:pStyle w:val="3"/>
        <w:keepLines/>
        <w:spacing w:before="340" w:after="330" w:line="578" w:lineRule="auto"/>
        <w:jc w:val="center"/>
        <w:rPr>
          <w:rFonts w:hint="eastAsia"/>
          <w:b w:val="0"/>
          <w:bCs/>
          <w:color w:val="auto"/>
          <w:sz w:val="32"/>
          <w:highlight w:val="none"/>
        </w:rPr>
      </w:pPr>
      <w:r>
        <w:rPr>
          <w:color w:val="auto"/>
          <w:highlight w:val="none"/>
        </w:rPr>
        <w:br w:type="page"/>
      </w:r>
      <w:bookmarkStart w:id="2" w:name="_Toc23674"/>
      <w:r>
        <w:rPr>
          <w:rFonts w:hint="eastAsia"/>
          <w:bCs/>
          <w:color w:val="auto"/>
          <w:kern w:val="44"/>
          <w:sz w:val="32"/>
          <w:szCs w:val="44"/>
          <w:highlight w:val="none"/>
        </w:rPr>
        <w:t>供应商须知</w:t>
      </w:r>
      <w:bookmarkEnd w:id="2"/>
    </w:p>
    <w:p>
      <w:pPr>
        <w:pStyle w:val="5"/>
        <w:jc w:val="center"/>
        <w:rPr>
          <w:rFonts w:hint="eastAsia"/>
          <w:b w:val="0"/>
          <w:bCs w:val="0"/>
          <w:color w:val="auto"/>
          <w:highlight w:val="none"/>
        </w:rPr>
      </w:pPr>
      <w:bookmarkStart w:id="3" w:name="_Toc262735299"/>
      <w:bookmarkStart w:id="4" w:name="_Toc372531031"/>
      <w:bookmarkStart w:id="5" w:name="_Toc16403"/>
      <w:r>
        <w:rPr>
          <w:rFonts w:hint="eastAsia"/>
          <w:color w:val="auto"/>
          <w:sz w:val="21"/>
          <w:highlight w:val="none"/>
        </w:rPr>
        <w:t>一、总  则</w:t>
      </w:r>
      <w:bookmarkEnd w:id="3"/>
      <w:bookmarkEnd w:id="4"/>
      <w:bookmarkEnd w:id="5"/>
    </w:p>
    <w:p>
      <w:pPr>
        <w:pStyle w:val="15"/>
        <w:spacing w:line="380" w:lineRule="exact"/>
        <w:rPr>
          <w:rFonts w:hint="eastAsia"/>
          <w:color w:val="auto"/>
          <w:highlight w:val="none"/>
        </w:rPr>
      </w:pPr>
      <w:r>
        <w:rPr>
          <w:rFonts w:hint="eastAsia"/>
          <w:b/>
          <w:color w:val="auto"/>
          <w:highlight w:val="none"/>
        </w:rPr>
        <w:t>1.项目名称及项目编号</w:t>
      </w:r>
    </w:p>
    <w:p>
      <w:pPr>
        <w:pStyle w:val="15"/>
        <w:spacing w:line="380" w:lineRule="exact"/>
        <w:ind w:firstLine="306" w:firstLineChars="146"/>
        <w:rPr>
          <w:rFonts w:hAnsi="宋体"/>
          <w:color w:val="auto"/>
          <w:highlight w:val="none"/>
        </w:rPr>
      </w:pPr>
      <w:r>
        <w:rPr>
          <w:rFonts w:hint="eastAsia"/>
          <w:color w:val="auto"/>
          <w:highlight w:val="none"/>
        </w:rPr>
        <w:t>1.1项目名称及项目编号详见“供应商须知前附表”</w:t>
      </w:r>
      <w:r>
        <w:rPr>
          <w:rFonts w:hint="eastAsia"/>
          <w:bCs/>
          <w:color w:val="auto"/>
          <w:highlight w:val="none"/>
        </w:rPr>
        <w:t>第1项。</w:t>
      </w:r>
    </w:p>
    <w:p>
      <w:pPr>
        <w:pStyle w:val="15"/>
        <w:spacing w:line="380" w:lineRule="exact"/>
        <w:rPr>
          <w:rFonts w:hint="eastAsia"/>
          <w:b/>
          <w:color w:val="auto"/>
          <w:highlight w:val="none"/>
        </w:rPr>
      </w:pPr>
      <w:r>
        <w:rPr>
          <w:rFonts w:hint="eastAsia"/>
          <w:b/>
          <w:color w:val="auto"/>
          <w:highlight w:val="none"/>
        </w:rPr>
        <w:t>2.谈判供应商资格</w:t>
      </w:r>
    </w:p>
    <w:p>
      <w:pPr>
        <w:pStyle w:val="15"/>
        <w:spacing w:line="380" w:lineRule="exact"/>
        <w:ind w:firstLine="306" w:firstLineChars="146"/>
        <w:rPr>
          <w:rFonts w:hint="eastAsia"/>
          <w:color w:val="auto"/>
          <w:highlight w:val="none"/>
        </w:rPr>
      </w:pPr>
      <w:r>
        <w:rPr>
          <w:rFonts w:hint="eastAsia"/>
          <w:color w:val="auto"/>
          <w:highlight w:val="none"/>
        </w:rPr>
        <w:t>2.1参加本项目的供应商必须满足“供应商须知前附表”第2项的基本资格要求；</w:t>
      </w:r>
    </w:p>
    <w:p>
      <w:pPr>
        <w:pStyle w:val="15"/>
        <w:spacing w:line="380" w:lineRule="exact"/>
        <w:ind w:firstLine="306" w:firstLineChars="146"/>
        <w:rPr>
          <w:rFonts w:hint="eastAsia"/>
          <w:color w:val="auto"/>
          <w:highlight w:val="none"/>
        </w:rPr>
      </w:pPr>
      <w:r>
        <w:rPr>
          <w:rFonts w:hint="eastAsia"/>
          <w:color w:val="auto"/>
          <w:highlight w:val="none"/>
        </w:rPr>
        <w:t>2.2符合供应商资格的供应商应承担竞标及履约中应承担的全部责任与义务。</w:t>
      </w:r>
    </w:p>
    <w:p>
      <w:pPr>
        <w:pStyle w:val="15"/>
        <w:spacing w:line="380" w:lineRule="exact"/>
        <w:rPr>
          <w:rFonts w:hint="eastAsia"/>
          <w:b/>
          <w:color w:val="auto"/>
          <w:highlight w:val="none"/>
        </w:rPr>
      </w:pPr>
      <w:r>
        <w:rPr>
          <w:rFonts w:hint="eastAsia"/>
          <w:b/>
          <w:color w:val="auto"/>
          <w:highlight w:val="none"/>
        </w:rPr>
        <w:t>3.竞标费用</w:t>
      </w:r>
    </w:p>
    <w:p>
      <w:pPr>
        <w:pStyle w:val="15"/>
        <w:spacing w:line="380" w:lineRule="exact"/>
        <w:ind w:firstLine="306" w:firstLineChars="146"/>
        <w:rPr>
          <w:rFonts w:hint="eastAsia"/>
          <w:color w:val="auto"/>
          <w:highlight w:val="none"/>
        </w:rPr>
      </w:pPr>
      <w:r>
        <w:rPr>
          <w:rFonts w:hint="eastAsia"/>
          <w:color w:val="auto"/>
          <w:highlight w:val="none"/>
        </w:rPr>
        <w:t>3.1供应商应自行承担所有与本次竞标有关的全部费用。</w:t>
      </w:r>
    </w:p>
    <w:p>
      <w:pPr>
        <w:pStyle w:val="5"/>
        <w:jc w:val="center"/>
        <w:rPr>
          <w:rFonts w:hint="eastAsia"/>
          <w:b w:val="0"/>
          <w:bCs w:val="0"/>
          <w:color w:val="auto"/>
          <w:highlight w:val="none"/>
        </w:rPr>
      </w:pPr>
      <w:bookmarkStart w:id="6" w:name="_Toc262735300"/>
      <w:bookmarkStart w:id="7" w:name="_Toc372531032"/>
      <w:bookmarkStart w:id="8" w:name="_Toc7999"/>
      <w:r>
        <w:rPr>
          <w:rFonts w:hint="eastAsia"/>
          <w:color w:val="auto"/>
          <w:sz w:val="21"/>
          <w:highlight w:val="none"/>
        </w:rPr>
        <w:t>二、竞争性谈判文件</w:t>
      </w:r>
      <w:bookmarkEnd w:id="6"/>
      <w:bookmarkEnd w:id="7"/>
      <w:bookmarkEnd w:id="8"/>
    </w:p>
    <w:p>
      <w:pPr>
        <w:pStyle w:val="15"/>
        <w:spacing w:line="380" w:lineRule="exact"/>
        <w:rPr>
          <w:rFonts w:hint="eastAsia"/>
          <w:b/>
          <w:color w:val="auto"/>
          <w:highlight w:val="none"/>
        </w:rPr>
      </w:pPr>
      <w:r>
        <w:rPr>
          <w:rFonts w:hint="eastAsia"/>
          <w:b/>
          <w:color w:val="auto"/>
          <w:highlight w:val="none"/>
        </w:rPr>
        <w:t>4.竞争性谈判文件的构成</w:t>
      </w:r>
    </w:p>
    <w:p>
      <w:pPr>
        <w:pStyle w:val="15"/>
        <w:spacing w:line="380" w:lineRule="exact"/>
        <w:ind w:firstLine="306" w:firstLineChars="146"/>
        <w:rPr>
          <w:rFonts w:hint="eastAsia"/>
          <w:color w:val="auto"/>
          <w:highlight w:val="none"/>
        </w:rPr>
      </w:pPr>
      <w:r>
        <w:rPr>
          <w:rFonts w:hint="eastAsia"/>
          <w:color w:val="auto"/>
          <w:highlight w:val="none"/>
        </w:rPr>
        <w:t>4.1竞争性谈判文件包括：</w:t>
      </w:r>
    </w:p>
    <w:p>
      <w:pPr>
        <w:pStyle w:val="15"/>
        <w:spacing w:line="380" w:lineRule="exact"/>
        <w:ind w:firstLine="306" w:firstLineChars="146"/>
        <w:rPr>
          <w:rFonts w:hint="eastAsia"/>
          <w:color w:val="auto"/>
          <w:highlight w:val="none"/>
        </w:rPr>
      </w:pPr>
      <w:r>
        <w:rPr>
          <w:rFonts w:hint="eastAsia"/>
          <w:color w:val="auto"/>
          <w:highlight w:val="none"/>
        </w:rPr>
        <w:t>⑴竞争性谈判公告；</w:t>
      </w:r>
    </w:p>
    <w:p>
      <w:pPr>
        <w:pStyle w:val="15"/>
        <w:spacing w:line="380" w:lineRule="exact"/>
        <w:ind w:firstLine="306" w:firstLineChars="146"/>
        <w:rPr>
          <w:rFonts w:hint="eastAsia"/>
          <w:color w:val="auto"/>
          <w:highlight w:val="none"/>
        </w:rPr>
      </w:pPr>
      <w:r>
        <w:rPr>
          <w:rFonts w:hint="eastAsia"/>
          <w:color w:val="auto"/>
          <w:highlight w:val="none"/>
        </w:rPr>
        <w:t>⑵供应商须知及前附表；</w:t>
      </w:r>
    </w:p>
    <w:p>
      <w:pPr>
        <w:pStyle w:val="15"/>
        <w:spacing w:line="380" w:lineRule="exact"/>
        <w:ind w:firstLine="306" w:firstLineChars="146"/>
        <w:rPr>
          <w:rFonts w:hint="eastAsia"/>
          <w:color w:val="auto"/>
          <w:highlight w:val="none"/>
        </w:rPr>
      </w:pPr>
      <w:r>
        <w:rPr>
          <w:rFonts w:hint="eastAsia"/>
          <w:color w:val="auto"/>
          <w:highlight w:val="none"/>
        </w:rPr>
        <w:t>⑶项目需求；</w:t>
      </w:r>
    </w:p>
    <w:p>
      <w:pPr>
        <w:pStyle w:val="15"/>
        <w:spacing w:line="380" w:lineRule="exact"/>
        <w:ind w:firstLine="306" w:firstLineChars="146"/>
        <w:rPr>
          <w:rFonts w:hint="eastAsia"/>
          <w:color w:val="auto"/>
          <w:highlight w:val="none"/>
        </w:rPr>
      </w:pPr>
      <w:r>
        <w:rPr>
          <w:rFonts w:hint="eastAsia"/>
          <w:color w:val="auto"/>
          <w:highlight w:val="none"/>
        </w:rPr>
        <w:t>⑷合同基本条款及合同（格式）；</w:t>
      </w:r>
    </w:p>
    <w:p>
      <w:pPr>
        <w:pStyle w:val="15"/>
        <w:spacing w:line="380" w:lineRule="exact"/>
        <w:ind w:firstLine="306" w:firstLineChars="146"/>
        <w:rPr>
          <w:rFonts w:hint="eastAsia"/>
          <w:color w:val="auto"/>
          <w:highlight w:val="none"/>
        </w:rPr>
      </w:pPr>
      <w:r>
        <w:rPr>
          <w:rFonts w:hint="eastAsia"/>
          <w:color w:val="auto"/>
          <w:highlight w:val="none"/>
        </w:rPr>
        <w:t>⑸评审办法和成交标准；</w:t>
      </w:r>
    </w:p>
    <w:p>
      <w:pPr>
        <w:pStyle w:val="15"/>
        <w:spacing w:line="380" w:lineRule="exact"/>
        <w:ind w:firstLine="306" w:firstLineChars="146"/>
        <w:rPr>
          <w:rFonts w:hint="eastAsia"/>
          <w:color w:val="auto"/>
          <w:highlight w:val="none"/>
        </w:rPr>
      </w:pPr>
      <w:r>
        <w:rPr>
          <w:rFonts w:hint="eastAsia"/>
          <w:color w:val="auto"/>
          <w:highlight w:val="none"/>
        </w:rPr>
        <w:t>⑹响应文件（格式）。</w:t>
      </w:r>
    </w:p>
    <w:p>
      <w:pPr>
        <w:pStyle w:val="15"/>
        <w:spacing w:line="380" w:lineRule="exact"/>
        <w:rPr>
          <w:rFonts w:hint="eastAsia"/>
          <w:color w:val="auto"/>
          <w:highlight w:val="none"/>
        </w:rPr>
      </w:pPr>
      <w:r>
        <w:rPr>
          <w:rFonts w:hint="eastAsia"/>
          <w:b/>
          <w:color w:val="auto"/>
          <w:highlight w:val="none"/>
        </w:rPr>
        <w:t>5.竞争性谈判文件的澄清和修改</w:t>
      </w:r>
    </w:p>
    <w:p>
      <w:pPr>
        <w:pStyle w:val="15"/>
        <w:spacing w:line="380" w:lineRule="exact"/>
        <w:ind w:firstLine="308" w:firstLineChars="146"/>
        <w:rPr>
          <w:rFonts w:hint="eastAsia" w:hAnsi="宋体" w:cs="宋体"/>
          <w:b/>
          <w:bCs/>
          <w:color w:val="auto"/>
          <w:szCs w:val="21"/>
          <w:highlight w:val="none"/>
        </w:rPr>
      </w:pPr>
      <w:r>
        <w:rPr>
          <w:rFonts w:hint="eastAsia" w:hAnsi="宋体" w:cs="宋体"/>
          <w:b/>
          <w:bCs/>
          <w:color w:val="auto"/>
          <w:szCs w:val="21"/>
          <w:highlight w:val="none"/>
        </w:rPr>
        <w:t>5.1至提交响应文件截止之日前采购人、采购代理机构或者谈判小组可以对已发出的竞争性谈判文件进行必要的澄清或者修改，澄清或者修改的内容作为竞争性谈判文件的组成部分。澄清或者修改的内容可能影响响应文件编制的，采购人、采购代理机构或者谈判小组应当在提交响应文件截止之日3个工作日前，以书面形式通知所有接收竞争性谈判文件的供应商，不足3个工作日的，应当顺延提交响应文件截止之日。</w:t>
      </w:r>
    </w:p>
    <w:p>
      <w:pPr>
        <w:pStyle w:val="15"/>
        <w:spacing w:line="380" w:lineRule="exact"/>
        <w:ind w:firstLine="308" w:firstLineChars="146"/>
        <w:rPr>
          <w:rFonts w:hint="eastAsia" w:hAnsi="宋体" w:cs="宋体"/>
          <w:b/>
          <w:bCs/>
          <w:color w:val="auto"/>
          <w:szCs w:val="21"/>
          <w:highlight w:val="none"/>
        </w:rPr>
      </w:pPr>
      <w:r>
        <w:rPr>
          <w:rFonts w:hint="eastAsia" w:hAnsi="宋体" w:cs="宋体"/>
          <w:b/>
          <w:bCs/>
          <w:color w:val="auto"/>
          <w:szCs w:val="21"/>
          <w:highlight w:val="none"/>
        </w:rPr>
        <w:t>5.2该澄清或修改的内容为竞争性谈判文件的组成部分。供应商在每一次收到澄清答复或补充通知后应立即以书面形式通知采购代理机构，确认已收到该澄清答复或补充通知。否则，由此造成的一切后果由供应商承担。</w:t>
      </w:r>
    </w:p>
    <w:p>
      <w:pPr>
        <w:pStyle w:val="15"/>
        <w:spacing w:line="380" w:lineRule="exact"/>
        <w:ind w:firstLine="308" w:firstLineChars="146"/>
        <w:rPr>
          <w:rFonts w:hint="eastAsia" w:hAnsi="宋体" w:cs="宋体"/>
          <w:b/>
          <w:bCs/>
          <w:color w:val="auto"/>
          <w:szCs w:val="21"/>
          <w:highlight w:val="none"/>
        </w:rPr>
      </w:pPr>
      <w:r>
        <w:rPr>
          <w:rFonts w:hint="eastAsia" w:hAnsi="宋体" w:cs="宋体"/>
          <w:b/>
          <w:bCs/>
          <w:color w:val="auto"/>
          <w:szCs w:val="21"/>
          <w:highlight w:val="none"/>
        </w:rPr>
        <w:t>5.3采购代理机构可视具体情况，延长竞标截止日期和开标时间，并以书面形式通知所有购买竞争性谈判文件的供应商。</w:t>
      </w:r>
    </w:p>
    <w:p>
      <w:pPr>
        <w:pStyle w:val="5"/>
        <w:jc w:val="center"/>
        <w:rPr>
          <w:rFonts w:hint="eastAsia"/>
          <w:b w:val="0"/>
          <w:bCs w:val="0"/>
          <w:color w:val="auto"/>
          <w:highlight w:val="none"/>
        </w:rPr>
      </w:pPr>
      <w:bookmarkStart w:id="9" w:name="_Toc262735301"/>
      <w:bookmarkStart w:id="10" w:name="_Toc372531033"/>
      <w:bookmarkStart w:id="11" w:name="_Toc2630"/>
      <w:r>
        <w:rPr>
          <w:rFonts w:hint="eastAsia"/>
          <w:color w:val="auto"/>
          <w:sz w:val="21"/>
          <w:highlight w:val="none"/>
        </w:rPr>
        <w:t>三、响应文件的编制格式</w:t>
      </w:r>
      <w:bookmarkEnd w:id="9"/>
      <w:bookmarkEnd w:id="10"/>
      <w:bookmarkEnd w:id="11"/>
    </w:p>
    <w:p>
      <w:pPr>
        <w:pStyle w:val="15"/>
        <w:spacing w:line="380" w:lineRule="exact"/>
        <w:rPr>
          <w:rFonts w:hint="eastAsia" w:hAnsi="宋体" w:cs="宋体"/>
          <w:color w:val="auto"/>
          <w:szCs w:val="21"/>
          <w:highlight w:val="none"/>
        </w:rPr>
      </w:pPr>
      <w:r>
        <w:rPr>
          <w:rFonts w:hint="eastAsia" w:hAnsi="宋体" w:cs="宋体"/>
          <w:b/>
          <w:color w:val="auto"/>
          <w:szCs w:val="21"/>
          <w:highlight w:val="none"/>
        </w:rPr>
        <w:t>6.响应文件编写的注意事项</w:t>
      </w:r>
    </w:p>
    <w:p>
      <w:pPr>
        <w:pStyle w:val="15"/>
        <w:spacing w:line="380" w:lineRule="exact"/>
        <w:ind w:firstLine="308" w:firstLineChars="146"/>
        <w:rPr>
          <w:rFonts w:hint="eastAsia" w:hAnsi="宋体" w:cs="宋体"/>
          <w:b/>
          <w:bCs/>
          <w:color w:val="auto"/>
          <w:szCs w:val="21"/>
          <w:highlight w:val="none"/>
        </w:rPr>
      </w:pPr>
      <w:r>
        <w:rPr>
          <w:rFonts w:hint="eastAsia" w:hAnsi="宋体" w:cs="宋体"/>
          <w:b/>
          <w:bCs/>
          <w:color w:val="auto"/>
          <w:szCs w:val="21"/>
          <w:highlight w:val="none"/>
        </w:rPr>
        <w:t>6.1供应商应认真阅读竞争性谈判文件，按照竞争性谈判文件的要求编制响应文件。如果没有按照竞争性谈判文件要求提交响应文件，没有对竞争性谈判文件提出的实质性要求和条件作出响应，该竞标将被拒绝。</w:t>
      </w:r>
    </w:p>
    <w:p>
      <w:pPr>
        <w:pStyle w:val="15"/>
        <w:spacing w:line="380" w:lineRule="exact"/>
        <w:ind w:firstLine="308" w:firstLineChars="146"/>
        <w:rPr>
          <w:rFonts w:hint="eastAsia" w:hAnsi="宋体" w:cs="宋体"/>
          <w:b/>
          <w:bCs/>
          <w:color w:val="auto"/>
          <w:szCs w:val="21"/>
          <w:highlight w:val="none"/>
        </w:rPr>
      </w:pPr>
      <w:r>
        <w:rPr>
          <w:rFonts w:hint="eastAsia" w:hAnsi="宋体" w:cs="宋体"/>
          <w:b/>
          <w:bCs/>
          <w:color w:val="auto"/>
          <w:szCs w:val="21"/>
          <w:highlight w:val="none"/>
        </w:rPr>
        <w:t>6.2竞争性谈判文件提出的实质性要求和条件是指本竞标项目所涉及的采购内容、数量、售后服务及其它要求、合同条款等内容。</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7. 响应文件袋包含内容</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7.1 响应文件组成（须按竞争性谈判文件要求的格式及顺序自行填写并装订）：</w:t>
      </w:r>
    </w:p>
    <w:p>
      <w:pPr>
        <w:pStyle w:val="15"/>
        <w:spacing w:line="380" w:lineRule="exact"/>
        <w:ind w:firstLine="308" w:firstLineChars="146"/>
        <w:rPr>
          <w:rFonts w:hint="eastAsia" w:hAnsi="宋体" w:cs="宋体"/>
          <w:b/>
          <w:bCs/>
          <w:color w:val="auto"/>
          <w:szCs w:val="21"/>
          <w:highlight w:val="none"/>
        </w:rPr>
      </w:pPr>
      <w:r>
        <w:rPr>
          <w:rFonts w:hint="eastAsia" w:hAnsi="宋体" w:cs="宋体"/>
          <w:b/>
          <w:bCs/>
          <w:color w:val="auto"/>
          <w:szCs w:val="21"/>
          <w:highlight w:val="none"/>
        </w:rPr>
        <w:t>7.1.1报价文件组成</w:t>
      </w:r>
    </w:p>
    <w:p>
      <w:pPr>
        <w:pStyle w:val="15"/>
        <w:spacing w:line="380" w:lineRule="exact"/>
        <w:ind w:firstLine="306" w:firstLineChars="146"/>
        <w:rPr>
          <w:rFonts w:hint="eastAsia" w:hAnsi="宋体" w:cs="宋体"/>
          <w:b/>
          <w:bCs/>
          <w:color w:val="auto"/>
          <w:szCs w:val="21"/>
          <w:highlight w:val="none"/>
        </w:rPr>
      </w:pPr>
      <w:r>
        <w:rPr>
          <w:rFonts w:hint="eastAsia" w:hAnsi="宋体" w:cs="宋体"/>
          <w:color w:val="auto"/>
          <w:szCs w:val="21"/>
          <w:highlight w:val="none"/>
        </w:rPr>
        <w:t>⑴谈判声明；【按第五章“响应文件（格式）”提供的“谈判声明（格式）”的要求填写；】</w:t>
      </w:r>
    </w:p>
    <w:p>
      <w:pPr>
        <w:pStyle w:val="15"/>
        <w:spacing w:line="380" w:lineRule="exact"/>
        <w:ind w:firstLine="306" w:firstLineChars="146"/>
        <w:rPr>
          <w:rFonts w:hint="eastAsia" w:hAnsi="宋体" w:cs="宋体"/>
          <w:b/>
          <w:bCs/>
          <w:color w:val="auto"/>
          <w:szCs w:val="21"/>
          <w:highlight w:val="none"/>
        </w:rPr>
      </w:pPr>
      <w:r>
        <w:rPr>
          <w:rFonts w:hint="eastAsia" w:hAnsi="宋体" w:cs="宋体"/>
          <w:color w:val="auto"/>
          <w:szCs w:val="21"/>
          <w:highlight w:val="none"/>
        </w:rPr>
        <w:t>⑵报价表；【按第五章“响应文件（格式）”提供的“报价表（格式）”的要求填写；】</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⑶中小企业声明函；【按第五章“响应文件（格式）”提供的“中小企业声明函（格式）”的要求填写；】（如有）</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⑷监狱企业证明：【提供由省级以上监狱管理局、戒毒管理局（含新疆生产建设兵团）出具的属于监狱企业的证明文件。】（如有）</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fldChar w:fldCharType="begin"/>
      </w:r>
      <w:r>
        <w:rPr>
          <w:rFonts w:hint="eastAsia" w:hAnsi="宋体" w:cs="宋体"/>
          <w:color w:val="auto"/>
          <w:szCs w:val="21"/>
          <w:highlight w:val="none"/>
        </w:rPr>
        <w:instrText xml:space="preserve"> = 5 \* GB2 \* MERGEFORMAT </w:instrText>
      </w:r>
      <w:r>
        <w:rPr>
          <w:rFonts w:hint="eastAsia" w:hAnsi="宋体" w:cs="宋体"/>
          <w:color w:val="auto"/>
          <w:szCs w:val="21"/>
          <w:highlight w:val="none"/>
        </w:rPr>
        <w:fldChar w:fldCharType="separate"/>
      </w:r>
      <w:r>
        <w:rPr>
          <w:rFonts w:hint="eastAsia" w:hAnsi="宋体" w:cs="宋体"/>
          <w:color w:val="auto"/>
          <w:szCs w:val="21"/>
          <w:highlight w:val="none"/>
        </w:rPr>
        <w:t>⑸</w:t>
      </w:r>
      <w:r>
        <w:rPr>
          <w:rFonts w:hint="eastAsia" w:hAnsi="宋体" w:cs="宋体"/>
          <w:color w:val="auto"/>
          <w:szCs w:val="21"/>
          <w:highlight w:val="none"/>
        </w:rPr>
        <w:fldChar w:fldCharType="end"/>
      </w:r>
      <w:r>
        <w:rPr>
          <w:rFonts w:hint="eastAsia" w:hAnsi="宋体" w:cs="宋体"/>
          <w:color w:val="auto"/>
          <w:szCs w:val="21"/>
          <w:highlight w:val="none"/>
        </w:rPr>
        <w:t>残疾人福利性单位声明函：【按第第五章“响应文件（格式）”提供的“残疾人福利性单位声明函（格式）”的要求填写。】（如有）</w:t>
      </w:r>
    </w:p>
    <w:p>
      <w:pPr>
        <w:pStyle w:val="6"/>
        <w:ind w:firstLine="241" w:firstLineChars="100"/>
        <w:rPr>
          <w:rFonts w:hint="eastAsia"/>
          <w:color w:val="auto"/>
          <w:highlight w:val="none"/>
        </w:rPr>
      </w:pPr>
      <w:r>
        <w:rPr>
          <w:rFonts w:hint="eastAsia"/>
          <w:color w:val="auto"/>
          <w:highlight w:val="none"/>
        </w:rPr>
        <w:t>其中，报价文件组成要求的第</w:t>
      </w:r>
      <w:r>
        <w:rPr>
          <w:rFonts w:hint="eastAsia" w:ascii="宋体" w:hAnsi="宋体" w:cs="宋体"/>
          <w:color w:val="auto"/>
          <w:sz w:val="21"/>
          <w:szCs w:val="21"/>
          <w:highlight w:val="none"/>
        </w:rPr>
        <w:t>⑴</w:t>
      </w:r>
      <w:r>
        <w:rPr>
          <w:rFonts w:hint="eastAsia"/>
          <w:color w:val="auto"/>
          <w:highlight w:val="none"/>
        </w:rPr>
        <w:t>～</w:t>
      </w:r>
      <w:r>
        <w:rPr>
          <w:rFonts w:hint="eastAsia" w:ascii="宋体" w:hAnsi="宋体" w:cs="宋体"/>
          <w:color w:val="auto"/>
          <w:sz w:val="21"/>
          <w:szCs w:val="21"/>
          <w:highlight w:val="none"/>
        </w:rPr>
        <w:t>⑵</w:t>
      </w:r>
      <w:r>
        <w:rPr>
          <w:rFonts w:hint="eastAsia"/>
          <w:color w:val="auto"/>
          <w:highlight w:val="none"/>
        </w:rPr>
        <w:t>项必须提交；第⑶～</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 5 \* GB2 \* MERGEFORMAT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⑸</w:t>
      </w:r>
      <w:r>
        <w:rPr>
          <w:rFonts w:hint="eastAsia" w:ascii="宋体" w:hAnsi="宋体" w:cs="宋体"/>
          <w:color w:val="auto"/>
          <w:sz w:val="21"/>
          <w:szCs w:val="21"/>
          <w:highlight w:val="none"/>
        </w:rPr>
        <w:fldChar w:fldCharType="end"/>
      </w:r>
      <w:r>
        <w:rPr>
          <w:rFonts w:hint="eastAsia"/>
          <w:color w:val="auto"/>
          <w:highlight w:val="none"/>
        </w:rPr>
        <w:t>项如有请提交。</w:t>
      </w:r>
    </w:p>
    <w:p>
      <w:pPr>
        <w:pStyle w:val="15"/>
        <w:spacing w:line="380" w:lineRule="exact"/>
        <w:ind w:firstLine="308" w:firstLineChars="146"/>
        <w:rPr>
          <w:rFonts w:hint="eastAsia" w:hAnsi="宋体" w:cs="宋体"/>
          <w:b/>
          <w:bCs/>
          <w:color w:val="auto"/>
          <w:szCs w:val="21"/>
          <w:highlight w:val="none"/>
        </w:rPr>
      </w:pPr>
      <w:r>
        <w:rPr>
          <w:rFonts w:hint="eastAsia" w:hAnsi="宋体" w:cs="宋体"/>
          <w:b/>
          <w:bCs/>
          <w:color w:val="auto"/>
          <w:szCs w:val="21"/>
          <w:highlight w:val="none"/>
        </w:rPr>
        <w:t>7.1.2资格文件</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⑴供应商资格证明文件；【按第一章“供应商须知”第12条“供应商资格证明文件”的要求提供】</w:t>
      </w:r>
    </w:p>
    <w:p>
      <w:pPr>
        <w:pStyle w:val="15"/>
        <w:spacing w:line="380" w:lineRule="exact"/>
        <w:ind w:firstLine="308" w:firstLineChars="146"/>
        <w:rPr>
          <w:rFonts w:hint="eastAsia" w:hAnsi="宋体" w:cs="宋体"/>
          <w:b/>
          <w:bCs/>
          <w:color w:val="auto"/>
          <w:szCs w:val="21"/>
          <w:highlight w:val="none"/>
        </w:rPr>
      </w:pPr>
      <w:r>
        <w:rPr>
          <w:rFonts w:hint="eastAsia" w:hAnsi="宋体" w:cs="宋体"/>
          <w:b/>
          <w:bCs/>
          <w:color w:val="auto"/>
          <w:szCs w:val="21"/>
          <w:highlight w:val="none"/>
        </w:rPr>
        <w:t>7.1.2商务及技术文件</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⑴</w:t>
      </w:r>
      <w:r>
        <w:rPr>
          <w:rFonts w:hint="eastAsia"/>
          <w:color w:val="auto"/>
          <w:highlight w:val="none"/>
        </w:rPr>
        <w:t>商务条款偏离表；【按第五章“响应文件（格式）”提供的“商务条款偏离表</w:t>
      </w:r>
      <w:r>
        <w:rPr>
          <w:rFonts w:hint="eastAsia" w:hAnsi="宋体" w:cs="宋体"/>
          <w:color w:val="auto"/>
          <w:szCs w:val="21"/>
          <w:highlight w:val="none"/>
        </w:rPr>
        <w:t>（格式）</w:t>
      </w:r>
      <w:r>
        <w:rPr>
          <w:rFonts w:hint="eastAsia"/>
          <w:color w:val="auto"/>
          <w:highlight w:val="none"/>
        </w:rPr>
        <w:t>”的要求填写；】</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⑵竞标技术资料表；【按第五章“响应文件（格式）”提供的“竞标技术资料表（格式）”的要求填写；】</w:t>
      </w:r>
    </w:p>
    <w:p>
      <w:pPr>
        <w:pStyle w:val="15"/>
        <w:spacing w:line="380" w:lineRule="exact"/>
        <w:ind w:firstLine="306" w:firstLineChars="146"/>
        <w:rPr>
          <w:rFonts w:hint="eastAsia"/>
          <w:color w:val="auto"/>
          <w:highlight w:val="none"/>
        </w:rPr>
      </w:pPr>
      <w:r>
        <w:rPr>
          <w:rFonts w:hint="eastAsia" w:hAnsi="宋体" w:cs="宋体"/>
          <w:color w:val="auto"/>
          <w:szCs w:val="21"/>
          <w:highlight w:val="none"/>
        </w:rPr>
        <w:t>⑶售后服务承诺书；</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⑷货物合格证明文件；【按第一章“供应商须知”第13条要求提供】</w:t>
      </w:r>
    </w:p>
    <w:p>
      <w:pPr>
        <w:pStyle w:val="15"/>
        <w:spacing w:line="380" w:lineRule="exact"/>
        <w:ind w:firstLine="308" w:firstLineChars="146"/>
        <w:rPr>
          <w:rFonts w:hint="eastAsia" w:hAnsi="宋体" w:cs="宋体"/>
          <w:b/>
          <w:bCs/>
          <w:color w:val="auto"/>
          <w:szCs w:val="21"/>
          <w:highlight w:val="none"/>
        </w:rPr>
      </w:pPr>
      <w:r>
        <w:rPr>
          <w:rFonts w:hint="eastAsia"/>
          <w:b/>
          <w:bCs/>
          <w:color w:val="auto"/>
          <w:highlight w:val="none"/>
        </w:rPr>
        <w:fldChar w:fldCharType="begin"/>
      </w:r>
      <w:r>
        <w:rPr>
          <w:rFonts w:hint="eastAsia"/>
          <w:b/>
          <w:bCs/>
          <w:color w:val="auto"/>
          <w:highlight w:val="none"/>
        </w:rPr>
        <w:instrText xml:space="preserve"> = 5 \* GB2 \* MERGEFORMAT </w:instrText>
      </w:r>
      <w:r>
        <w:rPr>
          <w:rFonts w:hint="eastAsia"/>
          <w:b/>
          <w:bCs/>
          <w:color w:val="auto"/>
          <w:highlight w:val="none"/>
        </w:rPr>
        <w:fldChar w:fldCharType="separate"/>
      </w:r>
      <w:r>
        <w:rPr>
          <w:b/>
          <w:bCs/>
          <w:color w:val="auto"/>
          <w:highlight w:val="none"/>
        </w:rPr>
        <w:t>⑸</w:t>
      </w:r>
      <w:r>
        <w:rPr>
          <w:rFonts w:hint="eastAsia"/>
          <w:b/>
          <w:bCs/>
          <w:color w:val="auto"/>
          <w:highlight w:val="none"/>
        </w:rPr>
        <w:fldChar w:fldCharType="end"/>
      </w:r>
      <w:r>
        <w:rPr>
          <w:rFonts w:hint="eastAsia" w:hAnsi="宋体" w:cs="宋体"/>
          <w:b/>
          <w:bCs/>
          <w:color w:val="auto"/>
          <w:szCs w:val="21"/>
          <w:highlight w:val="none"/>
        </w:rPr>
        <w:t>根据第二章“项目需求一览表”中所采购的货物（服务标的）要求提供的资料；</w:t>
      </w:r>
    </w:p>
    <w:p>
      <w:pPr>
        <w:pStyle w:val="15"/>
        <w:spacing w:line="380" w:lineRule="exact"/>
        <w:ind w:firstLine="306" w:firstLineChars="146"/>
        <w:rPr>
          <w:rFonts w:hint="eastAsia"/>
          <w:color w:val="auto"/>
          <w:highlight w:val="none"/>
        </w:rPr>
      </w:pPr>
      <w:r>
        <w:rPr>
          <w:rFonts w:hint="eastAsia"/>
          <w:color w:val="auto"/>
          <w:highlight w:val="none"/>
        </w:rPr>
        <w:fldChar w:fldCharType="begin"/>
      </w:r>
      <w:r>
        <w:rPr>
          <w:rFonts w:hint="eastAsia"/>
          <w:color w:val="auto"/>
          <w:highlight w:val="none"/>
        </w:rPr>
        <w:instrText xml:space="preserve"> = 6 \* GB2 \* MERGEFORMAT </w:instrText>
      </w:r>
      <w:r>
        <w:rPr>
          <w:rFonts w:hint="eastAsia"/>
          <w:color w:val="auto"/>
          <w:highlight w:val="none"/>
        </w:rPr>
        <w:fldChar w:fldCharType="separate"/>
      </w:r>
      <w:r>
        <w:rPr>
          <w:color w:val="auto"/>
          <w:highlight w:val="none"/>
        </w:rPr>
        <w:t>⑹</w:t>
      </w:r>
      <w:r>
        <w:rPr>
          <w:rFonts w:hint="eastAsia"/>
          <w:color w:val="auto"/>
          <w:highlight w:val="none"/>
        </w:rPr>
        <w:fldChar w:fldCharType="end"/>
      </w:r>
      <w:r>
        <w:rPr>
          <w:rFonts w:hint="eastAsia" w:hAnsi="宋体" w:cs="宋体"/>
          <w:color w:val="auto"/>
          <w:szCs w:val="21"/>
          <w:highlight w:val="none"/>
        </w:rPr>
        <w:t>供应商</w:t>
      </w:r>
      <w:r>
        <w:rPr>
          <w:rFonts w:hint="eastAsia"/>
          <w:color w:val="auto"/>
          <w:highlight w:val="none"/>
        </w:rPr>
        <w:t>认为有必要提供的其他有关材料。</w:t>
      </w:r>
      <w:r>
        <w:rPr>
          <w:rFonts w:hint="eastAsia" w:hAnsi="宋体" w:cs="宋体"/>
          <w:color w:val="auto"/>
          <w:szCs w:val="21"/>
          <w:highlight w:val="none"/>
        </w:rPr>
        <w:t>（如有）</w:t>
      </w:r>
    </w:p>
    <w:p>
      <w:pPr>
        <w:pStyle w:val="6"/>
        <w:ind w:firstLine="241" w:firstLineChars="100"/>
        <w:rPr>
          <w:rFonts w:hint="eastAsia"/>
          <w:color w:val="auto"/>
          <w:highlight w:val="none"/>
        </w:rPr>
      </w:pPr>
      <w:r>
        <w:rPr>
          <w:rFonts w:hint="eastAsia"/>
          <w:color w:val="auto"/>
          <w:highlight w:val="none"/>
        </w:rPr>
        <w:t>其中，</w:t>
      </w:r>
      <w:r>
        <w:rPr>
          <w:rFonts w:hint="eastAsia" w:hAnsi="宋体" w:cs="宋体"/>
          <w:bCs/>
          <w:color w:val="auto"/>
          <w:sz w:val="21"/>
          <w:szCs w:val="21"/>
          <w:highlight w:val="none"/>
        </w:rPr>
        <w:t>商务及技术文件</w:t>
      </w:r>
      <w:r>
        <w:rPr>
          <w:rFonts w:hint="eastAsia"/>
          <w:color w:val="auto"/>
          <w:highlight w:val="none"/>
        </w:rPr>
        <w:t>中的第</w:t>
      </w:r>
      <w:r>
        <w:rPr>
          <w:rFonts w:hint="eastAsia" w:ascii="宋体" w:hAnsi="宋体" w:cs="宋体"/>
          <w:color w:val="auto"/>
          <w:sz w:val="21"/>
          <w:szCs w:val="21"/>
          <w:highlight w:val="none"/>
        </w:rPr>
        <w:t>⑴</w:t>
      </w:r>
      <w:r>
        <w:rPr>
          <w:rFonts w:hint="eastAsia"/>
          <w:color w:val="auto"/>
          <w:highlight w:val="none"/>
        </w:rPr>
        <w:t>～⑶项必须提交；第⑷项按第一章“供应商须知”第13条要求提供；第⑸项根据第二章“项目需求一览表”中所采购的货物（服务标的）要求提供的资料；第</w:t>
      </w:r>
      <w:r>
        <w:rPr>
          <w:rFonts w:hint="eastAsia"/>
          <w:color w:val="auto"/>
          <w:highlight w:val="none"/>
        </w:rPr>
        <w:fldChar w:fldCharType="begin"/>
      </w:r>
      <w:r>
        <w:rPr>
          <w:rFonts w:hint="eastAsia"/>
          <w:color w:val="auto"/>
          <w:highlight w:val="none"/>
        </w:rPr>
        <w:instrText xml:space="preserve"> = 6 \* GB2 \* MERGEFORMAT </w:instrText>
      </w:r>
      <w:r>
        <w:rPr>
          <w:rFonts w:hint="eastAsia"/>
          <w:color w:val="auto"/>
          <w:highlight w:val="none"/>
        </w:rPr>
        <w:fldChar w:fldCharType="separate"/>
      </w:r>
      <w:r>
        <w:rPr>
          <w:color w:val="auto"/>
          <w:highlight w:val="none"/>
        </w:rPr>
        <w:t>⑹</w:t>
      </w:r>
      <w:r>
        <w:rPr>
          <w:rFonts w:hint="eastAsia"/>
          <w:color w:val="auto"/>
          <w:highlight w:val="none"/>
        </w:rPr>
        <w:fldChar w:fldCharType="end"/>
      </w:r>
      <w:r>
        <w:rPr>
          <w:rFonts w:hint="eastAsia"/>
          <w:color w:val="auto"/>
          <w:highlight w:val="none"/>
        </w:rPr>
        <w:t xml:space="preserve">项如有请提交。 </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8.响应文件的文字及计量单位</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8.1供应商的响应文件以及供应商与采购代理机构的所有来往的函电统一使用中文（另有规定的除外）。</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8.2响应文件中使用的计量单位除竞争性谈判文件中有特殊规定外，一律使用法定计量单位。</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9.响应文件格式</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9.1供应商应按竞争性谈判文件第五章中“响应文件(格式)”详细完整地填写各项内容。</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9.2在报价表中，供应商应详细标明所提供的货物、技术参数及规格要求、单位、数量。</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9.3响应文件必须编制目录及页码，目录与页码必须保持一致，否则因此造成的一切后果由供应商自行承担。</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10.竞标报价</w:t>
      </w:r>
    </w:p>
    <w:p>
      <w:pPr>
        <w:pStyle w:val="15"/>
        <w:spacing w:line="380" w:lineRule="exact"/>
        <w:ind w:firstLine="308" w:firstLineChars="146"/>
        <w:rPr>
          <w:rFonts w:hint="eastAsia" w:hAnsi="宋体" w:cs="宋体"/>
          <w:b/>
          <w:color w:val="auto"/>
          <w:szCs w:val="21"/>
          <w:highlight w:val="none"/>
        </w:rPr>
      </w:pPr>
      <w:r>
        <w:rPr>
          <w:rFonts w:hint="eastAsia" w:hAnsi="宋体" w:cs="宋体"/>
          <w:b/>
          <w:color w:val="auto"/>
          <w:szCs w:val="21"/>
          <w:highlight w:val="none"/>
        </w:rPr>
        <w:t>10.1供应商必须就《项目需求》及谈判记录中的所有内容作完整报价，否则其竞标将被拒绝。如果供应商所填报的内容与竞争性谈判文件及谈判记录相比较有存在漏项的状况且在评标时被接受，则将被认为该遗漏项目已包含在谈判后的最终竞标价中，成交供应商在供货时应严格按竞争性谈判文件及谈判要求的内容完整提供，不得要求采购人对其漏报的内容追加支付货款。</w:t>
      </w:r>
    </w:p>
    <w:p>
      <w:pPr>
        <w:pStyle w:val="15"/>
        <w:spacing w:line="380" w:lineRule="exact"/>
        <w:ind w:firstLine="308" w:firstLineChars="146"/>
        <w:rPr>
          <w:rFonts w:hint="eastAsia" w:hAnsi="宋体" w:cs="宋体"/>
          <w:b/>
          <w:color w:val="auto"/>
          <w:szCs w:val="21"/>
          <w:highlight w:val="none"/>
        </w:rPr>
      </w:pPr>
      <w:r>
        <w:rPr>
          <w:rFonts w:hint="eastAsia" w:hAnsi="宋体" w:cs="宋体"/>
          <w:b/>
          <w:color w:val="auto"/>
          <w:szCs w:val="21"/>
          <w:highlight w:val="none"/>
        </w:rPr>
        <w:t>10.2供应商应在报价表上标明单价和总价。大写金额和小写金额不一致的，以大写金额为准；总价金额与按单价汇总金额不一致的，以单价金额计算结果为准；对不同文字文本响应文件的解释发生异议的，以中文文本为准。如果因供应商原因引起的报价失误，并在谈判时被接受，其后果由供应商自负。</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10.3竞标报价为</w:t>
      </w:r>
      <w:r>
        <w:rPr>
          <w:rFonts w:hint="eastAsia" w:hAnsi="宋体" w:cs="宋体"/>
          <w:color w:val="auto"/>
          <w:kern w:val="0"/>
          <w:szCs w:val="21"/>
          <w:highlight w:val="none"/>
          <w:lang w:bidi="ar"/>
        </w:rPr>
        <w:t>包含货物、随配附件、备品备件、专用工具、运抵指定交货地点、安装调试费、税费、产品质保期内维修维护费等费用。对于本文件中明确列明须报价的货物或服务，供应商存在漏报的，将导致竞标无效。对于本文件中未列明，而供应商认为必需的费用也需列入总报价</w:t>
      </w:r>
      <w:r>
        <w:rPr>
          <w:rFonts w:hint="eastAsia" w:hAnsi="宋体"/>
          <w:color w:val="auto"/>
          <w:szCs w:val="21"/>
          <w:highlight w:val="none"/>
        </w:rPr>
        <w:t>。在合同实施时，采购人将不予支付成交供应商没有列入的项目费用，并认为此项目的费用已包括在竞标总报价中。</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11.竞标货币</w:t>
      </w:r>
    </w:p>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11.1竞标应以人民币报价。</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12.供应商资格证明文件（属复印件的须加盖单位公章）</w:t>
      </w:r>
    </w:p>
    <w:p>
      <w:pPr>
        <w:pStyle w:val="15"/>
        <w:spacing w:line="380" w:lineRule="exact"/>
        <w:ind w:firstLine="308" w:firstLineChars="146"/>
        <w:rPr>
          <w:rFonts w:hint="eastAsia" w:hAnsi="宋体" w:cs="宋体"/>
          <w:b/>
          <w:color w:val="auto"/>
          <w:szCs w:val="21"/>
          <w:highlight w:val="none"/>
        </w:rPr>
      </w:pPr>
      <w:r>
        <w:rPr>
          <w:rFonts w:hint="eastAsia" w:hAnsi="宋体" w:cs="宋体"/>
          <w:b/>
          <w:color w:val="auto"/>
          <w:szCs w:val="21"/>
          <w:highlight w:val="none"/>
        </w:rPr>
        <w:t>12.1下述资格证明文件中注明必须提交的文件均必须于本项目截标前与响应文件同时提交完备，如提供的材料不完备或未按规定加盖单位公章的，将被当作资格审查不合格不进入详评：</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⑴供应商有效的“营业执照”副本复印件；(必须提交，加盖公章)</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⑵法定代表人有效的身份证正反面复印件；(必须提交，加盖公章)</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⑶授权委托书原件和委托代理人有效的身份证正反面复印件；（委托代理时必须提供，加盖公章）</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⑷</w:t>
      </w:r>
      <w:r>
        <w:rPr>
          <w:rFonts w:hint="eastAsia" w:hAnsi="宋体" w:cs="宋体"/>
          <w:b/>
          <w:bCs/>
          <w:color w:val="auto"/>
          <w:szCs w:val="21"/>
          <w:highlight w:val="none"/>
        </w:rPr>
        <w:t>供应商参加政府采购活动前三年内在经营活动中无重大违法记录的书面声明书</w:t>
      </w:r>
      <w:r>
        <w:rPr>
          <w:rFonts w:hint="eastAsia" w:hAnsi="宋体" w:cs="宋体"/>
          <w:b/>
          <w:color w:val="auto"/>
          <w:szCs w:val="21"/>
          <w:highlight w:val="none"/>
        </w:rPr>
        <w:t>(必须提交，加盖公章)</w:t>
      </w:r>
      <w:r>
        <w:rPr>
          <w:rFonts w:hint="eastAsia" w:hAnsi="宋体" w:cs="宋体"/>
          <w:b/>
          <w:bCs/>
          <w:color w:val="auto"/>
          <w:szCs w:val="21"/>
          <w:highlight w:val="none"/>
        </w:rPr>
        <w:t xml:space="preserve"> ；（（格式后附））</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⑸响应文件递交截止之日前半年内</w:t>
      </w:r>
      <w:r>
        <w:rPr>
          <w:rFonts w:hint="eastAsia" w:hAnsi="宋体" w:cs="宋体"/>
          <w:b/>
          <w:color w:val="auto"/>
          <w:szCs w:val="21"/>
          <w:highlight w:val="none"/>
          <w:lang w:eastAsia="zh-CN"/>
        </w:rPr>
        <w:t>由</w:t>
      </w:r>
      <w:r>
        <w:rPr>
          <w:rFonts w:hint="eastAsia" w:hAnsi="宋体" w:cs="宋体"/>
          <w:b/>
          <w:color w:val="auto"/>
          <w:szCs w:val="21"/>
          <w:highlight w:val="none"/>
        </w:rPr>
        <w:t>供应商</w:t>
      </w:r>
      <w:r>
        <w:rPr>
          <w:rFonts w:hint="eastAsia" w:hAnsi="宋体" w:cs="宋体"/>
          <w:b/>
          <w:color w:val="auto"/>
          <w:szCs w:val="21"/>
          <w:highlight w:val="none"/>
          <w:lang w:eastAsia="zh-CN"/>
        </w:rPr>
        <w:t>所在地主管税务部门出具的半年内的《涉税</w:t>
      </w:r>
      <w:r>
        <w:rPr>
          <w:rFonts w:hint="eastAsia" w:hAnsi="宋体" w:cs="宋体"/>
          <w:b/>
          <w:color w:val="auto"/>
          <w:szCs w:val="21"/>
          <w:highlight w:val="none"/>
        </w:rPr>
        <w:t>证明</w:t>
      </w:r>
      <w:r>
        <w:rPr>
          <w:rFonts w:hint="eastAsia" w:hAnsi="宋体" w:cs="宋体"/>
          <w:b/>
          <w:color w:val="auto"/>
          <w:szCs w:val="21"/>
          <w:highlight w:val="none"/>
          <w:lang w:eastAsia="zh-CN"/>
        </w:rPr>
        <w:t>》</w:t>
      </w:r>
      <w:r>
        <w:rPr>
          <w:rFonts w:hint="eastAsia" w:hAnsi="宋体" w:cs="宋体"/>
          <w:b/>
          <w:color w:val="auto"/>
          <w:szCs w:val="21"/>
          <w:highlight w:val="none"/>
        </w:rPr>
        <w:t>复印件</w:t>
      </w:r>
      <w:r>
        <w:rPr>
          <w:rFonts w:hint="eastAsia" w:hAnsi="宋体" w:cs="宋体"/>
          <w:b/>
          <w:color w:val="auto"/>
          <w:szCs w:val="21"/>
          <w:highlight w:val="none"/>
          <w:lang w:eastAsia="zh-CN"/>
        </w:rPr>
        <w:t>，（必须提交，</w:t>
      </w:r>
      <w:r>
        <w:rPr>
          <w:rFonts w:hint="eastAsia" w:hAnsi="宋体" w:cs="宋体"/>
          <w:b/>
          <w:color w:val="auto"/>
          <w:szCs w:val="21"/>
          <w:highlight w:val="none"/>
        </w:rPr>
        <w:t>加盖单位公章）；</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fldChar w:fldCharType="begin"/>
      </w:r>
      <w:r>
        <w:rPr>
          <w:rFonts w:hint="eastAsia" w:hAnsi="宋体" w:cs="宋体"/>
          <w:b/>
          <w:color w:val="auto"/>
          <w:szCs w:val="21"/>
          <w:highlight w:val="none"/>
        </w:rPr>
        <w:instrText xml:space="preserve"> = 6 \* GB2 \* MERGEFORMAT </w:instrText>
      </w:r>
      <w:r>
        <w:rPr>
          <w:rFonts w:hint="eastAsia" w:hAnsi="宋体" w:cs="宋体"/>
          <w:b/>
          <w:color w:val="auto"/>
          <w:szCs w:val="21"/>
          <w:highlight w:val="none"/>
        </w:rPr>
        <w:fldChar w:fldCharType="separate"/>
      </w:r>
      <w:r>
        <w:rPr>
          <w:rFonts w:hint="eastAsia" w:hAnsi="宋体" w:cs="宋体"/>
          <w:b/>
          <w:color w:val="auto"/>
          <w:szCs w:val="21"/>
          <w:highlight w:val="none"/>
        </w:rPr>
        <w:t>⑹</w:t>
      </w:r>
      <w:r>
        <w:rPr>
          <w:rFonts w:hint="eastAsia" w:hAnsi="宋体" w:cs="宋体"/>
          <w:b/>
          <w:color w:val="auto"/>
          <w:szCs w:val="21"/>
          <w:highlight w:val="none"/>
        </w:rPr>
        <w:fldChar w:fldCharType="end"/>
      </w:r>
      <w:r>
        <w:rPr>
          <w:rFonts w:hint="eastAsia" w:hAnsi="宋体" w:cs="宋体"/>
          <w:b/>
          <w:color w:val="auto"/>
          <w:szCs w:val="21"/>
          <w:highlight w:val="none"/>
        </w:rPr>
        <w:t>响应文件递交截止之日前半年内供应商任意一个月的依法缴纳社保费的缴费凭证复印件（格式自拟，加盖单位公章）；无缴费记录的，应提供由供应商所在地社保部门出具的《依法缴纳或依法免缴社保费证明》复印件；（格式自拟，必须提交，加盖单位公章）</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fldChar w:fldCharType="begin"/>
      </w:r>
      <w:r>
        <w:rPr>
          <w:rFonts w:hint="eastAsia" w:hAnsi="宋体" w:cs="宋体"/>
          <w:b/>
          <w:color w:val="auto"/>
          <w:szCs w:val="21"/>
          <w:highlight w:val="none"/>
        </w:rPr>
        <w:instrText xml:space="preserve"> = 7 \* GB2 \* MERGEFORMAT </w:instrText>
      </w:r>
      <w:r>
        <w:rPr>
          <w:rFonts w:hint="eastAsia" w:hAnsi="宋体" w:cs="宋体"/>
          <w:b/>
          <w:color w:val="auto"/>
          <w:szCs w:val="21"/>
          <w:highlight w:val="none"/>
        </w:rPr>
        <w:fldChar w:fldCharType="separate"/>
      </w:r>
      <w:r>
        <w:rPr>
          <w:rFonts w:hint="eastAsia" w:hAnsi="宋体" w:cs="宋体"/>
          <w:b/>
          <w:color w:val="auto"/>
          <w:szCs w:val="21"/>
          <w:highlight w:val="none"/>
        </w:rPr>
        <w:t>⑺</w:t>
      </w:r>
      <w:r>
        <w:rPr>
          <w:rFonts w:hint="eastAsia" w:hAnsi="宋体" w:cs="宋体"/>
          <w:b/>
          <w:color w:val="auto"/>
          <w:szCs w:val="21"/>
          <w:highlight w:val="none"/>
        </w:rPr>
        <w:fldChar w:fldCharType="end"/>
      </w:r>
      <w:r>
        <w:rPr>
          <w:rFonts w:hint="eastAsia" w:hAnsi="宋体" w:cs="宋体"/>
          <w:b/>
          <w:color w:val="auto"/>
          <w:szCs w:val="21"/>
          <w:highlight w:val="none"/>
        </w:rPr>
        <w:t>供应商</w:t>
      </w:r>
      <w:r>
        <w:rPr>
          <w:rFonts w:hAnsi="宋体" w:cs="宋体"/>
          <w:b/>
          <w:color w:val="auto"/>
          <w:szCs w:val="21"/>
          <w:highlight w:val="none"/>
        </w:rPr>
        <w:t>2019</w:t>
      </w:r>
      <w:r>
        <w:rPr>
          <w:rFonts w:hint="eastAsia" w:hAnsi="宋体" w:cs="宋体"/>
          <w:b/>
          <w:color w:val="auto"/>
          <w:szCs w:val="21"/>
          <w:highlight w:val="none"/>
        </w:rPr>
        <w:t>年度财务报表[可以是财务报表、银行出具的资信证明、第三方审计报告等证明材料]复印件（对于从取得营业执照时间起到响应文件递交截止时间止不足要求年数的供应商，只需提交供应商成立日之后次月起至响应文件递交截止前一个月的财务报表）]；(必须提交，加盖公章)</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fldChar w:fldCharType="begin"/>
      </w:r>
      <w:r>
        <w:rPr>
          <w:rFonts w:hint="eastAsia" w:hAnsi="宋体" w:cs="宋体"/>
          <w:b/>
          <w:color w:val="auto"/>
          <w:szCs w:val="21"/>
          <w:highlight w:val="none"/>
        </w:rPr>
        <w:instrText xml:space="preserve"> = 8 \* GB2 \* MERGEFORMAT </w:instrText>
      </w:r>
      <w:r>
        <w:rPr>
          <w:rFonts w:hint="eastAsia" w:hAnsi="宋体" w:cs="宋体"/>
          <w:b/>
          <w:color w:val="auto"/>
          <w:szCs w:val="21"/>
          <w:highlight w:val="none"/>
        </w:rPr>
        <w:fldChar w:fldCharType="separate"/>
      </w:r>
      <w:r>
        <w:rPr>
          <w:rFonts w:hint="eastAsia" w:hAnsi="宋体" w:cs="宋体"/>
          <w:b/>
          <w:color w:val="auto"/>
          <w:szCs w:val="21"/>
          <w:highlight w:val="none"/>
        </w:rPr>
        <w:t>⑻</w:t>
      </w:r>
      <w:r>
        <w:rPr>
          <w:rFonts w:hint="eastAsia" w:hAnsi="宋体" w:cs="宋体"/>
          <w:b/>
          <w:color w:val="auto"/>
          <w:szCs w:val="21"/>
          <w:highlight w:val="none"/>
        </w:rPr>
        <w:fldChar w:fldCharType="end"/>
      </w:r>
      <w:r>
        <w:rPr>
          <w:rFonts w:hint="eastAsia" w:hAnsi="宋体" w:cs="宋体"/>
          <w:b/>
          <w:color w:val="auto"/>
          <w:szCs w:val="21"/>
          <w:highlight w:val="none"/>
        </w:rPr>
        <w:t>供应商直接控股、管理关系信息表(必须提交，加盖公章)</w:t>
      </w:r>
      <w:r>
        <w:rPr>
          <w:rFonts w:hint="eastAsia" w:hAnsi="宋体" w:cs="宋体"/>
          <w:b/>
          <w:bCs/>
          <w:color w:val="auto"/>
          <w:szCs w:val="21"/>
          <w:highlight w:val="none"/>
        </w:rPr>
        <w:t xml:space="preserve"> ；（（格式后附））</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fldChar w:fldCharType="begin"/>
      </w:r>
      <w:r>
        <w:rPr>
          <w:rFonts w:hint="eastAsia" w:hAnsi="宋体" w:cs="宋体"/>
          <w:b/>
          <w:color w:val="auto"/>
          <w:szCs w:val="21"/>
          <w:highlight w:val="none"/>
        </w:rPr>
        <w:instrText xml:space="preserve"> = 9 \* GB2 \* MERGEFORMAT </w:instrText>
      </w:r>
      <w:r>
        <w:rPr>
          <w:rFonts w:hint="eastAsia" w:hAnsi="宋体" w:cs="宋体"/>
          <w:b/>
          <w:color w:val="auto"/>
          <w:szCs w:val="21"/>
          <w:highlight w:val="none"/>
        </w:rPr>
        <w:fldChar w:fldCharType="separate"/>
      </w:r>
      <w:r>
        <w:rPr>
          <w:rFonts w:hint="eastAsia" w:hAnsi="宋体" w:cs="宋体"/>
          <w:b/>
          <w:color w:val="auto"/>
          <w:szCs w:val="21"/>
          <w:highlight w:val="none"/>
        </w:rPr>
        <w:t>⑼</w:t>
      </w:r>
      <w:r>
        <w:rPr>
          <w:rFonts w:hint="eastAsia" w:hAnsi="宋体" w:cs="宋体"/>
          <w:b/>
          <w:color w:val="auto"/>
          <w:szCs w:val="21"/>
          <w:highlight w:val="none"/>
        </w:rPr>
        <w:fldChar w:fldCharType="end"/>
      </w:r>
      <w:r>
        <w:rPr>
          <w:rFonts w:hint="eastAsia" w:hAnsi="宋体" w:cs="宋体"/>
          <w:b/>
          <w:color w:val="auto"/>
          <w:szCs w:val="21"/>
          <w:highlight w:val="none"/>
        </w:rPr>
        <w:t>供应商认为必要提供的证明其满足本项目竞标资格的声明及文件资料。</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12.2本项目不接受联合体竞标。</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13.货物合格和符合竞争性谈判文件规定的证明文件的要求[注明“必须提供”的文件均必须提供]</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13.1按照本须知第7条规定，供应商还应提交根据本项目要求提供证明货物和手续合格性的文件及资料。它们可以是：</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⑴生产厂家的有关资格和生产许可证、产品强制标准认证证书、产品质量检验证，以上均为复印件；（如有请提供）</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⑵产品样本、使用说明书等技术资料及产品近三年获得的质量获奖荣誉证书(复印件)；</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⑶设备或产品保证供货有效证明（指由竞标货物生产厂家针对本项目出具的保证按响应文件承诺的时间、数量、价格供应货物的证明）；</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14.竞标的有效期</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14.1响应文件有效期详见供应商须知前附表第4项规定。</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14.2</w:t>
      </w:r>
      <w:r>
        <w:rPr>
          <w:rFonts w:hint="eastAsia" w:hAnsi="宋体" w:cs="宋体"/>
          <w:color w:val="auto"/>
          <w:spacing w:val="2"/>
          <w:szCs w:val="21"/>
          <w:highlight w:val="none"/>
        </w:rPr>
        <w:t>在原定竞标有效期满之前，如果出现特殊情况，采购人可以书面形式向供应商提出延长竞标有效期的要求。供应商须以书面形式予以答复，供应商可以拒绝这种要求。同意延长竞标有效期的供应商不允许修改其响应文件及谈判应答文件，在延长期内本须知第16条的规定仍然适用。</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15.响应文件书写及签名、盖章要求</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15.1响应文件正本与副本均应使用不能擦去的墨水打印或书写，修改处应由法定代表人或委托代理人签名和盖公章。</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15.2 字迹应清晰、表达清楚并按要求填写响应文件。</w:t>
      </w:r>
    </w:p>
    <w:p>
      <w:pPr>
        <w:pStyle w:val="15"/>
        <w:spacing w:line="380" w:lineRule="exact"/>
        <w:ind w:firstLine="306" w:firstLineChars="145"/>
        <w:rPr>
          <w:rFonts w:hint="eastAsia" w:hAnsi="宋体" w:cs="宋体"/>
          <w:b/>
          <w:color w:val="auto"/>
          <w:szCs w:val="21"/>
          <w:highlight w:val="none"/>
        </w:rPr>
      </w:pPr>
      <w:r>
        <w:rPr>
          <w:rFonts w:hint="eastAsia" w:hAnsi="宋体" w:cs="宋体"/>
          <w:b/>
          <w:color w:val="auto"/>
          <w:szCs w:val="21"/>
          <w:highlight w:val="none"/>
        </w:rPr>
        <w:t>15.3响应文件必须由法定代表人或委托代理人在凡规定签章处逐一签名和盖公章。</w:t>
      </w:r>
    </w:p>
    <w:p>
      <w:pPr>
        <w:pStyle w:val="15"/>
        <w:spacing w:line="380" w:lineRule="exact"/>
        <w:ind w:firstLine="306" w:firstLineChars="145"/>
        <w:rPr>
          <w:rFonts w:hint="eastAsia" w:hAnsi="宋体" w:cs="宋体"/>
          <w:b/>
          <w:bCs/>
          <w:color w:val="auto"/>
          <w:szCs w:val="21"/>
          <w:highlight w:val="none"/>
        </w:rPr>
      </w:pPr>
      <w:r>
        <w:rPr>
          <w:rFonts w:hint="eastAsia" w:hAnsi="宋体" w:cs="宋体"/>
          <w:b/>
          <w:color w:val="auto"/>
          <w:szCs w:val="21"/>
          <w:highlight w:val="none"/>
        </w:rPr>
        <w:t>15.4响应文件的份数：响应文件的份数详见供应商须知前附表第5项规定。并在每份</w:t>
      </w:r>
      <w:r>
        <w:rPr>
          <w:rFonts w:hint="eastAsia" w:hAnsi="宋体" w:cs="宋体"/>
          <w:b/>
          <w:bCs/>
          <w:color w:val="auto"/>
          <w:szCs w:val="21"/>
          <w:highlight w:val="none"/>
        </w:rPr>
        <w:t>文件左上角注明“正本”、“副本”字样，一旦正本和副本不符，以正本为准。</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16.谈判保证金</w:t>
      </w:r>
    </w:p>
    <w:p>
      <w:pPr>
        <w:pStyle w:val="15"/>
        <w:spacing w:line="380" w:lineRule="exact"/>
        <w:ind w:firstLine="311" w:firstLineChars="145"/>
        <w:rPr>
          <w:rFonts w:hint="eastAsia" w:hAnsi="宋体" w:cs="宋体"/>
          <w:color w:val="auto"/>
          <w:szCs w:val="21"/>
          <w:highlight w:val="none"/>
        </w:rPr>
      </w:pPr>
      <w:r>
        <w:rPr>
          <w:rFonts w:hint="eastAsia" w:hAnsi="宋体" w:cs="宋体"/>
          <w:b/>
          <w:color w:val="auto"/>
          <w:spacing w:val="2"/>
          <w:szCs w:val="21"/>
          <w:highlight w:val="none"/>
        </w:rPr>
        <w:t>16.1谈判保证金：无</w:t>
      </w:r>
      <w:r>
        <w:rPr>
          <w:rFonts w:hint="eastAsia" w:hAnsi="宋体" w:cs="宋体"/>
          <w:color w:val="auto"/>
          <w:szCs w:val="21"/>
          <w:highlight w:val="none"/>
        </w:rPr>
        <w:t>。</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17.履约保证金</w:t>
      </w:r>
    </w:p>
    <w:p>
      <w:pPr>
        <w:pStyle w:val="15"/>
        <w:spacing w:line="380" w:lineRule="exact"/>
        <w:ind w:firstLine="420" w:firstLineChars="200"/>
        <w:rPr>
          <w:rFonts w:hint="eastAsia"/>
          <w:b/>
          <w:color w:val="auto"/>
          <w:highlight w:val="none"/>
        </w:rPr>
      </w:pPr>
      <w:r>
        <w:rPr>
          <w:rFonts w:hint="eastAsia" w:hAnsi="宋体" w:cs="宋体"/>
          <w:color w:val="auto"/>
          <w:szCs w:val="21"/>
          <w:highlight w:val="none"/>
        </w:rPr>
        <w:t>履约保证金金额详见供应商须知前附表第6项规定。</w:t>
      </w:r>
    </w:p>
    <w:p>
      <w:pPr>
        <w:pStyle w:val="5"/>
        <w:jc w:val="center"/>
        <w:rPr>
          <w:rFonts w:hint="eastAsia"/>
          <w:b w:val="0"/>
          <w:color w:val="auto"/>
          <w:highlight w:val="none"/>
        </w:rPr>
      </w:pPr>
      <w:bookmarkStart w:id="12" w:name="_Toc262735302"/>
      <w:bookmarkStart w:id="13" w:name="_Toc372531034"/>
      <w:bookmarkStart w:id="14" w:name="_Toc31805"/>
      <w:r>
        <w:rPr>
          <w:rFonts w:hint="eastAsia"/>
          <w:color w:val="auto"/>
          <w:sz w:val="21"/>
          <w:highlight w:val="none"/>
        </w:rPr>
        <w:t>四、响应文件的递交</w:t>
      </w:r>
      <w:bookmarkEnd w:id="12"/>
      <w:bookmarkEnd w:id="13"/>
      <w:bookmarkEnd w:id="14"/>
    </w:p>
    <w:p>
      <w:pPr>
        <w:pStyle w:val="15"/>
        <w:spacing w:line="380" w:lineRule="exact"/>
        <w:rPr>
          <w:rFonts w:hint="eastAsia" w:hAnsi="宋体" w:cs="宋体"/>
          <w:b/>
          <w:color w:val="auto"/>
          <w:highlight w:val="none"/>
        </w:rPr>
      </w:pPr>
      <w:r>
        <w:rPr>
          <w:rFonts w:hint="eastAsia" w:hAnsi="宋体" w:cs="宋体"/>
          <w:b/>
          <w:color w:val="auto"/>
          <w:highlight w:val="none"/>
        </w:rPr>
        <w:t>18.响应文件的密封与标记</w:t>
      </w:r>
    </w:p>
    <w:p>
      <w:pPr>
        <w:pStyle w:val="15"/>
        <w:spacing w:line="380" w:lineRule="exact"/>
        <w:ind w:firstLine="304" w:firstLineChars="145"/>
        <w:rPr>
          <w:rFonts w:hint="eastAsia" w:hAnsi="宋体" w:cs="宋体"/>
          <w:color w:val="auto"/>
          <w:highlight w:val="none"/>
        </w:rPr>
      </w:pPr>
      <w:r>
        <w:rPr>
          <w:rFonts w:hint="eastAsia" w:hAnsi="宋体" w:cs="宋体"/>
          <w:color w:val="auto"/>
          <w:highlight w:val="none"/>
        </w:rPr>
        <w:t>18.1供应商应将响应文件正、副本分别装订成册（正本一份、副本三份），然后一并装入响应文件袋中并加以密封，所有封贴处必须密封后签字，由法定代表人或其委托代理人签字或盖公章。</w:t>
      </w:r>
    </w:p>
    <w:p>
      <w:pPr>
        <w:pStyle w:val="15"/>
        <w:spacing w:line="380" w:lineRule="exact"/>
        <w:ind w:firstLine="304" w:firstLineChars="145"/>
        <w:rPr>
          <w:rFonts w:hint="eastAsia" w:hAnsi="宋体" w:cs="宋体"/>
          <w:color w:val="auto"/>
          <w:highlight w:val="none"/>
        </w:rPr>
      </w:pPr>
      <w:r>
        <w:rPr>
          <w:rFonts w:hint="eastAsia" w:hAnsi="宋体" w:cs="宋体"/>
          <w:color w:val="auto"/>
          <w:highlight w:val="none"/>
        </w:rPr>
        <w:t>18.2响应文件袋上应写明（空格内要求写明具体内容）：</w:t>
      </w:r>
    </w:p>
    <w:p>
      <w:pPr>
        <w:pStyle w:val="15"/>
        <w:spacing w:line="380" w:lineRule="exact"/>
        <w:ind w:firstLine="808"/>
        <w:rPr>
          <w:rFonts w:hint="eastAsia" w:hAnsi="宋体" w:cs="宋体"/>
          <w:color w:val="auto"/>
          <w:highlight w:val="none"/>
        </w:rPr>
      </w:pPr>
      <w:r>
        <w:rPr>
          <w:rFonts w:hint="eastAsia" w:hAnsi="宋体" w:cs="宋体"/>
          <w:color w:val="auto"/>
          <w:highlight w:val="none"/>
        </w:rPr>
        <w:t>⑴ 项目名称：</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5"/>
        <w:spacing w:line="380" w:lineRule="exact"/>
        <w:ind w:firstLine="808"/>
        <w:rPr>
          <w:rFonts w:hint="eastAsia" w:hAnsi="宋体" w:cs="宋体"/>
          <w:color w:val="auto"/>
          <w:highlight w:val="none"/>
          <w:u w:val="single"/>
        </w:rPr>
      </w:pPr>
      <w:r>
        <w:rPr>
          <w:rFonts w:hint="eastAsia" w:hAnsi="宋体" w:cs="宋体"/>
          <w:color w:val="auto"/>
          <w:highlight w:val="none"/>
        </w:rPr>
        <w:fldChar w:fldCharType="begin"/>
      </w:r>
      <w:r>
        <w:rPr>
          <w:rFonts w:hint="eastAsia" w:hAnsi="宋体" w:cs="宋体"/>
          <w:color w:val="auto"/>
          <w:highlight w:val="none"/>
        </w:rPr>
        <w:instrText xml:space="preserve"> = 2 \* GB2 \* MERGEFORMAT </w:instrText>
      </w:r>
      <w:r>
        <w:rPr>
          <w:rFonts w:hint="eastAsia" w:hAnsi="宋体" w:cs="宋体"/>
          <w:color w:val="auto"/>
          <w:highlight w:val="none"/>
        </w:rPr>
        <w:fldChar w:fldCharType="separate"/>
      </w:r>
      <w:r>
        <w:rPr>
          <w:color w:val="auto"/>
          <w:highlight w:val="none"/>
        </w:rPr>
        <w:t>⑵</w:t>
      </w:r>
      <w:r>
        <w:rPr>
          <w:rFonts w:hint="eastAsia" w:hAnsi="宋体" w:cs="宋体"/>
          <w:color w:val="auto"/>
          <w:highlight w:val="none"/>
        </w:rPr>
        <w:fldChar w:fldCharType="end"/>
      </w:r>
      <w:r>
        <w:rPr>
          <w:rFonts w:hint="eastAsia" w:hAnsi="宋体" w:cs="宋体"/>
          <w:color w:val="auto"/>
          <w:highlight w:val="none"/>
        </w:rPr>
        <w:t xml:space="preserve"> 项目编号：</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5"/>
        <w:spacing w:line="380" w:lineRule="exact"/>
        <w:ind w:firstLine="808"/>
        <w:rPr>
          <w:rFonts w:hint="eastAsia" w:hAnsi="宋体" w:cs="宋体"/>
          <w:color w:val="auto"/>
          <w:highlight w:val="none"/>
          <w:u w:val="single"/>
        </w:rPr>
      </w:pPr>
      <w:r>
        <w:rPr>
          <w:rFonts w:hint="eastAsia" w:hAnsi="宋体" w:cs="宋体"/>
          <w:color w:val="auto"/>
          <w:highlight w:val="none"/>
        </w:rPr>
        <w:fldChar w:fldCharType="begin"/>
      </w:r>
      <w:r>
        <w:rPr>
          <w:rFonts w:hint="eastAsia" w:hAnsi="宋体" w:cs="宋体"/>
          <w:color w:val="auto"/>
          <w:highlight w:val="none"/>
        </w:rPr>
        <w:instrText xml:space="preserve"> = 3 \* GB2 \* MERGEFORMAT </w:instrText>
      </w:r>
      <w:r>
        <w:rPr>
          <w:rFonts w:hint="eastAsia" w:hAnsi="宋体" w:cs="宋体"/>
          <w:color w:val="auto"/>
          <w:highlight w:val="none"/>
        </w:rPr>
        <w:fldChar w:fldCharType="separate"/>
      </w:r>
      <w:r>
        <w:rPr>
          <w:color w:val="auto"/>
          <w:highlight w:val="none"/>
        </w:rPr>
        <w:t>⑶</w:t>
      </w:r>
      <w:r>
        <w:rPr>
          <w:rFonts w:hint="eastAsia" w:hAnsi="宋体" w:cs="宋体"/>
          <w:color w:val="auto"/>
          <w:highlight w:val="none"/>
        </w:rPr>
        <w:fldChar w:fldCharType="end"/>
      </w:r>
      <w:r>
        <w:rPr>
          <w:rFonts w:hint="eastAsia" w:hAnsi="宋体" w:cs="宋体"/>
          <w:color w:val="auto"/>
          <w:highlight w:val="none"/>
        </w:rPr>
        <w:t xml:space="preserve"> 供应商：</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5"/>
        <w:spacing w:line="380" w:lineRule="exact"/>
        <w:ind w:firstLine="808"/>
        <w:rPr>
          <w:rFonts w:hint="eastAsia" w:hAnsi="宋体" w:cs="宋体"/>
          <w:color w:val="auto"/>
          <w:highlight w:val="none"/>
        </w:rPr>
      </w:pPr>
      <w:r>
        <w:rPr>
          <w:rFonts w:hint="eastAsia" w:hAnsi="宋体" w:cs="宋体"/>
          <w:color w:val="auto"/>
          <w:highlight w:val="none"/>
        </w:rPr>
        <w:fldChar w:fldCharType="begin"/>
      </w:r>
      <w:r>
        <w:rPr>
          <w:rFonts w:hint="eastAsia" w:hAnsi="宋体" w:cs="宋体"/>
          <w:color w:val="auto"/>
          <w:highlight w:val="none"/>
        </w:rPr>
        <w:instrText xml:space="preserve"> = 4 \* GB2 \* MERGEFORMAT </w:instrText>
      </w:r>
      <w:r>
        <w:rPr>
          <w:rFonts w:hint="eastAsia" w:hAnsi="宋体" w:cs="宋体"/>
          <w:color w:val="auto"/>
          <w:highlight w:val="none"/>
        </w:rPr>
        <w:fldChar w:fldCharType="separate"/>
      </w:r>
      <w:r>
        <w:rPr>
          <w:color w:val="auto"/>
          <w:highlight w:val="none"/>
        </w:rPr>
        <w:t>⑷</w:t>
      </w:r>
      <w:r>
        <w:rPr>
          <w:rFonts w:hint="eastAsia" w:hAnsi="宋体" w:cs="宋体"/>
          <w:color w:val="auto"/>
          <w:highlight w:val="none"/>
        </w:rPr>
        <w:fldChar w:fldCharType="end"/>
      </w:r>
      <w:r>
        <w:rPr>
          <w:rFonts w:hint="eastAsia" w:hAnsi="宋体" w:cs="宋体"/>
          <w:color w:val="auto"/>
          <w:highlight w:val="none"/>
        </w:rPr>
        <w:t xml:space="preserve">     年  月  日  时  分前不得拆封</w:t>
      </w:r>
    </w:p>
    <w:p>
      <w:pPr>
        <w:pStyle w:val="15"/>
        <w:spacing w:line="380" w:lineRule="exact"/>
        <w:ind w:firstLine="304" w:firstLineChars="145"/>
        <w:rPr>
          <w:rFonts w:hint="eastAsia" w:hAnsi="宋体" w:cs="宋体"/>
          <w:color w:val="auto"/>
          <w:highlight w:val="none"/>
        </w:rPr>
      </w:pPr>
      <w:r>
        <w:rPr>
          <w:rFonts w:hint="eastAsia" w:hAnsi="宋体" w:cs="宋体"/>
          <w:color w:val="auto"/>
          <w:highlight w:val="none"/>
        </w:rPr>
        <w:t>18.3</w:t>
      </w:r>
      <w:r>
        <w:rPr>
          <w:rFonts w:hint="eastAsia" w:hAnsi="宋体" w:cs="宋体"/>
          <w:bCs/>
          <w:color w:val="auto"/>
          <w:highlight w:val="none"/>
        </w:rPr>
        <w:t>响应文件的密封以响应文件袋无明显缝隙暴露袋内文件且封口处有密封签字或盖公章为合格。</w:t>
      </w:r>
    </w:p>
    <w:p>
      <w:pPr>
        <w:pStyle w:val="15"/>
        <w:spacing w:line="380" w:lineRule="exact"/>
        <w:ind w:firstLine="306" w:firstLineChars="145"/>
        <w:rPr>
          <w:rFonts w:hint="eastAsia" w:hAnsi="宋体" w:cs="宋体"/>
          <w:b/>
          <w:bCs/>
          <w:color w:val="auto"/>
          <w:szCs w:val="32"/>
          <w:highlight w:val="none"/>
        </w:rPr>
      </w:pPr>
      <w:r>
        <w:rPr>
          <w:rFonts w:hint="eastAsia" w:hAnsi="宋体" w:cs="宋体"/>
          <w:b/>
          <w:bCs/>
          <w:color w:val="auto"/>
          <w:szCs w:val="32"/>
          <w:highlight w:val="none"/>
        </w:rPr>
        <w:t>18.4供应商在递交响应文件时外包封袋未按本须知要求密封的，采购代理机构有权拒收，拒收所产生的后果由供应商自负。</w:t>
      </w:r>
    </w:p>
    <w:p>
      <w:pPr>
        <w:pStyle w:val="15"/>
        <w:spacing w:line="380" w:lineRule="exact"/>
        <w:ind w:firstLine="304" w:firstLineChars="145"/>
        <w:rPr>
          <w:rFonts w:hint="eastAsia" w:hAnsi="宋体" w:cs="宋体"/>
          <w:color w:val="auto"/>
          <w:highlight w:val="none"/>
        </w:rPr>
      </w:pPr>
      <w:r>
        <w:rPr>
          <w:rFonts w:hint="eastAsia" w:hAnsi="宋体" w:cs="宋体"/>
          <w:color w:val="auto"/>
          <w:highlight w:val="none"/>
        </w:rPr>
        <w:t>18.5响应文件的提交</w:t>
      </w:r>
    </w:p>
    <w:p>
      <w:pPr>
        <w:pStyle w:val="15"/>
        <w:spacing w:line="380" w:lineRule="exact"/>
        <w:ind w:firstLine="304" w:firstLineChars="145"/>
        <w:rPr>
          <w:rFonts w:hint="eastAsia" w:hAnsi="宋体" w:cs="宋体"/>
          <w:color w:val="auto"/>
          <w:highlight w:val="none"/>
        </w:rPr>
      </w:pPr>
      <w:r>
        <w:rPr>
          <w:rFonts w:hint="eastAsia" w:hAnsi="宋体" w:cs="宋体"/>
          <w:color w:val="auto"/>
          <w:highlight w:val="none"/>
        </w:rPr>
        <w:t>18.5.1响应文件提交不得迟于“供应商须知前附表”第7项规定的截止时间。</w:t>
      </w:r>
    </w:p>
    <w:p>
      <w:pPr>
        <w:pStyle w:val="15"/>
        <w:spacing w:line="380" w:lineRule="exact"/>
        <w:ind w:firstLine="304" w:firstLineChars="145"/>
        <w:rPr>
          <w:rFonts w:hint="eastAsia" w:hAnsi="宋体" w:cs="宋体"/>
          <w:color w:val="auto"/>
          <w:highlight w:val="none"/>
        </w:rPr>
      </w:pPr>
      <w:r>
        <w:rPr>
          <w:rFonts w:hint="eastAsia" w:hAnsi="宋体" w:cs="宋体"/>
          <w:color w:val="auto"/>
          <w:highlight w:val="none"/>
        </w:rPr>
        <w:t>18.5.2供应商必须在规定时间内将响应文件送到供应商须知前附表第7项规定地点，超过响应文件提交截止时间送达的响应文件将不予受理。</w:t>
      </w:r>
    </w:p>
    <w:p>
      <w:pPr>
        <w:pStyle w:val="5"/>
        <w:jc w:val="center"/>
        <w:rPr>
          <w:rFonts w:hint="eastAsia"/>
          <w:color w:val="auto"/>
          <w:sz w:val="21"/>
          <w:highlight w:val="none"/>
        </w:rPr>
      </w:pPr>
      <w:bookmarkStart w:id="15" w:name="_Toc262735303"/>
      <w:bookmarkStart w:id="16" w:name="_Toc372531035"/>
      <w:bookmarkStart w:id="17" w:name="_Toc26399"/>
      <w:r>
        <w:rPr>
          <w:rFonts w:hint="eastAsia"/>
          <w:color w:val="auto"/>
          <w:sz w:val="21"/>
          <w:highlight w:val="none"/>
        </w:rPr>
        <w:t>五、截标、开标与评标</w:t>
      </w:r>
      <w:bookmarkEnd w:id="15"/>
      <w:bookmarkEnd w:id="16"/>
      <w:bookmarkEnd w:id="17"/>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19.截标开标</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19.1采购代理机构将在“供应商须知前附表”规定的时间和地点进行开标，供应商的法定代表人或其委托代理人必须持有效的证件【法定代表人持本人身份证和营业执照复印件或授权的受托人持授权委托书及本人身份证】签到参加开标会并接受验证，供应商的法定代表人或其授权代理人未按时签到的，视同放弃开标监督权利、认可开标结果。</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19.2开标时，由供应商代表检查响应文件的密封情况，经确认无误后，由采购代理机构工作人员宣读竞标与谈判过程中应遵守的纪律和应注意的事项。</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19.3采购代理机构将做开标记录。</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19.4当递交响应文件的供应商不足3家时，除采购任务取消情形外，采购代理机构将按政府采购管理的有关规定报主管部门批准后根据《中华人民共和国政府采购法》将该项目改为其它方式进行采购，或依法重新组织采购。</w:t>
      </w:r>
    </w:p>
    <w:p>
      <w:pPr>
        <w:pStyle w:val="15"/>
        <w:spacing w:line="380" w:lineRule="exact"/>
        <w:ind w:firstLine="304" w:firstLineChars="145"/>
        <w:rPr>
          <w:rFonts w:hint="eastAsia" w:hAnsi="宋体" w:cs="宋体"/>
          <w:color w:val="auto"/>
          <w:szCs w:val="21"/>
          <w:highlight w:val="none"/>
        </w:rPr>
      </w:pPr>
      <w:r>
        <w:rPr>
          <w:rFonts w:hint="eastAsia" w:hAnsi="宋体" w:cs="宋体"/>
          <w:color w:val="auto"/>
          <w:szCs w:val="21"/>
          <w:highlight w:val="none"/>
        </w:rPr>
        <w:t>19.5开标后,因符合专业条件的供应商或者对竞争性谈判文件作实质响应的供应商不足三家的,项目作废标处理；采购代理机构将按政府采购管理的有关规定报主管部门批准后将改为其它方式进行采购，或依法重新采购。</w:t>
      </w:r>
    </w:p>
    <w:p>
      <w:pPr>
        <w:pStyle w:val="15"/>
        <w:spacing w:line="380" w:lineRule="exact"/>
        <w:rPr>
          <w:rFonts w:hint="eastAsia" w:hAnsi="宋体" w:cs="宋体"/>
          <w:color w:val="auto"/>
          <w:szCs w:val="21"/>
          <w:highlight w:val="none"/>
        </w:rPr>
      </w:pPr>
      <w:r>
        <w:rPr>
          <w:rFonts w:hint="eastAsia" w:hAnsi="宋体" w:cs="宋体"/>
          <w:b/>
          <w:color w:val="auto"/>
          <w:szCs w:val="21"/>
          <w:highlight w:val="none"/>
        </w:rPr>
        <w:t>20.谈判</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20.1谈判时间及地点：按“供应商须知前附表”第8项规定地点，具体时间由采购代理机构另行通知。</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20.2采购代理机构根据竞标项目的特点组建由三人以上（含三人）的单数组成的谈判小组，小组成员由采购人代表和有关专家组成，其中专家人数不少于成员总数的三分之二。在整个谈判过程中，谈判小组将负责对全部响应文件进行审查、谈判及评标工作。</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20.3谈判小组对供应商资格条件及响应文件进行评审，并从符合竞争性谈判文件规定的相应资格条件的供应商名单中确定不少于3家的供应商参加谈判。公开招标的货物、服务采购项目，招标过程中提交响应文件或者经评审实质性响应竞争性谈判文件要求的供应商只有两家时，采购人、采购代理机构按照《政府采购非招标采购方式管理办法》（财政部74号令）第四条经本级财政部门批准后可以与该两家供应商进行竞争性谈判采购。</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资格条件不符合的供应商或未实质性响应谈判文件的响应文件按无效响应处理，谈判小组应当告知有关供应商。</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 xml:space="preserve">20.4 在谈判开始前，谈判小组定好下列事项：谈判的具体程序，如谈判轮次及每个轮次的谈判重点；拟谈判的内容，包括规格、价格、服务等，明确谈判小组应当考虑的具体因素及相关要求等。 </w:t>
      </w:r>
      <w:r>
        <w:rPr>
          <w:rFonts w:hint="eastAsia" w:hAnsi="宋体" w:cs="宋体"/>
          <w:color w:val="auto"/>
          <w:szCs w:val="21"/>
          <w:highlight w:val="none"/>
        </w:rPr>
        <w:br w:type="textWrapping"/>
      </w:r>
      <w:r>
        <w:rPr>
          <w:rFonts w:hint="eastAsia" w:hAnsi="宋体" w:cs="宋体"/>
          <w:color w:val="auto"/>
          <w:szCs w:val="21"/>
          <w:highlight w:val="none"/>
        </w:rPr>
        <w:t xml:space="preserve">    20.5谈判原则如下：</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⑴供应商可由1～3人参加谈判，谈判中供应商成员之间意见不一致时，以供应商的法定代表人或其委托代理人的意见为准。供应商的法定代表人或其授权的受托人必须持有效的证件【法定代表人持本人身份证或授权的受托人持授权委托书及本人身份证】依时到达现场等候参加谈判，并自觉接受核验上述证件。供应商不在规定时间内参加谈判的，或不在规定时间内对谈判内容进行应答的，视为无效竞标。</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⑵谈判小组成员作为一个集体与各供应商分别进行谈判，谈判的内容包括技术性条件、商务性条件以及谈判小组认为需要谈判的内容。当竞争性谈判文件有实质性变动的，谈判小组以书面形式通知所有参加谈判的供应商。其中涉及价格的内容不得要求供应商在谈判时作口头报价，而应以书面密封形式报价。根据政府采购法第三十条第（二）款，项目谈判时可能涉及到本竞争性谈判文件中未确定的规格或技术要求，由此将可能造成某些供应商因竞标产品无法满足项目需求而失去成交机会，此时供应商应自行承担此风险且不得向采购人或代理机构索取参与竞标的任何费用。</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⑶谈判内容应作记录，或由供应商及谈判小组成员签字确认。</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⑷谈判结束后，谈判小组应要求供应商在规定的时间、地点以书面密封形式递交谈判时要求其就商务和技术条件作出的包含补充、修改、承诺、重新报价等内容的应答文件，应答文件必须由供应商的法定代表人或委托代理人签名或盖公章，应答文件构成响应文件的一部分。成交候选供应商作第二轮谈判，密封递交谈判小组。第二轮谈判小组未能确定成交候选供应商的，对谈判文件修正后进行第三轮谈判。以此类推。</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⑸成交候选供应商作最后报价，密封递交谈判小组。谈判小组对各供应商递交的应答文件统一开启，并进行评审。对最后一轮谈判，谈判小组应明确告知供应商，并要求所有供应商在规定的时间、地点以书面密封形式递交最终的应答文件。谈判小组按报价从低到高排序，推荐成交候选供应商顺序，形成谈判报告。</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20.6最终谈判结束后，谈判小组不得再与供应商进行任何形式的商谈。</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20.7谈判的任何一方不得透露与谈判有关的其他供应商的技术资料、价格和其他信息。</w:t>
      </w:r>
    </w:p>
    <w:p>
      <w:pPr>
        <w:pStyle w:val="15"/>
        <w:spacing w:line="380" w:lineRule="exact"/>
        <w:rPr>
          <w:rFonts w:hint="eastAsia" w:hAnsi="宋体" w:cs="宋体"/>
          <w:b/>
          <w:color w:val="auto"/>
          <w:szCs w:val="21"/>
          <w:highlight w:val="none"/>
        </w:rPr>
      </w:pPr>
      <w:r>
        <w:rPr>
          <w:rFonts w:hint="eastAsia" w:hAnsi="宋体" w:cs="宋体"/>
          <w:b/>
          <w:color w:val="auto"/>
          <w:szCs w:val="21"/>
          <w:highlight w:val="none"/>
        </w:rPr>
        <w:t xml:space="preserve">21.评标 </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21.1本采购项目是以政府采购预算价为最高限价，超出政府采购预算价的竞标报价，采购人不能支付时，谈判小组将不予以评审。</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21.2本采购项目的评标依据为竞争性谈判文件和响应文件。</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21.3本项目采用的评审办法按供应商须知前附表第10项规定执行，“谈判小组”成员、有关工作人员及其他知情人不得透露对响应文件的评审、比较和成交候选供应商的推荐情况以及与评标有关的其他情况。</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21.4供应商在评标过程中，所进行的力图影响评标结果公正性的活动，将可能导致其成交资格被取消。</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21.5出现下列情形之一的，在评审过程中，取其中通过资格审查、符合性审查且报价最低的参加评审；当报价相同时，则由采购人自主选择确定一个参加评审的供应商，其他竞标无效：</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（1）提供相同品牌产品的不同供应商参加单一产品的同一合同项下的政府采购活动的。</w:t>
      </w:r>
    </w:p>
    <w:p>
      <w:pPr>
        <w:pStyle w:val="15"/>
        <w:spacing w:line="380" w:lineRule="exact"/>
        <w:ind w:firstLine="420"/>
        <w:rPr>
          <w:rFonts w:hint="eastAsia" w:hAnsi="宋体" w:cs="宋体"/>
          <w:color w:val="auto"/>
          <w:szCs w:val="21"/>
          <w:highlight w:val="none"/>
        </w:rPr>
      </w:pPr>
      <w:r>
        <w:rPr>
          <w:rFonts w:hint="eastAsia" w:hAnsi="宋体" w:cs="宋体"/>
          <w:color w:val="auto"/>
          <w:szCs w:val="21"/>
          <w:highlight w:val="none"/>
        </w:rPr>
        <w:t>（2）非单一产品采购项目中，多家供应商提供的核心产品品牌相同的。核心产品的名称应当在采购文件中载明。</w:t>
      </w:r>
    </w:p>
    <w:p>
      <w:pPr>
        <w:pStyle w:val="15"/>
        <w:spacing w:line="380" w:lineRule="exact"/>
        <w:rPr>
          <w:rFonts w:hint="eastAsia" w:hAnsi="宋体" w:cs="宋体"/>
          <w:color w:val="auto"/>
          <w:szCs w:val="21"/>
          <w:highlight w:val="none"/>
        </w:rPr>
      </w:pPr>
      <w:r>
        <w:rPr>
          <w:rFonts w:hint="eastAsia" w:hAnsi="宋体" w:cs="宋体"/>
          <w:b/>
          <w:color w:val="auto"/>
          <w:szCs w:val="21"/>
          <w:highlight w:val="none"/>
        </w:rPr>
        <w:t>22.无效的响应文件</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22.1响应文件或最后报价如有下列情况之一，将会在评标中按照无效竞标处理：</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（1）供应商所提供材料不足以证明其具备本项目要求的资格；</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（2）供应商未按规定登录政采云平台（https://www.zcygov.cn/）在线办理报名并自行下载竞争性谈判文件电子版的；</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（3）供应商未就《项目需求》中的所有内容作完整唯一报价；</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（4）未按竞争性谈判文件的要求密封、签署、盖章的；</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（5）超出政府采购预算价的竞标报价；</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（6）不符合竞争性谈判文件中规定的实质性要求的；</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（7）供应商无法在规定时间内提供资格证明材料进行核对，或应谈判与谈判小组要求提供的有关材料原件与其在响应文件中所提供的材料复印件不一致的；</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（8）供应商递交两份或多份内容不同的响应文件，或在一份响应文件中对同一采购货物（或服务）报有两个或多个报价，且未声明哪一个为最终报价的，按竞争性谈判文件规定提交备选竞标方案的除外；</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（9）不符合法律、法规和竞争性谈判文件规定的其他实质性要求和条件的。</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22.2. 有下列情形之一的视为供应商相互串通投标，响应文件将被视为无效：</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（1）不同供应商的响应文件由同一单位或者个人编制；或不同供应商报名的IP地址一致的；</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（4）不同供应商的响应文件异常一致或报价呈规律性差异；</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pPr>
        <w:widowControl/>
        <w:spacing w:line="380" w:lineRule="exact"/>
        <w:ind w:firstLine="205" w:firstLineChars="98"/>
        <w:jc w:val="left"/>
        <w:rPr>
          <w:rFonts w:hint="eastAsia" w:ascii="宋体" w:hAnsi="宋体" w:cs="宋体"/>
          <w:color w:val="auto"/>
          <w:szCs w:val="21"/>
          <w:highlight w:val="none"/>
        </w:rPr>
      </w:pPr>
      <w:r>
        <w:rPr>
          <w:rFonts w:hint="eastAsia" w:ascii="宋体" w:hAnsi="宋体" w:cs="宋体"/>
          <w:color w:val="auto"/>
          <w:szCs w:val="21"/>
          <w:highlight w:val="none"/>
        </w:rPr>
        <w:t>（6）不同供应商的保证金从同一单位或者个人账户转出。</w:t>
      </w:r>
    </w:p>
    <w:p>
      <w:pPr>
        <w:pStyle w:val="15"/>
        <w:spacing w:line="380" w:lineRule="exact"/>
        <w:ind w:firstLine="212" w:firstLineChars="101"/>
        <w:rPr>
          <w:rFonts w:hint="eastAsia" w:hAnsi="宋体" w:cs="宋体"/>
          <w:color w:val="auto"/>
          <w:szCs w:val="21"/>
          <w:highlight w:val="none"/>
        </w:rPr>
      </w:pPr>
      <w:r>
        <w:rPr>
          <w:rFonts w:hint="eastAsia" w:hAnsi="宋体" w:cs="宋体"/>
          <w:color w:val="auto"/>
          <w:szCs w:val="21"/>
          <w:highlight w:val="none"/>
        </w:rPr>
        <w:t>22.3关联供应商不得参加同一合同项下政府采购活动，否则响应文件将被视为无效：</w:t>
      </w:r>
    </w:p>
    <w:p>
      <w:pPr>
        <w:pStyle w:val="15"/>
        <w:spacing w:line="380" w:lineRule="exact"/>
        <w:rPr>
          <w:rFonts w:hint="eastAsia" w:hAnsi="宋体" w:cs="宋体"/>
          <w:color w:val="auto"/>
          <w:szCs w:val="21"/>
          <w:highlight w:val="none"/>
        </w:rPr>
      </w:pPr>
      <w:r>
        <w:rPr>
          <w:rFonts w:hint="eastAsia" w:hAnsi="宋体" w:cs="宋体"/>
          <w:color w:val="auto"/>
          <w:szCs w:val="21"/>
          <w:highlight w:val="none"/>
        </w:rPr>
        <w:t>（1）单位负责人为同一人或者存在直接控股、管理关系的不同的供应商，不得参加同一合同项下的政府采购活动；</w:t>
      </w:r>
    </w:p>
    <w:p>
      <w:pPr>
        <w:pStyle w:val="15"/>
        <w:spacing w:line="380" w:lineRule="exact"/>
        <w:rPr>
          <w:rFonts w:hint="eastAsia" w:hAnsi="宋体" w:cs="宋体"/>
          <w:color w:val="auto"/>
          <w:szCs w:val="21"/>
          <w:highlight w:val="none"/>
        </w:rPr>
      </w:pPr>
      <w:r>
        <w:rPr>
          <w:rFonts w:hint="eastAsia" w:hAnsi="宋体" w:cs="宋体"/>
          <w:color w:val="auto"/>
          <w:szCs w:val="21"/>
          <w:highlight w:val="none"/>
        </w:rPr>
        <w:t>（2）生产厂商授权给供应商后自己不得参加同一合同项下的政府采购活动；生产厂商对同一品牌同一型号的货物，仅能委托一个代理商参加竞标。</w:t>
      </w:r>
    </w:p>
    <w:p>
      <w:pPr>
        <w:pStyle w:val="15"/>
        <w:spacing w:line="380" w:lineRule="exact"/>
        <w:rPr>
          <w:rFonts w:hint="eastAsia" w:hAnsi="宋体" w:cs="宋体"/>
          <w:color w:val="auto"/>
          <w:szCs w:val="21"/>
          <w:highlight w:val="none"/>
        </w:rPr>
      </w:pPr>
      <w:r>
        <w:rPr>
          <w:rFonts w:hint="eastAsia" w:hAnsi="宋体" w:cs="宋体"/>
          <w:color w:val="auto"/>
          <w:szCs w:val="21"/>
          <w:highlight w:val="none"/>
        </w:rPr>
        <w:t>23.废标</w:t>
      </w:r>
    </w:p>
    <w:p>
      <w:pPr>
        <w:pStyle w:val="15"/>
        <w:spacing w:line="380" w:lineRule="exact"/>
        <w:rPr>
          <w:rFonts w:hint="eastAsia" w:hAnsi="宋体" w:cs="宋体"/>
          <w:color w:val="auto"/>
          <w:szCs w:val="21"/>
          <w:highlight w:val="none"/>
        </w:rPr>
      </w:pPr>
      <w:r>
        <w:rPr>
          <w:rFonts w:hint="eastAsia" w:hAnsi="宋体" w:cs="宋体"/>
          <w:color w:val="auto"/>
          <w:szCs w:val="21"/>
          <w:highlight w:val="none"/>
        </w:rPr>
        <w:t>　 23.1竞标采购过程中出现下列情形之一的，将予以废标：</w:t>
      </w:r>
    </w:p>
    <w:p>
      <w:pPr>
        <w:pStyle w:val="15"/>
        <w:spacing w:line="380" w:lineRule="exact"/>
        <w:ind w:firstLine="205" w:firstLineChars="98"/>
        <w:rPr>
          <w:rFonts w:hint="eastAsia" w:hAnsi="宋体" w:cs="宋体"/>
          <w:color w:val="auto"/>
          <w:szCs w:val="21"/>
          <w:highlight w:val="none"/>
        </w:rPr>
      </w:pPr>
      <w:r>
        <w:rPr>
          <w:rFonts w:hint="eastAsia" w:hAnsi="宋体" w:cs="宋体"/>
          <w:color w:val="auto"/>
          <w:szCs w:val="21"/>
          <w:highlight w:val="none"/>
        </w:rPr>
        <w:t>（1）符合专业条件的供应商或者对竞争性谈判文件作实质响应的供应商不足三家的；</w:t>
      </w:r>
    </w:p>
    <w:p>
      <w:pPr>
        <w:pStyle w:val="15"/>
        <w:spacing w:line="380" w:lineRule="exact"/>
        <w:ind w:firstLine="205" w:firstLineChars="98"/>
        <w:rPr>
          <w:rFonts w:hint="eastAsia" w:hAnsi="宋体" w:cs="宋体"/>
          <w:color w:val="auto"/>
          <w:szCs w:val="21"/>
          <w:highlight w:val="none"/>
        </w:rPr>
      </w:pPr>
      <w:r>
        <w:rPr>
          <w:rFonts w:hint="eastAsia" w:hAnsi="宋体" w:cs="宋体"/>
          <w:color w:val="auto"/>
          <w:szCs w:val="21"/>
          <w:highlight w:val="none"/>
        </w:rPr>
        <w:t>（2）出现影响采购公正的违法、违规行为的；</w:t>
      </w:r>
    </w:p>
    <w:p>
      <w:pPr>
        <w:pStyle w:val="15"/>
        <w:spacing w:line="380" w:lineRule="exact"/>
        <w:ind w:firstLine="205" w:firstLineChars="98"/>
        <w:rPr>
          <w:rFonts w:hint="eastAsia" w:hAnsi="宋体" w:cs="宋体"/>
          <w:color w:val="auto"/>
          <w:szCs w:val="21"/>
          <w:highlight w:val="none"/>
        </w:rPr>
      </w:pPr>
      <w:r>
        <w:rPr>
          <w:rFonts w:hint="eastAsia" w:hAnsi="宋体" w:cs="宋体"/>
          <w:color w:val="auto"/>
          <w:szCs w:val="21"/>
          <w:highlight w:val="none"/>
        </w:rPr>
        <w:t>（3）供应商的竞标报价均超过了政府采购预算价，采购人不能支付的；</w:t>
      </w:r>
    </w:p>
    <w:p>
      <w:pPr>
        <w:pStyle w:val="15"/>
        <w:spacing w:line="380" w:lineRule="exact"/>
        <w:ind w:firstLine="205" w:firstLineChars="98"/>
        <w:rPr>
          <w:rFonts w:hint="eastAsia" w:hAnsi="宋体" w:cs="宋体"/>
          <w:color w:val="auto"/>
          <w:szCs w:val="21"/>
          <w:highlight w:val="none"/>
        </w:rPr>
      </w:pPr>
      <w:r>
        <w:rPr>
          <w:rFonts w:hint="eastAsia" w:hAnsi="宋体" w:cs="宋体"/>
          <w:color w:val="auto"/>
          <w:szCs w:val="21"/>
          <w:highlight w:val="none"/>
        </w:rPr>
        <w:t>（4）因重大变故，采购任务取消的。</w:t>
      </w:r>
    </w:p>
    <w:p>
      <w:pPr>
        <w:pStyle w:val="15"/>
        <w:spacing w:line="380" w:lineRule="exact"/>
        <w:ind w:firstLine="205" w:firstLineChars="98"/>
        <w:rPr>
          <w:rFonts w:hint="eastAsia" w:hAnsi="宋体" w:cs="宋体"/>
          <w:color w:val="auto"/>
          <w:szCs w:val="21"/>
          <w:highlight w:val="none"/>
        </w:rPr>
      </w:pPr>
      <w:r>
        <w:rPr>
          <w:rFonts w:hint="eastAsia" w:hAnsi="宋体" w:cs="宋体"/>
          <w:color w:val="auto"/>
          <w:szCs w:val="21"/>
          <w:highlight w:val="none"/>
        </w:rPr>
        <w:t>　　23.2废标后，将按政府采购管理的有关规定报主管部门批准后将该项目改为其它方式进行采购，或依法重新组织采购。</w:t>
      </w:r>
    </w:p>
    <w:p>
      <w:pPr>
        <w:pStyle w:val="5"/>
        <w:spacing w:line="450" w:lineRule="exact"/>
        <w:jc w:val="center"/>
        <w:rPr>
          <w:rFonts w:hint="eastAsia"/>
          <w:b w:val="0"/>
          <w:bCs w:val="0"/>
          <w:color w:val="auto"/>
          <w:highlight w:val="none"/>
        </w:rPr>
      </w:pPr>
      <w:bookmarkStart w:id="18" w:name="_Toc262735304"/>
      <w:bookmarkStart w:id="19" w:name="_Toc372531036"/>
      <w:bookmarkStart w:id="20" w:name="_Toc5718"/>
      <w:r>
        <w:rPr>
          <w:rFonts w:hint="eastAsia"/>
          <w:color w:val="auto"/>
          <w:sz w:val="21"/>
          <w:highlight w:val="none"/>
        </w:rPr>
        <w:t>六、签订合同</w:t>
      </w:r>
      <w:bookmarkEnd w:id="18"/>
      <w:bookmarkEnd w:id="19"/>
      <w:bookmarkEnd w:id="20"/>
    </w:p>
    <w:p>
      <w:pPr>
        <w:pStyle w:val="15"/>
        <w:spacing w:line="450" w:lineRule="exact"/>
        <w:rPr>
          <w:rFonts w:hint="eastAsia"/>
          <w:b/>
          <w:color w:val="auto"/>
          <w:highlight w:val="none"/>
        </w:rPr>
      </w:pPr>
      <w:r>
        <w:rPr>
          <w:rFonts w:hint="eastAsia"/>
          <w:b/>
          <w:color w:val="auto"/>
          <w:highlight w:val="none"/>
        </w:rPr>
        <w:t>24.成交结果及公告</w:t>
      </w:r>
    </w:p>
    <w:p>
      <w:pPr>
        <w:pStyle w:val="15"/>
        <w:spacing w:line="450" w:lineRule="exact"/>
        <w:ind w:firstLine="420"/>
        <w:rPr>
          <w:rFonts w:hint="eastAsia"/>
          <w:color w:val="auto"/>
          <w:highlight w:val="none"/>
        </w:rPr>
      </w:pPr>
      <w:r>
        <w:rPr>
          <w:rFonts w:hint="eastAsia"/>
          <w:color w:val="auto"/>
          <w:highlight w:val="none"/>
        </w:rPr>
        <w:t>24.1采购代理机构在谈判工作完成后2个工作日内将谈判报告送采购人,采购人确认后，成交结果将在竞争性谈判公告发布媒体上公告。</w:t>
      </w:r>
    </w:p>
    <w:p>
      <w:pPr>
        <w:pStyle w:val="15"/>
        <w:spacing w:line="440" w:lineRule="exact"/>
        <w:ind w:firstLine="420"/>
        <w:rPr>
          <w:rFonts w:hint="eastAsia"/>
          <w:color w:val="auto"/>
          <w:highlight w:val="none"/>
        </w:rPr>
      </w:pPr>
      <w:r>
        <w:rPr>
          <w:rFonts w:hint="eastAsia"/>
          <w:color w:val="auto"/>
          <w:highlight w:val="none"/>
        </w:rPr>
        <w:t>24.2成交公告期限为1个工作日，各有关当事人对成交结果有异议的，可以在成交公告期限届满之日起七个工作日内以书面形式向采购单位或广西峻源项目管理有限公司提出质疑，逾期将不再受理。</w:t>
      </w:r>
    </w:p>
    <w:p>
      <w:pPr>
        <w:pStyle w:val="15"/>
        <w:spacing w:line="440" w:lineRule="exact"/>
        <w:ind w:firstLine="420"/>
        <w:rPr>
          <w:rFonts w:hint="eastAsia"/>
          <w:color w:val="auto"/>
          <w:highlight w:val="none"/>
        </w:rPr>
      </w:pPr>
      <w:r>
        <w:rPr>
          <w:rFonts w:hint="eastAsia"/>
          <w:color w:val="auto"/>
          <w:highlight w:val="none"/>
        </w:rPr>
        <w:t>24.3供应商质疑实行实名制，其质疑应当有具体的质疑事项及事实根据，不得进行虚假、恶意质疑。质疑的供应商在法定质疑期内一次性提出针对同一采购程序环节的质疑。</w:t>
      </w:r>
    </w:p>
    <w:p>
      <w:pPr>
        <w:pStyle w:val="15"/>
        <w:spacing w:line="440" w:lineRule="exact"/>
        <w:ind w:firstLine="420"/>
        <w:rPr>
          <w:rFonts w:hint="eastAsia"/>
          <w:color w:val="auto"/>
          <w:highlight w:val="none"/>
        </w:rPr>
      </w:pPr>
      <w:r>
        <w:rPr>
          <w:rFonts w:hint="eastAsia"/>
          <w:color w:val="auto"/>
          <w:highlight w:val="none"/>
        </w:rPr>
        <w:t>供应商提出质疑应当提交质疑函和必要的证明材料。质疑函应当包括下列内容：</w:t>
      </w:r>
    </w:p>
    <w:p>
      <w:pPr>
        <w:pStyle w:val="15"/>
        <w:spacing w:line="440" w:lineRule="exact"/>
        <w:ind w:firstLine="420" w:firstLineChars="200"/>
        <w:rPr>
          <w:rFonts w:hint="eastAsia"/>
          <w:color w:val="auto"/>
          <w:highlight w:val="none"/>
        </w:rPr>
      </w:pPr>
      <w:r>
        <w:rPr>
          <w:rFonts w:hint="eastAsia"/>
          <w:color w:val="auto"/>
          <w:highlight w:val="none"/>
        </w:rPr>
        <w:t>（1）供应商的姓名或者名称、地址、邮编、联系人及联系电话；</w:t>
      </w:r>
    </w:p>
    <w:p>
      <w:pPr>
        <w:pStyle w:val="15"/>
        <w:spacing w:line="440" w:lineRule="exact"/>
        <w:ind w:firstLine="420" w:firstLineChars="200"/>
        <w:rPr>
          <w:rFonts w:hint="eastAsia"/>
          <w:color w:val="auto"/>
          <w:highlight w:val="none"/>
        </w:rPr>
      </w:pPr>
      <w:r>
        <w:rPr>
          <w:rFonts w:hint="eastAsia"/>
          <w:color w:val="auto"/>
          <w:highlight w:val="none"/>
        </w:rPr>
        <w:t>（2）质疑项目的名称、编号；</w:t>
      </w:r>
    </w:p>
    <w:p>
      <w:pPr>
        <w:pStyle w:val="15"/>
        <w:spacing w:line="440" w:lineRule="exact"/>
        <w:ind w:firstLine="420" w:firstLineChars="200"/>
        <w:rPr>
          <w:rFonts w:hint="eastAsia"/>
          <w:color w:val="auto"/>
          <w:highlight w:val="none"/>
        </w:rPr>
      </w:pPr>
      <w:r>
        <w:rPr>
          <w:rFonts w:hint="eastAsia"/>
          <w:color w:val="auto"/>
          <w:highlight w:val="none"/>
        </w:rPr>
        <w:t>（3）具体、明确的质疑事项和与质疑事项相关的请求；</w:t>
      </w:r>
    </w:p>
    <w:p>
      <w:pPr>
        <w:pStyle w:val="15"/>
        <w:spacing w:line="440" w:lineRule="exact"/>
        <w:ind w:firstLine="420" w:firstLineChars="200"/>
        <w:rPr>
          <w:rFonts w:hint="eastAsia"/>
          <w:color w:val="auto"/>
          <w:highlight w:val="none"/>
        </w:rPr>
      </w:pPr>
      <w:r>
        <w:rPr>
          <w:rFonts w:hint="eastAsia"/>
          <w:color w:val="auto"/>
          <w:highlight w:val="none"/>
        </w:rPr>
        <w:t>（4）事实依据；</w:t>
      </w:r>
    </w:p>
    <w:p>
      <w:pPr>
        <w:pStyle w:val="15"/>
        <w:spacing w:line="440" w:lineRule="exact"/>
        <w:ind w:firstLine="420" w:firstLineChars="200"/>
        <w:rPr>
          <w:rFonts w:hint="eastAsia"/>
          <w:color w:val="auto"/>
          <w:highlight w:val="none"/>
        </w:rPr>
      </w:pPr>
      <w:r>
        <w:rPr>
          <w:rFonts w:hint="eastAsia"/>
          <w:color w:val="auto"/>
          <w:highlight w:val="none"/>
        </w:rPr>
        <w:t>（5）必要的法律依据；</w:t>
      </w:r>
    </w:p>
    <w:p>
      <w:pPr>
        <w:pStyle w:val="15"/>
        <w:spacing w:line="440" w:lineRule="exact"/>
        <w:ind w:firstLine="420" w:firstLineChars="200"/>
        <w:rPr>
          <w:rFonts w:hint="eastAsia"/>
          <w:color w:val="auto"/>
          <w:highlight w:val="none"/>
        </w:rPr>
      </w:pPr>
      <w:r>
        <w:rPr>
          <w:rFonts w:hint="eastAsia"/>
          <w:color w:val="auto"/>
          <w:highlight w:val="none"/>
        </w:rPr>
        <w:t>（6）提出质疑的日期。</w:t>
      </w:r>
    </w:p>
    <w:p>
      <w:pPr>
        <w:pStyle w:val="15"/>
        <w:spacing w:line="440" w:lineRule="exact"/>
        <w:ind w:firstLine="420" w:firstLineChars="200"/>
        <w:rPr>
          <w:rFonts w:hint="eastAsia"/>
          <w:color w:val="auto"/>
          <w:highlight w:val="none"/>
        </w:rPr>
      </w:pPr>
      <w:r>
        <w:rPr>
          <w:rFonts w:hint="eastAsia"/>
          <w:color w:val="auto"/>
          <w:highlight w:val="none"/>
        </w:rPr>
        <w:t>供应商为自然人的，应当由本人签字；供应商为法人或者其他组织的，应当由法定代表人、主要负责人，或者其授权代表签字或者盖章，并加盖公章。</w:t>
      </w:r>
    </w:p>
    <w:p>
      <w:pPr>
        <w:pStyle w:val="15"/>
        <w:spacing w:line="440" w:lineRule="exact"/>
        <w:ind w:firstLine="420" w:firstLineChars="200"/>
        <w:rPr>
          <w:rFonts w:hint="eastAsia"/>
          <w:color w:val="auto"/>
          <w:highlight w:val="none"/>
        </w:rPr>
      </w:pPr>
      <w:r>
        <w:rPr>
          <w:rFonts w:hint="eastAsia"/>
          <w:color w:val="auto"/>
          <w:highlight w:val="none"/>
        </w:rPr>
        <w:t>24.4质疑供应商可以委托代理人办理质疑事务。代理人办理质疑事务时，除提交质疑函外，还应当提交质疑供应商的授权委托书，授权委托书应当载明委托代理的具体权限和事项。</w:t>
      </w:r>
    </w:p>
    <w:p>
      <w:pPr>
        <w:pStyle w:val="15"/>
        <w:spacing w:line="440" w:lineRule="exact"/>
        <w:ind w:firstLine="420" w:firstLineChars="200"/>
        <w:rPr>
          <w:rFonts w:hint="eastAsia"/>
          <w:color w:val="auto"/>
          <w:highlight w:val="none"/>
        </w:rPr>
      </w:pPr>
      <w:r>
        <w:rPr>
          <w:rFonts w:hint="eastAsia"/>
          <w:color w:val="auto"/>
          <w:highlight w:val="none"/>
        </w:rPr>
        <w:t>24.5  质疑供应商提起质疑应当符合下列条件：</w:t>
      </w:r>
    </w:p>
    <w:p>
      <w:pPr>
        <w:pStyle w:val="15"/>
        <w:spacing w:line="440" w:lineRule="exact"/>
        <w:ind w:firstLine="420" w:firstLineChars="200"/>
        <w:rPr>
          <w:rFonts w:hint="eastAsia"/>
          <w:color w:val="auto"/>
          <w:highlight w:val="none"/>
        </w:rPr>
      </w:pPr>
      <w:r>
        <w:rPr>
          <w:rFonts w:hint="eastAsia"/>
          <w:color w:val="auto"/>
          <w:highlight w:val="none"/>
        </w:rPr>
        <w:t>（1）质疑供应商是参与所质疑政府采购活动的供应商；</w:t>
      </w:r>
    </w:p>
    <w:p>
      <w:pPr>
        <w:pStyle w:val="15"/>
        <w:spacing w:line="440" w:lineRule="exact"/>
        <w:ind w:firstLine="420" w:firstLineChars="200"/>
        <w:rPr>
          <w:rFonts w:hint="eastAsia"/>
          <w:color w:val="auto"/>
          <w:highlight w:val="none"/>
        </w:rPr>
      </w:pPr>
      <w:r>
        <w:rPr>
          <w:rFonts w:hint="eastAsia"/>
          <w:color w:val="auto"/>
          <w:highlight w:val="none"/>
        </w:rPr>
        <w:t>（2）质疑函内容符合本章第24.3项的规定；</w:t>
      </w:r>
    </w:p>
    <w:p>
      <w:pPr>
        <w:pStyle w:val="15"/>
        <w:spacing w:line="440" w:lineRule="exact"/>
        <w:ind w:firstLine="420" w:firstLineChars="200"/>
        <w:rPr>
          <w:rFonts w:hint="eastAsia"/>
          <w:color w:val="auto"/>
          <w:highlight w:val="none"/>
        </w:rPr>
      </w:pPr>
      <w:r>
        <w:rPr>
          <w:rFonts w:hint="eastAsia"/>
          <w:color w:val="auto"/>
          <w:highlight w:val="none"/>
        </w:rPr>
        <w:t>（3）在质疑有效期限内提起质疑；</w:t>
      </w:r>
    </w:p>
    <w:p>
      <w:pPr>
        <w:pStyle w:val="15"/>
        <w:spacing w:line="440" w:lineRule="exact"/>
        <w:ind w:firstLine="420" w:firstLineChars="200"/>
        <w:rPr>
          <w:rFonts w:hint="eastAsia"/>
          <w:color w:val="auto"/>
          <w:highlight w:val="none"/>
        </w:rPr>
      </w:pPr>
      <w:r>
        <w:rPr>
          <w:rFonts w:hint="eastAsia"/>
          <w:color w:val="auto"/>
          <w:highlight w:val="none"/>
        </w:rPr>
        <w:t>（4）属于所质疑的采购人或采购人委托的采购代理机构组织的采购活动；</w:t>
      </w:r>
    </w:p>
    <w:p>
      <w:pPr>
        <w:pStyle w:val="15"/>
        <w:spacing w:line="440" w:lineRule="exact"/>
        <w:ind w:firstLine="420" w:firstLineChars="200"/>
        <w:rPr>
          <w:rFonts w:hint="eastAsia"/>
          <w:color w:val="auto"/>
          <w:highlight w:val="none"/>
        </w:rPr>
      </w:pPr>
      <w:r>
        <w:rPr>
          <w:rFonts w:hint="eastAsia"/>
          <w:color w:val="auto"/>
          <w:highlight w:val="none"/>
        </w:rPr>
        <w:t>（5）同一质疑事项未经采购人或采购人委托的采购代理机构质疑处理；</w:t>
      </w:r>
    </w:p>
    <w:p>
      <w:pPr>
        <w:pStyle w:val="15"/>
        <w:spacing w:line="440" w:lineRule="exact"/>
        <w:ind w:firstLine="420" w:firstLineChars="200"/>
        <w:rPr>
          <w:rFonts w:hint="eastAsia"/>
          <w:color w:val="auto"/>
          <w:highlight w:val="none"/>
        </w:rPr>
      </w:pPr>
      <w:r>
        <w:rPr>
          <w:rFonts w:hint="eastAsia"/>
          <w:color w:val="auto"/>
          <w:highlight w:val="none"/>
        </w:rPr>
        <w:t>（6）财政部门规定的其他条件。</w:t>
      </w:r>
    </w:p>
    <w:p>
      <w:pPr>
        <w:pStyle w:val="15"/>
        <w:spacing w:line="440" w:lineRule="exact"/>
        <w:ind w:firstLine="420" w:firstLineChars="200"/>
        <w:rPr>
          <w:rFonts w:hint="eastAsia"/>
          <w:color w:val="auto"/>
          <w:highlight w:val="none"/>
        </w:rPr>
      </w:pPr>
      <w:r>
        <w:rPr>
          <w:rFonts w:hint="eastAsia"/>
          <w:color w:val="auto"/>
          <w:highlight w:val="none"/>
        </w:rPr>
        <w:t>24.6 采购人或采购人委托的采购代理机构自受理质疑之日起七个工作日内，对质疑事项作出答复，并以书面形式通知质疑供应商及其他有关供应商。</w:t>
      </w:r>
    </w:p>
    <w:p>
      <w:pPr>
        <w:pStyle w:val="15"/>
        <w:spacing w:line="440" w:lineRule="exact"/>
        <w:ind w:firstLine="420" w:firstLineChars="200"/>
        <w:rPr>
          <w:rFonts w:hint="eastAsia"/>
          <w:color w:val="auto"/>
          <w:highlight w:val="none"/>
        </w:rPr>
      </w:pPr>
      <w:r>
        <w:rPr>
          <w:rFonts w:hint="eastAsia"/>
          <w:color w:val="auto"/>
          <w:highlight w:val="none"/>
        </w:rPr>
        <w:t>24.6质疑供应商必须首先经过质疑程序，质疑材料必须符合规定，在对采购代理机构的答复不满意或者采购代理机构未在规定的时间内做出答复的，可以在答复期满后十五个工作日内书面向同级人民政府财政部门投诉。</w:t>
      </w:r>
    </w:p>
    <w:p>
      <w:pPr>
        <w:pStyle w:val="15"/>
        <w:spacing w:line="440" w:lineRule="exact"/>
        <w:rPr>
          <w:rFonts w:hint="eastAsia"/>
          <w:b/>
          <w:color w:val="auto"/>
          <w:highlight w:val="none"/>
        </w:rPr>
      </w:pPr>
      <w:r>
        <w:rPr>
          <w:rFonts w:hint="eastAsia"/>
          <w:b/>
          <w:color w:val="auto"/>
          <w:highlight w:val="none"/>
        </w:rPr>
        <w:t>25.成交通知</w:t>
      </w:r>
    </w:p>
    <w:p>
      <w:pPr>
        <w:pStyle w:val="15"/>
        <w:spacing w:line="440" w:lineRule="exact"/>
        <w:ind w:firstLine="420"/>
        <w:rPr>
          <w:rFonts w:hint="eastAsia"/>
          <w:color w:val="auto"/>
          <w:highlight w:val="none"/>
        </w:rPr>
      </w:pPr>
      <w:r>
        <w:rPr>
          <w:rFonts w:hint="eastAsia"/>
          <w:color w:val="auto"/>
          <w:highlight w:val="none"/>
        </w:rPr>
        <w:t>25.1在发布成交公告的同时，采购代理机构将向成交供应商发出成交通知书。</w:t>
      </w:r>
    </w:p>
    <w:p>
      <w:pPr>
        <w:pStyle w:val="15"/>
        <w:spacing w:line="440" w:lineRule="exact"/>
        <w:ind w:firstLine="420"/>
        <w:rPr>
          <w:rFonts w:hint="eastAsia"/>
          <w:color w:val="auto"/>
          <w:highlight w:val="none"/>
        </w:rPr>
      </w:pPr>
      <w:r>
        <w:rPr>
          <w:rFonts w:hint="eastAsia"/>
          <w:color w:val="auto"/>
          <w:highlight w:val="none"/>
        </w:rPr>
        <w:t>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供应商为成交供应商。</w:t>
      </w:r>
    </w:p>
    <w:p>
      <w:pPr>
        <w:pStyle w:val="15"/>
        <w:spacing w:line="440" w:lineRule="exact"/>
        <w:ind w:firstLine="420"/>
        <w:rPr>
          <w:rFonts w:hint="eastAsia"/>
          <w:color w:val="auto"/>
          <w:highlight w:val="none"/>
        </w:rPr>
      </w:pPr>
      <w:r>
        <w:rPr>
          <w:rFonts w:hint="eastAsia"/>
          <w:color w:val="auto"/>
          <w:highlight w:val="none"/>
        </w:rPr>
        <w:t>排名第二的成交候选供应商因前款规定的同样原因被取消成交资格的，采购人可以确定排名第三的成交候选供应商为成交供应商。</w:t>
      </w:r>
    </w:p>
    <w:p>
      <w:pPr>
        <w:pStyle w:val="15"/>
        <w:spacing w:line="440" w:lineRule="exact"/>
        <w:ind w:firstLine="420"/>
        <w:rPr>
          <w:rFonts w:hint="eastAsia"/>
          <w:color w:val="auto"/>
          <w:highlight w:val="none"/>
        </w:rPr>
      </w:pPr>
      <w:r>
        <w:rPr>
          <w:rFonts w:hint="eastAsia"/>
          <w:color w:val="auto"/>
          <w:highlight w:val="none"/>
        </w:rPr>
        <w:t>以上信息查询记录及相关证据与采购文件一并保存。</w:t>
      </w:r>
    </w:p>
    <w:p>
      <w:pPr>
        <w:pStyle w:val="15"/>
        <w:spacing w:line="440" w:lineRule="exact"/>
        <w:ind w:firstLine="420"/>
        <w:rPr>
          <w:rFonts w:hint="eastAsia"/>
          <w:color w:val="auto"/>
          <w:highlight w:val="none"/>
        </w:rPr>
      </w:pPr>
      <w:r>
        <w:rPr>
          <w:rFonts w:hint="eastAsia"/>
          <w:color w:val="auto"/>
          <w:highlight w:val="none"/>
        </w:rPr>
        <w:t>25.2采购代理机构无义务向落标的供应商解释落标原因和退还响应文件。</w:t>
      </w:r>
    </w:p>
    <w:p>
      <w:pPr>
        <w:pStyle w:val="15"/>
        <w:spacing w:line="440" w:lineRule="exact"/>
        <w:rPr>
          <w:rFonts w:hint="eastAsia"/>
          <w:b/>
          <w:color w:val="auto"/>
          <w:highlight w:val="none"/>
        </w:rPr>
      </w:pPr>
      <w:r>
        <w:rPr>
          <w:rFonts w:hint="eastAsia"/>
          <w:b/>
          <w:color w:val="auto"/>
          <w:highlight w:val="none"/>
        </w:rPr>
        <w:t>26.合同授予标准</w:t>
      </w:r>
    </w:p>
    <w:p>
      <w:pPr>
        <w:pStyle w:val="15"/>
        <w:spacing w:line="440" w:lineRule="exact"/>
        <w:ind w:firstLine="420"/>
        <w:rPr>
          <w:rFonts w:hint="eastAsia"/>
          <w:color w:val="auto"/>
          <w:highlight w:val="none"/>
        </w:rPr>
      </w:pPr>
      <w:r>
        <w:rPr>
          <w:rFonts w:hint="eastAsia"/>
          <w:color w:val="auto"/>
          <w:highlight w:val="none"/>
        </w:rPr>
        <w:t>26.1合同将授予被确定为实质上响应竞争性谈判文件要求，评标认为具备履行合同能力，评标报价最低的供应商。</w:t>
      </w:r>
    </w:p>
    <w:p>
      <w:pPr>
        <w:pStyle w:val="15"/>
        <w:spacing w:line="440" w:lineRule="exact"/>
        <w:rPr>
          <w:rFonts w:hint="eastAsia"/>
          <w:b/>
          <w:color w:val="auto"/>
          <w:highlight w:val="none"/>
        </w:rPr>
      </w:pPr>
      <w:r>
        <w:rPr>
          <w:rFonts w:hint="eastAsia"/>
          <w:b/>
          <w:color w:val="auto"/>
          <w:highlight w:val="none"/>
        </w:rPr>
        <w:t>27.签订合同</w:t>
      </w:r>
    </w:p>
    <w:p>
      <w:pPr>
        <w:pStyle w:val="15"/>
        <w:spacing w:line="440" w:lineRule="exact"/>
        <w:ind w:firstLine="420"/>
        <w:rPr>
          <w:rFonts w:hint="eastAsia"/>
          <w:color w:val="auto"/>
          <w:highlight w:val="none"/>
        </w:rPr>
      </w:pPr>
      <w:r>
        <w:rPr>
          <w:rFonts w:hint="eastAsia"/>
          <w:color w:val="auto"/>
          <w:highlight w:val="none"/>
        </w:rPr>
        <w:t>27.1采购人与成交供应商应当在成交通知书发出之日起二十五日内，按照采购文件确定的事项签订政府采购合同。</w:t>
      </w:r>
    </w:p>
    <w:p>
      <w:pPr>
        <w:pStyle w:val="15"/>
        <w:spacing w:line="440" w:lineRule="exact"/>
        <w:ind w:firstLine="420"/>
        <w:rPr>
          <w:rFonts w:hint="eastAsia"/>
          <w:color w:val="auto"/>
          <w:highlight w:val="none"/>
        </w:rPr>
      </w:pPr>
      <w:r>
        <w:rPr>
          <w:rFonts w:hint="eastAsia"/>
          <w:color w:val="auto"/>
          <w:highlight w:val="none"/>
        </w:rPr>
        <w:t>27.2成交通知书对采购人和成交供应商均具有法律效力。成交通知书发出后，保留原文，成交供应商放弃成交项目的，应当依法承担法律责任。</w:t>
      </w:r>
    </w:p>
    <w:p>
      <w:pPr>
        <w:pStyle w:val="15"/>
        <w:spacing w:line="440" w:lineRule="exact"/>
        <w:ind w:firstLine="420"/>
        <w:rPr>
          <w:rFonts w:hint="eastAsia"/>
          <w:color w:val="auto"/>
          <w:highlight w:val="none"/>
        </w:rPr>
      </w:pPr>
      <w:r>
        <w:rPr>
          <w:rFonts w:hint="eastAsia"/>
          <w:color w:val="auto"/>
          <w:highlight w:val="none"/>
        </w:rPr>
        <w:t>27.3政府采购合同公告</w:t>
      </w:r>
    </w:p>
    <w:p>
      <w:pPr>
        <w:pStyle w:val="15"/>
        <w:spacing w:line="440" w:lineRule="exact"/>
        <w:ind w:firstLine="420"/>
        <w:rPr>
          <w:rFonts w:hint="eastAsia"/>
          <w:color w:val="auto"/>
          <w:highlight w:val="none"/>
        </w:rPr>
      </w:pPr>
      <w:r>
        <w:rPr>
          <w:rFonts w:hint="eastAsia"/>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15"/>
        <w:spacing w:line="440" w:lineRule="exact"/>
        <w:ind w:firstLine="420"/>
        <w:rPr>
          <w:rFonts w:hint="eastAsia"/>
          <w:b/>
          <w:color w:val="auto"/>
          <w:sz w:val="28"/>
          <w:highlight w:val="none"/>
        </w:rPr>
      </w:pPr>
      <w:r>
        <w:rPr>
          <w:rFonts w:hint="eastAsia"/>
          <w:color w:val="auto"/>
          <w:highlight w:val="none"/>
        </w:rPr>
        <w:t xml:space="preserve">                             </w:t>
      </w:r>
      <w:r>
        <w:rPr>
          <w:rFonts w:hint="eastAsia"/>
          <w:b/>
          <w:color w:val="auto"/>
          <w:highlight w:val="none"/>
        </w:rPr>
        <w:t>七、履约保证金的退付</w:t>
      </w:r>
    </w:p>
    <w:p>
      <w:pPr>
        <w:pStyle w:val="15"/>
        <w:spacing w:line="440" w:lineRule="exact"/>
        <w:ind w:firstLine="420"/>
        <w:rPr>
          <w:rFonts w:hint="eastAsia"/>
          <w:color w:val="auto"/>
          <w:highlight w:val="none"/>
        </w:rPr>
      </w:pPr>
      <w:r>
        <w:rPr>
          <w:rFonts w:hint="eastAsia"/>
          <w:color w:val="auto"/>
          <w:highlight w:val="none"/>
        </w:rPr>
        <w:t>28.1</w:t>
      </w:r>
      <w:r>
        <w:rPr>
          <w:rFonts w:hint="eastAsia"/>
          <w:b/>
          <w:color w:val="auto"/>
          <w:highlight w:val="none"/>
        </w:rPr>
        <w:t>履约保证金：本项目无履约保证金。</w:t>
      </w:r>
    </w:p>
    <w:p>
      <w:pPr>
        <w:pStyle w:val="5"/>
        <w:jc w:val="center"/>
        <w:rPr>
          <w:rFonts w:hint="eastAsia"/>
          <w:b w:val="0"/>
          <w:color w:val="auto"/>
          <w:highlight w:val="none"/>
        </w:rPr>
      </w:pPr>
      <w:bookmarkStart w:id="21" w:name="_Toc262735305"/>
      <w:bookmarkStart w:id="22" w:name="_Toc372531037"/>
      <w:bookmarkStart w:id="23" w:name="_Toc25231"/>
      <w:r>
        <w:rPr>
          <w:rFonts w:hint="eastAsia"/>
          <w:color w:val="auto"/>
          <w:sz w:val="21"/>
          <w:highlight w:val="none"/>
        </w:rPr>
        <w:t>八、其他事项</w:t>
      </w:r>
      <w:bookmarkEnd w:id="21"/>
      <w:bookmarkEnd w:id="22"/>
      <w:bookmarkEnd w:id="23"/>
    </w:p>
    <w:p>
      <w:pPr>
        <w:pStyle w:val="15"/>
        <w:spacing w:line="440" w:lineRule="exact"/>
        <w:rPr>
          <w:rFonts w:hint="eastAsia"/>
          <w:b/>
          <w:color w:val="auto"/>
          <w:highlight w:val="none"/>
        </w:rPr>
      </w:pPr>
      <w:r>
        <w:rPr>
          <w:rFonts w:hint="eastAsia"/>
          <w:b/>
          <w:color w:val="auto"/>
          <w:highlight w:val="none"/>
        </w:rPr>
        <w:t>29.采购代理服务费</w:t>
      </w:r>
    </w:p>
    <w:p>
      <w:pPr>
        <w:pStyle w:val="15"/>
        <w:spacing w:line="440" w:lineRule="exact"/>
        <w:ind w:firstLine="420"/>
        <w:rPr>
          <w:rFonts w:hint="eastAsia"/>
          <w:color w:val="auto"/>
          <w:highlight w:val="none"/>
        </w:rPr>
      </w:pPr>
      <w:r>
        <w:rPr>
          <w:rFonts w:hint="eastAsia"/>
          <w:color w:val="auto"/>
          <w:highlight w:val="none"/>
        </w:rPr>
        <w:t>29.1签订合同前，成交供应商向广西峻源项目管理有限公司一次付清采购代理服务费，其金额详见供应商须知前附表第12项规定。否则将视之为违约。</w:t>
      </w:r>
    </w:p>
    <w:p>
      <w:pPr>
        <w:pStyle w:val="15"/>
        <w:spacing w:line="440" w:lineRule="exact"/>
        <w:rPr>
          <w:rFonts w:hint="eastAsia"/>
          <w:b/>
          <w:color w:val="auto"/>
          <w:highlight w:val="none"/>
        </w:rPr>
      </w:pPr>
      <w:r>
        <w:rPr>
          <w:rFonts w:hint="eastAsia"/>
          <w:b/>
          <w:color w:val="auto"/>
          <w:highlight w:val="none"/>
        </w:rPr>
        <w:t>30.解释权</w:t>
      </w:r>
    </w:p>
    <w:p>
      <w:pPr>
        <w:pStyle w:val="15"/>
        <w:spacing w:line="440" w:lineRule="exact"/>
        <w:ind w:firstLine="420"/>
        <w:rPr>
          <w:rFonts w:hint="eastAsia"/>
          <w:color w:val="auto"/>
          <w:highlight w:val="none"/>
        </w:rPr>
      </w:pPr>
      <w:r>
        <w:rPr>
          <w:rFonts w:hint="eastAsia"/>
          <w:color w:val="auto"/>
          <w:highlight w:val="none"/>
        </w:rPr>
        <w:t>30.1本竞争性谈判文件是根据国家有关法律、法规以及政府采购管理有关规定和参照国际惯例编制，解释权属本采购代理机构。</w:t>
      </w:r>
    </w:p>
    <w:p>
      <w:pPr>
        <w:pStyle w:val="15"/>
        <w:spacing w:line="440" w:lineRule="exact"/>
        <w:rPr>
          <w:rFonts w:hint="eastAsia"/>
          <w:b/>
          <w:color w:val="auto"/>
          <w:highlight w:val="none"/>
        </w:rPr>
      </w:pPr>
      <w:r>
        <w:rPr>
          <w:rFonts w:hint="eastAsia"/>
          <w:b/>
          <w:color w:val="auto"/>
          <w:highlight w:val="none"/>
        </w:rPr>
        <w:t>31.有关事宜</w:t>
      </w:r>
    </w:p>
    <w:p>
      <w:pPr>
        <w:pStyle w:val="15"/>
        <w:spacing w:line="440" w:lineRule="exact"/>
        <w:ind w:firstLine="420"/>
        <w:rPr>
          <w:rFonts w:hint="eastAsia"/>
          <w:color w:val="auto"/>
          <w:highlight w:val="none"/>
        </w:rPr>
      </w:pPr>
      <w:r>
        <w:rPr>
          <w:rFonts w:hint="eastAsia"/>
          <w:color w:val="auto"/>
          <w:highlight w:val="none"/>
        </w:rPr>
        <w:t>31.1所有与本竞争性谈判文件有关的函电请按下列通讯地址联系：</w:t>
      </w:r>
    </w:p>
    <w:p>
      <w:pPr>
        <w:pStyle w:val="15"/>
        <w:ind w:firstLine="422" w:firstLineChars="200"/>
        <w:rPr>
          <w:rFonts w:hint="eastAsia"/>
          <w:b/>
          <w:bCs/>
          <w:color w:val="auto"/>
          <w:highlight w:val="none"/>
        </w:rPr>
      </w:pPr>
      <w:r>
        <w:rPr>
          <w:rFonts w:hint="eastAsia"/>
          <w:b/>
          <w:bCs/>
          <w:color w:val="auto"/>
          <w:highlight w:val="none"/>
        </w:rPr>
        <w:t>广西峻源项目管理有限公司</w:t>
      </w:r>
    </w:p>
    <w:p>
      <w:pPr>
        <w:pStyle w:val="15"/>
        <w:ind w:firstLine="420" w:firstLineChars="200"/>
        <w:rPr>
          <w:rFonts w:hint="eastAsia"/>
          <w:color w:val="auto"/>
          <w:highlight w:val="none"/>
        </w:rPr>
      </w:pPr>
      <w:r>
        <w:rPr>
          <w:rFonts w:hint="eastAsia"/>
          <w:color w:val="auto"/>
          <w:highlight w:val="none"/>
        </w:rPr>
        <w:t xml:space="preserve">邮政编码：537000                                     </w:t>
      </w:r>
    </w:p>
    <w:p>
      <w:pPr>
        <w:pStyle w:val="15"/>
        <w:spacing w:line="400" w:lineRule="exact"/>
        <w:ind w:firstLine="420" w:firstLineChars="200"/>
        <w:rPr>
          <w:rFonts w:hint="eastAsia"/>
          <w:color w:val="auto"/>
          <w:szCs w:val="21"/>
          <w:highlight w:val="none"/>
        </w:rPr>
      </w:pPr>
      <w:r>
        <w:rPr>
          <w:rFonts w:hint="eastAsia"/>
          <w:color w:val="auto"/>
          <w:szCs w:val="21"/>
          <w:highlight w:val="none"/>
        </w:rPr>
        <w:t>通讯地址：广西玉林市广场东路玫瑰园里A区5号      邮政编码：537000</w:t>
      </w:r>
    </w:p>
    <w:p>
      <w:pPr>
        <w:pStyle w:val="6"/>
        <w:ind w:firstLine="420" w:firstLineChars="200"/>
        <w:rPr>
          <w:rFonts w:hint="eastAsia" w:ascii="宋体" w:hAnsi="Courier New"/>
          <w:b w:val="0"/>
          <w:color w:val="auto"/>
          <w:kern w:val="2"/>
          <w:sz w:val="21"/>
          <w:szCs w:val="21"/>
          <w:highlight w:val="none"/>
        </w:rPr>
      </w:pPr>
      <w:r>
        <w:rPr>
          <w:rFonts w:hint="eastAsia" w:ascii="宋体" w:hAnsi="Courier New"/>
          <w:b w:val="0"/>
          <w:color w:val="auto"/>
          <w:kern w:val="2"/>
          <w:sz w:val="21"/>
          <w:szCs w:val="21"/>
          <w:highlight w:val="none"/>
        </w:rPr>
        <w:t>联系人及电话：文彬梅    0775-2855323</w:t>
      </w:r>
    </w:p>
    <w:p>
      <w:pPr>
        <w:pStyle w:val="6"/>
        <w:rPr>
          <w:rFonts w:hint="eastAsia"/>
          <w:color w:val="auto"/>
          <w:highlight w:val="none"/>
        </w:rPr>
      </w:pPr>
    </w:p>
    <w:p>
      <w:pPr>
        <w:pStyle w:val="15"/>
        <w:spacing w:line="400" w:lineRule="exact"/>
        <w:ind w:firstLine="422" w:firstLineChars="200"/>
        <w:rPr>
          <w:rFonts w:hint="eastAsia"/>
          <w:b/>
          <w:bCs/>
          <w:color w:val="auto"/>
          <w:highlight w:val="none"/>
        </w:rPr>
      </w:pPr>
      <w:r>
        <w:rPr>
          <w:rFonts w:hint="eastAsia"/>
          <w:b/>
          <w:bCs/>
          <w:color w:val="auto"/>
          <w:highlight w:val="none"/>
        </w:rPr>
        <w:t>政府采购监督管理机构：玉林市财政局</w:t>
      </w:r>
    </w:p>
    <w:p>
      <w:pPr>
        <w:pStyle w:val="15"/>
        <w:spacing w:line="400" w:lineRule="exact"/>
        <w:ind w:firstLine="420" w:firstLineChars="200"/>
        <w:rPr>
          <w:rFonts w:hint="eastAsia"/>
          <w:color w:val="auto"/>
          <w:highlight w:val="none"/>
        </w:rPr>
      </w:pPr>
      <w:r>
        <w:rPr>
          <w:rFonts w:hint="eastAsia"/>
          <w:color w:val="auto"/>
          <w:highlight w:val="none"/>
        </w:rPr>
        <w:t>邮政编码：537000</w:t>
      </w:r>
    </w:p>
    <w:p>
      <w:pPr>
        <w:pStyle w:val="15"/>
        <w:spacing w:line="400" w:lineRule="exact"/>
        <w:ind w:firstLine="420" w:firstLineChars="200"/>
        <w:rPr>
          <w:rFonts w:hint="eastAsia"/>
          <w:color w:val="auto"/>
          <w:highlight w:val="none"/>
          <w:u w:val="single"/>
        </w:rPr>
      </w:pPr>
      <w:r>
        <w:rPr>
          <w:rFonts w:hint="eastAsia"/>
          <w:color w:val="auto"/>
          <w:highlight w:val="none"/>
        </w:rPr>
        <w:t>通讯地址：玉林市建安街1号</w:t>
      </w:r>
    </w:p>
    <w:p>
      <w:pPr>
        <w:pStyle w:val="15"/>
        <w:spacing w:line="400" w:lineRule="exact"/>
        <w:ind w:firstLine="420" w:firstLineChars="200"/>
        <w:rPr>
          <w:rFonts w:hint="eastAsia"/>
          <w:color w:val="auto"/>
          <w:highlight w:val="none"/>
        </w:rPr>
      </w:pPr>
      <w:r>
        <w:rPr>
          <w:rFonts w:hint="eastAsia"/>
          <w:color w:val="auto"/>
          <w:highlight w:val="none"/>
        </w:rPr>
        <w:t>电    话：0775-2680769</w:t>
      </w:r>
    </w:p>
    <w:p>
      <w:pPr>
        <w:pStyle w:val="15"/>
        <w:spacing w:line="440" w:lineRule="exact"/>
        <w:ind w:firstLine="420" w:firstLineChars="200"/>
        <w:rPr>
          <w:rFonts w:hint="eastAsia"/>
          <w:color w:val="auto"/>
          <w:highlight w:val="none"/>
        </w:rPr>
      </w:pPr>
      <w:r>
        <w:rPr>
          <w:color w:val="auto"/>
          <w:highlight w:val="none"/>
        </w:rPr>
        <w:br w:type="page"/>
      </w: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color w:val="auto"/>
          <w:highlight w:val="none"/>
        </w:rPr>
      </w:pPr>
    </w:p>
    <w:p>
      <w:pPr>
        <w:pStyle w:val="15"/>
        <w:jc w:val="center"/>
        <w:rPr>
          <w:rFonts w:ascii="隶书" w:eastAsia="隶书"/>
          <w:color w:val="auto"/>
          <w:sz w:val="44"/>
          <w:highlight w:val="none"/>
        </w:rPr>
      </w:pPr>
    </w:p>
    <w:p>
      <w:pPr>
        <w:pStyle w:val="3"/>
        <w:keepLines/>
        <w:spacing w:before="340" w:after="330" w:line="578" w:lineRule="auto"/>
        <w:jc w:val="center"/>
        <w:rPr>
          <w:rFonts w:hint="eastAsia" w:ascii="隶书"/>
          <w:color w:val="auto"/>
          <w:sz w:val="44"/>
          <w:highlight w:val="none"/>
        </w:rPr>
      </w:pPr>
      <w:bookmarkStart w:id="24" w:name="_Toc13307"/>
      <w:r>
        <w:rPr>
          <w:rFonts w:hint="eastAsia"/>
          <w:bCs/>
          <w:color w:val="auto"/>
          <w:kern w:val="44"/>
          <w:sz w:val="44"/>
          <w:szCs w:val="44"/>
          <w:highlight w:val="none"/>
        </w:rPr>
        <w:t>第二章  项目需求</w:t>
      </w:r>
      <w:bookmarkEnd w:id="24"/>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3"/>
        <w:keepLines/>
        <w:spacing w:before="340" w:after="330" w:line="580" w:lineRule="exact"/>
        <w:jc w:val="center"/>
        <w:rPr>
          <w:rFonts w:hint="eastAsia"/>
          <w:color w:val="auto"/>
          <w:sz w:val="36"/>
          <w:szCs w:val="36"/>
          <w:highlight w:val="none"/>
        </w:rPr>
      </w:pPr>
      <w:bookmarkStart w:id="25" w:name="_Toc4700"/>
      <w:r>
        <w:rPr>
          <w:rFonts w:hint="eastAsia"/>
          <w:color w:val="auto"/>
          <w:sz w:val="36"/>
          <w:szCs w:val="36"/>
          <w:highlight w:val="none"/>
        </w:rPr>
        <w:t>项目需求</w:t>
      </w:r>
      <w:bookmarkEnd w:id="25"/>
    </w:p>
    <w:p>
      <w:pPr>
        <w:tabs>
          <w:tab w:val="left" w:pos="180"/>
          <w:tab w:val="left" w:pos="1620"/>
        </w:tabs>
        <w:spacing w:line="300" w:lineRule="auto"/>
        <w:rPr>
          <w:rFonts w:ascii="宋体" w:hAnsi="宋体"/>
          <w:color w:val="auto"/>
          <w:szCs w:val="21"/>
          <w:highlight w:val="none"/>
        </w:rPr>
      </w:pPr>
      <w:r>
        <w:rPr>
          <w:rFonts w:hint="eastAsia" w:ascii="宋体" w:hAnsi="宋体"/>
          <w:color w:val="auto"/>
          <w:szCs w:val="21"/>
          <w:highlight w:val="none"/>
        </w:rPr>
        <w:t>一、说明：</w:t>
      </w:r>
    </w:p>
    <w:p>
      <w:pPr>
        <w:tabs>
          <w:tab w:val="left" w:pos="180"/>
          <w:tab w:val="left" w:pos="1620"/>
        </w:tabs>
        <w:spacing w:line="300" w:lineRule="auto"/>
        <w:ind w:firstLine="420" w:firstLineChars="200"/>
        <w:rPr>
          <w:rFonts w:hint="eastAsia" w:ascii="宋体" w:hAnsi="宋体"/>
          <w:color w:val="auto"/>
          <w:szCs w:val="21"/>
          <w:highlight w:val="none"/>
          <w:u w:val="single"/>
        </w:rPr>
      </w:pPr>
      <w:r>
        <w:rPr>
          <w:rFonts w:hint="eastAsia" w:ascii="宋体" w:hAnsi="宋体"/>
          <w:color w:val="auto"/>
          <w:highlight w:val="none"/>
        </w:rPr>
        <w:t>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供应商的竞标货物必须使用政府强制采购的节能产品，供应商必须在竞标文件中提供由国家确定的认证机构出具的处于有效期之内的节能产品认证证书复印件（加盖供应商公章），否则相应竞标无效。</w:t>
      </w:r>
    </w:p>
    <w:p>
      <w:pPr>
        <w:tabs>
          <w:tab w:val="left" w:pos="180"/>
          <w:tab w:val="left" w:pos="1620"/>
        </w:tabs>
        <w:spacing w:line="300" w:lineRule="auto"/>
        <w:rPr>
          <w:rFonts w:hint="eastAsia" w:ascii="宋体" w:hAnsi="宋体" w:cs="宋体"/>
          <w:b/>
          <w:bCs/>
          <w:color w:val="auto"/>
          <w:szCs w:val="21"/>
          <w:highlight w:val="none"/>
        </w:rPr>
      </w:pPr>
      <w:r>
        <w:rPr>
          <w:rFonts w:hint="eastAsia"/>
          <w:b/>
          <w:bCs/>
          <w:color w:val="auto"/>
          <w:highlight w:val="none"/>
        </w:rPr>
        <w:t>注：1.</w:t>
      </w:r>
      <w:r>
        <w:rPr>
          <w:rFonts w:hint="eastAsia" w:ascii="宋体" w:hAnsi="宋体" w:cs="宋体"/>
          <w:b/>
          <w:bCs/>
          <w:color w:val="auto"/>
          <w:szCs w:val="21"/>
          <w:highlight w:val="none"/>
        </w:rPr>
        <w:t>主要技术参数及性能（配置）要求里面涉及到品牌、型号的，均为优于或相当于其品牌、型号。</w:t>
      </w:r>
    </w:p>
    <w:p>
      <w:pPr>
        <w:tabs>
          <w:tab w:val="left" w:pos="180"/>
          <w:tab w:val="left" w:pos="1620"/>
        </w:tabs>
        <w:spacing w:line="30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2.本采购项目需求中参考品牌、型号及技术参数性能（配置）不明确或有误的，或供应商选用其他品牌型号替代的，请说明品牌型号和详细的技术参数性能（配置）同时填写竞标技术资料表。</w:t>
      </w:r>
    </w:p>
    <w:p>
      <w:pPr>
        <w:tabs>
          <w:tab w:val="left" w:pos="180"/>
          <w:tab w:val="left" w:pos="1620"/>
        </w:tabs>
        <w:spacing w:line="300" w:lineRule="auto"/>
        <w:ind w:firstLine="422" w:firstLineChars="200"/>
        <w:rPr>
          <w:rFonts w:ascii="宋体" w:hAnsi="宋体" w:cs="宋体"/>
          <w:color w:val="auto"/>
          <w:kern w:val="1"/>
          <w:sz w:val="22"/>
          <w:szCs w:val="22"/>
          <w:highlight w:val="none"/>
        </w:rPr>
      </w:pPr>
      <w:r>
        <w:rPr>
          <w:rFonts w:hint="eastAsia" w:ascii="宋体" w:hAnsi="宋体" w:cs="宋体"/>
          <w:b/>
          <w:bCs/>
          <w:color w:val="auto"/>
          <w:szCs w:val="21"/>
          <w:highlight w:val="none"/>
        </w:rPr>
        <w:t>3.本项目货物一览表中内容如与第三章“合同书及合同基本条款（格式）”相关条款不一致的，以本表为准。</w:t>
      </w:r>
    </w:p>
    <w:p>
      <w:pPr>
        <w:numPr>
          <w:ilvl w:val="0"/>
          <w:numId w:val="3"/>
        </w:numPr>
        <w:tabs>
          <w:tab w:val="left" w:pos="180"/>
          <w:tab w:val="left" w:pos="1620"/>
        </w:tabs>
        <w:spacing w:line="300" w:lineRule="auto"/>
        <w:rPr>
          <w:rFonts w:hint="eastAsia" w:ascii="宋体" w:hAnsi="宋体"/>
          <w:color w:val="auto"/>
          <w:szCs w:val="21"/>
          <w:highlight w:val="none"/>
          <w:u w:val="single"/>
        </w:rPr>
      </w:pPr>
      <w:r>
        <w:rPr>
          <w:rFonts w:hint="eastAsia" w:ascii="宋体" w:hAnsi="宋体"/>
          <w:color w:val="auto"/>
          <w:szCs w:val="21"/>
          <w:highlight w:val="none"/>
        </w:rPr>
        <w:t>采购项目类别：</w:t>
      </w:r>
      <w:r>
        <w:rPr>
          <w:rFonts w:hint="eastAsia" w:ascii="宋体" w:hAnsi="宋体"/>
          <w:color w:val="auto"/>
          <w:szCs w:val="21"/>
          <w:highlight w:val="none"/>
          <w:u w:val="single"/>
        </w:rPr>
        <w:t>货物类</w:t>
      </w:r>
    </w:p>
    <w:p>
      <w:pPr>
        <w:tabs>
          <w:tab w:val="left" w:pos="180"/>
          <w:tab w:val="left" w:pos="1620"/>
        </w:tabs>
        <w:spacing w:line="300" w:lineRule="auto"/>
        <w:rPr>
          <w:rFonts w:ascii="宋体" w:hAnsi="宋体"/>
          <w:b/>
          <w:bCs/>
          <w:color w:val="auto"/>
          <w:szCs w:val="21"/>
          <w:highlight w:val="none"/>
        </w:rPr>
      </w:pPr>
      <w:r>
        <w:rPr>
          <w:rFonts w:hint="eastAsia" w:ascii="宋体" w:hAnsi="宋体"/>
          <w:b/>
          <w:bCs/>
          <w:color w:val="auto"/>
          <w:szCs w:val="21"/>
          <w:highlight w:val="none"/>
        </w:rPr>
        <w:t>三、货物需求一览表</w:t>
      </w:r>
    </w:p>
    <w:tbl>
      <w:tblPr>
        <w:tblStyle w:val="28"/>
        <w:tblW w:w="9557" w:type="dxa"/>
        <w:tblInd w:w="0" w:type="dxa"/>
        <w:tblLayout w:type="fixed"/>
        <w:tblCellMar>
          <w:top w:w="0" w:type="dxa"/>
          <w:left w:w="0" w:type="dxa"/>
          <w:bottom w:w="0" w:type="dxa"/>
          <w:right w:w="0" w:type="dxa"/>
        </w:tblCellMar>
      </w:tblPr>
      <w:tblGrid>
        <w:gridCol w:w="635"/>
        <w:gridCol w:w="1507"/>
        <w:gridCol w:w="8"/>
        <w:gridCol w:w="4953"/>
        <w:gridCol w:w="567"/>
        <w:gridCol w:w="1887"/>
      </w:tblGrid>
      <w:tr>
        <w:tblPrEx>
          <w:tblCellMar>
            <w:top w:w="0" w:type="dxa"/>
            <w:left w:w="0" w:type="dxa"/>
            <w:bottom w:w="0" w:type="dxa"/>
            <w:right w:w="0" w:type="dxa"/>
          </w:tblCellMar>
        </w:tblPrEx>
        <w:trPr>
          <w:trHeight w:val="469" w:hRule="atLeast"/>
        </w:trPr>
        <w:tc>
          <w:tcPr>
            <w:tcW w:w="955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szCs w:val="21"/>
                <w:highlight w:val="none"/>
              </w:rPr>
            </w:pPr>
            <w:r>
              <w:rPr>
                <w:rFonts w:hint="eastAsia" w:ascii="宋体" w:hAnsi="宋体" w:cs="宋体"/>
                <w:b/>
                <w:color w:val="auto"/>
                <w:szCs w:val="21"/>
                <w:highlight w:val="none"/>
              </w:rPr>
              <w:t>一、采购需求</w:t>
            </w:r>
          </w:p>
        </w:tc>
      </w:tr>
      <w:tr>
        <w:tblPrEx>
          <w:tblCellMar>
            <w:top w:w="0" w:type="dxa"/>
            <w:left w:w="0" w:type="dxa"/>
            <w:bottom w:w="0" w:type="dxa"/>
            <w:right w:w="0" w:type="dxa"/>
          </w:tblCellMar>
        </w:tblPrEx>
        <w:trPr>
          <w:trHeight w:val="90"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Cs w:val="21"/>
                <w:highlight w:val="none"/>
              </w:rPr>
            </w:pPr>
            <w:r>
              <w:rPr>
                <w:rFonts w:hint="eastAsia"/>
                <w:color w:val="auto"/>
                <w:szCs w:val="21"/>
                <w:highlight w:val="none"/>
              </w:rPr>
              <w:t>序号</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Cs w:val="21"/>
                <w:highlight w:val="none"/>
              </w:rPr>
            </w:pPr>
            <w:r>
              <w:rPr>
                <w:rFonts w:hint="eastAsia"/>
                <w:color w:val="auto"/>
                <w:szCs w:val="21"/>
                <w:highlight w:val="none"/>
              </w:rPr>
              <w:t>设备及型号规格</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Cs w:val="21"/>
                <w:highlight w:val="none"/>
              </w:rPr>
            </w:pPr>
            <w:r>
              <w:rPr>
                <w:rFonts w:hint="eastAsia"/>
                <w:color w:val="auto"/>
                <w:szCs w:val="21"/>
                <w:highlight w:val="none"/>
              </w:rPr>
              <w:t>基本技术参数要求</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Cs w:val="21"/>
                <w:highlight w:val="none"/>
              </w:rPr>
            </w:pPr>
            <w:r>
              <w:rPr>
                <w:rFonts w:hint="eastAsia"/>
                <w:color w:val="auto"/>
                <w:szCs w:val="21"/>
                <w:highlight w:val="none"/>
              </w:rPr>
              <w:t>数量/单位</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单价</w:t>
            </w:r>
          </w:p>
        </w:tc>
      </w:tr>
      <w:tr>
        <w:tblPrEx>
          <w:tblCellMar>
            <w:top w:w="0" w:type="dxa"/>
            <w:left w:w="0" w:type="dxa"/>
            <w:bottom w:w="0" w:type="dxa"/>
            <w:right w:w="0" w:type="dxa"/>
          </w:tblCellMar>
        </w:tblPrEx>
        <w:trPr>
          <w:trHeight w:val="404"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Cs w:val="21"/>
                <w:highlight w:val="none"/>
              </w:rPr>
            </w:pPr>
            <w:r>
              <w:rPr>
                <w:rFonts w:hint="eastAsia"/>
                <w:color w:val="auto"/>
                <w:szCs w:val="21"/>
                <w:highlight w:val="none"/>
              </w:rPr>
              <w:t>1</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Cs w:val="21"/>
                <w:highlight w:val="none"/>
              </w:rPr>
            </w:pPr>
            <w:r>
              <w:rPr>
                <w:rFonts w:hint="eastAsia"/>
                <w:color w:val="auto"/>
                <w:szCs w:val="21"/>
                <w:highlight w:val="none"/>
              </w:rPr>
              <w:t>管道潜望镜</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rPr>
                <w:rFonts w:hint="eastAsia"/>
                <w:color w:val="auto"/>
                <w:szCs w:val="21"/>
                <w:highlight w:val="none"/>
              </w:rPr>
            </w:pPr>
            <w:r>
              <w:rPr>
                <w:rFonts w:hint="eastAsia"/>
                <w:color w:val="auto"/>
                <w:szCs w:val="21"/>
                <w:highlight w:val="none"/>
              </w:rPr>
              <w:t>适用环境：DN150-3000mm 排水管道。重量：≤2.5KG。</w:t>
            </w:r>
          </w:p>
          <w:p>
            <w:pPr>
              <w:rPr>
                <w:color w:val="auto"/>
                <w:szCs w:val="21"/>
                <w:highlight w:val="none"/>
              </w:rPr>
            </w:pPr>
            <w:r>
              <w:rPr>
                <w:rFonts w:hint="eastAsia"/>
                <w:color w:val="auto"/>
                <w:szCs w:val="21"/>
                <w:highlight w:val="none"/>
              </w:rPr>
              <w:t>测量距离：不小于100米。像素：不低于210万。</w:t>
            </w:r>
          </w:p>
          <w:p>
            <w:pPr>
              <w:rPr>
                <w:color w:val="auto"/>
                <w:szCs w:val="21"/>
                <w:highlight w:val="none"/>
              </w:rPr>
            </w:pPr>
            <w:r>
              <w:rPr>
                <w:rFonts w:hint="eastAsia"/>
                <w:color w:val="auto"/>
                <w:szCs w:val="21"/>
                <w:highlight w:val="none"/>
              </w:rPr>
              <w:t>杆长：5m+3m延长杆。</w:t>
            </w:r>
          </w:p>
          <w:p>
            <w:pPr>
              <w:rPr>
                <w:rFonts w:hint="eastAsia"/>
                <w:color w:val="auto"/>
                <w:szCs w:val="21"/>
                <w:highlight w:val="none"/>
              </w:rPr>
            </w:pPr>
            <w:r>
              <w:rPr>
                <w:rFonts w:hint="eastAsia"/>
                <w:color w:val="auto"/>
                <w:szCs w:val="21"/>
                <w:highlight w:val="none"/>
              </w:rPr>
              <w:t>支持无线连接</w:t>
            </w:r>
          </w:p>
          <w:p>
            <w:pPr>
              <w:rPr>
                <w:rFonts w:hint="eastAsia"/>
                <w:color w:val="auto"/>
                <w:szCs w:val="21"/>
                <w:highlight w:val="none"/>
              </w:rPr>
            </w:pPr>
            <w:r>
              <w:rPr>
                <w:rFonts w:hint="eastAsia"/>
                <w:color w:val="auto"/>
                <w:szCs w:val="21"/>
                <w:highlight w:val="none"/>
              </w:rPr>
              <w:t>内存：128G</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szCs w:val="21"/>
                <w:highlight w:val="none"/>
              </w:rPr>
            </w:pPr>
            <w:r>
              <w:rPr>
                <w:rFonts w:hint="eastAsia"/>
                <w:color w:val="auto"/>
                <w:szCs w:val="21"/>
                <w:highlight w:val="none"/>
              </w:rPr>
              <w:t>1套</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56000</w:t>
            </w:r>
          </w:p>
        </w:tc>
      </w:tr>
      <w:tr>
        <w:tblPrEx>
          <w:tblCellMar>
            <w:top w:w="0" w:type="dxa"/>
            <w:left w:w="0" w:type="dxa"/>
            <w:bottom w:w="0" w:type="dxa"/>
            <w:right w:w="0" w:type="dxa"/>
          </w:tblCellMar>
        </w:tblPrEx>
        <w:trPr>
          <w:trHeight w:val="404"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2</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多口径管道封堵气囊</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color w:val="auto"/>
                <w:szCs w:val="21"/>
                <w:highlight w:val="none"/>
              </w:rPr>
            </w:pPr>
            <w:r>
              <w:rPr>
                <w:color w:val="auto"/>
                <w:szCs w:val="21"/>
                <w:highlight w:val="none"/>
              </w:rPr>
              <w:t>(300-600mm)</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1套</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5000</w:t>
            </w:r>
          </w:p>
        </w:tc>
      </w:tr>
      <w:tr>
        <w:tblPrEx>
          <w:tblCellMar>
            <w:top w:w="0" w:type="dxa"/>
            <w:left w:w="0" w:type="dxa"/>
            <w:bottom w:w="0" w:type="dxa"/>
            <w:right w:w="0" w:type="dxa"/>
          </w:tblCellMar>
        </w:tblPrEx>
        <w:trPr>
          <w:trHeight w:val="404"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3</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多口径管道封堵气囊</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color w:val="auto"/>
                <w:szCs w:val="21"/>
                <w:highlight w:val="none"/>
              </w:rPr>
            </w:pPr>
            <w:r>
              <w:rPr>
                <w:color w:val="auto"/>
                <w:szCs w:val="21"/>
                <w:highlight w:val="none"/>
              </w:rPr>
              <w:t>(500-1000mm)</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1套</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15000</w:t>
            </w:r>
          </w:p>
        </w:tc>
      </w:tr>
      <w:tr>
        <w:tblPrEx>
          <w:tblCellMar>
            <w:top w:w="0" w:type="dxa"/>
            <w:left w:w="0" w:type="dxa"/>
            <w:bottom w:w="0" w:type="dxa"/>
            <w:right w:w="0" w:type="dxa"/>
          </w:tblCellMar>
        </w:tblPrEx>
        <w:trPr>
          <w:trHeight w:val="404"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4</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空气压缩机</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rPr>
                <w:color w:val="auto"/>
                <w:szCs w:val="21"/>
                <w:highlight w:val="none"/>
              </w:rPr>
            </w:pPr>
            <w:r>
              <w:rPr>
                <w:rFonts w:hint="eastAsia"/>
                <w:color w:val="auto"/>
                <w:szCs w:val="21"/>
                <w:highlight w:val="none"/>
              </w:rPr>
              <w:t>型式：移动式</w:t>
            </w:r>
          </w:p>
          <w:p>
            <w:pPr>
              <w:rPr>
                <w:color w:val="auto"/>
                <w:szCs w:val="21"/>
                <w:highlight w:val="none"/>
              </w:rPr>
            </w:pPr>
            <w:r>
              <w:rPr>
                <w:rFonts w:hint="eastAsia"/>
                <w:color w:val="auto"/>
                <w:szCs w:val="21"/>
                <w:highlight w:val="none"/>
              </w:rPr>
              <w:t>气桶容量：190（L）</w:t>
            </w:r>
          </w:p>
          <w:p>
            <w:pPr>
              <w:rPr>
                <w:color w:val="auto"/>
                <w:szCs w:val="21"/>
                <w:highlight w:val="none"/>
              </w:rPr>
            </w:pPr>
            <w:r>
              <w:rPr>
                <w:rFonts w:hint="eastAsia"/>
                <w:color w:val="auto"/>
                <w:szCs w:val="21"/>
                <w:highlight w:val="none"/>
              </w:rPr>
              <w:t>功率：5.5KW</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1套</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5000</w:t>
            </w:r>
          </w:p>
        </w:tc>
      </w:tr>
      <w:tr>
        <w:tblPrEx>
          <w:tblCellMar>
            <w:top w:w="0" w:type="dxa"/>
            <w:left w:w="0" w:type="dxa"/>
            <w:bottom w:w="0" w:type="dxa"/>
            <w:right w:w="0" w:type="dxa"/>
          </w:tblCellMar>
        </w:tblPrEx>
        <w:trPr>
          <w:trHeight w:val="404"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5</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苗园路口铁路涵洞安装水表</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rPr>
                <w:color w:val="auto"/>
                <w:szCs w:val="21"/>
                <w:highlight w:val="none"/>
              </w:rPr>
            </w:pPr>
            <w:r>
              <w:rPr>
                <w:rFonts w:hint="eastAsia"/>
                <w:color w:val="auto"/>
                <w:szCs w:val="21"/>
                <w:highlight w:val="none"/>
              </w:rPr>
              <w:t>DN20水表，配套DN50阀门3个，DN50衬塑镀锌钢管55米，DN25衬塑镀锌钢管36米。包含管道安装、土石方及人工费等。</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1项</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20000</w:t>
            </w:r>
          </w:p>
        </w:tc>
      </w:tr>
      <w:tr>
        <w:tblPrEx>
          <w:tblCellMar>
            <w:top w:w="0" w:type="dxa"/>
            <w:left w:w="0" w:type="dxa"/>
            <w:bottom w:w="0" w:type="dxa"/>
            <w:right w:w="0" w:type="dxa"/>
          </w:tblCellMar>
        </w:tblPrEx>
        <w:trPr>
          <w:trHeight w:val="404"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6</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陂头抽水站加装摄像头</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rPr>
                <w:color w:val="auto"/>
                <w:szCs w:val="21"/>
                <w:highlight w:val="none"/>
              </w:rPr>
            </w:pPr>
            <w:r>
              <w:rPr>
                <w:rFonts w:hint="eastAsia"/>
                <w:color w:val="auto"/>
                <w:szCs w:val="21"/>
                <w:highlight w:val="none"/>
              </w:rPr>
              <w:t xml:space="preserve">摄像头射距可达50米，并配套电源线800米，数据线800米。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4只</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5000</w:t>
            </w:r>
          </w:p>
        </w:tc>
      </w:tr>
      <w:tr>
        <w:tblPrEx>
          <w:tblCellMar>
            <w:top w:w="0" w:type="dxa"/>
            <w:left w:w="0" w:type="dxa"/>
            <w:bottom w:w="0" w:type="dxa"/>
            <w:right w:w="0" w:type="dxa"/>
          </w:tblCellMar>
        </w:tblPrEx>
        <w:trPr>
          <w:trHeight w:val="404"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7</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高压冲洗管</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rPr>
                <w:color w:val="auto"/>
                <w:szCs w:val="21"/>
                <w:highlight w:val="none"/>
              </w:rPr>
            </w:pPr>
            <w:r>
              <w:rPr>
                <w:rFonts w:hint="eastAsia"/>
                <w:color w:val="auto"/>
                <w:szCs w:val="21"/>
                <w:highlight w:val="none"/>
              </w:rPr>
              <w:t>内径：22.0mm</w:t>
            </w:r>
          </w:p>
          <w:p>
            <w:pPr>
              <w:rPr>
                <w:color w:val="auto"/>
                <w:szCs w:val="21"/>
                <w:highlight w:val="none"/>
              </w:rPr>
            </w:pPr>
            <w:r>
              <w:rPr>
                <w:rFonts w:hint="eastAsia"/>
                <w:color w:val="auto"/>
                <w:szCs w:val="21"/>
                <w:highlight w:val="none"/>
              </w:rPr>
              <w:t>外径：33.5mm</w:t>
            </w:r>
          </w:p>
          <w:p>
            <w:pPr>
              <w:rPr>
                <w:color w:val="auto"/>
                <w:szCs w:val="21"/>
                <w:highlight w:val="none"/>
              </w:rPr>
            </w:pPr>
            <w:r>
              <w:rPr>
                <w:rFonts w:hint="eastAsia"/>
                <w:color w:val="auto"/>
                <w:szCs w:val="21"/>
                <w:highlight w:val="none"/>
              </w:rPr>
              <w:t>产品材质：橡胶/编织钢丝</w:t>
            </w:r>
          </w:p>
          <w:p>
            <w:pPr>
              <w:rPr>
                <w:color w:val="auto"/>
                <w:szCs w:val="21"/>
                <w:highlight w:val="none"/>
              </w:rPr>
            </w:pPr>
            <w:r>
              <w:rPr>
                <w:rFonts w:hint="eastAsia"/>
                <w:color w:val="auto"/>
                <w:szCs w:val="21"/>
                <w:highlight w:val="none"/>
              </w:rPr>
              <w:t>工作压力：21mpa</w:t>
            </w:r>
          </w:p>
          <w:p>
            <w:pPr>
              <w:rPr>
                <w:color w:val="auto"/>
                <w:szCs w:val="21"/>
                <w:highlight w:val="none"/>
              </w:rPr>
            </w:pPr>
            <w:r>
              <w:rPr>
                <w:rFonts w:hint="eastAsia"/>
                <w:color w:val="auto"/>
                <w:szCs w:val="21"/>
                <w:highlight w:val="none"/>
              </w:rPr>
              <w:t xml:space="preserve">爆破压力：65mpa      </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200米</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45</w:t>
            </w:r>
          </w:p>
        </w:tc>
      </w:tr>
      <w:tr>
        <w:tblPrEx>
          <w:tblCellMar>
            <w:top w:w="0" w:type="dxa"/>
            <w:left w:w="0" w:type="dxa"/>
            <w:bottom w:w="0" w:type="dxa"/>
            <w:right w:w="0" w:type="dxa"/>
          </w:tblCellMar>
        </w:tblPrEx>
        <w:trPr>
          <w:trHeight w:val="404" w:hRule="atLeast"/>
        </w:trPr>
        <w:tc>
          <w:tcPr>
            <w:tcW w:w="6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8</w:t>
            </w:r>
          </w:p>
        </w:tc>
        <w:tc>
          <w:tcPr>
            <w:tcW w:w="15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移动式摄像头</w:t>
            </w:r>
          </w:p>
        </w:tc>
        <w:tc>
          <w:tcPr>
            <w:tcW w:w="496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rPr>
                <w:color w:val="auto"/>
                <w:szCs w:val="21"/>
                <w:highlight w:val="none"/>
              </w:rPr>
            </w:pPr>
            <w:r>
              <w:rPr>
                <w:rFonts w:hint="eastAsia"/>
                <w:color w:val="auto"/>
                <w:szCs w:val="21"/>
                <w:highlight w:val="none"/>
              </w:rPr>
              <w:t>摄像头射距可达50米，配套备用电源：不低于1.5万mA，物联卡，硬盘/内存128G</w:t>
            </w: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6套</w:t>
            </w:r>
          </w:p>
        </w:tc>
        <w:tc>
          <w:tcPr>
            <w:tcW w:w="18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color w:val="auto"/>
                <w:szCs w:val="21"/>
                <w:highlight w:val="none"/>
              </w:rPr>
            </w:pPr>
            <w:r>
              <w:rPr>
                <w:rFonts w:hint="eastAsia"/>
                <w:color w:val="auto"/>
                <w:szCs w:val="21"/>
                <w:highlight w:val="none"/>
              </w:rPr>
              <w:t>2990</w:t>
            </w:r>
          </w:p>
        </w:tc>
      </w:tr>
      <w:tr>
        <w:tblPrEx>
          <w:tblCellMar>
            <w:top w:w="0" w:type="dxa"/>
            <w:left w:w="0" w:type="dxa"/>
            <w:bottom w:w="0" w:type="dxa"/>
            <w:right w:w="0" w:type="dxa"/>
          </w:tblCellMar>
        </w:tblPrEx>
        <w:trPr>
          <w:trHeight w:val="419" w:hRule="atLeast"/>
        </w:trPr>
        <w:tc>
          <w:tcPr>
            <w:tcW w:w="955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auto"/>
                <w:kern w:val="0"/>
                <w:szCs w:val="21"/>
                <w:highlight w:val="none"/>
                <w:lang w:bidi="ar"/>
              </w:rPr>
            </w:pPr>
            <w:r>
              <w:rPr>
                <w:rFonts w:hint="eastAsia" w:ascii="宋体" w:hAnsi="宋体" w:cs="宋体"/>
                <w:b/>
                <w:bCs/>
                <w:color w:val="auto"/>
                <w:kern w:val="0"/>
                <w:szCs w:val="21"/>
                <w:highlight w:val="none"/>
                <w:lang w:bidi="ar"/>
              </w:rPr>
              <w:t>二、商务要求</w:t>
            </w:r>
          </w:p>
        </w:tc>
      </w:tr>
      <w:tr>
        <w:tblPrEx>
          <w:tblCellMar>
            <w:top w:w="0" w:type="dxa"/>
            <w:left w:w="0" w:type="dxa"/>
            <w:bottom w:w="0" w:type="dxa"/>
            <w:right w:w="0" w:type="dxa"/>
          </w:tblCellMar>
        </w:tblPrEx>
        <w:trPr>
          <w:trHeight w:val="79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报价要求</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5"/>
              <w:spacing w:line="380" w:lineRule="exact"/>
              <w:ind w:firstLine="306" w:firstLineChars="146"/>
              <w:rPr>
                <w:rFonts w:hint="eastAsia" w:hAnsi="宋体" w:cs="宋体"/>
                <w:color w:val="auto"/>
                <w:szCs w:val="21"/>
                <w:highlight w:val="none"/>
              </w:rPr>
            </w:pPr>
            <w:r>
              <w:rPr>
                <w:rFonts w:hint="eastAsia" w:hAnsi="宋体" w:cs="宋体"/>
                <w:color w:val="auto"/>
                <w:szCs w:val="21"/>
                <w:highlight w:val="none"/>
              </w:rPr>
              <w:t>本次报价须为人民币报价，竞标报价为</w:t>
            </w:r>
            <w:r>
              <w:rPr>
                <w:rFonts w:hint="eastAsia" w:hAnsi="宋体" w:cs="宋体"/>
                <w:color w:val="auto"/>
                <w:kern w:val="0"/>
                <w:szCs w:val="21"/>
                <w:highlight w:val="none"/>
                <w:lang w:bidi="ar"/>
              </w:rPr>
              <w:t>包含货物、随配附件、备品备件、专用工具、运抵指定交货地点、安装调试费、税费、产品质保期内维修维护费等费用。对于本文件中明确列明须报价的货物或服务，供应商存在漏报的，将导致竞标无效。对于本文件中未列明，而供应商认为必需的费用也需列入总报价</w:t>
            </w:r>
            <w:r>
              <w:rPr>
                <w:rFonts w:hint="eastAsia" w:hAnsi="宋体" w:cs="宋体"/>
                <w:color w:val="auto"/>
                <w:szCs w:val="21"/>
                <w:highlight w:val="none"/>
              </w:rPr>
              <w:t>。在合同实施时，采购人将不予支付成交供应商没有列入的项目费用，并认为此项目的费用已包括在竞标总报价中。</w:t>
            </w:r>
          </w:p>
        </w:tc>
      </w:tr>
      <w:tr>
        <w:tblPrEx>
          <w:tblCellMar>
            <w:top w:w="0" w:type="dxa"/>
            <w:left w:w="0" w:type="dxa"/>
            <w:bottom w:w="0" w:type="dxa"/>
            <w:right w:w="0" w:type="dxa"/>
          </w:tblCellMar>
        </w:tblPrEx>
        <w:trPr>
          <w:trHeight w:val="301"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合同签订日期</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成交通知书发出后25日内。</w:t>
            </w:r>
          </w:p>
        </w:tc>
      </w:tr>
      <w:tr>
        <w:tblPrEx>
          <w:tblCellMar>
            <w:top w:w="0" w:type="dxa"/>
            <w:left w:w="0" w:type="dxa"/>
            <w:bottom w:w="0" w:type="dxa"/>
            <w:right w:w="0" w:type="dxa"/>
          </w:tblCellMar>
        </w:tblPrEx>
        <w:trPr>
          <w:trHeight w:val="90"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转包要求</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本项目不允许转包。</w:t>
            </w:r>
          </w:p>
        </w:tc>
      </w:tr>
      <w:tr>
        <w:tblPrEx>
          <w:tblCellMar>
            <w:top w:w="0" w:type="dxa"/>
            <w:left w:w="0" w:type="dxa"/>
            <w:bottom w:w="0" w:type="dxa"/>
            <w:right w:w="0" w:type="dxa"/>
          </w:tblCellMar>
        </w:tblPrEx>
        <w:trPr>
          <w:trHeight w:val="310"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分包要求</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本项目不允许分包。</w:t>
            </w:r>
          </w:p>
        </w:tc>
      </w:tr>
      <w:tr>
        <w:tblPrEx>
          <w:tblCellMar>
            <w:top w:w="0" w:type="dxa"/>
            <w:left w:w="0" w:type="dxa"/>
            <w:bottom w:w="0" w:type="dxa"/>
            <w:right w:w="0" w:type="dxa"/>
          </w:tblCellMar>
        </w:tblPrEx>
        <w:trPr>
          <w:trHeight w:val="330"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交货时间</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签订合同之日起30天内（日历天）。</w:t>
            </w:r>
          </w:p>
        </w:tc>
      </w:tr>
      <w:tr>
        <w:tblPrEx>
          <w:tblCellMar>
            <w:top w:w="0" w:type="dxa"/>
            <w:left w:w="0" w:type="dxa"/>
            <w:bottom w:w="0" w:type="dxa"/>
            <w:right w:w="0" w:type="dxa"/>
          </w:tblCellMar>
        </w:tblPrEx>
        <w:trPr>
          <w:trHeight w:val="340"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交货地点</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玉林市采购人指定地点。</w:t>
            </w:r>
          </w:p>
        </w:tc>
      </w:tr>
      <w:tr>
        <w:tblPrEx>
          <w:tblCellMar>
            <w:top w:w="0" w:type="dxa"/>
            <w:left w:w="0" w:type="dxa"/>
            <w:bottom w:w="0" w:type="dxa"/>
            <w:right w:w="0" w:type="dxa"/>
          </w:tblCellMar>
        </w:tblPrEx>
        <w:trPr>
          <w:trHeight w:val="79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质量保证</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1、供应商应明确承诺：技术参数要求表中如无特别要求，则质保期自验收合格之日起不少于一年（响应文件应明确各产品的质保期，如供应商与厂家承诺的质保期不一致，以年限长的为准），质保期内免费维修、保养、更换零部件。质保期满后，终身维护。</w:t>
            </w:r>
          </w:p>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2、属于国家规定“三包”范围的，其质量保证期不得低于“三包”规定。成交供应商承诺质量保证期优于国家“三包”规定的，或优于竞争性谈判文件规定的，按成交供应商实际承诺执行。</w:t>
            </w:r>
          </w:p>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3、成交后产品或服务由制造商（指产品生产制造商或服务实际提供人）负责质保期内的售后服务的，供应商应当在响应文件中予以明确说明，制造商提供的售后服务也应达到竞争性谈判文件要求的标准，相关的售后服务费用由供应商向制造商支付，供应商可视情况在竞标报价中予以考虑，采购人不予另行支付。</w:t>
            </w:r>
          </w:p>
        </w:tc>
      </w:tr>
      <w:tr>
        <w:tblPrEx>
          <w:tblCellMar>
            <w:top w:w="0" w:type="dxa"/>
            <w:left w:w="0" w:type="dxa"/>
            <w:bottom w:w="0" w:type="dxa"/>
            <w:right w:w="0" w:type="dxa"/>
          </w:tblCellMar>
        </w:tblPrEx>
        <w:trPr>
          <w:trHeight w:val="79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服务标准、期限、效率</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ind w:left="42" w:leftChars="19" w:right="141" w:rightChars="67" w:hanging="2"/>
              <w:rPr>
                <w:rFonts w:hint="eastAsia"/>
                <w:color w:val="auto"/>
                <w:szCs w:val="21"/>
                <w:highlight w:val="none"/>
              </w:rPr>
            </w:pPr>
            <w:r>
              <w:rPr>
                <w:rFonts w:hint="eastAsia"/>
                <w:color w:val="auto"/>
                <w:szCs w:val="21"/>
                <w:highlight w:val="none"/>
              </w:rPr>
              <w:t>售后服务除特别注明外，成交供应商在应当为采购人提供以下技术支持和服务：</w:t>
            </w:r>
          </w:p>
          <w:p>
            <w:pPr>
              <w:spacing w:line="300" w:lineRule="exact"/>
              <w:ind w:left="44" w:leftChars="20" w:right="141" w:rightChars="67" w:hanging="2"/>
              <w:rPr>
                <w:rFonts w:hint="eastAsia"/>
                <w:color w:val="auto"/>
                <w:szCs w:val="21"/>
                <w:highlight w:val="none"/>
              </w:rPr>
            </w:pPr>
            <w:r>
              <w:rPr>
                <w:rFonts w:hint="eastAsia"/>
                <w:color w:val="auto"/>
                <w:szCs w:val="21"/>
                <w:highlight w:val="none"/>
              </w:rPr>
              <w:t>1.供应商负责送货上门、安装调试及技术咨询。竞标产品必须是全新、完整、未使用过的优质产品。设备必须为符合国家有关质量安全标准的合格产品。产品零部件、配件、包装及安装材料必须是未经使用的全新的并符合国家有关质量安全标准的合格产品。</w:t>
            </w:r>
          </w:p>
          <w:p>
            <w:pPr>
              <w:spacing w:line="300" w:lineRule="exact"/>
              <w:ind w:left="44" w:leftChars="20" w:right="141" w:rightChars="67" w:hanging="2"/>
              <w:rPr>
                <w:rFonts w:hint="eastAsia"/>
                <w:color w:val="auto"/>
                <w:szCs w:val="21"/>
                <w:highlight w:val="none"/>
              </w:rPr>
            </w:pPr>
            <w:r>
              <w:rPr>
                <w:rFonts w:hint="eastAsia"/>
                <w:color w:val="auto"/>
                <w:szCs w:val="21"/>
                <w:highlight w:val="none"/>
              </w:rPr>
              <w:t>2.质保期内负责维修及无偿提供设备维修配件；质保期过后提供设备无偿维修服务，只收取更换配件费用。如有常用耗材、易损件及备品备件，其价格清单应在响应文件中列出。采购人需要继续由原成交供应商或制造商提供售后服务的，该成交供应商或制造商应以比市场价更优惠的价格提供售后服务。</w:t>
            </w:r>
          </w:p>
          <w:p>
            <w:pPr>
              <w:spacing w:line="300" w:lineRule="exact"/>
              <w:ind w:left="44" w:leftChars="20" w:right="141" w:rightChars="67" w:hanging="2"/>
              <w:rPr>
                <w:rFonts w:hint="eastAsia"/>
                <w:color w:val="auto"/>
                <w:szCs w:val="21"/>
                <w:highlight w:val="none"/>
              </w:rPr>
            </w:pPr>
            <w:r>
              <w:rPr>
                <w:rFonts w:hint="eastAsia"/>
                <w:color w:val="auto"/>
                <w:szCs w:val="21"/>
                <w:highlight w:val="none"/>
              </w:rPr>
              <w:t>3.设备发生故障时接到通知后2小时内响应，4小时内到达现场维修，一般问题应在到场后24小时内解决，重大问题或其它无法迅速解决的问题协商解决，维修时间不超过一周。成交供应商售后服务中，维修使用的备品备件及易损件应为配件，未经采购人同意不得使用非原厂配件，质保期内维修使用的备品备件及易损件的费用，由成交供应商承担。质量保证期过后，采购人需要继续由原成交供应商提供售后服务的，该成交供应商应以优惠价格提供售后服务，常用的、容易损坏的备品备件及易损件的优惠价格清单须在响应文件中列出。</w:t>
            </w:r>
          </w:p>
          <w:p>
            <w:pPr>
              <w:spacing w:line="300" w:lineRule="exact"/>
              <w:ind w:left="44" w:leftChars="20" w:right="141" w:rightChars="67" w:hanging="2"/>
              <w:rPr>
                <w:rFonts w:hint="eastAsia"/>
                <w:color w:val="auto"/>
                <w:szCs w:val="21"/>
                <w:highlight w:val="none"/>
              </w:rPr>
            </w:pPr>
            <w:r>
              <w:rPr>
                <w:rFonts w:hint="eastAsia"/>
                <w:color w:val="auto"/>
                <w:szCs w:val="21"/>
                <w:highlight w:val="none"/>
              </w:rPr>
              <w:t>4.</w:t>
            </w:r>
            <w:r>
              <w:rPr>
                <w:rFonts w:hint="eastAsia" w:ascii="宋体" w:hAnsi="宋体"/>
                <w:color w:val="auto"/>
                <w:szCs w:val="21"/>
                <w:highlight w:val="none"/>
              </w:rPr>
              <w:t>若成交人不能及时响应采购人维护要求的，按违约处理</w:t>
            </w:r>
            <w:r>
              <w:rPr>
                <w:rFonts w:hint="eastAsia"/>
                <w:color w:val="auto"/>
                <w:szCs w:val="21"/>
                <w:highlight w:val="none"/>
              </w:rPr>
              <w:t>。</w:t>
            </w:r>
          </w:p>
        </w:tc>
      </w:tr>
      <w:tr>
        <w:tblPrEx>
          <w:tblCellMar>
            <w:top w:w="0" w:type="dxa"/>
            <w:left w:w="0" w:type="dxa"/>
            <w:bottom w:w="0" w:type="dxa"/>
            <w:right w:w="0" w:type="dxa"/>
          </w:tblCellMar>
        </w:tblPrEx>
        <w:trPr>
          <w:trHeight w:val="79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知识产权</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采购人在中华人民共和国境内使用供应商提供的产品及服务时免受第三方提出的侵犯其专利权或其它知识产权的起诉。如果第三方提出侵权指控，成交供应商应承担由此而引起的一切法律责任和费用。</w:t>
            </w:r>
          </w:p>
        </w:tc>
      </w:tr>
      <w:tr>
        <w:tblPrEx>
          <w:tblCellMar>
            <w:top w:w="0" w:type="dxa"/>
            <w:left w:w="0" w:type="dxa"/>
            <w:bottom w:w="0" w:type="dxa"/>
            <w:right w:w="0" w:type="dxa"/>
          </w:tblCellMar>
        </w:tblPrEx>
        <w:trPr>
          <w:trHeight w:val="301"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付款方式、时间及条件</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jc w:val="left"/>
              <w:rPr>
                <w:rFonts w:hint="eastAsia" w:ascii="宋体" w:hAnsi="宋体" w:cs="宋体"/>
                <w:color w:val="auto"/>
                <w:szCs w:val="21"/>
                <w:highlight w:val="none"/>
              </w:rPr>
            </w:pPr>
            <w:r>
              <w:rPr>
                <w:rFonts w:hint="eastAsia" w:ascii="宋体" w:hAnsi="宋体" w:cs="宋体"/>
                <w:b/>
                <w:color w:val="auto"/>
                <w:szCs w:val="21"/>
                <w:highlight w:val="none"/>
              </w:rPr>
              <w:t>全部货物经验收合格后3个工作日内，乙方开具有效发票给甲方，甲方收到发票一个月内办理支付款手续，采用国库集中支付（直接支付方式）将所有货款一次性转给乙方。</w:t>
            </w:r>
          </w:p>
        </w:tc>
      </w:tr>
      <w:tr>
        <w:tblPrEx>
          <w:tblCellMar>
            <w:top w:w="0" w:type="dxa"/>
            <w:left w:w="0" w:type="dxa"/>
            <w:bottom w:w="0" w:type="dxa"/>
            <w:right w:w="0" w:type="dxa"/>
          </w:tblCellMar>
        </w:tblPrEx>
        <w:trPr>
          <w:trHeight w:val="79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1.检查供货范围或服务范围</w:t>
            </w:r>
          </w:p>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产品到达现场后，成交供应商应在采购人单位人员在场情况下当面测试，共同清点、检查外观，作出测试记录，双方签字确认。成交供应商应保证货物到达采购人所在地完好无损，如有缺漏、损坏，由成交供应商负责调换、补齐或赔偿。</w:t>
            </w:r>
          </w:p>
          <w:p>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3.其他验收要求按第三章《合同书及合同基本条款》执行，未尽事宜按照现行的《关于印发广西壮族自治区政府采购项目履约验收管理办法的通知》以及《财政部关于进一步加强政府采购需求和履约验收管理的指导意见》规定执行。</w:t>
            </w:r>
          </w:p>
        </w:tc>
      </w:tr>
      <w:tr>
        <w:tblPrEx>
          <w:tblCellMar>
            <w:top w:w="0" w:type="dxa"/>
            <w:left w:w="0" w:type="dxa"/>
            <w:bottom w:w="0" w:type="dxa"/>
            <w:right w:w="0" w:type="dxa"/>
          </w:tblCellMar>
        </w:tblPrEx>
        <w:trPr>
          <w:trHeight w:val="412" w:hRule="atLeast"/>
        </w:trPr>
        <w:tc>
          <w:tcPr>
            <w:tcW w:w="9557"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00" w:lineRule="exact"/>
              <w:rPr>
                <w:rFonts w:hint="eastAsia" w:ascii="宋体" w:hAnsi="宋体" w:cs="宋体"/>
                <w:color w:val="auto"/>
                <w:szCs w:val="21"/>
                <w:highlight w:val="none"/>
              </w:rPr>
            </w:pPr>
            <w:r>
              <w:rPr>
                <w:rFonts w:hint="eastAsia" w:ascii="宋体" w:hAnsi="宋体" w:cs="宋体"/>
                <w:b/>
                <w:color w:val="auto"/>
                <w:szCs w:val="21"/>
                <w:highlight w:val="none"/>
              </w:rPr>
              <w:t>三、采购人对项目的特殊要求及说明</w:t>
            </w:r>
          </w:p>
        </w:tc>
      </w:tr>
      <w:tr>
        <w:tblPrEx>
          <w:tblCellMar>
            <w:top w:w="0" w:type="dxa"/>
            <w:left w:w="0" w:type="dxa"/>
            <w:bottom w:w="0" w:type="dxa"/>
            <w:right w:w="0" w:type="dxa"/>
          </w:tblCellMar>
        </w:tblPrEx>
        <w:trPr>
          <w:trHeight w:val="79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jc w:val="center"/>
              <w:rPr>
                <w:rFonts w:hint="eastAsia" w:ascii="宋体" w:hAnsi="宋体" w:cs="宋体"/>
                <w:color w:val="auto"/>
                <w:szCs w:val="21"/>
                <w:highlight w:val="none"/>
              </w:rPr>
            </w:pPr>
            <w:r>
              <w:rPr>
                <w:rFonts w:hint="eastAsia" w:ascii="宋体" w:hAnsi="宋体" w:cs="宋体"/>
                <w:b/>
                <w:color w:val="auto"/>
                <w:szCs w:val="21"/>
                <w:highlight w:val="none"/>
              </w:rPr>
              <w:t>核心产品</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本项目核心产品为第1项货物：</w:t>
            </w:r>
            <w:r>
              <w:rPr>
                <w:rFonts w:hint="eastAsia" w:ascii="宋体" w:hAnsi="宋体" w:cs="宋体"/>
                <w:b/>
                <w:bCs/>
                <w:color w:val="auto"/>
                <w:kern w:val="0"/>
                <w:szCs w:val="21"/>
                <w:highlight w:val="none"/>
                <w:lang w:bidi="ar"/>
              </w:rPr>
              <w:t>管道潜望镜</w:t>
            </w:r>
          </w:p>
          <w:p>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如其中两家或两家以上供应商所提供的产品为同品牌产品的，以其中通过资格审查、符合性审查且最后报价最低的参加评审；当最后报价相同时，则由采购人自主选择确定一个参加评审的供应商，其他竞标无效。</w:t>
            </w:r>
          </w:p>
        </w:tc>
      </w:tr>
      <w:tr>
        <w:tblPrEx>
          <w:tblCellMar>
            <w:top w:w="0" w:type="dxa"/>
            <w:left w:w="0" w:type="dxa"/>
            <w:bottom w:w="0" w:type="dxa"/>
            <w:right w:w="0" w:type="dxa"/>
          </w:tblCellMar>
        </w:tblPrEx>
        <w:trPr>
          <w:trHeight w:val="79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exact"/>
              <w:jc w:val="center"/>
              <w:rPr>
                <w:rFonts w:hint="eastAsia" w:ascii="宋体" w:hAnsi="宋体" w:cs="宋体"/>
                <w:b/>
                <w:color w:val="auto"/>
                <w:szCs w:val="21"/>
                <w:highlight w:val="none"/>
              </w:rPr>
            </w:pPr>
            <w:r>
              <w:rPr>
                <w:rFonts w:hint="eastAsia" w:ascii="宋体" w:hAnsi="宋体" w:cs="宋体"/>
                <w:color w:val="auto"/>
                <w:szCs w:val="21"/>
                <w:highlight w:val="none"/>
              </w:rPr>
              <w:t>最后报价</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exact"/>
              <w:rPr>
                <w:rFonts w:hint="eastAsia" w:ascii="宋体" w:hAnsi="宋体" w:cs="宋体"/>
                <w:b/>
                <w:color w:val="auto"/>
                <w:szCs w:val="21"/>
                <w:highlight w:val="none"/>
              </w:rPr>
            </w:pPr>
            <w:r>
              <w:rPr>
                <w:rFonts w:hint="eastAsia" w:ascii="宋体" w:hAnsi="宋体" w:cs="宋体"/>
                <w:color w:val="auto"/>
                <w:szCs w:val="21"/>
                <w:highlight w:val="none"/>
              </w:rPr>
              <w:t>本项目可再次报价，作最后报价时“谈判小组”将书面告知各供应商，供应商的最后报价（可维持首次报价不变）与首次报价不同时，必须以货物单价清单表的格式编制（格式参照第五章报价表），不得以总价下浮的方式做最后报价，供应商必须提前做好相关准备并按时递交最后报价文件。</w:t>
            </w:r>
          </w:p>
        </w:tc>
      </w:tr>
      <w:tr>
        <w:tblPrEx>
          <w:tblCellMar>
            <w:top w:w="0" w:type="dxa"/>
            <w:left w:w="0" w:type="dxa"/>
            <w:bottom w:w="0" w:type="dxa"/>
            <w:right w:w="0" w:type="dxa"/>
          </w:tblCellMar>
        </w:tblPrEx>
        <w:trPr>
          <w:trHeight w:val="79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为落实政府采购政策需满足的要求</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详见本章项目需求</w:t>
            </w:r>
          </w:p>
        </w:tc>
      </w:tr>
      <w:tr>
        <w:tblPrEx>
          <w:tblCellMar>
            <w:top w:w="0" w:type="dxa"/>
            <w:left w:w="0" w:type="dxa"/>
            <w:bottom w:w="0" w:type="dxa"/>
            <w:right w:w="0" w:type="dxa"/>
          </w:tblCellMar>
        </w:tblPrEx>
        <w:trPr>
          <w:trHeight w:val="379" w:hRule="atLeast"/>
        </w:trPr>
        <w:tc>
          <w:tcPr>
            <w:tcW w:w="215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规范标准</w:t>
            </w:r>
          </w:p>
        </w:tc>
        <w:tc>
          <w:tcPr>
            <w:tcW w:w="740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执行现行的强制执行的国家、行业、地方标准</w:t>
            </w:r>
          </w:p>
        </w:tc>
      </w:tr>
    </w:tbl>
    <w:p>
      <w:pPr>
        <w:wordWrap w:val="0"/>
        <w:adjustRightInd w:val="0"/>
        <w:spacing w:line="320" w:lineRule="exact"/>
        <w:ind w:left="6" w:firstLine="431"/>
        <w:rPr>
          <w:rFonts w:hint="eastAsia"/>
          <w:b/>
          <w:bCs/>
          <w:color w:val="auto"/>
          <w:highlight w:val="none"/>
        </w:rPr>
      </w:pPr>
    </w:p>
    <w:p>
      <w:pPr>
        <w:wordWrap w:val="0"/>
        <w:adjustRightInd w:val="0"/>
        <w:spacing w:line="320" w:lineRule="exact"/>
        <w:ind w:left="6" w:firstLine="431"/>
        <w:rPr>
          <w:rFonts w:hint="eastAsia"/>
          <w:b/>
          <w:bCs/>
          <w:color w:val="auto"/>
          <w:highlight w:val="none"/>
        </w:rPr>
      </w:pPr>
    </w:p>
    <w:p>
      <w:pPr>
        <w:wordWrap w:val="0"/>
        <w:adjustRightInd w:val="0"/>
        <w:spacing w:line="320" w:lineRule="exact"/>
        <w:ind w:left="6" w:firstLine="431"/>
        <w:rPr>
          <w:rFonts w:hint="eastAsia"/>
          <w:b/>
          <w:bCs/>
          <w:color w:val="auto"/>
          <w:highlight w:val="none"/>
        </w:rPr>
      </w:pPr>
    </w:p>
    <w:p>
      <w:pPr>
        <w:jc w:val="right"/>
        <w:rPr>
          <w:color w:val="auto"/>
          <w:highlight w:val="none"/>
        </w:rPr>
      </w:pPr>
    </w:p>
    <w:p>
      <w:pPr>
        <w:jc w:val="cente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3"/>
        <w:keepLines/>
        <w:spacing w:before="340" w:after="330" w:line="578" w:lineRule="auto"/>
        <w:jc w:val="center"/>
        <w:rPr>
          <w:rFonts w:hint="eastAsia" w:ascii="金山简隶书" w:eastAsia="金山简隶书"/>
          <w:color w:val="auto"/>
          <w:sz w:val="44"/>
          <w:highlight w:val="none"/>
        </w:rPr>
      </w:pPr>
      <w:bookmarkStart w:id="26" w:name="_Toc24694"/>
      <w:r>
        <w:rPr>
          <w:rFonts w:hint="eastAsia"/>
          <w:bCs/>
          <w:color w:val="auto"/>
          <w:kern w:val="44"/>
          <w:sz w:val="44"/>
          <w:szCs w:val="44"/>
          <w:highlight w:val="none"/>
        </w:rPr>
        <w:t>第三章  合同书及合同基本条款（格式）</w:t>
      </w:r>
      <w:bookmarkEnd w:id="26"/>
    </w:p>
    <w:p>
      <w:pPr>
        <w:pStyle w:val="3"/>
        <w:keepLines/>
        <w:spacing w:before="340" w:after="330" w:line="578" w:lineRule="auto"/>
        <w:jc w:val="center"/>
        <w:rPr>
          <w:rFonts w:hint="eastAsia" w:ascii="黑体" w:eastAsia="黑体"/>
          <w:b w:val="0"/>
          <w:color w:val="auto"/>
          <w:sz w:val="32"/>
          <w:highlight w:val="none"/>
        </w:rPr>
      </w:pPr>
      <w:bookmarkStart w:id="27" w:name="_Toc22245"/>
      <w:r>
        <w:rPr>
          <w:rFonts w:hint="eastAsia"/>
          <w:color w:val="auto"/>
          <w:highlight w:val="none"/>
        </w:rPr>
        <w:cr/>
      </w:r>
      <w:r>
        <w:rPr>
          <w:rFonts w:hint="eastAsia"/>
          <w:color w:val="auto"/>
          <w:highlight w:val="none"/>
        </w:rPr>
        <w:cr/>
      </w:r>
      <w:r>
        <w:rPr>
          <w:rFonts w:hint="eastAsia"/>
          <w:color w:val="auto"/>
          <w:highlight w:val="none"/>
        </w:rPr>
        <w:cr/>
      </w:r>
      <w:r>
        <w:rPr>
          <w:rFonts w:hint="eastAsia"/>
          <w:color w:val="auto"/>
          <w:highlight w:val="none"/>
        </w:rPr>
        <w:cr/>
      </w:r>
      <w:r>
        <w:rPr>
          <w:rFonts w:hint="eastAsia"/>
          <w:color w:val="auto"/>
          <w:highlight w:val="none"/>
        </w:rPr>
        <w:cr/>
      </w:r>
      <w:r>
        <w:rPr>
          <w:b w:val="0"/>
          <w:color w:val="auto"/>
          <w:sz w:val="32"/>
          <w:highlight w:val="none"/>
        </w:rPr>
        <w:br w:type="page"/>
      </w:r>
      <w:bookmarkStart w:id="28" w:name="_Toc204135158"/>
      <w:bookmarkStart w:id="29" w:name="_Toc239568520"/>
      <w:bookmarkStart w:id="30" w:name="_Toc262735309"/>
      <w:bookmarkStart w:id="31" w:name="_Toc439675257"/>
      <w:r>
        <w:rPr>
          <w:rFonts w:hint="eastAsia"/>
          <w:bCs/>
          <w:color w:val="auto"/>
          <w:kern w:val="44"/>
          <w:sz w:val="32"/>
          <w:szCs w:val="44"/>
          <w:highlight w:val="none"/>
        </w:rPr>
        <w:t>合   同   书</w:t>
      </w:r>
      <w:bookmarkEnd w:id="27"/>
      <w:bookmarkEnd w:id="28"/>
      <w:bookmarkEnd w:id="29"/>
      <w:bookmarkEnd w:id="30"/>
      <w:bookmarkEnd w:id="31"/>
      <w:r>
        <w:rPr>
          <w:rFonts w:hint="eastAsia" w:ascii="黑体" w:eastAsia="黑体"/>
          <w:b w:val="0"/>
          <w:color w:val="auto"/>
          <w:sz w:val="32"/>
          <w:highlight w:val="none"/>
        </w:rPr>
        <w:t xml:space="preserve"> </w:t>
      </w:r>
    </w:p>
    <w:p>
      <w:pPr>
        <w:pStyle w:val="15"/>
        <w:spacing w:line="340" w:lineRule="exact"/>
        <w:ind w:firstLine="420"/>
        <w:rPr>
          <w:rFonts w:hint="eastAsia"/>
          <w:color w:val="auto"/>
          <w:highlight w:val="none"/>
        </w:rPr>
      </w:pPr>
    </w:p>
    <w:p>
      <w:pPr>
        <w:pStyle w:val="15"/>
        <w:spacing w:line="420" w:lineRule="exact"/>
        <w:ind w:firstLine="420"/>
        <w:rPr>
          <w:rFonts w:hint="eastAsia"/>
          <w:color w:val="auto"/>
          <w:highlight w:val="none"/>
        </w:rPr>
      </w:pPr>
      <w:r>
        <w:rPr>
          <w:rFonts w:hint="eastAsia"/>
          <w:color w:val="auto"/>
          <w:highlight w:val="none"/>
        </w:rPr>
        <w:t>合同名称：</w:t>
      </w:r>
      <w:r>
        <w:rPr>
          <w:rFonts w:hint="eastAsia"/>
          <w:color w:val="auto"/>
          <w:highlight w:val="none"/>
          <w:u w:val="single"/>
        </w:rPr>
        <w:t xml:space="preserve">                             </w:t>
      </w:r>
      <w:r>
        <w:rPr>
          <w:rFonts w:hint="eastAsia"/>
          <w:color w:val="auto"/>
          <w:highlight w:val="none"/>
        </w:rPr>
        <w:t xml:space="preserve"> （采购合同）</w:t>
      </w:r>
    </w:p>
    <w:p>
      <w:pPr>
        <w:pStyle w:val="15"/>
        <w:spacing w:line="420" w:lineRule="exact"/>
        <w:ind w:firstLine="420"/>
        <w:rPr>
          <w:rFonts w:hint="eastAsia"/>
          <w:color w:val="auto"/>
          <w:highlight w:val="none"/>
        </w:rPr>
      </w:pPr>
      <w:r>
        <w:rPr>
          <w:rFonts w:hint="eastAsia"/>
          <w:color w:val="auto"/>
          <w:highlight w:val="none"/>
        </w:rPr>
        <w:t>合同编号：</w:t>
      </w:r>
      <w:r>
        <w:rPr>
          <w:rFonts w:hint="eastAsia"/>
          <w:color w:val="auto"/>
          <w:highlight w:val="none"/>
          <w:u w:val="single"/>
        </w:rPr>
        <w:t xml:space="preserve">                             </w:t>
      </w:r>
    </w:p>
    <w:p>
      <w:pPr>
        <w:pStyle w:val="15"/>
        <w:spacing w:line="420" w:lineRule="exact"/>
        <w:ind w:firstLine="420"/>
        <w:rPr>
          <w:rFonts w:hint="eastAsia"/>
          <w:color w:val="auto"/>
          <w:highlight w:val="none"/>
        </w:rPr>
      </w:pPr>
    </w:p>
    <w:p>
      <w:pPr>
        <w:pStyle w:val="15"/>
        <w:spacing w:line="420" w:lineRule="exact"/>
        <w:ind w:firstLine="42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（采购人）</w:t>
      </w:r>
    </w:p>
    <w:p>
      <w:pPr>
        <w:pStyle w:val="15"/>
        <w:spacing w:line="420" w:lineRule="exact"/>
        <w:ind w:firstLine="42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（成交供应商）</w:t>
      </w:r>
    </w:p>
    <w:p>
      <w:pPr>
        <w:pStyle w:val="15"/>
        <w:spacing w:line="420" w:lineRule="exact"/>
        <w:ind w:firstLine="420"/>
        <w:rPr>
          <w:rFonts w:hint="eastAsia"/>
          <w:color w:val="auto"/>
          <w:highlight w:val="none"/>
        </w:rPr>
      </w:pPr>
    </w:p>
    <w:p>
      <w:pPr>
        <w:pStyle w:val="15"/>
        <w:spacing w:line="420" w:lineRule="exact"/>
        <w:ind w:firstLine="420"/>
        <w:rPr>
          <w:rFonts w:hint="eastAsia"/>
          <w:color w:val="auto"/>
          <w:highlight w:val="none"/>
        </w:rPr>
      </w:pPr>
      <w:r>
        <w:rPr>
          <w:rFonts w:hint="eastAsia"/>
          <w:color w:val="auto"/>
          <w:highlight w:val="none"/>
        </w:rPr>
        <w:t>甲乙双方同意按下述条款和条件签署本合同书（以下简称合同）：</w:t>
      </w:r>
    </w:p>
    <w:p>
      <w:pPr>
        <w:pStyle w:val="15"/>
        <w:spacing w:line="420" w:lineRule="exact"/>
        <w:ind w:firstLine="420"/>
        <w:rPr>
          <w:rFonts w:hint="eastAsia"/>
          <w:b/>
          <w:bCs/>
          <w:color w:val="auto"/>
          <w:highlight w:val="none"/>
        </w:rPr>
      </w:pPr>
      <w:r>
        <w:rPr>
          <w:rFonts w:hint="eastAsia"/>
          <w:b/>
          <w:bCs/>
          <w:color w:val="auto"/>
          <w:highlight w:val="none"/>
        </w:rPr>
        <w:t>1、合同文件</w:t>
      </w:r>
    </w:p>
    <w:p>
      <w:pPr>
        <w:pStyle w:val="15"/>
        <w:spacing w:line="420" w:lineRule="exact"/>
        <w:ind w:firstLine="420"/>
        <w:rPr>
          <w:rFonts w:hint="eastAsia"/>
          <w:color w:val="auto"/>
          <w:highlight w:val="none"/>
        </w:rPr>
      </w:pPr>
      <w:r>
        <w:rPr>
          <w:rFonts w:hint="eastAsia"/>
          <w:color w:val="auto"/>
          <w:highlight w:val="none"/>
        </w:rPr>
        <w:t>本合同所附下列文件是构成本合同不可分割的部分：</w:t>
      </w:r>
    </w:p>
    <w:p>
      <w:pPr>
        <w:pStyle w:val="15"/>
        <w:spacing w:line="420" w:lineRule="exact"/>
        <w:ind w:firstLine="420"/>
        <w:rPr>
          <w:rFonts w:hint="eastAsia"/>
          <w:color w:val="auto"/>
          <w:highlight w:val="none"/>
        </w:rPr>
      </w:pPr>
      <w:r>
        <w:rPr>
          <w:rFonts w:hint="eastAsia"/>
          <w:color w:val="auto"/>
          <w:highlight w:val="none"/>
        </w:rPr>
        <w:t>⑴ 合同基本条款</w:t>
      </w:r>
    </w:p>
    <w:p>
      <w:pPr>
        <w:pStyle w:val="15"/>
        <w:spacing w:line="420" w:lineRule="exact"/>
        <w:ind w:firstLine="420"/>
        <w:rPr>
          <w:rFonts w:hint="eastAsia"/>
          <w:color w:val="auto"/>
          <w:highlight w:val="none"/>
        </w:rPr>
      </w:pPr>
      <w:r>
        <w:rPr>
          <w:rFonts w:hint="eastAsia"/>
          <w:color w:val="auto"/>
          <w:highlight w:val="none"/>
        </w:rPr>
        <w:t>⑵ 项目需求</w:t>
      </w:r>
    </w:p>
    <w:p>
      <w:pPr>
        <w:pStyle w:val="15"/>
        <w:spacing w:line="420" w:lineRule="exact"/>
        <w:ind w:firstLine="420"/>
        <w:rPr>
          <w:rFonts w:hint="eastAsia"/>
          <w:color w:val="auto"/>
          <w:highlight w:val="none"/>
        </w:rPr>
      </w:pPr>
      <w:r>
        <w:rPr>
          <w:rFonts w:hint="eastAsia"/>
          <w:color w:val="auto"/>
          <w:highlight w:val="none"/>
        </w:rPr>
        <w:t>⑶ 供应商提交的谈判声明、报价表和售后服务承诺等全部响应文件</w:t>
      </w:r>
    </w:p>
    <w:p>
      <w:pPr>
        <w:pStyle w:val="15"/>
        <w:spacing w:line="420" w:lineRule="exact"/>
        <w:ind w:firstLine="420"/>
        <w:rPr>
          <w:rFonts w:hint="eastAsia"/>
          <w:color w:val="auto"/>
          <w:highlight w:val="none"/>
        </w:rPr>
      </w:pPr>
      <w:r>
        <w:rPr>
          <w:rFonts w:hint="eastAsia"/>
          <w:color w:val="auto"/>
          <w:highlight w:val="none"/>
        </w:rPr>
        <w:t>⑷ 谈判记录及谈判应答文件等有关文件</w:t>
      </w:r>
    </w:p>
    <w:p>
      <w:pPr>
        <w:pStyle w:val="15"/>
        <w:spacing w:line="420" w:lineRule="exact"/>
        <w:ind w:firstLine="420"/>
        <w:rPr>
          <w:rFonts w:hint="eastAsia"/>
          <w:color w:val="auto"/>
          <w:highlight w:val="none"/>
        </w:rPr>
      </w:pPr>
      <w:r>
        <w:rPr>
          <w:rFonts w:hint="eastAsia"/>
          <w:color w:val="auto"/>
          <w:highlight w:val="none"/>
        </w:rPr>
        <w:t>⑸ 成交通知书</w:t>
      </w:r>
    </w:p>
    <w:p>
      <w:pPr>
        <w:pStyle w:val="15"/>
        <w:spacing w:line="420" w:lineRule="exact"/>
        <w:ind w:firstLine="420"/>
        <w:rPr>
          <w:rFonts w:hint="eastAsia"/>
          <w:color w:val="auto"/>
          <w:highlight w:val="none"/>
        </w:rPr>
      </w:pPr>
      <w:r>
        <w:rPr>
          <w:rFonts w:hint="eastAsia"/>
          <w:color w:val="auto"/>
          <w:highlight w:val="none"/>
        </w:rPr>
        <w:t>⑹ 甲、乙双方商定后的补充协议</w:t>
      </w:r>
    </w:p>
    <w:p>
      <w:pPr>
        <w:pStyle w:val="15"/>
        <w:spacing w:line="420" w:lineRule="exact"/>
        <w:ind w:firstLine="420"/>
        <w:rPr>
          <w:rFonts w:hint="eastAsia"/>
          <w:b/>
          <w:bCs/>
          <w:color w:val="auto"/>
          <w:highlight w:val="none"/>
        </w:rPr>
      </w:pPr>
      <w:r>
        <w:rPr>
          <w:rFonts w:hint="eastAsia"/>
          <w:b/>
          <w:bCs/>
          <w:color w:val="auto"/>
          <w:highlight w:val="none"/>
        </w:rPr>
        <w:t>2、合同范围和条件</w:t>
      </w:r>
    </w:p>
    <w:p>
      <w:pPr>
        <w:pStyle w:val="15"/>
        <w:spacing w:line="420" w:lineRule="exact"/>
        <w:ind w:firstLine="420"/>
        <w:rPr>
          <w:rFonts w:hint="eastAsia"/>
          <w:color w:val="auto"/>
          <w:highlight w:val="none"/>
        </w:rPr>
      </w:pPr>
      <w:r>
        <w:rPr>
          <w:rFonts w:hint="eastAsia"/>
          <w:color w:val="auto"/>
          <w:highlight w:val="none"/>
        </w:rPr>
        <w:t>本合同的范围和条件应与上述合同文件的规定相一致。</w:t>
      </w:r>
    </w:p>
    <w:p>
      <w:pPr>
        <w:pStyle w:val="15"/>
        <w:spacing w:line="420" w:lineRule="exact"/>
        <w:ind w:firstLine="420"/>
        <w:rPr>
          <w:rFonts w:hint="eastAsia"/>
          <w:b/>
          <w:bCs/>
          <w:color w:val="auto"/>
          <w:highlight w:val="none"/>
        </w:rPr>
      </w:pPr>
      <w:r>
        <w:rPr>
          <w:rFonts w:hint="eastAsia"/>
          <w:b/>
          <w:bCs/>
          <w:color w:val="auto"/>
          <w:highlight w:val="none"/>
        </w:rPr>
        <w:t>3、货物采购和服务内容</w:t>
      </w:r>
    </w:p>
    <w:p>
      <w:pPr>
        <w:pStyle w:val="15"/>
        <w:spacing w:line="420" w:lineRule="exact"/>
        <w:ind w:firstLine="420"/>
        <w:rPr>
          <w:rFonts w:hint="eastAsia"/>
          <w:color w:val="auto"/>
          <w:highlight w:val="none"/>
        </w:rPr>
      </w:pPr>
      <w:r>
        <w:rPr>
          <w:rFonts w:hint="eastAsia"/>
          <w:color w:val="auto"/>
          <w:highlight w:val="none"/>
        </w:rPr>
        <w:t>本合同所涉及的乙方应提供的货物和服务内容详见《项目需求》、应答文件中所列内容及《合同基本条款》。</w:t>
      </w:r>
    </w:p>
    <w:p>
      <w:pPr>
        <w:pStyle w:val="15"/>
        <w:spacing w:line="420" w:lineRule="exact"/>
        <w:ind w:firstLine="420"/>
        <w:rPr>
          <w:rFonts w:hint="eastAsia"/>
          <w:b/>
          <w:bCs/>
          <w:color w:val="auto"/>
          <w:highlight w:val="none"/>
        </w:rPr>
      </w:pPr>
      <w:r>
        <w:rPr>
          <w:rFonts w:hint="eastAsia"/>
          <w:b/>
          <w:bCs/>
          <w:color w:val="auto"/>
          <w:highlight w:val="none"/>
        </w:rPr>
        <w:t>4、合同金额</w:t>
      </w:r>
    </w:p>
    <w:p>
      <w:pPr>
        <w:pStyle w:val="15"/>
        <w:spacing w:line="420" w:lineRule="exact"/>
        <w:ind w:firstLine="420"/>
        <w:rPr>
          <w:rFonts w:hint="eastAsia"/>
          <w:color w:val="auto"/>
          <w:highlight w:val="none"/>
        </w:rPr>
      </w:pPr>
      <w:r>
        <w:rPr>
          <w:rFonts w:hint="eastAsia"/>
          <w:color w:val="auto"/>
          <w:highlight w:val="none"/>
        </w:rPr>
        <w:t>根据成交通知书的成交内容，合同的总金额为（大写）：</w:t>
      </w:r>
      <w:r>
        <w:rPr>
          <w:rFonts w:hint="eastAsia"/>
          <w:color w:val="auto"/>
          <w:highlight w:val="none"/>
          <w:u w:val="single"/>
        </w:rPr>
        <w:t xml:space="preserve">                   </w:t>
      </w:r>
      <w:r>
        <w:rPr>
          <w:rFonts w:hint="eastAsia"/>
          <w:color w:val="auto"/>
          <w:highlight w:val="none"/>
        </w:rPr>
        <w:t>（￥</w:t>
      </w:r>
      <w:r>
        <w:rPr>
          <w:rFonts w:hint="eastAsia"/>
          <w:color w:val="auto"/>
          <w:highlight w:val="none"/>
          <w:u w:val="single"/>
        </w:rPr>
        <w:t xml:space="preserve">      </w:t>
      </w:r>
      <w:r>
        <w:rPr>
          <w:rFonts w:hint="eastAsia"/>
          <w:color w:val="auto"/>
          <w:highlight w:val="none"/>
        </w:rPr>
        <w:t>）人民币。</w:t>
      </w:r>
    </w:p>
    <w:p>
      <w:pPr>
        <w:pStyle w:val="15"/>
        <w:spacing w:line="420" w:lineRule="exact"/>
        <w:ind w:firstLine="420"/>
        <w:rPr>
          <w:rFonts w:hint="eastAsia"/>
          <w:b/>
          <w:bCs/>
          <w:color w:val="auto"/>
          <w:highlight w:val="none"/>
        </w:rPr>
      </w:pPr>
      <w:r>
        <w:rPr>
          <w:rFonts w:hint="eastAsia"/>
          <w:b/>
          <w:bCs/>
          <w:color w:val="auto"/>
          <w:highlight w:val="none"/>
        </w:rPr>
        <w:t>5、付款条件</w:t>
      </w:r>
    </w:p>
    <w:p>
      <w:pPr>
        <w:pStyle w:val="15"/>
        <w:spacing w:line="380" w:lineRule="exact"/>
        <w:ind w:firstLine="420"/>
        <w:rPr>
          <w:rFonts w:hint="eastAsia"/>
          <w:color w:val="auto"/>
          <w:highlight w:val="none"/>
        </w:rPr>
      </w:pPr>
      <w:r>
        <w:rPr>
          <w:rFonts w:hint="eastAsia"/>
          <w:color w:val="auto"/>
          <w:highlight w:val="none"/>
        </w:rPr>
        <w:t>付款方式按合同基本条款</w:t>
      </w:r>
      <w:r>
        <w:rPr>
          <w:color w:val="auto"/>
          <w:highlight w:val="none"/>
        </w:rPr>
        <w:t>8.1</w:t>
      </w:r>
      <w:r>
        <w:rPr>
          <w:rFonts w:hint="eastAsia"/>
          <w:color w:val="auto"/>
          <w:highlight w:val="none"/>
        </w:rPr>
        <w:t>款方式执行。</w:t>
      </w:r>
    </w:p>
    <w:p>
      <w:pPr>
        <w:pStyle w:val="15"/>
        <w:spacing w:line="420" w:lineRule="exact"/>
        <w:ind w:firstLine="420"/>
        <w:rPr>
          <w:rFonts w:hint="eastAsia"/>
          <w:b/>
          <w:bCs/>
          <w:color w:val="auto"/>
          <w:highlight w:val="none"/>
        </w:rPr>
      </w:pPr>
      <w:r>
        <w:rPr>
          <w:rFonts w:hint="eastAsia"/>
          <w:b/>
          <w:bCs/>
          <w:color w:val="auto"/>
          <w:highlight w:val="none"/>
        </w:rPr>
        <w:t>6、交货时间</w:t>
      </w:r>
    </w:p>
    <w:p>
      <w:pPr>
        <w:pStyle w:val="15"/>
        <w:spacing w:line="420" w:lineRule="exact"/>
        <w:ind w:firstLine="420"/>
        <w:rPr>
          <w:rFonts w:hint="eastAsia"/>
          <w:color w:val="auto"/>
          <w:highlight w:val="none"/>
        </w:rPr>
      </w:pPr>
      <w:r>
        <w:rPr>
          <w:rFonts w:hint="eastAsia"/>
          <w:color w:val="auto"/>
          <w:highlight w:val="none"/>
        </w:rPr>
        <w:t>本合同货物的交货时间在合同的基本条款中有明确规定。即</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日前交清</w:t>
      </w:r>
    </w:p>
    <w:p>
      <w:pPr>
        <w:pStyle w:val="15"/>
        <w:spacing w:line="420" w:lineRule="exact"/>
        <w:ind w:firstLine="420"/>
        <w:rPr>
          <w:rFonts w:hint="eastAsia"/>
          <w:b/>
          <w:bCs/>
          <w:color w:val="auto"/>
          <w:highlight w:val="none"/>
        </w:rPr>
      </w:pPr>
      <w:r>
        <w:rPr>
          <w:rFonts w:hint="eastAsia"/>
          <w:b/>
          <w:bCs/>
          <w:color w:val="auto"/>
          <w:highlight w:val="none"/>
        </w:rPr>
        <w:t>7、验收办法</w:t>
      </w:r>
    </w:p>
    <w:p>
      <w:pPr>
        <w:pStyle w:val="15"/>
        <w:spacing w:line="420" w:lineRule="exact"/>
        <w:ind w:firstLine="420"/>
        <w:rPr>
          <w:rFonts w:hint="eastAsia"/>
          <w:color w:val="auto"/>
          <w:highlight w:val="none"/>
        </w:rPr>
      </w:pPr>
      <w:r>
        <w:rPr>
          <w:rFonts w:hint="eastAsia"/>
          <w:color w:val="auto"/>
          <w:highlight w:val="none"/>
        </w:rPr>
        <w:t>本合同验收办法在合同的基本条款中有明确规定。</w:t>
      </w:r>
    </w:p>
    <w:p>
      <w:pPr>
        <w:pStyle w:val="15"/>
        <w:spacing w:line="420" w:lineRule="exact"/>
        <w:ind w:firstLine="420"/>
        <w:rPr>
          <w:rFonts w:hint="eastAsia"/>
          <w:b/>
          <w:bCs/>
          <w:color w:val="auto"/>
          <w:highlight w:val="none"/>
        </w:rPr>
      </w:pPr>
      <w:r>
        <w:rPr>
          <w:rFonts w:hint="eastAsia"/>
          <w:b/>
          <w:bCs/>
          <w:color w:val="auto"/>
          <w:highlight w:val="none"/>
        </w:rPr>
        <w:t>8、交货地点及数量</w:t>
      </w:r>
    </w:p>
    <w:p>
      <w:pPr>
        <w:pStyle w:val="15"/>
        <w:spacing w:line="420" w:lineRule="exact"/>
        <w:ind w:firstLine="420"/>
        <w:rPr>
          <w:rFonts w:hint="eastAsia"/>
          <w:color w:val="auto"/>
          <w:highlight w:val="none"/>
        </w:rPr>
      </w:pPr>
      <w:r>
        <w:rPr>
          <w:rFonts w:hint="eastAsia"/>
          <w:color w:val="auto"/>
          <w:highlight w:val="none"/>
        </w:rPr>
        <w:t>交货地点：</w:t>
      </w:r>
      <w:r>
        <w:rPr>
          <w:rFonts w:hint="eastAsia"/>
          <w:color w:val="auto"/>
          <w:highlight w:val="none"/>
          <w:u w:val="single"/>
        </w:rPr>
        <w:t xml:space="preserve">                                                                        </w:t>
      </w:r>
    </w:p>
    <w:p>
      <w:pPr>
        <w:pStyle w:val="15"/>
        <w:spacing w:line="420" w:lineRule="exact"/>
        <w:ind w:firstLine="420"/>
        <w:rPr>
          <w:rFonts w:hint="eastAsia"/>
          <w:color w:val="auto"/>
          <w:highlight w:val="none"/>
          <w:u w:val="single"/>
        </w:rPr>
      </w:pPr>
      <w:r>
        <w:rPr>
          <w:rFonts w:hint="eastAsia"/>
          <w:color w:val="auto"/>
          <w:highlight w:val="none"/>
        </w:rPr>
        <w:t>交货数量：</w:t>
      </w:r>
      <w:r>
        <w:rPr>
          <w:rFonts w:hint="eastAsia"/>
          <w:color w:val="auto"/>
          <w:highlight w:val="none"/>
          <w:u w:val="single"/>
        </w:rPr>
        <w:t xml:space="preserve">                                                                        </w:t>
      </w:r>
    </w:p>
    <w:p>
      <w:pPr>
        <w:pStyle w:val="15"/>
        <w:spacing w:line="420" w:lineRule="exact"/>
        <w:ind w:firstLine="420"/>
        <w:rPr>
          <w:rFonts w:hint="eastAsia"/>
          <w:color w:val="auto"/>
          <w:highlight w:val="none"/>
          <w:u w:val="single"/>
        </w:rPr>
      </w:pPr>
      <w:r>
        <w:rPr>
          <w:rFonts w:hint="eastAsia"/>
          <w:color w:val="auto"/>
          <w:highlight w:val="none"/>
          <w:u w:val="single"/>
        </w:rPr>
        <w:t xml:space="preserve">                                                                                   </w:t>
      </w:r>
    </w:p>
    <w:p>
      <w:pPr>
        <w:pStyle w:val="15"/>
        <w:spacing w:line="420" w:lineRule="exact"/>
        <w:ind w:firstLine="420"/>
        <w:rPr>
          <w:rFonts w:hint="eastAsia"/>
          <w:b/>
          <w:bCs/>
          <w:color w:val="auto"/>
          <w:highlight w:val="none"/>
        </w:rPr>
      </w:pPr>
      <w:r>
        <w:rPr>
          <w:rFonts w:hint="eastAsia"/>
          <w:b/>
          <w:bCs/>
          <w:color w:val="auto"/>
          <w:highlight w:val="none"/>
        </w:rPr>
        <w:t>9、合同生效及其它</w:t>
      </w:r>
    </w:p>
    <w:p>
      <w:pPr>
        <w:pStyle w:val="15"/>
        <w:spacing w:line="420" w:lineRule="exact"/>
        <w:ind w:firstLine="420"/>
        <w:rPr>
          <w:rFonts w:hint="eastAsia"/>
          <w:color w:val="auto"/>
          <w:highlight w:val="none"/>
        </w:rPr>
      </w:pPr>
      <w:r>
        <w:rPr>
          <w:rFonts w:hint="eastAsia"/>
          <w:color w:val="auto"/>
          <w:highlight w:val="none"/>
        </w:rPr>
        <w:t>本合同一式肆份，经甲乙双方法定代表人或委托代理人签字并加盖公章后生效。甲方执一份，乙方执一份，采购监督管理部门执一份，广西峻源项目管理有限公司执一份。</w:t>
      </w:r>
    </w:p>
    <w:p>
      <w:pPr>
        <w:pStyle w:val="15"/>
        <w:spacing w:line="420" w:lineRule="exact"/>
        <w:ind w:firstLine="420"/>
        <w:rPr>
          <w:rFonts w:hint="eastAsia"/>
          <w:color w:val="auto"/>
          <w:highlight w:val="none"/>
        </w:rPr>
      </w:pPr>
    </w:p>
    <w:p>
      <w:pPr>
        <w:pStyle w:val="15"/>
        <w:spacing w:line="420" w:lineRule="exact"/>
        <w:ind w:firstLine="420"/>
        <w:rPr>
          <w:rFonts w:hint="eastAsia"/>
          <w:color w:val="auto"/>
          <w:highlight w:val="none"/>
        </w:rPr>
      </w:pPr>
      <w:r>
        <w:rPr>
          <w:rFonts w:hint="eastAsia"/>
          <w:color w:val="auto"/>
          <w:highlight w:val="none"/>
        </w:rPr>
        <w:t>甲方名称及公章：                        乙方名称及公章：</w:t>
      </w:r>
    </w:p>
    <w:p>
      <w:pPr>
        <w:pStyle w:val="15"/>
        <w:spacing w:line="420" w:lineRule="exact"/>
        <w:ind w:firstLine="420"/>
        <w:rPr>
          <w:rFonts w:hint="eastAsia"/>
          <w:color w:val="auto"/>
          <w:highlight w:val="none"/>
        </w:rPr>
      </w:pPr>
      <w:r>
        <w:rPr>
          <w:rFonts w:hint="eastAsia"/>
          <w:color w:val="auto"/>
          <w:highlight w:val="none"/>
        </w:rPr>
        <w:t>法定代表人：                            法定代表人：</w:t>
      </w:r>
    </w:p>
    <w:p>
      <w:pPr>
        <w:pStyle w:val="15"/>
        <w:spacing w:line="420" w:lineRule="exact"/>
        <w:ind w:firstLine="420"/>
        <w:rPr>
          <w:rFonts w:hint="eastAsia"/>
          <w:color w:val="auto"/>
          <w:highlight w:val="none"/>
        </w:rPr>
      </w:pPr>
      <w:r>
        <w:rPr>
          <w:rFonts w:hint="eastAsia"/>
          <w:color w:val="auto"/>
          <w:highlight w:val="none"/>
        </w:rPr>
        <w:t>或委托代理人：                          或委托代理人：</w:t>
      </w:r>
    </w:p>
    <w:p>
      <w:pPr>
        <w:pStyle w:val="15"/>
        <w:spacing w:line="420" w:lineRule="exact"/>
        <w:ind w:firstLine="420"/>
        <w:rPr>
          <w:rFonts w:hint="eastAsia"/>
          <w:color w:val="auto"/>
          <w:highlight w:val="none"/>
        </w:rPr>
      </w:pPr>
      <w:r>
        <w:rPr>
          <w:rFonts w:hint="eastAsia"/>
          <w:color w:val="auto"/>
          <w:highlight w:val="none"/>
        </w:rPr>
        <w:t>地    址：                              地    址：</w:t>
      </w:r>
    </w:p>
    <w:p>
      <w:pPr>
        <w:pStyle w:val="15"/>
        <w:spacing w:line="420" w:lineRule="exact"/>
        <w:ind w:firstLine="420"/>
        <w:rPr>
          <w:rFonts w:hint="eastAsia"/>
          <w:color w:val="auto"/>
          <w:highlight w:val="none"/>
        </w:rPr>
      </w:pPr>
      <w:r>
        <w:rPr>
          <w:rFonts w:hint="eastAsia"/>
          <w:color w:val="auto"/>
          <w:highlight w:val="none"/>
        </w:rPr>
        <w:t>联系电话：                              联系电话：</w:t>
      </w:r>
    </w:p>
    <w:p>
      <w:pPr>
        <w:pStyle w:val="15"/>
        <w:spacing w:line="420" w:lineRule="exact"/>
        <w:ind w:firstLine="1470" w:firstLineChars="700"/>
        <w:rPr>
          <w:rFonts w:hint="eastAsia"/>
          <w:color w:val="auto"/>
          <w:highlight w:val="none"/>
        </w:rPr>
      </w:pPr>
      <w:r>
        <w:rPr>
          <w:rFonts w:hint="eastAsia"/>
          <w:color w:val="auto"/>
          <w:highlight w:val="none"/>
        </w:rPr>
        <w:t xml:space="preserve">                              开户名称：</w:t>
      </w:r>
    </w:p>
    <w:p>
      <w:pPr>
        <w:pStyle w:val="15"/>
        <w:spacing w:line="420" w:lineRule="exact"/>
        <w:ind w:firstLine="1470" w:firstLineChars="700"/>
        <w:rPr>
          <w:rFonts w:hint="eastAsia"/>
          <w:color w:val="auto"/>
          <w:highlight w:val="none"/>
        </w:rPr>
      </w:pPr>
      <w:r>
        <w:rPr>
          <w:rFonts w:hint="eastAsia"/>
          <w:color w:val="auto"/>
          <w:highlight w:val="none"/>
        </w:rPr>
        <w:t xml:space="preserve">                              开户银行：</w:t>
      </w:r>
    </w:p>
    <w:p>
      <w:pPr>
        <w:pStyle w:val="15"/>
        <w:spacing w:line="420" w:lineRule="exact"/>
        <w:ind w:firstLine="1470" w:firstLineChars="700"/>
        <w:rPr>
          <w:rFonts w:hint="eastAsia"/>
          <w:color w:val="auto"/>
          <w:highlight w:val="none"/>
        </w:rPr>
      </w:pPr>
      <w:r>
        <w:rPr>
          <w:rFonts w:hint="eastAsia"/>
          <w:color w:val="auto"/>
          <w:highlight w:val="none"/>
        </w:rPr>
        <w:t xml:space="preserve">                              银行帐号：</w:t>
      </w:r>
    </w:p>
    <w:p>
      <w:pPr>
        <w:pStyle w:val="15"/>
        <w:spacing w:line="420" w:lineRule="exact"/>
        <w:ind w:firstLine="420"/>
        <w:rPr>
          <w:rFonts w:hint="eastAsia"/>
          <w:color w:val="auto"/>
          <w:highlight w:val="none"/>
        </w:rPr>
      </w:pPr>
    </w:p>
    <w:p>
      <w:pPr>
        <w:pStyle w:val="15"/>
        <w:spacing w:line="420" w:lineRule="exact"/>
        <w:ind w:firstLine="420"/>
        <w:rPr>
          <w:rFonts w:hint="eastAsia"/>
          <w:color w:val="auto"/>
          <w:highlight w:val="none"/>
        </w:rPr>
      </w:pPr>
      <w:r>
        <w:rPr>
          <w:rFonts w:hint="eastAsia"/>
          <w:color w:val="auto"/>
          <w:highlight w:val="none"/>
        </w:rPr>
        <w:t>合同签订时间：</w:t>
      </w:r>
    </w:p>
    <w:p>
      <w:pPr>
        <w:pStyle w:val="15"/>
        <w:spacing w:line="420" w:lineRule="exact"/>
        <w:rPr>
          <w:rFonts w:hint="eastAsia"/>
          <w:color w:val="auto"/>
          <w:highlight w:val="none"/>
        </w:rPr>
      </w:pPr>
      <w:r>
        <w:rPr>
          <w:rFonts w:hint="eastAsia"/>
          <w:color w:val="auto"/>
          <w:highlight w:val="none"/>
        </w:rPr>
        <w:t xml:space="preserve">    合同签订地点：</w:t>
      </w:r>
    </w:p>
    <w:p>
      <w:pPr>
        <w:rPr>
          <w:color w:val="auto"/>
          <w:highlight w:val="none"/>
        </w:rPr>
      </w:pPr>
    </w:p>
    <w:p>
      <w:pPr>
        <w:pStyle w:val="15"/>
        <w:spacing w:line="440" w:lineRule="exact"/>
        <w:ind w:firstLine="420"/>
        <w:rPr>
          <w:b/>
          <w:color w:val="auto"/>
          <w:highlight w:val="none"/>
        </w:rPr>
      </w:pPr>
    </w:p>
    <w:p>
      <w:pPr>
        <w:pStyle w:val="3"/>
        <w:keepLines/>
        <w:spacing w:before="340" w:after="330" w:line="578" w:lineRule="auto"/>
        <w:jc w:val="center"/>
        <w:rPr>
          <w:rFonts w:hint="eastAsia"/>
          <w:b w:val="0"/>
          <w:color w:val="auto"/>
          <w:sz w:val="32"/>
          <w:highlight w:val="none"/>
        </w:rPr>
      </w:pPr>
      <w:r>
        <w:rPr>
          <w:rFonts w:ascii="隶书" w:eastAsia="隶书"/>
          <w:color w:val="auto"/>
          <w:sz w:val="44"/>
          <w:highlight w:val="none"/>
        </w:rPr>
        <w:br w:type="page"/>
      </w:r>
      <w:bookmarkStart w:id="32" w:name="_Toc15382"/>
      <w:r>
        <w:rPr>
          <w:rFonts w:hint="eastAsia"/>
          <w:bCs/>
          <w:color w:val="auto"/>
          <w:kern w:val="44"/>
          <w:sz w:val="32"/>
          <w:szCs w:val="44"/>
          <w:highlight w:val="none"/>
        </w:rPr>
        <w:t>合同基本条款</w:t>
      </w:r>
      <w:bookmarkEnd w:id="32"/>
    </w:p>
    <w:p>
      <w:pPr>
        <w:pStyle w:val="15"/>
        <w:spacing w:line="380" w:lineRule="exact"/>
        <w:jc w:val="center"/>
        <w:rPr>
          <w:rFonts w:hint="eastAsia"/>
          <w:b/>
          <w:color w:val="auto"/>
          <w:highlight w:val="none"/>
        </w:rPr>
      </w:pPr>
      <w:r>
        <w:rPr>
          <w:rFonts w:hint="eastAsia"/>
          <w:b/>
          <w:color w:val="auto"/>
          <w:highlight w:val="none"/>
        </w:rPr>
        <w:t>一     说   明</w:t>
      </w:r>
    </w:p>
    <w:p>
      <w:pPr>
        <w:pStyle w:val="15"/>
        <w:spacing w:line="380" w:lineRule="exact"/>
        <w:ind w:firstLine="420"/>
        <w:rPr>
          <w:rFonts w:hint="eastAsia"/>
          <w:color w:val="auto"/>
          <w:highlight w:val="none"/>
        </w:rPr>
      </w:pPr>
      <w:r>
        <w:rPr>
          <w:rFonts w:hint="eastAsia"/>
          <w:color w:val="auto"/>
          <w:highlight w:val="none"/>
        </w:rPr>
        <w:t>1.1合同基本条款是指买方（以下简称甲方）和成交供应商（以下简称乙方）应共同遵守的基本原则,并做为双方签约的依据。对于合同的其他条款，双方应本着互谅互让的精神，在谈判中协商解决。</w:t>
      </w:r>
    </w:p>
    <w:p>
      <w:pPr>
        <w:pStyle w:val="15"/>
        <w:spacing w:line="380" w:lineRule="exact"/>
        <w:ind w:firstLine="420"/>
        <w:rPr>
          <w:rFonts w:hint="eastAsia"/>
          <w:color w:val="auto"/>
          <w:highlight w:val="none"/>
        </w:rPr>
      </w:pPr>
      <w:r>
        <w:rPr>
          <w:rFonts w:hint="eastAsia"/>
          <w:color w:val="auto"/>
          <w:highlight w:val="none"/>
        </w:rPr>
        <w:t>1.2制订合同条款的依据是：《中华人民共和国政府采购法》、《中华人民共和国合同法》。</w:t>
      </w:r>
    </w:p>
    <w:p>
      <w:pPr>
        <w:pStyle w:val="15"/>
        <w:spacing w:line="380" w:lineRule="exact"/>
        <w:jc w:val="center"/>
        <w:rPr>
          <w:rFonts w:hint="eastAsia"/>
          <w:b/>
          <w:color w:val="auto"/>
          <w:highlight w:val="none"/>
        </w:rPr>
      </w:pPr>
      <w:r>
        <w:rPr>
          <w:rFonts w:hint="eastAsia"/>
          <w:b/>
          <w:color w:val="auto"/>
          <w:highlight w:val="none"/>
        </w:rPr>
        <w:t>二   货物条款</w:t>
      </w:r>
    </w:p>
    <w:p>
      <w:pPr>
        <w:pStyle w:val="15"/>
        <w:spacing w:line="380" w:lineRule="exact"/>
        <w:ind w:firstLine="420"/>
        <w:rPr>
          <w:rFonts w:hint="eastAsia"/>
          <w:color w:val="auto"/>
          <w:highlight w:val="none"/>
        </w:rPr>
      </w:pPr>
      <w:r>
        <w:rPr>
          <w:rFonts w:hint="eastAsia"/>
          <w:color w:val="auto"/>
          <w:highlight w:val="none"/>
        </w:rPr>
        <w:t>2.1甲、乙双方应将竞争性谈判文件、响应文件及谈判小组确认的货物名称、规格型号、技术要求、质量标准、数量、交货日期和售后服务内容等作为本条款的基础。</w:t>
      </w:r>
    </w:p>
    <w:p>
      <w:pPr>
        <w:pStyle w:val="15"/>
        <w:spacing w:line="440" w:lineRule="exact"/>
        <w:jc w:val="center"/>
        <w:rPr>
          <w:rFonts w:hint="eastAsia" w:ascii="黑体" w:eastAsia="黑体"/>
          <w:bCs/>
          <w:color w:val="auto"/>
          <w:sz w:val="24"/>
          <w:highlight w:val="none"/>
        </w:rPr>
      </w:pPr>
      <w:r>
        <w:rPr>
          <w:rFonts w:hint="eastAsia" w:ascii="黑体" w:eastAsia="黑体"/>
          <w:bCs/>
          <w:color w:val="auto"/>
          <w:sz w:val="24"/>
          <w:highlight w:val="none"/>
        </w:rPr>
        <w:t>三    货物质量要求及乙方对质量负责条件和期限</w:t>
      </w:r>
    </w:p>
    <w:p>
      <w:pPr>
        <w:pStyle w:val="15"/>
        <w:spacing w:line="440" w:lineRule="exact"/>
        <w:ind w:firstLine="420"/>
        <w:rPr>
          <w:rFonts w:hint="eastAsia"/>
          <w:color w:val="auto"/>
          <w:highlight w:val="none"/>
        </w:rPr>
      </w:pPr>
      <w:r>
        <w:rPr>
          <w:rFonts w:hint="eastAsia"/>
          <w:color w:val="auto"/>
          <w:highlight w:val="none"/>
        </w:rPr>
        <w:t>3.1乙方应按竞争性谈判文件规定的时间向甲方提供安装使用货物配套件所属装置等有关技术文件资料。</w:t>
      </w:r>
    </w:p>
    <w:p>
      <w:pPr>
        <w:pStyle w:val="15"/>
        <w:spacing w:line="380" w:lineRule="exact"/>
        <w:ind w:firstLine="420"/>
        <w:rPr>
          <w:rFonts w:hint="eastAsia"/>
          <w:color w:val="auto"/>
          <w:highlight w:val="none"/>
        </w:rPr>
      </w:pPr>
      <w:r>
        <w:rPr>
          <w:rFonts w:hint="eastAsia"/>
          <w:color w:val="auto"/>
          <w:highlight w:val="none"/>
        </w:rPr>
        <w:t>3.2乙方提供的货物应有符合国家标准以及本产品的出厂标准的质量检验证明。</w:t>
      </w:r>
    </w:p>
    <w:p>
      <w:pPr>
        <w:pStyle w:val="15"/>
        <w:spacing w:line="380" w:lineRule="exact"/>
        <w:jc w:val="center"/>
        <w:rPr>
          <w:rFonts w:hint="eastAsia"/>
          <w:b/>
          <w:color w:val="auto"/>
          <w:highlight w:val="none"/>
        </w:rPr>
      </w:pPr>
      <w:r>
        <w:rPr>
          <w:rFonts w:hint="eastAsia"/>
          <w:b/>
          <w:color w:val="auto"/>
          <w:highlight w:val="none"/>
        </w:rPr>
        <w:t>四    质量保证</w:t>
      </w:r>
    </w:p>
    <w:p>
      <w:pPr>
        <w:pStyle w:val="15"/>
        <w:spacing w:line="380" w:lineRule="exact"/>
        <w:ind w:firstLine="420"/>
        <w:rPr>
          <w:rFonts w:hint="eastAsia"/>
          <w:color w:val="auto"/>
          <w:highlight w:val="none"/>
        </w:rPr>
      </w:pPr>
      <w:r>
        <w:rPr>
          <w:rFonts w:hint="eastAsia"/>
          <w:color w:val="auto"/>
          <w:highlight w:val="none"/>
        </w:rPr>
        <w:t>4.1乙方应按竞争性谈判文件规定的货物性能、技术要求、质量标准向甲方提供未经使用的全新产品。</w:t>
      </w:r>
    </w:p>
    <w:p>
      <w:pPr>
        <w:pStyle w:val="15"/>
        <w:spacing w:line="380" w:lineRule="exact"/>
        <w:ind w:firstLine="420"/>
        <w:rPr>
          <w:rFonts w:hint="eastAsia"/>
          <w:color w:val="auto"/>
          <w:highlight w:val="none"/>
        </w:rPr>
      </w:pPr>
      <w:r>
        <w:rPr>
          <w:rFonts w:hint="eastAsia"/>
          <w:color w:val="auto"/>
          <w:highlight w:val="none"/>
        </w:rPr>
        <w:t>4.2乙方提供货物的质量保证期按交货验收合格之日起计（期限按响应文件或谈判最终承诺）。在保证期内因货物本身的质量问题发生故障，乙方应负责免费修理和更换零部件。对达不到技术要求者，根据实际情况，经双方协商，可按以下办法处理：</w:t>
      </w:r>
    </w:p>
    <w:p>
      <w:pPr>
        <w:pStyle w:val="15"/>
        <w:spacing w:line="380" w:lineRule="exact"/>
        <w:ind w:firstLine="420"/>
        <w:rPr>
          <w:rFonts w:hint="eastAsia"/>
          <w:color w:val="auto"/>
          <w:highlight w:val="none"/>
        </w:rPr>
      </w:pPr>
      <w:r>
        <w:rPr>
          <w:rFonts w:hint="eastAsia"/>
          <w:color w:val="auto"/>
          <w:highlight w:val="none"/>
        </w:rPr>
        <w:t>⑴更换：由乙方承担所发生的全部费用。</w:t>
      </w:r>
    </w:p>
    <w:p>
      <w:pPr>
        <w:pStyle w:val="15"/>
        <w:spacing w:line="380" w:lineRule="exact"/>
        <w:ind w:firstLine="420"/>
        <w:rPr>
          <w:rFonts w:hint="eastAsia"/>
          <w:color w:val="auto"/>
          <w:highlight w:val="none"/>
        </w:rPr>
      </w:pPr>
      <w:r>
        <w:rPr>
          <w:rFonts w:hint="eastAsia"/>
          <w:color w:val="auto"/>
          <w:highlight w:val="none"/>
        </w:rPr>
        <w:t>⑵贬值处理：由甲乙双方合议定价。</w:t>
      </w:r>
    </w:p>
    <w:p>
      <w:pPr>
        <w:pStyle w:val="15"/>
        <w:spacing w:line="380" w:lineRule="exact"/>
        <w:ind w:firstLine="420"/>
        <w:rPr>
          <w:rFonts w:hint="eastAsia"/>
          <w:color w:val="auto"/>
          <w:highlight w:val="none"/>
        </w:rPr>
      </w:pPr>
      <w:r>
        <w:rPr>
          <w:rFonts w:hint="eastAsia"/>
          <w:color w:val="auto"/>
          <w:highlight w:val="none"/>
        </w:rPr>
        <w:t>⑶退货处理：乙方应退还甲方支付的货物款，同时应承担该货物的直接费用(运输、保险、检验、货款利息及银行手续费等)。</w:t>
      </w:r>
    </w:p>
    <w:p>
      <w:pPr>
        <w:pStyle w:val="15"/>
        <w:spacing w:line="380" w:lineRule="exact"/>
        <w:ind w:firstLine="420"/>
        <w:rPr>
          <w:rFonts w:hint="eastAsia"/>
          <w:color w:val="auto"/>
          <w:highlight w:val="none"/>
        </w:rPr>
      </w:pPr>
      <w:r>
        <w:rPr>
          <w:rFonts w:hint="eastAsia"/>
          <w:color w:val="auto"/>
          <w:highlight w:val="none"/>
        </w:rPr>
        <w:t>4.3如在使用过程中发生质量问题，乙方在接到甲方通知</w:t>
      </w:r>
      <w:r>
        <w:rPr>
          <w:rFonts w:hint="eastAsia"/>
          <w:color w:val="auto"/>
          <w:highlight w:val="none"/>
          <w:u w:val="single"/>
        </w:rPr>
        <w:t>按响应文件或谈判最终承诺时间</w:t>
      </w:r>
      <w:r>
        <w:rPr>
          <w:rFonts w:hint="eastAsia"/>
          <w:color w:val="auto"/>
          <w:highlight w:val="none"/>
        </w:rPr>
        <w:t>到达甲方现场。</w:t>
      </w:r>
    </w:p>
    <w:p>
      <w:pPr>
        <w:pStyle w:val="15"/>
        <w:spacing w:line="380" w:lineRule="exact"/>
        <w:ind w:firstLine="420"/>
        <w:rPr>
          <w:rFonts w:hint="eastAsia"/>
          <w:color w:val="auto"/>
          <w:highlight w:val="none"/>
        </w:rPr>
      </w:pPr>
      <w:r>
        <w:rPr>
          <w:rFonts w:hint="eastAsia"/>
          <w:color w:val="auto"/>
          <w:highlight w:val="none"/>
        </w:rPr>
        <w:t>4.4在质保期内，乙方应对货物出现的质量及安全问题负责处理解决。</w:t>
      </w:r>
    </w:p>
    <w:p>
      <w:pPr>
        <w:pStyle w:val="15"/>
        <w:spacing w:line="380" w:lineRule="exact"/>
        <w:jc w:val="center"/>
        <w:rPr>
          <w:rFonts w:hint="eastAsia"/>
          <w:b/>
          <w:color w:val="auto"/>
          <w:highlight w:val="none"/>
        </w:rPr>
      </w:pPr>
      <w:r>
        <w:rPr>
          <w:rFonts w:hint="eastAsia"/>
          <w:b/>
          <w:color w:val="auto"/>
          <w:highlight w:val="none"/>
        </w:rPr>
        <w:t>五     验  收</w:t>
      </w:r>
    </w:p>
    <w:p>
      <w:pPr>
        <w:pStyle w:val="15"/>
        <w:spacing w:line="380" w:lineRule="exact"/>
        <w:ind w:firstLine="420"/>
        <w:rPr>
          <w:rFonts w:hint="eastAsia"/>
          <w:color w:val="auto"/>
          <w:highlight w:val="none"/>
        </w:rPr>
      </w:pPr>
      <w:r>
        <w:rPr>
          <w:rFonts w:hint="eastAsia"/>
          <w:color w:val="auto"/>
          <w:highlight w:val="none"/>
        </w:rPr>
        <w:t>5.1乙方交货前应对产品作出全面检查和对验收文件进行整理列出清单，作为甲方收货验收和使用的技术条件依据，检验的结果应随货物交甲方。</w:t>
      </w:r>
    </w:p>
    <w:p>
      <w:pPr>
        <w:pStyle w:val="15"/>
        <w:spacing w:line="380" w:lineRule="exact"/>
        <w:ind w:firstLine="420"/>
        <w:rPr>
          <w:rFonts w:hint="eastAsia"/>
          <w:color w:val="auto"/>
          <w:highlight w:val="none"/>
        </w:rPr>
      </w:pPr>
      <w:r>
        <w:rPr>
          <w:rFonts w:hint="eastAsia"/>
          <w:color w:val="auto"/>
          <w:highlight w:val="none"/>
        </w:rPr>
        <w:t>5.2甲方对乙方所交货物依照竞争性谈判文件上的技术规格要求和国家（设备制造国）有关标准进行现场验收，性能达到技术要求的，给予签收。验收不合格的不予签收，后果由乙方负责。</w:t>
      </w:r>
    </w:p>
    <w:p>
      <w:pPr>
        <w:pStyle w:val="15"/>
        <w:spacing w:line="380" w:lineRule="exact"/>
        <w:ind w:firstLine="420"/>
        <w:rPr>
          <w:rFonts w:hint="eastAsia"/>
          <w:color w:val="auto"/>
          <w:highlight w:val="none"/>
        </w:rPr>
      </w:pPr>
      <w:r>
        <w:rPr>
          <w:rFonts w:hint="eastAsia"/>
          <w:color w:val="auto"/>
          <w:highlight w:val="none"/>
        </w:rPr>
        <w:t>5.3甲方应在货到指定地点安装调试完毕之日起</w:t>
      </w:r>
      <w:r>
        <w:rPr>
          <w:rFonts w:hint="eastAsia"/>
          <w:color w:val="auto"/>
          <w:highlight w:val="none"/>
          <w:u w:val="single"/>
        </w:rPr>
        <w:t xml:space="preserve"> 7</w:t>
      </w:r>
      <w:r>
        <w:rPr>
          <w:rFonts w:hint="eastAsia"/>
          <w:color w:val="auto"/>
          <w:highlight w:val="none"/>
        </w:rPr>
        <w:t>个工作日内验收完毕，并作出验收结果报告。验收时乙方必须在现场。</w:t>
      </w:r>
    </w:p>
    <w:p>
      <w:pPr>
        <w:pStyle w:val="15"/>
        <w:spacing w:line="380" w:lineRule="exact"/>
        <w:jc w:val="center"/>
        <w:rPr>
          <w:rFonts w:hint="eastAsia"/>
          <w:b/>
          <w:color w:val="auto"/>
          <w:highlight w:val="none"/>
        </w:rPr>
      </w:pPr>
      <w:r>
        <w:rPr>
          <w:rFonts w:hint="eastAsia"/>
          <w:b/>
          <w:color w:val="auto"/>
          <w:highlight w:val="none"/>
        </w:rPr>
        <w:t>　</w:t>
      </w:r>
    </w:p>
    <w:p>
      <w:pPr>
        <w:pStyle w:val="15"/>
        <w:spacing w:line="380" w:lineRule="exact"/>
        <w:jc w:val="center"/>
        <w:rPr>
          <w:rFonts w:hint="eastAsia"/>
          <w:b/>
          <w:color w:val="auto"/>
          <w:highlight w:val="none"/>
        </w:rPr>
      </w:pPr>
      <w:r>
        <w:rPr>
          <w:rFonts w:hint="eastAsia"/>
          <w:b/>
          <w:color w:val="auto"/>
          <w:highlight w:val="none"/>
        </w:rPr>
        <w:t>　六    货物包装、发运及运输</w:t>
      </w:r>
    </w:p>
    <w:p>
      <w:pPr>
        <w:pStyle w:val="15"/>
        <w:spacing w:line="380" w:lineRule="exact"/>
        <w:ind w:firstLine="420"/>
        <w:rPr>
          <w:rFonts w:hint="eastAsia"/>
          <w:color w:val="auto"/>
          <w:highlight w:val="none"/>
        </w:rPr>
      </w:pPr>
      <w:r>
        <w:rPr>
          <w:rFonts w:hint="eastAsia"/>
          <w:color w:val="auto"/>
          <w:highlight w:val="none"/>
        </w:rPr>
        <w:t>6.1乙方应在货物发运前对其进行满足于运输距离、防潮、防震、防锈和防破损装卸要求的包装，以保证货物安全运输到达甲方指定地点。</w:t>
      </w:r>
    </w:p>
    <w:p>
      <w:pPr>
        <w:pStyle w:val="15"/>
        <w:spacing w:line="380" w:lineRule="exact"/>
        <w:ind w:firstLine="420"/>
        <w:rPr>
          <w:rFonts w:hint="eastAsia"/>
          <w:color w:val="auto"/>
          <w:highlight w:val="none"/>
        </w:rPr>
      </w:pPr>
      <w:r>
        <w:rPr>
          <w:rFonts w:hint="eastAsia"/>
          <w:color w:val="auto"/>
          <w:highlight w:val="none"/>
        </w:rPr>
        <w:t>6.2使用说明书、质量检验证明书、随配附件和工具以及清单等一并附于货物内。</w:t>
      </w:r>
    </w:p>
    <w:p>
      <w:pPr>
        <w:pStyle w:val="15"/>
        <w:spacing w:line="380" w:lineRule="exact"/>
        <w:ind w:firstLine="420"/>
        <w:rPr>
          <w:rFonts w:hint="eastAsia"/>
          <w:color w:val="auto"/>
          <w:highlight w:val="none"/>
        </w:rPr>
      </w:pPr>
      <w:r>
        <w:rPr>
          <w:rFonts w:hint="eastAsia"/>
          <w:color w:val="auto"/>
          <w:highlight w:val="none"/>
        </w:rPr>
        <w:t>6.3 乙方负责将货物安全运送到甲方指定地点，不另收任何费用。</w:t>
      </w:r>
    </w:p>
    <w:p>
      <w:pPr>
        <w:pStyle w:val="15"/>
        <w:spacing w:line="380" w:lineRule="exact"/>
        <w:ind w:firstLine="420"/>
        <w:rPr>
          <w:rFonts w:hint="eastAsia"/>
          <w:color w:val="auto"/>
          <w:highlight w:val="none"/>
        </w:rPr>
      </w:pPr>
      <w:r>
        <w:rPr>
          <w:rFonts w:hint="eastAsia"/>
          <w:color w:val="auto"/>
          <w:highlight w:val="none"/>
        </w:rPr>
        <w:t>6.4货物在交货前发生的不可预见的风险均由乙方负责。</w:t>
      </w:r>
    </w:p>
    <w:p>
      <w:pPr>
        <w:pStyle w:val="15"/>
        <w:spacing w:line="380" w:lineRule="exact"/>
        <w:ind w:firstLine="420"/>
        <w:rPr>
          <w:rFonts w:hint="eastAsia"/>
          <w:color w:val="auto"/>
          <w:highlight w:val="none"/>
        </w:rPr>
      </w:pPr>
      <w:r>
        <w:rPr>
          <w:rFonts w:hint="eastAsia"/>
          <w:color w:val="auto"/>
          <w:highlight w:val="none"/>
        </w:rPr>
        <w:t>6.5货物在发运手续办理完毕后24小时内或货到甲方前48小时通知甲方，以准备接货。</w:t>
      </w:r>
    </w:p>
    <w:p>
      <w:pPr>
        <w:pStyle w:val="15"/>
        <w:spacing w:line="380" w:lineRule="exact"/>
        <w:jc w:val="center"/>
        <w:rPr>
          <w:rFonts w:hint="eastAsia"/>
          <w:b/>
          <w:color w:val="auto"/>
          <w:highlight w:val="none"/>
        </w:rPr>
      </w:pPr>
      <w:r>
        <w:rPr>
          <w:rFonts w:hint="eastAsia"/>
          <w:b/>
          <w:color w:val="auto"/>
          <w:highlight w:val="none"/>
        </w:rPr>
        <w:t>七     交货期及交货方式</w:t>
      </w:r>
    </w:p>
    <w:p>
      <w:pPr>
        <w:pStyle w:val="15"/>
        <w:spacing w:line="380" w:lineRule="exact"/>
        <w:ind w:firstLine="420"/>
        <w:rPr>
          <w:color w:val="auto"/>
          <w:highlight w:val="none"/>
        </w:rPr>
      </w:pPr>
      <w:r>
        <w:rPr>
          <w:rFonts w:hint="eastAsia"/>
          <w:color w:val="auto"/>
          <w:highlight w:val="none"/>
        </w:rPr>
        <w:t>7.1交货期：按</w:t>
      </w:r>
      <w:r>
        <w:rPr>
          <w:rFonts w:hint="eastAsia" w:hAnsi="宋体"/>
          <w:color w:val="auto"/>
          <w:highlight w:val="none"/>
        </w:rPr>
        <w:t>《</w:t>
      </w:r>
      <w:r>
        <w:rPr>
          <w:rFonts w:hint="eastAsia"/>
          <w:color w:val="auto"/>
          <w:highlight w:val="none"/>
        </w:rPr>
        <w:t>项目需求</w:t>
      </w:r>
      <w:r>
        <w:rPr>
          <w:rFonts w:hint="eastAsia" w:hAnsi="宋体"/>
          <w:color w:val="auto"/>
          <w:highlight w:val="none"/>
        </w:rPr>
        <w:t>》</w:t>
      </w:r>
      <w:r>
        <w:rPr>
          <w:rFonts w:hint="eastAsia"/>
          <w:color w:val="auto"/>
          <w:highlight w:val="none"/>
        </w:rPr>
        <w:t>规定时间。</w:t>
      </w:r>
      <w:r>
        <w:rPr>
          <w:color w:val="auto"/>
          <w:highlight w:val="none"/>
        </w:rPr>
        <w:t xml:space="preserve"> </w:t>
      </w:r>
    </w:p>
    <w:p>
      <w:pPr>
        <w:pStyle w:val="15"/>
        <w:spacing w:line="380" w:lineRule="exact"/>
        <w:ind w:firstLine="420"/>
        <w:rPr>
          <w:rFonts w:hint="eastAsia"/>
          <w:color w:val="auto"/>
          <w:highlight w:val="none"/>
        </w:rPr>
      </w:pPr>
      <w:r>
        <w:rPr>
          <w:rFonts w:hint="eastAsia"/>
          <w:color w:val="auto"/>
          <w:highlight w:val="none"/>
        </w:rPr>
        <w:t>7.2交货方式：现场免费安装调试验收。</w:t>
      </w:r>
    </w:p>
    <w:p>
      <w:pPr>
        <w:pStyle w:val="15"/>
        <w:spacing w:line="380" w:lineRule="exact"/>
        <w:ind w:firstLine="420"/>
        <w:rPr>
          <w:rFonts w:hint="eastAsia"/>
          <w:color w:val="auto"/>
          <w:highlight w:val="none"/>
        </w:rPr>
      </w:pPr>
      <w:r>
        <w:rPr>
          <w:rFonts w:hint="eastAsia"/>
          <w:color w:val="auto"/>
          <w:highlight w:val="none"/>
        </w:rPr>
        <w:t>7.3安装地点与数量：按</w:t>
      </w:r>
      <w:r>
        <w:rPr>
          <w:rFonts w:hint="eastAsia" w:hAnsi="宋体"/>
          <w:color w:val="auto"/>
          <w:highlight w:val="none"/>
        </w:rPr>
        <w:t>《</w:t>
      </w:r>
      <w:r>
        <w:rPr>
          <w:rFonts w:hint="eastAsia"/>
          <w:color w:val="auto"/>
          <w:highlight w:val="none"/>
        </w:rPr>
        <w:t>项目需求</w:t>
      </w:r>
      <w:r>
        <w:rPr>
          <w:rFonts w:hint="eastAsia" w:hAnsi="宋体"/>
          <w:color w:val="auto"/>
          <w:highlight w:val="none"/>
        </w:rPr>
        <w:t>》</w:t>
      </w:r>
      <w:r>
        <w:rPr>
          <w:rFonts w:hint="eastAsia"/>
          <w:color w:val="auto"/>
          <w:highlight w:val="none"/>
        </w:rPr>
        <w:t>规定地点。</w:t>
      </w:r>
    </w:p>
    <w:p>
      <w:pPr>
        <w:pStyle w:val="15"/>
        <w:spacing w:line="380" w:lineRule="exact"/>
        <w:jc w:val="center"/>
        <w:rPr>
          <w:rFonts w:hint="eastAsia"/>
          <w:b/>
          <w:color w:val="auto"/>
          <w:highlight w:val="none"/>
        </w:rPr>
      </w:pPr>
      <w:r>
        <w:rPr>
          <w:rFonts w:hint="eastAsia"/>
          <w:b/>
          <w:color w:val="auto"/>
          <w:highlight w:val="none"/>
        </w:rPr>
        <w:t>八     付款方式</w:t>
      </w:r>
    </w:p>
    <w:p>
      <w:pPr>
        <w:pStyle w:val="15"/>
        <w:spacing w:line="380" w:lineRule="exact"/>
        <w:ind w:firstLine="422"/>
        <w:rPr>
          <w:rFonts w:hint="eastAsia"/>
          <w:b/>
          <w:color w:val="auto"/>
          <w:szCs w:val="21"/>
          <w:highlight w:val="none"/>
        </w:rPr>
      </w:pPr>
      <w:r>
        <w:rPr>
          <w:rFonts w:hint="eastAsia"/>
          <w:b/>
          <w:color w:val="auto"/>
          <w:highlight w:val="none"/>
        </w:rPr>
        <w:t>8.1付款方式：全部货物经验收合格后3个工作日内，乙方开具有效发票给甲方，甲方收到发票一个月内办理支付款手续，采用国库集中支付（直接支付方式）将所有货款一次性转给乙方。</w:t>
      </w:r>
    </w:p>
    <w:p>
      <w:pPr>
        <w:jc w:val="center"/>
        <w:rPr>
          <w:rFonts w:hint="eastAsia"/>
          <w:b/>
          <w:color w:val="auto"/>
          <w:highlight w:val="none"/>
        </w:rPr>
      </w:pPr>
      <w:r>
        <w:rPr>
          <w:rFonts w:hint="eastAsia"/>
          <w:b/>
          <w:color w:val="auto"/>
          <w:highlight w:val="none"/>
        </w:rPr>
        <w:t>九     违约责任</w:t>
      </w:r>
    </w:p>
    <w:p>
      <w:pPr>
        <w:pStyle w:val="15"/>
        <w:spacing w:line="380" w:lineRule="exact"/>
        <w:ind w:firstLine="420"/>
        <w:rPr>
          <w:rFonts w:hint="eastAsia"/>
          <w:color w:val="auto"/>
          <w:highlight w:val="none"/>
        </w:rPr>
      </w:pPr>
      <w:r>
        <w:rPr>
          <w:rFonts w:hint="eastAsia"/>
          <w:color w:val="auto"/>
          <w:highlight w:val="none"/>
        </w:rPr>
        <w:t>9.1逾期交货或无正当理由拒收的，违约方每天按合同额的1‰支付违约金。</w:t>
      </w:r>
    </w:p>
    <w:p>
      <w:pPr>
        <w:pStyle w:val="15"/>
        <w:spacing w:line="380" w:lineRule="exact"/>
        <w:ind w:firstLine="420"/>
        <w:rPr>
          <w:rFonts w:hint="eastAsia"/>
          <w:color w:val="auto"/>
          <w:highlight w:val="none"/>
        </w:rPr>
      </w:pPr>
      <w:r>
        <w:rPr>
          <w:rFonts w:hint="eastAsia"/>
          <w:color w:val="auto"/>
          <w:highlight w:val="none"/>
        </w:rPr>
        <w:t>9.2逾期超过10天仍不能交货的，甲方可解除双方的供货合同，造成甲方损失的，由乙方负责赔偿。</w:t>
      </w:r>
    </w:p>
    <w:p>
      <w:pPr>
        <w:pStyle w:val="15"/>
        <w:spacing w:line="380" w:lineRule="exact"/>
        <w:ind w:firstLine="420"/>
        <w:rPr>
          <w:rFonts w:hint="eastAsia"/>
          <w:color w:val="auto"/>
          <w:highlight w:val="none"/>
        </w:rPr>
      </w:pPr>
      <w:r>
        <w:rPr>
          <w:rFonts w:hint="eastAsia"/>
          <w:color w:val="auto"/>
          <w:highlight w:val="none"/>
        </w:rPr>
        <w:t>9.3其它未尽事宜，双方签订合同时按合同法议定。</w:t>
      </w:r>
    </w:p>
    <w:p>
      <w:pPr>
        <w:pStyle w:val="15"/>
        <w:spacing w:line="380" w:lineRule="exact"/>
        <w:ind w:firstLine="3280" w:firstLineChars="1556"/>
        <w:rPr>
          <w:rFonts w:hint="eastAsia"/>
          <w:b/>
          <w:color w:val="auto"/>
          <w:highlight w:val="none"/>
        </w:rPr>
      </w:pPr>
      <w:r>
        <w:rPr>
          <w:rFonts w:hint="eastAsia"/>
          <w:b/>
          <w:color w:val="auto"/>
          <w:highlight w:val="none"/>
        </w:rPr>
        <w:t>十    不可抗力事件处理</w:t>
      </w:r>
    </w:p>
    <w:p>
      <w:pPr>
        <w:pStyle w:val="15"/>
        <w:spacing w:line="440" w:lineRule="exact"/>
        <w:ind w:firstLine="420"/>
        <w:rPr>
          <w:rFonts w:hint="eastAsia"/>
          <w:color w:val="auto"/>
          <w:highlight w:val="none"/>
        </w:rPr>
      </w:pPr>
      <w:r>
        <w:rPr>
          <w:rFonts w:hint="eastAsia"/>
          <w:color w:val="auto"/>
          <w:highlight w:val="none"/>
        </w:rPr>
        <w:t>10.1在合同有效期限内，任何一方因不可抗力事件导致不能按时履行合同，则合同履行期可延长，其延长期与不可抗力影响期相同。由于不可抗力事件导致合同的根本目的不能实现时，一方可解除合同。</w:t>
      </w:r>
    </w:p>
    <w:p>
      <w:pPr>
        <w:pStyle w:val="15"/>
        <w:spacing w:line="440" w:lineRule="exact"/>
        <w:ind w:firstLine="420"/>
        <w:rPr>
          <w:rFonts w:hint="eastAsia"/>
          <w:color w:val="auto"/>
          <w:highlight w:val="none"/>
        </w:rPr>
      </w:pPr>
      <w:r>
        <w:rPr>
          <w:rFonts w:hint="eastAsia"/>
          <w:color w:val="auto"/>
          <w:highlight w:val="none"/>
        </w:rPr>
        <w:t>10.2不可抗力事件发生后，应立即通知对方，并寄送有关权威机构出具的证明。</w:t>
      </w:r>
    </w:p>
    <w:p>
      <w:pPr>
        <w:pStyle w:val="15"/>
        <w:spacing w:line="440" w:lineRule="exact"/>
        <w:ind w:firstLine="420"/>
        <w:rPr>
          <w:rFonts w:hint="eastAsia"/>
          <w:color w:val="auto"/>
          <w:highlight w:val="none"/>
        </w:rPr>
      </w:pPr>
      <w:r>
        <w:rPr>
          <w:rFonts w:hint="eastAsia"/>
          <w:color w:val="auto"/>
          <w:highlight w:val="none"/>
        </w:rPr>
        <w:t>10.3不可抗力事件延续120天以上，双方应通过友好协商，确定是否继续履行合同。</w:t>
      </w:r>
    </w:p>
    <w:p>
      <w:pPr>
        <w:pStyle w:val="15"/>
        <w:spacing w:line="380" w:lineRule="exact"/>
        <w:ind w:firstLine="3280" w:firstLineChars="1556"/>
        <w:rPr>
          <w:rFonts w:hint="eastAsia"/>
          <w:b/>
          <w:color w:val="auto"/>
          <w:highlight w:val="none"/>
        </w:rPr>
      </w:pPr>
      <w:r>
        <w:rPr>
          <w:rFonts w:hint="eastAsia"/>
          <w:b/>
          <w:color w:val="auto"/>
          <w:highlight w:val="none"/>
        </w:rPr>
        <w:t>十一    仲   裁</w:t>
      </w:r>
    </w:p>
    <w:p>
      <w:pPr>
        <w:pStyle w:val="15"/>
        <w:spacing w:line="380" w:lineRule="exact"/>
        <w:ind w:firstLine="420"/>
        <w:rPr>
          <w:rFonts w:hint="eastAsia"/>
          <w:color w:val="auto"/>
          <w:highlight w:val="none"/>
        </w:rPr>
      </w:pPr>
      <w:r>
        <w:rPr>
          <w:rFonts w:hint="eastAsia"/>
          <w:color w:val="auto"/>
          <w:highlight w:val="none"/>
        </w:rPr>
        <w:t>11.1双方在履行合同中所发生的一切争议，应通过协商解决。如协商不成，可向合同履行地仲裁机构申请仲裁或向法院起诉。</w:t>
      </w:r>
    </w:p>
    <w:p>
      <w:pPr>
        <w:pStyle w:val="15"/>
        <w:spacing w:line="380" w:lineRule="exact"/>
        <w:ind w:firstLine="3280" w:firstLineChars="1556"/>
        <w:rPr>
          <w:rFonts w:hint="eastAsia"/>
          <w:b/>
          <w:color w:val="auto"/>
          <w:highlight w:val="none"/>
        </w:rPr>
      </w:pPr>
      <w:r>
        <w:rPr>
          <w:rFonts w:hint="eastAsia"/>
          <w:b/>
          <w:color w:val="auto"/>
          <w:highlight w:val="none"/>
        </w:rPr>
        <w:t>十二     合同生效及其它</w:t>
      </w:r>
    </w:p>
    <w:p>
      <w:pPr>
        <w:pStyle w:val="15"/>
        <w:spacing w:line="380" w:lineRule="exact"/>
        <w:ind w:firstLine="420"/>
        <w:rPr>
          <w:rFonts w:hint="eastAsia"/>
          <w:color w:val="auto"/>
          <w:highlight w:val="none"/>
        </w:rPr>
      </w:pPr>
      <w:r>
        <w:rPr>
          <w:rFonts w:hint="eastAsia"/>
          <w:color w:val="auto"/>
          <w:highlight w:val="none"/>
        </w:rPr>
        <w:t>12.1合同经双方法定代表人或委托代理人签字并加盖单位公章后生效。</w:t>
      </w:r>
    </w:p>
    <w:p>
      <w:pPr>
        <w:pStyle w:val="15"/>
        <w:spacing w:line="380" w:lineRule="exact"/>
        <w:ind w:firstLine="420"/>
        <w:rPr>
          <w:rFonts w:hint="eastAsia"/>
          <w:color w:val="auto"/>
          <w:highlight w:val="none"/>
        </w:rPr>
      </w:pPr>
      <w:r>
        <w:rPr>
          <w:rFonts w:hint="eastAsia"/>
          <w:color w:val="auto"/>
          <w:highlight w:val="none"/>
        </w:rPr>
        <w:t>12.2合同履行中，如需修改或补充合同内容，由双方协商另签署书面修改或补充协议作为主合同不可分割的一部分。</w:t>
      </w:r>
    </w:p>
    <w:p>
      <w:pPr>
        <w:pStyle w:val="15"/>
        <w:spacing w:line="380" w:lineRule="exact"/>
        <w:ind w:firstLine="420"/>
        <w:rPr>
          <w:rFonts w:hint="eastAsia"/>
          <w:color w:val="auto"/>
          <w:highlight w:val="none"/>
        </w:rPr>
      </w:pPr>
      <w:r>
        <w:rPr>
          <w:rFonts w:hint="eastAsia"/>
          <w:color w:val="auto"/>
          <w:highlight w:val="none"/>
        </w:rPr>
        <w:t>12.3</w:t>
      </w:r>
      <w:r>
        <w:rPr>
          <w:rFonts w:hint="eastAsia"/>
          <w:bCs/>
          <w:color w:val="auto"/>
          <w:highlight w:val="none"/>
        </w:rPr>
        <w:t>乙方必须自行为其提供产品侵犯其他专利人的专利成果承担相应法律责任，如因侵犯他人专利权造成甲方损失的，还应赔偿甲方损失。</w:t>
      </w:r>
    </w:p>
    <w:p>
      <w:pPr>
        <w:pStyle w:val="15"/>
        <w:spacing w:line="380" w:lineRule="exact"/>
        <w:ind w:firstLine="420"/>
        <w:rPr>
          <w:rFonts w:hint="eastAsia"/>
          <w:color w:val="auto"/>
          <w:highlight w:val="none"/>
        </w:rPr>
      </w:pPr>
    </w:p>
    <w:p>
      <w:pPr>
        <w:pStyle w:val="15"/>
        <w:spacing w:line="440" w:lineRule="exact"/>
        <w:rPr>
          <w:rFonts w:hint="eastAsia" w:ascii="隶书" w:eastAsia="隶书"/>
          <w:color w:val="auto"/>
          <w:sz w:val="44"/>
          <w:highlight w:val="none"/>
        </w:rPr>
      </w:pPr>
      <w:r>
        <w:rPr>
          <w:rFonts w:ascii="黑体" w:eastAsia="黑体"/>
          <w:b/>
          <w:color w:val="auto"/>
          <w:sz w:val="32"/>
          <w:highlight w:val="none"/>
        </w:rPr>
        <w:br w:type="page"/>
      </w:r>
    </w:p>
    <w:p>
      <w:pPr>
        <w:pStyle w:val="15"/>
        <w:spacing w:line="440" w:lineRule="exact"/>
        <w:jc w:val="center"/>
        <w:rPr>
          <w:rFonts w:hint="eastAsia" w:ascii="隶书" w:eastAsia="隶书"/>
          <w:color w:val="auto"/>
          <w:sz w:val="44"/>
          <w:highlight w:val="none"/>
        </w:rPr>
      </w:pPr>
    </w:p>
    <w:p>
      <w:pPr>
        <w:pStyle w:val="15"/>
        <w:spacing w:line="440" w:lineRule="exact"/>
        <w:jc w:val="center"/>
        <w:rPr>
          <w:rFonts w:hint="eastAsia" w:ascii="隶书" w:eastAsia="隶书"/>
          <w:color w:val="auto"/>
          <w:sz w:val="44"/>
          <w:highlight w:val="none"/>
        </w:rPr>
      </w:pPr>
    </w:p>
    <w:p>
      <w:pPr>
        <w:pStyle w:val="15"/>
        <w:spacing w:line="440" w:lineRule="exact"/>
        <w:jc w:val="center"/>
        <w:rPr>
          <w:rFonts w:hint="eastAsia" w:ascii="隶书" w:eastAsia="隶书"/>
          <w:color w:val="auto"/>
          <w:sz w:val="44"/>
          <w:highlight w:val="none"/>
        </w:rPr>
      </w:pPr>
    </w:p>
    <w:p>
      <w:pPr>
        <w:pStyle w:val="15"/>
        <w:spacing w:line="440" w:lineRule="exact"/>
        <w:jc w:val="center"/>
        <w:rPr>
          <w:rFonts w:hint="eastAsia" w:ascii="隶书" w:eastAsia="隶书"/>
          <w:color w:val="auto"/>
          <w:sz w:val="44"/>
          <w:highlight w:val="none"/>
        </w:rPr>
      </w:pPr>
    </w:p>
    <w:p>
      <w:pPr>
        <w:pStyle w:val="15"/>
        <w:spacing w:line="440" w:lineRule="exact"/>
        <w:jc w:val="center"/>
        <w:rPr>
          <w:rFonts w:hint="eastAsia" w:ascii="隶书" w:eastAsia="隶书"/>
          <w:color w:val="auto"/>
          <w:sz w:val="44"/>
          <w:highlight w:val="none"/>
        </w:rPr>
      </w:pPr>
    </w:p>
    <w:p>
      <w:pPr>
        <w:pStyle w:val="15"/>
        <w:spacing w:line="440" w:lineRule="exact"/>
        <w:jc w:val="center"/>
        <w:rPr>
          <w:rFonts w:hint="eastAsia" w:ascii="隶书" w:eastAsia="隶书"/>
          <w:color w:val="auto"/>
          <w:sz w:val="44"/>
          <w:highlight w:val="none"/>
        </w:rPr>
      </w:pPr>
    </w:p>
    <w:p>
      <w:pPr>
        <w:pStyle w:val="15"/>
        <w:spacing w:line="440" w:lineRule="exact"/>
        <w:jc w:val="center"/>
        <w:rPr>
          <w:rFonts w:hint="eastAsia" w:ascii="隶书" w:eastAsia="隶书"/>
          <w:color w:val="auto"/>
          <w:sz w:val="44"/>
          <w:highlight w:val="none"/>
        </w:rPr>
      </w:pPr>
    </w:p>
    <w:p>
      <w:pPr>
        <w:pStyle w:val="15"/>
        <w:spacing w:line="440" w:lineRule="exact"/>
        <w:jc w:val="center"/>
        <w:rPr>
          <w:rFonts w:hint="eastAsia" w:ascii="隶书" w:eastAsia="隶书"/>
          <w:color w:val="auto"/>
          <w:sz w:val="44"/>
          <w:highlight w:val="none"/>
        </w:rPr>
      </w:pPr>
    </w:p>
    <w:p>
      <w:pPr>
        <w:pStyle w:val="15"/>
        <w:spacing w:line="440" w:lineRule="exact"/>
        <w:jc w:val="center"/>
        <w:rPr>
          <w:rFonts w:hint="eastAsia" w:ascii="隶书" w:eastAsia="隶书"/>
          <w:color w:val="auto"/>
          <w:sz w:val="44"/>
          <w:highlight w:val="none"/>
        </w:rPr>
      </w:pPr>
    </w:p>
    <w:p>
      <w:pPr>
        <w:pStyle w:val="3"/>
        <w:keepLines/>
        <w:spacing w:before="340" w:after="330" w:line="578" w:lineRule="auto"/>
        <w:jc w:val="center"/>
        <w:rPr>
          <w:rFonts w:hint="eastAsia"/>
          <w:color w:val="auto"/>
          <w:highlight w:val="none"/>
        </w:rPr>
      </w:pPr>
      <w:bookmarkStart w:id="33" w:name="_Toc13044"/>
      <w:r>
        <w:rPr>
          <w:rFonts w:hint="eastAsia"/>
          <w:bCs/>
          <w:color w:val="auto"/>
          <w:kern w:val="44"/>
          <w:sz w:val="44"/>
          <w:szCs w:val="44"/>
          <w:highlight w:val="none"/>
        </w:rPr>
        <w:t>第四章  评审办法和成交标准</w:t>
      </w:r>
      <w:bookmarkEnd w:id="33"/>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3"/>
        <w:keepLines/>
        <w:spacing w:before="340" w:after="330" w:line="578" w:lineRule="auto"/>
        <w:rPr>
          <w:rFonts w:hint="eastAsia" w:ascii="宋体" w:hAnsi="Courier New"/>
          <w:b w:val="0"/>
          <w:color w:val="auto"/>
          <w:szCs w:val="20"/>
          <w:highlight w:val="none"/>
        </w:rPr>
      </w:pPr>
    </w:p>
    <w:p>
      <w:pPr>
        <w:rPr>
          <w:rFonts w:hint="eastAsia"/>
          <w:color w:val="auto"/>
          <w:highlight w:val="none"/>
        </w:rPr>
      </w:pPr>
    </w:p>
    <w:p>
      <w:pPr>
        <w:pStyle w:val="4"/>
        <w:spacing w:line="720" w:lineRule="auto"/>
        <w:jc w:val="center"/>
        <w:rPr>
          <w:rFonts w:hint="eastAsia"/>
          <w:color w:val="auto"/>
          <w:sz w:val="24"/>
          <w:highlight w:val="none"/>
        </w:rPr>
      </w:pPr>
      <w:bookmarkStart w:id="34" w:name="_Toc6964"/>
      <w:r>
        <w:rPr>
          <w:rFonts w:hint="eastAsia"/>
          <w:color w:val="auto"/>
          <w:kern w:val="44"/>
          <w:highlight w:val="none"/>
        </w:rPr>
        <w:t>评审办法和成交标准</w:t>
      </w:r>
      <w:bookmarkEnd w:id="34"/>
    </w:p>
    <w:p>
      <w:pPr>
        <w:pStyle w:val="25"/>
        <w:spacing w:line="440" w:lineRule="exact"/>
        <w:ind w:firstLine="480"/>
        <w:rPr>
          <w:color w:val="auto"/>
          <w:sz w:val="21"/>
          <w:szCs w:val="21"/>
          <w:highlight w:val="none"/>
        </w:rPr>
      </w:pPr>
      <w:r>
        <w:rPr>
          <w:rFonts w:cs="宋体"/>
          <w:b/>
          <w:color w:val="auto"/>
          <w:sz w:val="21"/>
          <w:szCs w:val="21"/>
          <w:highlight w:val="none"/>
        </w:rPr>
        <w:t>一、评标原则</w:t>
      </w:r>
    </w:p>
    <w:p>
      <w:pPr>
        <w:widowControl/>
        <w:spacing w:line="440" w:lineRule="exact"/>
        <w:ind w:firstLine="420"/>
        <w:rPr>
          <w:rFonts w:ascii="宋体" w:hAnsi="宋体"/>
          <w:color w:val="auto"/>
          <w:szCs w:val="21"/>
          <w:highlight w:val="none"/>
        </w:rPr>
      </w:pPr>
      <w:r>
        <w:rPr>
          <w:rFonts w:hint="eastAsia" w:ascii="宋体" w:hAnsi="宋体" w:cs="宋体"/>
          <w:color w:val="auto"/>
          <w:kern w:val="0"/>
          <w:szCs w:val="21"/>
          <w:highlight w:val="none"/>
        </w:rPr>
        <w:t>(一)谈判小组构成：本项目的谈判小组由采购人代表和有关技术、经济等方面的专家组成。成员人数应当为三人以上（含三人）单数。其中，技术、经济等方面的专家不得少于成员总数的三分之二。</w:t>
      </w:r>
    </w:p>
    <w:p>
      <w:pPr>
        <w:widowControl/>
        <w:spacing w:line="440" w:lineRule="exact"/>
        <w:ind w:firstLine="420"/>
        <w:rPr>
          <w:rFonts w:ascii="宋体" w:hAnsi="宋体"/>
          <w:color w:val="auto"/>
          <w:szCs w:val="21"/>
          <w:highlight w:val="none"/>
        </w:rPr>
      </w:pPr>
      <w:r>
        <w:rPr>
          <w:rFonts w:hint="eastAsia" w:ascii="宋体" w:hAnsi="宋体" w:cs="宋体"/>
          <w:color w:val="auto"/>
          <w:kern w:val="0"/>
          <w:szCs w:val="21"/>
          <w:highlight w:val="none"/>
        </w:rPr>
        <w:t>(二)评标依据：谈判小组将以竞争性谈判文件和响应文件为评定依据。</w:t>
      </w:r>
    </w:p>
    <w:p>
      <w:pPr>
        <w:widowControl/>
        <w:spacing w:line="440" w:lineRule="exact"/>
        <w:ind w:firstLine="420"/>
        <w:rPr>
          <w:rFonts w:hint="eastAsia" w:ascii="宋体" w:hAnsi="宋体"/>
          <w:color w:val="auto"/>
          <w:szCs w:val="21"/>
          <w:highlight w:val="none"/>
        </w:rPr>
      </w:pPr>
      <w:r>
        <w:rPr>
          <w:rFonts w:hint="eastAsia" w:ascii="宋体" w:hAnsi="宋体" w:cs="宋体"/>
          <w:b/>
          <w:color w:val="auto"/>
          <w:kern w:val="0"/>
          <w:szCs w:val="21"/>
          <w:highlight w:val="none"/>
        </w:rPr>
        <w:t>二、评审办法</w:t>
      </w:r>
    </w:p>
    <w:p>
      <w:pPr>
        <w:widowControl/>
        <w:spacing w:line="440" w:lineRule="exact"/>
        <w:ind w:firstLine="420"/>
        <w:rPr>
          <w:rFonts w:ascii="宋体" w:hAnsi="宋体" w:cs="宋体"/>
          <w:color w:val="auto"/>
          <w:kern w:val="0"/>
          <w:szCs w:val="21"/>
          <w:highlight w:val="none"/>
        </w:rPr>
      </w:pPr>
      <w:r>
        <w:rPr>
          <w:rFonts w:hint="eastAsia" w:ascii="宋体" w:hAnsi="宋体" w:cs="宋体"/>
          <w:color w:val="auto"/>
          <w:kern w:val="0"/>
          <w:szCs w:val="21"/>
          <w:highlight w:val="none"/>
        </w:rPr>
        <w:t>对资料审查合格和符合性鉴定通过的响应文件，谈判小组将以竞争性谈判文件、响应文件为评定依据，在符合项目需求、质量和服务相等的前提下，以提出最后报价最低的供应商为成交供应商。 为了避免价格的恶性竞争，保证整体项目的质量和确保服务质量，如果谈判小组认为供应商的报价明显低于其他通过符合性审查供应商的报价，有可能影响产品质量或者不能诚信履约的，应当要求其在合理的时间内提供书面说明，并提交相关证明材料；供应商不能证明其报价合理性的，谈判小组应当将其作为无效竞标处理。</w:t>
      </w:r>
    </w:p>
    <w:p>
      <w:pPr>
        <w:pStyle w:val="15"/>
        <w:spacing w:line="400" w:lineRule="exact"/>
        <w:ind w:firstLine="420" w:firstLineChars="200"/>
        <w:jc w:val="left"/>
        <w:rPr>
          <w:rFonts w:hint="eastAsia"/>
          <w:color w:val="auto"/>
          <w:highlight w:val="none"/>
        </w:rPr>
      </w:pPr>
      <w:r>
        <w:rPr>
          <w:color w:val="auto"/>
          <w:highlight w:val="none"/>
        </w:rPr>
        <w:t>（</w:t>
      </w:r>
      <w:r>
        <w:rPr>
          <w:rFonts w:hint="eastAsia"/>
          <w:color w:val="auto"/>
          <w:highlight w:val="none"/>
        </w:rPr>
        <w:t>1</w:t>
      </w:r>
      <w:r>
        <w:rPr>
          <w:color w:val="auto"/>
          <w:highlight w:val="none"/>
        </w:rPr>
        <w:t>）对于非专门面向中小企业的项目，对小型和微型企业产品的价格给予10</w:t>
      </w:r>
      <w:r>
        <w:rPr>
          <w:rFonts w:hint="eastAsia"/>
          <w:color w:val="auto"/>
          <w:highlight w:val="none"/>
        </w:rPr>
        <w:t>%</w:t>
      </w:r>
      <w:r>
        <w:rPr>
          <w:color w:val="auto"/>
          <w:highlight w:val="none"/>
        </w:rPr>
        <w:t>的价格扣除，扣除后的价格为评标价，即评标价＝竞标报价×（</w:t>
      </w:r>
      <w:r>
        <w:rPr>
          <w:rFonts w:hint="eastAsia"/>
          <w:color w:val="auto"/>
          <w:highlight w:val="none"/>
        </w:rPr>
        <w:t>1-</w:t>
      </w:r>
      <w:r>
        <w:rPr>
          <w:color w:val="auto"/>
          <w:highlight w:val="none"/>
        </w:rPr>
        <w:t>10</w:t>
      </w:r>
      <w:r>
        <w:rPr>
          <w:rFonts w:hint="eastAsia"/>
          <w:color w:val="auto"/>
          <w:highlight w:val="none"/>
        </w:rPr>
        <w:t>%</w:t>
      </w:r>
      <w:r>
        <w:rPr>
          <w:color w:val="auto"/>
          <w:highlight w:val="none"/>
        </w:rPr>
        <w:t>）；</w:t>
      </w:r>
      <w:r>
        <w:rPr>
          <w:rFonts w:hint="eastAsia" w:hAnsi="宋体"/>
          <w:bCs/>
          <w:color w:val="auto"/>
          <w:highlight w:val="none"/>
        </w:rPr>
        <w:t>（以供应商按第五章“响应文件（格式）”要求提供的《</w:t>
      </w:r>
      <w:r>
        <w:rPr>
          <w:rFonts w:hint="eastAsia" w:hAnsi="宋体"/>
          <w:color w:val="auto"/>
          <w:highlight w:val="none"/>
        </w:rPr>
        <w:t>中小企业声明函</w:t>
      </w:r>
      <w:r>
        <w:rPr>
          <w:rFonts w:hint="eastAsia" w:hAnsi="宋体"/>
          <w:bCs/>
          <w:color w:val="auto"/>
          <w:highlight w:val="none"/>
        </w:rPr>
        <w:t>》为评审依据）</w:t>
      </w:r>
    </w:p>
    <w:p>
      <w:pPr>
        <w:pStyle w:val="15"/>
        <w:spacing w:line="400" w:lineRule="exact"/>
        <w:ind w:firstLine="420" w:firstLineChars="200"/>
        <w:jc w:val="left"/>
        <w:rPr>
          <w:rFonts w:hint="eastAsia" w:hAnsi="宋体"/>
          <w:bCs/>
          <w:color w:val="auto"/>
          <w:highlight w:val="none"/>
        </w:rPr>
      </w:pPr>
      <w:r>
        <w:rPr>
          <w:color w:val="auto"/>
          <w:highlight w:val="none"/>
        </w:rPr>
        <w:t>（</w:t>
      </w:r>
      <w:r>
        <w:rPr>
          <w:rFonts w:hint="eastAsia"/>
          <w:color w:val="auto"/>
          <w:highlight w:val="none"/>
        </w:rPr>
        <w:t>2</w:t>
      </w:r>
      <w:r>
        <w:rPr>
          <w:color w:val="auto"/>
          <w:highlight w:val="none"/>
        </w:rPr>
        <w:t>）对</w:t>
      </w:r>
      <w:r>
        <w:rPr>
          <w:rFonts w:hint="eastAsia" w:hAnsi="宋体"/>
          <w:color w:val="auto"/>
          <w:highlight w:val="none"/>
        </w:rPr>
        <w:t>大中型企业和其他自然人、法人或者其他组织与小型、微型企业组成联合体，且联合体协议中约定小型、微型企业的协议合同金额占到联合体协议合同总金额30%以上的，给予</w:t>
      </w:r>
      <w:r>
        <w:rPr>
          <w:rFonts w:hint="eastAsia"/>
          <w:color w:val="auto"/>
          <w:highlight w:val="none"/>
        </w:rPr>
        <w:t>2%</w:t>
      </w:r>
      <w:r>
        <w:rPr>
          <w:rFonts w:hint="eastAsia" w:hAnsi="宋体"/>
          <w:color w:val="auto"/>
          <w:highlight w:val="none"/>
        </w:rPr>
        <w:t>的价格扣除，扣除后的价格为评标价，即评标价＝竞标报价×（1-</w:t>
      </w:r>
      <w:r>
        <w:rPr>
          <w:rFonts w:hint="eastAsia"/>
          <w:color w:val="auto"/>
          <w:highlight w:val="none"/>
        </w:rPr>
        <w:t>2%</w:t>
      </w:r>
      <w:r>
        <w:rPr>
          <w:rFonts w:hint="eastAsia" w:hAnsi="宋体"/>
          <w:color w:val="auto"/>
          <w:highlight w:val="none"/>
        </w:rPr>
        <w:t>）；</w:t>
      </w:r>
      <w:r>
        <w:rPr>
          <w:rFonts w:hint="eastAsia" w:hAnsi="宋体"/>
          <w:bCs/>
          <w:color w:val="auto"/>
          <w:highlight w:val="none"/>
        </w:rPr>
        <w:t>（以供应商按第五章“响应文件（格式）”要求提供的《中小企业声明函》为评审依据）</w:t>
      </w:r>
    </w:p>
    <w:p>
      <w:pPr>
        <w:pStyle w:val="15"/>
        <w:spacing w:line="400" w:lineRule="exact"/>
        <w:ind w:firstLine="420" w:firstLineChars="200"/>
        <w:jc w:val="left"/>
        <w:rPr>
          <w:rFonts w:hint="eastAsia" w:hAnsi="宋体"/>
          <w:color w:val="auto"/>
          <w:highlight w:val="none"/>
        </w:rPr>
      </w:pPr>
      <w:r>
        <w:rPr>
          <w:rFonts w:hint="eastAsia" w:hAnsi="宋体"/>
          <w:color w:val="auto"/>
          <w:highlight w:val="none"/>
        </w:rPr>
        <w:t>（3）竞标产品提供企业按《关于政府采购支持监狱企业发展有关问题的通知》(财库[2014]68号)认定为监狱企业的，在政府采购活动中，监狱企业视同小型、微型企业。（以供应商按第五章“响应文件（格式）”要求提供的《报价表》和由省级以上监狱管理局、戒毒管理局(含新疆生产建设兵团)出具的属于监狱企业的证明文件为评审依据。</w:t>
      </w:r>
    </w:p>
    <w:p>
      <w:pPr>
        <w:pStyle w:val="15"/>
        <w:spacing w:line="400" w:lineRule="exact"/>
        <w:ind w:firstLine="420" w:firstLineChars="200"/>
        <w:jc w:val="left"/>
        <w:rPr>
          <w:rFonts w:hint="eastAsia" w:hAnsi="宋体"/>
          <w:color w:val="auto"/>
          <w:highlight w:val="none"/>
        </w:rPr>
      </w:pPr>
      <w:r>
        <w:rPr>
          <w:rFonts w:hint="eastAsia" w:hAnsi="宋体"/>
          <w:color w:val="auto"/>
          <w:highlight w:val="none"/>
        </w:rPr>
        <w:t>（4）竞标产品提供企业按《关于促进残疾人就业政府采购政策的通知》(财库〔2017〕141号)认定为残疾人福利性单位的，在政府采购活动中，残疾人福利性单位视同小型、微型企业。残疾人福利性单位参加政府采购活动时，按第五章“响应文件（格式）”要求提供《残疾人福利性单位声明函》为评审依据。</w:t>
      </w:r>
    </w:p>
    <w:p>
      <w:pPr>
        <w:widowControl/>
        <w:spacing w:line="440" w:lineRule="exact"/>
        <w:ind w:firstLine="420"/>
        <w:rPr>
          <w:rFonts w:hint="eastAsia" w:ascii="宋体" w:hAnsi="宋体" w:cs="宋体"/>
          <w:color w:val="auto"/>
          <w:kern w:val="0"/>
          <w:szCs w:val="21"/>
          <w:highlight w:val="none"/>
        </w:rPr>
      </w:pPr>
      <w:r>
        <w:rPr>
          <w:rFonts w:hint="eastAsia" w:hAnsi="宋体"/>
          <w:color w:val="auto"/>
          <w:highlight w:val="none"/>
        </w:rPr>
        <w:t>（5）除上述情况外，评标价＝最后报价。</w:t>
      </w:r>
      <w:r>
        <w:rPr>
          <w:rFonts w:hint="eastAsia" w:ascii="宋体" w:hAnsi="宋体" w:cs="宋体"/>
          <w:color w:val="auto"/>
          <w:kern w:val="0"/>
          <w:szCs w:val="21"/>
          <w:highlight w:val="none"/>
        </w:rPr>
        <w:t xml:space="preserve"> </w:t>
      </w:r>
    </w:p>
    <w:p>
      <w:pPr>
        <w:widowControl/>
        <w:spacing w:line="440" w:lineRule="exact"/>
        <w:ind w:firstLine="420"/>
        <w:rPr>
          <w:rFonts w:ascii="宋体" w:hAnsi="宋体" w:cs="宋体"/>
          <w:b/>
          <w:color w:val="auto"/>
          <w:kern w:val="0"/>
          <w:szCs w:val="21"/>
          <w:highlight w:val="none"/>
        </w:rPr>
      </w:pPr>
      <w:r>
        <w:rPr>
          <w:rFonts w:hint="eastAsia" w:ascii="宋体" w:hAnsi="宋体" w:cs="宋体"/>
          <w:b/>
          <w:color w:val="auto"/>
          <w:kern w:val="0"/>
          <w:szCs w:val="21"/>
          <w:highlight w:val="none"/>
        </w:rPr>
        <w:t xml:space="preserve">三、成交候选供应商推荐原则 </w:t>
      </w:r>
    </w:p>
    <w:p>
      <w:pPr>
        <w:pStyle w:val="15"/>
        <w:spacing w:line="440" w:lineRule="exact"/>
        <w:ind w:firstLine="420" w:firstLineChars="200"/>
        <w:rPr>
          <w:rFonts w:hint="eastAsia"/>
          <w:color w:val="auto"/>
          <w:szCs w:val="21"/>
          <w:highlight w:val="none"/>
        </w:rPr>
      </w:pPr>
      <w:r>
        <w:rPr>
          <w:rFonts w:hint="eastAsia" w:hAnsi="宋体" w:cs="宋体"/>
          <w:color w:val="auto"/>
          <w:kern w:val="0"/>
          <w:szCs w:val="21"/>
          <w:highlight w:val="none"/>
        </w:rPr>
        <w:t>谈判小组以竞争性谈判文件为依据，对响应文件进行评审，在全部满足竞争性谈判文件实质性要求和条件的前提下，按评标价由低到高排列成交候选供应商顺序（评标价相同时，依次按节能环保产品优先、技术指标高优先、质量保证期长优先、交货期短优先、故障响应时间短优先的顺序排列；评标价相同且前述指标均相同时，由谈判小组各成员对评标价相同的供应商当场投票表决，得票多者优先；按前述程序仍无法确定供应商排名顺序的，由谈判小组抽签决定），并推荐三家及以上成交候选供应商。采购单位应当确定谈判小组推荐排名第一的成交候选供应商为成交供应商。排名第一的成交候选供 应商放弃成交、因不可抗力提出不能履行合同，或者竞争性谈判文件规定应当提交履约保证金而在规定的期限内未能提交的，采购单位可以确定排名第二的成交候选供应商为成交供应商。排名第二的成交候选供应商因前款规定的同样原因不能签订合同的，采购单位可以确定排名第三的成交候选供应商为成交供应商，其余以此类推。</w:t>
      </w:r>
    </w:p>
    <w:p>
      <w:pPr>
        <w:widowControl/>
        <w:jc w:val="left"/>
        <w:rPr>
          <w:rFonts w:ascii="宋体" w:hAnsi="宋体" w:cs="宋体"/>
          <w:color w:val="auto"/>
          <w:kern w:val="0"/>
          <w:sz w:val="24"/>
          <w:highlight w:val="none"/>
        </w:rPr>
      </w:pPr>
    </w:p>
    <w:p>
      <w:pPr>
        <w:pStyle w:val="15"/>
        <w:rPr>
          <w:rFonts w:hint="eastAsia"/>
          <w:b/>
          <w:color w:val="auto"/>
          <w:sz w:val="32"/>
          <w:highlight w:val="none"/>
        </w:rPr>
      </w:pPr>
    </w:p>
    <w:p>
      <w:pPr>
        <w:pStyle w:val="15"/>
        <w:jc w:val="center"/>
        <w:rPr>
          <w:rFonts w:hint="eastAsia"/>
          <w:b/>
          <w:color w:val="auto"/>
          <w:sz w:val="32"/>
          <w:highlight w:val="none"/>
        </w:rPr>
      </w:pPr>
      <w:r>
        <w:rPr>
          <w:b/>
          <w:color w:val="auto"/>
          <w:sz w:val="32"/>
          <w:highlight w:val="none"/>
        </w:rPr>
        <w:br w:type="page"/>
      </w: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15"/>
        <w:jc w:val="center"/>
        <w:rPr>
          <w:rFonts w:hint="eastAsia"/>
          <w:b/>
          <w:color w:val="auto"/>
          <w:sz w:val="32"/>
          <w:highlight w:val="none"/>
        </w:rPr>
      </w:pPr>
    </w:p>
    <w:p>
      <w:pPr>
        <w:pStyle w:val="3"/>
        <w:keepLines/>
        <w:spacing w:before="340" w:after="330" w:line="578" w:lineRule="auto"/>
        <w:jc w:val="center"/>
        <w:rPr>
          <w:rFonts w:hint="eastAsia"/>
          <w:b w:val="0"/>
          <w:color w:val="auto"/>
          <w:sz w:val="32"/>
          <w:highlight w:val="none"/>
        </w:rPr>
      </w:pPr>
      <w:bookmarkStart w:id="35" w:name="_Toc31577"/>
      <w:r>
        <w:rPr>
          <w:rFonts w:hint="eastAsia"/>
          <w:bCs/>
          <w:color w:val="auto"/>
          <w:kern w:val="44"/>
          <w:sz w:val="44"/>
          <w:szCs w:val="44"/>
          <w:highlight w:val="none"/>
        </w:rPr>
        <w:t>第五章   响应文件（格式）</w:t>
      </w:r>
      <w:bookmarkEnd w:id="35"/>
    </w:p>
    <w:p>
      <w:pPr>
        <w:pStyle w:val="15"/>
        <w:spacing w:line="440" w:lineRule="exact"/>
        <w:ind w:firstLine="420"/>
        <w:rPr>
          <w:rFonts w:hint="eastAsia" w:ascii="隶书" w:eastAsia="隶书"/>
          <w:color w:val="auto"/>
          <w:sz w:val="44"/>
          <w:highlight w:val="none"/>
        </w:rPr>
      </w:pPr>
      <w:r>
        <w:rPr>
          <w:rFonts w:hint="eastAsia"/>
          <w:color w:val="auto"/>
          <w:highlight w:val="none"/>
        </w:rPr>
        <w:t>｛响应文件正、副本</w:t>
      </w:r>
      <w:r>
        <w:rPr>
          <w:rFonts w:hint="eastAsia" w:ascii="Times New Roman" w:hAnsi="Times New Roman"/>
          <w:color w:val="auto"/>
          <w:highlight w:val="none"/>
        </w:rPr>
        <w:t>（正本一份、副本三份）</w:t>
      </w:r>
      <w:r>
        <w:rPr>
          <w:rFonts w:hint="eastAsia"/>
          <w:color w:val="auto"/>
          <w:highlight w:val="none"/>
        </w:rPr>
        <w:t>分别按第一章“供应商须知”第7条要求的响应文件组成内容及顺序编写并装订成册，在每个文本封面上标明“正本”或“副本”</w:t>
      </w:r>
      <w:r>
        <w:rPr>
          <w:rFonts w:hint="eastAsia" w:hAnsi="宋体"/>
          <w:color w:val="auto"/>
          <w:highlight w:val="none"/>
        </w:rPr>
        <w:t>｝</w:t>
      </w: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3"/>
        <w:keepLines/>
        <w:spacing w:before="340" w:after="330" w:line="578" w:lineRule="auto"/>
        <w:jc w:val="center"/>
        <w:rPr>
          <w:rFonts w:hint="eastAsia"/>
          <w:color w:val="auto"/>
          <w:highlight w:val="none"/>
        </w:rPr>
      </w:pPr>
      <w:r>
        <w:rPr>
          <w:color w:val="auto"/>
          <w:highlight w:val="none"/>
        </w:rPr>
        <w:br w:type="page"/>
      </w:r>
      <w:bookmarkStart w:id="36" w:name="_Toc20971"/>
      <w:r>
        <w:rPr>
          <w:rFonts w:hint="eastAsia"/>
          <w:bCs/>
          <w:color w:val="auto"/>
          <w:kern w:val="44"/>
          <w:sz w:val="32"/>
          <w:szCs w:val="44"/>
          <w:highlight w:val="none"/>
        </w:rPr>
        <w:t>封面格式</w:t>
      </w:r>
      <w:bookmarkEnd w:id="36"/>
    </w:p>
    <w:p>
      <w:pPr>
        <w:pStyle w:val="15"/>
        <w:spacing w:line="440" w:lineRule="exact"/>
        <w:rPr>
          <w:rFonts w:hint="eastAsia"/>
          <w:color w:val="auto"/>
          <w:highlight w:val="none"/>
        </w:rPr>
      </w:pPr>
      <w:r>
        <w:rPr>
          <w:rFonts w:hint="eastAsia"/>
          <w:color w:val="auto"/>
          <w:highlight w:val="none"/>
        </w:rPr>
        <w:t xml:space="preserve">   </w:t>
      </w:r>
      <w:r>
        <w:rPr>
          <w:rFonts w:hint="eastAsia"/>
          <w:color w:val="auto"/>
          <w:highlight w:val="none"/>
          <w:u w:val="single"/>
        </w:rPr>
        <w:t xml:space="preserve">        </w:t>
      </w:r>
      <w:r>
        <w:rPr>
          <w:rFonts w:hint="eastAsia" w:ascii="华文新魏" w:eastAsia="华文新魏"/>
          <w:b/>
          <w:bCs/>
          <w:color w:val="auto"/>
          <w:sz w:val="36"/>
          <w:highlight w:val="none"/>
        </w:rPr>
        <w:t>本</w:t>
      </w:r>
    </w:p>
    <w:p>
      <w:pPr>
        <w:pStyle w:val="15"/>
        <w:spacing w:line="440" w:lineRule="exact"/>
        <w:jc w:val="center"/>
        <w:rPr>
          <w:rFonts w:hint="eastAsia"/>
          <w:color w:val="auto"/>
          <w:highlight w:val="none"/>
        </w:rPr>
      </w:pPr>
    </w:p>
    <w:p>
      <w:pPr>
        <w:pStyle w:val="15"/>
        <w:jc w:val="center"/>
        <w:rPr>
          <w:rFonts w:hint="eastAsia" w:ascii="华文新魏" w:eastAsia="华文新魏"/>
          <w:b/>
          <w:bCs/>
          <w:color w:val="auto"/>
          <w:sz w:val="36"/>
          <w:highlight w:val="none"/>
        </w:rPr>
      </w:pPr>
      <w:r>
        <w:rPr>
          <w:rFonts w:hint="eastAsia" w:ascii="华文新魏" w:eastAsia="华文新魏"/>
          <w:b/>
          <w:bCs/>
          <w:color w:val="auto"/>
          <w:sz w:val="36"/>
          <w:highlight w:val="none"/>
        </w:rPr>
        <w:t>×××××（供应商名称）</w:t>
      </w: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jc w:val="center"/>
        <w:rPr>
          <w:rFonts w:hint="eastAsia"/>
          <w:color w:val="auto"/>
          <w:sz w:val="72"/>
          <w:highlight w:val="none"/>
        </w:rPr>
      </w:pPr>
      <w:r>
        <w:rPr>
          <w:rFonts w:hint="eastAsia"/>
          <w:color w:val="auto"/>
          <w:sz w:val="72"/>
          <w:highlight w:val="none"/>
        </w:rPr>
        <w:t>响  应  文  件</w:t>
      </w: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ind w:firstLine="1545" w:firstLineChars="481"/>
        <w:rPr>
          <w:rFonts w:hint="eastAsia" w:ascii="黑体" w:hAnsi="华文中宋" w:eastAsia="黑体"/>
          <w:b/>
          <w:bCs/>
          <w:color w:val="auto"/>
          <w:sz w:val="32"/>
          <w:szCs w:val="32"/>
          <w:highlight w:val="none"/>
        </w:rPr>
      </w:pPr>
      <w:r>
        <w:rPr>
          <w:rFonts w:hint="eastAsia"/>
          <w:b/>
          <w:color w:val="auto"/>
          <w:sz w:val="32"/>
          <w:szCs w:val="32"/>
          <w:highlight w:val="none"/>
        </w:rPr>
        <w:t>项目名称：</w:t>
      </w:r>
      <w:r>
        <w:rPr>
          <w:rFonts w:hint="eastAsia" w:ascii="黑体" w:hAnsi="华文中宋" w:eastAsia="黑体"/>
          <w:b/>
          <w:bCs/>
          <w:color w:val="auto"/>
          <w:sz w:val="32"/>
          <w:szCs w:val="32"/>
          <w:highlight w:val="none"/>
        </w:rPr>
        <w:t xml:space="preserve"> </w:t>
      </w:r>
    </w:p>
    <w:p>
      <w:pPr>
        <w:pStyle w:val="15"/>
        <w:ind w:firstLine="1545" w:firstLineChars="481"/>
        <w:rPr>
          <w:rFonts w:hint="eastAsia"/>
          <w:b/>
          <w:color w:val="auto"/>
          <w:sz w:val="32"/>
          <w:szCs w:val="32"/>
          <w:highlight w:val="none"/>
        </w:rPr>
      </w:pPr>
      <w:r>
        <w:rPr>
          <w:rFonts w:hint="eastAsia"/>
          <w:b/>
          <w:color w:val="auto"/>
          <w:sz w:val="32"/>
          <w:szCs w:val="32"/>
          <w:highlight w:val="none"/>
        </w:rPr>
        <w:t xml:space="preserve">项目编号: </w:t>
      </w: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spacing w:line="500" w:lineRule="exact"/>
        <w:ind w:left="1260" w:leftChars="600"/>
        <w:rPr>
          <w:rFonts w:hint="eastAsia"/>
          <w:b/>
          <w:bCs/>
          <w:color w:val="auto"/>
          <w:sz w:val="28"/>
          <w:highlight w:val="none"/>
        </w:rPr>
      </w:pPr>
      <w:r>
        <w:rPr>
          <w:rFonts w:hint="eastAsia"/>
          <w:b/>
          <w:bCs/>
          <w:color w:val="auto"/>
          <w:sz w:val="28"/>
          <w:highlight w:val="none"/>
        </w:rPr>
        <w:t xml:space="preserve">供应商： </w:t>
      </w:r>
      <w:r>
        <w:rPr>
          <w:rFonts w:hint="eastAsia"/>
          <w:b/>
          <w:bCs/>
          <w:color w:val="auto"/>
          <w:sz w:val="28"/>
          <w:highlight w:val="none"/>
          <w:u w:val="single"/>
        </w:rPr>
        <w:t xml:space="preserve">                               （盖公章） </w:t>
      </w:r>
    </w:p>
    <w:p>
      <w:pPr>
        <w:pStyle w:val="15"/>
        <w:spacing w:line="500" w:lineRule="exact"/>
        <w:ind w:left="1260" w:leftChars="600"/>
        <w:rPr>
          <w:rFonts w:hint="eastAsia"/>
          <w:b/>
          <w:bCs/>
          <w:color w:val="auto"/>
          <w:sz w:val="28"/>
          <w:highlight w:val="none"/>
        </w:rPr>
      </w:pPr>
      <w:r>
        <w:rPr>
          <w:rFonts w:hint="eastAsia"/>
          <w:b/>
          <w:bCs/>
          <w:color w:val="auto"/>
          <w:sz w:val="28"/>
          <w:highlight w:val="none"/>
        </w:rPr>
        <w:t xml:space="preserve">地 址： </w:t>
      </w:r>
      <w:r>
        <w:rPr>
          <w:rFonts w:hint="eastAsia"/>
          <w:b/>
          <w:bCs/>
          <w:color w:val="auto"/>
          <w:sz w:val="28"/>
          <w:highlight w:val="none"/>
          <w:u w:val="single"/>
        </w:rPr>
        <w:t xml:space="preserve">                                           </w:t>
      </w:r>
    </w:p>
    <w:p>
      <w:pPr>
        <w:pStyle w:val="15"/>
        <w:spacing w:line="500" w:lineRule="exact"/>
        <w:ind w:left="1260" w:leftChars="600"/>
        <w:rPr>
          <w:rFonts w:hint="eastAsia"/>
          <w:b/>
          <w:bCs/>
          <w:color w:val="auto"/>
          <w:sz w:val="28"/>
          <w:highlight w:val="none"/>
        </w:rPr>
      </w:pPr>
      <w:r>
        <w:rPr>
          <w:rFonts w:hint="eastAsia"/>
          <w:b/>
          <w:bCs/>
          <w:color w:val="auto"/>
          <w:sz w:val="28"/>
          <w:highlight w:val="none"/>
        </w:rPr>
        <w:t xml:space="preserve">法定代表人或委托代理人签字： </w:t>
      </w:r>
      <w:r>
        <w:rPr>
          <w:rFonts w:hint="eastAsia"/>
          <w:b/>
          <w:bCs/>
          <w:color w:val="auto"/>
          <w:sz w:val="28"/>
          <w:highlight w:val="none"/>
          <w:u w:val="single"/>
        </w:rPr>
        <w:t xml:space="preserve">              </w:t>
      </w:r>
    </w:p>
    <w:p>
      <w:pPr>
        <w:pStyle w:val="15"/>
        <w:spacing w:line="500" w:lineRule="exact"/>
        <w:ind w:left="1260" w:leftChars="600"/>
        <w:rPr>
          <w:rFonts w:hint="eastAsia"/>
          <w:b/>
          <w:bCs/>
          <w:color w:val="auto"/>
          <w:sz w:val="28"/>
          <w:highlight w:val="none"/>
        </w:rPr>
      </w:pPr>
      <w:r>
        <w:rPr>
          <w:rFonts w:hint="eastAsia"/>
          <w:b/>
          <w:bCs/>
          <w:color w:val="auto"/>
          <w:sz w:val="28"/>
          <w:highlight w:val="none"/>
        </w:rPr>
        <w:t>联系电话：</w:t>
      </w:r>
      <w:r>
        <w:rPr>
          <w:rFonts w:hint="eastAsia"/>
          <w:b/>
          <w:bCs/>
          <w:color w:val="auto"/>
          <w:sz w:val="28"/>
          <w:highlight w:val="none"/>
          <w:u w:val="single"/>
        </w:rPr>
        <w:t xml:space="preserve">                                         </w:t>
      </w:r>
    </w:p>
    <w:p>
      <w:pPr>
        <w:pStyle w:val="15"/>
        <w:spacing w:line="500" w:lineRule="exact"/>
        <w:ind w:left="1260" w:leftChars="600"/>
        <w:rPr>
          <w:rFonts w:hint="eastAsia"/>
          <w:b/>
          <w:bCs/>
          <w:color w:val="auto"/>
          <w:sz w:val="28"/>
          <w:highlight w:val="none"/>
        </w:rPr>
      </w:pPr>
    </w:p>
    <w:p>
      <w:pPr>
        <w:pStyle w:val="15"/>
        <w:rPr>
          <w:rFonts w:hint="eastAsia"/>
          <w:b/>
          <w:bCs/>
          <w:color w:val="auto"/>
          <w:sz w:val="28"/>
          <w:highlight w:val="none"/>
        </w:rPr>
      </w:pPr>
    </w:p>
    <w:p>
      <w:pPr>
        <w:pStyle w:val="15"/>
        <w:jc w:val="center"/>
        <w:rPr>
          <w:b/>
          <w:bCs/>
          <w:color w:val="auto"/>
          <w:sz w:val="28"/>
          <w:highlight w:val="none"/>
        </w:rPr>
      </w:pPr>
      <w:r>
        <w:rPr>
          <w:rFonts w:hint="eastAsia"/>
          <w:b/>
          <w:bCs/>
          <w:color w:val="auto"/>
          <w:sz w:val="28"/>
          <w:highlight w:val="none"/>
        </w:rPr>
        <w:t>(至</w:t>
      </w:r>
      <w:r>
        <w:rPr>
          <w:rFonts w:hint="eastAsia"/>
          <w:b/>
          <w:bCs/>
          <w:color w:val="auto"/>
          <w:sz w:val="28"/>
          <w:highlight w:val="none"/>
          <w:u w:val="single"/>
        </w:rPr>
        <w:t xml:space="preserve">        </w:t>
      </w:r>
      <w:r>
        <w:rPr>
          <w:rFonts w:hint="eastAsia"/>
          <w:b/>
          <w:bCs/>
          <w:color w:val="auto"/>
          <w:sz w:val="28"/>
          <w:highlight w:val="none"/>
        </w:rPr>
        <w:t xml:space="preserve"> 年</w:t>
      </w:r>
      <w:r>
        <w:rPr>
          <w:rFonts w:hint="eastAsia"/>
          <w:b/>
          <w:bCs/>
          <w:color w:val="auto"/>
          <w:sz w:val="28"/>
          <w:highlight w:val="none"/>
          <w:u w:val="single"/>
        </w:rPr>
        <w:t xml:space="preserve">    </w:t>
      </w:r>
      <w:r>
        <w:rPr>
          <w:rFonts w:hint="eastAsia"/>
          <w:b/>
          <w:bCs/>
          <w:color w:val="auto"/>
          <w:sz w:val="28"/>
          <w:highlight w:val="none"/>
        </w:rPr>
        <w:t>月</w:t>
      </w:r>
      <w:r>
        <w:rPr>
          <w:rFonts w:hint="eastAsia"/>
          <w:b/>
          <w:bCs/>
          <w:color w:val="auto"/>
          <w:sz w:val="28"/>
          <w:highlight w:val="none"/>
          <w:u w:val="single"/>
        </w:rPr>
        <w:t xml:space="preserve">     </w:t>
      </w:r>
      <w:r>
        <w:rPr>
          <w:rFonts w:hint="eastAsia"/>
          <w:b/>
          <w:bCs/>
          <w:color w:val="auto"/>
          <w:sz w:val="28"/>
          <w:highlight w:val="none"/>
        </w:rPr>
        <w:t>日</w:t>
      </w:r>
      <w:r>
        <w:rPr>
          <w:rFonts w:hint="eastAsia"/>
          <w:b/>
          <w:bCs/>
          <w:color w:val="auto"/>
          <w:sz w:val="28"/>
          <w:highlight w:val="none"/>
          <w:u w:val="single"/>
        </w:rPr>
        <w:t xml:space="preserve">     </w:t>
      </w:r>
      <w:r>
        <w:rPr>
          <w:rFonts w:hint="eastAsia"/>
          <w:b/>
          <w:bCs/>
          <w:color w:val="auto"/>
          <w:sz w:val="28"/>
          <w:highlight w:val="none"/>
        </w:rPr>
        <w:t>时</w:t>
      </w:r>
      <w:r>
        <w:rPr>
          <w:rFonts w:hint="eastAsia"/>
          <w:b/>
          <w:bCs/>
          <w:color w:val="auto"/>
          <w:sz w:val="28"/>
          <w:highlight w:val="none"/>
          <w:u w:val="single"/>
        </w:rPr>
        <w:t xml:space="preserve">       </w:t>
      </w:r>
      <w:r>
        <w:rPr>
          <w:rFonts w:hint="eastAsia"/>
          <w:b/>
          <w:bCs/>
          <w:color w:val="auto"/>
          <w:sz w:val="28"/>
          <w:highlight w:val="none"/>
        </w:rPr>
        <w:t>分以前不得开封)</w:t>
      </w:r>
    </w:p>
    <w:p>
      <w:pPr>
        <w:pStyle w:val="15"/>
        <w:jc w:val="center"/>
        <w:rPr>
          <w:rFonts w:ascii="隶书" w:eastAsia="隶书"/>
          <w:color w:val="auto"/>
          <w:sz w:val="44"/>
          <w:highlight w:val="none"/>
        </w:rPr>
      </w:pPr>
      <w:r>
        <w:rPr>
          <w:b/>
          <w:bCs/>
          <w:color w:val="auto"/>
          <w:sz w:val="28"/>
          <w:highlight w:val="none"/>
        </w:rPr>
        <w:br w:type="page"/>
      </w:r>
      <w:r>
        <w:rPr>
          <w:rFonts w:hint="eastAsia" w:ascii="隶书" w:eastAsia="隶书"/>
          <w:color w:val="auto"/>
          <w:sz w:val="44"/>
          <w:highlight w:val="none"/>
        </w:rPr>
        <w:t>目     录</w:t>
      </w:r>
    </w:p>
    <w:p>
      <w:pPr>
        <w:pStyle w:val="15"/>
        <w:jc w:val="center"/>
        <w:rPr>
          <w:rFonts w:hint="eastAsia" w:ascii="隶书" w:eastAsia="隶书"/>
          <w:color w:val="auto"/>
          <w:highlight w:val="none"/>
        </w:rPr>
      </w:pPr>
    </w:p>
    <w:p>
      <w:pPr>
        <w:pStyle w:val="15"/>
        <w:jc w:val="center"/>
        <w:rPr>
          <w:rFonts w:hint="eastAsia" w:ascii="隶书" w:eastAsia="隶书"/>
          <w:color w:val="auto"/>
          <w:sz w:val="32"/>
          <w:highlight w:val="none"/>
        </w:rPr>
      </w:pPr>
      <w:r>
        <w:rPr>
          <w:rFonts w:hint="eastAsia" w:ascii="隶书" w:eastAsia="隶书"/>
          <w:color w:val="auto"/>
          <w:highlight w:val="none"/>
        </w:rPr>
        <w:t>（须按第一章供应商须知第7条要求的响应文件组成内容及顺序编写目录）</w:t>
      </w:r>
    </w:p>
    <w:p>
      <w:pPr>
        <w:pStyle w:val="15"/>
        <w:rPr>
          <w:rFonts w:hint="eastAsia"/>
          <w:b/>
          <w:color w:val="auto"/>
          <w:sz w:val="32"/>
          <w:highlight w:val="none"/>
        </w:rPr>
      </w:pPr>
    </w:p>
    <w:p>
      <w:pPr>
        <w:pStyle w:val="15"/>
        <w:rPr>
          <w:rFonts w:hint="eastAsia"/>
          <w:b/>
          <w:color w:val="auto"/>
          <w:sz w:val="32"/>
          <w:highlight w:val="none"/>
        </w:rPr>
      </w:pPr>
    </w:p>
    <w:p>
      <w:pPr>
        <w:pStyle w:val="15"/>
        <w:rPr>
          <w:rFonts w:hint="eastAsia"/>
          <w:b/>
          <w:color w:val="auto"/>
          <w:sz w:val="32"/>
          <w:highlight w:val="none"/>
        </w:rPr>
      </w:pPr>
    </w:p>
    <w:p>
      <w:pPr>
        <w:pStyle w:val="15"/>
        <w:rPr>
          <w:rFonts w:hint="eastAsia"/>
          <w:b/>
          <w:color w:val="auto"/>
          <w:sz w:val="32"/>
          <w:highlight w:val="none"/>
        </w:rPr>
      </w:pPr>
    </w:p>
    <w:p>
      <w:pPr>
        <w:pStyle w:val="15"/>
        <w:rPr>
          <w:rFonts w:hint="eastAsia"/>
          <w:b/>
          <w:color w:val="auto"/>
          <w:sz w:val="32"/>
          <w:highlight w:val="none"/>
        </w:rPr>
      </w:pPr>
    </w:p>
    <w:p>
      <w:pPr>
        <w:pStyle w:val="15"/>
        <w:rPr>
          <w:rFonts w:hint="eastAsia"/>
          <w:b/>
          <w:color w:val="auto"/>
          <w:sz w:val="32"/>
          <w:highlight w:val="none"/>
        </w:rPr>
      </w:pPr>
    </w:p>
    <w:p>
      <w:pPr>
        <w:pStyle w:val="15"/>
        <w:rPr>
          <w:rFonts w:hint="eastAsia"/>
          <w:b/>
          <w:color w:val="auto"/>
          <w:sz w:val="32"/>
          <w:highlight w:val="none"/>
        </w:rPr>
      </w:pPr>
    </w:p>
    <w:p>
      <w:pPr>
        <w:pStyle w:val="15"/>
        <w:rPr>
          <w:rFonts w:hint="eastAsia"/>
          <w:b/>
          <w:color w:val="auto"/>
          <w:sz w:val="32"/>
          <w:highlight w:val="none"/>
        </w:rPr>
      </w:pPr>
    </w:p>
    <w:p>
      <w:pPr>
        <w:pStyle w:val="15"/>
        <w:rPr>
          <w:rFonts w:hint="eastAsia"/>
          <w:b/>
          <w:color w:val="auto"/>
          <w:sz w:val="32"/>
          <w:highlight w:val="none"/>
        </w:rPr>
      </w:pPr>
    </w:p>
    <w:p>
      <w:pPr>
        <w:pStyle w:val="3"/>
        <w:keepLines/>
        <w:spacing w:before="340" w:after="330" w:line="578" w:lineRule="auto"/>
        <w:jc w:val="center"/>
        <w:rPr>
          <w:rFonts w:hint="eastAsia"/>
          <w:b w:val="0"/>
          <w:color w:val="auto"/>
          <w:sz w:val="32"/>
          <w:highlight w:val="none"/>
        </w:rPr>
      </w:pPr>
      <w:r>
        <w:rPr>
          <w:b w:val="0"/>
          <w:color w:val="auto"/>
          <w:sz w:val="32"/>
          <w:highlight w:val="none"/>
        </w:rPr>
        <w:br w:type="page"/>
      </w:r>
      <w:bookmarkStart w:id="37" w:name="_Toc25633"/>
      <w:r>
        <w:rPr>
          <w:rFonts w:hint="eastAsia"/>
          <w:bCs/>
          <w:color w:val="auto"/>
          <w:kern w:val="44"/>
          <w:sz w:val="32"/>
          <w:szCs w:val="44"/>
          <w:highlight w:val="none"/>
        </w:rPr>
        <w:t>一、谈判声明（格式）</w:t>
      </w:r>
      <w:bookmarkEnd w:id="37"/>
    </w:p>
    <w:p>
      <w:pPr>
        <w:pStyle w:val="15"/>
        <w:spacing w:line="420" w:lineRule="exact"/>
        <w:ind w:firstLine="103"/>
        <w:rPr>
          <w:rFonts w:hint="eastAsia"/>
          <w:color w:val="auto"/>
          <w:highlight w:val="none"/>
        </w:rPr>
      </w:pPr>
      <w:r>
        <w:rPr>
          <w:rFonts w:hint="eastAsia"/>
          <w:color w:val="auto"/>
          <w:highlight w:val="none"/>
        </w:rPr>
        <w:t>致：</w:t>
      </w:r>
      <w:r>
        <w:rPr>
          <w:rFonts w:hint="eastAsia"/>
          <w:color w:val="auto"/>
          <w:highlight w:val="none"/>
          <w:u w:val="single"/>
        </w:rPr>
        <w:t xml:space="preserve">广西峻源项目管理有限公司  </w:t>
      </w:r>
    </w:p>
    <w:p>
      <w:pPr>
        <w:spacing w:before="156" w:beforeLines="50" w:after="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项目的谈判，为便于贵方公正、择优地确定成交供应商及其竞标产品和服务，我方就本次谈判有关事项郑重声明如下：</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3.在此，我方宣布同意如下：</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(1)将按竞争性谈判文件的约定履行合同责任和义务；</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(2)已详细审查全部竞争性谈判文件，包括补遗文件（如有）；</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(3)同意提供按照贵方可能要求的与谈判有关的一切数据或资料；</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(4)响应竞争性谈判文件规定的谈判有效期。</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（6）法律、行政法规规定的其他条件。</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5.我方在此声明，我方及由本人担任法定代表人的其他机构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before="156" w:beforeLines="50"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pPr>
        <w:spacing w:line="320" w:lineRule="exact"/>
        <w:ind w:firstLine="420" w:firstLineChars="200"/>
        <w:contextualSpacing/>
        <w:rPr>
          <w:rFonts w:hint="eastAsia"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pStyle w:val="15"/>
        <w:spacing w:line="320" w:lineRule="exact"/>
        <w:ind w:firstLine="420" w:firstLineChars="200"/>
        <w:contextualSpacing/>
        <w:rPr>
          <w:rFonts w:hint="eastAsia" w:hAnsi="宋体" w:cs="宋体"/>
          <w:color w:val="auto"/>
          <w:highlight w:val="none"/>
          <w:u w:val="single"/>
        </w:rPr>
      </w:pPr>
      <w:r>
        <w:rPr>
          <w:rFonts w:hint="eastAsia" w:hAnsi="宋体" w:cs="宋体"/>
          <w:color w:val="auto"/>
          <w:highlight w:val="none"/>
        </w:rPr>
        <w:t>7.与本谈判有关的一切正式往来信函请寄：</w:t>
      </w:r>
      <w:r>
        <w:rPr>
          <w:rFonts w:hint="eastAsia" w:hAnsi="宋体" w:cs="宋体"/>
          <w:color w:val="auto"/>
          <w:highlight w:val="none"/>
          <w:u w:val="single"/>
        </w:rPr>
        <w:t xml:space="preserve">                  </w:t>
      </w:r>
      <w:r>
        <w:rPr>
          <w:rFonts w:hint="eastAsia" w:hAnsi="宋体" w:cs="宋体"/>
          <w:color w:val="auto"/>
          <w:highlight w:val="none"/>
        </w:rPr>
        <w:t>邮政编号：</w:t>
      </w:r>
      <w:r>
        <w:rPr>
          <w:rFonts w:hint="eastAsia" w:hAnsi="宋体" w:cs="宋体"/>
          <w:color w:val="auto"/>
          <w:highlight w:val="none"/>
          <w:u w:val="single"/>
        </w:rPr>
        <w:t xml:space="preserve">    </w:t>
      </w:r>
    </w:p>
    <w:p>
      <w:pPr>
        <w:pStyle w:val="15"/>
        <w:spacing w:line="320" w:lineRule="exact"/>
        <w:ind w:firstLine="420" w:firstLineChars="200"/>
        <w:contextualSpacing/>
        <w:rPr>
          <w:rFonts w:hint="eastAsia" w:hAnsi="宋体" w:cs="宋体"/>
          <w:color w:val="auto"/>
          <w:highlight w:val="none"/>
        </w:rPr>
      </w:pPr>
      <w:r>
        <w:rPr>
          <w:rFonts w:hint="eastAsia" w:hAnsi="宋体" w:cs="宋体"/>
          <w:color w:val="auto"/>
          <w:highlight w:val="none"/>
        </w:rPr>
        <w:t>电话/传真：</w:t>
      </w:r>
      <w:r>
        <w:rPr>
          <w:rFonts w:hint="eastAsia" w:hAnsi="宋体" w:cs="宋体"/>
          <w:color w:val="auto"/>
          <w:highlight w:val="none"/>
          <w:u w:val="single"/>
        </w:rPr>
        <w:t xml:space="preserve">                        </w:t>
      </w:r>
      <w:r>
        <w:rPr>
          <w:rFonts w:hint="eastAsia" w:hAnsi="宋体" w:cs="宋体"/>
          <w:color w:val="auto"/>
          <w:highlight w:val="none"/>
        </w:rPr>
        <w:t xml:space="preserve"> 电子函件：</w:t>
      </w:r>
      <w:r>
        <w:rPr>
          <w:rFonts w:hint="eastAsia" w:hAnsi="宋体" w:cs="宋体"/>
          <w:color w:val="auto"/>
          <w:highlight w:val="none"/>
          <w:u w:val="single"/>
        </w:rPr>
        <w:t xml:space="preserve">             </w:t>
      </w:r>
      <w:r>
        <w:rPr>
          <w:rFonts w:hint="eastAsia" w:hAnsi="宋体" w:cs="宋体"/>
          <w:color w:val="auto"/>
          <w:highlight w:val="none"/>
        </w:rPr>
        <w:t xml:space="preserve">    </w:t>
      </w:r>
    </w:p>
    <w:p>
      <w:pPr>
        <w:pStyle w:val="13"/>
        <w:tabs>
          <w:tab w:val="left" w:pos="939"/>
        </w:tabs>
        <w:spacing w:line="3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帐号/行号：</w:t>
      </w:r>
      <w:r>
        <w:rPr>
          <w:rFonts w:hint="eastAsia" w:ascii="宋体" w:hAnsi="宋体" w:cs="宋体"/>
          <w:color w:val="auto"/>
          <w:szCs w:val="21"/>
          <w:highlight w:val="none"/>
          <w:u w:val="single"/>
        </w:rPr>
        <w:t xml:space="preserve">           </w:t>
      </w:r>
    </w:p>
    <w:p>
      <w:pPr>
        <w:pStyle w:val="13"/>
        <w:tabs>
          <w:tab w:val="left" w:pos="939"/>
        </w:tabs>
        <w:spacing w:line="3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8.以上事项如有虚假或隐瞒，我方愿意承担一切后果，并不再寻求任何旨在减轻或免除法律责任的辩解。</w:t>
      </w:r>
    </w:p>
    <w:p>
      <w:pPr>
        <w:pStyle w:val="13"/>
        <w:tabs>
          <w:tab w:val="left" w:pos="939"/>
        </w:tabs>
        <w:spacing w:line="320" w:lineRule="exact"/>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pPr>
        <w:spacing w:line="320" w:lineRule="exact"/>
        <w:ind w:firstLine="3780" w:firstLineChars="1800"/>
        <w:rPr>
          <w:rFonts w:hint="eastAsia"/>
          <w:color w:val="auto"/>
          <w:highlight w:val="none"/>
        </w:rPr>
      </w:pPr>
      <w:r>
        <w:rPr>
          <w:rFonts w:hint="eastAsia"/>
          <w:color w:val="auto"/>
          <w:highlight w:val="none"/>
        </w:rPr>
        <w:t>法定代表人（负责人或自然人）（签字）：</w:t>
      </w:r>
      <w:r>
        <w:rPr>
          <w:rFonts w:hint="eastAsia"/>
          <w:color w:val="auto"/>
          <w:highlight w:val="none"/>
          <w:u w:val="single"/>
        </w:rPr>
        <w:t xml:space="preserve">           </w:t>
      </w:r>
      <w:r>
        <w:rPr>
          <w:rFonts w:hint="eastAsia"/>
          <w:color w:val="auto"/>
          <w:highlight w:val="none"/>
        </w:rPr>
        <w:t xml:space="preserve">                                     </w:t>
      </w:r>
    </w:p>
    <w:p>
      <w:pPr>
        <w:spacing w:line="320" w:lineRule="exact"/>
        <w:ind w:firstLine="3780" w:firstLineChars="1800"/>
        <w:rPr>
          <w:rFonts w:hint="eastAsia" w:ascii="宋体" w:hAnsi="宋体" w:cs="宋体"/>
          <w:color w:val="auto"/>
          <w:szCs w:val="21"/>
          <w:highlight w:val="none"/>
          <w:u w:val="single"/>
        </w:rPr>
      </w:pPr>
      <w:r>
        <w:rPr>
          <w:rFonts w:hint="eastAsia"/>
          <w:color w:val="auto"/>
          <w:highlight w:val="none"/>
        </w:rPr>
        <w:t>供应商（盖公章）：</w:t>
      </w:r>
      <w:r>
        <w:rPr>
          <w:rFonts w:hint="eastAsia"/>
          <w:color w:val="auto"/>
          <w:highlight w:val="none"/>
          <w:u w:val="single"/>
        </w:rPr>
        <w:t xml:space="preserve">                               </w:t>
      </w:r>
      <w:r>
        <w:rPr>
          <w:rFonts w:hint="eastAsia"/>
          <w:color w:val="auto"/>
          <w:highlight w:val="none"/>
        </w:rPr>
        <w:t xml:space="preserve">       </w:t>
      </w:r>
      <w:r>
        <w:rPr>
          <w:rFonts w:hint="eastAsia" w:ascii="宋体" w:hAnsi="宋体" w:cs="宋体"/>
          <w:color w:val="auto"/>
          <w:szCs w:val="21"/>
          <w:highlight w:val="none"/>
        </w:rPr>
        <w:t xml:space="preserve">    </w:t>
      </w:r>
    </w:p>
    <w:p>
      <w:pPr>
        <w:wordWrap w:val="0"/>
        <w:spacing w:before="156" w:beforeLines="50" w:after="50" w:line="320" w:lineRule="exact"/>
        <w:ind w:right="482" w:firstLine="210" w:firstLineChars="100"/>
        <w:contextualSpacing/>
        <w:jc w:val="center"/>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 xml:space="preserve"> 年    月    日 </w:t>
      </w:r>
    </w:p>
    <w:p>
      <w:pPr>
        <w:pStyle w:val="3"/>
        <w:keepLines/>
        <w:spacing w:before="340" w:after="330" w:line="578" w:lineRule="auto"/>
        <w:jc w:val="center"/>
        <w:rPr>
          <w:rFonts w:hint="eastAsia"/>
          <w:color w:val="auto"/>
          <w:kern w:val="44"/>
          <w:sz w:val="32"/>
          <w:szCs w:val="32"/>
          <w:highlight w:val="none"/>
        </w:rPr>
      </w:pPr>
      <w:bookmarkStart w:id="38" w:name="_Toc15090"/>
      <w:r>
        <w:rPr>
          <w:rFonts w:hint="eastAsia"/>
          <w:bCs/>
          <w:color w:val="auto"/>
          <w:kern w:val="44"/>
          <w:sz w:val="32"/>
          <w:szCs w:val="44"/>
          <w:highlight w:val="none"/>
        </w:rPr>
        <w:t>二、</w:t>
      </w:r>
      <w:r>
        <w:rPr>
          <w:rFonts w:hint="eastAsia"/>
          <w:color w:val="auto"/>
          <w:kern w:val="44"/>
          <w:sz w:val="32"/>
          <w:szCs w:val="32"/>
          <w:highlight w:val="none"/>
        </w:rPr>
        <w:t>报价表</w:t>
      </w:r>
      <w:r>
        <w:rPr>
          <w:rFonts w:hint="eastAsia"/>
          <w:bCs/>
          <w:color w:val="auto"/>
          <w:kern w:val="44"/>
          <w:sz w:val="32"/>
          <w:szCs w:val="44"/>
          <w:highlight w:val="none"/>
        </w:rPr>
        <w:t>（格式）</w:t>
      </w:r>
      <w:bookmarkEnd w:id="38"/>
    </w:p>
    <w:tbl>
      <w:tblPr>
        <w:tblStyle w:val="28"/>
        <w:tblW w:w="9705" w:type="dxa"/>
        <w:jc w:val="center"/>
        <w:tblLayout w:type="fixed"/>
        <w:tblCellMar>
          <w:top w:w="0" w:type="dxa"/>
          <w:left w:w="0" w:type="dxa"/>
          <w:bottom w:w="0" w:type="dxa"/>
          <w:right w:w="0" w:type="dxa"/>
        </w:tblCellMar>
      </w:tblPr>
      <w:tblGrid>
        <w:gridCol w:w="240"/>
        <w:gridCol w:w="3462"/>
        <w:gridCol w:w="1478"/>
        <w:gridCol w:w="1495"/>
        <w:gridCol w:w="615"/>
        <w:gridCol w:w="567"/>
        <w:gridCol w:w="541"/>
        <w:gridCol w:w="1307"/>
      </w:tblGrid>
      <w:tr>
        <w:tblPrEx>
          <w:tblCellMar>
            <w:top w:w="0" w:type="dxa"/>
            <w:left w:w="0" w:type="dxa"/>
            <w:bottom w:w="0" w:type="dxa"/>
            <w:right w:w="0" w:type="dxa"/>
          </w:tblCellMar>
        </w:tblPrEx>
        <w:trPr>
          <w:trHeight w:val="385" w:hRule="atLeast"/>
          <w:jc w:val="center"/>
        </w:trPr>
        <w:tc>
          <w:tcPr>
            <w:tcW w:w="970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both"/>
              <w:rPr>
                <w:color w:val="auto"/>
                <w:highlight w:val="none"/>
              </w:rPr>
            </w:pPr>
            <w:r>
              <w:rPr>
                <w:rFonts w:hint="eastAsia" w:hAnsi="宋体"/>
                <w:color w:val="auto"/>
                <w:szCs w:val="21"/>
                <w:highlight w:val="none"/>
              </w:rPr>
              <w:t xml:space="preserve">项目名称：2020年管道潜望镜、空气压缩机等设备采购项目        项目编号：YLZC2020-J1-000613-GXJY  </w:t>
            </w:r>
          </w:p>
        </w:tc>
      </w:tr>
      <w:tr>
        <w:tblPrEx>
          <w:tblCellMar>
            <w:top w:w="0" w:type="dxa"/>
            <w:left w:w="0" w:type="dxa"/>
            <w:bottom w:w="0" w:type="dxa"/>
            <w:right w:w="0" w:type="dxa"/>
          </w:tblCellMar>
        </w:tblPrEx>
        <w:trPr>
          <w:trHeight w:val="385" w:hRule="atLeast"/>
          <w:jc w:val="center"/>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highlight w:val="none"/>
              </w:rPr>
            </w:pPr>
            <w:r>
              <w:rPr>
                <w:rFonts w:hint="eastAsia"/>
                <w:color w:val="auto"/>
                <w:highlight w:val="none"/>
              </w:rPr>
              <w:t>序号</w:t>
            </w:r>
          </w:p>
        </w:tc>
        <w:tc>
          <w:tcPr>
            <w:tcW w:w="346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color w:val="auto"/>
                <w:highlight w:val="none"/>
              </w:rPr>
            </w:pPr>
            <w:r>
              <w:rPr>
                <w:rFonts w:hint="eastAsia"/>
                <w:color w:val="auto"/>
                <w:highlight w:val="none"/>
              </w:rPr>
              <w:t>货物（或服务）内容</w:t>
            </w:r>
          </w:p>
        </w:tc>
        <w:tc>
          <w:tcPr>
            <w:tcW w:w="147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pStyle w:val="15"/>
              <w:jc w:val="center"/>
              <w:rPr>
                <w:rFonts w:hint="eastAsia" w:hAnsi="宋体"/>
                <w:color w:val="auto"/>
                <w:szCs w:val="21"/>
                <w:highlight w:val="none"/>
              </w:rPr>
            </w:pPr>
            <w:r>
              <w:rPr>
                <w:rFonts w:hint="eastAsia" w:hAnsi="宋体"/>
                <w:color w:val="auto"/>
                <w:szCs w:val="21"/>
                <w:highlight w:val="none"/>
              </w:rPr>
              <w:t>厂家、品牌型号</w:t>
            </w:r>
          </w:p>
          <w:p>
            <w:pPr>
              <w:pStyle w:val="15"/>
              <w:jc w:val="center"/>
              <w:rPr>
                <w:rFonts w:hint="eastAsia" w:hAnsi="宋体"/>
                <w:color w:val="auto"/>
                <w:szCs w:val="21"/>
                <w:highlight w:val="none"/>
              </w:rPr>
            </w:pPr>
          </w:p>
        </w:tc>
        <w:tc>
          <w:tcPr>
            <w:tcW w:w="149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jc w:val="center"/>
              <w:rPr>
                <w:rFonts w:hint="eastAsia" w:hAnsi="宋体"/>
                <w:color w:val="auto"/>
                <w:szCs w:val="21"/>
                <w:highlight w:val="none"/>
              </w:rPr>
            </w:pPr>
            <w:r>
              <w:rPr>
                <w:rFonts w:hint="eastAsia" w:hAnsi="宋体"/>
                <w:color w:val="auto"/>
                <w:szCs w:val="21"/>
                <w:highlight w:val="none"/>
              </w:rPr>
              <w:t>技术参数及性能、配置</w:t>
            </w: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highlight w:val="none"/>
              </w:rPr>
            </w:pPr>
            <w:r>
              <w:rPr>
                <w:rFonts w:hint="eastAsia"/>
                <w:color w:val="auto"/>
                <w:highlight w:val="none"/>
              </w:rPr>
              <w:t>单位</w:t>
            </w:r>
          </w:p>
        </w:tc>
        <w:tc>
          <w:tcPr>
            <w:tcW w:w="56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color w:val="auto"/>
                <w:highlight w:val="none"/>
              </w:rPr>
            </w:pPr>
            <w:r>
              <w:rPr>
                <w:rFonts w:hint="eastAsia"/>
                <w:color w:val="auto"/>
                <w:highlight w:val="none"/>
              </w:rPr>
              <w:t>数量</w:t>
            </w:r>
          </w:p>
          <w:p>
            <w:pPr>
              <w:jc w:val="center"/>
              <w:rPr>
                <w:rFonts w:hint="eastAsia"/>
                <w:color w:val="auto"/>
                <w:highlight w:val="none"/>
              </w:rPr>
            </w:pPr>
            <w:r>
              <w:rPr>
                <w:rFonts w:hint="eastAsia" w:hAnsi="宋体"/>
                <w:color w:val="auto"/>
                <w:szCs w:val="21"/>
                <w:highlight w:val="none"/>
              </w:rPr>
              <w:t>①</w:t>
            </w:r>
          </w:p>
        </w:tc>
        <w:tc>
          <w:tcPr>
            <w:tcW w:w="541"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pStyle w:val="15"/>
              <w:jc w:val="center"/>
              <w:rPr>
                <w:rFonts w:hint="eastAsia" w:hAnsi="宋体"/>
                <w:color w:val="auto"/>
                <w:szCs w:val="21"/>
                <w:highlight w:val="none"/>
              </w:rPr>
            </w:pPr>
            <w:r>
              <w:rPr>
                <w:rFonts w:hint="eastAsia" w:hAnsi="宋体"/>
                <w:color w:val="auto"/>
                <w:szCs w:val="21"/>
                <w:highlight w:val="none"/>
              </w:rPr>
              <w:t>单价(元)</w:t>
            </w:r>
          </w:p>
          <w:p>
            <w:pPr>
              <w:pStyle w:val="15"/>
              <w:jc w:val="center"/>
              <w:rPr>
                <w:rFonts w:hint="eastAsia" w:hAnsi="宋体"/>
                <w:color w:val="auto"/>
                <w:szCs w:val="21"/>
                <w:highlight w:val="none"/>
              </w:rPr>
            </w:pPr>
            <w:r>
              <w:rPr>
                <w:rFonts w:hint="eastAsia" w:hAnsi="宋体"/>
                <w:color w:val="auto"/>
                <w:szCs w:val="21"/>
                <w:highlight w:val="none"/>
              </w:rPr>
              <w:t>②</w:t>
            </w:r>
          </w:p>
        </w:tc>
        <w:tc>
          <w:tcPr>
            <w:tcW w:w="130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pStyle w:val="15"/>
              <w:jc w:val="center"/>
              <w:rPr>
                <w:rFonts w:hAnsi="宋体"/>
                <w:color w:val="auto"/>
                <w:szCs w:val="21"/>
                <w:highlight w:val="none"/>
              </w:rPr>
            </w:pPr>
            <w:r>
              <w:rPr>
                <w:rFonts w:hint="eastAsia" w:hAnsi="宋体"/>
                <w:color w:val="auto"/>
                <w:szCs w:val="21"/>
                <w:highlight w:val="none"/>
              </w:rPr>
              <w:t>单项合价</w:t>
            </w:r>
          </w:p>
          <w:p>
            <w:pPr>
              <w:pStyle w:val="15"/>
              <w:jc w:val="center"/>
              <w:rPr>
                <w:rFonts w:hint="eastAsia" w:hAnsi="宋体"/>
                <w:color w:val="auto"/>
                <w:szCs w:val="21"/>
                <w:highlight w:val="none"/>
              </w:rPr>
            </w:pPr>
            <w:r>
              <w:rPr>
                <w:rFonts w:hint="eastAsia" w:hAnsi="宋体"/>
                <w:color w:val="auto"/>
                <w:szCs w:val="21"/>
                <w:highlight w:val="none"/>
              </w:rPr>
              <w:t>（元）</w:t>
            </w:r>
          </w:p>
          <w:p>
            <w:pPr>
              <w:jc w:val="center"/>
              <w:rPr>
                <w:rFonts w:hint="eastAsia" w:hAnsi="宋体"/>
                <w:color w:val="auto"/>
                <w:szCs w:val="21"/>
                <w:highlight w:val="none"/>
              </w:rPr>
            </w:pPr>
            <w:r>
              <w:rPr>
                <w:rFonts w:hint="eastAsia" w:hAnsi="宋体"/>
                <w:color w:val="auto"/>
                <w:szCs w:val="21"/>
                <w:highlight w:val="none"/>
              </w:rPr>
              <w:t>③=①×②</w:t>
            </w:r>
          </w:p>
        </w:tc>
      </w:tr>
      <w:tr>
        <w:tblPrEx>
          <w:tblCellMar>
            <w:top w:w="0" w:type="dxa"/>
            <w:left w:w="0" w:type="dxa"/>
            <w:bottom w:w="0" w:type="dxa"/>
            <w:right w:w="0" w:type="dxa"/>
          </w:tblCellMar>
        </w:tblPrEx>
        <w:trPr>
          <w:trHeight w:val="339" w:hRule="atLeast"/>
          <w:jc w:val="center"/>
        </w:trPr>
        <w:tc>
          <w:tcPr>
            <w:tcW w:w="2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color w:val="auto"/>
                <w:highlight w:val="none"/>
              </w:rPr>
            </w:pPr>
            <w:r>
              <w:rPr>
                <w:rFonts w:hint="eastAsia"/>
                <w:color w:val="auto"/>
                <w:highlight w:val="none"/>
              </w:rPr>
              <w:t>1</w:t>
            </w:r>
          </w:p>
        </w:tc>
        <w:tc>
          <w:tcPr>
            <w:tcW w:w="3462"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rPr>
                <w:rFonts w:hint="eastAsia"/>
                <w:color w:val="auto"/>
                <w:highlight w:val="none"/>
              </w:rPr>
            </w:pPr>
          </w:p>
        </w:tc>
        <w:tc>
          <w:tcPr>
            <w:tcW w:w="1478"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color w:val="auto"/>
                <w:highlight w:val="none"/>
              </w:rPr>
            </w:pPr>
          </w:p>
        </w:tc>
        <w:tc>
          <w:tcPr>
            <w:tcW w:w="149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color w:val="auto"/>
                <w:highlight w:val="none"/>
              </w:rPr>
            </w:pP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color w:val="auto"/>
                <w:highlight w:val="none"/>
              </w:rPr>
            </w:pPr>
          </w:p>
        </w:tc>
        <w:tc>
          <w:tcPr>
            <w:tcW w:w="567"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color w:val="auto"/>
                <w:highlight w:val="none"/>
              </w:rPr>
            </w:pPr>
          </w:p>
        </w:tc>
        <w:tc>
          <w:tcPr>
            <w:tcW w:w="54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rPr>
                <w:rFonts w:hint="eastAsia"/>
                <w:color w:val="auto"/>
                <w:highlight w:val="none"/>
              </w:rPr>
            </w:pPr>
          </w:p>
        </w:tc>
        <w:tc>
          <w:tcPr>
            <w:tcW w:w="1307"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color w:val="auto"/>
                <w:highlight w:val="none"/>
              </w:rPr>
            </w:pPr>
          </w:p>
        </w:tc>
      </w:tr>
      <w:tr>
        <w:tblPrEx>
          <w:tblCellMar>
            <w:top w:w="0" w:type="dxa"/>
            <w:left w:w="0" w:type="dxa"/>
            <w:bottom w:w="0" w:type="dxa"/>
            <w:right w:w="0" w:type="dxa"/>
          </w:tblCellMar>
        </w:tblPrEx>
        <w:trPr>
          <w:trHeight w:val="320" w:hRule="atLeast"/>
          <w:jc w:val="center"/>
        </w:trPr>
        <w:tc>
          <w:tcPr>
            <w:tcW w:w="970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rPr>
                <w:rFonts w:hint="eastAsia" w:hAnsi="宋体"/>
                <w:color w:val="auto"/>
                <w:szCs w:val="21"/>
                <w:highlight w:val="none"/>
              </w:rPr>
            </w:pPr>
            <w:r>
              <w:rPr>
                <w:rFonts w:hint="eastAsia" w:hAnsi="宋体"/>
                <w:color w:val="auto"/>
                <w:szCs w:val="21"/>
                <w:highlight w:val="none"/>
              </w:rPr>
              <w:t>总报价（人民币大写）：</w:t>
            </w:r>
            <w:r>
              <w:rPr>
                <w:rFonts w:hint="eastAsia" w:hAnsi="宋体"/>
                <w:color w:val="auto"/>
                <w:szCs w:val="21"/>
                <w:highlight w:val="none"/>
                <w:u w:val="single"/>
              </w:rPr>
              <w:t xml:space="preserve">                                       </w:t>
            </w:r>
            <w:r>
              <w:rPr>
                <w:rFonts w:hint="eastAsia" w:hAnsi="宋体"/>
                <w:color w:val="auto"/>
                <w:szCs w:val="21"/>
                <w:highlight w:val="none"/>
              </w:rPr>
              <w:t>（￥</w:t>
            </w:r>
            <w:r>
              <w:rPr>
                <w:rFonts w:hint="eastAsia" w:hAnsi="宋体"/>
                <w:color w:val="auto"/>
                <w:szCs w:val="21"/>
                <w:highlight w:val="none"/>
                <w:u w:val="single"/>
              </w:rPr>
              <w:t xml:space="preserve">                       </w:t>
            </w:r>
            <w:r>
              <w:rPr>
                <w:rFonts w:hint="eastAsia" w:hAnsi="宋体"/>
                <w:color w:val="auto"/>
                <w:szCs w:val="21"/>
                <w:highlight w:val="none"/>
              </w:rPr>
              <w:t>元）</w:t>
            </w:r>
          </w:p>
        </w:tc>
      </w:tr>
      <w:tr>
        <w:tblPrEx>
          <w:tblCellMar>
            <w:top w:w="0" w:type="dxa"/>
            <w:left w:w="0" w:type="dxa"/>
            <w:bottom w:w="0" w:type="dxa"/>
            <w:right w:w="0" w:type="dxa"/>
          </w:tblCellMar>
        </w:tblPrEx>
        <w:trPr>
          <w:trHeight w:val="320" w:hRule="atLeast"/>
          <w:jc w:val="center"/>
        </w:trPr>
        <w:tc>
          <w:tcPr>
            <w:tcW w:w="970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rPr>
                <w:rFonts w:hint="eastAsia" w:hAnsi="宋体"/>
                <w:color w:val="auto"/>
                <w:szCs w:val="21"/>
                <w:highlight w:val="none"/>
              </w:rPr>
            </w:pPr>
            <w:r>
              <w:rPr>
                <w:rFonts w:hint="eastAsia" w:hAnsi="宋体"/>
                <w:color w:val="auto"/>
                <w:szCs w:val="21"/>
                <w:highlight w:val="none"/>
              </w:rPr>
              <w:t>交货时间：</w:t>
            </w:r>
          </w:p>
        </w:tc>
      </w:tr>
      <w:tr>
        <w:tblPrEx>
          <w:tblCellMar>
            <w:top w:w="0" w:type="dxa"/>
            <w:left w:w="0" w:type="dxa"/>
            <w:bottom w:w="0" w:type="dxa"/>
            <w:right w:w="0" w:type="dxa"/>
          </w:tblCellMar>
        </w:tblPrEx>
        <w:trPr>
          <w:trHeight w:val="320" w:hRule="atLeast"/>
          <w:jc w:val="center"/>
        </w:trPr>
        <w:tc>
          <w:tcPr>
            <w:tcW w:w="9705" w:type="dxa"/>
            <w:gridSpan w:val="8"/>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5"/>
              <w:rPr>
                <w:rFonts w:hint="eastAsia" w:hAnsi="宋体"/>
                <w:color w:val="auto"/>
                <w:szCs w:val="21"/>
                <w:highlight w:val="none"/>
              </w:rPr>
            </w:pPr>
            <w:r>
              <w:rPr>
                <w:rFonts w:hint="eastAsia" w:hAnsi="宋体" w:cs="宋体"/>
                <w:color w:val="auto"/>
                <w:szCs w:val="21"/>
                <w:highlight w:val="none"/>
              </w:rPr>
              <w:t>竞标报价为</w:t>
            </w:r>
            <w:r>
              <w:rPr>
                <w:rFonts w:hint="eastAsia" w:hAnsi="宋体" w:cs="宋体"/>
                <w:color w:val="auto"/>
                <w:kern w:val="0"/>
                <w:szCs w:val="21"/>
                <w:highlight w:val="none"/>
                <w:lang w:bidi="ar"/>
              </w:rPr>
              <w:t>包含货物、随配附件、备品备件、专用工具、运抵指定交货地点、安装调试费、税费、产品质保期内维修维护费等费用。对于本文件中明确列明须报价的货物或服务，供应商存在漏报的，将导致竞标无效。对于本文件中未列明，而供应商认为必需的费用也需列入总报价</w:t>
            </w:r>
            <w:r>
              <w:rPr>
                <w:rFonts w:hint="eastAsia" w:hAnsi="宋体"/>
                <w:color w:val="auto"/>
                <w:szCs w:val="21"/>
                <w:highlight w:val="none"/>
              </w:rPr>
              <w:t>。在合同实施时，采购人将不予支付成交供应商没有列入的项目费用，并认为此项目的费用已包括在竞标总报价中。</w:t>
            </w:r>
          </w:p>
        </w:tc>
      </w:tr>
    </w:tbl>
    <w:p>
      <w:pPr>
        <w:pStyle w:val="15"/>
        <w:spacing w:line="380" w:lineRule="exact"/>
        <w:ind w:firstLine="306" w:firstLineChars="146"/>
        <w:rPr>
          <w:rFonts w:hint="eastAsia" w:hAnsi="宋体"/>
          <w:color w:val="auto"/>
          <w:szCs w:val="21"/>
          <w:highlight w:val="none"/>
        </w:rPr>
      </w:pPr>
      <w:r>
        <w:rPr>
          <w:rFonts w:hint="eastAsia" w:hAnsi="宋体"/>
          <w:color w:val="auto"/>
          <w:szCs w:val="21"/>
          <w:highlight w:val="none"/>
        </w:rPr>
        <w:t xml:space="preserve">注：1.所有价格均用人民币表示，单位为元。 </w:t>
      </w:r>
    </w:p>
    <w:p>
      <w:pPr>
        <w:pStyle w:val="6"/>
        <w:rPr>
          <w:rFonts w:hint="eastAsia"/>
          <w:color w:val="auto"/>
          <w:highlight w:val="none"/>
        </w:rPr>
      </w:pPr>
      <w:r>
        <w:rPr>
          <w:rFonts w:hint="eastAsia" w:ascii="宋体" w:hAnsi="宋体"/>
          <w:color w:val="auto"/>
          <w:szCs w:val="21"/>
          <w:highlight w:val="none"/>
        </w:rPr>
        <w:t xml:space="preserve">     </w:t>
      </w:r>
    </w:p>
    <w:p>
      <w:pPr>
        <w:pStyle w:val="15"/>
        <w:rPr>
          <w:rFonts w:hint="eastAsia"/>
          <w:color w:val="auto"/>
          <w:highlight w:val="none"/>
        </w:rPr>
      </w:pPr>
    </w:p>
    <w:p>
      <w:pPr>
        <w:pStyle w:val="15"/>
        <w:spacing w:line="400" w:lineRule="exact"/>
        <w:ind w:firstLine="210" w:firstLineChars="100"/>
        <w:rPr>
          <w:rFonts w:hint="eastAsia"/>
          <w:color w:val="auto"/>
          <w:highlight w:val="none"/>
        </w:rPr>
      </w:pPr>
      <w:r>
        <w:rPr>
          <w:rFonts w:hint="eastAsia"/>
          <w:color w:val="auto"/>
          <w:highlight w:val="none"/>
        </w:rPr>
        <w:t xml:space="preserve">供应商(公章)  </w:t>
      </w:r>
      <w:r>
        <w:rPr>
          <w:rFonts w:hint="eastAsia"/>
          <w:color w:val="auto"/>
          <w:highlight w:val="none"/>
          <w:u w:val="single"/>
        </w:rPr>
        <w:t xml:space="preserve">                              </w:t>
      </w:r>
    </w:p>
    <w:p>
      <w:pPr>
        <w:pStyle w:val="15"/>
        <w:spacing w:line="400" w:lineRule="exact"/>
        <w:rPr>
          <w:rFonts w:hint="eastAsia"/>
          <w:color w:val="auto"/>
          <w:highlight w:val="none"/>
        </w:rPr>
      </w:pPr>
    </w:p>
    <w:p>
      <w:pPr>
        <w:pStyle w:val="15"/>
        <w:spacing w:line="400" w:lineRule="exact"/>
        <w:ind w:firstLine="210" w:firstLineChars="100"/>
        <w:rPr>
          <w:rFonts w:hint="eastAsia"/>
          <w:color w:val="auto"/>
          <w:highlight w:val="none"/>
        </w:rPr>
      </w:pPr>
      <w:r>
        <w:rPr>
          <w:rFonts w:hint="eastAsia"/>
          <w:color w:val="auto"/>
          <w:highlight w:val="none"/>
        </w:rPr>
        <w:t xml:space="preserve">法定代表人或委托代理人签字 </w:t>
      </w:r>
      <w:r>
        <w:rPr>
          <w:rFonts w:hint="eastAsia"/>
          <w:color w:val="auto"/>
          <w:highlight w:val="none"/>
          <w:u w:val="single"/>
        </w:rPr>
        <w:t xml:space="preserve">                 </w:t>
      </w:r>
    </w:p>
    <w:p>
      <w:pPr>
        <w:pStyle w:val="15"/>
        <w:spacing w:line="400" w:lineRule="exact"/>
        <w:rPr>
          <w:rFonts w:hint="eastAsia" w:ascii="金山简魏碑" w:eastAsia="金山简魏碑"/>
          <w:b/>
          <w:color w:val="auto"/>
          <w:sz w:val="44"/>
          <w:highlight w:val="none"/>
        </w:rPr>
      </w:pPr>
    </w:p>
    <w:p>
      <w:pPr>
        <w:pStyle w:val="15"/>
        <w:spacing w:line="400" w:lineRule="exact"/>
        <w:ind w:firstLine="210" w:firstLineChars="100"/>
        <w:rPr>
          <w:rFonts w:hint="eastAsia" w:ascii="金山简魏碑" w:eastAsia="金山简魏碑"/>
          <w:b/>
          <w:color w:val="auto"/>
          <w:sz w:val="44"/>
          <w:highlight w:val="none"/>
        </w:rPr>
      </w:pPr>
      <w:r>
        <w:rPr>
          <w:rFonts w:hint="eastAsia"/>
          <w:color w:val="auto"/>
          <w:highlight w:val="none"/>
        </w:rPr>
        <w:t xml:space="preserve">日期 </w:t>
      </w:r>
      <w:r>
        <w:rPr>
          <w:rFonts w:hint="eastAsia"/>
          <w:color w:val="auto"/>
          <w:highlight w:val="none"/>
          <w:u w:val="single"/>
        </w:rPr>
        <w:t xml:space="preserve">                            </w:t>
      </w:r>
    </w:p>
    <w:p>
      <w:pPr>
        <w:pStyle w:val="15"/>
        <w:spacing w:line="400" w:lineRule="exact"/>
        <w:rPr>
          <w:rFonts w:hint="eastAsia" w:ascii="金山简魏碑" w:eastAsia="金山简魏碑"/>
          <w:b/>
          <w:color w:val="auto"/>
          <w:sz w:val="44"/>
          <w:highlight w:val="none"/>
        </w:rPr>
      </w:pPr>
    </w:p>
    <w:p>
      <w:pPr>
        <w:pStyle w:val="15"/>
        <w:spacing w:line="400" w:lineRule="exact"/>
        <w:ind w:firstLine="210" w:firstLineChars="100"/>
        <w:rPr>
          <w:rFonts w:hint="eastAsia"/>
          <w:color w:val="auto"/>
          <w:highlight w:val="none"/>
        </w:rPr>
      </w:pPr>
      <w:r>
        <w:rPr>
          <w:rFonts w:hint="eastAsia"/>
          <w:color w:val="auto"/>
          <w:highlight w:val="none"/>
        </w:rPr>
        <w:t>竞标说明：</w:t>
      </w:r>
    </w:p>
    <w:p>
      <w:pPr>
        <w:pStyle w:val="15"/>
        <w:spacing w:line="400" w:lineRule="exact"/>
        <w:ind w:firstLine="630" w:firstLineChars="300"/>
        <w:rPr>
          <w:rFonts w:hint="eastAsia"/>
          <w:color w:val="auto"/>
          <w:highlight w:val="none"/>
        </w:rPr>
      </w:pPr>
      <w:r>
        <w:rPr>
          <w:rFonts w:hint="eastAsia"/>
          <w:color w:val="auto"/>
          <w:highlight w:val="none"/>
        </w:rPr>
        <w:t>1、供应商必须加盖公章并签字,无签字、盖公章的竞标无效。</w:t>
      </w:r>
    </w:p>
    <w:p>
      <w:pPr>
        <w:pStyle w:val="15"/>
        <w:spacing w:line="400" w:lineRule="exact"/>
        <w:ind w:firstLine="630" w:firstLineChars="300"/>
        <w:rPr>
          <w:color w:val="auto"/>
          <w:highlight w:val="none"/>
        </w:rPr>
      </w:pPr>
      <w:r>
        <w:rPr>
          <w:rFonts w:hint="eastAsia"/>
          <w:bCs/>
          <w:color w:val="auto"/>
          <w:highlight w:val="none"/>
        </w:rPr>
        <w:t>2、若此表由多页构成的，</w:t>
      </w:r>
      <w:r>
        <w:rPr>
          <w:rFonts w:hint="eastAsia"/>
          <w:color w:val="auto"/>
          <w:highlight w:val="none"/>
        </w:rPr>
        <w:t>应逐页加盖供应商公章并由法定代表人或委托代理人签字，否则竞标无效。</w:t>
      </w:r>
    </w:p>
    <w:p>
      <w:pPr>
        <w:pStyle w:val="15"/>
        <w:spacing w:line="400" w:lineRule="exact"/>
        <w:ind w:firstLine="420" w:firstLineChars="200"/>
        <w:rPr>
          <w:rFonts w:hint="eastAsia"/>
          <w:color w:val="auto"/>
          <w:highlight w:val="none"/>
        </w:rPr>
      </w:pPr>
    </w:p>
    <w:p>
      <w:pPr>
        <w:pStyle w:val="15"/>
        <w:spacing w:line="500" w:lineRule="exact"/>
        <w:ind w:firstLine="560" w:firstLineChars="200"/>
        <w:jc w:val="center"/>
        <w:outlineLvl w:val="0"/>
        <w:rPr>
          <w:rFonts w:hint="eastAsia" w:hAnsi="宋体"/>
          <w:b/>
          <w:bCs/>
          <w:color w:val="auto"/>
          <w:sz w:val="30"/>
          <w:szCs w:val="30"/>
          <w:highlight w:val="none"/>
        </w:rPr>
      </w:pPr>
      <w:r>
        <w:rPr>
          <w:color w:val="auto"/>
          <w:kern w:val="44"/>
          <w:sz w:val="28"/>
          <w:szCs w:val="28"/>
          <w:highlight w:val="none"/>
        </w:rPr>
        <w:br w:type="page"/>
      </w:r>
      <w:bookmarkStart w:id="39" w:name="_Toc24729"/>
      <w:r>
        <w:rPr>
          <w:rFonts w:hint="eastAsia" w:ascii="Times New Roman" w:hAnsi="Times New Roman"/>
          <w:b/>
          <w:color w:val="auto"/>
          <w:kern w:val="44"/>
          <w:sz w:val="32"/>
          <w:szCs w:val="32"/>
          <w:highlight w:val="none"/>
        </w:rPr>
        <w:t>三、商务条款偏离表（格式）</w:t>
      </w:r>
      <w:bookmarkEnd w:id="39"/>
    </w:p>
    <w:p>
      <w:pPr>
        <w:pStyle w:val="15"/>
        <w:spacing w:line="400" w:lineRule="exact"/>
        <w:rPr>
          <w:rFonts w:hint="eastAsia" w:hAnsi="宋体"/>
          <w:color w:val="auto"/>
          <w:highlight w:val="none"/>
          <w:u w:val="thick"/>
        </w:rPr>
      </w:pPr>
    </w:p>
    <w:p>
      <w:pPr>
        <w:pStyle w:val="15"/>
        <w:spacing w:line="360" w:lineRule="exact"/>
        <w:ind w:firstLine="420"/>
        <w:rPr>
          <w:rFonts w:hint="eastAsia" w:hAnsi="宋体"/>
          <w:color w:val="auto"/>
          <w:highlight w:val="none"/>
        </w:rPr>
      </w:pPr>
      <w:r>
        <w:rPr>
          <w:rFonts w:hint="eastAsia" w:hAnsi="宋体"/>
          <w:color w:val="auto"/>
          <w:highlight w:val="none"/>
        </w:rPr>
        <w:t>请</w:t>
      </w:r>
      <w:r>
        <w:rPr>
          <w:rFonts w:hint="eastAsia" w:hAnsi="宋体"/>
          <w:b/>
          <w:color w:val="auto"/>
          <w:sz w:val="24"/>
          <w:szCs w:val="24"/>
          <w:highlight w:val="none"/>
        </w:rPr>
        <w:t>逐条对应</w:t>
      </w:r>
      <w:r>
        <w:rPr>
          <w:rFonts w:hint="eastAsia" w:hAnsi="宋体"/>
          <w:color w:val="auto"/>
          <w:highlight w:val="none"/>
        </w:rPr>
        <w:t>本项目竞争性谈判文件第二章“货物需求一览表”中“商务条款”的要求，详细填写相应的具体内容。“偏离说明”一栏应当选择“正偏离”、“负偏离”或“无偏离”进行填写。</w:t>
      </w:r>
    </w:p>
    <w:p>
      <w:pPr>
        <w:pStyle w:val="15"/>
        <w:rPr>
          <w:rFonts w:hint="eastAsia" w:hAnsi="宋体"/>
          <w:color w:val="auto"/>
          <w:highlight w:val="none"/>
          <w:u w:val="single"/>
        </w:rPr>
      </w:pPr>
    </w:p>
    <w:tbl>
      <w:tblPr>
        <w:tblStyle w:val="28"/>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54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项号</w:t>
            </w:r>
          </w:p>
        </w:tc>
        <w:tc>
          <w:tcPr>
            <w:tcW w:w="40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hAnsi="宋体"/>
                <w:color w:val="auto"/>
                <w:highlight w:val="none"/>
              </w:rPr>
              <w:t>竞争性谈判文件</w:t>
            </w:r>
            <w:r>
              <w:rPr>
                <w:rFonts w:ascii="宋体" w:hAnsi="宋体"/>
                <w:color w:val="auto"/>
                <w:szCs w:val="21"/>
                <w:highlight w:val="none"/>
              </w:rPr>
              <w:t>的商务</w:t>
            </w:r>
            <w:r>
              <w:rPr>
                <w:rFonts w:hint="eastAsia" w:ascii="宋体" w:hAnsi="宋体"/>
                <w:color w:val="auto"/>
                <w:szCs w:val="21"/>
                <w:highlight w:val="none"/>
              </w:rPr>
              <w:t>条款</w:t>
            </w:r>
          </w:p>
        </w:tc>
        <w:tc>
          <w:tcPr>
            <w:tcW w:w="35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响应文件</w:t>
            </w:r>
            <w:r>
              <w:rPr>
                <w:rFonts w:ascii="宋体" w:hAnsi="宋体"/>
                <w:color w:val="auto"/>
                <w:szCs w:val="21"/>
                <w:highlight w:val="none"/>
              </w:rPr>
              <w:t>承诺的商务条款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一</w:t>
            </w:r>
          </w:p>
        </w:tc>
        <w:tc>
          <w:tcPr>
            <w:tcW w:w="407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r>
              <w:rPr>
                <w:rFonts w:ascii="宋体" w:hAnsi="宋体"/>
                <w:color w:val="auto"/>
                <w:szCs w:val="21"/>
                <w:highlight w:val="none"/>
              </w:rPr>
              <w:t>1  ……</w:t>
            </w:r>
          </w:p>
          <w:p>
            <w:pPr>
              <w:rPr>
                <w:rFonts w:ascii="宋体" w:hAnsi="宋体"/>
                <w:color w:val="auto"/>
                <w:szCs w:val="21"/>
                <w:highlight w:val="none"/>
              </w:rPr>
            </w:pPr>
            <w:r>
              <w:rPr>
                <w:rFonts w:ascii="宋体" w:hAnsi="宋体"/>
                <w:color w:val="auto"/>
                <w:szCs w:val="21"/>
                <w:highlight w:val="none"/>
              </w:rPr>
              <w:t>2  ……</w:t>
            </w:r>
          </w:p>
          <w:p>
            <w:pPr>
              <w:rPr>
                <w:rFonts w:ascii="宋体" w:hAnsi="宋体"/>
                <w:color w:val="auto"/>
                <w:szCs w:val="21"/>
                <w:highlight w:val="none"/>
              </w:rPr>
            </w:pPr>
            <w:r>
              <w:rPr>
                <w:rFonts w:ascii="宋体" w:hAnsi="宋体"/>
                <w:color w:val="auto"/>
                <w:szCs w:val="21"/>
                <w:highlight w:val="none"/>
              </w:rPr>
              <w:t>3  ……</w:t>
            </w:r>
          </w:p>
          <w:p>
            <w:pPr>
              <w:rPr>
                <w:rFonts w:ascii="宋体" w:hAnsi="宋体"/>
                <w:color w:val="auto"/>
                <w:szCs w:val="21"/>
                <w:highlight w:val="none"/>
              </w:rPr>
            </w:pPr>
            <w:r>
              <w:rPr>
                <w:rFonts w:ascii="宋体" w:hAnsi="宋体"/>
                <w:color w:val="auto"/>
                <w:szCs w:val="21"/>
                <w:highlight w:val="none"/>
              </w:rPr>
              <w:t>……</w:t>
            </w:r>
          </w:p>
        </w:tc>
        <w:tc>
          <w:tcPr>
            <w:tcW w:w="354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r>
              <w:rPr>
                <w:rFonts w:ascii="宋体" w:hAnsi="宋体"/>
                <w:color w:val="auto"/>
                <w:szCs w:val="21"/>
                <w:highlight w:val="none"/>
              </w:rPr>
              <w:t>1  ……</w:t>
            </w:r>
          </w:p>
          <w:p>
            <w:pPr>
              <w:rPr>
                <w:rFonts w:ascii="宋体" w:hAnsi="宋体"/>
                <w:color w:val="auto"/>
                <w:szCs w:val="21"/>
                <w:highlight w:val="none"/>
              </w:rPr>
            </w:pPr>
            <w:r>
              <w:rPr>
                <w:rFonts w:ascii="宋体" w:hAnsi="宋体"/>
                <w:color w:val="auto"/>
                <w:szCs w:val="21"/>
                <w:highlight w:val="none"/>
              </w:rPr>
              <w:t>2  ……</w:t>
            </w:r>
          </w:p>
          <w:p>
            <w:pPr>
              <w:rPr>
                <w:rFonts w:ascii="宋体" w:hAnsi="宋体"/>
                <w:color w:val="auto"/>
                <w:szCs w:val="21"/>
                <w:highlight w:val="none"/>
              </w:rPr>
            </w:pPr>
            <w:r>
              <w:rPr>
                <w:rFonts w:ascii="宋体" w:hAnsi="宋体"/>
                <w:color w:val="auto"/>
                <w:szCs w:val="21"/>
                <w:highlight w:val="none"/>
              </w:rPr>
              <w:t>3  ……</w:t>
            </w:r>
          </w:p>
          <w:p>
            <w:pPr>
              <w:rPr>
                <w:rFonts w:ascii="宋体" w:hAnsi="宋体"/>
                <w:color w:val="auto"/>
                <w:szCs w:val="21"/>
                <w:highlight w:val="none"/>
              </w:rPr>
            </w:pPr>
            <w:r>
              <w:rPr>
                <w:rFonts w:ascii="宋体" w:hAnsi="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r>
              <w:rPr>
                <w:rFonts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二</w:t>
            </w:r>
          </w:p>
        </w:tc>
        <w:tc>
          <w:tcPr>
            <w:tcW w:w="407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r>
              <w:rPr>
                <w:rFonts w:ascii="宋体" w:hAnsi="宋体"/>
                <w:color w:val="auto"/>
                <w:szCs w:val="21"/>
                <w:highlight w:val="none"/>
              </w:rPr>
              <w:t>1  ……</w:t>
            </w:r>
          </w:p>
          <w:p>
            <w:pPr>
              <w:rPr>
                <w:rFonts w:ascii="宋体" w:hAnsi="宋体"/>
                <w:color w:val="auto"/>
                <w:szCs w:val="21"/>
                <w:highlight w:val="none"/>
              </w:rPr>
            </w:pPr>
            <w:r>
              <w:rPr>
                <w:rFonts w:ascii="宋体" w:hAnsi="宋体"/>
                <w:color w:val="auto"/>
                <w:szCs w:val="21"/>
                <w:highlight w:val="none"/>
              </w:rPr>
              <w:t>2  ……</w:t>
            </w:r>
          </w:p>
          <w:p>
            <w:pPr>
              <w:rPr>
                <w:rFonts w:ascii="宋体" w:hAnsi="宋体"/>
                <w:color w:val="auto"/>
                <w:szCs w:val="21"/>
                <w:highlight w:val="none"/>
              </w:rPr>
            </w:pPr>
            <w:r>
              <w:rPr>
                <w:rFonts w:ascii="宋体" w:hAnsi="宋体"/>
                <w:color w:val="auto"/>
                <w:szCs w:val="21"/>
                <w:highlight w:val="none"/>
              </w:rPr>
              <w:t>3  ……</w:t>
            </w:r>
          </w:p>
          <w:p>
            <w:pPr>
              <w:rPr>
                <w:rFonts w:ascii="宋体" w:hAnsi="宋体"/>
                <w:color w:val="auto"/>
                <w:szCs w:val="21"/>
                <w:highlight w:val="none"/>
              </w:rPr>
            </w:pPr>
            <w:r>
              <w:rPr>
                <w:rFonts w:ascii="宋体" w:hAnsi="宋体"/>
                <w:color w:val="auto"/>
                <w:szCs w:val="21"/>
                <w:highlight w:val="none"/>
              </w:rPr>
              <w:t>……</w:t>
            </w:r>
          </w:p>
        </w:tc>
        <w:tc>
          <w:tcPr>
            <w:tcW w:w="354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r>
              <w:rPr>
                <w:rFonts w:ascii="宋体" w:hAnsi="宋体"/>
                <w:color w:val="auto"/>
                <w:szCs w:val="21"/>
                <w:highlight w:val="none"/>
              </w:rPr>
              <w:t>1  ……</w:t>
            </w:r>
          </w:p>
          <w:p>
            <w:pPr>
              <w:rPr>
                <w:rFonts w:ascii="宋体" w:hAnsi="宋体"/>
                <w:color w:val="auto"/>
                <w:szCs w:val="21"/>
                <w:highlight w:val="none"/>
              </w:rPr>
            </w:pPr>
            <w:r>
              <w:rPr>
                <w:rFonts w:ascii="宋体" w:hAnsi="宋体"/>
                <w:color w:val="auto"/>
                <w:szCs w:val="21"/>
                <w:highlight w:val="none"/>
              </w:rPr>
              <w:t>2  ……</w:t>
            </w:r>
          </w:p>
          <w:p>
            <w:pPr>
              <w:rPr>
                <w:rFonts w:ascii="宋体" w:hAnsi="宋体"/>
                <w:color w:val="auto"/>
                <w:szCs w:val="21"/>
                <w:highlight w:val="none"/>
              </w:rPr>
            </w:pPr>
            <w:r>
              <w:rPr>
                <w:rFonts w:ascii="宋体" w:hAnsi="宋体"/>
                <w:color w:val="auto"/>
                <w:szCs w:val="21"/>
                <w:highlight w:val="none"/>
              </w:rPr>
              <w:t>3  ……</w:t>
            </w:r>
          </w:p>
          <w:p>
            <w:pPr>
              <w:rPr>
                <w:rFonts w:ascii="宋体" w:hAnsi="宋体"/>
                <w:color w:val="auto"/>
                <w:szCs w:val="21"/>
                <w:highlight w:val="none"/>
              </w:rPr>
            </w:pPr>
            <w:r>
              <w:rPr>
                <w:rFonts w:ascii="宋体" w:hAnsi="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r>
              <w:rPr>
                <w:rFonts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ascii="宋体" w:hAnsi="宋体"/>
                <w:color w:val="auto"/>
                <w:szCs w:val="21"/>
                <w:highlight w:val="none"/>
              </w:rPr>
              <w:t>...</w:t>
            </w:r>
          </w:p>
        </w:tc>
        <w:tc>
          <w:tcPr>
            <w:tcW w:w="4071"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r>
              <w:rPr>
                <w:rFonts w:ascii="宋体" w:hAnsi="宋体"/>
                <w:color w:val="auto"/>
                <w:szCs w:val="21"/>
                <w:highlight w:val="none"/>
              </w:rPr>
              <w:t>1  ……</w:t>
            </w:r>
          </w:p>
          <w:p>
            <w:pPr>
              <w:rPr>
                <w:rFonts w:ascii="宋体" w:hAnsi="宋体"/>
                <w:color w:val="auto"/>
                <w:szCs w:val="21"/>
                <w:highlight w:val="none"/>
              </w:rPr>
            </w:pPr>
            <w:r>
              <w:rPr>
                <w:rFonts w:ascii="宋体" w:hAnsi="宋体"/>
                <w:color w:val="auto"/>
                <w:szCs w:val="21"/>
                <w:highlight w:val="none"/>
              </w:rPr>
              <w:t>2  ……</w:t>
            </w:r>
          </w:p>
          <w:p>
            <w:pPr>
              <w:rPr>
                <w:rFonts w:ascii="宋体" w:hAnsi="宋体"/>
                <w:color w:val="auto"/>
                <w:szCs w:val="21"/>
                <w:highlight w:val="none"/>
              </w:rPr>
            </w:pPr>
            <w:r>
              <w:rPr>
                <w:rFonts w:ascii="宋体" w:hAnsi="宋体"/>
                <w:color w:val="auto"/>
                <w:szCs w:val="21"/>
                <w:highlight w:val="none"/>
              </w:rPr>
              <w:t>3  ……</w:t>
            </w:r>
          </w:p>
          <w:p>
            <w:pPr>
              <w:rPr>
                <w:rFonts w:ascii="宋体" w:hAnsi="宋体"/>
                <w:color w:val="auto"/>
                <w:szCs w:val="21"/>
                <w:highlight w:val="none"/>
              </w:rPr>
            </w:pPr>
            <w:r>
              <w:rPr>
                <w:rFonts w:ascii="宋体" w:hAnsi="宋体"/>
                <w:color w:val="auto"/>
                <w:szCs w:val="21"/>
                <w:highlight w:val="none"/>
              </w:rPr>
              <w:t>……</w:t>
            </w:r>
          </w:p>
        </w:tc>
        <w:tc>
          <w:tcPr>
            <w:tcW w:w="3542"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Cs w:val="21"/>
                <w:highlight w:val="none"/>
              </w:rPr>
            </w:pPr>
            <w:r>
              <w:rPr>
                <w:rFonts w:ascii="宋体" w:hAnsi="宋体"/>
                <w:color w:val="auto"/>
                <w:szCs w:val="21"/>
                <w:highlight w:val="none"/>
              </w:rPr>
              <w:t>1  ……</w:t>
            </w:r>
          </w:p>
          <w:p>
            <w:pPr>
              <w:rPr>
                <w:rFonts w:ascii="宋体" w:hAnsi="宋体"/>
                <w:color w:val="auto"/>
                <w:szCs w:val="21"/>
                <w:highlight w:val="none"/>
              </w:rPr>
            </w:pPr>
            <w:r>
              <w:rPr>
                <w:rFonts w:ascii="宋体" w:hAnsi="宋体"/>
                <w:color w:val="auto"/>
                <w:szCs w:val="21"/>
                <w:highlight w:val="none"/>
              </w:rPr>
              <w:t>2  ……</w:t>
            </w:r>
          </w:p>
          <w:p>
            <w:pPr>
              <w:rPr>
                <w:rFonts w:ascii="宋体" w:hAnsi="宋体"/>
                <w:color w:val="auto"/>
                <w:szCs w:val="21"/>
                <w:highlight w:val="none"/>
              </w:rPr>
            </w:pPr>
            <w:r>
              <w:rPr>
                <w:rFonts w:ascii="宋体" w:hAnsi="宋体"/>
                <w:color w:val="auto"/>
                <w:szCs w:val="21"/>
                <w:highlight w:val="none"/>
              </w:rPr>
              <w:t>3  ……</w:t>
            </w:r>
          </w:p>
          <w:p>
            <w:pPr>
              <w:rPr>
                <w:rFonts w:ascii="宋体" w:hAnsi="宋体"/>
                <w:color w:val="auto"/>
                <w:szCs w:val="21"/>
                <w:highlight w:val="none"/>
              </w:rPr>
            </w:pPr>
            <w:r>
              <w:rPr>
                <w:rFonts w:ascii="宋体" w:hAnsi="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r>
              <w:rPr>
                <w:rFonts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9606"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u w:val="single"/>
              </w:rPr>
              <w:t>　　</w:t>
            </w:r>
            <w:r>
              <w:rPr>
                <w:rFonts w:ascii="宋体" w:hAnsi="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606"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606"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r>
              <w:rPr>
                <w:rFonts w:ascii="宋体" w:hAnsi="宋体"/>
                <w:color w:val="auto"/>
                <w:szCs w:val="21"/>
                <w:highlight w:val="none"/>
              </w:rPr>
              <w:t>法定代表人</w:t>
            </w:r>
            <w:r>
              <w:rPr>
                <w:rFonts w:hint="eastAsia" w:ascii="宋体" w:hAnsi="宋体"/>
                <w:color w:val="auto"/>
                <w:highlight w:val="none"/>
              </w:rPr>
              <w:t>（负责人）</w:t>
            </w:r>
            <w:r>
              <w:rPr>
                <w:rFonts w:ascii="宋体" w:hAnsi="宋体"/>
                <w:color w:val="auto"/>
                <w:szCs w:val="21"/>
                <w:highlight w:val="none"/>
              </w:rPr>
              <w:t>或其委托代理人（签字）：</w:t>
            </w:r>
          </w:p>
          <w:p>
            <w:pPr>
              <w:rPr>
                <w:rFonts w:ascii="宋体" w:hAnsi="宋体"/>
                <w:color w:val="auto"/>
                <w:szCs w:val="21"/>
                <w:highlight w:val="none"/>
              </w:rPr>
            </w:pPr>
            <w:r>
              <w:rPr>
                <w:rFonts w:hint="eastAsia"/>
                <w:color w:val="auto"/>
                <w:highlight w:val="none"/>
              </w:rPr>
              <w:t>日期</w:t>
            </w:r>
            <w:r>
              <w:rPr>
                <w:rFonts w:hint="eastAsia"/>
                <w:color w:val="auto"/>
                <w:highlight w:val="none"/>
                <w:u w:val="single"/>
              </w:rPr>
              <w:t xml:space="preserve">                            </w:t>
            </w:r>
          </w:p>
        </w:tc>
      </w:tr>
    </w:tbl>
    <w:p>
      <w:pPr>
        <w:spacing w:line="360" w:lineRule="exact"/>
        <w:rPr>
          <w:rFonts w:ascii="宋体" w:hAnsi="宋体"/>
          <w:color w:val="auto"/>
          <w:szCs w:val="21"/>
          <w:highlight w:val="none"/>
        </w:rPr>
      </w:pPr>
      <w:r>
        <w:rPr>
          <w:rFonts w:ascii="宋体" w:hAnsi="宋体"/>
          <w:color w:val="auto"/>
          <w:szCs w:val="21"/>
          <w:highlight w:val="none"/>
        </w:rPr>
        <w:t>注：</w:t>
      </w:r>
      <w:r>
        <w:rPr>
          <w:rFonts w:hint="eastAsia" w:ascii="宋体" w:hAnsi="宋体" w:cs="宋体"/>
          <w:color w:val="auto"/>
          <w:szCs w:val="21"/>
          <w:highlight w:val="none"/>
        </w:rPr>
        <w:t>⑴</w:t>
      </w:r>
      <w:r>
        <w:rPr>
          <w:rFonts w:ascii="宋体" w:hAnsi="宋体"/>
          <w:color w:val="auto"/>
          <w:szCs w:val="21"/>
          <w:highlight w:val="none"/>
        </w:rPr>
        <w:t>表格内容均需按要求填写并盖章，不得留空，</w:t>
      </w:r>
      <w:r>
        <w:rPr>
          <w:rFonts w:ascii="宋体" w:hAnsi="宋体"/>
          <w:bCs/>
          <w:color w:val="auto"/>
          <w:szCs w:val="21"/>
          <w:highlight w:val="none"/>
        </w:rPr>
        <w:t>否则按投标无效处理</w:t>
      </w:r>
      <w:r>
        <w:rPr>
          <w:rFonts w:ascii="宋体" w:hAnsi="宋体"/>
          <w:color w:val="auto"/>
          <w:szCs w:val="21"/>
          <w:highlight w:val="none"/>
        </w:rPr>
        <w:t>。</w:t>
      </w:r>
    </w:p>
    <w:p>
      <w:pPr>
        <w:spacing w:line="360" w:lineRule="exact"/>
        <w:ind w:firstLine="420" w:firstLineChars="200"/>
        <w:rPr>
          <w:rFonts w:ascii="宋体" w:hAnsi="宋体"/>
          <w:bCs/>
          <w:color w:val="auto"/>
          <w:szCs w:val="21"/>
          <w:highlight w:val="none"/>
        </w:rPr>
      </w:pPr>
      <w:r>
        <w:rPr>
          <w:rFonts w:hint="eastAsia" w:ascii="宋体" w:hAnsi="宋体" w:cs="宋体"/>
          <w:bCs/>
          <w:color w:val="auto"/>
          <w:szCs w:val="21"/>
          <w:highlight w:val="none"/>
        </w:rPr>
        <w:t>⑵</w:t>
      </w:r>
      <w:r>
        <w:rPr>
          <w:rFonts w:ascii="宋体" w:hAnsi="宋体"/>
          <w:bCs/>
          <w:color w:val="auto"/>
          <w:szCs w:val="21"/>
          <w:highlight w:val="none"/>
        </w:rPr>
        <w:t>如果</w:t>
      </w:r>
      <w:r>
        <w:rPr>
          <w:rFonts w:hint="eastAsia" w:ascii="宋体" w:hAnsi="宋体"/>
          <w:bCs/>
          <w:color w:val="auto"/>
          <w:szCs w:val="21"/>
          <w:highlight w:val="none"/>
        </w:rPr>
        <w:t>响应</w:t>
      </w:r>
      <w:r>
        <w:rPr>
          <w:rFonts w:ascii="宋体" w:hAnsi="宋体"/>
          <w:bCs/>
          <w:color w:val="auto"/>
          <w:szCs w:val="21"/>
          <w:highlight w:val="none"/>
        </w:rPr>
        <w:t>文件需求小于或大于</w:t>
      </w:r>
      <w:r>
        <w:rPr>
          <w:rFonts w:hint="eastAsia" w:ascii="宋体" w:hAnsi="宋体"/>
          <w:bCs/>
          <w:color w:val="auto"/>
          <w:szCs w:val="21"/>
          <w:highlight w:val="none"/>
        </w:rPr>
        <w:t>竞争性谈判文件</w:t>
      </w:r>
      <w:r>
        <w:rPr>
          <w:rFonts w:ascii="宋体" w:hAnsi="宋体"/>
          <w:bCs/>
          <w:color w:val="auto"/>
          <w:szCs w:val="21"/>
          <w:highlight w:val="none"/>
        </w:rPr>
        <w:t>某个数值标准时，</w:t>
      </w:r>
      <w:r>
        <w:rPr>
          <w:rFonts w:hint="eastAsia" w:ascii="宋体" w:hAnsi="宋体"/>
          <w:bCs/>
          <w:color w:val="auto"/>
          <w:szCs w:val="21"/>
          <w:highlight w:val="none"/>
        </w:rPr>
        <w:t>响应</w:t>
      </w:r>
      <w:r>
        <w:rPr>
          <w:rFonts w:ascii="宋体" w:hAnsi="宋体"/>
          <w:bCs/>
          <w:color w:val="auto"/>
          <w:szCs w:val="21"/>
          <w:highlight w:val="none"/>
        </w:rPr>
        <w:t>文件</w:t>
      </w:r>
      <w:r>
        <w:rPr>
          <w:rFonts w:hint="eastAsia" w:ascii="宋体" w:hAnsi="宋体"/>
          <w:bCs/>
          <w:color w:val="auto"/>
          <w:szCs w:val="21"/>
          <w:highlight w:val="none"/>
        </w:rPr>
        <w:t>不得直接复制竞争性谈判文件需求，响应文件对应内容</w:t>
      </w:r>
      <w:r>
        <w:rPr>
          <w:rFonts w:ascii="宋体" w:hAnsi="宋体"/>
          <w:bCs/>
          <w:color w:val="auto"/>
          <w:szCs w:val="21"/>
          <w:highlight w:val="none"/>
        </w:rPr>
        <w:t>应当写明商务响应承诺的具体数值，否则按</w:t>
      </w:r>
      <w:r>
        <w:rPr>
          <w:rFonts w:hint="eastAsia" w:ascii="宋体" w:hAnsi="宋体"/>
          <w:bCs/>
          <w:color w:val="auto"/>
          <w:szCs w:val="21"/>
          <w:highlight w:val="none"/>
        </w:rPr>
        <w:t>竞</w:t>
      </w:r>
      <w:r>
        <w:rPr>
          <w:rFonts w:ascii="宋体" w:hAnsi="宋体"/>
          <w:bCs/>
          <w:color w:val="auto"/>
          <w:szCs w:val="21"/>
          <w:highlight w:val="none"/>
        </w:rPr>
        <w:t>标无效处理。</w:t>
      </w:r>
    </w:p>
    <w:p>
      <w:pPr>
        <w:spacing w:line="360" w:lineRule="exact"/>
        <w:ind w:firstLine="420" w:firstLineChars="200"/>
        <w:rPr>
          <w:rFonts w:hint="eastAsia" w:ascii="宋体" w:hAnsi="宋体"/>
          <w:color w:val="auto"/>
          <w:szCs w:val="21"/>
          <w:highlight w:val="none"/>
        </w:rPr>
      </w:pPr>
      <w:r>
        <w:rPr>
          <w:rFonts w:hint="eastAsia" w:ascii="宋体" w:hAnsi="宋体" w:cs="宋体"/>
          <w:color w:val="auto"/>
          <w:szCs w:val="21"/>
          <w:highlight w:val="none"/>
        </w:rPr>
        <w:t>⑶</w:t>
      </w:r>
      <w:r>
        <w:rPr>
          <w:rFonts w:ascii="宋体" w:hAnsi="宋体"/>
          <w:color w:val="auto"/>
          <w:szCs w:val="21"/>
          <w:highlight w:val="none"/>
        </w:rPr>
        <w:t>当</w:t>
      </w:r>
      <w:r>
        <w:rPr>
          <w:rFonts w:hint="eastAsia" w:ascii="宋体" w:hAnsi="宋体"/>
          <w:color w:val="auto"/>
          <w:szCs w:val="21"/>
          <w:highlight w:val="none"/>
        </w:rPr>
        <w:t>响应</w:t>
      </w:r>
      <w:r>
        <w:rPr>
          <w:rFonts w:ascii="宋体" w:hAnsi="宋体"/>
          <w:color w:val="auto"/>
          <w:szCs w:val="21"/>
          <w:highlight w:val="none"/>
        </w:rPr>
        <w:t>文件的商务内容低于</w:t>
      </w:r>
      <w:r>
        <w:rPr>
          <w:rFonts w:hint="eastAsia" w:ascii="宋体" w:hAnsi="宋体"/>
          <w:color w:val="auto"/>
          <w:szCs w:val="21"/>
          <w:highlight w:val="none"/>
        </w:rPr>
        <w:t>竞争性谈判文件</w:t>
      </w:r>
      <w:r>
        <w:rPr>
          <w:rFonts w:ascii="宋体" w:hAnsi="宋体"/>
          <w:color w:val="auto"/>
          <w:szCs w:val="21"/>
          <w:highlight w:val="none"/>
        </w:rPr>
        <w:t>要求时，</w:t>
      </w:r>
      <w:r>
        <w:rPr>
          <w:rFonts w:hint="eastAsia" w:ascii="宋体" w:hAnsi="宋体"/>
          <w:color w:val="auto"/>
          <w:szCs w:val="21"/>
          <w:highlight w:val="none"/>
        </w:rPr>
        <w:t>供应商</w:t>
      </w:r>
      <w:r>
        <w:rPr>
          <w:rFonts w:ascii="宋体" w:hAnsi="宋体"/>
          <w:color w:val="auto"/>
          <w:szCs w:val="21"/>
          <w:highlight w:val="none"/>
        </w:rPr>
        <w:t>应当如实写明“负偏离”，否则视为虚假应标。</w:t>
      </w:r>
    </w:p>
    <w:p>
      <w:pPr>
        <w:pStyle w:val="3"/>
        <w:keepLines/>
        <w:spacing w:before="340" w:after="330" w:line="360" w:lineRule="auto"/>
        <w:jc w:val="center"/>
        <w:rPr>
          <w:rFonts w:hint="eastAsia"/>
          <w:color w:val="auto"/>
          <w:kern w:val="44"/>
          <w:sz w:val="28"/>
          <w:szCs w:val="28"/>
          <w:highlight w:val="none"/>
        </w:rPr>
      </w:pPr>
    </w:p>
    <w:p>
      <w:pPr>
        <w:pStyle w:val="3"/>
        <w:keepLines/>
        <w:spacing w:before="340" w:after="330" w:line="360" w:lineRule="auto"/>
        <w:jc w:val="center"/>
        <w:rPr>
          <w:rFonts w:hint="eastAsia"/>
          <w:b w:val="0"/>
          <w:bCs/>
          <w:color w:val="auto"/>
          <w:sz w:val="28"/>
          <w:szCs w:val="28"/>
          <w:highlight w:val="none"/>
        </w:rPr>
      </w:pPr>
      <w:r>
        <w:rPr>
          <w:rFonts w:hint="eastAsia"/>
          <w:color w:val="auto"/>
          <w:kern w:val="44"/>
          <w:sz w:val="28"/>
          <w:szCs w:val="28"/>
          <w:highlight w:val="none"/>
        </w:rPr>
        <w:br w:type="page"/>
      </w:r>
      <w:bookmarkStart w:id="40" w:name="_Toc14852"/>
      <w:r>
        <w:rPr>
          <w:rFonts w:hint="eastAsia" w:ascii="Times New Roman" w:hAnsi="Times New Roman"/>
          <w:color w:val="auto"/>
          <w:kern w:val="44"/>
          <w:sz w:val="32"/>
          <w:szCs w:val="32"/>
          <w:highlight w:val="none"/>
        </w:rPr>
        <w:t>四、竞标技术资料表（格式）</w:t>
      </w:r>
      <w:bookmarkEnd w:id="40"/>
    </w:p>
    <w:p>
      <w:pPr>
        <w:pStyle w:val="15"/>
        <w:ind w:firstLine="210" w:firstLineChars="100"/>
        <w:rPr>
          <w:rFonts w:hint="eastAsia" w:hAnsi="宋体" w:cs="宋体"/>
          <w:color w:val="auto"/>
          <w:highlight w:val="none"/>
        </w:rPr>
      </w:pPr>
    </w:p>
    <w:p>
      <w:pPr>
        <w:pStyle w:val="15"/>
        <w:spacing w:line="360" w:lineRule="exact"/>
        <w:ind w:firstLine="420"/>
        <w:rPr>
          <w:rFonts w:hint="eastAsia" w:hAnsi="宋体" w:cs="宋体"/>
          <w:color w:val="auto"/>
          <w:highlight w:val="none"/>
        </w:rPr>
      </w:pPr>
      <w:r>
        <w:rPr>
          <w:rFonts w:hint="eastAsia" w:hAnsi="宋体" w:cs="宋体"/>
          <w:color w:val="auto"/>
          <w:highlight w:val="none"/>
        </w:rPr>
        <w:t>请根据所竞产品的实际技术参数，</w:t>
      </w:r>
      <w:r>
        <w:rPr>
          <w:rFonts w:hint="eastAsia" w:hAnsi="宋体" w:cs="宋体"/>
          <w:b/>
          <w:color w:val="auto"/>
          <w:sz w:val="24"/>
          <w:szCs w:val="24"/>
          <w:highlight w:val="none"/>
        </w:rPr>
        <w:t>逐条对应</w:t>
      </w:r>
      <w:r>
        <w:rPr>
          <w:rFonts w:hint="eastAsia" w:hAnsi="宋体" w:cs="宋体"/>
          <w:color w:val="auto"/>
          <w:highlight w:val="none"/>
        </w:rPr>
        <w:t>本项目竞争性谈判文件第二章“货物需求一览表”中的技术参数要求详细填写相应的具体内容。“偏离说明”一栏应当选择“正偏离”、“负偏离”或“无偏离”进行填写。</w:t>
      </w:r>
    </w:p>
    <w:p>
      <w:pPr>
        <w:pStyle w:val="15"/>
        <w:spacing w:line="360" w:lineRule="exact"/>
        <w:rPr>
          <w:rFonts w:hint="eastAsia" w:hAnsi="宋体" w:cs="宋体"/>
          <w:color w:val="auto"/>
          <w:highlight w:val="none"/>
          <w:u w:val="thick"/>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11"/>
        <w:gridCol w:w="735"/>
        <w:gridCol w:w="1575"/>
        <w:gridCol w:w="1017"/>
        <w:gridCol w:w="735"/>
        <w:gridCol w:w="1294"/>
        <w:gridCol w:w="141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572"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22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竞争性谈判文件需求</w:t>
            </w:r>
          </w:p>
        </w:tc>
        <w:tc>
          <w:tcPr>
            <w:tcW w:w="446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5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c>
          <w:tcPr>
            <w:tcW w:w="9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技术参数要求</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货物名称</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品牌、厂家、型号、规格</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技术参数</w:t>
            </w:r>
          </w:p>
        </w:tc>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9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  ……</w:t>
            </w:r>
          </w:p>
          <w:p>
            <w:pPr>
              <w:rPr>
                <w:rFonts w:hint="eastAsia" w:ascii="宋体" w:hAnsi="宋体" w:cs="宋体"/>
                <w:color w:val="auto"/>
                <w:szCs w:val="21"/>
                <w:highlight w:val="none"/>
              </w:rPr>
            </w:pPr>
            <w:r>
              <w:rPr>
                <w:rFonts w:hint="eastAsia" w:ascii="宋体" w:hAnsi="宋体" w:cs="宋体"/>
                <w:color w:val="auto"/>
                <w:szCs w:val="21"/>
                <w:highlight w:val="none"/>
              </w:rPr>
              <w:t>2  ……</w:t>
            </w:r>
          </w:p>
          <w:p>
            <w:pPr>
              <w:rPr>
                <w:rFonts w:hint="eastAsia" w:ascii="宋体" w:hAnsi="宋体" w:cs="宋体"/>
                <w:color w:val="auto"/>
                <w:szCs w:val="21"/>
                <w:highlight w:val="none"/>
              </w:rPr>
            </w:pPr>
            <w:r>
              <w:rPr>
                <w:rFonts w:hint="eastAsia" w:ascii="宋体" w:hAnsi="宋体" w:cs="宋体"/>
                <w:color w:val="auto"/>
                <w:szCs w:val="21"/>
                <w:highlight w:val="none"/>
              </w:rPr>
              <w:t>3  ……</w:t>
            </w:r>
          </w:p>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  ……</w:t>
            </w:r>
          </w:p>
          <w:p>
            <w:pPr>
              <w:rPr>
                <w:rFonts w:hint="eastAsia" w:ascii="宋体" w:hAnsi="宋体" w:cs="宋体"/>
                <w:color w:val="auto"/>
                <w:szCs w:val="21"/>
                <w:highlight w:val="none"/>
              </w:rPr>
            </w:pPr>
            <w:r>
              <w:rPr>
                <w:rFonts w:hint="eastAsia" w:ascii="宋体" w:hAnsi="宋体" w:cs="宋体"/>
                <w:color w:val="auto"/>
                <w:szCs w:val="21"/>
                <w:highlight w:val="none"/>
              </w:rPr>
              <w:t>2  ……</w:t>
            </w:r>
          </w:p>
          <w:p>
            <w:pPr>
              <w:rPr>
                <w:rFonts w:hint="eastAsia" w:ascii="宋体" w:hAnsi="宋体" w:cs="宋体"/>
                <w:color w:val="auto"/>
                <w:szCs w:val="21"/>
                <w:highlight w:val="none"/>
              </w:rPr>
            </w:pPr>
            <w:r>
              <w:rPr>
                <w:rFonts w:hint="eastAsia" w:ascii="宋体" w:hAnsi="宋体" w:cs="宋体"/>
                <w:color w:val="auto"/>
                <w:szCs w:val="21"/>
                <w:highlight w:val="none"/>
              </w:rPr>
              <w:t>3  ……</w:t>
            </w:r>
          </w:p>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9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  ……</w:t>
            </w:r>
          </w:p>
          <w:p>
            <w:pPr>
              <w:rPr>
                <w:rFonts w:hint="eastAsia" w:ascii="宋体" w:hAnsi="宋体" w:cs="宋体"/>
                <w:color w:val="auto"/>
                <w:szCs w:val="21"/>
                <w:highlight w:val="none"/>
              </w:rPr>
            </w:pPr>
            <w:r>
              <w:rPr>
                <w:rFonts w:hint="eastAsia" w:ascii="宋体" w:hAnsi="宋体" w:cs="宋体"/>
                <w:color w:val="auto"/>
                <w:szCs w:val="21"/>
                <w:highlight w:val="none"/>
              </w:rPr>
              <w:t>2  ……</w:t>
            </w:r>
          </w:p>
          <w:p>
            <w:pPr>
              <w:rPr>
                <w:rFonts w:hint="eastAsia" w:ascii="宋体" w:hAnsi="宋体" w:cs="宋体"/>
                <w:color w:val="auto"/>
                <w:szCs w:val="21"/>
                <w:highlight w:val="none"/>
              </w:rPr>
            </w:pPr>
            <w:r>
              <w:rPr>
                <w:rFonts w:hint="eastAsia" w:ascii="宋体" w:hAnsi="宋体" w:cs="宋体"/>
                <w:color w:val="auto"/>
                <w:szCs w:val="21"/>
                <w:highlight w:val="none"/>
              </w:rPr>
              <w:t>3  ……</w:t>
            </w:r>
          </w:p>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1  ……</w:t>
            </w:r>
          </w:p>
          <w:p>
            <w:pPr>
              <w:rPr>
                <w:rFonts w:hint="eastAsia" w:ascii="宋体" w:hAnsi="宋体" w:cs="宋体"/>
                <w:color w:val="auto"/>
                <w:szCs w:val="21"/>
                <w:highlight w:val="none"/>
              </w:rPr>
            </w:pPr>
            <w:r>
              <w:rPr>
                <w:rFonts w:hint="eastAsia" w:ascii="宋体" w:hAnsi="宋体" w:cs="宋体"/>
                <w:color w:val="auto"/>
                <w:szCs w:val="21"/>
                <w:highlight w:val="none"/>
              </w:rPr>
              <w:t>2  ……</w:t>
            </w:r>
          </w:p>
          <w:p>
            <w:pPr>
              <w:rPr>
                <w:rFonts w:hint="eastAsia" w:ascii="宋体" w:hAnsi="宋体" w:cs="宋体"/>
                <w:color w:val="auto"/>
                <w:szCs w:val="21"/>
                <w:highlight w:val="none"/>
              </w:rPr>
            </w:pPr>
            <w:r>
              <w:rPr>
                <w:rFonts w:hint="eastAsia" w:ascii="宋体" w:hAnsi="宋体" w:cs="宋体"/>
                <w:color w:val="auto"/>
                <w:szCs w:val="21"/>
                <w:highlight w:val="none"/>
              </w:rPr>
              <w:t>3  ……</w:t>
            </w:r>
          </w:p>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91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0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33"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9533"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33" w:type="dxa"/>
            <w:gridSpan w:val="9"/>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highlight w:val="none"/>
              </w:rPr>
              <w:t>（负责人）</w:t>
            </w:r>
            <w:r>
              <w:rPr>
                <w:rFonts w:hint="eastAsia" w:ascii="宋体" w:hAnsi="宋体" w:cs="宋体"/>
                <w:color w:val="auto"/>
                <w:szCs w:val="21"/>
                <w:highlight w:val="none"/>
              </w:rPr>
              <w:t>或其委托代理人（签字）：</w:t>
            </w:r>
          </w:p>
          <w:p>
            <w:pPr>
              <w:rPr>
                <w:rFonts w:hint="eastAsia" w:ascii="宋体" w:hAnsi="宋体" w:cs="宋体"/>
                <w:color w:val="auto"/>
                <w:szCs w:val="21"/>
                <w:highlight w:val="none"/>
              </w:rPr>
            </w:pPr>
            <w:r>
              <w:rPr>
                <w:rFonts w:hint="eastAsia"/>
                <w:color w:val="auto"/>
                <w:highlight w:val="none"/>
              </w:rPr>
              <w:t>日期</w:t>
            </w:r>
            <w:r>
              <w:rPr>
                <w:rFonts w:hint="eastAsia"/>
                <w:color w:val="auto"/>
                <w:highlight w:val="none"/>
                <w:u w:val="single"/>
              </w:rPr>
              <w:t xml:space="preserve">                            </w:t>
            </w:r>
          </w:p>
        </w:tc>
      </w:tr>
    </w:tbl>
    <w:p>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注：⑴表格内容均需按要求填写并盖章，不得留空，</w:t>
      </w:r>
      <w:r>
        <w:rPr>
          <w:rFonts w:hint="eastAsia" w:ascii="宋体" w:hAnsi="宋体" w:cs="宋体"/>
          <w:bCs/>
          <w:color w:val="auto"/>
          <w:szCs w:val="21"/>
          <w:highlight w:val="none"/>
        </w:rPr>
        <w:t>否则按竞标无效处理</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⑵如果竞标产品技术参数小于或大于</w:t>
      </w:r>
      <w:r>
        <w:rPr>
          <w:rFonts w:hint="eastAsia" w:hAnsi="宋体"/>
          <w:color w:val="auto"/>
          <w:highlight w:val="none"/>
        </w:rPr>
        <w:t>竞争性谈判文件</w:t>
      </w:r>
      <w:r>
        <w:rPr>
          <w:rFonts w:hint="eastAsia" w:ascii="宋体" w:hAnsi="宋体" w:cs="宋体"/>
          <w:bCs/>
          <w:color w:val="auto"/>
          <w:szCs w:val="21"/>
          <w:highlight w:val="none"/>
        </w:rPr>
        <w:t>要求的某个数值标准时，响应文件不得直接复制竞争性谈判文件需求，响应文件对应内容应当写明竞标货物具体参数，否则按竞标无效处理。</w:t>
      </w:r>
    </w:p>
    <w:p>
      <w:pPr>
        <w:spacing w:line="360" w:lineRule="exact"/>
        <w:ind w:firstLine="390" w:firstLineChars="186"/>
        <w:rPr>
          <w:rFonts w:hint="eastAsia" w:ascii="宋体" w:hAnsi="宋体" w:cs="宋体"/>
          <w:bCs/>
          <w:color w:val="auto"/>
          <w:szCs w:val="21"/>
          <w:highlight w:val="none"/>
        </w:rPr>
      </w:pPr>
      <w:r>
        <w:rPr>
          <w:rFonts w:hint="eastAsia" w:ascii="宋体" w:hAnsi="宋体" w:cs="宋体"/>
          <w:color w:val="auto"/>
          <w:szCs w:val="21"/>
          <w:highlight w:val="none"/>
        </w:rPr>
        <w:t>⑶当竞标产品的技术参数或商务内容低于竞标文件要求时，供应商应当如实写明“负偏离”，否则视为虚假应标。</w:t>
      </w:r>
    </w:p>
    <w:p>
      <w:pPr>
        <w:pStyle w:val="15"/>
        <w:rPr>
          <w:rFonts w:hint="eastAsia"/>
          <w:color w:val="auto"/>
          <w:highlight w:val="none"/>
        </w:rPr>
      </w:pPr>
    </w:p>
    <w:p>
      <w:pPr>
        <w:pStyle w:val="15"/>
        <w:ind w:left="420"/>
        <w:rPr>
          <w:bCs/>
          <w:color w:val="auto"/>
          <w:highlight w:val="none"/>
        </w:rPr>
      </w:pPr>
    </w:p>
    <w:p>
      <w:pPr>
        <w:jc w:val="left"/>
        <w:rPr>
          <w:rFonts w:hint="eastAsia"/>
          <w:color w:val="auto"/>
          <w:highlight w:val="none"/>
        </w:rPr>
      </w:pPr>
      <w:r>
        <w:rPr>
          <w:rFonts w:hint="eastAsia"/>
          <w:bCs/>
          <w:color w:val="auto"/>
          <w:highlight w:val="none"/>
        </w:rPr>
        <w:t>说明：此表由多页构成的，</w:t>
      </w:r>
      <w:r>
        <w:rPr>
          <w:rFonts w:hint="eastAsia"/>
          <w:color w:val="auto"/>
          <w:highlight w:val="none"/>
        </w:rPr>
        <w:t>应逐页加盖供应商公章并由法定代表人或委托代理人签字，否则竞标无效。</w:t>
      </w:r>
    </w:p>
    <w:p>
      <w:pPr>
        <w:pStyle w:val="3"/>
        <w:keepLines/>
        <w:spacing w:before="340" w:after="330" w:line="578" w:lineRule="auto"/>
        <w:jc w:val="center"/>
        <w:rPr>
          <w:rFonts w:hint="eastAsia"/>
          <w:b w:val="0"/>
          <w:bCs/>
          <w:color w:val="auto"/>
          <w:sz w:val="32"/>
          <w:highlight w:val="none"/>
        </w:rPr>
      </w:pPr>
      <w:r>
        <w:rPr>
          <w:color w:val="auto"/>
          <w:highlight w:val="none"/>
        </w:rPr>
        <w:br w:type="page"/>
      </w:r>
      <w:bookmarkStart w:id="41" w:name="_Toc13457"/>
      <w:r>
        <w:rPr>
          <w:rFonts w:hint="eastAsia" w:ascii="Times New Roman" w:hAnsi="Times New Roman"/>
          <w:color w:val="auto"/>
          <w:kern w:val="44"/>
          <w:sz w:val="32"/>
          <w:szCs w:val="32"/>
          <w:highlight w:val="none"/>
        </w:rPr>
        <w:t>五、售后服务承诺书</w:t>
      </w:r>
      <w:bookmarkEnd w:id="41"/>
    </w:p>
    <w:p>
      <w:pPr>
        <w:pStyle w:val="15"/>
        <w:jc w:val="center"/>
        <w:rPr>
          <w:rFonts w:hint="eastAsia"/>
          <w:color w:val="auto"/>
          <w:highlight w:val="none"/>
        </w:rPr>
      </w:pPr>
    </w:p>
    <w:p>
      <w:pPr>
        <w:pStyle w:val="15"/>
        <w:jc w:val="center"/>
        <w:rPr>
          <w:rFonts w:hint="eastAsia"/>
          <w:color w:val="auto"/>
          <w:highlight w:val="none"/>
        </w:rPr>
      </w:pPr>
      <w:r>
        <w:rPr>
          <w:rFonts w:hint="eastAsia"/>
          <w:color w:val="auto"/>
          <w:highlight w:val="none"/>
        </w:rPr>
        <w:t>(由供应商就《项目需求》“售后服务及要求”自行填写)</w:t>
      </w: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p>
    <w:p>
      <w:pPr>
        <w:pStyle w:val="15"/>
        <w:rPr>
          <w:rFonts w:hint="eastAsia"/>
          <w:color w:val="auto"/>
          <w:highlight w:val="none"/>
        </w:rPr>
      </w:pPr>
      <w:r>
        <w:rPr>
          <w:rFonts w:hint="eastAsia"/>
          <w:color w:val="auto"/>
          <w:highlight w:val="none"/>
        </w:rPr>
        <w:t xml:space="preserve">供应商(公章)  </w:t>
      </w:r>
      <w:r>
        <w:rPr>
          <w:rFonts w:hint="eastAsia"/>
          <w:color w:val="auto"/>
          <w:highlight w:val="none"/>
          <w:u w:val="single"/>
        </w:rPr>
        <w:t xml:space="preserve">                              </w:t>
      </w:r>
    </w:p>
    <w:p>
      <w:pPr>
        <w:pStyle w:val="15"/>
        <w:rPr>
          <w:rFonts w:hint="eastAsia"/>
          <w:color w:val="auto"/>
          <w:highlight w:val="none"/>
        </w:rPr>
      </w:pPr>
    </w:p>
    <w:p>
      <w:pPr>
        <w:pStyle w:val="15"/>
        <w:rPr>
          <w:rFonts w:hint="eastAsia"/>
          <w:color w:val="auto"/>
          <w:highlight w:val="none"/>
        </w:rPr>
      </w:pPr>
      <w:r>
        <w:rPr>
          <w:rFonts w:hint="eastAsia"/>
          <w:color w:val="auto"/>
          <w:highlight w:val="none"/>
        </w:rPr>
        <w:t>法定代表人或委托代理人签字</w:t>
      </w:r>
      <w:r>
        <w:rPr>
          <w:rFonts w:hint="eastAsia"/>
          <w:color w:val="auto"/>
          <w:highlight w:val="none"/>
          <w:u w:val="single"/>
        </w:rPr>
        <w:t xml:space="preserve">                  </w:t>
      </w:r>
    </w:p>
    <w:p>
      <w:pPr>
        <w:pStyle w:val="15"/>
        <w:spacing w:line="240" w:lineRule="exact"/>
        <w:rPr>
          <w:rFonts w:hint="eastAsia" w:ascii="金山简魏碑" w:eastAsia="金山简魏碑"/>
          <w:b/>
          <w:color w:val="auto"/>
          <w:sz w:val="44"/>
          <w:highlight w:val="none"/>
        </w:rPr>
      </w:pPr>
    </w:p>
    <w:p>
      <w:pPr>
        <w:pStyle w:val="15"/>
        <w:rPr>
          <w:color w:val="auto"/>
          <w:highlight w:val="none"/>
        </w:rPr>
      </w:pPr>
      <w:r>
        <w:rPr>
          <w:rFonts w:hint="eastAsia"/>
          <w:color w:val="auto"/>
          <w:highlight w:val="none"/>
        </w:rPr>
        <w:t>日期</w:t>
      </w:r>
      <w:r>
        <w:rPr>
          <w:rFonts w:hint="eastAsia"/>
          <w:color w:val="auto"/>
          <w:highlight w:val="none"/>
          <w:u w:val="single"/>
        </w:rPr>
        <w:t xml:space="preserve">                            </w:t>
      </w:r>
      <w:r>
        <w:rPr>
          <w:rFonts w:hint="eastAsia"/>
          <w:color w:val="auto"/>
          <w:highlight w:val="none"/>
        </w:rPr>
        <w:t xml:space="preserve">                            </w:t>
      </w:r>
    </w:p>
    <w:p>
      <w:pPr>
        <w:pStyle w:val="15"/>
        <w:rPr>
          <w:rFonts w:hint="eastAsia"/>
          <w:color w:val="auto"/>
          <w:highlight w:val="none"/>
        </w:rPr>
      </w:pPr>
    </w:p>
    <w:p>
      <w:pPr>
        <w:pStyle w:val="15"/>
        <w:rPr>
          <w:rFonts w:hint="eastAsia"/>
          <w:color w:val="auto"/>
          <w:highlight w:val="none"/>
        </w:rPr>
      </w:pPr>
    </w:p>
    <w:p>
      <w:pPr>
        <w:pStyle w:val="15"/>
        <w:spacing w:line="480" w:lineRule="exact"/>
        <w:ind w:firstLine="420" w:firstLineChars="200"/>
        <w:rPr>
          <w:color w:val="auto"/>
          <w:highlight w:val="none"/>
          <w:u w:val="single"/>
        </w:rPr>
      </w:pPr>
    </w:p>
    <w:p>
      <w:pPr>
        <w:pStyle w:val="15"/>
        <w:jc w:val="center"/>
        <w:rPr>
          <w:rFonts w:hint="eastAsia"/>
          <w:color w:val="auto"/>
          <w:highlight w:val="none"/>
        </w:rPr>
      </w:pPr>
      <w:r>
        <w:rPr>
          <w:rFonts w:hint="eastAsia"/>
          <w:color w:val="auto"/>
          <w:highlight w:val="none"/>
        </w:rPr>
        <w:t>注：此承诺书由多页构成的，应逐页加盖供应商公章，或法定代表人或委托代理人签字，否则竞标无效。</w:t>
      </w:r>
    </w:p>
    <w:p>
      <w:pPr>
        <w:pStyle w:val="3"/>
        <w:keepLines/>
        <w:spacing w:before="340" w:after="330" w:line="578" w:lineRule="auto"/>
        <w:jc w:val="center"/>
        <w:rPr>
          <w:rFonts w:hint="eastAsia" w:ascii="宋体" w:hAnsi="宋体"/>
          <w:color w:val="auto"/>
          <w:sz w:val="28"/>
          <w:szCs w:val="28"/>
          <w:highlight w:val="none"/>
        </w:rPr>
      </w:pPr>
      <w:r>
        <w:rPr>
          <w:rFonts w:hint="eastAsia"/>
          <w:color w:val="auto"/>
          <w:highlight w:val="none"/>
        </w:rPr>
        <w:br w:type="page"/>
      </w:r>
      <w:bookmarkStart w:id="42" w:name="_Toc16048"/>
      <w:r>
        <w:rPr>
          <w:rFonts w:hint="eastAsia" w:ascii="Times New Roman" w:hAnsi="Times New Roman"/>
          <w:color w:val="auto"/>
          <w:kern w:val="44"/>
          <w:sz w:val="32"/>
          <w:szCs w:val="32"/>
          <w:highlight w:val="none"/>
        </w:rPr>
        <w:t>六、供应商直接控股股东信息表（格式）</w:t>
      </w:r>
      <w:bookmarkEnd w:id="42"/>
    </w:p>
    <w:tbl>
      <w:tblPr>
        <w:tblStyle w:val="28"/>
        <w:tblW w:w="9476" w:type="dxa"/>
        <w:tblInd w:w="0" w:type="dxa"/>
        <w:shd w:val="clear" w:color="auto" w:fill="FBFBFB"/>
        <w:tblLayout w:type="fixed"/>
        <w:tblCellMar>
          <w:top w:w="0" w:type="dxa"/>
          <w:left w:w="0" w:type="dxa"/>
          <w:bottom w:w="0" w:type="dxa"/>
          <w:right w:w="0" w:type="dxa"/>
        </w:tblCellMar>
      </w:tblPr>
      <w:tblGrid>
        <w:gridCol w:w="828"/>
        <w:gridCol w:w="1986"/>
        <w:gridCol w:w="1522"/>
        <w:gridCol w:w="3440"/>
        <w:gridCol w:w="1700"/>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序号</w:t>
            </w:r>
          </w:p>
        </w:tc>
        <w:tc>
          <w:tcPr>
            <w:tcW w:w="198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直接控股股东名称</w:t>
            </w:r>
          </w:p>
        </w:tc>
        <w:tc>
          <w:tcPr>
            <w:tcW w:w="1522"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出资比例</w:t>
            </w:r>
          </w:p>
        </w:tc>
        <w:tc>
          <w:tcPr>
            <w:tcW w:w="344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身份证号码或统一社会信用代码</w:t>
            </w:r>
          </w:p>
        </w:tc>
        <w:tc>
          <w:tcPr>
            <w:tcW w:w="1700"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r>
              <w:rPr>
                <w:rFonts w:ascii="宋体" w:hAnsi="宋体" w:cs="宋体"/>
                <w:color w:val="auto"/>
                <w:szCs w:val="21"/>
                <w:highlight w:val="none"/>
              </w:rPr>
              <w:t>1</w:t>
            </w:r>
          </w:p>
        </w:tc>
        <w:tc>
          <w:tcPr>
            <w:tcW w:w="198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15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3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17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r>
              <w:rPr>
                <w:rFonts w:ascii="宋体" w:hAnsi="宋体" w:cs="宋体"/>
                <w:color w:val="auto"/>
                <w:szCs w:val="21"/>
                <w:highlight w:val="none"/>
              </w:rPr>
              <w:t>2</w:t>
            </w:r>
          </w:p>
        </w:tc>
        <w:tc>
          <w:tcPr>
            <w:tcW w:w="198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15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3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17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r>
              <w:rPr>
                <w:rFonts w:ascii="宋体" w:hAnsi="宋体" w:cs="宋体"/>
                <w:color w:val="auto"/>
                <w:szCs w:val="21"/>
                <w:highlight w:val="none"/>
              </w:rPr>
              <w:t>3</w:t>
            </w:r>
          </w:p>
        </w:tc>
        <w:tc>
          <w:tcPr>
            <w:tcW w:w="198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15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3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17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r>
              <w:rPr>
                <w:rFonts w:hint="eastAsia" w:ascii="宋体" w:hAnsi="宋体" w:cs="宋体"/>
                <w:color w:val="auto"/>
                <w:szCs w:val="21"/>
                <w:highlight w:val="none"/>
              </w:rPr>
              <w:t>……</w:t>
            </w:r>
          </w:p>
        </w:tc>
        <w:tc>
          <w:tcPr>
            <w:tcW w:w="198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1522"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344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1700"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r>
    </w:tbl>
    <w:p>
      <w:pPr>
        <w:snapToGrid w:val="0"/>
        <w:jc w:val="left"/>
        <w:rPr>
          <w:rFonts w:ascii="宋体" w:hAnsi="宋体"/>
          <w:color w:val="auto"/>
          <w:highlight w:val="none"/>
        </w:rPr>
      </w:pPr>
      <w:r>
        <w:rPr>
          <w:rFonts w:hint="eastAsia" w:ascii="宋体" w:hAnsi="宋体"/>
          <w:color w:val="auto"/>
          <w:highlight w:val="none"/>
        </w:rPr>
        <w:t>注：</w:t>
      </w:r>
    </w:p>
    <w:p>
      <w:pPr>
        <w:snapToGrid w:val="0"/>
        <w:jc w:val="left"/>
        <w:rPr>
          <w:rFonts w:ascii="宋体" w:hAnsi="宋体"/>
          <w:color w:val="auto"/>
          <w:highlight w:val="none"/>
        </w:rPr>
      </w:pPr>
      <w:r>
        <w:rPr>
          <w:rFonts w:ascii="宋体" w:hAnsi="宋体"/>
          <w:color w:val="auto"/>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jc w:val="left"/>
        <w:rPr>
          <w:rFonts w:ascii="宋体" w:hAnsi="宋体"/>
          <w:color w:val="auto"/>
          <w:highlight w:val="none"/>
        </w:rPr>
      </w:pPr>
      <w:r>
        <w:rPr>
          <w:rFonts w:ascii="宋体" w:hAnsi="宋体"/>
          <w:color w:val="auto"/>
          <w:highlight w:val="none"/>
        </w:rPr>
        <w:t>2.本表所指的控股关系仅限于直接控股关系，不包括间接的控股关系。公司实际控制人与公司之间的关系不属于本表所指的直接控股关系。</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spacing w:before="156" w:beforeLines="50"/>
        <w:ind w:right="480" w:firstLine="3471" w:firstLineChars="1653"/>
        <w:rPr>
          <w:rFonts w:ascii="宋体" w:hAnsi="宋体"/>
          <w:color w:val="auto"/>
          <w:szCs w:val="21"/>
          <w:highlight w:val="none"/>
          <w:u w:val="single"/>
        </w:rPr>
      </w:pPr>
      <w:r>
        <w:rPr>
          <w:rFonts w:ascii="宋体" w:hAnsi="宋体"/>
          <w:color w:val="auto"/>
          <w:szCs w:val="21"/>
          <w:highlight w:val="none"/>
        </w:rPr>
        <w:t>法定代表人（负责人）或被授权人签字：</w:t>
      </w:r>
    </w:p>
    <w:p>
      <w:pPr>
        <w:snapToGrid w:val="0"/>
        <w:spacing w:before="156" w:beforeLines="50" w:after="50"/>
        <w:ind w:right="480" w:firstLine="4830" w:firstLineChars="2300"/>
        <w:rPr>
          <w:rFonts w:ascii="宋体" w:hAnsi="宋体"/>
          <w:color w:val="auto"/>
          <w:szCs w:val="21"/>
          <w:highlight w:val="none"/>
          <w:u w:val="single"/>
        </w:rPr>
      </w:pPr>
      <w:r>
        <w:rPr>
          <w:rFonts w:hint="eastAsia" w:ascii="宋体" w:hAnsi="宋体"/>
          <w:color w:val="auto"/>
          <w:szCs w:val="21"/>
          <w:highlight w:val="none"/>
        </w:rPr>
        <w:t>供应商</w:t>
      </w:r>
      <w:r>
        <w:rPr>
          <w:rFonts w:ascii="宋体" w:hAnsi="宋体"/>
          <w:color w:val="auto"/>
          <w:szCs w:val="21"/>
          <w:highlight w:val="none"/>
        </w:rPr>
        <w:t>公章：</w:t>
      </w:r>
    </w:p>
    <w:p>
      <w:pPr>
        <w:snapToGrid w:val="0"/>
        <w:spacing w:before="156" w:beforeLines="50" w:after="50"/>
        <w:ind w:right="480" w:firstLine="4830" w:firstLineChars="2300"/>
        <w:rPr>
          <w:rFonts w:ascii="宋体" w:hAnsi="宋体"/>
          <w:color w:val="auto"/>
          <w:szCs w:val="21"/>
          <w:highlight w:val="none"/>
        </w:rPr>
      </w:pPr>
      <w:r>
        <w:rPr>
          <w:rFonts w:hint="eastAsia" w:ascii="宋体" w:hAnsi="宋体"/>
          <w:color w:val="auto"/>
          <w:szCs w:val="21"/>
          <w:highlight w:val="none"/>
        </w:rPr>
        <w:t>年月日</w:t>
      </w: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snapToGrid w:val="0"/>
        <w:jc w:val="center"/>
        <w:rPr>
          <w:rFonts w:hint="eastAsia" w:ascii="宋体" w:hAnsi="宋体"/>
          <w:color w:val="auto"/>
          <w:highlight w:val="none"/>
        </w:rPr>
      </w:pPr>
      <w:r>
        <w:rPr>
          <w:rFonts w:ascii="宋体" w:hAnsi="宋体"/>
          <w:b/>
          <w:color w:val="auto"/>
          <w:sz w:val="28"/>
          <w:szCs w:val="28"/>
          <w:highlight w:val="none"/>
        </w:rPr>
        <w:br w:type="page"/>
      </w:r>
      <w:r>
        <w:rPr>
          <w:rFonts w:hint="eastAsia" w:ascii="宋体" w:hAnsi="Courier New"/>
          <w:b/>
          <w:color w:val="auto"/>
          <w:sz w:val="32"/>
          <w:szCs w:val="20"/>
          <w:highlight w:val="none"/>
        </w:rPr>
        <w:t>供应商直接管理关系信息表（格式）</w:t>
      </w:r>
    </w:p>
    <w:tbl>
      <w:tblPr>
        <w:tblStyle w:val="28"/>
        <w:tblW w:w="9652" w:type="dxa"/>
        <w:tblInd w:w="0" w:type="dxa"/>
        <w:shd w:val="clear" w:color="auto" w:fill="FBFBFB"/>
        <w:tblLayout w:type="fixed"/>
        <w:tblCellMar>
          <w:top w:w="0" w:type="dxa"/>
          <w:left w:w="0" w:type="dxa"/>
          <w:bottom w:w="0" w:type="dxa"/>
          <w:right w:w="0" w:type="dxa"/>
        </w:tblCellMar>
      </w:tblPr>
      <w:tblGrid>
        <w:gridCol w:w="1005"/>
        <w:gridCol w:w="2409"/>
        <w:gridCol w:w="417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序号</w:t>
            </w:r>
          </w:p>
        </w:tc>
        <w:tc>
          <w:tcPr>
            <w:tcW w:w="240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直接管理关系单位名称</w:t>
            </w:r>
          </w:p>
        </w:tc>
        <w:tc>
          <w:tcPr>
            <w:tcW w:w="417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widowControl/>
              <w:jc w:val="center"/>
              <w:rPr>
                <w:rFonts w:ascii="宋体" w:hAnsi="宋体" w:cs="宋体"/>
                <w:b/>
                <w:bCs/>
                <w:color w:val="auto"/>
                <w:szCs w:val="21"/>
                <w:highlight w:val="none"/>
              </w:rPr>
            </w:pPr>
            <w:r>
              <w:rPr>
                <w:rFonts w:ascii="宋体" w:hAnsi="宋体" w:cs="宋体"/>
                <w:b/>
                <w:bCs/>
                <w:color w:val="auto"/>
                <w:szCs w:val="21"/>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r>
              <w:rPr>
                <w:rFonts w:ascii="宋体" w:hAnsi="宋体" w:cs="宋体"/>
                <w:color w:val="auto"/>
                <w:szCs w:val="21"/>
                <w:highlight w:val="none"/>
              </w:rPr>
              <w:t>1</w:t>
            </w:r>
          </w:p>
        </w:tc>
        <w:tc>
          <w:tcPr>
            <w:tcW w:w="240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r>
              <w:rPr>
                <w:rFonts w:ascii="宋体" w:hAnsi="宋体" w:cs="宋体"/>
                <w:color w:val="auto"/>
                <w:szCs w:val="21"/>
                <w:highlight w:val="none"/>
              </w:rPr>
              <w:t>2</w:t>
            </w:r>
          </w:p>
        </w:tc>
        <w:tc>
          <w:tcPr>
            <w:tcW w:w="240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r>
              <w:rPr>
                <w:rFonts w:ascii="宋体" w:hAnsi="宋体" w:cs="宋体"/>
                <w:color w:val="auto"/>
                <w:szCs w:val="21"/>
                <w:highlight w:val="none"/>
              </w:rPr>
              <w:t>3</w:t>
            </w:r>
          </w:p>
        </w:tc>
        <w:tc>
          <w:tcPr>
            <w:tcW w:w="240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r>
              <w:rPr>
                <w:rFonts w:hint="eastAsia" w:ascii="宋体" w:hAnsi="宋体" w:cs="宋体"/>
                <w:color w:val="auto"/>
                <w:szCs w:val="21"/>
                <w:highlight w:val="none"/>
              </w:rPr>
              <w:t>……</w:t>
            </w:r>
          </w:p>
        </w:tc>
        <w:tc>
          <w:tcPr>
            <w:tcW w:w="240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417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widowControl/>
              <w:wordWrap w:val="0"/>
              <w:spacing w:line="200" w:lineRule="atLeast"/>
              <w:jc w:val="center"/>
              <w:rPr>
                <w:rFonts w:ascii="宋体" w:hAnsi="宋体" w:cs="宋体"/>
                <w:color w:val="auto"/>
                <w:szCs w:val="21"/>
                <w:highlight w:val="none"/>
              </w:rPr>
            </w:pPr>
          </w:p>
        </w:tc>
      </w:tr>
    </w:tbl>
    <w:p>
      <w:pPr>
        <w:snapToGrid w:val="0"/>
        <w:jc w:val="left"/>
        <w:rPr>
          <w:rFonts w:ascii="宋体" w:hAnsi="宋体"/>
          <w:color w:val="auto"/>
          <w:highlight w:val="none"/>
        </w:rPr>
      </w:pPr>
      <w:r>
        <w:rPr>
          <w:rFonts w:hint="eastAsia" w:ascii="宋体" w:hAnsi="宋体"/>
          <w:color w:val="auto"/>
          <w:highlight w:val="none"/>
        </w:rPr>
        <w:t>注：</w:t>
      </w:r>
    </w:p>
    <w:p>
      <w:pPr>
        <w:snapToGrid w:val="0"/>
        <w:jc w:val="left"/>
        <w:rPr>
          <w:rFonts w:ascii="宋体" w:hAnsi="宋体"/>
          <w:color w:val="auto"/>
          <w:highlight w:val="none"/>
        </w:rPr>
      </w:pPr>
      <w:r>
        <w:rPr>
          <w:rFonts w:ascii="宋体" w:hAnsi="宋体"/>
          <w:color w:val="auto"/>
          <w:highlight w:val="none"/>
        </w:rPr>
        <w:t>1.管理关系：是指不具有出资持股关系的其他单位之间存在的管理与被管理关系，如一些上下级关系的事业单位和团体组织。</w:t>
      </w:r>
    </w:p>
    <w:p>
      <w:pPr>
        <w:snapToGrid w:val="0"/>
        <w:jc w:val="left"/>
        <w:rPr>
          <w:rFonts w:ascii="宋体" w:hAnsi="宋体"/>
          <w:color w:val="auto"/>
          <w:highlight w:val="none"/>
        </w:rPr>
      </w:pPr>
      <w:r>
        <w:rPr>
          <w:rFonts w:ascii="宋体" w:hAnsi="宋体"/>
          <w:color w:val="auto"/>
          <w:highlight w:val="none"/>
        </w:rPr>
        <w:t>2.本表所指的管理关系仅限于直接管理关系，不包括间接的管理关系。</w:t>
      </w: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rFonts w:ascii="宋体" w:hAnsi="宋体"/>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color w:val="auto"/>
          <w:highlight w:val="none"/>
        </w:rPr>
      </w:pPr>
    </w:p>
    <w:p>
      <w:pPr>
        <w:snapToGrid w:val="0"/>
        <w:jc w:val="left"/>
        <w:rPr>
          <w:rFonts w:ascii="宋体" w:hAnsi="宋体"/>
          <w:color w:val="auto"/>
          <w:szCs w:val="21"/>
          <w:highlight w:val="none"/>
        </w:rPr>
      </w:pPr>
    </w:p>
    <w:p>
      <w:pPr>
        <w:snapToGrid w:val="0"/>
        <w:spacing w:before="156" w:beforeLines="50"/>
        <w:ind w:right="480" w:firstLine="3471" w:firstLineChars="1653"/>
        <w:rPr>
          <w:rFonts w:ascii="宋体" w:hAnsi="宋体"/>
          <w:color w:val="auto"/>
          <w:szCs w:val="21"/>
          <w:highlight w:val="none"/>
          <w:u w:val="single"/>
        </w:rPr>
      </w:pPr>
      <w:r>
        <w:rPr>
          <w:rFonts w:ascii="宋体" w:hAnsi="宋体"/>
          <w:color w:val="auto"/>
          <w:szCs w:val="21"/>
          <w:highlight w:val="none"/>
        </w:rPr>
        <w:t>法定代表人（负责人）或被授权人签字：</w:t>
      </w:r>
    </w:p>
    <w:p>
      <w:pPr>
        <w:snapToGrid w:val="0"/>
        <w:spacing w:before="156" w:beforeLines="50" w:after="50"/>
        <w:ind w:right="480" w:firstLine="4830" w:firstLineChars="2300"/>
        <w:rPr>
          <w:rFonts w:ascii="宋体" w:hAns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rPr>
        <w:t>公章：</w:t>
      </w:r>
    </w:p>
    <w:p>
      <w:pPr>
        <w:snapToGrid w:val="0"/>
        <w:spacing w:before="156" w:beforeLines="50" w:after="50"/>
        <w:ind w:right="480" w:firstLine="210" w:firstLineChars="100"/>
        <w:jc w:val="right"/>
        <w:rPr>
          <w:rFonts w:ascii="宋体" w:hAnsi="宋体"/>
          <w:color w:val="auto"/>
          <w:szCs w:val="21"/>
          <w:highlight w:val="none"/>
        </w:rPr>
      </w:pPr>
      <w:r>
        <w:rPr>
          <w:rFonts w:hint="eastAsia" w:ascii="宋体" w:hAnsi="宋体"/>
          <w:color w:val="auto"/>
          <w:szCs w:val="21"/>
          <w:highlight w:val="none"/>
        </w:rPr>
        <w:t>年月日</w:t>
      </w:r>
    </w:p>
    <w:p>
      <w:pPr>
        <w:snapToGrid w:val="0"/>
        <w:spacing w:before="50" w:after="156" w:afterLines="50"/>
        <w:jc w:val="left"/>
        <w:rPr>
          <w:rFonts w:ascii="宋体" w:hAnsi="宋体"/>
          <w:color w:val="auto"/>
          <w:szCs w:val="21"/>
          <w:highlight w:val="none"/>
        </w:rPr>
      </w:pPr>
    </w:p>
    <w:p>
      <w:pPr>
        <w:pStyle w:val="15"/>
        <w:spacing w:line="360" w:lineRule="auto"/>
        <w:rPr>
          <w:rFonts w:cs="宋体"/>
          <w:b/>
          <w:color w:val="auto"/>
          <w:highlight w:val="none"/>
        </w:rPr>
      </w:pPr>
    </w:p>
    <w:p>
      <w:pPr>
        <w:pStyle w:val="15"/>
        <w:spacing w:line="360" w:lineRule="auto"/>
        <w:rPr>
          <w:rFonts w:cs="宋体"/>
          <w:b/>
          <w:color w:val="auto"/>
          <w:highlight w:val="none"/>
        </w:rPr>
      </w:pPr>
    </w:p>
    <w:p>
      <w:pPr>
        <w:pStyle w:val="3"/>
        <w:keepLines/>
        <w:spacing w:before="340" w:after="330" w:line="578" w:lineRule="auto"/>
        <w:jc w:val="center"/>
        <w:rPr>
          <w:rFonts w:hint="eastAsia"/>
          <w:b w:val="0"/>
          <w:color w:val="auto"/>
          <w:sz w:val="32"/>
          <w:highlight w:val="none"/>
        </w:rPr>
      </w:pPr>
      <w:r>
        <w:rPr>
          <w:rFonts w:cs="宋体"/>
          <w:color w:val="auto"/>
          <w:highlight w:val="none"/>
        </w:rPr>
        <w:br w:type="page"/>
      </w:r>
      <w:bookmarkStart w:id="43" w:name="_Toc18543"/>
      <w:r>
        <w:rPr>
          <w:rFonts w:hint="eastAsia" w:ascii="Times New Roman" w:hAnsi="Times New Roman"/>
          <w:color w:val="auto"/>
          <w:kern w:val="44"/>
          <w:sz w:val="32"/>
          <w:szCs w:val="32"/>
          <w:highlight w:val="none"/>
        </w:rPr>
        <w:t>七、授权委托书（格式）</w:t>
      </w:r>
      <w:bookmarkEnd w:id="43"/>
    </w:p>
    <w:p>
      <w:pPr>
        <w:pStyle w:val="15"/>
        <w:rPr>
          <w:rFonts w:hint="eastAsia"/>
          <w:color w:val="auto"/>
          <w:highlight w:val="none"/>
        </w:rPr>
      </w:pPr>
    </w:p>
    <w:p>
      <w:pPr>
        <w:spacing w:line="380" w:lineRule="exact"/>
        <w:ind w:firstLine="420" w:firstLineChars="200"/>
        <w:rPr>
          <w:rFonts w:hint="eastAsia"/>
          <w:color w:val="auto"/>
          <w:highlight w:val="none"/>
        </w:rPr>
      </w:pPr>
      <w:r>
        <w:rPr>
          <w:rFonts w:hint="eastAsia"/>
          <w:color w:val="auto"/>
          <w:highlight w:val="none"/>
        </w:rPr>
        <w:t>兹授权</w:t>
      </w:r>
      <w:r>
        <w:rPr>
          <w:rFonts w:hint="eastAsia"/>
          <w:color w:val="auto"/>
          <w:highlight w:val="none"/>
          <w:u w:val="single"/>
        </w:rPr>
        <w:t xml:space="preserve">          </w:t>
      </w:r>
      <w:r>
        <w:rPr>
          <w:rFonts w:hint="eastAsia"/>
          <w:color w:val="auto"/>
          <w:highlight w:val="none"/>
        </w:rPr>
        <w:t>同</w:t>
      </w:r>
      <w:r>
        <w:rPr>
          <w:rFonts w:hint="eastAsia" w:hAnsi="宋体"/>
          <w:color w:val="auto"/>
          <w:highlight w:val="none"/>
        </w:rPr>
        <w:t>志为我方参加广西峻源项目管理有限公司</w:t>
      </w:r>
      <w:r>
        <w:rPr>
          <w:rFonts w:hint="eastAsia" w:hAnsi="宋体"/>
          <w:color w:val="auto"/>
          <w:highlight w:val="none"/>
          <w:u w:val="single"/>
        </w:rPr>
        <w:t>××××</w:t>
      </w:r>
      <w:r>
        <w:rPr>
          <w:rFonts w:hint="eastAsia"/>
          <w:color w:val="auto"/>
          <w:highlight w:val="none"/>
          <w:u w:val="single"/>
        </w:rPr>
        <w:t>项目(项目编号：××××)</w:t>
      </w:r>
      <w:r>
        <w:rPr>
          <w:rFonts w:hint="eastAsia"/>
          <w:color w:val="auto"/>
          <w:highlight w:val="none"/>
        </w:rPr>
        <w:t>的竞标代理人，其代理权限为：</w:t>
      </w:r>
      <w:r>
        <w:rPr>
          <w:rFonts w:hint="eastAsia"/>
          <w:color w:val="auto"/>
          <w:highlight w:val="none"/>
          <w:u w:val="single"/>
        </w:rPr>
        <w:t xml:space="preserve">                                                        </w:t>
      </w:r>
    </w:p>
    <w:p>
      <w:pPr>
        <w:pStyle w:val="15"/>
        <w:spacing w:line="480" w:lineRule="exact"/>
        <w:rPr>
          <w:rFonts w:hint="eastAsia"/>
          <w:color w:val="auto"/>
          <w:highlight w:val="none"/>
          <w:u w:val="single"/>
        </w:rPr>
      </w:pPr>
      <w:r>
        <w:rPr>
          <w:rFonts w:hint="eastAsia"/>
          <w:color w:val="auto"/>
          <w:highlight w:val="none"/>
          <w:u w:val="single"/>
        </w:rPr>
        <w:t xml:space="preserve">                                                                                          </w:t>
      </w:r>
    </w:p>
    <w:p>
      <w:pPr>
        <w:pStyle w:val="15"/>
        <w:spacing w:line="480" w:lineRule="exact"/>
        <w:rPr>
          <w:rFonts w:hint="eastAsia"/>
          <w:color w:val="auto"/>
          <w:highlight w:val="none"/>
          <w:u w:val="single"/>
        </w:rPr>
      </w:pPr>
      <w:r>
        <w:rPr>
          <w:rFonts w:hint="eastAsia"/>
          <w:color w:val="auto"/>
          <w:highlight w:val="none"/>
        </w:rPr>
        <w:t xml:space="preserve"> </w:t>
      </w:r>
      <w:r>
        <w:rPr>
          <w:rFonts w:hint="eastAsia"/>
          <w:color w:val="auto"/>
          <w:highlight w:val="none"/>
          <w:u w:val="single"/>
        </w:rPr>
        <w:t xml:space="preserve">                                                                                         </w:t>
      </w:r>
    </w:p>
    <w:p>
      <w:pPr>
        <w:pStyle w:val="15"/>
        <w:spacing w:line="480" w:lineRule="exact"/>
        <w:rPr>
          <w:rFonts w:hint="eastAsia"/>
          <w:color w:val="auto"/>
          <w:highlight w:val="none"/>
        </w:rPr>
      </w:pPr>
    </w:p>
    <w:p>
      <w:pPr>
        <w:pStyle w:val="15"/>
        <w:spacing w:line="480" w:lineRule="exact"/>
        <w:ind w:firstLine="420"/>
        <w:rPr>
          <w:rFonts w:hint="eastAsia"/>
          <w:color w:val="auto"/>
          <w:highlight w:val="none"/>
        </w:rPr>
      </w:pPr>
      <w:r>
        <w:rPr>
          <w:rFonts w:hint="eastAsia"/>
          <w:color w:val="auto"/>
          <w:highlight w:val="none"/>
        </w:rPr>
        <w:t>代理期限从</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日至</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日止</w:t>
      </w:r>
    </w:p>
    <w:p>
      <w:pPr>
        <w:pStyle w:val="15"/>
        <w:spacing w:line="480" w:lineRule="exact"/>
        <w:rPr>
          <w:rFonts w:hint="eastAsia"/>
          <w:color w:val="auto"/>
          <w:highlight w:val="none"/>
        </w:rPr>
      </w:pPr>
    </w:p>
    <w:p>
      <w:pPr>
        <w:pStyle w:val="15"/>
        <w:spacing w:line="480" w:lineRule="exact"/>
        <w:ind w:firstLine="420"/>
        <w:rPr>
          <w:rFonts w:hint="eastAsia"/>
          <w:color w:val="auto"/>
          <w:highlight w:val="none"/>
        </w:rPr>
      </w:pPr>
      <w:r>
        <w:rPr>
          <w:rFonts w:hint="eastAsia"/>
          <w:color w:val="auto"/>
          <w:highlight w:val="none"/>
        </w:rPr>
        <w:t>委托单位：</w:t>
      </w:r>
      <w:r>
        <w:rPr>
          <w:rFonts w:hint="eastAsia"/>
          <w:color w:val="auto"/>
          <w:highlight w:val="none"/>
          <w:u w:val="single"/>
        </w:rPr>
        <w:t xml:space="preserve">              </w:t>
      </w:r>
      <w:r>
        <w:rPr>
          <w:rFonts w:hint="eastAsia"/>
          <w:color w:val="auto"/>
          <w:highlight w:val="none"/>
        </w:rPr>
        <w:t>（公章）        法定代表人：</w:t>
      </w:r>
      <w:r>
        <w:rPr>
          <w:rFonts w:hint="eastAsia"/>
          <w:color w:val="auto"/>
          <w:highlight w:val="none"/>
          <w:u w:val="single"/>
        </w:rPr>
        <w:t xml:space="preserve">               </w:t>
      </w:r>
      <w:r>
        <w:rPr>
          <w:rFonts w:hint="eastAsia"/>
          <w:color w:val="auto"/>
          <w:highlight w:val="none"/>
        </w:rPr>
        <w:t>（签字）</w:t>
      </w:r>
    </w:p>
    <w:p>
      <w:pPr>
        <w:pStyle w:val="15"/>
        <w:spacing w:line="480" w:lineRule="exact"/>
        <w:ind w:firstLine="420"/>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w:t>
      </w:r>
    </w:p>
    <w:p>
      <w:pPr>
        <w:pStyle w:val="15"/>
        <w:spacing w:line="480" w:lineRule="exact"/>
        <w:ind w:firstLine="420"/>
        <w:rPr>
          <w:rFonts w:hint="eastAsia"/>
          <w:color w:val="auto"/>
          <w:highlight w:val="none"/>
        </w:rPr>
      </w:pPr>
      <w:r>
        <w:rPr>
          <w:rFonts w:hint="eastAsia"/>
          <w:color w:val="auto"/>
          <w:highlight w:val="none"/>
        </w:rPr>
        <w:t>签发日期：</w:t>
      </w: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pStyle w:val="15"/>
        <w:spacing w:line="480" w:lineRule="exact"/>
        <w:rPr>
          <w:rFonts w:hint="eastAsia"/>
          <w:color w:val="auto"/>
          <w:highlight w:val="none"/>
        </w:rPr>
      </w:pPr>
      <w:r>
        <w:rPr>
          <w:rFonts w:hint="eastAsia"/>
          <w:color w:val="auto"/>
          <w:highlight w:val="none"/>
        </w:rPr>
        <w:t xml:space="preserve">                                                                                                                                                                                        </w:t>
      </w:r>
    </w:p>
    <w:p>
      <w:pPr>
        <w:pStyle w:val="15"/>
        <w:spacing w:line="480" w:lineRule="exact"/>
        <w:rPr>
          <w:rFonts w:hint="eastAsia"/>
          <w:color w:val="auto"/>
          <w:highlight w:val="none"/>
        </w:rPr>
      </w:pPr>
      <w:r>
        <w:rPr>
          <w:color w:val="auto"/>
          <w:highlight w:val="none"/>
          <w:lang/>
        </w:rPr>
        <mc:AlternateContent>
          <mc:Choice Requires="wps">
            <w:drawing>
              <wp:anchor distT="18034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 name="直线 15"/>
                <wp:cNvGraphicFramePr/>
                <a:graphic xmlns:a="http://schemas.openxmlformats.org/drawingml/2006/main">
                  <a:graphicData uri="http://schemas.microsoft.com/office/word/2010/wordprocessingShape">
                    <wps:wsp>
                      <wps:cNvSp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0pt;margin-top:0pt;height:0pt;width:483pt;mso-wrap-distance-bottom:0pt;mso-wrap-distance-top:14.2pt;z-index:251658240;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AdU99AAAAACAQAA&#10;DwAAAAAAAAABACAAAAAiAAAAZHJzL2Rvd25yZXYueG1sUEsBAhQAFAAAAAgAh07iQLzp2uToAQAA&#10;3AMAAA4AAAAAAAAAAQAgAAAAHwEAAGRycy9lMm9Eb2MueG1sUEsFBgAAAAAGAAYAWQEAAHkFAAAA&#10;AA==&#10;">
                <v:fill on="f" focussize="0,0"/>
                <v:stroke color="#000000" joinstyle="round"/>
                <v:imagedata o:title=""/>
                <o:lock v:ext="edit" aspectratio="f"/>
                <w10:wrap type="topAndBottom"/>
              </v:line>
            </w:pict>
          </mc:Fallback>
        </mc:AlternateContent>
      </w:r>
      <w:r>
        <w:rPr>
          <w:rFonts w:hint="eastAsia"/>
          <w:color w:val="auto"/>
          <w:highlight w:val="none"/>
        </w:rPr>
        <w:t xml:space="preserve">    附：1、代理人工作单位：                       职务：</w:t>
      </w:r>
    </w:p>
    <w:p>
      <w:pPr>
        <w:pStyle w:val="15"/>
        <w:spacing w:line="480" w:lineRule="exact"/>
        <w:ind w:firstLine="420"/>
        <w:rPr>
          <w:rFonts w:hint="eastAsia"/>
          <w:color w:val="auto"/>
          <w:highlight w:val="none"/>
        </w:rPr>
      </w:pPr>
      <w:r>
        <w:rPr>
          <w:rFonts w:hint="eastAsia"/>
          <w:color w:val="auto"/>
          <w:highlight w:val="none"/>
        </w:rPr>
        <w:t xml:space="preserve">       身份证号码：                           性别：           年龄：</w:t>
      </w:r>
    </w:p>
    <w:p>
      <w:pPr>
        <w:pStyle w:val="15"/>
        <w:spacing w:line="480" w:lineRule="exact"/>
        <w:ind w:firstLine="840"/>
        <w:rPr>
          <w:rFonts w:hint="eastAsia"/>
          <w:color w:val="auto"/>
          <w:highlight w:val="none"/>
        </w:rPr>
      </w:pPr>
      <w:r>
        <w:rPr>
          <w:rFonts w:hint="eastAsia"/>
          <w:color w:val="auto"/>
          <w:highlight w:val="none"/>
        </w:rPr>
        <w:t>2、委托人企业营业执照号码：</w:t>
      </w:r>
    </w:p>
    <w:p>
      <w:pPr>
        <w:pStyle w:val="15"/>
        <w:spacing w:line="480" w:lineRule="exact"/>
        <w:ind w:firstLine="420"/>
        <w:rPr>
          <w:rFonts w:hint="eastAsia"/>
          <w:color w:val="auto"/>
          <w:highlight w:val="none"/>
        </w:rPr>
      </w:pPr>
      <w:r>
        <w:rPr>
          <w:rFonts w:hint="eastAsia"/>
          <w:color w:val="auto"/>
          <w:highlight w:val="none"/>
        </w:rPr>
        <w:t xml:space="preserve">       地址：                                经营范围：</w:t>
      </w:r>
    </w:p>
    <w:p>
      <w:pPr>
        <w:pStyle w:val="15"/>
        <w:spacing w:line="480" w:lineRule="exact"/>
        <w:ind w:firstLine="420"/>
        <w:rPr>
          <w:rFonts w:hint="eastAsia"/>
          <w:color w:val="auto"/>
          <w:highlight w:val="none"/>
        </w:rPr>
      </w:pPr>
      <w:r>
        <w:rPr>
          <w:rFonts w:hint="eastAsia"/>
          <w:color w:val="auto"/>
          <w:highlight w:val="none"/>
        </w:rPr>
        <w:t xml:space="preserve">       注册资金：                            </w:t>
      </w:r>
    </w:p>
    <w:p>
      <w:pPr>
        <w:pStyle w:val="15"/>
        <w:spacing w:line="480" w:lineRule="exact"/>
        <w:ind w:firstLine="420"/>
        <w:rPr>
          <w:rFonts w:hint="eastAsia"/>
          <w:color w:val="auto"/>
          <w:highlight w:val="none"/>
        </w:rPr>
      </w:pPr>
      <w:r>
        <w:rPr>
          <w:rFonts w:hint="eastAsia"/>
          <w:color w:val="auto"/>
          <w:highlight w:val="none"/>
        </w:rPr>
        <w:t xml:space="preserve">       </w:t>
      </w:r>
    </w:p>
    <w:p>
      <w:pPr>
        <w:pStyle w:val="15"/>
        <w:spacing w:line="480" w:lineRule="exact"/>
        <w:rPr>
          <w:rFonts w:hint="eastAsia"/>
          <w:color w:val="auto"/>
          <w:highlight w:val="none"/>
        </w:rPr>
      </w:pPr>
    </w:p>
    <w:p>
      <w:pPr>
        <w:pStyle w:val="15"/>
        <w:spacing w:line="480" w:lineRule="exact"/>
        <w:ind w:firstLine="420"/>
        <w:rPr>
          <w:rFonts w:hint="eastAsia"/>
          <w:color w:val="auto"/>
          <w:highlight w:val="none"/>
        </w:rPr>
      </w:pPr>
      <w:r>
        <w:rPr>
          <w:rFonts w:hint="eastAsia"/>
          <w:color w:val="auto"/>
          <w:highlight w:val="none"/>
        </w:rPr>
        <w:t>说明：</w:t>
      </w:r>
    </w:p>
    <w:p>
      <w:pPr>
        <w:pStyle w:val="15"/>
        <w:spacing w:line="480" w:lineRule="exact"/>
        <w:ind w:firstLine="735"/>
        <w:rPr>
          <w:rFonts w:hint="eastAsia"/>
          <w:color w:val="auto"/>
          <w:highlight w:val="none"/>
        </w:rPr>
      </w:pPr>
      <w:r>
        <w:rPr>
          <w:rFonts w:hint="eastAsia"/>
          <w:color w:val="auto"/>
          <w:highlight w:val="none"/>
        </w:rPr>
        <w:t>1、</w:t>
      </w:r>
      <w:r>
        <w:rPr>
          <w:rFonts w:hint="eastAsia"/>
          <w:bCs/>
          <w:color w:val="auto"/>
          <w:highlight w:val="none"/>
        </w:rPr>
        <w:t>授权委托书所签发的</w:t>
      </w:r>
      <w:r>
        <w:rPr>
          <w:rFonts w:hint="eastAsia"/>
          <w:color w:val="auto"/>
          <w:highlight w:val="none"/>
        </w:rPr>
        <w:t>代理期限必须涵盖代理人所有签字为有效的时间。</w:t>
      </w:r>
    </w:p>
    <w:p>
      <w:pPr>
        <w:pStyle w:val="15"/>
        <w:spacing w:line="480" w:lineRule="exact"/>
        <w:ind w:firstLine="735"/>
        <w:rPr>
          <w:rFonts w:hint="eastAsia"/>
          <w:color w:val="auto"/>
          <w:highlight w:val="none"/>
        </w:rPr>
      </w:pPr>
      <w:r>
        <w:rPr>
          <w:rFonts w:hint="eastAsia"/>
          <w:color w:val="auto"/>
          <w:highlight w:val="none"/>
        </w:rPr>
        <w:t>2、委托书内容填写要明确，文字要工整清楚，涂改无效。</w:t>
      </w:r>
    </w:p>
    <w:p>
      <w:pPr>
        <w:pStyle w:val="15"/>
        <w:spacing w:line="480" w:lineRule="exact"/>
        <w:ind w:firstLine="735"/>
        <w:rPr>
          <w:bCs/>
          <w:color w:val="auto"/>
          <w:highlight w:val="none"/>
        </w:rPr>
      </w:pPr>
      <w:r>
        <w:rPr>
          <w:rFonts w:hint="eastAsia"/>
          <w:bCs/>
          <w:color w:val="auto"/>
          <w:highlight w:val="none"/>
        </w:rPr>
        <w:t>3、委托书不得转借、转让，不得买卖。</w:t>
      </w:r>
    </w:p>
    <w:p>
      <w:pPr>
        <w:pStyle w:val="15"/>
        <w:spacing w:line="480" w:lineRule="exact"/>
        <w:ind w:firstLine="420"/>
        <w:jc w:val="center"/>
        <w:rPr>
          <w:rFonts w:hint="eastAsia"/>
          <w:bCs/>
          <w:color w:val="auto"/>
          <w:highlight w:val="none"/>
        </w:rPr>
      </w:pPr>
      <w:r>
        <w:rPr>
          <w:rFonts w:hint="eastAsia"/>
          <w:bCs/>
          <w:color w:val="auto"/>
          <w:highlight w:val="none"/>
        </w:rPr>
        <w:t xml:space="preserve">   4、代理人根据授权范围，以委托单位的名义签订合同，并将此委托书提交给对方作为合同附件。</w:t>
      </w:r>
    </w:p>
    <w:p>
      <w:pPr>
        <w:pStyle w:val="15"/>
        <w:spacing w:line="480" w:lineRule="exact"/>
        <w:rPr>
          <w:rFonts w:ascii="Times New Roman" w:hAnsi="Times New Roman"/>
          <w:b/>
          <w:bCs/>
          <w:color w:val="auto"/>
          <w:kern w:val="44"/>
          <w:sz w:val="32"/>
          <w:szCs w:val="44"/>
          <w:highlight w:val="none"/>
        </w:rPr>
      </w:pPr>
      <w:r>
        <w:rPr>
          <w:bCs/>
          <w:color w:val="auto"/>
          <w:highlight w:val="none"/>
        </w:rPr>
        <w:br w:type="page"/>
      </w:r>
    </w:p>
    <w:p>
      <w:pPr>
        <w:spacing w:line="360" w:lineRule="auto"/>
        <w:rPr>
          <w:rFonts w:hint="eastAsia" w:ascii="宋体" w:hAnsi="宋体"/>
          <w:color w:val="auto"/>
          <w:szCs w:val="21"/>
          <w:highlight w:val="none"/>
        </w:rPr>
        <w:sectPr>
          <w:footerReference r:id="rId5" w:type="first"/>
          <w:headerReference r:id="rId3" w:type="default"/>
          <w:footerReference r:id="rId4" w:type="default"/>
          <w:pgSz w:w="11906" w:h="16838"/>
          <w:pgMar w:top="1418" w:right="1134" w:bottom="510" w:left="1134" w:header="851" w:footer="992" w:gutter="0"/>
          <w:cols w:space="720" w:num="1"/>
          <w:titlePg/>
          <w:docGrid w:type="lines" w:linePitch="312" w:charSpace="0"/>
        </w:sectPr>
      </w:pPr>
    </w:p>
    <w:p>
      <w:pPr>
        <w:pStyle w:val="3"/>
        <w:keepLines/>
        <w:spacing w:before="340" w:after="330" w:line="578" w:lineRule="auto"/>
        <w:jc w:val="center"/>
        <w:rPr>
          <w:rFonts w:hint="eastAsia" w:ascii="Times New Roman" w:hAnsi="Times New Roman"/>
          <w:color w:val="auto"/>
          <w:kern w:val="44"/>
          <w:sz w:val="32"/>
          <w:szCs w:val="32"/>
          <w:highlight w:val="none"/>
        </w:rPr>
      </w:pPr>
      <w:bookmarkStart w:id="44" w:name="_Toc12942"/>
      <w:r>
        <w:rPr>
          <w:rFonts w:hint="eastAsia" w:ascii="Times New Roman" w:hAnsi="Times New Roman"/>
          <w:color w:val="auto"/>
          <w:kern w:val="44"/>
          <w:sz w:val="32"/>
          <w:szCs w:val="32"/>
          <w:highlight w:val="none"/>
        </w:rPr>
        <w:t>八、无重大违法记录声明书（格式）</w:t>
      </w:r>
      <w:bookmarkEnd w:id="44"/>
    </w:p>
    <w:p>
      <w:pPr>
        <w:ind w:firstLine="210" w:firstLineChars="100"/>
        <w:rPr>
          <w:rStyle w:val="60"/>
          <w:rFonts w:ascii="宋体" w:hAnsi="宋体"/>
          <w:color w:val="auto"/>
          <w:szCs w:val="21"/>
          <w:highlight w:val="none"/>
        </w:rPr>
      </w:pPr>
    </w:p>
    <w:p>
      <w:pPr>
        <w:spacing w:line="640" w:lineRule="exact"/>
        <w:rPr>
          <w:rFonts w:ascii="宋体" w:hAnsi="宋体"/>
          <w:color w:val="auto"/>
          <w:sz w:val="30"/>
          <w:szCs w:val="30"/>
          <w:highlight w:val="none"/>
        </w:rPr>
      </w:pPr>
      <w:r>
        <w:rPr>
          <w:rStyle w:val="60"/>
          <w:rFonts w:hint="eastAsia" w:ascii="宋体" w:hAnsi="宋体"/>
          <w:color w:val="auto"/>
          <w:sz w:val="30"/>
          <w:szCs w:val="30"/>
          <w:highlight w:val="none"/>
        </w:rPr>
        <w:t>广西峻源项目管理有限公司：</w:t>
      </w:r>
    </w:p>
    <w:p>
      <w:pPr>
        <w:spacing w:line="640" w:lineRule="exact"/>
        <w:ind w:firstLine="600" w:firstLineChars="200"/>
        <w:rPr>
          <w:rFonts w:ascii="宋体" w:hAnsi="宋体"/>
          <w:color w:val="auto"/>
          <w:sz w:val="30"/>
          <w:szCs w:val="30"/>
          <w:highlight w:val="none"/>
        </w:rPr>
      </w:pPr>
      <w:r>
        <w:rPr>
          <w:rStyle w:val="60"/>
          <w:rFonts w:hint="eastAsia" w:ascii="宋体" w:hAnsi="宋体"/>
          <w:color w:val="auto"/>
          <w:sz w:val="30"/>
          <w:szCs w:val="30"/>
          <w:highlight w:val="none"/>
        </w:rPr>
        <w:t>我公司参加贵公司组织</w:t>
      </w:r>
      <w:r>
        <w:rPr>
          <w:rStyle w:val="60"/>
          <w:rFonts w:hint="eastAsia" w:ascii="宋体" w:hAnsi="宋体"/>
          <w:color w:val="auto"/>
          <w:sz w:val="30"/>
          <w:szCs w:val="30"/>
          <w:highlight w:val="none"/>
          <w:u w:val="single"/>
        </w:rPr>
        <w:t xml:space="preserve">         </w:t>
      </w:r>
      <w:r>
        <w:rPr>
          <w:rStyle w:val="60"/>
          <w:rFonts w:hint="eastAsia" w:ascii="宋体" w:hAnsi="宋体"/>
          <w:color w:val="auto"/>
          <w:sz w:val="30"/>
          <w:szCs w:val="30"/>
          <w:highlight w:val="none"/>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640" w:lineRule="exact"/>
        <w:ind w:firstLine="600" w:firstLineChars="200"/>
        <w:rPr>
          <w:rFonts w:ascii="宋体" w:hAnsi="宋体"/>
          <w:color w:val="auto"/>
          <w:sz w:val="30"/>
          <w:szCs w:val="30"/>
          <w:highlight w:val="none"/>
        </w:rPr>
      </w:pPr>
      <w:r>
        <w:rPr>
          <w:rStyle w:val="60"/>
          <w:rFonts w:hint="eastAsia" w:ascii="宋体" w:hAnsi="宋体"/>
          <w:color w:val="auto"/>
          <w:sz w:val="30"/>
          <w:szCs w:val="30"/>
          <w:highlight w:val="none"/>
        </w:rPr>
        <w:t>特此承诺。</w:t>
      </w:r>
    </w:p>
    <w:p>
      <w:pPr>
        <w:spacing w:line="640" w:lineRule="exact"/>
        <w:ind w:firstLine="600" w:firstLineChars="200"/>
        <w:rPr>
          <w:rFonts w:ascii="宋体" w:hAnsi="宋体"/>
          <w:color w:val="auto"/>
          <w:sz w:val="30"/>
          <w:szCs w:val="30"/>
          <w:highlight w:val="none"/>
        </w:rPr>
      </w:pPr>
    </w:p>
    <w:p>
      <w:pPr>
        <w:spacing w:line="640" w:lineRule="exact"/>
        <w:ind w:firstLine="600" w:firstLineChars="200"/>
        <w:rPr>
          <w:rFonts w:ascii="宋体" w:hAnsi="宋体"/>
          <w:color w:val="auto"/>
          <w:sz w:val="30"/>
          <w:szCs w:val="30"/>
          <w:highlight w:val="none"/>
        </w:rPr>
      </w:pPr>
    </w:p>
    <w:p>
      <w:pPr>
        <w:spacing w:line="640" w:lineRule="exact"/>
        <w:ind w:firstLine="600" w:firstLineChars="200"/>
        <w:rPr>
          <w:rStyle w:val="60"/>
          <w:rFonts w:ascii="宋体" w:hAnsi="宋体"/>
          <w:color w:val="auto"/>
          <w:sz w:val="30"/>
          <w:szCs w:val="30"/>
          <w:highlight w:val="none"/>
        </w:rPr>
      </w:pPr>
      <w:r>
        <w:rPr>
          <w:rStyle w:val="60"/>
          <w:rFonts w:hint="eastAsia" w:ascii="宋体" w:hAnsi="宋体"/>
          <w:color w:val="auto"/>
          <w:sz w:val="30"/>
          <w:szCs w:val="30"/>
          <w:highlight w:val="none"/>
        </w:rPr>
        <w:t xml:space="preserve">供应商公章：  </w:t>
      </w:r>
    </w:p>
    <w:p>
      <w:pPr>
        <w:spacing w:line="640" w:lineRule="exact"/>
        <w:ind w:firstLine="600" w:firstLineChars="200"/>
        <w:rPr>
          <w:rStyle w:val="60"/>
          <w:rFonts w:ascii="宋体" w:hAnsi="宋体"/>
          <w:color w:val="auto"/>
          <w:sz w:val="30"/>
          <w:szCs w:val="30"/>
          <w:highlight w:val="none"/>
        </w:rPr>
      </w:pPr>
      <w:r>
        <w:rPr>
          <w:rStyle w:val="60"/>
          <w:rFonts w:hint="eastAsia" w:ascii="宋体" w:hAnsi="宋体"/>
          <w:color w:val="auto"/>
          <w:sz w:val="30"/>
          <w:szCs w:val="30"/>
          <w:highlight w:val="none"/>
        </w:rPr>
        <w:t>法定代表人或委托代理人签字：   </w:t>
      </w:r>
    </w:p>
    <w:p>
      <w:pPr>
        <w:spacing w:line="640" w:lineRule="exact"/>
        <w:ind w:firstLine="600" w:firstLineChars="200"/>
        <w:rPr>
          <w:rFonts w:ascii="宋体" w:hAnsi="宋体"/>
          <w:color w:val="auto"/>
          <w:sz w:val="30"/>
          <w:szCs w:val="30"/>
          <w:highlight w:val="none"/>
        </w:rPr>
      </w:pPr>
      <w:r>
        <w:rPr>
          <w:rStyle w:val="60"/>
          <w:rFonts w:hint="eastAsia" w:ascii="宋体" w:hAnsi="宋体"/>
          <w:color w:val="auto"/>
          <w:sz w:val="30"/>
          <w:szCs w:val="30"/>
          <w:highlight w:val="none"/>
        </w:rPr>
        <w:t>日期：   年  月  日</w:t>
      </w:r>
    </w:p>
    <w:p>
      <w:pPr>
        <w:spacing w:line="300" w:lineRule="auto"/>
        <w:rPr>
          <w:rFonts w:ascii="宋体" w:hAnsi="宋体"/>
          <w:b/>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rPr>
          <w:rFonts w:ascii="宋体" w:hAnsi="宋体"/>
          <w:b/>
          <w:color w:val="auto"/>
          <w:szCs w:val="21"/>
          <w:highlight w:val="none"/>
        </w:rPr>
      </w:pPr>
    </w:p>
    <w:p>
      <w:pPr>
        <w:pStyle w:val="3"/>
        <w:keepLines/>
        <w:spacing w:before="340" w:after="330" w:line="578" w:lineRule="auto"/>
        <w:jc w:val="center"/>
        <w:rPr>
          <w:rFonts w:ascii="宋体" w:hAnsi="宋体"/>
          <w:color w:val="auto"/>
          <w:sz w:val="36"/>
          <w:szCs w:val="36"/>
          <w:highlight w:val="none"/>
        </w:rPr>
      </w:pPr>
      <w:r>
        <w:rPr>
          <w:rFonts w:hint="eastAsia" w:ascii="宋体" w:hAnsi="宋体"/>
          <w:color w:val="auto"/>
          <w:szCs w:val="21"/>
          <w:highlight w:val="none"/>
        </w:rPr>
        <w:br w:type="page"/>
      </w:r>
      <w:bookmarkStart w:id="45" w:name="OLE_LINK13"/>
      <w:bookmarkStart w:id="46" w:name="OLE_LINK14"/>
      <w:bookmarkStart w:id="47" w:name="_Toc7950"/>
      <w:r>
        <w:rPr>
          <w:rFonts w:hint="eastAsia" w:ascii="Times New Roman" w:hAnsi="Times New Roman"/>
          <w:color w:val="auto"/>
          <w:kern w:val="44"/>
          <w:sz w:val="32"/>
          <w:szCs w:val="32"/>
          <w:highlight w:val="none"/>
        </w:rPr>
        <w:t>九、残疾人福利性单位声明函</w:t>
      </w:r>
      <w:bookmarkEnd w:id="45"/>
      <w:bookmarkEnd w:id="46"/>
      <w:r>
        <w:rPr>
          <w:rFonts w:hint="eastAsia" w:ascii="Times New Roman" w:hAnsi="Times New Roman"/>
          <w:color w:val="auto"/>
          <w:kern w:val="44"/>
          <w:sz w:val="32"/>
          <w:szCs w:val="32"/>
          <w:highlight w:val="none"/>
        </w:rPr>
        <w:t>（格式）</w:t>
      </w:r>
      <w:bookmarkEnd w:id="47"/>
    </w:p>
    <w:p>
      <w:pPr>
        <w:spacing w:line="588" w:lineRule="exact"/>
        <w:jc w:val="center"/>
        <w:rPr>
          <w:rFonts w:ascii="宋体" w:hAnsi="宋体"/>
          <w:color w:val="auto"/>
          <w:sz w:val="36"/>
          <w:szCs w:val="36"/>
          <w:highlight w:val="none"/>
        </w:rPr>
      </w:pPr>
    </w:p>
    <w:p>
      <w:pPr>
        <w:spacing w:line="588" w:lineRule="exact"/>
        <w:ind w:firstLine="480" w:firstLineChars="200"/>
        <w:rPr>
          <w:rFonts w:ascii="宋体" w:hAnsi="宋体"/>
          <w:color w:val="auto"/>
          <w:spacing w:val="6"/>
          <w:sz w:val="24"/>
          <w:highlight w:val="none"/>
        </w:rPr>
      </w:pPr>
      <w:r>
        <w:rPr>
          <w:rFonts w:hint="eastAsia" w:ascii="宋体" w:hAnsi="宋体"/>
          <w:color w:val="auto"/>
          <w:sz w:val="24"/>
          <w:highlight w:val="none"/>
        </w:rPr>
        <w:t>本单位郑重声明，根据《财政部 民政部 中国残疾人联合会关于促进残</w:t>
      </w:r>
      <w:r>
        <w:rPr>
          <w:rFonts w:hint="eastAsia" w:ascii="宋体" w:hAnsi="宋体"/>
          <w:color w:val="auto"/>
          <w:spacing w:val="6"/>
          <w:sz w:val="24"/>
          <w:highlight w:val="none"/>
        </w:rPr>
        <w:t>疾人就业政府采购政策的通知》（财库</w:t>
      </w:r>
      <w:r>
        <w:rPr>
          <w:rFonts w:hint="eastAsia" w:ascii="宋体" w:hAnsi="宋体"/>
          <w:color w:val="auto"/>
          <w:sz w:val="24"/>
          <w:highlight w:val="none"/>
        </w:rPr>
        <w:t>〔2017〕 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单位名称（盖章）：</w:t>
      </w:r>
    </w:p>
    <w:p>
      <w:pPr>
        <w:tabs>
          <w:tab w:val="left" w:pos="4860"/>
        </w:tabs>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日  期：</w:t>
      </w:r>
    </w:p>
    <w:p>
      <w:pPr>
        <w:tabs>
          <w:tab w:val="left" w:pos="4860"/>
        </w:tabs>
        <w:spacing w:line="588" w:lineRule="exact"/>
        <w:ind w:right="1560" w:firstLine="624" w:firstLineChars="200"/>
        <w:jc w:val="center"/>
        <w:rPr>
          <w:rFonts w:ascii="宋体" w:hAnsi="宋体"/>
          <w:color w:val="auto"/>
          <w:spacing w:val="6"/>
          <w:sz w:val="30"/>
          <w:szCs w:val="30"/>
          <w:highlight w:val="none"/>
        </w:rPr>
      </w:pPr>
    </w:p>
    <w:p>
      <w:pPr>
        <w:spacing w:line="588" w:lineRule="exact"/>
        <w:ind w:firstLine="506" w:firstLineChars="200"/>
        <w:rPr>
          <w:rFonts w:hint="eastAsia" w:ascii="宋体" w:hAnsi="宋体"/>
          <w:b/>
          <w:bCs/>
          <w:color w:val="auto"/>
          <w:spacing w:val="6"/>
          <w:sz w:val="24"/>
          <w:highlight w:val="none"/>
        </w:rPr>
      </w:pPr>
      <w:r>
        <w:rPr>
          <w:rFonts w:hint="eastAsia" w:ascii="宋体" w:hAnsi="宋体"/>
          <w:b/>
          <w:bCs/>
          <w:color w:val="auto"/>
          <w:spacing w:val="6"/>
          <w:sz w:val="24"/>
          <w:highlight w:val="none"/>
        </w:rPr>
        <w:t>注：供应商如为残疾人福利性单位并提供本《残疾人福利性单位声明函》的，必须对声明的真实性负责。</w:t>
      </w:r>
    </w:p>
    <w:p>
      <w:pPr>
        <w:spacing w:line="588" w:lineRule="exact"/>
        <w:ind w:firstLine="506" w:firstLineChars="200"/>
        <w:rPr>
          <w:rFonts w:ascii="宋体" w:hAnsi="宋体"/>
          <w:b/>
          <w:bCs/>
          <w:color w:val="auto"/>
          <w:spacing w:val="6"/>
          <w:sz w:val="30"/>
          <w:szCs w:val="30"/>
          <w:highlight w:val="none"/>
        </w:rPr>
      </w:pPr>
      <w:r>
        <w:rPr>
          <w:rFonts w:hint="eastAsia" w:ascii="宋体" w:hAnsi="宋体"/>
          <w:b/>
          <w:bCs/>
          <w:color w:val="auto"/>
          <w:spacing w:val="6"/>
          <w:sz w:val="24"/>
          <w:highlight w:val="none"/>
        </w:rPr>
        <w:t>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pPr>
        <w:tabs>
          <w:tab w:val="left" w:pos="4860"/>
        </w:tabs>
        <w:spacing w:line="588" w:lineRule="exact"/>
        <w:ind w:right="1560" w:firstLine="624" w:firstLineChars="200"/>
        <w:jc w:val="center"/>
        <w:rPr>
          <w:rFonts w:ascii="宋体" w:hAnsi="宋体"/>
          <w:color w:val="auto"/>
          <w:spacing w:val="6"/>
          <w:sz w:val="30"/>
          <w:szCs w:val="30"/>
          <w:highlight w:val="none"/>
        </w:rPr>
      </w:pPr>
    </w:p>
    <w:p>
      <w:pPr>
        <w:autoSpaceDE w:val="0"/>
        <w:autoSpaceDN w:val="0"/>
        <w:spacing w:line="300" w:lineRule="auto"/>
        <w:ind w:left="480" w:hanging="480"/>
        <w:rPr>
          <w:rFonts w:ascii="宋体" w:hAnsi="宋体"/>
          <w:color w:val="auto"/>
          <w:szCs w:val="21"/>
          <w:highlight w:val="none"/>
        </w:rPr>
      </w:pPr>
    </w:p>
    <w:p>
      <w:pPr>
        <w:spacing w:line="300" w:lineRule="auto"/>
        <w:rPr>
          <w:rFonts w:ascii="宋体" w:hAnsi="宋体"/>
          <w:color w:val="auto"/>
          <w:highlight w:val="none"/>
        </w:rPr>
      </w:pPr>
      <w:r>
        <w:rPr>
          <w:rFonts w:hint="eastAsia" w:ascii="宋体" w:hAnsi="宋体"/>
          <w:b/>
          <w:color w:val="auto"/>
          <w:szCs w:val="21"/>
          <w:highlight w:val="none"/>
        </w:rPr>
        <w:br w:type="page"/>
      </w:r>
    </w:p>
    <w:p>
      <w:pPr>
        <w:rPr>
          <w:rFonts w:ascii="宋体" w:hAnsi="宋体"/>
          <w:color w:val="auto"/>
          <w:highlight w:val="none"/>
        </w:rPr>
      </w:pPr>
    </w:p>
    <w:p>
      <w:pPr>
        <w:pStyle w:val="3"/>
        <w:keepLines/>
        <w:spacing w:before="340" w:after="330" w:line="578" w:lineRule="auto"/>
        <w:jc w:val="center"/>
        <w:rPr>
          <w:rFonts w:hint="eastAsia" w:ascii="Times New Roman" w:hAnsi="Times New Roman"/>
          <w:color w:val="auto"/>
          <w:kern w:val="44"/>
          <w:sz w:val="32"/>
          <w:szCs w:val="32"/>
          <w:highlight w:val="none"/>
        </w:rPr>
      </w:pPr>
      <w:bookmarkStart w:id="48" w:name="_Toc22053"/>
      <w:r>
        <w:rPr>
          <w:rFonts w:hint="eastAsia" w:ascii="Times New Roman" w:hAnsi="Times New Roman"/>
          <w:color w:val="auto"/>
          <w:kern w:val="44"/>
          <w:sz w:val="32"/>
          <w:szCs w:val="32"/>
          <w:highlight w:val="none"/>
        </w:rPr>
        <w:t>十、中小企业声明函（格式）</w:t>
      </w:r>
      <w:bookmarkEnd w:id="48"/>
    </w:p>
    <w:p>
      <w:pPr>
        <w:spacing w:line="588" w:lineRule="exact"/>
        <w:rPr>
          <w:rFonts w:ascii="宋体" w:hAnsi="宋体"/>
          <w:b/>
          <w:color w:val="auto"/>
          <w:spacing w:val="6"/>
          <w:sz w:val="30"/>
          <w:szCs w:val="30"/>
          <w:highlight w:val="none"/>
        </w:rPr>
      </w:pP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本公司郑重声明，根据《政府采购促进中小企业发展暂行办法》（财库[2011]181号）的规定，本公司为</w:t>
      </w:r>
      <w:bookmarkStart w:id="49" w:name="OLE_LINK2"/>
      <w:bookmarkStart w:id="50" w:name="OLE_LINK5"/>
      <w:r>
        <w:rPr>
          <w:rFonts w:hint="eastAsia" w:ascii="宋体" w:hAnsi="宋体"/>
          <w:color w:val="auto"/>
          <w:spacing w:val="6"/>
          <w:sz w:val="24"/>
          <w:highlight w:val="none"/>
        </w:rPr>
        <w:t>______（请填写：中型、小型、微型）企业</w:t>
      </w:r>
      <w:bookmarkEnd w:id="49"/>
      <w:bookmarkEnd w:id="50"/>
      <w:r>
        <w:rPr>
          <w:rFonts w:hint="eastAsia" w:ascii="宋体" w:hAnsi="宋体"/>
          <w:color w:val="auto"/>
          <w:spacing w:val="6"/>
          <w:sz w:val="24"/>
          <w:highlight w:val="none"/>
        </w:rPr>
        <w:t>。即，本公司同时满足以下条件：</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1.根据《工业和信息化部、国家统计局、国家发展和改革委员会、财政部关于印发中小企业划型标准规定的通知》（工信部联企业[2011]300号）规定的划分标准，本公司为______（请填写：中型、小型、微型）企业。</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本公司对上述声明的真实性负责。如有虚假，将依法承担相应责任。</w:t>
      </w:r>
    </w:p>
    <w:p>
      <w:pPr>
        <w:spacing w:line="588" w:lineRule="exact"/>
        <w:ind w:firstLine="504" w:firstLineChars="200"/>
        <w:rPr>
          <w:rFonts w:ascii="宋体" w:hAnsi="宋体"/>
          <w:color w:val="auto"/>
          <w:spacing w:val="6"/>
          <w:sz w:val="24"/>
          <w:highlight w:val="none"/>
        </w:rPr>
      </w:pPr>
    </w:p>
    <w:p>
      <w:pPr>
        <w:spacing w:line="588" w:lineRule="exact"/>
        <w:ind w:firstLine="504" w:firstLineChars="200"/>
        <w:rPr>
          <w:rFonts w:ascii="宋体" w:hAnsi="宋体"/>
          <w:color w:val="auto"/>
          <w:spacing w:val="6"/>
          <w:sz w:val="24"/>
          <w:highlight w:val="none"/>
        </w:rPr>
      </w:pPr>
    </w:p>
    <w:p>
      <w:pPr>
        <w:tabs>
          <w:tab w:val="left" w:pos="4860"/>
        </w:tabs>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 xml:space="preserve">               企业名称（盖章）： </w:t>
      </w:r>
    </w:p>
    <w:p>
      <w:pPr>
        <w:spacing w:line="300" w:lineRule="auto"/>
        <w:rPr>
          <w:rFonts w:ascii="宋体" w:hAnsi="宋体"/>
          <w:color w:val="auto"/>
          <w:spacing w:val="6"/>
          <w:sz w:val="24"/>
          <w:highlight w:val="none"/>
        </w:rPr>
      </w:pPr>
      <w:r>
        <w:rPr>
          <w:rFonts w:hint="eastAsia" w:ascii="宋体" w:hAnsi="宋体"/>
          <w:color w:val="auto"/>
          <w:spacing w:val="6"/>
          <w:sz w:val="24"/>
          <w:highlight w:val="none"/>
        </w:rPr>
        <w:t xml:space="preserve">                                               </w:t>
      </w:r>
    </w:p>
    <w:p>
      <w:pPr>
        <w:spacing w:line="360" w:lineRule="auto"/>
        <w:rPr>
          <w:color w:val="auto"/>
          <w:highlight w:val="none"/>
        </w:rPr>
      </w:pPr>
      <w:r>
        <w:rPr>
          <w:rFonts w:hint="eastAsia" w:ascii="宋体" w:hAnsi="宋体"/>
          <w:color w:val="auto"/>
          <w:spacing w:val="6"/>
          <w:sz w:val="24"/>
          <w:highlight w:val="none"/>
        </w:rPr>
        <w:t xml:space="preserve">                                            日    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25"/>
        <w:spacing w:line="500" w:lineRule="atLeast"/>
        <w:rPr>
          <w:color w:val="auto"/>
          <w:highlight w:val="none"/>
        </w:rPr>
      </w:pPr>
      <w:r>
        <w:rPr>
          <w:color w:val="auto"/>
          <w:highlight w:val="none"/>
        </w:rPr>
        <w:br w:type="page"/>
      </w:r>
      <w:r>
        <w:rPr>
          <w:color w:val="auto"/>
          <w:highlight w:val="none"/>
        </w:rPr>
        <w:t>附表：</w:t>
      </w:r>
    </w:p>
    <w:p>
      <w:pPr>
        <w:jc w:val="center"/>
        <w:rPr>
          <w:rFonts w:ascii="宋体" w:hAnsi="宋体"/>
          <w:color w:val="auto"/>
          <w:sz w:val="44"/>
          <w:highlight w:val="none"/>
        </w:rPr>
      </w:pPr>
      <w:r>
        <w:rPr>
          <w:rFonts w:hint="eastAsia" w:ascii="宋体" w:hAnsi="宋体"/>
          <w:color w:val="auto"/>
          <w:sz w:val="44"/>
          <w:highlight w:val="none"/>
        </w:rPr>
        <w:t>履约保履约保证金退付意见书</w:t>
      </w:r>
    </w:p>
    <w:tbl>
      <w:tblPr>
        <w:tblStyle w:val="2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供</w:t>
            </w:r>
          </w:p>
          <w:p>
            <w:pPr>
              <w:spacing w:line="360" w:lineRule="exact"/>
              <w:jc w:val="center"/>
              <w:rPr>
                <w:rFonts w:ascii="宋体" w:hAnsi="宋体"/>
                <w:color w:val="auto"/>
                <w:sz w:val="24"/>
                <w:highlight w:val="none"/>
              </w:rPr>
            </w:pPr>
            <w:r>
              <w:rPr>
                <w:rFonts w:hint="eastAsia" w:ascii="宋体" w:hAnsi="宋体"/>
                <w:color w:val="auto"/>
                <w:sz w:val="24"/>
                <w:highlight w:val="none"/>
              </w:rPr>
              <w:t>应</w:t>
            </w:r>
          </w:p>
          <w:p>
            <w:pPr>
              <w:spacing w:line="360" w:lineRule="exact"/>
              <w:jc w:val="center"/>
              <w:rPr>
                <w:rFonts w:ascii="宋体" w:hAnsi="宋体"/>
                <w:color w:val="auto"/>
                <w:sz w:val="24"/>
                <w:highlight w:val="none"/>
              </w:rPr>
            </w:pPr>
            <w:r>
              <w:rPr>
                <w:rFonts w:hint="eastAsia" w:ascii="宋体" w:hAnsi="宋体"/>
                <w:color w:val="auto"/>
                <w:sz w:val="24"/>
                <w:highlight w:val="none"/>
              </w:rPr>
              <w:t>商</w:t>
            </w:r>
          </w:p>
          <w:p>
            <w:pPr>
              <w:spacing w:line="360" w:lineRule="exact"/>
              <w:jc w:val="center"/>
              <w:rPr>
                <w:rFonts w:ascii="宋体" w:hAnsi="宋体"/>
                <w:color w:val="auto"/>
                <w:sz w:val="24"/>
                <w:highlight w:val="none"/>
              </w:rPr>
            </w:pPr>
            <w:r>
              <w:rPr>
                <w:rFonts w:hint="eastAsia" w:ascii="宋体" w:hAnsi="宋体"/>
                <w:color w:val="auto"/>
                <w:sz w:val="24"/>
                <w:highlight w:val="none"/>
              </w:rPr>
              <w:t>申</w:t>
            </w:r>
          </w:p>
          <w:p>
            <w:pPr>
              <w:spacing w:line="360" w:lineRule="exact"/>
              <w:jc w:val="center"/>
              <w:rPr>
                <w:rFonts w:ascii="宋体" w:hAnsi="宋体"/>
                <w:color w:val="auto"/>
                <w:sz w:val="24"/>
                <w:highlight w:val="none"/>
              </w:rPr>
            </w:pPr>
            <w:r>
              <w:rPr>
                <w:rFonts w:hint="eastAsia" w:ascii="宋体" w:hAnsi="宋体"/>
                <w:color w:val="auto"/>
                <w:sz w:val="24"/>
                <w:highlight w:val="none"/>
              </w:rPr>
              <w:t>请</w:t>
            </w:r>
          </w:p>
        </w:tc>
        <w:tc>
          <w:tcPr>
            <w:tcW w:w="7605" w:type="dxa"/>
            <w:noWrap w:val="0"/>
            <w:vAlign w:val="center"/>
          </w:tcPr>
          <w:p>
            <w:pPr>
              <w:spacing w:line="360" w:lineRule="exact"/>
              <w:rPr>
                <w:rFonts w:ascii="宋体" w:hAnsi="宋体"/>
                <w:color w:val="auto"/>
                <w:sz w:val="24"/>
                <w:highlight w:val="none"/>
              </w:rPr>
            </w:pPr>
            <w:r>
              <w:rPr>
                <w:rFonts w:hint="eastAsia" w:ascii="宋体" w:hAnsi="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spacing w:line="360" w:lineRule="exact"/>
              <w:rPr>
                <w:rFonts w:ascii="宋体" w:hAnsi="宋体"/>
                <w:color w:val="auto"/>
                <w:sz w:val="24"/>
                <w:highlight w:val="none"/>
              </w:rPr>
            </w:pPr>
          </w:p>
        </w:tc>
        <w:tc>
          <w:tcPr>
            <w:tcW w:w="7605" w:type="dxa"/>
            <w:noWrap w:val="0"/>
            <w:vAlign w:val="center"/>
          </w:tcPr>
          <w:p>
            <w:pPr>
              <w:spacing w:line="360" w:lineRule="exact"/>
              <w:rPr>
                <w:rFonts w:ascii="宋体" w:hAnsi="宋体"/>
                <w:color w:val="auto"/>
                <w:sz w:val="24"/>
                <w:highlight w:val="none"/>
              </w:rPr>
            </w:pPr>
            <w:r>
              <w:rPr>
                <w:rFonts w:hint="eastAsia" w:ascii="宋体" w:hAnsi="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spacing w:line="360" w:lineRule="exact"/>
              <w:rPr>
                <w:rFonts w:ascii="宋体" w:hAnsi="宋体"/>
                <w:color w:val="auto"/>
                <w:sz w:val="24"/>
                <w:highlight w:val="none"/>
              </w:rPr>
            </w:pPr>
          </w:p>
        </w:tc>
        <w:tc>
          <w:tcPr>
            <w:tcW w:w="7605" w:type="dxa"/>
            <w:noWrap w:val="0"/>
            <w:vAlign w:val="top"/>
          </w:tcPr>
          <w:p>
            <w:pPr>
              <w:spacing w:line="360" w:lineRule="exact"/>
              <w:rPr>
                <w:rFonts w:ascii="宋体" w:hAnsi="宋体"/>
                <w:color w:val="auto"/>
                <w:sz w:val="24"/>
                <w:highlight w:val="none"/>
              </w:rPr>
            </w:pPr>
            <w:r>
              <w:rPr>
                <w:rFonts w:hint="eastAsia" w:ascii="宋体" w:hAnsi="宋体"/>
                <w:color w:val="auto"/>
                <w:sz w:val="24"/>
                <w:highlight w:val="none"/>
              </w:rPr>
              <w:t xml:space="preserve">  </w:t>
            </w:r>
          </w:p>
          <w:p>
            <w:pPr>
              <w:spacing w:line="360" w:lineRule="exact"/>
              <w:ind w:firstLine="480" w:firstLineChars="200"/>
              <w:rPr>
                <w:rFonts w:ascii="宋体" w:hAnsi="宋体"/>
                <w:color w:val="auto"/>
                <w:sz w:val="24"/>
                <w:highlight w:val="none"/>
              </w:rPr>
            </w:pPr>
            <w:r>
              <w:rPr>
                <w:rFonts w:hint="eastAsia" w:ascii="宋体" w:hAnsi="宋体"/>
                <w:color w:val="auto"/>
                <w:sz w:val="24"/>
                <w:highlight w:val="none"/>
              </w:rPr>
              <w:t>该项目已于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日验收并交付使用。根据合同规定，该项目的履约保证金期限于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日已满，请将履约保证金</w:t>
            </w:r>
          </w:p>
          <w:p>
            <w:pPr>
              <w:spacing w:line="360" w:lineRule="exact"/>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（大写）￥</w:t>
            </w:r>
            <w:r>
              <w:rPr>
                <w:rFonts w:hint="eastAsia" w:ascii="宋体" w:hAnsi="宋体"/>
                <w:color w:val="auto"/>
                <w:sz w:val="24"/>
                <w:highlight w:val="none"/>
                <w:u w:val="single"/>
              </w:rPr>
              <w:t xml:space="preserve">          </w:t>
            </w:r>
            <w:r>
              <w:rPr>
                <w:rFonts w:hint="eastAsia" w:ascii="宋体" w:hAnsi="宋体"/>
                <w:color w:val="auto"/>
                <w:sz w:val="24"/>
                <w:highlight w:val="none"/>
              </w:rPr>
              <w:t>（小写）退付到达以下帐户。</w:t>
            </w:r>
          </w:p>
          <w:p>
            <w:pPr>
              <w:spacing w:line="360" w:lineRule="exact"/>
              <w:ind w:firstLine="705"/>
              <w:rPr>
                <w:rFonts w:ascii="宋体" w:hAnsi="宋体"/>
                <w:color w:val="auto"/>
                <w:sz w:val="24"/>
                <w:highlight w:val="none"/>
              </w:rPr>
            </w:pPr>
            <w:r>
              <w:rPr>
                <w:rFonts w:hint="eastAsia" w:ascii="宋体" w:hAnsi="宋体"/>
                <w:color w:val="auto"/>
                <w:sz w:val="24"/>
                <w:highlight w:val="none"/>
              </w:rPr>
              <w:t>单位名称：</w:t>
            </w:r>
          </w:p>
          <w:p>
            <w:pPr>
              <w:spacing w:line="360" w:lineRule="exact"/>
              <w:ind w:firstLine="705"/>
              <w:rPr>
                <w:rFonts w:ascii="宋体" w:hAnsi="宋体"/>
                <w:color w:val="auto"/>
                <w:sz w:val="24"/>
                <w:highlight w:val="none"/>
              </w:rPr>
            </w:pPr>
            <w:r>
              <w:rPr>
                <w:rFonts w:hint="eastAsia" w:ascii="宋体" w:hAnsi="宋体"/>
                <w:color w:val="auto"/>
                <w:sz w:val="24"/>
                <w:highlight w:val="none"/>
              </w:rPr>
              <w:t>开户银行：</w:t>
            </w:r>
          </w:p>
          <w:p>
            <w:pPr>
              <w:spacing w:line="360" w:lineRule="exact"/>
              <w:ind w:firstLine="705"/>
              <w:rPr>
                <w:rFonts w:ascii="宋体" w:hAnsi="宋体"/>
                <w:color w:val="auto"/>
                <w:sz w:val="24"/>
                <w:highlight w:val="none"/>
              </w:rPr>
            </w:pPr>
            <w:r>
              <w:rPr>
                <w:rFonts w:hint="eastAsia" w:ascii="宋体" w:hAnsi="宋体"/>
                <w:color w:val="auto"/>
                <w:sz w:val="24"/>
                <w:highlight w:val="none"/>
              </w:rPr>
              <w:t>帐   号：</w:t>
            </w:r>
          </w:p>
          <w:p>
            <w:pPr>
              <w:spacing w:line="360" w:lineRule="exact"/>
              <w:rPr>
                <w:rFonts w:ascii="宋体" w:hAnsi="宋体"/>
                <w:color w:val="auto"/>
                <w:sz w:val="24"/>
                <w:highlight w:val="none"/>
              </w:rPr>
            </w:pPr>
            <w:r>
              <w:rPr>
                <w:rFonts w:hint="eastAsia" w:ascii="宋体" w:hAnsi="宋体"/>
                <w:color w:val="auto"/>
                <w:sz w:val="24"/>
                <w:highlight w:val="none"/>
              </w:rPr>
              <w:t>联系人及电话：</w:t>
            </w:r>
          </w:p>
          <w:p>
            <w:pPr>
              <w:spacing w:line="360" w:lineRule="exact"/>
              <w:rPr>
                <w:rFonts w:ascii="宋体" w:hAnsi="宋体"/>
                <w:color w:val="auto"/>
                <w:sz w:val="24"/>
                <w:highlight w:val="none"/>
              </w:rPr>
            </w:pPr>
          </w:p>
          <w:p>
            <w:pPr>
              <w:spacing w:line="360" w:lineRule="exact"/>
              <w:jc w:val="center"/>
              <w:rPr>
                <w:rFonts w:ascii="宋体" w:hAnsi="宋体"/>
                <w:color w:val="auto"/>
                <w:sz w:val="24"/>
                <w:highlight w:val="none"/>
              </w:rPr>
            </w:pPr>
            <w:r>
              <w:rPr>
                <w:rFonts w:hint="eastAsia" w:ascii="宋体" w:hAnsi="宋体"/>
                <w:color w:val="auto"/>
                <w:sz w:val="24"/>
                <w:highlight w:val="none"/>
              </w:rPr>
              <w:t xml:space="preserve">                                     供应商签章：</w:t>
            </w:r>
          </w:p>
          <w:p>
            <w:pPr>
              <w:spacing w:line="360" w:lineRule="exact"/>
              <w:jc w:val="center"/>
              <w:rPr>
                <w:rFonts w:ascii="宋体" w:hAnsi="宋体"/>
                <w:color w:val="auto"/>
                <w:sz w:val="24"/>
                <w:highlight w:val="none"/>
              </w:rPr>
            </w:pPr>
            <w:r>
              <w:rPr>
                <w:rFonts w:hint="eastAsia" w:ascii="宋体" w:hAnsi="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采</w:t>
            </w:r>
          </w:p>
          <w:p>
            <w:pPr>
              <w:spacing w:line="360" w:lineRule="exact"/>
              <w:jc w:val="center"/>
              <w:rPr>
                <w:rFonts w:ascii="宋体" w:hAnsi="宋体"/>
                <w:color w:val="auto"/>
                <w:sz w:val="24"/>
                <w:highlight w:val="none"/>
              </w:rPr>
            </w:pPr>
            <w:r>
              <w:rPr>
                <w:rFonts w:hint="eastAsia" w:ascii="宋体" w:hAnsi="宋体"/>
                <w:color w:val="auto"/>
                <w:sz w:val="24"/>
                <w:highlight w:val="none"/>
              </w:rPr>
              <w:t>购</w:t>
            </w:r>
          </w:p>
          <w:p>
            <w:pPr>
              <w:spacing w:line="360" w:lineRule="exact"/>
              <w:jc w:val="center"/>
              <w:rPr>
                <w:rFonts w:ascii="宋体" w:hAnsi="宋体"/>
                <w:color w:val="auto"/>
                <w:sz w:val="24"/>
                <w:highlight w:val="none"/>
              </w:rPr>
            </w:pPr>
            <w:r>
              <w:rPr>
                <w:rFonts w:hint="eastAsia" w:ascii="宋体" w:hAnsi="宋体"/>
                <w:color w:val="auto"/>
                <w:sz w:val="24"/>
                <w:highlight w:val="none"/>
              </w:rPr>
              <w:t>单</w:t>
            </w:r>
          </w:p>
          <w:p>
            <w:pPr>
              <w:spacing w:line="360" w:lineRule="exact"/>
              <w:jc w:val="center"/>
              <w:rPr>
                <w:rFonts w:ascii="宋体" w:hAnsi="宋体"/>
                <w:color w:val="auto"/>
                <w:sz w:val="24"/>
                <w:highlight w:val="none"/>
              </w:rPr>
            </w:pPr>
            <w:r>
              <w:rPr>
                <w:rFonts w:hint="eastAsia" w:ascii="宋体" w:hAnsi="宋体"/>
                <w:color w:val="auto"/>
                <w:sz w:val="24"/>
                <w:highlight w:val="none"/>
              </w:rPr>
              <w:t>位</w:t>
            </w:r>
          </w:p>
          <w:p>
            <w:pPr>
              <w:spacing w:line="360" w:lineRule="exact"/>
              <w:jc w:val="center"/>
              <w:rPr>
                <w:rFonts w:ascii="宋体" w:hAnsi="宋体"/>
                <w:color w:val="auto"/>
                <w:sz w:val="24"/>
                <w:highlight w:val="none"/>
              </w:rPr>
            </w:pPr>
            <w:r>
              <w:rPr>
                <w:rFonts w:hint="eastAsia" w:ascii="宋体" w:hAnsi="宋体"/>
                <w:color w:val="auto"/>
                <w:sz w:val="24"/>
                <w:highlight w:val="none"/>
              </w:rPr>
              <w:t>意</w:t>
            </w:r>
          </w:p>
          <w:p>
            <w:pPr>
              <w:spacing w:line="360" w:lineRule="exact"/>
              <w:jc w:val="center"/>
              <w:rPr>
                <w:rFonts w:ascii="宋体" w:hAnsi="宋体"/>
                <w:color w:val="auto"/>
                <w:sz w:val="24"/>
                <w:highlight w:val="none"/>
              </w:rPr>
            </w:pPr>
            <w:r>
              <w:rPr>
                <w:rFonts w:hint="eastAsia" w:ascii="宋体" w:hAnsi="宋体"/>
                <w:color w:val="auto"/>
                <w:sz w:val="24"/>
                <w:highlight w:val="none"/>
              </w:rPr>
              <w:t>见</w:t>
            </w:r>
          </w:p>
        </w:tc>
        <w:tc>
          <w:tcPr>
            <w:tcW w:w="7605" w:type="dxa"/>
            <w:noWrap w:val="0"/>
            <w:vAlign w:val="top"/>
          </w:tcPr>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退付意见：是否同意退付履约保证金及退付金额：</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联系人及电话：                                 采购单位签章</w:t>
            </w:r>
          </w:p>
          <w:p>
            <w:pPr>
              <w:spacing w:line="360" w:lineRule="exact"/>
              <w:jc w:val="center"/>
              <w:rPr>
                <w:rFonts w:ascii="宋体" w:hAnsi="宋体"/>
                <w:color w:val="auto"/>
                <w:sz w:val="24"/>
                <w:highlight w:val="none"/>
              </w:rPr>
            </w:pPr>
            <w:r>
              <w:rPr>
                <w:rFonts w:hint="eastAsia" w:ascii="宋体" w:hAnsi="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008" w:type="dxa"/>
            <w:noWrap w:val="0"/>
            <w:vAlign w:val="center"/>
          </w:tcPr>
          <w:p>
            <w:pPr>
              <w:spacing w:line="360" w:lineRule="exact"/>
              <w:jc w:val="center"/>
              <w:rPr>
                <w:rFonts w:ascii="宋体" w:hAnsi="宋体"/>
                <w:color w:val="auto"/>
                <w:sz w:val="24"/>
                <w:highlight w:val="none"/>
              </w:rPr>
            </w:pPr>
            <w:r>
              <w:rPr>
                <w:rFonts w:hint="eastAsia" w:ascii="宋体" w:hAnsi="宋体"/>
                <w:color w:val="auto"/>
                <w:sz w:val="24"/>
                <w:highlight w:val="none"/>
              </w:rPr>
              <w:t>财</w:t>
            </w:r>
          </w:p>
          <w:p>
            <w:pPr>
              <w:spacing w:line="360" w:lineRule="exact"/>
              <w:jc w:val="center"/>
              <w:rPr>
                <w:rFonts w:ascii="宋体" w:hAnsi="宋体"/>
                <w:color w:val="auto"/>
                <w:sz w:val="24"/>
                <w:highlight w:val="none"/>
              </w:rPr>
            </w:pPr>
            <w:r>
              <w:rPr>
                <w:rFonts w:hint="eastAsia" w:ascii="宋体" w:hAnsi="宋体"/>
                <w:color w:val="auto"/>
                <w:sz w:val="24"/>
                <w:highlight w:val="none"/>
              </w:rPr>
              <w:t>务</w:t>
            </w:r>
          </w:p>
          <w:p>
            <w:pPr>
              <w:spacing w:line="360" w:lineRule="exact"/>
              <w:jc w:val="center"/>
              <w:rPr>
                <w:rFonts w:ascii="宋体" w:hAnsi="宋体"/>
                <w:color w:val="auto"/>
                <w:sz w:val="24"/>
                <w:highlight w:val="none"/>
              </w:rPr>
            </w:pPr>
            <w:r>
              <w:rPr>
                <w:rFonts w:hint="eastAsia" w:ascii="宋体" w:hAnsi="宋体"/>
                <w:color w:val="auto"/>
                <w:sz w:val="24"/>
                <w:highlight w:val="none"/>
              </w:rPr>
              <w:t>部</w:t>
            </w:r>
          </w:p>
          <w:p>
            <w:pPr>
              <w:spacing w:line="360" w:lineRule="exact"/>
              <w:jc w:val="center"/>
              <w:rPr>
                <w:rFonts w:ascii="宋体" w:hAnsi="宋体"/>
                <w:color w:val="auto"/>
                <w:sz w:val="24"/>
                <w:highlight w:val="none"/>
              </w:rPr>
            </w:pPr>
            <w:r>
              <w:rPr>
                <w:rFonts w:hint="eastAsia" w:ascii="宋体" w:hAnsi="宋体"/>
                <w:color w:val="auto"/>
                <w:sz w:val="24"/>
                <w:highlight w:val="none"/>
              </w:rPr>
              <w:t>门</w:t>
            </w:r>
          </w:p>
          <w:p>
            <w:pPr>
              <w:spacing w:line="360" w:lineRule="exact"/>
              <w:jc w:val="center"/>
              <w:rPr>
                <w:rFonts w:ascii="宋体" w:hAnsi="宋体"/>
                <w:color w:val="auto"/>
                <w:sz w:val="24"/>
                <w:highlight w:val="none"/>
              </w:rPr>
            </w:pPr>
            <w:r>
              <w:rPr>
                <w:rFonts w:hint="eastAsia" w:ascii="宋体" w:hAnsi="宋体"/>
                <w:color w:val="auto"/>
                <w:sz w:val="24"/>
                <w:highlight w:val="none"/>
              </w:rPr>
              <w:t>意</w:t>
            </w:r>
          </w:p>
          <w:p>
            <w:pPr>
              <w:spacing w:line="360" w:lineRule="exact"/>
              <w:jc w:val="center"/>
              <w:rPr>
                <w:rFonts w:ascii="宋体" w:hAnsi="宋体"/>
                <w:color w:val="auto"/>
                <w:sz w:val="24"/>
                <w:highlight w:val="none"/>
              </w:rPr>
            </w:pPr>
            <w:r>
              <w:rPr>
                <w:rFonts w:hint="eastAsia" w:ascii="宋体" w:hAnsi="宋体"/>
                <w:color w:val="auto"/>
                <w:sz w:val="24"/>
                <w:highlight w:val="none"/>
              </w:rPr>
              <w:t>见</w:t>
            </w:r>
          </w:p>
        </w:tc>
        <w:tc>
          <w:tcPr>
            <w:tcW w:w="7605" w:type="dxa"/>
            <w:noWrap w:val="0"/>
            <w:vAlign w:val="top"/>
          </w:tcPr>
          <w:p>
            <w:pPr>
              <w:spacing w:line="360" w:lineRule="exact"/>
              <w:rPr>
                <w:rFonts w:ascii="宋体" w:hAnsi="宋体"/>
                <w:color w:val="auto"/>
                <w:sz w:val="24"/>
                <w:highlight w:val="none"/>
              </w:rPr>
            </w:pPr>
            <w:r>
              <w:rPr>
                <w:rFonts w:hint="eastAsia" w:ascii="宋体" w:hAnsi="宋体"/>
                <w:color w:val="auto"/>
                <w:sz w:val="24"/>
                <w:highlight w:val="none"/>
              </w:rPr>
              <w:t>此表于</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日收到。</w:t>
            </w:r>
          </w:p>
          <w:p>
            <w:pPr>
              <w:spacing w:line="360" w:lineRule="exact"/>
              <w:rPr>
                <w:rFonts w:ascii="宋体" w:hAnsi="宋体"/>
                <w:color w:val="auto"/>
                <w:sz w:val="24"/>
                <w:highlight w:val="none"/>
              </w:rPr>
            </w:pPr>
          </w:p>
          <w:p>
            <w:pPr>
              <w:spacing w:line="360" w:lineRule="exact"/>
              <w:rPr>
                <w:rFonts w:ascii="宋体" w:hAnsi="宋体"/>
                <w:color w:val="auto"/>
                <w:sz w:val="24"/>
                <w:highlight w:val="none"/>
              </w:rPr>
            </w:pPr>
            <w:r>
              <w:rPr>
                <w:rFonts w:hint="eastAsia" w:ascii="宋体" w:hAnsi="宋体"/>
                <w:color w:val="auto"/>
                <w:sz w:val="24"/>
                <w:highlight w:val="none"/>
              </w:rPr>
              <w:t>会计审核：</w:t>
            </w:r>
          </w:p>
          <w:p>
            <w:pPr>
              <w:spacing w:line="360" w:lineRule="exact"/>
              <w:rPr>
                <w:rFonts w:ascii="宋体" w:hAnsi="宋体"/>
                <w:color w:val="auto"/>
                <w:sz w:val="24"/>
                <w:highlight w:val="none"/>
              </w:rPr>
            </w:pPr>
            <w:r>
              <w:rPr>
                <w:rFonts w:hint="eastAsia" w:ascii="宋体" w:hAnsi="宋体"/>
                <w:color w:val="auto"/>
                <w:sz w:val="24"/>
                <w:highlight w:val="none"/>
              </w:rPr>
              <w:t>财务负责人审核：</w:t>
            </w:r>
          </w:p>
          <w:p>
            <w:pPr>
              <w:spacing w:line="360" w:lineRule="exact"/>
              <w:rPr>
                <w:rFonts w:ascii="宋体" w:hAnsi="宋体"/>
                <w:color w:val="auto"/>
                <w:sz w:val="24"/>
                <w:highlight w:val="none"/>
              </w:rPr>
            </w:pPr>
            <w:r>
              <w:rPr>
                <w:rFonts w:hint="eastAsia" w:ascii="宋体" w:hAnsi="宋体"/>
                <w:color w:val="auto"/>
                <w:sz w:val="24"/>
                <w:highlight w:val="none"/>
              </w:rPr>
              <w:t>单位负责人签字：</w:t>
            </w:r>
          </w:p>
          <w:p>
            <w:pPr>
              <w:spacing w:line="360" w:lineRule="exact"/>
              <w:rPr>
                <w:rFonts w:ascii="宋体" w:hAnsi="宋体"/>
                <w:color w:val="auto"/>
                <w:sz w:val="24"/>
                <w:highlight w:val="none"/>
              </w:rPr>
            </w:pPr>
            <w:r>
              <w:rPr>
                <w:rFonts w:hint="eastAsia" w:ascii="宋体" w:hAnsi="宋体"/>
                <w:color w:val="auto"/>
                <w:sz w:val="24"/>
                <w:highlight w:val="none"/>
              </w:rPr>
              <w:t>出纳办理转帐日期：</w:t>
            </w:r>
          </w:p>
        </w:tc>
      </w:tr>
    </w:tbl>
    <w:p>
      <w:pPr>
        <w:pStyle w:val="11"/>
        <w:ind w:firstLine="210" w:firstLineChars="100"/>
        <w:jc w:val="both"/>
        <w:rPr>
          <w:rFonts w:hint="eastAsia" w:ascii="宋体" w:hAnsi="宋体"/>
          <w:color w:val="auto"/>
          <w:highlight w:val="none"/>
        </w:rPr>
      </w:pPr>
      <w:r>
        <w:rPr>
          <w:rFonts w:hint="eastAsia" w:ascii="宋体" w:hAnsi="宋体"/>
          <w:color w:val="auto"/>
          <w:highlight w:val="none"/>
        </w:rPr>
        <w:t>注：供应商凭经采购单位审批的退付意见书到广西峻源项目管理有限公司财务部办理履约</w:t>
      </w:r>
    </w:p>
    <w:p>
      <w:pPr>
        <w:pStyle w:val="11"/>
        <w:ind w:firstLine="630" w:firstLineChars="300"/>
        <w:jc w:val="both"/>
        <w:rPr>
          <w:rFonts w:ascii="宋体" w:hAnsi="宋体"/>
          <w:color w:val="auto"/>
          <w:highlight w:val="none"/>
        </w:rPr>
      </w:pPr>
      <w:r>
        <w:rPr>
          <w:rFonts w:hint="eastAsia" w:ascii="宋体" w:hAnsi="宋体"/>
          <w:color w:val="auto"/>
          <w:highlight w:val="none"/>
        </w:rPr>
        <w:t>保证金退付事宜。</w:t>
      </w:r>
    </w:p>
    <w:p>
      <w:pPr>
        <w:pStyle w:val="15"/>
        <w:rPr>
          <w:rFonts w:hint="eastAsia"/>
          <w:color w:val="auto"/>
          <w:highlight w:val="none"/>
        </w:rPr>
      </w:pPr>
    </w:p>
    <w:p>
      <w:pPr>
        <w:pStyle w:val="15"/>
        <w:rPr>
          <w:rFonts w:hint="eastAsia"/>
          <w:color w:val="auto"/>
          <w:highlight w:val="none"/>
        </w:rPr>
      </w:pPr>
    </w:p>
    <w:p>
      <w:pPr>
        <w:widowControl/>
        <w:jc w:val="center"/>
        <w:rPr>
          <w:rFonts w:ascii="黑体" w:hAnsi="黑体" w:eastAsia="黑体" w:cs="新宋体"/>
          <w:bCs/>
          <w:color w:val="auto"/>
          <w:kern w:val="0"/>
          <w:sz w:val="32"/>
          <w:szCs w:val="32"/>
          <w:highlight w:val="none"/>
        </w:rPr>
      </w:pPr>
      <w:r>
        <w:rPr>
          <w:rFonts w:hint="eastAsia" w:ascii="黑体" w:hAnsi="黑体" w:eastAsia="黑体" w:cs="新宋体"/>
          <w:bCs/>
          <w:color w:val="auto"/>
          <w:kern w:val="0"/>
          <w:sz w:val="32"/>
          <w:szCs w:val="32"/>
          <w:highlight w:val="none"/>
        </w:rPr>
        <w:t>政府采购项目</w:t>
      </w:r>
      <w:r>
        <w:rPr>
          <w:rFonts w:hint="eastAsia" w:ascii="黑体" w:hAnsi="黑体" w:eastAsia="黑体" w:cs="宋体"/>
          <w:color w:val="auto"/>
          <w:kern w:val="0"/>
          <w:sz w:val="32"/>
          <w:szCs w:val="32"/>
          <w:highlight w:val="none"/>
        </w:rPr>
        <w:t>合同验收报告（格式）</w:t>
      </w:r>
    </w:p>
    <w:p>
      <w:pPr>
        <w:widowControl/>
        <w:snapToGrid w:val="0"/>
        <w:spacing w:before="100" w:beforeAutospacing="1" w:after="100" w:afterAutospacing="1" w:line="440" w:lineRule="exact"/>
        <w:ind w:firstLine="659"/>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根据政府采购合同（采购合同编号：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w:t>
      </w:r>
      <w:r>
        <w:rPr>
          <w:rFonts w:hint="eastAsia" w:ascii="宋体" w:hAnsi="宋体" w:cs="宋体"/>
          <w:color w:val="auto"/>
          <w:kern w:val="0"/>
          <w:szCs w:val="21"/>
          <w:highlight w:val="none"/>
          <w:u w:val="single"/>
        </w:rPr>
        <w:t xml:space="preserve">（项目名称）       </w:t>
      </w:r>
      <w:r>
        <w:rPr>
          <w:rFonts w:hint="eastAsia" w:ascii="宋体" w:hAnsi="宋体" w:cs="宋体"/>
          <w:color w:val="auto"/>
          <w:kern w:val="0"/>
          <w:szCs w:val="21"/>
          <w:highlight w:val="none"/>
        </w:rPr>
        <w:t>政府采购项目中标（或成交）供应商</w:t>
      </w:r>
      <w:r>
        <w:rPr>
          <w:rFonts w:hint="eastAsia" w:ascii="宋体" w:hAnsi="宋体" w:cs="宋体"/>
          <w:color w:val="auto"/>
          <w:kern w:val="0"/>
          <w:szCs w:val="21"/>
          <w:highlight w:val="none"/>
          <w:u w:val="single"/>
        </w:rPr>
        <w:t xml:space="preserve">（公司名称）       </w:t>
      </w:r>
      <w:r>
        <w:rPr>
          <w:rFonts w:hint="eastAsia" w:ascii="宋体" w:hAnsi="宋体" w:cs="宋体"/>
          <w:color w:val="auto"/>
          <w:kern w:val="0"/>
          <w:szCs w:val="21"/>
          <w:highlight w:val="none"/>
        </w:rPr>
        <w:t>提供的货物（或服务）进行了验收，验收情况如下：</w:t>
      </w:r>
    </w:p>
    <w:tbl>
      <w:tblPr>
        <w:tblStyle w:val="28"/>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19"/>
        <w:gridCol w:w="1963"/>
        <w:gridCol w:w="1579"/>
        <w:gridCol w:w="1862"/>
        <w:gridCol w:w="660"/>
        <w:gridCol w:w="338"/>
        <w:gridCol w:w="177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97" w:hRule="atLeast"/>
          <w:jc w:val="center"/>
        </w:trPr>
        <w:tc>
          <w:tcPr>
            <w:tcW w:w="3482"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6218" w:type="dxa"/>
            <w:gridSpan w:val="5"/>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692"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w:t>
            </w:r>
          </w:p>
          <w:p>
            <w:pPr>
              <w:widowControl/>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（或服务内容、标准）</w:t>
            </w: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与合同约定</w:t>
            </w:r>
          </w:p>
          <w:p>
            <w:pPr>
              <w:widowControl/>
              <w:snapToGrid w:val="0"/>
              <w:ind w:left="-3"/>
              <w:jc w:val="center"/>
              <w:rPr>
                <w:rFonts w:ascii="宋体" w:hAnsi="宋体" w:cs="宋体"/>
                <w:color w:val="auto"/>
                <w:kern w:val="0"/>
                <w:szCs w:val="21"/>
                <w:highlight w:val="none"/>
              </w:rPr>
            </w:pPr>
            <w:r>
              <w:rPr>
                <w:rFonts w:hint="eastAsia" w:ascii="宋体" w:hAnsi="宋体" w:cs="宋体"/>
                <w:color w:val="auto"/>
                <w:kern w:val="0"/>
                <w:szCs w:val="21"/>
                <w:highlight w:val="none"/>
              </w:rPr>
              <w:t>是否一致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87"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87"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87"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87"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jc w:val="left"/>
              <w:rPr>
                <w:color w:val="auto"/>
                <w:szCs w:val="2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87"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87"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87"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487"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1963" w:type="dxa"/>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3441"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ind w:left="-3" w:firstLine="576"/>
              <w:jc w:val="center"/>
              <w:rPr>
                <w:rFonts w:ascii="宋体" w:hAnsi="宋体" w:cs="宋体"/>
                <w:color w:val="auto"/>
                <w:kern w:val="0"/>
                <w:szCs w:val="21"/>
                <w:highlight w:val="none"/>
              </w:rPr>
            </w:pPr>
          </w:p>
        </w:tc>
        <w:tc>
          <w:tcPr>
            <w:tcW w:w="99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p>
        </w:tc>
        <w:tc>
          <w:tcPr>
            <w:tcW w:w="1779"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center"/>
              <w:rPr>
                <w:rFonts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641" w:hRule="atLeast"/>
          <w:jc w:val="center"/>
        </w:trPr>
        <w:tc>
          <w:tcPr>
            <w:tcW w:w="1519" w:type="dxa"/>
            <w:tcBorders>
              <w:top w:val="single" w:color="auto" w:sz="8" w:space="0"/>
              <w:left w:val="single" w:color="auto" w:sz="8" w:space="0"/>
              <w:bottom w:val="single" w:color="auto" w:sz="8" w:space="0"/>
              <w:right w:val="single" w:color="auto" w:sz="8" w:space="0"/>
            </w:tcBorders>
            <w:noWrap w:val="0"/>
            <w:vAlign w:val="center"/>
          </w:tcPr>
          <w:p>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54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left"/>
              <w:rPr>
                <w:rFonts w:ascii="宋体" w:hAnsi="宋体" w:cs="宋体"/>
                <w:color w:val="auto"/>
                <w:kern w:val="0"/>
                <w:szCs w:val="21"/>
                <w:highlight w:val="none"/>
              </w:rPr>
            </w:pPr>
          </w:p>
        </w:tc>
        <w:tc>
          <w:tcPr>
            <w:tcW w:w="2522"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ind w:left="590"/>
              <w:jc w:val="left"/>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7" w:type="dxa"/>
            <w:gridSpan w:val="2"/>
            <w:tcBorders>
              <w:top w:val="single" w:color="auto" w:sz="8" w:space="0"/>
              <w:left w:val="single" w:color="auto" w:sz="8" w:space="0"/>
              <w:bottom w:val="single" w:color="auto" w:sz="8" w:space="0"/>
              <w:right w:val="single" w:color="auto" w:sz="8" w:space="0"/>
            </w:tcBorders>
            <w:noWrap w:val="0"/>
            <w:vAlign w:val="center"/>
          </w:tcPr>
          <w:p>
            <w:pPr>
              <w:snapToGrid w:val="0"/>
              <w:jc w:val="left"/>
              <w:rPr>
                <w:rFonts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693" w:hRule="atLeast"/>
          <w:jc w:val="center"/>
        </w:trPr>
        <w:tc>
          <w:tcPr>
            <w:tcW w:w="151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81" w:type="dxa"/>
            <w:gridSpan w:val="6"/>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jc w:val="left"/>
              <w:rPr>
                <w:rFonts w:ascii="宋体" w:hAnsi="宋体" w:cs="宋体"/>
                <w:color w:val="auto"/>
                <w:kern w:val="0"/>
                <w:szCs w:val="21"/>
                <w:highlight w:val="none"/>
              </w:rPr>
            </w:pPr>
            <w:r>
              <w:rPr>
                <w:rFonts w:hint="eastAsia" w:ascii="宋体" w:hAnsi="宋体" w:cs="宋体"/>
                <w:color w:val="auto"/>
                <w:kern w:val="0"/>
                <w:szCs w:val="21"/>
                <w:highlight w:val="none"/>
              </w:rPr>
              <w:t> (按招标采购文件、投标响应文件及验收方案等。可附件)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1449" w:hRule="atLeast"/>
          <w:jc w:val="center"/>
        </w:trPr>
        <w:tc>
          <w:tcPr>
            <w:tcW w:w="151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81"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611" w:hRule="atLeast"/>
          <w:jc w:val="center"/>
        </w:trPr>
        <w:tc>
          <w:tcPr>
            <w:tcW w:w="9700" w:type="dxa"/>
            <w:gridSpan w:val="7"/>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wBefore w:w="0" w:type="auto"/>
          <w:trHeight w:val="1113" w:hRule="atLeast"/>
          <w:jc w:val="center"/>
        </w:trPr>
        <w:tc>
          <w:tcPr>
            <w:tcW w:w="5061" w:type="dxa"/>
            <w:gridSpan w:val="3"/>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供应商签字或盖章：</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联系方式：         年 月 日</w:t>
            </w:r>
          </w:p>
        </w:tc>
        <w:tc>
          <w:tcPr>
            <w:tcW w:w="4639" w:type="dxa"/>
            <w:gridSpan w:val="4"/>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 采购单位盖章：</w:t>
            </w:r>
          </w:p>
          <w:p>
            <w:pPr>
              <w:widowControl/>
              <w:ind w:firstLine="2119"/>
              <w:jc w:val="left"/>
              <w:rPr>
                <w:rFonts w:ascii="宋体" w:hAnsi="宋体" w:cs="宋体"/>
                <w:color w:val="auto"/>
                <w:kern w:val="0"/>
                <w:szCs w:val="21"/>
                <w:highlight w:val="none"/>
              </w:rPr>
            </w:pPr>
            <w:r>
              <w:rPr>
                <w:rFonts w:hint="eastAsia" w:ascii="宋体" w:hAnsi="宋体" w:cs="宋体"/>
                <w:color w:val="auto"/>
                <w:kern w:val="0"/>
                <w:szCs w:val="21"/>
                <w:highlight w:val="none"/>
              </w:rPr>
              <w:t>年 月 日</w:t>
            </w:r>
          </w:p>
        </w:tc>
      </w:tr>
    </w:tbl>
    <w:p>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备注：本报告单一式4份（采购单位1份、供应商1份、采购监督部门备案1份、采购代理机构1份）。</w:t>
      </w:r>
    </w:p>
    <w:p>
      <w:pPr>
        <w:pStyle w:val="15"/>
        <w:rPr>
          <w:color w:val="auto"/>
          <w:highlight w:val="none"/>
        </w:rPr>
      </w:pPr>
    </w:p>
    <w:p>
      <w:pPr>
        <w:pStyle w:val="15"/>
        <w:rPr>
          <w:color w:val="auto"/>
          <w:highlight w:val="none"/>
        </w:rPr>
      </w:pPr>
    </w:p>
    <w:sectPr>
      <w:headerReference r:id="rId6" w:type="first"/>
      <w:footerReference r:id="rId9" w:type="first"/>
      <w:footerReference r:id="rId7" w:type="default"/>
      <w:footerReference r:id="rId8" w:type="even"/>
      <w:type w:val="continuous"/>
      <w:pgSz w:w="11906" w:h="16838"/>
      <w:pgMar w:top="1559" w:right="987" w:bottom="1134" w:left="1418" w:header="680" w:footer="680" w:gutter="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金山简隶书">
    <w:altName w:val="宋体"/>
    <w:panose1 w:val="02010609000101010101"/>
    <w:charset w:val="86"/>
    <w:family w:val="modern"/>
    <w:pitch w:val="default"/>
    <w:sig w:usb0="00000001" w:usb1="080E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金山简魏碑">
    <w:altName w:val="宋体"/>
    <w:panose1 w:val="02010609000101010101"/>
    <w:charset w:val="86"/>
    <w:family w:val="modern"/>
    <w:pitch w:val="default"/>
    <w:sig w:usb0="00000001" w:usb1="080E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Style w:val="32"/>
                            </w:rPr>
                          </w:pPr>
                          <w:r>
                            <w:fldChar w:fldCharType="begin"/>
                          </w:r>
                          <w:r>
                            <w:rPr>
                              <w:rStyle w:val="32"/>
                            </w:rPr>
                            <w:instrText xml:space="preserve">PAGE  </w:instrText>
                          </w:r>
                          <w:r>
                            <w:fldChar w:fldCharType="separate"/>
                          </w:r>
                          <w:r>
                            <w:rPr>
                              <w:rStyle w:val="32"/>
                              <w:lang/>
                            </w:rPr>
                            <w:t>41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19"/>
                      <w:rPr>
                        <w:rStyle w:val="32"/>
                      </w:rPr>
                    </w:pPr>
                    <w:r>
                      <w:fldChar w:fldCharType="begin"/>
                    </w:r>
                    <w:r>
                      <w:rPr>
                        <w:rStyle w:val="32"/>
                      </w:rPr>
                      <w:instrText xml:space="preserve">PAGE  </w:instrText>
                    </w:r>
                    <w:r>
                      <w:fldChar w:fldCharType="separate"/>
                    </w:r>
                    <w:r>
                      <w:rPr>
                        <w:rStyle w:val="32"/>
                        <w:lang/>
                      </w:rPr>
                      <w:t>41</w:t>
                    </w:r>
                    <w: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1</w:t>
                    </w:r>
                    <w:r>
                      <w:rPr>
                        <w:rFonts w:hint="eastAsia"/>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jc w:val="center"/>
                            <w:rPr>
                              <w:rStyle w:val="32"/>
                              <w:rFonts w:hint="eastAsia"/>
                              <w:sz w:val="21"/>
                            </w:rPr>
                          </w:pPr>
                          <w:r>
                            <w:rPr>
                              <w:sz w:val="21"/>
                            </w:rPr>
                            <w:fldChar w:fldCharType="begin"/>
                          </w:r>
                          <w:r>
                            <w:rPr>
                              <w:rStyle w:val="32"/>
                              <w:sz w:val="21"/>
                            </w:rPr>
                            <w:instrText xml:space="preserve">PAGE  </w:instrText>
                          </w:r>
                          <w:r>
                            <w:rPr>
                              <w:sz w:val="21"/>
                            </w:rPr>
                            <w:fldChar w:fldCharType="separate"/>
                          </w:r>
                          <w:r>
                            <w:rPr>
                              <w:rStyle w:val="32"/>
                              <w:sz w:val="21"/>
                              <w:lang/>
                            </w:rPr>
                            <w:t>42</w:t>
                          </w:r>
                          <w:r>
                            <w:rPr>
                              <w:sz w:val="2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4QsZs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ThCxmyQEAAJkDAAAOAAAAAAAAAAEAIAAAAB4BAABkcnMvZTJvRG9j&#10;LnhtbFBLBQYAAAAABgAGAFkBAABZBQAAAAA=&#10;">
              <v:fill on="f" focussize="0,0"/>
              <v:stroke on="f"/>
              <v:imagedata o:title=""/>
              <o:lock v:ext="edit" aspectratio="f"/>
              <v:textbox inset="0mm,0mm,0mm,0mm" style="mso-fit-shape-to-text:t;">
                <w:txbxContent>
                  <w:p>
                    <w:pPr>
                      <w:pStyle w:val="19"/>
                      <w:jc w:val="center"/>
                      <w:rPr>
                        <w:rStyle w:val="32"/>
                        <w:rFonts w:hint="eastAsia"/>
                        <w:sz w:val="21"/>
                      </w:rPr>
                    </w:pPr>
                    <w:r>
                      <w:rPr>
                        <w:sz w:val="21"/>
                      </w:rPr>
                      <w:fldChar w:fldCharType="begin"/>
                    </w:r>
                    <w:r>
                      <w:rPr>
                        <w:rStyle w:val="32"/>
                        <w:sz w:val="21"/>
                      </w:rPr>
                      <w:instrText xml:space="preserve">PAGE  </w:instrText>
                    </w:r>
                    <w:r>
                      <w:rPr>
                        <w:sz w:val="21"/>
                      </w:rPr>
                      <w:fldChar w:fldCharType="separate"/>
                    </w:r>
                    <w:r>
                      <w:rPr>
                        <w:rStyle w:val="32"/>
                        <w:sz w:val="21"/>
                        <w:lang/>
                      </w:rPr>
                      <w:t>42</w:t>
                    </w:r>
                    <w:r>
                      <w:rPr>
                        <w:sz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2"/>
      </w:rPr>
    </w:pPr>
    <w:r>
      <w:fldChar w:fldCharType="begin"/>
    </w:r>
    <w:r>
      <w:rPr>
        <w:rStyle w:val="32"/>
      </w:rPr>
      <w:instrText xml:space="preserve">PAGE  </w:instrText>
    </w:r>
    <w:r>
      <w:fldChar w:fldCharType="separate"/>
    </w:r>
    <w:r>
      <w:rPr>
        <w:rStyle w:val="32"/>
        <w:lang/>
      </w:rPr>
      <w:t>1</w:t>
    </w:r>
    <w:r>
      <w:fldChar w:fldCharType="end"/>
    </w:r>
  </w:p>
  <w:p>
    <w:pPr>
      <w:pStyle w:val="1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r>
      <w:rPr>
        <w:rFonts w:hint="eastAsia"/>
      </w:rPr>
      <w:t xml:space="preserve">                                                     37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380" w:lineRule="exact"/>
      <w:rPr>
        <w:rFonts w:hint="eastAsia" w:hAnsi="宋体"/>
        <w:color w:val="000000"/>
        <w:sz w:val="18"/>
        <w:szCs w:val="18"/>
        <w:u w:val="single"/>
      </w:rPr>
    </w:pPr>
    <w:r>
      <w:rPr>
        <w:rFonts w:hint="eastAsia" w:hAnsi="宋体"/>
        <w:color w:val="000000"/>
        <w:sz w:val="18"/>
        <w:szCs w:val="18"/>
        <w:u w:val="single"/>
      </w:rPr>
      <w:t>广西峻源项目管理有限公司             2020年管道潜望镜、空气压缩机等设备采购项目（YLZC2020-J1-000613-GXJY）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0"/>
      </w:pBdr>
      <w:ind w:right="360"/>
      <w:jc w:val="both"/>
      <w:rPr>
        <w:rFonts w:hint="eastAsia"/>
        <w:bCs/>
        <w:spacing w:val="-4"/>
        <w:szCs w:val="21"/>
      </w:rPr>
    </w:pPr>
    <w:r>
      <w:rPr>
        <w:rFonts w:hint="eastAsia" w:hAnsi="宋体"/>
        <w:color w:val="000000"/>
        <w:szCs w:val="21"/>
      </w:rPr>
      <w:t xml:space="preserve">广西云龙招标集团有限公司    </w:t>
    </w:r>
    <w:r>
      <w:rPr>
        <w:rFonts w:hint="eastAsia"/>
        <w:bCs/>
        <w:spacing w:val="-4"/>
      </w:rPr>
      <w:t>玉林市公安局指挥中心三台合一接处警系统升级采购YLZC2014-J1-0963（YLYLJ20141076-YL）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Wingdings" w:hAnsi="Wingdings"/>
      </w:rPr>
    </w:lvl>
  </w:abstractNum>
  <w:abstractNum w:abstractNumId="1">
    <w:nsid w:val="438D3A6A"/>
    <w:multiLevelType w:val="singleLevel"/>
    <w:tmpl w:val="438D3A6A"/>
    <w:lvl w:ilvl="0" w:tentative="0">
      <w:start w:val="2"/>
      <w:numFmt w:val="decimal"/>
      <w:lvlText w:val="%1."/>
      <w:lvlJc w:val="left"/>
      <w:pPr>
        <w:tabs>
          <w:tab w:val="left" w:pos="312"/>
        </w:tabs>
      </w:pPr>
    </w:lvl>
  </w:abstractNum>
  <w:abstractNum w:abstractNumId="2">
    <w:nsid w:val="62AA04F0"/>
    <w:multiLevelType w:val="singleLevel"/>
    <w:tmpl w:val="62AA04F0"/>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mCg9x4dLJlkUex7gIlQ5E6yvjsU=" w:salt="6defxcxnfgZ2/AqHqOcGWA=="/>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462"/>
    <w:rsid w:val="000001AF"/>
    <w:rsid w:val="0000059F"/>
    <w:rsid w:val="00002078"/>
    <w:rsid w:val="00002A3C"/>
    <w:rsid w:val="00003163"/>
    <w:rsid w:val="00003211"/>
    <w:rsid w:val="000032DC"/>
    <w:rsid w:val="00003341"/>
    <w:rsid w:val="000039B1"/>
    <w:rsid w:val="00003B7A"/>
    <w:rsid w:val="00003CF3"/>
    <w:rsid w:val="00004357"/>
    <w:rsid w:val="00004560"/>
    <w:rsid w:val="0000495F"/>
    <w:rsid w:val="00004D84"/>
    <w:rsid w:val="00006004"/>
    <w:rsid w:val="0000662E"/>
    <w:rsid w:val="00006793"/>
    <w:rsid w:val="0000719D"/>
    <w:rsid w:val="00007B18"/>
    <w:rsid w:val="00007E47"/>
    <w:rsid w:val="00007E48"/>
    <w:rsid w:val="00010148"/>
    <w:rsid w:val="000103FA"/>
    <w:rsid w:val="0001056B"/>
    <w:rsid w:val="0001075C"/>
    <w:rsid w:val="00010771"/>
    <w:rsid w:val="0001165A"/>
    <w:rsid w:val="0001183E"/>
    <w:rsid w:val="00011D03"/>
    <w:rsid w:val="00012A47"/>
    <w:rsid w:val="00012EC9"/>
    <w:rsid w:val="000132B5"/>
    <w:rsid w:val="0001393D"/>
    <w:rsid w:val="0001429D"/>
    <w:rsid w:val="00014409"/>
    <w:rsid w:val="00014560"/>
    <w:rsid w:val="00014664"/>
    <w:rsid w:val="000146C0"/>
    <w:rsid w:val="00014D45"/>
    <w:rsid w:val="00014E6A"/>
    <w:rsid w:val="0001509B"/>
    <w:rsid w:val="0001531A"/>
    <w:rsid w:val="00015BDD"/>
    <w:rsid w:val="00015C10"/>
    <w:rsid w:val="00015E51"/>
    <w:rsid w:val="00016336"/>
    <w:rsid w:val="00016EBD"/>
    <w:rsid w:val="000176DF"/>
    <w:rsid w:val="0001788F"/>
    <w:rsid w:val="0001791A"/>
    <w:rsid w:val="00020327"/>
    <w:rsid w:val="0002061E"/>
    <w:rsid w:val="000206E4"/>
    <w:rsid w:val="00020A27"/>
    <w:rsid w:val="00020DDF"/>
    <w:rsid w:val="00021461"/>
    <w:rsid w:val="00021942"/>
    <w:rsid w:val="00021AF7"/>
    <w:rsid w:val="000225F2"/>
    <w:rsid w:val="00022880"/>
    <w:rsid w:val="000228A6"/>
    <w:rsid w:val="00022AE0"/>
    <w:rsid w:val="000235C4"/>
    <w:rsid w:val="0002372B"/>
    <w:rsid w:val="00023AB6"/>
    <w:rsid w:val="00024217"/>
    <w:rsid w:val="0002436C"/>
    <w:rsid w:val="000244C5"/>
    <w:rsid w:val="0002457A"/>
    <w:rsid w:val="00024F27"/>
    <w:rsid w:val="0002501F"/>
    <w:rsid w:val="00025DB4"/>
    <w:rsid w:val="000260FD"/>
    <w:rsid w:val="000267AA"/>
    <w:rsid w:val="000268BD"/>
    <w:rsid w:val="000279AD"/>
    <w:rsid w:val="00027DE6"/>
    <w:rsid w:val="00027E9F"/>
    <w:rsid w:val="00027FAA"/>
    <w:rsid w:val="00027FE1"/>
    <w:rsid w:val="00030002"/>
    <w:rsid w:val="000301A4"/>
    <w:rsid w:val="00030A8B"/>
    <w:rsid w:val="00030ADD"/>
    <w:rsid w:val="0003124F"/>
    <w:rsid w:val="0003143E"/>
    <w:rsid w:val="000316B0"/>
    <w:rsid w:val="00031963"/>
    <w:rsid w:val="00031A11"/>
    <w:rsid w:val="00031A9B"/>
    <w:rsid w:val="0003223A"/>
    <w:rsid w:val="00032304"/>
    <w:rsid w:val="00032647"/>
    <w:rsid w:val="0003287F"/>
    <w:rsid w:val="00032BA4"/>
    <w:rsid w:val="00032D59"/>
    <w:rsid w:val="00033640"/>
    <w:rsid w:val="00033A5D"/>
    <w:rsid w:val="00033B50"/>
    <w:rsid w:val="00035470"/>
    <w:rsid w:val="00035541"/>
    <w:rsid w:val="000361AC"/>
    <w:rsid w:val="000361BB"/>
    <w:rsid w:val="00036517"/>
    <w:rsid w:val="0003686B"/>
    <w:rsid w:val="00036DCA"/>
    <w:rsid w:val="00036FB7"/>
    <w:rsid w:val="000402D7"/>
    <w:rsid w:val="000402E9"/>
    <w:rsid w:val="0004071E"/>
    <w:rsid w:val="00040746"/>
    <w:rsid w:val="00040F18"/>
    <w:rsid w:val="00040FAC"/>
    <w:rsid w:val="00041665"/>
    <w:rsid w:val="00041796"/>
    <w:rsid w:val="0004197E"/>
    <w:rsid w:val="00041BA2"/>
    <w:rsid w:val="000422A0"/>
    <w:rsid w:val="0004245A"/>
    <w:rsid w:val="00043A1A"/>
    <w:rsid w:val="00045197"/>
    <w:rsid w:val="00045211"/>
    <w:rsid w:val="000452E7"/>
    <w:rsid w:val="00045826"/>
    <w:rsid w:val="0004599F"/>
    <w:rsid w:val="00045FD7"/>
    <w:rsid w:val="0004620C"/>
    <w:rsid w:val="000463C0"/>
    <w:rsid w:val="000469EB"/>
    <w:rsid w:val="0004750C"/>
    <w:rsid w:val="00047A2B"/>
    <w:rsid w:val="00047C40"/>
    <w:rsid w:val="00047DB0"/>
    <w:rsid w:val="00050167"/>
    <w:rsid w:val="000505B5"/>
    <w:rsid w:val="000506BC"/>
    <w:rsid w:val="00050A37"/>
    <w:rsid w:val="00050E3A"/>
    <w:rsid w:val="00051B6B"/>
    <w:rsid w:val="00051E9E"/>
    <w:rsid w:val="00052293"/>
    <w:rsid w:val="00053EAD"/>
    <w:rsid w:val="00054590"/>
    <w:rsid w:val="00055289"/>
    <w:rsid w:val="000554E6"/>
    <w:rsid w:val="00055B6F"/>
    <w:rsid w:val="00055B7F"/>
    <w:rsid w:val="00055E99"/>
    <w:rsid w:val="00056457"/>
    <w:rsid w:val="00056D7B"/>
    <w:rsid w:val="00056ED7"/>
    <w:rsid w:val="00057AC9"/>
    <w:rsid w:val="00057BFC"/>
    <w:rsid w:val="00057F3D"/>
    <w:rsid w:val="000601B7"/>
    <w:rsid w:val="00060713"/>
    <w:rsid w:val="000608E7"/>
    <w:rsid w:val="00060B1D"/>
    <w:rsid w:val="00061509"/>
    <w:rsid w:val="00061E00"/>
    <w:rsid w:val="00061EF2"/>
    <w:rsid w:val="00061FAC"/>
    <w:rsid w:val="000625C9"/>
    <w:rsid w:val="00062DA3"/>
    <w:rsid w:val="00063AAB"/>
    <w:rsid w:val="00063C7D"/>
    <w:rsid w:val="00063DE9"/>
    <w:rsid w:val="00063FC5"/>
    <w:rsid w:val="000642F3"/>
    <w:rsid w:val="000644BD"/>
    <w:rsid w:val="00064610"/>
    <w:rsid w:val="00064C14"/>
    <w:rsid w:val="000650A7"/>
    <w:rsid w:val="000650CE"/>
    <w:rsid w:val="00065225"/>
    <w:rsid w:val="00065BC2"/>
    <w:rsid w:val="00066067"/>
    <w:rsid w:val="0006607F"/>
    <w:rsid w:val="0006667D"/>
    <w:rsid w:val="00066BE5"/>
    <w:rsid w:val="00066DBE"/>
    <w:rsid w:val="000673CB"/>
    <w:rsid w:val="00067C7F"/>
    <w:rsid w:val="00067CD9"/>
    <w:rsid w:val="00067D3C"/>
    <w:rsid w:val="00067DA7"/>
    <w:rsid w:val="000701C0"/>
    <w:rsid w:val="00070894"/>
    <w:rsid w:val="0007106D"/>
    <w:rsid w:val="00071388"/>
    <w:rsid w:val="000728B0"/>
    <w:rsid w:val="00072C7D"/>
    <w:rsid w:val="00073065"/>
    <w:rsid w:val="000737CC"/>
    <w:rsid w:val="000739AE"/>
    <w:rsid w:val="000739B5"/>
    <w:rsid w:val="000740C8"/>
    <w:rsid w:val="00074891"/>
    <w:rsid w:val="00074BE7"/>
    <w:rsid w:val="00074D99"/>
    <w:rsid w:val="00076669"/>
    <w:rsid w:val="0007666E"/>
    <w:rsid w:val="00076BE3"/>
    <w:rsid w:val="0007742D"/>
    <w:rsid w:val="0007754F"/>
    <w:rsid w:val="0007760B"/>
    <w:rsid w:val="00077C0E"/>
    <w:rsid w:val="000800E0"/>
    <w:rsid w:val="00080397"/>
    <w:rsid w:val="000807D0"/>
    <w:rsid w:val="00080B09"/>
    <w:rsid w:val="00080CD0"/>
    <w:rsid w:val="0008123D"/>
    <w:rsid w:val="00081308"/>
    <w:rsid w:val="00081775"/>
    <w:rsid w:val="00081C2C"/>
    <w:rsid w:val="00082F2D"/>
    <w:rsid w:val="00083493"/>
    <w:rsid w:val="000834E6"/>
    <w:rsid w:val="00083625"/>
    <w:rsid w:val="000837BD"/>
    <w:rsid w:val="00083990"/>
    <w:rsid w:val="00083C40"/>
    <w:rsid w:val="00083C51"/>
    <w:rsid w:val="00083DAF"/>
    <w:rsid w:val="00084415"/>
    <w:rsid w:val="00085135"/>
    <w:rsid w:val="000853AD"/>
    <w:rsid w:val="000853C5"/>
    <w:rsid w:val="00085C49"/>
    <w:rsid w:val="000860EA"/>
    <w:rsid w:val="00086481"/>
    <w:rsid w:val="00086EF5"/>
    <w:rsid w:val="00086FEA"/>
    <w:rsid w:val="0008731E"/>
    <w:rsid w:val="000873F0"/>
    <w:rsid w:val="00087F5E"/>
    <w:rsid w:val="00087FEB"/>
    <w:rsid w:val="00090EFA"/>
    <w:rsid w:val="00090EFC"/>
    <w:rsid w:val="00090FE6"/>
    <w:rsid w:val="000911EA"/>
    <w:rsid w:val="00091423"/>
    <w:rsid w:val="00091D78"/>
    <w:rsid w:val="00092902"/>
    <w:rsid w:val="00092981"/>
    <w:rsid w:val="00092ED8"/>
    <w:rsid w:val="000930E8"/>
    <w:rsid w:val="000931CD"/>
    <w:rsid w:val="00093ABD"/>
    <w:rsid w:val="00093D8F"/>
    <w:rsid w:val="00093E9D"/>
    <w:rsid w:val="0009470C"/>
    <w:rsid w:val="000949A6"/>
    <w:rsid w:val="00094C87"/>
    <w:rsid w:val="000951F4"/>
    <w:rsid w:val="00095624"/>
    <w:rsid w:val="000958B4"/>
    <w:rsid w:val="000958D2"/>
    <w:rsid w:val="0009598D"/>
    <w:rsid w:val="00095BA7"/>
    <w:rsid w:val="00096547"/>
    <w:rsid w:val="00096977"/>
    <w:rsid w:val="00096B9F"/>
    <w:rsid w:val="00096C4D"/>
    <w:rsid w:val="00096C80"/>
    <w:rsid w:val="0009738C"/>
    <w:rsid w:val="00097A12"/>
    <w:rsid w:val="00097A85"/>
    <w:rsid w:val="00097B8F"/>
    <w:rsid w:val="000A04C0"/>
    <w:rsid w:val="000A0A2F"/>
    <w:rsid w:val="000A0A3A"/>
    <w:rsid w:val="000A0BD1"/>
    <w:rsid w:val="000A0F6B"/>
    <w:rsid w:val="000A1296"/>
    <w:rsid w:val="000A154E"/>
    <w:rsid w:val="000A17DF"/>
    <w:rsid w:val="000A184E"/>
    <w:rsid w:val="000A2B83"/>
    <w:rsid w:val="000A3508"/>
    <w:rsid w:val="000A3BFE"/>
    <w:rsid w:val="000A4141"/>
    <w:rsid w:val="000A5709"/>
    <w:rsid w:val="000A5C2A"/>
    <w:rsid w:val="000A5E18"/>
    <w:rsid w:val="000A62D1"/>
    <w:rsid w:val="000A6508"/>
    <w:rsid w:val="000A6A2B"/>
    <w:rsid w:val="000A6BBC"/>
    <w:rsid w:val="000A6E67"/>
    <w:rsid w:val="000A730C"/>
    <w:rsid w:val="000A7891"/>
    <w:rsid w:val="000A7BC4"/>
    <w:rsid w:val="000A7CB1"/>
    <w:rsid w:val="000B02C1"/>
    <w:rsid w:val="000B07F6"/>
    <w:rsid w:val="000B0AB7"/>
    <w:rsid w:val="000B0FDA"/>
    <w:rsid w:val="000B140B"/>
    <w:rsid w:val="000B1539"/>
    <w:rsid w:val="000B159F"/>
    <w:rsid w:val="000B1A28"/>
    <w:rsid w:val="000B1FBE"/>
    <w:rsid w:val="000B2769"/>
    <w:rsid w:val="000B2DEB"/>
    <w:rsid w:val="000B3BCE"/>
    <w:rsid w:val="000B3C9A"/>
    <w:rsid w:val="000B3D2C"/>
    <w:rsid w:val="000B3DC5"/>
    <w:rsid w:val="000B3E33"/>
    <w:rsid w:val="000B49F1"/>
    <w:rsid w:val="000B4B5F"/>
    <w:rsid w:val="000B50F6"/>
    <w:rsid w:val="000B5230"/>
    <w:rsid w:val="000B53FF"/>
    <w:rsid w:val="000B5400"/>
    <w:rsid w:val="000B54E8"/>
    <w:rsid w:val="000B553D"/>
    <w:rsid w:val="000B582C"/>
    <w:rsid w:val="000B60CD"/>
    <w:rsid w:val="000B6123"/>
    <w:rsid w:val="000B621A"/>
    <w:rsid w:val="000B646B"/>
    <w:rsid w:val="000B78E6"/>
    <w:rsid w:val="000B7C88"/>
    <w:rsid w:val="000B7D91"/>
    <w:rsid w:val="000B7E05"/>
    <w:rsid w:val="000B7F8D"/>
    <w:rsid w:val="000C0757"/>
    <w:rsid w:val="000C0959"/>
    <w:rsid w:val="000C0A41"/>
    <w:rsid w:val="000C13A4"/>
    <w:rsid w:val="000C1684"/>
    <w:rsid w:val="000C2612"/>
    <w:rsid w:val="000C27DE"/>
    <w:rsid w:val="000C2937"/>
    <w:rsid w:val="000C2C94"/>
    <w:rsid w:val="000C3AA6"/>
    <w:rsid w:val="000C3BAA"/>
    <w:rsid w:val="000C3CC0"/>
    <w:rsid w:val="000C4798"/>
    <w:rsid w:val="000C4D21"/>
    <w:rsid w:val="000C4F5F"/>
    <w:rsid w:val="000C5B6D"/>
    <w:rsid w:val="000C649E"/>
    <w:rsid w:val="000C687F"/>
    <w:rsid w:val="000C7342"/>
    <w:rsid w:val="000C7736"/>
    <w:rsid w:val="000C7806"/>
    <w:rsid w:val="000C7D19"/>
    <w:rsid w:val="000D0EB4"/>
    <w:rsid w:val="000D1A1E"/>
    <w:rsid w:val="000D2749"/>
    <w:rsid w:val="000D2865"/>
    <w:rsid w:val="000D2EF6"/>
    <w:rsid w:val="000D2FB1"/>
    <w:rsid w:val="000D3363"/>
    <w:rsid w:val="000D38C2"/>
    <w:rsid w:val="000D3C69"/>
    <w:rsid w:val="000D3CCC"/>
    <w:rsid w:val="000D3F2E"/>
    <w:rsid w:val="000D3FEA"/>
    <w:rsid w:val="000D40D2"/>
    <w:rsid w:val="000D4613"/>
    <w:rsid w:val="000D4B6B"/>
    <w:rsid w:val="000D51FC"/>
    <w:rsid w:val="000D522F"/>
    <w:rsid w:val="000D5329"/>
    <w:rsid w:val="000D568E"/>
    <w:rsid w:val="000D5C9D"/>
    <w:rsid w:val="000D69E0"/>
    <w:rsid w:val="000D6DFA"/>
    <w:rsid w:val="000D7583"/>
    <w:rsid w:val="000D7F43"/>
    <w:rsid w:val="000E091D"/>
    <w:rsid w:val="000E0D67"/>
    <w:rsid w:val="000E0F6C"/>
    <w:rsid w:val="000E1C96"/>
    <w:rsid w:val="000E1E9B"/>
    <w:rsid w:val="000E1F38"/>
    <w:rsid w:val="000E211E"/>
    <w:rsid w:val="000E2C24"/>
    <w:rsid w:val="000E2C3F"/>
    <w:rsid w:val="000E365D"/>
    <w:rsid w:val="000E3773"/>
    <w:rsid w:val="000E43C6"/>
    <w:rsid w:val="000E458A"/>
    <w:rsid w:val="000E4DC3"/>
    <w:rsid w:val="000E62A4"/>
    <w:rsid w:val="000E6C7D"/>
    <w:rsid w:val="000E7C90"/>
    <w:rsid w:val="000E7CE2"/>
    <w:rsid w:val="000E7DE7"/>
    <w:rsid w:val="000F06F3"/>
    <w:rsid w:val="000F0BE4"/>
    <w:rsid w:val="000F0D3B"/>
    <w:rsid w:val="000F18AB"/>
    <w:rsid w:val="000F1EF7"/>
    <w:rsid w:val="000F258E"/>
    <w:rsid w:val="000F2C71"/>
    <w:rsid w:val="000F3A00"/>
    <w:rsid w:val="000F3F4D"/>
    <w:rsid w:val="000F3F65"/>
    <w:rsid w:val="000F4E0D"/>
    <w:rsid w:val="000F5293"/>
    <w:rsid w:val="000F540E"/>
    <w:rsid w:val="000F5C06"/>
    <w:rsid w:val="000F60E5"/>
    <w:rsid w:val="000F6597"/>
    <w:rsid w:val="000F7190"/>
    <w:rsid w:val="000F74D8"/>
    <w:rsid w:val="000F780B"/>
    <w:rsid w:val="000F7870"/>
    <w:rsid w:val="000F7888"/>
    <w:rsid w:val="000F7F4C"/>
    <w:rsid w:val="001000A4"/>
    <w:rsid w:val="001003D1"/>
    <w:rsid w:val="00100846"/>
    <w:rsid w:val="00100B2A"/>
    <w:rsid w:val="001013BE"/>
    <w:rsid w:val="00101658"/>
    <w:rsid w:val="00101EF1"/>
    <w:rsid w:val="001020EB"/>
    <w:rsid w:val="001022FE"/>
    <w:rsid w:val="00102584"/>
    <w:rsid w:val="00102695"/>
    <w:rsid w:val="001029E9"/>
    <w:rsid w:val="001029FE"/>
    <w:rsid w:val="00102B2D"/>
    <w:rsid w:val="00103DDD"/>
    <w:rsid w:val="00104D41"/>
    <w:rsid w:val="00105040"/>
    <w:rsid w:val="00105A69"/>
    <w:rsid w:val="0010602F"/>
    <w:rsid w:val="00106273"/>
    <w:rsid w:val="001065F7"/>
    <w:rsid w:val="001066B3"/>
    <w:rsid w:val="001068BF"/>
    <w:rsid w:val="00106938"/>
    <w:rsid w:val="00106A51"/>
    <w:rsid w:val="00106FE6"/>
    <w:rsid w:val="001070A3"/>
    <w:rsid w:val="0011006A"/>
    <w:rsid w:val="00110277"/>
    <w:rsid w:val="00110287"/>
    <w:rsid w:val="00110740"/>
    <w:rsid w:val="0011133C"/>
    <w:rsid w:val="00111509"/>
    <w:rsid w:val="00111AAD"/>
    <w:rsid w:val="00112B2B"/>
    <w:rsid w:val="00112EB3"/>
    <w:rsid w:val="00112FD0"/>
    <w:rsid w:val="0011330D"/>
    <w:rsid w:val="001135B3"/>
    <w:rsid w:val="00113FDB"/>
    <w:rsid w:val="001143F3"/>
    <w:rsid w:val="001145E4"/>
    <w:rsid w:val="00114D4B"/>
    <w:rsid w:val="0011514C"/>
    <w:rsid w:val="00115247"/>
    <w:rsid w:val="001153B5"/>
    <w:rsid w:val="0011589D"/>
    <w:rsid w:val="001158C4"/>
    <w:rsid w:val="00116027"/>
    <w:rsid w:val="001160DB"/>
    <w:rsid w:val="00117049"/>
    <w:rsid w:val="0011791B"/>
    <w:rsid w:val="00117C8C"/>
    <w:rsid w:val="0012062F"/>
    <w:rsid w:val="00120735"/>
    <w:rsid w:val="0012194F"/>
    <w:rsid w:val="00121A79"/>
    <w:rsid w:val="00121F7C"/>
    <w:rsid w:val="001227E8"/>
    <w:rsid w:val="001231C8"/>
    <w:rsid w:val="00123756"/>
    <w:rsid w:val="00123B6C"/>
    <w:rsid w:val="00123FC2"/>
    <w:rsid w:val="00124BC6"/>
    <w:rsid w:val="00124CBF"/>
    <w:rsid w:val="00124DAA"/>
    <w:rsid w:val="0012571C"/>
    <w:rsid w:val="0012579A"/>
    <w:rsid w:val="0012587B"/>
    <w:rsid w:val="00125B0E"/>
    <w:rsid w:val="00125C5E"/>
    <w:rsid w:val="0012651E"/>
    <w:rsid w:val="0012653E"/>
    <w:rsid w:val="00127947"/>
    <w:rsid w:val="001309AB"/>
    <w:rsid w:val="00131042"/>
    <w:rsid w:val="00131750"/>
    <w:rsid w:val="00132054"/>
    <w:rsid w:val="00132608"/>
    <w:rsid w:val="00132AEC"/>
    <w:rsid w:val="001330C7"/>
    <w:rsid w:val="00133BD3"/>
    <w:rsid w:val="00133D40"/>
    <w:rsid w:val="00134266"/>
    <w:rsid w:val="00134421"/>
    <w:rsid w:val="00134EF8"/>
    <w:rsid w:val="0013618E"/>
    <w:rsid w:val="00136389"/>
    <w:rsid w:val="00136487"/>
    <w:rsid w:val="001364CE"/>
    <w:rsid w:val="001365BD"/>
    <w:rsid w:val="0013685A"/>
    <w:rsid w:val="00136E72"/>
    <w:rsid w:val="00137050"/>
    <w:rsid w:val="0013709B"/>
    <w:rsid w:val="00137158"/>
    <w:rsid w:val="001374E6"/>
    <w:rsid w:val="00137C08"/>
    <w:rsid w:val="00140312"/>
    <w:rsid w:val="00140519"/>
    <w:rsid w:val="0014071B"/>
    <w:rsid w:val="00140840"/>
    <w:rsid w:val="001410A6"/>
    <w:rsid w:val="00141B66"/>
    <w:rsid w:val="00141CD2"/>
    <w:rsid w:val="00141F07"/>
    <w:rsid w:val="00141FD9"/>
    <w:rsid w:val="0014283D"/>
    <w:rsid w:val="00142AB2"/>
    <w:rsid w:val="001431E7"/>
    <w:rsid w:val="001437C8"/>
    <w:rsid w:val="00143E86"/>
    <w:rsid w:val="00143F1E"/>
    <w:rsid w:val="00144119"/>
    <w:rsid w:val="00144702"/>
    <w:rsid w:val="00144BF6"/>
    <w:rsid w:val="00144D60"/>
    <w:rsid w:val="001452D2"/>
    <w:rsid w:val="00145E6F"/>
    <w:rsid w:val="00145E93"/>
    <w:rsid w:val="001461A6"/>
    <w:rsid w:val="00146B36"/>
    <w:rsid w:val="001471C5"/>
    <w:rsid w:val="001475CA"/>
    <w:rsid w:val="00147999"/>
    <w:rsid w:val="00147E43"/>
    <w:rsid w:val="00150482"/>
    <w:rsid w:val="0015078B"/>
    <w:rsid w:val="00151B85"/>
    <w:rsid w:val="00151E13"/>
    <w:rsid w:val="00151F07"/>
    <w:rsid w:val="00151FFB"/>
    <w:rsid w:val="001522A9"/>
    <w:rsid w:val="00152964"/>
    <w:rsid w:val="00152B6D"/>
    <w:rsid w:val="00153239"/>
    <w:rsid w:val="00153EF6"/>
    <w:rsid w:val="00153FAE"/>
    <w:rsid w:val="001540E5"/>
    <w:rsid w:val="00154163"/>
    <w:rsid w:val="001541A2"/>
    <w:rsid w:val="00155341"/>
    <w:rsid w:val="001559A9"/>
    <w:rsid w:val="001561E0"/>
    <w:rsid w:val="00156C18"/>
    <w:rsid w:val="00156D92"/>
    <w:rsid w:val="001600BA"/>
    <w:rsid w:val="00160364"/>
    <w:rsid w:val="001603E2"/>
    <w:rsid w:val="00160688"/>
    <w:rsid w:val="00160802"/>
    <w:rsid w:val="00160847"/>
    <w:rsid w:val="001608AF"/>
    <w:rsid w:val="0016111E"/>
    <w:rsid w:val="001614C7"/>
    <w:rsid w:val="00161CE5"/>
    <w:rsid w:val="00161F0D"/>
    <w:rsid w:val="00161FD8"/>
    <w:rsid w:val="00162DC3"/>
    <w:rsid w:val="00163093"/>
    <w:rsid w:val="00163135"/>
    <w:rsid w:val="001637C3"/>
    <w:rsid w:val="00163A3F"/>
    <w:rsid w:val="00164D59"/>
    <w:rsid w:val="00164EA2"/>
    <w:rsid w:val="00165004"/>
    <w:rsid w:val="0016522D"/>
    <w:rsid w:val="00165B84"/>
    <w:rsid w:val="00165CBC"/>
    <w:rsid w:val="00165E86"/>
    <w:rsid w:val="00166281"/>
    <w:rsid w:val="00166CF6"/>
    <w:rsid w:val="001670A2"/>
    <w:rsid w:val="00170032"/>
    <w:rsid w:val="0017015E"/>
    <w:rsid w:val="0017036E"/>
    <w:rsid w:val="001707F4"/>
    <w:rsid w:val="00170B63"/>
    <w:rsid w:val="00170BAB"/>
    <w:rsid w:val="001712FB"/>
    <w:rsid w:val="001718A3"/>
    <w:rsid w:val="0017194F"/>
    <w:rsid w:val="00171CDD"/>
    <w:rsid w:val="00172064"/>
    <w:rsid w:val="0017252F"/>
    <w:rsid w:val="0017343D"/>
    <w:rsid w:val="0017348D"/>
    <w:rsid w:val="00173518"/>
    <w:rsid w:val="0017385C"/>
    <w:rsid w:val="00173E1F"/>
    <w:rsid w:val="0017501E"/>
    <w:rsid w:val="00175303"/>
    <w:rsid w:val="001755AC"/>
    <w:rsid w:val="00175C21"/>
    <w:rsid w:val="00176522"/>
    <w:rsid w:val="00176F44"/>
    <w:rsid w:val="00176F7D"/>
    <w:rsid w:val="00176FAB"/>
    <w:rsid w:val="001771EA"/>
    <w:rsid w:val="00177ECB"/>
    <w:rsid w:val="00182337"/>
    <w:rsid w:val="00182463"/>
    <w:rsid w:val="00182AD7"/>
    <w:rsid w:val="00183004"/>
    <w:rsid w:val="001840A7"/>
    <w:rsid w:val="001844E3"/>
    <w:rsid w:val="00184514"/>
    <w:rsid w:val="00184551"/>
    <w:rsid w:val="001845A2"/>
    <w:rsid w:val="0018462E"/>
    <w:rsid w:val="001849DF"/>
    <w:rsid w:val="001849FC"/>
    <w:rsid w:val="00184EFB"/>
    <w:rsid w:val="00186621"/>
    <w:rsid w:val="001867A4"/>
    <w:rsid w:val="00186CDC"/>
    <w:rsid w:val="001873F1"/>
    <w:rsid w:val="001879EA"/>
    <w:rsid w:val="00187CC1"/>
    <w:rsid w:val="00187FE4"/>
    <w:rsid w:val="001915D6"/>
    <w:rsid w:val="00191EA4"/>
    <w:rsid w:val="00191EE7"/>
    <w:rsid w:val="00192283"/>
    <w:rsid w:val="00192429"/>
    <w:rsid w:val="001924A8"/>
    <w:rsid w:val="00192737"/>
    <w:rsid w:val="001929BC"/>
    <w:rsid w:val="00192A59"/>
    <w:rsid w:val="00192AB8"/>
    <w:rsid w:val="00193313"/>
    <w:rsid w:val="00193801"/>
    <w:rsid w:val="00193F26"/>
    <w:rsid w:val="001946B9"/>
    <w:rsid w:val="00194C8D"/>
    <w:rsid w:val="00194D0B"/>
    <w:rsid w:val="001962DA"/>
    <w:rsid w:val="001962EB"/>
    <w:rsid w:val="001969ED"/>
    <w:rsid w:val="00197256"/>
    <w:rsid w:val="00197412"/>
    <w:rsid w:val="001977D0"/>
    <w:rsid w:val="00197923"/>
    <w:rsid w:val="00197AEC"/>
    <w:rsid w:val="00197C76"/>
    <w:rsid w:val="001A0D67"/>
    <w:rsid w:val="001A0DC6"/>
    <w:rsid w:val="001A0F5F"/>
    <w:rsid w:val="001A1341"/>
    <w:rsid w:val="001A1657"/>
    <w:rsid w:val="001A1675"/>
    <w:rsid w:val="001A16F2"/>
    <w:rsid w:val="001A1864"/>
    <w:rsid w:val="001A1E29"/>
    <w:rsid w:val="001A1F92"/>
    <w:rsid w:val="001A2093"/>
    <w:rsid w:val="001A2772"/>
    <w:rsid w:val="001A2945"/>
    <w:rsid w:val="001A29A2"/>
    <w:rsid w:val="001A2F0A"/>
    <w:rsid w:val="001A3728"/>
    <w:rsid w:val="001A38E9"/>
    <w:rsid w:val="001A3FC0"/>
    <w:rsid w:val="001A4419"/>
    <w:rsid w:val="001A44B2"/>
    <w:rsid w:val="001A4CB2"/>
    <w:rsid w:val="001A5235"/>
    <w:rsid w:val="001A5D1D"/>
    <w:rsid w:val="001A6306"/>
    <w:rsid w:val="001A679C"/>
    <w:rsid w:val="001A6891"/>
    <w:rsid w:val="001A6D3D"/>
    <w:rsid w:val="001A7A8C"/>
    <w:rsid w:val="001A7C27"/>
    <w:rsid w:val="001B03BD"/>
    <w:rsid w:val="001B041C"/>
    <w:rsid w:val="001B0B69"/>
    <w:rsid w:val="001B12FB"/>
    <w:rsid w:val="001B16A7"/>
    <w:rsid w:val="001B1C1A"/>
    <w:rsid w:val="001B1EDB"/>
    <w:rsid w:val="001B1EE6"/>
    <w:rsid w:val="001B2D95"/>
    <w:rsid w:val="001B3A70"/>
    <w:rsid w:val="001B3CC5"/>
    <w:rsid w:val="001B3E93"/>
    <w:rsid w:val="001B46ED"/>
    <w:rsid w:val="001B522B"/>
    <w:rsid w:val="001B55BB"/>
    <w:rsid w:val="001B55E0"/>
    <w:rsid w:val="001B57B5"/>
    <w:rsid w:val="001B5995"/>
    <w:rsid w:val="001B5D3C"/>
    <w:rsid w:val="001B5F58"/>
    <w:rsid w:val="001B6484"/>
    <w:rsid w:val="001B729E"/>
    <w:rsid w:val="001C0029"/>
    <w:rsid w:val="001C036D"/>
    <w:rsid w:val="001C0394"/>
    <w:rsid w:val="001C1854"/>
    <w:rsid w:val="001C1A54"/>
    <w:rsid w:val="001C2AE3"/>
    <w:rsid w:val="001C2CAE"/>
    <w:rsid w:val="001C307D"/>
    <w:rsid w:val="001C331C"/>
    <w:rsid w:val="001C3556"/>
    <w:rsid w:val="001C38BB"/>
    <w:rsid w:val="001C3B3E"/>
    <w:rsid w:val="001C46B3"/>
    <w:rsid w:val="001C4A67"/>
    <w:rsid w:val="001C4EE1"/>
    <w:rsid w:val="001C563F"/>
    <w:rsid w:val="001C5813"/>
    <w:rsid w:val="001C5D00"/>
    <w:rsid w:val="001C6C2F"/>
    <w:rsid w:val="001C720D"/>
    <w:rsid w:val="001C7331"/>
    <w:rsid w:val="001C7333"/>
    <w:rsid w:val="001C748B"/>
    <w:rsid w:val="001D050F"/>
    <w:rsid w:val="001D0B11"/>
    <w:rsid w:val="001D0F51"/>
    <w:rsid w:val="001D17CB"/>
    <w:rsid w:val="001D1FD6"/>
    <w:rsid w:val="001D2442"/>
    <w:rsid w:val="001D26F2"/>
    <w:rsid w:val="001D2713"/>
    <w:rsid w:val="001D27F9"/>
    <w:rsid w:val="001D2A5A"/>
    <w:rsid w:val="001D2B58"/>
    <w:rsid w:val="001D42B0"/>
    <w:rsid w:val="001D4FF8"/>
    <w:rsid w:val="001D5503"/>
    <w:rsid w:val="001D59FF"/>
    <w:rsid w:val="001D5E9D"/>
    <w:rsid w:val="001D61EB"/>
    <w:rsid w:val="001D643B"/>
    <w:rsid w:val="001D6922"/>
    <w:rsid w:val="001D7569"/>
    <w:rsid w:val="001D790B"/>
    <w:rsid w:val="001E05EC"/>
    <w:rsid w:val="001E0ACA"/>
    <w:rsid w:val="001E0EAD"/>
    <w:rsid w:val="001E1192"/>
    <w:rsid w:val="001E1693"/>
    <w:rsid w:val="001E189F"/>
    <w:rsid w:val="001E1AAC"/>
    <w:rsid w:val="001E20AA"/>
    <w:rsid w:val="001E27EA"/>
    <w:rsid w:val="001E2EB4"/>
    <w:rsid w:val="001E33D0"/>
    <w:rsid w:val="001E3439"/>
    <w:rsid w:val="001E36ED"/>
    <w:rsid w:val="001E387A"/>
    <w:rsid w:val="001E3B4B"/>
    <w:rsid w:val="001E3D53"/>
    <w:rsid w:val="001E3EE6"/>
    <w:rsid w:val="001E466E"/>
    <w:rsid w:val="001E48E3"/>
    <w:rsid w:val="001E4907"/>
    <w:rsid w:val="001E51A2"/>
    <w:rsid w:val="001E51A8"/>
    <w:rsid w:val="001E6005"/>
    <w:rsid w:val="001E6B32"/>
    <w:rsid w:val="001E77DE"/>
    <w:rsid w:val="001E78E6"/>
    <w:rsid w:val="001E7A43"/>
    <w:rsid w:val="001F02C4"/>
    <w:rsid w:val="001F0817"/>
    <w:rsid w:val="001F0E86"/>
    <w:rsid w:val="001F1428"/>
    <w:rsid w:val="001F163A"/>
    <w:rsid w:val="001F174E"/>
    <w:rsid w:val="001F1DE0"/>
    <w:rsid w:val="001F214B"/>
    <w:rsid w:val="001F2718"/>
    <w:rsid w:val="001F312F"/>
    <w:rsid w:val="001F32D5"/>
    <w:rsid w:val="001F3513"/>
    <w:rsid w:val="001F3C14"/>
    <w:rsid w:val="001F40AB"/>
    <w:rsid w:val="001F470F"/>
    <w:rsid w:val="001F4751"/>
    <w:rsid w:val="001F4964"/>
    <w:rsid w:val="001F5BEA"/>
    <w:rsid w:val="001F5FDE"/>
    <w:rsid w:val="001F6038"/>
    <w:rsid w:val="001F627B"/>
    <w:rsid w:val="001F6461"/>
    <w:rsid w:val="001F65F7"/>
    <w:rsid w:val="001F723D"/>
    <w:rsid w:val="001F728C"/>
    <w:rsid w:val="001F757D"/>
    <w:rsid w:val="001F76EE"/>
    <w:rsid w:val="001F791F"/>
    <w:rsid w:val="001F7B80"/>
    <w:rsid w:val="001F7D87"/>
    <w:rsid w:val="002004DF"/>
    <w:rsid w:val="00201C49"/>
    <w:rsid w:val="00201E5C"/>
    <w:rsid w:val="002022D1"/>
    <w:rsid w:val="002026BF"/>
    <w:rsid w:val="00202751"/>
    <w:rsid w:val="00202D36"/>
    <w:rsid w:val="00202D8F"/>
    <w:rsid w:val="00202F28"/>
    <w:rsid w:val="0020310E"/>
    <w:rsid w:val="002031F4"/>
    <w:rsid w:val="00204A24"/>
    <w:rsid w:val="00204B41"/>
    <w:rsid w:val="00204B55"/>
    <w:rsid w:val="00204D11"/>
    <w:rsid w:val="0020500D"/>
    <w:rsid w:val="0020587D"/>
    <w:rsid w:val="00205D22"/>
    <w:rsid w:val="00205E91"/>
    <w:rsid w:val="002068B6"/>
    <w:rsid w:val="00206CCF"/>
    <w:rsid w:val="00206FFC"/>
    <w:rsid w:val="0020711F"/>
    <w:rsid w:val="002071D5"/>
    <w:rsid w:val="002074D0"/>
    <w:rsid w:val="00207CBF"/>
    <w:rsid w:val="00207E1E"/>
    <w:rsid w:val="002103D9"/>
    <w:rsid w:val="00210F5D"/>
    <w:rsid w:val="00211026"/>
    <w:rsid w:val="0021111A"/>
    <w:rsid w:val="00211257"/>
    <w:rsid w:val="0021167F"/>
    <w:rsid w:val="0021216E"/>
    <w:rsid w:val="0021238A"/>
    <w:rsid w:val="0021258E"/>
    <w:rsid w:val="0021260B"/>
    <w:rsid w:val="002127B9"/>
    <w:rsid w:val="0021335A"/>
    <w:rsid w:val="002133DA"/>
    <w:rsid w:val="002133DB"/>
    <w:rsid w:val="002137F1"/>
    <w:rsid w:val="00213B18"/>
    <w:rsid w:val="002142AE"/>
    <w:rsid w:val="00214D8A"/>
    <w:rsid w:val="00215694"/>
    <w:rsid w:val="002161ED"/>
    <w:rsid w:val="002167C9"/>
    <w:rsid w:val="00217087"/>
    <w:rsid w:val="00217429"/>
    <w:rsid w:val="002177AC"/>
    <w:rsid w:val="0021783B"/>
    <w:rsid w:val="00217851"/>
    <w:rsid w:val="002204FE"/>
    <w:rsid w:val="00220803"/>
    <w:rsid w:val="00220A7B"/>
    <w:rsid w:val="00221335"/>
    <w:rsid w:val="00221357"/>
    <w:rsid w:val="00221D42"/>
    <w:rsid w:val="00221EE6"/>
    <w:rsid w:val="0022314C"/>
    <w:rsid w:val="00223CB6"/>
    <w:rsid w:val="002245F4"/>
    <w:rsid w:val="0022486B"/>
    <w:rsid w:val="002252F9"/>
    <w:rsid w:val="0022539C"/>
    <w:rsid w:val="00225AAC"/>
    <w:rsid w:val="00225B30"/>
    <w:rsid w:val="00225FF7"/>
    <w:rsid w:val="0022608B"/>
    <w:rsid w:val="00227822"/>
    <w:rsid w:val="0022790B"/>
    <w:rsid w:val="00227CB5"/>
    <w:rsid w:val="002300F3"/>
    <w:rsid w:val="002305C6"/>
    <w:rsid w:val="002305D8"/>
    <w:rsid w:val="00230B11"/>
    <w:rsid w:val="00230D8E"/>
    <w:rsid w:val="00230E9B"/>
    <w:rsid w:val="00232438"/>
    <w:rsid w:val="00232609"/>
    <w:rsid w:val="00232802"/>
    <w:rsid w:val="0023361A"/>
    <w:rsid w:val="00233C2C"/>
    <w:rsid w:val="002342CF"/>
    <w:rsid w:val="002343A3"/>
    <w:rsid w:val="00234486"/>
    <w:rsid w:val="00234537"/>
    <w:rsid w:val="0023456A"/>
    <w:rsid w:val="00235A88"/>
    <w:rsid w:val="0023742D"/>
    <w:rsid w:val="00240283"/>
    <w:rsid w:val="0024029B"/>
    <w:rsid w:val="002404FD"/>
    <w:rsid w:val="002405CC"/>
    <w:rsid w:val="002406BC"/>
    <w:rsid w:val="002406DB"/>
    <w:rsid w:val="00241834"/>
    <w:rsid w:val="002418DC"/>
    <w:rsid w:val="00242A0E"/>
    <w:rsid w:val="0024311F"/>
    <w:rsid w:val="002433C8"/>
    <w:rsid w:val="00243552"/>
    <w:rsid w:val="00243798"/>
    <w:rsid w:val="00243BD1"/>
    <w:rsid w:val="00243E3E"/>
    <w:rsid w:val="00244226"/>
    <w:rsid w:val="002444F2"/>
    <w:rsid w:val="002445E4"/>
    <w:rsid w:val="00244A43"/>
    <w:rsid w:val="00244B2D"/>
    <w:rsid w:val="00245704"/>
    <w:rsid w:val="00246050"/>
    <w:rsid w:val="0024655A"/>
    <w:rsid w:val="0024745A"/>
    <w:rsid w:val="002475D8"/>
    <w:rsid w:val="00247FC1"/>
    <w:rsid w:val="00250339"/>
    <w:rsid w:val="00251351"/>
    <w:rsid w:val="00251EE7"/>
    <w:rsid w:val="002528C6"/>
    <w:rsid w:val="00252AD9"/>
    <w:rsid w:val="002535BA"/>
    <w:rsid w:val="002538BF"/>
    <w:rsid w:val="002545FC"/>
    <w:rsid w:val="00254A14"/>
    <w:rsid w:val="00254B71"/>
    <w:rsid w:val="00254BE0"/>
    <w:rsid w:val="00254CD5"/>
    <w:rsid w:val="00255E31"/>
    <w:rsid w:val="00255FF5"/>
    <w:rsid w:val="002561F2"/>
    <w:rsid w:val="00257118"/>
    <w:rsid w:val="002572D5"/>
    <w:rsid w:val="00257368"/>
    <w:rsid w:val="00257580"/>
    <w:rsid w:val="00257F09"/>
    <w:rsid w:val="00257F2D"/>
    <w:rsid w:val="0026015C"/>
    <w:rsid w:val="00260F34"/>
    <w:rsid w:val="002615AF"/>
    <w:rsid w:val="002627D3"/>
    <w:rsid w:val="00262882"/>
    <w:rsid w:val="00262B27"/>
    <w:rsid w:val="00264317"/>
    <w:rsid w:val="0026432E"/>
    <w:rsid w:val="0026440A"/>
    <w:rsid w:val="002644E1"/>
    <w:rsid w:val="00264887"/>
    <w:rsid w:val="00264C0A"/>
    <w:rsid w:val="00264C92"/>
    <w:rsid w:val="002651E6"/>
    <w:rsid w:val="002654C4"/>
    <w:rsid w:val="002655AB"/>
    <w:rsid w:val="002656A7"/>
    <w:rsid w:val="00265DED"/>
    <w:rsid w:val="002660AC"/>
    <w:rsid w:val="00266607"/>
    <w:rsid w:val="00266D6D"/>
    <w:rsid w:val="00267D46"/>
    <w:rsid w:val="00267FE1"/>
    <w:rsid w:val="00270C8C"/>
    <w:rsid w:val="002719FB"/>
    <w:rsid w:val="00271E80"/>
    <w:rsid w:val="00271E9F"/>
    <w:rsid w:val="00271EF0"/>
    <w:rsid w:val="00272090"/>
    <w:rsid w:val="00272DDE"/>
    <w:rsid w:val="00273012"/>
    <w:rsid w:val="0027316D"/>
    <w:rsid w:val="0027333B"/>
    <w:rsid w:val="0027400C"/>
    <w:rsid w:val="00274635"/>
    <w:rsid w:val="00274760"/>
    <w:rsid w:val="00274C90"/>
    <w:rsid w:val="00274CE0"/>
    <w:rsid w:val="00274F93"/>
    <w:rsid w:val="0027511B"/>
    <w:rsid w:val="002754F7"/>
    <w:rsid w:val="0027557A"/>
    <w:rsid w:val="002765BB"/>
    <w:rsid w:val="00276681"/>
    <w:rsid w:val="002766CF"/>
    <w:rsid w:val="002768DF"/>
    <w:rsid w:val="00276F2B"/>
    <w:rsid w:val="002770CD"/>
    <w:rsid w:val="00277B5E"/>
    <w:rsid w:val="00277BC8"/>
    <w:rsid w:val="00277E8F"/>
    <w:rsid w:val="0028018D"/>
    <w:rsid w:val="00280B90"/>
    <w:rsid w:val="0028112A"/>
    <w:rsid w:val="0028116B"/>
    <w:rsid w:val="0028175C"/>
    <w:rsid w:val="0028236F"/>
    <w:rsid w:val="00282376"/>
    <w:rsid w:val="00282A4D"/>
    <w:rsid w:val="00282BF3"/>
    <w:rsid w:val="00282F93"/>
    <w:rsid w:val="00283242"/>
    <w:rsid w:val="00283560"/>
    <w:rsid w:val="00283789"/>
    <w:rsid w:val="00283EAD"/>
    <w:rsid w:val="0028434C"/>
    <w:rsid w:val="00284574"/>
    <w:rsid w:val="00285450"/>
    <w:rsid w:val="0028629B"/>
    <w:rsid w:val="00287069"/>
    <w:rsid w:val="002876BD"/>
    <w:rsid w:val="00287FF6"/>
    <w:rsid w:val="002906DB"/>
    <w:rsid w:val="00290C40"/>
    <w:rsid w:val="0029107A"/>
    <w:rsid w:val="00291D5B"/>
    <w:rsid w:val="00292166"/>
    <w:rsid w:val="00292346"/>
    <w:rsid w:val="002929E8"/>
    <w:rsid w:val="00292F24"/>
    <w:rsid w:val="00293890"/>
    <w:rsid w:val="00293CC7"/>
    <w:rsid w:val="00293D2D"/>
    <w:rsid w:val="00294258"/>
    <w:rsid w:val="00294870"/>
    <w:rsid w:val="00295602"/>
    <w:rsid w:val="00295DEF"/>
    <w:rsid w:val="002963E9"/>
    <w:rsid w:val="00296886"/>
    <w:rsid w:val="0029704E"/>
    <w:rsid w:val="002A08C4"/>
    <w:rsid w:val="002A09D2"/>
    <w:rsid w:val="002A0CFA"/>
    <w:rsid w:val="002A1358"/>
    <w:rsid w:val="002A1457"/>
    <w:rsid w:val="002A14CA"/>
    <w:rsid w:val="002A1FBA"/>
    <w:rsid w:val="002A20E3"/>
    <w:rsid w:val="002A22E1"/>
    <w:rsid w:val="002A37DE"/>
    <w:rsid w:val="002A3E48"/>
    <w:rsid w:val="002A3EFD"/>
    <w:rsid w:val="002A4237"/>
    <w:rsid w:val="002A4BFC"/>
    <w:rsid w:val="002A5587"/>
    <w:rsid w:val="002A55D6"/>
    <w:rsid w:val="002A57B8"/>
    <w:rsid w:val="002A69DF"/>
    <w:rsid w:val="002A6A9D"/>
    <w:rsid w:val="002A6E4B"/>
    <w:rsid w:val="002A704E"/>
    <w:rsid w:val="002A71AF"/>
    <w:rsid w:val="002A741C"/>
    <w:rsid w:val="002A75B7"/>
    <w:rsid w:val="002A78C4"/>
    <w:rsid w:val="002A79AB"/>
    <w:rsid w:val="002B02FF"/>
    <w:rsid w:val="002B08A4"/>
    <w:rsid w:val="002B0A7C"/>
    <w:rsid w:val="002B0B82"/>
    <w:rsid w:val="002B0D16"/>
    <w:rsid w:val="002B101B"/>
    <w:rsid w:val="002B12DF"/>
    <w:rsid w:val="002B199F"/>
    <w:rsid w:val="002B1A29"/>
    <w:rsid w:val="002B22D0"/>
    <w:rsid w:val="002B2764"/>
    <w:rsid w:val="002B29F5"/>
    <w:rsid w:val="002B37FA"/>
    <w:rsid w:val="002B3D0B"/>
    <w:rsid w:val="002B41D3"/>
    <w:rsid w:val="002B4339"/>
    <w:rsid w:val="002B51EF"/>
    <w:rsid w:val="002B58B3"/>
    <w:rsid w:val="002B5A51"/>
    <w:rsid w:val="002B5BEC"/>
    <w:rsid w:val="002B5CAE"/>
    <w:rsid w:val="002B69EE"/>
    <w:rsid w:val="002B7058"/>
    <w:rsid w:val="002B7C08"/>
    <w:rsid w:val="002C083D"/>
    <w:rsid w:val="002C0AC9"/>
    <w:rsid w:val="002C0B77"/>
    <w:rsid w:val="002C0E82"/>
    <w:rsid w:val="002C1223"/>
    <w:rsid w:val="002C1B02"/>
    <w:rsid w:val="002C26A4"/>
    <w:rsid w:val="002C2790"/>
    <w:rsid w:val="002C2F92"/>
    <w:rsid w:val="002C3824"/>
    <w:rsid w:val="002C4875"/>
    <w:rsid w:val="002C5397"/>
    <w:rsid w:val="002C5504"/>
    <w:rsid w:val="002C5650"/>
    <w:rsid w:val="002C586E"/>
    <w:rsid w:val="002C5994"/>
    <w:rsid w:val="002C643C"/>
    <w:rsid w:val="002C6443"/>
    <w:rsid w:val="002C6C21"/>
    <w:rsid w:val="002C6D4D"/>
    <w:rsid w:val="002C78C7"/>
    <w:rsid w:val="002C79A3"/>
    <w:rsid w:val="002D0219"/>
    <w:rsid w:val="002D0632"/>
    <w:rsid w:val="002D067B"/>
    <w:rsid w:val="002D0A46"/>
    <w:rsid w:val="002D2860"/>
    <w:rsid w:val="002D2A4A"/>
    <w:rsid w:val="002D2EE2"/>
    <w:rsid w:val="002D2F16"/>
    <w:rsid w:val="002D33E6"/>
    <w:rsid w:val="002D3AC6"/>
    <w:rsid w:val="002D3DC4"/>
    <w:rsid w:val="002D4160"/>
    <w:rsid w:val="002D5075"/>
    <w:rsid w:val="002D554D"/>
    <w:rsid w:val="002D59D5"/>
    <w:rsid w:val="002D600F"/>
    <w:rsid w:val="002D6133"/>
    <w:rsid w:val="002D61E7"/>
    <w:rsid w:val="002D6C17"/>
    <w:rsid w:val="002D7A5C"/>
    <w:rsid w:val="002D7D5C"/>
    <w:rsid w:val="002E031D"/>
    <w:rsid w:val="002E06F2"/>
    <w:rsid w:val="002E0968"/>
    <w:rsid w:val="002E0A4F"/>
    <w:rsid w:val="002E0BF4"/>
    <w:rsid w:val="002E1515"/>
    <w:rsid w:val="002E1F8E"/>
    <w:rsid w:val="002E28E8"/>
    <w:rsid w:val="002E2B41"/>
    <w:rsid w:val="002E3434"/>
    <w:rsid w:val="002E346E"/>
    <w:rsid w:val="002E3A13"/>
    <w:rsid w:val="002E3A63"/>
    <w:rsid w:val="002E3C3C"/>
    <w:rsid w:val="002E3E7F"/>
    <w:rsid w:val="002E47EF"/>
    <w:rsid w:val="002E4ACC"/>
    <w:rsid w:val="002E4E1D"/>
    <w:rsid w:val="002E4E57"/>
    <w:rsid w:val="002E5698"/>
    <w:rsid w:val="002E5823"/>
    <w:rsid w:val="002E5C50"/>
    <w:rsid w:val="002E6147"/>
    <w:rsid w:val="002E65C4"/>
    <w:rsid w:val="002E6739"/>
    <w:rsid w:val="002E6B72"/>
    <w:rsid w:val="002E76D8"/>
    <w:rsid w:val="002E7BDB"/>
    <w:rsid w:val="002E7C82"/>
    <w:rsid w:val="002F0039"/>
    <w:rsid w:val="002F10D6"/>
    <w:rsid w:val="002F13A8"/>
    <w:rsid w:val="002F1B45"/>
    <w:rsid w:val="002F1E96"/>
    <w:rsid w:val="002F2344"/>
    <w:rsid w:val="002F2E65"/>
    <w:rsid w:val="002F3E6C"/>
    <w:rsid w:val="002F4BF5"/>
    <w:rsid w:val="002F4CCA"/>
    <w:rsid w:val="002F4E29"/>
    <w:rsid w:val="002F5126"/>
    <w:rsid w:val="002F5A54"/>
    <w:rsid w:val="002F5A61"/>
    <w:rsid w:val="002F5F7C"/>
    <w:rsid w:val="002F6537"/>
    <w:rsid w:val="002F6FB3"/>
    <w:rsid w:val="002F787B"/>
    <w:rsid w:val="002F7AC9"/>
    <w:rsid w:val="0030067F"/>
    <w:rsid w:val="003008C0"/>
    <w:rsid w:val="00301CE5"/>
    <w:rsid w:val="00301E56"/>
    <w:rsid w:val="00301FFE"/>
    <w:rsid w:val="0030249A"/>
    <w:rsid w:val="003024D4"/>
    <w:rsid w:val="003025A7"/>
    <w:rsid w:val="00303340"/>
    <w:rsid w:val="00303542"/>
    <w:rsid w:val="00303A65"/>
    <w:rsid w:val="00303CA8"/>
    <w:rsid w:val="00303CCD"/>
    <w:rsid w:val="0030488E"/>
    <w:rsid w:val="003051A8"/>
    <w:rsid w:val="0030526F"/>
    <w:rsid w:val="003053CD"/>
    <w:rsid w:val="003058F0"/>
    <w:rsid w:val="0030676B"/>
    <w:rsid w:val="00306FE0"/>
    <w:rsid w:val="00307580"/>
    <w:rsid w:val="00307856"/>
    <w:rsid w:val="00307E93"/>
    <w:rsid w:val="003106E5"/>
    <w:rsid w:val="0031072A"/>
    <w:rsid w:val="00310C85"/>
    <w:rsid w:val="00310C8F"/>
    <w:rsid w:val="00310E96"/>
    <w:rsid w:val="0031113F"/>
    <w:rsid w:val="0031213A"/>
    <w:rsid w:val="003122AC"/>
    <w:rsid w:val="00312702"/>
    <w:rsid w:val="0031279D"/>
    <w:rsid w:val="0031316B"/>
    <w:rsid w:val="00314422"/>
    <w:rsid w:val="00315254"/>
    <w:rsid w:val="003156B2"/>
    <w:rsid w:val="00315774"/>
    <w:rsid w:val="003157C5"/>
    <w:rsid w:val="00315CE1"/>
    <w:rsid w:val="0031643F"/>
    <w:rsid w:val="003164AF"/>
    <w:rsid w:val="00317024"/>
    <w:rsid w:val="00317C64"/>
    <w:rsid w:val="00317E15"/>
    <w:rsid w:val="00317F04"/>
    <w:rsid w:val="003208BB"/>
    <w:rsid w:val="003209DC"/>
    <w:rsid w:val="00320B3B"/>
    <w:rsid w:val="00321ED5"/>
    <w:rsid w:val="0032277A"/>
    <w:rsid w:val="00322986"/>
    <w:rsid w:val="00322C3E"/>
    <w:rsid w:val="00323064"/>
    <w:rsid w:val="00323128"/>
    <w:rsid w:val="0032366D"/>
    <w:rsid w:val="00323E77"/>
    <w:rsid w:val="0032402E"/>
    <w:rsid w:val="00324193"/>
    <w:rsid w:val="003252E1"/>
    <w:rsid w:val="0032539F"/>
    <w:rsid w:val="0032588F"/>
    <w:rsid w:val="00325AAF"/>
    <w:rsid w:val="00325E1C"/>
    <w:rsid w:val="00325EA0"/>
    <w:rsid w:val="00325FF4"/>
    <w:rsid w:val="0032636B"/>
    <w:rsid w:val="003264D7"/>
    <w:rsid w:val="0032680A"/>
    <w:rsid w:val="00327D05"/>
    <w:rsid w:val="00327ED3"/>
    <w:rsid w:val="003300CB"/>
    <w:rsid w:val="00330107"/>
    <w:rsid w:val="00330A5D"/>
    <w:rsid w:val="00331432"/>
    <w:rsid w:val="003316A4"/>
    <w:rsid w:val="003318CB"/>
    <w:rsid w:val="00331954"/>
    <w:rsid w:val="00331EDF"/>
    <w:rsid w:val="0033207A"/>
    <w:rsid w:val="003323DB"/>
    <w:rsid w:val="00332595"/>
    <w:rsid w:val="00332D9E"/>
    <w:rsid w:val="003333E3"/>
    <w:rsid w:val="0033371C"/>
    <w:rsid w:val="00333720"/>
    <w:rsid w:val="00333A9A"/>
    <w:rsid w:val="00333D92"/>
    <w:rsid w:val="003340D3"/>
    <w:rsid w:val="003344F8"/>
    <w:rsid w:val="003349B1"/>
    <w:rsid w:val="00334DF8"/>
    <w:rsid w:val="003352CE"/>
    <w:rsid w:val="00335343"/>
    <w:rsid w:val="00335689"/>
    <w:rsid w:val="003359DE"/>
    <w:rsid w:val="00336ABC"/>
    <w:rsid w:val="00336DAE"/>
    <w:rsid w:val="00337381"/>
    <w:rsid w:val="0033751C"/>
    <w:rsid w:val="00337C0D"/>
    <w:rsid w:val="00340BC3"/>
    <w:rsid w:val="00340DD6"/>
    <w:rsid w:val="0034186C"/>
    <w:rsid w:val="00341A4C"/>
    <w:rsid w:val="00341BA4"/>
    <w:rsid w:val="00341FC0"/>
    <w:rsid w:val="00342AD3"/>
    <w:rsid w:val="00342CD5"/>
    <w:rsid w:val="0034326B"/>
    <w:rsid w:val="00343A13"/>
    <w:rsid w:val="00344D99"/>
    <w:rsid w:val="00345344"/>
    <w:rsid w:val="0034541D"/>
    <w:rsid w:val="003459D6"/>
    <w:rsid w:val="00346560"/>
    <w:rsid w:val="00347412"/>
    <w:rsid w:val="00347645"/>
    <w:rsid w:val="00347A23"/>
    <w:rsid w:val="00347C58"/>
    <w:rsid w:val="00347C9A"/>
    <w:rsid w:val="00347CCC"/>
    <w:rsid w:val="0035016E"/>
    <w:rsid w:val="00350498"/>
    <w:rsid w:val="0035049C"/>
    <w:rsid w:val="00350908"/>
    <w:rsid w:val="00350912"/>
    <w:rsid w:val="00351421"/>
    <w:rsid w:val="003518C8"/>
    <w:rsid w:val="00352089"/>
    <w:rsid w:val="0035243D"/>
    <w:rsid w:val="00352926"/>
    <w:rsid w:val="00352C78"/>
    <w:rsid w:val="00352E13"/>
    <w:rsid w:val="0035354B"/>
    <w:rsid w:val="0035369F"/>
    <w:rsid w:val="00353732"/>
    <w:rsid w:val="00353766"/>
    <w:rsid w:val="00353BE8"/>
    <w:rsid w:val="00353E7C"/>
    <w:rsid w:val="0035429A"/>
    <w:rsid w:val="00354B95"/>
    <w:rsid w:val="00355244"/>
    <w:rsid w:val="003553D9"/>
    <w:rsid w:val="00355738"/>
    <w:rsid w:val="0035585D"/>
    <w:rsid w:val="00355A7A"/>
    <w:rsid w:val="00356565"/>
    <w:rsid w:val="00356911"/>
    <w:rsid w:val="00357135"/>
    <w:rsid w:val="00357521"/>
    <w:rsid w:val="00357530"/>
    <w:rsid w:val="003576E6"/>
    <w:rsid w:val="00357A04"/>
    <w:rsid w:val="00357A44"/>
    <w:rsid w:val="003605E9"/>
    <w:rsid w:val="00360614"/>
    <w:rsid w:val="00360907"/>
    <w:rsid w:val="00360BD6"/>
    <w:rsid w:val="00360F3D"/>
    <w:rsid w:val="003618EC"/>
    <w:rsid w:val="003619AF"/>
    <w:rsid w:val="00361AAC"/>
    <w:rsid w:val="00361F42"/>
    <w:rsid w:val="003621ED"/>
    <w:rsid w:val="003624B8"/>
    <w:rsid w:val="003625BE"/>
    <w:rsid w:val="00362A24"/>
    <w:rsid w:val="0036354F"/>
    <w:rsid w:val="00363820"/>
    <w:rsid w:val="00363C4D"/>
    <w:rsid w:val="0036436A"/>
    <w:rsid w:val="00364713"/>
    <w:rsid w:val="0036477B"/>
    <w:rsid w:val="00364B0E"/>
    <w:rsid w:val="0036567B"/>
    <w:rsid w:val="003658BC"/>
    <w:rsid w:val="00365916"/>
    <w:rsid w:val="00366195"/>
    <w:rsid w:val="0036646B"/>
    <w:rsid w:val="00367374"/>
    <w:rsid w:val="0036776F"/>
    <w:rsid w:val="00367A94"/>
    <w:rsid w:val="00370716"/>
    <w:rsid w:val="00370790"/>
    <w:rsid w:val="00370BF1"/>
    <w:rsid w:val="0037100C"/>
    <w:rsid w:val="003710BA"/>
    <w:rsid w:val="00371B87"/>
    <w:rsid w:val="003724F2"/>
    <w:rsid w:val="00372994"/>
    <w:rsid w:val="00372B53"/>
    <w:rsid w:val="00373506"/>
    <w:rsid w:val="00374A08"/>
    <w:rsid w:val="00374B8B"/>
    <w:rsid w:val="00374B8E"/>
    <w:rsid w:val="00375084"/>
    <w:rsid w:val="003758BA"/>
    <w:rsid w:val="00375AC6"/>
    <w:rsid w:val="00375CD3"/>
    <w:rsid w:val="00375CF3"/>
    <w:rsid w:val="00376213"/>
    <w:rsid w:val="00376D69"/>
    <w:rsid w:val="00376DBF"/>
    <w:rsid w:val="00377046"/>
    <w:rsid w:val="00377808"/>
    <w:rsid w:val="00377863"/>
    <w:rsid w:val="00380117"/>
    <w:rsid w:val="003801A9"/>
    <w:rsid w:val="00380BA3"/>
    <w:rsid w:val="00380FF0"/>
    <w:rsid w:val="0038103C"/>
    <w:rsid w:val="003810D9"/>
    <w:rsid w:val="003812A9"/>
    <w:rsid w:val="003817C7"/>
    <w:rsid w:val="00381A58"/>
    <w:rsid w:val="00382388"/>
    <w:rsid w:val="003825FF"/>
    <w:rsid w:val="003828D1"/>
    <w:rsid w:val="00382C3C"/>
    <w:rsid w:val="003836A0"/>
    <w:rsid w:val="003838B2"/>
    <w:rsid w:val="00383E78"/>
    <w:rsid w:val="00384444"/>
    <w:rsid w:val="00384A88"/>
    <w:rsid w:val="00384B7B"/>
    <w:rsid w:val="003850BC"/>
    <w:rsid w:val="00385D14"/>
    <w:rsid w:val="00386256"/>
    <w:rsid w:val="003869C3"/>
    <w:rsid w:val="00386C52"/>
    <w:rsid w:val="00387B43"/>
    <w:rsid w:val="003902BA"/>
    <w:rsid w:val="0039032C"/>
    <w:rsid w:val="00390737"/>
    <w:rsid w:val="003907CC"/>
    <w:rsid w:val="00390D32"/>
    <w:rsid w:val="00390EED"/>
    <w:rsid w:val="003910B0"/>
    <w:rsid w:val="00391CF8"/>
    <w:rsid w:val="00391E74"/>
    <w:rsid w:val="003926B4"/>
    <w:rsid w:val="00392A78"/>
    <w:rsid w:val="00392F2C"/>
    <w:rsid w:val="0039321F"/>
    <w:rsid w:val="00393435"/>
    <w:rsid w:val="00393766"/>
    <w:rsid w:val="00393DAA"/>
    <w:rsid w:val="0039432C"/>
    <w:rsid w:val="0039454E"/>
    <w:rsid w:val="0039493C"/>
    <w:rsid w:val="00394ACA"/>
    <w:rsid w:val="0039508E"/>
    <w:rsid w:val="00395548"/>
    <w:rsid w:val="00396060"/>
    <w:rsid w:val="00396436"/>
    <w:rsid w:val="003964F3"/>
    <w:rsid w:val="0039688F"/>
    <w:rsid w:val="003977EF"/>
    <w:rsid w:val="00397E86"/>
    <w:rsid w:val="003A00C2"/>
    <w:rsid w:val="003A0B6B"/>
    <w:rsid w:val="003A10B1"/>
    <w:rsid w:val="003A14FB"/>
    <w:rsid w:val="003A1587"/>
    <w:rsid w:val="003A1CDF"/>
    <w:rsid w:val="003A1DC7"/>
    <w:rsid w:val="003A1E24"/>
    <w:rsid w:val="003A1F99"/>
    <w:rsid w:val="003A2126"/>
    <w:rsid w:val="003A2256"/>
    <w:rsid w:val="003A285F"/>
    <w:rsid w:val="003A2C99"/>
    <w:rsid w:val="003A3483"/>
    <w:rsid w:val="003A37F4"/>
    <w:rsid w:val="003A39FE"/>
    <w:rsid w:val="003A3C5C"/>
    <w:rsid w:val="003A3E67"/>
    <w:rsid w:val="003A3EAE"/>
    <w:rsid w:val="003A4096"/>
    <w:rsid w:val="003A4446"/>
    <w:rsid w:val="003A46B2"/>
    <w:rsid w:val="003A4739"/>
    <w:rsid w:val="003A4E6C"/>
    <w:rsid w:val="003A5087"/>
    <w:rsid w:val="003A556C"/>
    <w:rsid w:val="003A6351"/>
    <w:rsid w:val="003A6CD5"/>
    <w:rsid w:val="003A6D04"/>
    <w:rsid w:val="003A6DA1"/>
    <w:rsid w:val="003A75E7"/>
    <w:rsid w:val="003A76F4"/>
    <w:rsid w:val="003A7B55"/>
    <w:rsid w:val="003A7D71"/>
    <w:rsid w:val="003B08CD"/>
    <w:rsid w:val="003B0D01"/>
    <w:rsid w:val="003B0F1D"/>
    <w:rsid w:val="003B118E"/>
    <w:rsid w:val="003B1673"/>
    <w:rsid w:val="003B220A"/>
    <w:rsid w:val="003B2601"/>
    <w:rsid w:val="003B2E87"/>
    <w:rsid w:val="003B2F9D"/>
    <w:rsid w:val="003B3175"/>
    <w:rsid w:val="003B3763"/>
    <w:rsid w:val="003B38F1"/>
    <w:rsid w:val="003B3C91"/>
    <w:rsid w:val="003B3D9E"/>
    <w:rsid w:val="003B3FCD"/>
    <w:rsid w:val="003B43B8"/>
    <w:rsid w:val="003B48AD"/>
    <w:rsid w:val="003B4C24"/>
    <w:rsid w:val="003B4D12"/>
    <w:rsid w:val="003B54E3"/>
    <w:rsid w:val="003B56AC"/>
    <w:rsid w:val="003B56DD"/>
    <w:rsid w:val="003B587A"/>
    <w:rsid w:val="003B5B3D"/>
    <w:rsid w:val="003B5F03"/>
    <w:rsid w:val="003B6145"/>
    <w:rsid w:val="003B6459"/>
    <w:rsid w:val="003B6AE7"/>
    <w:rsid w:val="003B76AD"/>
    <w:rsid w:val="003B7793"/>
    <w:rsid w:val="003B78D5"/>
    <w:rsid w:val="003C0A79"/>
    <w:rsid w:val="003C0ED6"/>
    <w:rsid w:val="003C0F98"/>
    <w:rsid w:val="003C1210"/>
    <w:rsid w:val="003C14F0"/>
    <w:rsid w:val="003C19F8"/>
    <w:rsid w:val="003C1CDF"/>
    <w:rsid w:val="003C1D47"/>
    <w:rsid w:val="003C226F"/>
    <w:rsid w:val="003C23E8"/>
    <w:rsid w:val="003C2C92"/>
    <w:rsid w:val="003C331D"/>
    <w:rsid w:val="003C3673"/>
    <w:rsid w:val="003C3A72"/>
    <w:rsid w:val="003C416A"/>
    <w:rsid w:val="003C4218"/>
    <w:rsid w:val="003C4B12"/>
    <w:rsid w:val="003C512B"/>
    <w:rsid w:val="003C51DF"/>
    <w:rsid w:val="003C54A2"/>
    <w:rsid w:val="003C55AC"/>
    <w:rsid w:val="003C5817"/>
    <w:rsid w:val="003C59B4"/>
    <w:rsid w:val="003C7357"/>
    <w:rsid w:val="003C7964"/>
    <w:rsid w:val="003D0658"/>
    <w:rsid w:val="003D0729"/>
    <w:rsid w:val="003D0942"/>
    <w:rsid w:val="003D11E2"/>
    <w:rsid w:val="003D1216"/>
    <w:rsid w:val="003D17C8"/>
    <w:rsid w:val="003D1F37"/>
    <w:rsid w:val="003D277A"/>
    <w:rsid w:val="003D2CD5"/>
    <w:rsid w:val="003D2ED3"/>
    <w:rsid w:val="003D38AC"/>
    <w:rsid w:val="003D39E3"/>
    <w:rsid w:val="003D45BD"/>
    <w:rsid w:val="003D474B"/>
    <w:rsid w:val="003D4C18"/>
    <w:rsid w:val="003D4E99"/>
    <w:rsid w:val="003D50A0"/>
    <w:rsid w:val="003D59E9"/>
    <w:rsid w:val="003D5E39"/>
    <w:rsid w:val="003D646D"/>
    <w:rsid w:val="003D76BF"/>
    <w:rsid w:val="003D7804"/>
    <w:rsid w:val="003E012D"/>
    <w:rsid w:val="003E02E2"/>
    <w:rsid w:val="003E0ACF"/>
    <w:rsid w:val="003E0DCF"/>
    <w:rsid w:val="003E15F9"/>
    <w:rsid w:val="003E1B8F"/>
    <w:rsid w:val="003E4E9B"/>
    <w:rsid w:val="003E4F93"/>
    <w:rsid w:val="003E50DE"/>
    <w:rsid w:val="003E5239"/>
    <w:rsid w:val="003E529A"/>
    <w:rsid w:val="003E5487"/>
    <w:rsid w:val="003E59EA"/>
    <w:rsid w:val="003E5E47"/>
    <w:rsid w:val="003E631C"/>
    <w:rsid w:val="003E6757"/>
    <w:rsid w:val="003E72D3"/>
    <w:rsid w:val="003F0634"/>
    <w:rsid w:val="003F0C3B"/>
    <w:rsid w:val="003F1D82"/>
    <w:rsid w:val="003F2855"/>
    <w:rsid w:val="003F2C91"/>
    <w:rsid w:val="003F2E30"/>
    <w:rsid w:val="003F3DAE"/>
    <w:rsid w:val="003F50FD"/>
    <w:rsid w:val="003F562D"/>
    <w:rsid w:val="003F5E1F"/>
    <w:rsid w:val="003F6122"/>
    <w:rsid w:val="003F7005"/>
    <w:rsid w:val="003F7472"/>
    <w:rsid w:val="003F7618"/>
    <w:rsid w:val="003F765D"/>
    <w:rsid w:val="003F782B"/>
    <w:rsid w:val="00400087"/>
    <w:rsid w:val="004008CE"/>
    <w:rsid w:val="00400D52"/>
    <w:rsid w:val="0040102E"/>
    <w:rsid w:val="004014FC"/>
    <w:rsid w:val="00401998"/>
    <w:rsid w:val="00401AAE"/>
    <w:rsid w:val="00401B7D"/>
    <w:rsid w:val="00401E62"/>
    <w:rsid w:val="004026C1"/>
    <w:rsid w:val="004026C3"/>
    <w:rsid w:val="00402F92"/>
    <w:rsid w:val="00402FA1"/>
    <w:rsid w:val="00403B02"/>
    <w:rsid w:val="00403E39"/>
    <w:rsid w:val="00404090"/>
    <w:rsid w:val="0040458B"/>
    <w:rsid w:val="00404867"/>
    <w:rsid w:val="004048B3"/>
    <w:rsid w:val="00404B3C"/>
    <w:rsid w:val="00405346"/>
    <w:rsid w:val="0040536B"/>
    <w:rsid w:val="0040568B"/>
    <w:rsid w:val="004057DD"/>
    <w:rsid w:val="004058B4"/>
    <w:rsid w:val="00405A35"/>
    <w:rsid w:val="00405E7A"/>
    <w:rsid w:val="00406A91"/>
    <w:rsid w:val="0040721D"/>
    <w:rsid w:val="00407376"/>
    <w:rsid w:val="00407B15"/>
    <w:rsid w:val="00407B22"/>
    <w:rsid w:val="00407BD2"/>
    <w:rsid w:val="0041089D"/>
    <w:rsid w:val="0041090D"/>
    <w:rsid w:val="00410B87"/>
    <w:rsid w:val="00411D83"/>
    <w:rsid w:val="00412116"/>
    <w:rsid w:val="00412D63"/>
    <w:rsid w:val="00412ECE"/>
    <w:rsid w:val="00413172"/>
    <w:rsid w:val="00413798"/>
    <w:rsid w:val="0041383A"/>
    <w:rsid w:val="004144D8"/>
    <w:rsid w:val="0041452C"/>
    <w:rsid w:val="0041458A"/>
    <w:rsid w:val="0041512E"/>
    <w:rsid w:val="00415629"/>
    <w:rsid w:val="0041573D"/>
    <w:rsid w:val="004162A6"/>
    <w:rsid w:val="004163B7"/>
    <w:rsid w:val="00416708"/>
    <w:rsid w:val="00417800"/>
    <w:rsid w:val="00417D84"/>
    <w:rsid w:val="004203D7"/>
    <w:rsid w:val="00420586"/>
    <w:rsid w:val="00420D70"/>
    <w:rsid w:val="00420D8E"/>
    <w:rsid w:val="00420F03"/>
    <w:rsid w:val="00420FE9"/>
    <w:rsid w:val="004210A9"/>
    <w:rsid w:val="004210F0"/>
    <w:rsid w:val="00421813"/>
    <w:rsid w:val="0042186C"/>
    <w:rsid w:val="00421E57"/>
    <w:rsid w:val="00421EE2"/>
    <w:rsid w:val="00421F51"/>
    <w:rsid w:val="00422705"/>
    <w:rsid w:val="0042292B"/>
    <w:rsid w:val="00422AB1"/>
    <w:rsid w:val="004231B1"/>
    <w:rsid w:val="0042377D"/>
    <w:rsid w:val="0042399B"/>
    <w:rsid w:val="004239FB"/>
    <w:rsid w:val="00423C33"/>
    <w:rsid w:val="00424007"/>
    <w:rsid w:val="0042472E"/>
    <w:rsid w:val="00424AB7"/>
    <w:rsid w:val="0042582B"/>
    <w:rsid w:val="00425E65"/>
    <w:rsid w:val="00425F7A"/>
    <w:rsid w:val="0042622C"/>
    <w:rsid w:val="0042630A"/>
    <w:rsid w:val="00426D50"/>
    <w:rsid w:val="00426EA5"/>
    <w:rsid w:val="00426F84"/>
    <w:rsid w:val="00427792"/>
    <w:rsid w:val="0042786C"/>
    <w:rsid w:val="00427AD4"/>
    <w:rsid w:val="004301B3"/>
    <w:rsid w:val="00430239"/>
    <w:rsid w:val="00431897"/>
    <w:rsid w:val="00431C8A"/>
    <w:rsid w:val="00431FCB"/>
    <w:rsid w:val="00432361"/>
    <w:rsid w:val="00432B6E"/>
    <w:rsid w:val="00432BAF"/>
    <w:rsid w:val="00432CA6"/>
    <w:rsid w:val="00433084"/>
    <w:rsid w:val="0043362A"/>
    <w:rsid w:val="00433988"/>
    <w:rsid w:val="00433B24"/>
    <w:rsid w:val="00434055"/>
    <w:rsid w:val="0043417C"/>
    <w:rsid w:val="0043418B"/>
    <w:rsid w:val="004343D9"/>
    <w:rsid w:val="004346AC"/>
    <w:rsid w:val="00434843"/>
    <w:rsid w:val="00435087"/>
    <w:rsid w:val="00435E53"/>
    <w:rsid w:val="00436152"/>
    <w:rsid w:val="0043625C"/>
    <w:rsid w:val="004364FB"/>
    <w:rsid w:val="00437094"/>
    <w:rsid w:val="00437107"/>
    <w:rsid w:val="004374CA"/>
    <w:rsid w:val="00437718"/>
    <w:rsid w:val="004377FF"/>
    <w:rsid w:val="00440774"/>
    <w:rsid w:val="00440BDD"/>
    <w:rsid w:val="004412EC"/>
    <w:rsid w:val="00441A76"/>
    <w:rsid w:val="00441B47"/>
    <w:rsid w:val="00441CB7"/>
    <w:rsid w:val="00441E0B"/>
    <w:rsid w:val="0044225D"/>
    <w:rsid w:val="004424E6"/>
    <w:rsid w:val="00442542"/>
    <w:rsid w:val="00442901"/>
    <w:rsid w:val="00442D96"/>
    <w:rsid w:val="00442EAB"/>
    <w:rsid w:val="00443309"/>
    <w:rsid w:val="00443572"/>
    <w:rsid w:val="00443BD6"/>
    <w:rsid w:val="00443C09"/>
    <w:rsid w:val="00443FD4"/>
    <w:rsid w:val="004452A4"/>
    <w:rsid w:val="00445837"/>
    <w:rsid w:val="00445C13"/>
    <w:rsid w:val="004461B4"/>
    <w:rsid w:val="0044638D"/>
    <w:rsid w:val="00447A39"/>
    <w:rsid w:val="00447C26"/>
    <w:rsid w:val="00447E21"/>
    <w:rsid w:val="0045040D"/>
    <w:rsid w:val="00450CC5"/>
    <w:rsid w:val="00451149"/>
    <w:rsid w:val="004511E9"/>
    <w:rsid w:val="004520D5"/>
    <w:rsid w:val="0045241C"/>
    <w:rsid w:val="00452AB8"/>
    <w:rsid w:val="00452AD8"/>
    <w:rsid w:val="00452BD0"/>
    <w:rsid w:val="00452D4B"/>
    <w:rsid w:val="004541C1"/>
    <w:rsid w:val="00455694"/>
    <w:rsid w:val="00455906"/>
    <w:rsid w:val="00455BEF"/>
    <w:rsid w:val="0045689E"/>
    <w:rsid w:val="004568C9"/>
    <w:rsid w:val="00456D36"/>
    <w:rsid w:val="00456EA1"/>
    <w:rsid w:val="00457267"/>
    <w:rsid w:val="004576E1"/>
    <w:rsid w:val="004600BD"/>
    <w:rsid w:val="00460301"/>
    <w:rsid w:val="00460480"/>
    <w:rsid w:val="00460BD4"/>
    <w:rsid w:val="00460C6E"/>
    <w:rsid w:val="00461611"/>
    <w:rsid w:val="004616D8"/>
    <w:rsid w:val="00461719"/>
    <w:rsid w:val="00461A46"/>
    <w:rsid w:val="004622D8"/>
    <w:rsid w:val="00463872"/>
    <w:rsid w:val="00463954"/>
    <w:rsid w:val="00463E0C"/>
    <w:rsid w:val="00463FDB"/>
    <w:rsid w:val="0046445D"/>
    <w:rsid w:val="00464B32"/>
    <w:rsid w:val="0046512B"/>
    <w:rsid w:val="00465265"/>
    <w:rsid w:val="00465449"/>
    <w:rsid w:val="0046572A"/>
    <w:rsid w:val="00465B22"/>
    <w:rsid w:val="004662C2"/>
    <w:rsid w:val="0046637D"/>
    <w:rsid w:val="00466E96"/>
    <w:rsid w:val="00466EC2"/>
    <w:rsid w:val="00467009"/>
    <w:rsid w:val="004674D8"/>
    <w:rsid w:val="00467D0E"/>
    <w:rsid w:val="00470FF2"/>
    <w:rsid w:val="00471126"/>
    <w:rsid w:val="00471E26"/>
    <w:rsid w:val="00471F37"/>
    <w:rsid w:val="004720A3"/>
    <w:rsid w:val="004725DE"/>
    <w:rsid w:val="00472B53"/>
    <w:rsid w:val="00472C3F"/>
    <w:rsid w:val="00473020"/>
    <w:rsid w:val="0047335D"/>
    <w:rsid w:val="00473545"/>
    <w:rsid w:val="004735C0"/>
    <w:rsid w:val="00473719"/>
    <w:rsid w:val="00473ADF"/>
    <w:rsid w:val="00473E64"/>
    <w:rsid w:val="004740AB"/>
    <w:rsid w:val="004742B3"/>
    <w:rsid w:val="00474A7F"/>
    <w:rsid w:val="00474AA1"/>
    <w:rsid w:val="00474AD7"/>
    <w:rsid w:val="00474BF1"/>
    <w:rsid w:val="00474F15"/>
    <w:rsid w:val="00475121"/>
    <w:rsid w:val="00475351"/>
    <w:rsid w:val="00476381"/>
    <w:rsid w:val="004772B3"/>
    <w:rsid w:val="004772F7"/>
    <w:rsid w:val="0047733D"/>
    <w:rsid w:val="00477453"/>
    <w:rsid w:val="004776E9"/>
    <w:rsid w:val="00480240"/>
    <w:rsid w:val="00480460"/>
    <w:rsid w:val="004807D2"/>
    <w:rsid w:val="00480CEB"/>
    <w:rsid w:val="00481694"/>
    <w:rsid w:val="00481D02"/>
    <w:rsid w:val="00481D38"/>
    <w:rsid w:val="004834C3"/>
    <w:rsid w:val="004834C4"/>
    <w:rsid w:val="00483744"/>
    <w:rsid w:val="00483B85"/>
    <w:rsid w:val="004840D7"/>
    <w:rsid w:val="004841F2"/>
    <w:rsid w:val="00484540"/>
    <w:rsid w:val="004853AF"/>
    <w:rsid w:val="0048595F"/>
    <w:rsid w:val="00485D60"/>
    <w:rsid w:val="0048600A"/>
    <w:rsid w:val="00486198"/>
    <w:rsid w:val="004862FC"/>
    <w:rsid w:val="004901F6"/>
    <w:rsid w:val="00490532"/>
    <w:rsid w:val="00490637"/>
    <w:rsid w:val="00490AC5"/>
    <w:rsid w:val="00491E6B"/>
    <w:rsid w:val="00491F1F"/>
    <w:rsid w:val="00491FA2"/>
    <w:rsid w:val="00491FFE"/>
    <w:rsid w:val="004923CA"/>
    <w:rsid w:val="00492596"/>
    <w:rsid w:val="00492AF9"/>
    <w:rsid w:val="00492CAC"/>
    <w:rsid w:val="00492D16"/>
    <w:rsid w:val="00493E84"/>
    <w:rsid w:val="00494114"/>
    <w:rsid w:val="004942C0"/>
    <w:rsid w:val="00494686"/>
    <w:rsid w:val="00494B3B"/>
    <w:rsid w:val="004951E5"/>
    <w:rsid w:val="0049552F"/>
    <w:rsid w:val="00495661"/>
    <w:rsid w:val="004956B2"/>
    <w:rsid w:val="00496F92"/>
    <w:rsid w:val="004A015D"/>
    <w:rsid w:val="004A1969"/>
    <w:rsid w:val="004A25FB"/>
    <w:rsid w:val="004A26C8"/>
    <w:rsid w:val="004A2744"/>
    <w:rsid w:val="004A282E"/>
    <w:rsid w:val="004A3819"/>
    <w:rsid w:val="004A396B"/>
    <w:rsid w:val="004A3CD7"/>
    <w:rsid w:val="004A3FE8"/>
    <w:rsid w:val="004A40A8"/>
    <w:rsid w:val="004A4378"/>
    <w:rsid w:val="004A495C"/>
    <w:rsid w:val="004A4A76"/>
    <w:rsid w:val="004A4B06"/>
    <w:rsid w:val="004A4B2E"/>
    <w:rsid w:val="004A5727"/>
    <w:rsid w:val="004A5AE9"/>
    <w:rsid w:val="004A688F"/>
    <w:rsid w:val="004A6F9F"/>
    <w:rsid w:val="004A721E"/>
    <w:rsid w:val="004A7D98"/>
    <w:rsid w:val="004A7EB9"/>
    <w:rsid w:val="004B1676"/>
    <w:rsid w:val="004B16F8"/>
    <w:rsid w:val="004B1700"/>
    <w:rsid w:val="004B2050"/>
    <w:rsid w:val="004B20E0"/>
    <w:rsid w:val="004B257D"/>
    <w:rsid w:val="004B28A9"/>
    <w:rsid w:val="004B301F"/>
    <w:rsid w:val="004B32F1"/>
    <w:rsid w:val="004B3DED"/>
    <w:rsid w:val="004B3E1E"/>
    <w:rsid w:val="004B45D4"/>
    <w:rsid w:val="004B47A6"/>
    <w:rsid w:val="004B47C8"/>
    <w:rsid w:val="004B47E9"/>
    <w:rsid w:val="004B5425"/>
    <w:rsid w:val="004B6119"/>
    <w:rsid w:val="004B65AE"/>
    <w:rsid w:val="004B6894"/>
    <w:rsid w:val="004B6DBD"/>
    <w:rsid w:val="004B7C43"/>
    <w:rsid w:val="004B7F0A"/>
    <w:rsid w:val="004C0604"/>
    <w:rsid w:val="004C0B71"/>
    <w:rsid w:val="004C16A4"/>
    <w:rsid w:val="004C18A0"/>
    <w:rsid w:val="004C2BD6"/>
    <w:rsid w:val="004C2BEC"/>
    <w:rsid w:val="004C2EC4"/>
    <w:rsid w:val="004C30A1"/>
    <w:rsid w:val="004C34D7"/>
    <w:rsid w:val="004C4149"/>
    <w:rsid w:val="004C5019"/>
    <w:rsid w:val="004C50F6"/>
    <w:rsid w:val="004C5229"/>
    <w:rsid w:val="004C5E30"/>
    <w:rsid w:val="004C5E32"/>
    <w:rsid w:val="004C6246"/>
    <w:rsid w:val="004C66A4"/>
    <w:rsid w:val="004C6F92"/>
    <w:rsid w:val="004C72FA"/>
    <w:rsid w:val="004C7539"/>
    <w:rsid w:val="004C77D7"/>
    <w:rsid w:val="004C7C97"/>
    <w:rsid w:val="004D0066"/>
    <w:rsid w:val="004D025F"/>
    <w:rsid w:val="004D02A4"/>
    <w:rsid w:val="004D02A5"/>
    <w:rsid w:val="004D0A64"/>
    <w:rsid w:val="004D1387"/>
    <w:rsid w:val="004D180B"/>
    <w:rsid w:val="004D1897"/>
    <w:rsid w:val="004D1C48"/>
    <w:rsid w:val="004D2007"/>
    <w:rsid w:val="004D22C8"/>
    <w:rsid w:val="004D29FC"/>
    <w:rsid w:val="004D3AD1"/>
    <w:rsid w:val="004D417E"/>
    <w:rsid w:val="004D4578"/>
    <w:rsid w:val="004D4657"/>
    <w:rsid w:val="004D48CC"/>
    <w:rsid w:val="004D4CAB"/>
    <w:rsid w:val="004D4ECC"/>
    <w:rsid w:val="004D5A14"/>
    <w:rsid w:val="004D611D"/>
    <w:rsid w:val="004D672C"/>
    <w:rsid w:val="004D6A62"/>
    <w:rsid w:val="004D6D12"/>
    <w:rsid w:val="004D6DB4"/>
    <w:rsid w:val="004D77F6"/>
    <w:rsid w:val="004D78ED"/>
    <w:rsid w:val="004D7EF1"/>
    <w:rsid w:val="004E044B"/>
    <w:rsid w:val="004E048F"/>
    <w:rsid w:val="004E0AE3"/>
    <w:rsid w:val="004E0C26"/>
    <w:rsid w:val="004E12BA"/>
    <w:rsid w:val="004E18A3"/>
    <w:rsid w:val="004E190C"/>
    <w:rsid w:val="004E20E3"/>
    <w:rsid w:val="004E3507"/>
    <w:rsid w:val="004E35B9"/>
    <w:rsid w:val="004E388E"/>
    <w:rsid w:val="004E4144"/>
    <w:rsid w:val="004E41C1"/>
    <w:rsid w:val="004E4770"/>
    <w:rsid w:val="004E4907"/>
    <w:rsid w:val="004E56F1"/>
    <w:rsid w:val="004E585E"/>
    <w:rsid w:val="004E58E3"/>
    <w:rsid w:val="004E59AC"/>
    <w:rsid w:val="004E5AE5"/>
    <w:rsid w:val="004E5DF5"/>
    <w:rsid w:val="004E5E31"/>
    <w:rsid w:val="004E60AC"/>
    <w:rsid w:val="004E66C4"/>
    <w:rsid w:val="004E6C7E"/>
    <w:rsid w:val="004E705B"/>
    <w:rsid w:val="004E742E"/>
    <w:rsid w:val="004E7587"/>
    <w:rsid w:val="004E7C1F"/>
    <w:rsid w:val="004E7E82"/>
    <w:rsid w:val="004F0DD8"/>
    <w:rsid w:val="004F0E2D"/>
    <w:rsid w:val="004F15D9"/>
    <w:rsid w:val="004F16F2"/>
    <w:rsid w:val="004F1F39"/>
    <w:rsid w:val="004F1FA3"/>
    <w:rsid w:val="004F2185"/>
    <w:rsid w:val="004F24FE"/>
    <w:rsid w:val="004F2520"/>
    <w:rsid w:val="004F2A8C"/>
    <w:rsid w:val="004F2C97"/>
    <w:rsid w:val="004F32D3"/>
    <w:rsid w:val="004F3949"/>
    <w:rsid w:val="004F4227"/>
    <w:rsid w:val="004F4309"/>
    <w:rsid w:val="004F43DC"/>
    <w:rsid w:val="004F5A7C"/>
    <w:rsid w:val="004F68AB"/>
    <w:rsid w:val="004F6A0D"/>
    <w:rsid w:val="004F7B1A"/>
    <w:rsid w:val="00500068"/>
    <w:rsid w:val="0050017E"/>
    <w:rsid w:val="00500329"/>
    <w:rsid w:val="00500F95"/>
    <w:rsid w:val="00501456"/>
    <w:rsid w:val="00501988"/>
    <w:rsid w:val="0050198C"/>
    <w:rsid w:val="00501A28"/>
    <w:rsid w:val="00501B9E"/>
    <w:rsid w:val="0050202E"/>
    <w:rsid w:val="0050221D"/>
    <w:rsid w:val="00502372"/>
    <w:rsid w:val="00502D03"/>
    <w:rsid w:val="005037A9"/>
    <w:rsid w:val="00503FD3"/>
    <w:rsid w:val="0050418B"/>
    <w:rsid w:val="00504664"/>
    <w:rsid w:val="00504B08"/>
    <w:rsid w:val="00504DDA"/>
    <w:rsid w:val="00505426"/>
    <w:rsid w:val="00505727"/>
    <w:rsid w:val="00505A36"/>
    <w:rsid w:val="00505BAA"/>
    <w:rsid w:val="00505BE2"/>
    <w:rsid w:val="00505C21"/>
    <w:rsid w:val="00505F2E"/>
    <w:rsid w:val="0050663D"/>
    <w:rsid w:val="005073BF"/>
    <w:rsid w:val="005076C5"/>
    <w:rsid w:val="005077C8"/>
    <w:rsid w:val="0051037E"/>
    <w:rsid w:val="005109CD"/>
    <w:rsid w:val="00510D2B"/>
    <w:rsid w:val="00511A2B"/>
    <w:rsid w:val="00511AED"/>
    <w:rsid w:val="00511E4E"/>
    <w:rsid w:val="00512147"/>
    <w:rsid w:val="005121B8"/>
    <w:rsid w:val="0051252C"/>
    <w:rsid w:val="00512946"/>
    <w:rsid w:val="00512C99"/>
    <w:rsid w:val="0051313F"/>
    <w:rsid w:val="00513600"/>
    <w:rsid w:val="0051367E"/>
    <w:rsid w:val="005138D6"/>
    <w:rsid w:val="005144D3"/>
    <w:rsid w:val="00514EB1"/>
    <w:rsid w:val="00515576"/>
    <w:rsid w:val="00515ED3"/>
    <w:rsid w:val="005161C1"/>
    <w:rsid w:val="00516B06"/>
    <w:rsid w:val="00517E46"/>
    <w:rsid w:val="00520489"/>
    <w:rsid w:val="00520700"/>
    <w:rsid w:val="00520871"/>
    <w:rsid w:val="005209F1"/>
    <w:rsid w:val="00520FD8"/>
    <w:rsid w:val="00521256"/>
    <w:rsid w:val="00521B37"/>
    <w:rsid w:val="00521B8D"/>
    <w:rsid w:val="00523353"/>
    <w:rsid w:val="00523461"/>
    <w:rsid w:val="00523469"/>
    <w:rsid w:val="0052364B"/>
    <w:rsid w:val="00523979"/>
    <w:rsid w:val="005240CF"/>
    <w:rsid w:val="00524270"/>
    <w:rsid w:val="00525288"/>
    <w:rsid w:val="005253C1"/>
    <w:rsid w:val="005256D7"/>
    <w:rsid w:val="00525870"/>
    <w:rsid w:val="005258AC"/>
    <w:rsid w:val="00526159"/>
    <w:rsid w:val="0052618F"/>
    <w:rsid w:val="00526592"/>
    <w:rsid w:val="005265BE"/>
    <w:rsid w:val="0052713B"/>
    <w:rsid w:val="005273E3"/>
    <w:rsid w:val="005278CF"/>
    <w:rsid w:val="00527AA0"/>
    <w:rsid w:val="00530735"/>
    <w:rsid w:val="00530906"/>
    <w:rsid w:val="00530B0C"/>
    <w:rsid w:val="005317B9"/>
    <w:rsid w:val="00531807"/>
    <w:rsid w:val="00531896"/>
    <w:rsid w:val="00531D2B"/>
    <w:rsid w:val="00532D7C"/>
    <w:rsid w:val="00532F6F"/>
    <w:rsid w:val="005332AB"/>
    <w:rsid w:val="00533481"/>
    <w:rsid w:val="005337C2"/>
    <w:rsid w:val="00533F59"/>
    <w:rsid w:val="005348C2"/>
    <w:rsid w:val="00534EB1"/>
    <w:rsid w:val="00534F17"/>
    <w:rsid w:val="00535413"/>
    <w:rsid w:val="0053574A"/>
    <w:rsid w:val="005359B1"/>
    <w:rsid w:val="005359F7"/>
    <w:rsid w:val="00536850"/>
    <w:rsid w:val="00536B6E"/>
    <w:rsid w:val="0053795A"/>
    <w:rsid w:val="00537BB6"/>
    <w:rsid w:val="00537E29"/>
    <w:rsid w:val="0054058A"/>
    <w:rsid w:val="00540941"/>
    <w:rsid w:val="00541534"/>
    <w:rsid w:val="00541813"/>
    <w:rsid w:val="00541A20"/>
    <w:rsid w:val="00542AEC"/>
    <w:rsid w:val="005432C6"/>
    <w:rsid w:val="00543374"/>
    <w:rsid w:val="005440CE"/>
    <w:rsid w:val="00544575"/>
    <w:rsid w:val="00544587"/>
    <w:rsid w:val="005446A5"/>
    <w:rsid w:val="00544A6E"/>
    <w:rsid w:val="00544AFD"/>
    <w:rsid w:val="0054522A"/>
    <w:rsid w:val="005452E8"/>
    <w:rsid w:val="005454A8"/>
    <w:rsid w:val="00545775"/>
    <w:rsid w:val="00545832"/>
    <w:rsid w:val="00545B91"/>
    <w:rsid w:val="00545D09"/>
    <w:rsid w:val="00546CE3"/>
    <w:rsid w:val="00547EC1"/>
    <w:rsid w:val="00547ED7"/>
    <w:rsid w:val="00547FA2"/>
    <w:rsid w:val="0055016C"/>
    <w:rsid w:val="0055050F"/>
    <w:rsid w:val="00550855"/>
    <w:rsid w:val="00550C77"/>
    <w:rsid w:val="00550E59"/>
    <w:rsid w:val="0055148D"/>
    <w:rsid w:val="0055155B"/>
    <w:rsid w:val="0055193D"/>
    <w:rsid w:val="00551952"/>
    <w:rsid w:val="00551E39"/>
    <w:rsid w:val="0055220B"/>
    <w:rsid w:val="0055226D"/>
    <w:rsid w:val="005530E9"/>
    <w:rsid w:val="0055344D"/>
    <w:rsid w:val="00553585"/>
    <w:rsid w:val="005536D7"/>
    <w:rsid w:val="005538BE"/>
    <w:rsid w:val="00554442"/>
    <w:rsid w:val="005549E3"/>
    <w:rsid w:val="00554AA7"/>
    <w:rsid w:val="005551A4"/>
    <w:rsid w:val="005555A1"/>
    <w:rsid w:val="00555B2A"/>
    <w:rsid w:val="005560CC"/>
    <w:rsid w:val="005560F8"/>
    <w:rsid w:val="005561D0"/>
    <w:rsid w:val="00556700"/>
    <w:rsid w:val="0055670F"/>
    <w:rsid w:val="00557116"/>
    <w:rsid w:val="0055712B"/>
    <w:rsid w:val="005571E8"/>
    <w:rsid w:val="00560458"/>
    <w:rsid w:val="0056047F"/>
    <w:rsid w:val="00560C51"/>
    <w:rsid w:val="00561042"/>
    <w:rsid w:val="00561E26"/>
    <w:rsid w:val="00562371"/>
    <w:rsid w:val="00562791"/>
    <w:rsid w:val="005628E4"/>
    <w:rsid w:val="00562A05"/>
    <w:rsid w:val="00563161"/>
    <w:rsid w:val="005631C0"/>
    <w:rsid w:val="005639E8"/>
    <w:rsid w:val="00563C1E"/>
    <w:rsid w:val="00563E14"/>
    <w:rsid w:val="00564E35"/>
    <w:rsid w:val="00566061"/>
    <w:rsid w:val="005668F3"/>
    <w:rsid w:val="00566CCB"/>
    <w:rsid w:val="00566F7E"/>
    <w:rsid w:val="00566FFB"/>
    <w:rsid w:val="005670C7"/>
    <w:rsid w:val="0056721D"/>
    <w:rsid w:val="005674A7"/>
    <w:rsid w:val="00567B46"/>
    <w:rsid w:val="00567D06"/>
    <w:rsid w:val="00570020"/>
    <w:rsid w:val="0057060E"/>
    <w:rsid w:val="00570C70"/>
    <w:rsid w:val="00570F0D"/>
    <w:rsid w:val="00571EE2"/>
    <w:rsid w:val="00572665"/>
    <w:rsid w:val="005739E7"/>
    <w:rsid w:val="00575AA5"/>
    <w:rsid w:val="00575ABA"/>
    <w:rsid w:val="00576662"/>
    <w:rsid w:val="0057670C"/>
    <w:rsid w:val="0057677A"/>
    <w:rsid w:val="00576998"/>
    <w:rsid w:val="00577185"/>
    <w:rsid w:val="005771DE"/>
    <w:rsid w:val="00577322"/>
    <w:rsid w:val="00577387"/>
    <w:rsid w:val="005775D7"/>
    <w:rsid w:val="00577B88"/>
    <w:rsid w:val="00577E5A"/>
    <w:rsid w:val="00580972"/>
    <w:rsid w:val="00580A3C"/>
    <w:rsid w:val="00581CD9"/>
    <w:rsid w:val="0058274F"/>
    <w:rsid w:val="00582E52"/>
    <w:rsid w:val="0058379D"/>
    <w:rsid w:val="005838A4"/>
    <w:rsid w:val="00583BAF"/>
    <w:rsid w:val="00583F32"/>
    <w:rsid w:val="0058465E"/>
    <w:rsid w:val="00584AEF"/>
    <w:rsid w:val="00584B79"/>
    <w:rsid w:val="00584D58"/>
    <w:rsid w:val="00585A2D"/>
    <w:rsid w:val="00585B2F"/>
    <w:rsid w:val="00585BC6"/>
    <w:rsid w:val="00585E6C"/>
    <w:rsid w:val="00586803"/>
    <w:rsid w:val="0058724F"/>
    <w:rsid w:val="00587398"/>
    <w:rsid w:val="00587564"/>
    <w:rsid w:val="005876E9"/>
    <w:rsid w:val="0059020D"/>
    <w:rsid w:val="00590303"/>
    <w:rsid w:val="00590DD3"/>
    <w:rsid w:val="00590E50"/>
    <w:rsid w:val="00590EF8"/>
    <w:rsid w:val="005915C6"/>
    <w:rsid w:val="00591750"/>
    <w:rsid w:val="00591B7F"/>
    <w:rsid w:val="00592583"/>
    <w:rsid w:val="0059362D"/>
    <w:rsid w:val="00593BE2"/>
    <w:rsid w:val="00593C5C"/>
    <w:rsid w:val="00593DD8"/>
    <w:rsid w:val="00593E79"/>
    <w:rsid w:val="005941BA"/>
    <w:rsid w:val="00594430"/>
    <w:rsid w:val="005947D1"/>
    <w:rsid w:val="005952FC"/>
    <w:rsid w:val="005953E3"/>
    <w:rsid w:val="00595761"/>
    <w:rsid w:val="00595CF8"/>
    <w:rsid w:val="0059691B"/>
    <w:rsid w:val="00596966"/>
    <w:rsid w:val="00596BD8"/>
    <w:rsid w:val="00596C34"/>
    <w:rsid w:val="00596DCA"/>
    <w:rsid w:val="00596DDC"/>
    <w:rsid w:val="005971B8"/>
    <w:rsid w:val="005A0069"/>
    <w:rsid w:val="005A06CF"/>
    <w:rsid w:val="005A0874"/>
    <w:rsid w:val="005A0942"/>
    <w:rsid w:val="005A0A07"/>
    <w:rsid w:val="005A0B35"/>
    <w:rsid w:val="005A0CA3"/>
    <w:rsid w:val="005A0E50"/>
    <w:rsid w:val="005A1490"/>
    <w:rsid w:val="005A1AFE"/>
    <w:rsid w:val="005A1BAA"/>
    <w:rsid w:val="005A22CF"/>
    <w:rsid w:val="005A2F7D"/>
    <w:rsid w:val="005A309E"/>
    <w:rsid w:val="005A3930"/>
    <w:rsid w:val="005A4035"/>
    <w:rsid w:val="005A430D"/>
    <w:rsid w:val="005A4350"/>
    <w:rsid w:val="005A43F9"/>
    <w:rsid w:val="005A4702"/>
    <w:rsid w:val="005A4E43"/>
    <w:rsid w:val="005A4F3E"/>
    <w:rsid w:val="005A558B"/>
    <w:rsid w:val="005A56DB"/>
    <w:rsid w:val="005A59D3"/>
    <w:rsid w:val="005A5DF8"/>
    <w:rsid w:val="005A6335"/>
    <w:rsid w:val="005A6AD1"/>
    <w:rsid w:val="005A6BF0"/>
    <w:rsid w:val="005A7142"/>
    <w:rsid w:val="005A71C8"/>
    <w:rsid w:val="005A7E64"/>
    <w:rsid w:val="005A7F44"/>
    <w:rsid w:val="005B033D"/>
    <w:rsid w:val="005B0CA0"/>
    <w:rsid w:val="005B0E15"/>
    <w:rsid w:val="005B10F2"/>
    <w:rsid w:val="005B12EC"/>
    <w:rsid w:val="005B13FE"/>
    <w:rsid w:val="005B1690"/>
    <w:rsid w:val="005B18E1"/>
    <w:rsid w:val="005B1E3D"/>
    <w:rsid w:val="005B26BE"/>
    <w:rsid w:val="005B30AA"/>
    <w:rsid w:val="005B33EB"/>
    <w:rsid w:val="005B4179"/>
    <w:rsid w:val="005B4F3D"/>
    <w:rsid w:val="005B6A13"/>
    <w:rsid w:val="005B6ACB"/>
    <w:rsid w:val="005B6C69"/>
    <w:rsid w:val="005B6E3B"/>
    <w:rsid w:val="005B7243"/>
    <w:rsid w:val="005B72E5"/>
    <w:rsid w:val="005C0013"/>
    <w:rsid w:val="005C07AB"/>
    <w:rsid w:val="005C14AB"/>
    <w:rsid w:val="005C170E"/>
    <w:rsid w:val="005C1AEF"/>
    <w:rsid w:val="005C1D01"/>
    <w:rsid w:val="005C25D9"/>
    <w:rsid w:val="005C2C03"/>
    <w:rsid w:val="005C2DFE"/>
    <w:rsid w:val="005C3568"/>
    <w:rsid w:val="005C3719"/>
    <w:rsid w:val="005C3B96"/>
    <w:rsid w:val="005C478C"/>
    <w:rsid w:val="005C5B38"/>
    <w:rsid w:val="005C6621"/>
    <w:rsid w:val="005C668A"/>
    <w:rsid w:val="005C6C81"/>
    <w:rsid w:val="005C76D4"/>
    <w:rsid w:val="005C784D"/>
    <w:rsid w:val="005C7E13"/>
    <w:rsid w:val="005D01E3"/>
    <w:rsid w:val="005D039C"/>
    <w:rsid w:val="005D03BC"/>
    <w:rsid w:val="005D0F02"/>
    <w:rsid w:val="005D1261"/>
    <w:rsid w:val="005D24A0"/>
    <w:rsid w:val="005D28D7"/>
    <w:rsid w:val="005D28D9"/>
    <w:rsid w:val="005D296F"/>
    <w:rsid w:val="005D2B6B"/>
    <w:rsid w:val="005D32C1"/>
    <w:rsid w:val="005D3468"/>
    <w:rsid w:val="005D36FB"/>
    <w:rsid w:val="005D3969"/>
    <w:rsid w:val="005D3CA4"/>
    <w:rsid w:val="005D59BF"/>
    <w:rsid w:val="005D5AE1"/>
    <w:rsid w:val="005D5DB7"/>
    <w:rsid w:val="005D5F80"/>
    <w:rsid w:val="005D6A97"/>
    <w:rsid w:val="005D717B"/>
    <w:rsid w:val="005D7D2E"/>
    <w:rsid w:val="005D7D86"/>
    <w:rsid w:val="005D7E81"/>
    <w:rsid w:val="005E00DF"/>
    <w:rsid w:val="005E02ED"/>
    <w:rsid w:val="005E0508"/>
    <w:rsid w:val="005E0981"/>
    <w:rsid w:val="005E0DF9"/>
    <w:rsid w:val="005E10C1"/>
    <w:rsid w:val="005E12C0"/>
    <w:rsid w:val="005E13BE"/>
    <w:rsid w:val="005E2B65"/>
    <w:rsid w:val="005E3138"/>
    <w:rsid w:val="005E33EA"/>
    <w:rsid w:val="005E3B63"/>
    <w:rsid w:val="005E3F17"/>
    <w:rsid w:val="005E4181"/>
    <w:rsid w:val="005E438F"/>
    <w:rsid w:val="005E5226"/>
    <w:rsid w:val="005E5F0F"/>
    <w:rsid w:val="005E6394"/>
    <w:rsid w:val="005E6BA9"/>
    <w:rsid w:val="005E6DC9"/>
    <w:rsid w:val="005E7145"/>
    <w:rsid w:val="005E7196"/>
    <w:rsid w:val="005E79CF"/>
    <w:rsid w:val="005E7CBB"/>
    <w:rsid w:val="005F0480"/>
    <w:rsid w:val="005F090C"/>
    <w:rsid w:val="005F0DC0"/>
    <w:rsid w:val="005F0E39"/>
    <w:rsid w:val="005F1066"/>
    <w:rsid w:val="005F1218"/>
    <w:rsid w:val="005F21CB"/>
    <w:rsid w:val="005F328D"/>
    <w:rsid w:val="005F376D"/>
    <w:rsid w:val="005F3859"/>
    <w:rsid w:val="005F3B11"/>
    <w:rsid w:val="005F3BF9"/>
    <w:rsid w:val="005F3CD3"/>
    <w:rsid w:val="005F3D26"/>
    <w:rsid w:val="005F4530"/>
    <w:rsid w:val="005F498A"/>
    <w:rsid w:val="005F540E"/>
    <w:rsid w:val="005F5503"/>
    <w:rsid w:val="005F570D"/>
    <w:rsid w:val="005F583F"/>
    <w:rsid w:val="005F6365"/>
    <w:rsid w:val="005F6844"/>
    <w:rsid w:val="005F6AA9"/>
    <w:rsid w:val="005F6C11"/>
    <w:rsid w:val="005F6E08"/>
    <w:rsid w:val="005F7471"/>
    <w:rsid w:val="005F75BC"/>
    <w:rsid w:val="005F76AD"/>
    <w:rsid w:val="005F7BB2"/>
    <w:rsid w:val="00600390"/>
    <w:rsid w:val="00600D40"/>
    <w:rsid w:val="006019C9"/>
    <w:rsid w:val="00601BB0"/>
    <w:rsid w:val="00601C2B"/>
    <w:rsid w:val="00602A71"/>
    <w:rsid w:val="00602FBC"/>
    <w:rsid w:val="00603071"/>
    <w:rsid w:val="00603102"/>
    <w:rsid w:val="00603B14"/>
    <w:rsid w:val="00603E61"/>
    <w:rsid w:val="006046BD"/>
    <w:rsid w:val="00604ACB"/>
    <w:rsid w:val="00604F75"/>
    <w:rsid w:val="00605832"/>
    <w:rsid w:val="00605EF8"/>
    <w:rsid w:val="0060609B"/>
    <w:rsid w:val="006064B1"/>
    <w:rsid w:val="00607A3D"/>
    <w:rsid w:val="0061019A"/>
    <w:rsid w:val="006103D6"/>
    <w:rsid w:val="00610A3D"/>
    <w:rsid w:val="00611817"/>
    <w:rsid w:val="0061181B"/>
    <w:rsid w:val="00611C09"/>
    <w:rsid w:val="00611DBD"/>
    <w:rsid w:val="00612229"/>
    <w:rsid w:val="00612475"/>
    <w:rsid w:val="006125E8"/>
    <w:rsid w:val="00612A68"/>
    <w:rsid w:val="00612AF0"/>
    <w:rsid w:val="0061342D"/>
    <w:rsid w:val="00614509"/>
    <w:rsid w:val="0061464A"/>
    <w:rsid w:val="00615640"/>
    <w:rsid w:val="00615B89"/>
    <w:rsid w:val="00615E2C"/>
    <w:rsid w:val="006161E7"/>
    <w:rsid w:val="0061633A"/>
    <w:rsid w:val="00616511"/>
    <w:rsid w:val="00616578"/>
    <w:rsid w:val="0061699C"/>
    <w:rsid w:val="00616DD5"/>
    <w:rsid w:val="0061741F"/>
    <w:rsid w:val="00620238"/>
    <w:rsid w:val="00620D99"/>
    <w:rsid w:val="00621092"/>
    <w:rsid w:val="0062141D"/>
    <w:rsid w:val="0062181E"/>
    <w:rsid w:val="00621993"/>
    <w:rsid w:val="00621AC3"/>
    <w:rsid w:val="00622C00"/>
    <w:rsid w:val="00622CEE"/>
    <w:rsid w:val="006230B3"/>
    <w:rsid w:val="00623D6E"/>
    <w:rsid w:val="00624050"/>
    <w:rsid w:val="00624A9A"/>
    <w:rsid w:val="006251BA"/>
    <w:rsid w:val="00625599"/>
    <w:rsid w:val="00625E5A"/>
    <w:rsid w:val="0062601E"/>
    <w:rsid w:val="006262BF"/>
    <w:rsid w:val="00626766"/>
    <w:rsid w:val="00626850"/>
    <w:rsid w:val="006269FF"/>
    <w:rsid w:val="00626B28"/>
    <w:rsid w:val="00626D98"/>
    <w:rsid w:val="00626DBD"/>
    <w:rsid w:val="006272C8"/>
    <w:rsid w:val="00627895"/>
    <w:rsid w:val="00627E39"/>
    <w:rsid w:val="00630571"/>
    <w:rsid w:val="00630639"/>
    <w:rsid w:val="006309F2"/>
    <w:rsid w:val="00630B97"/>
    <w:rsid w:val="00630C36"/>
    <w:rsid w:val="00631260"/>
    <w:rsid w:val="00631438"/>
    <w:rsid w:val="00631A17"/>
    <w:rsid w:val="00632487"/>
    <w:rsid w:val="00632662"/>
    <w:rsid w:val="006330AB"/>
    <w:rsid w:val="00633270"/>
    <w:rsid w:val="00633581"/>
    <w:rsid w:val="00633E73"/>
    <w:rsid w:val="006340AE"/>
    <w:rsid w:val="00634269"/>
    <w:rsid w:val="006345DE"/>
    <w:rsid w:val="00634A3A"/>
    <w:rsid w:val="00634F58"/>
    <w:rsid w:val="00634FED"/>
    <w:rsid w:val="006351B3"/>
    <w:rsid w:val="0063526A"/>
    <w:rsid w:val="00635292"/>
    <w:rsid w:val="0063561D"/>
    <w:rsid w:val="006356CE"/>
    <w:rsid w:val="00635993"/>
    <w:rsid w:val="006361A9"/>
    <w:rsid w:val="006361FD"/>
    <w:rsid w:val="006372B8"/>
    <w:rsid w:val="00637312"/>
    <w:rsid w:val="0063781B"/>
    <w:rsid w:val="0064038E"/>
    <w:rsid w:val="006406AD"/>
    <w:rsid w:val="00640F74"/>
    <w:rsid w:val="006410BF"/>
    <w:rsid w:val="0064133C"/>
    <w:rsid w:val="00641DEA"/>
    <w:rsid w:val="00642CC3"/>
    <w:rsid w:val="00642D20"/>
    <w:rsid w:val="0064346E"/>
    <w:rsid w:val="006435BF"/>
    <w:rsid w:val="006436CA"/>
    <w:rsid w:val="00643741"/>
    <w:rsid w:val="00643913"/>
    <w:rsid w:val="00643D11"/>
    <w:rsid w:val="00644317"/>
    <w:rsid w:val="0064461B"/>
    <w:rsid w:val="00644799"/>
    <w:rsid w:val="006447C6"/>
    <w:rsid w:val="0064642A"/>
    <w:rsid w:val="00646724"/>
    <w:rsid w:val="00646B62"/>
    <w:rsid w:val="00646EDC"/>
    <w:rsid w:val="00647940"/>
    <w:rsid w:val="00647DDE"/>
    <w:rsid w:val="00647E67"/>
    <w:rsid w:val="00647E94"/>
    <w:rsid w:val="00650E0C"/>
    <w:rsid w:val="00651AB1"/>
    <w:rsid w:val="00651C25"/>
    <w:rsid w:val="00651C2F"/>
    <w:rsid w:val="00652317"/>
    <w:rsid w:val="006527AD"/>
    <w:rsid w:val="00652856"/>
    <w:rsid w:val="006528C4"/>
    <w:rsid w:val="00652D2D"/>
    <w:rsid w:val="00652ECB"/>
    <w:rsid w:val="006536D3"/>
    <w:rsid w:val="0065375A"/>
    <w:rsid w:val="0065460B"/>
    <w:rsid w:val="006546CD"/>
    <w:rsid w:val="00654A82"/>
    <w:rsid w:val="00654C59"/>
    <w:rsid w:val="00655A9A"/>
    <w:rsid w:val="00655AFD"/>
    <w:rsid w:val="0065638E"/>
    <w:rsid w:val="00656404"/>
    <w:rsid w:val="00656B1F"/>
    <w:rsid w:val="00656E37"/>
    <w:rsid w:val="00657140"/>
    <w:rsid w:val="00657C57"/>
    <w:rsid w:val="0066010F"/>
    <w:rsid w:val="006602ED"/>
    <w:rsid w:val="0066042F"/>
    <w:rsid w:val="006607AC"/>
    <w:rsid w:val="00662ADA"/>
    <w:rsid w:val="00663014"/>
    <w:rsid w:val="00663478"/>
    <w:rsid w:val="00663956"/>
    <w:rsid w:val="00663B34"/>
    <w:rsid w:val="006641BE"/>
    <w:rsid w:val="00664204"/>
    <w:rsid w:val="00664486"/>
    <w:rsid w:val="006652F4"/>
    <w:rsid w:val="00665674"/>
    <w:rsid w:val="00665CA6"/>
    <w:rsid w:val="00666FEB"/>
    <w:rsid w:val="006672A3"/>
    <w:rsid w:val="00667434"/>
    <w:rsid w:val="0066778E"/>
    <w:rsid w:val="00667BE5"/>
    <w:rsid w:val="00667DE0"/>
    <w:rsid w:val="00670C3F"/>
    <w:rsid w:val="0067101E"/>
    <w:rsid w:val="006715D0"/>
    <w:rsid w:val="00671BCD"/>
    <w:rsid w:val="00671C2F"/>
    <w:rsid w:val="00671D0A"/>
    <w:rsid w:val="00672F0F"/>
    <w:rsid w:val="006734F6"/>
    <w:rsid w:val="0067366B"/>
    <w:rsid w:val="006736C0"/>
    <w:rsid w:val="0067380A"/>
    <w:rsid w:val="00674789"/>
    <w:rsid w:val="00674A6F"/>
    <w:rsid w:val="00675082"/>
    <w:rsid w:val="00675361"/>
    <w:rsid w:val="006753AA"/>
    <w:rsid w:val="006757C0"/>
    <w:rsid w:val="00675AF0"/>
    <w:rsid w:val="00675F0F"/>
    <w:rsid w:val="0067716A"/>
    <w:rsid w:val="0067747C"/>
    <w:rsid w:val="00677D47"/>
    <w:rsid w:val="00677D7A"/>
    <w:rsid w:val="00680862"/>
    <w:rsid w:val="00680B05"/>
    <w:rsid w:val="0068113A"/>
    <w:rsid w:val="00681262"/>
    <w:rsid w:val="0068136F"/>
    <w:rsid w:val="0068143B"/>
    <w:rsid w:val="00681B03"/>
    <w:rsid w:val="00681FFA"/>
    <w:rsid w:val="0068269E"/>
    <w:rsid w:val="00682DE7"/>
    <w:rsid w:val="0068370B"/>
    <w:rsid w:val="00683D8E"/>
    <w:rsid w:val="006842D9"/>
    <w:rsid w:val="00684662"/>
    <w:rsid w:val="0068468A"/>
    <w:rsid w:val="00684E33"/>
    <w:rsid w:val="00684F00"/>
    <w:rsid w:val="00684F7E"/>
    <w:rsid w:val="006854FA"/>
    <w:rsid w:val="00685840"/>
    <w:rsid w:val="00685BC8"/>
    <w:rsid w:val="00685CBE"/>
    <w:rsid w:val="00685DB3"/>
    <w:rsid w:val="00686374"/>
    <w:rsid w:val="00686BE6"/>
    <w:rsid w:val="00686D88"/>
    <w:rsid w:val="00686EC8"/>
    <w:rsid w:val="00687236"/>
    <w:rsid w:val="00687298"/>
    <w:rsid w:val="006875A7"/>
    <w:rsid w:val="006875B0"/>
    <w:rsid w:val="006875F7"/>
    <w:rsid w:val="00690CF5"/>
    <w:rsid w:val="0069151E"/>
    <w:rsid w:val="006918E1"/>
    <w:rsid w:val="00691F8D"/>
    <w:rsid w:val="00692092"/>
    <w:rsid w:val="006920AF"/>
    <w:rsid w:val="006931DB"/>
    <w:rsid w:val="006943F6"/>
    <w:rsid w:val="00694737"/>
    <w:rsid w:val="00694E80"/>
    <w:rsid w:val="00695221"/>
    <w:rsid w:val="0069562F"/>
    <w:rsid w:val="006956F8"/>
    <w:rsid w:val="0069691F"/>
    <w:rsid w:val="006969D7"/>
    <w:rsid w:val="0069711F"/>
    <w:rsid w:val="00697579"/>
    <w:rsid w:val="00697F76"/>
    <w:rsid w:val="006A026B"/>
    <w:rsid w:val="006A09D0"/>
    <w:rsid w:val="006A0C23"/>
    <w:rsid w:val="006A13A7"/>
    <w:rsid w:val="006A1AA2"/>
    <w:rsid w:val="006A1D7F"/>
    <w:rsid w:val="006A2099"/>
    <w:rsid w:val="006A24BF"/>
    <w:rsid w:val="006A2ABD"/>
    <w:rsid w:val="006A2BBF"/>
    <w:rsid w:val="006A309F"/>
    <w:rsid w:val="006A416F"/>
    <w:rsid w:val="006A4756"/>
    <w:rsid w:val="006A4BD8"/>
    <w:rsid w:val="006A4D54"/>
    <w:rsid w:val="006A53B4"/>
    <w:rsid w:val="006A5A0C"/>
    <w:rsid w:val="006A5E9E"/>
    <w:rsid w:val="006A68F4"/>
    <w:rsid w:val="006A7843"/>
    <w:rsid w:val="006B0124"/>
    <w:rsid w:val="006B0465"/>
    <w:rsid w:val="006B05B4"/>
    <w:rsid w:val="006B0B98"/>
    <w:rsid w:val="006B0FB1"/>
    <w:rsid w:val="006B1254"/>
    <w:rsid w:val="006B1413"/>
    <w:rsid w:val="006B2227"/>
    <w:rsid w:val="006B24B3"/>
    <w:rsid w:val="006B3059"/>
    <w:rsid w:val="006B3E76"/>
    <w:rsid w:val="006B4B8C"/>
    <w:rsid w:val="006B4F9C"/>
    <w:rsid w:val="006B5212"/>
    <w:rsid w:val="006B5550"/>
    <w:rsid w:val="006B59DC"/>
    <w:rsid w:val="006B66F9"/>
    <w:rsid w:val="006B6B23"/>
    <w:rsid w:val="006B6E35"/>
    <w:rsid w:val="006B70BF"/>
    <w:rsid w:val="006B7B95"/>
    <w:rsid w:val="006C014B"/>
    <w:rsid w:val="006C01DC"/>
    <w:rsid w:val="006C0573"/>
    <w:rsid w:val="006C07D2"/>
    <w:rsid w:val="006C09EF"/>
    <w:rsid w:val="006C0A7A"/>
    <w:rsid w:val="006C0D90"/>
    <w:rsid w:val="006C1A8F"/>
    <w:rsid w:val="006C22FF"/>
    <w:rsid w:val="006C27AD"/>
    <w:rsid w:val="006C3314"/>
    <w:rsid w:val="006C3683"/>
    <w:rsid w:val="006C3842"/>
    <w:rsid w:val="006C389A"/>
    <w:rsid w:val="006C3E4C"/>
    <w:rsid w:val="006C422C"/>
    <w:rsid w:val="006C4601"/>
    <w:rsid w:val="006C4650"/>
    <w:rsid w:val="006C4AF9"/>
    <w:rsid w:val="006C554C"/>
    <w:rsid w:val="006C65F9"/>
    <w:rsid w:val="006C713A"/>
    <w:rsid w:val="006C7A27"/>
    <w:rsid w:val="006C7A81"/>
    <w:rsid w:val="006D0411"/>
    <w:rsid w:val="006D048D"/>
    <w:rsid w:val="006D07B3"/>
    <w:rsid w:val="006D0D2E"/>
    <w:rsid w:val="006D0E0A"/>
    <w:rsid w:val="006D1DA7"/>
    <w:rsid w:val="006D3D8F"/>
    <w:rsid w:val="006D45B0"/>
    <w:rsid w:val="006D4739"/>
    <w:rsid w:val="006D488E"/>
    <w:rsid w:val="006D5422"/>
    <w:rsid w:val="006D5631"/>
    <w:rsid w:val="006D56D9"/>
    <w:rsid w:val="006D58B2"/>
    <w:rsid w:val="006D5900"/>
    <w:rsid w:val="006D5A05"/>
    <w:rsid w:val="006D6098"/>
    <w:rsid w:val="006D61D5"/>
    <w:rsid w:val="006D651F"/>
    <w:rsid w:val="006D6BD7"/>
    <w:rsid w:val="006D6C14"/>
    <w:rsid w:val="006D7060"/>
    <w:rsid w:val="006E01C8"/>
    <w:rsid w:val="006E04C4"/>
    <w:rsid w:val="006E0A3E"/>
    <w:rsid w:val="006E0C7B"/>
    <w:rsid w:val="006E1387"/>
    <w:rsid w:val="006E17D2"/>
    <w:rsid w:val="006E197C"/>
    <w:rsid w:val="006E2B0D"/>
    <w:rsid w:val="006E2BBA"/>
    <w:rsid w:val="006E2C6E"/>
    <w:rsid w:val="006E321A"/>
    <w:rsid w:val="006E3363"/>
    <w:rsid w:val="006E353E"/>
    <w:rsid w:val="006E3A82"/>
    <w:rsid w:val="006E3DCF"/>
    <w:rsid w:val="006E462F"/>
    <w:rsid w:val="006E478C"/>
    <w:rsid w:val="006E4AC8"/>
    <w:rsid w:val="006E564E"/>
    <w:rsid w:val="006E5825"/>
    <w:rsid w:val="006E5CFB"/>
    <w:rsid w:val="006E74D1"/>
    <w:rsid w:val="006E776D"/>
    <w:rsid w:val="006E7A42"/>
    <w:rsid w:val="006E7F41"/>
    <w:rsid w:val="006F02B4"/>
    <w:rsid w:val="006F1C93"/>
    <w:rsid w:val="006F23C3"/>
    <w:rsid w:val="006F25FB"/>
    <w:rsid w:val="006F3582"/>
    <w:rsid w:val="006F3957"/>
    <w:rsid w:val="006F3C3E"/>
    <w:rsid w:val="006F4050"/>
    <w:rsid w:val="006F40FB"/>
    <w:rsid w:val="006F4CF4"/>
    <w:rsid w:val="006F5125"/>
    <w:rsid w:val="006F5364"/>
    <w:rsid w:val="006F5589"/>
    <w:rsid w:val="006F6CAD"/>
    <w:rsid w:val="006F6D82"/>
    <w:rsid w:val="006F6E28"/>
    <w:rsid w:val="006F6F27"/>
    <w:rsid w:val="006F742C"/>
    <w:rsid w:val="006F79F0"/>
    <w:rsid w:val="006F7A70"/>
    <w:rsid w:val="006F7BFE"/>
    <w:rsid w:val="007010F4"/>
    <w:rsid w:val="0070183C"/>
    <w:rsid w:val="00701AB8"/>
    <w:rsid w:val="0070206B"/>
    <w:rsid w:val="0070217E"/>
    <w:rsid w:val="007022F2"/>
    <w:rsid w:val="007031E0"/>
    <w:rsid w:val="007044BD"/>
    <w:rsid w:val="007059BC"/>
    <w:rsid w:val="00705BAD"/>
    <w:rsid w:val="00706076"/>
    <w:rsid w:val="00706DAF"/>
    <w:rsid w:val="00706EB9"/>
    <w:rsid w:val="00707190"/>
    <w:rsid w:val="0070768A"/>
    <w:rsid w:val="007078B1"/>
    <w:rsid w:val="00707BDC"/>
    <w:rsid w:val="00710E99"/>
    <w:rsid w:val="00711122"/>
    <w:rsid w:val="007124B2"/>
    <w:rsid w:val="0071259E"/>
    <w:rsid w:val="00712B6D"/>
    <w:rsid w:val="0071335A"/>
    <w:rsid w:val="007139B8"/>
    <w:rsid w:val="007140C4"/>
    <w:rsid w:val="00714558"/>
    <w:rsid w:val="007147A8"/>
    <w:rsid w:val="007152CC"/>
    <w:rsid w:val="00715B98"/>
    <w:rsid w:val="00715CD3"/>
    <w:rsid w:val="00716BBA"/>
    <w:rsid w:val="007201E5"/>
    <w:rsid w:val="007201EA"/>
    <w:rsid w:val="007205A3"/>
    <w:rsid w:val="00720661"/>
    <w:rsid w:val="00720E50"/>
    <w:rsid w:val="007217E4"/>
    <w:rsid w:val="00721A3A"/>
    <w:rsid w:val="007226DF"/>
    <w:rsid w:val="00722DCD"/>
    <w:rsid w:val="0072304A"/>
    <w:rsid w:val="007237A5"/>
    <w:rsid w:val="007239E8"/>
    <w:rsid w:val="00723A99"/>
    <w:rsid w:val="00723B58"/>
    <w:rsid w:val="00723ECC"/>
    <w:rsid w:val="00724375"/>
    <w:rsid w:val="00724592"/>
    <w:rsid w:val="00724B8E"/>
    <w:rsid w:val="00725215"/>
    <w:rsid w:val="007257CA"/>
    <w:rsid w:val="007257F3"/>
    <w:rsid w:val="007258D8"/>
    <w:rsid w:val="0072592D"/>
    <w:rsid w:val="00725BEE"/>
    <w:rsid w:val="00725E14"/>
    <w:rsid w:val="007265A7"/>
    <w:rsid w:val="00726CEE"/>
    <w:rsid w:val="007276BF"/>
    <w:rsid w:val="007276C7"/>
    <w:rsid w:val="00727944"/>
    <w:rsid w:val="00730232"/>
    <w:rsid w:val="00731356"/>
    <w:rsid w:val="0073157A"/>
    <w:rsid w:val="00731620"/>
    <w:rsid w:val="00731670"/>
    <w:rsid w:val="00731EBB"/>
    <w:rsid w:val="0073236B"/>
    <w:rsid w:val="007326E0"/>
    <w:rsid w:val="007329F6"/>
    <w:rsid w:val="0073329F"/>
    <w:rsid w:val="00733719"/>
    <w:rsid w:val="00733812"/>
    <w:rsid w:val="00734699"/>
    <w:rsid w:val="00734B60"/>
    <w:rsid w:val="0073539A"/>
    <w:rsid w:val="007353E1"/>
    <w:rsid w:val="00735701"/>
    <w:rsid w:val="0073575B"/>
    <w:rsid w:val="00735766"/>
    <w:rsid w:val="007358BF"/>
    <w:rsid w:val="00735A3A"/>
    <w:rsid w:val="00736CC4"/>
    <w:rsid w:val="00737761"/>
    <w:rsid w:val="00737906"/>
    <w:rsid w:val="00740458"/>
    <w:rsid w:val="0074174E"/>
    <w:rsid w:val="00741E1D"/>
    <w:rsid w:val="00743A6D"/>
    <w:rsid w:val="00744177"/>
    <w:rsid w:val="007443D6"/>
    <w:rsid w:val="00744633"/>
    <w:rsid w:val="00744922"/>
    <w:rsid w:val="00744BF6"/>
    <w:rsid w:val="00744E2F"/>
    <w:rsid w:val="0074672C"/>
    <w:rsid w:val="0074718B"/>
    <w:rsid w:val="00747374"/>
    <w:rsid w:val="0075018B"/>
    <w:rsid w:val="0075100A"/>
    <w:rsid w:val="00751D37"/>
    <w:rsid w:val="00752C8F"/>
    <w:rsid w:val="00752CAA"/>
    <w:rsid w:val="00752D7D"/>
    <w:rsid w:val="00752EF1"/>
    <w:rsid w:val="0075332C"/>
    <w:rsid w:val="007539A2"/>
    <w:rsid w:val="00754B94"/>
    <w:rsid w:val="00754D2F"/>
    <w:rsid w:val="00754FBF"/>
    <w:rsid w:val="00755202"/>
    <w:rsid w:val="007554DA"/>
    <w:rsid w:val="00755A57"/>
    <w:rsid w:val="00755A7F"/>
    <w:rsid w:val="00755DA3"/>
    <w:rsid w:val="00755EF0"/>
    <w:rsid w:val="00756205"/>
    <w:rsid w:val="00756C99"/>
    <w:rsid w:val="00756E18"/>
    <w:rsid w:val="0075754A"/>
    <w:rsid w:val="00757B18"/>
    <w:rsid w:val="00760117"/>
    <w:rsid w:val="007601BE"/>
    <w:rsid w:val="00760F8F"/>
    <w:rsid w:val="00761450"/>
    <w:rsid w:val="0076149A"/>
    <w:rsid w:val="007618DB"/>
    <w:rsid w:val="00761F33"/>
    <w:rsid w:val="00762287"/>
    <w:rsid w:val="0076231B"/>
    <w:rsid w:val="007623B1"/>
    <w:rsid w:val="00762424"/>
    <w:rsid w:val="0076344C"/>
    <w:rsid w:val="00763E10"/>
    <w:rsid w:val="00763F44"/>
    <w:rsid w:val="007644E5"/>
    <w:rsid w:val="00764B3F"/>
    <w:rsid w:val="00764B65"/>
    <w:rsid w:val="00764C16"/>
    <w:rsid w:val="00764CC5"/>
    <w:rsid w:val="0076500E"/>
    <w:rsid w:val="007653E5"/>
    <w:rsid w:val="007657B6"/>
    <w:rsid w:val="007659BC"/>
    <w:rsid w:val="00765AEE"/>
    <w:rsid w:val="00765B09"/>
    <w:rsid w:val="00765C1C"/>
    <w:rsid w:val="00765EE3"/>
    <w:rsid w:val="00766616"/>
    <w:rsid w:val="00766772"/>
    <w:rsid w:val="00766E1C"/>
    <w:rsid w:val="00767001"/>
    <w:rsid w:val="0076750F"/>
    <w:rsid w:val="0076761A"/>
    <w:rsid w:val="00767CDB"/>
    <w:rsid w:val="00767D50"/>
    <w:rsid w:val="0077039A"/>
    <w:rsid w:val="00770E1C"/>
    <w:rsid w:val="00771279"/>
    <w:rsid w:val="007713E8"/>
    <w:rsid w:val="007718D9"/>
    <w:rsid w:val="00772447"/>
    <w:rsid w:val="00772E7C"/>
    <w:rsid w:val="00772EEE"/>
    <w:rsid w:val="0077308A"/>
    <w:rsid w:val="007735CE"/>
    <w:rsid w:val="00773819"/>
    <w:rsid w:val="007745FE"/>
    <w:rsid w:val="00774880"/>
    <w:rsid w:val="00774D95"/>
    <w:rsid w:val="00774F8A"/>
    <w:rsid w:val="007753D1"/>
    <w:rsid w:val="00775846"/>
    <w:rsid w:val="00775993"/>
    <w:rsid w:val="00775B40"/>
    <w:rsid w:val="00775B71"/>
    <w:rsid w:val="00775FD3"/>
    <w:rsid w:val="007762A7"/>
    <w:rsid w:val="00776CB4"/>
    <w:rsid w:val="007771F4"/>
    <w:rsid w:val="00777D9F"/>
    <w:rsid w:val="00780437"/>
    <w:rsid w:val="00781291"/>
    <w:rsid w:val="007818E1"/>
    <w:rsid w:val="00781E7A"/>
    <w:rsid w:val="00782EF2"/>
    <w:rsid w:val="0078301B"/>
    <w:rsid w:val="007844E3"/>
    <w:rsid w:val="007851CF"/>
    <w:rsid w:val="007854DC"/>
    <w:rsid w:val="0078557E"/>
    <w:rsid w:val="0078561A"/>
    <w:rsid w:val="0078681B"/>
    <w:rsid w:val="00787010"/>
    <w:rsid w:val="007872DD"/>
    <w:rsid w:val="00787324"/>
    <w:rsid w:val="00787844"/>
    <w:rsid w:val="007878ED"/>
    <w:rsid w:val="00787FBD"/>
    <w:rsid w:val="007900EF"/>
    <w:rsid w:val="007908D4"/>
    <w:rsid w:val="00790F21"/>
    <w:rsid w:val="0079172B"/>
    <w:rsid w:val="0079183C"/>
    <w:rsid w:val="00792B49"/>
    <w:rsid w:val="007931EE"/>
    <w:rsid w:val="00793513"/>
    <w:rsid w:val="007935D5"/>
    <w:rsid w:val="0079391E"/>
    <w:rsid w:val="00795078"/>
    <w:rsid w:val="007958E8"/>
    <w:rsid w:val="0079592C"/>
    <w:rsid w:val="00795A75"/>
    <w:rsid w:val="00795A8D"/>
    <w:rsid w:val="00796764"/>
    <w:rsid w:val="007968D3"/>
    <w:rsid w:val="00796996"/>
    <w:rsid w:val="00796EC5"/>
    <w:rsid w:val="007970D3"/>
    <w:rsid w:val="007972D0"/>
    <w:rsid w:val="0079751D"/>
    <w:rsid w:val="0079753E"/>
    <w:rsid w:val="00797D42"/>
    <w:rsid w:val="007A09DD"/>
    <w:rsid w:val="007A0B18"/>
    <w:rsid w:val="007A11F9"/>
    <w:rsid w:val="007A120E"/>
    <w:rsid w:val="007A1764"/>
    <w:rsid w:val="007A18CC"/>
    <w:rsid w:val="007A1DF9"/>
    <w:rsid w:val="007A1F1D"/>
    <w:rsid w:val="007A2A74"/>
    <w:rsid w:val="007A2FBC"/>
    <w:rsid w:val="007A3491"/>
    <w:rsid w:val="007A3C0F"/>
    <w:rsid w:val="007A42A8"/>
    <w:rsid w:val="007A4A0A"/>
    <w:rsid w:val="007A4B1E"/>
    <w:rsid w:val="007A4D71"/>
    <w:rsid w:val="007A4FE6"/>
    <w:rsid w:val="007A4FF5"/>
    <w:rsid w:val="007A5ACA"/>
    <w:rsid w:val="007A5FDF"/>
    <w:rsid w:val="007A65B9"/>
    <w:rsid w:val="007A6820"/>
    <w:rsid w:val="007A6DFC"/>
    <w:rsid w:val="007A6E9D"/>
    <w:rsid w:val="007A73EF"/>
    <w:rsid w:val="007A7A26"/>
    <w:rsid w:val="007A7FB3"/>
    <w:rsid w:val="007B031E"/>
    <w:rsid w:val="007B0A6C"/>
    <w:rsid w:val="007B0A95"/>
    <w:rsid w:val="007B0AA7"/>
    <w:rsid w:val="007B0B42"/>
    <w:rsid w:val="007B0D10"/>
    <w:rsid w:val="007B125C"/>
    <w:rsid w:val="007B160A"/>
    <w:rsid w:val="007B16FF"/>
    <w:rsid w:val="007B1773"/>
    <w:rsid w:val="007B1C9A"/>
    <w:rsid w:val="007B2284"/>
    <w:rsid w:val="007B2549"/>
    <w:rsid w:val="007B2860"/>
    <w:rsid w:val="007B2B16"/>
    <w:rsid w:val="007B3774"/>
    <w:rsid w:val="007B3BF0"/>
    <w:rsid w:val="007B4539"/>
    <w:rsid w:val="007B4A43"/>
    <w:rsid w:val="007B4CA9"/>
    <w:rsid w:val="007B5280"/>
    <w:rsid w:val="007B57A4"/>
    <w:rsid w:val="007B6210"/>
    <w:rsid w:val="007B7531"/>
    <w:rsid w:val="007B78DF"/>
    <w:rsid w:val="007B7A96"/>
    <w:rsid w:val="007B7C17"/>
    <w:rsid w:val="007C0648"/>
    <w:rsid w:val="007C0AC2"/>
    <w:rsid w:val="007C0E58"/>
    <w:rsid w:val="007C0F73"/>
    <w:rsid w:val="007C1091"/>
    <w:rsid w:val="007C10D0"/>
    <w:rsid w:val="007C111B"/>
    <w:rsid w:val="007C1566"/>
    <w:rsid w:val="007C17E9"/>
    <w:rsid w:val="007C19A8"/>
    <w:rsid w:val="007C1CEC"/>
    <w:rsid w:val="007C2030"/>
    <w:rsid w:val="007C2F06"/>
    <w:rsid w:val="007C303D"/>
    <w:rsid w:val="007C443F"/>
    <w:rsid w:val="007C4F03"/>
    <w:rsid w:val="007C5AD1"/>
    <w:rsid w:val="007C5B07"/>
    <w:rsid w:val="007C62E7"/>
    <w:rsid w:val="007C6333"/>
    <w:rsid w:val="007C67DD"/>
    <w:rsid w:val="007C6880"/>
    <w:rsid w:val="007C690B"/>
    <w:rsid w:val="007C6BD6"/>
    <w:rsid w:val="007C6E5B"/>
    <w:rsid w:val="007C6FD8"/>
    <w:rsid w:val="007C7042"/>
    <w:rsid w:val="007C744C"/>
    <w:rsid w:val="007C75B4"/>
    <w:rsid w:val="007C78A5"/>
    <w:rsid w:val="007C7B2A"/>
    <w:rsid w:val="007C7CA3"/>
    <w:rsid w:val="007C7F0F"/>
    <w:rsid w:val="007C7FE0"/>
    <w:rsid w:val="007D0030"/>
    <w:rsid w:val="007D0032"/>
    <w:rsid w:val="007D014A"/>
    <w:rsid w:val="007D0174"/>
    <w:rsid w:val="007D0195"/>
    <w:rsid w:val="007D04B5"/>
    <w:rsid w:val="007D0506"/>
    <w:rsid w:val="007D0645"/>
    <w:rsid w:val="007D09DE"/>
    <w:rsid w:val="007D0C97"/>
    <w:rsid w:val="007D0C98"/>
    <w:rsid w:val="007D0EAA"/>
    <w:rsid w:val="007D1AEC"/>
    <w:rsid w:val="007D1B65"/>
    <w:rsid w:val="007D2657"/>
    <w:rsid w:val="007D30DA"/>
    <w:rsid w:val="007D31FD"/>
    <w:rsid w:val="007D3A8B"/>
    <w:rsid w:val="007D3BDE"/>
    <w:rsid w:val="007D3D8D"/>
    <w:rsid w:val="007D4110"/>
    <w:rsid w:val="007D41A3"/>
    <w:rsid w:val="007D46DB"/>
    <w:rsid w:val="007D5C57"/>
    <w:rsid w:val="007D5E4D"/>
    <w:rsid w:val="007D6A72"/>
    <w:rsid w:val="007D70E7"/>
    <w:rsid w:val="007D73B8"/>
    <w:rsid w:val="007D7E93"/>
    <w:rsid w:val="007E0445"/>
    <w:rsid w:val="007E0464"/>
    <w:rsid w:val="007E049C"/>
    <w:rsid w:val="007E0F47"/>
    <w:rsid w:val="007E1AE2"/>
    <w:rsid w:val="007E2228"/>
    <w:rsid w:val="007E2897"/>
    <w:rsid w:val="007E2A31"/>
    <w:rsid w:val="007E2A6E"/>
    <w:rsid w:val="007E2D44"/>
    <w:rsid w:val="007E48BF"/>
    <w:rsid w:val="007E4AD4"/>
    <w:rsid w:val="007E4B84"/>
    <w:rsid w:val="007E512F"/>
    <w:rsid w:val="007E53F3"/>
    <w:rsid w:val="007E566E"/>
    <w:rsid w:val="007E5ADE"/>
    <w:rsid w:val="007E667E"/>
    <w:rsid w:val="007E6C6A"/>
    <w:rsid w:val="007E71EF"/>
    <w:rsid w:val="007E7EFF"/>
    <w:rsid w:val="007F0350"/>
    <w:rsid w:val="007F0AB1"/>
    <w:rsid w:val="007F0AEA"/>
    <w:rsid w:val="007F10A8"/>
    <w:rsid w:val="007F14FA"/>
    <w:rsid w:val="007F168C"/>
    <w:rsid w:val="007F1E2B"/>
    <w:rsid w:val="007F1E34"/>
    <w:rsid w:val="007F2116"/>
    <w:rsid w:val="007F23DA"/>
    <w:rsid w:val="007F277F"/>
    <w:rsid w:val="007F299A"/>
    <w:rsid w:val="007F2CEA"/>
    <w:rsid w:val="007F3D66"/>
    <w:rsid w:val="007F47AD"/>
    <w:rsid w:val="007F4A9B"/>
    <w:rsid w:val="007F4F62"/>
    <w:rsid w:val="007F53C6"/>
    <w:rsid w:val="007F553A"/>
    <w:rsid w:val="007F5F19"/>
    <w:rsid w:val="007F62D9"/>
    <w:rsid w:val="007F6736"/>
    <w:rsid w:val="007F6E48"/>
    <w:rsid w:val="007F7453"/>
    <w:rsid w:val="007F771B"/>
    <w:rsid w:val="00800307"/>
    <w:rsid w:val="00800A55"/>
    <w:rsid w:val="00801283"/>
    <w:rsid w:val="00801938"/>
    <w:rsid w:val="0080209B"/>
    <w:rsid w:val="008020A2"/>
    <w:rsid w:val="00802823"/>
    <w:rsid w:val="00803038"/>
    <w:rsid w:val="0080322C"/>
    <w:rsid w:val="00803889"/>
    <w:rsid w:val="00804552"/>
    <w:rsid w:val="00804B1C"/>
    <w:rsid w:val="0080535C"/>
    <w:rsid w:val="0080598D"/>
    <w:rsid w:val="008059D1"/>
    <w:rsid w:val="00805B8D"/>
    <w:rsid w:val="00805EA1"/>
    <w:rsid w:val="00805F62"/>
    <w:rsid w:val="008060FD"/>
    <w:rsid w:val="008065AE"/>
    <w:rsid w:val="00806624"/>
    <w:rsid w:val="00806774"/>
    <w:rsid w:val="00806A0D"/>
    <w:rsid w:val="00806EFF"/>
    <w:rsid w:val="0080740A"/>
    <w:rsid w:val="008077D6"/>
    <w:rsid w:val="0080785D"/>
    <w:rsid w:val="00807A6F"/>
    <w:rsid w:val="00807E14"/>
    <w:rsid w:val="008102D8"/>
    <w:rsid w:val="00810517"/>
    <w:rsid w:val="008106A7"/>
    <w:rsid w:val="0081075B"/>
    <w:rsid w:val="00811181"/>
    <w:rsid w:val="00811499"/>
    <w:rsid w:val="0081166F"/>
    <w:rsid w:val="00811C26"/>
    <w:rsid w:val="00811F97"/>
    <w:rsid w:val="00812454"/>
    <w:rsid w:val="008128CA"/>
    <w:rsid w:val="008128FC"/>
    <w:rsid w:val="00812E87"/>
    <w:rsid w:val="00813017"/>
    <w:rsid w:val="0081341A"/>
    <w:rsid w:val="00813453"/>
    <w:rsid w:val="00813C4B"/>
    <w:rsid w:val="00814041"/>
    <w:rsid w:val="00814F3E"/>
    <w:rsid w:val="00814FEC"/>
    <w:rsid w:val="00815CA0"/>
    <w:rsid w:val="0081608B"/>
    <w:rsid w:val="00816289"/>
    <w:rsid w:val="008166DE"/>
    <w:rsid w:val="0081676F"/>
    <w:rsid w:val="00816DA5"/>
    <w:rsid w:val="00820223"/>
    <w:rsid w:val="0082143C"/>
    <w:rsid w:val="008215C6"/>
    <w:rsid w:val="008217E1"/>
    <w:rsid w:val="008223A7"/>
    <w:rsid w:val="008226D6"/>
    <w:rsid w:val="0082271D"/>
    <w:rsid w:val="0082276D"/>
    <w:rsid w:val="008237EC"/>
    <w:rsid w:val="008251D5"/>
    <w:rsid w:val="008254D2"/>
    <w:rsid w:val="00825819"/>
    <w:rsid w:val="00825F88"/>
    <w:rsid w:val="008265DC"/>
    <w:rsid w:val="008269A9"/>
    <w:rsid w:val="008275FE"/>
    <w:rsid w:val="008278FF"/>
    <w:rsid w:val="00827E9D"/>
    <w:rsid w:val="00830169"/>
    <w:rsid w:val="0083032C"/>
    <w:rsid w:val="00830D06"/>
    <w:rsid w:val="0083198F"/>
    <w:rsid w:val="00831AA8"/>
    <w:rsid w:val="00831DCB"/>
    <w:rsid w:val="00831EB1"/>
    <w:rsid w:val="0083373C"/>
    <w:rsid w:val="00833CA8"/>
    <w:rsid w:val="00833E85"/>
    <w:rsid w:val="00833FDB"/>
    <w:rsid w:val="00834260"/>
    <w:rsid w:val="00834F3C"/>
    <w:rsid w:val="00835172"/>
    <w:rsid w:val="0083555E"/>
    <w:rsid w:val="008363A5"/>
    <w:rsid w:val="008376C3"/>
    <w:rsid w:val="008405A6"/>
    <w:rsid w:val="008405A9"/>
    <w:rsid w:val="00840A58"/>
    <w:rsid w:val="00841450"/>
    <w:rsid w:val="00841EA6"/>
    <w:rsid w:val="008429DE"/>
    <w:rsid w:val="0084307A"/>
    <w:rsid w:val="008436B8"/>
    <w:rsid w:val="008437D3"/>
    <w:rsid w:val="00844737"/>
    <w:rsid w:val="008449DC"/>
    <w:rsid w:val="008450FB"/>
    <w:rsid w:val="00845D67"/>
    <w:rsid w:val="00845F4B"/>
    <w:rsid w:val="00847FCD"/>
    <w:rsid w:val="00850407"/>
    <w:rsid w:val="00850456"/>
    <w:rsid w:val="00851080"/>
    <w:rsid w:val="008513B3"/>
    <w:rsid w:val="008517AE"/>
    <w:rsid w:val="00851AAD"/>
    <w:rsid w:val="00851BEC"/>
    <w:rsid w:val="00851C40"/>
    <w:rsid w:val="00851CA9"/>
    <w:rsid w:val="0085207E"/>
    <w:rsid w:val="0085394F"/>
    <w:rsid w:val="00853D51"/>
    <w:rsid w:val="00853DC1"/>
    <w:rsid w:val="00853E6A"/>
    <w:rsid w:val="008556B1"/>
    <w:rsid w:val="0085663A"/>
    <w:rsid w:val="00856A74"/>
    <w:rsid w:val="00856A9E"/>
    <w:rsid w:val="008579AD"/>
    <w:rsid w:val="00860FB5"/>
    <w:rsid w:val="00861294"/>
    <w:rsid w:val="00861315"/>
    <w:rsid w:val="00861C25"/>
    <w:rsid w:val="00861FF1"/>
    <w:rsid w:val="00862499"/>
    <w:rsid w:val="00863780"/>
    <w:rsid w:val="00863A9F"/>
    <w:rsid w:val="0086424A"/>
    <w:rsid w:val="00864316"/>
    <w:rsid w:val="00864428"/>
    <w:rsid w:val="008648AE"/>
    <w:rsid w:val="00864B60"/>
    <w:rsid w:val="00864FE8"/>
    <w:rsid w:val="00865618"/>
    <w:rsid w:val="008666DF"/>
    <w:rsid w:val="00866724"/>
    <w:rsid w:val="00866D29"/>
    <w:rsid w:val="00866E34"/>
    <w:rsid w:val="0086704B"/>
    <w:rsid w:val="008671F1"/>
    <w:rsid w:val="00867A20"/>
    <w:rsid w:val="00871162"/>
    <w:rsid w:val="00871AF5"/>
    <w:rsid w:val="00871F84"/>
    <w:rsid w:val="00872218"/>
    <w:rsid w:val="00873721"/>
    <w:rsid w:val="00874025"/>
    <w:rsid w:val="008745B5"/>
    <w:rsid w:val="008746DB"/>
    <w:rsid w:val="00874977"/>
    <w:rsid w:val="00874D88"/>
    <w:rsid w:val="008754DA"/>
    <w:rsid w:val="008756B7"/>
    <w:rsid w:val="008759B7"/>
    <w:rsid w:val="008765D6"/>
    <w:rsid w:val="00876737"/>
    <w:rsid w:val="00876E71"/>
    <w:rsid w:val="00876F09"/>
    <w:rsid w:val="008776DB"/>
    <w:rsid w:val="00877CE1"/>
    <w:rsid w:val="00877ED5"/>
    <w:rsid w:val="00880377"/>
    <w:rsid w:val="00880E72"/>
    <w:rsid w:val="0088116D"/>
    <w:rsid w:val="00881361"/>
    <w:rsid w:val="008815A1"/>
    <w:rsid w:val="00881670"/>
    <w:rsid w:val="00881851"/>
    <w:rsid w:val="00881C72"/>
    <w:rsid w:val="00882828"/>
    <w:rsid w:val="00882D54"/>
    <w:rsid w:val="00882E95"/>
    <w:rsid w:val="0088339A"/>
    <w:rsid w:val="00883731"/>
    <w:rsid w:val="0088379D"/>
    <w:rsid w:val="008838F8"/>
    <w:rsid w:val="00883B84"/>
    <w:rsid w:val="00883CBF"/>
    <w:rsid w:val="00884007"/>
    <w:rsid w:val="0088445E"/>
    <w:rsid w:val="00884B0B"/>
    <w:rsid w:val="00884D80"/>
    <w:rsid w:val="008852A2"/>
    <w:rsid w:val="0088546F"/>
    <w:rsid w:val="00885657"/>
    <w:rsid w:val="008857EC"/>
    <w:rsid w:val="00885D12"/>
    <w:rsid w:val="00886389"/>
    <w:rsid w:val="00886A2C"/>
    <w:rsid w:val="00886D0C"/>
    <w:rsid w:val="0088732B"/>
    <w:rsid w:val="00887365"/>
    <w:rsid w:val="00887B31"/>
    <w:rsid w:val="008901AF"/>
    <w:rsid w:val="00890660"/>
    <w:rsid w:val="008906B7"/>
    <w:rsid w:val="0089099D"/>
    <w:rsid w:val="00890BA0"/>
    <w:rsid w:val="00891134"/>
    <w:rsid w:val="00891282"/>
    <w:rsid w:val="00891C81"/>
    <w:rsid w:val="008921B3"/>
    <w:rsid w:val="00892517"/>
    <w:rsid w:val="008929EE"/>
    <w:rsid w:val="00892DEE"/>
    <w:rsid w:val="0089340F"/>
    <w:rsid w:val="00893638"/>
    <w:rsid w:val="008946AF"/>
    <w:rsid w:val="00894962"/>
    <w:rsid w:val="00894AA1"/>
    <w:rsid w:val="00894D85"/>
    <w:rsid w:val="00894DA3"/>
    <w:rsid w:val="00895FDE"/>
    <w:rsid w:val="008963CF"/>
    <w:rsid w:val="008967E5"/>
    <w:rsid w:val="00896872"/>
    <w:rsid w:val="00896BBD"/>
    <w:rsid w:val="00896BF2"/>
    <w:rsid w:val="00896C3D"/>
    <w:rsid w:val="00896C55"/>
    <w:rsid w:val="00897DF7"/>
    <w:rsid w:val="008A017F"/>
    <w:rsid w:val="008A0633"/>
    <w:rsid w:val="008A161E"/>
    <w:rsid w:val="008A1F75"/>
    <w:rsid w:val="008A2366"/>
    <w:rsid w:val="008A265D"/>
    <w:rsid w:val="008A274E"/>
    <w:rsid w:val="008A2BD6"/>
    <w:rsid w:val="008A2DFB"/>
    <w:rsid w:val="008A302C"/>
    <w:rsid w:val="008A310A"/>
    <w:rsid w:val="008A330A"/>
    <w:rsid w:val="008A4577"/>
    <w:rsid w:val="008A46B9"/>
    <w:rsid w:val="008A519D"/>
    <w:rsid w:val="008A5284"/>
    <w:rsid w:val="008A6B40"/>
    <w:rsid w:val="008A6D0F"/>
    <w:rsid w:val="008A7135"/>
    <w:rsid w:val="008A77E2"/>
    <w:rsid w:val="008A7BC5"/>
    <w:rsid w:val="008B001A"/>
    <w:rsid w:val="008B0534"/>
    <w:rsid w:val="008B078E"/>
    <w:rsid w:val="008B088E"/>
    <w:rsid w:val="008B0892"/>
    <w:rsid w:val="008B0B17"/>
    <w:rsid w:val="008B0E02"/>
    <w:rsid w:val="008B122D"/>
    <w:rsid w:val="008B2331"/>
    <w:rsid w:val="008B2A68"/>
    <w:rsid w:val="008B2EF5"/>
    <w:rsid w:val="008B3DF2"/>
    <w:rsid w:val="008B4022"/>
    <w:rsid w:val="008B4029"/>
    <w:rsid w:val="008B4C4C"/>
    <w:rsid w:val="008B553C"/>
    <w:rsid w:val="008B582D"/>
    <w:rsid w:val="008B5B21"/>
    <w:rsid w:val="008B6204"/>
    <w:rsid w:val="008B6B50"/>
    <w:rsid w:val="008B6BE7"/>
    <w:rsid w:val="008B712A"/>
    <w:rsid w:val="008B7E30"/>
    <w:rsid w:val="008C0432"/>
    <w:rsid w:val="008C1E0B"/>
    <w:rsid w:val="008C23DE"/>
    <w:rsid w:val="008C2752"/>
    <w:rsid w:val="008C325D"/>
    <w:rsid w:val="008C3937"/>
    <w:rsid w:val="008C45A2"/>
    <w:rsid w:val="008C4E2B"/>
    <w:rsid w:val="008C4F45"/>
    <w:rsid w:val="008C4FFE"/>
    <w:rsid w:val="008C51FD"/>
    <w:rsid w:val="008C52F0"/>
    <w:rsid w:val="008C5504"/>
    <w:rsid w:val="008C66ED"/>
    <w:rsid w:val="008C671B"/>
    <w:rsid w:val="008C68F6"/>
    <w:rsid w:val="008C6D8C"/>
    <w:rsid w:val="008C7CEE"/>
    <w:rsid w:val="008C7EF8"/>
    <w:rsid w:val="008D035E"/>
    <w:rsid w:val="008D088A"/>
    <w:rsid w:val="008D1335"/>
    <w:rsid w:val="008D1B0D"/>
    <w:rsid w:val="008D1EAF"/>
    <w:rsid w:val="008D2BF4"/>
    <w:rsid w:val="008D3337"/>
    <w:rsid w:val="008D4049"/>
    <w:rsid w:val="008D40F2"/>
    <w:rsid w:val="008D4C57"/>
    <w:rsid w:val="008D4F8A"/>
    <w:rsid w:val="008D59D4"/>
    <w:rsid w:val="008D5C3D"/>
    <w:rsid w:val="008D614E"/>
    <w:rsid w:val="008D642D"/>
    <w:rsid w:val="008D6C77"/>
    <w:rsid w:val="008D75CD"/>
    <w:rsid w:val="008E006E"/>
    <w:rsid w:val="008E0309"/>
    <w:rsid w:val="008E0347"/>
    <w:rsid w:val="008E08BC"/>
    <w:rsid w:val="008E1E0A"/>
    <w:rsid w:val="008E1F1D"/>
    <w:rsid w:val="008E21CC"/>
    <w:rsid w:val="008E25FB"/>
    <w:rsid w:val="008E295B"/>
    <w:rsid w:val="008E2B3F"/>
    <w:rsid w:val="008E2CC8"/>
    <w:rsid w:val="008E30E7"/>
    <w:rsid w:val="008E3626"/>
    <w:rsid w:val="008E3B8B"/>
    <w:rsid w:val="008E3B9F"/>
    <w:rsid w:val="008E4230"/>
    <w:rsid w:val="008E4CF8"/>
    <w:rsid w:val="008E5CC2"/>
    <w:rsid w:val="008E5D97"/>
    <w:rsid w:val="008E5E03"/>
    <w:rsid w:val="008E6AD8"/>
    <w:rsid w:val="008E6CBC"/>
    <w:rsid w:val="008E70AA"/>
    <w:rsid w:val="008E7275"/>
    <w:rsid w:val="008E748F"/>
    <w:rsid w:val="008E77E8"/>
    <w:rsid w:val="008F00FC"/>
    <w:rsid w:val="008F037E"/>
    <w:rsid w:val="008F04A8"/>
    <w:rsid w:val="008F085F"/>
    <w:rsid w:val="008F0AA6"/>
    <w:rsid w:val="008F0AE1"/>
    <w:rsid w:val="008F1922"/>
    <w:rsid w:val="008F1E94"/>
    <w:rsid w:val="008F1FDD"/>
    <w:rsid w:val="008F2B84"/>
    <w:rsid w:val="008F3759"/>
    <w:rsid w:val="008F3A76"/>
    <w:rsid w:val="008F3DAC"/>
    <w:rsid w:val="008F3DF9"/>
    <w:rsid w:val="008F3F3C"/>
    <w:rsid w:val="008F5446"/>
    <w:rsid w:val="008F544F"/>
    <w:rsid w:val="008F5B18"/>
    <w:rsid w:val="008F639B"/>
    <w:rsid w:val="008F6C2A"/>
    <w:rsid w:val="008F7387"/>
    <w:rsid w:val="008F757D"/>
    <w:rsid w:val="008F7BC3"/>
    <w:rsid w:val="008F7CD3"/>
    <w:rsid w:val="00900542"/>
    <w:rsid w:val="0090089D"/>
    <w:rsid w:val="00900956"/>
    <w:rsid w:val="00900FA5"/>
    <w:rsid w:val="0090173C"/>
    <w:rsid w:val="00901C9F"/>
    <w:rsid w:val="0090242E"/>
    <w:rsid w:val="00902D12"/>
    <w:rsid w:val="009033A1"/>
    <w:rsid w:val="009037C1"/>
    <w:rsid w:val="00904060"/>
    <w:rsid w:val="00904711"/>
    <w:rsid w:val="00904887"/>
    <w:rsid w:val="00905011"/>
    <w:rsid w:val="0090531B"/>
    <w:rsid w:val="00905578"/>
    <w:rsid w:val="0090559E"/>
    <w:rsid w:val="009055DD"/>
    <w:rsid w:val="00905867"/>
    <w:rsid w:val="00905900"/>
    <w:rsid w:val="009064C1"/>
    <w:rsid w:val="00906A70"/>
    <w:rsid w:val="00906E92"/>
    <w:rsid w:val="009073FA"/>
    <w:rsid w:val="00907407"/>
    <w:rsid w:val="00910302"/>
    <w:rsid w:val="0091031E"/>
    <w:rsid w:val="00911A47"/>
    <w:rsid w:val="00911A5E"/>
    <w:rsid w:val="00912218"/>
    <w:rsid w:val="0091259C"/>
    <w:rsid w:val="00912CFA"/>
    <w:rsid w:val="00912D3A"/>
    <w:rsid w:val="00913244"/>
    <w:rsid w:val="0091324F"/>
    <w:rsid w:val="009136C1"/>
    <w:rsid w:val="0091403F"/>
    <w:rsid w:val="0091487E"/>
    <w:rsid w:val="00914999"/>
    <w:rsid w:val="00914FEE"/>
    <w:rsid w:val="00915250"/>
    <w:rsid w:val="00915762"/>
    <w:rsid w:val="00915C89"/>
    <w:rsid w:val="00916048"/>
    <w:rsid w:val="0091631C"/>
    <w:rsid w:val="00916A2F"/>
    <w:rsid w:val="00916E78"/>
    <w:rsid w:val="0091723C"/>
    <w:rsid w:val="009173AA"/>
    <w:rsid w:val="00917DA0"/>
    <w:rsid w:val="00917E55"/>
    <w:rsid w:val="00917F7F"/>
    <w:rsid w:val="00917FF1"/>
    <w:rsid w:val="0092009F"/>
    <w:rsid w:val="009203D3"/>
    <w:rsid w:val="00920481"/>
    <w:rsid w:val="009206E7"/>
    <w:rsid w:val="00920DB9"/>
    <w:rsid w:val="00920E82"/>
    <w:rsid w:val="0092169C"/>
    <w:rsid w:val="00921830"/>
    <w:rsid w:val="009220E5"/>
    <w:rsid w:val="009222FA"/>
    <w:rsid w:val="00922337"/>
    <w:rsid w:val="00922600"/>
    <w:rsid w:val="009234C3"/>
    <w:rsid w:val="0092363D"/>
    <w:rsid w:val="0092528B"/>
    <w:rsid w:val="0092591C"/>
    <w:rsid w:val="009259BA"/>
    <w:rsid w:val="009263C9"/>
    <w:rsid w:val="00926D81"/>
    <w:rsid w:val="00926F83"/>
    <w:rsid w:val="0092734A"/>
    <w:rsid w:val="009273C3"/>
    <w:rsid w:val="009276E8"/>
    <w:rsid w:val="009279CE"/>
    <w:rsid w:val="00927ABF"/>
    <w:rsid w:val="0093093B"/>
    <w:rsid w:val="00930948"/>
    <w:rsid w:val="00930B56"/>
    <w:rsid w:val="00930DB6"/>
    <w:rsid w:val="00930EF7"/>
    <w:rsid w:val="00931E72"/>
    <w:rsid w:val="0093279F"/>
    <w:rsid w:val="0093302F"/>
    <w:rsid w:val="0093319E"/>
    <w:rsid w:val="009331FF"/>
    <w:rsid w:val="00934742"/>
    <w:rsid w:val="009347D2"/>
    <w:rsid w:val="00934925"/>
    <w:rsid w:val="00934F16"/>
    <w:rsid w:val="00935726"/>
    <w:rsid w:val="00936845"/>
    <w:rsid w:val="00936BA2"/>
    <w:rsid w:val="00936C6B"/>
    <w:rsid w:val="00936D99"/>
    <w:rsid w:val="00936DFF"/>
    <w:rsid w:val="0093762A"/>
    <w:rsid w:val="00940E37"/>
    <w:rsid w:val="00940E66"/>
    <w:rsid w:val="00941283"/>
    <w:rsid w:val="009412B8"/>
    <w:rsid w:val="009414BB"/>
    <w:rsid w:val="0094159B"/>
    <w:rsid w:val="00941BD3"/>
    <w:rsid w:val="009422E3"/>
    <w:rsid w:val="00942B01"/>
    <w:rsid w:val="00942B3F"/>
    <w:rsid w:val="00943244"/>
    <w:rsid w:val="00943776"/>
    <w:rsid w:val="0094438B"/>
    <w:rsid w:val="0094474F"/>
    <w:rsid w:val="00944853"/>
    <w:rsid w:val="009448B8"/>
    <w:rsid w:val="00944DA4"/>
    <w:rsid w:val="00944E32"/>
    <w:rsid w:val="00945262"/>
    <w:rsid w:val="00945C84"/>
    <w:rsid w:val="00945CF7"/>
    <w:rsid w:val="009463C3"/>
    <w:rsid w:val="00946451"/>
    <w:rsid w:val="00947291"/>
    <w:rsid w:val="009476E1"/>
    <w:rsid w:val="00950085"/>
    <w:rsid w:val="00950406"/>
    <w:rsid w:val="00950AEF"/>
    <w:rsid w:val="00951003"/>
    <w:rsid w:val="009513F5"/>
    <w:rsid w:val="009514FB"/>
    <w:rsid w:val="00951588"/>
    <w:rsid w:val="009517FF"/>
    <w:rsid w:val="00951994"/>
    <w:rsid w:val="00952010"/>
    <w:rsid w:val="009522DA"/>
    <w:rsid w:val="0095241F"/>
    <w:rsid w:val="00952CA5"/>
    <w:rsid w:val="00952F34"/>
    <w:rsid w:val="0095303A"/>
    <w:rsid w:val="0095355B"/>
    <w:rsid w:val="0095355C"/>
    <w:rsid w:val="00953DBB"/>
    <w:rsid w:val="00954ABC"/>
    <w:rsid w:val="0095640C"/>
    <w:rsid w:val="00956420"/>
    <w:rsid w:val="0095648E"/>
    <w:rsid w:val="0095668D"/>
    <w:rsid w:val="0095699F"/>
    <w:rsid w:val="00956ADF"/>
    <w:rsid w:val="00956C25"/>
    <w:rsid w:val="00956DE5"/>
    <w:rsid w:val="0095716E"/>
    <w:rsid w:val="00957240"/>
    <w:rsid w:val="009607B8"/>
    <w:rsid w:val="00960825"/>
    <w:rsid w:val="0096091E"/>
    <w:rsid w:val="00960CEC"/>
    <w:rsid w:val="009612B2"/>
    <w:rsid w:val="009613B3"/>
    <w:rsid w:val="00961561"/>
    <w:rsid w:val="00961874"/>
    <w:rsid w:val="009630C4"/>
    <w:rsid w:val="0096321C"/>
    <w:rsid w:val="009633DB"/>
    <w:rsid w:val="00963BC2"/>
    <w:rsid w:val="0096412E"/>
    <w:rsid w:val="00964BCA"/>
    <w:rsid w:val="00964FA0"/>
    <w:rsid w:val="00965422"/>
    <w:rsid w:val="0096593A"/>
    <w:rsid w:val="009664A9"/>
    <w:rsid w:val="009667CC"/>
    <w:rsid w:val="009667CE"/>
    <w:rsid w:val="00966824"/>
    <w:rsid w:val="009668E2"/>
    <w:rsid w:val="00966C5B"/>
    <w:rsid w:val="00967B4F"/>
    <w:rsid w:val="00970536"/>
    <w:rsid w:val="009706B5"/>
    <w:rsid w:val="009711B4"/>
    <w:rsid w:val="009717BA"/>
    <w:rsid w:val="00971FB5"/>
    <w:rsid w:val="0097292C"/>
    <w:rsid w:val="00972BAF"/>
    <w:rsid w:val="00972DAC"/>
    <w:rsid w:val="00972DC3"/>
    <w:rsid w:val="00973082"/>
    <w:rsid w:val="009731BF"/>
    <w:rsid w:val="009738F1"/>
    <w:rsid w:val="00973DA9"/>
    <w:rsid w:val="0097451F"/>
    <w:rsid w:val="00974BC4"/>
    <w:rsid w:val="00974EB8"/>
    <w:rsid w:val="00975A85"/>
    <w:rsid w:val="00975FC6"/>
    <w:rsid w:val="009772DA"/>
    <w:rsid w:val="009779A5"/>
    <w:rsid w:val="009779C8"/>
    <w:rsid w:val="00980117"/>
    <w:rsid w:val="009808D3"/>
    <w:rsid w:val="00980937"/>
    <w:rsid w:val="00980B7B"/>
    <w:rsid w:val="00980FA6"/>
    <w:rsid w:val="00981079"/>
    <w:rsid w:val="00981280"/>
    <w:rsid w:val="0098129E"/>
    <w:rsid w:val="009819A5"/>
    <w:rsid w:val="00982130"/>
    <w:rsid w:val="00982C74"/>
    <w:rsid w:val="00983ADD"/>
    <w:rsid w:val="00983FDB"/>
    <w:rsid w:val="0098404D"/>
    <w:rsid w:val="00984180"/>
    <w:rsid w:val="009849E7"/>
    <w:rsid w:val="00984AAA"/>
    <w:rsid w:val="00984E4B"/>
    <w:rsid w:val="00984F09"/>
    <w:rsid w:val="0098514C"/>
    <w:rsid w:val="009851BB"/>
    <w:rsid w:val="00986DA2"/>
    <w:rsid w:val="00986DCD"/>
    <w:rsid w:val="00987288"/>
    <w:rsid w:val="009874D9"/>
    <w:rsid w:val="00987B54"/>
    <w:rsid w:val="009906C9"/>
    <w:rsid w:val="00990822"/>
    <w:rsid w:val="009909E8"/>
    <w:rsid w:val="0099140F"/>
    <w:rsid w:val="0099152D"/>
    <w:rsid w:val="00991933"/>
    <w:rsid w:val="00991D2F"/>
    <w:rsid w:val="009926B9"/>
    <w:rsid w:val="00992A3A"/>
    <w:rsid w:val="0099319E"/>
    <w:rsid w:val="00993CEF"/>
    <w:rsid w:val="00994008"/>
    <w:rsid w:val="009940A1"/>
    <w:rsid w:val="00994191"/>
    <w:rsid w:val="0099459D"/>
    <w:rsid w:val="009947E8"/>
    <w:rsid w:val="00994F4F"/>
    <w:rsid w:val="009952F2"/>
    <w:rsid w:val="0099588A"/>
    <w:rsid w:val="0099621D"/>
    <w:rsid w:val="009964F2"/>
    <w:rsid w:val="009968BB"/>
    <w:rsid w:val="009977E7"/>
    <w:rsid w:val="00997CA4"/>
    <w:rsid w:val="00997D84"/>
    <w:rsid w:val="009A0EFA"/>
    <w:rsid w:val="009A174B"/>
    <w:rsid w:val="009A1B5B"/>
    <w:rsid w:val="009A2BD0"/>
    <w:rsid w:val="009A2EFC"/>
    <w:rsid w:val="009A58C8"/>
    <w:rsid w:val="009A5F3B"/>
    <w:rsid w:val="009A6449"/>
    <w:rsid w:val="009A671C"/>
    <w:rsid w:val="009A67FF"/>
    <w:rsid w:val="009A6AF7"/>
    <w:rsid w:val="009A7B6F"/>
    <w:rsid w:val="009B002F"/>
    <w:rsid w:val="009B018E"/>
    <w:rsid w:val="009B01C2"/>
    <w:rsid w:val="009B045B"/>
    <w:rsid w:val="009B1DB0"/>
    <w:rsid w:val="009B207C"/>
    <w:rsid w:val="009B370F"/>
    <w:rsid w:val="009B4346"/>
    <w:rsid w:val="009B4566"/>
    <w:rsid w:val="009B4DCE"/>
    <w:rsid w:val="009B56E5"/>
    <w:rsid w:val="009B689E"/>
    <w:rsid w:val="009B6BBD"/>
    <w:rsid w:val="009B6C16"/>
    <w:rsid w:val="009B6D4F"/>
    <w:rsid w:val="009B6E9A"/>
    <w:rsid w:val="009B6EEB"/>
    <w:rsid w:val="009B7201"/>
    <w:rsid w:val="009B7492"/>
    <w:rsid w:val="009B763C"/>
    <w:rsid w:val="009B77A0"/>
    <w:rsid w:val="009B78AA"/>
    <w:rsid w:val="009C0676"/>
    <w:rsid w:val="009C0800"/>
    <w:rsid w:val="009C091E"/>
    <w:rsid w:val="009C0B09"/>
    <w:rsid w:val="009C12DE"/>
    <w:rsid w:val="009C138B"/>
    <w:rsid w:val="009C13B4"/>
    <w:rsid w:val="009C1AE0"/>
    <w:rsid w:val="009C1EBF"/>
    <w:rsid w:val="009C3152"/>
    <w:rsid w:val="009C33DD"/>
    <w:rsid w:val="009C3456"/>
    <w:rsid w:val="009C397A"/>
    <w:rsid w:val="009C3BA3"/>
    <w:rsid w:val="009C45D8"/>
    <w:rsid w:val="009C4810"/>
    <w:rsid w:val="009C514B"/>
    <w:rsid w:val="009C5318"/>
    <w:rsid w:val="009C56E6"/>
    <w:rsid w:val="009C5A24"/>
    <w:rsid w:val="009C5FF7"/>
    <w:rsid w:val="009C628C"/>
    <w:rsid w:val="009C6CE2"/>
    <w:rsid w:val="009C736E"/>
    <w:rsid w:val="009C764D"/>
    <w:rsid w:val="009C7940"/>
    <w:rsid w:val="009C7966"/>
    <w:rsid w:val="009C7FCA"/>
    <w:rsid w:val="009D0204"/>
    <w:rsid w:val="009D0257"/>
    <w:rsid w:val="009D0FAC"/>
    <w:rsid w:val="009D0FF9"/>
    <w:rsid w:val="009D13A5"/>
    <w:rsid w:val="009D1458"/>
    <w:rsid w:val="009D1812"/>
    <w:rsid w:val="009D18BE"/>
    <w:rsid w:val="009D21FE"/>
    <w:rsid w:val="009D2670"/>
    <w:rsid w:val="009D2DDA"/>
    <w:rsid w:val="009D3493"/>
    <w:rsid w:val="009D355E"/>
    <w:rsid w:val="009D380E"/>
    <w:rsid w:val="009D4074"/>
    <w:rsid w:val="009D4D6D"/>
    <w:rsid w:val="009D529B"/>
    <w:rsid w:val="009D5DF4"/>
    <w:rsid w:val="009D6270"/>
    <w:rsid w:val="009D6737"/>
    <w:rsid w:val="009D6A43"/>
    <w:rsid w:val="009D6CAD"/>
    <w:rsid w:val="009D6E6C"/>
    <w:rsid w:val="009D727F"/>
    <w:rsid w:val="009D738B"/>
    <w:rsid w:val="009D7648"/>
    <w:rsid w:val="009D774A"/>
    <w:rsid w:val="009D7E5C"/>
    <w:rsid w:val="009E159A"/>
    <w:rsid w:val="009E1785"/>
    <w:rsid w:val="009E19F4"/>
    <w:rsid w:val="009E1D38"/>
    <w:rsid w:val="009E1E8F"/>
    <w:rsid w:val="009E2433"/>
    <w:rsid w:val="009E26F5"/>
    <w:rsid w:val="009E27CA"/>
    <w:rsid w:val="009E284F"/>
    <w:rsid w:val="009E29C9"/>
    <w:rsid w:val="009E31FA"/>
    <w:rsid w:val="009E335B"/>
    <w:rsid w:val="009E3374"/>
    <w:rsid w:val="009E35A0"/>
    <w:rsid w:val="009E3691"/>
    <w:rsid w:val="009E36B6"/>
    <w:rsid w:val="009E42AB"/>
    <w:rsid w:val="009E481B"/>
    <w:rsid w:val="009E4B9C"/>
    <w:rsid w:val="009E4C04"/>
    <w:rsid w:val="009E5098"/>
    <w:rsid w:val="009E5243"/>
    <w:rsid w:val="009E5907"/>
    <w:rsid w:val="009E5AD6"/>
    <w:rsid w:val="009E5B2E"/>
    <w:rsid w:val="009E5D2D"/>
    <w:rsid w:val="009E6007"/>
    <w:rsid w:val="009E6218"/>
    <w:rsid w:val="009E68A9"/>
    <w:rsid w:val="009E7208"/>
    <w:rsid w:val="009E74F8"/>
    <w:rsid w:val="009F069D"/>
    <w:rsid w:val="009F0851"/>
    <w:rsid w:val="009F08ED"/>
    <w:rsid w:val="009F09AE"/>
    <w:rsid w:val="009F0B27"/>
    <w:rsid w:val="009F0B92"/>
    <w:rsid w:val="009F0D11"/>
    <w:rsid w:val="009F16FF"/>
    <w:rsid w:val="009F21BE"/>
    <w:rsid w:val="009F242C"/>
    <w:rsid w:val="009F28E5"/>
    <w:rsid w:val="009F294F"/>
    <w:rsid w:val="009F2A13"/>
    <w:rsid w:val="009F2DE1"/>
    <w:rsid w:val="009F2E51"/>
    <w:rsid w:val="009F3C85"/>
    <w:rsid w:val="009F3D21"/>
    <w:rsid w:val="009F4330"/>
    <w:rsid w:val="009F47AC"/>
    <w:rsid w:val="009F4A15"/>
    <w:rsid w:val="009F4C89"/>
    <w:rsid w:val="009F4F64"/>
    <w:rsid w:val="009F4FEA"/>
    <w:rsid w:val="009F52A8"/>
    <w:rsid w:val="009F58E1"/>
    <w:rsid w:val="009F5A95"/>
    <w:rsid w:val="009F5FD2"/>
    <w:rsid w:val="009F6990"/>
    <w:rsid w:val="009F7288"/>
    <w:rsid w:val="009F7FAA"/>
    <w:rsid w:val="00A00106"/>
    <w:rsid w:val="00A00281"/>
    <w:rsid w:val="00A00608"/>
    <w:rsid w:val="00A00983"/>
    <w:rsid w:val="00A009F0"/>
    <w:rsid w:val="00A023FE"/>
    <w:rsid w:val="00A027C7"/>
    <w:rsid w:val="00A02CDF"/>
    <w:rsid w:val="00A03AF0"/>
    <w:rsid w:val="00A03C7A"/>
    <w:rsid w:val="00A04346"/>
    <w:rsid w:val="00A049AA"/>
    <w:rsid w:val="00A049BB"/>
    <w:rsid w:val="00A04F8A"/>
    <w:rsid w:val="00A05321"/>
    <w:rsid w:val="00A05D31"/>
    <w:rsid w:val="00A0626D"/>
    <w:rsid w:val="00A06868"/>
    <w:rsid w:val="00A06FBB"/>
    <w:rsid w:val="00A0743E"/>
    <w:rsid w:val="00A07547"/>
    <w:rsid w:val="00A07CC6"/>
    <w:rsid w:val="00A10047"/>
    <w:rsid w:val="00A107EA"/>
    <w:rsid w:val="00A11171"/>
    <w:rsid w:val="00A111AC"/>
    <w:rsid w:val="00A11422"/>
    <w:rsid w:val="00A11722"/>
    <w:rsid w:val="00A11AF8"/>
    <w:rsid w:val="00A11BEF"/>
    <w:rsid w:val="00A11F5E"/>
    <w:rsid w:val="00A11F72"/>
    <w:rsid w:val="00A12410"/>
    <w:rsid w:val="00A12651"/>
    <w:rsid w:val="00A12A39"/>
    <w:rsid w:val="00A12AA6"/>
    <w:rsid w:val="00A132A5"/>
    <w:rsid w:val="00A133E9"/>
    <w:rsid w:val="00A13614"/>
    <w:rsid w:val="00A139B3"/>
    <w:rsid w:val="00A13A05"/>
    <w:rsid w:val="00A13AAA"/>
    <w:rsid w:val="00A13D84"/>
    <w:rsid w:val="00A13F4E"/>
    <w:rsid w:val="00A14623"/>
    <w:rsid w:val="00A1467A"/>
    <w:rsid w:val="00A149B7"/>
    <w:rsid w:val="00A156A9"/>
    <w:rsid w:val="00A15BCB"/>
    <w:rsid w:val="00A15E78"/>
    <w:rsid w:val="00A16664"/>
    <w:rsid w:val="00A16776"/>
    <w:rsid w:val="00A16AB6"/>
    <w:rsid w:val="00A170A6"/>
    <w:rsid w:val="00A17498"/>
    <w:rsid w:val="00A17E1D"/>
    <w:rsid w:val="00A212F3"/>
    <w:rsid w:val="00A21963"/>
    <w:rsid w:val="00A22479"/>
    <w:rsid w:val="00A2257B"/>
    <w:rsid w:val="00A2334F"/>
    <w:rsid w:val="00A2350A"/>
    <w:rsid w:val="00A242D4"/>
    <w:rsid w:val="00A24526"/>
    <w:rsid w:val="00A24CD9"/>
    <w:rsid w:val="00A24D0D"/>
    <w:rsid w:val="00A25540"/>
    <w:rsid w:val="00A27DC2"/>
    <w:rsid w:val="00A27DFC"/>
    <w:rsid w:val="00A27F2D"/>
    <w:rsid w:val="00A3026A"/>
    <w:rsid w:val="00A302F6"/>
    <w:rsid w:val="00A314E8"/>
    <w:rsid w:val="00A317D2"/>
    <w:rsid w:val="00A31882"/>
    <w:rsid w:val="00A31C58"/>
    <w:rsid w:val="00A3274F"/>
    <w:rsid w:val="00A328A8"/>
    <w:rsid w:val="00A32F5C"/>
    <w:rsid w:val="00A331EE"/>
    <w:rsid w:val="00A33E2B"/>
    <w:rsid w:val="00A33FE2"/>
    <w:rsid w:val="00A34735"/>
    <w:rsid w:val="00A34D64"/>
    <w:rsid w:val="00A34E92"/>
    <w:rsid w:val="00A34FBB"/>
    <w:rsid w:val="00A351CF"/>
    <w:rsid w:val="00A35532"/>
    <w:rsid w:val="00A361BE"/>
    <w:rsid w:val="00A36408"/>
    <w:rsid w:val="00A368AF"/>
    <w:rsid w:val="00A36AE3"/>
    <w:rsid w:val="00A36C29"/>
    <w:rsid w:val="00A36E00"/>
    <w:rsid w:val="00A374A2"/>
    <w:rsid w:val="00A37868"/>
    <w:rsid w:val="00A378C1"/>
    <w:rsid w:val="00A37EAE"/>
    <w:rsid w:val="00A40329"/>
    <w:rsid w:val="00A4058C"/>
    <w:rsid w:val="00A4066F"/>
    <w:rsid w:val="00A40BD7"/>
    <w:rsid w:val="00A41DD5"/>
    <w:rsid w:val="00A42141"/>
    <w:rsid w:val="00A421E7"/>
    <w:rsid w:val="00A42D5C"/>
    <w:rsid w:val="00A4327E"/>
    <w:rsid w:val="00A43813"/>
    <w:rsid w:val="00A43FFD"/>
    <w:rsid w:val="00A4421B"/>
    <w:rsid w:val="00A4463B"/>
    <w:rsid w:val="00A44F78"/>
    <w:rsid w:val="00A4554F"/>
    <w:rsid w:val="00A459A7"/>
    <w:rsid w:val="00A45A41"/>
    <w:rsid w:val="00A4622A"/>
    <w:rsid w:val="00A46ECF"/>
    <w:rsid w:val="00A47056"/>
    <w:rsid w:val="00A475EF"/>
    <w:rsid w:val="00A50373"/>
    <w:rsid w:val="00A50903"/>
    <w:rsid w:val="00A509A7"/>
    <w:rsid w:val="00A50DF5"/>
    <w:rsid w:val="00A50F6F"/>
    <w:rsid w:val="00A51AF5"/>
    <w:rsid w:val="00A51B27"/>
    <w:rsid w:val="00A51C6F"/>
    <w:rsid w:val="00A5202C"/>
    <w:rsid w:val="00A520CD"/>
    <w:rsid w:val="00A5228E"/>
    <w:rsid w:val="00A528BD"/>
    <w:rsid w:val="00A52B04"/>
    <w:rsid w:val="00A52B35"/>
    <w:rsid w:val="00A52C4F"/>
    <w:rsid w:val="00A53AC6"/>
    <w:rsid w:val="00A53B5F"/>
    <w:rsid w:val="00A53E71"/>
    <w:rsid w:val="00A54044"/>
    <w:rsid w:val="00A5429D"/>
    <w:rsid w:val="00A54909"/>
    <w:rsid w:val="00A54A52"/>
    <w:rsid w:val="00A554F6"/>
    <w:rsid w:val="00A5577D"/>
    <w:rsid w:val="00A55BF9"/>
    <w:rsid w:val="00A56391"/>
    <w:rsid w:val="00A563BE"/>
    <w:rsid w:val="00A567A2"/>
    <w:rsid w:val="00A57128"/>
    <w:rsid w:val="00A60089"/>
    <w:rsid w:val="00A60100"/>
    <w:rsid w:val="00A60533"/>
    <w:rsid w:val="00A606A0"/>
    <w:rsid w:val="00A616D6"/>
    <w:rsid w:val="00A61E50"/>
    <w:rsid w:val="00A62180"/>
    <w:rsid w:val="00A63540"/>
    <w:rsid w:val="00A63EFC"/>
    <w:rsid w:val="00A63F02"/>
    <w:rsid w:val="00A6400A"/>
    <w:rsid w:val="00A649CA"/>
    <w:rsid w:val="00A64ADB"/>
    <w:rsid w:val="00A64B14"/>
    <w:rsid w:val="00A64F3A"/>
    <w:rsid w:val="00A64FA3"/>
    <w:rsid w:val="00A65487"/>
    <w:rsid w:val="00A657B1"/>
    <w:rsid w:val="00A65A74"/>
    <w:rsid w:val="00A65C3D"/>
    <w:rsid w:val="00A65C48"/>
    <w:rsid w:val="00A66A6C"/>
    <w:rsid w:val="00A66BF1"/>
    <w:rsid w:val="00A66E53"/>
    <w:rsid w:val="00A67921"/>
    <w:rsid w:val="00A67C94"/>
    <w:rsid w:val="00A67EAF"/>
    <w:rsid w:val="00A70B14"/>
    <w:rsid w:val="00A70C33"/>
    <w:rsid w:val="00A71C35"/>
    <w:rsid w:val="00A72118"/>
    <w:rsid w:val="00A723CD"/>
    <w:rsid w:val="00A7245C"/>
    <w:rsid w:val="00A7249D"/>
    <w:rsid w:val="00A7269B"/>
    <w:rsid w:val="00A72D42"/>
    <w:rsid w:val="00A73195"/>
    <w:rsid w:val="00A73F1E"/>
    <w:rsid w:val="00A7414E"/>
    <w:rsid w:val="00A74871"/>
    <w:rsid w:val="00A75B32"/>
    <w:rsid w:val="00A76128"/>
    <w:rsid w:val="00A7663A"/>
    <w:rsid w:val="00A767C7"/>
    <w:rsid w:val="00A76A2D"/>
    <w:rsid w:val="00A76C32"/>
    <w:rsid w:val="00A76D4B"/>
    <w:rsid w:val="00A76D9E"/>
    <w:rsid w:val="00A7700E"/>
    <w:rsid w:val="00A770EB"/>
    <w:rsid w:val="00A77AC0"/>
    <w:rsid w:val="00A77EEC"/>
    <w:rsid w:val="00A80159"/>
    <w:rsid w:val="00A80452"/>
    <w:rsid w:val="00A80C06"/>
    <w:rsid w:val="00A813E7"/>
    <w:rsid w:val="00A8172D"/>
    <w:rsid w:val="00A81834"/>
    <w:rsid w:val="00A81F33"/>
    <w:rsid w:val="00A82360"/>
    <w:rsid w:val="00A825D0"/>
    <w:rsid w:val="00A82EC7"/>
    <w:rsid w:val="00A82ED5"/>
    <w:rsid w:val="00A82FA2"/>
    <w:rsid w:val="00A83839"/>
    <w:rsid w:val="00A8482C"/>
    <w:rsid w:val="00A851F5"/>
    <w:rsid w:val="00A8565E"/>
    <w:rsid w:val="00A858B7"/>
    <w:rsid w:val="00A85AD1"/>
    <w:rsid w:val="00A85BD4"/>
    <w:rsid w:val="00A8634A"/>
    <w:rsid w:val="00A8663A"/>
    <w:rsid w:val="00A8695F"/>
    <w:rsid w:val="00A875CC"/>
    <w:rsid w:val="00A87611"/>
    <w:rsid w:val="00A87A4C"/>
    <w:rsid w:val="00A87E2B"/>
    <w:rsid w:val="00A90323"/>
    <w:rsid w:val="00A9167D"/>
    <w:rsid w:val="00A91817"/>
    <w:rsid w:val="00A919B2"/>
    <w:rsid w:val="00A91C83"/>
    <w:rsid w:val="00A91E01"/>
    <w:rsid w:val="00A92237"/>
    <w:rsid w:val="00A92340"/>
    <w:rsid w:val="00A92711"/>
    <w:rsid w:val="00A92CC4"/>
    <w:rsid w:val="00A93810"/>
    <w:rsid w:val="00A93BDF"/>
    <w:rsid w:val="00A93C70"/>
    <w:rsid w:val="00A93D43"/>
    <w:rsid w:val="00A94181"/>
    <w:rsid w:val="00A942A5"/>
    <w:rsid w:val="00A942B2"/>
    <w:rsid w:val="00A9445F"/>
    <w:rsid w:val="00A94C99"/>
    <w:rsid w:val="00A95784"/>
    <w:rsid w:val="00A95A0A"/>
    <w:rsid w:val="00A975AD"/>
    <w:rsid w:val="00A975C6"/>
    <w:rsid w:val="00AA00FF"/>
    <w:rsid w:val="00AA019E"/>
    <w:rsid w:val="00AA01C6"/>
    <w:rsid w:val="00AA05A2"/>
    <w:rsid w:val="00AA09B2"/>
    <w:rsid w:val="00AA09C6"/>
    <w:rsid w:val="00AA18E2"/>
    <w:rsid w:val="00AA1987"/>
    <w:rsid w:val="00AA1B41"/>
    <w:rsid w:val="00AA1DA3"/>
    <w:rsid w:val="00AA2786"/>
    <w:rsid w:val="00AA28EA"/>
    <w:rsid w:val="00AA316F"/>
    <w:rsid w:val="00AA3484"/>
    <w:rsid w:val="00AA38AA"/>
    <w:rsid w:val="00AA3C97"/>
    <w:rsid w:val="00AA3F45"/>
    <w:rsid w:val="00AA4192"/>
    <w:rsid w:val="00AA4B35"/>
    <w:rsid w:val="00AA51ED"/>
    <w:rsid w:val="00AA541C"/>
    <w:rsid w:val="00AA5F1B"/>
    <w:rsid w:val="00AA6357"/>
    <w:rsid w:val="00AA6B1C"/>
    <w:rsid w:val="00AA6DCF"/>
    <w:rsid w:val="00AA6E02"/>
    <w:rsid w:val="00AA78D0"/>
    <w:rsid w:val="00AA7B38"/>
    <w:rsid w:val="00AA7F8C"/>
    <w:rsid w:val="00AB084D"/>
    <w:rsid w:val="00AB0D16"/>
    <w:rsid w:val="00AB1198"/>
    <w:rsid w:val="00AB1969"/>
    <w:rsid w:val="00AB1CB1"/>
    <w:rsid w:val="00AB1D1E"/>
    <w:rsid w:val="00AB1DC1"/>
    <w:rsid w:val="00AB27CB"/>
    <w:rsid w:val="00AB2BF2"/>
    <w:rsid w:val="00AB2CA5"/>
    <w:rsid w:val="00AB39E5"/>
    <w:rsid w:val="00AB3C2E"/>
    <w:rsid w:val="00AB3C32"/>
    <w:rsid w:val="00AB4065"/>
    <w:rsid w:val="00AB4179"/>
    <w:rsid w:val="00AB4273"/>
    <w:rsid w:val="00AB4385"/>
    <w:rsid w:val="00AB43A1"/>
    <w:rsid w:val="00AB4631"/>
    <w:rsid w:val="00AB46D2"/>
    <w:rsid w:val="00AB4C82"/>
    <w:rsid w:val="00AB55E2"/>
    <w:rsid w:val="00AB5696"/>
    <w:rsid w:val="00AB5A39"/>
    <w:rsid w:val="00AB6065"/>
    <w:rsid w:val="00AB60CF"/>
    <w:rsid w:val="00AB614D"/>
    <w:rsid w:val="00AB630D"/>
    <w:rsid w:val="00AB6D89"/>
    <w:rsid w:val="00AB726B"/>
    <w:rsid w:val="00AB7850"/>
    <w:rsid w:val="00AC011E"/>
    <w:rsid w:val="00AC014B"/>
    <w:rsid w:val="00AC0A4B"/>
    <w:rsid w:val="00AC21FE"/>
    <w:rsid w:val="00AC2275"/>
    <w:rsid w:val="00AC2356"/>
    <w:rsid w:val="00AC25CE"/>
    <w:rsid w:val="00AC2BD9"/>
    <w:rsid w:val="00AC30CE"/>
    <w:rsid w:val="00AC31F4"/>
    <w:rsid w:val="00AC353A"/>
    <w:rsid w:val="00AC3ABA"/>
    <w:rsid w:val="00AC51FC"/>
    <w:rsid w:val="00AC5273"/>
    <w:rsid w:val="00AC5A45"/>
    <w:rsid w:val="00AC61E9"/>
    <w:rsid w:val="00AC6552"/>
    <w:rsid w:val="00AC68B6"/>
    <w:rsid w:val="00AC6B4C"/>
    <w:rsid w:val="00AC6E6D"/>
    <w:rsid w:val="00AC6FDB"/>
    <w:rsid w:val="00AD0865"/>
    <w:rsid w:val="00AD0E36"/>
    <w:rsid w:val="00AD0EB7"/>
    <w:rsid w:val="00AD1CD3"/>
    <w:rsid w:val="00AD1F7D"/>
    <w:rsid w:val="00AD243C"/>
    <w:rsid w:val="00AD3470"/>
    <w:rsid w:val="00AD371E"/>
    <w:rsid w:val="00AD3766"/>
    <w:rsid w:val="00AD3DBD"/>
    <w:rsid w:val="00AD4370"/>
    <w:rsid w:val="00AD44A0"/>
    <w:rsid w:val="00AD469E"/>
    <w:rsid w:val="00AD4BB1"/>
    <w:rsid w:val="00AD4D22"/>
    <w:rsid w:val="00AD4D24"/>
    <w:rsid w:val="00AD4D43"/>
    <w:rsid w:val="00AD5A6C"/>
    <w:rsid w:val="00AD61F1"/>
    <w:rsid w:val="00AD620C"/>
    <w:rsid w:val="00AD67BA"/>
    <w:rsid w:val="00AD67C6"/>
    <w:rsid w:val="00AD7971"/>
    <w:rsid w:val="00AD79A5"/>
    <w:rsid w:val="00AD7CFD"/>
    <w:rsid w:val="00AD7DB6"/>
    <w:rsid w:val="00AE0390"/>
    <w:rsid w:val="00AE04AA"/>
    <w:rsid w:val="00AE0509"/>
    <w:rsid w:val="00AE075E"/>
    <w:rsid w:val="00AE0920"/>
    <w:rsid w:val="00AE09BD"/>
    <w:rsid w:val="00AE0A59"/>
    <w:rsid w:val="00AE0AC3"/>
    <w:rsid w:val="00AE0C5B"/>
    <w:rsid w:val="00AE1BCC"/>
    <w:rsid w:val="00AE267F"/>
    <w:rsid w:val="00AE27D7"/>
    <w:rsid w:val="00AE3693"/>
    <w:rsid w:val="00AE3867"/>
    <w:rsid w:val="00AE420B"/>
    <w:rsid w:val="00AE46E5"/>
    <w:rsid w:val="00AE4871"/>
    <w:rsid w:val="00AE50C5"/>
    <w:rsid w:val="00AE5450"/>
    <w:rsid w:val="00AE58E3"/>
    <w:rsid w:val="00AE599B"/>
    <w:rsid w:val="00AE6225"/>
    <w:rsid w:val="00AE6402"/>
    <w:rsid w:val="00AE650A"/>
    <w:rsid w:val="00AE67F2"/>
    <w:rsid w:val="00AE6B2F"/>
    <w:rsid w:val="00AE6C93"/>
    <w:rsid w:val="00AE6CD4"/>
    <w:rsid w:val="00AE7291"/>
    <w:rsid w:val="00AE7875"/>
    <w:rsid w:val="00AE7BD0"/>
    <w:rsid w:val="00AE7D6C"/>
    <w:rsid w:val="00AE7FF0"/>
    <w:rsid w:val="00AF00DA"/>
    <w:rsid w:val="00AF049F"/>
    <w:rsid w:val="00AF07AA"/>
    <w:rsid w:val="00AF0CFB"/>
    <w:rsid w:val="00AF1B77"/>
    <w:rsid w:val="00AF1D30"/>
    <w:rsid w:val="00AF1F6D"/>
    <w:rsid w:val="00AF202A"/>
    <w:rsid w:val="00AF237B"/>
    <w:rsid w:val="00AF2572"/>
    <w:rsid w:val="00AF2A54"/>
    <w:rsid w:val="00AF2E33"/>
    <w:rsid w:val="00AF32CB"/>
    <w:rsid w:val="00AF3E3C"/>
    <w:rsid w:val="00AF40D3"/>
    <w:rsid w:val="00AF44E1"/>
    <w:rsid w:val="00AF545D"/>
    <w:rsid w:val="00AF5B6B"/>
    <w:rsid w:val="00AF6093"/>
    <w:rsid w:val="00AF6837"/>
    <w:rsid w:val="00AF68C5"/>
    <w:rsid w:val="00AF6FCB"/>
    <w:rsid w:val="00B00837"/>
    <w:rsid w:val="00B009A7"/>
    <w:rsid w:val="00B00B26"/>
    <w:rsid w:val="00B00D68"/>
    <w:rsid w:val="00B013B1"/>
    <w:rsid w:val="00B01655"/>
    <w:rsid w:val="00B02694"/>
    <w:rsid w:val="00B02E5C"/>
    <w:rsid w:val="00B032F0"/>
    <w:rsid w:val="00B0380B"/>
    <w:rsid w:val="00B038D0"/>
    <w:rsid w:val="00B04350"/>
    <w:rsid w:val="00B04431"/>
    <w:rsid w:val="00B04985"/>
    <w:rsid w:val="00B04EE7"/>
    <w:rsid w:val="00B05079"/>
    <w:rsid w:val="00B05BB9"/>
    <w:rsid w:val="00B05D30"/>
    <w:rsid w:val="00B060F4"/>
    <w:rsid w:val="00B062DF"/>
    <w:rsid w:val="00B0672C"/>
    <w:rsid w:val="00B0693D"/>
    <w:rsid w:val="00B07342"/>
    <w:rsid w:val="00B07E10"/>
    <w:rsid w:val="00B11967"/>
    <w:rsid w:val="00B11C46"/>
    <w:rsid w:val="00B1259D"/>
    <w:rsid w:val="00B12F4C"/>
    <w:rsid w:val="00B13756"/>
    <w:rsid w:val="00B138C3"/>
    <w:rsid w:val="00B13A0E"/>
    <w:rsid w:val="00B13D62"/>
    <w:rsid w:val="00B1405D"/>
    <w:rsid w:val="00B142E1"/>
    <w:rsid w:val="00B1449B"/>
    <w:rsid w:val="00B14531"/>
    <w:rsid w:val="00B14787"/>
    <w:rsid w:val="00B14AB4"/>
    <w:rsid w:val="00B14D2E"/>
    <w:rsid w:val="00B1509A"/>
    <w:rsid w:val="00B15377"/>
    <w:rsid w:val="00B15820"/>
    <w:rsid w:val="00B15822"/>
    <w:rsid w:val="00B15AEC"/>
    <w:rsid w:val="00B15CF5"/>
    <w:rsid w:val="00B16BED"/>
    <w:rsid w:val="00B16D64"/>
    <w:rsid w:val="00B1722A"/>
    <w:rsid w:val="00B177AB"/>
    <w:rsid w:val="00B20568"/>
    <w:rsid w:val="00B20657"/>
    <w:rsid w:val="00B20756"/>
    <w:rsid w:val="00B20BA2"/>
    <w:rsid w:val="00B20E89"/>
    <w:rsid w:val="00B20EB0"/>
    <w:rsid w:val="00B21451"/>
    <w:rsid w:val="00B2150F"/>
    <w:rsid w:val="00B21FCE"/>
    <w:rsid w:val="00B2227E"/>
    <w:rsid w:val="00B22AA7"/>
    <w:rsid w:val="00B22FB3"/>
    <w:rsid w:val="00B23518"/>
    <w:rsid w:val="00B2369D"/>
    <w:rsid w:val="00B2396B"/>
    <w:rsid w:val="00B243EC"/>
    <w:rsid w:val="00B24704"/>
    <w:rsid w:val="00B2492D"/>
    <w:rsid w:val="00B24A1F"/>
    <w:rsid w:val="00B24B85"/>
    <w:rsid w:val="00B24DE0"/>
    <w:rsid w:val="00B25222"/>
    <w:rsid w:val="00B25301"/>
    <w:rsid w:val="00B25441"/>
    <w:rsid w:val="00B254DA"/>
    <w:rsid w:val="00B2580B"/>
    <w:rsid w:val="00B25B15"/>
    <w:rsid w:val="00B2631E"/>
    <w:rsid w:val="00B26F0E"/>
    <w:rsid w:val="00B27507"/>
    <w:rsid w:val="00B27CF8"/>
    <w:rsid w:val="00B30141"/>
    <w:rsid w:val="00B30175"/>
    <w:rsid w:val="00B30568"/>
    <w:rsid w:val="00B3057B"/>
    <w:rsid w:val="00B3092E"/>
    <w:rsid w:val="00B30C38"/>
    <w:rsid w:val="00B314C9"/>
    <w:rsid w:val="00B317B7"/>
    <w:rsid w:val="00B31D26"/>
    <w:rsid w:val="00B31DD1"/>
    <w:rsid w:val="00B3212E"/>
    <w:rsid w:val="00B32CDF"/>
    <w:rsid w:val="00B32F18"/>
    <w:rsid w:val="00B33034"/>
    <w:rsid w:val="00B330D9"/>
    <w:rsid w:val="00B33103"/>
    <w:rsid w:val="00B334D1"/>
    <w:rsid w:val="00B33BE7"/>
    <w:rsid w:val="00B340B9"/>
    <w:rsid w:val="00B34418"/>
    <w:rsid w:val="00B344B9"/>
    <w:rsid w:val="00B3452A"/>
    <w:rsid w:val="00B35072"/>
    <w:rsid w:val="00B352B5"/>
    <w:rsid w:val="00B3597A"/>
    <w:rsid w:val="00B35C8B"/>
    <w:rsid w:val="00B3675A"/>
    <w:rsid w:val="00B370C9"/>
    <w:rsid w:val="00B37439"/>
    <w:rsid w:val="00B379FC"/>
    <w:rsid w:val="00B37FDA"/>
    <w:rsid w:val="00B4015A"/>
    <w:rsid w:val="00B409E4"/>
    <w:rsid w:val="00B40B0A"/>
    <w:rsid w:val="00B40BF6"/>
    <w:rsid w:val="00B4257A"/>
    <w:rsid w:val="00B425CE"/>
    <w:rsid w:val="00B425F1"/>
    <w:rsid w:val="00B42E69"/>
    <w:rsid w:val="00B430BE"/>
    <w:rsid w:val="00B43394"/>
    <w:rsid w:val="00B4341C"/>
    <w:rsid w:val="00B43B5B"/>
    <w:rsid w:val="00B45023"/>
    <w:rsid w:val="00B452C1"/>
    <w:rsid w:val="00B458BB"/>
    <w:rsid w:val="00B45902"/>
    <w:rsid w:val="00B46146"/>
    <w:rsid w:val="00B46A28"/>
    <w:rsid w:val="00B46FD6"/>
    <w:rsid w:val="00B470A4"/>
    <w:rsid w:val="00B4714E"/>
    <w:rsid w:val="00B5069C"/>
    <w:rsid w:val="00B50A33"/>
    <w:rsid w:val="00B50B32"/>
    <w:rsid w:val="00B50D69"/>
    <w:rsid w:val="00B519D1"/>
    <w:rsid w:val="00B531F5"/>
    <w:rsid w:val="00B532D7"/>
    <w:rsid w:val="00B53724"/>
    <w:rsid w:val="00B53735"/>
    <w:rsid w:val="00B53C3B"/>
    <w:rsid w:val="00B53D39"/>
    <w:rsid w:val="00B53EED"/>
    <w:rsid w:val="00B543A9"/>
    <w:rsid w:val="00B551BA"/>
    <w:rsid w:val="00B5559A"/>
    <w:rsid w:val="00B55B20"/>
    <w:rsid w:val="00B56317"/>
    <w:rsid w:val="00B5639F"/>
    <w:rsid w:val="00B5678F"/>
    <w:rsid w:val="00B56D4E"/>
    <w:rsid w:val="00B56DFB"/>
    <w:rsid w:val="00B572FA"/>
    <w:rsid w:val="00B605AB"/>
    <w:rsid w:val="00B60623"/>
    <w:rsid w:val="00B60774"/>
    <w:rsid w:val="00B608C9"/>
    <w:rsid w:val="00B60A71"/>
    <w:rsid w:val="00B60D3C"/>
    <w:rsid w:val="00B60ECA"/>
    <w:rsid w:val="00B60FFC"/>
    <w:rsid w:val="00B619A9"/>
    <w:rsid w:val="00B61CC8"/>
    <w:rsid w:val="00B6229C"/>
    <w:rsid w:val="00B62E54"/>
    <w:rsid w:val="00B62EEF"/>
    <w:rsid w:val="00B62F16"/>
    <w:rsid w:val="00B63660"/>
    <w:rsid w:val="00B6372D"/>
    <w:rsid w:val="00B63A84"/>
    <w:rsid w:val="00B63D10"/>
    <w:rsid w:val="00B63ED5"/>
    <w:rsid w:val="00B6411C"/>
    <w:rsid w:val="00B64470"/>
    <w:rsid w:val="00B6456C"/>
    <w:rsid w:val="00B64AFB"/>
    <w:rsid w:val="00B654EF"/>
    <w:rsid w:val="00B65B1E"/>
    <w:rsid w:val="00B65C09"/>
    <w:rsid w:val="00B66355"/>
    <w:rsid w:val="00B66B42"/>
    <w:rsid w:val="00B66B5A"/>
    <w:rsid w:val="00B66EAD"/>
    <w:rsid w:val="00B67200"/>
    <w:rsid w:val="00B6723A"/>
    <w:rsid w:val="00B67509"/>
    <w:rsid w:val="00B70127"/>
    <w:rsid w:val="00B7105F"/>
    <w:rsid w:val="00B71227"/>
    <w:rsid w:val="00B7154D"/>
    <w:rsid w:val="00B7198B"/>
    <w:rsid w:val="00B71A2D"/>
    <w:rsid w:val="00B71E91"/>
    <w:rsid w:val="00B721B9"/>
    <w:rsid w:val="00B72216"/>
    <w:rsid w:val="00B7230E"/>
    <w:rsid w:val="00B72D15"/>
    <w:rsid w:val="00B7335F"/>
    <w:rsid w:val="00B73BBD"/>
    <w:rsid w:val="00B74019"/>
    <w:rsid w:val="00B74771"/>
    <w:rsid w:val="00B74F7B"/>
    <w:rsid w:val="00B74FE9"/>
    <w:rsid w:val="00B762D3"/>
    <w:rsid w:val="00B764DA"/>
    <w:rsid w:val="00B767F0"/>
    <w:rsid w:val="00B77400"/>
    <w:rsid w:val="00B774BB"/>
    <w:rsid w:val="00B7779E"/>
    <w:rsid w:val="00B77A0E"/>
    <w:rsid w:val="00B77F3C"/>
    <w:rsid w:val="00B80BF3"/>
    <w:rsid w:val="00B80F34"/>
    <w:rsid w:val="00B82496"/>
    <w:rsid w:val="00B8258A"/>
    <w:rsid w:val="00B82690"/>
    <w:rsid w:val="00B82703"/>
    <w:rsid w:val="00B82AE5"/>
    <w:rsid w:val="00B8361F"/>
    <w:rsid w:val="00B836E6"/>
    <w:rsid w:val="00B83871"/>
    <w:rsid w:val="00B83AF1"/>
    <w:rsid w:val="00B83F8B"/>
    <w:rsid w:val="00B8451A"/>
    <w:rsid w:val="00B84799"/>
    <w:rsid w:val="00B84CB2"/>
    <w:rsid w:val="00B85254"/>
    <w:rsid w:val="00B857A1"/>
    <w:rsid w:val="00B857E3"/>
    <w:rsid w:val="00B85CB1"/>
    <w:rsid w:val="00B85EC7"/>
    <w:rsid w:val="00B861A7"/>
    <w:rsid w:val="00B866D5"/>
    <w:rsid w:val="00B86C09"/>
    <w:rsid w:val="00B86CEE"/>
    <w:rsid w:val="00B87114"/>
    <w:rsid w:val="00B8768D"/>
    <w:rsid w:val="00B879FB"/>
    <w:rsid w:val="00B87DED"/>
    <w:rsid w:val="00B90D73"/>
    <w:rsid w:val="00B90EFD"/>
    <w:rsid w:val="00B91086"/>
    <w:rsid w:val="00B9120F"/>
    <w:rsid w:val="00B915F5"/>
    <w:rsid w:val="00B921CF"/>
    <w:rsid w:val="00B92979"/>
    <w:rsid w:val="00B933A1"/>
    <w:rsid w:val="00B93742"/>
    <w:rsid w:val="00B94591"/>
    <w:rsid w:val="00B94AFF"/>
    <w:rsid w:val="00B94CF6"/>
    <w:rsid w:val="00B95247"/>
    <w:rsid w:val="00B95562"/>
    <w:rsid w:val="00B957F1"/>
    <w:rsid w:val="00B95B6F"/>
    <w:rsid w:val="00B9655E"/>
    <w:rsid w:val="00B96B1D"/>
    <w:rsid w:val="00B96B7F"/>
    <w:rsid w:val="00B97166"/>
    <w:rsid w:val="00B971E8"/>
    <w:rsid w:val="00BA0D7B"/>
    <w:rsid w:val="00BA15A9"/>
    <w:rsid w:val="00BA1609"/>
    <w:rsid w:val="00BA17DF"/>
    <w:rsid w:val="00BA19A9"/>
    <w:rsid w:val="00BA1E8C"/>
    <w:rsid w:val="00BA200B"/>
    <w:rsid w:val="00BA2130"/>
    <w:rsid w:val="00BA230E"/>
    <w:rsid w:val="00BA2403"/>
    <w:rsid w:val="00BA2669"/>
    <w:rsid w:val="00BA2BFC"/>
    <w:rsid w:val="00BA3162"/>
    <w:rsid w:val="00BA34BA"/>
    <w:rsid w:val="00BA4FEA"/>
    <w:rsid w:val="00BA535C"/>
    <w:rsid w:val="00BA551E"/>
    <w:rsid w:val="00BA60FA"/>
    <w:rsid w:val="00BA6130"/>
    <w:rsid w:val="00BA6967"/>
    <w:rsid w:val="00BA6E8D"/>
    <w:rsid w:val="00BA710D"/>
    <w:rsid w:val="00BA766F"/>
    <w:rsid w:val="00BB03A9"/>
    <w:rsid w:val="00BB080A"/>
    <w:rsid w:val="00BB0EBE"/>
    <w:rsid w:val="00BB1208"/>
    <w:rsid w:val="00BB1713"/>
    <w:rsid w:val="00BB1E7C"/>
    <w:rsid w:val="00BB2046"/>
    <w:rsid w:val="00BB2C2F"/>
    <w:rsid w:val="00BB2E9B"/>
    <w:rsid w:val="00BB370A"/>
    <w:rsid w:val="00BB3A9E"/>
    <w:rsid w:val="00BB3DD6"/>
    <w:rsid w:val="00BB3F4F"/>
    <w:rsid w:val="00BB5EAB"/>
    <w:rsid w:val="00BB6049"/>
    <w:rsid w:val="00BB6A40"/>
    <w:rsid w:val="00BB6E1A"/>
    <w:rsid w:val="00BB7012"/>
    <w:rsid w:val="00BB70B6"/>
    <w:rsid w:val="00BB7410"/>
    <w:rsid w:val="00BB7616"/>
    <w:rsid w:val="00BB7918"/>
    <w:rsid w:val="00BB7A0A"/>
    <w:rsid w:val="00BB7C47"/>
    <w:rsid w:val="00BC03CD"/>
    <w:rsid w:val="00BC189A"/>
    <w:rsid w:val="00BC2B2F"/>
    <w:rsid w:val="00BC2C4E"/>
    <w:rsid w:val="00BC37D9"/>
    <w:rsid w:val="00BC3A63"/>
    <w:rsid w:val="00BC43D1"/>
    <w:rsid w:val="00BC4905"/>
    <w:rsid w:val="00BC4D40"/>
    <w:rsid w:val="00BC5DFA"/>
    <w:rsid w:val="00BC6050"/>
    <w:rsid w:val="00BC6E7B"/>
    <w:rsid w:val="00BC7D90"/>
    <w:rsid w:val="00BC7DB1"/>
    <w:rsid w:val="00BC7E44"/>
    <w:rsid w:val="00BD016D"/>
    <w:rsid w:val="00BD0B32"/>
    <w:rsid w:val="00BD0D6D"/>
    <w:rsid w:val="00BD12E0"/>
    <w:rsid w:val="00BD19CC"/>
    <w:rsid w:val="00BD1BB7"/>
    <w:rsid w:val="00BD1D47"/>
    <w:rsid w:val="00BD2188"/>
    <w:rsid w:val="00BD22B6"/>
    <w:rsid w:val="00BD26E9"/>
    <w:rsid w:val="00BD2B05"/>
    <w:rsid w:val="00BD2DB0"/>
    <w:rsid w:val="00BD30DA"/>
    <w:rsid w:val="00BD3459"/>
    <w:rsid w:val="00BD363A"/>
    <w:rsid w:val="00BD3EA9"/>
    <w:rsid w:val="00BD452F"/>
    <w:rsid w:val="00BD4A19"/>
    <w:rsid w:val="00BD5455"/>
    <w:rsid w:val="00BD54A1"/>
    <w:rsid w:val="00BD556A"/>
    <w:rsid w:val="00BD56B9"/>
    <w:rsid w:val="00BD5AD7"/>
    <w:rsid w:val="00BD6270"/>
    <w:rsid w:val="00BD685F"/>
    <w:rsid w:val="00BD6A46"/>
    <w:rsid w:val="00BD6B2F"/>
    <w:rsid w:val="00BD6CA6"/>
    <w:rsid w:val="00BD735D"/>
    <w:rsid w:val="00BD74FE"/>
    <w:rsid w:val="00BD77ED"/>
    <w:rsid w:val="00BD7F8E"/>
    <w:rsid w:val="00BE007E"/>
    <w:rsid w:val="00BE0081"/>
    <w:rsid w:val="00BE2439"/>
    <w:rsid w:val="00BE2C0F"/>
    <w:rsid w:val="00BE2E01"/>
    <w:rsid w:val="00BE3712"/>
    <w:rsid w:val="00BE4008"/>
    <w:rsid w:val="00BE456D"/>
    <w:rsid w:val="00BE50AF"/>
    <w:rsid w:val="00BE58DD"/>
    <w:rsid w:val="00BE5DA8"/>
    <w:rsid w:val="00BE5EB1"/>
    <w:rsid w:val="00BE6342"/>
    <w:rsid w:val="00BE6545"/>
    <w:rsid w:val="00BE6C27"/>
    <w:rsid w:val="00BE6D65"/>
    <w:rsid w:val="00BE73B9"/>
    <w:rsid w:val="00BE761D"/>
    <w:rsid w:val="00BE77D1"/>
    <w:rsid w:val="00BE7D79"/>
    <w:rsid w:val="00BE7FCA"/>
    <w:rsid w:val="00BF0DDA"/>
    <w:rsid w:val="00BF112A"/>
    <w:rsid w:val="00BF11F7"/>
    <w:rsid w:val="00BF1509"/>
    <w:rsid w:val="00BF2A5C"/>
    <w:rsid w:val="00BF39A7"/>
    <w:rsid w:val="00BF3D06"/>
    <w:rsid w:val="00BF3EE5"/>
    <w:rsid w:val="00BF4061"/>
    <w:rsid w:val="00BF4202"/>
    <w:rsid w:val="00BF429D"/>
    <w:rsid w:val="00BF484D"/>
    <w:rsid w:val="00BF488B"/>
    <w:rsid w:val="00BF4C7E"/>
    <w:rsid w:val="00BF4FCB"/>
    <w:rsid w:val="00BF4FFA"/>
    <w:rsid w:val="00BF5816"/>
    <w:rsid w:val="00BF60E7"/>
    <w:rsid w:val="00BF66AD"/>
    <w:rsid w:val="00BF67E7"/>
    <w:rsid w:val="00BF7208"/>
    <w:rsid w:val="00BF72A9"/>
    <w:rsid w:val="00BF75A7"/>
    <w:rsid w:val="00BF77C3"/>
    <w:rsid w:val="00BF7CFB"/>
    <w:rsid w:val="00C0021F"/>
    <w:rsid w:val="00C002F6"/>
    <w:rsid w:val="00C00309"/>
    <w:rsid w:val="00C0140A"/>
    <w:rsid w:val="00C015AE"/>
    <w:rsid w:val="00C017F6"/>
    <w:rsid w:val="00C01CDE"/>
    <w:rsid w:val="00C01DD3"/>
    <w:rsid w:val="00C021AB"/>
    <w:rsid w:val="00C022EB"/>
    <w:rsid w:val="00C025A4"/>
    <w:rsid w:val="00C025E6"/>
    <w:rsid w:val="00C0302C"/>
    <w:rsid w:val="00C031E4"/>
    <w:rsid w:val="00C039A8"/>
    <w:rsid w:val="00C04060"/>
    <w:rsid w:val="00C045BE"/>
    <w:rsid w:val="00C047BB"/>
    <w:rsid w:val="00C0493A"/>
    <w:rsid w:val="00C0507D"/>
    <w:rsid w:val="00C0519C"/>
    <w:rsid w:val="00C05AEB"/>
    <w:rsid w:val="00C05B0D"/>
    <w:rsid w:val="00C064B2"/>
    <w:rsid w:val="00C06DD5"/>
    <w:rsid w:val="00C076DD"/>
    <w:rsid w:val="00C07E18"/>
    <w:rsid w:val="00C100D7"/>
    <w:rsid w:val="00C1022F"/>
    <w:rsid w:val="00C1049F"/>
    <w:rsid w:val="00C1123C"/>
    <w:rsid w:val="00C12565"/>
    <w:rsid w:val="00C12DA4"/>
    <w:rsid w:val="00C13040"/>
    <w:rsid w:val="00C1343A"/>
    <w:rsid w:val="00C13D7A"/>
    <w:rsid w:val="00C14145"/>
    <w:rsid w:val="00C143F1"/>
    <w:rsid w:val="00C14609"/>
    <w:rsid w:val="00C14A88"/>
    <w:rsid w:val="00C15602"/>
    <w:rsid w:val="00C15A49"/>
    <w:rsid w:val="00C15ACF"/>
    <w:rsid w:val="00C15C80"/>
    <w:rsid w:val="00C15E42"/>
    <w:rsid w:val="00C15F36"/>
    <w:rsid w:val="00C16E18"/>
    <w:rsid w:val="00C201FE"/>
    <w:rsid w:val="00C203EF"/>
    <w:rsid w:val="00C206E0"/>
    <w:rsid w:val="00C20EE0"/>
    <w:rsid w:val="00C20EE6"/>
    <w:rsid w:val="00C21144"/>
    <w:rsid w:val="00C21A7F"/>
    <w:rsid w:val="00C21D65"/>
    <w:rsid w:val="00C22B79"/>
    <w:rsid w:val="00C22BA6"/>
    <w:rsid w:val="00C22F04"/>
    <w:rsid w:val="00C23196"/>
    <w:rsid w:val="00C23BBD"/>
    <w:rsid w:val="00C23D05"/>
    <w:rsid w:val="00C23EC0"/>
    <w:rsid w:val="00C24207"/>
    <w:rsid w:val="00C2429E"/>
    <w:rsid w:val="00C24828"/>
    <w:rsid w:val="00C24838"/>
    <w:rsid w:val="00C248F3"/>
    <w:rsid w:val="00C24B3F"/>
    <w:rsid w:val="00C24C05"/>
    <w:rsid w:val="00C2519E"/>
    <w:rsid w:val="00C255ED"/>
    <w:rsid w:val="00C262CC"/>
    <w:rsid w:val="00C264EC"/>
    <w:rsid w:val="00C269D1"/>
    <w:rsid w:val="00C274F1"/>
    <w:rsid w:val="00C278D4"/>
    <w:rsid w:val="00C2793F"/>
    <w:rsid w:val="00C30072"/>
    <w:rsid w:val="00C302CE"/>
    <w:rsid w:val="00C30C08"/>
    <w:rsid w:val="00C30E44"/>
    <w:rsid w:val="00C30F53"/>
    <w:rsid w:val="00C32274"/>
    <w:rsid w:val="00C32A8F"/>
    <w:rsid w:val="00C33E08"/>
    <w:rsid w:val="00C34DC7"/>
    <w:rsid w:val="00C3503B"/>
    <w:rsid w:val="00C35638"/>
    <w:rsid w:val="00C35DE1"/>
    <w:rsid w:val="00C36233"/>
    <w:rsid w:val="00C36BA6"/>
    <w:rsid w:val="00C36DBC"/>
    <w:rsid w:val="00C36DFC"/>
    <w:rsid w:val="00C37F89"/>
    <w:rsid w:val="00C4053F"/>
    <w:rsid w:val="00C40D36"/>
    <w:rsid w:val="00C40E7D"/>
    <w:rsid w:val="00C410E6"/>
    <w:rsid w:val="00C418A1"/>
    <w:rsid w:val="00C41D5E"/>
    <w:rsid w:val="00C42C42"/>
    <w:rsid w:val="00C42DD8"/>
    <w:rsid w:val="00C43C7A"/>
    <w:rsid w:val="00C44021"/>
    <w:rsid w:val="00C444B8"/>
    <w:rsid w:val="00C4456C"/>
    <w:rsid w:val="00C4494A"/>
    <w:rsid w:val="00C44BB6"/>
    <w:rsid w:val="00C44E28"/>
    <w:rsid w:val="00C4501A"/>
    <w:rsid w:val="00C4668C"/>
    <w:rsid w:val="00C50103"/>
    <w:rsid w:val="00C5062F"/>
    <w:rsid w:val="00C50CA6"/>
    <w:rsid w:val="00C51B37"/>
    <w:rsid w:val="00C52543"/>
    <w:rsid w:val="00C5265F"/>
    <w:rsid w:val="00C52D72"/>
    <w:rsid w:val="00C5310B"/>
    <w:rsid w:val="00C533CA"/>
    <w:rsid w:val="00C537CC"/>
    <w:rsid w:val="00C53C78"/>
    <w:rsid w:val="00C56054"/>
    <w:rsid w:val="00C562AC"/>
    <w:rsid w:val="00C570AD"/>
    <w:rsid w:val="00C60216"/>
    <w:rsid w:val="00C60271"/>
    <w:rsid w:val="00C60632"/>
    <w:rsid w:val="00C606D7"/>
    <w:rsid w:val="00C61137"/>
    <w:rsid w:val="00C6164F"/>
    <w:rsid w:val="00C62280"/>
    <w:rsid w:val="00C62448"/>
    <w:rsid w:val="00C625E1"/>
    <w:rsid w:val="00C628F5"/>
    <w:rsid w:val="00C62CDE"/>
    <w:rsid w:val="00C62F6F"/>
    <w:rsid w:val="00C63462"/>
    <w:rsid w:val="00C636A0"/>
    <w:rsid w:val="00C639F1"/>
    <w:rsid w:val="00C63A50"/>
    <w:rsid w:val="00C64129"/>
    <w:rsid w:val="00C648FA"/>
    <w:rsid w:val="00C64E60"/>
    <w:rsid w:val="00C6589F"/>
    <w:rsid w:val="00C65A56"/>
    <w:rsid w:val="00C65E49"/>
    <w:rsid w:val="00C65E5C"/>
    <w:rsid w:val="00C65F5D"/>
    <w:rsid w:val="00C66219"/>
    <w:rsid w:val="00C66CBF"/>
    <w:rsid w:val="00C66E0B"/>
    <w:rsid w:val="00C671A4"/>
    <w:rsid w:val="00C6733C"/>
    <w:rsid w:val="00C675D7"/>
    <w:rsid w:val="00C67859"/>
    <w:rsid w:val="00C67A23"/>
    <w:rsid w:val="00C67D6D"/>
    <w:rsid w:val="00C67E8C"/>
    <w:rsid w:val="00C67F47"/>
    <w:rsid w:val="00C67FB2"/>
    <w:rsid w:val="00C70269"/>
    <w:rsid w:val="00C70291"/>
    <w:rsid w:val="00C707F7"/>
    <w:rsid w:val="00C70B59"/>
    <w:rsid w:val="00C70B78"/>
    <w:rsid w:val="00C70F60"/>
    <w:rsid w:val="00C712C0"/>
    <w:rsid w:val="00C71ADB"/>
    <w:rsid w:val="00C71B76"/>
    <w:rsid w:val="00C71E4E"/>
    <w:rsid w:val="00C71E6E"/>
    <w:rsid w:val="00C72D1B"/>
    <w:rsid w:val="00C72EA5"/>
    <w:rsid w:val="00C72F6D"/>
    <w:rsid w:val="00C7318A"/>
    <w:rsid w:val="00C7337D"/>
    <w:rsid w:val="00C73BE9"/>
    <w:rsid w:val="00C73CFE"/>
    <w:rsid w:val="00C73D54"/>
    <w:rsid w:val="00C74090"/>
    <w:rsid w:val="00C74967"/>
    <w:rsid w:val="00C74DCC"/>
    <w:rsid w:val="00C74FA5"/>
    <w:rsid w:val="00C75375"/>
    <w:rsid w:val="00C7540C"/>
    <w:rsid w:val="00C75792"/>
    <w:rsid w:val="00C765A2"/>
    <w:rsid w:val="00C766C3"/>
    <w:rsid w:val="00C772BA"/>
    <w:rsid w:val="00C77C79"/>
    <w:rsid w:val="00C80152"/>
    <w:rsid w:val="00C80337"/>
    <w:rsid w:val="00C8078C"/>
    <w:rsid w:val="00C80F8E"/>
    <w:rsid w:val="00C814AF"/>
    <w:rsid w:val="00C81668"/>
    <w:rsid w:val="00C81AFA"/>
    <w:rsid w:val="00C82AC4"/>
    <w:rsid w:val="00C83274"/>
    <w:rsid w:val="00C837B5"/>
    <w:rsid w:val="00C83DED"/>
    <w:rsid w:val="00C83ED6"/>
    <w:rsid w:val="00C846BC"/>
    <w:rsid w:val="00C84831"/>
    <w:rsid w:val="00C84B72"/>
    <w:rsid w:val="00C85519"/>
    <w:rsid w:val="00C8585C"/>
    <w:rsid w:val="00C85FC0"/>
    <w:rsid w:val="00C8610A"/>
    <w:rsid w:val="00C861CC"/>
    <w:rsid w:val="00C8751D"/>
    <w:rsid w:val="00C876A2"/>
    <w:rsid w:val="00C90061"/>
    <w:rsid w:val="00C9018A"/>
    <w:rsid w:val="00C905B0"/>
    <w:rsid w:val="00C90EA0"/>
    <w:rsid w:val="00C91595"/>
    <w:rsid w:val="00C91AB2"/>
    <w:rsid w:val="00C91C1D"/>
    <w:rsid w:val="00C91D4D"/>
    <w:rsid w:val="00C932D6"/>
    <w:rsid w:val="00C937C4"/>
    <w:rsid w:val="00C93843"/>
    <w:rsid w:val="00C93FB9"/>
    <w:rsid w:val="00C941CC"/>
    <w:rsid w:val="00C942EE"/>
    <w:rsid w:val="00C946F3"/>
    <w:rsid w:val="00C94B74"/>
    <w:rsid w:val="00C9581D"/>
    <w:rsid w:val="00C9639B"/>
    <w:rsid w:val="00C965AA"/>
    <w:rsid w:val="00C96AE9"/>
    <w:rsid w:val="00C970D4"/>
    <w:rsid w:val="00C97CD4"/>
    <w:rsid w:val="00C97E96"/>
    <w:rsid w:val="00CA01F8"/>
    <w:rsid w:val="00CA077C"/>
    <w:rsid w:val="00CA0ABA"/>
    <w:rsid w:val="00CA18A7"/>
    <w:rsid w:val="00CA23DF"/>
    <w:rsid w:val="00CA2EBF"/>
    <w:rsid w:val="00CA2F2C"/>
    <w:rsid w:val="00CA40A5"/>
    <w:rsid w:val="00CA4114"/>
    <w:rsid w:val="00CA4146"/>
    <w:rsid w:val="00CA478E"/>
    <w:rsid w:val="00CA4B3B"/>
    <w:rsid w:val="00CA4C40"/>
    <w:rsid w:val="00CA4D09"/>
    <w:rsid w:val="00CA5358"/>
    <w:rsid w:val="00CA565B"/>
    <w:rsid w:val="00CA570B"/>
    <w:rsid w:val="00CA5960"/>
    <w:rsid w:val="00CA5B3E"/>
    <w:rsid w:val="00CA5C12"/>
    <w:rsid w:val="00CA5DBD"/>
    <w:rsid w:val="00CA5E9E"/>
    <w:rsid w:val="00CA5FA3"/>
    <w:rsid w:val="00CA6520"/>
    <w:rsid w:val="00CA6596"/>
    <w:rsid w:val="00CA65C4"/>
    <w:rsid w:val="00CA7164"/>
    <w:rsid w:val="00CA754A"/>
    <w:rsid w:val="00CA7C3C"/>
    <w:rsid w:val="00CA7C6A"/>
    <w:rsid w:val="00CA7E56"/>
    <w:rsid w:val="00CA7FE1"/>
    <w:rsid w:val="00CB0854"/>
    <w:rsid w:val="00CB0AB8"/>
    <w:rsid w:val="00CB14AA"/>
    <w:rsid w:val="00CB1B71"/>
    <w:rsid w:val="00CB3048"/>
    <w:rsid w:val="00CB34DC"/>
    <w:rsid w:val="00CB44BF"/>
    <w:rsid w:val="00CB4542"/>
    <w:rsid w:val="00CB4C77"/>
    <w:rsid w:val="00CB5862"/>
    <w:rsid w:val="00CB5B06"/>
    <w:rsid w:val="00CB5BF1"/>
    <w:rsid w:val="00CB5FD5"/>
    <w:rsid w:val="00CB603C"/>
    <w:rsid w:val="00CB62EE"/>
    <w:rsid w:val="00CB6482"/>
    <w:rsid w:val="00CB6A9A"/>
    <w:rsid w:val="00CB6B73"/>
    <w:rsid w:val="00CB6C54"/>
    <w:rsid w:val="00CB77F8"/>
    <w:rsid w:val="00CB789F"/>
    <w:rsid w:val="00CB7A5C"/>
    <w:rsid w:val="00CB7BE1"/>
    <w:rsid w:val="00CB7D28"/>
    <w:rsid w:val="00CB7FE0"/>
    <w:rsid w:val="00CC0472"/>
    <w:rsid w:val="00CC06F5"/>
    <w:rsid w:val="00CC09BA"/>
    <w:rsid w:val="00CC0F6D"/>
    <w:rsid w:val="00CC1976"/>
    <w:rsid w:val="00CC1B11"/>
    <w:rsid w:val="00CC2174"/>
    <w:rsid w:val="00CC2449"/>
    <w:rsid w:val="00CC24B2"/>
    <w:rsid w:val="00CC25B8"/>
    <w:rsid w:val="00CC26A4"/>
    <w:rsid w:val="00CC2BFB"/>
    <w:rsid w:val="00CC35F5"/>
    <w:rsid w:val="00CC3FE2"/>
    <w:rsid w:val="00CC45CC"/>
    <w:rsid w:val="00CC5328"/>
    <w:rsid w:val="00CC5C03"/>
    <w:rsid w:val="00CC5E8D"/>
    <w:rsid w:val="00CC637B"/>
    <w:rsid w:val="00CC67FF"/>
    <w:rsid w:val="00CC6B46"/>
    <w:rsid w:val="00CC74E0"/>
    <w:rsid w:val="00CD0206"/>
    <w:rsid w:val="00CD04EC"/>
    <w:rsid w:val="00CD0555"/>
    <w:rsid w:val="00CD06A3"/>
    <w:rsid w:val="00CD0781"/>
    <w:rsid w:val="00CD07D1"/>
    <w:rsid w:val="00CD1CD7"/>
    <w:rsid w:val="00CD2234"/>
    <w:rsid w:val="00CD2F46"/>
    <w:rsid w:val="00CD3423"/>
    <w:rsid w:val="00CD39B4"/>
    <w:rsid w:val="00CD42F8"/>
    <w:rsid w:val="00CD4352"/>
    <w:rsid w:val="00CD4597"/>
    <w:rsid w:val="00CD4A5E"/>
    <w:rsid w:val="00CD4C68"/>
    <w:rsid w:val="00CD660D"/>
    <w:rsid w:val="00CD6A9C"/>
    <w:rsid w:val="00CD6B86"/>
    <w:rsid w:val="00CD79B4"/>
    <w:rsid w:val="00CD7F7F"/>
    <w:rsid w:val="00CE04CC"/>
    <w:rsid w:val="00CE0559"/>
    <w:rsid w:val="00CE0BAC"/>
    <w:rsid w:val="00CE1561"/>
    <w:rsid w:val="00CE1D9A"/>
    <w:rsid w:val="00CE2757"/>
    <w:rsid w:val="00CE44D3"/>
    <w:rsid w:val="00CE5D1D"/>
    <w:rsid w:val="00CE616F"/>
    <w:rsid w:val="00CE65B2"/>
    <w:rsid w:val="00CE6AA5"/>
    <w:rsid w:val="00CE6B6D"/>
    <w:rsid w:val="00CE6BFB"/>
    <w:rsid w:val="00CE708D"/>
    <w:rsid w:val="00CE7758"/>
    <w:rsid w:val="00CE7852"/>
    <w:rsid w:val="00CE7974"/>
    <w:rsid w:val="00CE7FD2"/>
    <w:rsid w:val="00CF05BA"/>
    <w:rsid w:val="00CF07BA"/>
    <w:rsid w:val="00CF08F5"/>
    <w:rsid w:val="00CF130E"/>
    <w:rsid w:val="00CF18D1"/>
    <w:rsid w:val="00CF2087"/>
    <w:rsid w:val="00CF2343"/>
    <w:rsid w:val="00CF25CE"/>
    <w:rsid w:val="00CF2789"/>
    <w:rsid w:val="00CF27E1"/>
    <w:rsid w:val="00CF2A80"/>
    <w:rsid w:val="00CF307C"/>
    <w:rsid w:val="00CF3191"/>
    <w:rsid w:val="00CF3310"/>
    <w:rsid w:val="00CF3715"/>
    <w:rsid w:val="00CF37C1"/>
    <w:rsid w:val="00CF38F1"/>
    <w:rsid w:val="00CF3969"/>
    <w:rsid w:val="00CF3C46"/>
    <w:rsid w:val="00CF3E44"/>
    <w:rsid w:val="00CF3E5A"/>
    <w:rsid w:val="00CF4249"/>
    <w:rsid w:val="00CF4421"/>
    <w:rsid w:val="00CF485D"/>
    <w:rsid w:val="00CF4892"/>
    <w:rsid w:val="00CF48E2"/>
    <w:rsid w:val="00CF5093"/>
    <w:rsid w:val="00CF57E1"/>
    <w:rsid w:val="00CF5C2B"/>
    <w:rsid w:val="00CF5CCB"/>
    <w:rsid w:val="00CF63DA"/>
    <w:rsid w:val="00CF6666"/>
    <w:rsid w:val="00CF6893"/>
    <w:rsid w:val="00CF6CF4"/>
    <w:rsid w:val="00CF6FF8"/>
    <w:rsid w:val="00CF739D"/>
    <w:rsid w:val="00CF73FE"/>
    <w:rsid w:val="00CF742E"/>
    <w:rsid w:val="00CF7A42"/>
    <w:rsid w:val="00CF7BAE"/>
    <w:rsid w:val="00D0022B"/>
    <w:rsid w:val="00D00399"/>
    <w:rsid w:val="00D005A3"/>
    <w:rsid w:val="00D00C85"/>
    <w:rsid w:val="00D00F47"/>
    <w:rsid w:val="00D01341"/>
    <w:rsid w:val="00D02088"/>
    <w:rsid w:val="00D0219B"/>
    <w:rsid w:val="00D02304"/>
    <w:rsid w:val="00D02306"/>
    <w:rsid w:val="00D024E1"/>
    <w:rsid w:val="00D0264C"/>
    <w:rsid w:val="00D02785"/>
    <w:rsid w:val="00D03200"/>
    <w:rsid w:val="00D0344B"/>
    <w:rsid w:val="00D0345E"/>
    <w:rsid w:val="00D03702"/>
    <w:rsid w:val="00D03A2A"/>
    <w:rsid w:val="00D03BB7"/>
    <w:rsid w:val="00D048D4"/>
    <w:rsid w:val="00D04FCD"/>
    <w:rsid w:val="00D05052"/>
    <w:rsid w:val="00D0517B"/>
    <w:rsid w:val="00D052FD"/>
    <w:rsid w:val="00D053CD"/>
    <w:rsid w:val="00D05EFF"/>
    <w:rsid w:val="00D060FE"/>
    <w:rsid w:val="00D06141"/>
    <w:rsid w:val="00D06916"/>
    <w:rsid w:val="00D06AC3"/>
    <w:rsid w:val="00D06CBE"/>
    <w:rsid w:val="00D070F6"/>
    <w:rsid w:val="00D07320"/>
    <w:rsid w:val="00D07627"/>
    <w:rsid w:val="00D07863"/>
    <w:rsid w:val="00D07C0D"/>
    <w:rsid w:val="00D07E4C"/>
    <w:rsid w:val="00D103E4"/>
    <w:rsid w:val="00D10746"/>
    <w:rsid w:val="00D10BFE"/>
    <w:rsid w:val="00D113E3"/>
    <w:rsid w:val="00D11442"/>
    <w:rsid w:val="00D1192C"/>
    <w:rsid w:val="00D122C5"/>
    <w:rsid w:val="00D129F2"/>
    <w:rsid w:val="00D12D48"/>
    <w:rsid w:val="00D12D55"/>
    <w:rsid w:val="00D13084"/>
    <w:rsid w:val="00D13501"/>
    <w:rsid w:val="00D135F0"/>
    <w:rsid w:val="00D13612"/>
    <w:rsid w:val="00D13773"/>
    <w:rsid w:val="00D13B47"/>
    <w:rsid w:val="00D14BD1"/>
    <w:rsid w:val="00D14C09"/>
    <w:rsid w:val="00D14CDE"/>
    <w:rsid w:val="00D14EC1"/>
    <w:rsid w:val="00D1529C"/>
    <w:rsid w:val="00D153B9"/>
    <w:rsid w:val="00D15946"/>
    <w:rsid w:val="00D15D5F"/>
    <w:rsid w:val="00D15F89"/>
    <w:rsid w:val="00D1630A"/>
    <w:rsid w:val="00D16566"/>
    <w:rsid w:val="00D168AF"/>
    <w:rsid w:val="00D1691F"/>
    <w:rsid w:val="00D16BCD"/>
    <w:rsid w:val="00D17EB9"/>
    <w:rsid w:val="00D17FE3"/>
    <w:rsid w:val="00D20161"/>
    <w:rsid w:val="00D2027C"/>
    <w:rsid w:val="00D2052B"/>
    <w:rsid w:val="00D206E6"/>
    <w:rsid w:val="00D209E8"/>
    <w:rsid w:val="00D20F57"/>
    <w:rsid w:val="00D2152C"/>
    <w:rsid w:val="00D216DF"/>
    <w:rsid w:val="00D223A0"/>
    <w:rsid w:val="00D22409"/>
    <w:rsid w:val="00D22460"/>
    <w:rsid w:val="00D22551"/>
    <w:rsid w:val="00D23B06"/>
    <w:rsid w:val="00D24192"/>
    <w:rsid w:val="00D245AF"/>
    <w:rsid w:val="00D24FDE"/>
    <w:rsid w:val="00D255CA"/>
    <w:rsid w:val="00D25CEB"/>
    <w:rsid w:val="00D25F1A"/>
    <w:rsid w:val="00D26049"/>
    <w:rsid w:val="00D26428"/>
    <w:rsid w:val="00D26BA9"/>
    <w:rsid w:val="00D26CFB"/>
    <w:rsid w:val="00D273E5"/>
    <w:rsid w:val="00D278FC"/>
    <w:rsid w:val="00D2790C"/>
    <w:rsid w:val="00D279CB"/>
    <w:rsid w:val="00D301CB"/>
    <w:rsid w:val="00D30538"/>
    <w:rsid w:val="00D3071C"/>
    <w:rsid w:val="00D30EE1"/>
    <w:rsid w:val="00D314AD"/>
    <w:rsid w:val="00D31516"/>
    <w:rsid w:val="00D31D69"/>
    <w:rsid w:val="00D31E3E"/>
    <w:rsid w:val="00D32462"/>
    <w:rsid w:val="00D32BF7"/>
    <w:rsid w:val="00D332A6"/>
    <w:rsid w:val="00D334C8"/>
    <w:rsid w:val="00D33AF3"/>
    <w:rsid w:val="00D3408C"/>
    <w:rsid w:val="00D34242"/>
    <w:rsid w:val="00D34366"/>
    <w:rsid w:val="00D34885"/>
    <w:rsid w:val="00D34C2F"/>
    <w:rsid w:val="00D350C7"/>
    <w:rsid w:val="00D35758"/>
    <w:rsid w:val="00D359CF"/>
    <w:rsid w:val="00D35AF0"/>
    <w:rsid w:val="00D36C03"/>
    <w:rsid w:val="00D371CE"/>
    <w:rsid w:val="00D37525"/>
    <w:rsid w:val="00D37612"/>
    <w:rsid w:val="00D37733"/>
    <w:rsid w:val="00D37ECF"/>
    <w:rsid w:val="00D40B4C"/>
    <w:rsid w:val="00D40C4C"/>
    <w:rsid w:val="00D40F71"/>
    <w:rsid w:val="00D41032"/>
    <w:rsid w:val="00D41D8B"/>
    <w:rsid w:val="00D41F17"/>
    <w:rsid w:val="00D42015"/>
    <w:rsid w:val="00D421A9"/>
    <w:rsid w:val="00D426F0"/>
    <w:rsid w:val="00D4321F"/>
    <w:rsid w:val="00D43DF8"/>
    <w:rsid w:val="00D44403"/>
    <w:rsid w:val="00D44A21"/>
    <w:rsid w:val="00D44C49"/>
    <w:rsid w:val="00D45112"/>
    <w:rsid w:val="00D45625"/>
    <w:rsid w:val="00D456BD"/>
    <w:rsid w:val="00D457DE"/>
    <w:rsid w:val="00D45862"/>
    <w:rsid w:val="00D45B0F"/>
    <w:rsid w:val="00D45B5D"/>
    <w:rsid w:val="00D45ECE"/>
    <w:rsid w:val="00D4626C"/>
    <w:rsid w:val="00D4630E"/>
    <w:rsid w:val="00D47228"/>
    <w:rsid w:val="00D473CE"/>
    <w:rsid w:val="00D50248"/>
    <w:rsid w:val="00D50971"/>
    <w:rsid w:val="00D50A0A"/>
    <w:rsid w:val="00D515CC"/>
    <w:rsid w:val="00D51B52"/>
    <w:rsid w:val="00D51E91"/>
    <w:rsid w:val="00D51E98"/>
    <w:rsid w:val="00D521C7"/>
    <w:rsid w:val="00D524FF"/>
    <w:rsid w:val="00D5288E"/>
    <w:rsid w:val="00D52979"/>
    <w:rsid w:val="00D52E8C"/>
    <w:rsid w:val="00D531A6"/>
    <w:rsid w:val="00D53282"/>
    <w:rsid w:val="00D534F7"/>
    <w:rsid w:val="00D537B0"/>
    <w:rsid w:val="00D543EB"/>
    <w:rsid w:val="00D54C11"/>
    <w:rsid w:val="00D54F39"/>
    <w:rsid w:val="00D5584A"/>
    <w:rsid w:val="00D55C31"/>
    <w:rsid w:val="00D55FE7"/>
    <w:rsid w:val="00D564AD"/>
    <w:rsid w:val="00D568E6"/>
    <w:rsid w:val="00D572A9"/>
    <w:rsid w:val="00D574E5"/>
    <w:rsid w:val="00D57989"/>
    <w:rsid w:val="00D60172"/>
    <w:rsid w:val="00D601DD"/>
    <w:rsid w:val="00D60724"/>
    <w:rsid w:val="00D60B57"/>
    <w:rsid w:val="00D60C24"/>
    <w:rsid w:val="00D60FCB"/>
    <w:rsid w:val="00D61446"/>
    <w:rsid w:val="00D619D1"/>
    <w:rsid w:val="00D620E0"/>
    <w:rsid w:val="00D62474"/>
    <w:rsid w:val="00D625B7"/>
    <w:rsid w:val="00D627A0"/>
    <w:rsid w:val="00D62A02"/>
    <w:rsid w:val="00D62B29"/>
    <w:rsid w:val="00D62F49"/>
    <w:rsid w:val="00D63158"/>
    <w:rsid w:val="00D63678"/>
    <w:rsid w:val="00D63BA2"/>
    <w:rsid w:val="00D63BFF"/>
    <w:rsid w:val="00D63F6E"/>
    <w:rsid w:val="00D6410F"/>
    <w:rsid w:val="00D6417D"/>
    <w:rsid w:val="00D64506"/>
    <w:rsid w:val="00D64AFE"/>
    <w:rsid w:val="00D64FC0"/>
    <w:rsid w:val="00D6500B"/>
    <w:rsid w:val="00D65BF7"/>
    <w:rsid w:val="00D66412"/>
    <w:rsid w:val="00D666F2"/>
    <w:rsid w:val="00D66C5B"/>
    <w:rsid w:val="00D66D32"/>
    <w:rsid w:val="00D66DCC"/>
    <w:rsid w:val="00D66E9B"/>
    <w:rsid w:val="00D66EAD"/>
    <w:rsid w:val="00D67271"/>
    <w:rsid w:val="00D677F3"/>
    <w:rsid w:val="00D67C6B"/>
    <w:rsid w:val="00D67C89"/>
    <w:rsid w:val="00D70249"/>
    <w:rsid w:val="00D7056D"/>
    <w:rsid w:val="00D7079D"/>
    <w:rsid w:val="00D70CD9"/>
    <w:rsid w:val="00D716CF"/>
    <w:rsid w:val="00D71CA1"/>
    <w:rsid w:val="00D71CC9"/>
    <w:rsid w:val="00D724CD"/>
    <w:rsid w:val="00D726D3"/>
    <w:rsid w:val="00D726E1"/>
    <w:rsid w:val="00D72987"/>
    <w:rsid w:val="00D738C4"/>
    <w:rsid w:val="00D73A73"/>
    <w:rsid w:val="00D73D05"/>
    <w:rsid w:val="00D73D60"/>
    <w:rsid w:val="00D74074"/>
    <w:rsid w:val="00D7445F"/>
    <w:rsid w:val="00D7458F"/>
    <w:rsid w:val="00D74601"/>
    <w:rsid w:val="00D74906"/>
    <w:rsid w:val="00D75536"/>
    <w:rsid w:val="00D75A27"/>
    <w:rsid w:val="00D763F7"/>
    <w:rsid w:val="00D76437"/>
    <w:rsid w:val="00D765C9"/>
    <w:rsid w:val="00D76E22"/>
    <w:rsid w:val="00D77F5F"/>
    <w:rsid w:val="00D80D08"/>
    <w:rsid w:val="00D80DA7"/>
    <w:rsid w:val="00D81685"/>
    <w:rsid w:val="00D816BE"/>
    <w:rsid w:val="00D829E8"/>
    <w:rsid w:val="00D83598"/>
    <w:rsid w:val="00D84C32"/>
    <w:rsid w:val="00D85012"/>
    <w:rsid w:val="00D851F6"/>
    <w:rsid w:val="00D853A9"/>
    <w:rsid w:val="00D85C96"/>
    <w:rsid w:val="00D85DA7"/>
    <w:rsid w:val="00D86A1D"/>
    <w:rsid w:val="00D86DF3"/>
    <w:rsid w:val="00D87364"/>
    <w:rsid w:val="00D87418"/>
    <w:rsid w:val="00D87600"/>
    <w:rsid w:val="00D87DF7"/>
    <w:rsid w:val="00D90519"/>
    <w:rsid w:val="00D907A9"/>
    <w:rsid w:val="00D90BF9"/>
    <w:rsid w:val="00D90E74"/>
    <w:rsid w:val="00D91012"/>
    <w:rsid w:val="00D911D5"/>
    <w:rsid w:val="00D913F1"/>
    <w:rsid w:val="00D92B90"/>
    <w:rsid w:val="00D93180"/>
    <w:rsid w:val="00D93592"/>
    <w:rsid w:val="00D936C9"/>
    <w:rsid w:val="00D93877"/>
    <w:rsid w:val="00D94447"/>
    <w:rsid w:val="00D94CAC"/>
    <w:rsid w:val="00D9503C"/>
    <w:rsid w:val="00D9563F"/>
    <w:rsid w:val="00D95A34"/>
    <w:rsid w:val="00D95C0C"/>
    <w:rsid w:val="00D95C69"/>
    <w:rsid w:val="00D96131"/>
    <w:rsid w:val="00D96F3B"/>
    <w:rsid w:val="00D97B32"/>
    <w:rsid w:val="00D97CF2"/>
    <w:rsid w:val="00D97F50"/>
    <w:rsid w:val="00D97F63"/>
    <w:rsid w:val="00DA018B"/>
    <w:rsid w:val="00DA03FA"/>
    <w:rsid w:val="00DA0957"/>
    <w:rsid w:val="00DA098A"/>
    <w:rsid w:val="00DA0A83"/>
    <w:rsid w:val="00DA1A9B"/>
    <w:rsid w:val="00DA1B62"/>
    <w:rsid w:val="00DA200B"/>
    <w:rsid w:val="00DA20C9"/>
    <w:rsid w:val="00DA267C"/>
    <w:rsid w:val="00DA2A8A"/>
    <w:rsid w:val="00DA2D01"/>
    <w:rsid w:val="00DA3677"/>
    <w:rsid w:val="00DA3B19"/>
    <w:rsid w:val="00DA3F7D"/>
    <w:rsid w:val="00DA43FA"/>
    <w:rsid w:val="00DA494D"/>
    <w:rsid w:val="00DA4F5D"/>
    <w:rsid w:val="00DA5ABA"/>
    <w:rsid w:val="00DA5CC2"/>
    <w:rsid w:val="00DA5D8B"/>
    <w:rsid w:val="00DA5ED6"/>
    <w:rsid w:val="00DA6188"/>
    <w:rsid w:val="00DA6290"/>
    <w:rsid w:val="00DA64D3"/>
    <w:rsid w:val="00DA7712"/>
    <w:rsid w:val="00DA7B4F"/>
    <w:rsid w:val="00DB0283"/>
    <w:rsid w:val="00DB09DA"/>
    <w:rsid w:val="00DB0E29"/>
    <w:rsid w:val="00DB0E2D"/>
    <w:rsid w:val="00DB1A74"/>
    <w:rsid w:val="00DB236E"/>
    <w:rsid w:val="00DB28FA"/>
    <w:rsid w:val="00DB32FB"/>
    <w:rsid w:val="00DB3962"/>
    <w:rsid w:val="00DB3B5C"/>
    <w:rsid w:val="00DB41B8"/>
    <w:rsid w:val="00DB4330"/>
    <w:rsid w:val="00DB4C77"/>
    <w:rsid w:val="00DB4D9D"/>
    <w:rsid w:val="00DB5FA6"/>
    <w:rsid w:val="00DB609B"/>
    <w:rsid w:val="00DB66FB"/>
    <w:rsid w:val="00DB6A1E"/>
    <w:rsid w:val="00DB6E1B"/>
    <w:rsid w:val="00DB7C52"/>
    <w:rsid w:val="00DC066C"/>
    <w:rsid w:val="00DC07CD"/>
    <w:rsid w:val="00DC0EBD"/>
    <w:rsid w:val="00DC123A"/>
    <w:rsid w:val="00DC130E"/>
    <w:rsid w:val="00DC147B"/>
    <w:rsid w:val="00DC155C"/>
    <w:rsid w:val="00DC169C"/>
    <w:rsid w:val="00DC180F"/>
    <w:rsid w:val="00DC23D1"/>
    <w:rsid w:val="00DC2750"/>
    <w:rsid w:val="00DC2FF2"/>
    <w:rsid w:val="00DC3092"/>
    <w:rsid w:val="00DC3839"/>
    <w:rsid w:val="00DC4405"/>
    <w:rsid w:val="00DC45E6"/>
    <w:rsid w:val="00DC4634"/>
    <w:rsid w:val="00DC46C7"/>
    <w:rsid w:val="00DC4B5F"/>
    <w:rsid w:val="00DC4D41"/>
    <w:rsid w:val="00DC4EB6"/>
    <w:rsid w:val="00DC5358"/>
    <w:rsid w:val="00DC55AC"/>
    <w:rsid w:val="00DC56EE"/>
    <w:rsid w:val="00DC5B38"/>
    <w:rsid w:val="00DC6478"/>
    <w:rsid w:val="00DC674E"/>
    <w:rsid w:val="00DC6E1A"/>
    <w:rsid w:val="00DC716C"/>
    <w:rsid w:val="00DC7249"/>
    <w:rsid w:val="00DC767C"/>
    <w:rsid w:val="00DD0656"/>
    <w:rsid w:val="00DD08F8"/>
    <w:rsid w:val="00DD0C81"/>
    <w:rsid w:val="00DD0D3A"/>
    <w:rsid w:val="00DD16F6"/>
    <w:rsid w:val="00DD1AC4"/>
    <w:rsid w:val="00DD1CEA"/>
    <w:rsid w:val="00DD1EC5"/>
    <w:rsid w:val="00DD23CC"/>
    <w:rsid w:val="00DD2483"/>
    <w:rsid w:val="00DD24B3"/>
    <w:rsid w:val="00DD2DE3"/>
    <w:rsid w:val="00DD3B09"/>
    <w:rsid w:val="00DD40E7"/>
    <w:rsid w:val="00DD469F"/>
    <w:rsid w:val="00DD491C"/>
    <w:rsid w:val="00DD5D95"/>
    <w:rsid w:val="00DD6288"/>
    <w:rsid w:val="00DD6A71"/>
    <w:rsid w:val="00DD6BB2"/>
    <w:rsid w:val="00DD7171"/>
    <w:rsid w:val="00DD7193"/>
    <w:rsid w:val="00DE02DD"/>
    <w:rsid w:val="00DE044B"/>
    <w:rsid w:val="00DE1190"/>
    <w:rsid w:val="00DE11D0"/>
    <w:rsid w:val="00DE1F61"/>
    <w:rsid w:val="00DE2341"/>
    <w:rsid w:val="00DE2751"/>
    <w:rsid w:val="00DE284E"/>
    <w:rsid w:val="00DE3530"/>
    <w:rsid w:val="00DE3D3F"/>
    <w:rsid w:val="00DE4144"/>
    <w:rsid w:val="00DE470B"/>
    <w:rsid w:val="00DE488A"/>
    <w:rsid w:val="00DE499E"/>
    <w:rsid w:val="00DE4CD0"/>
    <w:rsid w:val="00DE4DEE"/>
    <w:rsid w:val="00DE4FF2"/>
    <w:rsid w:val="00DE5445"/>
    <w:rsid w:val="00DE5BD5"/>
    <w:rsid w:val="00DE5EBE"/>
    <w:rsid w:val="00DE6621"/>
    <w:rsid w:val="00DE6DBB"/>
    <w:rsid w:val="00DE6F67"/>
    <w:rsid w:val="00DE6F96"/>
    <w:rsid w:val="00DE73F3"/>
    <w:rsid w:val="00DE7B9B"/>
    <w:rsid w:val="00DE7CB8"/>
    <w:rsid w:val="00DE7FA7"/>
    <w:rsid w:val="00DF0826"/>
    <w:rsid w:val="00DF099F"/>
    <w:rsid w:val="00DF0AAA"/>
    <w:rsid w:val="00DF151D"/>
    <w:rsid w:val="00DF1680"/>
    <w:rsid w:val="00DF19A2"/>
    <w:rsid w:val="00DF19B8"/>
    <w:rsid w:val="00DF1C2E"/>
    <w:rsid w:val="00DF1FA2"/>
    <w:rsid w:val="00DF28ED"/>
    <w:rsid w:val="00DF29A8"/>
    <w:rsid w:val="00DF2D81"/>
    <w:rsid w:val="00DF2F3C"/>
    <w:rsid w:val="00DF324D"/>
    <w:rsid w:val="00DF3340"/>
    <w:rsid w:val="00DF36A6"/>
    <w:rsid w:val="00DF432A"/>
    <w:rsid w:val="00DF4725"/>
    <w:rsid w:val="00DF4EE8"/>
    <w:rsid w:val="00DF506A"/>
    <w:rsid w:val="00DF526C"/>
    <w:rsid w:val="00DF581E"/>
    <w:rsid w:val="00DF5DB7"/>
    <w:rsid w:val="00DF6DD1"/>
    <w:rsid w:val="00DF71E8"/>
    <w:rsid w:val="00DF73F3"/>
    <w:rsid w:val="00DF7402"/>
    <w:rsid w:val="00DF745B"/>
    <w:rsid w:val="00DF7642"/>
    <w:rsid w:val="00DF765F"/>
    <w:rsid w:val="00DF7F0E"/>
    <w:rsid w:val="00E00B00"/>
    <w:rsid w:val="00E00B28"/>
    <w:rsid w:val="00E00E6E"/>
    <w:rsid w:val="00E01326"/>
    <w:rsid w:val="00E0190F"/>
    <w:rsid w:val="00E020D3"/>
    <w:rsid w:val="00E0269F"/>
    <w:rsid w:val="00E02838"/>
    <w:rsid w:val="00E0317B"/>
    <w:rsid w:val="00E033A5"/>
    <w:rsid w:val="00E037AE"/>
    <w:rsid w:val="00E0383B"/>
    <w:rsid w:val="00E042F7"/>
    <w:rsid w:val="00E04519"/>
    <w:rsid w:val="00E046E0"/>
    <w:rsid w:val="00E04DC4"/>
    <w:rsid w:val="00E05705"/>
    <w:rsid w:val="00E06CDF"/>
    <w:rsid w:val="00E100B2"/>
    <w:rsid w:val="00E10563"/>
    <w:rsid w:val="00E11455"/>
    <w:rsid w:val="00E11991"/>
    <w:rsid w:val="00E119B1"/>
    <w:rsid w:val="00E127D9"/>
    <w:rsid w:val="00E13FBC"/>
    <w:rsid w:val="00E140F9"/>
    <w:rsid w:val="00E149F5"/>
    <w:rsid w:val="00E1512F"/>
    <w:rsid w:val="00E15563"/>
    <w:rsid w:val="00E15613"/>
    <w:rsid w:val="00E1566C"/>
    <w:rsid w:val="00E16024"/>
    <w:rsid w:val="00E16AF8"/>
    <w:rsid w:val="00E174AC"/>
    <w:rsid w:val="00E177FF"/>
    <w:rsid w:val="00E17A17"/>
    <w:rsid w:val="00E17B9B"/>
    <w:rsid w:val="00E17DB9"/>
    <w:rsid w:val="00E20475"/>
    <w:rsid w:val="00E20D94"/>
    <w:rsid w:val="00E20DA7"/>
    <w:rsid w:val="00E21247"/>
    <w:rsid w:val="00E2136F"/>
    <w:rsid w:val="00E21400"/>
    <w:rsid w:val="00E21AA8"/>
    <w:rsid w:val="00E21C3B"/>
    <w:rsid w:val="00E22C9F"/>
    <w:rsid w:val="00E22DED"/>
    <w:rsid w:val="00E234A4"/>
    <w:rsid w:val="00E238FF"/>
    <w:rsid w:val="00E239DB"/>
    <w:rsid w:val="00E23E07"/>
    <w:rsid w:val="00E23F2A"/>
    <w:rsid w:val="00E23F76"/>
    <w:rsid w:val="00E24085"/>
    <w:rsid w:val="00E2483A"/>
    <w:rsid w:val="00E24D5C"/>
    <w:rsid w:val="00E253CF"/>
    <w:rsid w:val="00E2595D"/>
    <w:rsid w:val="00E26848"/>
    <w:rsid w:val="00E27093"/>
    <w:rsid w:val="00E27179"/>
    <w:rsid w:val="00E27F94"/>
    <w:rsid w:val="00E3032E"/>
    <w:rsid w:val="00E30759"/>
    <w:rsid w:val="00E309D3"/>
    <w:rsid w:val="00E30BA7"/>
    <w:rsid w:val="00E30BAD"/>
    <w:rsid w:val="00E30E49"/>
    <w:rsid w:val="00E3134C"/>
    <w:rsid w:val="00E3198E"/>
    <w:rsid w:val="00E31FCA"/>
    <w:rsid w:val="00E32C4E"/>
    <w:rsid w:val="00E32DB0"/>
    <w:rsid w:val="00E32DCC"/>
    <w:rsid w:val="00E32FCF"/>
    <w:rsid w:val="00E334CB"/>
    <w:rsid w:val="00E339BA"/>
    <w:rsid w:val="00E33E35"/>
    <w:rsid w:val="00E344C6"/>
    <w:rsid w:val="00E347CA"/>
    <w:rsid w:val="00E34F72"/>
    <w:rsid w:val="00E35220"/>
    <w:rsid w:val="00E357DD"/>
    <w:rsid w:val="00E36267"/>
    <w:rsid w:val="00E374FB"/>
    <w:rsid w:val="00E37993"/>
    <w:rsid w:val="00E37DC4"/>
    <w:rsid w:val="00E37F7A"/>
    <w:rsid w:val="00E401E7"/>
    <w:rsid w:val="00E406C7"/>
    <w:rsid w:val="00E40A98"/>
    <w:rsid w:val="00E4110B"/>
    <w:rsid w:val="00E41850"/>
    <w:rsid w:val="00E41C4B"/>
    <w:rsid w:val="00E41D59"/>
    <w:rsid w:val="00E424EE"/>
    <w:rsid w:val="00E42937"/>
    <w:rsid w:val="00E42E37"/>
    <w:rsid w:val="00E42F41"/>
    <w:rsid w:val="00E43681"/>
    <w:rsid w:val="00E43978"/>
    <w:rsid w:val="00E4425D"/>
    <w:rsid w:val="00E44632"/>
    <w:rsid w:val="00E44AA2"/>
    <w:rsid w:val="00E45A24"/>
    <w:rsid w:val="00E45CE4"/>
    <w:rsid w:val="00E46189"/>
    <w:rsid w:val="00E467F5"/>
    <w:rsid w:val="00E47190"/>
    <w:rsid w:val="00E47225"/>
    <w:rsid w:val="00E475E7"/>
    <w:rsid w:val="00E4790C"/>
    <w:rsid w:val="00E47D8A"/>
    <w:rsid w:val="00E5058A"/>
    <w:rsid w:val="00E50B1B"/>
    <w:rsid w:val="00E50EC6"/>
    <w:rsid w:val="00E51912"/>
    <w:rsid w:val="00E52B0A"/>
    <w:rsid w:val="00E52CB7"/>
    <w:rsid w:val="00E52E03"/>
    <w:rsid w:val="00E5329D"/>
    <w:rsid w:val="00E5372F"/>
    <w:rsid w:val="00E53795"/>
    <w:rsid w:val="00E53B36"/>
    <w:rsid w:val="00E542E2"/>
    <w:rsid w:val="00E545F2"/>
    <w:rsid w:val="00E5477D"/>
    <w:rsid w:val="00E550DE"/>
    <w:rsid w:val="00E55547"/>
    <w:rsid w:val="00E556F7"/>
    <w:rsid w:val="00E55859"/>
    <w:rsid w:val="00E5609D"/>
    <w:rsid w:val="00E5739A"/>
    <w:rsid w:val="00E5795A"/>
    <w:rsid w:val="00E57B41"/>
    <w:rsid w:val="00E603AC"/>
    <w:rsid w:val="00E60966"/>
    <w:rsid w:val="00E609FE"/>
    <w:rsid w:val="00E60B5B"/>
    <w:rsid w:val="00E610AF"/>
    <w:rsid w:val="00E61390"/>
    <w:rsid w:val="00E61F59"/>
    <w:rsid w:val="00E620CA"/>
    <w:rsid w:val="00E62330"/>
    <w:rsid w:val="00E6290D"/>
    <w:rsid w:val="00E63E5D"/>
    <w:rsid w:val="00E6434E"/>
    <w:rsid w:val="00E64B8F"/>
    <w:rsid w:val="00E65CFE"/>
    <w:rsid w:val="00E667C1"/>
    <w:rsid w:val="00E669D8"/>
    <w:rsid w:val="00E6702D"/>
    <w:rsid w:val="00E67565"/>
    <w:rsid w:val="00E67A9A"/>
    <w:rsid w:val="00E67D4E"/>
    <w:rsid w:val="00E70202"/>
    <w:rsid w:val="00E70311"/>
    <w:rsid w:val="00E70333"/>
    <w:rsid w:val="00E7079D"/>
    <w:rsid w:val="00E70C7C"/>
    <w:rsid w:val="00E70E8B"/>
    <w:rsid w:val="00E71228"/>
    <w:rsid w:val="00E7137A"/>
    <w:rsid w:val="00E71B8B"/>
    <w:rsid w:val="00E721A5"/>
    <w:rsid w:val="00E72244"/>
    <w:rsid w:val="00E7280F"/>
    <w:rsid w:val="00E73010"/>
    <w:rsid w:val="00E73315"/>
    <w:rsid w:val="00E739CF"/>
    <w:rsid w:val="00E739FF"/>
    <w:rsid w:val="00E73FBD"/>
    <w:rsid w:val="00E743FC"/>
    <w:rsid w:val="00E744DE"/>
    <w:rsid w:val="00E745DD"/>
    <w:rsid w:val="00E7468D"/>
    <w:rsid w:val="00E750A5"/>
    <w:rsid w:val="00E757E4"/>
    <w:rsid w:val="00E75941"/>
    <w:rsid w:val="00E76105"/>
    <w:rsid w:val="00E772B1"/>
    <w:rsid w:val="00E77B78"/>
    <w:rsid w:val="00E77D68"/>
    <w:rsid w:val="00E77DA1"/>
    <w:rsid w:val="00E801DD"/>
    <w:rsid w:val="00E80BAB"/>
    <w:rsid w:val="00E80BD7"/>
    <w:rsid w:val="00E80CC9"/>
    <w:rsid w:val="00E8112E"/>
    <w:rsid w:val="00E81AF5"/>
    <w:rsid w:val="00E81C21"/>
    <w:rsid w:val="00E81F05"/>
    <w:rsid w:val="00E82B63"/>
    <w:rsid w:val="00E82DB7"/>
    <w:rsid w:val="00E8325F"/>
    <w:rsid w:val="00E83293"/>
    <w:rsid w:val="00E833CA"/>
    <w:rsid w:val="00E836FB"/>
    <w:rsid w:val="00E838D9"/>
    <w:rsid w:val="00E838DE"/>
    <w:rsid w:val="00E83910"/>
    <w:rsid w:val="00E841D3"/>
    <w:rsid w:val="00E84603"/>
    <w:rsid w:val="00E84F6A"/>
    <w:rsid w:val="00E85808"/>
    <w:rsid w:val="00E858E7"/>
    <w:rsid w:val="00E865E5"/>
    <w:rsid w:val="00E866F4"/>
    <w:rsid w:val="00E86BF4"/>
    <w:rsid w:val="00E878E1"/>
    <w:rsid w:val="00E87EA6"/>
    <w:rsid w:val="00E9005E"/>
    <w:rsid w:val="00E9025D"/>
    <w:rsid w:val="00E907E3"/>
    <w:rsid w:val="00E90B6F"/>
    <w:rsid w:val="00E910E7"/>
    <w:rsid w:val="00E91418"/>
    <w:rsid w:val="00E920D1"/>
    <w:rsid w:val="00E92E64"/>
    <w:rsid w:val="00E92E70"/>
    <w:rsid w:val="00E93011"/>
    <w:rsid w:val="00E9323C"/>
    <w:rsid w:val="00E93385"/>
    <w:rsid w:val="00E93564"/>
    <w:rsid w:val="00E939BC"/>
    <w:rsid w:val="00E948F9"/>
    <w:rsid w:val="00E9498D"/>
    <w:rsid w:val="00E94A0B"/>
    <w:rsid w:val="00E94AE3"/>
    <w:rsid w:val="00E95347"/>
    <w:rsid w:val="00E96599"/>
    <w:rsid w:val="00E96A47"/>
    <w:rsid w:val="00E96B4E"/>
    <w:rsid w:val="00E971C2"/>
    <w:rsid w:val="00E978B9"/>
    <w:rsid w:val="00E97B5D"/>
    <w:rsid w:val="00E97FE5"/>
    <w:rsid w:val="00EA004E"/>
    <w:rsid w:val="00EA0121"/>
    <w:rsid w:val="00EA03D1"/>
    <w:rsid w:val="00EA03D4"/>
    <w:rsid w:val="00EA0BE2"/>
    <w:rsid w:val="00EA112D"/>
    <w:rsid w:val="00EA12F8"/>
    <w:rsid w:val="00EA17A0"/>
    <w:rsid w:val="00EA1C79"/>
    <w:rsid w:val="00EA27D8"/>
    <w:rsid w:val="00EA291B"/>
    <w:rsid w:val="00EA2AAB"/>
    <w:rsid w:val="00EA2E51"/>
    <w:rsid w:val="00EA2E73"/>
    <w:rsid w:val="00EA2F25"/>
    <w:rsid w:val="00EA32DE"/>
    <w:rsid w:val="00EA369D"/>
    <w:rsid w:val="00EA372D"/>
    <w:rsid w:val="00EA3C1D"/>
    <w:rsid w:val="00EA3E30"/>
    <w:rsid w:val="00EA4057"/>
    <w:rsid w:val="00EA40E1"/>
    <w:rsid w:val="00EA4146"/>
    <w:rsid w:val="00EA431F"/>
    <w:rsid w:val="00EA433E"/>
    <w:rsid w:val="00EA46AA"/>
    <w:rsid w:val="00EA4751"/>
    <w:rsid w:val="00EA4D13"/>
    <w:rsid w:val="00EA4EF9"/>
    <w:rsid w:val="00EA5297"/>
    <w:rsid w:val="00EA569F"/>
    <w:rsid w:val="00EA5D7F"/>
    <w:rsid w:val="00EA5E68"/>
    <w:rsid w:val="00EA6060"/>
    <w:rsid w:val="00EA61FD"/>
    <w:rsid w:val="00EA702E"/>
    <w:rsid w:val="00EA71F4"/>
    <w:rsid w:val="00EA7261"/>
    <w:rsid w:val="00EA72F0"/>
    <w:rsid w:val="00EB0149"/>
    <w:rsid w:val="00EB0453"/>
    <w:rsid w:val="00EB095B"/>
    <w:rsid w:val="00EB0FA6"/>
    <w:rsid w:val="00EB15FB"/>
    <w:rsid w:val="00EB197E"/>
    <w:rsid w:val="00EB19E6"/>
    <w:rsid w:val="00EB1A00"/>
    <w:rsid w:val="00EB1F28"/>
    <w:rsid w:val="00EB2544"/>
    <w:rsid w:val="00EB264B"/>
    <w:rsid w:val="00EB26CB"/>
    <w:rsid w:val="00EB278D"/>
    <w:rsid w:val="00EB2A9B"/>
    <w:rsid w:val="00EB2F95"/>
    <w:rsid w:val="00EB38BC"/>
    <w:rsid w:val="00EB38D7"/>
    <w:rsid w:val="00EB38EC"/>
    <w:rsid w:val="00EB3908"/>
    <w:rsid w:val="00EB3D9F"/>
    <w:rsid w:val="00EB3DFB"/>
    <w:rsid w:val="00EB3FC6"/>
    <w:rsid w:val="00EB462D"/>
    <w:rsid w:val="00EB48BC"/>
    <w:rsid w:val="00EB4B3D"/>
    <w:rsid w:val="00EB4D91"/>
    <w:rsid w:val="00EB6631"/>
    <w:rsid w:val="00EB6927"/>
    <w:rsid w:val="00EB6C0F"/>
    <w:rsid w:val="00EB737E"/>
    <w:rsid w:val="00EB75AC"/>
    <w:rsid w:val="00EB7775"/>
    <w:rsid w:val="00EB7789"/>
    <w:rsid w:val="00EC007D"/>
    <w:rsid w:val="00EC075B"/>
    <w:rsid w:val="00EC0798"/>
    <w:rsid w:val="00EC1887"/>
    <w:rsid w:val="00EC18A2"/>
    <w:rsid w:val="00EC1B29"/>
    <w:rsid w:val="00EC2461"/>
    <w:rsid w:val="00EC2B31"/>
    <w:rsid w:val="00EC3123"/>
    <w:rsid w:val="00EC3469"/>
    <w:rsid w:val="00EC379F"/>
    <w:rsid w:val="00EC3B1F"/>
    <w:rsid w:val="00EC3BB4"/>
    <w:rsid w:val="00EC3BCD"/>
    <w:rsid w:val="00EC428F"/>
    <w:rsid w:val="00EC5029"/>
    <w:rsid w:val="00EC52CE"/>
    <w:rsid w:val="00EC5A4A"/>
    <w:rsid w:val="00EC670A"/>
    <w:rsid w:val="00EC7004"/>
    <w:rsid w:val="00EC74D8"/>
    <w:rsid w:val="00EC7574"/>
    <w:rsid w:val="00EC778B"/>
    <w:rsid w:val="00EC7A14"/>
    <w:rsid w:val="00EC7F67"/>
    <w:rsid w:val="00ED0562"/>
    <w:rsid w:val="00ED0809"/>
    <w:rsid w:val="00ED0B4E"/>
    <w:rsid w:val="00ED17B8"/>
    <w:rsid w:val="00ED19CD"/>
    <w:rsid w:val="00ED1E3E"/>
    <w:rsid w:val="00ED2109"/>
    <w:rsid w:val="00ED21DA"/>
    <w:rsid w:val="00ED227D"/>
    <w:rsid w:val="00ED246F"/>
    <w:rsid w:val="00ED2655"/>
    <w:rsid w:val="00ED315B"/>
    <w:rsid w:val="00ED34EA"/>
    <w:rsid w:val="00ED3920"/>
    <w:rsid w:val="00ED40F8"/>
    <w:rsid w:val="00ED46AC"/>
    <w:rsid w:val="00ED4D17"/>
    <w:rsid w:val="00ED529E"/>
    <w:rsid w:val="00ED5A30"/>
    <w:rsid w:val="00ED5B7E"/>
    <w:rsid w:val="00ED6238"/>
    <w:rsid w:val="00ED63CE"/>
    <w:rsid w:val="00ED6CED"/>
    <w:rsid w:val="00ED6EDE"/>
    <w:rsid w:val="00ED6FB3"/>
    <w:rsid w:val="00ED6FD2"/>
    <w:rsid w:val="00ED752F"/>
    <w:rsid w:val="00ED756F"/>
    <w:rsid w:val="00ED7671"/>
    <w:rsid w:val="00ED769C"/>
    <w:rsid w:val="00ED7821"/>
    <w:rsid w:val="00ED7D01"/>
    <w:rsid w:val="00ED7DFF"/>
    <w:rsid w:val="00EE070D"/>
    <w:rsid w:val="00EE07EF"/>
    <w:rsid w:val="00EE0C58"/>
    <w:rsid w:val="00EE10AA"/>
    <w:rsid w:val="00EE1F0D"/>
    <w:rsid w:val="00EE2115"/>
    <w:rsid w:val="00EE2167"/>
    <w:rsid w:val="00EE23D3"/>
    <w:rsid w:val="00EE264D"/>
    <w:rsid w:val="00EE2CC5"/>
    <w:rsid w:val="00EE3B1B"/>
    <w:rsid w:val="00EE432F"/>
    <w:rsid w:val="00EE45FD"/>
    <w:rsid w:val="00EE46C2"/>
    <w:rsid w:val="00EE4894"/>
    <w:rsid w:val="00EE49B6"/>
    <w:rsid w:val="00EE4AAC"/>
    <w:rsid w:val="00EE4B1A"/>
    <w:rsid w:val="00EE4B46"/>
    <w:rsid w:val="00EE4D94"/>
    <w:rsid w:val="00EE5D19"/>
    <w:rsid w:val="00EE5F43"/>
    <w:rsid w:val="00EE643B"/>
    <w:rsid w:val="00EE68ED"/>
    <w:rsid w:val="00EE6FD4"/>
    <w:rsid w:val="00EE7056"/>
    <w:rsid w:val="00EE756A"/>
    <w:rsid w:val="00EE7728"/>
    <w:rsid w:val="00EE7962"/>
    <w:rsid w:val="00EF0065"/>
    <w:rsid w:val="00EF0088"/>
    <w:rsid w:val="00EF0243"/>
    <w:rsid w:val="00EF124E"/>
    <w:rsid w:val="00EF1323"/>
    <w:rsid w:val="00EF143E"/>
    <w:rsid w:val="00EF19C2"/>
    <w:rsid w:val="00EF1DA6"/>
    <w:rsid w:val="00EF1E66"/>
    <w:rsid w:val="00EF2525"/>
    <w:rsid w:val="00EF2B92"/>
    <w:rsid w:val="00EF31F3"/>
    <w:rsid w:val="00EF3DED"/>
    <w:rsid w:val="00EF4362"/>
    <w:rsid w:val="00EF48F0"/>
    <w:rsid w:val="00EF48F6"/>
    <w:rsid w:val="00EF5268"/>
    <w:rsid w:val="00EF5611"/>
    <w:rsid w:val="00EF5878"/>
    <w:rsid w:val="00EF5D43"/>
    <w:rsid w:val="00EF6073"/>
    <w:rsid w:val="00EF6284"/>
    <w:rsid w:val="00EF62C3"/>
    <w:rsid w:val="00EF672C"/>
    <w:rsid w:val="00EF6BDC"/>
    <w:rsid w:val="00EF6E15"/>
    <w:rsid w:val="00F00B17"/>
    <w:rsid w:val="00F010FF"/>
    <w:rsid w:val="00F0115C"/>
    <w:rsid w:val="00F011F4"/>
    <w:rsid w:val="00F01571"/>
    <w:rsid w:val="00F021AF"/>
    <w:rsid w:val="00F0235C"/>
    <w:rsid w:val="00F0237A"/>
    <w:rsid w:val="00F02D18"/>
    <w:rsid w:val="00F03039"/>
    <w:rsid w:val="00F0317A"/>
    <w:rsid w:val="00F0389B"/>
    <w:rsid w:val="00F03CFA"/>
    <w:rsid w:val="00F04408"/>
    <w:rsid w:val="00F049E9"/>
    <w:rsid w:val="00F04FA7"/>
    <w:rsid w:val="00F04FCE"/>
    <w:rsid w:val="00F05188"/>
    <w:rsid w:val="00F0579A"/>
    <w:rsid w:val="00F05AF1"/>
    <w:rsid w:val="00F06330"/>
    <w:rsid w:val="00F063B2"/>
    <w:rsid w:val="00F06EF4"/>
    <w:rsid w:val="00F0706B"/>
    <w:rsid w:val="00F07668"/>
    <w:rsid w:val="00F07878"/>
    <w:rsid w:val="00F07E9D"/>
    <w:rsid w:val="00F1033D"/>
    <w:rsid w:val="00F10470"/>
    <w:rsid w:val="00F10891"/>
    <w:rsid w:val="00F10FFA"/>
    <w:rsid w:val="00F11668"/>
    <w:rsid w:val="00F11827"/>
    <w:rsid w:val="00F11FF3"/>
    <w:rsid w:val="00F12173"/>
    <w:rsid w:val="00F122A3"/>
    <w:rsid w:val="00F12544"/>
    <w:rsid w:val="00F125BD"/>
    <w:rsid w:val="00F12734"/>
    <w:rsid w:val="00F135B1"/>
    <w:rsid w:val="00F13969"/>
    <w:rsid w:val="00F13DD8"/>
    <w:rsid w:val="00F14221"/>
    <w:rsid w:val="00F146BF"/>
    <w:rsid w:val="00F1560E"/>
    <w:rsid w:val="00F156DC"/>
    <w:rsid w:val="00F15CD3"/>
    <w:rsid w:val="00F16063"/>
    <w:rsid w:val="00F16B45"/>
    <w:rsid w:val="00F17DCD"/>
    <w:rsid w:val="00F17F82"/>
    <w:rsid w:val="00F20B4A"/>
    <w:rsid w:val="00F20E3D"/>
    <w:rsid w:val="00F2156C"/>
    <w:rsid w:val="00F215A9"/>
    <w:rsid w:val="00F2187E"/>
    <w:rsid w:val="00F21CF0"/>
    <w:rsid w:val="00F232B1"/>
    <w:rsid w:val="00F234F5"/>
    <w:rsid w:val="00F235C0"/>
    <w:rsid w:val="00F23B6A"/>
    <w:rsid w:val="00F23D60"/>
    <w:rsid w:val="00F245BC"/>
    <w:rsid w:val="00F247F5"/>
    <w:rsid w:val="00F24836"/>
    <w:rsid w:val="00F24CD8"/>
    <w:rsid w:val="00F24DB1"/>
    <w:rsid w:val="00F24DE1"/>
    <w:rsid w:val="00F24FBF"/>
    <w:rsid w:val="00F25245"/>
    <w:rsid w:val="00F256E6"/>
    <w:rsid w:val="00F25ABC"/>
    <w:rsid w:val="00F261B2"/>
    <w:rsid w:val="00F263A2"/>
    <w:rsid w:val="00F267E8"/>
    <w:rsid w:val="00F276DB"/>
    <w:rsid w:val="00F279D2"/>
    <w:rsid w:val="00F309D1"/>
    <w:rsid w:val="00F30E71"/>
    <w:rsid w:val="00F30EC9"/>
    <w:rsid w:val="00F313B3"/>
    <w:rsid w:val="00F31401"/>
    <w:rsid w:val="00F31468"/>
    <w:rsid w:val="00F316D6"/>
    <w:rsid w:val="00F317CF"/>
    <w:rsid w:val="00F318DD"/>
    <w:rsid w:val="00F3194C"/>
    <w:rsid w:val="00F31A76"/>
    <w:rsid w:val="00F31A88"/>
    <w:rsid w:val="00F31ABC"/>
    <w:rsid w:val="00F31D9C"/>
    <w:rsid w:val="00F323FD"/>
    <w:rsid w:val="00F3352A"/>
    <w:rsid w:val="00F33641"/>
    <w:rsid w:val="00F33B79"/>
    <w:rsid w:val="00F33C73"/>
    <w:rsid w:val="00F34113"/>
    <w:rsid w:val="00F343C6"/>
    <w:rsid w:val="00F3446C"/>
    <w:rsid w:val="00F35406"/>
    <w:rsid w:val="00F354B7"/>
    <w:rsid w:val="00F357F6"/>
    <w:rsid w:val="00F3639B"/>
    <w:rsid w:val="00F366D2"/>
    <w:rsid w:val="00F36885"/>
    <w:rsid w:val="00F3696B"/>
    <w:rsid w:val="00F369A6"/>
    <w:rsid w:val="00F36E22"/>
    <w:rsid w:val="00F400BD"/>
    <w:rsid w:val="00F40B23"/>
    <w:rsid w:val="00F4113B"/>
    <w:rsid w:val="00F41615"/>
    <w:rsid w:val="00F41A7F"/>
    <w:rsid w:val="00F428DB"/>
    <w:rsid w:val="00F431BA"/>
    <w:rsid w:val="00F444CF"/>
    <w:rsid w:val="00F44507"/>
    <w:rsid w:val="00F447B2"/>
    <w:rsid w:val="00F45E1D"/>
    <w:rsid w:val="00F46B67"/>
    <w:rsid w:val="00F47306"/>
    <w:rsid w:val="00F47712"/>
    <w:rsid w:val="00F500A6"/>
    <w:rsid w:val="00F50B62"/>
    <w:rsid w:val="00F50C32"/>
    <w:rsid w:val="00F5141E"/>
    <w:rsid w:val="00F51847"/>
    <w:rsid w:val="00F51ECD"/>
    <w:rsid w:val="00F527EC"/>
    <w:rsid w:val="00F52E32"/>
    <w:rsid w:val="00F53436"/>
    <w:rsid w:val="00F53701"/>
    <w:rsid w:val="00F53C28"/>
    <w:rsid w:val="00F53FCE"/>
    <w:rsid w:val="00F53FF1"/>
    <w:rsid w:val="00F54288"/>
    <w:rsid w:val="00F55712"/>
    <w:rsid w:val="00F557A0"/>
    <w:rsid w:val="00F5634C"/>
    <w:rsid w:val="00F568C0"/>
    <w:rsid w:val="00F578AF"/>
    <w:rsid w:val="00F605BB"/>
    <w:rsid w:val="00F60DE2"/>
    <w:rsid w:val="00F610D6"/>
    <w:rsid w:val="00F612C0"/>
    <w:rsid w:val="00F61B8B"/>
    <w:rsid w:val="00F626F4"/>
    <w:rsid w:val="00F62762"/>
    <w:rsid w:val="00F62BB8"/>
    <w:rsid w:val="00F634BE"/>
    <w:rsid w:val="00F635BA"/>
    <w:rsid w:val="00F635ED"/>
    <w:rsid w:val="00F638C7"/>
    <w:rsid w:val="00F6409C"/>
    <w:rsid w:val="00F644B0"/>
    <w:rsid w:val="00F64795"/>
    <w:rsid w:val="00F64A59"/>
    <w:rsid w:val="00F64A99"/>
    <w:rsid w:val="00F64D71"/>
    <w:rsid w:val="00F65377"/>
    <w:rsid w:val="00F65A3F"/>
    <w:rsid w:val="00F65A40"/>
    <w:rsid w:val="00F661D7"/>
    <w:rsid w:val="00F66ACF"/>
    <w:rsid w:val="00F671C6"/>
    <w:rsid w:val="00F6726B"/>
    <w:rsid w:val="00F67326"/>
    <w:rsid w:val="00F675EE"/>
    <w:rsid w:val="00F67658"/>
    <w:rsid w:val="00F6792D"/>
    <w:rsid w:val="00F67956"/>
    <w:rsid w:val="00F712DE"/>
    <w:rsid w:val="00F716F1"/>
    <w:rsid w:val="00F7194C"/>
    <w:rsid w:val="00F71A3A"/>
    <w:rsid w:val="00F71C01"/>
    <w:rsid w:val="00F722F8"/>
    <w:rsid w:val="00F72D14"/>
    <w:rsid w:val="00F732FF"/>
    <w:rsid w:val="00F7365D"/>
    <w:rsid w:val="00F738C9"/>
    <w:rsid w:val="00F73FB3"/>
    <w:rsid w:val="00F747C8"/>
    <w:rsid w:val="00F74EF3"/>
    <w:rsid w:val="00F7595D"/>
    <w:rsid w:val="00F75B2E"/>
    <w:rsid w:val="00F75C04"/>
    <w:rsid w:val="00F7634F"/>
    <w:rsid w:val="00F763D7"/>
    <w:rsid w:val="00F76ED6"/>
    <w:rsid w:val="00F76F0E"/>
    <w:rsid w:val="00F777F0"/>
    <w:rsid w:val="00F77AD4"/>
    <w:rsid w:val="00F80020"/>
    <w:rsid w:val="00F800F1"/>
    <w:rsid w:val="00F80CE4"/>
    <w:rsid w:val="00F80D45"/>
    <w:rsid w:val="00F81D9B"/>
    <w:rsid w:val="00F82314"/>
    <w:rsid w:val="00F823B2"/>
    <w:rsid w:val="00F8243C"/>
    <w:rsid w:val="00F8271A"/>
    <w:rsid w:val="00F83976"/>
    <w:rsid w:val="00F83B54"/>
    <w:rsid w:val="00F844DA"/>
    <w:rsid w:val="00F845C0"/>
    <w:rsid w:val="00F8483C"/>
    <w:rsid w:val="00F8529D"/>
    <w:rsid w:val="00F8559D"/>
    <w:rsid w:val="00F8564A"/>
    <w:rsid w:val="00F85DE5"/>
    <w:rsid w:val="00F86452"/>
    <w:rsid w:val="00F865B7"/>
    <w:rsid w:val="00F866ED"/>
    <w:rsid w:val="00F86784"/>
    <w:rsid w:val="00F86933"/>
    <w:rsid w:val="00F87007"/>
    <w:rsid w:val="00F8727B"/>
    <w:rsid w:val="00F87803"/>
    <w:rsid w:val="00F87882"/>
    <w:rsid w:val="00F87B86"/>
    <w:rsid w:val="00F87CFA"/>
    <w:rsid w:val="00F87D9E"/>
    <w:rsid w:val="00F87E1F"/>
    <w:rsid w:val="00F87E70"/>
    <w:rsid w:val="00F90003"/>
    <w:rsid w:val="00F9019F"/>
    <w:rsid w:val="00F90BFE"/>
    <w:rsid w:val="00F91354"/>
    <w:rsid w:val="00F9157F"/>
    <w:rsid w:val="00F91856"/>
    <w:rsid w:val="00F91945"/>
    <w:rsid w:val="00F91A89"/>
    <w:rsid w:val="00F91AC8"/>
    <w:rsid w:val="00F91E9D"/>
    <w:rsid w:val="00F92041"/>
    <w:rsid w:val="00F924B6"/>
    <w:rsid w:val="00F93B3F"/>
    <w:rsid w:val="00F93C16"/>
    <w:rsid w:val="00F93E63"/>
    <w:rsid w:val="00F94101"/>
    <w:rsid w:val="00F94102"/>
    <w:rsid w:val="00F942D1"/>
    <w:rsid w:val="00F94462"/>
    <w:rsid w:val="00F94700"/>
    <w:rsid w:val="00F9482A"/>
    <w:rsid w:val="00F94985"/>
    <w:rsid w:val="00F94F85"/>
    <w:rsid w:val="00F95808"/>
    <w:rsid w:val="00F95C88"/>
    <w:rsid w:val="00F97518"/>
    <w:rsid w:val="00F975B7"/>
    <w:rsid w:val="00F97619"/>
    <w:rsid w:val="00F976EF"/>
    <w:rsid w:val="00F979D5"/>
    <w:rsid w:val="00F97F83"/>
    <w:rsid w:val="00F97FE7"/>
    <w:rsid w:val="00FA02C4"/>
    <w:rsid w:val="00FA05C7"/>
    <w:rsid w:val="00FA0C0F"/>
    <w:rsid w:val="00FA0C4A"/>
    <w:rsid w:val="00FA10F6"/>
    <w:rsid w:val="00FA1435"/>
    <w:rsid w:val="00FA151D"/>
    <w:rsid w:val="00FA1962"/>
    <w:rsid w:val="00FA1A89"/>
    <w:rsid w:val="00FA219B"/>
    <w:rsid w:val="00FA230D"/>
    <w:rsid w:val="00FA238D"/>
    <w:rsid w:val="00FA24C7"/>
    <w:rsid w:val="00FA2B4D"/>
    <w:rsid w:val="00FA3156"/>
    <w:rsid w:val="00FA316F"/>
    <w:rsid w:val="00FA3208"/>
    <w:rsid w:val="00FA330F"/>
    <w:rsid w:val="00FA3742"/>
    <w:rsid w:val="00FA3BD5"/>
    <w:rsid w:val="00FA3D4C"/>
    <w:rsid w:val="00FA467D"/>
    <w:rsid w:val="00FA4790"/>
    <w:rsid w:val="00FA5320"/>
    <w:rsid w:val="00FA53D5"/>
    <w:rsid w:val="00FA54B5"/>
    <w:rsid w:val="00FA5952"/>
    <w:rsid w:val="00FA5D9E"/>
    <w:rsid w:val="00FA6485"/>
    <w:rsid w:val="00FA67EB"/>
    <w:rsid w:val="00FA68B8"/>
    <w:rsid w:val="00FA6A3B"/>
    <w:rsid w:val="00FA6FFB"/>
    <w:rsid w:val="00FA71B2"/>
    <w:rsid w:val="00FA763B"/>
    <w:rsid w:val="00FA79FE"/>
    <w:rsid w:val="00FA7CEB"/>
    <w:rsid w:val="00FB0625"/>
    <w:rsid w:val="00FB0B26"/>
    <w:rsid w:val="00FB174F"/>
    <w:rsid w:val="00FB18D8"/>
    <w:rsid w:val="00FB23CC"/>
    <w:rsid w:val="00FB328A"/>
    <w:rsid w:val="00FB35F9"/>
    <w:rsid w:val="00FB3A01"/>
    <w:rsid w:val="00FB3BF1"/>
    <w:rsid w:val="00FB3C8A"/>
    <w:rsid w:val="00FB4366"/>
    <w:rsid w:val="00FB4565"/>
    <w:rsid w:val="00FB4A3B"/>
    <w:rsid w:val="00FB4D88"/>
    <w:rsid w:val="00FB4EAD"/>
    <w:rsid w:val="00FB565D"/>
    <w:rsid w:val="00FB5859"/>
    <w:rsid w:val="00FB59AF"/>
    <w:rsid w:val="00FB60AB"/>
    <w:rsid w:val="00FB691D"/>
    <w:rsid w:val="00FB71ED"/>
    <w:rsid w:val="00FB7D67"/>
    <w:rsid w:val="00FC0230"/>
    <w:rsid w:val="00FC0B78"/>
    <w:rsid w:val="00FC0CED"/>
    <w:rsid w:val="00FC0FEA"/>
    <w:rsid w:val="00FC1103"/>
    <w:rsid w:val="00FC1261"/>
    <w:rsid w:val="00FC1795"/>
    <w:rsid w:val="00FC1C77"/>
    <w:rsid w:val="00FC21C0"/>
    <w:rsid w:val="00FC289F"/>
    <w:rsid w:val="00FC297D"/>
    <w:rsid w:val="00FC2FDA"/>
    <w:rsid w:val="00FC3670"/>
    <w:rsid w:val="00FC4556"/>
    <w:rsid w:val="00FC4CA2"/>
    <w:rsid w:val="00FC4ED1"/>
    <w:rsid w:val="00FC5581"/>
    <w:rsid w:val="00FC5829"/>
    <w:rsid w:val="00FC6BA6"/>
    <w:rsid w:val="00FC6D0E"/>
    <w:rsid w:val="00FC7796"/>
    <w:rsid w:val="00FC78F8"/>
    <w:rsid w:val="00FD0187"/>
    <w:rsid w:val="00FD07A1"/>
    <w:rsid w:val="00FD08B2"/>
    <w:rsid w:val="00FD0C38"/>
    <w:rsid w:val="00FD13FE"/>
    <w:rsid w:val="00FD1577"/>
    <w:rsid w:val="00FD1A65"/>
    <w:rsid w:val="00FD1BC9"/>
    <w:rsid w:val="00FD1DF8"/>
    <w:rsid w:val="00FD26EF"/>
    <w:rsid w:val="00FD2818"/>
    <w:rsid w:val="00FD2BA2"/>
    <w:rsid w:val="00FD2D9A"/>
    <w:rsid w:val="00FD3A22"/>
    <w:rsid w:val="00FD45B4"/>
    <w:rsid w:val="00FD475A"/>
    <w:rsid w:val="00FD4944"/>
    <w:rsid w:val="00FD4C3A"/>
    <w:rsid w:val="00FD4CB4"/>
    <w:rsid w:val="00FD51D8"/>
    <w:rsid w:val="00FD5703"/>
    <w:rsid w:val="00FD609E"/>
    <w:rsid w:val="00FD6184"/>
    <w:rsid w:val="00FD685D"/>
    <w:rsid w:val="00FD69B7"/>
    <w:rsid w:val="00FD76E2"/>
    <w:rsid w:val="00FD7814"/>
    <w:rsid w:val="00FD7A8C"/>
    <w:rsid w:val="00FD7B5F"/>
    <w:rsid w:val="00FD7D11"/>
    <w:rsid w:val="00FD7DB0"/>
    <w:rsid w:val="00FE0303"/>
    <w:rsid w:val="00FE0E7D"/>
    <w:rsid w:val="00FE123E"/>
    <w:rsid w:val="00FE29CD"/>
    <w:rsid w:val="00FE318F"/>
    <w:rsid w:val="00FE3381"/>
    <w:rsid w:val="00FE3448"/>
    <w:rsid w:val="00FE4FCE"/>
    <w:rsid w:val="00FE509E"/>
    <w:rsid w:val="00FE51F6"/>
    <w:rsid w:val="00FE52D7"/>
    <w:rsid w:val="00FE5564"/>
    <w:rsid w:val="00FE5948"/>
    <w:rsid w:val="00FE5C55"/>
    <w:rsid w:val="00FE5DEF"/>
    <w:rsid w:val="00FE5F5A"/>
    <w:rsid w:val="00FE6648"/>
    <w:rsid w:val="00FE67A2"/>
    <w:rsid w:val="00FE6BCA"/>
    <w:rsid w:val="00FE6F5D"/>
    <w:rsid w:val="00FE7499"/>
    <w:rsid w:val="00FE7C75"/>
    <w:rsid w:val="00FE7D90"/>
    <w:rsid w:val="00FE7FF2"/>
    <w:rsid w:val="00FF0023"/>
    <w:rsid w:val="00FF0DD0"/>
    <w:rsid w:val="00FF11D6"/>
    <w:rsid w:val="00FF1808"/>
    <w:rsid w:val="00FF1D1C"/>
    <w:rsid w:val="00FF2860"/>
    <w:rsid w:val="00FF2887"/>
    <w:rsid w:val="00FF28AC"/>
    <w:rsid w:val="00FF2C54"/>
    <w:rsid w:val="00FF2DFD"/>
    <w:rsid w:val="00FF2EE6"/>
    <w:rsid w:val="00FF41BE"/>
    <w:rsid w:val="00FF48B6"/>
    <w:rsid w:val="00FF4942"/>
    <w:rsid w:val="00FF512A"/>
    <w:rsid w:val="00FF532F"/>
    <w:rsid w:val="00FF53E8"/>
    <w:rsid w:val="00FF604D"/>
    <w:rsid w:val="00FF61E9"/>
    <w:rsid w:val="00FF6CBA"/>
    <w:rsid w:val="00FF6CE2"/>
    <w:rsid w:val="00FF754D"/>
    <w:rsid w:val="010E0DEE"/>
    <w:rsid w:val="017A2792"/>
    <w:rsid w:val="01800689"/>
    <w:rsid w:val="0195210A"/>
    <w:rsid w:val="01D442E8"/>
    <w:rsid w:val="02273D44"/>
    <w:rsid w:val="02525B73"/>
    <w:rsid w:val="026774FB"/>
    <w:rsid w:val="02847EB5"/>
    <w:rsid w:val="02F0496D"/>
    <w:rsid w:val="033B4236"/>
    <w:rsid w:val="03895675"/>
    <w:rsid w:val="039B1A4B"/>
    <w:rsid w:val="03D16C87"/>
    <w:rsid w:val="04090414"/>
    <w:rsid w:val="040C1BD5"/>
    <w:rsid w:val="04177405"/>
    <w:rsid w:val="041B4D66"/>
    <w:rsid w:val="042C0C84"/>
    <w:rsid w:val="04404285"/>
    <w:rsid w:val="04AA3BA5"/>
    <w:rsid w:val="04B11823"/>
    <w:rsid w:val="04DB1009"/>
    <w:rsid w:val="051A7B54"/>
    <w:rsid w:val="054B4CCD"/>
    <w:rsid w:val="05520A3E"/>
    <w:rsid w:val="05744C12"/>
    <w:rsid w:val="05AA390D"/>
    <w:rsid w:val="05C05E90"/>
    <w:rsid w:val="05EE7107"/>
    <w:rsid w:val="0635294C"/>
    <w:rsid w:val="067C6A7D"/>
    <w:rsid w:val="06A10086"/>
    <w:rsid w:val="06FC451F"/>
    <w:rsid w:val="072C4D00"/>
    <w:rsid w:val="0736262B"/>
    <w:rsid w:val="074E4DDC"/>
    <w:rsid w:val="076D6C41"/>
    <w:rsid w:val="079600F5"/>
    <w:rsid w:val="07D16D5E"/>
    <w:rsid w:val="07E02C34"/>
    <w:rsid w:val="07E76420"/>
    <w:rsid w:val="081C7A14"/>
    <w:rsid w:val="083E5993"/>
    <w:rsid w:val="08501D62"/>
    <w:rsid w:val="0860184E"/>
    <w:rsid w:val="086B2A8B"/>
    <w:rsid w:val="08904706"/>
    <w:rsid w:val="090858E9"/>
    <w:rsid w:val="090A2461"/>
    <w:rsid w:val="092D7FC3"/>
    <w:rsid w:val="095C0873"/>
    <w:rsid w:val="09633ED5"/>
    <w:rsid w:val="098806E4"/>
    <w:rsid w:val="09AD7D89"/>
    <w:rsid w:val="0A20263A"/>
    <w:rsid w:val="0A6942D5"/>
    <w:rsid w:val="0A7913CB"/>
    <w:rsid w:val="0A7A4FF9"/>
    <w:rsid w:val="0A8C1D9F"/>
    <w:rsid w:val="0AB33FCD"/>
    <w:rsid w:val="0ABA01C8"/>
    <w:rsid w:val="0AEE1E8A"/>
    <w:rsid w:val="0B2A4A4F"/>
    <w:rsid w:val="0B350831"/>
    <w:rsid w:val="0B8526E0"/>
    <w:rsid w:val="0B9F1679"/>
    <w:rsid w:val="0BA43DEA"/>
    <w:rsid w:val="0C2F5A56"/>
    <w:rsid w:val="0C4B0D7E"/>
    <w:rsid w:val="0C6B00C0"/>
    <w:rsid w:val="0C7035AF"/>
    <w:rsid w:val="0C747FDF"/>
    <w:rsid w:val="0D414039"/>
    <w:rsid w:val="0D4E28CD"/>
    <w:rsid w:val="0D801D74"/>
    <w:rsid w:val="0D8B584C"/>
    <w:rsid w:val="0DD07381"/>
    <w:rsid w:val="0DD7612E"/>
    <w:rsid w:val="0DED7BB6"/>
    <w:rsid w:val="0DF00C9A"/>
    <w:rsid w:val="0E034122"/>
    <w:rsid w:val="0EE53868"/>
    <w:rsid w:val="0EEB3A43"/>
    <w:rsid w:val="0EFA6AB3"/>
    <w:rsid w:val="0F1D00FC"/>
    <w:rsid w:val="0F55361D"/>
    <w:rsid w:val="0F5D1E68"/>
    <w:rsid w:val="0F5E3BC6"/>
    <w:rsid w:val="0F60409A"/>
    <w:rsid w:val="0F7B2A91"/>
    <w:rsid w:val="0FCE662D"/>
    <w:rsid w:val="0FEF3933"/>
    <w:rsid w:val="10300062"/>
    <w:rsid w:val="1045115B"/>
    <w:rsid w:val="10526FAD"/>
    <w:rsid w:val="107E7C78"/>
    <w:rsid w:val="108A0742"/>
    <w:rsid w:val="10C5758D"/>
    <w:rsid w:val="10CF5385"/>
    <w:rsid w:val="10FF33E4"/>
    <w:rsid w:val="111257BE"/>
    <w:rsid w:val="1131321E"/>
    <w:rsid w:val="11A5637A"/>
    <w:rsid w:val="11BD60AE"/>
    <w:rsid w:val="124C73B3"/>
    <w:rsid w:val="126B175F"/>
    <w:rsid w:val="1291207D"/>
    <w:rsid w:val="129502C7"/>
    <w:rsid w:val="12ED2EE4"/>
    <w:rsid w:val="13817A0B"/>
    <w:rsid w:val="138D3378"/>
    <w:rsid w:val="1399252B"/>
    <w:rsid w:val="13A91865"/>
    <w:rsid w:val="13B11F30"/>
    <w:rsid w:val="13F316BA"/>
    <w:rsid w:val="1409777C"/>
    <w:rsid w:val="14873EF8"/>
    <w:rsid w:val="14C171A9"/>
    <w:rsid w:val="152F3D7B"/>
    <w:rsid w:val="1570503A"/>
    <w:rsid w:val="15AA13AB"/>
    <w:rsid w:val="15ED2940"/>
    <w:rsid w:val="15EF109F"/>
    <w:rsid w:val="161C226B"/>
    <w:rsid w:val="16385D23"/>
    <w:rsid w:val="1648080B"/>
    <w:rsid w:val="168F3877"/>
    <w:rsid w:val="1691466A"/>
    <w:rsid w:val="169D30B6"/>
    <w:rsid w:val="169F6623"/>
    <w:rsid w:val="16A60EAA"/>
    <w:rsid w:val="16A65C59"/>
    <w:rsid w:val="176C27D3"/>
    <w:rsid w:val="17751C64"/>
    <w:rsid w:val="17801731"/>
    <w:rsid w:val="17823D62"/>
    <w:rsid w:val="17CA7EB8"/>
    <w:rsid w:val="1846137E"/>
    <w:rsid w:val="18C71981"/>
    <w:rsid w:val="18EF528D"/>
    <w:rsid w:val="18FB4D98"/>
    <w:rsid w:val="191535D6"/>
    <w:rsid w:val="19AD4A92"/>
    <w:rsid w:val="19FF3A6D"/>
    <w:rsid w:val="1A9B1049"/>
    <w:rsid w:val="1AB8560E"/>
    <w:rsid w:val="1AD448E1"/>
    <w:rsid w:val="1AD9497A"/>
    <w:rsid w:val="1ADB575E"/>
    <w:rsid w:val="1AFA1767"/>
    <w:rsid w:val="1B286878"/>
    <w:rsid w:val="1B45439C"/>
    <w:rsid w:val="1B9F758F"/>
    <w:rsid w:val="1B9F75A8"/>
    <w:rsid w:val="1BA006DE"/>
    <w:rsid w:val="1BAF10B5"/>
    <w:rsid w:val="1BC113B1"/>
    <w:rsid w:val="1BCD6306"/>
    <w:rsid w:val="1BD92C95"/>
    <w:rsid w:val="1BDA4662"/>
    <w:rsid w:val="1BE57434"/>
    <w:rsid w:val="1BF10F1D"/>
    <w:rsid w:val="1BFD2845"/>
    <w:rsid w:val="1C104A87"/>
    <w:rsid w:val="1C3028E3"/>
    <w:rsid w:val="1C373F60"/>
    <w:rsid w:val="1C685280"/>
    <w:rsid w:val="1C803A10"/>
    <w:rsid w:val="1C80423C"/>
    <w:rsid w:val="1C9A1A5E"/>
    <w:rsid w:val="1CAD7D4D"/>
    <w:rsid w:val="1D034524"/>
    <w:rsid w:val="1D393E94"/>
    <w:rsid w:val="1D543F90"/>
    <w:rsid w:val="1D8226A9"/>
    <w:rsid w:val="1D926BF5"/>
    <w:rsid w:val="1D992797"/>
    <w:rsid w:val="1DD70E76"/>
    <w:rsid w:val="1DE15026"/>
    <w:rsid w:val="1E050744"/>
    <w:rsid w:val="1E216903"/>
    <w:rsid w:val="1E245EFE"/>
    <w:rsid w:val="1E4D464C"/>
    <w:rsid w:val="1E557763"/>
    <w:rsid w:val="1EB344B4"/>
    <w:rsid w:val="1F1E74F9"/>
    <w:rsid w:val="1F437992"/>
    <w:rsid w:val="1F474968"/>
    <w:rsid w:val="1FD03D09"/>
    <w:rsid w:val="1FD43ED1"/>
    <w:rsid w:val="1FE956AD"/>
    <w:rsid w:val="1FEC591F"/>
    <w:rsid w:val="200A5027"/>
    <w:rsid w:val="200C2DE8"/>
    <w:rsid w:val="200E3420"/>
    <w:rsid w:val="201923F8"/>
    <w:rsid w:val="20B22B88"/>
    <w:rsid w:val="20FE5CE2"/>
    <w:rsid w:val="21076366"/>
    <w:rsid w:val="212C737A"/>
    <w:rsid w:val="21383270"/>
    <w:rsid w:val="21551428"/>
    <w:rsid w:val="21BE6972"/>
    <w:rsid w:val="21E93A4C"/>
    <w:rsid w:val="223B35CA"/>
    <w:rsid w:val="223F201F"/>
    <w:rsid w:val="22AB45E9"/>
    <w:rsid w:val="22B11283"/>
    <w:rsid w:val="22E46A0B"/>
    <w:rsid w:val="232F780D"/>
    <w:rsid w:val="23350CB0"/>
    <w:rsid w:val="23372356"/>
    <w:rsid w:val="238F3AC4"/>
    <w:rsid w:val="239B443E"/>
    <w:rsid w:val="23BB1F5D"/>
    <w:rsid w:val="23EC748D"/>
    <w:rsid w:val="248F0CA3"/>
    <w:rsid w:val="24902038"/>
    <w:rsid w:val="24A92861"/>
    <w:rsid w:val="24AF4DBD"/>
    <w:rsid w:val="24C97854"/>
    <w:rsid w:val="24F0231E"/>
    <w:rsid w:val="24F52676"/>
    <w:rsid w:val="25F532FF"/>
    <w:rsid w:val="262865AD"/>
    <w:rsid w:val="26342A9C"/>
    <w:rsid w:val="26364E79"/>
    <w:rsid w:val="267C52C7"/>
    <w:rsid w:val="27562A56"/>
    <w:rsid w:val="276A274C"/>
    <w:rsid w:val="278903E7"/>
    <w:rsid w:val="27AC546A"/>
    <w:rsid w:val="27D176EC"/>
    <w:rsid w:val="27F96747"/>
    <w:rsid w:val="280765F9"/>
    <w:rsid w:val="28680563"/>
    <w:rsid w:val="287A30FF"/>
    <w:rsid w:val="28A01D35"/>
    <w:rsid w:val="28C00D6C"/>
    <w:rsid w:val="29306EE3"/>
    <w:rsid w:val="29342A17"/>
    <w:rsid w:val="293E1FDF"/>
    <w:rsid w:val="29803272"/>
    <w:rsid w:val="29AD7F43"/>
    <w:rsid w:val="29B1275E"/>
    <w:rsid w:val="29C177B1"/>
    <w:rsid w:val="2A09735E"/>
    <w:rsid w:val="2A734111"/>
    <w:rsid w:val="2A754F1C"/>
    <w:rsid w:val="2A90027C"/>
    <w:rsid w:val="2AB40ED8"/>
    <w:rsid w:val="2ACB5E3B"/>
    <w:rsid w:val="2B11394B"/>
    <w:rsid w:val="2B1B7087"/>
    <w:rsid w:val="2B45443B"/>
    <w:rsid w:val="2B5F0750"/>
    <w:rsid w:val="2BA22F14"/>
    <w:rsid w:val="2BBD3C42"/>
    <w:rsid w:val="2BF63DAF"/>
    <w:rsid w:val="2C493F9B"/>
    <w:rsid w:val="2C5C02D5"/>
    <w:rsid w:val="2C6E0A57"/>
    <w:rsid w:val="2C8C527A"/>
    <w:rsid w:val="2CBD1317"/>
    <w:rsid w:val="2CD61E31"/>
    <w:rsid w:val="2CE82801"/>
    <w:rsid w:val="2CF4443A"/>
    <w:rsid w:val="2D1C0A96"/>
    <w:rsid w:val="2DA82875"/>
    <w:rsid w:val="2E1175A7"/>
    <w:rsid w:val="2E281002"/>
    <w:rsid w:val="2E5F7F83"/>
    <w:rsid w:val="2E7766BD"/>
    <w:rsid w:val="2ECC5D34"/>
    <w:rsid w:val="2F3D27D2"/>
    <w:rsid w:val="2FB02DCF"/>
    <w:rsid w:val="300C72AA"/>
    <w:rsid w:val="300E22F3"/>
    <w:rsid w:val="30123D94"/>
    <w:rsid w:val="3020063B"/>
    <w:rsid w:val="306E47C9"/>
    <w:rsid w:val="30847FCB"/>
    <w:rsid w:val="3097288D"/>
    <w:rsid w:val="30B60DA5"/>
    <w:rsid w:val="30E64992"/>
    <w:rsid w:val="30FC69E5"/>
    <w:rsid w:val="3104362A"/>
    <w:rsid w:val="310B302F"/>
    <w:rsid w:val="31427F67"/>
    <w:rsid w:val="314612D4"/>
    <w:rsid w:val="314802B1"/>
    <w:rsid w:val="314D5C27"/>
    <w:rsid w:val="31F535F4"/>
    <w:rsid w:val="31F9039C"/>
    <w:rsid w:val="31FA0ADE"/>
    <w:rsid w:val="320B0595"/>
    <w:rsid w:val="321A7B0C"/>
    <w:rsid w:val="32440C87"/>
    <w:rsid w:val="32751BFE"/>
    <w:rsid w:val="328577DB"/>
    <w:rsid w:val="32C537D6"/>
    <w:rsid w:val="330B0C68"/>
    <w:rsid w:val="331945EC"/>
    <w:rsid w:val="3336036F"/>
    <w:rsid w:val="335943DB"/>
    <w:rsid w:val="33890838"/>
    <w:rsid w:val="339E5906"/>
    <w:rsid w:val="33A57DA2"/>
    <w:rsid w:val="33AC6037"/>
    <w:rsid w:val="33D11631"/>
    <w:rsid w:val="33D819C2"/>
    <w:rsid w:val="33FE23A9"/>
    <w:rsid w:val="344D3EAB"/>
    <w:rsid w:val="34743673"/>
    <w:rsid w:val="347D3FA9"/>
    <w:rsid w:val="34F61267"/>
    <w:rsid w:val="35415EFA"/>
    <w:rsid w:val="357860A4"/>
    <w:rsid w:val="358A784F"/>
    <w:rsid w:val="35972052"/>
    <w:rsid w:val="35B611A8"/>
    <w:rsid w:val="35D0026F"/>
    <w:rsid w:val="35E25DA4"/>
    <w:rsid w:val="35E42E91"/>
    <w:rsid w:val="35FA3BE3"/>
    <w:rsid w:val="36230B2D"/>
    <w:rsid w:val="36325ABE"/>
    <w:rsid w:val="36595CCB"/>
    <w:rsid w:val="36E00D0E"/>
    <w:rsid w:val="3762634E"/>
    <w:rsid w:val="37C25D26"/>
    <w:rsid w:val="37E51977"/>
    <w:rsid w:val="380B0F84"/>
    <w:rsid w:val="386326B3"/>
    <w:rsid w:val="387C29F2"/>
    <w:rsid w:val="38810F21"/>
    <w:rsid w:val="38B82ACD"/>
    <w:rsid w:val="38F9157B"/>
    <w:rsid w:val="394047DA"/>
    <w:rsid w:val="39506590"/>
    <w:rsid w:val="3951584D"/>
    <w:rsid w:val="39521007"/>
    <w:rsid w:val="3974076A"/>
    <w:rsid w:val="397810EF"/>
    <w:rsid w:val="399F0D98"/>
    <w:rsid w:val="3A0202AE"/>
    <w:rsid w:val="3A0B1167"/>
    <w:rsid w:val="3AA76F2B"/>
    <w:rsid w:val="3AB46BFD"/>
    <w:rsid w:val="3AD754FA"/>
    <w:rsid w:val="3AE44BCF"/>
    <w:rsid w:val="3B444F0C"/>
    <w:rsid w:val="3B686A2A"/>
    <w:rsid w:val="3B7C468E"/>
    <w:rsid w:val="3B996EDA"/>
    <w:rsid w:val="3BE42EE7"/>
    <w:rsid w:val="3BE8611B"/>
    <w:rsid w:val="3C03611A"/>
    <w:rsid w:val="3C0F1E7D"/>
    <w:rsid w:val="3C1F6B5B"/>
    <w:rsid w:val="3C2467FE"/>
    <w:rsid w:val="3C26181D"/>
    <w:rsid w:val="3C3E2744"/>
    <w:rsid w:val="3C55269D"/>
    <w:rsid w:val="3C8446BC"/>
    <w:rsid w:val="3C995D94"/>
    <w:rsid w:val="3CDC20C7"/>
    <w:rsid w:val="3D425FA5"/>
    <w:rsid w:val="3D5952DF"/>
    <w:rsid w:val="3D636A71"/>
    <w:rsid w:val="3D760F0B"/>
    <w:rsid w:val="3D7C4B7A"/>
    <w:rsid w:val="3D9B7C9E"/>
    <w:rsid w:val="3DA5179C"/>
    <w:rsid w:val="3DEE15F8"/>
    <w:rsid w:val="3E09424B"/>
    <w:rsid w:val="3E213557"/>
    <w:rsid w:val="3E3645E8"/>
    <w:rsid w:val="3E40252C"/>
    <w:rsid w:val="3E580170"/>
    <w:rsid w:val="3E5E1E1B"/>
    <w:rsid w:val="3E6C06F7"/>
    <w:rsid w:val="3EA30D48"/>
    <w:rsid w:val="3EC20208"/>
    <w:rsid w:val="3F722F50"/>
    <w:rsid w:val="3FE30660"/>
    <w:rsid w:val="3FF30DA2"/>
    <w:rsid w:val="400B2BDB"/>
    <w:rsid w:val="400F3BF5"/>
    <w:rsid w:val="404627D9"/>
    <w:rsid w:val="40512E69"/>
    <w:rsid w:val="40615BA3"/>
    <w:rsid w:val="40DF5F5C"/>
    <w:rsid w:val="41734262"/>
    <w:rsid w:val="4185471E"/>
    <w:rsid w:val="41BB6040"/>
    <w:rsid w:val="41D5070C"/>
    <w:rsid w:val="41DA179D"/>
    <w:rsid w:val="41DB6901"/>
    <w:rsid w:val="41E6588A"/>
    <w:rsid w:val="41EB2DFB"/>
    <w:rsid w:val="421A706F"/>
    <w:rsid w:val="424976B3"/>
    <w:rsid w:val="425003FF"/>
    <w:rsid w:val="42916F28"/>
    <w:rsid w:val="42937FD4"/>
    <w:rsid w:val="42A729DC"/>
    <w:rsid w:val="42CD50FC"/>
    <w:rsid w:val="431A298B"/>
    <w:rsid w:val="439F4643"/>
    <w:rsid w:val="43E23C7C"/>
    <w:rsid w:val="45571DD9"/>
    <w:rsid w:val="458D2D76"/>
    <w:rsid w:val="45FF4E52"/>
    <w:rsid w:val="460B5A77"/>
    <w:rsid w:val="460D5BB0"/>
    <w:rsid w:val="462201EF"/>
    <w:rsid w:val="46223A28"/>
    <w:rsid w:val="462F1307"/>
    <w:rsid w:val="468C4931"/>
    <w:rsid w:val="46A87DB9"/>
    <w:rsid w:val="46C07762"/>
    <w:rsid w:val="46C16FF3"/>
    <w:rsid w:val="46C66027"/>
    <w:rsid w:val="46CC4E1A"/>
    <w:rsid w:val="46DF6F59"/>
    <w:rsid w:val="47181F67"/>
    <w:rsid w:val="479A73BB"/>
    <w:rsid w:val="47EA554C"/>
    <w:rsid w:val="47EC7718"/>
    <w:rsid w:val="48011DBA"/>
    <w:rsid w:val="48170C5B"/>
    <w:rsid w:val="48711B60"/>
    <w:rsid w:val="48795872"/>
    <w:rsid w:val="48D8662B"/>
    <w:rsid w:val="48E3275F"/>
    <w:rsid w:val="48FE345C"/>
    <w:rsid w:val="4900785E"/>
    <w:rsid w:val="496A3B5C"/>
    <w:rsid w:val="498C5053"/>
    <w:rsid w:val="49A42421"/>
    <w:rsid w:val="49AB7806"/>
    <w:rsid w:val="4A412944"/>
    <w:rsid w:val="4A9916E0"/>
    <w:rsid w:val="4AD02D7D"/>
    <w:rsid w:val="4ADD770D"/>
    <w:rsid w:val="4B0743B3"/>
    <w:rsid w:val="4B22287D"/>
    <w:rsid w:val="4B261AD3"/>
    <w:rsid w:val="4B5A0F50"/>
    <w:rsid w:val="4B75186A"/>
    <w:rsid w:val="4C4A18B1"/>
    <w:rsid w:val="4C5E5852"/>
    <w:rsid w:val="4C923E5C"/>
    <w:rsid w:val="4C9A28C8"/>
    <w:rsid w:val="4CA2145C"/>
    <w:rsid w:val="4CAA1845"/>
    <w:rsid w:val="4CDF5FB2"/>
    <w:rsid w:val="4CFB3574"/>
    <w:rsid w:val="4D0002C8"/>
    <w:rsid w:val="4D38201D"/>
    <w:rsid w:val="4D8A0401"/>
    <w:rsid w:val="4E2D677B"/>
    <w:rsid w:val="4E40447D"/>
    <w:rsid w:val="4E4315CD"/>
    <w:rsid w:val="4E4803FF"/>
    <w:rsid w:val="4EAF6294"/>
    <w:rsid w:val="4EBE11AD"/>
    <w:rsid w:val="4ED7482A"/>
    <w:rsid w:val="4F1E34DE"/>
    <w:rsid w:val="4F531FFA"/>
    <w:rsid w:val="4F5F5C49"/>
    <w:rsid w:val="4F7B47B7"/>
    <w:rsid w:val="4F805C2A"/>
    <w:rsid w:val="4F934092"/>
    <w:rsid w:val="4FA3297D"/>
    <w:rsid w:val="4FC93474"/>
    <w:rsid w:val="503161A5"/>
    <w:rsid w:val="5041775D"/>
    <w:rsid w:val="50A13D2F"/>
    <w:rsid w:val="50B62878"/>
    <w:rsid w:val="511925C3"/>
    <w:rsid w:val="51415E65"/>
    <w:rsid w:val="515C58BC"/>
    <w:rsid w:val="518C054C"/>
    <w:rsid w:val="51992C70"/>
    <w:rsid w:val="51AD0BC7"/>
    <w:rsid w:val="51D03FE9"/>
    <w:rsid w:val="51DE63A8"/>
    <w:rsid w:val="52006383"/>
    <w:rsid w:val="52180FF5"/>
    <w:rsid w:val="52306F6D"/>
    <w:rsid w:val="524862B1"/>
    <w:rsid w:val="52504184"/>
    <w:rsid w:val="527A3E93"/>
    <w:rsid w:val="52A12B27"/>
    <w:rsid w:val="52AD449C"/>
    <w:rsid w:val="52FC5DC8"/>
    <w:rsid w:val="530F56B0"/>
    <w:rsid w:val="53111EA5"/>
    <w:rsid w:val="531F595A"/>
    <w:rsid w:val="53850C90"/>
    <w:rsid w:val="53A87FB6"/>
    <w:rsid w:val="53D656A1"/>
    <w:rsid w:val="53E310D1"/>
    <w:rsid w:val="54085DEC"/>
    <w:rsid w:val="54364BFB"/>
    <w:rsid w:val="543A6824"/>
    <w:rsid w:val="54C40DEB"/>
    <w:rsid w:val="54CF4D3D"/>
    <w:rsid w:val="54DC7F5B"/>
    <w:rsid w:val="55083319"/>
    <w:rsid w:val="554A21F7"/>
    <w:rsid w:val="55542CA2"/>
    <w:rsid w:val="55674745"/>
    <w:rsid w:val="559F3DC7"/>
    <w:rsid w:val="55BB2879"/>
    <w:rsid w:val="55E12D51"/>
    <w:rsid w:val="56193721"/>
    <w:rsid w:val="562D149D"/>
    <w:rsid w:val="565C4146"/>
    <w:rsid w:val="56A1685A"/>
    <w:rsid w:val="56BD1F9D"/>
    <w:rsid w:val="56DD5832"/>
    <w:rsid w:val="57082C5C"/>
    <w:rsid w:val="5741773C"/>
    <w:rsid w:val="57512877"/>
    <w:rsid w:val="575D62E9"/>
    <w:rsid w:val="575E2C09"/>
    <w:rsid w:val="578B45C8"/>
    <w:rsid w:val="57A377EE"/>
    <w:rsid w:val="58306158"/>
    <w:rsid w:val="586D0AFA"/>
    <w:rsid w:val="587050C4"/>
    <w:rsid w:val="58DA2B06"/>
    <w:rsid w:val="58DE13D7"/>
    <w:rsid w:val="58DF21F8"/>
    <w:rsid w:val="590924E2"/>
    <w:rsid w:val="591B6765"/>
    <w:rsid w:val="59314B1D"/>
    <w:rsid w:val="594C65B5"/>
    <w:rsid w:val="59942DFB"/>
    <w:rsid w:val="59CD07B9"/>
    <w:rsid w:val="59DA6E78"/>
    <w:rsid w:val="5A0272CE"/>
    <w:rsid w:val="5A0B1952"/>
    <w:rsid w:val="5A0C3447"/>
    <w:rsid w:val="5A135B35"/>
    <w:rsid w:val="5A1A2233"/>
    <w:rsid w:val="5A3A5328"/>
    <w:rsid w:val="5A3E27D7"/>
    <w:rsid w:val="5A945557"/>
    <w:rsid w:val="5B4956B0"/>
    <w:rsid w:val="5B923A61"/>
    <w:rsid w:val="5BFE2306"/>
    <w:rsid w:val="5C0D3334"/>
    <w:rsid w:val="5C552163"/>
    <w:rsid w:val="5CCC0CA8"/>
    <w:rsid w:val="5CD42014"/>
    <w:rsid w:val="5CDB2DE9"/>
    <w:rsid w:val="5D124BF1"/>
    <w:rsid w:val="5D5C0807"/>
    <w:rsid w:val="5D7239BB"/>
    <w:rsid w:val="5D7634B1"/>
    <w:rsid w:val="5D823E6A"/>
    <w:rsid w:val="5D9C126B"/>
    <w:rsid w:val="5DB810B7"/>
    <w:rsid w:val="5DD243E5"/>
    <w:rsid w:val="5DD6709F"/>
    <w:rsid w:val="5DFC0CB5"/>
    <w:rsid w:val="5E15686F"/>
    <w:rsid w:val="5E6167B2"/>
    <w:rsid w:val="5E625B32"/>
    <w:rsid w:val="5E913AE2"/>
    <w:rsid w:val="5EBB1B39"/>
    <w:rsid w:val="5EF7307E"/>
    <w:rsid w:val="5F1E58C3"/>
    <w:rsid w:val="5F235E7E"/>
    <w:rsid w:val="5F2D3D24"/>
    <w:rsid w:val="5F4509AF"/>
    <w:rsid w:val="5F817D57"/>
    <w:rsid w:val="600868BD"/>
    <w:rsid w:val="60094AD9"/>
    <w:rsid w:val="60485320"/>
    <w:rsid w:val="605E725D"/>
    <w:rsid w:val="60767760"/>
    <w:rsid w:val="607B0E03"/>
    <w:rsid w:val="607B1ABF"/>
    <w:rsid w:val="60C35DE4"/>
    <w:rsid w:val="60CB2226"/>
    <w:rsid w:val="60F1534A"/>
    <w:rsid w:val="60F7294C"/>
    <w:rsid w:val="61470C06"/>
    <w:rsid w:val="61474D2A"/>
    <w:rsid w:val="61493740"/>
    <w:rsid w:val="6161282A"/>
    <w:rsid w:val="61793AB0"/>
    <w:rsid w:val="61827486"/>
    <w:rsid w:val="618765DC"/>
    <w:rsid w:val="61CC46C6"/>
    <w:rsid w:val="61E9703B"/>
    <w:rsid w:val="61F24074"/>
    <w:rsid w:val="62477743"/>
    <w:rsid w:val="62691D56"/>
    <w:rsid w:val="62C14103"/>
    <w:rsid w:val="633F2447"/>
    <w:rsid w:val="63627A85"/>
    <w:rsid w:val="638D3E27"/>
    <w:rsid w:val="63A56725"/>
    <w:rsid w:val="63C10326"/>
    <w:rsid w:val="640B24E2"/>
    <w:rsid w:val="643B698B"/>
    <w:rsid w:val="646A5B30"/>
    <w:rsid w:val="64722894"/>
    <w:rsid w:val="64725A74"/>
    <w:rsid w:val="648B1FBF"/>
    <w:rsid w:val="64E01854"/>
    <w:rsid w:val="64E411B0"/>
    <w:rsid w:val="64E440CF"/>
    <w:rsid w:val="653D5C62"/>
    <w:rsid w:val="6541720A"/>
    <w:rsid w:val="65522FAF"/>
    <w:rsid w:val="657F0109"/>
    <w:rsid w:val="65C64B80"/>
    <w:rsid w:val="65C83CF8"/>
    <w:rsid w:val="65D12372"/>
    <w:rsid w:val="66091C84"/>
    <w:rsid w:val="66357829"/>
    <w:rsid w:val="666078A8"/>
    <w:rsid w:val="66AD359F"/>
    <w:rsid w:val="66B27F40"/>
    <w:rsid w:val="66C55E53"/>
    <w:rsid w:val="66C7611A"/>
    <w:rsid w:val="66D41FBF"/>
    <w:rsid w:val="66D95A08"/>
    <w:rsid w:val="670A6125"/>
    <w:rsid w:val="670F117C"/>
    <w:rsid w:val="67172C12"/>
    <w:rsid w:val="67215FEA"/>
    <w:rsid w:val="673C7832"/>
    <w:rsid w:val="67A2053A"/>
    <w:rsid w:val="67A6090E"/>
    <w:rsid w:val="67E05013"/>
    <w:rsid w:val="67E55C0F"/>
    <w:rsid w:val="67E646E5"/>
    <w:rsid w:val="67FD64A2"/>
    <w:rsid w:val="681F65E3"/>
    <w:rsid w:val="6820139F"/>
    <w:rsid w:val="68207647"/>
    <w:rsid w:val="68223385"/>
    <w:rsid w:val="687C605B"/>
    <w:rsid w:val="68834D79"/>
    <w:rsid w:val="688D48D0"/>
    <w:rsid w:val="688F2566"/>
    <w:rsid w:val="689F7A45"/>
    <w:rsid w:val="68F97E73"/>
    <w:rsid w:val="68FC7244"/>
    <w:rsid w:val="690F71A4"/>
    <w:rsid w:val="69371105"/>
    <w:rsid w:val="69702FA7"/>
    <w:rsid w:val="698A0D3B"/>
    <w:rsid w:val="6A0D77D0"/>
    <w:rsid w:val="6A7A401B"/>
    <w:rsid w:val="6A883685"/>
    <w:rsid w:val="6A8E5429"/>
    <w:rsid w:val="6B0046FA"/>
    <w:rsid w:val="6B0C50CA"/>
    <w:rsid w:val="6B384655"/>
    <w:rsid w:val="6B4B7CD0"/>
    <w:rsid w:val="6B502BCC"/>
    <w:rsid w:val="6B9E659C"/>
    <w:rsid w:val="6BD94A9C"/>
    <w:rsid w:val="6C225000"/>
    <w:rsid w:val="6C2C7CA3"/>
    <w:rsid w:val="6C4032C5"/>
    <w:rsid w:val="6C50616A"/>
    <w:rsid w:val="6C7B0A1C"/>
    <w:rsid w:val="6C7D11DC"/>
    <w:rsid w:val="6CB75949"/>
    <w:rsid w:val="6D215933"/>
    <w:rsid w:val="6D551566"/>
    <w:rsid w:val="6DB431C3"/>
    <w:rsid w:val="6DDB7886"/>
    <w:rsid w:val="6DE67932"/>
    <w:rsid w:val="6E167679"/>
    <w:rsid w:val="6E2E7A7E"/>
    <w:rsid w:val="6E7325B5"/>
    <w:rsid w:val="6E7C3339"/>
    <w:rsid w:val="6EE24079"/>
    <w:rsid w:val="6F042597"/>
    <w:rsid w:val="6F056C19"/>
    <w:rsid w:val="6F076877"/>
    <w:rsid w:val="6F0D2BAD"/>
    <w:rsid w:val="6F444FC1"/>
    <w:rsid w:val="6F571CCB"/>
    <w:rsid w:val="6F615B00"/>
    <w:rsid w:val="6F705DDD"/>
    <w:rsid w:val="6F7841F0"/>
    <w:rsid w:val="6FEA6551"/>
    <w:rsid w:val="6FFD1948"/>
    <w:rsid w:val="700A0B56"/>
    <w:rsid w:val="700C1831"/>
    <w:rsid w:val="701849E2"/>
    <w:rsid w:val="70185A9B"/>
    <w:rsid w:val="7029582E"/>
    <w:rsid w:val="702B1392"/>
    <w:rsid w:val="70791479"/>
    <w:rsid w:val="71597F99"/>
    <w:rsid w:val="717C689E"/>
    <w:rsid w:val="71824DF2"/>
    <w:rsid w:val="718E0344"/>
    <w:rsid w:val="71A07000"/>
    <w:rsid w:val="71CC5753"/>
    <w:rsid w:val="71D436C0"/>
    <w:rsid w:val="720A471D"/>
    <w:rsid w:val="72234FDA"/>
    <w:rsid w:val="7238605A"/>
    <w:rsid w:val="72A670D5"/>
    <w:rsid w:val="73044E01"/>
    <w:rsid w:val="731943A4"/>
    <w:rsid w:val="73595799"/>
    <w:rsid w:val="735D39EA"/>
    <w:rsid w:val="73641CB5"/>
    <w:rsid w:val="737D3782"/>
    <w:rsid w:val="738525EA"/>
    <w:rsid w:val="738B7877"/>
    <w:rsid w:val="73DB58CE"/>
    <w:rsid w:val="7404715E"/>
    <w:rsid w:val="7422563C"/>
    <w:rsid w:val="744C202A"/>
    <w:rsid w:val="74592E43"/>
    <w:rsid w:val="747D03DA"/>
    <w:rsid w:val="75015A67"/>
    <w:rsid w:val="75171F41"/>
    <w:rsid w:val="754B76CC"/>
    <w:rsid w:val="757C1912"/>
    <w:rsid w:val="759F1D76"/>
    <w:rsid w:val="762D20E3"/>
    <w:rsid w:val="763A63F4"/>
    <w:rsid w:val="766B6F4D"/>
    <w:rsid w:val="768C74EA"/>
    <w:rsid w:val="768D4802"/>
    <w:rsid w:val="76B03C08"/>
    <w:rsid w:val="77103495"/>
    <w:rsid w:val="7727774B"/>
    <w:rsid w:val="7757521D"/>
    <w:rsid w:val="77C42A12"/>
    <w:rsid w:val="77E36A2E"/>
    <w:rsid w:val="78211AB1"/>
    <w:rsid w:val="78544783"/>
    <w:rsid w:val="78685984"/>
    <w:rsid w:val="787153A7"/>
    <w:rsid w:val="788077BF"/>
    <w:rsid w:val="78817323"/>
    <w:rsid w:val="78F66700"/>
    <w:rsid w:val="78FA34E7"/>
    <w:rsid w:val="79135BE4"/>
    <w:rsid w:val="791C1C8C"/>
    <w:rsid w:val="793B612E"/>
    <w:rsid w:val="79432C4A"/>
    <w:rsid w:val="794B5A7C"/>
    <w:rsid w:val="79563E51"/>
    <w:rsid w:val="7993767F"/>
    <w:rsid w:val="79AC20EA"/>
    <w:rsid w:val="79C737D0"/>
    <w:rsid w:val="7A080A7A"/>
    <w:rsid w:val="7A6548FF"/>
    <w:rsid w:val="7A792969"/>
    <w:rsid w:val="7A9B467D"/>
    <w:rsid w:val="7B075D3C"/>
    <w:rsid w:val="7B1C6909"/>
    <w:rsid w:val="7B344419"/>
    <w:rsid w:val="7B387AC3"/>
    <w:rsid w:val="7B545069"/>
    <w:rsid w:val="7B6540DB"/>
    <w:rsid w:val="7B840B5A"/>
    <w:rsid w:val="7BC504CE"/>
    <w:rsid w:val="7BF06C85"/>
    <w:rsid w:val="7C220D99"/>
    <w:rsid w:val="7C4D66DC"/>
    <w:rsid w:val="7C62507F"/>
    <w:rsid w:val="7C8775F5"/>
    <w:rsid w:val="7CB93731"/>
    <w:rsid w:val="7CCF322F"/>
    <w:rsid w:val="7D0C32F7"/>
    <w:rsid w:val="7D293166"/>
    <w:rsid w:val="7D59410F"/>
    <w:rsid w:val="7D5C0821"/>
    <w:rsid w:val="7D6418BA"/>
    <w:rsid w:val="7D7B492A"/>
    <w:rsid w:val="7D9056B7"/>
    <w:rsid w:val="7D987F20"/>
    <w:rsid w:val="7DB742D3"/>
    <w:rsid w:val="7DBB3229"/>
    <w:rsid w:val="7DC52F26"/>
    <w:rsid w:val="7DE25F3F"/>
    <w:rsid w:val="7E4870EF"/>
    <w:rsid w:val="7E59345D"/>
    <w:rsid w:val="7E690040"/>
    <w:rsid w:val="7E7244CC"/>
    <w:rsid w:val="7EAF0148"/>
    <w:rsid w:val="7EB90B42"/>
    <w:rsid w:val="7ECF7A21"/>
    <w:rsid w:val="7EE32CF4"/>
    <w:rsid w:val="7EF04B49"/>
    <w:rsid w:val="7EFD16BF"/>
    <w:rsid w:val="7F0970A9"/>
    <w:rsid w:val="7F2B74FC"/>
    <w:rsid w:val="7F304266"/>
    <w:rsid w:val="7F69029F"/>
    <w:rsid w:val="7F7953A8"/>
    <w:rsid w:val="7F7E4EB1"/>
    <w:rsid w:val="7F7E6320"/>
    <w:rsid w:val="7FE90E22"/>
    <w:rsid w:val="7FF143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link w:val="84"/>
    <w:qFormat/>
    <w:uiPriority w:val="9"/>
    <w:pPr>
      <w:keepNext/>
      <w:outlineLvl w:val="0"/>
    </w:pPr>
    <w:rPr>
      <w:b/>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0"/>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adjustRightInd w:val="0"/>
      <w:spacing w:line="312" w:lineRule="atLeast"/>
      <w:textAlignment w:val="baseline"/>
      <w:outlineLvl w:val="3"/>
    </w:pPr>
    <w:rPr>
      <w:b/>
      <w:kern w:val="0"/>
      <w:sz w:val="24"/>
      <w:szCs w:val="20"/>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customStyle="1" w:styleId="2">
    <w:name w:val="BodyText"/>
    <w:basedOn w:val="1"/>
    <w:next w:val="1"/>
    <w:uiPriority w:val="0"/>
    <w:pPr>
      <w:jc w:val="center"/>
      <w:textAlignment w:val="baseline"/>
    </w:pPr>
  </w:style>
  <w:style w:type="paragraph" w:styleId="7">
    <w:name w:val="Normal Indent"/>
    <w:basedOn w:val="1"/>
    <w:link w:val="65"/>
    <w:uiPriority w:val="0"/>
    <w:pPr>
      <w:ind w:firstLine="420" w:firstLineChars="200"/>
    </w:pPr>
  </w:style>
  <w:style w:type="paragraph" w:styleId="8">
    <w:name w:val="List Bullet"/>
    <w:basedOn w:val="1"/>
    <w:uiPriority w:val="0"/>
    <w:pPr>
      <w:numPr>
        <w:ilvl w:val="0"/>
        <w:numId w:val="1"/>
      </w:numPr>
    </w:pPr>
  </w:style>
  <w:style w:type="paragraph" w:styleId="9">
    <w:name w:val="Document Map"/>
    <w:basedOn w:val="1"/>
    <w:link w:val="57"/>
    <w:uiPriority w:val="0"/>
    <w:rPr>
      <w:rFonts w:ascii="宋体"/>
      <w:sz w:val="18"/>
      <w:szCs w:val="18"/>
    </w:rPr>
  </w:style>
  <w:style w:type="paragraph" w:styleId="10">
    <w:name w:val="annotation text"/>
    <w:basedOn w:val="1"/>
    <w:link w:val="71"/>
    <w:semiHidden/>
    <w:uiPriority w:val="0"/>
    <w:pPr>
      <w:jc w:val="left"/>
    </w:pPr>
  </w:style>
  <w:style w:type="paragraph" w:styleId="11">
    <w:name w:val="Body Text"/>
    <w:basedOn w:val="1"/>
    <w:next w:val="1"/>
    <w:link w:val="75"/>
    <w:qFormat/>
    <w:uiPriority w:val="1"/>
    <w:pPr>
      <w:jc w:val="center"/>
    </w:pPr>
  </w:style>
  <w:style w:type="paragraph" w:styleId="12">
    <w:name w:val="Body Text Indent"/>
    <w:basedOn w:val="1"/>
    <w:link w:val="54"/>
    <w:uiPriority w:val="0"/>
    <w:pPr>
      <w:spacing w:line="200" w:lineRule="exact"/>
      <w:ind w:firstLine="301"/>
    </w:pPr>
    <w:rPr>
      <w:rFonts w:ascii="宋体" w:hAnsi="Courier New"/>
      <w:spacing w:val="-4"/>
      <w:sz w:val="18"/>
      <w:szCs w:val="20"/>
    </w:rPr>
  </w:style>
  <w:style w:type="paragraph" w:styleId="13">
    <w:name w:val="List 2"/>
    <w:basedOn w:val="1"/>
    <w:unhideWhenUsed/>
    <w:uiPriority w:val="99"/>
    <w:pPr>
      <w:ind w:left="100" w:leftChars="200" w:hanging="200" w:hangingChars="200"/>
      <w:contextualSpacing/>
    </w:pPr>
  </w:style>
  <w:style w:type="paragraph" w:styleId="14">
    <w:name w:val="toc 3"/>
    <w:basedOn w:val="1"/>
    <w:next w:val="1"/>
    <w:uiPriority w:val="39"/>
    <w:pPr>
      <w:tabs>
        <w:tab w:val="right" w:leader="dot" w:pos="9060"/>
      </w:tabs>
      <w:spacing w:line="500" w:lineRule="exact"/>
    </w:pPr>
    <w:rPr>
      <w:rFonts w:eastAsia="仿宋_GB2312"/>
      <w:lang/>
    </w:rPr>
  </w:style>
  <w:style w:type="paragraph" w:styleId="15">
    <w:name w:val="Plain Text"/>
    <w:basedOn w:val="1"/>
    <w:next w:val="6"/>
    <w:link w:val="85"/>
    <w:qFormat/>
    <w:uiPriority w:val="0"/>
    <w:rPr>
      <w:rFonts w:ascii="宋体" w:hAnsi="Courier New"/>
      <w:szCs w:val="20"/>
    </w:rPr>
  </w:style>
  <w:style w:type="paragraph" w:styleId="16">
    <w:name w:val="Date"/>
    <w:basedOn w:val="1"/>
    <w:next w:val="1"/>
    <w:uiPriority w:val="0"/>
    <w:pPr>
      <w:ind w:left="100" w:leftChars="2500"/>
    </w:pPr>
    <w:rPr>
      <w:rFonts w:ascii="宋体" w:hAnsi="Courier New"/>
      <w:szCs w:val="20"/>
    </w:rPr>
  </w:style>
  <w:style w:type="paragraph" w:styleId="17">
    <w:name w:val="Body Text Indent 2"/>
    <w:basedOn w:val="1"/>
    <w:link w:val="66"/>
    <w:uiPriority w:val="0"/>
    <w:pPr>
      <w:ind w:firstLine="412" w:firstLineChars="196"/>
    </w:pPr>
  </w:style>
  <w:style w:type="paragraph" w:styleId="18">
    <w:name w:val="Balloon Text"/>
    <w:basedOn w:val="1"/>
    <w:link w:val="78"/>
    <w:semiHidden/>
    <w:uiPriority w:val="99"/>
    <w:rPr>
      <w:sz w:val="18"/>
      <w:szCs w:val="18"/>
    </w:rPr>
  </w:style>
  <w:style w:type="paragraph" w:styleId="19">
    <w:name w:val="footer"/>
    <w:basedOn w:val="1"/>
    <w:link w:val="79"/>
    <w:uiPriority w:val="99"/>
    <w:pPr>
      <w:tabs>
        <w:tab w:val="center" w:pos="4153"/>
        <w:tab w:val="right" w:pos="8306"/>
      </w:tabs>
      <w:snapToGrid w:val="0"/>
      <w:jc w:val="left"/>
    </w:pPr>
    <w:rPr>
      <w:rFonts w:ascii="宋体" w:hAnsi="Courier New"/>
      <w:sz w:val="18"/>
      <w:szCs w:val="20"/>
    </w:rPr>
  </w:style>
  <w:style w:type="paragraph" w:styleId="20">
    <w:name w:val="header"/>
    <w:basedOn w:val="1"/>
    <w:link w:val="58"/>
    <w:uiPriority w:val="99"/>
    <w:pPr>
      <w:pBdr>
        <w:bottom w:val="single" w:color="auto" w:sz="6" w:space="1"/>
      </w:pBdr>
      <w:tabs>
        <w:tab w:val="center" w:pos="4153"/>
        <w:tab w:val="right" w:pos="8306"/>
      </w:tabs>
      <w:snapToGrid w:val="0"/>
      <w:jc w:val="center"/>
    </w:pPr>
    <w:rPr>
      <w:rFonts w:ascii="宋体" w:hAnsi="Courier New"/>
      <w:sz w:val="18"/>
      <w:szCs w:val="20"/>
    </w:rPr>
  </w:style>
  <w:style w:type="paragraph" w:styleId="21">
    <w:name w:val="toc 1"/>
    <w:basedOn w:val="1"/>
    <w:next w:val="1"/>
    <w:uiPriority w:val="39"/>
    <w:pPr>
      <w:tabs>
        <w:tab w:val="right" w:leader="dot" w:pos="9628"/>
      </w:tabs>
    </w:pPr>
  </w:style>
  <w:style w:type="paragraph" w:styleId="22">
    <w:name w:val="Body Text Indent 3"/>
    <w:basedOn w:val="1"/>
    <w:uiPriority w:val="0"/>
    <w:pPr>
      <w:spacing w:line="400" w:lineRule="exact"/>
      <w:ind w:firstLine="420" w:firstLineChars="200"/>
    </w:pPr>
    <w:rPr>
      <w:rFonts w:ascii="宋体" w:hAnsi="宋体"/>
      <w:szCs w:val="32"/>
    </w:rPr>
  </w:style>
  <w:style w:type="paragraph" w:styleId="23">
    <w:name w:val="toc 2"/>
    <w:basedOn w:val="1"/>
    <w:next w:val="1"/>
    <w:uiPriority w:val="39"/>
    <w:pPr>
      <w:ind w:left="420" w:leftChars="200"/>
    </w:pPr>
  </w:style>
  <w:style w:type="paragraph" w:styleId="24">
    <w:name w:val="Body Text 2"/>
    <w:basedOn w:val="1"/>
    <w:uiPriority w:val="0"/>
    <w:pPr>
      <w:spacing w:line="320" w:lineRule="exact"/>
    </w:pPr>
    <w:rPr>
      <w:b/>
      <w:bCs/>
    </w:rPr>
  </w:style>
  <w:style w:type="paragraph" w:styleId="25">
    <w:name w:val="Normal (Web)"/>
    <w:basedOn w:val="1"/>
    <w:uiPriority w:val="99"/>
    <w:pPr>
      <w:widowControl/>
      <w:spacing w:before="100" w:beforeAutospacing="1" w:after="100" w:afterAutospacing="1"/>
      <w:jc w:val="left"/>
    </w:pPr>
    <w:rPr>
      <w:rFonts w:hint="eastAsia" w:ascii="宋体" w:hAnsi="宋体"/>
      <w:kern w:val="0"/>
      <w:sz w:val="24"/>
    </w:rPr>
  </w:style>
  <w:style w:type="paragraph" w:styleId="26">
    <w:name w:val="index 1"/>
    <w:basedOn w:val="1"/>
    <w:next w:val="1"/>
    <w:semiHidden/>
    <w:uiPriority w:val="0"/>
    <w:pPr>
      <w:spacing w:line="360" w:lineRule="auto"/>
    </w:pPr>
    <w:rPr>
      <w:rFonts w:ascii="宋体" w:hAnsi="宋体"/>
      <w:bCs/>
      <w:szCs w:val="21"/>
    </w:rPr>
  </w:style>
  <w:style w:type="paragraph" w:styleId="27">
    <w:name w:val="annotation subject"/>
    <w:basedOn w:val="10"/>
    <w:next w:val="10"/>
    <w:semiHidden/>
    <w:uiPriority w:val="0"/>
    <w:rPr>
      <w:b/>
      <w:bCs/>
    </w:rPr>
  </w:style>
  <w:style w:type="table" w:styleId="29">
    <w:name w:val="Table Grid"/>
    <w:basedOn w:val="28"/>
    <w:uiPriority w:val="99"/>
    <w:pPr>
      <w:widowControl w:val="0"/>
      <w:jc w:val="both"/>
    </w:pPr>
    <w:tblPr>
      <w:tblStyle w:val="2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uiPriority w:val="0"/>
  </w:style>
  <w:style w:type="character" w:styleId="33">
    <w:name w:val="FollowedHyperlink"/>
    <w:uiPriority w:val="99"/>
    <w:rPr>
      <w:color w:val="800080"/>
      <w:u w:val="none"/>
    </w:rPr>
  </w:style>
  <w:style w:type="character" w:styleId="34">
    <w:name w:val="Emphasis"/>
    <w:qFormat/>
    <w:uiPriority w:val="0"/>
  </w:style>
  <w:style w:type="character" w:styleId="35">
    <w:name w:val="Hyperlink"/>
    <w:uiPriority w:val="99"/>
    <w:rPr>
      <w:color w:val="0000FF"/>
      <w:u w:val="none"/>
    </w:rPr>
  </w:style>
  <w:style w:type="character" w:styleId="36">
    <w:name w:val="annotation reference"/>
    <w:semiHidden/>
    <w:uiPriority w:val="0"/>
    <w:rPr>
      <w:sz w:val="21"/>
      <w:szCs w:val="21"/>
    </w:rPr>
  </w:style>
  <w:style w:type="paragraph" w:customStyle="1" w:styleId="37">
    <w:name w:val="p0"/>
    <w:basedOn w:val="1"/>
    <w:uiPriority w:val="99"/>
    <w:pPr>
      <w:widowControl/>
    </w:pPr>
    <w:rPr>
      <w:rFonts w:ascii="宋体" w:hAnsi="宋体" w:cs="宋体"/>
      <w:kern w:val="0"/>
      <w:szCs w:val="21"/>
    </w:rPr>
  </w:style>
  <w:style w:type="paragraph" w:customStyle="1" w:styleId="38">
    <w:name w:val="Char Char Char Char"/>
    <w:basedOn w:val="1"/>
    <w:uiPriority w:val="0"/>
    <w:pPr>
      <w:spacing w:after="100" w:afterAutospacing="1" w:line="100" w:lineRule="atLeast"/>
    </w:pPr>
    <w:rPr>
      <w:rFonts w:ascii="Calibri" w:hAnsi="Calibri"/>
      <w:szCs w:val="22"/>
    </w:rPr>
  </w:style>
  <w:style w:type="paragraph" w:customStyle="1" w:styleId="39">
    <w:name w:val=" Char"/>
    <w:basedOn w:val="1"/>
    <w:uiPriority w:val="0"/>
  </w:style>
  <w:style w:type="paragraph" w:customStyle="1" w:styleId="40">
    <w:name w:val="Char Char Char1 Char"/>
    <w:basedOn w:val="1"/>
    <w:uiPriority w:val="0"/>
    <w:rPr>
      <w:szCs w:val="21"/>
    </w:rPr>
  </w:style>
  <w:style w:type="paragraph" w:customStyle="1" w:styleId="41">
    <w:name w:val="font6"/>
    <w:basedOn w:val="1"/>
    <w:uiPriority w:val="0"/>
    <w:pPr>
      <w:widowControl/>
      <w:spacing w:before="100" w:beforeAutospacing="1" w:after="100" w:afterAutospacing="1"/>
      <w:jc w:val="left"/>
    </w:pPr>
    <w:rPr>
      <w:rFonts w:hint="eastAsia" w:ascii="宋体" w:hAnsi="宋体"/>
      <w:kern w:val="0"/>
      <w:sz w:val="20"/>
      <w:szCs w:val="20"/>
    </w:rPr>
  </w:style>
  <w:style w:type="paragraph" w:customStyle="1" w:styleId="42">
    <w:name w:val="List Paragraph"/>
    <w:basedOn w:val="1"/>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43">
    <w:name w:val="列出段落1"/>
    <w:basedOn w:val="1"/>
    <w:qFormat/>
    <w:uiPriority w:val="99"/>
    <w:pPr>
      <w:ind w:firstLine="420" w:firstLineChars="200"/>
    </w:pPr>
    <w:rPr>
      <w:szCs w:val="22"/>
    </w:rPr>
  </w:style>
  <w:style w:type="paragraph" w:customStyle="1" w:styleId="44">
    <w:name w:val="_Style 11"/>
    <w:basedOn w:val="1"/>
    <w:next w:val="15"/>
    <w:link w:val="81"/>
    <w:uiPriority w:val="0"/>
    <w:rPr>
      <w:rFonts w:ascii="宋体" w:hAnsi="Courier New"/>
      <w:szCs w:val="20"/>
    </w:rPr>
  </w:style>
  <w:style w:type="paragraph" w:customStyle="1" w:styleId="45">
    <w:name w:val="Char Char Char"/>
    <w:basedOn w:val="1"/>
    <w:uiPriority w:val="0"/>
    <w:rPr>
      <w:rFonts w:ascii="Tahoma" w:hAnsi="Tahoma"/>
      <w:sz w:val="24"/>
      <w:szCs w:val="20"/>
    </w:rPr>
  </w:style>
  <w:style w:type="paragraph" w:customStyle="1" w:styleId="46">
    <w:name w:val="无间隔1"/>
    <w:qFormat/>
    <w:uiPriority w:val="99"/>
    <w:pPr>
      <w:widowControl w:val="0"/>
      <w:spacing w:line="240" w:lineRule="atLeast"/>
      <w:jc w:val="both"/>
    </w:pPr>
    <w:rPr>
      <w:kern w:val="2"/>
      <w:sz w:val="21"/>
      <w:szCs w:val="22"/>
      <w:lang w:val="en-US" w:eastAsia="zh-CN" w:bidi="ar-SA"/>
    </w:rPr>
  </w:style>
  <w:style w:type="paragraph" w:customStyle="1" w:styleId="47">
    <w:name w:val="Char"/>
    <w:basedOn w:val="1"/>
    <w:uiPriority w:val="0"/>
  </w:style>
  <w:style w:type="paragraph" w:customStyle="1" w:styleId="48">
    <w:name w:val="Default Paragraph Font Para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49">
    <w:name w:val="标题A"/>
    <w:basedOn w:val="1"/>
    <w:uiPriority w:val="0"/>
    <w:pPr>
      <w:autoSpaceDE w:val="0"/>
      <w:autoSpaceDN w:val="0"/>
      <w:adjustRightInd w:val="0"/>
      <w:ind w:left="720" w:right="-866"/>
      <w:jc w:val="left"/>
      <w:textAlignment w:val="baseline"/>
    </w:pPr>
    <w:rPr>
      <w:rFonts w:hAnsi="Arial" w:eastAsia="黑体"/>
      <w:i/>
      <w:kern w:val="0"/>
      <w:sz w:val="28"/>
      <w:szCs w:val="20"/>
    </w:rPr>
  </w:style>
  <w:style w:type="paragraph" w:styleId="50">
    <w:name w:val="List Paragraph"/>
    <w:basedOn w:val="1"/>
    <w:qFormat/>
    <w:uiPriority w:val="99"/>
    <w:pPr>
      <w:ind w:firstLine="420" w:firstLineChars="200"/>
    </w:pPr>
    <w:rPr>
      <w:szCs w:val="20"/>
    </w:rPr>
  </w:style>
  <w:style w:type="paragraph" w:customStyle="1" w:styleId="51">
    <w:name w:val="bb"/>
    <w:basedOn w:val="1"/>
    <w:uiPriority w:val="0"/>
    <w:pPr>
      <w:widowControl/>
      <w:spacing w:before="100" w:beforeAutospacing="1" w:after="100" w:afterAutospacing="1"/>
      <w:jc w:val="left"/>
    </w:pPr>
    <w:rPr>
      <w:rFonts w:hint="eastAsia" w:ascii="宋体" w:hAnsi="宋体"/>
      <w:kern w:val="0"/>
      <w:sz w:val="24"/>
    </w:rPr>
  </w:style>
  <w:style w:type="character" w:customStyle="1" w:styleId="52">
    <w:name w:val="font01"/>
    <w:uiPriority w:val="0"/>
    <w:rPr>
      <w:rFonts w:hint="eastAsia" w:ascii="宋体" w:hAnsi="宋体" w:eastAsia="宋体" w:cs="宋体"/>
      <w:color w:val="000000"/>
      <w:sz w:val="22"/>
      <w:szCs w:val="22"/>
      <w:u w:val="none"/>
    </w:rPr>
  </w:style>
  <w:style w:type="character" w:customStyle="1" w:styleId="53">
    <w:name w:val="普通文字 Char Char4"/>
    <w:aliases w:val="普通文字 Char Char Char3,正 文 1 Char3,普通文字1 Char3,普通文字2 Char3,普通文字3 Char3,普通文字4 Char3,普通文字5 Char3,普通文字6 Char3,普通文字11 Char3,普通文字21 Char3,普通文字31 Char3,普通文字41 Char3,普通文字7 Char3,普通文字 Char4,纯文本 Char Char Char4,纯文本 Char1 Char Char Char3,纯文本 Char3"/>
    <w:qFormat/>
    <w:locked/>
    <w:uiPriority w:val="0"/>
    <w:rPr>
      <w:rFonts w:ascii="宋体" w:hAnsi="Courier New"/>
      <w:kern w:val="2"/>
      <w:sz w:val="21"/>
    </w:rPr>
  </w:style>
  <w:style w:type="character" w:customStyle="1" w:styleId="54">
    <w:name w:val="正文文本缩进 字符"/>
    <w:link w:val="12"/>
    <w:uiPriority w:val="0"/>
    <w:rPr>
      <w:rFonts w:ascii="宋体" w:hAnsi="Courier New"/>
      <w:spacing w:val="-4"/>
      <w:kern w:val="2"/>
      <w:sz w:val="18"/>
    </w:rPr>
  </w:style>
  <w:style w:type="character" w:customStyle="1" w:styleId="55">
    <w:name w:val="NormalCharacter"/>
    <w:semiHidden/>
    <w:uiPriority w:val="0"/>
    <w:rPr>
      <w:kern w:val="2"/>
      <w:sz w:val="21"/>
      <w:szCs w:val="24"/>
      <w:lang w:val="en-US" w:eastAsia="zh-CN" w:bidi="ar-SA"/>
    </w:rPr>
  </w:style>
  <w:style w:type="character" w:customStyle="1" w:styleId="56">
    <w:name w:val="页眉 Char1"/>
    <w:semiHidden/>
    <w:uiPriority w:val="99"/>
    <w:rPr>
      <w:sz w:val="18"/>
      <w:szCs w:val="18"/>
    </w:rPr>
  </w:style>
  <w:style w:type="character" w:customStyle="1" w:styleId="57">
    <w:name w:val="文档结构图 字符"/>
    <w:link w:val="9"/>
    <w:uiPriority w:val="0"/>
    <w:rPr>
      <w:rFonts w:ascii="宋体"/>
      <w:kern w:val="2"/>
      <w:sz w:val="18"/>
      <w:szCs w:val="18"/>
    </w:rPr>
  </w:style>
  <w:style w:type="character" w:customStyle="1" w:styleId="58">
    <w:name w:val="页眉 字符"/>
    <w:link w:val="20"/>
    <w:uiPriority w:val="99"/>
    <w:rPr>
      <w:rFonts w:ascii="宋体" w:hAnsi="Courier New"/>
      <w:kern w:val="2"/>
      <w:sz w:val="18"/>
    </w:rPr>
  </w:style>
  <w:style w:type="character" w:customStyle="1" w:styleId="59">
    <w:name w:val="left"/>
    <w:basedOn w:val="30"/>
    <w:uiPriority w:val="0"/>
  </w:style>
  <w:style w:type="character" w:customStyle="1" w:styleId="60">
    <w:name w:val="textcontents"/>
    <w:basedOn w:val="30"/>
    <w:qFormat/>
    <w:uiPriority w:val="0"/>
  </w:style>
  <w:style w:type="character" w:customStyle="1" w:styleId="61">
    <w:name w:val="页脚 Char1"/>
    <w:semiHidden/>
    <w:uiPriority w:val="99"/>
    <w:rPr>
      <w:sz w:val="18"/>
      <w:szCs w:val="18"/>
    </w:rPr>
  </w:style>
  <w:style w:type="character" w:customStyle="1" w:styleId="62">
    <w:name w:val="f141"/>
    <w:uiPriority w:val="0"/>
    <w:rPr>
      <w:sz w:val="21"/>
      <w:szCs w:val="21"/>
    </w:rPr>
  </w:style>
  <w:style w:type="character" w:customStyle="1" w:styleId="63">
    <w:name w:val="right"/>
    <w:basedOn w:val="30"/>
    <w:uiPriority w:val="0"/>
  </w:style>
  <w:style w:type="character" w:customStyle="1" w:styleId="64">
    <w:name w:val="left2"/>
    <w:basedOn w:val="30"/>
    <w:uiPriority w:val="0"/>
  </w:style>
  <w:style w:type="character" w:customStyle="1" w:styleId="65">
    <w:name w:val="正文缩进 字符"/>
    <w:link w:val="7"/>
    <w:uiPriority w:val="0"/>
    <w:rPr>
      <w:kern w:val="2"/>
      <w:sz w:val="21"/>
      <w:szCs w:val="24"/>
    </w:rPr>
  </w:style>
  <w:style w:type="character" w:customStyle="1" w:styleId="66">
    <w:name w:val="正文文本缩进 2 字符"/>
    <w:link w:val="17"/>
    <w:uiPriority w:val="0"/>
    <w:rPr>
      <w:kern w:val="2"/>
      <w:sz w:val="21"/>
      <w:szCs w:val="24"/>
    </w:rPr>
  </w:style>
  <w:style w:type="character" w:customStyle="1" w:styleId="67">
    <w:name w:val="批注框文本 Char1"/>
    <w:semiHidden/>
    <w:uiPriority w:val="99"/>
    <w:rPr>
      <w:sz w:val="18"/>
      <w:szCs w:val="18"/>
    </w:rPr>
  </w:style>
  <w:style w:type="character" w:customStyle="1" w:styleId="68">
    <w:name w:val="sp7"/>
    <w:basedOn w:val="30"/>
    <w:uiPriority w:val="0"/>
  </w:style>
  <w:style w:type="character" w:customStyle="1" w:styleId="69">
    <w:name w:val="font21"/>
    <w:uiPriority w:val="0"/>
    <w:rPr>
      <w:rFonts w:ascii="微软雅黑" w:hAnsi="微软雅黑" w:eastAsia="微软雅黑" w:cs="微软雅黑"/>
      <w:color w:val="000000"/>
      <w:sz w:val="22"/>
      <w:szCs w:val="22"/>
      <w:u w:val="none"/>
    </w:rPr>
  </w:style>
  <w:style w:type="character" w:customStyle="1" w:styleId="70">
    <w:name w:val="sp1"/>
    <w:basedOn w:val="30"/>
    <w:uiPriority w:val="0"/>
  </w:style>
  <w:style w:type="character" w:customStyle="1" w:styleId="71">
    <w:name w:val="批注文字 字符"/>
    <w:link w:val="10"/>
    <w:semiHidden/>
    <w:uiPriority w:val="0"/>
    <w:rPr>
      <w:rFonts w:eastAsia="宋体"/>
      <w:kern w:val="2"/>
      <w:sz w:val="21"/>
      <w:szCs w:val="24"/>
      <w:lang w:val="en-US" w:eastAsia="zh-CN" w:bidi="ar-SA"/>
    </w:rPr>
  </w:style>
  <w:style w:type="character" w:customStyle="1" w:styleId="72">
    <w:name w:val="marklong"/>
    <w:uiPriority w:val="0"/>
    <w:rPr>
      <w:rFonts w:cs="Times New Roman"/>
    </w:rPr>
  </w:style>
  <w:style w:type="character" w:customStyle="1" w:styleId="73">
    <w:name w:val="right2"/>
    <w:basedOn w:val="30"/>
    <w:uiPriority w:val="0"/>
  </w:style>
  <w:style w:type="character" w:customStyle="1" w:styleId="74">
    <w:name w:val="apple-converted-space"/>
    <w:basedOn w:val="30"/>
    <w:uiPriority w:val="0"/>
  </w:style>
  <w:style w:type="character" w:customStyle="1" w:styleId="75">
    <w:name w:val="正文文本 字符"/>
    <w:link w:val="11"/>
    <w:uiPriority w:val="1"/>
    <w:rPr>
      <w:kern w:val="2"/>
      <w:sz w:val="21"/>
      <w:szCs w:val="24"/>
    </w:rPr>
  </w:style>
  <w:style w:type="character" w:customStyle="1" w:styleId="76">
    <w:name w:val="正文文本缩进 Char1"/>
    <w:semiHidden/>
    <w:uiPriority w:val="99"/>
    <w:rPr>
      <w:rFonts w:ascii="Calibri" w:hAnsi="Calibri"/>
      <w:kern w:val="2"/>
      <w:sz w:val="21"/>
      <w:szCs w:val="22"/>
    </w:rPr>
  </w:style>
  <w:style w:type="character" w:customStyle="1" w:styleId="77">
    <w:name w:val="query"/>
    <w:uiPriority w:val="0"/>
    <w:rPr>
      <w:color w:val="303030"/>
      <w:sz w:val="24"/>
      <w:szCs w:val="24"/>
    </w:rPr>
  </w:style>
  <w:style w:type="character" w:customStyle="1" w:styleId="78">
    <w:name w:val="批注框文本 字符"/>
    <w:link w:val="18"/>
    <w:semiHidden/>
    <w:uiPriority w:val="99"/>
    <w:rPr>
      <w:kern w:val="2"/>
      <w:sz w:val="18"/>
      <w:szCs w:val="18"/>
    </w:rPr>
  </w:style>
  <w:style w:type="character" w:customStyle="1" w:styleId="79">
    <w:name w:val="页脚 字符"/>
    <w:link w:val="19"/>
    <w:uiPriority w:val="99"/>
    <w:rPr>
      <w:rFonts w:ascii="宋体" w:hAnsi="Courier New"/>
      <w:kern w:val="2"/>
      <w:sz w:val="18"/>
    </w:rPr>
  </w:style>
  <w:style w:type="character" w:customStyle="1" w:styleId="80">
    <w:name w:val="标题 3 字符"/>
    <w:link w:val="5"/>
    <w:uiPriority w:val="0"/>
    <w:rPr>
      <w:b/>
      <w:bCs/>
      <w:kern w:val="2"/>
      <w:sz w:val="32"/>
      <w:szCs w:val="32"/>
    </w:rPr>
  </w:style>
  <w:style w:type="character" w:customStyle="1" w:styleId="81">
    <w:name w:val=" Char1"/>
    <w:link w:val="44"/>
    <w:uiPriority w:val="0"/>
    <w:rPr>
      <w:rFonts w:ascii="宋体" w:hAnsi="Courier New" w:eastAsia="宋体"/>
      <w:kern w:val="2"/>
      <w:sz w:val="21"/>
      <w:lang w:val="en-US" w:eastAsia="zh-CN" w:bidi="ar-SA"/>
    </w:rPr>
  </w:style>
  <w:style w:type="character" w:customStyle="1" w:styleId="82">
    <w:name w:val="普通文字 Char Char3"/>
    <w:aliases w:val="普通文字 Char Char Char2,普通文字 Char3,正 文 1 Char2,普通文字1 Char2,普通文字2 Char2,普通文字3 Char2,普通文字4 Char2,普通文字5 Char2,普通文字6 Char2,普通文字11 Char2,普通文字21 Char2,普通文字31 Char2,普通文字41 Char2,普通文字7 Char2,纯文本 Char Char Char2,纯文本 Char1 Char Char Char2,正 文 1 Char1"/>
    <w:locked/>
    <w:uiPriority w:val="0"/>
    <w:rPr>
      <w:rFonts w:ascii="宋体" w:hAnsi="Courier New"/>
    </w:rPr>
  </w:style>
  <w:style w:type="character" w:customStyle="1" w:styleId="83">
    <w:name w:val="sp22"/>
    <w:basedOn w:val="30"/>
    <w:uiPriority w:val="0"/>
  </w:style>
  <w:style w:type="character" w:customStyle="1" w:styleId="84">
    <w:name w:val="标题 1 字符"/>
    <w:link w:val="3"/>
    <w:uiPriority w:val="9"/>
    <w:rPr>
      <w:b/>
      <w:kern w:val="2"/>
      <w:sz w:val="21"/>
      <w:szCs w:val="24"/>
    </w:rPr>
  </w:style>
  <w:style w:type="character" w:customStyle="1" w:styleId="85">
    <w:name w:val="纯文本 字符"/>
    <w:link w:val="15"/>
    <w:qFormat/>
    <w:locked/>
    <w:uiPriority w:val="0"/>
    <w:rPr>
      <w:rFonts w:ascii="宋体" w:hAnsi="Courier New" w:eastAsia="宋体"/>
      <w:kern w:val="2"/>
      <w:sz w:val="21"/>
      <w:lang w:val="en-US" w:eastAsia="zh-CN" w:bidi="ar-SA"/>
    </w:rPr>
  </w:style>
  <w:style w:type="character" w:customStyle="1" w:styleId="86">
    <w:name w:val="sp3"/>
    <w:basedOn w:val="30"/>
    <w:uiPriority w:val="0"/>
  </w:style>
  <w:style w:type="character" w:customStyle="1" w:styleId="87">
    <w:name w:val="sp8"/>
    <w:uiPriority w:val="0"/>
    <w:rPr>
      <w:color w:val="F31E1E"/>
    </w:rPr>
  </w:style>
  <w:style w:type="character" w:customStyle="1" w:styleId="88">
    <w:name w:val="sp4"/>
    <w:basedOn w:val="30"/>
    <w:uiPriority w:val="0"/>
  </w:style>
  <w:style w:type="character" w:customStyle="1" w:styleId="89">
    <w:name w:val="sp5"/>
    <w:basedOn w:val="30"/>
    <w:uiPriority w:val="0"/>
  </w:style>
  <w:style w:type="character" w:customStyle="1" w:styleId="90">
    <w:name w:val="sp6"/>
    <w:basedOn w:val="30"/>
    <w:uiPriority w:val="0"/>
  </w:style>
  <w:style w:type="character" w:customStyle="1" w:styleId="91">
    <w:name w:val="font31"/>
    <w:uiPriority w:val="0"/>
    <w:rPr>
      <w:rFonts w:hint="default" w:ascii="Times New Roman" w:hAnsi="Times New Roman" w:cs="Times New Roman"/>
      <w:color w:val="000000"/>
      <w:sz w:val="22"/>
      <w:szCs w:val="22"/>
      <w:u w:val="none"/>
    </w:rPr>
  </w:style>
  <w:style w:type="character" w:customStyle="1" w:styleId="92">
    <w:name w:val="param-value5"/>
    <w:basedOn w:val="30"/>
    <w:uiPriority w:val="0"/>
  </w:style>
  <w:style w:type="character" w:customStyle="1" w:styleId="93">
    <w:name w:val="highlight"/>
    <w:uiPriority w:val="0"/>
    <w:rPr>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4568</Words>
  <Characters>26038</Characters>
  <Lines>216</Lines>
  <Paragraphs>61</Paragraphs>
  <TotalTime>3</TotalTime>
  <ScaleCrop>false</ScaleCrop>
  <LinksUpToDate>false</LinksUpToDate>
  <CharactersWithSpaces>30545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2020-11-02T07:49:00Z</dcterms:created>
  <dc:creator>gl</dc:creator>
  <cp:lastModifiedBy>Administrator</cp:lastModifiedBy>
  <cp:lastPrinted>2020-11-03T01:50:03Z</cp:lastPrinted>
  <dcterms:modified xsi:type="dcterms:W3CDTF">2020-11-09T09:22:40Z</dcterms:modified>
  <dc:title>广西政府采购管理中心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