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w:t>
      </w:r>
    </w:p>
    <w:p>
      <w:pPr>
        <w:pStyle w:val="25"/>
        <w:shd w:val="clear"/>
        <w:ind w:firstLine="5"/>
        <w:jc w:val="center"/>
        <w:rPr>
          <w:rFonts w:ascii="方正美黑简体" w:eastAsia="方正美黑简体"/>
          <w:sz w:val="44"/>
          <w:szCs w:val="44"/>
          <w:highlight w:val="none"/>
        </w:rPr>
      </w:pPr>
      <w:r>
        <w:rPr>
          <w:rFonts w:hint="eastAsia" w:hAnsi="宋体" w:eastAsia="方正美黑简体"/>
          <w:spacing w:val="30"/>
          <w:kern w:val="52"/>
          <w:sz w:val="52"/>
          <w:szCs w:val="52"/>
          <w:highlight w:val="none"/>
        </w:rPr>
        <w:t>广西建展建设工程管理集团有限公司</w:t>
      </w:r>
    </w:p>
    <w:p>
      <w:pPr>
        <w:shd w:val="clear"/>
        <w:jc w:val="center"/>
        <w:rPr>
          <w:rFonts w:ascii="汉仪魏碑简" w:eastAsia="汉仪魏碑简"/>
          <w:sz w:val="28"/>
          <w:szCs w:val="28"/>
          <w:highlight w:val="none"/>
        </w:rPr>
      </w:pPr>
      <w:r>
        <w:rPr>
          <w:rFonts w:hint="eastAsia" w:ascii="幼圆" w:eastAsia="幼圆"/>
          <w:b/>
          <w:spacing w:val="-16"/>
          <w:sz w:val="13"/>
          <w:szCs w:val="13"/>
          <w:highlight w:val="none"/>
          <w:u w:val="singl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5829300" cy="0"/>
                <wp:effectExtent l="0" t="28575" r="7620" b="32385"/>
                <wp:wrapNone/>
                <wp:docPr id="10" name="直接连接符 10"/>
                <wp:cNvGraphicFramePr/>
                <a:graphic xmlns:a="http://schemas.openxmlformats.org/drawingml/2006/main">
                  <a:graphicData uri="http://schemas.microsoft.com/office/word/2010/wordprocessingShape">
                    <wps:wsp>
                      <wps:cNvCnPr/>
                      <wps:spPr>
                        <a:xfrm flipV="1">
                          <a:off x="0" y="0"/>
                          <a:ext cx="58293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pt;margin-top:7.8pt;height:0pt;width:459pt;z-index:251662336;mso-width-relative:page;mso-height-relative:page;" filled="f" stroked="t" coordsize="21600,21600" o:gfxdata="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GS0ctIAAAAIAQAADwAAAAAAAAABACAAAAAiAAAAZHJzL2Rvd25yZXYueG1sUEsBAhQA&#10;FAAAAAgAh07iQKUB5q34AQAA6wMAAA4AAAAAAAAAAQAgAAAAIQEAAGRycy9lMm9Eb2MueG1sUEsF&#10;BgAAAAAGAAYAWQEAAIsFAAAAAA==&#10;">
                <v:fill on="f" focussize="0,0"/>
                <v:stroke weight="4.5pt" color="#000000" linestyle="thinThick" joinstyle="round"/>
                <v:imagedata o:title=""/>
                <o:lock v:ext="edit" aspectratio="f"/>
              </v:line>
            </w:pict>
          </mc:Fallback>
        </mc:AlternateContent>
      </w:r>
    </w:p>
    <w:p>
      <w:pPr>
        <w:shd w:val="clear"/>
        <w:rPr>
          <w:rFonts w:ascii="汉仪魏碑简" w:eastAsia="汉仪魏碑简"/>
          <w:sz w:val="70"/>
          <w:szCs w:val="70"/>
          <w:highlight w:val="none"/>
        </w:rPr>
      </w:pPr>
    </w:p>
    <w:p>
      <w:pPr>
        <w:pStyle w:val="25"/>
        <w:shd w:val="clear"/>
        <w:jc w:val="center"/>
        <w:rPr>
          <w:rFonts w:asciiTheme="minorEastAsia" w:hAnsiTheme="minorEastAsia" w:eastAsiaTheme="minorEastAsia" w:cstheme="minorEastAsia"/>
          <w:b/>
          <w:bCs/>
          <w:spacing w:val="-18"/>
          <w:sz w:val="96"/>
          <w:szCs w:val="96"/>
          <w:highlight w:val="none"/>
        </w:rPr>
      </w:pPr>
      <w:r>
        <w:rPr>
          <w:rFonts w:hint="eastAsia" w:asciiTheme="minorEastAsia" w:hAnsiTheme="minorEastAsia" w:eastAsiaTheme="minorEastAsia" w:cstheme="minorEastAsia"/>
          <w:b/>
          <w:bCs/>
          <w:spacing w:val="-18"/>
          <w:sz w:val="96"/>
          <w:szCs w:val="96"/>
          <w:highlight w:val="none"/>
        </w:rPr>
        <w:t>竞争性磋商文件</w:t>
      </w:r>
    </w:p>
    <w:p>
      <w:pPr>
        <w:shd w:val="clear"/>
        <w:snapToGrid w:val="0"/>
        <w:spacing w:before="156" w:beforeLines="50" w:line="500" w:lineRule="exact"/>
        <w:rPr>
          <w:rFonts w:asciiTheme="minorEastAsia" w:hAnsiTheme="minorEastAsia" w:eastAsiaTheme="minorEastAsia" w:cstheme="minorEastAsia"/>
          <w:highlight w:val="none"/>
        </w:rPr>
      </w:pPr>
    </w:p>
    <w:p>
      <w:pPr>
        <w:shd w:val="clear"/>
        <w:snapToGrid w:val="0"/>
        <w:spacing w:before="156" w:beforeLines="50" w:line="500" w:lineRule="exact"/>
        <w:jc w:val="center"/>
        <w:rPr>
          <w:rFonts w:asciiTheme="minorEastAsia" w:hAnsiTheme="minorEastAsia" w:eastAsiaTheme="minorEastAsia" w:cstheme="minorEastAsia"/>
          <w:b/>
          <w:bCs/>
          <w:sz w:val="30"/>
          <w:szCs w:val="30"/>
          <w:highlight w:val="none"/>
        </w:rPr>
      </w:pPr>
    </w:p>
    <w:p>
      <w:pPr>
        <w:shd w:val="clear"/>
        <w:snapToGrid w:val="0"/>
        <w:spacing w:before="156" w:beforeLines="50" w:line="500" w:lineRule="exact"/>
        <w:jc w:val="center"/>
        <w:rPr>
          <w:rFonts w:asciiTheme="minorEastAsia" w:hAnsiTheme="minorEastAsia" w:eastAsiaTheme="minorEastAsia" w:cstheme="minorEastAsia"/>
          <w:b/>
          <w:bCs/>
          <w:sz w:val="30"/>
          <w:szCs w:val="30"/>
          <w:highlight w:val="none"/>
        </w:rPr>
      </w:pPr>
    </w:p>
    <w:p>
      <w:pPr>
        <w:shd w:val="clear"/>
        <w:snapToGrid w:val="0"/>
        <w:spacing w:before="156" w:beforeLines="50" w:line="500" w:lineRule="exact"/>
        <w:jc w:val="center"/>
        <w:rPr>
          <w:rFonts w:asciiTheme="minorEastAsia" w:hAnsiTheme="minorEastAsia" w:eastAsiaTheme="minorEastAsia" w:cstheme="minorEastAsia"/>
          <w:b/>
          <w:bCs/>
          <w:sz w:val="30"/>
          <w:szCs w:val="30"/>
          <w:highlight w:val="none"/>
        </w:rPr>
      </w:pPr>
    </w:p>
    <w:p>
      <w:pPr>
        <w:shd w:val="clear"/>
        <w:snapToGrid w:val="0"/>
        <w:spacing w:before="156" w:beforeLines="50" w:line="500" w:lineRule="exact"/>
        <w:ind w:firstLine="964" w:firstLineChars="300"/>
        <w:jc w:val="left"/>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rPr>
        <w:t>项目名称：</w:t>
      </w:r>
      <w:r>
        <w:rPr>
          <w:rFonts w:hint="eastAsia" w:asciiTheme="minorEastAsia" w:hAnsiTheme="minorEastAsia" w:eastAsiaTheme="minorEastAsia" w:cstheme="minorEastAsia"/>
          <w:b/>
          <w:bCs/>
          <w:sz w:val="32"/>
          <w:szCs w:val="32"/>
          <w:highlight w:val="none"/>
          <w:lang w:eastAsia="zh-CN"/>
        </w:rPr>
        <w:t>港北区蒙圩至大圩路面提升工程</w:t>
      </w:r>
    </w:p>
    <w:p>
      <w:pPr>
        <w:shd w:val="clear"/>
        <w:snapToGrid w:val="0"/>
        <w:spacing w:before="156" w:beforeLines="50" w:line="500" w:lineRule="exact"/>
        <w:ind w:firstLine="964" w:firstLineChars="300"/>
        <w:jc w:val="left"/>
        <w:rPr>
          <w:rFonts w:hint="eastAsia" w:asciiTheme="minorEastAsia" w:hAnsiTheme="minorEastAsia" w:eastAsiaTheme="minorEastAsia" w:cstheme="minorEastAsia"/>
          <w:b/>
          <w:bCs/>
          <w:sz w:val="32"/>
          <w:szCs w:val="32"/>
          <w:highlight w:val="none"/>
          <w:lang w:eastAsia="zh-CN"/>
        </w:rPr>
      </w:pPr>
      <w:r>
        <w:rPr>
          <w:rFonts w:hint="eastAsia" w:asciiTheme="minorEastAsia" w:hAnsiTheme="minorEastAsia" w:eastAsiaTheme="minorEastAsia" w:cstheme="minorEastAsia"/>
          <w:b/>
          <w:bCs/>
          <w:sz w:val="32"/>
          <w:szCs w:val="32"/>
          <w:highlight w:val="none"/>
        </w:rPr>
        <w:t>项目编号：</w:t>
      </w:r>
      <w:r>
        <w:rPr>
          <w:rFonts w:hint="eastAsia" w:asciiTheme="minorEastAsia" w:hAnsiTheme="minorEastAsia" w:eastAsiaTheme="minorEastAsia" w:cstheme="minorEastAsia"/>
          <w:b/>
          <w:bCs/>
          <w:sz w:val="32"/>
          <w:szCs w:val="32"/>
          <w:highlight w:val="none"/>
          <w:lang w:eastAsia="zh-CN"/>
        </w:rPr>
        <w:t>GGZC2021-C2-20077-GXJZ</w:t>
      </w:r>
    </w:p>
    <w:p>
      <w:pPr>
        <w:shd w:val="clear"/>
        <w:snapToGrid w:val="0"/>
        <w:spacing w:before="156" w:beforeLines="50" w:line="500" w:lineRule="exact"/>
        <w:rPr>
          <w:rFonts w:asciiTheme="minorEastAsia" w:hAnsiTheme="minorEastAsia" w:eastAsiaTheme="minorEastAsia" w:cstheme="minorEastAsia"/>
          <w:sz w:val="32"/>
          <w:szCs w:val="32"/>
          <w:highlight w:val="none"/>
        </w:rPr>
      </w:pPr>
    </w:p>
    <w:p>
      <w:pPr>
        <w:shd w:val="clear"/>
        <w:snapToGrid w:val="0"/>
        <w:spacing w:before="156" w:beforeLines="50" w:line="500" w:lineRule="exact"/>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highlight w:val="none"/>
        </w:rPr>
      </w:pPr>
    </w:p>
    <w:p>
      <w:pPr>
        <w:shd w:val="clear"/>
        <w:snapToGrid w:val="0"/>
        <w:spacing w:before="156" w:beforeLines="50" w:line="400" w:lineRule="atLeast"/>
        <w:jc w:val="center"/>
        <w:rPr>
          <w:rFonts w:hint="eastAsia" w:asciiTheme="minorEastAsia" w:hAnsiTheme="minorEastAsia" w:eastAsia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78740</wp:posOffset>
                </wp:positionV>
                <wp:extent cx="60769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60769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7pt;margin-top:6.2pt;height:0pt;width:478.5pt;z-index:251660288;mso-width-relative:page;mso-height-relative:page;" filled="f" stroked="t" coordsize="21600,21600" o:gfxdata="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Mywj1wAAAAkBAAAPAAAAAAAAAAEAIAAAACIAAABkcnMvZG93bnJldi54bWxQSwEC&#10;FAAUAAAACACHTuJAlDlLd/UBAADjAwAADgAAAAAAAAABACAAAAAmAQAAZHJzL2Uyb0RvYy54bWxQ&#10;SwUGAAAAAAYABgBZAQAAjQUAAAAA&#10;">
                <v:fill on="f" focussize="0,0"/>
                <v:stroke color="#000000" joinstyle="round"/>
                <v:imagedata o:title=""/>
                <o:lock v:ext="edit" aspectratio="f"/>
              </v:shape>
            </w:pict>
          </mc:Fallback>
        </mc:AlternateContent>
      </w:r>
      <w:r>
        <w:rPr>
          <w:rFonts w:hint="eastAsia" w:asciiTheme="minorEastAsia" w:hAnsiTheme="minorEastAsia" w:eastAsiaTheme="minorEastAsia" w:cstheme="minorEastAsia"/>
          <w:b/>
          <w:bCs/>
          <w:sz w:val="30"/>
          <w:szCs w:val="30"/>
          <w:highlight w:val="none"/>
        </w:rPr>
        <w:t>采购单位：</w:t>
      </w:r>
      <w:r>
        <w:rPr>
          <w:rFonts w:hint="eastAsia" w:asciiTheme="minorEastAsia" w:hAnsiTheme="minorEastAsia" w:eastAsiaTheme="minorEastAsia" w:cstheme="minorEastAsia"/>
          <w:b/>
          <w:bCs/>
          <w:sz w:val="30"/>
          <w:szCs w:val="30"/>
          <w:highlight w:val="none"/>
          <w:lang w:eastAsia="zh-CN"/>
        </w:rPr>
        <w:t>贵港市港北区交通运输局</w:t>
      </w:r>
    </w:p>
    <w:p>
      <w:pPr>
        <w:shd w:val="clear"/>
        <w:snapToGrid w:val="0"/>
        <w:spacing w:before="156" w:beforeLines="50" w:line="400" w:lineRule="atLeast"/>
        <w:jc w:val="center"/>
        <w:rPr>
          <w:rFonts w:asciiTheme="minorEastAsia" w:hAnsiTheme="minorEastAsia" w:eastAsiaTheme="minorEastAsia" w:cstheme="minorEastAsia"/>
          <w:b/>
          <w:bCs/>
          <w:sz w:val="30"/>
          <w:szCs w:val="30"/>
          <w:highlight w:val="none"/>
        </w:rPr>
      </w:pPr>
      <w:r>
        <w:rPr>
          <w:rFonts w:hint="eastAsia" w:asciiTheme="minorEastAsia" w:hAnsiTheme="minorEastAsia" w:eastAsiaTheme="minorEastAsia" w:cstheme="minorEastAsia"/>
          <w:b/>
          <w:bCs/>
          <w:sz w:val="30"/>
          <w:szCs w:val="30"/>
          <w:highlight w:val="none"/>
        </w:rPr>
        <w:t>采购代理机构：广西建展建设工程管理集团有限公司</w:t>
      </w:r>
    </w:p>
    <w:p>
      <w:pPr>
        <w:shd w:val="clear"/>
        <w:snapToGrid w:val="0"/>
        <w:spacing w:before="156" w:beforeLines="50" w:line="400" w:lineRule="atLeast"/>
        <w:jc w:val="center"/>
        <w:rPr>
          <w:rFonts w:asciiTheme="minorEastAsia" w:hAnsiTheme="minorEastAsia" w:eastAsiaTheme="minorEastAsia" w:cstheme="minorEastAsia"/>
          <w:b/>
          <w:bCs/>
          <w:sz w:val="30"/>
          <w:szCs w:val="30"/>
          <w:highlight w:val="none"/>
        </w:rPr>
        <w:sectPr>
          <w:headerReference r:id="rId3" w:type="default"/>
          <w:footerReference r:id="rId4" w:type="default"/>
          <w:pgSz w:w="11906" w:h="16838"/>
          <w:pgMar w:top="1134" w:right="1134" w:bottom="1134" w:left="1134" w:header="851" w:footer="567" w:gutter="0"/>
          <w:pgNumType w:start="0"/>
          <w:cols w:space="720" w:num="1"/>
          <w:titlePg/>
          <w:docGrid w:type="lines" w:linePitch="312" w:charSpace="0"/>
        </w:sectPr>
      </w:pPr>
      <w:r>
        <w:rPr>
          <w:rFonts w:hint="eastAsia" w:asciiTheme="minorEastAsia" w:hAnsiTheme="minorEastAsia" w:eastAsiaTheme="minorEastAsia" w:cstheme="minorEastAsia"/>
          <w:b/>
          <w:bCs/>
          <w:sz w:val="30"/>
          <w:szCs w:val="30"/>
          <w:highlight w:val="none"/>
        </w:rPr>
        <w:t>202</w:t>
      </w:r>
      <w:r>
        <w:rPr>
          <w:rFonts w:hint="eastAsia" w:asciiTheme="minorEastAsia" w:hAnsiTheme="minorEastAsia" w:eastAsiaTheme="minorEastAsia" w:cstheme="minorEastAsia"/>
          <w:b/>
          <w:bCs/>
          <w:sz w:val="30"/>
          <w:szCs w:val="30"/>
          <w:highlight w:val="none"/>
          <w:lang w:val="en-US" w:eastAsia="zh-CN"/>
        </w:rPr>
        <w:t>1</w:t>
      </w:r>
      <w:r>
        <w:rPr>
          <w:rFonts w:hint="eastAsia" w:asciiTheme="minorEastAsia" w:hAnsiTheme="minorEastAsia" w:eastAsiaTheme="minorEastAsia" w:cstheme="minorEastAsia"/>
          <w:b/>
          <w:bCs/>
          <w:sz w:val="30"/>
          <w:szCs w:val="30"/>
          <w:highlight w:val="none"/>
        </w:rPr>
        <w:t>年</w:t>
      </w:r>
      <w:r>
        <w:rPr>
          <w:rFonts w:hint="eastAsia" w:asciiTheme="minorEastAsia" w:hAnsiTheme="minorEastAsia" w:eastAsiaTheme="minorEastAsia" w:cstheme="minorEastAsia"/>
          <w:b/>
          <w:bCs/>
          <w:sz w:val="30"/>
          <w:szCs w:val="30"/>
          <w:highlight w:val="none"/>
          <w:lang w:val="en-US" w:eastAsia="zh-CN"/>
        </w:rPr>
        <w:t>9</w:t>
      </w:r>
      <w:r>
        <w:rPr>
          <w:rFonts w:hint="eastAsia" w:asciiTheme="minorEastAsia" w:hAnsiTheme="minorEastAsia" w:eastAsiaTheme="minorEastAsia" w:cstheme="minorEastAsia"/>
          <w:b/>
          <w:bCs/>
          <w:sz w:val="30"/>
          <w:szCs w:val="30"/>
          <w:highlight w:val="none"/>
        </w:rPr>
        <w:t>月</w:t>
      </w:r>
    </w:p>
    <w:p>
      <w:pPr>
        <w:pStyle w:val="4"/>
        <w:shd w:val="clear"/>
        <w:jc w:val="center"/>
        <w:rPr>
          <w:rFonts w:asciiTheme="minorEastAsia" w:hAnsiTheme="minorEastAsia" w:eastAsiaTheme="minorEastAsia" w:cstheme="minorEastAsia"/>
          <w:sz w:val="52"/>
          <w:szCs w:val="52"/>
          <w:highlight w:val="none"/>
        </w:rPr>
      </w:pPr>
      <w:r>
        <w:rPr>
          <w:rFonts w:hint="eastAsia" w:asciiTheme="minorEastAsia" w:hAnsiTheme="minorEastAsia" w:eastAsiaTheme="minorEastAsia" w:cstheme="minorEastAsia"/>
          <w:sz w:val="52"/>
          <w:szCs w:val="52"/>
          <w:highlight w:val="none"/>
        </w:rPr>
        <w:t>目 录</w:t>
      </w:r>
    </w:p>
    <w:p>
      <w:pPr>
        <w:pStyle w:val="135"/>
        <w:shd w:val="clear"/>
        <w:tabs>
          <w:tab w:val="right" w:leader="dot" w:pos="8364"/>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"_Toc9128" </w:instrText>
      </w:r>
      <w:r>
        <w:rPr>
          <w:highlight w:val="none"/>
        </w:rPr>
        <w:fldChar w:fldCharType="separate"/>
      </w:r>
      <w:r>
        <w:rPr>
          <w:rFonts w:hint="eastAsia" w:asciiTheme="minorEastAsia" w:hAnsiTheme="minorEastAsia" w:eastAsiaTheme="minorEastAsia" w:cstheme="minorEastAsia"/>
          <w:sz w:val="28"/>
          <w:szCs w:val="28"/>
          <w:highlight w:val="none"/>
        </w:rPr>
        <w:t>第一章    竞争性磋商公告</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p>
    <w:p>
      <w:pPr>
        <w:pStyle w:val="135"/>
        <w:shd w:val="clear"/>
        <w:tabs>
          <w:tab w:val="right" w:leader="dot" w:pos="8364"/>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"_Toc22939" </w:instrText>
      </w:r>
      <w:r>
        <w:rPr>
          <w:highlight w:val="none"/>
        </w:rPr>
        <w:fldChar w:fldCharType="separate"/>
      </w:r>
      <w:r>
        <w:rPr>
          <w:rFonts w:hint="eastAsia" w:asciiTheme="minorEastAsia" w:hAnsiTheme="minorEastAsia" w:eastAsiaTheme="minorEastAsia" w:cstheme="minorEastAsia"/>
          <w:sz w:val="28"/>
          <w:szCs w:val="28"/>
          <w:highlight w:val="none"/>
        </w:rPr>
        <w:t>第二章    磋商须知及前附表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5</w:t>
      </w:r>
      <w:r>
        <w:rPr>
          <w:rFonts w:hint="eastAsia" w:asciiTheme="minorEastAsia" w:hAnsiTheme="minorEastAsia" w:eastAsiaTheme="minorEastAsia" w:cstheme="minorEastAsia"/>
          <w:sz w:val="28"/>
          <w:szCs w:val="28"/>
          <w:highlight w:val="none"/>
        </w:rPr>
        <w:fldChar w:fldCharType="end"/>
      </w:r>
    </w:p>
    <w:p>
      <w:pPr>
        <w:pStyle w:val="135"/>
        <w:shd w:val="clear"/>
        <w:tabs>
          <w:tab w:val="right" w:leader="dot" w:pos="8364"/>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"_Toc19851" </w:instrText>
      </w:r>
      <w:r>
        <w:rPr>
          <w:highlight w:val="none"/>
        </w:rPr>
        <w:fldChar w:fldCharType="separate"/>
      </w:r>
      <w:r>
        <w:rPr>
          <w:rFonts w:hint="eastAsia" w:asciiTheme="minorEastAsia" w:hAnsiTheme="minorEastAsia" w:eastAsiaTheme="minorEastAsia" w:cstheme="minorEastAsia"/>
          <w:sz w:val="28"/>
          <w:szCs w:val="28"/>
          <w:highlight w:val="none"/>
        </w:rPr>
        <w:t>第三章    项目</w:t>
      </w:r>
      <w:bookmarkStart w:id="0" w:name="_Hlt515613175"/>
      <w:r>
        <w:rPr>
          <w:rFonts w:hint="eastAsia" w:asciiTheme="minorEastAsia" w:hAnsiTheme="minorEastAsia" w:eastAsiaTheme="minorEastAsia" w:cstheme="minorEastAsia"/>
          <w:sz w:val="28"/>
          <w:szCs w:val="28"/>
          <w:highlight w:val="none"/>
        </w:rPr>
        <w:t>采</w:t>
      </w:r>
      <w:bookmarkEnd w:id="0"/>
      <w:r>
        <w:rPr>
          <w:rFonts w:hint="eastAsia" w:asciiTheme="minorEastAsia" w:hAnsiTheme="minorEastAsia" w:eastAsiaTheme="minorEastAsia" w:cstheme="minorEastAsia"/>
          <w:sz w:val="28"/>
          <w:szCs w:val="28"/>
          <w:highlight w:val="none"/>
        </w:rPr>
        <w:t>购需求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t>8</w:t>
      </w:r>
    </w:p>
    <w:p>
      <w:pPr>
        <w:pStyle w:val="135"/>
        <w:shd w:val="clear"/>
        <w:tabs>
          <w:tab w:val="right" w:leader="dot" w:pos="8364"/>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"_Toc13906" </w:instrText>
      </w:r>
      <w:r>
        <w:rPr>
          <w:highlight w:val="none"/>
        </w:rPr>
        <w:fldChar w:fldCharType="separate"/>
      </w:r>
      <w:r>
        <w:rPr>
          <w:rFonts w:hint="eastAsia" w:asciiTheme="minorEastAsia" w:hAnsiTheme="minorEastAsia" w:eastAsiaTheme="minorEastAsia" w:cstheme="minorEastAsia"/>
          <w:sz w:val="28"/>
          <w:szCs w:val="28"/>
          <w:highlight w:val="none"/>
        </w:rPr>
        <w:t>第四章    合同书（参考格式）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19</w:t>
      </w:r>
      <w:r>
        <w:rPr>
          <w:rFonts w:hint="eastAsia" w:asciiTheme="minorEastAsia" w:hAnsiTheme="minorEastAsia" w:eastAsiaTheme="minorEastAsia" w:cstheme="minorEastAsia"/>
          <w:sz w:val="28"/>
          <w:szCs w:val="28"/>
          <w:highlight w:val="none"/>
        </w:rPr>
        <w:fldChar w:fldCharType="end"/>
      </w:r>
    </w:p>
    <w:p>
      <w:pPr>
        <w:pStyle w:val="135"/>
        <w:shd w:val="clear"/>
        <w:tabs>
          <w:tab w:val="right" w:leader="dot" w:pos="8364"/>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"_Toc23660" </w:instrText>
      </w:r>
      <w:r>
        <w:rPr>
          <w:highlight w:val="none"/>
        </w:rPr>
        <w:fldChar w:fldCharType="separate"/>
      </w:r>
      <w:r>
        <w:rPr>
          <w:rFonts w:hint="eastAsia" w:asciiTheme="minorEastAsia" w:hAnsiTheme="minorEastAsia" w:eastAsiaTheme="minorEastAsia" w:cstheme="minorEastAsia"/>
          <w:sz w:val="28"/>
          <w:szCs w:val="28"/>
          <w:highlight w:val="none"/>
        </w:rPr>
        <w:t>第五章    评标办法及评审标准</w:t>
      </w:r>
      <w:bookmarkStart w:id="1" w:name="_Hlt515613115"/>
      <w:r>
        <w:rPr>
          <w:rFonts w:hint="eastAsia" w:asciiTheme="minorEastAsia" w:hAnsiTheme="minorEastAsia" w:eastAsiaTheme="minorEastAsia" w:cstheme="minorEastAsia"/>
          <w:sz w:val="28"/>
          <w:szCs w:val="28"/>
          <w:highlight w:val="none"/>
        </w:rPr>
        <w:tab/>
      </w:r>
      <w:bookmarkEnd w:id="1"/>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rPr>
        <w:t>39</w:t>
      </w:r>
    </w:p>
    <w:p>
      <w:pPr>
        <w:pStyle w:val="135"/>
        <w:shd w:val="clear"/>
        <w:tabs>
          <w:tab w:val="right" w:leader="dot" w:pos="8364"/>
        </w:tabs>
        <w:rPr>
          <w:rFonts w:asciiTheme="minorEastAsia" w:hAnsiTheme="minorEastAsia" w:eastAsiaTheme="minorEastAsia" w:cstheme="minorEastAsia"/>
          <w:sz w:val="28"/>
          <w:szCs w:val="28"/>
          <w:highlight w:val="none"/>
        </w:rPr>
      </w:pPr>
      <w:r>
        <w:rPr>
          <w:highlight w:val="none"/>
        </w:rPr>
        <w:fldChar w:fldCharType="begin"/>
      </w:r>
      <w:r>
        <w:rPr>
          <w:highlight w:val="none"/>
        </w:rPr>
        <w:instrText xml:space="preserve"> HYPERLINK \l "_Toc32321" </w:instrText>
      </w:r>
      <w:r>
        <w:rPr>
          <w:highlight w:val="none"/>
        </w:rPr>
        <w:fldChar w:fldCharType="separate"/>
      </w:r>
      <w:r>
        <w:rPr>
          <w:rFonts w:hint="eastAsia" w:asciiTheme="minorEastAsia" w:hAnsiTheme="minorEastAsia" w:eastAsiaTheme="minorEastAsia" w:cstheme="minorEastAsia"/>
          <w:sz w:val="28"/>
          <w:szCs w:val="28"/>
          <w:highlight w:val="none"/>
        </w:rPr>
        <w:t xml:space="preserve">第六章    </w:t>
      </w:r>
      <w:bookmarkStart w:id="2" w:name="_Hlt515613166"/>
      <w:r>
        <w:rPr>
          <w:rFonts w:hint="eastAsia" w:asciiTheme="minorEastAsia" w:hAnsiTheme="minorEastAsia" w:eastAsiaTheme="minorEastAsia" w:cstheme="minorEastAsia"/>
          <w:sz w:val="28"/>
          <w:szCs w:val="28"/>
          <w:highlight w:val="none"/>
        </w:rPr>
        <w:t>竞</w:t>
      </w:r>
      <w:bookmarkEnd w:id="2"/>
      <w:r>
        <w:rPr>
          <w:rFonts w:hint="eastAsia" w:asciiTheme="minorEastAsia" w:hAnsiTheme="minorEastAsia" w:eastAsiaTheme="minorEastAsia" w:cstheme="minorEastAsia"/>
          <w:sz w:val="28"/>
          <w:szCs w:val="28"/>
          <w:highlight w:val="none"/>
        </w:rPr>
        <w:t>争性磋商响应文件（格式）</w:t>
      </w:r>
      <w:bookmarkStart w:id="3" w:name="_Hlt515613132"/>
      <w:r>
        <w:rPr>
          <w:rFonts w:hint="eastAsia" w:asciiTheme="minorEastAsia" w:hAnsiTheme="minorEastAsia" w:eastAsiaTheme="minorEastAsia" w:cstheme="minorEastAsia"/>
          <w:sz w:val="28"/>
          <w:szCs w:val="28"/>
          <w:highlight w:val="none"/>
        </w:rPr>
        <w:tab/>
      </w:r>
      <w:bookmarkEnd w:id="3"/>
      <w:r>
        <w:rPr>
          <w:rFonts w:hint="eastAsia" w:asciiTheme="minorEastAsia" w:hAnsiTheme="minorEastAsia" w:eastAsiaTheme="minorEastAsia" w:cstheme="minorEastAsia"/>
          <w:sz w:val="28"/>
          <w:szCs w:val="28"/>
          <w:highlight w:val="none"/>
        </w:rPr>
        <w:t>42</w:t>
      </w:r>
      <w:r>
        <w:rPr>
          <w:rFonts w:hint="eastAsia" w:asciiTheme="minorEastAsia" w:hAnsiTheme="minorEastAsia" w:eastAsiaTheme="minorEastAsia" w:cstheme="minorEastAsia"/>
          <w:sz w:val="28"/>
          <w:szCs w:val="28"/>
          <w:highlight w:val="none"/>
        </w:rPr>
        <w:fldChar w:fldCharType="end"/>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4"/>
          <w:szCs w:val="24"/>
          <w:highlight w:val="none"/>
        </w:rPr>
        <w:br w:type="textWrapping"/>
      </w: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39"/>
        <w:shd w:val="clear"/>
        <w:rPr>
          <w:rFonts w:asciiTheme="minorEastAsia" w:hAnsiTheme="minorEastAsia" w:eastAsiaTheme="minorEastAsia" w:cstheme="minorEastAsia"/>
          <w:highlight w:val="none"/>
        </w:rPr>
      </w:pPr>
      <w:bookmarkStart w:id="4" w:name="_Toc9128"/>
      <w:r>
        <w:rPr>
          <w:rFonts w:hint="eastAsia" w:asciiTheme="minorEastAsia" w:hAnsiTheme="minorEastAsia" w:eastAsiaTheme="minorEastAsia" w:cstheme="minorEastAsia"/>
          <w:highlight w:val="none"/>
        </w:rPr>
        <w:br w:type="page"/>
      </w:r>
      <w:bookmarkEnd w:id="4"/>
      <w:bookmarkStart w:id="5" w:name="_Toc22939"/>
      <w:r>
        <w:rPr>
          <w:rFonts w:hint="eastAsia" w:asciiTheme="minorEastAsia" w:hAnsiTheme="minorEastAsia" w:eastAsiaTheme="minorEastAsia" w:cstheme="minorEastAsia"/>
          <w:highlight w:val="none"/>
        </w:rPr>
        <w:t>第一章    竞争性磋</w:t>
      </w:r>
      <w:bookmarkStart w:id="69" w:name="_GoBack"/>
      <w:bookmarkEnd w:id="69"/>
      <w:r>
        <w:rPr>
          <w:rFonts w:hint="eastAsia" w:asciiTheme="minorEastAsia" w:hAnsiTheme="minorEastAsia" w:eastAsiaTheme="minorEastAsia" w:cstheme="minorEastAsia"/>
          <w:highlight w:val="none"/>
        </w:rPr>
        <w:t>商公告</w:t>
      </w:r>
    </w:p>
    <w:p>
      <w:pPr>
        <w:shd w:val="clear"/>
        <w:spacing w:line="54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广西建展建设工程管理集团有限公司</w:t>
      </w:r>
    </w:p>
    <w:p>
      <w:pPr>
        <w:shd w:val="clear"/>
        <w:spacing w:line="540" w:lineRule="exact"/>
        <w:jc w:val="center"/>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eastAsiaTheme="minorEastAsia" w:cstheme="minorEastAsia"/>
          <w:b/>
          <w:sz w:val="28"/>
          <w:szCs w:val="28"/>
          <w:highlight w:val="none"/>
          <w:lang w:val="en-US" w:eastAsia="zh-CN"/>
        </w:rPr>
        <w:t>关于</w:t>
      </w:r>
      <w:r>
        <w:rPr>
          <w:rFonts w:hint="eastAsia" w:asciiTheme="minorEastAsia" w:hAnsiTheme="minorEastAsia" w:eastAsiaTheme="minorEastAsia" w:cstheme="minorEastAsia"/>
          <w:b/>
          <w:sz w:val="28"/>
          <w:szCs w:val="28"/>
          <w:highlight w:val="none"/>
          <w:lang w:eastAsia="zh-CN"/>
        </w:rPr>
        <w:t>港北区蒙圩至大圩路面提升工程</w:t>
      </w:r>
    </w:p>
    <w:p>
      <w:pPr>
        <w:shd w:val="clear"/>
        <w:spacing w:line="54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（项目编号：</w:t>
      </w:r>
      <w:r>
        <w:rPr>
          <w:rFonts w:hint="eastAsia" w:asciiTheme="minorEastAsia" w:hAnsiTheme="minorEastAsia" w:eastAsiaTheme="minorEastAsia" w:cstheme="minorEastAsia"/>
          <w:b/>
          <w:sz w:val="28"/>
          <w:szCs w:val="28"/>
          <w:highlight w:val="none"/>
          <w:lang w:eastAsia="zh-CN"/>
        </w:rPr>
        <w:t>GGZC2021-C2-20077-GXJZ</w:t>
      </w:r>
      <w:r>
        <w:rPr>
          <w:rFonts w:hint="eastAsia" w:asciiTheme="minorEastAsia" w:hAnsiTheme="minorEastAsia" w:eastAsiaTheme="minorEastAsia" w:cstheme="minorEastAsia"/>
          <w:b/>
          <w:sz w:val="28"/>
          <w:szCs w:val="28"/>
          <w:highlight w:val="none"/>
        </w:rPr>
        <w:t>）</w:t>
      </w:r>
    </w:p>
    <w:p>
      <w:pPr>
        <w:shd w:val="clear"/>
        <w:spacing w:line="54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竞争性磋商公告</w:t>
      </w:r>
    </w:p>
    <w:p>
      <w:pPr>
        <w:shd w:val="clear"/>
        <w:rPr>
          <w:rFonts w:asciiTheme="minorEastAsia" w:hAnsiTheme="minorEastAsia" w:eastAsiaTheme="minorEastAsia" w:cstheme="minorEastAsia"/>
          <w:highlight w:val="none"/>
        </w:rPr>
      </w:pPr>
    </w:p>
    <w:p>
      <w:pPr>
        <w:pBdr>
          <w:top w:val="single" w:color="auto" w:sz="4" w:space="1"/>
          <w:left w:val="single" w:color="auto" w:sz="4" w:space="4"/>
          <w:bottom w:val="single" w:color="auto" w:sz="4" w:space="1"/>
          <w:right w:val="single" w:color="auto" w:sz="4" w:space="4"/>
        </w:pBdr>
        <w:shd w:val="clea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项目概况</w:t>
      </w:r>
    </w:p>
    <w:p>
      <w:pPr>
        <w:pBdr>
          <w:top w:val="single" w:color="auto" w:sz="4" w:space="1"/>
          <w:left w:val="single" w:color="auto" w:sz="4" w:space="4"/>
          <w:bottom w:val="single" w:color="auto" w:sz="4" w:space="1"/>
          <w:right w:val="single" w:color="auto" w:sz="4" w:space="4"/>
        </w:pBdr>
        <w:shd w:val="clear"/>
        <w:ind w:firstLine="480" w:firstLineChars="20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lang w:eastAsia="zh-CN"/>
        </w:rPr>
        <w:t>港北区蒙圩至大圩路面提升工程</w:t>
      </w:r>
      <w:r>
        <w:rPr>
          <w:rFonts w:hint="eastAsia" w:asciiTheme="minorEastAsia" w:hAnsiTheme="minorEastAsia" w:eastAsiaTheme="minorEastAsia" w:cstheme="minorEastAsia"/>
          <w:sz w:val="24"/>
          <w:szCs w:val="28"/>
          <w:highlight w:val="none"/>
        </w:rPr>
        <w:t>（</w:t>
      </w:r>
      <w:r>
        <w:rPr>
          <w:rFonts w:hint="eastAsia" w:asciiTheme="minorEastAsia" w:hAnsiTheme="minorEastAsia" w:eastAsiaTheme="minorEastAsia" w:cstheme="minorEastAsia"/>
          <w:sz w:val="24"/>
          <w:szCs w:val="28"/>
          <w:highlight w:val="none"/>
          <w:lang w:eastAsia="zh-CN"/>
        </w:rPr>
        <w:t>GGZC2021-C2-20077-GXJZ</w:t>
      </w:r>
      <w:r>
        <w:rPr>
          <w:rFonts w:hint="eastAsia" w:asciiTheme="minorEastAsia" w:hAnsiTheme="minorEastAsia" w:eastAsiaTheme="minorEastAsia" w:cstheme="minorEastAsia"/>
          <w:sz w:val="24"/>
          <w:szCs w:val="28"/>
          <w:highlight w:val="none"/>
        </w:rPr>
        <w:t>）项目的潜在供应商应在贵港市政府采购网（http://zfcg.czj.gxgg.gov.cn/home.html）“供应商注册入口”完 成账号注册后，登录政采云平台“项目采购—获取采购文件”模块自行下载采购文件，并于</w:t>
      </w:r>
      <w:r>
        <w:rPr>
          <w:rFonts w:hint="eastAsia" w:asciiTheme="minorEastAsia" w:hAnsiTheme="minorEastAsia" w:eastAsiaTheme="minorEastAsia" w:cstheme="minorEastAsia"/>
          <w:sz w:val="24"/>
          <w:highlight w:val="none"/>
          <w:u w:val="single"/>
        </w:rPr>
        <w:t>2021年</w:t>
      </w:r>
      <w:r>
        <w:rPr>
          <w:rFonts w:hint="eastAsia" w:asciiTheme="minorEastAsia" w:hAnsiTheme="minorEastAsia" w:eastAsiaTheme="minorEastAsia" w:cstheme="minorEastAsia"/>
          <w:sz w:val="24"/>
          <w:highlight w:val="none"/>
          <w:u w:val="single"/>
          <w:lang w:val="en-US" w:eastAsia="zh-CN"/>
        </w:rPr>
        <w:t>10</w:t>
      </w:r>
      <w:r>
        <w:rPr>
          <w:rFonts w:hint="eastAsia" w:asciiTheme="minorEastAsia" w:hAnsiTheme="minorEastAsia" w:eastAsiaTheme="minorEastAsia" w:cstheme="minorEastAsia"/>
          <w:sz w:val="24"/>
          <w:highlight w:val="none"/>
          <w:u w:val="single"/>
        </w:rPr>
        <w:t>月</w:t>
      </w:r>
      <w:r>
        <w:rPr>
          <w:rFonts w:hint="eastAsia" w:asciiTheme="minorEastAsia" w:hAnsiTheme="minorEastAsia" w:eastAsiaTheme="minorEastAsia" w:cstheme="minorEastAsia"/>
          <w:sz w:val="24"/>
          <w:highlight w:val="none"/>
          <w:u w:val="single"/>
          <w:lang w:val="en-US" w:eastAsia="zh-CN"/>
        </w:rPr>
        <w:t>13</w:t>
      </w:r>
      <w:r>
        <w:rPr>
          <w:rFonts w:hint="eastAsia" w:asciiTheme="minorEastAsia" w:hAnsiTheme="minorEastAsia" w:eastAsiaTheme="minorEastAsia" w:cstheme="minorEastAsia"/>
          <w:sz w:val="24"/>
          <w:highlight w:val="none"/>
          <w:u w:val="single"/>
        </w:rPr>
        <w:t>日</w:t>
      </w:r>
      <w:r>
        <w:rPr>
          <w:rFonts w:hint="eastAsia" w:asciiTheme="minorEastAsia" w:hAnsiTheme="minorEastAsia" w:eastAsiaTheme="minorEastAsia" w:cstheme="minorEastAsia"/>
          <w:sz w:val="24"/>
          <w:szCs w:val="28"/>
          <w:highlight w:val="none"/>
          <w:u w:val="single"/>
        </w:rPr>
        <w:t>上午8时30分（北京时间）</w:t>
      </w:r>
      <w:r>
        <w:rPr>
          <w:rFonts w:hint="eastAsia" w:asciiTheme="minorEastAsia" w:hAnsiTheme="minorEastAsia" w:eastAsiaTheme="minorEastAsia" w:cstheme="minorEastAsia"/>
          <w:sz w:val="24"/>
          <w:szCs w:val="28"/>
          <w:highlight w:val="none"/>
        </w:rPr>
        <w:t>前提交响应文件。</w:t>
      </w:r>
    </w:p>
    <w:p>
      <w:pPr>
        <w:shd w:val="clear"/>
        <w:spacing w:line="40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一、项目基本情况</w:t>
      </w:r>
    </w:p>
    <w:p>
      <w:pPr>
        <w:shd w:val="clear"/>
        <w:spacing w:line="400" w:lineRule="exact"/>
        <w:ind w:firstLine="480" w:firstLineChars="200"/>
        <w:rPr>
          <w:rFonts w:hint="eastAsia" w:asciiTheme="minorEastAsia" w:hAnsiTheme="minorEastAsia" w:eastAsiaTheme="minorEastAsia" w:cstheme="minorEastAsia"/>
          <w:sz w:val="24"/>
          <w:highlight w:val="none"/>
          <w:u w:val="single"/>
          <w:lang w:eastAsia="zh-CN"/>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z w:val="24"/>
          <w:highlight w:val="none"/>
          <w:u w:val="single"/>
          <w:lang w:eastAsia="zh-CN"/>
        </w:rPr>
        <w:t>GGZC2021-C2-20077-GXJZ</w:t>
      </w:r>
    </w:p>
    <w:p>
      <w:pPr>
        <w:shd w:val="clear"/>
        <w:spacing w:line="400" w:lineRule="exact"/>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u w:val="single"/>
          <w:lang w:eastAsia="zh-CN"/>
        </w:rPr>
        <w:t>港北区蒙圩至大圩路面提升工程</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采购方式：</w:t>
      </w:r>
      <w:r>
        <w:rPr>
          <w:rFonts w:hint="eastAsia" w:asciiTheme="minorEastAsia" w:hAnsiTheme="minorEastAsia" w:eastAsiaTheme="minorEastAsia" w:cstheme="minorEastAsia"/>
          <w:sz w:val="24"/>
          <w:highlight w:val="none"/>
          <w:u w:val="single"/>
        </w:rPr>
        <w:t>竞争性磋商</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采购预算价：</w:t>
      </w:r>
      <w:r>
        <w:rPr>
          <w:rFonts w:hint="eastAsia" w:asciiTheme="minorEastAsia" w:hAnsiTheme="minorEastAsia" w:eastAsiaTheme="minorEastAsia" w:cstheme="minorEastAsia"/>
          <w:sz w:val="24"/>
          <w:highlight w:val="none"/>
          <w:u w:val="single"/>
          <w:lang w:val="en-US" w:eastAsia="zh-CN"/>
        </w:rPr>
        <w:t>人民币</w:t>
      </w:r>
      <w:r>
        <w:rPr>
          <w:rFonts w:hint="eastAsia" w:asciiTheme="minorEastAsia" w:hAnsiTheme="minorEastAsia" w:eastAsiaTheme="minorEastAsia" w:cstheme="minorEastAsia"/>
          <w:sz w:val="24"/>
          <w:highlight w:val="none"/>
          <w:u w:val="single"/>
          <w:lang w:eastAsia="zh-CN"/>
        </w:rPr>
        <w:t>捌拾肆万肆仟肆佰壹拾贰元整（¥844412.00元）</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采购需求：</w:t>
      </w:r>
      <w:r>
        <w:rPr>
          <w:rFonts w:hint="eastAsia" w:asciiTheme="minorEastAsia" w:hAnsiTheme="minorEastAsia" w:eastAsiaTheme="minorEastAsia" w:cstheme="minorEastAsia"/>
          <w:sz w:val="24"/>
          <w:highlight w:val="none"/>
          <w:u w:val="single"/>
          <w:lang w:eastAsia="zh-CN"/>
        </w:rPr>
        <w:t>港北区蒙圩至大圩路面提升工程</w:t>
      </w:r>
      <w:r>
        <w:rPr>
          <w:rFonts w:hint="eastAsia" w:asciiTheme="minorEastAsia" w:hAnsiTheme="minorEastAsia" w:eastAsiaTheme="minorEastAsia" w:cstheme="minorEastAsia"/>
          <w:sz w:val="24"/>
          <w:highlight w:val="none"/>
          <w:u w:val="single"/>
        </w:rPr>
        <w:t>，如需进一步了解详细内容，详见竞争性磋商文件。</w:t>
      </w:r>
    </w:p>
    <w:p>
      <w:pPr>
        <w:shd w:val="clear"/>
        <w:spacing w:line="400" w:lineRule="exact"/>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工期：</w:t>
      </w:r>
      <w:r>
        <w:rPr>
          <w:rFonts w:hint="eastAsia" w:asciiTheme="minorEastAsia" w:hAnsiTheme="minorEastAsia" w:eastAsiaTheme="minorEastAsia" w:cstheme="minorEastAsia"/>
          <w:sz w:val="24"/>
          <w:highlight w:val="none"/>
          <w:u w:val="single"/>
          <w:lang w:val="en-US" w:eastAsia="zh-CN"/>
        </w:rPr>
        <w:t>自签订合同之日起六个月内完成。</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本项目不接受联合体。</w:t>
      </w:r>
    </w:p>
    <w:p>
      <w:pPr>
        <w:shd w:val="clear"/>
        <w:spacing w:line="400" w:lineRule="exact"/>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二、申请人的资格要求：</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1.符合《中华人民共和国政府采购法》第二十二条规定的条件，且承诺履行文件的各项规定，有独立法人资格；</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 竞标人必须具有公路工程施工总承包叁级以上（含叁级）资质同时具有行政主管部门颁发的建筑施工企业安全生产许可证及独立法人资格的施工企业。拟派驻本工程的项目经理必须具备二级以上（含二级）的公路工程专业注册建造师资质，具备有效的安全生产考核合格证(B类)，且不得担任其它在施建设工程项目的项目经理，安全员具备有效的安全员证书及安全生产考核合格证书(C类)。</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5.联合体：本项目不接受联合体竞标。</w:t>
      </w:r>
    </w:p>
    <w:p>
      <w:pPr>
        <w:shd w:val="clear"/>
        <w:spacing w:line="400" w:lineRule="exact"/>
        <w:ind w:firstLine="482"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rPr>
        <w:t>三、本项目需要落实的政府采购政策：</w:t>
      </w:r>
      <w:r>
        <w:rPr>
          <w:rFonts w:hint="eastAsia" w:asciiTheme="minorEastAsia" w:hAnsiTheme="minorEastAsia" w:eastAsiaTheme="minorEastAsia" w:cstheme="minorEastAsia"/>
          <w:sz w:val="24"/>
          <w:highlight w:val="none"/>
        </w:rPr>
        <w:t>《政府采购促进中小企业发展暂行办法》（财库[20</w:t>
      </w:r>
      <w:r>
        <w:rPr>
          <w:rFonts w:hint="eastAsia" w:asciiTheme="minorEastAsia" w:hAnsiTheme="minorEastAsia" w:eastAsiaTheme="minorEastAsia" w:cstheme="minorEastAsia"/>
          <w:sz w:val="24"/>
          <w:highlight w:val="none"/>
          <w:lang w:val="en-US" w:eastAsia="zh-CN"/>
        </w:rPr>
        <w:t>20</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46</w:t>
      </w:r>
      <w:r>
        <w:rPr>
          <w:rFonts w:hint="eastAsia" w:asciiTheme="minorEastAsia" w:hAnsiTheme="minorEastAsia" w:eastAsiaTheme="minorEastAsia" w:cstheme="minorEastAsia"/>
          <w:sz w:val="24"/>
          <w:highlight w:val="none"/>
        </w:rPr>
        <w:t>号）、财政部司法部《关于政府采购支持监狱企业发展有关问题的通知》（财库[2014]68 号）、《关于促进残疾人就业政府采购政策的通知》（财库[2017]141 号）等政府采购相关政策。</w:t>
      </w:r>
    </w:p>
    <w:p>
      <w:pPr>
        <w:shd w:val="clear"/>
        <w:spacing w:line="400" w:lineRule="exact"/>
        <w:ind w:firstLine="482"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、获取采购文件</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时间：2021年</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30</w:t>
      </w:r>
      <w:r>
        <w:rPr>
          <w:rFonts w:hint="eastAsia" w:asciiTheme="minorEastAsia" w:hAnsiTheme="minorEastAsia" w:eastAsiaTheme="minorEastAsia" w:cstheme="minorEastAsia"/>
          <w:sz w:val="24"/>
          <w:highlight w:val="none"/>
        </w:rPr>
        <w:t>日至供应商投标文件递交的截止时间止</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地点：http://zfcg.czj.gxgg.gov.cn（贵港市政府采购网）</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方式：供应商通过贵港市政府采购网“供应商注册入口”完成账号注册后，登录政采云平台“项目采购—获取采购文件”模块自行下载采购文件；潜在投标人在截标现场签到报名，便认定为本项目的报名人。投标人在签到后即可递交投标文件。</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售价：0元 </w:t>
      </w:r>
    </w:p>
    <w:p>
      <w:pPr>
        <w:shd w:val="clear"/>
        <w:spacing w:line="400" w:lineRule="exact"/>
        <w:ind w:firstLine="482"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、响应文件提交</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截止时间：2021年</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13</w:t>
      </w:r>
      <w:r>
        <w:rPr>
          <w:rFonts w:hint="eastAsia" w:asciiTheme="minorEastAsia" w:hAnsiTheme="minorEastAsia" w:eastAsiaTheme="minorEastAsia" w:cstheme="minorEastAsia"/>
          <w:sz w:val="24"/>
          <w:highlight w:val="none"/>
        </w:rPr>
        <w:t>日8点30分（北京时间）。</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地点：通过政采云平台实行在线投标响应。</w:t>
      </w:r>
    </w:p>
    <w:p>
      <w:pPr>
        <w:shd w:val="clear"/>
        <w:spacing w:line="400" w:lineRule="exact"/>
        <w:ind w:firstLine="482"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、开启</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时间：2021年</w:t>
      </w:r>
      <w:r>
        <w:rPr>
          <w:rFonts w:hint="eastAsia" w:asciiTheme="minorEastAsia" w:hAnsiTheme="minorEastAsia" w:eastAsiaTheme="minorEastAsia" w:cstheme="minorEastAsia"/>
          <w:sz w:val="24"/>
          <w:highlight w:val="none"/>
          <w:lang w:val="en-US" w:eastAsia="zh-CN"/>
        </w:rPr>
        <w:t>10</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13</w:t>
      </w:r>
      <w:r>
        <w:rPr>
          <w:rFonts w:hint="eastAsia" w:asciiTheme="minorEastAsia" w:hAnsiTheme="minorEastAsia" w:eastAsiaTheme="minorEastAsia" w:cstheme="minorEastAsia"/>
          <w:sz w:val="24"/>
          <w:highlight w:val="none"/>
        </w:rPr>
        <w:t>日8点30分（北京时间）</w:t>
      </w:r>
    </w:p>
    <w:p>
      <w:pPr>
        <w:shd w:val="clea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地点：贵港市公共资源交易中心（贵港市港北区金城商业步行街与金田路交叉口东南150米水利大厦）</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方式：通过政采云平台实行在线解密开启。</w:t>
      </w:r>
    </w:p>
    <w:p>
      <w:pPr>
        <w:shd w:val="clear"/>
        <w:spacing w:line="400" w:lineRule="exact"/>
        <w:ind w:firstLine="482"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、公告期限</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自本公告发布之日起5个工作日。</w:t>
      </w:r>
    </w:p>
    <w:p>
      <w:pPr>
        <w:shd w:val="clear"/>
        <w:spacing w:line="400" w:lineRule="exact"/>
        <w:ind w:firstLine="482"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b/>
          <w:bCs/>
          <w:sz w:val="24"/>
          <w:highlight w:val="none"/>
          <w:lang w:val="en-US" w:eastAsia="zh-CN"/>
        </w:rPr>
        <w:t>八、在线投标响应（电子投标）说明</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本项目通过政采云平台实行在线投标响应（电子投标），供应商需要先安装“政采云电子交易客户端”，并按照本采购文件和政采云平台的要求，通过“政采云电子交易客户端”编制并加密响应文件。供应商未按规定编制并加密的响应文件，政采云平台将予以拒收。</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为确保网上操作合法、有效和安全，供应商应当在响应文件递交截止时间前完成在“政府采购云平台”的身份认证，确保在电子投标过程中能够对相关数据电文进行加密和使用电子签章。使用“政采云电子交易客户端”需要提前申领CA数字证书，申领流程请自行前往相关网站进行查阅。（电子标需要完成CA数字证书办理，建议供应商获取采购文件后立即办理。）</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供应商应当在响应文件递交截止时间前，将生成的“电子响应文件”上传递交至政采云平台。响应文件递交截止时间前可以补充、修改或者撤回电子响应文件。补充或者修改电子响应文件的，应当先行撤回原文件，补充、修改后重新传输递交，响应文件递交截止时间前未完成传输的，视为撤回响应文件。</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如电子响应文件无法按时解密时，供应商可授权采购代理机构解密电子备份响应文件，需出示授权委托书并加盖公章。电子备份响应文件可以通过以下三种方式递交：1.以邮寄方式在响应文件解密截止时间前寄到广西贵港市港北区金港大道844号万港城6幢14层1402号广西建展建设工程管理集团有限公司（U盘）；2.在响应文件解密截止时间前按要求密封并送达贵港市公共资源交易中心二楼交易厅（贵港市港北区金城商业步行街与金田路交叉口东南150米水利大厦），逾期送达或未按要求密封将被拒收。电子备份响应文件应当密封包装并在包装上标注投标项目名称、单位名称并加盖公章。</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5.供应商可以参与现场开标（所需在线投标响应及解密开启设备自带）并提供以介质（U盘）存储的数据电文形成的电子备份响应文件。</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6.供应商可以在截标前向我公司提供电子备份响应文件，通过政采云平台上传递交的电子加密响应文件无法按时解密且无法通过政采云“异常处理”端口处理的视为响应文件撤回。</w:t>
      </w:r>
    </w:p>
    <w:p>
      <w:pPr>
        <w:shd w:val="clear"/>
        <w:spacing w:line="400" w:lineRule="exact"/>
        <w:ind w:firstLine="482"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、凡对本次采购提出询问，请按以下方式联系：</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1.采购人信息</w:t>
      </w:r>
    </w:p>
    <w:p>
      <w:pPr>
        <w:shd w:val="clear"/>
        <w:spacing w:line="400" w:lineRule="exact"/>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名    称：</w:t>
      </w:r>
      <w:r>
        <w:rPr>
          <w:rFonts w:hint="eastAsia" w:asciiTheme="minorEastAsia" w:hAnsiTheme="minorEastAsia" w:eastAsiaTheme="minorEastAsia" w:cstheme="minorEastAsia"/>
          <w:sz w:val="24"/>
          <w:highlight w:val="none"/>
          <w:lang w:eastAsia="zh-CN"/>
        </w:rPr>
        <w:t>贵港市港北区交通运输局</w:t>
      </w:r>
    </w:p>
    <w:p>
      <w:pPr>
        <w:shd w:val="clear"/>
        <w:spacing w:line="40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地    址：贵港市</w:t>
      </w:r>
      <w:r>
        <w:rPr>
          <w:rFonts w:hint="eastAsia" w:asciiTheme="minorEastAsia" w:hAnsiTheme="minorEastAsia" w:eastAsiaTheme="minorEastAsia" w:cstheme="minorEastAsia"/>
          <w:sz w:val="24"/>
          <w:highlight w:val="none"/>
          <w:lang w:val="en-US" w:eastAsia="zh-CN"/>
        </w:rPr>
        <w:t>港北区</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联系方式：</w:t>
      </w:r>
      <w:r>
        <w:rPr>
          <w:rFonts w:hint="eastAsia" w:asciiTheme="minorEastAsia" w:hAnsiTheme="minorEastAsia" w:eastAsiaTheme="minorEastAsia" w:cstheme="minorEastAsia"/>
          <w:sz w:val="24"/>
          <w:highlight w:val="none"/>
          <w:lang w:val="en-US" w:eastAsia="zh-CN"/>
        </w:rPr>
        <w:t>何工</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eastAsia="zh-CN"/>
        </w:rPr>
        <w:t>0775-</w:t>
      </w:r>
      <w:r>
        <w:rPr>
          <w:rFonts w:hint="eastAsia" w:asciiTheme="minorEastAsia" w:hAnsiTheme="minorEastAsia" w:eastAsiaTheme="minorEastAsia" w:cstheme="minorEastAsia"/>
          <w:sz w:val="24"/>
          <w:highlight w:val="none"/>
          <w:lang w:val="en-US" w:eastAsia="zh-CN"/>
        </w:rPr>
        <w:t xml:space="preserve">4562563 </w:t>
      </w:r>
      <w:r>
        <w:rPr>
          <w:rFonts w:hint="eastAsia" w:asciiTheme="minorEastAsia" w:hAnsiTheme="minorEastAsia" w:eastAsiaTheme="minorEastAsia" w:cstheme="minorEastAsia"/>
          <w:sz w:val="24"/>
          <w:highlight w:val="none"/>
        </w:rPr>
        <w:t xml:space="preserve">  </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2.采购代理机构信息</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名   称：广西建展建设工程管理集团有限公司</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　　址：广西贵港市港北区金港大道844号万港城6幢14层1402号</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联系方式：廖思鸿0775-4598668</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3.项目联系方式</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项目联系人：廖思鸿</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电　　 话：0775-4598668</w:t>
      </w:r>
    </w:p>
    <w:p>
      <w:pPr>
        <w:shd w:val="clear"/>
        <w:spacing w:line="400" w:lineRule="exact"/>
        <w:ind w:firstLine="482"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sz w:val="24"/>
          <w:highlight w:val="none"/>
          <w:lang w:val="en-US" w:eastAsia="zh-CN"/>
        </w:rPr>
        <w:t>十</w:t>
      </w:r>
      <w:r>
        <w:rPr>
          <w:rFonts w:hint="eastAsia" w:asciiTheme="minorEastAsia" w:hAnsiTheme="minorEastAsia" w:eastAsiaTheme="minorEastAsia" w:cstheme="minorEastAsia"/>
          <w:b/>
          <w:bCs/>
          <w:sz w:val="24"/>
          <w:highlight w:val="none"/>
        </w:rPr>
        <w:t>、网上公告媒体查询：</w:t>
      </w:r>
    </w:p>
    <w:p>
      <w:pPr>
        <w:shd w:val="clear"/>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1、公告网址：http://www.ccgp.gov.cn（中国政府采购网）、http://www.gxzfcg.gov.cn（广西壮族自治区政府采购网）、</w:t>
      </w:r>
      <w:r>
        <w:rPr>
          <w:rFonts w:hint="eastAsia" w:asciiTheme="minorEastAsia" w:hAnsiTheme="minorEastAsia" w:eastAsiaTheme="minorEastAsia" w:cstheme="minorEastAsia"/>
          <w:sz w:val="24"/>
          <w:highlight w:val="none"/>
          <w:lang w:eastAsia="zh-CN"/>
        </w:rPr>
        <w:t>http://ggzy.jgswj.gxzf.gov.cn/ggggzy/全国公共资源交易平台（广西</w:t>
      </w:r>
      <w:r>
        <w:rPr>
          <w:rFonts w:hint="eastAsia" w:ascii="宋体" w:hAnsi="宋体" w:eastAsia="宋体" w:cs="宋体"/>
          <w:spacing w:val="2"/>
          <w:highlight w:val="none"/>
          <w:lang w:eastAsia="zh-CN"/>
        </w:rPr>
        <w:t>·</w:t>
      </w:r>
      <w:r>
        <w:rPr>
          <w:rFonts w:hint="eastAsia" w:asciiTheme="minorEastAsia" w:hAnsiTheme="minorEastAsia" w:eastAsiaTheme="minorEastAsia" w:cstheme="minorEastAsia"/>
          <w:sz w:val="24"/>
          <w:highlight w:val="none"/>
          <w:lang w:eastAsia="zh-CN"/>
        </w:rPr>
        <w:t>贵港）</w:t>
      </w:r>
      <w:r>
        <w:rPr>
          <w:rFonts w:hint="eastAsia" w:asciiTheme="minorEastAsia" w:hAnsiTheme="minorEastAsia" w:eastAsiaTheme="minorEastAsia" w:cstheme="minorEastAsia"/>
          <w:sz w:val="24"/>
          <w:highlight w:val="none"/>
        </w:rPr>
        <w:t>、http://zfcg.czj.gxgg.gov.cn/（贵港市政府采购网）</w:t>
      </w:r>
      <w:r>
        <w:rPr>
          <w:rFonts w:hint="eastAsia" w:asciiTheme="minorEastAsia" w:hAnsiTheme="minorEastAsia" w:eastAsiaTheme="minorEastAsia" w:cstheme="minorEastAsia"/>
          <w:sz w:val="24"/>
          <w:highlight w:val="none"/>
          <w:u w:val="none"/>
        </w:rPr>
        <w:t>。</w:t>
      </w:r>
    </w:p>
    <w:p>
      <w:pPr>
        <w:shd w:val="clear"/>
        <w:spacing w:line="400" w:lineRule="exact"/>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w:t>
      </w:r>
    </w:p>
    <w:p>
      <w:pPr>
        <w:shd w:val="clear"/>
        <w:spacing w:line="400" w:lineRule="exact"/>
        <w:ind w:firstLine="480" w:firstLineChars="200"/>
        <w:jc w:val="right"/>
        <w:rPr>
          <w:rFonts w:hint="eastAsia" w:asciiTheme="minorEastAsia" w:hAnsiTheme="minorEastAsia" w:eastAsiaTheme="minorEastAsia" w:cstheme="minorEastAsia"/>
          <w:sz w:val="24"/>
          <w:highlight w:val="none"/>
        </w:rPr>
      </w:pPr>
    </w:p>
    <w:p>
      <w:pPr>
        <w:shd w:val="clear"/>
        <w:spacing w:line="400" w:lineRule="exact"/>
        <w:ind w:firstLine="480" w:firstLineChars="200"/>
        <w:jc w:val="right"/>
        <w:rPr>
          <w:rFonts w:hint="eastAsia" w:asciiTheme="minorEastAsia" w:hAnsiTheme="minorEastAsia" w:eastAsiaTheme="minorEastAsia" w:cstheme="minorEastAsia"/>
          <w:sz w:val="24"/>
          <w:highlight w:val="none"/>
        </w:rPr>
      </w:pPr>
    </w:p>
    <w:p>
      <w:pPr>
        <w:shd w:val="clear"/>
        <w:spacing w:line="400" w:lineRule="exact"/>
        <w:ind w:firstLine="720" w:firstLineChars="3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贵港市港北区交通运输局</w:t>
      </w:r>
      <w:r>
        <w:rPr>
          <w:rFonts w:hint="eastAsia" w:asciiTheme="minorEastAsia" w:hAnsiTheme="minorEastAsia" w:eastAsiaTheme="minorEastAsia" w:cstheme="minorEastAsia"/>
          <w:sz w:val="24"/>
          <w:highlight w:val="none"/>
        </w:rPr>
        <w:t>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  广西建展建设工程管理集团有限公司</w:t>
      </w:r>
    </w:p>
    <w:p>
      <w:pPr>
        <w:shd w:val="clear"/>
        <w:spacing w:line="400" w:lineRule="exact"/>
        <w:ind w:firstLine="480" w:firstLineChars="20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202</w:t>
      </w: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lang w:val="en-US" w:eastAsia="zh-CN"/>
        </w:rPr>
        <w:t>9</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lang w:val="en-US" w:eastAsia="zh-CN"/>
        </w:rPr>
        <w:t>29</w:t>
      </w:r>
      <w:r>
        <w:rPr>
          <w:rFonts w:hint="eastAsia" w:asciiTheme="minorEastAsia" w:hAnsiTheme="minorEastAsia" w:eastAsiaTheme="minorEastAsia" w:cstheme="minorEastAsia"/>
          <w:sz w:val="24"/>
          <w:highlight w:val="none"/>
        </w:rPr>
        <w:t>日</w:t>
      </w:r>
    </w:p>
    <w:p>
      <w:pPr>
        <w:pStyle w:val="39"/>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highlight w:val="none"/>
        </w:rPr>
        <w:t>第二章    磋商须知及前附表</w:t>
      </w:r>
      <w:bookmarkEnd w:id="5"/>
    </w:p>
    <w:p>
      <w:pPr>
        <w:shd w:val="clear"/>
        <w:jc w:val="center"/>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磋商须知前附表</w:t>
      </w:r>
    </w:p>
    <w:tbl>
      <w:tblPr>
        <w:tblStyle w:val="42"/>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项号</w:t>
            </w:r>
          </w:p>
        </w:tc>
        <w:tc>
          <w:tcPr>
            <w:tcW w:w="850" w:type="dxa"/>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条款号</w:t>
            </w:r>
          </w:p>
        </w:tc>
        <w:tc>
          <w:tcPr>
            <w:tcW w:w="8225" w:type="dxa"/>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w:t>
            </w:r>
          </w:p>
        </w:tc>
        <w:tc>
          <w:tcPr>
            <w:tcW w:w="85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1.1</w:t>
            </w:r>
          </w:p>
        </w:tc>
        <w:tc>
          <w:tcPr>
            <w:tcW w:w="8225" w:type="dxa"/>
            <w:vAlign w:val="center"/>
          </w:tcPr>
          <w:p>
            <w:pPr>
              <w:shd w:val="clear"/>
              <w:spacing w:line="360" w:lineRule="exact"/>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工程综合说明：</w:t>
            </w:r>
          </w:p>
          <w:p>
            <w:pPr>
              <w:shd w:val="clear"/>
              <w:spacing w:line="360" w:lineRule="exact"/>
              <w:rPr>
                <w:rFonts w:hint="eastAsia" w:asciiTheme="minorEastAsia" w:hAnsiTheme="minorEastAsia" w:eastAsiaTheme="minorEastAsia" w:cstheme="minorEastAsia"/>
                <w:spacing w:val="2"/>
                <w:highlight w:val="none"/>
                <w:lang w:eastAsia="zh-CN"/>
              </w:rPr>
            </w:pPr>
            <w:r>
              <w:rPr>
                <w:rFonts w:hint="eastAsia" w:asciiTheme="minorEastAsia" w:hAnsiTheme="minorEastAsia" w:eastAsiaTheme="minorEastAsia" w:cstheme="minorEastAsia"/>
                <w:b/>
                <w:spacing w:val="2"/>
                <w:highlight w:val="none"/>
              </w:rPr>
              <w:t>项目名称：</w:t>
            </w:r>
            <w:r>
              <w:rPr>
                <w:rFonts w:hint="eastAsia" w:asciiTheme="minorEastAsia" w:hAnsiTheme="minorEastAsia" w:eastAsiaTheme="minorEastAsia" w:cstheme="minorEastAsia"/>
                <w:spacing w:val="2"/>
                <w:highlight w:val="none"/>
                <w:lang w:eastAsia="zh-CN"/>
              </w:rPr>
              <w:t>港北区蒙圩至大圩路面提升工程</w:t>
            </w:r>
          </w:p>
          <w:p>
            <w:pPr>
              <w:shd w:val="clear"/>
              <w:spacing w:line="360" w:lineRule="exact"/>
              <w:rPr>
                <w:rFonts w:hint="eastAsia" w:asciiTheme="minorEastAsia" w:hAnsiTheme="minorEastAsia" w:eastAsiaTheme="minorEastAsia" w:cstheme="minorEastAsia"/>
                <w:spacing w:val="2"/>
                <w:highlight w:val="none"/>
                <w:lang w:eastAsia="zh-CN"/>
              </w:rPr>
            </w:pPr>
            <w:r>
              <w:rPr>
                <w:rFonts w:hint="eastAsia" w:asciiTheme="minorEastAsia" w:hAnsiTheme="minorEastAsia" w:eastAsiaTheme="minorEastAsia" w:cstheme="minorEastAsia"/>
                <w:b/>
                <w:spacing w:val="2"/>
                <w:highlight w:val="none"/>
              </w:rPr>
              <w:t>项目编号：</w:t>
            </w:r>
            <w:r>
              <w:rPr>
                <w:rFonts w:hint="eastAsia" w:asciiTheme="minorEastAsia" w:hAnsiTheme="minorEastAsia" w:eastAsiaTheme="minorEastAsia" w:cstheme="minorEastAsia"/>
                <w:spacing w:val="2"/>
                <w:highlight w:val="none"/>
                <w:lang w:eastAsia="zh-CN"/>
              </w:rPr>
              <w:t>GGZC2021-C2-20077-GXJZ</w:t>
            </w:r>
          </w:p>
          <w:p>
            <w:pPr>
              <w:shd w:val="clear"/>
              <w:spacing w:line="360" w:lineRule="exact"/>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b/>
                <w:spacing w:val="2"/>
                <w:highlight w:val="none"/>
              </w:rPr>
              <w:t>标段划分</w:t>
            </w:r>
            <w:r>
              <w:rPr>
                <w:rFonts w:hint="eastAsia" w:asciiTheme="minorEastAsia" w:hAnsiTheme="minorEastAsia" w:eastAsiaTheme="minorEastAsia" w:cstheme="minorEastAsia"/>
                <w:spacing w:val="2"/>
                <w:highlight w:val="none"/>
              </w:rPr>
              <w:t>：本项目划分为一个标段，</w:t>
            </w:r>
            <w:r>
              <w:rPr>
                <w:rFonts w:hint="eastAsia" w:asciiTheme="minorEastAsia" w:hAnsiTheme="minorEastAsia" w:eastAsiaTheme="minorEastAsia" w:cstheme="minorEastAsia"/>
                <w:highlight w:val="none"/>
                <w:lang w:eastAsia="zh-CN"/>
              </w:rPr>
              <w:t>港北区蒙圩至大圩路面提升工程</w:t>
            </w:r>
            <w:r>
              <w:rPr>
                <w:rFonts w:hint="eastAsia" w:asciiTheme="minorEastAsia" w:hAnsiTheme="minorEastAsia" w:eastAsiaTheme="minorEastAsia" w:cstheme="minorEastAsia"/>
                <w:highlight w:val="none"/>
              </w:rPr>
              <w:t>。</w:t>
            </w:r>
          </w:p>
          <w:p>
            <w:pPr>
              <w:pStyle w:val="151"/>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建设单位：</w:t>
            </w:r>
            <w:r>
              <w:rPr>
                <w:rFonts w:hint="eastAsia" w:asciiTheme="minorEastAsia" w:hAnsiTheme="minorEastAsia" w:eastAsiaTheme="minorEastAsia" w:cstheme="minorEastAsia"/>
                <w:highlight w:val="none"/>
                <w:lang w:eastAsia="zh-CN"/>
              </w:rPr>
              <w:t>贵港市港北区交通运输局</w:t>
            </w:r>
            <w:r>
              <w:rPr>
                <w:rFonts w:hint="eastAsia" w:asciiTheme="minorEastAsia" w:hAnsiTheme="minorEastAsia" w:eastAsiaTheme="minorEastAsia" w:cstheme="minorEastAsia"/>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2</w:t>
            </w:r>
          </w:p>
        </w:tc>
        <w:tc>
          <w:tcPr>
            <w:tcW w:w="85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1.2</w:t>
            </w:r>
          </w:p>
        </w:tc>
        <w:tc>
          <w:tcPr>
            <w:tcW w:w="8225" w:type="dxa"/>
            <w:vAlign w:val="center"/>
          </w:tcPr>
          <w:p>
            <w:pPr>
              <w:pStyle w:val="151"/>
              <w:shd w:val="clear"/>
              <w:spacing w:line="3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highlight w:val="none"/>
              </w:rPr>
              <w:t>工程名称：</w:t>
            </w:r>
            <w:r>
              <w:rPr>
                <w:rFonts w:hint="eastAsia" w:asciiTheme="minorEastAsia" w:hAnsiTheme="minorEastAsia" w:eastAsiaTheme="minorEastAsia" w:cstheme="minorEastAsia"/>
                <w:highlight w:val="none"/>
                <w:lang w:eastAsia="zh-CN"/>
              </w:rPr>
              <w:t>港北区蒙圩至大圩路面提升工程</w:t>
            </w:r>
          </w:p>
          <w:p>
            <w:pPr>
              <w:pStyle w:val="151"/>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建设地点：</w:t>
            </w:r>
            <w:r>
              <w:rPr>
                <w:rFonts w:hint="eastAsia" w:asciiTheme="minorEastAsia" w:hAnsiTheme="minorEastAsia" w:eastAsiaTheme="minorEastAsia" w:cstheme="minorEastAsia"/>
                <w:highlight w:val="none"/>
              </w:rPr>
              <w:t>贵港市港北区</w:t>
            </w:r>
          </w:p>
          <w:p>
            <w:pPr>
              <w:pStyle w:val="151"/>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工程内容及规模：</w:t>
            </w:r>
            <w:r>
              <w:rPr>
                <w:rFonts w:hint="eastAsia" w:asciiTheme="minorEastAsia" w:hAnsiTheme="minorEastAsia" w:eastAsiaTheme="minorEastAsia" w:cstheme="minorEastAsia"/>
                <w:b w:val="0"/>
                <w:bCs w:val="0"/>
                <w:highlight w:val="none"/>
                <w:lang w:eastAsia="zh-CN"/>
              </w:rPr>
              <w:t>港北区蒙圩至大圩路面提升工程</w:t>
            </w:r>
            <w:r>
              <w:rPr>
                <w:rFonts w:hint="eastAsia" w:asciiTheme="minorEastAsia" w:hAnsiTheme="minorEastAsia" w:eastAsiaTheme="minorEastAsia" w:cstheme="minorEastAsia"/>
                <w:b w:val="0"/>
                <w:bCs w:val="0"/>
                <w:highlight w:val="none"/>
              </w:rPr>
              <w:t>，</w:t>
            </w:r>
            <w:r>
              <w:rPr>
                <w:rFonts w:hint="eastAsia" w:asciiTheme="minorEastAsia" w:hAnsiTheme="minorEastAsia" w:eastAsiaTheme="minorEastAsia" w:cstheme="minorEastAsia"/>
                <w:highlight w:val="none"/>
              </w:rPr>
              <w:t>如需进一步了解详细内容，详见竞争性磋商文件。</w:t>
            </w:r>
          </w:p>
          <w:p>
            <w:pPr>
              <w:pStyle w:val="151"/>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计划开工时间：</w:t>
            </w:r>
            <w:r>
              <w:rPr>
                <w:rFonts w:hint="eastAsia" w:asciiTheme="minorEastAsia" w:hAnsiTheme="minorEastAsia" w:eastAsiaTheme="minorEastAsia" w:cstheme="minorEastAsia"/>
                <w:highlight w:val="none"/>
              </w:rPr>
              <w:t>202</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rPr>
              <w:t xml:space="preserve">月  </w:t>
            </w:r>
          </w:p>
          <w:p>
            <w:pPr>
              <w:pStyle w:val="151"/>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要求工期</w:t>
            </w:r>
            <w:r>
              <w:rPr>
                <w:rFonts w:hint="eastAsia" w:asciiTheme="minorEastAsia" w:hAnsiTheme="minorEastAsia" w:eastAsiaTheme="minorEastAsia" w:cstheme="minorEastAsia"/>
                <w:highlight w:val="none"/>
              </w:rPr>
              <w:t>：自签订合同之日起</w:t>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rPr>
              <w:t>个月内完成</w:t>
            </w:r>
          </w:p>
          <w:p>
            <w:pPr>
              <w:pStyle w:val="151"/>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质量标准：</w:t>
            </w:r>
            <w:r>
              <w:rPr>
                <w:rFonts w:hint="eastAsia" w:asciiTheme="minorEastAsia" w:hAnsiTheme="minorEastAsia" w:eastAsiaTheme="minorEastAsia" w:cstheme="minorEastAsia"/>
                <w:highlight w:val="none"/>
              </w:rPr>
              <w:t xml:space="preserve">达到国家施工验收规范合格标准 </w:t>
            </w:r>
          </w:p>
          <w:p>
            <w:pPr>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竞标范围：</w:t>
            </w:r>
            <w:r>
              <w:rPr>
                <w:rFonts w:hint="eastAsia" w:asciiTheme="minorEastAsia" w:hAnsiTheme="minorEastAsia" w:eastAsiaTheme="minorEastAsia" w:cstheme="minorEastAsia"/>
                <w:highlight w:val="none"/>
                <w:lang w:eastAsia="zh-CN"/>
              </w:rPr>
              <w:t>港北区蒙圩至大圩路面提升工程</w:t>
            </w:r>
            <w:r>
              <w:rPr>
                <w:rFonts w:hint="eastAsia" w:asciiTheme="minorEastAsia" w:hAnsiTheme="minorEastAsia" w:eastAsiaTheme="minorEastAsia" w:cstheme="minorEastAsia"/>
                <w:highlight w:val="none"/>
              </w:rPr>
              <w:t>，具体详见工程量清单及图纸。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3</w:t>
            </w:r>
          </w:p>
        </w:tc>
        <w:tc>
          <w:tcPr>
            <w:tcW w:w="85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2</w:t>
            </w:r>
          </w:p>
        </w:tc>
        <w:tc>
          <w:tcPr>
            <w:tcW w:w="8225" w:type="dxa"/>
            <w:vAlign w:val="center"/>
          </w:tcPr>
          <w:p>
            <w:pPr>
              <w:shd w:val="clear"/>
              <w:spacing w:line="360" w:lineRule="exact"/>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资金来源：</w:t>
            </w:r>
            <w:r>
              <w:rPr>
                <w:rFonts w:hint="eastAsia" w:asciiTheme="minorEastAsia" w:hAnsiTheme="minorEastAsia" w:eastAsiaTheme="minorEastAsia" w:cstheme="minorEastAsia"/>
                <w:spacing w:val="2"/>
                <w:highlight w:val="none"/>
                <w:lang w:val="en-US" w:eastAsia="zh-CN"/>
              </w:rPr>
              <w:t>财政资金</w:t>
            </w:r>
            <w:r>
              <w:rPr>
                <w:rFonts w:hint="eastAsia" w:asciiTheme="minorEastAsia" w:hAnsiTheme="minorEastAsia" w:eastAsiaTheme="minorEastAsia" w:cstheme="minorEastAsia"/>
                <w:spacing w:val="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4</w:t>
            </w:r>
          </w:p>
        </w:tc>
        <w:tc>
          <w:tcPr>
            <w:tcW w:w="850" w:type="dxa"/>
            <w:vAlign w:val="center"/>
          </w:tcPr>
          <w:p>
            <w:pPr>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w:t>
            </w:r>
          </w:p>
        </w:tc>
        <w:tc>
          <w:tcPr>
            <w:tcW w:w="8225" w:type="dxa"/>
            <w:vAlign w:val="center"/>
          </w:tcPr>
          <w:p>
            <w:pPr>
              <w:shd w:val="clear"/>
              <w:spacing w:line="36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供应商资格要求：</w:t>
            </w:r>
          </w:p>
          <w:p>
            <w:pPr>
              <w:shd w:val="clear"/>
              <w:spacing w:line="3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符合《中华人民共和国政府采购法》第二十二条规定的条件，且承诺履行</w:t>
            </w:r>
            <w:r>
              <w:rPr>
                <w:rFonts w:hint="eastAsia" w:asciiTheme="minorEastAsia" w:hAnsiTheme="minorEastAsia" w:eastAsiaTheme="minorEastAsia" w:cstheme="minorEastAsia"/>
                <w:highlight w:val="none"/>
                <w:lang w:val="en-US" w:eastAsia="zh-CN"/>
              </w:rPr>
              <w:t>磋商</w:t>
            </w:r>
            <w:r>
              <w:rPr>
                <w:rFonts w:hint="eastAsia" w:asciiTheme="minorEastAsia" w:hAnsiTheme="minorEastAsia" w:eastAsiaTheme="minorEastAsia" w:cstheme="minorEastAsia"/>
                <w:highlight w:val="none"/>
              </w:rPr>
              <w:t>文件的各项规定，有独立法人资格；</w:t>
            </w:r>
          </w:p>
          <w:p>
            <w:pPr>
              <w:shd w:val="clear"/>
              <w:spacing w:line="3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竞标人必须具有公路工程施工总承包叁级以上（含叁级）资质同时具有行政主管部门颁发的建筑施工企业安全生产许可证及独立法人资格的施工企业。拟派驻本工程的项目经理必须具备二级以上（含二级）的公路工程专业注册建造师资质，具备有效的安全生产考核合格证(B类)，且不得担任其它在施建设工程项目的项目经理，安全员具备有效的安全员证书及安全生产考核合格证书(C类)。</w:t>
            </w:r>
          </w:p>
          <w:p>
            <w:pPr>
              <w:shd w:val="clear"/>
              <w:spacing w:line="3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hd w:val="clear"/>
              <w:spacing w:line="3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 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5.联合体：本项目不接受联合体竞标。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5</w:t>
            </w:r>
          </w:p>
        </w:tc>
        <w:tc>
          <w:tcPr>
            <w:tcW w:w="85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13.1</w:t>
            </w:r>
          </w:p>
        </w:tc>
        <w:tc>
          <w:tcPr>
            <w:tcW w:w="8225" w:type="dxa"/>
            <w:vAlign w:val="center"/>
          </w:tcPr>
          <w:p>
            <w:pPr>
              <w:shd w:val="clear"/>
              <w:spacing w:line="360" w:lineRule="exact"/>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竞标有效期为：</w:t>
            </w:r>
            <w:r>
              <w:rPr>
                <w:rFonts w:hint="eastAsia" w:asciiTheme="minorEastAsia" w:hAnsiTheme="minorEastAsia" w:eastAsiaTheme="minorEastAsia" w:cstheme="minorEastAsia"/>
                <w:b/>
                <w:bCs/>
                <w:spacing w:val="2"/>
                <w:highlight w:val="none"/>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6</w:t>
            </w:r>
          </w:p>
        </w:tc>
        <w:tc>
          <w:tcPr>
            <w:tcW w:w="85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14.1</w:t>
            </w:r>
          </w:p>
        </w:tc>
        <w:tc>
          <w:tcPr>
            <w:tcW w:w="8225" w:type="dxa"/>
            <w:vAlign w:val="center"/>
          </w:tcPr>
          <w:p>
            <w:pPr>
              <w:shd w:val="clear"/>
              <w:spacing w:line="360" w:lineRule="exact"/>
              <w:rPr>
                <w:rFonts w:asciiTheme="minorEastAsia" w:hAnsiTheme="minorEastAsia" w:eastAsiaTheme="minorEastAsia" w:cstheme="minorEastAsia"/>
                <w:b/>
                <w:spacing w:val="2"/>
                <w:highlight w:val="none"/>
                <w:u w:val="single"/>
              </w:rPr>
            </w:pPr>
            <w:r>
              <w:rPr>
                <w:rFonts w:hint="eastAsia" w:asciiTheme="minorEastAsia" w:hAnsiTheme="minorEastAsia" w:eastAsiaTheme="minorEastAsia" w:cstheme="minorEastAsia"/>
                <w:highlight w:val="none"/>
              </w:rPr>
              <w:t>磋商保证金：本项目不需要提供磋商保证金。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7</w:t>
            </w:r>
          </w:p>
        </w:tc>
        <w:tc>
          <w:tcPr>
            <w:tcW w:w="85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16.1</w:t>
            </w:r>
          </w:p>
        </w:tc>
        <w:tc>
          <w:tcPr>
            <w:tcW w:w="8225" w:type="dxa"/>
            <w:vAlign w:val="center"/>
          </w:tcPr>
          <w:p>
            <w:pPr>
              <w:shd w:val="clear"/>
              <w:spacing w:line="360" w:lineRule="exact"/>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竞争性磋商响应文件：电子版一份。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8</w:t>
            </w:r>
          </w:p>
        </w:tc>
        <w:tc>
          <w:tcPr>
            <w:tcW w:w="85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18.1</w:t>
            </w:r>
          </w:p>
        </w:tc>
        <w:tc>
          <w:tcPr>
            <w:tcW w:w="8225" w:type="dxa"/>
            <w:vAlign w:val="center"/>
          </w:tcPr>
          <w:p>
            <w:pPr>
              <w:shd w:val="clear"/>
              <w:spacing w:line="360" w:lineRule="exact"/>
              <w:ind w:hanging="6"/>
              <w:rPr>
                <w:rFonts w:hint="eastAsia" w:asciiTheme="minorEastAsia" w:hAnsiTheme="minorEastAsia" w:eastAsiaTheme="minorEastAsia" w:cstheme="minorEastAsia"/>
                <w:b w:val="0"/>
                <w:bCs w:val="0"/>
                <w:spacing w:val="2"/>
                <w:highlight w:val="none"/>
              </w:rPr>
            </w:pPr>
            <w:r>
              <w:rPr>
                <w:rFonts w:hint="eastAsia" w:asciiTheme="minorEastAsia" w:hAnsiTheme="minorEastAsia" w:eastAsiaTheme="minorEastAsia" w:cstheme="minorEastAsia"/>
                <w:b/>
                <w:bCs/>
                <w:spacing w:val="2"/>
                <w:highlight w:val="none"/>
              </w:rPr>
              <w:t>磋商时间：</w:t>
            </w:r>
            <w:r>
              <w:rPr>
                <w:rFonts w:hint="eastAsia" w:asciiTheme="minorEastAsia" w:hAnsiTheme="minorEastAsia" w:eastAsiaTheme="minorEastAsia" w:cstheme="minorEastAsia"/>
                <w:b w:val="0"/>
                <w:bCs w:val="0"/>
                <w:spacing w:val="2"/>
                <w:highlight w:val="none"/>
              </w:rPr>
              <w:t>2021年</w:t>
            </w:r>
            <w:r>
              <w:rPr>
                <w:rFonts w:hint="eastAsia" w:asciiTheme="minorEastAsia" w:hAnsiTheme="minorEastAsia" w:eastAsiaTheme="minorEastAsia" w:cstheme="minorEastAsia"/>
                <w:b w:val="0"/>
                <w:bCs w:val="0"/>
                <w:spacing w:val="2"/>
                <w:highlight w:val="none"/>
                <w:lang w:val="en-US" w:eastAsia="zh-CN"/>
              </w:rPr>
              <w:t>10</w:t>
            </w:r>
            <w:r>
              <w:rPr>
                <w:rFonts w:hint="eastAsia" w:asciiTheme="minorEastAsia" w:hAnsiTheme="minorEastAsia" w:eastAsiaTheme="minorEastAsia" w:cstheme="minorEastAsia"/>
                <w:b w:val="0"/>
                <w:bCs w:val="0"/>
                <w:spacing w:val="2"/>
                <w:highlight w:val="none"/>
              </w:rPr>
              <w:t>月</w:t>
            </w:r>
            <w:r>
              <w:rPr>
                <w:rFonts w:hint="eastAsia" w:asciiTheme="minorEastAsia" w:hAnsiTheme="minorEastAsia" w:eastAsiaTheme="minorEastAsia" w:cstheme="minorEastAsia"/>
                <w:b w:val="0"/>
                <w:bCs w:val="0"/>
                <w:spacing w:val="2"/>
                <w:highlight w:val="none"/>
                <w:lang w:val="en-US" w:eastAsia="zh-CN"/>
              </w:rPr>
              <w:t>13</w:t>
            </w:r>
            <w:r>
              <w:rPr>
                <w:rFonts w:hint="eastAsia" w:asciiTheme="minorEastAsia" w:hAnsiTheme="minorEastAsia" w:eastAsiaTheme="minorEastAsia" w:cstheme="minorEastAsia"/>
                <w:b w:val="0"/>
                <w:bCs w:val="0"/>
                <w:spacing w:val="2"/>
                <w:highlight w:val="none"/>
              </w:rPr>
              <w:t>日8时30分截标后</w:t>
            </w:r>
          </w:p>
          <w:p>
            <w:pPr>
              <w:shd w:val="clear"/>
              <w:spacing w:line="360" w:lineRule="exact"/>
              <w:ind w:hanging="6"/>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磋商地点：</w:t>
            </w:r>
            <w:r>
              <w:rPr>
                <w:rFonts w:hint="eastAsia" w:asciiTheme="minorEastAsia" w:hAnsiTheme="minorEastAsia" w:eastAsiaTheme="minorEastAsia" w:cstheme="minorEastAsia"/>
                <w:b w:val="0"/>
                <w:bCs w:val="0"/>
                <w:spacing w:val="2"/>
                <w:highlight w:val="none"/>
              </w:rPr>
              <w:t>通过政采云平台实行在线投标响应。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9</w:t>
            </w:r>
          </w:p>
        </w:tc>
        <w:tc>
          <w:tcPr>
            <w:tcW w:w="850" w:type="dxa"/>
            <w:vAlign w:val="center"/>
          </w:tcPr>
          <w:p>
            <w:pPr>
              <w:shd w:val="clea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20.1</w:t>
            </w:r>
          </w:p>
        </w:tc>
        <w:tc>
          <w:tcPr>
            <w:tcW w:w="8225" w:type="dxa"/>
            <w:vAlign w:val="center"/>
          </w:tcPr>
          <w:p>
            <w:pPr>
              <w:shd w:val="clear"/>
              <w:spacing w:line="360" w:lineRule="exact"/>
              <w:ind w:hanging="6"/>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磋商前准备：</w:t>
            </w:r>
          </w:p>
          <w:p>
            <w:pPr>
              <w:shd w:val="clear"/>
              <w:spacing w:line="360" w:lineRule="exact"/>
              <w:ind w:hanging="6"/>
              <w:rPr>
                <w:rFonts w:hint="eastAsia" w:asciiTheme="minorEastAsia" w:hAnsiTheme="minorEastAsia" w:eastAsiaTheme="minorEastAsia" w:cstheme="minorEastAsia"/>
                <w:b w:val="0"/>
                <w:bCs w:val="0"/>
                <w:spacing w:val="2"/>
                <w:highlight w:val="none"/>
              </w:rPr>
            </w:pPr>
            <w:r>
              <w:rPr>
                <w:rFonts w:hint="eastAsia" w:asciiTheme="minorEastAsia" w:hAnsiTheme="minorEastAsia" w:eastAsiaTheme="minorEastAsia" w:cstheme="minorEastAsia"/>
                <w:b w:val="0"/>
                <w:bCs w:val="0"/>
                <w:spacing w:val="2"/>
                <w:highlight w:val="none"/>
              </w:rPr>
              <w:t>1、本项目实行网上磋商，采用电子磋商响应文件。若供应商参与磋商，自行承担磋商一切费用。</w:t>
            </w:r>
          </w:p>
          <w:p>
            <w:pPr>
              <w:shd w:val="clear"/>
              <w:spacing w:line="360" w:lineRule="exact"/>
              <w:ind w:hanging="6"/>
              <w:rPr>
                <w:rFonts w:hint="eastAsia" w:asciiTheme="minorEastAsia" w:hAnsiTheme="minorEastAsia" w:eastAsiaTheme="minorEastAsia" w:cstheme="minorEastAsia"/>
                <w:b w:val="0"/>
                <w:bCs w:val="0"/>
                <w:spacing w:val="2"/>
                <w:highlight w:val="none"/>
              </w:rPr>
            </w:pPr>
            <w:r>
              <w:rPr>
                <w:rFonts w:hint="eastAsia" w:asciiTheme="minorEastAsia" w:hAnsiTheme="minorEastAsia" w:eastAsiaTheme="minorEastAsia" w:cstheme="minorEastAsia"/>
                <w:b w:val="0"/>
                <w:bCs w:val="0"/>
                <w:spacing w:val="2"/>
                <w:highlight w:val="none"/>
              </w:rPr>
              <w:t>2、各供应商应在截标前应确保成为政采云平台正式注册入库供应商，并完成CA数字证书申领。因未注册入库、未办理CA数字证书等原因造成无法磋商或磋商失败等后果由供应商自行承担。</w:t>
            </w:r>
          </w:p>
          <w:p>
            <w:pPr>
              <w:shd w:val="clear"/>
              <w:spacing w:line="360" w:lineRule="exact"/>
              <w:ind w:hanging="6"/>
              <w:rPr>
                <w:rFonts w:hint="eastAsia" w:asciiTheme="minorEastAsia" w:hAnsiTheme="minorEastAsia" w:eastAsiaTheme="minorEastAsia" w:cstheme="minorEastAsia"/>
                <w:b w:val="0"/>
                <w:bCs w:val="0"/>
                <w:spacing w:val="2"/>
                <w:highlight w:val="none"/>
              </w:rPr>
            </w:pPr>
            <w:r>
              <w:rPr>
                <w:rFonts w:hint="eastAsia" w:asciiTheme="minorEastAsia" w:hAnsiTheme="minorEastAsia" w:eastAsiaTheme="minorEastAsia" w:cstheme="minorEastAsia"/>
                <w:b w:val="0"/>
                <w:bCs w:val="0"/>
                <w:spacing w:val="2"/>
                <w:highlight w:val="none"/>
              </w:rPr>
              <w:t>3、供应商将政采云电子交易客户端下载、安装完成后，可通过账号密码或CA登录客户端进行响应文件制作。客户端请至网站下载专区查看，如有问题可拨打政采云客户服务热线400-881-7190进行咨询。</w:t>
            </w:r>
          </w:p>
          <w:p>
            <w:pPr>
              <w:shd w:val="clear"/>
              <w:spacing w:line="360" w:lineRule="exact"/>
              <w:ind w:hanging="6"/>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磋商响应文件解密时间：</w:t>
            </w:r>
          </w:p>
          <w:p>
            <w:pPr>
              <w:pStyle w:val="25"/>
              <w:shd w:val="clear"/>
              <w:spacing w:line="3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val="0"/>
                <w:bCs w:val="0"/>
                <w:spacing w:val="2"/>
                <w:kern w:val="2"/>
                <w:sz w:val="21"/>
                <w:szCs w:val="21"/>
                <w:highlight w:val="none"/>
                <w:lang w:val="en-US" w:eastAsia="zh-CN" w:bidi="ar-SA"/>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0" w:type="dxa"/>
            <w:vAlign w:val="center"/>
          </w:tcPr>
          <w:p>
            <w:pPr>
              <w:shd w:val="clea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10</w:t>
            </w:r>
          </w:p>
        </w:tc>
        <w:tc>
          <w:tcPr>
            <w:tcW w:w="850" w:type="dxa"/>
            <w:vAlign w:val="center"/>
          </w:tcPr>
          <w:p>
            <w:pPr>
              <w:shd w:val="clear"/>
              <w:spacing w:line="36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28</w:t>
            </w:r>
          </w:p>
        </w:tc>
        <w:tc>
          <w:tcPr>
            <w:tcW w:w="8225" w:type="dxa"/>
            <w:vAlign w:val="center"/>
          </w:tcPr>
          <w:p>
            <w:pPr>
              <w:shd w:val="clear"/>
              <w:tabs>
                <w:tab w:val="left" w:pos="210"/>
              </w:tabs>
              <w:spacing w:line="380" w:lineRule="exact"/>
              <w:ind w:left="4870" w:hanging="4869" w:hangingChars="2319"/>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评标办法：综合评分法</w:t>
            </w:r>
          </w:p>
          <w:p>
            <w:pPr>
              <w:shd w:val="clear"/>
              <w:tabs>
                <w:tab w:val="left" w:pos="210"/>
              </w:tabs>
              <w:spacing w:line="380" w:lineRule="exact"/>
              <w:ind w:left="4889" w:hanging="4889" w:hangingChars="2319"/>
              <w:jc w:val="left"/>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b/>
                <w:bCs/>
                <w:highlight w:val="none"/>
              </w:rPr>
              <w:t>工程预算控制价为：</w:t>
            </w:r>
            <w:r>
              <w:rPr>
                <w:rFonts w:hint="eastAsia" w:asciiTheme="minorEastAsia" w:hAnsiTheme="minorEastAsia" w:eastAsiaTheme="minorEastAsia" w:cstheme="minorEastAsia"/>
                <w:b/>
                <w:bCs/>
                <w:highlight w:val="none"/>
                <w:lang w:val="en-US" w:eastAsia="zh-CN"/>
              </w:rPr>
              <w:t>人民币</w:t>
            </w:r>
            <w:r>
              <w:rPr>
                <w:rFonts w:hint="eastAsia" w:asciiTheme="minorEastAsia" w:hAnsiTheme="minorEastAsia" w:eastAsiaTheme="minorEastAsia" w:cstheme="minorEastAsia"/>
                <w:b/>
                <w:bCs/>
                <w:highlight w:val="none"/>
                <w:lang w:eastAsia="zh-CN"/>
              </w:rPr>
              <w:t>捌拾肆万肆仟肆佰壹拾贰元整（¥844412.00元）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10" w:type="dxa"/>
            <w:vAlign w:val="center"/>
          </w:tcPr>
          <w:p>
            <w:pPr>
              <w:shd w:val="clea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850" w:type="dxa"/>
            <w:vAlign w:val="center"/>
          </w:tcPr>
          <w:p>
            <w:pPr>
              <w:shd w:val="clear"/>
              <w:spacing w:line="36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30.1</w:t>
            </w:r>
          </w:p>
        </w:tc>
        <w:tc>
          <w:tcPr>
            <w:tcW w:w="8225" w:type="dxa"/>
            <w:vAlign w:val="center"/>
          </w:tcPr>
          <w:p>
            <w:pPr>
              <w:shd w:val="clear"/>
              <w:spacing w:line="36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评标结果公示：在评标结束后五个工作日内，在http://www.ccgp.gov.cn（中国政府采购网）、http://www.gxzfcg.gov.cn（广西壮族自治区政府采购网）、</w:t>
            </w:r>
            <w:r>
              <w:rPr>
                <w:rFonts w:hint="eastAsia" w:asciiTheme="minorEastAsia" w:hAnsiTheme="minorEastAsia" w:eastAsiaTheme="minorEastAsia" w:cstheme="minorEastAsia"/>
                <w:highlight w:val="none"/>
                <w:lang w:eastAsia="zh-CN"/>
              </w:rPr>
              <w:t>http://ggzy.jgswj.gxzf.gov.cn/ggggzy/全国公共资源交易平台（广西</w:t>
            </w:r>
            <w:r>
              <w:rPr>
                <w:rFonts w:hint="eastAsia" w:ascii="宋体" w:hAnsi="宋体" w:eastAsia="宋体" w:cs="宋体"/>
                <w:spacing w:val="2"/>
                <w:highlight w:val="none"/>
                <w:lang w:eastAsia="zh-CN"/>
              </w:rPr>
              <w:t>·</w:t>
            </w:r>
            <w:r>
              <w:rPr>
                <w:rFonts w:hint="eastAsia" w:asciiTheme="minorEastAsia" w:hAnsiTheme="minorEastAsia" w:eastAsiaTheme="minorEastAsia" w:cstheme="minorEastAsia"/>
                <w:highlight w:val="none"/>
                <w:lang w:eastAsia="zh-CN"/>
              </w:rPr>
              <w:t>贵港）</w:t>
            </w:r>
            <w:r>
              <w:rPr>
                <w:rFonts w:hint="eastAsia" w:asciiTheme="minorEastAsia" w:hAnsiTheme="minorEastAsia" w:eastAsiaTheme="minorEastAsia" w:cstheme="minorEastAsia"/>
                <w:highlight w:val="none"/>
              </w:rPr>
              <w:t>、http://zfcg.czj.gxgg.gov.cn/（贵港市政府采购网）公示评标结果。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0" w:type="dxa"/>
            <w:vAlign w:val="center"/>
          </w:tcPr>
          <w:p>
            <w:pPr>
              <w:shd w:val="clear"/>
              <w:spacing w:line="360" w:lineRule="exact"/>
              <w:jc w:val="center"/>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highlight w:val="none"/>
              </w:rPr>
              <w:t>12</w:t>
            </w:r>
          </w:p>
        </w:tc>
        <w:tc>
          <w:tcPr>
            <w:tcW w:w="850" w:type="dxa"/>
            <w:vAlign w:val="center"/>
          </w:tcPr>
          <w:p>
            <w:pPr>
              <w:shd w:val="clear"/>
              <w:autoSpaceDE w:val="0"/>
              <w:autoSpaceDN w:val="0"/>
              <w:spacing w:line="360" w:lineRule="exact"/>
              <w:ind w:right="69" w:rightChars="33"/>
              <w:jc w:val="center"/>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33</w:t>
            </w:r>
          </w:p>
        </w:tc>
        <w:tc>
          <w:tcPr>
            <w:tcW w:w="8225" w:type="dxa"/>
            <w:vAlign w:val="center"/>
          </w:tcPr>
          <w:p>
            <w:pPr>
              <w:shd w:val="clea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kern w:val="0"/>
                <w:highlight w:val="none"/>
              </w:rPr>
              <w:t>履约保证金：</w:t>
            </w:r>
            <w:r>
              <w:rPr>
                <w:rFonts w:hint="eastAsia" w:asciiTheme="minorEastAsia" w:hAnsiTheme="minorEastAsia" w:eastAsiaTheme="minorEastAsia" w:cstheme="minorEastAsia"/>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0" w:type="dxa"/>
            <w:vAlign w:val="center"/>
          </w:tcPr>
          <w:p>
            <w:pPr>
              <w:shd w:val="clear"/>
              <w:spacing w:line="360" w:lineRule="exact"/>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13</w:t>
            </w:r>
          </w:p>
        </w:tc>
        <w:tc>
          <w:tcPr>
            <w:tcW w:w="850" w:type="dxa"/>
            <w:vAlign w:val="center"/>
          </w:tcPr>
          <w:p>
            <w:pPr>
              <w:shd w:val="clear"/>
              <w:autoSpaceDE w:val="0"/>
              <w:autoSpaceDN w:val="0"/>
              <w:spacing w:line="360" w:lineRule="exact"/>
              <w:ind w:right="69" w:rightChars="33"/>
              <w:jc w:val="center"/>
              <w:rPr>
                <w:rFonts w:hint="default" w:asciiTheme="minorEastAsia" w:hAnsiTheme="minorEastAsia" w:eastAsiaTheme="minorEastAsia" w:cstheme="minorEastAsia"/>
                <w:kern w:val="0"/>
                <w:highlight w:val="none"/>
                <w:lang w:val="en-US" w:eastAsia="zh-CN"/>
              </w:rPr>
            </w:pPr>
            <w:r>
              <w:rPr>
                <w:rFonts w:hint="eastAsia" w:asciiTheme="minorEastAsia" w:hAnsiTheme="minorEastAsia" w:eastAsiaTheme="minorEastAsia" w:cstheme="minorEastAsia"/>
                <w:kern w:val="0"/>
                <w:highlight w:val="none"/>
                <w:lang w:val="en-US" w:eastAsia="zh-CN"/>
              </w:rPr>
              <w:t>34</w:t>
            </w:r>
          </w:p>
        </w:tc>
        <w:tc>
          <w:tcPr>
            <w:tcW w:w="8225" w:type="dxa"/>
            <w:vAlign w:val="center"/>
          </w:tcPr>
          <w:p>
            <w:pPr>
              <w:shd w:val="clear"/>
              <w:rPr>
                <w:rFonts w:hint="eastAsia" w:asciiTheme="minorEastAsia" w:hAnsiTheme="minorEastAsia" w:eastAsiaTheme="minorEastAsia" w:cstheme="minorEastAsia"/>
                <w:b/>
                <w:kern w:val="0"/>
                <w:highlight w:val="none"/>
              </w:rPr>
            </w:pPr>
            <w:r>
              <w:rPr>
                <w:rFonts w:hint="eastAsia" w:ascii="宋体" w:hAnsi="宋体"/>
                <w:b/>
                <w:bCs/>
                <w:color w:val="000000"/>
                <w:szCs w:val="21"/>
              </w:rPr>
              <w:t>合同签订时间：成交</w:t>
            </w:r>
            <w:r>
              <w:rPr>
                <w:rFonts w:hint="eastAsia" w:ascii="宋体" w:hAnsi="宋体"/>
                <w:b/>
                <w:bCs/>
                <w:color w:val="000000"/>
                <w:szCs w:val="21"/>
                <w:lang w:val="en-US" w:eastAsia="zh-CN"/>
              </w:rPr>
              <w:t>单位</w:t>
            </w:r>
            <w:r>
              <w:rPr>
                <w:rFonts w:hint="eastAsia" w:ascii="宋体" w:hAnsi="宋体"/>
                <w:b/>
                <w:bCs/>
                <w:color w:val="000000"/>
                <w:szCs w:val="21"/>
              </w:rPr>
              <w:t>自成交通知书发出之日起7个工作日内与采购人签订合同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0" w:type="dxa"/>
            <w:vAlign w:val="center"/>
          </w:tcPr>
          <w:p>
            <w:pPr>
              <w:shd w:val="clear"/>
              <w:spacing w:line="360" w:lineRule="exact"/>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14</w:t>
            </w:r>
          </w:p>
        </w:tc>
        <w:tc>
          <w:tcPr>
            <w:tcW w:w="850" w:type="dxa"/>
            <w:vAlign w:val="center"/>
          </w:tcPr>
          <w:p>
            <w:pPr>
              <w:shd w:val="clear"/>
              <w:autoSpaceDE w:val="0"/>
              <w:autoSpaceDN w:val="0"/>
              <w:spacing w:line="360" w:lineRule="exact"/>
              <w:ind w:right="69" w:rightChars="33"/>
              <w:jc w:val="center"/>
              <w:rPr>
                <w:rFonts w:hint="default"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35</w:t>
            </w:r>
          </w:p>
        </w:tc>
        <w:tc>
          <w:tcPr>
            <w:tcW w:w="8225" w:type="dxa"/>
            <w:vAlign w:val="center"/>
          </w:tcPr>
          <w:p>
            <w:pPr>
              <w:shd w:val="clear"/>
              <w:rPr>
                <w:rFonts w:hint="eastAsia" w:ascii="宋体" w:hAnsi="宋体"/>
                <w:b/>
                <w:bCs/>
                <w:color w:val="auto"/>
                <w:szCs w:val="21"/>
              </w:rPr>
            </w:pPr>
            <w:r>
              <w:rPr>
                <w:rFonts w:hint="eastAsia" w:ascii="宋体" w:hAnsi="宋体"/>
                <w:b/>
                <w:bCs/>
                <w:color w:val="auto"/>
                <w:szCs w:val="21"/>
              </w:rPr>
              <w:t>合同签订后，采购单位预付合同款项</w:t>
            </w:r>
            <w:r>
              <w:rPr>
                <w:rFonts w:hint="eastAsia" w:ascii="宋体" w:hAnsi="宋体"/>
                <w:b/>
                <w:bCs/>
                <w:color w:val="auto"/>
                <w:szCs w:val="21"/>
                <w:lang w:val="en-US" w:eastAsia="zh-CN"/>
              </w:rPr>
              <w:t>3</w:t>
            </w:r>
            <w:r>
              <w:rPr>
                <w:rFonts w:hint="eastAsia" w:ascii="宋体" w:hAnsi="宋体"/>
                <w:b/>
                <w:bCs/>
                <w:color w:val="auto"/>
                <w:szCs w:val="21"/>
              </w:rPr>
              <w:t>0%</w:t>
            </w:r>
            <w:r>
              <w:rPr>
                <w:rFonts w:hint="eastAsia" w:ascii="宋体" w:hAnsi="宋体"/>
                <w:b/>
                <w:bCs/>
                <w:color w:val="auto"/>
                <w:szCs w:val="21"/>
                <w:lang w:eastAsia="zh-CN"/>
              </w:rPr>
              <w:t>，工程款原则上按月支付，在安全、质量、进度、资料进行完善后方可申请进度款（当月无进度的，不可申请），合同内进度款支付限额为已完成工程量的80%，工程变更部分进度款支付限额为已完成工程量的70%；工程完工验收达到质量要求，结算经贵港市审计部门审定后，工程款支付至结算总价的97%；发包人按工程价款结算总额的3%预留工程质量保修金（采用扣留质量保修金时适用），待工程质量保修期满后无息返还。（</w:t>
            </w:r>
            <w:r>
              <w:rPr>
                <w:rFonts w:hint="eastAsia" w:ascii="宋体" w:hAnsi="宋体"/>
                <w:b/>
                <w:bCs/>
                <w:color w:val="auto"/>
                <w:szCs w:val="21"/>
                <w:lang w:val="en-US" w:eastAsia="zh-CN"/>
              </w:rPr>
              <w:t>注意：</w:t>
            </w:r>
            <w:r>
              <w:rPr>
                <w:rFonts w:hint="eastAsia" w:ascii="宋体" w:hAnsi="宋体"/>
                <w:b/>
                <w:bCs/>
                <w:color w:val="auto"/>
                <w:szCs w:val="21"/>
                <w:lang w:eastAsia="zh-CN"/>
              </w:rPr>
              <w:t>假如采购人在签订合同时，供应商明确表示无需预付款或者主动要求降低预付款比例的，采购人可不适用前述规定）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0" w:type="dxa"/>
            <w:vAlign w:val="center"/>
          </w:tcPr>
          <w:p>
            <w:pPr>
              <w:shd w:val="clear"/>
              <w:spacing w:line="360" w:lineRule="exact"/>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15</w:t>
            </w:r>
          </w:p>
        </w:tc>
        <w:tc>
          <w:tcPr>
            <w:tcW w:w="9075" w:type="dxa"/>
            <w:gridSpan w:val="2"/>
            <w:vAlign w:val="center"/>
          </w:tcPr>
          <w:p>
            <w:pPr>
              <w:shd w:val="clear"/>
              <w:rPr>
                <w:rFonts w:hint="default" w:asciiTheme="minorEastAsia" w:hAnsiTheme="minorEastAsia" w:eastAsiaTheme="minorEastAsia" w:cstheme="minorEastAsia"/>
                <w:b/>
                <w:color w:val="auto"/>
                <w:kern w:val="0"/>
                <w:highlight w:val="none"/>
                <w:lang w:val="en-US" w:eastAsia="zh-CN"/>
              </w:rPr>
            </w:pPr>
            <w:r>
              <w:rPr>
                <w:rFonts w:hint="eastAsia" w:asciiTheme="minorEastAsia" w:hAnsiTheme="minorEastAsia" w:eastAsiaTheme="minorEastAsia" w:cstheme="minorEastAsia"/>
                <w:b/>
                <w:color w:val="auto"/>
                <w:kern w:val="0"/>
                <w:highlight w:val="none"/>
                <w:lang w:val="en-US" w:eastAsia="zh-CN"/>
              </w:rPr>
              <w:t>备注：如项目建设过程中因不可抗因素引起的施工工期延迟，或材料市场价格大幅波动故采用可调价方式，调价只对超出合同期外的工程量水泥、砂、碎石、片石、钢筋，五种建筑材料进行调价，根据【贵交路（2010）47号】文件规定，即：（签订施工合同所套用的信息与超出施工合同期外的信息价之差）超出5%时超出部分由发包人承担80%，承包方承担20%。</w:t>
            </w:r>
          </w:p>
        </w:tc>
      </w:tr>
    </w:tbl>
    <w:p>
      <w:pPr>
        <w:shd w:val="clear"/>
        <w:jc w:val="center"/>
        <w:rPr>
          <w:rFonts w:asciiTheme="minorEastAsia" w:hAnsiTheme="minorEastAsia" w:eastAsiaTheme="minorEastAsia" w:cstheme="minorEastAsia"/>
          <w:b/>
          <w:bCs/>
          <w:sz w:val="36"/>
          <w:szCs w:val="36"/>
          <w:highlight w:val="none"/>
        </w:rPr>
      </w:pPr>
    </w:p>
    <w:p>
      <w:pPr>
        <w:shd w:val="clear"/>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br w:type="page"/>
      </w:r>
      <w:r>
        <w:rPr>
          <w:rFonts w:hint="eastAsia" w:asciiTheme="minorEastAsia" w:hAnsiTheme="minorEastAsia" w:eastAsiaTheme="minorEastAsia" w:cstheme="minorEastAsia"/>
          <w:b/>
          <w:bCs/>
          <w:sz w:val="36"/>
          <w:szCs w:val="36"/>
          <w:highlight w:val="none"/>
        </w:rPr>
        <w:t>磋商须知</w:t>
      </w:r>
    </w:p>
    <w:p>
      <w:pPr>
        <w:shd w:val="clear"/>
        <w:spacing w:line="360" w:lineRule="exact"/>
        <w:ind w:firstLine="211" w:firstLineChars="98"/>
        <w:jc w:val="center"/>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一、总     则</w:t>
      </w:r>
    </w:p>
    <w:p>
      <w:pPr>
        <w:shd w:val="clear"/>
        <w:spacing w:line="360" w:lineRule="auto"/>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L．工程说明</w:t>
      </w:r>
    </w:p>
    <w:p>
      <w:pPr>
        <w:shd w:val="clear"/>
        <w:spacing w:line="360" w:lineRule="auto"/>
        <w:ind w:firstLine="428" w:firstLineChars="200"/>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1.1工程的说明见磋商须知前附表及磋商须知前附表（以下称“前附表”）</w:t>
      </w:r>
      <w:r>
        <w:rPr>
          <w:rFonts w:hint="eastAsia" w:asciiTheme="minorEastAsia" w:hAnsiTheme="minorEastAsia" w:eastAsiaTheme="minorEastAsia" w:cstheme="minorEastAsia"/>
          <w:highlight w:val="none"/>
        </w:rPr>
        <w:t>第1项、第2项及下述</w:t>
      </w:r>
      <w:r>
        <w:rPr>
          <w:rFonts w:hint="eastAsia" w:asciiTheme="minorEastAsia" w:hAnsiTheme="minorEastAsia" w:eastAsiaTheme="minorEastAsia" w:cstheme="minorEastAsia"/>
          <w:spacing w:val="2"/>
          <w:highlight w:val="none"/>
        </w:rPr>
        <w:t>1.2款所述。项目名称、</w:t>
      </w:r>
      <w:r>
        <w:rPr>
          <w:rFonts w:hint="eastAsia" w:asciiTheme="minorEastAsia" w:hAnsiTheme="minorEastAsia" w:eastAsiaTheme="minorEastAsia" w:cstheme="minorEastAsia"/>
          <w:highlight w:val="none"/>
        </w:rPr>
        <w:t>项目编号和合同名称见本须知前附表第1项。</w:t>
      </w:r>
    </w:p>
    <w:p>
      <w:pPr>
        <w:shd w:val="clear"/>
        <w:spacing w:line="360" w:lineRule="auto"/>
        <w:ind w:firstLine="420"/>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1.2上述工程按照《中华人民共和国政府采购法实施条例》、</w:t>
      </w:r>
      <w:r>
        <w:rPr>
          <w:rFonts w:hint="eastAsia" w:asciiTheme="minorEastAsia" w:hAnsiTheme="minorEastAsia" w:eastAsiaTheme="minorEastAsia" w:cstheme="minorEastAsia"/>
          <w:highlight w:val="none"/>
        </w:rPr>
        <w:t>《政府采购竞争性磋商采购方式管理暂行办法》</w:t>
      </w:r>
      <w:r>
        <w:rPr>
          <w:rFonts w:hint="eastAsia" w:asciiTheme="minorEastAsia" w:hAnsiTheme="minorEastAsia" w:eastAsiaTheme="minorEastAsia" w:cstheme="minorEastAsia"/>
          <w:spacing w:val="2"/>
          <w:highlight w:val="none"/>
        </w:rPr>
        <w:t>规定，现通过竞争性磋商采购方式来择优选定施工单位。</w:t>
      </w:r>
    </w:p>
    <w:p>
      <w:pPr>
        <w:shd w:val="clear"/>
        <w:spacing w:line="360" w:lineRule="auto"/>
        <w:ind w:firstLine="420"/>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1.3施工环境: ①本工程属</w:t>
      </w:r>
      <w:r>
        <w:rPr>
          <w:rFonts w:hint="eastAsia" w:asciiTheme="minorEastAsia" w:hAnsiTheme="minorEastAsia" w:eastAsiaTheme="minorEastAsia" w:cstheme="minorEastAsia"/>
          <w:highlight w:val="none"/>
          <w:lang w:eastAsia="zh-CN"/>
        </w:rPr>
        <w:t>港北区蒙圩至大圩路面提升工程</w:t>
      </w:r>
      <w:r>
        <w:rPr>
          <w:rFonts w:hint="eastAsia" w:asciiTheme="minorEastAsia" w:hAnsiTheme="minorEastAsia" w:eastAsiaTheme="minorEastAsia" w:cstheme="minorEastAsia"/>
          <w:spacing w:val="2"/>
          <w:highlight w:val="none"/>
        </w:rPr>
        <w:t>，施工场地水电管线等由承包人自行负责；②承包人施工场地内的道路交通及公用施工道路由承包人自行负责，发包方协助办理。</w:t>
      </w:r>
    </w:p>
    <w:p>
      <w:pPr>
        <w:shd w:val="clear"/>
        <w:spacing w:line="360" w:lineRule="auto"/>
        <w:ind w:firstLine="420"/>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1.4工程内容及规模：</w:t>
      </w:r>
      <w:r>
        <w:rPr>
          <w:rFonts w:hint="eastAsia" w:asciiTheme="minorEastAsia" w:hAnsiTheme="minorEastAsia" w:eastAsiaTheme="minorEastAsia" w:cstheme="minorEastAsia"/>
          <w:highlight w:val="none"/>
          <w:lang w:eastAsia="zh-CN"/>
        </w:rPr>
        <w:t>港北区蒙圩至大圩路面提升工程</w:t>
      </w:r>
      <w:r>
        <w:rPr>
          <w:rFonts w:hint="eastAsia" w:asciiTheme="minorEastAsia" w:hAnsiTheme="minorEastAsia" w:eastAsiaTheme="minorEastAsia" w:cstheme="minorEastAsia"/>
          <w:spacing w:val="2"/>
          <w:highlight w:val="none"/>
        </w:rPr>
        <w:t>，如需进一步了解详细内容，详见竞争性磋商文件</w:t>
      </w:r>
      <w:r>
        <w:rPr>
          <w:rFonts w:hint="eastAsia" w:asciiTheme="minorEastAsia" w:hAnsiTheme="minorEastAsia" w:eastAsiaTheme="minorEastAsia" w:cstheme="minorEastAsia"/>
          <w:highlight w:val="none"/>
        </w:rPr>
        <w:t>。</w:t>
      </w:r>
    </w:p>
    <w:p>
      <w:pPr>
        <w:pStyle w:val="151"/>
        <w:shd w:val="clear"/>
        <w:spacing w:line="360" w:lineRule="exact"/>
        <w:ind w:firstLine="430" w:firstLineChars="200"/>
        <w:rPr>
          <w:rFonts w:asciiTheme="minorEastAsia" w:hAnsiTheme="minorEastAsia" w:eastAsiaTheme="minorEastAsia" w:cstheme="minorEastAsia"/>
          <w:b/>
          <w:bCs/>
          <w:spacing w:val="2"/>
          <w:szCs w:val="21"/>
          <w:highlight w:val="none"/>
        </w:rPr>
      </w:pPr>
      <w:r>
        <w:rPr>
          <w:rFonts w:hint="eastAsia" w:asciiTheme="minorEastAsia" w:hAnsiTheme="minorEastAsia" w:eastAsiaTheme="minorEastAsia" w:cstheme="minorEastAsia"/>
          <w:b/>
          <w:bCs/>
          <w:spacing w:val="2"/>
          <w:szCs w:val="21"/>
          <w:highlight w:val="none"/>
        </w:rPr>
        <w:t>2．资金来源及落实情况</w:t>
      </w:r>
    </w:p>
    <w:p>
      <w:pPr>
        <w:shd w:val="clear"/>
        <w:spacing w:line="360" w:lineRule="auto"/>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2.1本工程的资金来源为：</w:t>
      </w:r>
      <w:r>
        <w:rPr>
          <w:rFonts w:hint="eastAsia" w:asciiTheme="minorEastAsia" w:hAnsiTheme="minorEastAsia" w:eastAsiaTheme="minorEastAsia" w:cstheme="minorEastAsia"/>
          <w:spacing w:val="2"/>
          <w:highlight w:val="none"/>
          <w:u w:val="single"/>
          <w:lang w:val="en-US" w:eastAsia="zh-CN"/>
        </w:rPr>
        <w:t>财政资金</w:t>
      </w:r>
      <w:r>
        <w:rPr>
          <w:rFonts w:hint="eastAsia" w:asciiTheme="minorEastAsia" w:hAnsiTheme="minorEastAsia" w:eastAsiaTheme="minorEastAsia" w:cstheme="minorEastAsia"/>
          <w:spacing w:val="2"/>
          <w:highlight w:val="none"/>
        </w:rPr>
        <w:t>。</w:t>
      </w:r>
    </w:p>
    <w:p>
      <w:pPr>
        <w:shd w:val="clear"/>
        <w:spacing w:line="360" w:lineRule="auto"/>
        <w:ind w:firstLine="409"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highlight w:val="none"/>
        </w:rPr>
        <w:t>2.2资金到位及落实情况：</w:t>
      </w:r>
      <w:r>
        <w:rPr>
          <w:rFonts w:hint="eastAsia" w:asciiTheme="minorEastAsia" w:hAnsiTheme="minorEastAsia" w:eastAsiaTheme="minorEastAsia" w:cstheme="minorEastAsia"/>
          <w:highlight w:val="none"/>
          <w:u w:val="single"/>
        </w:rPr>
        <w:t>已落实</w:t>
      </w:r>
      <w:r>
        <w:rPr>
          <w:rFonts w:hint="eastAsia" w:asciiTheme="minorEastAsia" w:hAnsiTheme="minorEastAsia" w:eastAsiaTheme="minorEastAsia" w:cstheme="minorEastAsia"/>
          <w:highlight w:val="none"/>
        </w:rPr>
        <w:t>。</w:t>
      </w:r>
    </w:p>
    <w:p>
      <w:pPr>
        <w:shd w:val="clear"/>
        <w:spacing w:line="360" w:lineRule="auto"/>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3．磋商人资质与合格条件的要求（本项目不接受联合体竞标）</w:t>
      </w:r>
    </w:p>
    <w:p>
      <w:pPr>
        <w:shd w:val="clear"/>
        <w:spacing w:line="360" w:lineRule="auto"/>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spacing w:val="2"/>
          <w:highlight w:val="none"/>
        </w:rPr>
        <w:t>.</w:t>
      </w:r>
      <w:r>
        <w:rPr>
          <w:rFonts w:hint="eastAsia" w:asciiTheme="minorEastAsia" w:hAnsiTheme="minorEastAsia" w:eastAsiaTheme="minorEastAsia" w:cstheme="minorEastAsia"/>
          <w:highlight w:val="none"/>
        </w:rPr>
        <w:t>1 有资格获得本合同的磋商人，应满足本须知前附表第4项所列的资格条件。</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3.2接受联合体竞标，除应符合本须知前附表第4项的要求外，还应遵守以下规定：</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（1）联合体各方应按招标文件提供的格式签订联合体协议书，明确联合体牵头人和各方权利义务；</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（2）由同一专业的单位组成的联合体，按照资质等级较低的单位确定资质等级；</w:t>
      </w:r>
    </w:p>
    <w:p>
      <w:pPr>
        <w:shd w:val="clear"/>
        <w:spacing w:line="360" w:lineRule="auto"/>
        <w:ind w:firstLine="409"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highlight w:val="none"/>
        </w:rPr>
        <w:t>（3）联合体各方不得再以自己名义单独或参加其他联合体在同一标段中投标。</w:t>
      </w:r>
    </w:p>
    <w:p>
      <w:pPr>
        <w:shd w:val="clear"/>
        <w:spacing w:line="360" w:lineRule="auto"/>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4．竞标范围</w:t>
      </w:r>
    </w:p>
    <w:p>
      <w:pPr>
        <w:shd w:val="clear"/>
        <w:spacing w:line="360" w:lineRule="auto"/>
        <w:ind w:firstLine="420"/>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highlight w:val="none"/>
        </w:rPr>
        <w:t>4.1</w:t>
      </w:r>
      <w:r>
        <w:rPr>
          <w:rFonts w:hint="eastAsia" w:asciiTheme="minorEastAsia" w:hAnsiTheme="minorEastAsia" w:eastAsiaTheme="minorEastAsia" w:cstheme="minorEastAsia"/>
          <w:highlight w:val="none"/>
          <w:lang w:eastAsia="zh-CN"/>
        </w:rPr>
        <w:t>港北区蒙圩至大圩路面提升工程</w:t>
      </w:r>
      <w:r>
        <w:rPr>
          <w:rFonts w:hint="eastAsia" w:asciiTheme="minorEastAsia" w:hAnsiTheme="minorEastAsia" w:eastAsiaTheme="minorEastAsia" w:cstheme="minorEastAsia"/>
          <w:highlight w:val="none"/>
        </w:rPr>
        <w:t>，如需进一步了解详细内容，详见竞争性磋商文件。</w:t>
      </w:r>
    </w:p>
    <w:p>
      <w:pPr>
        <w:pStyle w:val="151"/>
        <w:shd w:val="clear"/>
        <w:spacing w:line="360" w:lineRule="exact"/>
        <w:rPr>
          <w:rFonts w:asciiTheme="minorEastAsia" w:hAnsiTheme="minorEastAsia" w:eastAsiaTheme="minorEastAsia" w:cstheme="minorEastAsia"/>
          <w:b/>
          <w:bCs/>
          <w:spacing w:val="2"/>
          <w:szCs w:val="21"/>
          <w:highlight w:val="none"/>
        </w:rPr>
      </w:pPr>
      <w:r>
        <w:rPr>
          <w:rFonts w:hint="eastAsia" w:asciiTheme="minorEastAsia" w:hAnsiTheme="minorEastAsia" w:eastAsiaTheme="minorEastAsia" w:cstheme="minorEastAsia"/>
          <w:b/>
          <w:bCs/>
          <w:spacing w:val="2"/>
          <w:szCs w:val="21"/>
          <w:highlight w:val="none"/>
        </w:rPr>
        <w:t>5．竞标费用</w:t>
      </w:r>
    </w:p>
    <w:p>
      <w:pPr>
        <w:pStyle w:val="21"/>
        <w:shd w:val="clear"/>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rPr>
        <w:t>5.1磋商人应承担其编制响应文件与递交响应文件所涉及的一切费用。不管竞标结果如何，采购人对上述费用不负任何责任。</w:t>
      </w:r>
    </w:p>
    <w:p>
      <w:pPr>
        <w:pStyle w:val="21"/>
        <w:shd w:val="clear"/>
        <w:spacing w:line="400" w:lineRule="exact"/>
        <w:ind w:left="0" w:leftChars="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6．现场考察</w:t>
      </w:r>
    </w:p>
    <w:p>
      <w:pPr>
        <w:pStyle w:val="25"/>
        <w:shd w:val="clear"/>
        <w:spacing w:line="400" w:lineRule="exact"/>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6.1磋商人可自行对工程施工现场和周围环境进行勘察，以获取编制响应文件和签署合同所需的资料。磋商人应承担现场考察的责任和风险。考察现场的费用由磋商人自己承担。</w:t>
      </w:r>
    </w:p>
    <w:p>
      <w:pPr>
        <w:shd w:val="clear"/>
        <w:spacing w:line="420" w:lineRule="exact"/>
        <w:jc w:val="center"/>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二、竞争性磋商采购文件（简称</w:t>
      </w:r>
      <w:r>
        <w:rPr>
          <w:rFonts w:hint="eastAsia" w:asciiTheme="minorEastAsia" w:hAnsiTheme="minorEastAsia" w:eastAsiaTheme="minorEastAsia" w:cstheme="minorEastAsia"/>
          <w:b/>
          <w:bCs/>
          <w:spacing w:val="2"/>
          <w:highlight w:val="none"/>
          <w:lang w:val="en-US" w:eastAsia="zh-CN"/>
        </w:rPr>
        <w:t>磋商</w:t>
      </w:r>
      <w:r>
        <w:rPr>
          <w:rFonts w:hint="eastAsia" w:asciiTheme="minorEastAsia" w:hAnsiTheme="minorEastAsia" w:eastAsiaTheme="minorEastAsia" w:cstheme="minorEastAsia"/>
          <w:b/>
          <w:bCs/>
          <w:spacing w:val="2"/>
          <w:highlight w:val="none"/>
        </w:rPr>
        <w:t>文件）</w:t>
      </w:r>
    </w:p>
    <w:p>
      <w:pPr>
        <w:shd w:val="clear"/>
        <w:spacing w:line="42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7．竞争性磋商采购文件的组成</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7.1 本合同的竞争性磋商采购文件包括下列文件及所有按本须知第9条发出的补充通知和第15条所述的补遗文件。</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竞争性磋商文件包括下列内容：</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竞争性磋商公告</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第一章 磋商须知前附表及磋商须知前附表和磋商须知前附表及磋商须知</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 xml:space="preserve">第二章 </w:t>
      </w:r>
      <w:r>
        <w:rPr>
          <w:rFonts w:hint="eastAsia" w:asciiTheme="minorEastAsia" w:hAnsiTheme="minorEastAsia" w:eastAsiaTheme="minorEastAsia" w:cstheme="minorEastAsia"/>
          <w:highlight w:val="none"/>
        </w:rPr>
        <w:t>合同条款</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 xml:space="preserve">第三章 </w:t>
      </w:r>
      <w:r>
        <w:rPr>
          <w:rFonts w:hint="eastAsia" w:asciiTheme="minorEastAsia" w:hAnsiTheme="minorEastAsia" w:eastAsiaTheme="minorEastAsia" w:cstheme="minorEastAsia"/>
          <w:highlight w:val="none"/>
        </w:rPr>
        <w:t>技术标准、规范</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第四章 响应文件格式</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第五章 工程量清单</w:t>
      </w:r>
    </w:p>
    <w:p>
      <w:pPr>
        <w:shd w:val="clear"/>
        <w:spacing w:line="420" w:lineRule="exact"/>
        <w:ind w:firstLine="419" w:firstLineChars="196"/>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 xml:space="preserve">第六章 评标办法 </w:t>
      </w:r>
    </w:p>
    <w:p>
      <w:pPr>
        <w:shd w:val="clear"/>
        <w:spacing w:line="420" w:lineRule="exact"/>
        <w:ind w:firstLine="363" w:firstLineChars="170"/>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 xml:space="preserve"> 7.2磋商人应认真审阅竞争性磋商采购文件中所有的磋商须知前附表及磋商须知、合同条件、规定格式、技术规范或技术要求。如果磋商人编制的响应文件不能符合竞争性磋商采购文件的要求，责任由磋商人自负。实质上不响应竞争性磋商采购文件要求的响应文件将被采购人拒绝。</w:t>
      </w:r>
    </w:p>
    <w:p>
      <w:pPr>
        <w:shd w:val="clear"/>
        <w:spacing w:line="42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8．竞争性磋商采购文件的解释</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磋商人在收到竞争性磋商采购文件后，若有问题需要澄清，应于收到竞争性磋商采购文件后2日内，以书面形式（包括书面文字、传真、电报等，下同）向采购代理机构提出，采购代理机构将以书面形式予以解答，答复将送给所有获得竞争性磋商采购文件的磋商人。</w:t>
      </w:r>
    </w:p>
    <w:p>
      <w:pPr>
        <w:shd w:val="clear"/>
        <w:spacing w:line="42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9．竞争性磋商采购文件的修改</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9.1任何要求澄清采购文件的磋商供应商，均应在磋商截止时间的5天前以书面形式通知采购代理机构，同时认定其他澄清方式为无效。采购代理机构将以书面形式予以答复。</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9.2采购代理机构对已发出的采购文件进行必要澄清或者修改的，在采购文件要求提交磋商响应文件截止时间5天前在【http://www.ccgp.gov.cn（中国政府采购网）、http://www.gxzfcg.gov.cn（广西壮族自治区政府采购网）、</w:t>
      </w:r>
      <w:r>
        <w:rPr>
          <w:rFonts w:hint="eastAsia" w:asciiTheme="minorEastAsia" w:hAnsiTheme="minorEastAsia" w:eastAsiaTheme="minorEastAsia" w:cstheme="minorEastAsia"/>
          <w:spacing w:val="2"/>
          <w:highlight w:val="none"/>
          <w:lang w:eastAsia="zh-CN"/>
        </w:rPr>
        <w:t>http://ggzy.jgswj.gxzf.gov.cn/ggggzy/全国公共资源交易平台（广西</w:t>
      </w:r>
      <w:r>
        <w:rPr>
          <w:rFonts w:hint="eastAsia" w:ascii="宋体" w:hAnsi="宋体" w:eastAsia="宋体" w:cs="宋体"/>
          <w:spacing w:val="2"/>
          <w:highlight w:val="none"/>
          <w:lang w:eastAsia="zh-CN"/>
        </w:rPr>
        <w:t>·</w:t>
      </w:r>
      <w:r>
        <w:rPr>
          <w:rFonts w:hint="eastAsia" w:asciiTheme="minorEastAsia" w:hAnsiTheme="minorEastAsia" w:eastAsiaTheme="minorEastAsia" w:cstheme="minorEastAsia"/>
          <w:spacing w:val="2"/>
          <w:highlight w:val="none"/>
          <w:lang w:eastAsia="zh-CN"/>
        </w:rPr>
        <w:t>贵港）</w:t>
      </w:r>
      <w:r>
        <w:rPr>
          <w:rFonts w:hint="eastAsia" w:asciiTheme="minorEastAsia" w:hAnsiTheme="minorEastAsia" w:eastAsiaTheme="minorEastAsia" w:cstheme="minorEastAsia"/>
          <w:spacing w:val="2"/>
          <w:highlight w:val="none"/>
        </w:rPr>
        <w:t>、http://zfcg.czj.gxgg.gov.cn/（贵港市政府采购网）】上发布更正公告，并以书面形式通知所有购买采购文件的磋商供应商。该澄清或修改的内容为磋商响应文件的组成部分。</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9.3采购文件的澄清或修改将以书面形式通知所有购买采购文件的磋商供应商，并对其具有约束力。</w:t>
      </w:r>
    </w:p>
    <w:p>
      <w:pPr>
        <w:shd w:val="clear"/>
        <w:spacing w:line="42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9.4采购代理机构可视具体情况，延长磋商截止时间和开标时间，并将此变更时间书面通知所有购买采购文件的磋商供应商，并在【http://www.ccgp.gov.cn（中国政府采购网）、http://www.gxzfcg.gov.cn（广西壮族自治区政府采购网）、</w:t>
      </w:r>
      <w:r>
        <w:rPr>
          <w:rFonts w:hint="eastAsia" w:asciiTheme="minorEastAsia" w:hAnsiTheme="minorEastAsia" w:eastAsiaTheme="minorEastAsia" w:cstheme="minorEastAsia"/>
          <w:spacing w:val="2"/>
          <w:highlight w:val="none"/>
          <w:lang w:eastAsia="zh-CN"/>
        </w:rPr>
        <w:t>http://ggzy.jgswj.gxzf.gov.cn/ggggzy/全国公共资源交易平台（广西</w:t>
      </w:r>
      <w:r>
        <w:rPr>
          <w:rFonts w:hint="eastAsia" w:ascii="宋体" w:hAnsi="宋体" w:eastAsia="宋体" w:cs="宋体"/>
          <w:spacing w:val="2"/>
          <w:highlight w:val="none"/>
          <w:lang w:eastAsia="zh-CN"/>
        </w:rPr>
        <w:t>·</w:t>
      </w:r>
      <w:r>
        <w:rPr>
          <w:rFonts w:hint="eastAsia" w:asciiTheme="minorEastAsia" w:hAnsiTheme="minorEastAsia" w:eastAsiaTheme="minorEastAsia" w:cstheme="minorEastAsia"/>
          <w:spacing w:val="2"/>
          <w:highlight w:val="none"/>
          <w:lang w:eastAsia="zh-CN"/>
        </w:rPr>
        <w:t>贵港）</w:t>
      </w:r>
      <w:r>
        <w:rPr>
          <w:rFonts w:hint="eastAsia" w:asciiTheme="minorEastAsia" w:hAnsiTheme="minorEastAsia" w:eastAsiaTheme="minorEastAsia" w:cstheme="minorEastAsia"/>
          <w:spacing w:val="2"/>
          <w:highlight w:val="none"/>
        </w:rPr>
        <w:t>、http://zfcg.czj.gxgg.gov.cn/（贵港市政府采购网）】上发布变更公告。</w:t>
      </w:r>
    </w:p>
    <w:p>
      <w:pPr>
        <w:shd w:val="clear"/>
        <w:spacing w:line="420" w:lineRule="exact"/>
        <w:ind w:firstLine="419" w:firstLineChars="195"/>
        <w:jc w:val="center"/>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三、磋商报价说明</w:t>
      </w:r>
    </w:p>
    <w:p>
      <w:pPr>
        <w:shd w:val="clear"/>
        <w:spacing w:line="42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10．磋商价格</w:t>
      </w:r>
    </w:p>
    <w:p>
      <w:pPr>
        <w:pStyle w:val="35"/>
        <w:shd w:val="clear"/>
        <w:ind w:firstLine="43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pacing w:val="2"/>
          <w:sz w:val="21"/>
          <w:szCs w:val="21"/>
          <w:highlight w:val="none"/>
        </w:rPr>
        <w:t xml:space="preserve">10.1 </w:t>
      </w:r>
      <w:r>
        <w:rPr>
          <w:rFonts w:hint="eastAsia" w:asciiTheme="minorEastAsia" w:hAnsiTheme="minorEastAsia" w:eastAsiaTheme="minorEastAsia" w:cstheme="minorEastAsia"/>
          <w:b/>
          <w:bCs/>
          <w:sz w:val="21"/>
          <w:szCs w:val="21"/>
          <w:highlight w:val="none"/>
        </w:rPr>
        <w:t>报价计价说明</w:t>
      </w:r>
    </w:p>
    <w:p>
      <w:pPr>
        <w:widowControl/>
        <w:shd w:val="clear"/>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10.1.1</w:t>
      </w:r>
      <w:r>
        <w:rPr>
          <w:rFonts w:hint="eastAsia" w:asciiTheme="minorEastAsia" w:hAnsiTheme="minorEastAsia" w:eastAsiaTheme="minorEastAsia" w:cstheme="minorEastAsia"/>
          <w:b/>
          <w:highlight w:val="none"/>
        </w:rPr>
        <w:t>本项目磋商报价采用工程量清单报价，为二次报价，如二次报价总价有变动，请在二次报价函中列明变动的项目编码、项目名称、项目特征、计量单位、工程数量、单价。</w:t>
      </w:r>
    </w:p>
    <w:p>
      <w:pPr>
        <w:pStyle w:val="35"/>
        <w:shd w:val="clea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磋商人应根据竞争性磋商文件中提供的要求，施工现场实际情况及拟定的施工方案或施工组织设计，依据本企业的实际情况和市场价格信息，或参照广西建设行政主管部门发布的现行工程造价依据的有关规定，并结合本企业的技术管理水平自主报价。</w:t>
      </w:r>
    </w:p>
    <w:p>
      <w:pPr>
        <w:shd w:val="clear"/>
        <w:spacing w:line="360" w:lineRule="auto"/>
        <w:ind w:firstLine="432" w:firstLineChars="20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10.1.2磋商人磋商报价应是完成本工程和合同条款上所列的采购工程范围及工期的全部，不得以任何理由予以重复，作为磋商人的计算单价或总价的依据。</w:t>
      </w:r>
    </w:p>
    <w:p>
      <w:pPr>
        <w:shd w:val="clear"/>
        <w:spacing w:line="360" w:lineRule="auto"/>
        <w:ind w:firstLine="448"/>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highlight w:val="none"/>
        </w:rPr>
        <w:t>10.1.3</w:t>
      </w:r>
      <w:r>
        <w:rPr>
          <w:rFonts w:hint="eastAsia" w:asciiTheme="minorEastAsia" w:hAnsiTheme="minorEastAsia" w:eastAsiaTheme="minorEastAsia" w:cstheme="minorEastAsia"/>
          <w:b/>
          <w:bCs/>
          <w:highlight w:val="none"/>
        </w:rPr>
        <w:t>除非合同中另有规定，磋商人在报价中所报的价格均包括完成该工程项目的成本、利润、税金、开办费、技术措施费、大型机械进出场费、风险费、政策性文件规定费用等所有费用。</w:t>
      </w:r>
    </w:p>
    <w:p>
      <w:pPr>
        <w:shd w:val="clear"/>
        <w:spacing w:line="360" w:lineRule="auto"/>
        <w:ind w:firstLine="448"/>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highlight w:val="none"/>
        </w:rPr>
        <w:t>10.1.4</w:t>
      </w:r>
      <w:r>
        <w:rPr>
          <w:rFonts w:hint="eastAsia" w:asciiTheme="minorEastAsia" w:hAnsiTheme="minorEastAsia" w:eastAsiaTheme="minorEastAsia" w:cstheme="minorEastAsia"/>
          <w:b/>
          <w:bCs/>
          <w:highlight w:val="none"/>
        </w:rPr>
        <w:t>本项目的工程按以下方式签订工程施工承包合同：本合同价款采用工程量清单报价，包工包料，固定综合单价包干，按实际发生的工程量结算。主要材料价格变化不可以调整，明确政策性变化可以调整，设计变更可以调整，调整办法见</w:t>
      </w:r>
      <w:r>
        <w:rPr>
          <w:rFonts w:hint="eastAsia" w:asciiTheme="minorEastAsia" w:hAnsiTheme="minorEastAsia" w:eastAsiaTheme="minorEastAsia" w:cstheme="minorEastAsia"/>
          <w:b/>
          <w:highlight w:val="none"/>
        </w:rPr>
        <w:t>10.1.5</w:t>
      </w:r>
      <w:r>
        <w:rPr>
          <w:rFonts w:hint="eastAsia" w:asciiTheme="minorEastAsia" w:hAnsiTheme="minorEastAsia" w:eastAsiaTheme="minorEastAsia" w:cstheme="minorEastAsia"/>
          <w:b/>
          <w:bCs/>
          <w:highlight w:val="none"/>
        </w:rPr>
        <w:t>项。国家政策性变化按规定进行调整。</w:t>
      </w:r>
    </w:p>
    <w:p>
      <w:pPr>
        <w:shd w:val="clear"/>
        <w:spacing w:line="360" w:lineRule="auto"/>
        <w:ind w:firstLine="448"/>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10.1.5</w:t>
      </w:r>
      <w:r>
        <w:rPr>
          <w:rFonts w:hint="eastAsia" w:asciiTheme="minorEastAsia" w:hAnsiTheme="minorEastAsia" w:eastAsiaTheme="minorEastAsia" w:cstheme="minorEastAsia"/>
          <w:b/>
          <w:highlight w:val="none"/>
        </w:rPr>
        <w:fldChar w:fldCharType="begin"/>
      </w:r>
      <w:r>
        <w:rPr>
          <w:rFonts w:hint="eastAsia" w:asciiTheme="minorEastAsia" w:hAnsiTheme="minorEastAsia" w:eastAsiaTheme="minorEastAsia" w:cstheme="minorEastAsia"/>
          <w:b/>
          <w:highlight w:val="none"/>
        </w:rPr>
        <w:instrText xml:space="preserve"> = 1 \* GB3 \* MERGEFORMAT </w:instrText>
      </w:r>
      <w:r>
        <w:rPr>
          <w:rFonts w:hint="eastAsia" w:asciiTheme="minorEastAsia" w:hAnsiTheme="minorEastAsia" w:eastAsiaTheme="minorEastAsia" w:cstheme="minorEastAsia"/>
          <w:b/>
          <w:highlight w:val="none"/>
        </w:rPr>
        <w:fldChar w:fldCharType="separate"/>
      </w:r>
      <w:r>
        <w:rPr>
          <w:rFonts w:hint="eastAsia" w:asciiTheme="minorEastAsia" w:hAnsiTheme="minorEastAsia" w:eastAsiaTheme="minorEastAsia" w:cstheme="minorEastAsia"/>
          <w:highlight w:val="none"/>
        </w:rPr>
        <w:t>①</w:t>
      </w:r>
      <w:r>
        <w:rPr>
          <w:rFonts w:hint="eastAsia" w:asciiTheme="minorEastAsia" w:hAnsiTheme="minorEastAsia" w:eastAsiaTheme="minorEastAsia" w:cstheme="minorEastAsia"/>
          <w:b/>
          <w:highlight w:val="none"/>
        </w:rPr>
        <w:fldChar w:fldCharType="end"/>
      </w:r>
      <w:r>
        <w:rPr>
          <w:rFonts w:hint="eastAsia" w:asciiTheme="minorEastAsia" w:hAnsiTheme="minorEastAsia" w:eastAsiaTheme="minorEastAsia" w:cstheme="minorEastAsia"/>
          <w:b/>
          <w:highlight w:val="none"/>
        </w:rPr>
        <w:t xml:space="preserve">对于法律、法规、规章或有关政策出台导致工程税金、规费、人工费发生变化，并由自治区建设行政主管部门或其授权的自治区工程造价管理机构根据上述变化发布的政策性调整，承包人不应承担风险，应按照有关调整规定执行。 </w:t>
      </w:r>
      <w:r>
        <w:rPr>
          <w:rFonts w:hint="eastAsia" w:asciiTheme="minorEastAsia" w:hAnsiTheme="minorEastAsia" w:eastAsiaTheme="minorEastAsia" w:cstheme="minorEastAsia"/>
          <w:b/>
          <w:highlight w:val="none"/>
        </w:rPr>
        <w:fldChar w:fldCharType="begin"/>
      </w:r>
      <w:r>
        <w:rPr>
          <w:rFonts w:hint="eastAsia" w:asciiTheme="minorEastAsia" w:hAnsiTheme="minorEastAsia" w:eastAsiaTheme="minorEastAsia" w:cstheme="minorEastAsia"/>
          <w:b/>
          <w:highlight w:val="none"/>
        </w:rPr>
        <w:instrText xml:space="preserve"> = 2 \* GB3 \* MERGEFORMAT </w:instrText>
      </w:r>
      <w:r>
        <w:rPr>
          <w:rFonts w:hint="eastAsia" w:asciiTheme="minorEastAsia" w:hAnsiTheme="minorEastAsia" w:eastAsiaTheme="minorEastAsia" w:cstheme="minorEastAsia"/>
          <w:b/>
          <w:highlight w:val="none"/>
        </w:rPr>
        <w:fldChar w:fldCharType="separate"/>
      </w:r>
      <w:r>
        <w:rPr>
          <w:rFonts w:hint="eastAsia" w:asciiTheme="minorEastAsia" w:hAnsiTheme="minorEastAsia" w:eastAsiaTheme="minorEastAsia" w:cstheme="minorEastAsia"/>
          <w:highlight w:val="none"/>
        </w:rPr>
        <w:t>②</w:t>
      </w:r>
      <w:r>
        <w:rPr>
          <w:rFonts w:hint="eastAsia" w:asciiTheme="minorEastAsia" w:hAnsiTheme="minorEastAsia" w:eastAsiaTheme="minorEastAsia" w:cstheme="minorEastAsia"/>
          <w:b/>
          <w:highlight w:val="none"/>
        </w:rPr>
        <w:fldChar w:fldCharType="end"/>
      </w:r>
      <w:r>
        <w:rPr>
          <w:rFonts w:hint="eastAsia" w:asciiTheme="minorEastAsia" w:hAnsiTheme="minorEastAsia" w:eastAsiaTheme="minorEastAsia" w:cstheme="minorEastAsia"/>
          <w:b/>
          <w:highlight w:val="none"/>
        </w:rPr>
        <w:t>设计变更引起的调整方法a、合同中已有适用的综合单价，按合同中已有的综合单价确定。b、合同中有类似的综合单价，参照类似的综合单价确定。c、合同中没有适用或类似的综合单价，由承包人提出新的综合单价，经发包人审核确认并乘以下浮系数（中标价/工程预算控制价）后执行。d、由以上原因引起的工程措施项目费和其他项目费等按GB50500-2013《建设工程工程量清单计价规范广西壮族自治区实施细则》规定进行调整。</w:t>
      </w:r>
      <w:r>
        <w:rPr>
          <w:rFonts w:hint="eastAsia" w:asciiTheme="minorEastAsia" w:hAnsiTheme="minorEastAsia" w:eastAsiaTheme="minorEastAsia" w:cstheme="minorEastAsia"/>
          <w:b/>
          <w:highlight w:val="none"/>
        </w:rPr>
        <w:fldChar w:fldCharType="begin"/>
      </w:r>
      <w:r>
        <w:rPr>
          <w:rFonts w:hint="eastAsia" w:asciiTheme="minorEastAsia" w:hAnsiTheme="minorEastAsia" w:eastAsiaTheme="minorEastAsia" w:cstheme="minorEastAsia"/>
          <w:b/>
          <w:highlight w:val="none"/>
        </w:rPr>
        <w:instrText xml:space="preserve"> = 3 \* GB3 \* MERGEFORMAT </w:instrText>
      </w:r>
      <w:r>
        <w:rPr>
          <w:rFonts w:hint="eastAsia" w:asciiTheme="minorEastAsia" w:hAnsiTheme="minorEastAsia" w:eastAsiaTheme="minorEastAsia" w:cstheme="minorEastAsia"/>
          <w:b/>
          <w:highlight w:val="none"/>
        </w:rPr>
        <w:fldChar w:fldCharType="separate"/>
      </w:r>
      <w:r>
        <w:rPr>
          <w:rFonts w:hint="eastAsia" w:asciiTheme="minorEastAsia" w:hAnsiTheme="minorEastAsia" w:eastAsiaTheme="minorEastAsia" w:cstheme="minorEastAsia"/>
          <w:highlight w:val="none"/>
        </w:rPr>
        <w:t>③</w:t>
      </w:r>
      <w:r>
        <w:rPr>
          <w:rFonts w:hint="eastAsia" w:asciiTheme="minorEastAsia" w:hAnsiTheme="minorEastAsia" w:eastAsiaTheme="minorEastAsia" w:cstheme="minorEastAsia"/>
          <w:b/>
          <w:highlight w:val="none"/>
        </w:rPr>
        <w:fldChar w:fldCharType="end"/>
      </w:r>
      <w:r>
        <w:rPr>
          <w:rFonts w:hint="eastAsia" w:asciiTheme="minorEastAsia" w:hAnsiTheme="minorEastAsia" w:eastAsiaTheme="minorEastAsia" w:cstheme="minorEastAsia"/>
          <w:b/>
          <w:highlight w:val="none"/>
        </w:rPr>
        <w:t>竞争性磋商采购文件的工程量清单漏项或设计变更引起的调整按下述进行调整：</w:t>
      </w:r>
    </w:p>
    <w:p>
      <w:pPr>
        <w:shd w:val="clear"/>
        <w:spacing w:line="360" w:lineRule="auto"/>
        <w:ind w:firstLine="448"/>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a.合同中已有适用的综合单价，按合同中已有的综合单价确定。</w:t>
      </w:r>
    </w:p>
    <w:p>
      <w:pPr>
        <w:shd w:val="clear"/>
        <w:spacing w:line="360" w:lineRule="auto"/>
        <w:ind w:firstLine="448"/>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b. 合同中有类似的综合单价，参照类似的综合单价。</w:t>
      </w:r>
    </w:p>
    <w:p>
      <w:pPr>
        <w:shd w:val="clear"/>
        <w:spacing w:line="360" w:lineRule="auto"/>
        <w:ind w:firstLine="448"/>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c. 合同中没有类似或适用的综合单价，由承包人提出新的综合单价，经发包人确认后执行。</w:t>
      </w:r>
    </w:p>
    <w:p>
      <w:pPr>
        <w:shd w:val="clear"/>
        <w:spacing w:line="360" w:lineRule="auto"/>
        <w:ind w:firstLine="448"/>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d.由以上原因引起的措施项目费和其它费等按规定进行相应调整。</w:t>
      </w:r>
    </w:p>
    <w:p>
      <w:pPr>
        <w:shd w:val="clear"/>
        <w:spacing w:line="360" w:lineRule="auto"/>
        <w:ind w:firstLine="448"/>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③对法律、法规、规章或有关政策出台导致工程税金、规费、人工发生变化，并由自治区建设行政主管部门或其授权的自治区工程造价管理机构根据上述变化发布的政策性调整，承包人不应承担风险，应按照有关调整规定执行。</w:t>
      </w:r>
    </w:p>
    <w:p>
      <w:pPr>
        <w:shd w:val="clear"/>
        <w:spacing w:line="360" w:lineRule="auto"/>
        <w:ind w:firstLine="420" w:firstLineChars="199"/>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10.1.6承包人的临时占地租用费、临时用地的环保、恢复及所有临时性占地的地面附着物发生的费用均由承包人负责；由于承包人原因引起工期延长造成承包人临时占地的租用费增加由承包人负责。以上费用在竞标价中自行考虑。</w:t>
      </w:r>
    </w:p>
    <w:p>
      <w:pPr>
        <w:pStyle w:val="25"/>
        <w:shd w:val="clear"/>
        <w:spacing w:line="360" w:lineRule="auto"/>
        <w:ind w:firstLine="422" w:firstLineChars="20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10.1.7磋商人可先到工地踏勘以充分了解工地位置、情况、道路、储存空间、装卸限制及任何其他足以影响承包价的情况，任何因忽视或误解工地情况而导致的索赔或工期延长申请将不被批准。</w:t>
      </w:r>
    </w:p>
    <w:p>
      <w:pPr>
        <w:shd w:val="clear"/>
        <w:spacing w:line="440" w:lineRule="exact"/>
        <w:ind w:firstLine="422"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10.2 磋商报价及工程编制依据：</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1、交通部【2007】33号通知发布的《公路工程预算定额》(JTG/T 3832-2018)。</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2、交通部【2007】33号通知发布的《公路工程建设项目概算、预算编制办法》(JTG 3830-2018)。</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3、交通部发布的《公路工程机械台班费用定额》(JTG/T3833-2018)、交办公路【2016】66号文《公路工程营业税改征增值税计价依据调整方案》。</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4、桂交建管发【2019】39号《关于印发公路基本建设工程概算预算编制办法广西补充规定的通知》。</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5、本预算采用广东同望科技股份公司开发的“同望WECOST公路工程造价管理系统9.7.2”用计算机进行编制。</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6、木工程综合人工工资和机械工工资:101.25元/工日。 </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7、材料单价:综合考虑贵港市建设工程造价信息和工地实地调查而定。 </w:t>
      </w:r>
    </w:p>
    <w:p>
      <w:pPr>
        <w:numPr>
          <w:ilvl w:val="0"/>
          <w:numId w:val="0"/>
        </w:numPr>
        <w:shd w:val="clear"/>
        <w:spacing w:line="360" w:lineRule="auto"/>
        <w:ind w:firstLine="42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8、其他直接费、现场经费及间接综合费率： ①按编制办法划分，我区无冬季和准冬季气温区，故本工程不列冬季施工增加费和职工取暖补贴费。②根据本工程所在地，不计列高原施工增加费、沿海地区施工增加费、夜间施工增加费。 ③本工程地处贵港境内为 II 雨量区、雨季期为 6 个月，按规定计列雨季施工增加费和人工。 ④本工程安全及文明施工措施费、临时设计费、施工辅助费、基本费用、职工探亲路费、财务费用均按“编制办法”规定计列。 ⑤主副食运费补贴不计列。 ⑥工地转移费：施工单位不用调迁，故不计工地转移增加费。 ⑦规费按《关于印发公路基本建设工程概算预算编制方法广西补充规定的通知》(桂交基建发[2019]39 号)计列。 ⑧利润按 7.42%计列，税金按综合税率为 9%计列。 </w:t>
      </w:r>
    </w:p>
    <w:p>
      <w:pPr>
        <w:shd w:val="clear"/>
        <w:spacing w:line="360" w:lineRule="auto"/>
        <w:ind w:firstLine="420" w:firstLineChars="19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5、材料价格：</w:t>
      </w:r>
    </w:p>
    <w:p>
      <w:pPr>
        <w:shd w:val="clear"/>
        <w:spacing w:line="360" w:lineRule="auto"/>
        <w:ind w:firstLine="420" w:firstLineChars="19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参考 20</w:t>
      </w:r>
      <w:r>
        <w:rPr>
          <w:rFonts w:hint="eastAsia" w:asciiTheme="minorEastAsia" w:hAnsiTheme="minorEastAsia" w:eastAsiaTheme="minorEastAsia" w:cstheme="minorEastAsia"/>
          <w:b/>
          <w:highlight w:val="none"/>
          <w:lang w:val="en-US" w:eastAsia="zh-CN"/>
        </w:rPr>
        <w:t>21</w:t>
      </w:r>
      <w:r>
        <w:rPr>
          <w:rFonts w:hint="eastAsia" w:asciiTheme="minorEastAsia" w:hAnsiTheme="minorEastAsia" w:eastAsiaTheme="minorEastAsia" w:cstheme="minorEastAsia"/>
          <w:b/>
          <w:highlight w:val="none"/>
        </w:rPr>
        <w:t xml:space="preserve"> 年第 4 期《贵港市建设工程造价信息》及并结合实际情况就地取材计取及市场询价。</w:t>
      </w:r>
    </w:p>
    <w:p>
      <w:pPr>
        <w:shd w:val="clear"/>
        <w:spacing w:line="360" w:lineRule="auto"/>
        <w:ind w:firstLine="420" w:firstLineChars="19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10.3 竞标货币</w:t>
      </w:r>
    </w:p>
    <w:p>
      <w:pPr>
        <w:shd w:val="clear"/>
        <w:spacing w:line="360" w:lineRule="auto"/>
        <w:ind w:firstLine="420" w:firstLineChars="19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响应文件报价中的单价和合价全部采用人民币表示。</w:t>
      </w:r>
    </w:p>
    <w:p>
      <w:pPr>
        <w:pStyle w:val="21"/>
        <w:shd w:val="clear"/>
        <w:spacing w:line="400" w:lineRule="exact"/>
        <w:rPr>
          <w:rFonts w:asciiTheme="minorEastAsia" w:hAnsiTheme="minorEastAsia" w:eastAsiaTheme="minorEastAsia" w:cstheme="minorEastAsia"/>
          <w:sz w:val="21"/>
          <w:szCs w:val="21"/>
          <w:highlight w:val="none"/>
        </w:rPr>
      </w:pPr>
    </w:p>
    <w:p>
      <w:pPr>
        <w:shd w:val="clear"/>
        <w:spacing w:line="460" w:lineRule="exact"/>
        <w:ind w:firstLine="419" w:firstLineChars="195"/>
        <w:jc w:val="center"/>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四、响应文件的编制</w:t>
      </w:r>
    </w:p>
    <w:p>
      <w:pPr>
        <w:shd w:val="clear"/>
        <w:spacing w:line="46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11．竞争性磋商响应文件编制基本要求</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 xml:space="preserve">.1 本项目实行电子投标，供应商应准备电子磋商响应文件。  </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1.1电子响应文件按政采云平台要求及本竞争性磋商文件要求制作、加密并递交。具体操作流程可参考《政府采购项目电子交易管理操作指南-供应商》，指南可在“http://www.ccgp-guangxi.gov.cn/PurchaseAdvisory/ImportantNotice/2866753.html”下载。</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w:t>
      </w: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 xml:space="preserve">.2 磋商供应商应按采购文件的要求对竞争性磋商电子响应文件进行编制。  </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 xml:space="preserve">.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 xml:space="preserve">.4 磋商供应商应认真阅读、并充分理解本文件的全部内容（包括所有的澄清、更改、补充、答疑等内容），承诺并履行本文件中各项条款规定及要求 。  </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.5竞争性磋商响应文件必须按本文件的全部内容，包括所有的澄清、更改、补充、答疑等内容及附件进行编制。</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 xml:space="preserve">.6 如因磋商供应商只填写和提供了本文件要求的部分内容和附件，而给磋商小组评审造成困难，其可能导致的结果和责任由磋商供应商自行承担。 </w:t>
      </w:r>
    </w:p>
    <w:p>
      <w:pPr>
        <w:shd w:val="clear"/>
        <w:spacing w:line="46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11</w:t>
      </w:r>
      <w:r>
        <w:rPr>
          <w:rFonts w:hint="eastAsia" w:asciiTheme="minorEastAsia" w:hAnsiTheme="minorEastAsia" w:eastAsiaTheme="minorEastAsia" w:cstheme="minorEastAsia"/>
          <w:spacing w:val="2"/>
          <w:highlight w:val="none"/>
        </w:rPr>
        <w:t>.7竞争性磋商响应文件的组成：竞争性磋商响应文件应分为商务及资格文件和技术文件两个部分组成。</w:t>
      </w:r>
    </w:p>
    <w:p>
      <w:pPr>
        <w:shd w:val="clear"/>
        <w:spacing w:line="46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12．响应文件的组成</w:t>
      </w:r>
    </w:p>
    <w:p>
      <w:pPr>
        <w:shd w:val="clear"/>
        <w:spacing w:line="460" w:lineRule="exact"/>
        <w:ind w:firstLine="419" w:firstLineChars="195"/>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12.1磋商人的响应文件应包括下列内容：</w:t>
      </w:r>
    </w:p>
    <w:p>
      <w:pPr>
        <w:shd w:val="clear"/>
        <w:spacing w:line="460" w:lineRule="exact"/>
        <w:ind w:firstLine="430"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spacing w:val="2"/>
          <w:highlight w:val="none"/>
        </w:rPr>
        <w:t>12.1.1商务标</w:t>
      </w:r>
      <w:r>
        <w:rPr>
          <w:rFonts w:hint="eastAsia" w:asciiTheme="minorEastAsia" w:hAnsiTheme="minorEastAsia" w:eastAsiaTheme="minorEastAsia" w:cstheme="minorEastAsia"/>
          <w:b/>
          <w:bCs/>
          <w:highlight w:val="none"/>
        </w:rPr>
        <w:t>：</w:t>
      </w:r>
    </w:p>
    <w:p>
      <w:pPr>
        <w:shd w:val="clear"/>
        <w:spacing w:line="500" w:lineRule="exact"/>
        <w:ind w:firstLine="406"/>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 法定代表人身份证明书</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（2）响应文件签署授权委托书原件及委托代理人身份证正反面复印件（委托代理时必须提供）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（3）磋商函</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（4）磋商函附录</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（5）投标报价表</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（6）已标价的工程量清单报价有关材料</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（7）磋商人磋商资料[附有效企业资质副本、有效的营业执照副本、有效的安全生产许可证副本、有效的组织机构代码证副本（三证合一的不须提供）]</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（8）投标人提供《贵港市采购项目投标资格承诺函》</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（9）农民工工资保障金的交纳与使用承诺书；</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（10）建设工程项目管理承诺书；</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11）磋商人符合中小企业划型标准的，按《政府采购促进中小企业发展暂行办法》（财库〔2011〕181号）要求，提供中小企业声明函。监狱企业参加政府采购活动时，应当提供由省级以上监狱管理局、戒毒管理局（含新疆生产建设兵团）出具的属于监狱企业的证明文件。 (如有请提供，格式见附件)</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12）投标服务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如有请提供，格式见附件)</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（13）磋商人其他资料(磋商人认为需要提供或竞争性磋商采购文件需要提供的其他资料）。</w:t>
      </w:r>
    </w:p>
    <w:p>
      <w:pPr>
        <w:shd w:val="clear"/>
        <w:spacing w:line="460" w:lineRule="exact"/>
        <w:ind w:firstLine="430"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spacing w:val="2"/>
          <w:highlight w:val="none"/>
        </w:rPr>
        <w:t>12.1.2技术标</w:t>
      </w:r>
      <w:r>
        <w:rPr>
          <w:rFonts w:hint="eastAsia" w:asciiTheme="minorEastAsia" w:hAnsiTheme="minorEastAsia" w:eastAsiaTheme="minorEastAsia" w:cstheme="minorEastAsia"/>
          <w:b/>
          <w:bCs/>
          <w:highlight w:val="none"/>
        </w:rPr>
        <w:t>：</w:t>
      </w:r>
    </w:p>
    <w:p>
      <w:pPr>
        <w:shd w:val="clear"/>
        <w:spacing w:line="460" w:lineRule="exact"/>
        <w:ind w:firstLine="419" w:firstLineChars="195"/>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（1）施工组织设计（必须提供）</w:t>
      </w:r>
    </w:p>
    <w:p>
      <w:pPr>
        <w:shd w:val="clear"/>
        <w:spacing w:line="460" w:lineRule="exact"/>
        <w:ind w:firstLine="419" w:firstLineChars="195"/>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（2）项目管理机构；（必须提供）</w:t>
      </w:r>
    </w:p>
    <w:p>
      <w:pPr>
        <w:shd w:val="clear"/>
        <w:spacing w:line="460" w:lineRule="exact"/>
        <w:ind w:firstLine="945" w:firstLineChars="440"/>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fldChar w:fldCharType="begin"/>
      </w:r>
      <w:r>
        <w:rPr>
          <w:rFonts w:hint="eastAsia" w:asciiTheme="minorEastAsia" w:hAnsiTheme="minorEastAsia" w:eastAsiaTheme="minorEastAsia" w:cstheme="minorEastAsia"/>
          <w:b/>
          <w:bCs/>
          <w:spacing w:val="2"/>
          <w:highlight w:val="none"/>
        </w:rPr>
        <w:instrText xml:space="preserve"> = 1 \* GB3 </w:instrText>
      </w:r>
      <w:r>
        <w:rPr>
          <w:rFonts w:hint="eastAsia" w:asciiTheme="minorEastAsia" w:hAnsiTheme="minorEastAsia" w:eastAsiaTheme="minorEastAsia" w:cstheme="minorEastAsia"/>
          <w:b/>
          <w:bCs/>
          <w:spacing w:val="2"/>
          <w:highlight w:val="none"/>
        </w:rPr>
        <w:fldChar w:fldCharType="separate"/>
      </w:r>
      <w:r>
        <w:rPr>
          <w:rFonts w:hint="eastAsia" w:asciiTheme="minorEastAsia" w:hAnsiTheme="minorEastAsia" w:eastAsiaTheme="minorEastAsia" w:cstheme="minorEastAsia"/>
          <w:b/>
          <w:bCs/>
          <w:spacing w:val="2"/>
          <w:highlight w:val="none"/>
        </w:rPr>
        <w:t>①</w:t>
      </w:r>
      <w:r>
        <w:rPr>
          <w:rFonts w:hint="eastAsia" w:asciiTheme="minorEastAsia" w:hAnsiTheme="minorEastAsia" w:eastAsiaTheme="minorEastAsia" w:cstheme="minorEastAsia"/>
          <w:b/>
          <w:bCs/>
          <w:spacing w:val="2"/>
          <w:highlight w:val="none"/>
        </w:rPr>
        <w:fldChar w:fldCharType="end"/>
      </w:r>
      <w:r>
        <w:rPr>
          <w:rFonts w:hint="eastAsia" w:asciiTheme="minorEastAsia" w:hAnsiTheme="minorEastAsia" w:eastAsiaTheme="minorEastAsia" w:cstheme="minorEastAsia"/>
          <w:b/>
          <w:bCs/>
          <w:spacing w:val="2"/>
          <w:highlight w:val="none"/>
        </w:rPr>
        <w:t>项目管理机构配备情况表；</w:t>
      </w:r>
    </w:p>
    <w:p>
      <w:pPr>
        <w:shd w:val="clear"/>
        <w:spacing w:line="460" w:lineRule="exact"/>
        <w:ind w:firstLine="945" w:firstLineChars="440"/>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fldChar w:fldCharType="begin"/>
      </w:r>
      <w:r>
        <w:rPr>
          <w:rFonts w:hint="eastAsia" w:asciiTheme="minorEastAsia" w:hAnsiTheme="minorEastAsia" w:eastAsiaTheme="minorEastAsia" w:cstheme="minorEastAsia"/>
          <w:b/>
          <w:bCs/>
          <w:spacing w:val="2"/>
          <w:highlight w:val="none"/>
        </w:rPr>
        <w:instrText xml:space="preserve"> = 2 \* GB3 </w:instrText>
      </w:r>
      <w:r>
        <w:rPr>
          <w:rFonts w:hint="eastAsia" w:asciiTheme="minorEastAsia" w:hAnsiTheme="minorEastAsia" w:eastAsiaTheme="minorEastAsia" w:cstheme="minorEastAsia"/>
          <w:b/>
          <w:bCs/>
          <w:spacing w:val="2"/>
          <w:highlight w:val="none"/>
        </w:rPr>
        <w:fldChar w:fldCharType="separate"/>
      </w:r>
      <w:r>
        <w:rPr>
          <w:rFonts w:hint="eastAsia" w:asciiTheme="minorEastAsia" w:hAnsiTheme="minorEastAsia" w:eastAsiaTheme="minorEastAsia" w:cstheme="minorEastAsia"/>
          <w:b/>
          <w:bCs/>
          <w:spacing w:val="2"/>
          <w:highlight w:val="none"/>
        </w:rPr>
        <w:t>②</w:t>
      </w:r>
      <w:r>
        <w:rPr>
          <w:rFonts w:hint="eastAsia" w:asciiTheme="minorEastAsia" w:hAnsiTheme="minorEastAsia" w:eastAsiaTheme="minorEastAsia" w:cstheme="minorEastAsia"/>
          <w:b/>
          <w:bCs/>
          <w:spacing w:val="2"/>
          <w:highlight w:val="none"/>
        </w:rPr>
        <w:fldChar w:fldCharType="end"/>
      </w:r>
      <w:r>
        <w:rPr>
          <w:rFonts w:hint="eastAsia" w:asciiTheme="minorEastAsia" w:hAnsiTheme="minorEastAsia" w:eastAsiaTheme="minorEastAsia" w:cstheme="minorEastAsia"/>
          <w:b/>
          <w:bCs/>
          <w:spacing w:val="2"/>
          <w:highlight w:val="none"/>
        </w:rPr>
        <w:t>项目经理（注册建造师）简历表；</w:t>
      </w:r>
    </w:p>
    <w:p>
      <w:pPr>
        <w:shd w:val="clear"/>
        <w:spacing w:line="460" w:lineRule="exact"/>
        <w:ind w:firstLine="945" w:firstLineChars="440"/>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fldChar w:fldCharType="begin"/>
      </w:r>
      <w:r>
        <w:rPr>
          <w:rFonts w:hint="eastAsia" w:asciiTheme="minorEastAsia" w:hAnsiTheme="minorEastAsia" w:eastAsiaTheme="minorEastAsia" w:cstheme="minorEastAsia"/>
          <w:b/>
          <w:bCs/>
          <w:spacing w:val="2"/>
          <w:highlight w:val="none"/>
        </w:rPr>
        <w:instrText xml:space="preserve"> = 3 \* GB3 </w:instrText>
      </w:r>
      <w:r>
        <w:rPr>
          <w:rFonts w:hint="eastAsia" w:asciiTheme="minorEastAsia" w:hAnsiTheme="minorEastAsia" w:eastAsiaTheme="minorEastAsia" w:cstheme="minorEastAsia"/>
          <w:b/>
          <w:bCs/>
          <w:spacing w:val="2"/>
          <w:highlight w:val="none"/>
        </w:rPr>
        <w:fldChar w:fldCharType="separate"/>
      </w:r>
      <w:r>
        <w:rPr>
          <w:rFonts w:hint="eastAsia" w:asciiTheme="minorEastAsia" w:hAnsiTheme="minorEastAsia" w:eastAsiaTheme="minorEastAsia" w:cstheme="minorEastAsia"/>
          <w:b/>
          <w:bCs/>
          <w:spacing w:val="2"/>
          <w:highlight w:val="none"/>
        </w:rPr>
        <w:t>③</w:t>
      </w:r>
      <w:r>
        <w:rPr>
          <w:rFonts w:hint="eastAsia" w:asciiTheme="minorEastAsia" w:hAnsiTheme="minorEastAsia" w:eastAsiaTheme="minorEastAsia" w:cstheme="minorEastAsia"/>
          <w:b/>
          <w:bCs/>
          <w:spacing w:val="2"/>
          <w:highlight w:val="none"/>
        </w:rPr>
        <w:fldChar w:fldCharType="end"/>
      </w:r>
      <w:r>
        <w:rPr>
          <w:rFonts w:hint="eastAsia" w:asciiTheme="minorEastAsia" w:hAnsiTheme="minorEastAsia" w:eastAsiaTheme="minorEastAsia" w:cstheme="minorEastAsia"/>
          <w:b/>
          <w:bCs/>
          <w:spacing w:val="2"/>
          <w:highlight w:val="none"/>
        </w:rPr>
        <w:t>项目技术负责人简历表。</w:t>
      </w:r>
    </w:p>
    <w:p>
      <w:pPr>
        <w:shd w:val="clear"/>
        <w:spacing w:line="460" w:lineRule="exact"/>
        <w:ind w:firstLine="945" w:firstLineChars="440"/>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fldChar w:fldCharType="begin"/>
      </w:r>
      <w:r>
        <w:rPr>
          <w:rFonts w:hint="eastAsia" w:asciiTheme="minorEastAsia" w:hAnsiTheme="minorEastAsia" w:eastAsiaTheme="minorEastAsia" w:cstheme="minorEastAsia"/>
          <w:b/>
          <w:bCs/>
          <w:spacing w:val="2"/>
          <w:highlight w:val="none"/>
        </w:rPr>
        <w:instrText xml:space="preserve"> = 4 \* GB3 </w:instrText>
      </w:r>
      <w:r>
        <w:rPr>
          <w:rFonts w:hint="eastAsia" w:asciiTheme="minorEastAsia" w:hAnsiTheme="minorEastAsia" w:eastAsiaTheme="minorEastAsia" w:cstheme="minorEastAsia"/>
          <w:b/>
          <w:bCs/>
          <w:spacing w:val="2"/>
          <w:highlight w:val="none"/>
        </w:rPr>
        <w:fldChar w:fldCharType="separate"/>
      </w:r>
      <w:r>
        <w:rPr>
          <w:rFonts w:hint="eastAsia" w:asciiTheme="minorEastAsia" w:hAnsiTheme="minorEastAsia" w:eastAsiaTheme="minorEastAsia" w:cstheme="minorEastAsia"/>
          <w:b/>
          <w:bCs/>
          <w:spacing w:val="2"/>
          <w:highlight w:val="none"/>
        </w:rPr>
        <w:t>④</w:t>
      </w:r>
      <w:r>
        <w:rPr>
          <w:rFonts w:hint="eastAsia" w:asciiTheme="minorEastAsia" w:hAnsiTheme="minorEastAsia" w:eastAsiaTheme="minorEastAsia" w:cstheme="minorEastAsia"/>
          <w:b/>
          <w:bCs/>
          <w:spacing w:val="2"/>
          <w:highlight w:val="none"/>
        </w:rPr>
        <w:fldChar w:fldCharType="end"/>
      </w:r>
      <w:r>
        <w:rPr>
          <w:rFonts w:hint="eastAsia" w:asciiTheme="minorEastAsia" w:hAnsiTheme="minorEastAsia" w:eastAsiaTheme="minorEastAsia" w:cstheme="minorEastAsia"/>
          <w:b/>
          <w:bCs/>
          <w:spacing w:val="2"/>
          <w:highlight w:val="none"/>
        </w:rPr>
        <w:t>项目管理机构配备情况辅助说明资料。</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12.2</w:t>
      </w:r>
      <w:r>
        <w:rPr>
          <w:rFonts w:hint="eastAsia" w:asciiTheme="minorEastAsia" w:hAnsiTheme="minorEastAsia" w:eastAsiaTheme="minorEastAsia" w:cstheme="minorEastAsia"/>
          <w:highlight w:val="none"/>
        </w:rPr>
        <w:t>磋商人必须使用竞争性磋商采购文件提供的响应文件格式和顺序另行编制响应文件，</w:t>
      </w:r>
      <w:r>
        <w:rPr>
          <w:rFonts w:hint="eastAsia" w:asciiTheme="minorEastAsia" w:hAnsiTheme="minorEastAsia" w:eastAsiaTheme="minorEastAsia" w:cstheme="minorEastAsia"/>
          <w:spacing w:val="2"/>
          <w:highlight w:val="none"/>
        </w:rPr>
        <w:t>但表格可以按同样格式扩展。</w:t>
      </w:r>
    </w:p>
    <w:p>
      <w:pPr>
        <w:shd w:val="clear"/>
        <w:spacing w:line="460" w:lineRule="exact"/>
        <w:ind w:firstLine="419" w:firstLineChars="195"/>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特别说明：（1）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pPr>
        <w:shd w:val="clear"/>
        <w:spacing w:line="460" w:lineRule="exact"/>
        <w:ind w:firstLine="419" w:firstLineChars="195"/>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（2）竞争性磋商文件要求提供的的各种复印件，须加盖磋商供应商CA签章，否则其磋商无效。</w:t>
      </w:r>
    </w:p>
    <w:p>
      <w:pPr>
        <w:shd w:val="clear"/>
        <w:spacing w:line="460" w:lineRule="exact"/>
        <w:ind w:firstLine="419" w:firstLineChars="195"/>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（3）竞争性磋商文件要求“必须提供”的证明等材料，磋商供应商必须全部提供，缺一不可，否则磋商无效。</w:t>
      </w:r>
    </w:p>
    <w:p>
      <w:pPr>
        <w:shd w:val="clear"/>
        <w:spacing w:line="460" w:lineRule="exact"/>
        <w:ind w:firstLine="419" w:firstLineChars="195"/>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（4）竞争性磋商文件要求法定代表人（负责人）或委托代理人签字的部分必须签字然后扫描或者拍照做成pdf格式上传，无签字的视为磋商无效。</w:t>
      </w:r>
    </w:p>
    <w:p>
      <w:pPr>
        <w:shd w:val="clear"/>
        <w:spacing w:line="46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13．竞标有效期</w:t>
      </w:r>
    </w:p>
    <w:p>
      <w:pPr>
        <w:shd w:val="clear"/>
        <w:spacing w:line="46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13.l 响应文件在本须知第18条规定的竞标截止日期后</w:t>
      </w:r>
      <w:r>
        <w:rPr>
          <w:rFonts w:hint="eastAsia" w:asciiTheme="minorEastAsia" w:hAnsiTheme="minorEastAsia" w:eastAsiaTheme="minorEastAsia" w:cstheme="minorEastAsia"/>
          <w:spacing w:val="2"/>
          <w:highlight w:val="none"/>
          <w:u w:val="single"/>
        </w:rPr>
        <w:t>90天（日历天）</w:t>
      </w:r>
      <w:r>
        <w:rPr>
          <w:rFonts w:hint="eastAsia" w:asciiTheme="minorEastAsia" w:hAnsiTheme="minorEastAsia" w:eastAsiaTheme="minorEastAsia" w:cstheme="minorEastAsia"/>
          <w:spacing w:val="2"/>
          <w:highlight w:val="none"/>
        </w:rPr>
        <w:t>内有效。</w:t>
      </w:r>
    </w:p>
    <w:p>
      <w:pPr>
        <w:shd w:val="clear"/>
        <w:spacing w:line="46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13.2 在原定竞标有效期满之前，如果出现特殊情况，经采购人核准，采购人可以书面形式向磋商人提出延长竞标有效期的要求。磋商人须以书面形式予以答复。同意延长竞标有效期的磋商人不允许修改其响应文件。</w:t>
      </w:r>
    </w:p>
    <w:p>
      <w:pPr>
        <w:shd w:val="clear"/>
        <w:spacing w:line="46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14．磋商保证金</w:t>
      </w:r>
    </w:p>
    <w:p>
      <w:pPr>
        <w:shd w:val="clear"/>
        <w:spacing w:line="460" w:lineRule="exact"/>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 xml:space="preserve">    本项目不需要提供磋商保证金。</w:t>
      </w:r>
    </w:p>
    <w:p>
      <w:pPr>
        <w:shd w:val="clear"/>
        <w:spacing w:line="46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15．竞标答疑</w:t>
      </w:r>
    </w:p>
    <w:p>
      <w:pPr>
        <w:shd w:val="clear"/>
        <w:spacing w:line="46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15.1采购人向磋商人提供的有关施工现场的资料和数据，是采购人现有的能使磋商人利用的资料。采购人对磋商人由此而作出的推论、理解和结论概不负责。</w:t>
      </w:r>
    </w:p>
    <w:p>
      <w:pPr>
        <w:shd w:val="clear"/>
        <w:spacing w:line="46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15.2磋商人提出的与竞标有关的任何问题须在收到竞争性磋商采购文件后2天内，以书面形式送达采购代理机构，采购代理机构将通过“补遗文件”的形式予以答复。</w:t>
      </w:r>
    </w:p>
    <w:p>
      <w:pPr>
        <w:shd w:val="clear"/>
        <w:spacing w:line="46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15.3 采购补遗文件包括所有问题和答复，将迅速提供给所有获得竞争性磋商采购文件的磋商人。</w:t>
      </w:r>
    </w:p>
    <w:p>
      <w:pPr>
        <w:shd w:val="clear"/>
        <w:spacing w:line="46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16．响应文件的份数和签署</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.1磋商响应文件的封装</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.1.1.电子磋商响应文件中须加盖供应商公章部分均采用 CA 签章，并根据“政府采购项目电子交易管理操作指南-供应商”及本竞争性磋商文件规定的格式和顺序编制电子磋商响应文件并进行关联定位，以便磋商小组在评审时，点击评分项可直接定位到该评分项内容。如对竞争性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漏读，或者在按竞争性磋商文件规定的部位查找不到相关内容的，由供应商自行承担。</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.1.2 CA 签章上目前没有法人（负责人）或授权代表签字信息，供应商在磋商响应文件中涉及到签字的位置线下签好字然后扫描或者拍照做成PDF的格式即可。</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w:t>
      </w:r>
      <w:r>
        <w:rPr>
          <w:rFonts w:hint="eastAsia" w:asciiTheme="minorEastAsia" w:hAnsiTheme="minorEastAsia" w:eastAsiaTheme="minorEastAsia" w:cstheme="minorEastAsia"/>
          <w:spacing w:val="2"/>
          <w:highlight w:val="none"/>
          <w:lang w:val="en-US" w:eastAsia="zh-CN"/>
        </w:rPr>
        <w:t>1</w:t>
      </w:r>
      <w:r>
        <w:rPr>
          <w:rFonts w:hint="eastAsia" w:asciiTheme="minorEastAsia" w:hAnsiTheme="minorEastAsia" w:eastAsiaTheme="minorEastAsia" w:cstheme="minorEastAsia"/>
          <w:spacing w:val="2"/>
          <w:highlight w:val="none"/>
        </w:rPr>
        <w:t>.</w:t>
      </w:r>
      <w:r>
        <w:rPr>
          <w:rFonts w:hint="eastAsia" w:asciiTheme="minorEastAsia" w:hAnsiTheme="minorEastAsia" w:eastAsiaTheme="minorEastAsia" w:cstheme="minorEastAsia"/>
          <w:spacing w:val="2"/>
          <w:highlight w:val="none"/>
          <w:lang w:val="en-US" w:eastAsia="zh-CN"/>
        </w:rPr>
        <w:t>3</w:t>
      </w:r>
      <w:r>
        <w:rPr>
          <w:rFonts w:hint="eastAsia" w:asciiTheme="minorEastAsia" w:hAnsiTheme="minorEastAsia" w:eastAsiaTheme="minorEastAsia" w:cstheme="minorEastAsia"/>
          <w:spacing w:val="2"/>
          <w:highlight w:val="none"/>
        </w:rPr>
        <w:t xml:space="preserve"> 磋商响应文件不得涂改，若有修改错漏处，须法定代表人（负责人）或授权委托人签字。磋商响应文件因字迹潦草或表达不清所引起的后果由供应商负责。</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.2．响应文件的递交</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.2.1 所有竞争性磋商响应文件应于竞争性磋商文件中规定的时间前上传递交至政采云平台。</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.2.2竞争性磋商响应文件从响应文件递交截止日期后</w:t>
      </w:r>
      <w:r>
        <w:rPr>
          <w:rFonts w:hint="eastAsia" w:asciiTheme="minorEastAsia" w:hAnsiTheme="minorEastAsia" w:eastAsiaTheme="minorEastAsia" w:cstheme="minorEastAsia"/>
          <w:spacing w:val="2"/>
          <w:highlight w:val="none"/>
          <w:lang w:val="en-US" w:eastAsia="zh-CN"/>
        </w:rPr>
        <w:t>9</w:t>
      </w:r>
      <w:r>
        <w:rPr>
          <w:rFonts w:hint="eastAsia" w:asciiTheme="minorEastAsia" w:hAnsiTheme="minorEastAsia" w:eastAsiaTheme="minorEastAsia" w:cstheme="minorEastAsia"/>
          <w:spacing w:val="2"/>
          <w:highlight w:val="none"/>
        </w:rPr>
        <w:t xml:space="preserve">0天内有效。  </w:t>
      </w:r>
    </w:p>
    <w:p>
      <w:pPr>
        <w:shd w:val="clear"/>
        <w:spacing w:line="460" w:lineRule="exact"/>
        <w:ind w:firstLine="419" w:firstLineChars="195"/>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电子响应文件的相关说明：</w:t>
      </w:r>
    </w:p>
    <w:p>
      <w:pPr>
        <w:shd w:val="clear"/>
        <w:spacing w:line="460" w:lineRule="exact"/>
        <w:ind w:firstLine="419" w:firstLineChars="195"/>
        <w:rPr>
          <w:rFonts w:hint="eastAsia"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1）供应商进行电子投标应安装客户端软件，并按照竞争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pPr>
        <w:shd w:val="clear"/>
        <w:spacing w:line="460" w:lineRule="exact"/>
        <w:ind w:firstLine="419"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b/>
          <w:bCs/>
          <w:spacing w:val="2"/>
          <w:highlight w:val="none"/>
        </w:rPr>
        <w:t>（2）如有特殊情况，采购代理机构延长截止时间和开标时间，采购代理机构和供应商的权利和义务将受到新的截止时间和开标时间的约束。</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lang w:val="en-US" w:eastAsia="zh-CN"/>
        </w:rPr>
        <w:t>16</w:t>
      </w:r>
      <w:r>
        <w:rPr>
          <w:rFonts w:hint="eastAsia" w:asciiTheme="minorEastAsia" w:hAnsiTheme="minorEastAsia" w:eastAsiaTheme="minorEastAsia" w:cstheme="minorEastAsia"/>
          <w:spacing w:val="2"/>
          <w:highlight w:val="none"/>
        </w:rPr>
        <w:t>.3.迟交的响应文件</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采购代理机构拒绝在其规定的递交响应文件截止时间之后收到的任何响应文件。</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供应商应认真阅读、并充分理解本文件的全部内容（包括所有的补充、修改内容），承诺并履行本文件中各项条款规定及要求。</w:t>
      </w:r>
    </w:p>
    <w:p>
      <w:pPr>
        <w:shd w:val="clear"/>
        <w:spacing w:line="460" w:lineRule="exact"/>
        <w:ind w:firstLine="417" w:firstLineChars="195"/>
        <w:rPr>
          <w:rFonts w:hint="eastAsia"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响应文件必须按本文件的全部内容，包括所有的补充通知及附件进行编制。</w:t>
      </w:r>
    </w:p>
    <w:p>
      <w:pPr>
        <w:shd w:val="clear"/>
        <w:spacing w:line="460" w:lineRule="exact"/>
        <w:ind w:firstLine="417" w:firstLineChars="195"/>
        <w:rPr>
          <w:rFonts w:asciiTheme="minorEastAsia" w:hAnsiTheme="minorEastAsia" w:eastAsiaTheme="minorEastAsia" w:cstheme="minorEastAsia"/>
          <w:spacing w:val="2"/>
          <w:highlight w:val="none"/>
        </w:rPr>
      </w:pPr>
      <w:r>
        <w:rPr>
          <w:rFonts w:hint="eastAsia" w:asciiTheme="minorEastAsia" w:hAnsiTheme="minorEastAsia" w:eastAsiaTheme="minorEastAsia" w:cstheme="minorEastAsia"/>
          <w:spacing w:val="2"/>
          <w:highlight w:val="none"/>
        </w:rPr>
        <w:t>如因供应商只填写和提供了本文件要求的部分内容和附件，而给评审造成困难，其可能导致的结果和责任由供应商自行承担。</w:t>
      </w:r>
    </w:p>
    <w:p>
      <w:pPr>
        <w:shd w:val="clear"/>
        <w:spacing w:line="460" w:lineRule="exact"/>
        <w:ind w:firstLine="419" w:firstLineChars="195"/>
        <w:jc w:val="center"/>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rPr>
        <w:t>五、响应文件的递交</w:t>
      </w:r>
    </w:p>
    <w:p>
      <w:pPr>
        <w:shd w:val="clear"/>
        <w:spacing w:line="460" w:lineRule="exact"/>
        <w:rPr>
          <w:rFonts w:asciiTheme="minorEastAsia" w:hAnsiTheme="minorEastAsia" w:eastAsiaTheme="minorEastAsia" w:cstheme="minorEastAsia"/>
          <w:b/>
          <w:bCs/>
          <w:spacing w:val="2"/>
          <w:highlight w:val="none"/>
        </w:rPr>
      </w:pPr>
      <w:r>
        <w:rPr>
          <w:rFonts w:hint="eastAsia" w:asciiTheme="minorEastAsia" w:hAnsiTheme="minorEastAsia" w:eastAsiaTheme="minorEastAsia" w:cstheme="minorEastAsia"/>
          <w:b/>
          <w:bCs/>
          <w:spacing w:val="2"/>
          <w:highlight w:val="none"/>
          <w:lang w:val="en-US" w:eastAsia="zh-CN"/>
        </w:rPr>
        <w:t>17.</w:t>
      </w:r>
      <w:r>
        <w:rPr>
          <w:rFonts w:hint="eastAsia" w:asciiTheme="minorEastAsia" w:hAnsiTheme="minorEastAsia" w:eastAsiaTheme="minorEastAsia" w:cstheme="minorEastAsia"/>
          <w:b/>
          <w:bCs/>
          <w:spacing w:val="2"/>
          <w:highlight w:val="none"/>
        </w:rPr>
        <w:t xml:space="preserve">按公告要求。 </w:t>
      </w:r>
    </w:p>
    <w:p>
      <w:pPr>
        <w:shd w:val="clear"/>
        <w:spacing w:line="460" w:lineRule="exact"/>
        <w:ind w:firstLine="327" w:firstLineChars="153"/>
        <w:rPr>
          <w:rFonts w:asciiTheme="minorEastAsia" w:hAnsiTheme="minorEastAsia" w:eastAsiaTheme="minorEastAsia" w:cstheme="minorEastAsia"/>
          <w:spacing w:val="2"/>
          <w:highlight w:val="none"/>
        </w:rPr>
      </w:pPr>
    </w:p>
    <w:p>
      <w:pPr>
        <w:pStyle w:val="25"/>
        <w:shd w:val="clear"/>
        <w:spacing w:line="420" w:lineRule="exact"/>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六、磋商程序及评审方法</w:t>
      </w:r>
    </w:p>
    <w:p>
      <w:pPr>
        <w:shd w:val="clear"/>
        <w:spacing w:line="460" w:lineRule="exact"/>
        <w:ind w:firstLine="417" w:firstLineChars="195"/>
        <w:rPr>
          <w:rFonts w:asciiTheme="minorEastAsia" w:hAnsiTheme="minorEastAsia" w:eastAsiaTheme="minorEastAsia" w:cstheme="minorEastAsia"/>
          <w:spacing w:val="2"/>
          <w:highlight w:val="none"/>
        </w:rPr>
      </w:pPr>
    </w:p>
    <w:p>
      <w:pPr>
        <w:pStyle w:val="5"/>
        <w:shd w:val="clea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.4磋商：</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20.4磋商小组组建</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20.4.1磋商小组由采购人代表和评审专家共 3 人以上（含3人）单数组成，其中评审专家人数不得少于磋商小组成员总数的 2/3。</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20.4.评审程序</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20.4.2</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t>采购代理机向磋商小组移交接收所有的响应文件。</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20.4.3</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t>磋商小组评审响应文件</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磋商小组对供应商资格条件和响应文件的有效性、完整性和响应程度进行审查。对资格条件不符合的供应商或未实质性响应磋商文件的响应文件按无效响应处理，磋商小组应当告知有关供应商。</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20.4.4</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t>澄清</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20.4.5磋商</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在磋商正式开始前由磋商小组对竞争性磋商采购文件进行确认，认可竞争性磋商采购文件的内容符合法律法规的规定、不存在歧视性或排他性内容。</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未实质性响应竞争性磋商采购文件的竞争性磋商响应文件按无效处理，磋商小组应当告知有关供应商。 </w:t>
      </w:r>
    </w:p>
    <w:p>
      <w:pPr>
        <w:shd w:val="clear"/>
        <w:spacing w:line="360" w:lineRule="auto"/>
        <w:ind w:firstLine="316" w:firstLineChars="15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 xml:space="preserve">20.4.6 第一轮磋商 </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磋商时间及地点:详见本须知前附表第8项规定。</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磋商小组对竞争性磋商响应文件进行资格性审查，依据竞争性磋商采购文件对已通过资格性审核的各竞争性磋商响应文件进行书面评审，审查竞争性磋商响应文件是否实质上响应了竞争性磋商采购文件的要求，在评审后由磋商小组组长主持，归纳各专家审核意见，形成磋商要点。磋商小组依据磋商要点，与单一供应商分别进行磋商，给予所有参加磋商的供应商平等的磋商机会。 </w:t>
      </w:r>
    </w:p>
    <w:p>
      <w:pPr>
        <w:shd w:val="clear"/>
        <w:autoSpaceDE w:val="0"/>
        <w:autoSpaceDN w:val="0"/>
        <w:snapToGrid w:val="0"/>
        <w:spacing w:line="360" w:lineRule="auto"/>
        <w:ind w:firstLine="420" w:firstLineChars="200"/>
        <w:textAlignment w:val="bottom"/>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磋商主要内容及程序：</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1. 就本项目各类报价进行磋商； </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就本项目的服务承诺进行磋商；</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就本项目的质量要求进行磋商并对其作出相关承诺。</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磋商评审在严格保密的情况下进行，磋商的任何一方不得透露与磋商有关的其他供应商的技术服务资料、价格和其他信息。本公司对磋商过程和重要磋商内容进行记录，磋商双方及记录人在记录上签字确认。</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磋商后，供应商根据磋商小组统一整理的书面磋商记录要求做出书面承诺，并由其法定代表人或授权代表签字后按时密封递交，如若法定代表人或授权代表未在规定处签字的，视为无效文件。</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当磋商小组一致确定供应商的竞争性磋商响应文件能够详细列明采购标的技术、服务要求且符合竞争性磋商采购文件要求，无需再磋商的，磋商小组按竞争性磋商采购文件设定的12.4、12.6程序和综合评分法确定成交候选供应商。第一轮磋商后竞争性磋商采购文件有实质性变动或仍需磋商的，磋商小组对竞争性磋商采购文件变动或提出磋商意见后进行第二轮磋商。</w:t>
      </w:r>
    </w:p>
    <w:p>
      <w:pPr>
        <w:shd w:val="clear"/>
        <w:spacing w:line="360" w:lineRule="auto"/>
        <w:ind w:firstLine="316" w:firstLineChars="15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 xml:space="preserve">20.4.7竞争性磋商采购文件变动  </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⑴ 第一轮磋商结束后，各供应商退场等候，由磋商小组组长主持，根据竞争性磋商采购文件和磋商情况结合第一轮磋商整体情况，可以对竞争性磋商采购文件采购需求中已事先明确的可能实质性变动采购需求中的技术、服务要求以及协议草案条款进行统一变动，但不得变动竞争性磋商采购文件中的其他内容。实质性变动的内容，须经采购人代表确认。  </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对竞争性磋商采购文件作出的实质性变动是竞争性磋商采购文件的有效组成部分，磋商小组应当及时以书面形式同时通知所有参加磋商的供应商，并要求供应商做出书面响应。</w:t>
      </w:r>
    </w:p>
    <w:p>
      <w:pPr>
        <w:shd w:val="clear"/>
        <w:spacing w:line="360" w:lineRule="auto"/>
        <w:ind w:firstLine="315" w:firstLineChars="15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 xml:space="preserve">⑵ 供应商应当按照竞争性磋商采购文件的变动情况和磋商小组的要求重新提交竞争性磋商响应文件，并由其法定代表人或授权代表签字或者加盖公章后密封递交。由授权代表（委托代理人）签字的，应当附法定代表人授权书。供应商为自然人的，应当由本人签字并附身份证明。逾时不交的，视同放弃磋商。重新提交的响应文件与竞争性磋商响应文件同具法律效力。  </w:t>
      </w:r>
    </w:p>
    <w:p>
      <w:pPr>
        <w:shd w:val="clear"/>
        <w:spacing w:line="360" w:lineRule="auto"/>
        <w:ind w:firstLine="316" w:firstLineChars="15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20.4.8第二轮磋商</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磋商小组集中就重新提交的响应文件或磋商小组提出的磋商意见与单一响应供应商分别进行磋商。本公司对磋商过程和重要磋商内容进行记录，磋商双方在记录上签字确认。</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磋商后，供应商根据磋商小组统一整理的书面磋商记录要求做出书面承诺，并由其法定代表人或授权代表签字或者加盖公章后按时密封递交。</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当磋商小组一致确定供应商的竞争性磋商响应文件能够详细列明采购标的的技术、服务要求且符合竞争性磋商采购文件要求，无需再磋商的，磋商小组按竞争性磋商采购文件设定的13.4、13.8程序和综合评分法确定成交候选供应商。第二轮磋商后竞争性磋商采购文件仍有实质性变动的或仍需磋商的，磋商小组对竞争性磋商采购文件变动或提出磋商意见后进行第三轮磋商，以此类推。</w:t>
      </w:r>
    </w:p>
    <w:p>
      <w:pPr>
        <w:shd w:val="clear"/>
        <w:spacing w:line="360" w:lineRule="auto"/>
        <w:ind w:firstLine="316" w:firstLineChars="15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20.4.9最后报价</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20.4.10</w:t>
      </w:r>
      <w:r>
        <w:rPr>
          <w:rFonts w:hint="eastAsia" w:asciiTheme="minorEastAsia" w:hAnsiTheme="minorEastAsia" w:eastAsiaTheme="minorEastAsia" w:cstheme="minorEastAsia"/>
          <w:highlight w:val="none"/>
        </w:rPr>
        <w:t>磋商文件能够详细列明采购标的的技术、服务要求的，磋商结束后，磋商小组应当要求所有继续参加磋商的供应商在规定时间内密封提交最后报价，提交最后报价的供应商不得少于 3 家。</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20.4.11</w:t>
      </w:r>
      <w:r>
        <w:rPr>
          <w:rFonts w:hint="eastAsia" w:asciiTheme="minorEastAsia" w:hAnsiTheme="minorEastAsia" w:eastAsiaTheme="minorEastAsia" w:cstheme="minorEastAsia"/>
          <w:highlight w:val="none"/>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家以上供应商的设计方案或者解决方案，并要求其在规定时间内密封提交最后报价。</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20.4.12</w:t>
      </w:r>
      <w:r>
        <w:rPr>
          <w:rFonts w:hint="eastAsia" w:asciiTheme="minorEastAsia" w:hAnsiTheme="minorEastAsia" w:eastAsiaTheme="minorEastAsia" w:cstheme="minorEastAsia"/>
          <w:highlight w:val="none"/>
        </w:rPr>
        <w:t>属于市场竞争不充分的科研项目，以及需要扶持的科技成果转化项目，提交最后报价的供应商可以为 2 家。</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20.4.13</w:t>
      </w:r>
      <w:r>
        <w:rPr>
          <w:rFonts w:hint="eastAsia" w:asciiTheme="minorEastAsia" w:hAnsiTheme="minorEastAsia" w:eastAsiaTheme="minorEastAsia" w:cstheme="minorEastAsia"/>
          <w:highlight w:val="none"/>
        </w:rPr>
        <w:t>根据财库【2015】124 号《财政部关于政府采购竞争性磋商采购方式管理暂行办法有关问题的补充通知》的规定，采用竞争性磋商采购方式采购的政府购买服务项目（含政府和社会资本合作项目），在采购过程中符合要求的供应商（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20.4.14</w:t>
      </w:r>
      <w:r>
        <w:rPr>
          <w:rFonts w:hint="eastAsia" w:asciiTheme="minorEastAsia" w:hAnsiTheme="minorEastAsia" w:eastAsiaTheme="minorEastAsia" w:cstheme="minorEastAsia"/>
          <w:highlight w:val="none"/>
        </w:rPr>
        <w:t>最后报价是供应商响应文件的有效组成部分。</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20.4.15</w:t>
      </w:r>
      <w:r>
        <w:rPr>
          <w:rFonts w:hint="eastAsia" w:asciiTheme="minorEastAsia" w:hAnsiTheme="minorEastAsia" w:eastAsiaTheme="minorEastAsia" w:cstheme="minorEastAsia"/>
          <w:highlight w:val="none"/>
        </w:rPr>
        <w:t>已经提交响应文件的供应商，在提交最后报价之前，可以根据磋商情况退出磋商。</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20.4.16</w:t>
      </w:r>
      <w:r>
        <w:rPr>
          <w:rFonts w:hint="eastAsia" w:asciiTheme="minorEastAsia" w:hAnsiTheme="minorEastAsia" w:eastAsiaTheme="minorEastAsia" w:cstheme="minorEastAsia"/>
          <w:highlight w:val="none"/>
        </w:rPr>
        <w:t>响应供应商的报价均超过了采购预算，采购人不能支付的，磋商活动终止。</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20.4.17</w:t>
      </w:r>
      <w:r>
        <w:rPr>
          <w:rFonts w:hint="eastAsia" w:asciiTheme="minorEastAsia" w:hAnsiTheme="minorEastAsia" w:eastAsiaTheme="minorEastAsia" w:cstheme="minorEastAsia"/>
          <w:highlight w:val="none"/>
        </w:rPr>
        <w:t>低于成本报价</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pPr>
        <w:shd w:val="clear"/>
        <w:spacing w:line="360" w:lineRule="auto"/>
        <w:ind w:firstLine="316" w:firstLineChars="15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20.4.18最后报价及成交候选供应商推荐</w:t>
      </w:r>
    </w:p>
    <w:p>
      <w:pPr>
        <w:shd w:val="clea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磋商结束后，磋商小组要求所有继续参加磋商的供应商在规定时间内提交最后报价。继续参加磋商的供应商作最后报价，由其法定代表人或授权代表签字或者加盖公章后密封递交磋商小组。</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磋商小组根据综合评分情况，按照评审得分由高到低顺序推荐3名成交候选供应商（如为本须知</w:t>
      </w:r>
      <w:r>
        <w:rPr>
          <w:rFonts w:hint="eastAsia" w:asciiTheme="minorEastAsia" w:hAnsiTheme="minorEastAsia" w:eastAsiaTheme="minorEastAsia" w:cstheme="minorEastAsia"/>
          <w:b/>
          <w:bCs/>
          <w:highlight w:val="none"/>
        </w:rPr>
        <w:t>20.4.12、20.4.13</w:t>
      </w:r>
      <w:r>
        <w:rPr>
          <w:rFonts w:hint="eastAsia" w:asciiTheme="minorEastAsia" w:hAnsiTheme="minorEastAsia" w:eastAsiaTheme="minorEastAsia" w:cstheme="minorEastAsia"/>
          <w:highlight w:val="none"/>
        </w:rPr>
        <w:t xml:space="preserve">规定的情形，可以推荐2家成交候选供应商），并编写评审报告。评审得分相同的，按照最后报价由低到高的顺序推荐。评审得分且最后报价相同的，按照技术指标优劣顺序推荐，由采购单位确定成交候选供应商。最后报价是供应商竞争性磋商响应文件的有效组成部分。 </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hd w:val="clear"/>
        <w:spacing w:line="360" w:lineRule="auto"/>
        <w:ind w:firstLine="316" w:firstLineChars="15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在评标过程中出现法律法规和磋商文件均没有明确规定的情形时，由磋商小组现场协商解决，协商不一致的，由全体磋商小组投票表决，以得票率二分之一以上专家的意见为准。</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20.4.19</w:t>
      </w:r>
      <w:r>
        <w:rPr>
          <w:rFonts w:hint="eastAsia" w:asciiTheme="minorEastAsia" w:hAnsiTheme="minorEastAsia" w:eastAsiaTheme="minorEastAsia" w:cstheme="minorEastAsia"/>
          <w:highlight w:val="none"/>
        </w:rPr>
        <w:t>出现下列情形之一的，采购人或者采购代理机构应当终止竞争性磋商采购活动，发布项目终止公告并说明原因，重新开展采购活动：</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（一）因情况变化，不再符合规定的竞争性磋商采购方式适用情形的；</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（二）出现影响采购公正的违法、违规行为的；</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（三）除本须知20.4.12、20.4.13规定的情形外，在采购过程中符合要求的供应商或者报价未超过采购预算的供应商不足3家的。</w:t>
      </w:r>
    </w:p>
    <w:p>
      <w:pPr>
        <w:shd w:val="clear"/>
        <w:spacing w:line="360" w:lineRule="auto"/>
        <w:ind w:firstLine="316"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20.4.20</w:t>
      </w:r>
      <w:r>
        <w:rPr>
          <w:rFonts w:hint="eastAsia" w:asciiTheme="minorEastAsia" w:hAnsiTheme="minorEastAsia" w:eastAsiaTheme="minorEastAsia" w:cstheme="minorEastAsia"/>
          <w:highlight w:val="none"/>
        </w:rPr>
        <w:t>本采购项目的评审依据为竞争性磋商采购文件和竞争性磋商响应文件，采用的评审方法为</w:t>
      </w:r>
      <w:r>
        <w:rPr>
          <w:rFonts w:hint="eastAsia" w:asciiTheme="minorEastAsia" w:hAnsiTheme="minorEastAsia" w:eastAsiaTheme="minorEastAsia" w:cstheme="minorEastAsia"/>
          <w:highlight w:val="none"/>
          <w:u w:val="single"/>
        </w:rPr>
        <w:t>综合评分法</w:t>
      </w:r>
      <w:r>
        <w:rPr>
          <w:rFonts w:hint="eastAsia" w:asciiTheme="minorEastAsia" w:hAnsiTheme="minorEastAsia" w:eastAsiaTheme="minorEastAsia" w:cstheme="minorEastAsia"/>
          <w:highlight w:val="none"/>
        </w:rPr>
        <w:t>。</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20.5磋商原则</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20.5.1、必须公平、公正、客观，不带任何倾向性和启发性；</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20.5.2、磋商人员不得向外界透露任何与磋商有关的内容； </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20.5.3、任何单位和个人不得干扰、影响谈判的正常进行；</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20.5.4、磋商人员不得私下与磋商单位接触。</w:t>
      </w:r>
    </w:p>
    <w:p>
      <w:pPr>
        <w:shd w:val="clear"/>
        <w:spacing w:line="400" w:lineRule="exact"/>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七、评标</w:t>
      </w:r>
    </w:p>
    <w:p>
      <w:pPr>
        <w:shd w:val="clear"/>
        <w:spacing w:line="40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21．评标内容的保密</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w:t>
      </w:r>
      <w:r>
        <w:rPr>
          <w:rFonts w:hint="eastAsia" w:asciiTheme="minorEastAsia" w:hAnsiTheme="minorEastAsia" w:eastAsiaTheme="minorEastAsia" w:cstheme="minorEastAsia"/>
          <w:spacing w:val="2"/>
          <w:highlight w:val="none"/>
        </w:rPr>
        <w:t>截</w:t>
      </w:r>
      <w:r>
        <w:rPr>
          <w:rFonts w:hint="eastAsia" w:asciiTheme="minorEastAsia" w:hAnsiTheme="minorEastAsia" w:eastAsiaTheme="minorEastAsia" w:cstheme="minorEastAsia"/>
          <w:highlight w:val="none"/>
        </w:rPr>
        <w:t>标后，直到宣布授予成交人合同为止，凡属于审查、澄清、评价和比较竞标的有关资料及有关授予合同的信息，都不应向磋商人或与评标无关的其他人泄露。</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 在响应文件的审查、澄清、评价和比较以及授予合同的过程中，磋商人对采购人和磋商小组成员施加影响的任何行为，都将导致被取消竞标资格。</w:t>
      </w:r>
    </w:p>
    <w:p>
      <w:pPr>
        <w:shd w:val="clear"/>
        <w:spacing w:line="40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22．资格审查</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22.1本工程采用资格后审的方式进行资格审查，参加本次磋商的单位均要通过资格后审才能获得磋商资格。</w:t>
      </w:r>
    </w:p>
    <w:p>
      <w:pPr>
        <w:shd w:val="clear"/>
        <w:spacing w:line="40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23．响应文件的符合性鉴定</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 在详细评标之前，磋商小组将首先审定每份响应文件是否在实质上响应了竞争性磋商采购文件的要求。</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23.2 就本条款而言，实质上响应要求的响应文件，应该与竞争性磋商采购文件的所规定的工程承包范围、质量标准及运用产生实质性影响；或者对合同中规定的采购人的权力及磋商人的责任造成实质性限制。</w:t>
      </w:r>
    </w:p>
    <w:p>
      <w:pPr>
        <w:shd w:val="clear"/>
        <w:spacing w:line="40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24．响应文件的澄清</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为了有助于响应文件的审查、评价和比较，磋商小组可以个别地要求磋商人澄清其响应文件。有关澄清的要求与答复，应以书面形式进行。</w:t>
      </w:r>
    </w:p>
    <w:p>
      <w:pPr>
        <w:shd w:val="clear"/>
        <w:spacing w:line="40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25．错误的修正</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25.1磋商小组将对确定为实质上响应竞争性磋商采购文件要求的响应文件进行校核，看其是否有计算上或累计上的算术错误，修正错误的原则如下：</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25.1.1 如果用阿拉伯数字表示的数额与用汉语文字表示的数额（人民币大写）不一致时，以汉语文字数额（人民币大写）为准。</w:t>
      </w:r>
    </w:p>
    <w:p>
      <w:pPr>
        <w:shd w:val="clear"/>
        <w:spacing w:line="40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25.1.2 响应文件正本与响应文件副本不符的以正本为准。</w:t>
      </w:r>
    </w:p>
    <w:p>
      <w:pPr>
        <w:shd w:val="clear"/>
        <w:spacing w:line="46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25.2 按上述修改错误的方法，调整竞标书中的磋商报价。经磋商人确认同意后，调整后的报价对磋商人起约束作用。如果磋商人不接受修正后的磋商报价则其竞标将被拒绝，视为无效竞标。</w:t>
      </w:r>
    </w:p>
    <w:p>
      <w:pPr>
        <w:shd w:val="clear"/>
        <w:spacing w:line="38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26．响应文件的评价与比较</w:t>
      </w:r>
    </w:p>
    <w:p>
      <w:pPr>
        <w:shd w:val="clear"/>
        <w:spacing w:line="38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26.1磋商小组将仅对依照本须知第23条确定为实质上响应竞争性磋商采购文件要求（即符合性鉴定合格）的响应文件进行评价与比较。</w:t>
      </w:r>
    </w:p>
    <w:p>
      <w:pPr>
        <w:shd w:val="clear"/>
        <w:spacing w:line="38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26.2 磋商小组将依照本须知第25条对通过符合性鉴定的响应文件的磋商报价进行校核与修正。</w:t>
      </w:r>
    </w:p>
    <w:p>
      <w:pPr>
        <w:shd w:val="clear"/>
        <w:spacing w:line="440" w:lineRule="exact"/>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highlight w:val="none"/>
        </w:rPr>
        <w:t>27．</w:t>
      </w:r>
      <w:r>
        <w:rPr>
          <w:rFonts w:hint="eastAsia" w:asciiTheme="minorEastAsia" w:hAnsiTheme="minorEastAsia" w:eastAsiaTheme="minorEastAsia" w:cstheme="minorEastAsia"/>
          <w:b/>
          <w:spacing w:val="2"/>
          <w:highlight w:val="none"/>
        </w:rPr>
        <w:t>响应文件有下列情况之一者将视为竞标无效：</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27.1磋商人资质不符合响应文件要求的最低资质的企业营业执照；</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27.2 响应文件未按规定密封；</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27.3 磋商单位法定代表人或其委托代理人未按规定签章；</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27.4 磋商单位未加盖单位公章；</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27.5 未按规定的格式填写或者字迹模糊、辨认不清；</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27.6</w:t>
      </w:r>
      <w:r>
        <w:rPr>
          <w:rFonts w:hint="eastAsia" w:asciiTheme="minorEastAsia" w:hAnsiTheme="minorEastAsia" w:eastAsiaTheme="minorEastAsia" w:cstheme="minorEastAsia"/>
          <w:b/>
          <w:bCs/>
          <w:highlight w:val="none"/>
        </w:rPr>
        <w:t>在进行到截标会议议程时，没有按20.1款规定递交有效证件的或磋商人法定代表人或授权代表未按时参加截标会议</w:t>
      </w:r>
      <w:r>
        <w:rPr>
          <w:rFonts w:hint="eastAsia" w:asciiTheme="minorEastAsia" w:hAnsiTheme="minorEastAsia" w:eastAsiaTheme="minorEastAsia" w:cstheme="minorEastAsia"/>
          <w:b/>
          <w:bCs/>
          <w:spacing w:val="2"/>
          <w:highlight w:val="none"/>
        </w:rPr>
        <w:t>的；</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27.7竞标截止时间以后送达的响应文件；</w:t>
      </w:r>
    </w:p>
    <w:p>
      <w:pPr>
        <w:shd w:val="clear"/>
        <w:spacing w:line="440" w:lineRule="exact"/>
        <w:ind w:firstLine="421" w:firstLineChars="196"/>
        <w:rPr>
          <w:rFonts w:asciiTheme="minorEastAsia" w:hAnsiTheme="minorEastAsia" w:eastAsiaTheme="minorEastAsia" w:cstheme="minorEastAsia"/>
          <w:b/>
          <w:spacing w:val="2"/>
          <w:highlight w:val="none"/>
        </w:rPr>
      </w:pPr>
      <w:r>
        <w:rPr>
          <w:rFonts w:hint="eastAsia" w:asciiTheme="minorEastAsia" w:hAnsiTheme="minorEastAsia" w:eastAsiaTheme="minorEastAsia" w:cstheme="minorEastAsia"/>
          <w:b/>
          <w:spacing w:val="2"/>
          <w:highlight w:val="none"/>
        </w:rPr>
        <w:t>27.8响应文件内容不真实。</w:t>
      </w:r>
    </w:p>
    <w:p>
      <w:pPr>
        <w:pStyle w:val="152"/>
        <w:shd w:val="clear"/>
        <w:spacing w:line="360" w:lineRule="auto"/>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28．评标办法</w:t>
      </w:r>
    </w:p>
    <w:p>
      <w:pPr>
        <w:shd w:val="clear"/>
        <w:spacing w:line="360" w:lineRule="auto"/>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 xml:space="preserve">   </w:t>
      </w:r>
      <w:r>
        <w:rPr>
          <w:rFonts w:hint="eastAsia" w:asciiTheme="minorEastAsia" w:hAnsiTheme="minorEastAsia" w:eastAsiaTheme="minorEastAsia" w:cstheme="minorEastAsia"/>
          <w:bCs/>
          <w:highlight w:val="none"/>
        </w:rPr>
        <w:t xml:space="preserve"> 综合评分法，</w:t>
      </w:r>
      <w:r>
        <w:rPr>
          <w:rFonts w:hint="eastAsia" w:asciiTheme="minorEastAsia" w:hAnsiTheme="minorEastAsia" w:eastAsiaTheme="minorEastAsia" w:cstheme="minorEastAsia"/>
          <w:highlight w:val="none"/>
        </w:rPr>
        <w:t>详见第六章评标办法。</w:t>
      </w:r>
    </w:p>
    <w:p>
      <w:pPr>
        <w:shd w:val="clear"/>
        <w:spacing w:line="460" w:lineRule="exact"/>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八、授予合同</w:t>
      </w:r>
    </w:p>
    <w:p>
      <w:pPr>
        <w:shd w:val="clear"/>
        <w:spacing w:line="46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29．合同授予标准</w:t>
      </w:r>
    </w:p>
    <w:p>
      <w:pPr>
        <w:shd w:val="clear"/>
        <w:spacing w:line="46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采购人将把本合同授予其响应文件实质上响应竞争性磋商采购文件要求和按本须知第28条规定评选出的磋商人，确定为成交人必须具有实施本工程合同的能力和资源。</w:t>
      </w:r>
    </w:p>
    <w:p>
      <w:pPr>
        <w:shd w:val="clear"/>
        <w:spacing w:line="46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30．评标结果公示</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30.1在评标结束的两个工作日内，</w:t>
      </w:r>
      <w:r>
        <w:rPr>
          <w:rFonts w:hint="eastAsia" w:asciiTheme="minorEastAsia" w:hAnsiTheme="minorEastAsia" w:eastAsiaTheme="minorEastAsia" w:cstheme="minorEastAsia"/>
          <w:spacing w:val="2"/>
          <w:highlight w:val="none"/>
        </w:rPr>
        <w:t>在http://www.ccgp.gov.cn（中国政府采购网）、http://www.gxzfcg.gov.cn（广西壮族自治区政府采购网）、</w:t>
      </w:r>
      <w:r>
        <w:rPr>
          <w:rFonts w:hint="eastAsia" w:asciiTheme="minorEastAsia" w:hAnsiTheme="minorEastAsia" w:eastAsiaTheme="minorEastAsia" w:cstheme="minorEastAsia"/>
          <w:spacing w:val="2"/>
          <w:highlight w:val="none"/>
          <w:lang w:eastAsia="zh-CN"/>
        </w:rPr>
        <w:t>http://ggzy.jgswj.gxzf.gov.cn/ggggzy/全国公共资源交易平台（广西</w:t>
      </w:r>
      <w:r>
        <w:rPr>
          <w:rFonts w:hint="eastAsia" w:ascii="宋体" w:hAnsi="宋体" w:eastAsia="宋体" w:cs="宋体"/>
          <w:spacing w:val="2"/>
          <w:highlight w:val="none"/>
          <w:lang w:eastAsia="zh-CN"/>
        </w:rPr>
        <w:t>·</w:t>
      </w:r>
      <w:r>
        <w:rPr>
          <w:rFonts w:hint="eastAsia" w:asciiTheme="minorEastAsia" w:hAnsiTheme="minorEastAsia" w:eastAsiaTheme="minorEastAsia" w:cstheme="minorEastAsia"/>
          <w:spacing w:val="2"/>
          <w:highlight w:val="none"/>
          <w:lang w:eastAsia="zh-CN"/>
        </w:rPr>
        <w:t>贵港）</w:t>
      </w:r>
      <w:r>
        <w:rPr>
          <w:rFonts w:hint="eastAsia" w:asciiTheme="minorEastAsia" w:hAnsiTheme="minorEastAsia" w:eastAsiaTheme="minorEastAsia" w:cstheme="minorEastAsia"/>
          <w:spacing w:val="2"/>
          <w:highlight w:val="none"/>
        </w:rPr>
        <w:t>、http://zfcg.czj.gxgg.gov.cn/（贵港市政府采购网）公示评标结果。</w:t>
      </w:r>
    </w:p>
    <w:p>
      <w:pPr>
        <w:shd w:val="clear"/>
        <w:spacing w:line="46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31．成交通知书</w:t>
      </w:r>
    </w:p>
    <w:p>
      <w:pPr>
        <w:shd w:val="clear"/>
        <w:spacing w:line="46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31.1公示日</w:t>
      </w: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个工作后如无质疑可以向成交人发成交通知书。在该通知书（以下合同条件中称“成交通知书”）中给出采购人对成交的磋商人按本合同施工、竣工和保修工程的成交标价（以下合同条件中称为“合同价格”），以及工期、质量和有关合同签订的日期、地点。</w:t>
      </w:r>
    </w:p>
    <w:p>
      <w:pPr>
        <w:shd w:val="clear"/>
        <w:spacing w:line="46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31.2成交通知书为合同的组成部分。</w:t>
      </w:r>
    </w:p>
    <w:p>
      <w:pPr>
        <w:shd w:val="clear"/>
        <w:spacing w:line="460" w:lineRule="exact"/>
        <w:ind w:firstLine="409" w:firstLineChars="19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31.3</w:t>
      </w:r>
      <w:r>
        <w:rPr>
          <w:rFonts w:hint="eastAsia" w:asciiTheme="minorEastAsia" w:hAnsiTheme="minorEastAsia" w:eastAsiaTheme="minorEastAsia" w:cstheme="minorEastAsia"/>
          <w:spacing w:val="2"/>
          <w:highlight w:val="none"/>
        </w:rPr>
        <w:t>采购代理机构</w:t>
      </w:r>
      <w:r>
        <w:rPr>
          <w:rFonts w:hint="eastAsia" w:asciiTheme="minorEastAsia" w:hAnsiTheme="minorEastAsia" w:eastAsiaTheme="minorEastAsia" w:cstheme="minorEastAsia"/>
          <w:highlight w:val="none"/>
        </w:rPr>
        <w:t>应及时将未成交的结果通知其他磋商人。</w:t>
      </w:r>
    </w:p>
    <w:p>
      <w:pPr>
        <w:shd w:val="clear"/>
        <w:spacing w:line="46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32．合同协议书的签署</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32.1根据《贵港市财政局关于深化政府采购制度改革优化营商环境工作有关事项的通知》（贵财采[2020] 16号）文件精神，对中标、成交结果公告无异议的项目在中标、成交通知书发出之日起 7个工作日内和中标、成交供应商签订采购合同，倡导各采购人尽量压缩合同签订时间。</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32.2 成交供应商拒绝签订采购合同的，采购人可以根据磋商评审报告确定成交供应商之后排名第一的成交候选供应商作为成交供应商并签订采购合同，也可以重新组织开展采购活动。拒绝签订采购合同的成交供应商不得再参加对该项目重新组织开展的采购活动。</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32.3 成交供应商拒绝签订采购合同的，其保证金将不予退还，并上缴采购人，给采购人造成其损失的，还应当赔偿损失，并作为不良行为记录在案。</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32.4根据《中华人民共和国政府采购法实施条例》第五十条规定，采购人应当自采购合同签订之日起2个工作日内，将采购合同在竞争性磋商采购公告发布的媒体上公告，但采购合同中涉及国家秘密、商业秘密的内容除外。</w:t>
      </w:r>
    </w:p>
    <w:p>
      <w:pPr>
        <w:shd w:val="clear"/>
        <w:spacing w:line="380" w:lineRule="exac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33．履约保证金</w:t>
      </w:r>
    </w:p>
    <w:p>
      <w:pPr>
        <w:pStyle w:val="25"/>
        <w:shd w:val="clear"/>
        <w:spacing w:line="380" w:lineRule="exact"/>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本项目不需要提交履约保证金。</w:t>
      </w:r>
    </w:p>
    <w:p>
      <w:pPr>
        <w:pStyle w:val="25"/>
        <w:shd w:val="clear"/>
        <w:spacing w:line="380" w:lineRule="exact"/>
        <w:ind w:firstLine="422" w:firstLineChars="20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九、其他事项</w:t>
      </w:r>
    </w:p>
    <w:p>
      <w:pPr>
        <w:pStyle w:val="25"/>
        <w:shd w:val="clear"/>
        <w:spacing w:line="380" w:lineRule="exact"/>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34．成交服务费</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签订合同前，成交人须向采购代理机构一次性付清成交服务费，其金额按《国家发展改革委关于进一步放开建设项目专业服务价格的通知》（发改价格〔2015〕299号），本项目招标代理服务费为：按中标金额计算，否则，采购代理机构将视之为违约。</w:t>
      </w:r>
    </w:p>
    <w:p>
      <w:pPr>
        <w:pStyle w:val="25"/>
        <w:shd w:val="clear"/>
        <w:spacing w:line="380" w:lineRule="exact"/>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35．解释权</w:t>
      </w:r>
    </w:p>
    <w:p>
      <w:pPr>
        <w:pStyle w:val="25"/>
        <w:shd w:val="clear"/>
        <w:spacing w:line="380" w:lineRule="exact"/>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35.1本竞争性磋商采购文件</w:t>
      </w:r>
      <w:r>
        <w:rPr>
          <w:rFonts w:hint="eastAsia" w:asciiTheme="minorEastAsia" w:hAnsiTheme="minorEastAsia" w:eastAsiaTheme="minorEastAsia" w:cstheme="minorEastAsia"/>
          <w:spacing w:val="2"/>
          <w:sz w:val="21"/>
          <w:szCs w:val="21"/>
          <w:highlight w:val="none"/>
        </w:rPr>
        <w:t>是根据《中华人民共和国政府采购法实施条例》、《政府采购竞争性磋商采购方式管理暂行办法》及参照国际惯例编制，解释权属本采购代理机构。</w:t>
      </w:r>
    </w:p>
    <w:p>
      <w:pPr>
        <w:pStyle w:val="25"/>
        <w:shd w:val="clear"/>
        <w:spacing w:line="380" w:lineRule="exact"/>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36．联系地址与其他</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36.1所有与本采购文件有关的函电请按下列通讯地址联系：</w:t>
      </w:r>
    </w:p>
    <w:p>
      <w:pPr>
        <w:shd w:val="clear"/>
        <w:spacing w:line="360" w:lineRule="auto"/>
        <w:ind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名    称：</w:t>
      </w:r>
      <w:r>
        <w:rPr>
          <w:rFonts w:hint="eastAsia" w:asciiTheme="minorEastAsia" w:hAnsiTheme="minorEastAsia" w:eastAsiaTheme="minorEastAsia" w:cstheme="minorEastAsia"/>
          <w:highlight w:val="none"/>
          <w:lang w:eastAsia="zh-CN"/>
        </w:rPr>
        <w:t>贵港市港北区交通运输局</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址：贵港市</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联系方式：</w:t>
      </w:r>
      <w:r>
        <w:rPr>
          <w:rFonts w:hint="eastAsia" w:asciiTheme="minorEastAsia" w:hAnsiTheme="minorEastAsia" w:eastAsiaTheme="minorEastAsia" w:cstheme="minorEastAsia"/>
          <w:highlight w:val="none"/>
          <w:lang w:val="en-US" w:eastAsia="zh-CN"/>
        </w:rPr>
        <w:t>何工</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0775-</w:t>
      </w:r>
      <w:r>
        <w:rPr>
          <w:rFonts w:hint="eastAsia" w:asciiTheme="minorEastAsia" w:hAnsiTheme="minorEastAsia" w:eastAsiaTheme="minorEastAsia" w:cstheme="minorEastAsia"/>
          <w:highlight w:val="none"/>
          <w:lang w:val="en-US" w:eastAsia="zh-CN"/>
        </w:rPr>
        <w:t xml:space="preserve">4562563 </w:t>
      </w:r>
      <w:r>
        <w:rPr>
          <w:rFonts w:hint="eastAsia" w:asciiTheme="minorEastAsia" w:hAnsiTheme="minorEastAsia" w:eastAsiaTheme="minorEastAsia" w:cstheme="minorEastAsia"/>
          <w:highlight w:val="none"/>
        </w:rPr>
        <w:t xml:space="preserve">    </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   称：广西建展建设工程管理集团有限公司</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址：广西贵港市港北区金港大道844号万港城6幢14层1402号</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联系方式：廖思鸿0775-4598668</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开户名称：广西建展建设工程管理集团有限公司</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开户银行：广西北部湾银行股份有限公司贵港分行</w:t>
      </w:r>
    </w:p>
    <w:p>
      <w:p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帐 号：8001 1065 9400 013</w:t>
      </w:r>
    </w:p>
    <w:p>
      <w:pPr>
        <w:shd w:val="clear"/>
        <w:spacing w:line="360" w:lineRule="auto"/>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37.回避</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在采购活动中，采购人员及相关人员与供应商有下列利害关系之一的，应当回避：</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(一)参加采购活动前3年内与供应商存在劳动关系;</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(二)参加采购活动前3年内担任供应商的董事、监事;</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(三)参加采购活动前3年内是供应商的控股股东或者实际控制人;</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(四)与供应商的法定代表人或者负责人有夫妻、直系血亲、三代以内旁系血亲或者近姻亲关系;</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(五)与供应商有其他可能影响政府采购活动公平、公正进行的关系。</w:t>
      </w:r>
    </w:p>
    <w:p>
      <w:pPr>
        <w:shd w:val="clear"/>
        <w:spacing w:line="360" w:lineRule="auto"/>
        <w:ind w:firstLine="315" w:firstLineChars="1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5"/>
        <w:shd w:val="clear"/>
        <w:spacing w:line="360" w:lineRule="auto"/>
        <w:jc w:val="center"/>
        <w:rPr>
          <w:rStyle w:val="58"/>
          <w:rFonts w:asciiTheme="minorEastAsia" w:hAnsiTheme="minorEastAsia" w:eastAsiaTheme="minorEastAsia" w:cstheme="minorEastAsia"/>
          <w:sz w:val="36"/>
          <w:szCs w:val="36"/>
          <w:highlight w:val="none"/>
        </w:rPr>
      </w:pPr>
      <w:bookmarkStart w:id="6" w:name="_Toc13906"/>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Style w:val="58"/>
          <w:rFonts w:asciiTheme="minorEastAsia" w:hAnsiTheme="minorEastAsia" w:eastAsiaTheme="minorEastAsia" w:cstheme="minorEastAsia"/>
          <w:sz w:val="36"/>
          <w:szCs w:val="36"/>
          <w:highlight w:val="none"/>
        </w:rPr>
      </w:pPr>
    </w:p>
    <w:p>
      <w:pPr>
        <w:pStyle w:val="25"/>
        <w:shd w:val="clear"/>
        <w:spacing w:line="360" w:lineRule="auto"/>
        <w:jc w:val="center"/>
        <w:rPr>
          <w:rFonts w:asciiTheme="minorEastAsia" w:hAnsiTheme="minorEastAsia" w:eastAsiaTheme="minorEastAsia" w:cstheme="minorEastAsia"/>
          <w:b/>
          <w:bCs/>
          <w:sz w:val="44"/>
          <w:szCs w:val="44"/>
          <w:highlight w:val="none"/>
        </w:rPr>
      </w:pPr>
      <w:r>
        <w:rPr>
          <w:rStyle w:val="58"/>
          <w:rFonts w:hint="eastAsia" w:asciiTheme="minorEastAsia" w:hAnsiTheme="minorEastAsia" w:eastAsiaTheme="minorEastAsia" w:cstheme="minorEastAsia"/>
          <w:sz w:val="36"/>
          <w:szCs w:val="36"/>
          <w:highlight w:val="none"/>
        </w:rPr>
        <w:t xml:space="preserve">第三章  </w:t>
      </w:r>
      <w:r>
        <w:rPr>
          <w:rFonts w:hint="eastAsia" w:asciiTheme="minorEastAsia" w:hAnsiTheme="minorEastAsia" w:eastAsiaTheme="minorEastAsia" w:cstheme="minorEastAsia"/>
          <w:highlight w:val="none"/>
        </w:rPr>
        <w:t xml:space="preserve"> </w:t>
      </w:r>
      <w:bookmarkEnd w:id="6"/>
      <w:bookmarkStart w:id="7" w:name="_Toc6795_WPSOffice_Level1"/>
      <w:r>
        <w:rPr>
          <w:rStyle w:val="58"/>
          <w:rFonts w:hint="eastAsia" w:asciiTheme="minorEastAsia" w:hAnsiTheme="minorEastAsia" w:eastAsiaTheme="minorEastAsia" w:cstheme="minorEastAsia"/>
          <w:sz w:val="36"/>
          <w:szCs w:val="36"/>
          <w:highlight w:val="none"/>
        </w:rPr>
        <w:t>合同书格式</w:t>
      </w:r>
      <w:bookmarkEnd w:id="7"/>
    </w:p>
    <w:p>
      <w:pPr>
        <w:pStyle w:val="3"/>
        <w:numPr>
          <w:ilvl w:val="0"/>
          <w:numId w:val="0"/>
        </w:numPr>
        <w:shd w:val="clear"/>
        <w:jc w:val="center"/>
        <w:rPr>
          <w:rFonts w:asciiTheme="minorEastAsia" w:hAnsiTheme="minorEastAsia" w:eastAsiaTheme="minorEastAsia" w:cstheme="minorEastAsia"/>
          <w:highlight w:val="none"/>
        </w:rPr>
      </w:pPr>
      <w:bookmarkStart w:id="8" w:name="_Toc296890982"/>
      <w:bookmarkStart w:id="9" w:name="_Toc351203480"/>
      <w:bookmarkStart w:id="10" w:name="_Toc296503025"/>
      <w:bookmarkStart w:id="11" w:name="_Toc389065255"/>
      <w:bookmarkStart w:id="12" w:name="_Toc407135191"/>
      <w:bookmarkStart w:id="13" w:name="_Toc373227552"/>
      <w:bookmarkStart w:id="14" w:name="_Toc12609346"/>
      <w:bookmarkStart w:id="15" w:name="_Toc373478199"/>
      <w:r>
        <w:rPr>
          <w:rFonts w:hint="eastAsia" w:asciiTheme="minorEastAsia" w:hAnsiTheme="minorEastAsia" w:eastAsiaTheme="minorEastAsia" w:cstheme="minorEastAsia"/>
          <w:highlight w:val="none"/>
        </w:rPr>
        <w:t>第一部分 合同协议书</w:t>
      </w:r>
      <w:bookmarkEnd w:id="8"/>
      <w:bookmarkEnd w:id="9"/>
      <w:bookmarkEnd w:id="10"/>
      <w:bookmarkEnd w:id="11"/>
      <w:bookmarkEnd w:id="12"/>
      <w:bookmarkEnd w:id="13"/>
      <w:bookmarkEnd w:id="14"/>
      <w:bookmarkEnd w:id="15"/>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（本格式编排在招标文件中，供竞标人参考，投标时不需填写）鉴于建设单位为修建（公路项目名称）并接受了承包人对该项工程</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rPr>
        <w:t>合同段（或大桥）的竞标函，现由（建设单位全称）（以下简称“建设单位”）为一方和（承包人全称）（以下简称“承包人”）为另一方于</w:t>
      </w:r>
      <w:r>
        <w:rPr>
          <w:rFonts w:hint="eastAsia" w:ascii="宋体" w:hAnsi="宋体" w:cs="宋体"/>
          <w:highlight w:val="none"/>
          <w:u w:val="single"/>
          <w:lang w:val="en-US" w:eastAsia="zh-CN"/>
        </w:rPr>
        <w:t xml:space="preserve">    </w:t>
      </w:r>
      <w:r>
        <w:rPr>
          <w:rFonts w:hint="eastAsia" w:ascii="宋体" w:hAnsi="宋体" w:eastAsia="宋体" w:cs="宋体"/>
          <w:highlight w:val="none"/>
        </w:rPr>
        <w:t>年</w:t>
      </w:r>
      <w:r>
        <w:rPr>
          <w:rFonts w:hint="eastAsia" w:ascii="宋体" w:hAnsi="宋体" w:cs="宋体"/>
          <w:highlight w:val="none"/>
          <w:u w:val="single"/>
          <w:lang w:val="en-US" w:eastAsia="zh-CN"/>
        </w:rPr>
        <w:t xml:space="preserve">  </w:t>
      </w:r>
      <w:r>
        <w:rPr>
          <w:rFonts w:hint="eastAsia" w:ascii="宋体" w:hAnsi="宋体" w:eastAsia="宋体" w:cs="宋体"/>
          <w:highlight w:val="none"/>
        </w:rPr>
        <w:t>月</w:t>
      </w:r>
      <w:r>
        <w:rPr>
          <w:rFonts w:hint="eastAsia" w:ascii="宋体" w:hAnsi="宋体" w:cs="宋体"/>
          <w:highlight w:val="none"/>
          <w:u w:val="single"/>
          <w:lang w:val="en-US" w:eastAsia="zh-CN"/>
        </w:rPr>
        <w:t xml:space="preserve">   </w:t>
      </w:r>
      <w:r>
        <w:rPr>
          <w:rFonts w:hint="eastAsia" w:ascii="宋体" w:hAnsi="宋体" w:eastAsia="宋体" w:cs="宋体"/>
          <w:highlight w:val="none"/>
        </w:rPr>
        <w:t>日共同达成并签订本协议如下：</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１.本合同段由 K ＋ 至K ＋ ，长约 km，技术标准</w:t>
      </w:r>
      <w:r>
        <w:rPr>
          <w:rFonts w:hint="eastAsia" w:ascii="宋体" w:hAnsi="宋体" w:cs="宋体"/>
          <w:highlight w:val="none"/>
          <w:u w:val="single"/>
          <w:lang w:val="en-US" w:eastAsia="zh-CN"/>
        </w:rPr>
        <w:t xml:space="preserve">   </w:t>
      </w:r>
      <w:r>
        <w:rPr>
          <w:rFonts w:hint="eastAsia" w:ascii="宋体" w:hAnsi="宋体" w:eastAsia="宋体" w:cs="宋体"/>
          <w:highlight w:val="none"/>
        </w:rPr>
        <w:t>级， 路面</w:t>
      </w:r>
      <w:r>
        <w:rPr>
          <w:rFonts w:hint="eastAsia" w:ascii="宋体" w:hAnsi="宋体" w:cs="宋体"/>
          <w:highlight w:val="none"/>
          <w:u w:val="single"/>
          <w:lang w:val="en-US" w:eastAsia="zh-CN"/>
        </w:rPr>
        <w:t xml:space="preserve">  </w:t>
      </w:r>
      <w:r>
        <w:rPr>
          <w:rFonts w:hint="eastAsia" w:ascii="宋体" w:hAnsi="宋体" w:eastAsia="宋体" w:cs="宋体"/>
          <w:highlight w:val="none"/>
        </w:rPr>
        <w:t>。有</w:t>
      </w:r>
      <w:r>
        <w:rPr>
          <w:rFonts w:hint="eastAsia" w:ascii="宋体" w:hAnsi="宋体" w:cs="宋体"/>
          <w:highlight w:val="none"/>
          <w:u w:val="single"/>
          <w:lang w:val="en-US" w:eastAsia="zh-CN"/>
        </w:rPr>
        <w:t xml:space="preserve">  </w:t>
      </w:r>
      <w:r>
        <w:rPr>
          <w:rFonts w:hint="eastAsia" w:ascii="宋体" w:hAnsi="宋体" w:eastAsia="宋体" w:cs="宋体"/>
          <w:highlight w:val="none"/>
        </w:rPr>
        <w:t>立交</w:t>
      </w:r>
      <w:r>
        <w:rPr>
          <w:rFonts w:hint="eastAsia" w:ascii="宋体" w:hAnsi="宋体" w:cs="宋体"/>
          <w:highlight w:val="none"/>
          <w:u w:val="single"/>
          <w:lang w:val="en-US" w:eastAsia="zh-CN"/>
        </w:rPr>
        <w:t xml:space="preserve">   </w:t>
      </w:r>
      <w:r>
        <w:rPr>
          <w:rFonts w:hint="eastAsia" w:ascii="宋体" w:hAnsi="宋体" w:eastAsia="宋体" w:cs="宋体"/>
          <w:highlight w:val="none"/>
        </w:rPr>
        <w:t>处；大中桥</w:t>
      </w:r>
      <w:r>
        <w:rPr>
          <w:rFonts w:hint="eastAsia" w:ascii="宋体" w:hAnsi="宋体" w:cs="宋体"/>
          <w:highlight w:val="none"/>
          <w:u w:val="single"/>
          <w:lang w:val="en-US" w:eastAsia="zh-CN"/>
        </w:rPr>
        <w:t xml:space="preserve">    </w:t>
      </w:r>
      <w:r>
        <w:rPr>
          <w:rFonts w:hint="eastAsia" w:ascii="宋体" w:hAnsi="宋体" w:eastAsia="宋体" w:cs="宋体"/>
          <w:highlight w:val="none"/>
        </w:rPr>
        <w:t>座，计长</w:t>
      </w:r>
      <w:r>
        <w:rPr>
          <w:rFonts w:hint="eastAsia" w:ascii="宋体" w:hAnsi="宋体" w:cs="宋体"/>
          <w:highlight w:val="none"/>
          <w:u w:val="single"/>
          <w:lang w:val="en-US" w:eastAsia="zh-CN"/>
        </w:rPr>
        <w:t xml:space="preserve">  </w:t>
      </w:r>
      <w:r>
        <w:rPr>
          <w:rFonts w:hint="eastAsia" w:ascii="宋体" w:hAnsi="宋体" w:eastAsia="宋体" w:cs="宋体"/>
          <w:highlight w:val="none"/>
        </w:rPr>
        <w:t>m；隧道</w:t>
      </w:r>
      <w:r>
        <w:rPr>
          <w:rFonts w:hint="eastAsia" w:ascii="宋体" w:hAnsi="宋体" w:cs="宋体"/>
          <w:highlight w:val="none"/>
          <w:u w:val="single"/>
          <w:lang w:val="en-US" w:eastAsia="zh-CN"/>
        </w:rPr>
        <w:t xml:space="preserve">   </w:t>
      </w:r>
      <w:r>
        <w:rPr>
          <w:rFonts w:hint="eastAsia" w:ascii="宋体" w:hAnsi="宋体" w:eastAsia="宋体" w:cs="宋体"/>
          <w:highlight w:val="none"/>
        </w:rPr>
        <w:t>座，计长</w:t>
      </w:r>
      <w:r>
        <w:rPr>
          <w:rFonts w:hint="eastAsia" w:ascii="宋体" w:hAnsi="宋体" w:cs="宋体"/>
          <w:highlight w:val="none"/>
          <w:u w:val="single"/>
          <w:lang w:val="en-US" w:eastAsia="zh-CN"/>
        </w:rPr>
        <w:t xml:space="preserve">   </w:t>
      </w:r>
      <w:r>
        <w:rPr>
          <w:rFonts w:hint="eastAsia" w:ascii="宋体" w:hAnsi="宋体" w:eastAsia="宋体" w:cs="宋体"/>
          <w:highlight w:val="none"/>
        </w:rPr>
        <w:t>m 以及其他构造物工程等。</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２.下列文件应视为构成并作为阅读和理解本协议书的组成部分，即：</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（1） 本合同协议书及附件（含合同谈判中澄清文件）；</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（2） 中标通知书；</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（3） 竞标函及竞标函附录（含承包人在评标期间递交和确认并经建设单位同意</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的对有关问题的补充资料和澄清文件等，如果有）；</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（4） 合同专用条款（含数据表和招标文件补遗书中与此有关的部分，如果有）；</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（5） 合同通用条款；</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（6） 技术规范（含招标文件补遗书中与此有关的部分，如果有）；</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（7） 图纸（含招标文件补遗书中与此有关的部分，如果有）；</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（8） 标价的工程量清单；</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（9） 竞标函附表（辅助资料表）；</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（10）构成本合同组成部分的其他文件。</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（11） 政府采购计划表。</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３.上述文件将互相补充，若有不明确或不一致之处，以上列次序在先者为准。</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４.根据工程量清单所列的预计数量和单价或总额价计算的本合同总价为人民币（大写） 元（￥ 元）。</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５.由于建设单位按本协议书第 6 条所述给承包人支付合同价款，承包人在此立约：保证在各方面按合同文件的规定承担本合同工程的实施和完成及其缺陷的修复。</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６.作为对本合同工程的实施和完成及其缺陷修复的报酬，建设单位在此立约：保证按照合同文件规定的时间和方式向承包人支付合同价款。</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７.承包人应在监理工程师发出开工令之后，在投标函附录中写明的开工期限内开工。本合同工程工期为 日历天，工期从上述开工期的最后一天算起。开工令应在签订合同协议书以后，在投标函附录中写明的发开工通知书期限内发出。</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８.本协议书在承包人提供履约担保后，由双方法定代表人或其授权的代理人签署与加盖公章后生效。全部工程完工后经交工验收合格、缺陷责任期满及保修期终止分别签发缺陷责任终止证书及保修期终止证书后失效。</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９.本协议书正本二份、副本 份，合同双方各执正本一份，副本 份，当正本与副本的内容不一致时，以正本为准。</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业 主：（单位全称）（盖章）</w:t>
      </w:r>
      <w:r>
        <w:rPr>
          <w:rFonts w:hint="eastAsia" w:ascii="宋体" w:hAnsi="宋体" w:cs="宋体"/>
          <w:highlight w:val="none"/>
          <w:lang w:val="en-US" w:eastAsia="zh-CN"/>
        </w:rPr>
        <w:t xml:space="preserve">                  </w:t>
      </w:r>
      <w:r>
        <w:rPr>
          <w:rFonts w:hint="eastAsia" w:ascii="宋体" w:hAnsi="宋体" w:eastAsia="宋体" w:cs="宋体"/>
          <w:highlight w:val="none"/>
        </w:rPr>
        <w:t>承 包 人：（单位全称）（盖章）</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法 定 代 表 人：</w:t>
      </w:r>
      <w:r>
        <w:rPr>
          <w:rFonts w:hint="eastAsia" w:ascii="宋体" w:hAnsi="宋体" w:cs="宋体"/>
          <w:highlight w:val="none"/>
          <w:lang w:val="en-US" w:eastAsia="zh-CN"/>
        </w:rPr>
        <w:t xml:space="preserve">                            </w:t>
      </w:r>
      <w:r>
        <w:rPr>
          <w:rFonts w:hint="eastAsia" w:ascii="宋体" w:hAnsi="宋体" w:eastAsia="宋体" w:cs="宋体"/>
          <w:highlight w:val="none"/>
        </w:rPr>
        <w:t xml:space="preserve"> 法 定 代 表 人：</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 xml:space="preserve">或其授权的代表人： （职务） </w:t>
      </w:r>
      <w:r>
        <w:rPr>
          <w:rFonts w:hint="eastAsia" w:ascii="宋体" w:hAnsi="宋体" w:cs="宋体"/>
          <w:highlight w:val="none"/>
          <w:lang w:val="en-US" w:eastAsia="zh-CN"/>
        </w:rPr>
        <w:t xml:space="preserve">                   </w:t>
      </w:r>
      <w:r>
        <w:rPr>
          <w:rFonts w:hint="eastAsia" w:ascii="宋体" w:hAnsi="宋体" w:eastAsia="宋体" w:cs="宋体"/>
          <w:highlight w:val="none"/>
        </w:rPr>
        <w:t xml:space="preserve">或其授权的代表人： （职务） </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cs="宋体"/>
          <w:highlight w:val="none"/>
          <w:lang w:val="en-US" w:eastAsia="zh-CN"/>
        </w:rPr>
        <w:t xml:space="preserve">                                        </w:t>
      </w:r>
      <w:r>
        <w:rPr>
          <w:rFonts w:hint="eastAsia" w:ascii="宋体" w:hAnsi="宋体" w:eastAsia="宋体" w:cs="宋体"/>
          <w:highlight w:val="none"/>
        </w:rPr>
        <w:t xml:space="preserve">（姓名） </w:t>
      </w:r>
    </w:p>
    <w:p>
      <w:pPr>
        <w:shd w:val="clea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 xml:space="preserve">（签字） </w:t>
      </w:r>
      <w:r>
        <w:rPr>
          <w:rFonts w:hint="eastAsia" w:ascii="宋体" w:hAnsi="宋体" w:cs="宋体"/>
          <w:highlight w:val="none"/>
          <w:lang w:val="en-US" w:eastAsia="zh-CN"/>
        </w:rPr>
        <w:t xml:space="preserve">                                       </w:t>
      </w:r>
      <w:r>
        <w:rPr>
          <w:rFonts w:hint="eastAsia" w:ascii="宋体" w:hAnsi="宋体" w:eastAsia="宋体" w:cs="宋体"/>
          <w:highlight w:val="none"/>
        </w:rPr>
        <w:t xml:space="preserve">（签字） </w:t>
      </w:r>
    </w:p>
    <w:p>
      <w:pPr>
        <w:shd w:val="clear"/>
        <w:spacing w:line="360" w:lineRule="auto"/>
        <w:ind w:firstLine="525" w:firstLineChars="250"/>
        <w:rPr>
          <w:rFonts w:hint="eastAsia" w:ascii="宋体" w:hAnsi="宋体" w:eastAsia="宋体" w:cs="宋体"/>
          <w:highlight w:val="none"/>
        </w:rPr>
      </w:pPr>
      <w:r>
        <w:rPr>
          <w:rFonts w:hint="eastAsia" w:ascii="宋体" w:hAnsi="宋体" w:eastAsia="宋体" w:cs="宋体"/>
          <w:highlight w:val="none"/>
        </w:rPr>
        <w:t>日 期： 年 月 日</w:t>
      </w:r>
    </w:p>
    <w:p>
      <w:pPr>
        <w:shd w:val="clear"/>
        <w:spacing w:line="360" w:lineRule="auto"/>
        <w:ind w:firstLine="315" w:firstLineChars="150"/>
        <w:rPr>
          <w:rFonts w:hint="eastAsia" w:ascii="宋体" w:hAnsi="宋体" w:eastAsia="宋体" w:cs="宋体"/>
          <w:highlight w:val="none"/>
        </w:rPr>
      </w:pPr>
    </w:p>
    <w:p>
      <w:pPr>
        <w:shd w:val="clear"/>
        <w:spacing w:line="360" w:lineRule="auto"/>
        <w:ind w:firstLine="315" w:firstLineChars="150"/>
        <w:rPr>
          <w:rFonts w:hint="eastAsia" w:ascii="宋体" w:hAnsi="宋体" w:eastAsia="宋体" w:cs="宋体"/>
          <w:highlight w:val="none"/>
        </w:rPr>
      </w:pPr>
    </w:p>
    <w:p>
      <w:pPr>
        <w:pStyle w:val="3"/>
        <w:numPr>
          <w:ilvl w:val="0"/>
          <w:numId w:val="0"/>
        </w:numPr>
        <w:shd w:val="clear"/>
        <w:jc w:val="center"/>
        <w:rPr>
          <w:rFonts w:asciiTheme="minorEastAsia" w:hAnsiTheme="minorEastAsia" w:eastAsiaTheme="minorEastAsia" w:cstheme="minorEastAsia"/>
          <w:highlight w:val="none"/>
        </w:rPr>
      </w:pPr>
      <w:r>
        <w:rPr>
          <w:rFonts w:hint="eastAsia" w:ascii="宋体" w:hAnsi="宋体" w:eastAsia="宋体" w:cs="宋体"/>
          <w:highlight w:val="none"/>
        </w:rPr>
        <w:br w:type="page"/>
      </w:r>
      <w:bookmarkStart w:id="16" w:name="_Toc12609347"/>
      <w:bookmarkStart w:id="17" w:name="_Toc407135192"/>
      <w:bookmarkStart w:id="18" w:name="_Toc389065256"/>
      <w:bookmarkStart w:id="19" w:name="_Toc351203632"/>
      <w:bookmarkStart w:id="20" w:name="_Toc373478338"/>
      <w:bookmarkStart w:id="21" w:name="_Toc373227691"/>
      <w:r>
        <w:rPr>
          <w:rFonts w:hint="eastAsia" w:asciiTheme="minorEastAsia" w:hAnsiTheme="minorEastAsia" w:eastAsiaTheme="minorEastAsia" w:cstheme="minorEastAsia"/>
          <w:highlight w:val="none"/>
        </w:rPr>
        <w:t xml:space="preserve">第二部分 </w:t>
      </w:r>
      <w:bookmarkEnd w:id="16"/>
      <w:bookmarkEnd w:id="17"/>
      <w:bookmarkEnd w:id="18"/>
      <w:r>
        <w:rPr>
          <w:rFonts w:hint="eastAsia" w:asciiTheme="minorEastAsia" w:hAnsiTheme="minorEastAsia" w:eastAsiaTheme="minorEastAsia" w:cstheme="minorEastAsia"/>
          <w:highlight w:val="none"/>
        </w:rPr>
        <w:t>廉政合同（格式）</w:t>
      </w:r>
    </w:p>
    <w:p>
      <w:pPr>
        <w:shd w:val="clear"/>
        <w:spacing w:line="360" w:lineRule="auto"/>
        <w:ind w:firstLine="420" w:firstLineChars="200"/>
        <w:rPr>
          <w:rFonts w:asciiTheme="minorEastAsia" w:hAnsiTheme="minorEastAsia" w:eastAsiaTheme="minorEastAsia" w:cstheme="minorEastAsia"/>
          <w:kern w:val="0"/>
          <w:highlight w:val="none"/>
        </w:rPr>
      </w:pP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以下简称“甲方”）与施工单位（全称）（以下简称“乙方”），特订立如下合同。</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１.甲乙双方的权利和义务</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严格遵守党的政策规定和国家有关法律法规及交通部的有关规定。</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严格执行（项目名称）工程的合同文件，自觉按合同办事。</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双方的业务活动坚持公开、公正、诚信、透明的原则（法律认定的商业秘密和合同文件另有规定除外），不得损害国家和集体利益，违反工程建设管理规章制度。</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 建立健全廉政制度，开展廉政教育，设立廉政告示牌，公布举报电话，监督并认真查处违法违纪行为。</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 发现对方在业务活动中有违反廉政规定的行为，有及时提醒对方纠正的权利和义务。</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 发现对方严重违反本合同义务条款的行为，有向其上级有关部门举报，建议给予处理并要求告知处理结果的权利。</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２.甲方的义务</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甲方及其工作人员不得索要或接受乙方的礼金、有价证券和贵重物品，不得在乙方报销任何应由甲方或甲方工作人员个人支付的费用等。</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甲方工作人员不得参加乙方安排的超标准宴请和娱乐活动；不得接受乙方提供的通讯工具、交通工具和高档办公用品等。</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甲方及其工作人员不得要求或者接受乙方为其住房装修、婚丧嫁娶活动、配偶子女的工作安排以及出国出境、旅游等提供方便等。</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 甲方工作人员及其配偶、子女不得从事与甲方工程有关的材料设备供应、工程分包、劳务等经济活动等。</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 甲方及其工作人员不得以任何理由向乙方推荐分包单位或推销材料，不得要求乙方购买合同规定外的材料和设备。</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 甲方工作人员要秉公办事，不准营私舞弊，不准利用职权从事各种个人有偿中介活动和安排个人施工队伍。</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３.乙方义务</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乙方不得以任何理由向甲方及其工作人员行贿或馈赠礼金、有价证券、贵重礼品。</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乙方不得以任何名义为甲方及其工作人员报销应由甲方单位或个人支付的任何费用。</w:t>
      </w:r>
    </w:p>
    <w:p>
      <w:pPr>
        <w:shd w:val="clear"/>
        <w:spacing w:line="360" w:lineRule="auto"/>
        <w:ind w:firstLine="315"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乙方不得以任何理由安排甲方工作人员参加超标准宴请及娱乐活动。</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（4） 乙方不得为甲方单位和个人购置或提供通讯工作、交通工具和高档办公用品等。</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bookmarkStart w:id="22" w:name="_Toc407135193"/>
      <w:bookmarkStart w:id="23" w:name="_Toc12609348"/>
      <w:bookmarkStart w:id="24" w:name="_Toc389065257"/>
      <w:r>
        <w:rPr>
          <w:rFonts w:hint="eastAsia" w:asciiTheme="minorEastAsia" w:hAnsiTheme="minorEastAsia" w:eastAsiaTheme="minorEastAsia" w:cstheme="minorEastAsia"/>
          <w:kern w:val="0"/>
          <w:sz w:val="21"/>
          <w:szCs w:val="21"/>
          <w:highlight w:val="none"/>
          <w:lang w:val="en-US" w:eastAsia="zh-CN" w:bidi="ar-SA"/>
        </w:rPr>
        <w:t>４.违约责任</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（1） 甲方及其工作人员违反本合同第一、二条，按管理权限，依据有关规定给予党纪、政纪或组织处理；涉嫌犯罪的，移交司法机关追究刑事责任；给乙方单位造成经济损失的，应予以赔偿。</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（2） 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５.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６.本合同有效期为甲乙双方签署之日起至该工程项目竣工验收后止。</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７.本合同作为（项目名称）工程施工合同的附件，与工程施工合同具有同等的法律效力，经合同双方签署立即生效。</w:t>
      </w:r>
    </w:p>
    <w:p>
      <w:pPr>
        <w:shd w:val="clear"/>
        <w:spacing w:line="360" w:lineRule="auto"/>
        <w:ind w:firstLine="315" w:firstLineChars="15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８.本合同一式四份，由甲乙双方各执一份，送交甲乙双方的监督单位各一份。</w:t>
      </w:r>
    </w:p>
    <w:bookmarkEnd w:id="19"/>
    <w:bookmarkEnd w:id="20"/>
    <w:bookmarkEnd w:id="21"/>
    <w:bookmarkEnd w:id="22"/>
    <w:bookmarkEnd w:id="23"/>
    <w:bookmarkEnd w:id="24"/>
    <w:p>
      <w:pPr>
        <w:shd w:val="clear"/>
        <w:spacing w:line="360" w:lineRule="auto"/>
        <w:rPr>
          <w:rFonts w:asciiTheme="minorEastAsia" w:hAnsiTheme="minorEastAsia" w:eastAsiaTheme="minorEastAsia" w:cstheme="minorEastAsia"/>
          <w:highlight w:val="none"/>
        </w:rPr>
      </w:pPr>
    </w:p>
    <w:p>
      <w:pPr>
        <w:shd w:val="clear"/>
        <w:spacing w:line="360" w:lineRule="auto"/>
        <w:rPr>
          <w:rFonts w:asciiTheme="minorEastAsia" w:hAnsiTheme="minorEastAsia" w:eastAsiaTheme="minorEastAsia" w:cstheme="minorEastAsia"/>
          <w:highlight w:val="none"/>
        </w:rPr>
      </w:pP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甲 方：（单位全称）（盖章）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乙 方：（单位全称）（盖章）</w:t>
      </w: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法 定 代 表 人：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法 定 代 表 人：</w:t>
      </w: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或其授权的代表人： （职务）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或其授权的代表人： （职务）</w:t>
      </w:r>
    </w:p>
    <w:p>
      <w:pPr>
        <w:shd w:val="clear"/>
        <w:spacing w:line="360" w:lineRule="auto"/>
        <w:rPr>
          <w:rFonts w:hint="eastAsia" w:asciiTheme="minorEastAsia" w:hAnsiTheme="minorEastAsia" w:eastAsiaTheme="minorEastAsia" w:cstheme="minorEastAsia"/>
          <w:highlight w:val="none"/>
        </w:rPr>
      </w:pP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（姓名）</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（姓名）</w:t>
      </w: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（签字）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（签字）</w:t>
      </w: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地 址：</w:t>
      </w: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电 话： </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电 话：</w:t>
      </w:r>
    </w:p>
    <w:p>
      <w:pPr>
        <w:shd w:val="clea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日 期：</w:t>
      </w:r>
    </w:p>
    <w:p>
      <w:pPr>
        <w:shd w:val="clea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甲方监督单位： （全称）（盖章）</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rPr>
        <w:t xml:space="preserve"> 甲方监督单位：（全称）（盖章）</w:t>
      </w: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spacing w:line="360" w:lineRule="auto"/>
        <w:rPr>
          <w:rFonts w:asciiTheme="minorEastAsia" w:hAnsiTheme="minorEastAsia" w:eastAsiaTheme="minorEastAsia" w:cstheme="minorEastAsia"/>
          <w:highlight w:val="none"/>
        </w:rPr>
      </w:pPr>
    </w:p>
    <w:p>
      <w:pPr>
        <w:pStyle w:val="39"/>
        <w:shd w:val="clear"/>
        <w:rPr>
          <w:rFonts w:asciiTheme="minorEastAsia" w:hAnsiTheme="minorEastAsia" w:eastAsiaTheme="minorEastAsia" w:cstheme="minorEastAsia"/>
          <w:highlight w:val="none"/>
        </w:rPr>
      </w:pPr>
      <w:bookmarkStart w:id="25" w:name="_Toc23660"/>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rPr>
        <w:t>章  评标办法及评审标准</w:t>
      </w:r>
      <w:bookmarkEnd w:id="25"/>
    </w:p>
    <w:p>
      <w:pPr>
        <w:pStyle w:val="25"/>
        <w:shd w:val="clear"/>
        <w:spacing w:line="400" w:lineRule="exact"/>
        <w:ind w:firstLine="455" w:firstLineChars="216"/>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 xml:space="preserve"> </w:t>
      </w:r>
      <w:bookmarkStart w:id="26" w:name="_Toc32321"/>
      <w:r>
        <w:rPr>
          <w:rFonts w:hint="eastAsia" w:asciiTheme="minorEastAsia" w:hAnsiTheme="minorEastAsia" w:eastAsiaTheme="minorEastAsia" w:cstheme="minorEastAsia"/>
          <w:b/>
          <w:bCs/>
          <w:sz w:val="21"/>
          <w:szCs w:val="21"/>
          <w:highlight w:val="none"/>
        </w:rPr>
        <w:t>一、评标原则</w:t>
      </w:r>
    </w:p>
    <w:p>
      <w:pPr>
        <w:pStyle w:val="25"/>
        <w:shd w:val="clear"/>
        <w:spacing w:line="400" w:lineRule="exact"/>
        <w:ind w:firstLine="411" w:firstLineChars="196"/>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（一）磋商小组的构成：本采购项目的磋商小组分别由依法组成的评审专家、采购人代表等三人以上单数组成，其中专家人数不少于成员总数的三分之二。</w:t>
      </w:r>
    </w:p>
    <w:p>
      <w:pPr>
        <w:pStyle w:val="25"/>
        <w:shd w:val="clear"/>
        <w:spacing w:line="400" w:lineRule="exact"/>
        <w:ind w:firstLine="411" w:firstLineChars="196"/>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（二）评标方法：综合评分法，磋商小组将以磋商文件、响应文件为评标依据，对供应商的价格、技术、商务分等方面内容按百分制打分。</w:t>
      </w:r>
    </w:p>
    <w:p>
      <w:pPr>
        <w:pStyle w:val="25"/>
        <w:shd w:val="clear"/>
        <w:spacing w:line="400" w:lineRule="exact"/>
        <w:ind w:firstLine="411" w:firstLineChars="196"/>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评标方式：以封闭方式进行。</w:t>
      </w:r>
    </w:p>
    <w:p>
      <w:pPr>
        <w:pStyle w:val="25"/>
        <w:shd w:val="clear"/>
        <w:spacing w:line="400" w:lineRule="exact"/>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w:t>
      </w:r>
      <w:r>
        <w:rPr>
          <w:rFonts w:hint="eastAsia" w:asciiTheme="minorEastAsia" w:hAnsiTheme="minorEastAsia" w:eastAsiaTheme="minorEastAsia" w:cstheme="minorEastAsia"/>
          <w:b/>
          <w:bCs/>
          <w:sz w:val="21"/>
          <w:szCs w:val="21"/>
          <w:highlight w:val="none"/>
        </w:rPr>
        <w:t>1、价格分</w:t>
      </w: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b/>
          <w:bCs/>
          <w:sz w:val="21"/>
          <w:szCs w:val="21"/>
          <w:highlight w:val="none"/>
        </w:rPr>
        <w:t>0分</w:t>
      </w:r>
    </w:p>
    <w:p>
      <w:pPr>
        <w:pStyle w:val="25"/>
        <w:shd w:val="clear"/>
        <w:spacing w:line="400" w:lineRule="exact"/>
        <w:ind w:firstLine="411" w:firstLineChars="196"/>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（1）按照《政府采购促进中小企业发展暂行办法》（</w:t>
      </w:r>
      <w:r>
        <w:rPr>
          <w:rFonts w:hint="eastAsia" w:asciiTheme="minorEastAsia" w:hAnsiTheme="minorEastAsia" w:eastAsiaTheme="minorEastAsia" w:cstheme="minorEastAsia"/>
          <w:sz w:val="21"/>
          <w:szCs w:val="21"/>
          <w:highlight w:val="none"/>
          <w:lang w:eastAsia="zh-CN"/>
        </w:rPr>
        <w:t>财库[2020]46号</w:t>
      </w:r>
      <w:r>
        <w:rPr>
          <w:rFonts w:hint="eastAsia" w:asciiTheme="minorEastAsia" w:hAnsiTheme="minorEastAsia" w:eastAsiaTheme="minorEastAsia" w:cstheme="minorEastAsia"/>
          <w:sz w:val="21"/>
          <w:szCs w:val="21"/>
          <w:highlight w:val="none"/>
        </w:rPr>
        <w:t>）的规定，投标人认定为小型和微型企业且所投产品均为小型、微型企业产品的（必须提供中小企业声明函，否则不予以认定），对投标报价给予10%的扣除，扣除后的价格为评标价，即评标价=投标报价×（1-10%）；大中型企业与小型、微型企业组成联合体投标，其中小型、微型企业的协议合同金额占到联合体协议合同总金额30%以上的，联合体投标报价给予</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%的扣除，扣除后的价格为评标价，即评标价=投标报价×（1-</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%）；除上述情况外，评标价=投标报价。</w:t>
      </w:r>
    </w:p>
    <w:p>
      <w:pPr>
        <w:pStyle w:val="25"/>
        <w:shd w:val="clear"/>
        <w:spacing w:line="400" w:lineRule="exact"/>
        <w:ind w:firstLine="411" w:firstLineChars="196"/>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必须提供相关证明文件，否则不予以认定）</w:t>
      </w:r>
    </w:p>
    <w:p>
      <w:pPr>
        <w:pStyle w:val="25"/>
        <w:shd w:val="clear"/>
        <w:spacing w:line="400" w:lineRule="exact"/>
        <w:ind w:firstLine="411" w:firstLineChars="196"/>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三部门联合发布关于促进残疾人就业政府采购政策的通知》（财库[2017]141号）的规定，残疾人福利性单位视同小型、微型企业，享受小型、微型企业评审中价格扣除的政府采购政策。（必须提供残疾人福利性单位声明函，否则不予以认定）</w:t>
      </w:r>
    </w:p>
    <w:p>
      <w:pPr>
        <w:pStyle w:val="25"/>
        <w:shd w:val="clear"/>
        <w:spacing w:line="400" w:lineRule="exact"/>
        <w:ind w:firstLine="411" w:firstLineChars="196"/>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（2）除上述情况外，评审报价=报价。</w:t>
      </w:r>
    </w:p>
    <w:p>
      <w:pPr>
        <w:pStyle w:val="25"/>
        <w:shd w:val="clear"/>
        <w:spacing w:line="400" w:lineRule="exact"/>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（3）以进入详评的且最后报价最低的供应商的价格为磋商基准价，其价格分为30分。</w:t>
      </w:r>
    </w:p>
    <w:p>
      <w:pPr>
        <w:pStyle w:val="25"/>
        <w:shd w:val="clear"/>
        <w:spacing w:line="400" w:lineRule="exact"/>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（4）磋商报价得分=（磋商基准价/最后磋商报价）×30分</w:t>
      </w:r>
    </w:p>
    <w:p>
      <w:pPr>
        <w:pStyle w:val="25"/>
        <w:shd w:val="clear"/>
        <w:spacing w:line="360" w:lineRule="auto"/>
        <w:ind w:firstLine="316" w:firstLineChars="150"/>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bCs/>
          <w:sz w:val="21"/>
          <w:szCs w:val="21"/>
          <w:highlight w:val="none"/>
        </w:rPr>
        <w:t>2、技术标分………………………………………………………………………………</w:t>
      </w:r>
      <w:r>
        <w:rPr>
          <w:rFonts w:hint="eastAsia" w:asciiTheme="minorEastAsia" w:hAnsiTheme="minorEastAsia" w:eastAsiaTheme="minorEastAsia" w:cstheme="minorEastAsia"/>
          <w:b/>
          <w:bCs/>
          <w:sz w:val="21"/>
          <w:szCs w:val="21"/>
          <w:highlight w:val="none"/>
          <w:lang w:val="en-US" w:eastAsia="zh-CN"/>
        </w:rPr>
        <w:t>70</w:t>
      </w:r>
      <w:r>
        <w:rPr>
          <w:rFonts w:hint="eastAsia" w:asciiTheme="minorEastAsia" w:hAnsiTheme="minorEastAsia" w:eastAsiaTheme="minorEastAsia" w:cstheme="minorEastAsia"/>
          <w:b/>
          <w:bCs/>
          <w:sz w:val="21"/>
          <w:szCs w:val="21"/>
          <w:highlight w:val="none"/>
        </w:rPr>
        <w:t>分</w:t>
      </w:r>
    </w:p>
    <w:tbl>
      <w:tblPr>
        <w:tblStyle w:val="42"/>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18"/>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shd w:val="clear"/>
              <w:adjustRightInd w:val="0"/>
              <w:spacing w:line="400" w:lineRule="exact"/>
              <w:ind w:left="-105" w:leftChars="-50" w:right="-105" w:rightChars="-50"/>
              <w:jc w:val="center"/>
              <w:textAlignment w:val="baseline"/>
              <w:rPr>
                <w:rFonts w:ascii="宋体" w:hAnsi="宋体"/>
                <w:bCs/>
                <w:kern w:val="0"/>
                <w:highlight w:val="none"/>
              </w:rPr>
            </w:pPr>
            <w:r>
              <w:rPr>
                <w:rFonts w:hint="eastAsia" w:ascii="宋体" w:hAnsi="宋体"/>
                <w:bCs/>
                <w:kern w:val="0"/>
                <w:highlight w:val="none"/>
              </w:rPr>
              <w:t>2.1</w:t>
            </w:r>
          </w:p>
        </w:tc>
        <w:tc>
          <w:tcPr>
            <w:tcW w:w="1618" w:type="dxa"/>
            <w:vAlign w:val="center"/>
          </w:tcPr>
          <w:p>
            <w:pPr>
              <w:shd w:val="clear"/>
              <w:adjustRightInd w:val="0"/>
              <w:spacing w:line="400" w:lineRule="exact"/>
              <w:jc w:val="center"/>
              <w:textAlignment w:val="baseline"/>
              <w:rPr>
                <w:rFonts w:ascii="宋体" w:hAnsi="宋体"/>
                <w:bCs/>
                <w:kern w:val="0"/>
                <w:highlight w:val="none"/>
              </w:rPr>
            </w:pPr>
            <w:r>
              <w:rPr>
                <w:rFonts w:hint="eastAsia" w:ascii="宋体" w:hAnsi="宋体"/>
                <w:bCs/>
                <w:kern w:val="0"/>
                <w:highlight w:val="none"/>
              </w:rPr>
              <w:t>施工组织设计分（满分</w:t>
            </w:r>
            <w:r>
              <w:rPr>
                <w:rFonts w:hint="eastAsia" w:ascii="宋体" w:hAnsi="宋体"/>
                <w:bCs/>
                <w:kern w:val="0"/>
                <w:highlight w:val="none"/>
                <w:lang w:val="en-US" w:eastAsia="zh-CN"/>
              </w:rPr>
              <w:t>50</w:t>
            </w:r>
            <w:r>
              <w:rPr>
                <w:rFonts w:hint="eastAsia" w:ascii="宋体" w:hAnsi="宋体"/>
                <w:bCs/>
                <w:kern w:val="0"/>
                <w:highlight w:val="none"/>
              </w:rPr>
              <w:t>分）</w:t>
            </w:r>
          </w:p>
        </w:tc>
        <w:tc>
          <w:tcPr>
            <w:tcW w:w="6482" w:type="dxa"/>
            <w:vAlign w:val="center"/>
          </w:tcPr>
          <w:p>
            <w:pPr>
              <w:shd w:val="clear"/>
              <w:spacing w:line="400" w:lineRule="exact"/>
              <w:jc w:val="left"/>
              <w:rPr>
                <w:rFonts w:ascii="宋体" w:hAnsi="宋体"/>
                <w:b/>
                <w:bCs/>
                <w:kern w:val="0"/>
                <w:highlight w:val="none"/>
              </w:rPr>
            </w:pPr>
            <w:r>
              <w:rPr>
                <w:rFonts w:hint="eastAsia" w:ascii="宋体" w:hAnsi="宋体"/>
                <w:b/>
                <w:bCs/>
                <w:kern w:val="0"/>
                <w:highlight w:val="none"/>
              </w:rPr>
              <w:t>（1）主要施工方法（满分</w:t>
            </w:r>
            <w:r>
              <w:rPr>
                <w:rFonts w:hint="eastAsia" w:ascii="宋体" w:hAnsi="宋体"/>
                <w:b/>
                <w:bCs/>
                <w:kern w:val="0"/>
                <w:highlight w:val="none"/>
                <w:lang w:val="en-US" w:eastAsia="zh-CN"/>
              </w:rPr>
              <w:t>10</w:t>
            </w:r>
            <w:r>
              <w:rPr>
                <w:rFonts w:hint="eastAsia" w:ascii="宋体" w:hAnsi="宋体"/>
                <w:b/>
                <w:bCs/>
                <w:kern w:val="0"/>
                <w:highlight w:val="none"/>
              </w:rPr>
              <w:t>分）</w:t>
            </w:r>
          </w:p>
          <w:p>
            <w:pPr>
              <w:shd w:val="clear"/>
              <w:spacing w:line="360" w:lineRule="exact"/>
              <w:jc w:val="left"/>
              <w:rPr>
                <w:rFonts w:ascii="宋体" w:hAnsi="宋体"/>
                <w:bCs/>
                <w:highlight w:val="none"/>
              </w:rPr>
            </w:pPr>
            <w:r>
              <w:rPr>
                <w:rFonts w:hint="eastAsia" w:ascii="宋体" w:hAnsi="宋体"/>
                <w:bCs/>
                <w:highlight w:val="none"/>
              </w:rPr>
              <w:t>一档（</w:t>
            </w:r>
            <w:r>
              <w:rPr>
                <w:rFonts w:hint="eastAsia" w:ascii="宋体" w:hAnsi="宋体"/>
                <w:bCs/>
                <w:highlight w:val="none"/>
                <w:lang w:val="en-US" w:eastAsia="zh-CN"/>
              </w:rPr>
              <w:t>10</w:t>
            </w:r>
            <w:r>
              <w:rPr>
                <w:rFonts w:hint="eastAsia" w:ascii="宋体" w:hAnsi="宋体"/>
                <w:bCs/>
                <w:highlight w:val="none"/>
              </w:rPr>
              <w:t>分）：对项目总体有深刻认识，表述清晰。施工方案完整、严谨、合理，技术措施先进、具体、有效、成熟，施工段划分呼应总体表述，划分清晰、合理，符合规范要求。采用了己论证的新技术、新工艺、新材料、新设备。</w:t>
            </w:r>
          </w:p>
          <w:p>
            <w:pPr>
              <w:shd w:val="clear"/>
              <w:spacing w:line="360" w:lineRule="exact"/>
              <w:jc w:val="left"/>
              <w:rPr>
                <w:rFonts w:ascii="宋体" w:hAnsi="宋体"/>
                <w:bCs/>
                <w:highlight w:val="none"/>
              </w:rPr>
            </w:pPr>
            <w:r>
              <w:rPr>
                <w:rFonts w:hint="eastAsia" w:ascii="宋体" w:hAnsi="宋体"/>
                <w:bCs/>
                <w:highlight w:val="none"/>
              </w:rPr>
              <w:t>二档（</w:t>
            </w:r>
            <w:r>
              <w:rPr>
                <w:rFonts w:hint="eastAsia" w:ascii="宋体" w:hAnsi="宋体"/>
                <w:bCs/>
                <w:highlight w:val="none"/>
                <w:lang w:val="en-US" w:eastAsia="zh-CN"/>
              </w:rPr>
              <w:t>6</w:t>
            </w:r>
            <w:r>
              <w:rPr>
                <w:rFonts w:hint="eastAsia" w:ascii="宋体" w:hAnsi="宋体"/>
                <w:bCs/>
                <w:highlight w:val="none"/>
              </w:rPr>
              <w:t>分）：对项目总体有认识，表述基本清晰。施工方案基本完整、合理，技术措施不够具体，施工段划分较合理、采用了一般的技术、工艺、材料、设备。</w:t>
            </w:r>
          </w:p>
          <w:p>
            <w:pPr>
              <w:shd w:val="clear"/>
              <w:spacing w:line="400" w:lineRule="exact"/>
              <w:jc w:val="left"/>
              <w:rPr>
                <w:rFonts w:ascii="宋体" w:hAnsi="宋体"/>
                <w:bCs/>
                <w:highlight w:val="none"/>
              </w:rPr>
            </w:pPr>
            <w:r>
              <w:rPr>
                <w:rFonts w:hint="eastAsia" w:ascii="宋体" w:hAnsi="宋体"/>
                <w:bCs/>
                <w:highlight w:val="none"/>
              </w:rPr>
              <w:t>三档（</w:t>
            </w:r>
            <w:r>
              <w:rPr>
                <w:rFonts w:hint="eastAsia" w:ascii="宋体" w:hAnsi="宋体"/>
                <w:bCs/>
                <w:highlight w:val="none"/>
                <w:lang w:val="en-US" w:eastAsia="zh-CN"/>
              </w:rPr>
              <w:t>3</w:t>
            </w:r>
            <w:r>
              <w:rPr>
                <w:rFonts w:hint="eastAsia" w:ascii="宋体" w:hAnsi="宋体"/>
                <w:bCs/>
                <w:highlight w:val="none"/>
              </w:rPr>
              <w:t>分）：对项目的总体认识不足，施工方案不完整，技术措施不具体，施工段划分不合理。</w:t>
            </w:r>
          </w:p>
          <w:p>
            <w:pPr>
              <w:shd w:val="clear"/>
              <w:spacing w:line="400" w:lineRule="exact"/>
              <w:jc w:val="left"/>
              <w:rPr>
                <w:rFonts w:ascii="宋体" w:hAnsi="宋体"/>
                <w:b/>
                <w:bCs/>
                <w:kern w:val="0"/>
                <w:highlight w:val="none"/>
              </w:rPr>
            </w:pPr>
            <w:r>
              <w:rPr>
                <w:rFonts w:hint="eastAsia" w:ascii="宋体" w:hAnsi="宋体"/>
                <w:b/>
                <w:bCs/>
                <w:kern w:val="0"/>
                <w:highlight w:val="none"/>
              </w:rPr>
              <w:t>（2）拟投入的主要物资计划（满分</w:t>
            </w:r>
            <w:r>
              <w:rPr>
                <w:rFonts w:hint="eastAsia" w:ascii="宋体" w:hAnsi="宋体"/>
                <w:b/>
                <w:bCs/>
                <w:kern w:val="0"/>
                <w:highlight w:val="none"/>
                <w:lang w:val="en-US" w:eastAsia="zh-CN"/>
              </w:rPr>
              <w:t>10</w:t>
            </w:r>
            <w:r>
              <w:rPr>
                <w:rFonts w:hint="eastAsia" w:ascii="宋体" w:hAnsi="宋体"/>
                <w:b/>
                <w:bCs/>
                <w:kern w:val="0"/>
                <w:highlight w:val="none"/>
              </w:rPr>
              <w:t>分）</w:t>
            </w:r>
          </w:p>
          <w:p>
            <w:pPr>
              <w:pStyle w:val="25"/>
              <w:shd w:val="clear"/>
              <w:spacing w:line="400" w:lineRule="exact"/>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一档（10分）：资源配备计划与工程进度计划呼应，较好满足施工需要，调配投入计划合理、准确。</w:t>
            </w:r>
          </w:p>
          <w:p>
            <w:pPr>
              <w:pStyle w:val="25"/>
              <w:shd w:val="clear"/>
              <w:spacing w:line="400" w:lineRule="exact"/>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二档（6分）：资源配备基本合理，基本满足施工需要，调配投入计划基本可行。</w:t>
            </w:r>
          </w:p>
          <w:p>
            <w:pPr>
              <w:pStyle w:val="25"/>
              <w:shd w:val="clear"/>
              <w:spacing w:line="400" w:lineRule="exact"/>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三档（3分）：资源配备不合理，不满足施工需要。</w:t>
            </w:r>
          </w:p>
          <w:p>
            <w:pPr>
              <w:shd w:val="clear"/>
              <w:spacing w:line="400" w:lineRule="exact"/>
              <w:jc w:val="left"/>
              <w:rPr>
                <w:rFonts w:ascii="宋体" w:hAnsi="宋体"/>
                <w:b/>
                <w:bCs/>
                <w:kern w:val="0"/>
                <w:highlight w:val="none"/>
              </w:rPr>
            </w:pPr>
            <w:r>
              <w:rPr>
                <w:rFonts w:hint="eastAsia" w:ascii="宋体" w:hAnsi="宋体"/>
                <w:b/>
                <w:bCs/>
                <w:kern w:val="0"/>
                <w:highlight w:val="none"/>
              </w:rPr>
              <w:t>（3）劳动力安排计划（满分5分）</w:t>
            </w:r>
          </w:p>
          <w:p>
            <w:pPr>
              <w:pStyle w:val="25"/>
              <w:shd w:val="clear"/>
              <w:spacing w:line="400" w:lineRule="exact"/>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一档（5分）：各主要施工工序应有详细周密的劳动力安排计划，有各工种劳动力安排计划，劳动力投入合理，人员配备齐全的。</w:t>
            </w:r>
          </w:p>
          <w:p>
            <w:pPr>
              <w:pStyle w:val="25"/>
              <w:shd w:val="clear"/>
              <w:spacing w:line="400" w:lineRule="exact"/>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二档（3分）：各主要施工工序应有较合理的劳动力安排计划，有各工种劳动力安排计划，满足施工需要。</w:t>
            </w:r>
          </w:p>
          <w:p>
            <w:pPr>
              <w:pStyle w:val="25"/>
              <w:shd w:val="clear"/>
              <w:spacing w:line="400" w:lineRule="exact"/>
              <w:rPr>
                <w:rFonts w:hint="eastAsia" w:ascii="宋体" w:hAnsi="宋体" w:eastAsia="宋体" w:cs="Times New Roman"/>
                <w:bCs/>
                <w:kern w:val="2"/>
                <w:sz w:val="21"/>
                <w:szCs w:val="21"/>
                <w:highlight w:val="none"/>
                <w:lang w:val="en-US" w:eastAsia="zh-CN" w:bidi="ar-SA"/>
              </w:rPr>
            </w:pPr>
            <w:r>
              <w:rPr>
                <w:rFonts w:hint="eastAsia" w:ascii="宋体" w:hAnsi="宋体" w:eastAsia="宋体" w:cs="Times New Roman"/>
                <w:bCs/>
                <w:kern w:val="2"/>
                <w:sz w:val="21"/>
                <w:szCs w:val="21"/>
                <w:highlight w:val="none"/>
                <w:lang w:val="en-US" w:eastAsia="zh-CN" w:bidi="ar-SA"/>
              </w:rPr>
              <w:t>三档（1分）：未提供劳动力安排计划，或劳动力投入不合理，未满足施工需要的。</w:t>
            </w:r>
          </w:p>
          <w:p>
            <w:pPr>
              <w:shd w:val="clear"/>
              <w:spacing w:line="400" w:lineRule="exact"/>
              <w:jc w:val="left"/>
              <w:rPr>
                <w:rFonts w:ascii="宋体" w:hAnsi="宋体"/>
                <w:b/>
                <w:bCs/>
                <w:kern w:val="0"/>
                <w:highlight w:val="none"/>
              </w:rPr>
            </w:pPr>
            <w:r>
              <w:rPr>
                <w:rFonts w:hint="eastAsia" w:ascii="宋体" w:hAnsi="宋体"/>
                <w:b/>
                <w:bCs/>
                <w:kern w:val="0"/>
                <w:highlight w:val="none"/>
              </w:rPr>
              <w:t>（4）确保工程质量的技术组织措施（满分5分）</w:t>
            </w:r>
          </w:p>
          <w:p>
            <w:pPr>
              <w:shd w:val="clear"/>
              <w:spacing w:line="400" w:lineRule="exact"/>
              <w:jc w:val="left"/>
              <w:rPr>
                <w:rFonts w:ascii="宋体" w:hAnsi="宋体"/>
                <w:bCs/>
                <w:highlight w:val="none"/>
              </w:rPr>
            </w:pPr>
            <w:r>
              <w:rPr>
                <w:rFonts w:hint="eastAsia" w:ascii="宋体" w:hAnsi="宋体"/>
                <w:bCs/>
                <w:highlight w:val="none"/>
              </w:rPr>
              <w:t>一档（5分）：质量管理体系完善并具备符合性、有效性及可行性。对项目的质量管理（特别是关键部位技术、工艺）有深入的表述及有效的先进的、可行的、具体的质量保证措施，针对项目重点、难点有可行的质量保证措施，质量管理措施完整、安全、切实、可行、得力。</w:t>
            </w:r>
          </w:p>
          <w:p>
            <w:pPr>
              <w:shd w:val="clear"/>
              <w:spacing w:line="400" w:lineRule="exact"/>
              <w:jc w:val="left"/>
              <w:rPr>
                <w:rFonts w:ascii="宋体" w:hAnsi="宋体"/>
                <w:bCs/>
                <w:highlight w:val="none"/>
              </w:rPr>
            </w:pPr>
            <w:r>
              <w:rPr>
                <w:rFonts w:hint="eastAsia" w:ascii="宋体" w:hAnsi="宋体"/>
                <w:bCs/>
                <w:highlight w:val="none"/>
              </w:rPr>
              <w:t>二档（</w:t>
            </w:r>
            <w:r>
              <w:rPr>
                <w:rFonts w:hint="eastAsia" w:ascii="宋体" w:hAnsi="宋体"/>
                <w:bCs/>
                <w:highlight w:val="none"/>
                <w:lang w:val="en-US" w:eastAsia="zh-CN"/>
              </w:rPr>
              <w:t>3</w:t>
            </w:r>
            <w:r>
              <w:rPr>
                <w:rFonts w:hint="eastAsia" w:ascii="宋体" w:hAnsi="宋体"/>
                <w:bCs/>
                <w:highlight w:val="none"/>
              </w:rPr>
              <w:t>分）：质量管理体系基本完善并基本符合项目特点、可行，对项目的质量管理（特别是关键部位技术、工艺）有一定的表述级有一般可行、粗咯的质量保证措施，针对项目重点、难点有较合理的质量保证措施，质量管理措施基本可行。</w:t>
            </w:r>
          </w:p>
          <w:p>
            <w:pPr>
              <w:shd w:val="clear"/>
              <w:spacing w:line="400" w:lineRule="exact"/>
              <w:jc w:val="left"/>
              <w:rPr>
                <w:rFonts w:ascii="宋体" w:hAnsi="宋体"/>
                <w:bCs/>
                <w:highlight w:val="none"/>
              </w:rPr>
            </w:pPr>
            <w:r>
              <w:rPr>
                <w:rFonts w:hint="eastAsia" w:ascii="宋体" w:hAnsi="宋体"/>
                <w:bCs/>
                <w:highlight w:val="none"/>
              </w:rPr>
              <w:t>三档（1分）：质量管理体系表述不清晰，对项目重点、难点没有可行的质量保证措施。质量管理措施不可行。</w:t>
            </w:r>
          </w:p>
          <w:p>
            <w:pPr>
              <w:shd w:val="clear"/>
              <w:spacing w:line="400" w:lineRule="exact"/>
              <w:jc w:val="left"/>
              <w:rPr>
                <w:rFonts w:ascii="宋体" w:hAnsi="宋体"/>
                <w:b/>
                <w:bCs/>
                <w:kern w:val="0"/>
                <w:highlight w:val="none"/>
              </w:rPr>
            </w:pPr>
            <w:r>
              <w:rPr>
                <w:rFonts w:hint="eastAsia" w:ascii="宋体" w:hAnsi="宋体"/>
                <w:b/>
                <w:bCs/>
                <w:kern w:val="0"/>
                <w:highlight w:val="none"/>
              </w:rPr>
              <w:t>（5）确保安全生产的技术组织措施（满分</w:t>
            </w:r>
            <w:r>
              <w:rPr>
                <w:rFonts w:hint="eastAsia" w:ascii="宋体" w:hAnsi="宋体"/>
                <w:b/>
                <w:bCs/>
                <w:kern w:val="0"/>
                <w:highlight w:val="none"/>
                <w:lang w:val="en-US" w:eastAsia="zh-CN"/>
              </w:rPr>
              <w:t>5</w:t>
            </w:r>
            <w:r>
              <w:rPr>
                <w:rFonts w:hint="eastAsia" w:ascii="宋体" w:hAnsi="宋体"/>
                <w:b/>
                <w:bCs/>
                <w:kern w:val="0"/>
                <w:highlight w:val="none"/>
              </w:rPr>
              <w:t>分）</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一档（</w:t>
            </w:r>
            <w:r>
              <w:rPr>
                <w:rFonts w:hint="eastAsia" w:ascii="宋体" w:hAnsi="宋体" w:cs="Times New Roman"/>
                <w:bCs/>
                <w:highlight w:val="none"/>
                <w:lang w:val="en-US" w:eastAsia="zh-CN"/>
              </w:rPr>
              <w:t>5</w:t>
            </w:r>
            <w:r>
              <w:rPr>
                <w:rFonts w:hint="eastAsia" w:ascii="宋体" w:hAnsi="宋体" w:cs="Times New Roman"/>
                <w:bCs/>
                <w:highlight w:val="none"/>
              </w:rPr>
              <w:t>分）：安全技术组织措施完善并具备符合性、有效性及可行性。对项目的安全管理（特别是关键部位技术、工艺）有深入的表述及有具体、完整、可行的安全保证实施措施，采用规范正确、清晰。</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二档（3分）：安全技术组织措施基本完善、可行。对项目的安全管理（特别是关键部位技术、工艺）保证措施基本可行。采用规范基本正确。</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三档（1分）：安全技术组织措施不完善，对项目的安全管理（特别是关键部位技术、工艺）保证措施不可行，采用规范不正确。</w:t>
            </w:r>
          </w:p>
          <w:p>
            <w:pPr>
              <w:shd w:val="clear"/>
              <w:spacing w:line="400" w:lineRule="exact"/>
              <w:jc w:val="left"/>
              <w:rPr>
                <w:rFonts w:ascii="宋体" w:hAnsi="宋体"/>
                <w:b/>
                <w:bCs/>
                <w:kern w:val="0"/>
                <w:highlight w:val="none"/>
              </w:rPr>
            </w:pPr>
            <w:r>
              <w:rPr>
                <w:rFonts w:hint="eastAsia" w:ascii="宋体" w:hAnsi="宋体"/>
                <w:b/>
                <w:bCs/>
                <w:kern w:val="0"/>
                <w:highlight w:val="none"/>
              </w:rPr>
              <w:t>（6）确保工期的技术组织措施（满分</w:t>
            </w:r>
            <w:r>
              <w:rPr>
                <w:rFonts w:hint="eastAsia" w:ascii="宋体" w:hAnsi="宋体"/>
                <w:b/>
                <w:bCs/>
                <w:kern w:val="0"/>
                <w:highlight w:val="none"/>
                <w:lang w:val="en-US" w:eastAsia="zh-CN"/>
              </w:rPr>
              <w:t>5</w:t>
            </w:r>
            <w:r>
              <w:rPr>
                <w:rFonts w:hint="eastAsia" w:ascii="宋体" w:hAnsi="宋体"/>
                <w:b/>
                <w:bCs/>
                <w:kern w:val="0"/>
                <w:highlight w:val="none"/>
              </w:rPr>
              <w:t>分）</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一档（</w:t>
            </w:r>
            <w:r>
              <w:rPr>
                <w:rFonts w:hint="eastAsia" w:ascii="宋体" w:hAnsi="宋体" w:cs="Times New Roman"/>
                <w:bCs/>
                <w:highlight w:val="none"/>
                <w:lang w:val="en-US" w:eastAsia="zh-CN"/>
              </w:rPr>
              <w:t>5</w:t>
            </w:r>
            <w:r>
              <w:rPr>
                <w:rFonts w:hint="eastAsia" w:ascii="宋体" w:hAnsi="宋体" w:cs="Times New Roman"/>
                <w:bCs/>
                <w:highlight w:val="none"/>
              </w:rPr>
              <w:t>分）：对工程进度总体安排表述清晰。关键线路清晰。准确、完整，计划编制合理、可行，关键节点的控制措施有力、合理、可行，进度违约责任承诺具体。</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二档（3分）：对工程进度总体安排表述基本清晰。关键线路基本清晰、计划编制合理、基本可行，关键节点的控制措施基本可行，进度违约责任承诺较组略。</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三档（1分）：对工程进度安排表述不清晰，关键线路不清晰，计划编制不合理、不可行，无关键节点的控制措施、无进度违约责任。</w:t>
            </w:r>
          </w:p>
          <w:p>
            <w:pPr>
              <w:shd w:val="clear"/>
              <w:spacing w:line="400" w:lineRule="exact"/>
              <w:jc w:val="left"/>
              <w:rPr>
                <w:rFonts w:ascii="宋体" w:hAnsi="宋体"/>
                <w:b/>
                <w:bCs/>
                <w:kern w:val="0"/>
                <w:highlight w:val="none"/>
              </w:rPr>
            </w:pPr>
            <w:r>
              <w:rPr>
                <w:rFonts w:hint="eastAsia" w:ascii="宋体" w:hAnsi="宋体"/>
                <w:b/>
                <w:bCs/>
                <w:kern w:val="0"/>
                <w:highlight w:val="none"/>
              </w:rPr>
              <w:t>（7）确保文明施工的技术组织措施（满分</w:t>
            </w:r>
            <w:r>
              <w:rPr>
                <w:rFonts w:hint="eastAsia" w:ascii="宋体" w:hAnsi="宋体"/>
                <w:b/>
                <w:bCs/>
                <w:kern w:val="0"/>
                <w:highlight w:val="none"/>
                <w:lang w:val="en-US" w:eastAsia="zh-CN"/>
              </w:rPr>
              <w:t>5</w:t>
            </w:r>
            <w:r>
              <w:rPr>
                <w:rFonts w:hint="eastAsia" w:ascii="宋体" w:hAnsi="宋体"/>
                <w:b/>
                <w:bCs/>
                <w:kern w:val="0"/>
                <w:highlight w:val="none"/>
              </w:rPr>
              <w:t>分）</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一档（</w:t>
            </w:r>
            <w:r>
              <w:rPr>
                <w:rFonts w:hint="eastAsia" w:ascii="宋体" w:hAnsi="宋体" w:cs="Times New Roman"/>
                <w:bCs/>
                <w:highlight w:val="none"/>
                <w:lang w:val="en-US" w:eastAsia="zh-CN"/>
              </w:rPr>
              <w:t>5</w:t>
            </w:r>
            <w:r>
              <w:rPr>
                <w:rFonts w:hint="eastAsia" w:ascii="宋体" w:hAnsi="宋体" w:cs="Times New Roman"/>
                <w:bCs/>
                <w:highlight w:val="none"/>
              </w:rPr>
              <w:t>分）：有具体实现现场文明施工目标的承诺，而且各项措施科学、具体、得力的。</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二档（3分）：有具体实现现场文明施工目标的承诺，而且各项措施周全、具体、有效的。</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三档（0分）：无现场文明施工目标的承诺。</w:t>
            </w:r>
          </w:p>
          <w:p>
            <w:pPr>
              <w:shd w:val="clear"/>
              <w:spacing w:line="400" w:lineRule="exact"/>
              <w:jc w:val="left"/>
              <w:rPr>
                <w:rFonts w:ascii="宋体" w:hAnsi="宋体"/>
                <w:b/>
                <w:bCs/>
                <w:kern w:val="0"/>
                <w:highlight w:val="none"/>
              </w:rPr>
            </w:pPr>
            <w:r>
              <w:rPr>
                <w:rFonts w:hint="eastAsia" w:ascii="宋体" w:hAnsi="宋体"/>
                <w:b/>
                <w:bCs/>
                <w:kern w:val="0"/>
                <w:highlight w:val="none"/>
              </w:rPr>
              <w:t>（8）工程施工的重点和难点及保证措施（满分</w:t>
            </w:r>
            <w:r>
              <w:rPr>
                <w:rFonts w:hint="eastAsia" w:ascii="宋体" w:hAnsi="宋体"/>
                <w:b/>
                <w:bCs/>
                <w:kern w:val="0"/>
                <w:highlight w:val="none"/>
                <w:lang w:val="en-US" w:eastAsia="zh-CN"/>
              </w:rPr>
              <w:t>5</w:t>
            </w:r>
            <w:r>
              <w:rPr>
                <w:rFonts w:hint="eastAsia" w:ascii="宋体" w:hAnsi="宋体"/>
                <w:b/>
                <w:bCs/>
                <w:kern w:val="0"/>
                <w:highlight w:val="none"/>
              </w:rPr>
              <w:t>分）</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一档（</w:t>
            </w:r>
            <w:r>
              <w:rPr>
                <w:rFonts w:hint="eastAsia" w:ascii="宋体" w:hAnsi="宋体" w:cs="Times New Roman"/>
                <w:bCs/>
                <w:highlight w:val="none"/>
                <w:lang w:val="en-US" w:eastAsia="zh-CN"/>
              </w:rPr>
              <w:t>5</w:t>
            </w:r>
            <w:r>
              <w:rPr>
                <w:rFonts w:hint="eastAsia" w:ascii="宋体" w:hAnsi="宋体" w:cs="Times New Roman"/>
                <w:bCs/>
                <w:highlight w:val="none"/>
              </w:rPr>
              <w:t>分）：对项目关键技术、工艺有深入的表述。对重点、难点有先进合理的施工措施并有可行的安全措施，解决方案完整、经济、安全、切实可行，措施得力。</w:t>
            </w:r>
          </w:p>
          <w:p>
            <w:pPr>
              <w:shd w:val="clear"/>
              <w:spacing w:line="400" w:lineRule="exact"/>
              <w:jc w:val="left"/>
              <w:rPr>
                <w:rFonts w:hint="eastAsia" w:ascii="宋体" w:hAnsi="宋体" w:cs="Times New Roman"/>
                <w:bCs/>
                <w:highlight w:val="none"/>
              </w:rPr>
            </w:pPr>
            <w:r>
              <w:rPr>
                <w:rFonts w:hint="eastAsia" w:ascii="宋体" w:hAnsi="宋体" w:cs="Times New Roman"/>
                <w:bCs/>
                <w:highlight w:val="none"/>
              </w:rPr>
              <w:t>二档（3分）：对项目关键技术、工艺有深入的表述，对重点、难点有合理的建议，解决方案经济、安全、基本可行。</w:t>
            </w:r>
          </w:p>
          <w:p>
            <w:pPr>
              <w:shd w:val="clear"/>
              <w:spacing w:line="400" w:lineRule="exact"/>
              <w:jc w:val="left"/>
              <w:rPr>
                <w:rFonts w:hAnsi="宋体" w:cs="Courier New"/>
                <w:bCs/>
                <w:highlight w:val="none"/>
              </w:rPr>
            </w:pPr>
            <w:r>
              <w:rPr>
                <w:rFonts w:hint="eastAsia" w:ascii="宋体" w:hAnsi="宋体" w:cs="Times New Roman"/>
                <w:bCs/>
                <w:highlight w:val="none"/>
              </w:rPr>
              <w:t>三档（1分）：对项目关键技术有表述，对重点、难点有建议，解决方案不可行。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shd w:val="clear"/>
              <w:adjustRightInd w:val="0"/>
              <w:spacing w:line="400" w:lineRule="exact"/>
              <w:ind w:left="-105" w:leftChars="-50" w:right="-105" w:rightChars="-50"/>
              <w:jc w:val="center"/>
              <w:textAlignment w:val="baseline"/>
              <w:rPr>
                <w:rFonts w:ascii="宋体" w:hAnsi="宋体"/>
                <w:bCs/>
                <w:kern w:val="0"/>
                <w:highlight w:val="none"/>
              </w:rPr>
            </w:pPr>
            <w:r>
              <w:rPr>
                <w:rFonts w:hint="eastAsia" w:ascii="宋体" w:hAnsi="宋体"/>
                <w:bCs/>
                <w:kern w:val="0"/>
                <w:highlight w:val="none"/>
              </w:rPr>
              <w:t>2.2</w:t>
            </w:r>
          </w:p>
        </w:tc>
        <w:tc>
          <w:tcPr>
            <w:tcW w:w="1618" w:type="dxa"/>
            <w:vAlign w:val="center"/>
          </w:tcPr>
          <w:p>
            <w:pPr>
              <w:shd w:val="clear"/>
              <w:adjustRightInd w:val="0"/>
              <w:spacing w:line="400" w:lineRule="exact"/>
              <w:jc w:val="center"/>
              <w:textAlignment w:val="baseline"/>
              <w:rPr>
                <w:rFonts w:ascii="宋体" w:hAnsi="宋体"/>
                <w:bCs/>
                <w:kern w:val="0"/>
                <w:highlight w:val="none"/>
              </w:rPr>
            </w:pPr>
            <w:r>
              <w:rPr>
                <w:rFonts w:hint="eastAsia" w:ascii="宋体" w:hAnsi="宋体"/>
                <w:bCs/>
                <w:kern w:val="0"/>
                <w:highlight w:val="none"/>
              </w:rPr>
              <w:t>项目管理机构配备分</w:t>
            </w:r>
          </w:p>
          <w:p>
            <w:pPr>
              <w:shd w:val="clear"/>
              <w:adjustRightInd w:val="0"/>
              <w:spacing w:line="400" w:lineRule="exact"/>
              <w:jc w:val="center"/>
              <w:textAlignment w:val="baseline"/>
              <w:rPr>
                <w:rFonts w:ascii="宋体" w:hAnsi="宋体"/>
                <w:bCs/>
                <w:kern w:val="0"/>
                <w:highlight w:val="none"/>
              </w:rPr>
            </w:pPr>
            <w:r>
              <w:rPr>
                <w:rFonts w:hint="eastAsia" w:ascii="宋体" w:hAnsi="宋体"/>
                <w:bCs/>
                <w:kern w:val="0"/>
                <w:highlight w:val="none"/>
              </w:rPr>
              <w:t>（满分16分）</w:t>
            </w:r>
          </w:p>
        </w:tc>
        <w:tc>
          <w:tcPr>
            <w:tcW w:w="6482" w:type="dxa"/>
            <w:vAlign w:val="center"/>
          </w:tcPr>
          <w:p>
            <w:pPr>
              <w:shd w:val="clear"/>
              <w:spacing w:line="400" w:lineRule="exact"/>
              <w:jc w:val="left"/>
              <w:rPr>
                <w:rFonts w:ascii="宋体" w:hAnsi="宋体"/>
                <w:bCs/>
                <w:kern w:val="0"/>
                <w:highlight w:val="none"/>
              </w:rPr>
            </w:pPr>
            <w:r>
              <w:rPr>
                <w:rFonts w:hint="eastAsia" w:ascii="宋体" w:hAnsi="宋体"/>
                <w:b/>
                <w:bCs/>
                <w:kern w:val="0"/>
                <w:highlight w:val="none"/>
              </w:rPr>
              <w:t>（1）项目经理（满分6分）</w:t>
            </w:r>
            <w:r>
              <w:rPr>
                <w:rFonts w:hint="eastAsia" w:ascii="宋体" w:hAnsi="宋体"/>
                <w:bCs/>
                <w:kern w:val="0"/>
                <w:highlight w:val="none"/>
              </w:rPr>
              <w:t>：具有中级及以上职称的得6分。</w:t>
            </w:r>
          </w:p>
          <w:p>
            <w:pPr>
              <w:shd w:val="clear"/>
              <w:spacing w:line="400" w:lineRule="exact"/>
              <w:jc w:val="left"/>
              <w:rPr>
                <w:rFonts w:ascii="宋体" w:hAnsi="宋体"/>
                <w:b/>
                <w:bCs/>
                <w:kern w:val="0"/>
                <w:highlight w:val="none"/>
              </w:rPr>
            </w:pPr>
            <w:r>
              <w:rPr>
                <w:rFonts w:hint="eastAsia" w:ascii="宋体" w:hAnsi="宋体"/>
                <w:b/>
                <w:bCs/>
                <w:kern w:val="0"/>
                <w:highlight w:val="none"/>
              </w:rPr>
              <w:t>（2）其他主要管理人员（满分10分）</w:t>
            </w:r>
          </w:p>
          <w:p>
            <w:pPr>
              <w:shd w:val="clear"/>
              <w:spacing w:line="400" w:lineRule="exact"/>
              <w:ind w:left="105" w:leftChars="50" w:firstLine="333" w:firstLineChars="159"/>
              <w:jc w:val="left"/>
              <w:rPr>
                <w:rFonts w:ascii="宋体" w:hAnsi="宋体"/>
                <w:bCs/>
                <w:kern w:val="0"/>
                <w:highlight w:val="none"/>
              </w:rPr>
            </w:pPr>
            <w:r>
              <w:rPr>
                <w:rFonts w:hint="eastAsia" w:ascii="宋体" w:hAnsi="宋体"/>
                <w:bCs/>
                <w:kern w:val="0"/>
                <w:highlight w:val="none"/>
              </w:rPr>
              <w:t>①拟投入本工程的技术负责人、施工员、质量员、安全员、资料员75%及以上有中级工程师以上（含中级工程师）职称的，得10分。</w:t>
            </w:r>
          </w:p>
          <w:p>
            <w:pPr>
              <w:pStyle w:val="25"/>
              <w:shd w:val="clear"/>
              <w:spacing w:line="400" w:lineRule="exact"/>
              <w:ind w:firstLine="420" w:firstLineChars="200"/>
              <w:rPr>
                <w:rFonts w:hAnsi="宋体"/>
                <w:bCs/>
                <w:sz w:val="21"/>
                <w:highlight w:val="none"/>
              </w:rPr>
            </w:pPr>
            <w:r>
              <w:rPr>
                <w:rFonts w:hint="eastAsia" w:hAnsi="宋体"/>
                <w:bCs/>
                <w:sz w:val="21"/>
                <w:highlight w:val="none"/>
              </w:rPr>
              <w:t>②拟投入本工程的技术负责人、施工员、质量员、安全员、</w:t>
            </w:r>
            <w:r>
              <w:rPr>
                <w:rFonts w:hint="eastAsia" w:ascii="宋体" w:hAnsi="宋体"/>
                <w:bCs/>
                <w:kern w:val="0"/>
                <w:highlight w:val="none"/>
                <w:lang w:eastAsia="zh-CN"/>
              </w:rPr>
              <w:t>资料</w:t>
            </w:r>
            <w:r>
              <w:rPr>
                <w:rFonts w:hint="eastAsia" w:hAnsi="宋体"/>
                <w:bCs/>
                <w:sz w:val="21"/>
                <w:highlight w:val="none"/>
              </w:rPr>
              <w:t>员</w:t>
            </w:r>
            <w:r>
              <w:rPr>
                <w:rFonts w:hint="eastAsia" w:hAnsi="宋体"/>
                <w:bCs/>
                <w:sz w:val="21"/>
                <w:highlight w:val="none"/>
                <w:lang w:val="en-US" w:eastAsia="zh-CN"/>
              </w:rPr>
              <w:t>50</w:t>
            </w:r>
            <w:r>
              <w:rPr>
                <w:rFonts w:hint="eastAsia" w:hAnsi="宋体"/>
                <w:bCs/>
                <w:sz w:val="21"/>
                <w:highlight w:val="none"/>
              </w:rPr>
              <w:t>%及以上人员有中级工程师以上（含中级工程师）职称的，得5分。</w:t>
            </w:r>
          </w:p>
          <w:p>
            <w:pPr>
              <w:pStyle w:val="25"/>
              <w:shd w:val="clear"/>
              <w:spacing w:line="400" w:lineRule="exact"/>
              <w:ind w:firstLine="420" w:firstLineChars="200"/>
              <w:rPr>
                <w:rFonts w:hAnsi="宋体" w:cs="Courier New"/>
                <w:bCs/>
                <w:kern w:val="2"/>
                <w:sz w:val="21"/>
                <w:highlight w:val="none"/>
              </w:rPr>
            </w:pPr>
            <w:r>
              <w:rPr>
                <w:rFonts w:hint="eastAsia" w:hAnsi="宋体"/>
                <w:bCs/>
                <w:sz w:val="21"/>
                <w:highlight w:val="none"/>
              </w:rPr>
              <w:t>③拟投入本工程的技术负责人、施工员、质量员、安全员、</w:t>
            </w:r>
            <w:r>
              <w:rPr>
                <w:rFonts w:hint="eastAsia" w:ascii="宋体" w:hAnsi="宋体"/>
                <w:bCs/>
                <w:kern w:val="0"/>
                <w:highlight w:val="none"/>
                <w:lang w:eastAsia="zh-CN"/>
              </w:rPr>
              <w:t>资料</w:t>
            </w:r>
            <w:r>
              <w:rPr>
                <w:rFonts w:hint="eastAsia" w:hAnsi="宋体"/>
                <w:bCs/>
                <w:sz w:val="21"/>
                <w:highlight w:val="none"/>
              </w:rPr>
              <w:t>员40%及以上人员有工程师职称的，得2分。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vAlign w:val="center"/>
          </w:tcPr>
          <w:p>
            <w:pPr>
              <w:shd w:val="clear"/>
              <w:adjustRightInd w:val="0"/>
              <w:spacing w:line="400" w:lineRule="exact"/>
              <w:ind w:left="-105" w:leftChars="-50" w:right="-105" w:rightChars="-50"/>
              <w:jc w:val="center"/>
              <w:textAlignment w:val="baseline"/>
              <w:rPr>
                <w:rFonts w:hint="eastAsia" w:ascii="宋体" w:hAnsi="宋体"/>
                <w:bCs/>
                <w:kern w:val="0"/>
                <w:highlight w:val="none"/>
              </w:rPr>
            </w:pPr>
            <w:r>
              <w:rPr>
                <w:rFonts w:hint="eastAsia" w:ascii="宋体" w:hAnsi="宋体"/>
                <w:bCs/>
                <w:kern w:val="0"/>
                <w:highlight w:val="none"/>
                <w:lang w:val="en-US" w:eastAsia="zh-CN"/>
              </w:rPr>
              <w:t>2.3</w:t>
            </w:r>
          </w:p>
        </w:tc>
        <w:tc>
          <w:tcPr>
            <w:tcW w:w="1618" w:type="dxa"/>
            <w:vAlign w:val="center"/>
          </w:tcPr>
          <w:p>
            <w:pPr>
              <w:shd w:val="clear"/>
              <w:adjustRightInd w:val="0"/>
              <w:spacing w:line="400" w:lineRule="exact"/>
              <w:jc w:val="center"/>
              <w:textAlignment w:val="baseline"/>
              <w:rPr>
                <w:rFonts w:hint="eastAsia" w:ascii="宋体" w:hAnsi="宋体"/>
                <w:bCs/>
                <w:kern w:val="0"/>
                <w:highlight w:val="none"/>
              </w:rPr>
            </w:pPr>
            <w:r>
              <w:rPr>
                <w:rFonts w:hint="eastAsia" w:ascii="宋体" w:hAnsi="宋体"/>
                <w:bCs/>
                <w:kern w:val="0"/>
                <w:highlight w:val="none"/>
              </w:rPr>
              <w:t>企业业绩分（满分4分）</w:t>
            </w:r>
          </w:p>
        </w:tc>
        <w:tc>
          <w:tcPr>
            <w:tcW w:w="6482" w:type="dxa"/>
            <w:vAlign w:val="center"/>
          </w:tcPr>
          <w:p>
            <w:pPr>
              <w:pStyle w:val="25"/>
              <w:shd w:val="clear"/>
              <w:spacing w:line="400" w:lineRule="exact"/>
              <w:rPr>
                <w:rFonts w:hint="eastAsia" w:hAnsi="宋体"/>
                <w:bCs/>
                <w:sz w:val="21"/>
                <w:highlight w:val="none"/>
              </w:rPr>
            </w:pPr>
            <w:r>
              <w:rPr>
                <w:rFonts w:hint="eastAsia" w:hAnsi="宋体"/>
                <w:bCs/>
                <w:sz w:val="21"/>
                <w:highlight w:val="none"/>
              </w:rPr>
              <w:t>2018年以来承建过类似工程建设项目的，每有一个得2分，满分4分。</w:t>
            </w:r>
          </w:p>
          <w:p>
            <w:pPr>
              <w:pStyle w:val="25"/>
              <w:shd w:val="clear"/>
              <w:spacing w:line="400" w:lineRule="exact"/>
              <w:rPr>
                <w:rFonts w:hint="eastAsia" w:hAnsi="宋体"/>
                <w:bCs/>
                <w:sz w:val="21"/>
                <w:highlight w:val="none"/>
              </w:rPr>
            </w:pPr>
            <w:r>
              <w:rPr>
                <w:rFonts w:hint="eastAsia" w:hAnsi="宋体"/>
                <w:bCs/>
                <w:sz w:val="21"/>
                <w:highlight w:val="none"/>
              </w:rPr>
              <w:t>证明材料为①或②：①中标通知书和合同协议书复印件②竣工验收意见书复印件。同一项目，不同标段时按最高金额的标段计分，不重复计分。</w:t>
            </w:r>
          </w:p>
        </w:tc>
      </w:tr>
    </w:tbl>
    <w:p>
      <w:pPr>
        <w:widowControl/>
        <w:shd w:val="clear" w:color="auto"/>
        <w:tabs>
          <w:tab w:val="left" w:pos="374"/>
        </w:tabs>
        <w:spacing w:line="400" w:lineRule="exact"/>
        <w:ind w:firstLine="420" w:firstLineChars="200"/>
        <w:jc w:val="left"/>
        <w:rPr>
          <w:rFonts w:hint="eastAsia" w:hAnsi="宋体" w:eastAsia="宋体" w:cs="Courier New"/>
          <w:bCs/>
          <w:highlight w:val="none"/>
          <w:lang w:eastAsia="zh-CN"/>
        </w:rPr>
      </w:pPr>
      <w:r>
        <w:rPr>
          <w:rFonts w:hint="eastAsia" w:hAnsi="宋体" w:cs="Courier New"/>
          <w:bCs/>
          <w:highlight w:val="none"/>
        </w:rPr>
        <w:t>总得分＝1</w:t>
      </w:r>
      <w:r>
        <w:rPr>
          <w:rFonts w:hAnsi="宋体" w:cs="Courier New"/>
          <w:bCs/>
          <w:highlight w:val="none"/>
        </w:rPr>
        <w:t>+</w:t>
      </w:r>
      <w:r>
        <w:rPr>
          <w:rFonts w:hint="eastAsia" w:hAnsi="宋体" w:cs="Courier New"/>
          <w:bCs/>
          <w:highlight w:val="none"/>
        </w:rPr>
        <w:t>2</w:t>
      </w:r>
    </w:p>
    <w:p>
      <w:pPr>
        <w:widowControl/>
        <w:shd w:val="clear" w:color="auto"/>
        <w:tabs>
          <w:tab w:val="left" w:pos="374"/>
        </w:tabs>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三、成交候选供应商推荐原则</w:t>
      </w:r>
    </w:p>
    <w:p>
      <w:pPr>
        <w:widowControl/>
        <w:shd w:val="clear" w:color="auto"/>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磋商小组将根据总得分由高到低对供应商排列次序（得分相同时，以磋商报价由低到高顺序排列；得分相同且磋商报价相同的，按技术标优劣顺序排列），并推荐排位前三名为成交候选供应商</w:t>
      </w:r>
      <w:r>
        <w:rPr>
          <w:rFonts w:hint="eastAsia" w:asciiTheme="minorEastAsia" w:hAnsiTheme="minorEastAsia" w:eastAsiaTheme="minorEastAsia" w:cstheme="minorEastAsia"/>
          <w:highlight w:val="none"/>
        </w:rPr>
        <w:t>（如为本须知13.5.3、13.5.4规定的情形，可以推荐2家成交候选供应商）</w:t>
      </w:r>
      <w:r>
        <w:rPr>
          <w:rFonts w:hint="eastAsia" w:asciiTheme="minorEastAsia" w:hAnsiTheme="minorEastAsia" w:eastAsiaTheme="minorEastAsia" w:cstheme="minorEastAsia"/>
          <w:kern w:val="0"/>
          <w:highlight w:val="none"/>
        </w:rPr>
        <w:t>，总得分最高者为第一成交候选供应商，第二高者为第二成交候选供应商，以此类推。采购人应当确定评审委员会推荐排名第一的成交候选供应商为成交供应商。排名第一的成交候选供应商放弃成交、未在规定时间内签订合同、因不可抗力提出不能履行合同的，采购人可以确定排名第二的成交候选供应商为成交供应商。排名第二的成交候选供应商因前款规定的同样原因不能签订合同的，采购人可以确定排名第三的成交候选供应商为成交供应商。</w:t>
      </w:r>
    </w:p>
    <w:p>
      <w:pPr>
        <w:widowControl/>
        <w:shd w:val="clear" w:color="auto"/>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磋商小组认为，某磋商供应商的磋商报价或者某些分项报价明显不合理或者低于成本，有可能影响服务质量和不能诚信履约的，可要求其在规定的期限内提供书面文件予以解释说明，并提交相关证明材料，否则，磋商小组可以取消该供应商的成交候选供应商资格，按顺序由排在后面的成交候选供应商递补，以此类推。</w:t>
      </w:r>
    </w:p>
    <w:p>
      <w:pPr>
        <w:shd w:val="clear"/>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p>
    <w:p>
      <w:pPr>
        <w:pStyle w:val="39"/>
        <w:shd w:val="clear"/>
        <w:spacing w:before="0" w:after="0" w:line="5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章  竞争性磋商响应文件（格式）</w:t>
      </w:r>
      <w:bookmarkEnd w:id="26"/>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pPr>
        <w:pStyle w:val="14"/>
        <w:shd w:val="clear"/>
        <w:ind w:firstLine="640" w:firstLineChars="200"/>
        <w:jc w:val="both"/>
        <w:rPr>
          <w:rFonts w:asciiTheme="minorEastAsia" w:hAnsiTheme="minorEastAsia" w:eastAsiaTheme="minorEastAsia" w:cstheme="minorEastAsia"/>
          <w:bCs/>
          <w:sz w:val="32"/>
          <w:szCs w:val="28"/>
          <w:highlight w:val="none"/>
          <w:u w:val="single"/>
        </w:rPr>
      </w:pPr>
    </w:p>
    <w:p>
      <w:pPr>
        <w:pStyle w:val="14"/>
        <w:shd w:val="clear"/>
        <w:ind w:firstLine="640" w:firstLineChars="200"/>
        <w:jc w:val="both"/>
        <w:rPr>
          <w:rFonts w:asciiTheme="minorEastAsia" w:hAnsiTheme="minorEastAsia" w:eastAsiaTheme="minorEastAsia" w:cstheme="minorEastAsia"/>
          <w:bCs/>
          <w:sz w:val="32"/>
          <w:szCs w:val="28"/>
          <w:highlight w:val="none"/>
          <w:u w:val="single"/>
        </w:rPr>
      </w:pPr>
    </w:p>
    <w:p>
      <w:pPr>
        <w:pStyle w:val="14"/>
        <w:shd w:val="clear"/>
        <w:ind w:firstLine="640" w:firstLineChars="200"/>
        <w:jc w:val="both"/>
        <w:rPr>
          <w:rFonts w:asciiTheme="minorEastAsia" w:hAnsiTheme="minorEastAsia" w:eastAsiaTheme="minorEastAsia" w:cstheme="minorEastAsia"/>
          <w:bCs/>
          <w:sz w:val="32"/>
          <w:szCs w:val="28"/>
          <w:highlight w:val="none"/>
          <w:u w:val="single"/>
        </w:rPr>
      </w:pPr>
    </w:p>
    <w:p>
      <w:pPr>
        <w:pStyle w:val="14"/>
        <w:shd w:val="clear"/>
        <w:ind w:firstLine="467" w:firstLineChars="167"/>
        <w:rPr>
          <w:rFonts w:asciiTheme="minorEastAsia" w:hAnsiTheme="minorEastAsia" w:eastAsiaTheme="minorEastAsia" w:cstheme="minorEastAsia"/>
          <w:sz w:val="28"/>
          <w:szCs w:val="28"/>
          <w:highlight w:val="none"/>
        </w:rPr>
      </w:pPr>
    </w:p>
    <w:p>
      <w:pPr>
        <w:pStyle w:val="14"/>
        <w:shd w:val="clear"/>
        <w:ind w:firstLine="734" w:firstLineChars="167"/>
        <w:jc w:val="center"/>
        <w:rPr>
          <w:rFonts w:asciiTheme="minorEastAsia" w:hAnsiTheme="minorEastAsia" w:eastAsiaTheme="minorEastAsia" w:cstheme="minorEastAsia"/>
          <w:sz w:val="44"/>
          <w:highlight w:val="none"/>
        </w:rPr>
      </w:pPr>
    </w:p>
    <w:p>
      <w:pPr>
        <w:pStyle w:val="14"/>
        <w:shd w:val="clear"/>
        <w:ind w:firstLine="734" w:firstLineChars="167"/>
        <w:jc w:val="center"/>
        <w:rPr>
          <w:rFonts w:asciiTheme="minorEastAsia" w:hAnsiTheme="minorEastAsia" w:eastAsiaTheme="minorEastAsia" w:cstheme="minorEastAsia"/>
          <w:sz w:val="72"/>
          <w:szCs w:val="36"/>
          <w:highlight w:val="none"/>
          <w:u w:val="single"/>
        </w:rPr>
      </w:pPr>
      <w:r>
        <w:rPr>
          <w:rFonts w:hint="eastAsia" w:asciiTheme="minorEastAsia" w:hAnsiTheme="minorEastAsia" w:eastAsiaTheme="minorEastAsia" w:cstheme="minorEastAsia"/>
          <w:sz w:val="44"/>
          <w:highlight w:val="none"/>
        </w:rPr>
        <w:t>商务标</w:t>
      </w:r>
    </w:p>
    <w:p>
      <w:pPr>
        <w:pStyle w:val="14"/>
        <w:shd w:val="clear"/>
        <w:rPr>
          <w:rFonts w:asciiTheme="minorEastAsia" w:hAnsiTheme="minorEastAsia" w:eastAsiaTheme="minorEastAsia" w:cstheme="minorEastAsia"/>
          <w:sz w:val="72"/>
          <w:szCs w:val="36"/>
          <w:highlight w:val="none"/>
        </w:rPr>
      </w:pPr>
      <w:r>
        <w:rPr>
          <w:rFonts w:hint="eastAsia" w:asciiTheme="minorEastAsia" w:hAnsiTheme="minorEastAsia" w:eastAsiaTheme="minorEastAsia" w:cstheme="minorEastAsia"/>
          <w:sz w:val="72"/>
          <w:szCs w:val="36"/>
          <w:highlight w:val="none"/>
          <w:u w:val="single"/>
        </w:rPr>
        <w:t xml:space="preserve">                 </w:t>
      </w:r>
      <w:r>
        <w:rPr>
          <w:rFonts w:hint="eastAsia" w:asciiTheme="minorEastAsia" w:hAnsiTheme="minorEastAsia" w:eastAsiaTheme="minorEastAsia" w:cstheme="minorEastAsia"/>
          <w:sz w:val="72"/>
          <w:szCs w:val="36"/>
          <w:highlight w:val="none"/>
        </w:rPr>
        <w:t>工程</w:t>
      </w:r>
    </w:p>
    <w:p>
      <w:pPr>
        <w:pStyle w:val="14"/>
        <w:shd w:val="clear"/>
        <w:ind w:firstLine="651" w:firstLineChars="310"/>
        <w:rPr>
          <w:rFonts w:asciiTheme="minorEastAsia" w:hAnsiTheme="minorEastAsia" w:eastAsiaTheme="minorEastAsia" w:cstheme="minorEastAsia"/>
          <w:sz w:val="21"/>
          <w:szCs w:val="36"/>
          <w:highlight w:val="none"/>
          <w:u w:val="single"/>
        </w:rPr>
      </w:pPr>
    </w:p>
    <w:p>
      <w:pPr>
        <w:pStyle w:val="14"/>
        <w:shd w:val="clear"/>
        <w:ind w:firstLine="651" w:firstLineChars="310"/>
        <w:rPr>
          <w:rFonts w:asciiTheme="minorEastAsia" w:hAnsiTheme="minorEastAsia" w:eastAsiaTheme="minorEastAsia" w:cstheme="minorEastAsia"/>
          <w:sz w:val="21"/>
          <w:szCs w:val="36"/>
          <w:highlight w:val="none"/>
          <w:u w:val="single"/>
        </w:rPr>
      </w:pPr>
    </w:p>
    <w:p>
      <w:pPr>
        <w:pStyle w:val="14"/>
        <w:shd w:val="clear"/>
        <w:ind w:firstLine="651" w:firstLineChars="310"/>
        <w:rPr>
          <w:rFonts w:asciiTheme="minorEastAsia" w:hAnsiTheme="minorEastAsia" w:eastAsiaTheme="minorEastAsia" w:cstheme="minorEastAsia"/>
          <w:sz w:val="21"/>
          <w:szCs w:val="36"/>
          <w:highlight w:val="none"/>
          <w:u w:val="single"/>
        </w:rPr>
      </w:pPr>
    </w:p>
    <w:p>
      <w:pPr>
        <w:pStyle w:val="14"/>
        <w:shd w:val="clear"/>
        <w:rPr>
          <w:rFonts w:asciiTheme="minorEastAsia" w:hAnsiTheme="minorEastAsia" w:eastAsiaTheme="minorEastAsia" w:cstheme="minorEastAsia"/>
          <w:b/>
          <w:sz w:val="36"/>
          <w:szCs w:val="52"/>
          <w:highlight w:val="none"/>
        </w:rPr>
      </w:pPr>
      <w:r>
        <w:rPr>
          <w:rFonts w:hint="eastAsia" w:asciiTheme="minorEastAsia" w:hAnsiTheme="minorEastAsia" w:eastAsiaTheme="minorEastAsia" w:cstheme="minorEastAsia"/>
          <w:sz w:val="72"/>
          <w:szCs w:val="36"/>
          <w:highlight w:val="none"/>
        </w:rPr>
        <w:t xml:space="preserve">        </w:t>
      </w:r>
      <w:r>
        <w:rPr>
          <w:rFonts w:hint="eastAsia" w:asciiTheme="minorEastAsia" w:hAnsiTheme="minorEastAsia" w:eastAsiaTheme="minorEastAsia" w:cstheme="minorEastAsia"/>
          <w:b/>
          <w:sz w:val="36"/>
          <w:szCs w:val="52"/>
          <w:highlight w:val="none"/>
        </w:rPr>
        <w:t>施工响应文件</w:t>
      </w:r>
    </w:p>
    <w:p>
      <w:pPr>
        <w:pStyle w:val="14"/>
        <w:shd w:val="clear"/>
        <w:ind w:firstLine="992" w:firstLineChars="310"/>
        <w:jc w:val="center"/>
        <w:rPr>
          <w:rFonts w:asciiTheme="minorEastAsia" w:hAnsiTheme="minorEastAsia" w:eastAsiaTheme="minorEastAsia" w:cstheme="minorEastAsia"/>
          <w:sz w:val="32"/>
          <w:szCs w:val="28"/>
          <w:highlight w:val="none"/>
        </w:rPr>
      </w:pPr>
    </w:p>
    <w:p>
      <w:pPr>
        <w:pStyle w:val="14"/>
        <w:shd w:val="clear"/>
        <w:ind w:firstLine="992" w:firstLineChars="310"/>
        <w:jc w:val="center"/>
        <w:rPr>
          <w:rFonts w:asciiTheme="minorEastAsia" w:hAnsiTheme="minorEastAsia" w:eastAsiaTheme="minorEastAsia" w:cstheme="minorEastAsia"/>
          <w:sz w:val="32"/>
          <w:szCs w:val="28"/>
          <w:highlight w:val="none"/>
        </w:rPr>
      </w:pPr>
    </w:p>
    <w:p>
      <w:pPr>
        <w:pStyle w:val="14"/>
        <w:shd w:val="clear"/>
        <w:ind w:firstLine="2336" w:firstLineChars="730"/>
        <w:jc w:val="both"/>
        <w:rPr>
          <w:rFonts w:asciiTheme="minorEastAsia" w:hAnsiTheme="minorEastAsia" w:eastAsiaTheme="minorEastAsia" w:cstheme="minorEastAsia"/>
          <w:sz w:val="32"/>
          <w:szCs w:val="28"/>
          <w:highlight w:val="none"/>
        </w:rPr>
      </w:pPr>
      <w:r>
        <w:rPr>
          <w:rFonts w:hint="eastAsia" w:asciiTheme="minorEastAsia" w:hAnsiTheme="minorEastAsia" w:eastAsiaTheme="minorEastAsia" w:cstheme="minorEastAsia"/>
          <w:sz w:val="32"/>
          <w:szCs w:val="28"/>
          <w:highlight w:val="none"/>
        </w:rPr>
        <w:t>项目编号：</w:t>
      </w:r>
    </w:p>
    <w:p>
      <w:pPr>
        <w:pStyle w:val="14"/>
        <w:shd w:val="clear"/>
        <w:ind w:firstLine="2336" w:firstLineChars="730"/>
        <w:jc w:val="both"/>
        <w:rPr>
          <w:rFonts w:asciiTheme="minorEastAsia" w:hAnsiTheme="minorEastAsia" w:eastAsiaTheme="minorEastAsia" w:cstheme="minorEastAsia"/>
          <w:sz w:val="32"/>
          <w:szCs w:val="28"/>
          <w:highlight w:val="none"/>
        </w:rPr>
      </w:pPr>
    </w:p>
    <w:p>
      <w:pPr>
        <w:pStyle w:val="14"/>
        <w:shd w:val="clear"/>
        <w:ind w:firstLine="2336" w:firstLineChars="730"/>
        <w:jc w:val="both"/>
        <w:rPr>
          <w:rFonts w:asciiTheme="minorEastAsia" w:hAnsiTheme="minorEastAsia" w:eastAsiaTheme="minorEastAsia" w:cstheme="minorEastAsia"/>
          <w:sz w:val="32"/>
          <w:szCs w:val="28"/>
          <w:highlight w:val="none"/>
        </w:rPr>
      </w:pPr>
    </w:p>
    <w:p>
      <w:pPr>
        <w:pStyle w:val="14"/>
        <w:shd w:val="clear"/>
        <w:ind w:firstLine="2336" w:firstLineChars="730"/>
        <w:jc w:val="both"/>
        <w:rPr>
          <w:rFonts w:asciiTheme="minorEastAsia" w:hAnsiTheme="minorEastAsia" w:eastAsiaTheme="minorEastAsia" w:cstheme="minorEastAsia"/>
          <w:sz w:val="32"/>
          <w:szCs w:val="28"/>
          <w:highlight w:val="none"/>
        </w:rPr>
      </w:pPr>
    </w:p>
    <w:p>
      <w:pPr>
        <w:pStyle w:val="14"/>
        <w:shd w:val="clear"/>
        <w:ind w:firstLine="2336" w:firstLineChars="730"/>
        <w:jc w:val="both"/>
        <w:rPr>
          <w:rFonts w:asciiTheme="minorEastAsia" w:hAnsiTheme="minorEastAsia" w:eastAsiaTheme="minorEastAsia" w:cstheme="minorEastAsia"/>
          <w:sz w:val="32"/>
          <w:szCs w:val="28"/>
          <w:highlight w:val="none"/>
        </w:rPr>
      </w:pPr>
    </w:p>
    <w:p>
      <w:pPr>
        <w:pStyle w:val="14"/>
        <w:shd w:val="clear"/>
        <w:ind w:firstLine="2336" w:firstLineChars="73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bCs/>
          <w:sz w:val="32"/>
          <w:szCs w:val="28"/>
          <w:highlight w:val="none"/>
          <w:u w:val="single"/>
        </w:rPr>
      </w:pPr>
    </w:p>
    <w:p>
      <w:pPr>
        <w:pStyle w:val="14"/>
        <w:shd w:val="clear"/>
        <w:ind w:firstLine="0"/>
        <w:jc w:val="both"/>
        <w:rPr>
          <w:rFonts w:asciiTheme="minorEastAsia" w:hAnsiTheme="minorEastAsia" w:eastAsiaTheme="minorEastAsia" w:cstheme="minorEastAsia"/>
          <w:bCs/>
          <w:sz w:val="32"/>
          <w:szCs w:val="28"/>
          <w:highlight w:val="none"/>
        </w:rPr>
      </w:pPr>
    </w:p>
    <w:p>
      <w:pPr>
        <w:pStyle w:val="14"/>
        <w:shd w:val="clear"/>
        <w:jc w:val="both"/>
        <w:rPr>
          <w:rFonts w:asciiTheme="minorEastAsia" w:hAnsiTheme="minorEastAsia" w:eastAsiaTheme="minorEastAsia" w:cstheme="minorEastAsia"/>
          <w:bCs/>
          <w:sz w:val="32"/>
          <w:szCs w:val="28"/>
          <w:highlight w:val="none"/>
          <w:u w:val="single"/>
        </w:rPr>
      </w:pPr>
      <w:r>
        <w:rPr>
          <w:rFonts w:hint="eastAsia" w:asciiTheme="minorEastAsia" w:hAnsiTheme="minorEastAsia" w:eastAsiaTheme="minorEastAsia" w:cstheme="minorEastAsia"/>
          <w:bCs/>
          <w:sz w:val="32"/>
          <w:szCs w:val="28"/>
          <w:highlight w:val="none"/>
        </w:rPr>
        <w:t>磋  商  人：</w:t>
      </w:r>
      <w:r>
        <w:rPr>
          <w:rFonts w:hint="eastAsia" w:asciiTheme="minorEastAsia" w:hAnsiTheme="minorEastAsia" w:eastAsiaTheme="minorEastAsia" w:cstheme="minorEastAsia"/>
          <w:bCs/>
          <w:sz w:val="32"/>
          <w:szCs w:val="28"/>
          <w:highlight w:val="none"/>
          <w:u w:val="single"/>
        </w:rPr>
        <w:t xml:space="preserve">                             （盖章）    </w:t>
      </w:r>
    </w:p>
    <w:p>
      <w:pPr>
        <w:pStyle w:val="14"/>
        <w:shd w:val="clear"/>
        <w:ind w:firstLine="0"/>
        <w:jc w:val="both"/>
        <w:rPr>
          <w:rFonts w:asciiTheme="minorEastAsia" w:hAnsiTheme="minorEastAsia" w:eastAsiaTheme="minorEastAsia" w:cstheme="minorEastAsia"/>
          <w:bCs/>
          <w:sz w:val="32"/>
          <w:szCs w:val="28"/>
          <w:highlight w:val="none"/>
        </w:rPr>
      </w:pPr>
    </w:p>
    <w:p>
      <w:pPr>
        <w:pStyle w:val="14"/>
        <w:shd w:val="clear"/>
        <w:jc w:val="both"/>
        <w:rPr>
          <w:rFonts w:asciiTheme="minorEastAsia" w:hAnsiTheme="minorEastAsia" w:eastAsiaTheme="minorEastAsia" w:cstheme="minorEastAsia"/>
          <w:sz w:val="32"/>
          <w:szCs w:val="28"/>
          <w:highlight w:val="none"/>
          <w:u w:val="single"/>
        </w:rPr>
      </w:pPr>
      <w:r>
        <w:rPr>
          <w:rFonts w:hint="eastAsia" w:asciiTheme="minorEastAsia" w:hAnsiTheme="minorEastAsia" w:eastAsiaTheme="minorEastAsia" w:cstheme="minorEastAsia"/>
          <w:sz w:val="32"/>
          <w:szCs w:val="28"/>
          <w:highlight w:val="none"/>
        </w:rPr>
        <w:t>法定代表人或其委托代理人  ：</w:t>
      </w:r>
      <w:r>
        <w:rPr>
          <w:rFonts w:hint="eastAsia" w:asciiTheme="minorEastAsia" w:hAnsiTheme="minorEastAsia" w:eastAsiaTheme="minorEastAsia" w:cstheme="minorEastAsia"/>
          <w:sz w:val="32"/>
          <w:szCs w:val="28"/>
          <w:highlight w:val="none"/>
          <w:u w:val="single"/>
        </w:rPr>
        <w:t xml:space="preserve">          （签字或盖章）   </w:t>
      </w:r>
    </w:p>
    <w:p>
      <w:pPr>
        <w:pStyle w:val="14"/>
        <w:shd w:val="clear"/>
        <w:ind w:firstLine="0"/>
        <w:jc w:val="both"/>
        <w:rPr>
          <w:rFonts w:asciiTheme="minorEastAsia" w:hAnsiTheme="minorEastAsia" w:eastAsiaTheme="minorEastAsia" w:cstheme="minorEastAsia"/>
          <w:sz w:val="21"/>
          <w:szCs w:val="28"/>
          <w:highlight w:val="none"/>
          <w:u w:val="single"/>
        </w:rPr>
      </w:pPr>
    </w:p>
    <w:p>
      <w:pPr>
        <w:pStyle w:val="14"/>
        <w:shd w:val="clear"/>
        <w:ind w:firstLine="0"/>
        <w:rPr>
          <w:rFonts w:asciiTheme="minorEastAsia" w:hAnsiTheme="minorEastAsia" w:eastAsiaTheme="minorEastAsia" w:cstheme="minorEastAsia"/>
          <w:sz w:val="21"/>
          <w:szCs w:val="28"/>
          <w:highlight w:val="none"/>
        </w:rPr>
      </w:pPr>
    </w:p>
    <w:p>
      <w:pPr>
        <w:pStyle w:val="14"/>
        <w:shd w:val="clear"/>
        <w:ind w:firstLine="0"/>
        <w:jc w:val="center"/>
        <w:rPr>
          <w:rFonts w:asciiTheme="minorEastAsia" w:hAnsiTheme="minorEastAsia" w:eastAsiaTheme="minorEastAsia" w:cstheme="minorEastAsia"/>
          <w:sz w:val="21"/>
          <w:szCs w:val="28"/>
          <w:highlight w:val="none"/>
        </w:rPr>
      </w:pPr>
    </w:p>
    <w:p>
      <w:pPr>
        <w:pStyle w:val="14"/>
        <w:shd w:val="clear"/>
        <w:ind w:firstLine="640" w:firstLineChars="200"/>
        <w:jc w:val="center"/>
        <w:rPr>
          <w:rFonts w:asciiTheme="minorEastAsia" w:hAnsiTheme="minorEastAsia" w:eastAsiaTheme="minorEastAsia" w:cstheme="minorEastAsia"/>
          <w:sz w:val="32"/>
          <w:szCs w:val="28"/>
          <w:highlight w:val="none"/>
        </w:rPr>
      </w:pPr>
      <w:r>
        <w:rPr>
          <w:rFonts w:hint="eastAsia" w:asciiTheme="minorEastAsia" w:hAnsiTheme="minorEastAsia" w:eastAsiaTheme="minorEastAsia" w:cstheme="minorEastAsia"/>
          <w:sz w:val="32"/>
          <w:szCs w:val="28"/>
          <w:highlight w:val="none"/>
        </w:rPr>
        <w:t>日期：         年          月        日</w:t>
      </w:r>
    </w:p>
    <w:p>
      <w:pPr>
        <w:pStyle w:val="14"/>
        <w:shd w:val="clear"/>
        <w:ind w:firstLine="640" w:firstLineChars="200"/>
        <w:jc w:val="center"/>
        <w:rPr>
          <w:rFonts w:asciiTheme="minorEastAsia" w:hAnsiTheme="minorEastAsia" w:eastAsiaTheme="minorEastAsia" w:cstheme="minorEastAsia"/>
          <w:sz w:val="32"/>
          <w:szCs w:val="28"/>
          <w:highlight w:val="none"/>
        </w:rPr>
      </w:pPr>
    </w:p>
    <w:p>
      <w:pPr>
        <w:pStyle w:val="14"/>
        <w:shd w:val="clear"/>
        <w:ind w:firstLine="562" w:firstLineChars="200"/>
        <w:jc w:val="center"/>
        <w:rPr>
          <w:rFonts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bCs/>
          <w:sz w:val="28"/>
          <w:szCs w:val="28"/>
          <w:highlight w:val="none"/>
        </w:rPr>
        <w:t>目    录</w:t>
      </w:r>
    </w:p>
    <w:p>
      <w:pPr>
        <w:shd w:val="clear"/>
        <w:spacing w:line="500" w:lineRule="exact"/>
        <w:ind w:firstLine="406"/>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 法定代表人身份证明书</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（2）响应文件签署授权委托书原件及委托代理人身份证正反面复印件（委托代理时必须提供）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（3）磋商函</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（4）磋商函附录</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（5）投标报价表</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（6）已标价的工程量清单报价有关材料</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（7）磋商人磋商资料[附有效企业资质副本、有效的营业执照副本、有效的安全生产许可证副本、有效的组织机构代码证副本（三证合一的不须提供）]</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（8）投标人提供《贵港市采购项目投标资格承诺函》</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（9）农民工工资保障金的交纳与使用承诺书；</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（10）建设工程项目管理承诺书；</w:t>
      </w:r>
      <w:r>
        <w:rPr>
          <w:rFonts w:hint="eastAsia" w:asciiTheme="minorEastAsia" w:hAnsiTheme="minorEastAsia" w:eastAsiaTheme="minorEastAsia" w:cstheme="minorEastAsia"/>
          <w:b/>
          <w:bCs/>
          <w:spacing w:val="2"/>
          <w:highlight w:val="none"/>
        </w:rPr>
        <w:t>（必须提供）</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11）磋商人符合中小企业划型标准的，按《政府采购促进中小企业发展暂行办法》（财库〔2011〕181号）要求，提供中小企业声明函。监狱企业参加政府采购活动时，应当提供由省级以上监狱管理局、戒毒管理局（含新疆生产建设兵团）出具的属于监狱企业的证明文件。 (如有请提供，格式见附件)</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12）投标服务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如有请提供，格式见附件)</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（13）磋商人其他资料(磋商人认为需要提供或竞争性磋商采购文件需要提供的其他资料）。</w:t>
      </w:r>
    </w:p>
    <w:p>
      <w:pPr>
        <w:shd w:val="clear"/>
        <w:spacing w:line="500" w:lineRule="exact"/>
        <w:ind w:firstLine="315"/>
        <w:rPr>
          <w:rFonts w:asciiTheme="minorEastAsia" w:hAnsiTheme="minorEastAsia" w:eastAsiaTheme="minorEastAsia" w:cstheme="minorEastAsia"/>
          <w:b/>
          <w:bCs/>
          <w:highlight w:val="none"/>
        </w:rPr>
      </w:pPr>
    </w:p>
    <w:p>
      <w:pPr>
        <w:pStyle w:val="5"/>
        <w:shd w:val="clear"/>
        <w:spacing w:line="500" w:lineRule="exact"/>
        <w:jc w:val="cente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sz w:val="32"/>
          <w:highlight w:val="none"/>
        </w:rPr>
      </w:pPr>
    </w:p>
    <w:p>
      <w:pPr>
        <w:pStyle w:val="6"/>
        <w:shd w:val="clear"/>
        <w:rPr>
          <w:rFonts w:asciiTheme="minorEastAsia" w:hAnsiTheme="minorEastAsia" w:eastAsiaTheme="minorEastAsia" w:cstheme="minorEastAsia"/>
          <w:sz w:val="32"/>
          <w:highlight w:val="none"/>
        </w:rPr>
      </w:pPr>
    </w:p>
    <w:p>
      <w:pPr>
        <w:shd w:val="clear"/>
        <w:rPr>
          <w:rFonts w:asciiTheme="minorEastAsia" w:hAnsiTheme="minorEastAsia" w:eastAsiaTheme="minorEastAsia" w:cstheme="minorEastAsia"/>
          <w:sz w:val="32"/>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5"/>
        <w:shd w:val="clear"/>
        <w:spacing w:line="5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一、法定代表人身份证明书</w:t>
      </w:r>
    </w:p>
    <w:p>
      <w:pPr>
        <w:shd w:val="clear"/>
        <w:jc w:val="center"/>
        <w:rPr>
          <w:rFonts w:asciiTheme="minorEastAsia" w:hAnsiTheme="minorEastAsia" w:eastAsiaTheme="minorEastAsia" w:cstheme="minorEastAsia"/>
          <w:b/>
          <w:highlight w:val="none"/>
        </w:rPr>
      </w:pPr>
    </w:p>
    <w:p>
      <w:pPr>
        <w:shd w:val="clear"/>
        <w:jc w:val="center"/>
        <w:rPr>
          <w:rFonts w:asciiTheme="minorEastAsia" w:hAnsiTheme="minorEastAsia" w:eastAsiaTheme="minorEastAsia" w:cstheme="minorEastAsia"/>
          <w:b/>
          <w:highlight w:val="none"/>
        </w:rPr>
      </w:pPr>
    </w:p>
    <w:p>
      <w:pPr>
        <w:shd w:val="clear"/>
        <w:rPr>
          <w:rFonts w:asciiTheme="minorEastAsia" w:hAnsiTheme="minorEastAsia" w:eastAsiaTheme="minorEastAsia" w:cstheme="minorEastAsia"/>
          <w:b/>
          <w:highlight w:val="none"/>
        </w:rPr>
      </w:pPr>
    </w:p>
    <w:p>
      <w:pPr>
        <w:shd w:val="clear"/>
        <w:spacing w:line="360" w:lineRule="auto"/>
        <w:ind w:firstLine="612"/>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p>
    <w:p>
      <w:pPr>
        <w:shd w:val="clear"/>
        <w:spacing w:line="360" w:lineRule="auto"/>
        <w:ind w:firstLine="612"/>
        <w:rPr>
          <w:rFonts w:asciiTheme="minorEastAsia" w:hAnsiTheme="minorEastAsia" w:eastAsiaTheme="minorEastAsia" w:cstheme="minorEastAsia"/>
          <w:highlight w:val="none"/>
        </w:rPr>
      </w:pPr>
    </w:p>
    <w:p>
      <w:pPr>
        <w:shd w:val="clear"/>
        <w:spacing w:line="360" w:lineRule="auto"/>
        <w:ind w:firstLine="610"/>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单位性质：</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p>
    <w:p>
      <w:pPr>
        <w:shd w:val="clear"/>
        <w:spacing w:line="360" w:lineRule="auto"/>
        <w:ind w:firstLine="610"/>
        <w:rPr>
          <w:rFonts w:asciiTheme="minorEastAsia" w:hAnsiTheme="minorEastAsia" w:eastAsiaTheme="minorEastAsia" w:cstheme="minorEastAsia"/>
          <w:highlight w:val="none"/>
        </w:rPr>
      </w:pPr>
    </w:p>
    <w:p>
      <w:pPr>
        <w:shd w:val="clear"/>
        <w:spacing w:line="360" w:lineRule="auto"/>
        <w:ind w:firstLine="610"/>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    址：</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p>
    <w:p>
      <w:pPr>
        <w:shd w:val="clear"/>
        <w:spacing w:line="360" w:lineRule="auto"/>
        <w:ind w:firstLine="610"/>
        <w:rPr>
          <w:rFonts w:asciiTheme="minorEastAsia" w:hAnsiTheme="minorEastAsia" w:eastAsiaTheme="minorEastAsia" w:cstheme="minorEastAsia"/>
          <w:highlight w:val="none"/>
        </w:rPr>
      </w:pPr>
    </w:p>
    <w:p>
      <w:pPr>
        <w:shd w:val="clear"/>
        <w:spacing w:line="360" w:lineRule="auto"/>
        <w:ind w:firstLine="61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成立时间：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hd w:val="clear"/>
        <w:spacing w:line="360" w:lineRule="auto"/>
        <w:ind w:firstLine="610"/>
        <w:rPr>
          <w:rFonts w:asciiTheme="minorEastAsia" w:hAnsiTheme="minorEastAsia" w:eastAsiaTheme="minorEastAsia" w:cstheme="minorEastAsia"/>
          <w:highlight w:val="none"/>
          <w:u w:val="single"/>
        </w:rPr>
      </w:pPr>
    </w:p>
    <w:p>
      <w:pPr>
        <w:shd w:val="clear"/>
        <w:spacing w:line="360" w:lineRule="auto"/>
        <w:ind w:firstLine="610"/>
        <w:rPr>
          <w:rFonts w:asciiTheme="minorEastAsia" w:hAnsiTheme="minorEastAsia" w:eastAsiaTheme="minorEastAsia" w:cstheme="minorEastAsia"/>
          <w:highlight w:val="none"/>
        </w:rPr>
      </w:pPr>
    </w:p>
    <w:p>
      <w:pPr>
        <w:shd w:val="clear"/>
        <w:spacing w:line="360" w:lineRule="auto"/>
        <w:ind w:firstLine="610"/>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姓    名：</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性别：</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职务：</w:t>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ab/>
      </w:r>
      <w:r>
        <w:rPr>
          <w:rFonts w:hint="eastAsia" w:asciiTheme="minorEastAsia" w:hAnsiTheme="minorEastAsia" w:eastAsiaTheme="minorEastAsia" w:cstheme="minorEastAsia"/>
          <w:highlight w:val="none"/>
          <w:u w:val="single"/>
        </w:rPr>
        <w:t xml:space="preserve"> </w:t>
      </w:r>
    </w:p>
    <w:p>
      <w:pPr>
        <w:shd w:val="clear"/>
        <w:spacing w:line="360" w:lineRule="auto"/>
        <w:ind w:firstLine="610"/>
        <w:rPr>
          <w:rFonts w:asciiTheme="minorEastAsia" w:hAnsiTheme="minorEastAsia" w:eastAsiaTheme="minorEastAsia" w:cstheme="minorEastAsia"/>
          <w:highlight w:val="none"/>
        </w:rPr>
      </w:pPr>
    </w:p>
    <w:p>
      <w:pPr>
        <w:shd w:val="clear"/>
        <w:spacing w:line="360" w:lineRule="auto"/>
        <w:ind w:firstLine="61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系</w:t>
      </w:r>
      <w:r>
        <w:rPr>
          <w:rFonts w:hint="eastAsia" w:asciiTheme="minorEastAsia" w:hAnsiTheme="minorEastAsia" w:eastAsiaTheme="minorEastAsia" w:cstheme="minorEastAsia"/>
          <w:highlight w:val="none"/>
          <w:u w:val="single"/>
        </w:rPr>
        <w:t xml:space="preserve">          （磋商人单位名称）         </w:t>
      </w:r>
      <w:r>
        <w:rPr>
          <w:rFonts w:hint="eastAsia" w:asciiTheme="minorEastAsia" w:hAnsiTheme="minorEastAsia" w:eastAsiaTheme="minorEastAsia" w:cstheme="minorEastAsia"/>
          <w:highlight w:val="none"/>
        </w:rPr>
        <w:t>的法定代表人。</w:t>
      </w:r>
    </w:p>
    <w:p>
      <w:pPr>
        <w:shd w:val="clear"/>
        <w:spacing w:line="360" w:lineRule="auto"/>
        <w:ind w:firstLine="610"/>
        <w:rPr>
          <w:rFonts w:asciiTheme="minorEastAsia" w:hAnsiTheme="minorEastAsia" w:eastAsiaTheme="minorEastAsia" w:cstheme="minorEastAsia"/>
          <w:highlight w:val="none"/>
        </w:rPr>
      </w:pPr>
    </w:p>
    <w:p>
      <w:pPr>
        <w:shd w:val="clear"/>
        <w:spacing w:line="360" w:lineRule="auto"/>
        <w:ind w:firstLine="61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pPr>
        <w:shd w:val="clear"/>
        <w:tabs>
          <w:tab w:val="left" w:pos="720"/>
          <w:tab w:val="left" w:pos="900"/>
        </w:tabs>
        <w:spacing w:line="360" w:lineRule="auto"/>
        <w:ind w:firstLine="420" w:firstLineChars="200"/>
        <w:rPr>
          <w:rFonts w:asciiTheme="minorEastAsia" w:hAnsiTheme="minorEastAsia" w:eastAsiaTheme="minorEastAsia" w:cstheme="minorEastAsia"/>
          <w:highlight w:val="none"/>
        </w:rPr>
      </w:pPr>
    </w:p>
    <w:p>
      <w:pPr>
        <w:shd w:val="clear"/>
        <w:tabs>
          <w:tab w:val="left" w:pos="720"/>
          <w:tab w:val="left" w:pos="900"/>
        </w:tabs>
        <w:spacing w:line="360" w:lineRule="auto"/>
        <w:ind w:firstLine="420" w:firstLineChars="200"/>
        <w:rPr>
          <w:rFonts w:asciiTheme="minorEastAsia" w:hAnsiTheme="minorEastAsia" w:eastAsiaTheme="minorEastAsia" w:cstheme="minorEastAsia"/>
          <w:highlight w:val="none"/>
        </w:rPr>
      </w:pPr>
    </w:p>
    <w:p>
      <w:pPr>
        <w:shd w:val="clear"/>
        <w:tabs>
          <w:tab w:val="left" w:pos="720"/>
          <w:tab w:val="left" w:pos="900"/>
        </w:tabs>
        <w:spacing w:line="360" w:lineRule="auto"/>
        <w:ind w:firstLine="3990" w:firstLineChars="1900"/>
        <w:rPr>
          <w:rFonts w:asciiTheme="minorEastAsia" w:hAnsiTheme="minorEastAsia" w:eastAsiaTheme="minorEastAsia" w:cstheme="minorEastAsia"/>
          <w:highlight w:val="none"/>
        </w:rPr>
      </w:pPr>
    </w:p>
    <w:p>
      <w:pPr>
        <w:shd w:val="clear"/>
        <w:tabs>
          <w:tab w:val="left" w:pos="720"/>
          <w:tab w:val="left" w:pos="900"/>
        </w:tabs>
        <w:spacing w:line="360" w:lineRule="auto"/>
        <w:ind w:firstLine="4410" w:firstLineChars="21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磋商人：</w:t>
      </w:r>
      <w:r>
        <w:rPr>
          <w:rFonts w:hint="eastAsia" w:asciiTheme="minorEastAsia" w:hAnsiTheme="minorEastAsia" w:eastAsiaTheme="minorEastAsia" w:cstheme="minorEastAsia"/>
          <w:highlight w:val="none"/>
          <w:u w:val="single"/>
        </w:rPr>
        <w:t xml:space="preserve">             （盖公章）</w:t>
      </w:r>
    </w:p>
    <w:p>
      <w:pPr>
        <w:shd w:val="clear"/>
        <w:ind w:firstLine="4410" w:firstLineChars="21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hd w:val="clear"/>
        <w:ind w:firstLine="4410" w:firstLineChars="2100"/>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p>
      <w:pPr>
        <w:shd w:val="clear"/>
        <w:ind w:firstLine="405" w:firstLineChars="193"/>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1、响应文件商务部分应附有效的组织机构代码证书副本（三证合一不需要提供）、法定代表人身份证正反面复印件。</w:t>
      </w:r>
    </w:p>
    <w:p>
      <w:pPr>
        <w:shd w:val="clear"/>
        <w:ind w:firstLine="405" w:firstLineChars="193"/>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2、法定代表人亲自参加开标会议的，须附上“法定代表人身份证明书”及有效的组织机构代码证书副本打印件（三证合一不需要提供）、法定代表人身份证原件核查。</w:t>
      </w:r>
    </w:p>
    <w:p>
      <w:pPr>
        <w:shd w:val="clear"/>
        <w:ind w:firstLine="405" w:firstLineChars="193"/>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3、法定代表人不能亲自参加开标会议而由委托代理人参加的，须附上响应文件签署授权委托书、法定代表人身份证明书，并提供委托代理人的身份证原件核查。</w:t>
      </w:r>
    </w:p>
    <w:p>
      <w:pPr>
        <w:pStyle w:val="5"/>
        <w:shd w:val="clear"/>
        <w:spacing w:line="5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br w:type="page"/>
      </w:r>
      <w:r>
        <w:rPr>
          <w:rFonts w:hint="eastAsia" w:asciiTheme="minorEastAsia" w:hAnsiTheme="minorEastAsia" w:eastAsiaTheme="minorEastAsia" w:cstheme="minorEastAsia"/>
          <w:highlight w:val="none"/>
        </w:rPr>
        <w:t>二、响应文件签署授权委托书原件及委托代理人身份证正反面复印件（委托代理时必须提供）</w:t>
      </w:r>
    </w:p>
    <w:p>
      <w:pPr>
        <w:shd w:val="clear"/>
        <w:spacing w:after="156"/>
        <w:rPr>
          <w:rFonts w:asciiTheme="minorEastAsia" w:hAnsiTheme="minorEastAsia" w:eastAsiaTheme="minorEastAsia" w:cstheme="minorEastAsia"/>
          <w:b/>
          <w:highlight w:val="none"/>
        </w:rPr>
      </w:pPr>
    </w:p>
    <w:p>
      <w:pPr>
        <w:shd w:val="clear"/>
        <w:spacing w:line="360" w:lineRule="auto"/>
        <w:ind w:firstLine="61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本授权委托书声明：我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（姓名）系</w:t>
      </w:r>
      <w:r>
        <w:rPr>
          <w:rFonts w:hint="eastAsia" w:asciiTheme="minorEastAsia" w:hAnsiTheme="minorEastAsia" w:eastAsiaTheme="minorEastAsia" w:cstheme="minorEastAsia"/>
          <w:highlight w:val="none"/>
          <w:u w:val="single"/>
        </w:rPr>
        <w:t xml:space="preserve">        （竞 标 人 名 称）</w:t>
      </w:r>
      <w:r>
        <w:rPr>
          <w:rFonts w:hint="eastAsia" w:asciiTheme="minorEastAsia" w:hAnsiTheme="minorEastAsia" w:eastAsiaTheme="minorEastAsia" w:cstheme="minorEastAsia"/>
          <w:highlight w:val="none"/>
        </w:rPr>
        <w:t>的法定代表人，现授权委托</w:t>
      </w:r>
      <w:r>
        <w:rPr>
          <w:rFonts w:hint="eastAsia" w:asciiTheme="minorEastAsia" w:hAnsiTheme="minorEastAsia" w:eastAsiaTheme="minorEastAsia" w:cstheme="minorEastAsia"/>
          <w:highlight w:val="none"/>
          <w:u w:val="single"/>
        </w:rPr>
        <w:t xml:space="preserve">      （单 位 名 称）     </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highlight w:val="none"/>
          <w:u w:val="single"/>
        </w:rPr>
        <w:t xml:space="preserve">    （姓名）    </w:t>
      </w:r>
      <w:r>
        <w:rPr>
          <w:rFonts w:hint="eastAsia" w:asciiTheme="minorEastAsia" w:hAnsiTheme="minorEastAsia" w:eastAsiaTheme="minorEastAsia" w:cstheme="minorEastAsia"/>
          <w:highlight w:val="none"/>
        </w:rPr>
        <w:t>为我公司签署本工程的响应文件的法定代表人授权委托代理人，我承认代理人全权代表我所签署的本工程的响应文件的内容。</w:t>
      </w:r>
    </w:p>
    <w:p>
      <w:pPr>
        <w:shd w:val="clear"/>
        <w:spacing w:line="360" w:lineRule="auto"/>
        <w:ind w:firstLine="610"/>
        <w:rPr>
          <w:rFonts w:asciiTheme="minorEastAsia" w:hAnsiTheme="minorEastAsia" w:eastAsiaTheme="minorEastAsia" w:cstheme="minorEastAsia"/>
          <w:highlight w:val="none"/>
        </w:rPr>
      </w:pPr>
    </w:p>
    <w:p>
      <w:pPr>
        <w:shd w:val="clear"/>
        <w:spacing w:line="360" w:lineRule="auto"/>
        <w:ind w:firstLine="697"/>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代理人无转委托权，特此委托。</w:t>
      </w: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1260"/>
        <w:rPr>
          <w:rFonts w:asciiTheme="minorEastAsia" w:hAnsiTheme="minorEastAsia" w:eastAsiaTheme="minorEastAsia" w:cstheme="minorEastAsia"/>
          <w:highlight w:val="none"/>
        </w:rPr>
      </w:pPr>
    </w:p>
    <w:p>
      <w:pPr>
        <w:shd w:val="clear"/>
        <w:ind w:left="2699"/>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代理人：</w:t>
      </w:r>
      <w:r>
        <w:rPr>
          <w:rFonts w:hint="eastAsia" w:asciiTheme="minorEastAsia" w:hAnsiTheme="minorEastAsia" w:eastAsiaTheme="minorEastAsia" w:cstheme="minorEastAsia"/>
          <w:highlight w:val="none"/>
          <w:u w:val="single"/>
        </w:rPr>
        <w:t xml:space="preserve">   （签字）   </w:t>
      </w:r>
      <w:r>
        <w:rPr>
          <w:rFonts w:hint="eastAsia" w:asciiTheme="minorEastAsia" w:hAnsiTheme="minorEastAsia" w:eastAsiaTheme="minorEastAsia" w:cstheme="minorEastAsia"/>
          <w:highlight w:val="none"/>
        </w:rPr>
        <w:t>性别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年龄：_______</w:t>
      </w:r>
    </w:p>
    <w:p>
      <w:pPr>
        <w:shd w:val="clear"/>
        <w:ind w:left="2699"/>
        <w:rPr>
          <w:rFonts w:asciiTheme="minorEastAsia" w:hAnsiTheme="minorEastAsia" w:eastAsiaTheme="minorEastAsia" w:cstheme="minorEastAsia"/>
          <w:highlight w:val="none"/>
        </w:rPr>
      </w:pPr>
    </w:p>
    <w:p>
      <w:pPr>
        <w:shd w:val="clear"/>
        <w:ind w:left="2699"/>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身份证号码：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职务：</w:t>
      </w:r>
      <w:r>
        <w:rPr>
          <w:rFonts w:hint="eastAsia" w:asciiTheme="minorEastAsia" w:hAnsiTheme="minorEastAsia" w:eastAsiaTheme="minorEastAsia" w:cstheme="minorEastAsia"/>
          <w:highlight w:val="none"/>
          <w:u w:val="single"/>
        </w:rPr>
        <w:t xml:space="preserve">         </w:t>
      </w:r>
    </w:p>
    <w:p>
      <w:pPr>
        <w:shd w:val="clear"/>
        <w:ind w:left="2699"/>
        <w:rPr>
          <w:rFonts w:asciiTheme="minorEastAsia" w:hAnsiTheme="minorEastAsia" w:eastAsiaTheme="minorEastAsia" w:cstheme="minorEastAsia"/>
          <w:highlight w:val="none"/>
        </w:rPr>
      </w:pPr>
    </w:p>
    <w:p>
      <w:pPr>
        <w:shd w:val="clear"/>
        <w:ind w:left="2699"/>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磋商人：</w:t>
      </w:r>
      <w:r>
        <w:rPr>
          <w:rFonts w:hint="eastAsia" w:asciiTheme="minorEastAsia" w:hAnsiTheme="minorEastAsia" w:eastAsiaTheme="minorEastAsia" w:cstheme="minorEastAsia"/>
          <w:highlight w:val="none"/>
          <w:u w:val="single"/>
        </w:rPr>
        <w:t xml:space="preserve">                                      （盖章）</w:t>
      </w:r>
    </w:p>
    <w:p>
      <w:pPr>
        <w:shd w:val="clear"/>
        <w:ind w:left="2699"/>
        <w:rPr>
          <w:rFonts w:asciiTheme="minorEastAsia" w:hAnsiTheme="minorEastAsia" w:eastAsiaTheme="minorEastAsia" w:cstheme="minorEastAsia"/>
          <w:highlight w:val="none"/>
        </w:rPr>
      </w:pPr>
    </w:p>
    <w:p>
      <w:pPr>
        <w:shd w:val="clear"/>
        <w:ind w:left="2699"/>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u w:val="single"/>
        </w:rPr>
        <w:t xml:space="preserve">                            （签字或盖章）</w:t>
      </w:r>
    </w:p>
    <w:p>
      <w:pPr>
        <w:shd w:val="clear"/>
        <w:ind w:left="2699"/>
        <w:rPr>
          <w:rFonts w:asciiTheme="minorEastAsia" w:hAnsiTheme="minorEastAsia" w:eastAsiaTheme="minorEastAsia" w:cstheme="minorEastAsia"/>
          <w:highlight w:val="none"/>
        </w:rPr>
      </w:pPr>
    </w:p>
    <w:p>
      <w:pPr>
        <w:shd w:val="clear"/>
        <w:ind w:left="2833" w:leftChars="1349" w:firstLine="2100" w:firstLineChars="1000"/>
        <w:rPr>
          <w:rFonts w:asciiTheme="minorEastAsia" w:hAnsiTheme="minorEastAsia" w:eastAsiaTheme="minorEastAsia" w:cstheme="minorEastAsia"/>
          <w:highlight w:val="none"/>
        </w:rPr>
      </w:pPr>
    </w:p>
    <w:p>
      <w:pPr>
        <w:shd w:val="clear"/>
        <w:ind w:left="2833" w:leftChars="1349" w:firstLine="2100" w:firstLineChars="1000"/>
        <w:rPr>
          <w:rFonts w:asciiTheme="minorEastAsia" w:hAnsiTheme="minorEastAsia" w:eastAsiaTheme="minorEastAsia" w:cstheme="minorEastAsia"/>
          <w:highlight w:val="none"/>
        </w:rPr>
      </w:pPr>
    </w:p>
    <w:p>
      <w:pPr>
        <w:shd w:val="clear"/>
        <w:ind w:left="2833" w:leftChars="1349" w:firstLine="2100" w:firstLineChars="1000"/>
        <w:rPr>
          <w:rFonts w:asciiTheme="minorEastAsia" w:hAnsiTheme="minorEastAsia" w:eastAsiaTheme="minorEastAsia" w:cstheme="minorEastAsia"/>
          <w:highlight w:val="none"/>
        </w:rPr>
      </w:pPr>
    </w:p>
    <w:p>
      <w:pPr>
        <w:shd w:val="clear"/>
        <w:ind w:left="2833" w:leftChars="1349" w:firstLine="2100" w:firstLineChars="1000"/>
        <w:rPr>
          <w:rFonts w:asciiTheme="minorEastAsia" w:hAnsiTheme="minorEastAsia" w:eastAsiaTheme="minorEastAsia" w:cstheme="minorEastAsia"/>
          <w:highlight w:val="none"/>
        </w:rPr>
      </w:pPr>
    </w:p>
    <w:p>
      <w:pPr>
        <w:shd w:val="clear"/>
        <w:ind w:left="2833" w:leftChars="1349" w:firstLine="2100" w:firstLineChars="1000"/>
        <w:rPr>
          <w:rFonts w:asciiTheme="minorEastAsia" w:hAnsiTheme="minorEastAsia" w:eastAsiaTheme="minorEastAsia" w:cstheme="minorEastAsia"/>
          <w:highlight w:val="none"/>
        </w:rPr>
      </w:pPr>
    </w:p>
    <w:p>
      <w:pPr>
        <w:shd w:val="clear"/>
        <w:ind w:left="2833" w:leftChars="1349" w:firstLine="2100" w:firstLineChars="1000"/>
        <w:rPr>
          <w:rFonts w:asciiTheme="minorEastAsia" w:hAnsiTheme="minorEastAsia" w:eastAsiaTheme="minorEastAsia" w:cstheme="minorEastAsia"/>
          <w:highlight w:val="none"/>
        </w:rPr>
      </w:pPr>
    </w:p>
    <w:p>
      <w:pPr>
        <w:shd w:val="clear"/>
        <w:ind w:firstLine="405" w:firstLineChars="193"/>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授权委托日期：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年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b/>
          <w:sz w:val="36"/>
          <w:szCs w:val="36"/>
          <w:highlight w:val="none"/>
        </w:rPr>
        <w:t>三、磋商函</w:t>
      </w: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（采购单位名称）：</w:t>
      </w:r>
    </w:p>
    <w:p>
      <w:pPr>
        <w:shd w:val="clear"/>
        <w:spacing w:line="380" w:lineRule="exact"/>
        <w:ind w:firstLine="63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我公司根据收到并研究了</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工程（项目编号：</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）的竞争性磋商采购文件，愿意按竞争性磋商采购文件规定的内容承担该工程的施工任务，严格执行磋商人所承诺的责任和义务。</w:t>
      </w:r>
    </w:p>
    <w:p>
      <w:pPr>
        <w:shd w:val="clear"/>
        <w:spacing w:line="380" w:lineRule="exact"/>
        <w:ind w:firstLine="525" w:firstLineChars="2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spacing w:val="8"/>
          <w:highlight w:val="none"/>
        </w:rPr>
        <w:t>我单位经考察现场和研究上述工程竞争性磋商采购文件的磋商须知前附表及磋商须知、合同条件、工程建设标准及其他有关文件后，我方</w:t>
      </w:r>
      <w:r>
        <w:rPr>
          <w:rFonts w:hint="eastAsia" w:asciiTheme="minorEastAsia" w:hAnsiTheme="minorEastAsia" w:eastAsiaTheme="minorEastAsia" w:cstheme="minorEastAsia"/>
          <w:bCs/>
          <w:highlight w:val="none"/>
        </w:rPr>
        <w:t>愿以：人民币</w:t>
      </w:r>
      <w:r>
        <w:rPr>
          <w:rFonts w:hint="eastAsia" w:asciiTheme="minorEastAsia" w:hAnsiTheme="minorEastAsia" w:eastAsiaTheme="minorEastAsia" w:cstheme="minorEastAsia"/>
          <w:bCs/>
          <w:highlight w:val="none"/>
          <w:u w:val="single"/>
        </w:rPr>
        <w:t xml:space="preserve">（大写）                  （小写）            </w:t>
      </w:r>
      <w:r>
        <w:rPr>
          <w:rFonts w:hint="eastAsia" w:asciiTheme="minorEastAsia" w:hAnsiTheme="minorEastAsia" w:eastAsiaTheme="minorEastAsia" w:cstheme="minorEastAsia"/>
          <w:bCs/>
          <w:highlight w:val="none"/>
        </w:rPr>
        <w:t>的磋商报价</w:t>
      </w:r>
      <w:r>
        <w:rPr>
          <w:rFonts w:hint="eastAsia" w:asciiTheme="minorEastAsia" w:hAnsiTheme="minorEastAsia" w:eastAsiaTheme="minorEastAsia" w:cstheme="minorEastAsia"/>
          <w:bCs/>
          <w:spacing w:val="8"/>
          <w:highlight w:val="none"/>
        </w:rPr>
        <w:t>，安全文明施工费为：</w:t>
      </w:r>
      <w:r>
        <w:rPr>
          <w:rFonts w:hint="eastAsia" w:asciiTheme="minorEastAsia" w:hAnsiTheme="minorEastAsia" w:eastAsiaTheme="minorEastAsia" w:cstheme="minorEastAsia"/>
          <w:bCs/>
          <w:highlight w:val="none"/>
        </w:rPr>
        <w:t>人民币</w:t>
      </w:r>
      <w:r>
        <w:rPr>
          <w:rFonts w:hint="eastAsia" w:asciiTheme="minorEastAsia" w:hAnsiTheme="minorEastAsia" w:eastAsiaTheme="minorEastAsia" w:cstheme="minorEastAsia"/>
          <w:bCs/>
          <w:highlight w:val="none"/>
          <w:u w:val="single"/>
        </w:rPr>
        <w:t>（大写）                  （小写）            ，</w:t>
      </w:r>
      <w:r>
        <w:rPr>
          <w:rFonts w:hint="eastAsia" w:asciiTheme="minorEastAsia" w:hAnsiTheme="minorEastAsia" w:eastAsiaTheme="minorEastAsia" w:cstheme="minorEastAsia"/>
          <w:bCs/>
          <w:highlight w:val="none"/>
        </w:rPr>
        <w:t>并按上述工程量清单、合</w:t>
      </w:r>
      <w:r>
        <w:rPr>
          <w:rFonts w:hint="eastAsia" w:asciiTheme="minorEastAsia" w:hAnsiTheme="minorEastAsia" w:eastAsiaTheme="minorEastAsia" w:cstheme="minorEastAsia"/>
          <w:highlight w:val="none"/>
        </w:rPr>
        <w:t>同条款、工程建设标准的条件要求承包工程的施工、竣工，并承担任何质量缺陷保修责任。</w:t>
      </w:r>
    </w:p>
    <w:p>
      <w:pPr>
        <w:pStyle w:val="25"/>
        <w:shd w:val="clea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3、一旦我方成交，我方保证：在签订合同后</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天内开工，</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天（日历天）内竣工并移交整个工程，并保证工程质量达到</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等级；</w:t>
      </w:r>
    </w:p>
    <w:p>
      <w:pPr>
        <w:shd w:val="clear"/>
        <w:spacing w:line="380" w:lineRule="exact"/>
        <w:ind w:firstLine="525" w:firstLineChars="2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4、我方同意所递交的响应文件在“磋商须知前附表及磋商须知”第13条规定的竞标有效期内有效，在此期间内我方的竞标有可能成交，我方将受此约束。</w:t>
      </w:r>
    </w:p>
    <w:p>
      <w:pPr>
        <w:shd w:val="clear"/>
        <w:spacing w:line="380" w:lineRule="exact"/>
        <w:ind w:firstLine="52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5、一旦成交，我公司保证按照竞争性磋商采购文件的要求和与采购人签订的工程施工合同，成立本工程的项目部，按响应文件拟订的项目经理和专业技术人员进驻施工现场实施施工合同。</w:t>
      </w:r>
    </w:p>
    <w:p>
      <w:pPr>
        <w:shd w:val="clear"/>
        <w:spacing w:line="380" w:lineRule="exact"/>
        <w:ind w:firstLine="525"/>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Theme="minorEastAsia" w:hAnsiTheme="minorEastAsia" w:eastAsiaTheme="minorEastAsia" w:cstheme="minorEastAsia"/>
          <w:spacing w:val="2"/>
          <w:highlight w:val="none"/>
        </w:rPr>
        <w:t>采购代理机构</w:t>
      </w:r>
      <w:r>
        <w:rPr>
          <w:rFonts w:hint="eastAsia" w:asciiTheme="minorEastAsia" w:hAnsiTheme="minorEastAsia" w:eastAsiaTheme="minorEastAsia" w:cstheme="minorEastAsia"/>
          <w:highlight w:val="none"/>
        </w:rPr>
        <w:t>发出的成交通知书，应构成我们之间有约束力的合同。</w:t>
      </w:r>
    </w:p>
    <w:p>
      <w:pPr>
        <w:shd w:val="clear"/>
        <w:spacing w:line="380" w:lineRule="exact"/>
        <w:rPr>
          <w:rFonts w:asciiTheme="minorEastAsia" w:hAnsiTheme="minorEastAsia" w:eastAsiaTheme="minorEastAsia" w:cstheme="minorEastAsia"/>
          <w:highlight w:val="none"/>
        </w:rPr>
      </w:pP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磋商人：（盖章）                   法定代表人：（签字、盖章）</w:t>
      </w: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                             邮政编码：</w:t>
      </w: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电话：</w:t>
      </w: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开户银行名称：                     </w:t>
      </w: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银行帐号：</w:t>
      </w: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开户行地址：     </w:t>
      </w:r>
    </w:p>
    <w:p>
      <w:pPr>
        <w:shd w:val="clear"/>
        <w:spacing w:line="38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日期：      年    月    日 </w:t>
      </w:r>
    </w:p>
    <w:p>
      <w:pPr>
        <w:pStyle w:val="25"/>
        <w:shd w:val="clear"/>
        <w:jc w:val="center"/>
        <w:rPr>
          <w:rFonts w:asciiTheme="minorEastAsia" w:hAnsiTheme="minorEastAsia" w:eastAsiaTheme="minorEastAsia" w:cstheme="minorEastAsia"/>
          <w:b/>
          <w:sz w:val="32"/>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b/>
          <w:sz w:val="36"/>
          <w:szCs w:val="36"/>
          <w:highlight w:val="none"/>
        </w:rPr>
        <w:t>四、磋商函附表</w:t>
      </w:r>
    </w:p>
    <w:p>
      <w:pPr>
        <w:pStyle w:val="25"/>
        <w:shd w:val="clear"/>
        <w:rPr>
          <w:rFonts w:asciiTheme="minorEastAsia" w:hAnsiTheme="minorEastAsia" w:eastAsiaTheme="minorEastAsia" w:cstheme="minorEastAsia"/>
          <w:b/>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 号</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条款内容</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合同条款号</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约定内容</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项目经理</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姓名：</w:t>
            </w:r>
            <w:r>
              <w:rPr>
                <w:rFonts w:hint="eastAsia" w:asciiTheme="minorEastAsia" w:hAnsiTheme="minorEastAsia" w:eastAsiaTheme="minorEastAsia" w:cstheme="minorEastAsia"/>
                <w:highlight w:val="none"/>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投标有效期</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rPr>
                <w:rFonts w:asciiTheme="minorEastAsia" w:hAnsiTheme="minorEastAsia" w:eastAsiaTheme="minorEastAsia" w:cstheme="minorEastAsia"/>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日历天</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工期</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缺陷责任期</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发包人支付担保</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承包人履约担保金额</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分包</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见分包项目情况表</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逾期竣工违约金</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合同价款</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%/天</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逾期竣工违约金最高限额</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合同价款</w:t>
            </w:r>
            <w:r>
              <w:rPr>
                <w:rFonts w:hint="eastAsia" w:asciiTheme="minorEastAsia" w:hAnsiTheme="minorEastAsia" w:eastAsiaTheme="minorEastAsia" w:cstheme="minorEastAsia"/>
                <w:highlight w:val="none"/>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质量标准</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预付款额度</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预付款保函金额</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质量保证金额度</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jc w:val="center"/>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highlight w:val="none"/>
              </w:rPr>
              <w:t>专用条款</w:t>
            </w: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结算价的</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u w:val="single"/>
              </w:rPr>
              <w:t xml:space="preserve"> </w:t>
            </w: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2126"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shd w:val="clear"/>
              <w:rPr>
                <w:rFonts w:asciiTheme="minorEastAsia" w:hAnsiTheme="minorEastAsia" w:eastAsiaTheme="minorEastAsia" w:cstheme="minorEastAsia"/>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tcBorders>
              <w:top w:val="single" w:color="auto" w:sz="4" w:space="0"/>
              <w:left w:val="single" w:color="auto" w:sz="4" w:space="0"/>
              <w:bottom w:val="single" w:color="auto" w:sz="4" w:space="0"/>
              <w:right w:val="single" w:color="auto" w:sz="4" w:space="0"/>
            </w:tcBorders>
            <w:vAlign w:val="center"/>
          </w:tcPr>
          <w:p>
            <w:pPr>
              <w:shd w:val="clea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备注：投标人在响应招标文件中规定的实质性要求和条件的基础上，可做出其他有利于招标人的承诺。此类承诺可在本表中予以补充填写。</w:t>
            </w:r>
          </w:p>
        </w:tc>
      </w:tr>
    </w:tbl>
    <w:p>
      <w:pPr>
        <w:pStyle w:val="25"/>
        <w:shd w:val="clear"/>
        <w:ind w:firstLine="420"/>
        <w:rPr>
          <w:rFonts w:asciiTheme="minorEastAsia" w:hAnsiTheme="minorEastAsia" w:eastAsiaTheme="minorEastAsia" w:cstheme="minorEastAsia"/>
          <w:highlight w:val="none"/>
        </w:rPr>
      </w:pPr>
    </w:p>
    <w:p>
      <w:pPr>
        <w:pStyle w:val="25"/>
        <w:shd w:val="clear"/>
        <w:ind w:firstLine="420"/>
        <w:rPr>
          <w:rFonts w:asciiTheme="minorEastAsia" w:hAnsiTheme="minorEastAsia" w:eastAsiaTheme="minorEastAsia" w:cstheme="minorEastAsia"/>
          <w:highlight w:val="none"/>
        </w:rPr>
      </w:pPr>
    </w:p>
    <w:p>
      <w:pPr>
        <w:pStyle w:val="25"/>
        <w:shd w:val="clear"/>
        <w:spacing w:line="500" w:lineRule="exact"/>
        <w:ind w:firstLine="420"/>
        <w:rPr>
          <w:rFonts w:asciiTheme="minorEastAsia" w:hAnsiTheme="minorEastAsia" w:eastAsiaTheme="minorEastAsia" w:cstheme="minorEastAsia"/>
          <w:highlight w:val="none"/>
        </w:rPr>
      </w:pPr>
    </w:p>
    <w:p>
      <w:pPr>
        <w:pStyle w:val="25"/>
        <w:shd w:val="clear"/>
        <w:spacing w:line="500" w:lineRule="exact"/>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磋商人：(盖章)</w:t>
      </w:r>
    </w:p>
    <w:p>
      <w:pPr>
        <w:pStyle w:val="25"/>
        <w:shd w:val="clear"/>
        <w:spacing w:line="500" w:lineRule="exact"/>
        <w:ind w:firstLine="420"/>
        <w:rPr>
          <w:rFonts w:asciiTheme="minorEastAsia" w:hAnsiTheme="minorEastAsia" w:eastAsiaTheme="minorEastAsia" w:cstheme="minorEastAsia"/>
          <w:sz w:val="21"/>
          <w:szCs w:val="21"/>
          <w:highlight w:val="none"/>
        </w:rPr>
      </w:pPr>
    </w:p>
    <w:p>
      <w:pPr>
        <w:pStyle w:val="25"/>
        <w:shd w:val="clear"/>
        <w:spacing w:line="500" w:lineRule="exact"/>
        <w:ind w:firstLine="42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法定代表人：(签字或盖章)</w:t>
      </w:r>
    </w:p>
    <w:p>
      <w:pPr>
        <w:pStyle w:val="25"/>
        <w:shd w:val="clear"/>
        <w:spacing w:line="500" w:lineRule="exact"/>
        <w:ind w:firstLine="420"/>
        <w:rPr>
          <w:rFonts w:asciiTheme="minorEastAsia" w:hAnsiTheme="minorEastAsia" w:eastAsiaTheme="minorEastAsia" w:cstheme="minorEastAsia"/>
          <w:sz w:val="21"/>
          <w:szCs w:val="21"/>
          <w:highlight w:val="none"/>
        </w:rPr>
      </w:pPr>
    </w:p>
    <w:p>
      <w:pPr>
        <w:pStyle w:val="25"/>
        <w:shd w:val="clear"/>
        <w:spacing w:line="440" w:lineRule="exact"/>
        <w:ind w:firstLine="420" w:firstLineChars="200"/>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日期：         年        月        日</w:t>
      </w:r>
    </w:p>
    <w:p>
      <w:pPr>
        <w:pStyle w:val="4"/>
        <w:shd w:val="clear"/>
        <w:jc w:val="center"/>
        <w:rPr>
          <w:rFonts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rPr>
        <w:t>五、</w:t>
      </w:r>
      <w:bookmarkStart w:id="27" w:name="_Toc349639687"/>
      <w:bookmarkStart w:id="28" w:name="_Toc349557654"/>
      <w:bookmarkStart w:id="29" w:name="_Toc349640339"/>
      <w:bookmarkStart w:id="30" w:name="_Toc26366"/>
      <w:bookmarkStart w:id="31" w:name="_Toc349558044"/>
      <w:bookmarkStart w:id="32" w:name="_Toc349555832"/>
      <w:bookmarkStart w:id="33" w:name="_Toc349215560"/>
      <w:bookmarkStart w:id="34" w:name="_Toc389065358"/>
      <w:r>
        <w:rPr>
          <w:rFonts w:hint="eastAsia" w:asciiTheme="minorEastAsia" w:hAnsiTheme="minorEastAsia" w:eastAsiaTheme="minorEastAsia" w:cstheme="minorEastAsia"/>
          <w:sz w:val="36"/>
          <w:szCs w:val="36"/>
          <w:highlight w:val="none"/>
        </w:rPr>
        <w:t>投标报价表</w:t>
      </w:r>
      <w:bookmarkEnd w:id="27"/>
      <w:bookmarkEnd w:id="28"/>
      <w:bookmarkEnd w:id="29"/>
      <w:bookmarkEnd w:id="30"/>
      <w:bookmarkEnd w:id="31"/>
      <w:bookmarkEnd w:id="32"/>
      <w:bookmarkEnd w:id="33"/>
      <w:bookmarkEnd w:id="34"/>
    </w:p>
    <w:p>
      <w:pPr>
        <w:shd w:val="clear"/>
        <w:rPr>
          <w:rFonts w:asciiTheme="minorEastAsia" w:hAnsiTheme="minorEastAsia" w:eastAsiaTheme="minorEastAsia" w:cstheme="minorEastAsia"/>
          <w:highlight w:val="none"/>
        </w:rPr>
      </w:pPr>
    </w:p>
    <w:p>
      <w:pPr>
        <w:shd w:val="clear"/>
        <w:ind w:left="-178" w:leftChars="-85" w:right="-512" w:rightChars="-244" w:firstLine="630" w:firstLineChars="3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项目名称：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币种：人民币</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5100" w:type="dxa"/>
            <w:gridSpan w:val="2"/>
            <w:vAlign w:val="center"/>
          </w:tcPr>
          <w:p>
            <w:pPr>
              <w:widowControl/>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投标总价</w:t>
            </w:r>
          </w:p>
        </w:tc>
        <w:tc>
          <w:tcPr>
            <w:tcW w:w="1987" w:type="dxa"/>
            <w:vAlign w:val="center"/>
          </w:tcPr>
          <w:p>
            <w:pPr>
              <w:widowControl/>
              <w:shd w:val="clea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万元</w:t>
            </w:r>
          </w:p>
        </w:tc>
        <w:tc>
          <w:tcPr>
            <w:tcW w:w="1702" w:type="dxa"/>
            <w:vAlign w:val="center"/>
          </w:tcPr>
          <w:p>
            <w:pPr>
              <w:widowControl/>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其中</w:t>
            </w:r>
          </w:p>
        </w:tc>
        <w:tc>
          <w:tcPr>
            <w:tcW w:w="3116"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安全文明施工费</w:t>
            </w:r>
          </w:p>
        </w:tc>
        <w:tc>
          <w:tcPr>
            <w:tcW w:w="1987" w:type="dxa"/>
            <w:vAlign w:val="center"/>
          </w:tcPr>
          <w:p>
            <w:pPr>
              <w:shd w:val="clea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万元</w:t>
            </w:r>
          </w:p>
        </w:tc>
        <w:tc>
          <w:tcPr>
            <w:tcW w:w="1702" w:type="dxa"/>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shd w:val="clear"/>
              <w:jc w:val="center"/>
              <w:rPr>
                <w:rFonts w:asciiTheme="minorEastAsia" w:hAnsiTheme="minorEastAsia" w:eastAsiaTheme="minorEastAsia" w:cstheme="minorEastAsia"/>
                <w:highlight w:val="none"/>
              </w:rPr>
            </w:pPr>
          </w:p>
        </w:tc>
        <w:tc>
          <w:tcPr>
            <w:tcW w:w="3116"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发包人提供材料（设备）暂估价（如有）</w:t>
            </w:r>
          </w:p>
        </w:tc>
        <w:tc>
          <w:tcPr>
            <w:tcW w:w="1987" w:type="dxa"/>
            <w:vAlign w:val="center"/>
          </w:tcPr>
          <w:p>
            <w:pPr>
              <w:widowControl/>
              <w:shd w:val="clea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万元</w:t>
            </w:r>
          </w:p>
        </w:tc>
        <w:tc>
          <w:tcPr>
            <w:tcW w:w="1702" w:type="dxa"/>
          </w:tcPr>
          <w:p>
            <w:pPr>
              <w:widowControl/>
              <w:shd w:val="clear"/>
              <w:ind w:right="48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shd w:val="clear"/>
              <w:jc w:val="center"/>
              <w:rPr>
                <w:rFonts w:asciiTheme="minorEastAsia" w:hAnsiTheme="minorEastAsia" w:eastAsiaTheme="minorEastAsia" w:cstheme="minorEastAsia"/>
                <w:highlight w:val="none"/>
              </w:rPr>
            </w:pPr>
          </w:p>
        </w:tc>
        <w:tc>
          <w:tcPr>
            <w:tcW w:w="3116" w:type="dxa"/>
            <w:vAlign w:val="center"/>
          </w:tcPr>
          <w:p>
            <w:pPr>
              <w:shd w:val="clear"/>
              <w:jc w:val="center"/>
              <w:rPr>
                <w:rFonts w:asciiTheme="minorEastAsia" w:hAnsiTheme="minorEastAsia" w:eastAsiaTheme="minorEastAsia" w:cstheme="minorEastAsia"/>
                <w:highlight w:val="none"/>
              </w:rPr>
            </w:pPr>
          </w:p>
        </w:tc>
        <w:tc>
          <w:tcPr>
            <w:tcW w:w="1987" w:type="dxa"/>
            <w:vAlign w:val="center"/>
          </w:tcPr>
          <w:p>
            <w:pPr>
              <w:widowControl/>
              <w:shd w:val="clear"/>
              <w:jc w:val="right"/>
              <w:rPr>
                <w:rFonts w:asciiTheme="minorEastAsia" w:hAnsiTheme="minorEastAsia" w:eastAsiaTheme="minorEastAsia" w:cstheme="minorEastAsia"/>
                <w:highlight w:val="none"/>
              </w:rPr>
            </w:pPr>
          </w:p>
        </w:tc>
        <w:tc>
          <w:tcPr>
            <w:tcW w:w="1702" w:type="dxa"/>
          </w:tcPr>
          <w:p>
            <w:pPr>
              <w:widowControl/>
              <w:shd w:val="clear"/>
              <w:ind w:right="48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shd w:val="clear"/>
              <w:jc w:val="center"/>
              <w:rPr>
                <w:rFonts w:asciiTheme="minorEastAsia" w:hAnsiTheme="minorEastAsia" w:eastAsiaTheme="minorEastAsia" w:cstheme="minorEastAsia"/>
                <w:highlight w:val="none"/>
              </w:rPr>
            </w:pPr>
          </w:p>
        </w:tc>
        <w:tc>
          <w:tcPr>
            <w:tcW w:w="3116" w:type="dxa"/>
            <w:vAlign w:val="center"/>
          </w:tcPr>
          <w:p>
            <w:pPr>
              <w:widowControl/>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专业工程暂估价（如有）</w:t>
            </w:r>
          </w:p>
        </w:tc>
        <w:tc>
          <w:tcPr>
            <w:tcW w:w="1987" w:type="dxa"/>
            <w:vAlign w:val="center"/>
          </w:tcPr>
          <w:p>
            <w:pPr>
              <w:widowControl/>
              <w:shd w:val="clea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万元</w:t>
            </w:r>
          </w:p>
        </w:tc>
        <w:tc>
          <w:tcPr>
            <w:tcW w:w="1702" w:type="dxa"/>
          </w:tcPr>
          <w:p>
            <w:pPr>
              <w:widowControl/>
              <w:shd w:val="clear"/>
              <w:ind w:right="48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pPr>
              <w:widowControl/>
              <w:shd w:val="clear"/>
              <w:jc w:val="center"/>
              <w:rPr>
                <w:rFonts w:asciiTheme="minorEastAsia" w:hAnsiTheme="minorEastAsia" w:eastAsiaTheme="minorEastAsia" w:cstheme="minorEastAsia"/>
                <w:highlight w:val="none"/>
              </w:rPr>
            </w:pPr>
          </w:p>
        </w:tc>
        <w:tc>
          <w:tcPr>
            <w:tcW w:w="3116" w:type="dxa"/>
            <w:vAlign w:val="center"/>
          </w:tcPr>
          <w:p>
            <w:pPr>
              <w:widowControl/>
              <w:shd w:val="clear"/>
              <w:ind w:firstLine="945" w:firstLineChars="4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暂列金额（如有）</w:t>
            </w:r>
          </w:p>
        </w:tc>
        <w:tc>
          <w:tcPr>
            <w:tcW w:w="1987" w:type="dxa"/>
            <w:vAlign w:val="center"/>
          </w:tcPr>
          <w:p>
            <w:pPr>
              <w:widowControl/>
              <w:shd w:val="clea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万元</w:t>
            </w:r>
          </w:p>
        </w:tc>
        <w:tc>
          <w:tcPr>
            <w:tcW w:w="1702" w:type="dxa"/>
          </w:tcPr>
          <w:p>
            <w:pPr>
              <w:widowControl/>
              <w:shd w:val="clear"/>
              <w:ind w:right="48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pPr>
              <w:widowControl/>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主要材料</w:t>
            </w:r>
          </w:p>
        </w:tc>
        <w:tc>
          <w:tcPr>
            <w:tcW w:w="3116" w:type="dxa"/>
            <w:vAlign w:val="center"/>
          </w:tcPr>
          <w:p>
            <w:pPr>
              <w:widowControl/>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钢筋</w:t>
            </w:r>
          </w:p>
        </w:tc>
        <w:tc>
          <w:tcPr>
            <w:tcW w:w="1987" w:type="dxa"/>
            <w:vAlign w:val="center"/>
          </w:tcPr>
          <w:p>
            <w:pPr>
              <w:widowControl/>
              <w:shd w:val="clea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吨</w:t>
            </w:r>
          </w:p>
        </w:tc>
        <w:tc>
          <w:tcPr>
            <w:tcW w:w="1702" w:type="dxa"/>
          </w:tcPr>
          <w:p>
            <w:pPr>
              <w:widowControl/>
              <w:shd w:val="clear"/>
              <w:jc w:val="right"/>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pPr>
              <w:widowControl/>
              <w:shd w:val="clear"/>
              <w:jc w:val="center"/>
              <w:rPr>
                <w:rFonts w:asciiTheme="minorEastAsia" w:hAnsiTheme="minorEastAsia" w:eastAsiaTheme="minorEastAsia" w:cstheme="minorEastAsia"/>
                <w:highlight w:val="none"/>
              </w:rPr>
            </w:pPr>
          </w:p>
        </w:tc>
        <w:tc>
          <w:tcPr>
            <w:tcW w:w="3116" w:type="dxa"/>
            <w:vAlign w:val="center"/>
          </w:tcPr>
          <w:p>
            <w:pPr>
              <w:widowControl/>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水泥（不含商品混凝土用量）</w:t>
            </w:r>
          </w:p>
        </w:tc>
        <w:tc>
          <w:tcPr>
            <w:tcW w:w="1987" w:type="dxa"/>
            <w:vAlign w:val="center"/>
          </w:tcPr>
          <w:p>
            <w:pPr>
              <w:widowControl/>
              <w:shd w:val="clear"/>
              <w:tabs>
                <w:tab w:val="left" w:pos="2398"/>
              </w:tabs>
              <w:ind w:right="18"/>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吨</w:t>
            </w:r>
          </w:p>
        </w:tc>
        <w:tc>
          <w:tcPr>
            <w:tcW w:w="1702" w:type="dxa"/>
          </w:tcPr>
          <w:p>
            <w:pPr>
              <w:widowControl/>
              <w:shd w:val="clear"/>
              <w:jc w:val="right"/>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pPr>
              <w:widowControl/>
              <w:shd w:val="clear"/>
              <w:jc w:val="center"/>
              <w:rPr>
                <w:rFonts w:asciiTheme="minorEastAsia" w:hAnsiTheme="minorEastAsia" w:eastAsiaTheme="minorEastAsia" w:cstheme="minorEastAsia"/>
                <w:highlight w:val="none"/>
              </w:rPr>
            </w:pPr>
          </w:p>
        </w:tc>
        <w:tc>
          <w:tcPr>
            <w:tcW w:w="3116" w:type="dxa"/>
            <w:vAlign w:val="center"/>
          </w:tcPr>
          <w:p>
            <w:pPr>
              <w:widowControl/>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商品混凝土</w:t>
            </w:r>
          </w:p>
        </w:tc>
        <w:tc>
          <w:tcPr>
            <w:tcW w:w="1987" w:type="dxa"/>
            <w:vAlign w:val="center"/>
          </w:tcPr>
          <w:p>
            <w:pPr>
              <w:widowControl/>
              <w:shd w:val="clea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m</w:t>
            </w:r>
            <w:r>
              <w:rPr>
                <w:rFonts w:hint="eastAsia" w:asciiTheme="minorEastAsia" w:hAnsiTheme="minorEastAsia" w:eastAsiaTheme="minorEastAsia" w:cstheme="minorEastAsia"/>
                <w:highlight w:val="none"/>
                <w:vertAlign w:val="superscript"/>
              </w:rPr>
              <w:t>3</w:t>
            </w:r>
          </w:p>
        </w:tc>
        <w:tc>
          <w:tcPr>
            <w:tcW w:w="1702" w:type="dxa"/>
          </w:tcPr>
          <w:p>
            <w:pPr>
              <w:widowControl/>
              <w:shd w:val="clear"/>
              <w:jc w:val="right"/>
              <w:rPr>
                <w:rFonts w:asciiTheme="minorEastAsia" w:hAnsiTheme="minorEastAsia" w:eastAsiaTheme="minorEastAsia" w:cstheme="minorEastAsia"/>
                <w:highlight w:val="none"/>
              </w:rPr>
            </w:pPr>
          </w:p>
        </w:tc>
      </w:tr>
    </w:tbl>
    <w:p>
      <w:pPr>
        <w:shd w:val="clea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【注：发包人与承包人签订施工合同时，安全文明施工费以招标人发布的安全文明施工费金额为准签订合同。】</w:t>
      </w:r>
    </w:p>
    <w:p>
      <w:pPr>
        <w:shd w:val="clear"/>
        <w:spacing w:line="480" w:lineRule="auto"/>
        <w:rPr>
          <w:rFonts w:asciiTheme="minorEastAsia" w:hAnsiTheme="minorEastAsia" w:eastAsiaTheme="minorEastAsia" w:cstheme="minorEastAsia"/>
          <w:highlight w:val="none"/>
        </w:rPr>
      </w:pPr>
    </w:p>
    <w:p>
      <w:pPr>
        <w:shd w:val="clear"/>
        <w:spacing w:line="480" w:lineRule="auto"/>
        <w:rPr>
          <w:rFonts w:asciiTheme="minorEastAsia" w:hAnsiTheme="minorEastAsia" w:eastAsiaTheme="minorEastAsia" w:cstheme="minorEastAsia"/>
          <w:highlight w:val="none"/>
        </w:rPr>
      </w:pPr>
    </w:p>
    <w:p>
      <w:pPr>
        <w:shd w:val="clear"/>
        <w:spacing w:line="480" w:lineRule="auto"/>
        <w:ind w:firstLine="210" w:firstLineChars="1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投标人（盖单位章）：</w:t>
      </w:r>
      <w:r>
        <w:rPr>
          <w:rFonts w:hint="eastAsia" w:asciiTheme="minorEastAsia" w:hAnsiTheme="minorEastAsia" w:eastAsiaTheme="minorEastAsia" w:cstheme="minorEastAsia"/>
          <w:highlight w:val="none"/>
          <w:u w:val="single"/>
        </w:rPr>
        <w:t xml:space="preserve">                                 </w:t>
      </w:r>
    </w:p>
    <w:p>
      <w:pPr>
        <w:shd w:val="clear"/>
        <w:spacing w:line="480" w:lineRule="auto"/>
        <w:ind w:firstLine="210" w:firstLineChars="1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法定代表人或其委托代理人（签字或盖章）：</w:t>
      </w:r>
      <w:r>
        <w:rPr>
          <w:rFonts w:hint="eastAsia" w:asciiTheme="minorEastAsia" w:hAnsiTheme="minorEastAsia" w:eastAsiaTheme="minorEastAsia" w:cstheme="minorEastAsia"/>
          <w:highlight w:val="none"/>
          <w:u w:val="single"/>
        </w:rPr>
        <w:t xml:space="preserve">              </w:t>
      </w:r>
    </w:p>
    <w:p>
      <w:pPr>
        <w:shd w:val="clear"/>
        <w:spacing w:line="480" w:lineRule="auto"/>
        <w:ind w:firstLine="210" w:firstLineChars="1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p>
    <w:p>
      <w:pPr>
        <w:shd w:val="clear"/>
        <w:spacing w:line="480" w:lineRule="auto"/>
        <w:ind w:firstLine="210" w:firstLineChars="100"/>
        <w:rPr>
          <w:rFonts w:asciiTheme="minorEastAsia" w:hAnsiTheme="minorEastAsia" w:eastAsiaTheme="minorEastAsia" w:cstheme="minorEastAsia"/>
          <w:highlight w:val="none"/>
        </w:rPr>
      </w:pPr>
    </w:p>
    <w:p>
      <w:pPr>
        <w:shd w:val="clear"/>
        <w:spacing w:line="480" w:lineRule="auto"/>
        <w:ind w:firstLine="210" w:firstLineChars="100"/>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spacing w:line="480" w:lineRule="auto"/>
        <w:ind w:firstLine="210" w:firstLineChars="100"/>
        <w:rPr>
          <w:rFonts w:asciiTheme="minorEastAsia" w:hAnsiTheme="minorEastAsia" w:eastAsiaTheme="minorEastAsia" w:cstheme="minorEastAsia"/>
          <w:highlight w:val="none"/>
        </w:rPr>
      </w:pPr>
    </w:p>
    <w:p>
      <w:pPr>
        <w:pStyle w:val="41"/>
        <w:shd w:val="clear"/>
        <w:ind w:firstLine="482"/>
        <w:rPr>
          <w:rFonts w:asciiTheme="minorEastAsia" w:hAnsiTheme="minorEastAsia" w:eastAsiaTheme="minorEastAsia" w:cstheme="minorEastAsia"/>
          <w:highlight w:val="none"/>
        </w:rPr>
      </w:pPr>
    </w:p>
    <w:p>
      <w:pPr>
        <w:pStyle w:val="41"/>
        <w:shd w:val="clear"/>
        <w:ind w:firstLine="482"/>
        <w:rPr>
          <w:rFonts w:asciiTheme="minorEastAsia" w:hAnsiTheme="minorEastAsia" w:eastAsiaTheme="minorEastAsia" w:cstheme="minorEastAsia"/>
          <w:highlight w:val="none"/>
        </w:rPr>
      </w:pPr>
    </w:p>
    <w:p>
      <w:pPr>
        <w:numPr>
          <w:ilvl w:val="0"/>
          <w:numId w:val="6"/>
        </w:numPr>
        <w:shd w:val="clear"/>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已标价的工程量清单报价有关材料</w:t>
      </w:r>
    </w:p>
    <w:p>
      <w:pPr>
        <w:pStyle w:val="6"/>
        <w:shd w:val="clea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由磋商人按“《(GB50500-2013)建设工程工程量清单计价规范》广西壮族自治区实施细则”编制</w:t>
      </w: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highlight w:val="none"/>
        </w:rPr>
      </w:pPr>
    </w:p>
    <w:p>
      <w:pPr>
        <w:pStyle w:val="25"/>
        <w:shd w:val="clear"/>
        <w:spacing w:line="360" w:lineRule="auto"/>
        <w:jc w:val="center"/>
        <w:rPr>
          <w:rFonts w:asciiTheme="minorEastAsia" w:hAnsiTheme="minorEastAsia" w:eastAsiaTheme="minorEastAsia" w:cstheme="minorEastAsia"/>
          <w:b/>
          <w:bCs/>
          <w:sz w:val="36"/>
          <w:highlight w:val="none"/>
        </w:rPr>
      </w:pPr>
    </w:p>
    <w:p>
      <w:pPr>
        <w:pStyle w:val="25"/>
        <w:shd w:val="clear"/>
        <w:spacing w:line="360" w:lineRule="auto"/>
        <w:jc w:val="center"/>
        <w:rPr>
          <w:rFonts w:asciiTheme="minorEastAsia" w:hAnsiTheme="minorEastAsia" w:eastAsiaTheme="minorEastAsia" w:cstheme="minorEastAsia"/>
          <w:b/>
          <w:bCs/>
          <w:sz w:val="36"/>
          <w:highlight w:val="none"/>
        </w:rPr>
      </w:pPr>
    </w:p>
    <w:p>
      <w:pPr>
        <w:pStyle w:val="25"/>
        <w:shd w:val="clear"/>
        <w:spacing w:line="360" w:lineRule="auto"/>
        <w:jc w:val="center"/>
        <w:rPr>
          <w:rFonts w:asciiTheme="minorEastAsia" w:hAnsiTheme="minorEastAsia" w:eastAsiaTheme="minorEastAsia" w:cstheme="minorEastAsia"/>
          <w:b/>
          <w:bCs/>
          <w:sz w:val="36"/>
          <w:highlight w:val="none"/>
        </w:rPr>
      </w:pPr>
    </w:p>
    <w:p>
      <w:pPr>
        <w:numPr>
          <w:ilvl w:val="0"/>
          <w:numId w:val="6"/>
        </w:numPr>
        <w:shd w:val="clear"/>
        <w:spacing w:line="500" w:lineRule="exact"/>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磋商人磋商资料[附已有效企业资质副本、有效的营业执照副本、有效的安全生产许可证副本、有效的组织机构代码证副本（三证合一的不须提供）]</w:t>
      </w:r>
    </w:p>
    <w:p>
      <w:pPr>
        <w:pStyle w:val="6"/>
        <w:shd w:val="clear"/>
        <w:jc w:val="both"/>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spacing w:line="500" w:lineRule="exact"/>
        <w:rPr>
          <w:rFonts w:asciiTheme="minorEastAsia" w:hAnsiTheme="minorEastAsia" w:eastAsiaTheme="minorEastAsia" w:cstheme="minorEastAsia"/>
          <w:b/>
          <w:bCs/>
          <w:sz w:val="32"/>
          <w:szCs w:val="32"/>
          <w:highlight w:val="none"/>
        </w:rPr>
      </w:pPr>
    </w:p>
    <w:p>
      <w:pPr>
        <w:shd w:val="clear"/>
        <w:spacing w:line="500" w:lineRule="exact"/>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八、投标人提供《贵港市采购项目投标资格承诺函》</w:t>
      </w:r>
    </w:p>
    <w:p>
      <w:pPr>
        <w:shd w:val="clear"/>
        <w:spacing w:line="500" w:lineRule="exact"/>
        <w:ind w:firstLine="643" w:firstLineChars="200"/>
        <w:rPr>
          <w:rFonts w:asciiTheme="minorEastAsia" w:hAnsiTheme="minorEastAsia" w:eastAsiaTheme="minorEastAsia" w:cstheme="minorEastAsia"/>
          <w:b/>
          <w:bCs/>
          <w:sz w:val="32"/>
          <w:szCs w:val="32"/>
          <w:highlight w:val="none"/>
        </w:rPr>
      </w:pPr>
    </w:p>
    <w:p>
      <w:pPr>
        <w:shd w:val="clear"/>
        <w:snapToGrid w:val="0"/>
        <w:spacing w:before="50" w:after="120" w:afterLines="50" w:line="440" w:lineRule="exact"/>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44"/>
          <w:szCs w:val="44"/>
          <w:highlight w:val="none"/>
        </w:rPr>
        <w:t>贵港市采购项目投标资格承诺函</w:t>
      </w: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本公司郑重承诺，根据《中华人民共和国政府采购法》第二十二条的规定，本公司为参加政府采购活动的合格供应商。即本公司同时满足以下条件：</w:t>
      </w: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2、具有良好的商业信誉和健全的财务会计制度。</w:t>
      </w: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3、具有履行合同所必需的设备和专业技术能力。</w:t>
      </w: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4、有依法缴纳税收和社会保障资金的良好记录。</w:t>
      </w: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5、提交投标文件截止日期前三年内，在经营活动中没有重大违法记录。</w:t>
      </w:r>
    </w:p>
    <w:p>
      <w:pPr>
        <w:pStyle w:val="25"/>
        <w:shd w:val="clear"/>
        <w:spacing w:before="54" w:line="440" w:lineRule="exact"/>
        <w:ind w:left="115" w:right="111"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6、本公司对上述承诺的真实性负责，并接受政府采购、税务、社会保障等监督管理部门、采购文件规定的资格审查机构、社会公众的监督和检查。如有虚假，将依法承担相应责任。</w:t>
      </w:r>
    </w:p>
    <w:p>
      <w:pPr>
        <w:pStyle w:val="25"/>
        <w:shd w:val="clear"/>
        <w:spacing w:line="440" w:lineRule="exact"/>
        <w:ind w:firstLine="480" w:firstLineChars="200"/>
        <w:rPr>
          <w:rFonts w:asciiTheme="minorEastAsia" w:hAnsiTheme="minorEastAsia" w:eastAsiaTheme="minorEastAsia" w:cstheme="minorEastAsia"/>
          <w:sz w:val="24"/>
          <w:szCs w:val="24"/>
          <w:highlight w:val="none"/>
        </w:rPr>
      </w:pPr>
    </w:p>
    <w:p>
      <w:pPr>
        <w:pStyle w:val="25"/>
        <w:shd w:val="clear"/>
        <w:spacing w:line="440" w:lineRule="exact"/>
        <w:ind w:firstLine="480" w:firstLineChars="200"/>
        <w:rPr>
          <w:rFonts w:asciiTheme="minorEastAsia" w:hAnsiTheme="minorEastAsia" w:eastAsiaTheme="minorEastAsia" w:cstheme="minorEastAsia"/>
          <w:sz w:val="24"/>
          <w:szCs w:val="24"/>
          <w:highlight w:val="none"/>
        </w:rPr>
      </w:pPr>
    </w:p>
    <w:p>
      <w:pPr>
        <w:pStyle w:val="25"/>
        <w:shd w:val="clear"/>
        <w:spacing w:before="4" w:line="440" w:lineRule="exact"/>
        <w:ind w:firstLine="480" w:firstLineChars="200"/>
        <w:rPr>
          <w:rFonts w:asciiTheme="minorEastAsia" w:hAnsiTheme="minorEastAsia" w:eastAsiaTheme="minorEastAsia" w:cstheme="minorEastAsia"/>
          <w:sz w:val="24"/>
          <w:szCs w:val="24"/>
          <w:highlight w:val="none"/>
        </w:rPr>
      </w:pPr>
    </w:p>
    <w:p>
      <w:pPr>
        <w:pStyle w:val="25"/>
        <w:shd w:val="clear"/>
        <w:spacing w:line="440" w:lineRule="exact"/>
        <w:ind w:left="2726"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企业名称（盖章）：</w:t>
      </w:r>
    </w:p>
    <w:p>
      <w:pPr>
        <w:pStyle w:val="25"/>
        <w:shd w:val="clear"/>
        <w:spacing w:before="168" w:line="440" w:lineRule="exact"/>
        <w:ind w:left="2729"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法定代表人（签名）：</w:t>
      </w:r>
    </w:p>
    <w:p>
      <w:pPr>
        <w:pStyle w:val="25"/>
        <w:shd w:val="clear"/>
        <w:tabs>
          <w:tab w:val="left" w:pos="6569"/>
          <w:tab w:val="left" w:pos="7207"/>
          <w:tab w:val="left" w:pos="7848"/>
        </w:tabs>
        <w:spacing w:before="166" w:line="440" w:lineRule="exact"/>
        <w:ind w:left="4968"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日</w:t>
      </w:r>
    </w:p>
    <w:p>
      <w:pPr>
        <w:shd w:val="clear"/>
        <w:spacing w:line="500" w:lineRule="exact"/>
        <w:ind w:firstLine="643" w:firstLineChars="200"/>
        <w:rPr>
          <w:rFonts w:asciiTheme="minorEastAsia" w:hAnsiTheme="minorEastAsia" w:eastAsiaTheme="minorEastAsia" w:cstheme="minorEastAsia"/>
          <w:b/>
          <w:bCs/>
          <w:sz w:val="32"/>
          <w:szCs w:val="32"/>
          <w:highlight w:val="none"/>
        </w:rPr>
      </w:pPr>
    </w:p>
    <w:p>
      <w:pPr>
        <w:pStyle w:val="41"/>
        <w:shd w:val="clear"/>
        <w:ind w:firstLine="482"/>
        <w:rPr>
          <w:rFonts w:asciiTheme="minorEastAsia" w:hAnsiTheme="minorEastAsia" w:eastAsiaTheme="minorEastAsia" w:cstheme="minorEastAsia"/>
          <w:highlight w:val="none"/>
        </w:rPr>
      </w:pPr>
    </w:p>
    <w:p>
      <w:pPr>
        <w:pStyle w:val="41"/>
        <w:shd w:val="clear"/>
        <w:ind w:firstLine="482"/>
        <w:rPr>
          <w:rFonts w:asciiTheme="minorEastAsia" w:hAnsiTheme="minorEastAsia" w:eastAsiaTheme="minorEastAsia" w:cstheme="minorEastAsia"/>
          <w:highlight w:val="none"/>
        </w:rPr>
      </w:pPr>
    </w:p>
    <w:p>
      <w:pPr>
        <w:pStyle w:val="14"/>
        <w:shd w:val="clear"/>
        <w:ind w:firstLine="0"/>
        <w:rPr>
          <w:rFonts w:asciiTheme="minorEastAsia" w:hAnsiTheme="minorEastAsia" w:eastAsiaTheme="minorEastAsia" w:cstheme="minorEastAsia"/>
          <w:highlight w:val="none"/>
        </w:rPr>
      </w:pPr>
    </w:p>
    <w:p>
      <w:pPr>
        <w:pStyle w:val="14"/>
        <w:shd w:val="clear"/>
        <w:ind w:firstLine="0"/>
        <w:rPr>
          <w:rFonts w:asciiTheme="minorEastAsia" w:hAnsiTheme="minorEastAsia" w:eastAsiaTheme="minorEastAsia" w:cstheme="minorEastAsia"/>
          <w:highlight w:val="none"/>
        </w:rPr>
      </w:pPr>
    </w:p>
    <w:p>
      <w:pPr>
        <w:pStyle w:val="14"/>
        <w:shd w:val="clear"/>
        <w:ind w:firstLine="0"/>
        <w:rPr>
          <w:rFonts w:asciiTheme="minorEastAsia" w:hAnsiTheme="minorEastAsia" w:eastAsiaTheme="minorEastAsia" w:cstheme="minorEastAsia"/>
          <w:highlight w:val="none"/>
        </w:rPr>
      </w:pPr>
    </w:p>
    <w:p>
      <w:pPr>
        <w:pStyle w:val="14"/>
        <w:shd w:val="clear"/>
        <w:ind w:firstLine="0"/>
        <w:rPr>
          <w:rFonts w:asciiTheme="minorEastAsia" w:hAnsiTheme="minorEastAsia" w:eastAsiaTheme="minorEastAsia" w:cstheme="minorEastAsia"/>
          <w:highlight w:val="none"/>
        </w:rPr>
      </w:pPr>
    </w:p>
    <w:p>
      <w:pPr>
        <w:pStyle w:val="14"/>
        <w:shd w:val="clear"/>
        <w:ind w:firstLine="0"/>
        <w:rPr>
          <w:rFonts w:asciiTheme="minorEastAsia" w:hAnsiTheme="minorEastAsia" w:eastAsiaTheme="minorEastAsia" w:cstheme="minorEastAsia"/>
          <w:highlight w:val="none"/>
        </w:rPr>
      </w:pPr>
    </w:p>
    <w:p>
      <w:pPr>
        <w:pStyle w:val="14"/>
        <w:shd w:val="clear"/>
        <w:ind w:firstLine="0"/>
        <w:rPr>
          <w:rFonts w:asciiTheme="minorEastAsia" w:hAnsiTheme="minorEastAsia" w:eastAsiaTheme="minorEastAsia" w:cstheme="minorEastAsia"/>
          <w:highlight w:val="none"/>
        </w:rPr>
      </w:pPr>
    </w:p>
    <w:p>
      <w:pPr>
        <w:pStyle w:val="14"/>
        <w:shd w:val="clear"/>
        <w:ind w:firstLine="0"/>
        <w:rPr>
          <w:rFonts w:asciiTheme="minorEastAsia" w:hAnsiTheme="minorEastAsia" w:eastAsiaTheme="minorEastAsia" w:cstheme="minorEastAsia"/>
          <w:highlight w:val="none"/>
        </w:rPr>
      </w:pPr>
    </w:p>
    <w:p>
      <w:pPr>
        <w:shd w:val="clear"/>
        <w:spacing w:line="500" w:lineRule="exact"/>
        <w:ind w:firstLine="643" w:firstLineChars="200"/>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九、农民工工资保障金的交纳与使用承诺书</w:t>
      </w:r>
    </w:p>
    <w:p>
      <w:pPr>
        <w:pStyle w:val="6"/>
        <w:shd w:val="clear"/>
        <w:rPr>
          <w:rFonts w:asciiTheme="minorEastAsia" w:hAnsiTheme="minorEastAsia" w:eastAsiaTheme="minorEastAsia" w:cstheme="minorEastAsia"/>
          <w:highlight w:val="none"/>
        </w:rPr>
      </w:pPr>
    </w:p>
    <w:p>
      <w:pPr>
        <w:pStyle w:val="14"/>
        <w:shd w:val="clear"/>
        <w:spacing w:line="480" w:lineRule="auto"/>
        <w:ind w:firstLine="400" w:firstLineChars="1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（采购单位名称）</w:t>
      </w:r>
    </w:p>
    <w:p>
      <w:pPr>
        <w:pStyle w:val="14"/>
        <w:shd w:val="clear"/>
        <w:spacing w:line="480" w:lineRule="auto"/>
        <w:ind w:firstLine="400" w:firstLineChars="1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如我公司在贵单位的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项目成交，根据广西壮族自治区劳动和社会保障厅、广西壮族自治区建设厅桂劳社发[2009]50号规定，我方在此向采购人承诺： </w:t>
      </w:r>
    </w:p>
    <w:p>
      <w:pPr>
        <w:pStyle w:val="14"/>
        <w:shd w:val="clear"/>
        <w:spacing w:line="480" w:lineRule="auto"/>
        <w:ind w:firstLine="880" w:firstLineChars="3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1、我方保证在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项目的磋商文件中，如实反映我方以前所承建工程中工资支付的情况，并特别注明至提交磋商文件截止之日止，不存在拖欠或克扣农民工工资的行为。 </w:t>
      </w:r>
    </w:p>
    <w:p>
      <w:pPr>
        <w:pStyle w:val="14"/>
        <w:shd w:val="clear"/>
        <w:spacing w:line="480" w:lineRule="auto"/>
        <w:ind w:firstLine="880" w:firstLineChars="3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2、我方参与磋商的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项目，一旦成交，我方保证在收到成交通知书之日起 7个工作日内，及时并足额将农民工工资保证金存入指定帐户，作为本项目农民工工资保证金。 </w:t>
      </w:r>
    </w:p>
    <w:p>
      <w:pPr>
        <w:pStyle w:val="14"/>
        <w:shd w:val="clear"/>
        <w:spacing w:line="480" w:lineRule="auto"/>
        <w:ind w:firstLine="880" w:firstLineChars="3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3、如我方在承包</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项目中出现欠或克扣农民工工资和其它职工工资情况的，由建设行政主管部门从本企业缴纳的农民工工资保证金中先予划支。 </w:t>
      </w:r>
    </w:p>
    <w:p>
      <w:pPr>
        <w:pStyle w:val="14"/>
        <w:shd w:val="clear"/>
        <w:spacing w:line="480" w:lineRule="auto"/>
        <w:ind w:firstLine="880" w:firstLineChars="3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4、如我方不按时、足额存入农民工工资保证金，采购人有权取消我方成交资格。 </w:t>
      </w: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磋商人： （盖章） </w:t>
      </w: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法定代表人或其委托代理人： （签字或盖章） </w:t>
      </w: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14"/>
        <w:shd w:val="clear"/>
        <w:spacing w:line="360" w:lineRule="auto"/>
        <w:ind w:firstLine="400" w:firstLineChars="167"/>
        <w:rPr>
          <w:rFonts w:asciiTheme="minorEastAsia" w:hAnsiTheme="minorEastAsia" w:eastAsiaTheme="minorEastAsia" w:cstheme="minorEastAsia"/>
          <w:sz w:val="24"/>
          <w:szCs w:val="24"/>
          <w:highlight w:val="none"/>
        </w:rPr>
      </w:pPr>
    </w:p>
    <w:p>
      <w:pPr>
        <w:pStyle w:val="4"/>
        <w:shd w:val="clear"/>
        <w:jc w:val="center"/>
        <w:rPr>
          <w:rFonts w:asciiTheme="minorEastAsia" w:hAnsiTheme="minorEastAsia" w:eastAsiaTheme="minorEastAsia" w:cstheme="minorEastAsia"/>
          <w:highlight w:val="none"/>
        </w:rPr>
      </w:pPr>
      <w:bookmarkStart w:id="35" w:name="_Toc27638"/>
      <w:bookmarkStart w:id="36" w:name="_Toc251051984"/>
      <w:bookmarkStart w:id="37" w:name="_Toc332814356"/>
      <w:r>
        <w:rPr>
          <w:rFonts w:hint="eastAsia" w:asciiTheme="minorEastAsia" w:hAnsiTheme="minorEastAsia" w:eastAsiaTheme="minorEastAsia" w:cstheme="minorEastAsia"/>
          <w:sz w:val="24"/>
          <w:szCs w:val="24"/>
          <w:highlight w:val="none"/>
        </w:rPr>
        <w:t>十</w:t>
      </w:r>
      <w:r>
        <w:rPr>
          <w:rFonts w:hint="eastAsia" w:asciiTheme="minorEastAsia" w:hAnsiTheme="minorEastAsia" w:eastAsiaTheme="minorEastAsia" w:cstheme="minorEastAsia"/>
          <w:sz w:val="28"/>
          <w:szCs w:val="28"/>
          <w:highlight w:val="none"/>
        </w:rPr>
        <w:t>、建设工程项目管理承诺书</w:t>
      </w:r>
      <w:bookmarkEnd w:id="35"/>
      <w:bookmarkEnd w:id="36"/>
      <w:bookmarkEnd w:id="37"/>
    </w:p>
    <w:p>
      <w:pPr>
        <w:shd w:val="clear"/>
        <w:spacing w:line="480" w:lineRule="auto"/>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（采购单位名称）：</w:t>
      </w:r>
    </w:p>
    <w:p>
      <w:pPr>
        <w:shd w:val="clear"/>
        <w:spacing w:line="520" w:lineRule="exact"/>
        <w:ind w:left="-10" w:firstLine="455" w:firstLineChars="217"/>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作为参与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（工程名称）项目的投标方，根据国家、自治区相关文件规定，我方在此向招标人承诺：</w:t>
      </w:r>
    </w:p>
    <w:p>
      <w:pPr>
        <w:shd w:val="clear"/>
        <w:spacing w:line="520" w:lineRule="exact"/>
        <w:ind w:left="-10" w:firstLine="455" w:firstLineChars="217"/>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hd w:val="clear"/>
        <w:spacing w:line="520" w:lineRule="exact"/>
        <w:ind w:left="-10" w:firstLine="455" w:firstLineChars="217"/>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2006〕22号文附件一规定执行的情形，我方愿意按照相关规定接受建设单位及有关主管部门的处罚。</w:t>
      </w:r>
    </w:p>
    <w:p>
      <w:pPr>
        <w:shd w:val="clear"/>
        <w:spacing w:line="520" w:lineRule="exact"/>
        <w:ind w:left="-2" w:leftChars="-1" w:firstLine="449" w:firstLineChars="214"/>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hd w:val="clear"/>
        <w:spacing w:line="520" w:lineRule="exact"/>
        <w:ind w:left="-10" w:firstLine="455" w:firstLineChars="217"/>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hd w:val="clear"/>
        <w:spacing w:line="520" w:lineRule="exact"/>
        <w:ind w:left="-10" w:firstLine="455" w:firstLineChars="217"/>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pPr>
        <w:shd w:val="clear"/>
        <w:spacing w:line="360" w:lineRule="auto"/>
        <w:ind w:firstLine="4410" w:firstLineChars="2100"/>
        <w:jc w:val="left"/>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投标人：</w:t>
      </w:r>
      <w:r>
        <w:rPr>
          <w:rFonts w:hint="eastAsia" w:asciiTheme="minorEastAsia" w:hAnsiTheme="minorEastAsia" w:eastAsiaTheme="minorEastAsia" w:cstheme="minorEastAsia"/>
          <w:highlight w:val="none"/>
          <w:u w:val="single"/>
        </w:rPr>
        <w:t xml:space="preserve">                     （盖单位章）</w:t>
      </w:r>
    </w:p>
    <w:p>
      <w:pPr>
        <w:shd w:val="clear"/>
        <w:spacing w:line="360" w:lineRule="auto"/>
        <w:ind w:firstLine="3465" w:firstLineChars="1650"/>
        <w:jc w:val="left"/>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法定代表人或授权代理人：</w:t>
      </w:r>
      <w:r>
        <w:rPr>
          <w:rFonts w:hint="eastAsia" w:asciiTheme="minorEastAsia" w:hAnsiTheme="minorEastAsia" w:eastAsiaTheme="minorEastAsia" w:cstheme="minorEastAsia"/>
          <w:highlight w:val="none"/>
          <w:u w:val="single"/>
        </w:rPr>
        <w:t xml:space="preserve">              （签字或盖章）</w:t>
      </w:r>
    </w:p>
    <w:p>
      <w:pPr>
        <w:shd w:val="clear"/>
        <w:spacing w:line="360" w:lineRule="auto"/>
        <w:ind w:firstLine="4515" w:firstLineChars="215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w:t>
      </w: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b/>
          <w:sz w:val="28"/>
          <w:szCs w:val="28"/>
          <w:highlight w:val="none"/>
        </w:rPr>
        <w:t>广西壮族自治区建筑工程安全文明施工措施项目清单内容</w:t>
      </w:r>
    </w:p>
    <w:p>
      <w:pPr>
        <w:shd w:val="clear"/>
        <w:spacing w:line="360" w:lineRule="auto"/>
        <w:ind w:firstLine="600" w:firstLineChars="25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（桂建质〔2015〕16号文附件一）</w:t>
      </w:r>
    </w:p>
    <w:p>
      <w:pPr>
        <w:pStyle w:val="160"/>
        <w:shd w:val="clear"/>
        <w:spacing w:line="240" w:lineRule="atLeast"/>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广西壮族自治区</w:t>
      </w:r>
    </w:p>
    <w:p>
      <w:pPr>
        <w:pStyle w:val="17"/>
        <w:shd w:val="clea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
          <w:bCs/>
          <w:w w:val="90"/>
          <w:sz w:val="24"/>
          <w:highlight w:val="none"/>
        </w:rPr>
        <w:t>建设工程安全文明施工措施项目清单内容</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文明</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环境</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安全警示</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标志牌</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1.现场采用封闭围挡，高度不小于1.8m。</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2.围挡材料可用彩色、定型钢板，砖、砼砌块等墙体。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1.道路畅通；</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2.排水沟、排水设施畅通；</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3.工地地面硬化处理（办公区，生活区，现场道路，材料堆放、混凝土搅拌、砂浆搅拌、钢筋加工等场地，外脚手架基础等）。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（1）材料、构件、料具等堆放时，悬挂有名称、品种、规格等标牌；</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（2）水泥和其他易飞扬细颗粒建筑材料应封闭存放或采取覆盖等措施；</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1.施工现场应设置密闭式垃圾站，施工垃圾、生活垃圾应分类存放。</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现场办公</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1.施工现场办公、生活区与作业区分开设置，保持安全距离。</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2.工地办公室、现场宿舍、食堂、厕所、饮水、沐浴、休息场所等符合卫生、消防安全要求；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施工现场</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1.按照TN-S系统要求配备五芯电缆、四芯电缆和三芯电缆。</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2.按要求架设临时用电线路的电杆、横担、瓷夹、瓷瓶等，或电缆埋地的地沟。</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配电箱</w:t>
            </w:r>
          </w:p>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开关箱</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1.按三级配电要求，配备总配电箱、分配电箱、开关箱三类（铁质）标准电箱。开关箱应符合一机、一箱、一闸、一漏。三类电箱中的各类电器应是合格品。</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2.按两级保护的要求，选取符合容量要求和质量合格的总配电箱和开关箱中的漏电保护器。</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3.对大型、落地式分配电箱、开关箱设置防护棚和通透式围挡。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施工现场应设置不少于三处的接地保护装置。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总配电室建筑材料必须达到三级防火要求，室内做硬地坪、电缆沟、吊顶。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pPr>
              <w:pStyle w:val="17"/>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2"/>
                <w:highlight w:val="none"/>
              </w:rPr>
              <w:t>设两道防护栏杆和18cm高的踢脚板，</w:t>
            </w:r>
            <w:r>
              <w:rPr>
                <w:rFonts w:hint="eastAsia" w:asciiTheme="minorEastAsia" w:hAnsiTheme="minorEastAsia" w:eastAsiaTheme="minorEastAsia" w:cstheme="minorEastAsia"/>
                <w:highlight w:val="none"/>
              </w:rPr>
              <w:t xml:space="preserve">用密目式安全立网全封闭。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通道口</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设置定型化、工具化的防护门。在电梯井内每隔2层（不大于10m）设置一道水平防护。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楼梯边</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设1.2m高的定型化、工具化、标准化的防护栏，18cm高的踢脚板。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设置防护隔离棚或其他设施。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有悬挂安全带的悬索或其他设施；有操作平台；有上下的梯子或其他形式的通道。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安全帽、安全带、特种作业人员（电工、焊工、架子工等）防护服装、用品等。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设防护棚（同通道口防护并有防雨措施）。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（1）垂直运输设备检测、检验。</w:t>
            </w:r>
          </w:p>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（2）物料提升机、施工电梯等物料平台搭设、外侧用密目式安全立网全封闭，安全防护门、防护棚等。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超过一定规模的危险性较大分部分项工程专家论证审查。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救援器材准备及演练等。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hd w:val="clear"/>
              <w:spacing w:line="3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pPr>
              <w:shd w:val="clear"/>
              <w:spacing w:line="3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其它特殊情况下的防护费用，如：城市主干道、人流密集、河边等处施工及文物、古建筑、古树保护等。</w:t>
            </w:r>
          </w:p>
        </w:tc>
      </w:tr>
    </w:tbl>
    <w:p>
      <w:pPr>
        <w:shd w:val="clear"/>
        <w:spacing w:before="120" w:beforeLines="50"/>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注：本表所列建筑工程安全、文明施工，是依据现行法律法规及标准规范确定的。如法律法规和标准规范修订，本表所列项目应按照修订后的法律法规和标准规范进行调整。</w:t>
      </w:r>
    </w:p>
    <w:p>
      <w:pPr>
        <w:shd w:val="clear"/>
        <w:ind w:firstLine="420" w:firstLineChars="200"/>
        <w:rPr>
          <w:rFonts w:asciiTheme="minorEastAsia" w:hAnsiTheme="minorEastAsia" w:eastAsiaTheme="minorEastAsia" w:cstheme="minorEastAsia"/>
          <w:highlight w:val="none"/>
        </w:rPr>
      </w:pPr>
    </w:p>
    <w:p>
      <w:pPr>
        <w:shd w:val="clear"/>
        <w:ind w:firstLine="420" w:firstLineChars="200"/>
        <w:rPr>
          <w:rFonts w:asciiTheme="minorEastAsia" w:hAnsiTheme="minorEastAsia" w:eastAsiaTheme="minorEastAsia" w:cstheme="minorEastAsia"/>
          <w:highlight w:val="none"/>
        </w:rPr>
      </w:pPr>
    </w:p>
    <w:p>
      <w:pPr>
        <w:shd w:val="clear"/>
        <w:ind w:firstLine="420" w:firstLineChars="200"/>
        <w:rPr>
          <w:rFonts w:asciiTheme="minorEastAsia" w:hAnsiTheme="minorEastAsia" w:eastAsiaTheme="minorEastAsia" w:cstheme="minorEastAsia"/>
          <w:highlight w:val="none"/>
        </w:rPr>
      </w:pPr>
    </w:p>
    <w:p>
      <w:pPr>
        <w:shd w:val="clear"/>
        <w:ind w:firstLine="420" w:firstLineChars="200"/>
        <w:rPr>
          <w:rFonts w:asciiTheme="minorEastAsia" w:hAnsiTheme="minorEastAsia" w:eastAsiaTheme="minorEastAsia" w:cstheme="minorEastAsia"/>
          <w:highlight w:val="none"/>
        </w:rPr>
      </w:pPr>
    </w:p>
    <w:p>
      <w:pPr>
        <w:shd w:val="clear"/>
        <w:ind w:firstLine="420" w:firstLineChars="200"/>
        <w:rPr>
          <w:rFonts w:asciiTheme="minorEastAsia" w:hAnsiTheme="minorEastAsia" w:eastAsiaTheme="minorEastAsia" w:cstheme="minorEastAsia"/>
          <w:highlight w:val="none"/>
        </w:rPr>
      </w:pPr>
    </w:p>
    <w:p>
      <w:pPr>
        <w:shd w:val="clear"/>
        <w:spacing w:line="360" w:lineRule="auto"/>
        <w:rPr>
          <w:rFonts w:asciiTheme="minorEastAsia" w:hAnsiTheme="minorEastAsia" w:eastAsiaTheme="minorEastAsia" w:cstheme="minorEastAsia"/>
          <w:sz w:val="24"/>
          <w:highlight w:val="none"/>
        </w:rPr>
      </w:pPr>
    </w:p>
    <w:p>
      <w:pPr>
        <w:widowControl/>
        <w:shd w:val="clear"/>
        <w:spacing w:line="360" w:lineRule="auto"/>
        <w:jc w:val="left"/>
        <w:rPr>
          <w:rFonts w:asciiTheme="minorEastAsia" w:hAnsiTheme="minorEastAsia" w:eastAsiaTheme="minorEastAsia" w:cstheme="minorEastAsia"/>
          <w:sz w:val="24"/>
          <w:highlight w:val="none"/>
        </w:rPr>
        <w:sectPr>
          <w:headerReference r:id="rId5" w:type="default"/>
          <w:footerReference r:id="rId6" w:type="default"/>
          <w:pgSz w:w="11907" w:h="16840"/>
          <w:pgMar w:top="1440" w:right="1080" w:bottom="1440" w:left="1080" w:header="851" w:footer="851" w:gutter="0"/>
          <w:cols w:space="720" w:num="1"/>
        </w:sectPr>
      </w:pPr>
    </w:p>
    <w:p>
      <w:pPr>
        <w:pStyle w:val="14"/>
        <w:shd w:val="clear"/>
        <w:ind w:firstLine="467" w:firstLineChars="167"/>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一、磋商人符合中小企业划型标准的，按《政府采购促进中小企业发展暂行办法》（财库〔2011〕181号）要求，提供中小企业声明函。监狱企业参加政府采购活动时，应当提供由省级以上监狱管理局、戒毒管理局（含新疆生产建设兵团）出具的属于监狱企业的证明文件。 (如有请提供)</w:t>
      </w:r>
    </w:p>
    <w:p>
      <w:pPr>
        <w:shd w:val="clear"/>
        <w:rPr>
          <w:rFonts w:asciiTheme="minorEastAsia" w:hAnsiTheme="minorEastAsia" w:eastAsiaTheme="minorEastAsia" w:cstheme="minorEastAsia"/>
          <w:highlight w:val="none"/>
        </w:rPr>
      </w:pPr>
    </w:p>
    <w:p>
      <w:pPr>
        <w:shd w:val="clear"/>
        <w:spacing w:line="588" w:lineRule="exact"/>
        <w:jc w:val="center"/>
        <w:rPr>
          <w:rFonts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中小企业声明函</w:t>
      </w:r>
    </w:p>
    <w:p>
      <w:pPr>
        <w:shd w:val="clear"/>
        <w:spacing w:line="588" w:lineRule="exact"/>
        <w:rPr>
          <w:rFonts w:asciiTheme="minorEastAsia" w:hAnsiTheme="minorEastAsia" w:eastAsiaTheme="minorEastAsia" w:cstheme="minorEastAsia"/>
          <w:b/>
          <w:spacing w:val="6"/>
          <w:sz w:val="30"/>
          <w:szCs w:val="30"/>
          <w:highlight w:val="none"/>
        </w:rPr>
      </w:pPr>
    </w:p>
    <w:p>
      <w:pPr>
        <w:shd w:val="clear"/>
        <w:spacing w:line="588" w:lineRule="exact"/>
        <w:ind w:firstLine="504" w:firstLineChars="200"/>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本公司郑重声明，根据《政府采购促进中小企业发展暂行办法》（</w:t>
      </w:r>
      <w:r>
        <w:rPr>
          <w:rFonts w:hint="eastAsia" w:asciiTheme="minorEastAsia" w:hAnsiTheme="minorEastAsia" w:eastAsiaTheme="minorEastAsia" w:cstheme="minorEastAsia"/>
          <w:spacing w:val="6"/>
          <w:sz w:val="24"/>
          <w:highlight w:val="none"/>
          <w:lang w:eastAsia="zh-CN"/>
        </w:rPr>
        <w:t>财库[2020]46号</w:t>
      </w:r>
      <w:r>
        <w:rPr>
          <w:rFonts w:hint="eastAsia" w:asciiTheme="minorEastAsia" w:hAnsiTheme="minorEastAsia" w:eastAsiaTheme="minorEastAsia" w:cstheme="minorEastAsia"/>
          <w:spacing w:val="6"/>
          <w:sz w:val="24"/>
          <w:highlight w:val="none"/>
        </w:rPr>
        <w:t>）的规定，本公司为______（请填写：中型、小型、微型）企业。即，本公司同时满足以下条件：</w:t>
      </w:r>
    </w:p>
    <w:p>
      <w:pPr>
        <w:shd w:val="clear"/>
        <w:spacing w:line="588" w:lineRule="exact"/>
        <w:ind w:firstLine="504" w:firstLineChars="200"/>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hd w:val="clear"/>
        <w:spacing w:line="588" w:lineRule="exact"/>
        <w:ind w:firstLine="504" w:firstLineChars="200"/>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hd w:val="clear"/>
        <w:spacing w:line="588" w:lineRule="exact"/>
        <w:ind w:firstLine="504" w:firstLineChars="200"/>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本公司对上述声明的真实性负责。如有虚假，将依法承担相应责任。</w:t>
      </w:r>
    </w:p>
    <w:p>
      <w:pPr>
        <w:shd w:val="clear"/>
        <w:spacing w:line="588" w:lineRule="exact"/>
        <w:ind w:firstLine="504" w:firstLineChars="200"/>
        <w:rPr>
          <w:rFonts w:asciiTheme="minorEastAsia" w:hAnsiTheme="minorEastAsia" w:eastAsiaTheme="minorEastAsia" w:cstheme="minorEastAsia"/>
          <w:spacing w:val="6"/>
          <w:sz w:val="24"/>
          <w:highlight w:val="none"/>
        </w:rPr>
      </w:pPr>
    </w:p>
    <w:p>
      <w:pPr>
        <w:shd w:val="clear"/>
        <w:spacing w:line="588" w:lineRule="exact"/>
        <w:ind w:firstLine="504" w:firstLineChars="200"/>
        <w:rPr>
          <w:rFonts w:asciiTheme="minorEastAsia" w:hAnsiTheme="minorEastAsia" w:eastAsiaTheme="minorEastAsia" w:cstheme="minorEastAsia"/>
          <w:spacing w:val="6"/>
          <w:sz w:val="24"/>
          <w:highlight w:val="none"/>
        </w:rPr>
      </w:pPr>
    </w:p>
    <w:p>
      <w:pPr>
        <w:shd w:val="clear"/>
        <w:tabs>
          <w:tab w:val="left" w:pos="4860"/>
        </w:tabs>
        <w:spacing w:line="588" w:lineRule="exact"/>
        <w:ind w:right="1560" w:firstLine="504" w:firstLineChars="200"/>
        <w:jc w:val="center"/>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 xml:space="preserve">               企业名称（盖章）： </w:t>
      </w:r>
    </w:p>
    <w:p>
      <w:pPr>
        <w:shd w:val="clear"/>
        <w:snapToGrid w:val="0"/>
        <w:spacing w:before="120" w:beforeLines="50" w:line="500" w:lineRule="exact"/>
        <w:ind w:left="1480" w:leftChars="650" w:hanging="115" w:hangingChars="46"/>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spacing w:val="6"/>
          <w:sz w:val="24"/>
          <w:highlight w:val="none"/>
        </w:rPr>
        <w:t xml:space="preserve">                               日  期：</w:t>
      </w:r>
    </w:p>
    <w:p>
      <w:pPr>
        <w:pStyle w:val="41"/>
        <w:shd w:val="clear"/>
        <w:ind w:firstLine="0" w:firstLineChars="0"/>
        <w:rPr>
          <w:rFonts w:asciiTheme="minorEastAsia" w:hAnsiTheme="minorEastAsia" w:eastAsiaTheme="minorEastAsia" w:cstheme="minorEastAsia"/>
          <w:highlight w:val="none"/>
        </w:rPr>
      </w:pPr>
    </w:p>
    <w:p>
      <w:pPr>
        <w:pStyle w:val="41"/>
        <w:shd w:val="clear"/>
        <w:ind w:firstLine="0" w:firstLineChars="0"/>
        <w:rPr>
          <w:rFonts w:asciiTheme="minorEastAsia" w:hAnsiTheme="minorEastAsia" w:eastAsiaTheme="minorEastAsia" w:cstheme="minorEastAsia"/>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numPr>
          <w:ilvl w:val="0"/>
          <w:numId w:val="7"/>
        </w:numPr>
        <w:shd w:val="clear"/>
        <w:ind w:firstLine="467" w:firstLineChars="167"/>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服务提供单位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如有请提供)</w:t>
      </w:r>
    </w:p>
    <w:p>
      <w:pPr>
        <w:pStyle w:val="14"/>
        <w:shd w:val="clear"/>
        <w:ind w:firstLine="0"/>
        <w:jc w:val="both"/>
        <w:rPr>
          <w:rFonts w:asciiTheme="minorEastAsia" w:hAnsiTheme="minorEastAsia" w:eastAsiaTheme="minorEastAsia" w:cstheme="minorEastAsia"/>
          <w:sz w:val="28"/>
          <w:szCs w:val="28"/>
          <w:highlight w:val="none"/>
        </w:rPr>
      </w:pPr>
    </w:p>
    <w:p>
      <w:pPr>
        <w:pStyle w:val="14"/>
        <w:shd w:val="clear"/>
        <w:ind w:firstLine="0"/>
        <w:jc w:val="both"/>
        <w:rPr>
          <w:rFonts w:asciiTheme="minorEastAsia" w:hAnsiTheme="minorEastAsia" w:eastAsiaTheme="minorEastAsia" w:cstheme="minorEastAsia"/>
          <w:sz w:val="28"/>
          <w:szCs w:val="28"/>
          <w:highlight w:val="none"/>
        </w:rPr>
      </w:pPr>
    </w:p>
    <w:p>
      <w:pPr>
        <w:pStyle w:val="14"/>
        <w:shd w:val="clear"/>
        <w:ind w:firstLine="0"/>
        <w:jc w:val="both"/>
        <w:rPr>
          <w:rFonts w:asciiTheme="minorEastAsia" w:hAnsiTheme="minorEastAsia" w:eastAsiaTheme="minorEastAsia" w:cstheme="minorEastAsia"/>
          <w:sz w:val="28"/>
          <w:szCs w:val="28"/>
          <w:highlight w:val="none"/>
        </w:rPr>
      </w:pPr>
    </w:p>
    <w:p>
      <w:pPr>
        <w:pStyle w:val="14"/>
        <w:shd w:val="clear"/>
        <w:ind w:firstLine="0"/>
        <w:jc w:val="both"/>
        <w:rPr>
          <w:rFonts w:asciiTheme="minorEastAsia" w:hAnsiTheme="minorEastAsia" w:eastAsiaTheme="minorEastAsia" w:cstheme="minorEastAsia"/>
          <w:sz w:val="28"/>
          <w:szCs w:val="28"/>
          <w:highlight w:val="none"/>
        </w:rPr>
      </w:pPr>
    </w:p>
    <w:p>
      <w:pPr>
        <w:shd w:val="clear"/>
        <w:spacing w:line="588" w:lineRule="exact"/>
        <w:jc w:val="center"/>
        <w:rPr>
          <w:rFonts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残疾人福利性单位声明函</w:t>
      </w:r>
    </w:p>
    <w:p>
      <w:pPr>
        <w:shd w:val="clear"/>
        <w:spacing w:line="588" w:lineRule="exact"/>
        <w:rPr>
          <w:rFonts w:asciiTheme="minorEastAsia" w:hAnsiTheme="minorEastAsia" w:eastAsiaTheme="minorEastAsia" w:cstheme="minorEastAsia"/>
          <w:b/>
          <w:spacing w:val="6"/>
          <w:sz w:val="24"/>
          <w:highlight w:val="none"/>
        </w:rPr>
      </w:pPr>
    </w:p>
    <w:p>
      <w:pPr>
        <w:shd w:val="clear"/>
        <w:spacing w:line="588" w:lineRule="exact"/>
        <w:ind w:firstLine="504" w:firstLineChars="200"/>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sz w:val="24"/>
          <w:highlight w:val="none"/>
        </w:rPr>
        <w:t>〔2017〕 141</w:t>
      </w:r>
      <w:r>
        <w:rPr>
          <w:rFonts w:hint="eastAsia" w:asciiTheme="minorEastAsia" w:hAnsiTheme="minorEastAsia" w:eastAsiaTheme="minorEastAsia" w:cstheme="minorEastAsia"/>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spacing w:line="588" w:lineRule="exact"/>
        <w:ind w:firstLine="504" w:firstLineChars="200"/>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本单位对上述声明的真实性负责。如有虚假，将依法承担相应责任。</w:t>
      </w:r>
    </w:p>
    <w:p>
      <w:pPr>
        <w:shd w:val="clear"/>
        <w:spacing w:line="588" w:lineRule="exact"/>
        <w:ind w:firstLine="504" w:firstLineChars="200"/>
        <w:rPr>
          <w:rFonts w:asciiTheme="minorEastAsia" w:hAnsiTheme="minorEastAsia" w:eastAsiaTheme="minorEastAsia" w:cstheme="minorEastAsia"/>
          <w:spacing w:val="6"/>
          <w:sz w:val="24"/>
          <w:highlight w:val="none"/>
        </w:rPr>
      </w:pPr>
    </w:p>
    <w:p>
      <w:pPr>
        <w:shd w:val="clear"/>
        <w:spacing w:line="588" w:lineRule="exact"/>
        <w:ind w:firstLine="504" w:firstLineChars="200"/>
        <w:rPr>
          <w:rFonts w:asciiTheme="minorEastAsia" w:hAnsiTheme="minorEastAsia" w:eastAsiaTheme="minorEastAsia" w:cstheme="minorEastAsia"/>
          <w:spacing w:val="6"/>
          <w:sz w:val="24"/>
          <w:highlight w:val="none"/>
        </w:rPr>
      </w:pPr>
    </w:p>
    <w:p>
      <w:pPr>
        <w:shd w:val="clear"/>
        <w:tabs>
          <w:tab w:val="left" w:pos="4860"/>
        </w:tabs>
        <w:spacing w:line="588" w:lineRule="exact"/>
        <w:ind w:right="930" w:firstLine="504" w:firstLineChars="200"/>
        <w:jc w:val="center"/>
        <w:rPr>
          <w:rFonts w:asciiTheme="minorEastAsia" w:hAnsiTheme="minorEastAsia" w:eastAsiaTheme="minorEastAsia" w:cstheme="minorEastAsia"/>
          <w:spacing w:val="6"/>
          <w:sz w:val="24"/>
          <w:highlight w:val="none"/>
        </w:rPr>
      </w:pPr>
      <w:r>
        <w:rPr>
          <w:rFonts w:hint="eastAsia" w:asciiTheme="minorEastAsia" w:hAnsiTheme="minorEastAsia" w:eastAsiaTheme="minorEastAsia" w:cstheme="minorEastAsia"/>
          <w:spacing w:val="6"/>
          <w:sz w:val="24"/>
          <w:highlight w:val="none"/>
        </w:rPr>
        <w:t xml:space="preserve">                      单位名称（盖章）：</w:t>
      </w:r>
    </w:p>
    <w:p>
      <w:pPr>
        <w:shd w:val="clear"/>
        <w:autoSpaceDE w:val="0"/>
        <w:autoSpaceDN w:val="0"/>
        <w:spacing w:line="300" w:lineRule="auto"/>
        <w:ind w:left="480" w:right="504" w:hanging="48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pacing w:val="6"/>
          <w:sz w:val="24"/>
          <w:highlight w:val="none"/>
        </w:rPr>
        <w:t xml:space="preserve">                            日  期：</w:t>
      </w:r>
    </w:p>
    <w:p>
      <w:pPr>
        <w:shd w:val="clear"/>
        <w:spacing w:line="588" w:lineRule="exact"/>
        <w:jc w:val="left"/>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注：如磋商人为残疾人福利性单位，可提供声明函作为评分项加分依据。但除了提供本声明函外，还须提供工商办理残疾人福利性单位相关证明材料（如残疾人证件等被认定为残疾人福利性单位的相关证明材料）</w:t>
      </w:r>
    </w:p>
    <w:p>
      <w:pPr>
        <w:pStyle w:val="41"/>
        <w:shd w:val="clear"/>
        <w:ind w:firstLine="0" w:firstLineChars="0"/>
        <w:rPr>
          <w:rFonts w:asciiTheme="minorEastAsia" w:hAnsiTheme="minorEastAsia" w:eastAsiaTheme="minorEastAsia" w:cstheme="minorEastAsia"/>
          <w:highlight w:val="none"/>
        </w:rPr>
      </w:pPr>
    </w:p>
    <w:p>
      <w:pPr>
        <w:pStyle w:val="14"/>
        <w:shd w:val="clear"/>
        <w:ind w:firstLine="0"/>
        <w:jc w:val="both"/>
        <w:rPr>
          <w:rFonts w:asciiTheme="minorEastAsia" w:hAnsiTheme="minorEastAsia" w:eastAsiaTheme="minorEastAsia" w:cstheme="minorEastAsia"/>
          <w:sz w:val="28"/>
          <w:szCs w:val="28"/>
          <w:highlight w:val="none"/>
        </w:rPr>
      </w:pPr>
    </w:p>
    <w:p>
      <w:pPr>
        <w:pStyle w:val="14"/>
        <w:shd w:val="clear"/>
        <w:ind w:firstLine="0"/>
        <w:jc w:val="both"/>
        <w:rPr>
          <w:rFonts w:asciiTheme="minorEastAsia" w:hAnsiTheme="minorEastAsia" w:eastAsiaTheme="minorEastAsia" w:cstheme="minorEastAsia"/>
          <w:sz w:val="28"/>
          <w:szCs w:val="28"/>
          <w:highlight w:val="none"/>
        </w:rPr>
      </w:pPr>
    </w:p>
    <w:p>
      <w:pPr>
        <w:pStyle w:val="14"/>
        <w:shd w:val="clear"/>
        <w:ind w:firstLine="0"/>
        <w:jc w:val="both"/>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十三、磋商人其他资料(磋商人认为需要提供或竞争性磋商采购文件需要提供的其他资料）。</w:t>
      </w: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p>
    <w:p>
      <w:pPr>
        <w:pStyle w:val="14"/>
        <w:shd w:val="clear"/>
        <w:ind w:firstLine="467" w:firstLineChars="167"/>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技术标封面</w:t>
      </w:r>
    </w:p>
    <w:p>
      <w:pPr>
        <w:pStyle w:val="14"/>
        <w:shd w:val="clear"/>
        <w:ind w:firstLine="734" w:firstLineChars="167"/>
        <w:jc w:val="center"/>
        <w:rPr>
          <w:rFonts w:asciiTheme="minorEastAsia" w:hAnsiTheme="minorEastAsia" w:eastAsiaTheme="minorEastAsia" w:cstheme="minorEastAsia"/>
          <w:sz w:val="44"/>
          <w:highlight w:val="none"/>
        </w:rPr>
      </w:pPr>
    </w:p>
    <w:p>
      <w:pPr>
        <w:pStyle w:val="14"/>
        <w:shd w:val="clear"/>
        <w:ind w:firstLine="734" w:firstLineChars="167"/>
        <w:jc w:val="center"/>
        <w:rPr>
          <w:rFonts w:asciiTheme="minorEastAsia" w:hAnsiTheme="minorEastAsia" w:eastAsiaTheme="minorEastAsia" w:cstheme="minorEastAsia"/>
          <w:sz w:val="72"/>
          <w:szCs w:val="36"/>
          <w:highlight w:val="none"/>
          <w:u w:val="single"/>
        </w:rPr>
      </w:pPr>
      <w:r>
        <w:rPr>
          <w:rFonts w:hint="eastAsia" w:asciiTheme="minorEastAsia" w:hAnsiTheme="minorEastAsia" w:eastAsiaTheme="minorEastAsia" w:cstheme="minorEastAsia"/>
          <w:sz w:val="44"/>
          <w:highlight w:val="none"/>
        </w:rPr>
        <w:t>技术标</w:t>
      </w:r>
    </w:p>
    <w:p>
      <w:pPr>
        <w:pStyle w:val="14"/>
        <w:shd w:val="clear"/>
        <w:rPr>
          <w:rFonts w:asciiTheme="minorEastAsia" w:hAnsiTheme="minorEastAsia" w:eastAsiaTheme="minorEastAsia" w:cstheme="minorEastAsia"/>
          <w:sz w:val="72"/>
          <w:szCs w:val="36"/>
          <w:highlight w:val="none"/>
        </w:rPr>
      </w:pPr>
      <w:r>
        <w:rPr>
          <w:rFonts w:hint="eastAsia" w:asciiTheme="minorEastAsia" w:hAnsiTheme="minorEastAsia" w:eastAsiaTheme="minorEastAsia" w:cstheme="minorEastAsia"/>
          <w:sz w:val="72"/>
          <w:szCs w:val="36"/>
          <w:highlight w:val="none"/>
          <w:u w:val="single"/>
        </w:rPr>
        <w:t xml:space="preserve">                 </w:t>
      </w:r>
      <w:r>
        <w:rPr>
          <w:rFonts w:hint="eastAsia" w:asciiTheme="minorEastAsia" w:hAnsiTheme="minorEastAsia" w:eastAsiaTheme="minorEastAsia" w:cstheme="minorEastAsia"/>
          <w:sz w:val="72"/>
          <w:szCs w:val="36"/>
          <w:highlight w:val="none"/>
        </w:rPr>
        <w:t>工程</w:t>
      </w:r>
    </w:p>
    <w:p>
      <w:pPr>
        <w:pStyle w:val="14"/>
        <w:shd w:val="clear"/>
        <w:ind w:firstLine="651" w:firstLineChars="310"/>
        <w:rPr>
          <w:rFonts w:asciiTheme="minorEastAsia" w:hAnsiTheme="minorEastAsia" w:eastAsiaTheme="minorEastAsia" w:cstheme="minorEastAsia"/>
          <w:sz w:val="21"/>
          <w:szCs w:val="36"/>
          <w:highlight w:val="none"/>
          <w:u w:val="single"/>
        </w:rPr>
      </w:pPr>
    </w:p>
    <w:p>
      <w:pPr>
        <w:pStyle w:val="14"/>
        <w:shd w:val="clear"/>
        <w:ind w:firstLine="651" w:firstLineChars="310"/>
        <w:rPr>
          <w:rFonts w:asciiTheme="minorEastAsia" w:hAnsiTheme="minorEastAsia" w:eastAsiaTheme="minorEastAsia" w:cstheme="minorEastAsia"/>
          <w:sz w:val="21"/>
          <w:szCs w:val="36"/>
          <w:highlight w:val="none"/>
          <w:u w:val="single"/>
        </w:rPr>
      </w:pPr>
    </w:p>
    <w:p>
      <w:pPr>
        <w:pStyle w:val="14"/>
        <w:shd w:val="clear"/>
        <w:ind w:firstLine="651" w:firstLineChars="310"/>
        <w:rPr>
          <w:rFonts w:asciiTheme="minorEastAsia" w:hAnsiTheme="minorEastAsia" w:eastAsiaTheme="minorEastAsia" w:cstheme="minorEastAsia"/>
          <w:sz w:val="21"/>
          <w:szCs w:val="36"/>
          <w:highlight w:val="none"/>
          <w:u w:val="single"/>
        </w:rPr>
      </w:pPr>
    </w:p>
    <w:p>
      <w:pPr>
        <w:pStyle w:val="14"/>
        <w:shd w:val="clear"/>
        <w:rPr>
          <w:rFonts w:asciiTheme="minorEastAsia" w:hAnsiTheme="minorEastAsia" w:eastAsiaTheme="minorEastAsia" w:cstheme="minorEastAsia"/>
          <w:b/>
          <w:sz w:val="36"/>
          <w:szCs w:val="52"/>
          <w:highlight w:val="none"/>
        </w:rPr>
      </w:pPr>
      <w:r>
        <w:rPr>
          <w:rFonts w:hint="eastAsia" w:asciiTheme="minorEastAsia" w:hAnsiTheme="minorEastAsia" w:eastAsiaTheme="minorEastAsia" w:cstheme="minorEastAsia"/>
          <w:sz w:val="72"/>
          <w:szCs w:val="36"/>
          <w:highlight w:val="none"/>
        </w:rPr>
        <w:t xml:space="preserve">        </w:t>
      </w:r>
      <w:r>
        <w:rPr>
          <w:rFonts w:hint="eastAsia" w:asciiTheme="minorEastAsia" w:hAnsiTheme="minorEastAsia" w:eastAsiaTheme="minorEastAsia" w:cstheme="minorEastAsia"/>
          <w:b/>
          <w:sz w:val="36"/>
          <w:szCs w:val="52"/>
          <w:highlight w:val="none"/>
        </w:rPr>
        <w:t>施工响应文件</w:t>
      </w:r>
    </w:p>
    <w:p>
      <w:pPr>
        <w:pStyle w:val="14"/>
        <w:shd w:val="clear"/>
        <w:ind w:firstLine="992" w:firstLineChars="310"/>
        <w:rPr>
          <w:rFonts w:asciiTheme="minorEastAsia" w:hAnsiTheme="minorEastAsia" w:eastAsiaTheme="minorEastAsia" w:cstheme="minorEastAsia"/>
          <w:sz w:val="32"/>
          <w:szCs w:val="36"/>
          <w:highlight w:val="none"/>
        </w:rPr>
      </w:pPr>
    </w:p>
    <w:p>
      <w:pPr>
        <w:pStyle w:val="14"/>
        <w:shd w:val="clear"/>
        <w:rPr>
          <w:rFonts w:asciiTheme="minorEastAsia" w:hAnsiTheme="minorEastAsia" w:eastAsiaTheme="minorEastAsia" w:cstheme="minorEastAsia"/>
          <w:sz w:val="32"/>
          <w:szCs w:val="28"/>
          <w:highlight w:val="none"/>
        </w:rPr>
      </w:pPr>
      <w:r>
        <w:rPr>
          <w:rFonts w:hint="eastAsia" w:asciiTheme="minorEastAsia" w:hAnsiTheme="minorEastAsia" w:eastAsiaTheme="minorEastAsia" w:cstheme="minorEastAsia"/>
          <w:sz w:val="32"/>
          <w:szCs w:val="28"/>
          <w:highlight w:val="none"/>
        </w:rPr>
        <w:t xml:space="preserve">                  </w:t>
      </w:r>
    </w:p>
    <w:p>
      <w:pPr>
        <w:pStyle w:val="14"/>
        <w:shd w:val="clear"/>
        <w:ind w:firstLine="992" w:firstLineChars="310"/>
        <w:jc w:val="center"/>
        <w:rPr>
          <w:rFonts w:asciiTheme="minorEastAsia" w:hAnsiTheme="minorEastAsia" w:eastAsiaTheme="minorEastAsia" w:cstheme="minorEastAsia"/>
          <w:sz w:val="32"/>
          <w:szCs w:val="28"/>
          <w:highlight w:val="none"/>
        </w:rPr>
      </w:pPr>
    </w:p>
    <w:p>
      <w:pPr>
        <w:pStyle w:val="14"/>
        <w:shd w:val="clear"/>
        <w:ind w:firstLine="992" w:firstLineChars="310"/>
        <w:jc w:val="center"/>
        <w:rPr>
          <w:rFonts w:asciiTheme="minorEastAsia" w:hAnsiTheme="minorEastAsia" w:eastAsiaTheme="minorEastAsia" w:cstheme="minorEastAsia"/>
          <w:sz w:val="32"/>
          <w:szCs w:val="28"/>
          <w:highlight w:val="none"/>
        </w:rPr>
      </w:pPr>
    </w:p>
    <w:p>
      <w:pPr>
        <w:pStyle w:val="14"/>
        <w:shd w:val="clear"/>
        <w:ind w:firstLine="2336" w:firstLineChars="730"/>
        <w:jc w:val="both"/>
        <w:rPr>
          <w:rFonts w:asciiTheme="minorEastAsia" w:hAnsiTheme="minorEastAsia" w:eastAsiaTheme="minorEastAsia" w:cstheme="minorEastAsia"/>
          <w:sz w:val="32"/>
          <w:szCs w:val="28"/>
          <w:highlight w:val="none"/>
        </w:rPr>
      </w:pPr>
      <w:r>
        <w:rPr>
          <w:rFonts w:hint="eastAsia" w:asciiTheme="minorEastAsia" w:hAnsiTheme="minorEastAsia" w:eastAsiaTheme="minorEastAsia" w:cstheme="minorEastAsia"/>
          <w:sz w:val="32"/>
          <w:szCs w:val="28"/>
          <w:highlight w:val="none"/>
        </w:rPr>
        <w:t>项目编号：</w:t>
      </w:r>
    </w:p>
    <w:p>
      <w:pPr>
        <w:shd w:val="clear"/>
        <w:rPr>
          <w:rFonts w:asciiTheme="minorEastAsia" w:hAnsiTheme="minorEastAsia" w:eastAsiaTheme="minorEastAsia" w:cstheme="minorEastAsia"/>
          <w:b/>
          <w:sz w:val="32"/>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3232" w:firstLineChars="101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bCs/>
          <w:sz w:val="32"/>
          <w:szCs w:val="28"/>
          <w:highlight w:val="none"/>
          <w:u w:val="single"/>
        </w:rPr>
      </w:pPr>
    </w:p>
    <w:p>
      <w:pPr>
        <w:pStyle w:val="14"/>
        <w:shd w:val="clear"/>
        <w:ind w:firstLine="0"/>
        <w:jc w:val="both"/>
        <w:rPr>
          <w:rFonts w:asciiTheme="minorEastAsia" w:hAnsiTheme="minorEastAsia" w:eastAsiaTheme="minorEastAsia" w:cstheme="minorEastAsia"/>
          <w:bCs/>
          <w:sz w:val="32"/>
          <w:szCs w:val="28"/>
          <w:highlight w:val="none"/>
        </w:rPr>
      </w:pPr>
    </w:p>
    <w:p>
      <w:pPr>
        <w:pStyle w:val="14"/>
        <w:shd w:val="clear"/>
        <w:jc w:val="both"/>
        <w:rPr>
          <w:rFonts w:asciiTheme="minorEastAsia" w:hAnsiTheme="minorEastAsia" w:eastAsiaTheme="minorEastAsia" w:cstheme="minorEastAsia"/>
          <w:bCs/>
          <w:sz w:val="32"/>
          <w:szCs w:val="28"/>
          <w:highlight w:val="none"/>
          <w:u w:val="single"/>
        </w:rPr>
      </w:pPr>
      <w:r>
        <w:rPr>
          <w:rFonts w:hint="eastAsia" w:asciiTheme="minorEastAsia" w:hAnsiTheme="minorEastAsia" w:eastAsiaTheme="minorEastAsia" w:cstheme="minorEastAsia"/>
          <w:bCs/>
          <w:sz w:val="32"/>
          <w:szCs w:val="52"/>
          <w:highlight w:val="none"/>
        </w:rPr>
        <w:t>竞</w:t>
      </w:r>
      <w:r>
        <w:rPr>
          <w:rFonts w:hint="eastAsia" w:asciiTheme="minorEastAsia" w:hAnsiTheme="minorEastAsia" w:eastAsiaTheme="minorEastAsia" w:cstheme="minorEastAsia"/>
          <w:bCs/>
          <w:sz w:val="32"/>
          <w:szCs w:val="28"/>
          <w:highlight w:val="none"/>
        </w:rPr>
        <w:t xml:space="preserve">   标   人：</w:t>
      </w:r>
      <w:r>
        <w:rPr>
          <w:rFonts w:hint="eastAsia" w:asciiTheme="minorEastAsia" w:hAnsiTheme="minorEastAsia" w:eastAsiaTheme="minorEastAsia" w:cstheme="minorEastAsia"/>
          <w:bCs/>
          <w:sz w:val="32"/>
          <w:szCs w:val="28"/>
          <w:highlight w:val="none"/>
          <w:u w:val="single"/>
        </w:rPr>
        <w:t xml:space="preserve">                             （盖章）    </w:t>
      </w:r>
    </w:p>
    <w:p>
      <w:pPr>
        <w:pStyle w:val="14"/>
        <w:shd w:val="clear"/>
        <w:ind w:firstLine="0"/>
        <w:jc w:val="both"/>
        <w:rPr>
          <w:rFonts w:asciiTheme="minorEastAsia" w:hAnsiTheme="minorEastAsia" w:eastAsiaTheme="minorEastAsia" w:cstheme="minorEastAsia"/>
          <w:bCs/>
          <w:sz w:val="32"/>
          <w:szCs w:val="28"/>
          <w:highlight w:val="none"/>
        </w:rPr>
      </w:pPr>
    </w:p>
    <w:p>
      <w:pPr>
        <w:pStyle w:val="14"/>
        <w:shd w:val="clear"/>
        <w:jc w:val="both"/>
        <w:rPr>
          <w:rFonts w:asciiTheme="minorEastAsia" w:hAnsiTheme="minorEastAsia" w:eastAsiaTheme="minorEastAsia" w:cstheme="minorEastAsia"/>
          <w:sz w:val="32"/>
          <w:szCs w:val="28"/>
          <w:highlight w:val="none"/>
          <w:u w:val="single"/>
        </w:rPr>
      </w:pPr>
      <w:r>
        <w:rPr>
          <w:rFonts w:hint="eastAsia" w:asciiTheme="minorEastAsia" w:hAnsiTheme="minorEastAsia" w:eastAsiaTheme="minorEastAsia" w:cstheme="minorEastAsia"/>
          <w:sz w:val="32"/>
          <w:szCs w:val="28"/>
          <w:highlight w:val="none"/>
        </w:rPr>
        <w:t>法定代表人或其委托代理人  ：</w:t>
      </w:r>
      <w:r>
        <w:rPr>
          <w:rFonts w:hint="eastAsia" w:asciiTheme="minorEastAsia" w:hAnsiTheme="minorEastAsia" w:eastAsiaTheme="minorEastAsia" w:cstheme="minorEastAsia"/>
          <w:sz w:val="32"/>
          <w:szCs w:val="28"/>
          <w:highlight w:val="none"/>
          <w:u w:val="single"/>
        </w:rPr>
        <w:t xml:space="preserve">          （签字或盖章）   </w:t>
      </w:r>
    </w:p>
    <w:p>
      <w:pPr>
        <w:pStyle w:val="14"/>
        <w:shd w:val="clear"/>
        <w:ind w:firstLine="0"/>
        <w:jc w:val="both"/>
        <w:rPr>
          <w:rFonts w:asciiTheme="minorEastAsia" w:hAnsiTheme="minorEastAsia" w:eastAsiaTheme="minorEastAsia" w:cstheme="minorEastAsia"/>
          <w:sz w:val="21"/>
          <w:szCs w:val="28"/>
          <w:highlight w:val="none"/>
          <w:u w:val="single"/>
        </w:rPr>
      </w:pPr>
    </w:p>
    <w:p>
      <w:pPr>
        <w:pStyle w:val="14"/>
        <w:shd w:val="clear"/>
        <w:ind w:firstLine="0"/>
        <w:rPr>
          <w:rFonts w:asciiTheme="minorEastAsia" w:hAnsiTheme="minorEastAsia" w:eastAsiaTheme="minorEastAsia" w:cstheme="minorEastAsia"/>
          <w:sz w:val="21"/>
          <w:szCs w:val="28"/>
          <w:highlight w:val="none"/>
        </w:rPr>
      </w:pPr>
    </w:p>
    <w:p>
      <w:pPr>
        <w:pStyle w:val="14"/>
        <w:shd w:val="clear"/>
        <w:ind w:firstLine="640" w:firstLineChars="200"/>
        <w:jc w:val="center"/>
        <w:rPr>
          <w:rFonts w:asciiTheme="minorEastAsia" w:hAnsiTheme="minorEastAsia" w:eastAsiaTheme="minorEastAsia" w:cstheme="minorEastAsia"/>
          <w:sz w:val="32"/>
          <w:szCs w:val="28"/>
          <w:highlight w:val="none"/>
        </w:rPr>
      </w:pPr>
      <w:r>
        <w:rPr>
          <w:rFonts w:hint="eastAsia" w:asciiTheme="minorEastAsia" w:hAnsiTheme="minorEastAsia" w:eastAsiaTheme="minorEastAsia" w:cstheme="minorEastAsia"/>
          <w:sz w:val="32"/>
          <w:szCs w:val="28"/>
          <w:highlight w:val="none"/>
        </w:rPr>
        <w:t>日期：         年          月        日</w:t>
      </w:r>
    </w:p>
    <w:p>
      <w:pPr>
        <w:pStyle w:val="14"/>
        <w:shd w:val="clear"/>
        <w:ind w:firstLine="640" w:firstLineChars="200"/>
        <w:jc w:val="center"/>
        <w:rPr>
          <w:rFonts w:asciiTheme="minorEastAsia" w:hAnsiTheme="minorEastAsia" w:eastAsiaTheme="minorEastAsia" w:cstheme="minorEastAsia"/>
          <w:sz w:val="32"/>
          <w:szCs w:val="28"/>
          <w:highlight w:val="none"/>
        </w:rPr>
      </w:pPr>
    </w:p>
    <w:p>
      <w:pPr>
        <w:pStyle w:val="14"/>
        <w:shd w:val="clear"/>
        <w:ind w:firstLine="640" w:firstLineChars="200"/>
        <w:jc w:val="center"/>
        <w:rPr>
          <w:rFonts w:asciiTheme="minorEastAsia" w:hAnsiTheme="minorEastAsia" w:eastAsiaTheme="minorEastAsia" w:cstheme="minorEastAsia"/>
          <w:sz w:val="32"/>
          <w:szCs w:val="28"/>
          <w:highlight w:val="none"/>
        </w:rPr>
      </w:pPr>
    </w:p>
    <w:p>
      <w:pPr>
        <w:pStyle w:val="14"/>
        <w:shd w:val="clear"/>
        <w:ind w:firstLine="640" w:firstLineChars="200"/>
        <w:jc w:val="center"/>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32"/>
          <w:szCs w:val="28"/>
          <w:highlight w:val="none"/>
        </w:rPr>
        <w:t xml:space="preserve">                                     </w:t>
      </w:r>
      <w:r>
        <w:rPr>
          <w:rFonts w:hint="eastAsia" w:asciiTheme="minorEastAsia" w:hAnsiTheme="minorEastAsia" w:eastAsiaTheme="minorEastAsia" w:cstheme="minorEastAsia"/>
          <w:highlight w:val="none"/>
        </w:rPr>
        <w:t xml:space="preserve">                                       </w:t>
      </w:r>
    </w:p>
    <w:p>
      <w:pPr>
        <w:shd w:val="clear"/>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目录</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一、施工组织设计；</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二、项目管理机构；</w:t>
      </w:r>
    </w:p>
    <w:p>
      <w:pPr>
        <w:shd w:val="clear"/>
        <w:spacing w:line="500" w:lineRule="exact"/>
        <w:ind w:firstLine="315"/>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三、磋商人须知前附表规定的其他材料（如企业信誉业绩等资料）。</w:t>
      </w:r>
    </w:p>
    <w:p>
      <w:pPr>
        <w:shd w:val="clear"/>
        <w:jc w:val="center"/>
        <w:rPr>
          <w:rFonts w:asciiTheme="minorEastAsia" w:hAnsiTheme="minorEastAsia" w:eastAsiaTheme="minorEastAsia" w:cstheme="minorEastAsia"/>
          <w:b/>
          <w:sz w:val="36"/>
          <w:szCs w:val="36"/>
          <w:highlight w:val="none"/>
        </w:rPr>
      </w:pPr>
    </w:p>
    <w:p>
      <w:pPr>
        <w:shd w:val="clear"/>
        <w:jc w:val="center"/>
        <w:rPr>
          <w:rFonts w:asciiTheme="minorEastAsia" w:hAnsiTheme="minorEastAsia" w:eastAsiaTheme="minorEastAsia" w:cstheme="minorEastAsia"/>
          <w:b/>
          <w:sz w:val="36"/>
          <w:szCs w:val="36"/>
          <w:highlight w:val="none"/>
        </w:rPr>
      </w:pPr>
    </w:p>
    <w:p>
      <w:pPr>
        <w:pStyle w:val="14"/>
        <w:shd w:val="clear"/>
        <w:ind w:firstLine="640" w:firstLineChars="200"/>
        <w:jc w:val="center"/>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r>
        <w:rPr>
          <w:rFonts w:hint="eastAsia" w:asciiTheme="minorEastAsia" w:hAnsiTheme="minorEastAsia" w:eastAsiaTheme="minorEastAsia" w:cstheme="minorEastAsia"/>
          <w:sz w:val="32"/>
          <w:szCs w:val="28"/>
          <w:highlight w:val="none"/>
        </w:rPr>
        <w:t xml:space="preserve">                     </w:t>
      </w: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pStyle w:val="14"/>
        <w:shd w:val="clear"/>
        <w:ind w:firstLine="640" w:firstLineChars="200"/>
        <w:jc w:val="both"/>
        <w:rPr>
          <w:rFonts w:asciiTheme="minorEastAsia" w:hAnsiTheme="minorEastAsia" w:eastAsiaTheme="minorEastAsia" w:cstheme="minorEastAsia"/>
          <w:sz w:val="32"/>
          <w:szCs w:val="28"/>
          <w:highlight w:val="none"/>
        </w:rPr>
      </w:pPr>
    </w:p>
    <w:p>
      <w:pPr>
        <w:shd w:val="clear"/>
        <w:spacing w:line="360" w:lineRule="exact"/>
        <w:ind w:firstLine="482" w:firstLineChars="200"/>
        <w:jc w:val="center"/>
        <w:rPr>
          <w:rFonts w:asciiTheme="minorEastAsia" w:hAnsiTheme="minorEastAsia" w:eastAsiaTheme="minorEastAsia" w:cstheme="minorEastAsia"/>
          <w:highlight w:val="none"/>
        </w:rPr>
      </w:pPr>
      <w:bookmarkStart w:id="38" w:name="_Toc3270"/>
      <w:bookmarkStart w:id="39" w:name="_Toc389065360"/>
      <w:r>
        <w:rPr>
          <w:rFonts w:hint="eastAsia" w:asciiTheme="minorEastAsia" w:hAnsiTheme="minorEastAsia" w:eastAsiaTheme="minorEastAsia" w:cstheme="minorEastAsia"/>
          <w:b/>
          <w:bCs/>
          <w:sz w:val="24"/>
          <w:highlight w:val="none"/>
        </w:rPr>
        <w:t>一、施工组织设计</w:t>
      </w:r>
      <w:bookmarkEnd w:id="38"/>
      <w:bookmarkEnd w:id="39"/>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2．施工组织设计除采用文字表述外可附下列图表，图表及格式要求附后。</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附表一  拟投入本工程的主要施工设备表</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附表二  拟配备本工程的试验和检测仪器设备表</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附表三  劳动力计划表</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附表四  计划开、竣工日期和施工进度网络图</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附表五  施工总平面图</w:t>
      </w: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附表六  临时用地表</w:t>
      </w:r>
    </w:p>
    <w:p>
      <w:pPr>
        <w:shd w:val="clear"/>
        <w:spacing w:line="460" w:lineRule="exact"/>
        <w:ind w:firstLine="420" w:firstLineChars="200"/>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附表一：拟投入本工程的主要施工设备表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型号</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国别</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产地</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制造</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年份</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额定功率</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（KW）</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生产</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能力</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用于施</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工部位</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tcPr>
          <w:p>
            <w:pPr>
              <w:shd w:val="clear"/>
              <w:spacing w:line="360" w:lineRule="auto"/>
              <w:ind w:firstLine="420" w:firstLineChars="200"/>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tcPr>
          <w:p>
            <w:pPr>
              <w:shd w:val="clear"/>
              <w:spacing w:line="360" w:lineRule="auto"/>
              <w:rPr>
                <w:rFonts w:asciiTheme="minorEastAsia" w:hAnsiTheme="minorEastAsia" w:eastAsiaTheme="minorEastAsia" w:cstheme="minorEastAsia"/>
                <w:highlight w:val="none"/>
              </w:rPr>
            </w:pPr>
          </w:p>
        </w:tc>
      </w:tr>
    </w:tbl>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附表二：拟配备本工程的试验和检测仪器设备表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型号</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规格</w:t>
            </w:r>
          </w:p>
        </w:tc>
        <w:tc>
          <w:tcPr>
            <w:tcW w:w="70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数量</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国别</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产地</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已使用</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台时数</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用途</w:t>
            </w:r>
          </w:p>
        </w:tc>
        <w:tc>
          <w:tcPr>
            <w:tcW w:w="15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ind w:firstLine="420" w:firstLineChars="200"/>
              <w:rPr>
                <w:rFonts w:asciiTheme="minorEastAsia" w:hAnsiTheme="minorEastAsia" w:eastAsiaTheme="minorEastAsia" w:cstheme="minorEastAsia"/>
                <w:highlight w:val="none"/>
              </w:rPr>
            </w:pPr>
          </w:p>
        </w:tc>
      </w:tr>
    </w:tbl>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附表三：劳动力计划表</w:t>
      </w:r>
    </w:p>
    <w:p>
      <w:pPr>
        <w:shd w:val="clear"/>
        <w:ind w:firstLine="7245" w:firstLineChars="345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单位：人</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c>
          <w:tcPr>
            <w:tcW w:w="1258"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Theme="minorEastAsia" w:hAnsiTheme="minorEastAsia" w:eastAsiaTheme="minorEastAsia" w:cstheme="minorEastAsia"/>
                <w:highlight w:val="none"/>
              </w:rPr>
            </w:pPr>
          </w:p>
        </w:tc>
      </w:tr>
    </w:tbl>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附表四：计划开、竣工日期和施工进度计划（网络图或横道图）</w:t>
      </w:r>
    </w:p>
    <w:p>
      <w:pPr>
        <w:shd w:val="clear"/>
        <w:spacing w:line="460" w:lineRule="exact"/>
        <w:ind w:left="-6" w:firstLine="42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投标人应提交施工进度计划，说明按招标文件要求的工期进行施工的各个关键日期。中标的投标人还应按合同条件有关条款的要求提交详细的施工进度计划。</w:t>
      </w:r>
    </w:p>
    <w:p>
      <w:pPr>
        <w:shd w:val="clear"/>
        <w:spacing w:line="460" w:lineRule="exact"/>
        <w:ind w:left="-6" w:firstLine="42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 施工进度计划可采用网络图（或横道图）表示，说明计划开工日期和各分项工程各阶段的完工日期和分包合同签订的日期。</w:t>
      </w:r>
    </w:p>
    <w:p>
      <w:pPr>
        <w:shd w:val="clear"/>
        <w:spacing w:line="460" w:lineRule="exact"/>
        <w:ind w:left="-6" w:firstLine="42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 施工进度计划应与施工组织设计相适应。</w:t>
      </w:r>
    </w:p>
    <w:p>
      <w:pPr>
        <w:shd w:val="clear"/>
        <w:spacing w:line="360" w:lineRule="auto"/>
        <w:ind w:left="-6" w:firstLine="420"/>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附表五：施工总平面图</w:t>
      </w:r>
    </w:p>
    <w:p>
      <w:pPr>
        <w:pStyle w:val="6"/>
        <w:shd w:val="clear"/>
        <w:rPr>
          <w:highlight w:val="none"/>
        </w:rPr>
      </w:pPr>
    </w:p>
    <w:p>
      <w:pPr>
        <w:shd w:val="clear"/>
        <w:spacing w:line="46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投标人应递交一份施工总平面图，绘出现场临时设施布置图表并附文字说明，说明临时设施、加工车间、现场办公、设备及仓储、供电、供水、卫生、生活、道路、消防等设施的情况和布置。</w:t>
      </w: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附表六：临时用地表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用途</w:t>
            </w:r>
          </w:p>
        </w:tc>
        <w:tc>
          <w:tcPr>
            <w:tcW w:w="235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位置</w:t>
            </w:r>
          </w:p>
        </w:tc>
        <w:tc>
          <w:tcPr>
            <w:tcW w:w="235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6"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c>
          <w:tcPr>
            <w:tcW w:w="2357" w:type="dxa"/>
            <w:tcBorders>
              <w:top w:val="single" w:color="auto" w:sz="4" w:space="0"/>
              <w:left w:val="single" w:color="auto" w:sz="4" w:space="0"/>
              <w:bottom w:val="single" w:color="auto" w:sz="4" w:space="0"/>
              <w:right w:val="single" w:color="auto" w:sz="4" w:space="0"/>
            </w:tcBorders>
          </w:tcPr>
          <w:p>
            <w:pPr>
              <w:shd w:val="clear"/>
              <w:rPr>
                <w:rFonts w:asciiTheme="minorEastAsia" w:hAnsiTheme="minorEastAsia" w:eastAsiaTheme="minorEastAsia" w:cstheme="minorEastAsia"/>
                <w:highlight w:val="none"/>
              </w:rPr>
            </w:pPr>
          </w:p>
        </w:tc>
      </w:tr>
    </w:tbl>
    <w:p>
      <w:pPr>
        <w:shd w:val="clear"/>
        <w:rPr>
          <w:rFonts w:asciiTheme="minorEastAsia" w:hAnsiTheme="minorEastAsia" w:eastAsiaTheme="minorEastAsia" w:cstheme="minorEastAsia"/>
          <w:highlight w:val="none"/>
        </w:rPr>
      </w:pPr>
    </w:p>
    <w:p>
      <w:pPr>
        <w:pStyle w:val="4"/>
        <w:shd w:val="clear"/>
        <w:jc w:val="center"/>
        <w:rPr>
          <w:rFonts w:asciiTheme="minorEastAsia" w:hAnsiTheme="minorEastAsia" w:eastAsiaTheme="minorEastAsia" w:cstheme="minorEastAsia"/>
          <w:highlight w:val="none"/>
        </w:rPr>
      </w:pPr>
      <w:bookmarkStart w:id="40" w:name="_Toc12199"/>
      <w:bookmarkStart w:id="41" w:name="_Toc389065361"/>
      <w:r>
        <w:rPr>
          <w:rFonts w:hint="eastAsia" w:asciiTheme="minorEastAsia" w:hAnsiTheme="minorEastAsia" w:eastAsiaTheme="minorEastAsia" w:cstheme="minorEastAsia"/>
          <w:highlight w:val="none"/>
        </w:rPr>
        <w:t>二、拟分包计划表</w:t>
      </w:r>
      <w:bookmarkEnd w:id="40"/>
      <w:bookmarkEnd w:id="41"/>
    </w:p>
    <w:p>
      <w:pPr>
        <w:pStyle w:val="161"/>
        <w:shd w:val="clear"/>
        <w:jc w:val="center"/>
        <w:rPr>
          <w:rFonts w:asciiTheme="minorEastAsia" w:hAnsiTheme="minorEastAsia" w:eastAsiaTheme="minorEastAsia" w:cstheme="minorEastAsia"/>
          <w:b/>
          <w:sz w:val="28"/>
          <w:szCs w:val="28"/>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拟选分包人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有关业绩</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Theme="minorEastAsia" w:hAnsiTheme="minorEastAsia" w:eastAsiaTheme="minorEastAsia" w:cstheme="minorEastAsia"/>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23"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090"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9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68"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bl>
    <w:p>
      <w:pPr>
        <w:shd w:val="clear"/>
        <w:spacing w:line="440" w:lineRule="exact"/>
        <w:ind w:right="420"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备注：本表所列分包仅限于承包人自行施工范围内的非主体、非关键工程。</w:t>
      </w:r>
    </w:p>
    <w:p>
      <w:pPr>
        <w:shd w:val="clear"/>
        <w:wordWrap w:val="0"/>
        <w:spacing w:line="440" w:lineRule="exact"/>
        <w:ind w:right="420"/>
        <w:jc w:val="right"/>
        <w:rPr>
          <w:rFonts w:asciiTheme="minorEastAsia" w:hAnsiTheme="minorEastAsia" w:eastAsiaTheme="minorEastAsia" w:cstheme="minorEastAsia"/>
          <w:highlight w:val="none"/>
        </w:rPr>
      </w:pPr>
    </w:p>
    <w:p>
      <w:pPr>
        <w:shd w:val="clear"/>
        <w:spacing w:line="440" w:lineRule="exact"/>
        <w:ind w:right="420"/>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日期：       年     月     日  </w:t>
      </w: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shd w:val="clear"/>
        <w:spacing w:line="360" w:lineRule="auto"/>
        <w:ind w:firstLine="490"/>
        <w:jc w:val="center"/>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p>
    <w:p>
      <w:pPr>
        <w:pStyle w:val="162"/>
        <w:shd w:val="clear"/>
        <w:jc w:val="center"/>
        <w:outlineLvl w:val="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32"/>
          <w:highlight w:val="none"/>
        </w:rPr>
        <w:t>项目管理机构</w:t>
      </w:r>
      <w:r>
        <w:rPr>
          <w:rFonts w:hint="eastAsia" w:asciiTheme="minorEastAsia" w:hAnsiTheme="minorEastAsia" w:eastAsiaTheme="minorEastAsia" w:cstheme="minorEastAsia"/>
          <w:b/>
          <w:bCs/>
          <w:sz w:val="32"/>
          <w:highlight w:val="none"/>
        </w:rPr>
        <w:br w:type="page"/>
      </w:r>
      <w:bookmarkStart w:id="42" w:name="_Toc172364025"/>
      <w:bookmarkStart w:id="43" w:name="_Toc153274947"/>
      <w:bookmarkStart w:id="44" w:name="_Toc173579005"/>
      <w:bookmarkStart w:id="45" w:name="_Toc251052184"/>
      <w:r>
        <w:rPr>
          <w:rFonts w:hint="eastAsia" w:asciiTheme="minorEastAsia" w:hAnsiTheme="minorEastAsia" w:eastAsiaTheme="minorEastAsia" w:cstheme="minorEastAsia"/>
          <w:b/>
          <w:bCs/>
          <w:sz w:val="24"/>
          <w:szCs w:val="24"/>
          <w:highlight w:val="none"/>
        </w:rPr>
        <w:t>1、项目管理机构配备情况表</w:t>
      </w:r>
      <w:bookmarkEnd w:id="42"/>
      <w:bookmarkEnd w:id="43"/>
      <w:bookmarkEnd w:id="44"/>
      <w:bookmarkEnd w:id="45"/>
    </w:p>
    <w:p>
      <w:pPr>
        <w:pStyle w:val="162"/>
        <w:shd w:val="clear"/>
        <w:rPr>
          <w:rFonts w:asciiTheme="minorEastAsia" w:hAnsiTheme="minorEastAsia" w:eastAsiaTheme="minorEastAsia" w:cstheme="minorEastAsia"/>
          <w:highlight w:val="none"/>
          <w:u w:val="single"/>
        </w:rPr>
      </w:pPr>
    </w:p>
    <w:p>
      <w:pPr>
        <w:pStyle w:val="162"/>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w:t>
      </w:r>
      <w:bookmarkStart w:id="46" w:name="_Toc251052185"/>
      <w:r>
        <w:rPr>
          <w:rFonts w:hint="eastAsia" w:asciiTheme="minorEastAsia" w:hAnsiTheme="minorEastAsia" w:eastAsiaTheme="minorEastAsia" w:cstheme="minorEastAsia"/>
          <w:highlight w:val="none"/>
          <w:u w:val="single"/>
        </w:rPr>
        <w:t xml:space="preserve">（招标工程项目名称）        </w:t>
      </w:r>
      <w:r>
        <w:rPr>
          <w:rFonts w:hint="eastAsia" w:asciiTheme="minorEastAsia" w:hAnsiTheme="minorEastAsia" w:eastAsiaTheme="minorEastAsia" w:cstheme="minorEastAsia"/>
          <w:highlight w:val="none"/>
        </w:rPr>
        <w:t xml:space="preserve"> 工程 </w:t>
      </w:r>
      <w:bookmarkEnd w:id="46"/>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shd w:val="clear"/>
              <w:ind w:left="223" w:hanging="222" w:hangingChars="10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岗位</w:t>
            </w:r>
          </w:p>
        </w:tc>
        <w:tc>
          <w:tcPr>
            <w:tcW w:w="829" w:type="dxa"/>
            <w:vMerge w:val="restart"/>
            <w:vAlign w:val="center"/>
          </w:tcPr>
          <w:p>
            <w:pPr>
              <w:shd w:val="clear"/>
              <w:ind w:left="223" w:hanging="222" w:hangingChars="106"/>
              <w:jc w:val="center"/>
              <w:rPr>
                <w:rFonts w:asciiTheme="minorEastAsia" w:hAnsiTheme="minorEastAsia" w:eastAsiaTheme="minorEastAsia" w:cstheme="minorEastAsia"/>
                <w:highlight w:val="none"/>
              </w:rPr>
            </w:pPr>
            <w:bookmarkStart w:id="47" w:name="_Toc251052187"/>
            <w:r>
              <w:rPr>
                <w:rFonts w:hint="eastAsia" w:asciiTheme="minorEastAsia" w:hAnsiTheme="minorEastAsia" w:eastAsiaTheme="minorEastAsia" w:cstheme="minorEastAsia"/>
                <w:highlight w:val="none"/>
              </w:rPr>
              <w:t>姓名</w:t>
            </w:r>
            <w:bookmarkEnd w:id="47"/>
          </w:p>
        </w:tc>
        <w:tc>
          <w:tcPr>
            <w:tcW w:w="816" w:type="dxa"/>
            <w:vMerge w:val="restart"/>
            <w:vAlign w:val="center"/>
          </w:tcPr>
          <w:p>
            <w:pPr>
              <w:shd w:val="clear"/>
              <w:ind w:left="223" w:hanging="222" w:hangingChars="106"/>
              <w:jc w:val="center"/>
              <w:rPr>
                <w:rFonts w:asciiTheme="minorEastAsia" w:hAnsiTheme="minorEastAsia" w:eastAsiaTheme="minorEastAsia" w:cstheme="minorEastAsia"/>
                <w:highlight w:val="none"/>
              </w:rPr>
            </w:pPr>
            <w:bookmarkStart w:id="48" w:name="_Toc251052188"/>
            <w:r>
              <w:rPr>
                <w:rFonts w:hint="eastAsia" w:asciiTheme="minorEastAsia" w:hAnsiTheme="minorEastAsia" w:eastAsiaTheme="minorEastAsia" w:cstheme="minorEastAsia"/>
                <w:highlight w:val="none"/>
              </w:rPr>
              <w:t>职称</w:t>
            </w:r>
            <w:bookmarkEnd w:id="48"/>
          </w:p>
        </w:tc>
        <w:tc>
          <w:tcPr>
            <w:tcW w:w="4592" w:type="dxa"/>
            <w:gridSpan w:val="4"/>
            <w:vAlign w:val="center"/>
          </w:tcPr>
          <w:p>
            <w:pPr>
              <w:shd w:val="clear"/>
              <w:ind w:left="223" w:hanging="222" w:hangingChars="106"/>
              <w:jc w:val="center"/>
              <w:rPr>
                <w:rFonts w:asciiTheme="minorEastAsia" w:hAnsiTheme="minorEastAsia" w:eastAsiaTheme="minorEastAsia" w:cstheme="minorEastAsia"/>
                <w:highlight w:val="none"/>
              </w:rPr>
            </w:pPr>
            <w:bookmarkStart w:id="49" w:name="_Toc251052189"/>
            <w:r>
              <w:rPr>
                <w:rFonts w:hint="eastAsia" w:asciiTheme="minorEastAsia" w:hAnsiTheme="minorEastAsia" w:eastAsiaTheme="minorEastAsia" w:cstheme="minorEastAsia"/>
                <w:highlight w:val="none"/>
              </w:rPr>
              <w:t>执业或职业资格证明</w:t>
            </w:r>
            <w:bookmarkEnd w:id="49"/>
          </w:p>
        </w:tc>
        <w:tc>
          <w:tcPr>
            <w:tcW w:w="2126" w:type="dxa"/>
            <w:gridSpan w:val="2"/>
            <w:vAlign w:val="center"/>
          </w:tcPr>
          <w:p>
            <w:pPr>
              <w:shd w:val="clear"/>
              <w:ind w:left="223" w:hanging="222" w:hangingChars="106"/>
              <w:jc w:val="center"/>
              <w:rPr>
                <w:rFonts w:asciiTheme="minorEastAsia" w:hAnsiTheme="minorEastAsia" w:eastAsiaTheme="minorEastAsia" w:cstheme="minorEastAsia"/>
                <w:highlight w:val="none"/>
              </w:rPr>
            </w:pPr>
            <w:bookmarkStart w:id="50" w:name="_Toc251052190"/>
            <w:r>
              <w:rPr>
                <w:rFonts w:hint="eastAsia" w:asciiTheme="minorEastAsia" w:hAnsiTheme="minorEastAsia" w:eastAsiaTheme="minorEastAsia" w:cstheme="minorEastAsia"/>
                <w:highlight w:val="none"/>
              </w:rPr>
              <w:t>承担完工</w:t>
            </w:r>
            <w:bookmarkEnd w:id="50"/>
            <w:bookmarkStart w:id="51" w:name="_Toc251052191"/>
            <w:r>
              <w:rPr>
                <w:rFonts w:hint="eastAsia" w:asciiTheme="minorEastAsia" w:hAnsiTheme="minorEastAsia" w:eastAsiaTheme="minorEastAsia" w:cstheme="minorEastAsia"/>
                <w:highlight w:val="none"/>
              </w:rPr>
              <w:t>工程情况</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shd w:val="clear"/>
              <w:ind w:left="223" w:hanging="222" w:hangingChars="106"/>
              <w:jc w:val="center"/>
              <w:rPr>
                <w:rFonts w:asciiTheme="minorEastAsia" w:hAnsiTheme="minorEastAsia" w:eastAsiaTheme="minorEastAsia" w:cstheme="minorEastAsia"/>
                <w:highlight w:val="none"/>
              </w:rPr>
            </w:pPr>
          </w:p>
        </w:tc>
        <w:tc>
          <w:tcPr>
            <w:tcW w:w="829" w:type="dxa"/>
            <w:vMerge w:val="continue"/>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Merge w:val="continue"/>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bookmarkStart w:id="52" w:name="_Toc251052192"/>
            <w:r>
              <w:rPr>
                <w:rFonts w:hint="eastAsia" w:asciiTheme="minorEastAsia" w:hAnsiTheme="minorEastAsia" w:eastAsiaTheme="minorEastAsia" w:cstheme="minorEastAsia"/>
                <w:highlight w:val="none"/>
              </w:rPr>
              <w:t>证书名称</w:t>
            </w:r>
            <w:bookmarkEnd w:id="52"/>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bookmarkStart w:id="53" w:name="_Toc251052193"/>
            <w:r>
              <w:rPr>
                <w:rFonts w:hint="eastAsia" w:asciiTheme="minorEastAsia" w:hAnsiTheme="minorEastAsia" w:eastAsiaTheme="minorEastAsia" w:cstheme="minorEastAsia"/>
                <w:highlight w:val="none"/>
              </w:rPr>
              <w:t>级别</w:t>
            </w:r>
            <w:bookmarkEnd w:id="53"/>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bookmarkStart w:id="54" w:name="_Toc251052194"/>
            <w:r>
              <w:rPr>
                <w:rFonts w:hint="eastAsia" w:asciiTheme="minorEastAsia" w:hAnsiTheme="minorEastAsia" w:eastAsiaTheme="minorEastAsia" w:cstheme="minorEastAsia"/>
                <w:highlight w:val="none"/>
              </w:rPr>
              <w:t>证号</w:t>
            </w:r>
            <w:bookmarkEnd w:id="54"/>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bookmarkStart w:id="55" w:name="_Toc251052195"/>
            <w:r>
              <w:rPr>
                <w:rFonts w:hint="eastAsia" w:asciiTheme="minorEastAsia" w:hAnsiTheme="minorEastAsia" w:eastAsiaTheme="minorEastAsia" w:cstheme="minorEastAsia"/>
                <w:highlight w:val="none"/>
              </w:rPr>
              <w:t>专业</w:t>
            </w:r>
            <w:bookmarkEnd w:id="55"/>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bookmarkStart w:id="56" w:name="_Toc251052197"/>
            <w:r>
              <w:rPr>
                <w:rFonts w:hint="eastAsia" w:asciiTheme="minorEastAsia" w:hAnsiTheme="minorEastAsia" w:eastAsiaTheme="minorEastAsia" w:cstheme="minorEastAsia"/>
                <w:highlight w:val="none"/>
              </w:rPr>
              <w:t>项目数</w:t>
            </w:r>
            <w:bookmarkEnd w:id="56"/>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bookmarkStart w:id="57" w:name="_Toc251052198"/>
            <w:r>
              <w:rPr>
                <w:rFonts w:hint="eastAsia" w:asciiTheme="minorEastAsia" w:hAnsiTheme="minorEastAsia" w:eastAsiaTheme="minorEastAsia" w:cstheme="minorEastAsia"/>
                <w:highlight w:val="none"/>
              </w:rPr>
              <w:t>主要项目</w:t>
            </w:r>
          </w:p>
          <w:p>
            <w:pPr>
              <w:shd w:val="clear"/>
              <w:ind w:left="223" w:hanging="222" w:hangingChars="10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名称</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施工员</w:t>
            </w: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质量员</w:t>
            </w: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shd w:val="clear"/>
              <w:ind w:left="223" w:hanging="222" w:hangingChars="10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专职安全生产管理人员</w:t>
            </w: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shd w:val="clear"/>
              <w:ind w:left="223" w:hanging="222" w:hangingChars="106"/>
              <w:jc w:val="center"/>
              <w:rPr>
                <w:rFonts w:asciiTheme="minorEastAsia" w:hAnsiTheme="minorEastAsia" w:eastAsiaTheme="minorEastAsia" w:cstheme="minorEastAsia"/>
                <w:highlight w:val="none"/>
              </w:rPr>
            </w:pP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shd w:val="clear"/>
              <w:ind w:left="223" w:hanging="222" w:hangingChars="106"/>
              <w:jc w:val="center"/>
              <w:rPr>
                <w:rFonts w:asciiTheme="minorEastAsia" w:hAnsiTheme="minorEastAsia" w:eastAsiaTheme="minorEastAsia" w:cstheme="minorEastAsia"/>
                <w:highlight w:val="none"/>
              </w:rPr>
            </w:pP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资料</w:t>
            </w:r>
            <w:r>
              <w:rPr>
                <w:rFonts w:hint="eastAsia" w:asciiTheme="minorEastAsia" w:hAnsiTheme="minorEastAsia" w:eastAsiaTheme="minorEastAsia" w:cstheme="minorEastAsia"/>
                <w:highlight w:val="none"/>
              </w:rPr>
              <w:t>员</w:t>
            </w: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tc>
        <w:tc>
          <w:tcPr>
            <w:tcW w:w="829"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16"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148"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850" w:type="dxa"/>
            <w:vAlign w:val="center"/>
          </w:tcPr>
          <w:p>
            <w:pPr>
              <w:shd w:val="clear"/>
              <w:ind w:left="223" w:hanging="222" w:hangingChars="106"/>
              <w:jc w:val="center"/>
              <w:rPr>
                <w:rFonts w:asciiTheme="minorEastAsia" w:hAnsiTheme="minorEastAsia" w:eastAsiaTheme="minorEastAsia" w:cstheme="minorEastAsia"/>
                <w:highlight w:val="none"/>
              </w:rPr>
            </w:pPr>
          </w:p>
        </w:tc>
        <w:tc>
          <w:tcPr>
            <w:tcW w:w="1276" w:type="dxa"/>
            <w:vAlign w:val="center"/>
          </w:tcPr>
          <w:p>
            <w:pPr>
              <w:shd w:val="clear"/>
              <w:ind w:left="223" w:hanging="222" w:hangingChars="106"/>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hd w:val="clear"/>
              <w:spacing w:line="360" w:lineRule="auto"/>
              <w:rPr>
                <w:rFonts w:asciiTheme="minorEastAsia" w:hAnsiTheme="minorEastAsia" w:eastAsiaTheme="minorEastAsia" w:cstheme="minorEastAsia"/>
                <w:highlight w:val="none"/>
              </w:rPr>
            </w:pPr>
            <w:bookmarkStart w:id="58" w:name="_Toc251052199"/>
            <w:r>
              <w:rPr>
                <w:rFonts w:hint="eastAsia" w:asciiTheme="minorEastAsia" w:hAnsiTheme="minorEastAsia" w:eastAsiaTheme="minorEastAsia" w:cstheme="minorEastAsia"/>
                <w:highlight w:val="none"/>
              </w:rPr>
              <w:t>一旦我单位中标，将实行项目经理负责制，我方保证并配备上述项目管理机构。上述填报内容真实，若不真实，愿按有关规定接受处理。项目管理班子机构设置、职责分工等情况另附资料说明。</w:t>
            </w:r>
            <w:bookmarkEnd w:id="58"/>
          </w:p>
        </w:tc>
      </w:tr>
    </w:tbl>
    <w:p>
      <w:pPr>
        <w:shd w:val="clear"/>
        <w:tabs>
          <w:tab w:val="left" w:pos="0"/>
        </w:tabs>
        <w:spacing w:line="360" w:lineRule="auto"/>
        <w:ind w:right="-210"/>
        <w:rPr>
          <w:rFonts w:asciiTheme="minorEastAsia" w:hAnsiTheme="minorEastAsia" w:eastAsiaTheme="minorEastAsia" w:cstheme="minorEastAsia"/>
          <w:highlight w:val="none"/>
        </w:rPr>
      </w:pPr>
    </w:p>
    <w:p>
      <w:pPr>
        <w:shd w:val="clea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【备注：附各岗位人员资格证件（如有）打印件。】</w:t>
      </w:r>
    </w:p>
    <w:p>
      <w:pPr>
        <w:shd w:val="clear"/>
        <w:tabs>
          <w:tab w:val="left" w:pos="0"/>
        </w:tabs>
        <w:spacing w:line="360" w:lineRule="auto"/>
        <w:ind w:right="-210"/>
        <w:rPr>
          <w:rFonts w:asciiTheme="minorEastAsia" w:hAnsiTheme="minorEastAsia" w:eastAsiaTheme="minorEastAsia" w:cstheme="minorEastAsia"/>
          <w:highlight w:val="none"/>
        </w:rPr>
      </w:pPr>
    </w:p>
    <w:p>
      <w:pPr>
        <w:shd w:val="clear"/>
        <w:tabs>
          <w:tab w:val="left" w:pos="0"/>
        </w:tabs>
        <w:spacing w:line="360" w:lineRule="auto"/>
        <w:ind w:right="-210"/>
        <w:rPr>
          <w:rFonts w:asciiTheme="minorEastAsia" w:hAnsiTheme="minorEastAsia" w:eastAsiaTheme="minorEastAsia" w:cstheme="minorEastAsia"/>
          <w:highlight w:val="none"/>
        </w:rPr>
      </w:pPr>
    </w:p>
    <w:p>
      <w:pPr>
        <w:shd w:val="clear"/>
        <w:tabs>
          <w:tab w:val="left" w:pos="0"/>
        </w:tabs>
        <w:spacing w:line="360" w:lineRule="auto"/>
        <w:ind w:right="-210"/>
        <w:rPr>
          <w:rFonts w:asciiTheme="minorEastAsia" w:hAnsiTheme="minorEastAsia" w:eastAsiaTheme="minorEastAsia" w:cstheme="minorEastAsia"/>
          <w:highlight w:val="none"/>
        </w:rPr>
        <w:sectPr>
          <w:pgSz w:w="11907" w:h="16840"/>
          <w:pgMar w:top="1440" w:right="1440" w:bottom="1440" w:left="1797" w:header="851" w:footer="851" w:gutter="0"/>
          <w:cols w:space="720" w:num="1"/>
          <w:docGrid w:linePitch="312" w:charSpace="0"/>
        </w:sectPr>
      </w:pPr>
    </w:p>
    <w:p>
      <w:pPr>
        <w:pStyle w:val="162"/>
        <w:shd w:val="clear"/>
        <w:jc w:val="center"/>
        <w:outlineLvl w:val="0"/>
        <w:rPr>
          <w:rFonts w:asciiTheme="minorEastAsia" w:hAnsiTheme="minorEastAsia" w:eastAsiaTheme="minorEastAsia" w:cstheme="minorEastAsia"/>
          <w:highlight w:val="none"/>
          <w:u w:val="single"/>
        </w:rPr>
      </w:pPr>
      <w:bookmarkStart w:id="59" w:name="_Toc173579006"/>
      <w:bookmarkStart w:id="60" w:name="_Toc172364026"/>
      <w:bookmarkStart w:id="61" w:name="_Toc153274948"/>
      <w:bookmarkStart w:id="62" w:name="_Toc251052200"/>
      <w:bookmarkStart w:id="63" w:name="_Toc389065364"/>
      <w:r>
        <w:rPr>
          <w:rFonts w:hint="eastAsia" w:asciiTheme="minorEastAsia" w:hAnsiTheme="minorEastAsia" w:eastAsiaTheme="minorEastAsia" w:cstheme="minorEastAsia"/>
          <w:b/>
          <w:bCs/>
          <w:sz w:val="24"/>
          <w:szCs w:val="24"/>
          <w:highlight w:val="none"/>
        </w:rPr>
        <w:t>2、项目经理（注册建造师）简历表</w:t>
      </w:r>
      <w:bookmarkEnd w:id="59"/>
      <w:bookmarkEnd w:id="60"/>
      <w:bookmarkEnd w:id="61"/>
      <w:bookmarkEnd w:id="62"/>
      <w:bookmarkEnd w:id="63"/>
    </w:p>
    <w:p>
      <w:pPr>
        <w:pStyle w:val="162"/>
        <w:shd w:val="clear"/>
        <w:rPr>
          <w:rFonts w:asciiTheme="minorEastAsia" w:hAnsiTheme="minorEastAsia" w:eastAsiaTheme="minorEastAsia" w:cstheme="minorEastAsia"/>
          <w:highlight w:val="none"/>
          <w:u w:val="single"/>
        </w:rPr>
      </w:pPr>
    </w:p>
    <w:p>
      <w:pPr>
        <w:pStyle w:val="162"/>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（招标工程项目名称）        </w:t>
      </w:r>
      <w:r>
        <w:rPr>
          <w:rFonts w:hint="eastAsia" w:asciiTheme="minorEastAsia" w:hAnsiTheme="minorEastAsia" w:eastAsiaTheme="minorEastAsia" w:cstheme="minorEastAsia"/>
          <w:highlight w:val="none"/>
        </w:rPr>
        <w:t xml:space="preserve"> 工程</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姓名</w:t>
            </w:r>
          </w:p>
        </w:tc>
        <w:tc>
          <w:tcPr>
            <w:tcW w:w="2340" w:type="dxa"/>
            <w:gridSpan w:val="3"/>
            <w:vAlign w:val="center"/>
          </w:tcPr>
          <w:p>
            <w:pPr>
              <w:shd w:val="clear"/>
              <w:jc w:val="center"/>
              <w:rPr>
                <w:rFonts w:asciiTheme="minorEastAsia" w:hAnsiTheme="minorEastAsia" w:eastAsiaTheme="minorEastAsia" w:cstheme="minorEastAsia"/>
                <w:highlight w:val="none"/>
              </w:rPr>
            </w:pPr>
          </w:p>
        </w:tc>
        <w:tc>
          <w:tcPr>
            <w:tcW w:w="1893"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性别</w:t>
            </w:r>
          </w:p>
        </w:tc>
        <w:tc>
          <w:tcPr>
            <w:tcW w:w="1585" w:type="dxa"/>
            <w:gridSpan w:val="2"/>
            <w:vAlign w:val="center"/>
          </w:tcPr>
          <w:p>
            <w:pPr>
              <w:shd w:val="clear"/>
              <w:jc w:val="center"/>
              <w:rPr>
                <w:rFonts w:asciiTheme="minorEastAsia" w:hAnsiTheme="minorEastAsia" w:eastAsiaTheme="minorEastAsia" w:cstheme="minorEastAsia"/>
                <w:highlight w:val="none"/>
              </w:rPr>
            </w:pPr>
          </w:p>
        </w:tc>
        <w:tc>
          <w:tcPr>
            <w:tcW w:w="110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年龄</w:t>
            </w:r>
          </w:p>
        </w:tc>
        <w:tc>
          <w:tcPr>
            <w:tcW w:w="1276" w:type="dxa"/>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p>
        </w:tc>
        <w:tc>
          <w:tcPr>
            <w:tcW w:w="2340" w:type="dxa"/>
            <w:gridSpan w:val="3"/>
            <w:vAlign w:val="center"/>
          </w:tcPr>
          <w:p>
            <w:pPr>
              <w:shd w:val="clear"/>
              <w:jc w:val="center"/>
              <w:rPr>
                <w:rFonts w:asciiTheme="minorEastAsia" w:hAnsiTheme="minorEastAsia" w:eastAsiaTheme="minorEastAsia" w:cstheme="minorEastAsia"/>
                <w:highlight w:val="none"/>
              </w:rPr>
            </w:pPr>
          </w:p>
        </w:tc>
        <w:tc>
          <w:tcPr>
            <w:tcW w:w="1893"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职称</w:t>
            </w:r>
          </w:p>
        </w:tc>
        <w:tc>
          <w:tcPr>
            <w:tcW w:w="1585" w:type="dxa"/>
            <w:gridSpan w:val="2"/>
            <w:vAlign w:val="center"/>
          </w:tcPr>
          <w:p>
            <w:pPr>
              <w:shd w:val="clear"/>
              <w:jc w:val="center"/>
              <w:rPr>
                <w:rFonts w:asciiTheme="minorEastAsia" w:hAnsiTheme="minorEastAsia" w:eastAsiaTheme="minorEastAsia" w:cstheme="minorEastAsia"/>
                <w:highlight w:val="none"/>
              </w:rPr>
            </w:pPr>
          </w:p>
        </w:tc>
        <w:tc>
          <w:tcPr>
            <w:tcW w:w="110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学历</w:t>
            </w:r>
          </w:p>
        </w:tc>
        <w:tc>
          <w:tcPr>
            <w:tcW w:w="1276" w:type="dxa"/>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参加工作时间</w:t>
            </w:r>
          </w:p>
        </w:tc>
        <w:tc>
          <w:tcPr>
            <w:tcW w:w="1893" w:type="dxa"/>
            <w:gridSpan w:val="2"/>
            <w:vAlign w:val="center"/>
          </w:tcPr>
          <w:p>
            <w:pPr>
              <w:shd w:val="clear"/>
              <w:jc w:val="center"/>
              <w:rPr>
                <w:rFonts w:asciiTheme="minorEastAsia" w:hAnsiTheme="minorEastAsia" w:eastAsiaTheme="minorEastAsia" w:cstheme="minorEastAsia"/>
                <w:highlight w:val="none"/>
              </w:rPr>
            </w:pPr>
          </w:p>
        </w:tc>
        <w:tc>
          <w:tcPr>
            <w:tcW w:w="2693" w:type="dxa"/>
            <w:gridSpan w:val="4"/>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担任项目经理年限</w:t>
            </w:r>
          </w:p>
        </w:tc>
        <w:tc>
          <w:tcPr>
            <w:tcW w:w="1276" w:type="dxa"/>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建造师注册证书编号</w:t>
            </w:r>
          </w:p>
        </w:tc>
        <w:tc>
          <w:tcPr>
            <w:tcW w:w="5862" w:type="dxa"/>
            <w:gridSpan w:val="7"/>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建设单位</w:t>
            </w:r>
          </w:p>
        </w:tc>
        <w:tc>
          <w:tcPr>
            <w:tcW w:w="1548"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1547"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建设规模</w:t>
            </w:r>
          </w:p>
        </w:tc>
        <w:tc>
          <w:tcPr>
            <w:tcW w:w="154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开、竣工日期</w:t>
            </w:r>
          </w:p>
        </w:tc>
        <w:tc>
          <w:tcPr>
            <w:tcW w:w="1547"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在建或已完</w:t>
            </w:r>
          </w:p>
        </w:tc>
        <w:tc>
          <w:tcPr>
            <w:tcW w:w="154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bl>
    <w:p>
      <w:pPr>
        <w:shd w:val="clear"/>
        <w:spacing w:line="360" w:lineRule="auto"/>
        <w:rPr>
          <w:rFonts w:asciiTheme="minorEastAsia" w:hAnsiTheme="minorEastAsia" w:eastAsiaTheme="minorEastAsia" w:cstheme="minorEastAsia"/>
          <w:highlight w:val="none"/>
        </w:rPr>
      </w:pPr>
    </w:p>
    <w:p>
      <w:pPr>
        <w:shd w:val="clea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p>
      <w:pPr>
        <w:numPr>
          <w:ilvl w:val="0"/>
          <w:numId w:val="8"/>
        </w:num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已完成的类似工程应附中标通知书（如有）、合同协议书有关页面、工程竣工验收证明材料的打印件。在建类似工程应附中标通知书（如有）、工程合同协议书有关页面打印件。</w:t>
      </w:r>
    </w:p>
    <w:p>
      <w:pPr>
        <w:shd w:val="clear"/>
        <w:spacing w:before="120" w:beforeLines="50"/>
        <w:ind w:firstLine="420" w:firstLineChars="200"/>
        <w:rPr>
          <w:rFonts w:asciiTheme="minorEastAsia" w:hAnsiTheme="minorEastAsia" w:eastAsiaTheme="minorEastAsia" w:cstheme="minorEastAsia"/>
          <w:highlight w:val="none"/>
        </w:rPr>
      </w:pPr>
    </w:p>
    <w:p>
      <w:pPr>
        <w:shd w:val="clear"/>
        <w:spacing w:line="360" w:lineRule="auto"/>
        <w:ind w:firstLine="525" w:firstLineChars="250"/>
        <w:rPr>
          <w:rFonts w:asciiTheme="minorEastAsia" w:hAnsiTheme="minorEastAsia" w:eastAsiaTheme="minorEastAsia" w:cstheme="minorEastAsia"/>
          <w:highlight w:val="none"/>
        </w:rPr>
      </w:pPr>
    </w:p>
    <w:p>
      <w:pPr>
        <w:shd w:val="clear"/>
        <w:spacing w:line="360" w:lineRule="auto"/>
        <w:ind w:firstLine="525" w:firstLineChars="250"/>
        <w:rPr>
          <w:rFonts w:asciiTheme="minorEastAsia" w:hAnsiTheme="minorEastAsia" w:eastAsiaTheme="minorEastAsia" w:cstheme="minorEastAsia"/>
          <w:highlight w:val="none"/>
        </w:rPr>
        <w:sectPr>
          <w:pgSz w:w="11907" w:h="16840"/>
          <w:pgMar w:top="1440" w:right="1440" w:bottom="1440" w:left="1797" w:header="851" w:footer="851" w:gutter="0"/>
          <w:cols w:space="720" w:num="1"/>
          <w:docGrid w:linePitch="312" w:charSpace="0"/>
        </w:sectPr>
      </w:pPr>
    </w:p>
    <w:p>
      <w:pPr>
        <w:shd w:val="clear"/>
        <w:spacing w:line="360" w:lineRule="auto"/>
        <w:ind w:firstLine="525" w:firstLineChars="250"/>
        <w:rPr>
          <w:rFonts w:asciiTheme="minorEastAsia" w:hAnsiTheme="minorEastAsia" w:eastAsiaTheme="minorEastAsia" w:cstheme="minorEastAsia"/>
          <w:highlight w:val="none"/>
        </w:rPr>
      </w:pPr>
    </w:p>
    <w:p>
      <w:pPr>
        <w:pStyle w:val="162"/>
        <w:shd w:val="clear"/>
        <w:jc w:val="center"/>
        <w:outlineLvl w:val="0"/>
        <w:rPr>
          <w:rFonts w:asciiTheme="minorEastAsia" w:hAnsiTheme="minorEastAsia" w:eastAsiaTheme="minorEastAsia" w:cstheme="minorEastAsia"/>
          <w:b/>
          <w:bCs/>
          <w:sz w:val="24"/>
          <w:szCs w:val="24"/>
          <w:highlight w:val="none"/>
        </w:rPr>
      </w:pPr>
      <w:bookmarkStart w:id="64" w:name="_Toc172364027"/>
      <w:bookmarkStart w:id="65" w:name="_Toc153274949"/>
      <w:bookmarkStart w:id="66" w:name="_Toc251052219"/>
      <w:bookmarkStart w:id="67" w:name="_Toc389065365"/>
      <w:bookmarkStart w:id="68" w:name="_Toc173579007"/>
      <w:r>
        <w:rPr>
          <w:rFonts w:hint="eastAsia" w:asciiTheme="minorEastAsia" w:hAnsiTheme="minorEastAsia" w:eastAsiaTheme="minorEastAsia" w:cstheme="minorEastAsia"/>
          <w:b/>
          <w:bCs/>
          <w:sz w:val="24"/>
          <w:szCs w:val="24"/>
          <w:highlight w:val="none"/>
        </w:rPr>
        <w:t>3、项目技术负责人简历表</w:t>
      </w:r>
      <w:bookmarkEnd w:id="64"/>
      <w:bookmarkEnd w:id="65"/>
      <w:bookmarkEnd w:id="66"/>
      <w:bookmarkEnd w:id="67"/>
      <w:bookmarkEnd w:id="68"/>
    </w:p>
    <w:p>
      <w:pPr>
        <w:pStyle w:val="162"/>
        <w:shd w:val="clear"/>
        <w:rPr>
          <w:rFonts w:asciiTheme="minorEastAsia" w:hAnsiTheme="minorEastAsia" w:eastAsiaTheme="minorEastAsia" w:cstheme="minorEastAsia"/>
          <w:highlight w:val="none"/>
          <w:u w:val="single"/>
        </w:rPr>
      </w:pPr>
    </w:p>
    <w:p>
      <w:pPr>
        <w:pStyle w:val="162"/>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 xml:space="preserve">            （招标工程项目名称）        </w:t>
      </w:r>
      <w:r>
        <w:rPr>
          <w:rFonts w:hint="eastAsia" w:asciiTheme="minorEastAsia" w:hAnsiTheme="minorEastAsia" w:eastAsiaTheme="minorEastAsia" w:cstheme="minorEastAsia"/>
          <w:highlight w:val="none"/>
        </w:rPr>
        <w:t xml:space="preserve"> 工程</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姓名</w:t>
            </w:r>
          </w:p>
        </w:tc>
        <w:tc>
          <w:tcPr>
            <w:tcW w:w="2340" w:type="dxa"/>
            <w:gridSpan w:val="3"/>
            <w:vAlign w:val="center"/>
          </w:tcPr>
          <w:p>
            <w:pPr>
              <w:shd w:val="clear"/>
              <w:jc w:val="center"/>
              <w:rPr>
                <w:rFonts w:asciiTheme="minorEastAsia" w:hAnsiTheme="minorEastAsia" w:eastAsiaTheme="minorEastAsia" w:cstheme="minorEastAsia"/>
                <w:highlight w:val="none"/>
              </w:rPr>
            </w:pPr>
          </w:p>
        </w:tc>
        <w:tc>
          <w:tcPr>
            <w:tcW w:w="1893"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性别</w:t>
            </w:r>
          </w:p>
        </w:tc>
        <w:tc>
          <w:tcPr>
            <w:tcW w:w="1585" w:type="dxa"/>
            <w:gridSpan w:val="2"/>
            <w:vAlign w:val="center"/>
          </w:tcPr>
          <w:p>
            <w:pPr>
              <w:shd w:val="clear"/>
              <w:jc w:val="center"/>
              <w:rPr>
                <w:rFonts w:asciiTheme="minorEastAsia" w:hAnsiTheme="minorEastAsia" w:eastAsiaTheme="minorEastAsia" w:cstheme="minorEastAsia"/>
                <w:highlight w:val="none"/>
              </w:rPr>
            </w:pPr>
          </w:p>
        </w:tc>
        <w:tc>
          <w:tcPr>
            <w:tcW w:w="110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年龄</w:t>
            </w:r>
          </w:p>
        </w:tc>
        <w:tc>
          <w:tcPr>
            <w:tcW w:w="1276" w:type="dxa"/>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职务</w:t>
            </w:r>
          </w:p>
        </w:tc>
        <w:tc>
          <w:tcPr>
            <w:tcW w:w="2340" w:type="dxa"/>
            <w:gridSpan w:val="3"/>
            <w:vAlign w:val="center"/>
          </w:tcPr>
          <w:p>
            <w:pPr>
              <w:shd w:val="clear"/>
              <w:jc w:val="center"/>
              <w:rPr>
                <w:rFonts w:asciiTheme="minorEastAsia" w:hAnsiTheme="minorEastAsia" w:eastAsiaTheme="minorEastAsia" w:cstheme="minorEastAsia"/>
                <w:highlight w:val="none"/>
              </w:rPr>
            </w:pPr>
          </w:p>
        </w:tc>
        <w:tc>
          <w:tcPr>
            <w:tcW w:w="1893"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职称</w:t>
            </w:r>
          </w:p>
        </w:tc>
        <w:tc>
          <w:tcPr>
            <w:tcW w:w="1585" w:type="dxa"/>
            <w:gridSpan w:val="2"/>
            <w:vAlign w:val="center"/>
          </w:tcPr>
          <w:p>
            <w:pPr>
              <w:shd w:val="clear"/>
              <w:jc w:val="center"/>
              <w:rPr>
                <w:rFonts w:asciiTheme="minorEastAsia" w:hAnsiTheme="minorEastAsia" w:eastAsiaTheme="minorEastAsia" w:cstheme="minorEastAsia"/>
                <w:highlight w:val="none"/>
              </w:rPr>
            </w:pPr>
          </w:p>
        </w:tc>
        <w:tc>
          <w:tcPr>
            <w:tcW w:w="110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学历</w:t>
            </w:r>
          </w:p>
        </w:tc>
        <w:tc>
          <w:tcPr>
            <w:tcW w:w="1276" w:type="dxa"/>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参加工作时间</w:t>
            </w:r>
          </w:p>
        </w:tc>
        <w:tc>
          <w:tcPr>
            <w:tcW w:w="1893" w:type="dxa"/>
            <w:gridSpan w:val="2"/>
            <w:vAlign w:val="center"/>
          </w:tcPr>
          <w:p>
            <w:pPr>
              <w:shd w:val="clear"/>
              <w:jc w:val="center"/>
              <w:rPr>
                <w:rFonts w:asciiTheme="minorEastAsia" w:hAnsiTheme="minorEastAsia" w:eastAsiaTheme="minorEastAsia" w:cstheme="minorEastAsia"/>
                <w:highlight w:val="none"/>
              </w:rPr>
            </w:pPr>
          </w:p>
        </w:tc>
        <w:tc>
          <w:tcPr>
            <w:tcW w:w="2693" w:type="dxa"/>
            <w:gridSpan w:val="4"/>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担任技术负责人年限</w:t>
            </w:r>
          </w:p>
        </w:tc>
        <w:tc>
          <w:tcPr>
            <w:tcW w:w="1276" w:type="dxa"/>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建设单位</w:t>
            </w:r>
          </w:p>
        </w:tc>
        <w:tc>
          <w:tcPr>
            <w:tcW w:w="1548" w:type="dxa"/>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1547"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建设规模</w:t>
            </w:r>
          </w:p>
        </w:tc>
        <w:tc>
          <w:tcPr>
            <w:tcW w:w="154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开、竣工日期</w:t>
            </w:r>
          </w:p>
        </w:tc>
        <w:tc>
          <w:tcPr>
            <w:tcW w:w="1547"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在建或已完</w:t>
            </w:r>
          </w:p>
        </w:tc>
        <w:tc>
          <w:tcPr>
            <w:tcW w:w="1548" w:type="dxa"/>
            <w:gridSpan w:val="2"/>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c>
          <w:tcPr>
            <w:tcW w:w="1547" w:type="dxa"/>
            <w:gridSpan w:val="2"/>
            <w:vAlign w:val="center"/>
          </w:tcPr>
          <w:p>
            <w:pPr>
              <w:shd w:val="clear"/>
              <w:jc w:val="center"/>
              <w:rPr>
                <w:rFonts w:asciiTheme="minorEastAsia" w:hAnsiTheme="minorEastAsia" w:eastAsiaTheme="minorEastAsia" w:cstheme="minorEastAsia"/>
                <w:highlight w:val="none"/>
              </w:rPr>
            </w:pPr>
          </w:p>
        </w:tc>
        <w:tc>
          <w:tcPr>
            <w:tcW w:w="1548" w:type="dxa"/>
            <w:gridSpan w:val="2"/>
            <w:vAlign w:val="center"/>
          </w:tcPr>
          <w:p>
            <w:pPr>
              <w:shd w:val="clear"/>
              <w:jc w:val="center"/>
              <w:rPr>
                <w:rFonts w:asciiTheme="minorEastAsia" w:hAnsiTheme="minorEastAsia" w:eastAsiaTheme="minorEastAsia" w:cstheme="minorEastAsia"/>
                <w:highlight w:val="none"/>
              </w:rPr>
            </w:pPr>
          </w:p>
        </w:tc>
      </w:tr>
    </w:tbl>
    <w:p>
      <w:pPr>
        <w:shd w:val="clear"/>
        <w:spacing w:line="360" w:lineRule="auto"/>
        <w:rPr>
          <w:rFonts w:asciiTheme="minorEastAsia" w:hAnsiTheme="minorEastAsia" w:eastAsiaTheme="minorEastAsia" w:cstheme="minorEastAsia"/>
          <w:highlight w:val="none"/>
        </w:rPr>
      </w:pPr>
    </w:p>
    <w:p>
      <w:pPr>
        <w:shd w:val="clea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p>
      <w:pPr>
        <w:numPr>
          <w:ilvl w:val="0"/>
          <w:numId w:val="9"/>
        </w:numPr>
        <w:shd w:val="clear"/>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职称证、已完成的类似工程应附中标通知书（如有）、合同协议书有关页面、工程竣工验收证明材料的打印件。在建类似工程应附中标通知书（如有）、工程合同协议书有关页面打印件。</w:t>
      </w:r>
    </w:p>
    <w:p>
      <w:pPr>
        <w:shd w:val="clear"/>
        <w:spacing w:line="360" w:lineRule="auto"/>
        <w:ind w:firstLine="420" w:firstLineChars="200"/>
        <w:rPr>
          <w:rFonts w:asciiTheme="minorEastAsia" w:hAnsiTheme="minorEastAsia" w:eastAsiaTheme="minorEastAsia" w:cstheme="minorEastAsia"/>
          <w:highlight w:val="none"/>
        </w:rPr>
      </w:pPr>
    </w:p>
    <w:p>
      <w:pPr>
        <w:shd w:val="clear"/>
        <w:jc w:val="center"/>
        <w:rPr>
          <w:rFonts w:asciiTheme="minorEastAsia" w:hAnsiTheme="minorEastAsia" w:eastAsiaTheme="minorEastAsia" w:cstheme="minorEastAsia"/>
          <w:sz w:val="32"/>
          <w:szCs w:val="32"/>
          <w:highlight w:val="none"/>
        </w:rPr>
      </w:pPr>
    </w:p>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p>
    <w:p>
      <w:pPr>
        <w:shd w:val="clear"/>
        <w:spacing w:line="360" w:lineRule="auto"/>
        <w:rPr>
          <w:rFonts w:asciiTheme="minorEastAsia" w:hAnsiTheme="minorEastAsia" w:eastAsiaTheme="minorEastAsia" w:cstheme="minorEastAsia"/>
          <w:highlight w:val="none"/>
        </w:rPr>
      </w:pPr>
    </w:p>
    <w:p>
      <w:pPr>
        <w:pStyle w:val="6"/>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1"/>
          <w:highlight w:val="none"/>
        </w:rPr>
        <w:br w:type="page"/>
      </w:r>
      <w:r>
        <w:rPr>
          <w:rFonts w:hint="eastAsia" w:asciiTheme="minorEastAsia" w:hAnsiTheme="minorEastAsia" w:eastAsiaTheme="minorEastAsia" w:cstheme="minorEastAsia"/>
          <w:highlight w:val="none"/>
        </w:rPr>
        <w:t>三、磋商人须知前附表规定的其他材料（如企业信誉业绩等资料）</w:t>
      </w: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tabs>
          <w:tab w:val="left" w:pos="826"/>
        </w:tabs>
        <w:snapToGrid w:val="0"/>
        <w:ind w:firstLine="482" w:firstLineChars="200"/>
        <w:rPr>
          <w:rFonts w:asciiTheme="minorEastAsia" w:hAnsiTheme="minorEastAsia" w:eastAsiaTheme="minorEastAsia" w:cstheme="minorEastAsia"/>
          <w:b/>
          <w:sz w:val="24"/>
          <w:highlight w:val="none"/>
        </w:rPr>
      </w:pPr>
    </w:p>
    <w:p>
      <w:pPr>
        <w:pStyle w:val="6"/>
        <w:shd w:val="clear"/>
        <w:rPr>
          <w:rFonts w:asciiTheme="minorEastAsia" w:hAnsiTheme="minorEastAsia" w:eastAsiaTheme="minorEastAsia" w:cstheme="minorEastAsia"/>
          <w:b w:val="0"/>
          <w:sz w:val="24"/>
          <w:highlight w:val="none"/>
        </w:rPr>
      </w:pPr>
    </w:p>
    <w:p>
      <w:pPr>
        <w:shd w:val="clear"/>
        <w:rPr>
          <w:rFonts w:asciiTheme="minorEastAsia" w:hAnsiTheme="minorEastAsia" w:eastAsiaTheme="minorEastAsia" w:cstheme="minorEastAsia"/>
          <w:b/>
          <w:sz w:val="24"/>
          <w:highlight w:val="none"/>
        </w:rPr>
      </w:pPr>
    </w:p>
    <w:p>
      <w:pPr>
        <w:pStyle w:val="41"/>
        <w:shd w:val="clear"/>
        <w:ind w:firstLine="241"/>
        <w:rPr>
          <w:rFonts w:asciiTheme="minorEastAsia" w:hAnsiTheme="minorEastAsia" w:eastAsiaTheme="minorEastAsia" w:cstheme="minorEastAsia"/>
          <w:sz w:val="24"/>
          <w:highlight w:val="none"/>
        </w:rPr>
      </w:pPr>
    </w:p>
    <w:p>
      <w:pPr>
        <w:pStyle w:val="41"/>
        <w:shd w:val="clear"/>
        <w:ind w:firstLine="241"/>
        <w:rPr>
          <w:rFonts w:asciiTheme="minorEastAsia" w:hAnsiTheme="minorEastAsia" w:eastAsiaTheme="minorEastAsia" w:cstheme="minorEastAsia"/>
          <w:sz w:val="24"/>
          <w:highlight w:val="none"/>
        </w:rPr>
      </w:pPr>
    </w:p>
    <w:p>
      <w:pPr>
        <w:pStyle w:val="41"/>
        <w:shd w:val="clear"/>
        <w:ind w:firstLine="241"/>
        <w:rPr>
          <w:rFonts w:asciiTheme="minorEastAsia" w:hAnsiTheme="minorEastAsia" w:eastAsiaTheme="minorEastAsia" w:cstheme="minorEastAsia"/>
          <w:sz w:val="24"/>
          <w:highlight w:val="none"/>
        </w:rPr>
      </w:pPr>
    </w:p>
    <w:p>
      <w:pPr>
        <w:pStyle w:val="41"/>
        <w:shd w:val="clear"/>
        <w:ind w:firstLine="241"/>
        <w:rPr>
          <w:rFonts w:asciiTheme="minorEastAsia" w:hAnsiTheme="minorEastAsia" w:eastAsiaTheme="minorEastAsia" w:cstheme="minorEastAsia"/>
          <w:sz w:val="24"/>
          <w:highlight w:val="none"/>
        </w:rPr>
      </w:pPr>
    </w:p>
    <w:p>
      <w:pPr>
        <w:pStyle w:val="41"/>
        <w:shd w:val="clear"/>
        <w:ind w:firstLine="241"/>
        <w:rPr>
          <w:rFonts w:asciiTheme="minorEastAsia" w:hAnsiTheme="minorEastAsia" w:eastAsiaTheme="minorEastAsia" w:cstheme="minorEastAsia"/>
          <w:sz w:val="24"/>
          <w:highlight w:val="none"/>
        </w:rPr>
      </w:pPr>
    </w:p>
    <w:p>
      <w:pPr>
        <w:pStyle w:val="6"/>
        <w:shd w:val="clear"/>
        <w:rPr>
          <w:rFonts w:asciiTheme="minorEastAsia" w:hAnsiTheme="minorEastAsia" w:eastAsiaTheme="minorEastAsia" w:cstheme="minorEastAsia"/>
          <w:b w:val="0"/>
          <w:sz w:val="24"/>
          <w:highlight w:val="none"/>
        </w:rPr>
      </w:pPr>
    </w:p>
    <w:p>
      <w:pPr>
        <w:shd w:val="clear"/>
        <w:rPr>
          <w:rFonts w:asciiTheme="minorEastAsia" w:hAnsiTheme="minorEastAsia" w:eastAsiaTheme="minorEastAsia" w:cstheme="minorEastAsia"/>
          <w:b/>
          <w:sz w:val="24"/>
          <w:highlight w:val="none"/>
        </w:rPr>
      </w:pPr>
    </w:p>
    <w:p>
      <w:pPr>
        <w:pStyle w:val="6"/>
        <w:shd w:val="clear"/>
        <w:rPr>
          <w:rFonts w:asciiTheme="minorEastAsia" w:hAnsiTheme="minorEastAsia" w:eastAsiaTheme="minorEastAsia" w:cstheme="minorEastAsia"/>
          <w:b w:val="0"/>
          <w:sz w:val="24"/>
          <w:highlight w:val="none"/>
        </w:rPr>
      </w:pPr>
    </w:p>
    <w:p>
      <w:pPr>
        <w:shd w:val="clear"/>
        <w:rPr>
          <w:rFonts w:asciiTheme="minorEastAsia" w:hAnsiTheme="minorEastAsia" w:eastAsiaTheme="minorEastAsia" w:cstheme="minorEastAsia"/>
          <w:b/>
          <w:sz w:val="24"/>
          <w:highlight w:val="none"/>
        </w:rPr>
      </w:pPr>
    </w:p>
    <w:p>
      <w:pPr>
        <w:shd w:val="clear"/>
        <w:tabs>
          <w:tab w:val="left" w:pos="826"/>
        </w:tabs>
        <w:snapToGrid w:val="0"/>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br w:type="textWrapping"/>
      </w:r>
    </w:p>
    <w:p>
      <w:pPr>
        <w:shd w:val="clear"/>
        <w:tabs>
          <w:tab w:val="left" w:pos="826"/>
        </w:tabs>
        <w:snapToGrid w:val="0"/>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附表：</w:t>
      </w:r>
      <w:r>
        <w:rPr>
          <w:rFonts w:hint="eastAsia" w:asciiTheme="minorEastAsia" w:hAnsiTheme="minorEastAsia" w:eastAsiaTheme="minorEastAsia" w:cstheme="minorEastAsia"/>
          <w:b/>
          <w:bCs/>
          <w:sz w:val="24"/>
          <w:highlight w:val="none"/>
        </w:rPr>
        <w:t>近</w:t>
      </w:r>
      <w:r>
        <w:rPr>
          <w:rFonts w:hint="eastAsia" w:asciiTheme="minorEastAsia" w:hAnsiTheme="minorEastAsia" w:eastAsiaTheme="minorEastAsia" w:cstheme="minorEastAsia"/>
          <w:b/>
          <w:bCs/>
          <w:sz w:val="24"/>
          <w:highlight w:val="none"/>
          <w:u w:val="single"/>
        </w:rPr>
        <w:t xml:space="preserve"> 三   </w:t>
      </w:r>
      <w:r>
        <w:rPr>
          <w:rFonts w:hint="eastAsia" w:asciiTheme="minorEastAsia" w:hAnsiTheme="minorEastAsia" w:eastAsiaTheme="minorEastAsia" w:cstheme="minorEastAsia"/>
          <w:b/>
          <w:bCs/>
          <w:sz w:val="24"/>
          <w:highlight w:val="none"/>
        </w:rPr>
        <w:t>年</w:t>
      </w:r>
      <w:r>
        <w:rPr>
          <w:rFonts w:hint="eastAsia" w:asciiTheme="minorEastAsia" w:hAnsiTheme="minorEastAsia" w:eastAsiaTheme="minorEastAsia" w:cstheme="minorEastAsia"/>
          <w:b/>
          <w:sz w:val="24"/>
          <w:highlight w:val="none"/>
        </w:rPr>
        <w:t>已完成类似工程一览表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发包人名称</w:t>
            </w: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工程名称</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及建设地点</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结构</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类型</w:t>
            </w: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建设</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规模</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合同金额</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竣工达到</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质量标准</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开竣工</w:t>
            </w:r>
          </w:p>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bl>
    <w:p>
      <w:pPr>
        <w:shd w:val="clear"/>
        <w:rPr>
          <w:rFonts w:asciiTheme="minorEastAsia" w:hAnsiTheme="minorEastAsia" w:eastAsiaTheme="minorEastAsia" w:cstheme="minorEastAsia"/>
          <w:highlight w:val="none"/>
        </w:rPr>
      </w:pPr>
    </w:p>
    <w:p>
      <w:pPr>
        <w:shd w:val="clea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p>
      <w:pPr>
        <w:numPr>
          <w:ilvl w:val="0"/>
          <w:numId w:val="10"/>
        </w:numPr>
        <w:shd w:val="clear"/>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投标人应附中标通知书（如有）、工程合同协议书有关页面、工程竣工验收证明材料的打印件。</w:t>
      </w:r>
    </w:p>
    <w:p>
      <w:pPr>
        <w:numPr>
          <w:ilvl w:val="0"/>
          <w:numId w:val="0"/>
        </w:numPr>
        <w:shd w:val="clear"/>
        <w:rPr>
          <w:rFonts w:asciiTheme="minorEastAsia" w:hAnsiTheme="minorEastAsia" w:eastAsiaTheme="minorEastAsia" w:cstheme="minorEastAsia"/>
          <w:highlight w:val="none"/>
        </w:rPr>
      </w:pPr>
    </w:p>
    <w:p>
      <w:pPr>
        <w:pStyle w:val="17"/>
        <w:shd w:val="clear"/>
        <w:rPr>
          <w:rFonts w:asciiTheme="minorEastAsia" w:hAnsiTheme="minorEastAsia" w:eastAsiaTheme="minorEastAsia" w:cstheme="minorEastAsia"/>
          <w:highlight w:val="none"/>
        </w:rPr>
      </w:pPr>
    </w:p>
    <w:p>
      <w:pPr>
        <w:widowControl/>
        <w:shd w:val="clear"/>
        <w:jc w:val="left"/>
        <w:rPr>
          <w:rFonts w:asciiTheme="minorEastAsia" w:hAnsiTheme="minorEastAsia" w:eastAsiaTheme="minorEastAsia" w:cstheme="minorEastAsia"/>
          <w:b/>
          <w:sz w:val="28"/>
          <w:szCs w:val="28"/>
          <w:highlight w:val="none"/>
        </w:rPr>
        <w:sectPr>
          <w:pgSz w:w="11907" w:h="16840"/>
          <w:pgMar w:top="1440" w:right="1440" w:bottom="1440" w:left="1797" w:header="851" w:footer="851" w:gutter="0"/>
          <w:cols w:space="720" w:num="1"/>
        </w:sectPr>
      </w:pPr>
    </w:p>
    <w:p>
      <w:pPr>
        <w:shd w:val="clear"/>
        <w:tabs>
          <w:tab w:val="left" w:pos="826"/>
        </w:tabs>
        <w:snapToGrid w:val="0"/>
        <w:ind w:firstLine="482" w:firstLineChars="200"/>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附表：近</w:t>
      </w:r>
      <w:r>
        <w:rPr>
          <w:rFonts w:hint="eastAsia" w:asciiTheme="minorEastAsia" w:hAnsiTheme="minorEastAsia" w:eastAsiaTheme="minorEastAsia" w:cstheme="minorEastAsia"/>
          <w:b/>
          <w:sz w:val="24"/>
          <w:highlight w:val="none"/>
          <w:u w:val="single"/>
        </w:rPr>
        <w:t xml:space="preserve">  三  </w:t>
      </w:r>
      <w:r>
        <w:rPr>
          <w:rFonts w:hint="eastAsia" w:asciiTheme="minorEastAsia" w:hAnsiTheme="minorEastAsia" w:eastAsiaTheme="minorEastAsia" w:cstheme="minorEastAsia"/>
          <w:b/>
          <w:sz w:val="24"/>
          <w:highlight w:val="none"/>
        </w:rPr>
        <w:t>年企业信誉实力一览表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序号</w:t>
            </w: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c>
          <w:tcPr>
            <w:tcW w:w="8359" w:type="dxa"/>
            <w:tcBorders>
              <w:top w:val="single" w:color="auto" w:sz="4" w:space="0"/>
              <w:left w:val="single" w:color="auto" w:sz="4" w:space="0"/>
              <w:bottom w:val="single" w:color="auto" w:sz="4" w:space="0"/>
              <w:right w:val="single" w:color="auto" w:sz="4" w:space="0"/>
            </w:tcBorders>
            <w:vAlign w:val="center"/>
          </w:tcPr>
          <w:p>
            <w:pPr>
              <w:shd w:val="clear"/>
              <w:jc w:val="center"/>
              <w:rPr>
                <w:rFonts w:asciiTheme="minorEastAsia" w:hAnsiTheme="minorEastAsia" w:eastAsiaTheme="minorEastAsia" w:cstheme="minorEastAsia"/>
                <w:highlight w:val="none"/>
              </w:rPr>
            </w:pPr>
          </w:p>
        </w:tc>
      </w:tr>
    </w:tbl>
    <w:p>
      <w:pPr>
        <w:shd w:val="clear"/>
        <w:tabs>
          <w:tab w:val="left" w:pos="826"/>
        </w:tabs>
        <w:snapToGrid w:val="0"/>
        <w:ind w:firstLine="482" w:firstLineChars="200"/>
        <w:rPr>
          <w:rFonts w:asciiTheme="minorEastAsia" w:hAnsiTheme="minorEastAsia" w:eastAsiaTheme="minorEastAsia" w:cstheme="minorEastAsia"/>
          <w:b/>
          <w:sz w:val="24"/>
          <w:highlight w:val="none"/>
        </w:rPr>
      </w:pPr>
    </w:p>
    <w:p>
      <w:pPr>
        <w:shd w:val="clear"/>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所有奖项、业绩的证明材料打印件。</w:t>
      </w: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shd w:val="clear"/>
        <w:spacing w:line="360" w:lineRule="auto"/>
        <w:ind w:firstLine="420" w:firstLineChars="200"/>
        <w:rPr>
          <w:rFonts w:asciiTheme="minorEastAsia" w:hAnsiTheme="minorEastAsia" w:eastAsiaTheme="minorEastAsia" w:cstheme="minorEastAsia"/>
          <w:highlight w:val="none"/>
        </w:rPr>
      </w:pPr>
    </w:p>
    <w:p>
      <w:pPr>
        <w:pStyle w:val="19"/>
        <w:shd w:val="clear"/>
        <w:rPr>
          <w:rFonts w:asciiTheme="minorEastAsia" w:hAnsiTheme="minorEastAsia" w:eastAsiaTheme="minorEastAsia" w:cstheme="minorEastAsia"/>
          <w:highlight w:val="none"/>
        </w:rPr>
      </w:pPr>
    </w:p>
    <w:p>
      <w:pPr>
        <w:shd w:val="clear"/>
        <w:spacing w:line="460" w:lineRule="exact"/>
        <w:rPr>
          <w:rFonts w:asciiTheme="minorEastAsia" w:hAnsiTheme="minorEastAsia" w:eastAsiaTheme="minorEastAsia" w:cstheme="minorEastAsia"/>
          <w:b/>
          <w:bCs/>
          <w:sz w:val="30"/>
          <w:szCs w:val="30"/>
          <w:highlight w:val="none"/>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美黑简体">
    <w:altName w:val="黑体"/>
    <w:panose1 w:val="00000000000000000000"/>
    <w:charset w:val="86"/>
    <w:family w:val="script"/>
    <w:pitch w:val="default"/>
    <w:sig w:usb0="00000000" w:usb1="00000000" w:usb2="00000000" w:usb3="00000000" w:csb0="00040000" w:csb1="00000000"/>
  </w:font>
  <w:font w:name="汉仪魏碑简">
    <w:altName w:val="宋体"/>
    <w:panose1 w:val="00000000000000000000"/>
    <w:charset w:val="86"/>
    <w:family w:val="modern"/>
    <w:pitch w:val="default"/>
    <w:sig w:usb0="00000000" w:usb1="00000000" w:usb2="00000012"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fldChar w:fldCharType="begin"/>
    </w:r>
    <w:r>
      <w:instrText xml:space="preserve"> PAGE   \* MERGEFORMAT </w:instrText>
    </w:r>
    <w:r>
      <w:fldChar w:fldCharType="separate"/>
    </w:r>
    <w:r>
      <w:rPr>
        <w:lang w:val="zh-CN"/>
      </w:rPr>
      <w:t>18</w:t>
    </w:r>
    <w:r>
      <w:rPr>
        <w:lang w:val="zh-CN"/>
      </w:rPr>
      <w:fldChar w:fldCharType="end"/>
    </w:r>
  </w:p>
  <w:p>
    <w:pPr>
      <w:pStyle w:val="2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19Zs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E9fWbCAQAAjQMAAA4AAAAAAAAAAQAgAAAAHgEAAGRycy9lMm9Eb2MueG1sUEsF&#10;BgAAAAAGAAYAWQEAAFI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Fonts w:cs="Times New Roman"/>
                            </w:rPr>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QeD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RB4NyQEAAJkDAAAOAAAAAAAAAAEAIAAAAB4BAABkcnMvZTJvRG9j&#10;LnhtbFBLBQYAAAAABgAGAFkBAABZBQAAAAA=&#10;">
              <v:fill on="f" focussize="0,0"/>
              <v:stroke on="f"/>
              <v:imagedata o:title=""/>
              <o:lock v:ext="edit" aspectratio="f"/>
              <v:textbox inset="0mm,0mm,0mm,0mm" style="mso-fit-shape-to-text:t;">
                <w:txbxContent>
                  <w:p>
                    <w:pPr>
                      <w:pStyle w:val="29"/>
                      <w:rPr>
                        <w:rFonts w:cs="Times New Roman"/>
                      </w:rPr>
                    </w:pPr>
                    <w:r>
                      <w:fldChar w:fldCharType="begin"/>
                    </w:r>
                    <w:r>
                      <w:instrText xml:space="preserve"> PAGE  \* MERGEFORMAT </w:instrText>
                    </w:r>
                    <w:r>
                      <w:fldChar w:fldCharType="separate"/>
                    </w:r>
                    <w:r>
                      <w:t>74</w:t>
                    </w:r>
                    <w:r>
                      <w:fldChar w:fldCharType="end"/>
                    </w:r>
                  </w:p>
                </w:txbxContent>
              </v:textbox>
            </v:shape>
          </w:pict>
        </mc:Fallback>
      </mc:AlternateContent>
    </w:r>
  </w:p>
  <w:p>
    <w:pPr>
      <w:pStyle w:val="2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cs="Times New Roman"/>
      </w:rPr>
    </w:pPr>
    <w:r>
      <w:rPr>
        <w:rFonts w:hint="eastAsia" w:ascii="宋体" w:hAnsi="宋体" w:cs="宋体"/>
      </w:rPr>
      <w:t>广西建展建设工程管理集团有限公司</w:t>
    </w:r>
    <w:r>
      <w:rPr>
        <w:rFonts w:ascii="宋体" w:hAnsi="宋体" w:cs="宋体"/>
      </w:rPr>
      <w:t xml:space="preserve">                                       </w:t>
    </w:r>
    <w:r>
      <w:rPr>
        <w:rFonts w:hint="eastAsia" w:ascii="宋体" w:hAnsi="宋体" w:cs="宋体"/>
      </w:rPr>
      <w:t>竞争性磋商采购文件</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广西建展建设工程管理集团有限公司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91229"/>
    <w:multiLevelType w:val="singleLevel"/>
    <w:tmpl w:val="94A91229"/>
    <w:lvl w:ilvl="0" w:tentative="0">
      <w:start w:val="12"/>
      <w:numFmt w:val="chineseCounting"/>
      <w:suff w:val="nothing"/>
      <w:lvlText w:val="%1、"/>
      <w:lvlJc w:val="left"/>
      <w:rPr>
        <w:rFonts w:hint="eastAsia"/>
      </w:rPr>
    </w:lvl>
  </w:abstractNum>
  <w:abstractNum w:abstractNumId="1">
    <w:nsid w:val="E6FB4A21"/>
    <w:multiLevelType w:val="singleLevel"/>
    <w:tmpl w:val="E6FB4A21"/>
    <w:lvl w:ilvl="0" w:tentative="0">
      <w:start w:val="1"/>
      <w:numFmt w:val="decimal"/>
      <w:suff w:val="nothing"/>
      <w:lvlText w:val="%1、"/>
      <w:lvlJc w:val="left"/>
    </w:lvl>
  </w:abstractNum>
  <w:abstractNum w:abstractNumId="2">
    <w:nsid w:val="049E55D1"/>
    <w:multiLevelType w:val="multilevel"/>
    <w:tmpl w:val="049E55D1"/>
    <w:lvl w:ilvl="0" w:tentative="0">
      <w:start w:val="1"/>
      <w:numFmt w:val="decimal"/>
      <w:pStyle w:val="123"/>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45"/>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2"/>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28"/>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27"/>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3"/>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34"/>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24"/>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3">
    <w:nsid w:val="0C48645C"/>
    <w:multiLevelType w:val="multilevel"/>
    <w:tmpl w:val="0C48645C"/>
    <w:lvl w:ilvl="0" w:tentative="0">
      <w:start w:val="1"/>
      <w:numFmt w:val="decimal"/>
      <w:pStyle w:val="126"/>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4EF5680"/>
    <w:multiLevelType w:val="singleLevel"/>
    <w:tmpl w:val="14EF5680"/>
    <w:lvl w:ilvl="0" w:tentative="0">
      <w:start w:val="1"/>
      <w:numFmt w:val="decimal"/>
      <w:pStyle w:val="136"/>
      <w:lvlText w:val="%1."/>
      <w:lvlJc w:val="left"/>
      <w:pPr>
        <w:tabs>
          <w:tab w:val="left" w:pos="480"/>
        </w:tabs>
        <w:ind w:left="480" w:hanging="480"/>
      </w:pPr>
      <w:rPr>
        <w:rFonts w:hint="default"/>
        <w:sz w:val="23"/>
        <w:szCs w:val="23"/>
      </w:rPr>
    </w:lvl>
  </w:abstractNum>
  <w:abstractNum w:abstractNumId="5">
    <w:nsid w:val="32437581"/>
    <w:multiLevelType w:val="singleLevel"/>
    <w:tmpl w:val="32437581"/>
    <w:lvl w:ilvl="0" w:tentative="0">
      <w:start w:val="1"/>
      <w:numFmt w:val="decimal"/>
      <w:suff w:val="nothing"/>
      <w:lvlText w:val="%1、"/>
      <w:lvlJc w:val="left"/>
    </w:lvl>
  </w:abstractNum>
  <w:abstractNum w:abstractNumId="6">
    <w:nsid w:val="404E52C6"/>
    <w:multiLevelType w:val="singleLevel"/>
    <w:tmpl w:val="404E52C6"/>
    <w:lvl w:ilvl="0" w:tentative="0">
      <w:start w:val="1"/>
      <w:numFmt w:val="decimal"/>
      <w:suff w:val="nothing"/>
      <w:lvlText w:val="%1、"/>
      <w:lvlJc w:val="left"/>
    </w:lvl>
  </w:abstractNum>
  <w:abstractNum w:abstractNumId="7">
    <w:nsid w:val="57EC4BDC"/>
    <w:multiLevelType w:val="multilevel"/>
    <w:tmpl w:val="57EC4BDC"/>
    <w:lvl w:ilvl="0" w:tentative="0">
      <w:start w:val="1"/>
      <w:numFmt w:val="chineseCountingThousand"/>
      <w:pStyle w:val="3"/>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AF0C405"/>
    <w:multiLevelType w:val="singleLevel"/>
    <w:tmpl w:val="6AF0C405"/>
    <w:lvl w:ilvl="0" w:tentative="0">
      <w:start w:val="6"/>
      <w:numFmt w:val="chineseCounting"/>
      <w:suff w:val="nothing"/>
      <w:lvlText w:val="%1、"/>
      <w:lvlJc w:val="left"/>
      <w:rPr>
        <w:rFonts w:hint="eastAsia"/>
      </w:rPr>
    </w:lvl>
  </w:abstractNum>
  <w:abstractNum w:abstractNumId="9">
    <w:nsid w:val="6B5030ED"/>
    <w:multiLevelType w:val="singleLevel"/>
    <w:tmpl w:val="6B5030ED"/>
    <w:lvl w:ilvl="0" w:tentative="0">
      <w:start w:val="1"/>
      <w:numFmt w:val="decimal"/>
      <w:pStyle w:val="139"/>
      <w:lvlText w:val="(%1)"/>
      <w:lvlJc w:val="left"/>
      <w:pPr>
        <w:tabs>
          <w:tab w:val="left" w:pos="567"/>
        </w:tabs>
        <w:ind w:left="567" w:hanging="567"/>
      </w:pPr>
      <w:rPr>
        <w:rFonts w:hint="eastAsia"/>
        <w:b/>
        <w:bCs/>
        <w:i w:val="0"/>
        <w:iCs w:val="0"/>
        <w:sz w:val="23"/>
        <w:szCs w:val="23"/>
      </w:rPr>
    </w:lvl>
  </w:abstractNum>
  <w:num w:numId="1">
    <w:abstractNumId w:val="7"/>
  </w:num>
  <w:num w:numId="2">
    <w:abstractNumId w:val="2"/>
  </w:num>
  <w:num w:numId="3">
    <w:abstractNumId w:val="3"/>
  </w:num>
  <w:num w:numId="4">
    <w:abstractNumId w:val="4"/>
  </w:num>
  <w:num w:numId="5">
    <w:abstractNumId w:val="9"/>
  </w:num>
  <w:num w:numId="6">
    <w:abstractNumId w:val="8"/>
  </w:num>
  <w:num w:numId="7">
    <w:abstractNumId w:val="0"/>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ED"/>
    <w:rsid w:val="00023AB5"/>
    <w:rsid w:val="00024C49"/>
    <w:rsid w:val="00065D5A"/>
    <w:rsid w:val="0007799F"/>
    <w:rsid w:val="000D0C9B"/>
    <w:rsid w:val="000E54DB"/>
    <w:rsid w:val="001104B7"/>
    <w:rsid w:val="00136896"/>
    <w:rsid w:val="00137881"/>
    <w:rsid w:val="001820E4"/>
    <w:rsid w:val="001A10A0"/>
    <w:rsid w:val="001C30E0"/>
    <w:rsid w:val="001C315D"/>
    <w:rsid w:val="001D4F53"/>
    <w:rsid w:val="001F238E"/>
    <w:rsid w:val="002418ED"/>
    <w:rsid w:val="002472F6"/>
    <w:rsid w:val="00250BF0"/>
    <w:rsid w:val="00256659"/>
    <w:rsid w:val="00273957"/>
    <w:rsid w:val="002A4CB1"/>
    <w:rsid w:val="002B2944"/>
    <w:rsid w:val="002D5F2A"/>
    <w:rsid w:val="00346547"/>
    <w:rsid w:val="00376C37"/>
    <w:rsid w:val="00395214"/>
    <w:rsid w:val="003B3FC0"/>
    <w:rsid w:val="003B7696"/>
    <w:rsid w:val="003C4C7D"/>
    <w:rsid w:val="003D6A75"/>
    <w:rsid w:val="003E7C9C"/>
    <w:rsid w:val="00407E53"/>
    <w:rsid w:val="00460FCD"/>
    <w:rsid w:val="004B604B"/>
    <w:rsid w:val="004E49D5"/>
    <w:rsid w:val="005228CA"/>
    <w:rsid w:val="0052705D"/>
    <w:rsid w:val="00543553"/>
    <w:rsid w:val="005518BE"/>
    <w:rsid w:val="00560684"/>
    <w:rsid w:val="005B1167"/>
    <w:rsid w:val="005C115F"/>
    <w:rsid w:val="005F1F68"/>
    <w:rsid w:val="005F5881"/>
    <w:rsid w:val="006058D3"/>
    <w:rsid w:val="00652ABA"/>
    <w:rsid w:val="00652F80"/>
    <w:rsid w:val="006635C9"/>
    <w:rsid w:val="006A436E"/>
    <w:rsid w:val="006B03BA"/>
    <w:rsid w:val="006F1267"/>
    <w:rsid w:val="006F5836"/>
    <w:rsid w:val="0072738E"/>
    <w:rsid w:val="00743C85"/>
    <w:rsid w:val="0075003A"/>
    <w:rsid w:val="00751256"/>
    <w:rsid w:val="00753809"/>
    <w:rsid w:val="007615EE"/>
    <w:rsid w:val="007A140A"/>
    <w:rsid w:val="007E64F6"/>
    <w:rsid w:val="0080091A"/>
    <w:rsid w:val="00820E2E"/>
    <w:rsid w:val="00834A26"/>
    <w:rsid w:val="008431F4"/>
    <w:rsid w:val="00860D24"/>
    <w:rsid w:val="0086353C"/>
    <w:rsid w:val="008716B9"/>
    <w:rsid w:val="00876637"/>
    <w:rsid w:val="0088518E"/>
    <w:rsid w:val="0089756E"/>
    <w:rsid w:val="008B349F"/>
    <w:rsid w:val="008D0BA6"/>
    <w:rsid w:val="008E7C49"/>
    <w:rsid w:val="009029B3"/>
    <w:rsid w:val="0091575E"/>
    <w:rsid w:val="009335C6"/>
    <w:rsid w:val="00935851"/>
    <w:rsid w:val="0095169E"/>
    <w:rsid w:val="00966C54"/>
    <w:rsid w:val="009737F6"/>
    <w:rsid w:val="009A149D"/>
    <w:rsid w:val="009B0695"/>
    <w:rsid w:val="009E2495"/>
    <w:rsid w:val="009F6ACD"/>
    <w:rsid w:val="00A70478"/>
    <w:rsid w:val="00A85F5F"/>
    <w:rsid w:val="00A868C8"/>
    <w:rsid w:val="00A97810"/>
    <w:rsid w:val="00AB474E"/>
    <w:rsid w:val="00AB5084"/>
    <w:rsid w:val="00AD42E3"/>
    <w:rsid w:val="00AD484B"/>
    <w:rsid w:val="00AD5794"/>
    <w:rsid w:val="00AF2A5F"/>
    <w:rsid w:val="00B56EC4"/>
    <w:rsid w:val="00B87D3E"/>
    <w:rsid w:val="00BB57D2"/>
    <w:rsid w:val="00BC2F68"/>
    <w:rsid w:val="00BE7250"/>
    <w:rsid w:val="00C27508"/>
    <w:rsid w:val="00C373E9"/>
    <w:rsid w:val="00C4570F"/>
    <w:rsid w:val="00C5149B"/>
    <w:rsid w:val="00C53BA4"/>
    <w:rsid w:val="00C637D5"/>
    <w:rsid w:val="00C679A7"/>
    <w:rsid w:val="00C82081"/>
    <w:rsid w:val="00C84926"/>
    <w:rsid w:val="00CB3531"/>
    <w:rsid w:val="00D02750"/>
    <w:rsid w:val="00D201D6"/>
    <w:rsid w:val="00D4142A"/>
    <w:rsid w:val="00D4339C"/>
    <w:rsid w:val="00D56432"/>
    <w:rsid w:val="00D865C8"/>
    <w:rsid w:val="00D977C1"/>
    <w:rsid w:val="00DD2337"/>
    <w:rsid w:val="00DF2D8B"/>
    <w:rsid w:val="00DF6FDB"/>
    <w:rsid w:val="00E0024B"/>
    <w:rsid w:val="00E23A8D"/>
    <w:rsid w:val="00E501BB"/>
    <w:rsid w:val="00E56710"/>
    <w:rsid w:val="00E66BAF"/>
    <w:rsid w:val="00EE2B69"/>
    <w:rsid w:val="00EE7999"/>
    <w:rsid w:val="00EF0908"/>
    <w:rsid w:val="00EF3F80"/>
    <w:rsid w:val="00F16F62"/>
    <w:rsid w:val="00F24E46"/>
    <w:rsid w:val="00F30444"/>
    <w:rsid w:val="00F409AE"/>
    <w:rsid w:val="00F52AEE"/>
    <w:rsid w:val="00F85C8C"/>
    <w:rsid w:val="00FB07AC"/>
    <w:rsid w:val="00FD283A"/>
    <w:rsid w:val="00FE0856"/>
    <w:rsid w:val="01175BCB"/>
    <w:rsid w:val="012704DB"/>
    <w:rsid w:val="01382BBC"/>
    <w:rsid w:val="015F2C67"/>
    <w:rsid w:val="01912C7E"/>
    <w:rsid w:val="01C64722"/>
    <w:rsid w:val="027B5769"/>
    <w:rsid w:val="02942239"/>
    <w:rsid w:val="03A23D72"/>
    <w:rsid w:val="04C11DAF"/>
    <w:rsid w:val="063F6AB5"/>
    <w:rsid w:val="06712922"/>
    <w:rsid w:val="06931366"/>
    <w:rsid w:val="06C75D86"/>
    <w:rsid w:val="06F56226"/>
    <w:rsid w:val="07311744"/>
    <w:rsid w:val="073B11D3"/>
    <w:rsid w:val="07F20CD1"/>
    <w:rsid w:val="082E72A2"/>
    <w:rsid w:val="08946407"/>
    <w:rsid w:val="091F15F9"/>
    <w:rsid w:val="097F19A1"/>
    <w:rsid w:val="098707BD"/>
    <w:rsid w:val="098B07D2"/>
    <w:rsid w:val="09A456FA"/>
    <w:rsid w:val="0A11609A"/>
    <w:rsid w:val="0A552A4D"/>
    <w:rsid w:val="0ACD22CC"/>
    <w:rsid w:val="0C2A23F3"/>
    <w:rsid w:val="0C342609"/>
    <w:rsid w:val="0CCC31A1"/>
    <w:rsid w:val="0DB05F76"/>
    <w:rsid w:val="0DE63B13"/>
    <w:rsid w:val="0EAF6A38"/>
    <w:rsid w:val="0EC042B5"/>
    <w:rsid w:val="0F276495"/>
    <w:rsid w:val="0F3D0F1E"/>
    <w:rsid w:val="0F995C92"/>
    <w:rsid w:val="11273C7A"/>
    <w:rsid w:val="1186305E"/>
    <w:rsid w:val="120342EE"/>
    <w:rsid w:val="12396C23"/>
    <w:rsid w:val="124E7809"/>
    <w:rsid w:val="12AF277F"/>
    <w:rsid w:val="131613DB"/>
    <w:rsid w:val="134B6BA7"/>
    <w:rsid w:val="13EA0D88"/>
    <w:rsid w:val="149D3865"/>
    <w:rsid w:val="15665530"/>
    <w:rsid w:val="162B0E36"/>
    <w:rsid w:val="167232D9"/>
    <w:rsid w:val="177314DB"/>
    <w:rsid w:val="17F10E40"/>
    <w:rsid w:val="17FC48F2"/>
    <w:rsid w:val="1874237E"/>
    <w:rsid w:val="198C11E1"/>
    <w:rsid w:val="19A9778D"/>
    <w:rsid w:val="1A60344F"/>
    <w:rsid w:val="1A72516B"/>
    <w:rsid w:val="1A947E2C"/>
    <w:rsid w:val="1AFA1194"/>
    <w:rsid w:val="1AFF6991"/>
    <w:rsid w:val="1B8608C6"/>
    <w:rsid w:val="1B883914"/>
    <w:rsid w:val="1B9054B2"/>
    <w:rsid w:val="1BB83E58"/>
    <w:rsid w:val="1C5D337B"/>
    <w:rsid w:val="1CA170E3"/>
    <w:rsid w:val="1DB624A7"/>
    <w:rsid w:val="1DBC657F"/>
    <w:rsid w:val="1DD677BD"/>
    <w:rsid w:val="1DF23CCF"/>
    <w:rsid w:val="1E320A08"/>
    <w:rsid w:val="1E46352B"/>
    <w:rsid w:val="1E975487"/>
    <w:rsid w:val="20061553"/>
    <w:rsid w:val="207D33CF"/>
    <w:rsid w:val="20CF15F8"/>
    <w:rsid w:val="21357D6F"/>
    <w:rsid w:val="217726A5"/>
    <w:rsid w:val="21C21C74"/>
    <w:rsid w:val="22436A29"/>
    <w:rsid w:val="226E3D8A"/>
    <w:rsid w:val="22E93444"/>
    <w:rsid w:val="238D6ED9"/>
    <w:rsid w:val="23DE19FA"/>
    <w:rsid w:val="24423C1E"/>
    <w:rsid w:val="24FE2F03"/>
    <w:rsid w:val="25095948"/>
    <w:rsid w:val="254C35EC"/>
    <w:rsid w:val="25A51464"/>
    <w:rsid w:val="270F1EFD"/>
    <w:rsid w:val="28116D6C"/>
    <w:rsid w:val="2832268C"/>
    <w:rsid w:val="28357391"/>
    <w:rsid w:val="28932FED"/>
    <w:rsid w:val="28B3117F"/>
    <w:rsid w:val="28DA4003"/>
    <w:rsid w:val="2930367A"/>
    <w:rsid w:val="293161DA"/>
    <w:rsid w:val="29D7610E"/>
    <w:rsid w:val="29EB62D0"/>
    <w:rsid w:val="29F23B96"/>
    <w:rsid w:val="29F536D8"/>
    <w:rsid w:val="2A0E5216"/>
    <w:rsid w:val="2B257C36"/>
    <w:rsid w:val="2B2F29A0"/>
    <w:rsid w:val="2C187CC6"/>
    <w:rsid w:val="2C8F222E"/>
    <w:rsid w:val="2E0D3E8E"/>
    <w:rsid w:val="2E5D30E7"/>
    <w:rsid w:val="2F1A43C9"/>
    <w:rsid w:val="2F543264"/>
    <w:rsid w:val="2FA200F5"/>
    <w:rsid w:val="2FF762B7"/>
    <w:rsid w:val="3023482F"/>
    <w:rsid w:val="30BD5A4F"/>
    <w:rsid w:val="30F37830"/>
    <w:rsid w:val="318B18EE"/>
    <w:rsid w:val="32B34592"/>
    <w:rsid w:val="32CD524A"/>
    <w:rsid w:val="32D7238D"/>
    <w:rsid w:val="338E34A8"/>
    <w:rsid w:val="34135560"/>
    <w:rsid w:val="348A76E8"/>
    <w:rsid w:val="35202BA4"/>
    <w:rsid w:val="352525E4"/>
    <w:rsid w:val="358E6188"/>
    <w:rsid w:val="35987D28"/>
    <w:rsid w:val="36063E9A"/>
    <w:rsid w:val="36203281"/>
    <w:rsid w:val="36211EDA"/>
    <w:rsid w:val="36233036"/>
    <w:rsid w:val="368B3B0A"/>
    <w:rsid w:val="37443FF0"/>
    <w:rsid w:val="377A5D71"/>
    <w:rsid w:val="37FA2D45"/>
    <w:rsid w:val="3882414D"/>
    <w:rsid w:val="38A4662A"/>
    <w:rsid w:val="38AF2BBC"/>
    <w:rsid w:val="391D7E0B"/>
    <w:rsid w:val="39460A64"/>
    <w:rsid w:val="39660497"/>
    <w:rsid w:val="39BB5D97"/>
    <w:rsid w:val="3A1738C4"/>
    <w:rsid w:val="3AEC683B"/>
    <w:rsid w:val="3B1D47DF"/>
    <w:rsid w:val="3B895BC8"/>
    <w:rsid w:val="3BA76847"/>
    <w:rsid w:val="3BE53167"/>
    <w:rsid w:val="3C3263F5"/>
    <w:rsid w:val="3C4D3B52"/>
    <w:rsid w:val="3C6D639F"/>
    <w:rsid w:val="3D716F95"/>
    <w:rsid w:val="3D841FF4"/>
    <w:rsid w:val="3ECD2927"/>
    <w:rsid w:val="3F0C02D1"/>
    <w:rsid w:val="3F131C8D"/>
    <w:rsid w:val="3F194038"/>
    <w:rsid w:val="3F5D102F"/>
    <w:rsid w:val="3F6A5356"/>
    <w:rsid w:val="3FBB5466"/>
    <w:rsid w:val="3FC24DBD"/>
    <w:rsid w:val="40157C88"/>
    <w:rsid w:val="402A2267"/>
    <w:rsid w:val="40C43710"/>
    <w:rsid w:val="419D2D01"/>
    <w:rsid w:val="41BA1BF0"/>
    <w:rsid w:val="41E77E27"/>
    <w:rsid w:val="42335445"/>
    <w:rsid w:val="423558AD"/>
    <w:rsid w:val="43320581"/>
    <w:rsid w:val="43AC70E5"/>
    <w:rsid w:val="43AD7D73"/>
    <w:rsid w:val="4406358E"/>
    <w:rsid w:val="44304265"/>
    <w:rsid w:val="449C3E2A"/>
    <w:rsid w:val="45434DFE"/>
    <w:rsid w:val="46187956"/>
    <w:rsid w:val="46502178"/>
    <w:rsid w:val="468334EF"/>
    <w:rsid w:val="474C0240"/>
    <w:rsid w:val="47B9016C"/>
    <w:rsid w:val="47FD2A3E"/>
    <w:rsid w:val="47FD4A05"/>
    <w:rsid w:val="481257DB"/>
    <w:rsid w:val="48402A51"/>
    <w:rsid w:val="487123E0"/>
    <w:rsid w:val="48CB6925"/>
    <w:rsid w:val="48E254E3"/>
    <w:rsid w:val="49656870"/>
    <w:rsid w:val="49A10856"/>
    <w:rsid w:val="4A210409"/>
    <w:rsid w:val="4A736BF8"/>
    <w:rsid w:val="4A8218F9"/>
    <w:rsid w:val="4B1352A9"/>
    <w:rsid w:val="4B31495A"/>
    <w:rsid w:val="4B3D74C1"/>
    <w:rsid w:val="4BE9028E"/>
    <w:rsid w:val="4BE94B06"/>
    <w:rsid w:val="4C357668"/>
    <w:rsid w:val="4C503513"/>
    <w:rsid w:val="4C596654"/>
    <w:rsid w:val="4D1678EF"/>
    <w:rsid w:val="4EBC3EF5"/>
    <w:rsid w:val="4EEC68B2"/>
    <w:rsid w:val="4F392B9B"/>
    <w:rsid w:val="4F994A0F"/>
    <w:rsid w:val="4FF03193"/>
    <w:rsid w:val="4FF97D5B"/>
    <w:rsid w:val="510F6FF3"/>
    <w:rsid w:val="51417324"/>
    <w:rsid w:val="521468B3"/>
    <w:rsid w:val="521C3F67"/>
    <w:rsid w:val="52D723B2"/>
    <w:rsid w:val="53612DE6"/>
    <w:rsid w:val="54153B2A"/>
    <w:rsid w:val="541D77BD"/>
    <w:rsid w:val="54434E54"/>
    <w:rsid w:val="54444C5E"/>
    <w:rsid w:val="54B71354"/>
    <w:rsid w:val="54E447C7"/>
    <w:rsid w:val="55701C2A"/>
    <w:rsid w:val="559D2D4D"/>
    <w:rsid w:val="56312035"/>
    <w:rsid w:val="566A4013"/>
    <w:rsid w:val="567E7EB5"/>
    <w:rsid w:val="56897873"/>
    <w:rsid w:val="56D653C3"/>
    <w:rsid w:val="57276637"/>
    <w:rsid w:val="57AA2216"/>
    <w:rsid w:val="57D84F42"/>
    <w:rsid w:val="57F56196"/>
    <w:rsid w:val="581E0235"/>
    <w:rsid w:val="583D784D"/>
    <w:rsid w:val="58430452"/>
    <w:rsid w:val="5913345A"/>
    <w:rsid w:val="5A407735"/>
    <w:rsid w:val="5A4420E9"/>
    <w:rsid w:val="5A8D6BFD"/>
    <w:rsid w:val="5AEA6513"/>
    <w:rsid w:val="5B754EAE"/>
    <w:rsid w:val="5BC92FE2"/>
    <w:rsid w:val="5C187F3C"/>
    <w:rsid w:val="5C1B12E8"/>
    <w:rsid w:val="5D772B57"/>
    <w:rsid w:val="5DAF3045"/>
    <w:rsid w:val="5DB864EC"/>
    <w:rsid w:val="5E033A59"/>
    <w:rsid w:val="5F8A08C7"/>
    <w:rsid w:val="5FF81911"/>
    <w:rsid w:val="603622AE"/>
    <w:rsid w:val="609965FC"/>
    <w:rsid w:val="60C11ADB"/>
    <w:rsid w:val="60DC0432"/>
    <w:rsid w:val="60F26278"/>
    <w:rsid w:val="60FA77A8"/>
    <w:rsid w:val="616425BD"/>
    <w:rsid w:val="617E5D5F"/>
    <w:rsid w:val="61815B25"/>
    <w:rsid w:val="619607DF"/>
    <w:rsid w:val="61D4758A"/>
    <w:rsid w:val="625B0771"/>
    <w:rsid w:val="62A268BB"/>
    <w:rsid w:val="62D91D86"/>
    <w:rsid w:val="633E564D"/>
    <w:rsid w:val="6470257C"/>
    <w:rsid w:val="64C02546"/>
    <w:rsid w:val="64E268AD"/>
    <w:rsid w:val="65194AE2"/>
    <w:rsid w:val="6577337E"/>
    <w:rsid w:val="65914422"/>
    <w:rsid w:val="659E7E60"/>
    <w:rsid w:val="65E15826"/>
    <w:rsid w:val="66020763"/>
    <w:rsid w:val="666C7DEF"/>
    <w:rsid w:val="66D93A20"/>
    <w:rsid w:val="67152740"/>
    <w:rsid w:val="67550DBE"/>
    <w:rsid w:val="68241258"/>
    <w:rsid w:val="68654188"/>
    <w:rsid w:val="6A905372"/>
    <w:rsid w:val="6AAA66BD"/>
    <w:rsid w:val="6B227368"/>
    <w:rsid w:val="6B561170"/>
    <w:rsid w:val="6C2D5C19"/>
    <w:rsid w:val="6C5B408D"/>
    <w:rsid w:val="6D293AB8"/>
    <w:rsid w:val="6D732E5A"/>
    <w:rsid w:val="6D9B441B"/>
    <w:rsid w:val="6DBE538E"/>
    <w:rsid w:val="6E553249"/>
    <w:rsid w:val="6EAC575D"/>
    <w:rsid w:val="6EE97134"/>
    <w:rsid w:val="6F3B2C38"/>
    <w:rsid w:val="6FF04672"/>
    <w:rsid w:val="6FFF58CF"/>
    <w:rsid w:val="701B3AAA"/>
    <w:rsid w:val="705D7638"/>
    <w:rsid w:val="706F2B70"/>
    <w:rsid w:val="71876B0B"/>
    <w:rsid w:val="71C00BCE"/>
    <w:rsid w:val="71C5500F"/>
    <w:rsid w:val="723E400B"/>
    <w:rsid w:val="72580F09"/>
    <w:rsid w:val="7276287E"/>
    <w:rsid w:val="72A14B92"/>
    <w:rsid w:val="72AE160F"/>
    <w:rsid w:val="72B5273C"/>
    <w:rsid w:val="72D75E82"/>
    <w:rsid w:val="73695E9E"/>
    <w:rsid w:val="74221C9A"/>
    <w:rsid w:val="74604020"/>
    <w:rsid w:val="74846C36"/>
    <w:rsid w:val="7542223F"/>
    <w:rsid w:val="75EB4BA5"/>
    <w:rsid w:val="762E4504"/>
    <w:rsid w:val="76316D8C"/>
    <w:rsid w:val="764E542E"/>
    <w:rsid w:val="76A12B58"/>
    <w:rsid w:val="76C17980"/>
    <w:rsid w:val="76CB0669"/>
    <w:rsid w:val="776C5A44"/>
    <w:rsid w:val="779B402E"/>
    <w:rsid w:val="77A16947"/>
    <w:rsid w:val="77D724A8"/>
    <w:rsid w:val="7885526B"/>
    <w:rsid w:val="792D15E4"/>
    <w:rsid w:val="79645594"/>
    <w:rsid w:val="797B18FD"/>
    <w:rsid w:val="7A1C7560"/>
    <w:rsid w:val="7A6C46FD"/>
    <w:rsid w:val="7A784FAA"/>
    <w:rsid w:val="7A7D5F38"/>
    <w:rsid w:val="7B296605"/>
    <w:rsid w:val="7B7C688E"/>
    <w:rsid w:val="7BC50A86"/>
    <w:rsid w:val="7C981F95"/>
    <w:rsid w:val="7CC7057A"/>
    <w:rsid w:val="7D291FA0"/>
    <w:rsid w:val="7D334242"/>
    <w:rsid w:val="7E9F72B9"/>
    <w:rsid w:val="7EB03566"/>
    <w:rsid w:val="7EE21C55"/>
    <w:rsid w:val="7F1A56DC"/>
    <w:rsid w:val="7F273959"/>
    <w:rsid w:val="7F8570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uiPriority="99"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8"/>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4">
    <w:name w:val="heading 2"/>
    <w:basedOn w:val="1"/>
    <w:next w:val="1"/>
    <w:link w:val="59"/>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60"/>
    <w:qFormat/>
    <w:uiPriority w:val="99"/>
    <w:pPr>
      <w:keepNext/>
      <w:keepLines/>
      <w:spacing w:before="260" w:after="260" w:line="416" w:lineRule="auto"/>
      <w:outlineLvl w:val="2"/>
    </w:pPr>
    <w:rPr>
      <w:b/>
      <w:bCs/>
      <w:sz w:val="32"/>
      <w:szCs w:val="32"/>
    </w:rPr>
  </w:style>
  <w:style w:type="paragraph" w:styleId="6">
    <w:name w:val="heading 4"/>
    <w:basedOn w:val="1"/>
    <w:next w:val="1"/>
    <w:link w:val="61"/>
    <w:qFormat/>
    <w:uiPriority w:val="99"/>
    <w:pPr>
      <w:keepNext/>
      <w:keepLines/>
      <w:spacing w:line="360" w:lineRule="auto"/>
      <w:jc w:val="center"/>
      <w:outlineLvl w:val="3"/>
    </w:pPr>
    <w:rPr>
      <w:rFonts w:ascii="Cambria" w:hAnsi="Cambria" w:cs="Cambria"/>
      <w:b/>
      <w:bCs/>
      <w:sz w:val="28"/>
      <w:szCs w:val="28"/>
    </w:rPr>
  </w:style>
  <w:style w:type="paragraph" w:styleId="7">
    <w:name w:val="heading 5"/>
    <w:basedOn w:val="1"/>
    <w:next w:val="1"/>
    <w:link w:val="62"/>
    <w:qFormat/>
    <w:uiPriority w:val="99"/>
    <w:pPr>
      <w:keepNext/>
      <w:keepLines/>
      <w:spacing w:before="280" w:after="290" w:line="376" w:lineRule="auto"/>
      <w:outlineLvl w:val="4"/>
    </w:pPr>
    <w:rPr>
      <w:b/>
      <w:bCs/>
      <w:sz w:val="28"/>
      <w:szCs w:val="28"/>
    </w:rPr>
  </w:style>
  <w:style w:type="paragraph" w:styleId="8">
    <w:name w:val="heading 6"/>
    <w:basedOn w:val="1"/>
    <w:next w:val="1"/>
    <w:link w:val="63"/>
    <w:qFormat/>
    <w:uiPriority w:val="99"/>
    <w:pPr>
      <w:keepNext/>
      <w:keepLines/>
      <w:spacing w:before="240" w:after="64" w:line="316" w:lineRule="auto"/>
      <w:outlineLvl w:val="5"/>
    </w:pPr>
    <w:rPr>
      <w:rFonts w:ascii="Cambria" w:hAnsi="Cambria" w:cs="Cambria"/>
      <w:b/>
      <w:bCs/>
      <w:sz w:val="24"/>
      <w:szCs w:val="24"/>
    </w:rPr>
  </w:style>
  <w:style w:type="paragraph" w:styleId="9">
    <w:name w:val="heading 7"/>
    <w:basedOn w:val="1"/>
    <w:next w:val="1"/>
    <w:link w:val="64"/>
    <w:qFormat/>
    <w:uiPriority w:val="99"/>
    <w:pPr>
      <w:keepNext/>
      <w:keepLines/>
      <w:spacing w:before="240" w:after="64" w:line="316" w:lineRule="auto"/>
      <w:outlineLvl w:val="6"/>
    </w:pPr>
    <w:rPr>
      <w:rFonts w:ascii="Calibri" w:hAnsi="Calibri" w:cs="Calibri"/>
      <w:b/>
      <w:bCs/>
      <w:sz w:val="24"/>
      <w:szCs w:val="24"/>
    </w:rPr>
  </w:style>
  <w:style w:type="paragraph" w:styleId="10">
    <w:name w:val="heading 8"/>
    <w:basedOn w:val="1"/>
    <w:next w:val="1"/>
    <w:link w:val="65"/>
    <w:qFormat/>
    <w:uiPriority w:val="99"/>
    <w:pPr>
      <w:keepNext/>
      <w:keepLines/>
      <w:spacing w:before="240" w:after="64" w:line="316" w:lineRule="auto"/>
      <w:outlineLvl w:val="7"/>
    </w:pPr>
    <w:rPr>
      <w:rFonts w:ascii="Cambria" w:hAnsi="Cambria" w:cs="Cambria"/>
      <w:sz w:val="24"/>
      <w:szCs w:val="24"/>
    </w:rPr>
  </w:style>
  <w:style w:type="paragraph" w:styleId="11">
    <w:name w:val="heading 9"/>
    <w:basedOn w:val="1"/>
    <w:next w:val="1"/>
    <w:link w:val="66"/>
    <w:qFormat/>
    <w:uiPriority w:val="99"/>
    <w:pPr>
      <w:keepNext/>
      <w:keepLines/>
      <w:spacing w:before="240" w:after="64" w:line="316" w:lineRule="auto"/>
      <w:outlineLvl w:val="8"/>
    </w:pPr>
    <w:rPr>
      <w:rFonts w:ascii="Cambria" w:hAnsi="Cambria" w:cs="Cambria"/>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4"/>
    <w:qFormat/>
    <w:uiPriority w:val="99"/>
    <w:pPr>
      <w:spacing w:after="120" w:line="480" w:lineRule="auto"/>
      <w:ind w:left="420" w:leftChars="200"/>
    </w:pPr>
    <w:rPr>
      <w:rFonts w:ascii="Calibri" w:hAnsi="Calibri" w:cs="Calibri"/>
    </w:rPr>
  </w:style>
  <w:style w:type="paragraph" w:styleId="12">
    <w:name w:val="toc 7"/>
    <w:basedOn w:val="1"/>
    <w:next w:val="1"/>
    <w:semiHidden/>
    <w:qFormat/>
    <w:uiPriority w:val="99"/>
    <w:pPr>
      <w:adjustRightInd w:val="0"/>
      <w:spacing w:line="312" w:lineRule="atLeast"/>
      <w:ind w:left="1260"/>
      <w:jc w:val="left"/>
      <w:textAlignment w:val="baseline"/>
    </w:pPr>
    <w:rPr>
      <w:kern w:val="0"/>
      <w:sz w:val="18"/>
      <w:szCs w:val="18"/>
    </w:rPr>
  </w:style>
  <w:style w:type="paragraph" w:styleId="13">
    <w:name w:val="Note Heading"/>
    <w:basedOn w:val="1"/>
    <w:next w:val="1"/>
    <w:link w:val="67"/>
    <w:semiHidden/>
    <w:qFormat/>
    <w:uiPriority w:val="99"/>
    <w:pPr>
      <w:spacing w:beforeLines="20" w:afterLines="50"/>
      <w:jc w:val="center"/>
    </w:pPr>
    <w:rPr>
      <w:rFonts w:ascii="Calibri" w:hAnsi="Calibri" w:cs="Calibri"/>
      <w:kern w:val="0"/>
      <w:sz w:val="24"/>
      <w:szCs w:val="24"/>
    </w:rPr>
  </w:style>
  <w:style w:type="paragraph" w:styleId="14">
    <w:name w:val="Normal Indent"/>
    <w:basedOn w:val="1"/>
    <w:qFormat/>
    <w:uiPriority w:val="99"/>
    <w:pPr>
      <w:widowControl/>
      <w:ind w:firstLine="420"/>
      <w:jc w:val="left"/>
    </w:pPr>
    <w:rPr>
      <w:sz w:val="20"/>
      <w:szCs w:val="20"/>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Document Map"/>
    <w:basedOn w:val="1"/>
    <w:link w:val="68"/>
    <w:semiHidden/>
    <w:qFormat/>
    <w:uiPriority w:val="99"/>
    <w:pPr>
      <w:adjustRightInd w:val="0"/>
      <w:spacing w:line="312" w:lineRule="atLeast"/>
      <w:textAlignment w:val="baseline"/>
    </w:pPr>
    <w:rPr>
      <w:rFonts w:ascii="宋体" w:hAnsi="Calibri" w:cs="宋体"/>
      <w:kern w:val="0"/>
      <w:sz w:val="18"/>
      <w:szCs w:val="18"/>
    </w:rPr>
  </w:style>
  <w:style w:type="paragraph" w:styleId="17">
    <w:name w:val="annotation text"/>
    <w:basedOn w:val="1"/>
    <w:link w:val="69"/>
    <w:semiHidden/>
    <w:qFormat/>
    <w:uiPriority w:val="99"/>
    <w:pPr>
      <w:adjustRightInd w:val="0"/>
      <w:spacing w:line="312" w:lineRule="atLeast"/>
      <w:jc w:val="left"/>
      <w:textAlignment w:val="baseline"/>
    </w:pPr>
    <w:rPr>
      <w:rFonts w:ascii="Calibri" w:hAnsi="Calibri" w:cs="Calibri"/>
    </w:rPr>
  </w:style>
  <w:style w:type="paragraph" w:styleId="18">
    <w:name w:val="Salutation"/>
    <w:basedOn w:val="1"/>
    <w:next w:val="1"/>
    <w:link w:val="70"/>
    <w:semiHidden/>
    <w:qFormat/>
    <w:uiPriority w:val="99"/>
    <w:rPr>
      <w:rFonts w:ascii="Calibri" w:hAnsi="Calibri" w:cs="Calibri"/>
      <w:kern w:val="0"/>
      <w:sz w:val="24"/>
      <w:szCs w:val="24"/>
    </w:rPr>
  </w:style>
  <w:style w:type="paragraph" w:styleId="19">
    <w:name w:val="Body Text"/>
    <w:basedOn w:val="1"/>
    <w:next w:val="20"/>
    <w:link w:val="71"/>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0">
    <w:name w:val="Subtitle"/>
    <w:basedOn w:val="1"/>
    <w:next w:val="1"/>
    <w:link w:val="106"/>
    <w:qFormat/>
    <w:uiPriority w:val="99"/>
    <w:pPr>
      <w:spacing w:before="240" w:after="60" w:line="312" w:lineRule="auto"/>
      <w:jc w:val="center"/>
      <w:outlineLvl w:val="1"/>
    </w:pPr>
    <w:rPr>
      <w:rFonts w:ascii="Cambria" w:hAnsi="Cambria" w:cs="Cambria"/>
      <w:b/>
      <w:bCs/>
      <w:kern w:val="28"/>
      <w:sz w:val="32"/>
      <w:szCs w:val="32"/>
    </w:rPr>
  </w:style>
  <w:style w:type="paragraph" w:styleId="21">
    <w:name w:val="Body Text Indent"/>
    <w:basedOn w:val="1"/>
    <w:link w:val="72"/>
    <w:qFormat/>
    <w:uiPriority w:val="99"/>
    <w:pPr>
      <w:ind w:left="420" w:leftChars="200"/>
      <w:jc w:val="left"/>
    </w:pPr>
    <w:rPr>
      <w:rFonts w:ascii="Calibri" w:hAnsi="Calibri" w:cs="Calibri"/>
      <w:kern w:val="0"/>
      <w:sz w:val="24"/>
      <w:szCs w:val="24"/>
    </w:rPr>
  </w:style>
  <w:style w:type="paragraph" w:styleId="22">
    <w:name w:val="index 4"/>
    <w:basedOn w:val="1"/>
    <w:next w:val="1"/>
    <w:semiHidden/>
    <w:qFormat/>
    <w:uiPriority w:val="99"/>
    <w:pPr>
      <w:ind w:left="600" w:leftChars="600"/>
    </w:pPr>
  </w:style>
  <w:style w:type="paragraph" w:styleId="23">
    <w:name w:val="toc 5"/>
    <w:basedOn w:val="1"/>
    <w:next w:val="1"/>
    <w:semiHidden/>
    <w:qFormat/>
    <w:uiPriority w:val="99"/>
    <w:pPr>
      <w:adjustRightInd w:val="0"/>
      <w:spacing w:line="312" w:lineRule="atLeast"/>
      <w:ind w:left="840"/>
      <w:jc w:val="left"/>
      <w:textAlignment w:val="baseline"/>
    </w:pPr>
    <w:rPr>
      <w:kern w:val="0"/>
      <w:sz w:val="18"/>
      <w:szCs w:val="18"/>
    </w:rPr>
  </w:style>
  <w:style w:type="paragraph" w:styleId="24">
    <w:name w:val="toc 3"/>
    <w:basedOn w:val="1"/>
    <w:next w:val="1"/>
    <w:semiHidden/>
    <w:qFormat/>
    <w:uiPriority w:val="99"/>
    <w:pPr>
      <w:adjustRightInd w:val="0"/>
      <w:spacing w:line="312" w:lineRule="atLeast"/>
      <w:ind w:left="420"/>
      <w:jc w:val="left"/>
      <w:textAlignment w:val="baseline"/>
    </w:pPr>
    <w:rPr>
      <w:i/>
      <w:iCs/>
      <w:kern w:val="0"/>
      <w:sz w:val="20"/>
      <w:szCs w:val="20"/>
    </w:rPr>
  </w:style>
  <w:style w:type="paragraph" w:styleId="25">
    <w:name w:val="Plain Text"/>
    <w:basedOn w:val="1"/>
    <w:link w:val="73"/>
    <w:qFormat/>
    <w:uiPriority w:val="99"/>
    <w:rPr>
      <w:rFonts w:ascii="宋体" w:hAnsi="Courier New" w:cs="宋体"/>
      <w:kern w:val="0"/>
      <w:sz w:val="20"/>
      <w:szCs w:val="20"/>
    </w:rPr>
  </w:style>
  <w:style w:type="paragraph" w:styleId="26">
    <w:name w:val="toc 8"/>
    <w:basedOn w:val="1"/>
    <w:next w:val="1"/>
    <w:semiHidden/>
    <w:qFormat/>
    <w:uiPriority w:val="99"/>
    <w:pPr>
      <w:adjustRightInd w:val="0"/>
      <w:spacing w:line="312" w:lineRule="atLeast"/>
      <w:ind w:left="1470"/>
      <w:jc w:val="left"/>
      <w:textAlignment w:val="baseline"/>
    </w:pPr>
    <w:rPr>
      <w:kern w:val="0"/>
      <w:sz w:val="18"/>
      <w:szCs w:val="18"/>
    </w:rPr>
  </w:style>
  <w:style w:type="paragraph" w:styleId="27">
    <w:name w:val="Date"/>
    <w:basedOn w:val="1"/>
    <w:next w:val="1"/>
    <w:link w:val="100"/>
    <w:qFormat/>
    <w:uiPriority w:val="99"/>
    <w:pPr>
      <w:ind w:left="100" w:leftChars="2500"/>
    </w:pPr>
    <w:rPr>
      <w:rFonts w:ascii="Calibri" w:hAnsi="Calibri" w:cs="Calibri"/>
    </w:rPr>
  </w:style>
  <w:style w:type="paragraph" w:styleId="28">
    <w:name w:val="Balloon Text"/>
    <w:basedOn w:val="1"/>
    <w:link w:val="76"/>
    <w:semiHidden/>
    <w:qFormat/>
    <w:uiPriority w:val="99"/>
    <w:rPr>
      <w:rFonts w:ascii="Calibri" w:hAnsi="Calibri" w:cs="Calibri"/>
      <w:kern w:val="0"/>
      <w:sz w:val="18"/>
      <w:szCs w:val="18"/>
    </w:rPr>
  </w:style>
  <w:style w:type="paragraph" w:styleId="29">
    <w:name w:val="footer"/>
    <w:basedOn w:val="1"/>
    <w:link w:val="77"/>
    <w:qFormat/>
    <w:uiPriority w:val="99"/>
    <w:pPr>
      <w:tabs>
        <w:tab w:val="center" w:pos="4153"/>
        <w:tab w:val="right" w:pos="8306"/>
      </w:tabs>
      <w:snapToGrid w:val="0"/>
      <w:jc w:val="left"/>
    </w:pPr>
    <w:rPr>
      <w:rFonts w:ascii="Calibri" w:hAnsi="Calibri" w:cs="Calibri"/>
      <w:kern w:val="0"/>
      <w:sz w:val="18"/>
      <w:szCs w:val="18"/>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1">
    <w:name w:val="toc 1"/>
    <w:basedOn w:val="1"/>
    <w:next w:val="1"/>
    <w:semiHidden/>
    <w:qFormat/>
    <w:uiPriority w:val="99"/>
    <w:pPr>
      <w:adjustRightInd w:val="0"/>
      <w:spacing w:before="120" w:after="120" w:line="312" w:lineRule="atLeast"/>
      <w:jc w:val="left"/>
      <w:textAlignment w:val="baseline"/>
    </w:pPr>
    <w:rPr>
      <w:b/>
      <w:bCs/>
      <w:caps/>
      <w:kern w:val="0"/>
      <w:sz w:val="20"/>
      <w:szCs w:val="20"/>
    </w:rPr>
  </w:style>
  <w:style w:type="paragraph" w:styleId="32">
    <w:name w:val="toc 4"/>
    <w:basedOn w:val="1"/>
    <w:next w:val="1"/>
    <w:semiHidden/>
    <w:qFormat/>
    <w:uiPriority w:val="99"/>
    <w:pPr>
      <w:adjustRightInd w:val="0"/>
      <w:spacing w:line="312" w:lineRule="atLeast"/>
      <w:ind w:left="630"/>
      <w:jc w:val="left"/>
      <w:textAlignment w:val="baseline"/>
    </w:pPr>
    <w:rPr>
      <w:kern w:val="0"/>
      <w:sz w:val="18"/>
      <w:szCs w:val="18"/>
    </w:rPr>
  </w:style>
  <w:style w:type="paragraph" w:styleId="33">
    <w:name w:val="footnote text"/>
    <w:basedOn w:val="1"/>
    <w:link w:val="85"/>
    <w:semiHidden/>
    <w:qFormat/>
    <w:uiPriority w:val="99"/>
    <w:pPr>
      <w:adjustRightInd w:val="0"/>
      <w:spacing w:line="312" w:lineRule="atLeast"/>
      <w:jc w:val="left"/>
    </w:pPr>
    <w:rPr>
      <w:rFonts w:ascii="Calibri" w:hAnsi="Calibri" w:cs="Calibri"/>
      <w:sz w:val="18"/>
      <w:szCs w:val="18"/>
    </w:rPr>
  </w:style>
  <w:style w:type="paragraph" w:styleId="34">
    <w:name w:val="toc 6"/>
    <w:basedOn w:val="1"/>
    <w:next w:val="1"/>
    <w:semiHidden/>
    <w:qFormat/>
    <w:uiPriority w:val="99"/>
    <w:pPr>
      <w:adjustRightInd w:val="0"/>
      <w:spacing w:line="312" w:lineRule="atLeast"/>
      <w:ind w:left="1050"/>
      <w:jc w:val="left"/>
      <w:textAlignment w:val="baseline"/>
    </w:pPr>
    <w:rPr>
      <w:kern w:val="0"/>
      <w:sz w:val="18"/>
      <w:szCs w:val="18"/>
    </w:rPr>
  </w:style>
  <w:style w:type="paragraph" w:styleId="35">
    <w:name w:val="Body Text Indent 3"/>
    <w:basedOn w:val="1"/>
    <w:link w:val="81"/>
    <w:qFormat/>
    <w:uiPriority w:val="99"/>
    <w:pPr>
      <w:adjustRightInd w:val="0"/>
      <w:spacing w:line="360" w:lineRule="auto"/>
      <w:ind w:firstLine="480"/>
      <w:textAlignment w:val="baseline"/>
    </w:pPr>
    <w:rPr>
      <w:rFonts w:ascii="宋体" w:hAnsi="Calibri" w:cs="宋体"/>
      <w:kern w:val="0"/>
      <w:sz w:val="28"/>
      <w:szCs w:val="28"/>
    </w:rPr>
  </w:style>
  <w:style w:type="paragraph" w:styleId="36">
    <w:name w:val="toc 2"/>
    <w:basedOn w:val="1"/>
    <w:next w:val="1"/>
    <w:semiHidden/>
    <w:qFormat/>
    <w:uiPriority w:val="99"/>
    <w:pPr>
      <w:adjustRightInd w:val="0"/>
      <w:spacing w:line="312" w:lineRule="atLeast"/>
      <w:ind w:left="210"/>
      <w:jc w:val="left"/>
      <w:textAlignment w:val="baseline"/>
    </w:pPr>
    <w:rPr>
      <w:smallCaps/>
      <w:kern w:val="0"/>
      <w:sz w:val="20"/>
      <w:szCs w:val="20"/>
    </w:rPr>
  </w:style>
  <w:style w:type="paragraph" w:styleId="37">
    <w:name w:val="toc 9"/>
    <w:basedOn w:val="1"/>
    <w:next w:val="1"/>
    <w:semiHidden/>
    <w:qFormat/>
    <w:uiPriority w:val="99"/>
    <w:pPr>
      <w:adjustRightInd w:val="0"/>
      <w:spacing w:line="312" w:lineRule="atLeast"/>
      <w:ind w:left="1680"/>
      <w:jc w:val="left"/>
      <w:textAlignment w:val="baseline"/>
    </w:pPr>
    <w:rPr>
      <w:kern w:val="0"/>
      <w:sz w:val="18"/>
      <w:szCs w:val="18"/>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link w:val="82"/>
    <w:qFormat/>
    <w:uiPriority w:val="99"/>
    <w:pPr>
      <w:spacing w:before="240" w:after="60"/>
      <w:jc w:val="center"/>
      <w:outlineLvl w:val="0"/>
    </w:pPr>
    <w:rPr>
      <w:rFonts w:ascii="Arial" w:hAnsi="Arial" w:cs="Arial"/>
      <w:b/>
      <w:bCs/>
      <w:kern w:val="0"/>
      <w:sz w:val="44"/>
      <w:szCs w:val="44"/>
    </w:rPr>
  </w:style>
  <w:style w:type="paragraph" w:styleId="40">
    <w:name w:val="annotation subject"/>
    <w:basedOn w:val="17"/>
    <w:next w:val="17"/>
    <w:link w:val="83"/>
    <w:semiHidden/>
    <w:qFormat/>
    <w:uiPriority w:val="99"/>
    <w:rPr>
      <w:b/>
      <w:bCs/>
      <w:kern w:val="0"/>
      <w:sz w:val="20"/>
      <w:szCs w:val="20"/>
    </w:rPr>
  </w:style>
  <w:style w:type="paragraph" w:styleId="41">
    <w:name w:val="Body Text First Indent"/>
    <w:basedOn w:val="19"/>
    <w:qFormat/>
    <w:locked/>
    <w:uiPriority w:val="0"/>
    <w:pPr>
      <w:adjustRightInd/>
      <w:spacing w:after="120" w:line="240" w:lineRule="auto"/>
      <w:ind w:firstLine="420" w:firstLineChars="100"/>
      <w:jc w:val="both"/>
    </w:pPr>
    <w:rPr>
      <w:rFonts w:ascii="Times New Roman"/>
      <w:szCs w:val="24"/>
    </w:rPr>
  </w:style>
  <w:style w:type="table" w:styleId="43">
    <w:name w:val="Table Grid"/>
    <w:basedOn w:val="4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99"/>
    <w:rPr>
      <w:b/>
      <w:bCs/>
    </w:rPr>
  </w:style>
  <w:style w:type="character" w:styleId="46">
    <w:name w:val="page number"/>
    <w:basedOn w:val="44"/>
    <w:qFormat/>
    <w:uiPriority w:val="99"/>
  </w:style>
  <w:style w:type="character" w:styleId="47">
    <w:name w:val="FollowedHyperlink"/>
    <w:basedOn w:val="44"/>
    <w:qFormat/>
    <w:uiPriority w:val="99"/>
    <w:rPr>
      <w:color w:val="auto"/>
      <w:u w:val="none"/>
    </w:rPr>
  </w:style>
  <w:style w:type="character" w:styleId="48">
    <w:name w:val="HTML Definition"/>
    <w:basedOn w:val="44"/>
    <w:qFormat/>
    <w:uiPriority w:val="99"/>
  </w:style>
  <w:style w:type="character" w:styleId="49">
    <w:name w:val="HTML Typewriter"/>
    <w:basedOn w:val="44"/>
    <w:qFormat/>
    <w:uiPriority w:val="99"/>
    <w:rPr>
      <w:rFonts w:ascii="monospace" w:hAnsi="monospace" w:eastAsia="Times New Roman" w:cs="monospace"/>
      <w:sz w:val="20"/>
      <w:szCs w:val="20"/>
    </w:rPr>
  </w:style>
  <w:style w:type="character" w:styleId="50">
    <w:name w:val="HTML Acronym"/>
    <w:basedOn w:val="44"/>
    <w:qFormat/>
    <w:uiPriority w:val="99"/>
  </w:style>
  <w:style w:type="character" w:styleId="51">
    <w:name w:val="HTML Variable"/>
    <w:basedOn w:val="44"/>
    <w:qFormat/>
    <w:uiPriority w:val="99"/>
  </w:style>
  <w:style w:type="character" w:styleId="52">
    <w:name w:val="Hyperlink"/>
    <w:basedOn w:val="44"/>
    <w:qFormat/>
    <w:uiPriority w:val="99"/>
    <w:rPr>
      <w:color w:val="auto"/>
      <w:u w:val="none"/>
    </w:rPr>
  </w:style>
  <w:style w:type="character" w:styleId="53">
    <w:name w:val="HTML Code"/>
    <w:basedOn w:val="44"/>
    <w:qFormat/>
    <w:uiPriority w:val="99"/>
    <w:rPr>
      <w:rFonts w:ascii="monospace" w:hAnsi="monospace" w:eastAsia="Times New Roman" w:cs="monospace"/>
      <w:sz w:val="20"/>
      <w:szCs w:val="20"/>
    </w:rPr>
  </w:style>
  <w:style w:type="character" w:styleId="54">
    <w:name w:val="annotation reference"/>
    <w:basedOn w:val="44"/>
    <w:semiHidden/>
    <w:qFormat/>
    <w:uiPriority w:val="99"/>
    <w:rPr>
      <w:sz w:val="21"/>
      <w:szCs w:val="21"/>
    </w:rPr>
  </w:style>
  <w:style w:type="character" w:styleId="55">
    <w:name w:val="HTML Cite"/>
    <w:basedOn w:val="44"/>
    <w:qFormat/>
    <w:uiPriority w:val="99"/>
  </w:style>
  <w:style w:type="character" w:styleId="56">
    <w:name w:val="HTML Keyboard"/>
    <w:basedOn w:val="44"/>
    <w:qFormat/>
    <w:uiPriority w:val="99"/>
    <w:rPr>
      <w:rFonts w:ascii="monospace" w:hAnsi="monospace" w:eastAsia="Times New Roman" w:cs="monospace"/>
      <w:sz w:val="20"/>
      <w:szCs w:val="20"/>
    </w:rPr>
  </w:style>
  <w:style w:type="character" w:styleId="57">
    <w:name w:val="HTML Sample"/>
    <w:basedOn w:val="44"/>
    <w:qFormat/>
    <w:uiPriority w:val="99"/>
    <w:rPr>
      <w:rFonts w:ascii="monospace" w:hAnsi="monospace" w:eastAsia="Times New Roman" w:cs="monospace"/>
    </w:rPr>
  </w:style>
  <w:style w:type="character" w:customStyle="1" w:styleId="58">
    <w:name w:val="标题 1 字符"/>
    <w:basedOn w:val="44"/>
    <w:link w:val="3"/>
    <w:qFormat/>
    <w:locked/>
    <w:uiPriority w:val="99"/>
    <w:rPr>
      <w:rFonts w:ascii="Times New Roman" w:hAnsi="Times New Roman" w:eastAsia="理德小标宋简" w:cs="Times New Roman"/>
      <w:b/>
      <w:bCs/>
      <w:kern w:val="44"/>
      <w:sz w:val="44"/>
      <w:szCs w:val="44"/>
    </w:rPr>
  </w:style>
  <w:style w:type="character" w:customStyle="1" w:styleId="59">
    <w:name w:val="标题 2 字符"/>
    <w:basedOn w:val="44"/>
    <w:link w:val="4"/>
    <w:qFormat/>
    <w:locked/>
    <w:uiPriority w:val="99"/>
    <w:rPr>
      <w:rFonts w:ascii="Cambria" w:hAnsi="Cambria" w:eastAsia="宋体" w:cs="Cambria"/>
      <w:b/>
      <w:bCs/>
      <w:sz w:val="32"/>
      <w:szCs w:val="32"/>
    </w:rPr>
  </w:style>
  <w:style w:type="character" w:customStyle="1" w:styleId="60">
    <w:name w:val="标题 3 字符"/>
    <w:basedOn w:val="44"/>
    <w:link w:val="5"/>
    <w:qFormat/>
    <w:locked/>
    <w:uiPriority w:val="99"/>
    <w:rPr>
      <w:rFonts w:ascii="Times New Roman" w:hAnsi="Times New Roman" w:eastAsia="宋体" w:cs="Times New Roman"/>
      <w:b/>
      <w:bCs/>
      <w:sz w:val="32"/>
      <w:szCs w:val="32"/>
    </w:rPr>
  </w:style>
  <w:style w:type="character" w:customStyle="1" w:styleId="61">
    <w:name w:val="标题 4 字符"/>
    <w:basedOn w:val="44"/>
    <w:link w:val="6"/>
    <w:qFormat/>
    <w:locked/>
    <w:uiPriority w:val="99"/>
    <w:rPr>
      <w:rFonts w:ascii="Cambria" w:hAnsi="Cambria" w:eastAsia="宋体" w:cs="Cambria"/>
      <w:b/>
      <w:bCs/>
      <w:sz w:val="36"/>
      <w:szCs w:val="36"/>
    </w:rPr>
  </w:style>
  <w:style w:type="character" w:customStyle="1" w:styleId="62">
    <w:name w:val="标题 5 字符"/>
    <w:basedOn w:val="44"/>
    <w:link w:val="7"/>
    <w:qFormat/>
    <w:locked/>
    <w:uiPriority w:val="99"/>
    <w:rPr>
      <w:rFonts w:ascii="Times New Roman" w:hAnsi="Times New Roman" w:eastAsia="宋体" w:cs="Times New Roman"/>
      <w:b/>
      <w:bCs/>
      <w:sz w:val="28"/>
      <w:szCs w:val="28"/>
    </w:rPr>
  </w:style>
  <w:style w:type="character" w:customStyle="1" w:styleId="63">
    <w:name w:val="标题 6 字符"/>
    <w:basedOn w:val="44"/>
    <w:link w:val="8"/>
    <w:qFormat/>
    <w:locked/>
    <w:uiPriority w:val="99"/>
    <w:rPr>
      <w:rFonts w:ascii="Cambria" w:hAnsi="Cambria" w:eastAsia="宋体" w:cs="Cambria"/>
      <w:b/>
      <w:bCs/>
      <w:sz w:val="24"/>
      <w:szCs w:val="24"/>
    </w:rPr>
  </w:style>
  <w:style w:type="character" w:customStyle="1" w:styleId="64">
    <w:name w:val="标题 7 字符"/>
    <w:basedOn w:val="44"/>
    <w:link w:val="9"/>
    <w:qFormat/>
    <w:locked/>
    <w:uiPriority w:val="99"/>
    <w:rPr>
      <w:rFonts w:ascii="Calibri" w:hAnsi="Calibri" w:eastAsia="宋体" w:cs="Calibri"/>
      <w:b/>
      <w:bCs/>
      <w:sz w:val="24"/>
      <w:szCs w:val="24"/>
    </w:rPr>
  </w:style>
  <w:style w:type="character" w:customStyle="1" w:styleId="65">
    <w:name w:val="标题 8 字符"/>
    <w:basedOn w:val="44"/>
    <w:link w:val="10"/>
    <w:qFormat/>
    <w:locked/>
    <w:uiPriority w:val="99"/>
    <w:rPr>
      <w:rFonts w:ascii="Cambria" w:hAnsi="Cambria" w:eastAsia="宋体" w:cs="Cambria"/>
      <w:sz w:val="24"/>
      <w:szCs w:val="24"/>
    </w:rPr>
  </w:style>
  <w:style w:type="character" w:customStyle="1" w:styleId="66">
    <w:name w:val="标题 9 字符"/>
    <w:basedOn w:val="44"/>
    <w:link w:val="11"/>
    <w:qFormat/>
    <w:locked/>
    <w:uiPriority w:val="99"/>
    <w:rPr>
      <w:rFonts w:ascii="Cambria" w:hAnsi="Cambria" w:eastAsia="宋体" w:cs="Cambria"/>
      <w:sz w:val="21"/>
      <w:szCs w:val="21"/>
    </w:rPr>
  </w:style>
  <w:style w:type="character" w:customStyle="1" w:styleId="67">
    <w:name w:val="注释标题 字符"/>
    <w:basedOn w:val="44"/>
    <w:link w:val="13"/>
    <w:semiHidden/>
    <w:qFormat/>
    <w:locked/>
    <w:uiPriority w:val="99"/>
    <w:rPr>
      <w:rFonts w:ascii="Times New Roman" w:hAnsi="Times New Roman" w:eastAsia="宋体" w:cs="Times New Roman"/>
    </w:rPr>
  </w:style>
  <w:style w:type="character" w:customStyle="1" w:styleId="68">
    <w:name w:val="文档结构图 字符"/>
    <w:basedOn w:val="44"/>
    <w:link w:val="16"/>
    <w:semiHidden/>
    <w:qFormat/>
    <w:locked/>
    <w:uiPriority w:val="99"/>
    <w:rPr>
      <w:rFonts w:ascii="宋体" w:hAnsi="Times New Roman" w:eastAsia="宋体" w:cs="宋体"/>
      <w:sz w:val="18"/>
      <w:szCs w:val="18"/>
    </w:rPr>
  </w:style>
  <w:style w:type="character" w:customStyle="1" w:styleId="69">
    <w:name w:val="批注文字 字符"/>
    <w:basedOn w:val="44"/>
    <w:link w:val="17"/>
    <w:semiHidden/>
    <w:qFormat/>
    <w:locked/>
    <w:uiPriority w:val="99"/>
    <w:rPr>
      <w:rFonts w:ascii="Times New Roman" w:hAnsi="Times New Roman" w:eastAsia="宋体" w:cs="Times New Roman"/>
    </w:rPr>
  </w:style>
  <w:style w:type="character" w:customStyle="1" w:styleId="70">
    <w:name w:val="称呼 字符"/>
    <w:basedOn w:val="44"/>
    <w:link w:val="18"/>
    <w:semiHidden/>
    <w:qFormat/>
    <w:locked/>
    <w:uiPriority w:val="99"/>
    <w:rPr>
      <w:rFonts w:ascii="Times New Roman" w:hAnsi="Times New Roman" w:eastAsia="宋体" w:cs="Times New Roman"/>
    </w:rPr>
  </w:style>
  <w:style w:type="character" w:customStyle="1" w:styleId="71">
    <w:name w:val="正文文本 字符"/>
    <w:basedOn w:val="44"/>
    <w:link w:val="19"/>
    <w:semiHidden/>
    <w:qFormat/>
    <w:locked/>
    <w:uiPriority w:val="99"/>
    <w:rPr>
      <w:rFonts w:ascii="Times New Roman" w:hAnsi="Times New Roman" w:eastAsia="宋体" w:cs="Times New Roman"/>
    </w:rPr>
  </w:style>
  <w:style w:type="character" w:customStyle="1" w:styleId="72">
    <w:name w:val="正文文本缩进 字符"/>
    <w:basedOn w:val="44"/>
    <w:link w:val="21"/>
    <w:semiHidden/>
    <w:qFormat/>
    <w:locked/>
    <w:uiPriority w:val="99"/>
    <w:rPr>
      <w:rFonts w:ascii="Times New Roman" w:hAnsi="Times New Roman" w:eastAsia="宋体" w:cs="Times New Roman"/>
    </w:rPr>
  </w:style>
  <w:style w:type="character" w:customStyle="1" w:styleId="73">
    <w:name w:val="纯文本 字符"/>
    <w:basedOn w:val="44"/>
    <w:link w:val="25"/>
    <w:semiHidden/>
    <w:qFormat/>
    <w:locked/>
    <w:uiPriority w:val="99"/>
    <w:rPr>
      <w:rFonts w:ascii="宋体" w:hAnsi="Courier New" w:eastAsia="宋体" w:cs="宋体"/>
      <w:sz w:val="21"/>
      <w:szCs w:val="21"/>
    </w:rPr>
  </w:style>
  <w:style w:type="character" w:customStyle="1" w:styleId="74">
    <w:name w:val="Date Char"/>
    <w:basedOn w:val="44"/>
    <w:semiHidden/>
    <w:qFormat/>
    <w:locked/>
    <w:uiPriority w:val="99"/>
    <w:rPr>
      <w:rFonts w:ascii="Times New Roman" w:hAnsi="Times New Roman" w:eastAsia="宋体" w:cs="Times New Roman"/>
    </w:rPr>
  </w:style>
  <w:style w:type="character" w:customStyle="1" w:styleId="75">
    <w:name w:val="Body Text Indent 2 Char"/>
    <w:basedOn w:val="44"/>
    <w:semiHidden/>
    <w:qFormat/>
    <w:locked/>
    <w:uiPriority w:val="99"/>
    <w:rPr>
      <w:rFonts w:ascii="Times New Roman" w:hAnsi="Times New Roman" w:eastAsia="宋体" w:cs="Times New Roman"/>
    </w:rPr>
  </w:style>
  <w:style w:type="character" w:customStyle="1" w:styleId="76">
    <w:name w:val="批注框文本 字符"/>
    <w:basedOn w:val="44"/>
    <w:link w:val="28"/>
    <w:semiHidden/>
    <w:qFormat/>
    <w:locked/>
    <w:uiPriority w:val="99"/>
    <w:rPr>
      <w:rFonts w:ascii="Times New Roman" w:hAnsi="Times New Roman" w:eastAsia="宋体" w:cs="Times New Roman"/>
      <w:sz w:val="18"/>
      <w:szCs w:val="18"/>
    </w:rPr>
  </w:style>
  <w:style w:type="character" w:customStyle="1" w:styleId="77">
    <w:name w:val="页脚 字符"/>
    <w:basedOn w:val="44"/>
    <w:link w:val="29"/>
    <w:semiHidden/>
    <w:qFormat/>
    <w:locked/>
    <w:uiPriority w:val="99"/>
    <w:rPr>
      <w:rFonts w:ascii="Times New Roman" w:hAnsi="Times New Roman" w:eastAsia="宋体" w:cs="Times New Roman"/>
      <w:sz w:val="18"/>
      <w:szCs w:val="18"/>
    </w:rPr>
  </w:style>
  <w:style w:type="character" w:customStyle="1" w:styleId="78">
    <w:name w:val="页眉 字符"/>
    <w:basedOn w:val="44"/>
    <w:link w:val="30"/>
    <w:semiHidden/>
    <w:qFormat/>
    <w:locked/>
    <w:uiPriority w:val="99"/>
    <w:rPr>
      <w:rFonts w:ascii="Times New Roman" w:hAnsi="Times New Roman" w:eastAsia="宋体" w:cs="Times New Roman"/>
      <w:sz w:val="18"/>
      <w:szCs w:val="18"/>
    </w:rPr>
  </w:style>
  <w:style w:type="character" w:customStyle="1" w:styleId="79">
    <w:name w:val="Subtitle Char"/>
    <w:basedOn w:val="44"/>
    <w:qFormat/>
    <w:locked/>
    <w:uiPriority w:val="99"/>
    <w:rPr>
      <w:rFonts w:ascii="Cambria" w:hAnsi="Cambria" w:eastAsia="宋体" w:cs="Cambria"/>
      <w:b/>
      <w:bCs/>
      <w:kern w:val="28"/>
      <w:sz w:val="32"/>
      <w:szCs w:val="32"/>
    </w:rPr>
  </w:style>
  <w:style w:type="character" w:customStyle="1" w:styleId="80">
    <w:name w:val="Footnote Text Char"/>
    <w:basedOn w:val="44"/>
    <w:semiHidden/>
    <w:qFormat/>
    <w:locked/>
    <w:uiPriority w:val="99"/>
    <w:rPr>
      <w:rFonts w:ascii="Times New Roman" w:hAnsi="Times New Roman" w:eastAsia="宋体" w:cs="Times New Roman"/>
      <w:sz w:val="18"/>
      <w:szCs w:val="18"/>
    </w:rPr>
  </w:style>
  <w:style w:type="character" w:customStyle="1" w:styleId="81">
    <w:name w:val="正文文本缩进 3 字符"/>
    <w:basedOn w:val="44"/>
    <w:link w:val="35"/>
    <w:semiHidden/>
    <w:qFormat/>
    <w:locked/>
    <w:uiPriority w:val="99"/>
    <w:rPr>
      <w:rFonts w:ascii="Times New Roman" w:hAnsi="Times New Roman" w:eastAsia="宋体" w:cs="Times New Roman"/>
      <w:sz w:val="16"/>
      <w:szCs w:val="16"/>
    </w:rPr>
  </w:style>
  <w:style w:type="character" w:customStyle="1" w:styleId="82">
    <w:name w:val="标题 字符"/>
    <w:basedOn w:val="44"/>
    <w:link w:val="39"/>
    <w:qFormat/>
    <w:locked/>
    <w:uiPriority w:val="99"/>
    <w:rPr>
      <w:rFonts w:ascii="Cambria" w:hAnsi="Cambria" w:eastAsia="宋体" w:cs="Cambria"/>
      <w:b/>
      <w:bCs/>
      <w:sz w:val="32"/>
      <w:szCs w:val="32"/>
    </w:rPr>
  </w:style>
  <w:style w:type="character" w:customStyle="1" w:styleId="83">
    <w:name w:val="批注主题 字符"/>
    <w:basedOn w:val="69"/>
    <w:link w:val="40"/>
    <w:semiHidden/>
    <w:qFormat/>
    <w:locked/>
    <w:uiPriority w:val="99"/>
    <w:rPr>
      <w:rFonts w:ascii="Times New Roman" w:hAnsi="Times New Roman" w:eastAsia="宋体" w:cs="Times New Roman"/>
      <w:b/>
      <w:bCs/>
    </w:rPr>
  </w:style>
  <w:style w:type="character" w:customStyle="1" w:styleId="84">
    <w:name w:val="正文文本 Char"/>
    <w:qFormat/>
    <w:uiPriority w:val="99"/>
    <w:rPr>
      <w:rFonts w:ascii="楷体_GB2312" w:eastAsia="楷体_GB2312" w:cs="楷体_GB2312"/>
      <w:b/>
      <w:bCs/>
      <w:sz w:val="48"/>
      <w:szCs w:val="48"/>
    </w:rPr>
  </w:style>
  <w:style w:type="character" w:customStyle="1" w:styleId="85">
    <w:name w:val="脚注文本 字符"/>
    <w:basedOn w:val="44"/>
    <w:link w:val="33"/>
    <w:qFormat/>
    <w:locked/>
    <w:uiPriority w:val="99"/>
    <w:rPr>
      <w:sz w:val="18"/>
      <w:szCs w:val="18"/>
    </w:rPr>
  </w:style>
  <w:style w:type="character" w:customStyle="1" w:styleId="86">
    <w:name w:val="明显引用 Char1"/>
    <w:basedOn w:val="44"/>
    <w:qFormat/>
    <w:locked/>
    <w:uiPriority w:val="99"/>
    <w:rPr>
      <w:b/>
      <w:bCs/>
      <w:i/>
      <w:iCs/>
      <w:color w:val="4F81BD"/>
    </w:rPr>
  </w:style>
  <w:style w:type="paragraph" w:styleId="87">
    <w:name w:val="Intense Quote"/>
    <w:basedOn w:val="1"/>
    <w:next w:val="1"/>
    <w:link w:val="88"/>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88">
    <w:name w:val="明显引用 字符"/>
    <w:basedOn w:val="44"/>
    <w:link w:val="87"/>
    <w:qFormat/>
    <w:locked/>
    <w:uiPriority w:val="99"/>
    <w:rPr>
      <w:rFonts w:ascii="Times New Roman" w:hAnsi="Times New Roman" w:eastAsia="宋体" w:cs="Times New Roman"/>
      <w:b/>
      <w:bCs/>
      <w:i/>
      <w:iCs/>
      <w:color w:val="4F81BD"/>
    </w:rPr>
  </w:style>
  <w:style w:type="character" w:customStyle="1" w:styleId="89">
    <w:name w:val="页眉 Char"/>
    <w:qFormat/>
    <w:uiPriority w:val="99"/>
    <w:rPr>
      <w:sz w:val="18"/>
      <w:szCs w:val="18"/>
    </w:rPr>
  </w:style>
  <w:style w:type="character" w:customStyle="1" w:styleId="90">
    <w:name w:val="批注框文本 Char"/>
    <w:qFormat/>
    <w:uiPriority w:val="99"/>
    <w:rPr>
      <w:sz w:val="18"/>
      <w:szCs w:val="18"/>
    </w:rPr>
  </w:style>
  <w:style w:type="character" w:customStyle="1" w:styleId="91">
    <w:name w:val="l2"/>
    <w:basedOn w:val="44"/>
    <w:qFormat/>
    <w:uiPriority w:val="99"/>
  </w:style>
  <w:style w:type="character" w:customStyle="1" w:styleId="92">
    <w:name w:val="文档结构图 Char"/>
    <w:qFormat/>
    <w:uiPriority w:val="99"/>
    <w:rPr>
      <w:rFonts w:ascii="宋体" w:cs="宋体"/>
      <w:sz w:val="18"/>
      <w:szCs w:val="18"/>
    </w:rPr>
  </w:style>
  <w:style w:type="character" w:customStyle="1" w:styleId="93">
    <w:name w:val="正文文本 Char1"/>
    <w:basedOn w:val="44"/>
    <w:qFormat/>
    <w:locked/>
    <w:uiPriority w:val="99"/>
    <w:rPr>
      <w:kern w:val="2"/>
      <w:sz w:val="22"/>
      <w:szCs w:val="22"/>
    </w:rPr>
  </w:style>
  <w:style w:type="character" w:customStyle="1" w:styleId="94">
    <w:name w:val="正文文本缩进 2 字符"/>
    <w:basedOn w:val="44"/>
    <w:link w:val="2"/>
    <w:qFormat/>
    <w:locked/>
    <w:uiPriority w:val="99"/>
    <w:rPr>
      <w:sz w:val="24"/>
      <w:szCs w:val="24"/>
    </w:rPr>
  </w:style>
  <w:style w:type="character" w:customStyle="1" w:styleId="95">
    <w:name w:val="正文文本缩进 2 Char"/>
    <w:basedOn w:val="44"/>
    <w:semiHidden/>
    <w:qFormat/>
    <w:uiPriority w:val="99"/>
    <w:rPr>
      <w:kern w:val="2"/>
      <w:sz w:val="22"/>
      <w:szCs w:val="22"/>
    </w:rPr>
  </w:style>
  <w:style w:type="character" w:customStyle="1" w:styleId="96">
    <w:name w:val="r2"/>
    <w:basedOn w:val="44"/>
    <w:qFormat/>
    <w:uiPriority w:val="99"/>
  </w:style>
  <w:style w:type="character" w:customStyle="1" w:styleId="97">
    <w:name w:val="批注主题 Char"/>
    <w:qFormat/>
    <w:uiPriority w:val="99"/>
    <w:rPr>
      <w:b/>
      <w:bCs/>
    </w:rPr>
  </w:style>
  <w:style w:type="character" w:customStyle="1" w:styleId="98">
    <w:name w:val="副标题 Char"/>
    <w:basedOn w:val="44"/>
    <w:qFormat/>
    <w:uiPriority w:val="99"/>
    <w:rPr>
      <w:rFonts w:ascii="Cambria" w:hAnsi="Cambria" w:cs="Cambria"/>
      <w:b/>
      <w:bCs/>
      <w:kern w:val="28"/>
      <w:sz w:val="32"/>
      <w:szCs w:val="32"/>
    </w:rPr>
  </w:style>
  <w:style w:type="character" w:customStyle="1" w:styleId="99">
    <w:name w:val="明显引用 Char"/>
    <w:basedOn w:val="44"/>
    <w:qFormat/>
    <w:uiPriority w:val="99"/>
    <w:rPr>
      <w:b/>
      <w:bCs/>
      <w:i/>
      <w:iCs/>
      <w:color w:val="4F81BD"/>
      <w:kern w:val="2"/>
      <w:sz w:val="22"/>
      <w:szCs w:val="22"/>
    </w:rPr>
  </w:style>
  <w:style w:type="character" w:customStyle="1" w:styleId="100">
    <w:name w:val="日期 字符"/>
    <w:basedOn w:val="44"/>
    <w:link w:val="27"/>
    <w:qFormat/>
    <w:locked/>
    <w:uiPriority w:val="99"/>
  </w:style>
  <w:style w:type="character" w:customStyle="1" w:styleId="101">
    <w:name w:val="引用 Char1"/>
    <w:basedOn w:val="44"/>
    <w:qFormat/>
    <w:locked/>
    <w:uiPriority w:val="99"/>
    <w:rPr>
      <w:i/>
      <w:iCs/>
      <w:color w:val="000000"/>
    </w:rPr>
  </w:style>
  <w:style w:type="paragraph" w:styleId="102">
    <w:name w:val="Quote"/>
    <w:basedOn w:val="1"/>
    <w:next w:val="1"/>
    <w:link w:val="103"/>
    <w:qFormat/>
    <w:uiPriority w:val="99"/>
    <w:rPr>
      <w:rFonts w:ascii="Calibri" w:hAnsi="Calibri" w:cs="Calibri"/>
      <w:i/>
      <w:iCs/>
      <w:color w:val="000000"/>
    </w:rPr>
  </w:style>
  <w:style w:type="character" w:customStyle="1" w:styleId="103">
    <w:name w:val="引用 字符"/>
    <w:basedOn w:val="44"/>
    <w:link w:val="102"/>
    <w:qFormat/>
    <w:locked/>
    <w:uiPriority w:val="99"/>
    <w:rPr>
      <w:rFonts w:ascii="Times New Roman" w:hAnsi="Times New Roman" w:eastAsia="宋体" w:cs="Times New Roman"/>
      <w:i/>
      <w:iCs/>
      <w:color w:val="000000"/>
    </w:rPr>
  </w:style>
  <w:style w:type="character" w:customStyle="1" w:styleId="104">
    <w:name w:val="注释标题 Char"/>
    <w:semiHidden/>
    <w:qFormat/>
    <w:uiPriority w:val="99"/>
    <w:rPr>
      <w:sz w:val="24"/>
      <w:szCs w:val="24"/>
    </w:rPr>
  </w:style>
  <w:style w:type="character" w:customStyle="1" w:styleId="105">
    <w:name w:val="正文文本缩进 3 Char"/>
    <w:qFormat/>
    <w:uiPriority w:val="99"/>
    <w:rPr>
      <w:rFonts w:ascii="宋体" w:cs="宋体"/>
      <w:sz w:val="28"/>
      <w:szCs w:val="28"/>
    </w:rPr>
  </w:style>
  <w:style w:type="character" w:customStyle="1" w:styleId="106">
    <w:name w:val="副标题 字符"/>
    <w:basedOn w:val="44"/>
    <w:link w:val="20"/>
    <w:qFormat/>
    <w:locked/>
    <w:uiPriority w:val="99"/>
    <w:rPr>
      <w:rFonts w:ascii="Cambria" w:hAnsi="Cambria" w:cs="Cambria"/>
      <w:b/>
      <w:bCs/>
      <w:kern w:val="28"/>
      <w:sz w:val="32"/>
      <w:szCs w:val="32"/>
    </w:rPr>
  </w:style>
  <w:style w:type="character" w:customStyle="1" w:styleId="107">
    <w:name w:val="称呼 Char"/>
    <w:semiHidden/>
    <w:qFormat/>
    <w:uiPriority w:val="99"/>
    <w:rPr>
      <w:sz w:val="24"/>
      <w:szCs w:val="24"/>
    </w:rPr>
  </w:style>
  <w:style w:type="character" w:customStyle="1" w:styleId="108">
    <w:name w:val="批注文字 Char"/>
    <w:qFormat/>
    <w:uiPriority w:val="99"/>
  </w:style>
  <w:style w:type="character" w:customStyle="1" w:styleId="109">
    <w:name w:val="纯文本 Char2"/>
    <w:qFormat/>
    <w:uiPriority w:val="99"/>
    <w:rPr>
      <w:rFonts w:ascii="宋体" w:hAnsi="Courier New" w:cs="宋体"/>
      <w:kern w:val="2"/>
      <w:sz w:val="21"/>
      <w:szCs w:val="21"/>
    </w:rPr>
  </w:style>
  <w:style w:type="character" w:customStyle="1" w:styleId="110">
    <w:name w:val="标题4 Char Char"/>
    <w:link w:val="111"/>
    <w:qFormat/>
    <w:locked/>
    <w:uiPriority w:val="99"/>
    <w:rPr>
      <w:rFonts w:ascii="Arial" w:hAnsi="Arial" w:cs="Arial"/>
      <w:b/>
      <w:bCs/>
      <w:sz w:val="32"/>
      <w:szCs w:val="32"/>
    </w:rPr>
  </w:style>
  <w:style w:type="paragraph" w:customStyle="1" w:styleId="111">
    <w:name w:val="标题4"/>
    <w:basedOn w:val="4"/>
    <w:next w:val="22"/>
    <w:link w:val="110"/>
    <w:qFormat/>
    <w:uiPriority w:val="99"/>
    <w:pPr>
      <w:spacing w:before="60" w:after="60" w:line="412" w:lineRule="auto"/>
    </w:pPr>
    <w:rPr>
      <w:rFonts w:ascii="Arial" w:hAnsi="Arial" w:cs="Arial"/>
      <w:kern w:val="0"/>
      <w:sz w:val="24"/>
      <w:szCs w:val="24"/>
    </w:rPr>
  </w:style>
  <w:style w:type="character" w:customStyle="1" w:styleId="112">
    <w:name w:val="标题5 Char Char"/>
    <w:link w:val="113"/>
    <w:qFormat/>
    <w:locked/>
    <w:uiPriority w:val="99"/>
    <w:rPr>
      <w:rFonts w:ascii="Arial" w:hAnsi="Arial" w:cs="Arial"/>
      <w:b/>
      <w:bCs/>
      <w:sz w:val="32"/>
      <w:szCs w:val="32"/>
    </w:rPr>
  </w:style>
  <w:style w:type="paragraph" w:customStyle="1" w:styleId="113">
    <w:name w:val="标题5"/>
    <w:basedOn w:val="5"/>
    <w:link w:val="112"/>
    <w:qFormat/>
    <w:uiPriority w:val="99"/>
    <w:pPr>
      <w:spacing w:line="412" w:lineRule="auto"/>
    </w:pPr>
    <w:rPr>
      <w:rFonts w:ascii="Arial" w:hAnsi="Arial" w:cs="Arial"/>
      <w:kern w:val="0"/>
      <w:sz w:val="24"/>
      <w:szCs w:val="24"/>
    </w:rPr>
  </w:style>
  <w:style w:type="character" w:customStyle="1" w:styleId="114">
    <w:name w:val="纯文本 Char"/>
    <w:qFormat/>
    <w:uiPriority w:val="99"/>
    <w:rPr>
      <w:rFonts w:ascii="宋体" w:hAnsi="Courier New" w:cs="宋体"/>
      <w:sz w:val="21"/>
      <w:szCs w:val="21"/>
    </w:rPr>
  </w:style>
  <w:style w:type="character" w:customStyle="1" w:styleId="115">
    <w:name w:val="页脚 Char"/>
    <w:qFormat/>
    <w:uiPriority w:val="99"/>
    <w:rPr>
      <w:sz w:val="18"/>
      <w:szCs w:val="18"/>
    </w:rPr>
  </w:style>
  <w:style w:type="character" w:customStyle="1" w:styleId="116">
    <w:name w:val="标题 Char"/>
    <w:qFormat/>
    <w:uiPriority w:val="99"/>
    <w:rPr>
      <w:rFonts w:ascii="Arial" w:hAnsi="Arial" w:cs="Arial"/>
      <w:b/>
      <w:bCs/>
      <w:sz w:val="32"/>
      <w:szCs w:val="32"/>
    </w:rPr>
  </w:style>
  <w:style w:type="character" w:customStyle="1" w:styleId="117">
    <w:name w:val="脚注文本 Char"/>
    <w:basedOn w:val="44"/>
    <w:semiHidden/>
    <w:qFormat/>
    <w:uiPriority w:val="99"/>
    <w:rPr>
      <w:kern w:val="2"/>
      <w:sz w:val="18"/>
      <w:szCs w:val="18"/>
    </w:rPr>
  </w:style>
  <w:style w:type="character" w:customStyle="1" w:styleId="118">
    <w:name w:val="正文文本缩进 Char"/>
    <w:qFormat/>
    <w:uiPriority w:val="99"/>
    <w:rPr>
      <w:sz w:val="24"/>
      <w:szCs w:val="24"/>
    </w:rPr>
  </w:style>
  <w:style w:type="character" w:customStyle="1" w:styleId="119">
    <w:name w:val="纯文本 Char1"/>
    <w:qFormat/>
    <w:uiPriority w:val="99"/>
    <w:rPr>
      <w:rFonts w:ascii="宋体" w:hAnsi="Courier New" w:eastAsia="宋体" w:cs="宋体"/>
      <w:sz w:val="20"/>
      <w:szCs w:val="20"/>
    </w:rPr>
  </w:style>
  <w:style w:type="character" w:customStyle="1" w:styleId="120">
    <w:name w:val="引用 Char"/>
    <w:basedOn w:val="44"/>
    <w:qFormat/>
    <w:uiPriority w:val="99"/>
    <w:rPr>
      <w:i/>
      <w:iCs/>
      <w:color w:val="000000"/>
      <w:kern w:val="2"/>
      <w:sz w:val="22"/>
      <w:szCs w:val="22"/>
    </w:rPr>
  </w:style>
  <w:style w:type="character" w:customStyle="1" w:styleId="121">
    <w:name w:val="普通文字 Char Char2"/>
    <w:qFormat/>
    <w:uiPriority w:val="99"/>
    <w:rPr>
      <w:rFonts w:ascii="宋体" w:hAnsi="Courier New" w:eastAsia="宋体" w:cs="宋体"/>
      <w:kern w:val="2"/>
      <w:sz w:val="21"/>
      <w:szCs w:val="21"/>
      <w:lang w:val="en-US" w:eastAsia="zh-CN"/>
    </w:rPr>
  </w:style>
  <w:style w:type="paragraph" w:customStyle="1" w:styleId="122">
    <w:name w:val="Table Paragraph"/>
    <w:basedOn w:val="1"/>
    <w:qFormat/>
    <w:uiPriority w:val="99"/>
    <w:pPr>
      <w:autoSpaceDE w:val="0"/>
      <w:autoSpaceDN w:val="0"/>
      <w:adjustRightInd w:val="0"/>
      <w:jc w:val="left"/>
    </w:pPr>
    <w:rPr>
      <w:rFonts w:ascii="黑体" w:eastAsia="黑体" w:cs="黑体"/>
      <w:kern w:val="0"/>
      <w:sz w:val="24"/>
      <w:szCs w:val="24"/>
    </w:rPr>
  </w:style>
  <w:style w:type="paragraph" w:customStyle="1" w:styleId="123">
    <w:name w:val="Level 1"/>
    <w:basedOn w:val="1"/>
    <w:next w:val="1"/>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24">
    <w:name w:val="Level 8"/>
    <w:basedOn w:val="1"/>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25">
    <w:name w:val="05 Body"/>
    <w:basedOn w:val="1"/>
    <w:qFormat/>
    <w:uiPriority w:val="99"/>
    <w:pPr>
      <w:widowControl/>
      <w:spacing w:line="290" w:lineRule="auto"/>
    </w:pPr>
    <w:rPr>
      <w:rFonts w:ascii="Arial" w:hAnsi="Arial" w:cs="Arial"/>
      <w:kern w:val="20"/>
      <w:sz w:val="24"/>
      <w:szCs w:val="24"/>
      <w:lang w:val="en-GB" w:eastAsia="en-US"/>
    </w:rPr>
  </w:style>
  <w:style w:type="paragraph" w:customStyle="1" w:styleId="126">
    <w:name w:val="Parties"/>
    <w:basedOn w:val="1"/>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27">
    <w:name w:val="Level 5"/>
    <w:basedOn w:val="128"/>
    <w:qFormat/>
    <w:uiPriority w:val="99"/>
    <w:pPr>
      <w:numPr>
        <w:ilvl w:val="4"/>
      </w:numPr>
      <w:tabs>
        <w:tab w:val="left" w:pos="1361"/>
      </w:tabs>
      <w:outlineLvl w:val="4"/>
    </w:pPr>
  </w:style>
  <w:style w:type="paragraph" w:customStyle="1" w:styleId="128">
    <w:name w:val="Level 4"/>
    <w:basedOn w:val="1"/>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29">
    <w:name w:val="Body"/>
    <w:basedOn w:val="1"/>
    <w:qFormat/>
    <w:uiPriority w:val="99"/>
    <w:pPr>
      <w:widowControl/>
      <w:spacing w:after="140" w:line="290" w:lineRule="auto"/>
    </w:pPr>
    <w:rPr>
      <w:rFonts w:ascii="Arial" w:hAnsi="Arial" w:cs="Arial"/>
      <w:kern w:val="20"/>
      <w:sz w:val="20"/>
      <w:szCs w:val="20"/>
      <w:lang w:val="en-GB" w:eastAsia="en-US"/>
    </w:rPr>
  </w:style>
  <w:style w:type="paragraph" w:customStyle="1" w:styleId="130">
    <w:name w:val="Char"/>
    <w:basedOn w:val="1"/>
    <w:qFormat/>
    <w:uiPriority w:val="99"/>
    <w:pPr>
      <w:snapToGrid w:val="0"/>
      <w:spacing w:line="440" w:lineRule="atLeast"/>
    </w:pPr>
    <w:rPr>
      <w:rFonts w:ascii="宋体" w:cs="宋体"/>
      <w:sz w:val="24"/>
      <w:szCs w:val="24"/>
    </w:rPr>
  </w:style>
  <w:style w:type="paragraph" w:customStyle="1" w:styleId="131">
    <w:name w:val="样式 标题 2 + Times New Roman 四号 非加粗 段前: 5 磅 段后: 0 磅 行距: 固定值 20..."/>
    <w:basedOn w:val="4"/>
    <w:next w:val="1"/>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2">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33">
    <w:name w:val="Level 6"/>
    <w:basedOn w:val="127"/>
    <w:qFormat/>
    <w:uiPriority w:val="99"/>
    <w:pPr>
      <w:numPr>
        <w:ilvl w:val="5"/>
      </w:numPr>
      <w:outlineLvl w:val="5"/>
    </w:pPr>
  </w:style>
  <w:style w:type="paragraph" w:customStyle="1" w:styleId="134">
    <w:name w:val="Level 7"/>
    <w:basedOn w:val="1"/>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35">
    <w:name w:val="WPSOffice手动目录 1"/>
    <w:qFormat/>
    <w:uiPriority w:val="99"/>
    <w:rPr>
      <w:rFonts w:ascii="Times New Roman" w:hAnsi="Times New Roman" w:eastAsia="宋体" w:cs="Times New Roman"/>
      <w:lang w:val="en-US" w:eastAsia="zh-CN" w:bidi="ar-SA"/>
    </w:rPr>
  </w:style>
  <w:style w:type="paragraph" w:customStyle="1" w:styleId="136">
    <w:name w:val="04 Recitals"/>
    <w:basedOn w:val="125"/>
    <w:qFormat/>
    <w:uiPriority w:val="99"/>
    <w:pPr>
      <w:numPr>
        <w:ilvl w:val="0"/>
        <w:numId w:val="4"/>
      </w:numPr>
    </w:pPr>
  </w:style>
  <w:style w:type="paragraph" w:customStyle="1" w:styleId="137">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3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9">
    <w:name w:val="02 Parties"/>
    <w:basedOn w:val="1"/>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40">
    <w:name w:val="修订1"/>
    <w:qFormat/>
    <w:uiPriority w:val="99"/>
    <w:rPr>
      <w:rFonts w:ascii="Times New Roman" w:hAnsi="Times New Roman" w:eastAsia="宋体" w:cs="Times New Roman"/>
      <w:kern w:val="2"/>
      <w:sz w:val="21"/>
      <w:szCs w:val="21"/>
      <w:lang w:val="en-US" w:eastAsia="zh-CN" w:bidi="ar-SA"/>
    </w:rPr>
  </w:style>
  <w:style w:type="paragraph" w:customStyle="1" w:styleId="141">
    <w:name w:val="Char Char Char Char Char Char Char"/>
    <w:basedOn w:val="1"/>
    <w:qFormat/>
    <w:uiPriority w:val="99"/>
    <w:rPr>
      <w:rFonts w:ascii="仿宋_GB2312" w:eastAsia="仿宋_GB2312" w:cs="仿宋_GB2312"/>
      <w:spacing w:val="-4"/>
      <w:sz w:val="32"/>
      <w:szCs w:val="32"/>
    </w:rPr>
  </w:style>
  <w:style w:type="paragraph" w:customStyle="1" w:styleId="142">
    <w:name w:val="Level 3"/>
    <w:basedOn w:val="1"/>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styleId="143">
    <w:name w:val="List Paragraph"/>
    <w:basedOn w:val="1"/>
    <w:qFormat/>
    <w:uiPriority w:val="99"/>
    <w:pPr>
      <w:ind w:firstLine="420" w:firstLineChars="200"/>
    </w:pPr>
  </w:style>
  <w:style w:type="paragraph" w:customStyle="1" w:styleId="144">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45">
    <w:name w:val="Level 2"/>
    <w:basedOn w:val="1"/>
    <w:next w:val="1"/>
    <w:qFormat/>
    <w:uiPriority w:val="99"/>
    <w:pPr>
      <w:numPr>
        <w:ilvl w:val="1"/>
        <w:numId w:val="2"/>
      </w:numPr>
      <w:spacing w:line="360" w:lineRule="auto"/>
      <w:outlineLvl w:val="1"/>
    </w:pPr>
    <w:rPr>
      <w:rFonts w:ascii="Arial" w:hAnsi="Arial" w:cs="Arial"/>
      <w:w w:val="105"/>
      <w:kern w:val="20"/>
      <w:sz w:val="24"/>
      <w:szCs w:val="24"/>
      <w:lang w:val="en-GB" w:eastAsia="en-US"/>
    </w:rPr>
  </w:style>
  <w:style w:type="paragraph" w:customStyle="1" w:styleId="146">
    <w:name w:val="PT-WZ"/>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47">
    <w:name w:val="Heading 81"/>
    <w:basedOn w:val="1"/>
    <w:qFormat/>
    <w:uiPriority w:val="99"/>
    <w:pPr>
      <w:autoSpaceDE w:val="0"/>
      <w:autoSpaceDN w:val="0"/>
      <w:ind w:left="765"/>
      <w:jc w:val="left"/>
      <w:outlineLvl w:val="8"/>
    </w:pPr>
    <w:rPr>
      <w:rFonts w:ascii="宋体" w:hAnsi="宋体" w:cs="宋体"/>
      <w:b/>
      <w:bCs/>
      <w:kern w:val="0"/>
      <w:lang w:val="zh-CN"/>
    </w:rPr>
  </w:style>
  <w:style w:type="paragraph" w:customStyle="1" w:styleId="148">
    <w:name w:val="标题 81"/>
    <w:basedOn w:val="1"/>
    <w:qFormat/>
    <w:uiPriority w:val="1"/>
    <w:pPr>
      <w:autoSpaceDE w:val="0"/>
      <w:autoSpaceDN w:val="0"/>
      <w:ind w:left="765"/>
      <w:jc w:val="left"/>
      <w:outlineLvl w:val="8"/>
    </w:pPr>
    <w:rPr>
      <w:rFonts w:ascii="宋体" w:hAnsi="宋体" w:cs="宋体"/>
      <w:b/>
      <w:bCs/>
      <w:kern w:val="0"/>
      <w:lang w:val="zh-CN" w:bidi="zh-CN"/>
    </w:rPr>
  </w:style>
  <w:style w:type="character" w:customStyle="1" w:styleId="149">
    <w:name w:val="fontstyle01"/>
    <w:qFormat/>
    <w:uiPriority w:val="0"/>
    <w:rPr>
      <w:rFonts w:hint="default" w:ascii="Times New Roman" w:hAnsi="Times New Roman" w:eastAsia="宋体" w:cs="Times New Roman"/>
      <w:color w:val="000000"/>
      <w:sz w:val="22"/>
      <w:szCs w:val="22"/>
    </w:rPr>
  </w:style>
  <w:style w:type="paragraph" w:customStyle="1" w:styleId="150">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1"/>
    <w:basedOn w:val="1"/>
    <w:next w:val="25"/>
    <w:qFormat/>
    <w:uiPriority w:val="0"/>
    <w:rPr>
      <w:rFonts w:ascii="宋体" w:hAnsi="Courier New"/>
      <w:szCs w:val="20"/>
    </w:rPr>
  </w:style>
  <w:style w:type="paragraph" w:customStyle="1" w:styleId="152">
    <w:name w:val="2"/>
    <w:basedOn w:val="1"/>
    <w:next w:val="25"/>
    <w:qFormat/>
    <w:uiPriority w:val="0"/>
    <w:rPr>
      <w:rFonts w:ascii="宋体" w:hAnsi="Courier New"/>
      <w:szCs w:val="20"/>
    </w:rPr>
  </w:style>
  <w:style w:type="paragraph" w:customStyle="1" w:styleId="153">
    <w:name w:val="标题 1_0"/>
    <w:basedOn w:val="154"/>
    <w:next w:val="154"/>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54">
    <w:name w:val="正文_2_0"/>
    <w:basedOn w:val="155"/>
    <w:qFormat/>
    <w:uiPriority w:val="0"/>
  </w:style>
  <w:style w:type="paragraph" w:customStyle="1" w:styleId="155">
    <w:name w:val="正文_3"/>
    <w:basedOn w:val="156"/>
    <w:qFormat/>
    <w:uiPriority w:val="0"/>
    <w:rPr>
      <w:rFonts w:cs="宋体"/>
      <w:szCs w:val="21"/>
    </w:rPr>
  </w:style>
  <w:style w:type="paragraph" w:customStyle="1" w:styleId="15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标题 4_0"/>
    <w:basedOn w:val="158"/>
    <w:next w:val="159"/>
    <w:qFormat/>
    <w:uiPriority w:val="0"/>
    <w:pPr>
      <w:keepNext/>
      <w:keepLines/>
      <w:spacing w:line="360" w:lineRule="auto"/>
      <w:outlineLvl w:val="3"/>
    </w:pPr>
    <w:rPr>
      <w:rFonts w:ascii="Arial" w:hAnsi="Arial"/>
      <w:b/>
      <w:bCs/>
      <w:szCs w:val="28"/>
    </w:rPr>
  </w:style>
  <w:style w:type="paragraph" w:customStyle="1" w:styleId="1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9">
    <w:name w:val="正文_2"/>
    <w:basedOn w:val="155"/>
    <w:next w:val="157"/>
    <w:qFormat/>
    <w:uiPriority w:val="0"/>
    <w:rPr>
      <w:szCs w:val="22"/>
    </w:rPr>
  </w:style>
  <w:style w:type="paragraph" w:customStyle="1" w:styleId="16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3">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6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59</Pages>
  <Words>30498</Words>
  <Characters>32674</Characters>
  <Lines>501</Lines>
  <Paragraphs>141</Paragraphs>
  <TotalTime>25</TotalTime>
  <ScaleCrop>false</ScaleCrop>
  <LinksUpToDate>false</LinksUpToDate>
  <CharactersWithSpaces>35528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2020-12-01T08:04:00Z</dcterms:created>
  <dc:creator>NTKO</dc:creator>
  <cp:lastModifiedBy> 沉默</cp:lastModifiedBy>
  <cp:lastPrinted>2020-11-05T07:48:00Z</cp:lastPrinted>
  <dcterms:modified xsi:type="dcterms:W3CDTF">2021-09-29T09:23:38Z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CB862374E0CE4CB0BE33C6EB14D42E1F</vt:lpwstr>
  </property>
</Properties>
</file>