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000000" w:themeColor="text1"/>
          <w14:textFill>
            <w14:solidFill>
              <w14:schemeClr w14:val="tx1"/>
            </w14:solidFill>
          </w14:textFill>
        </w:rPr>
      </w:pPr>
    </w:p>
    <w:p>
      <w:pPr>
        <w:pStyle w:val="25"/>
        <w:ind w:firstLine="5"/>
        <w:jc w:val="center"/>
        <w:rPr>
          <w:rFonts w:cs="Times New Roman"/>
          <w:color w:val="000000" w:themeColor="text1"/>
          <w:spacing w:val="30"/>
          <w:kern w:val="52"/>
          <w:sz w:val="52"/>
          <w:szCs w:val="52"/>
          <w14:textFill>
            <w14:solidFill>
              <w14:schemeClr w14:val="tx1"/>
            </w14:solidFill>
          </w14:textFill>
        </w:rPr>
      </w:pPr>
    </w:p>
    <w:p>
      <w:pPr>
        <w:pStyle w:val="25"/>
        <w:jc w:val="center"/>
        <w:rPr>
          <w:rFonts w:hAnsi="宋体"/>
          <w:b/>
          <w:bCs/>
          <w:color w:val="000000" w:themeColor="text1"/>
          <w:sz w:val="52"/>
          <w:szCs w:val="44"/>
          <w14:textFill>
            <w14:solidFill>
              <w14:schemeClr w14:val="tx1"/>
            </w14:solidFill>
          </w14:textFill>
        </w:rPr>
      </w:pPr>
      <w:r>
        <w:rPr>
          <w:rFonts w:hint="eastAsia" w:hAnsi="宋体"/>
          <w:b/>
          <w:bCs/>
          <w:color w:val="000000" w:themeColor="text1"/>
          <w:sz w:val="56"/>
          <w:szCs w:val="48"/>
          <w14:textFill>
            <w14:solidFill>
              <w14:schemeClr w14:val="tx1"/>
            </w14:solidFill>
          </w14:textFill>
        </w:rPr>
        <w:t>广西建展建设工程管理集团有限公司</w:t>
      </w:r>
    </w:p>
    <w:p>
      <w:pPr>
        <w:pStyle w:val="25"/>
        <w:tabs>
          <w:tab w:val="left" w:pos="0"/>
        </w:tabs>
        <w:jc w:val="center"/>
        <w:rPr>
          <w:rFonts w:ascii="华文新魏" w:hAnsi="Times New Roman" w:eastAsia="华文新魏"/>
          <w:b/>
          <w:color w:val="000000" w:themeColor="text1"/>
          <w:spacing w:val="90"/>
          <w:sz w:val="70"/>
          <w:szCs w:val="70"/>
          <w14:textFill>
            <w14:solidFill>
              <w14:schemeClr w14:val="tx1"/>
            </w14:solidFill>
          </w14:textFill>
        </w:rPr>
      </w:pPr>
    </w:p>
    <w:p>
      <w:pPr>
        <w:pStyle w:val="25"/>
        <w:tabs>
          <w:tab w:val="left" w:pos="0"/>
        </w:tabs>
        <w:jc w:val="center"/>
        <w:rPr>
          <w:rFonts w:ascii="华文新魏" w:hAnsi="Times New Roman" w:eastAsia="华文新魏"/>
          <w:b/>
          <w:color w:val="000000" w:themeColor="text1"/>
          <w:spacing w:val="90"/>
          <w:sz w:val="70"/>
          <w:szCs w:val="70"/>
          <w14:textFill>
            <w14:solidFill>
              <w14:schemeClr w14:val="tx1"/>
            </w14:solidFill>
          </w14:textFill>
        </w:rPr>
      </w:pPr>
    </w:p>
    <w:p>
      <w:pPr>
        <w:pStyle w:val="25"/>
        <w:tabs>
          <w:tab w:val="left" w:pos="0"/>
        </w:tabs>
        <w:jc w:val="center"/>
        <w:rPr>
          <w:rFonts w:ascii="华文新魏" w:hAnsi="Times New Roman" w:eastAsia="华文新魏"/>
          <w:b/>
          <w:color w:val="000000" w:themeColor="text1"/>
          <w:spacing w:val="90"/>
          <w:sz w:val="72"/>
          <w:szCs w:val="72"/>
          <w14:textFill>
            <w14:solidFill>
              <w14:schemeClr w14:val="tx1"/>
            </w14:solidFill>
          </w14:textFill>
        </w:rPr>
      </w:pPr>
      <w:r>
        <w:rPr>
          <w:rFonts w:hint="eastAsia" w:hAnsi="宋体"/>
          <w:b/>
          <w:bCs/>
          <w:color w:val="000000" w:themeColor="text1"/>
          <w:sz w:val="56"/>
          <w:szCs w:val="48"/>
          <w14:textFill>
            <w14:solidFill>
              <w14:schemeClr w14:val="tx1"/>
            </w14:solidFill>
          </w14:textFill>
        </w:rPr>
        <w:t>竞争性磋商文件</w:t>
      </w:r>
    </w:p>
    <w:p>
      <w:pPr>
        <w:pStyle w:val="25"/>
        <w:rPr>
          <w:rFonts w:hAnsi="宋体"/>
          <w:color w:val="000000" w:themeColor="text1"/>
          <w14:textFill>
            <w14:solidFill>
              <w14:schemeClr w14:val="tx1"/>
            </w14:solidFill>
          </w14:textFill>
        </w:rPr>
      </w:pPr>
    </w:p>
    <w:p>
      <w:pPr>
        <w:pStyle w:val="25"/>
        <w:rPr>
          <w:rFonts w:hAnsi="宋体"/>
          <w:color w:val="000000" w:themeColor="text1"/>
          <w14:textFill>
            <w14:solidFill>
              <w14:schemeClr w14:val="tx1"/>
            </w14:solidFill>
          </w14:textFill>
        </w:rPr>
      </w:pPr>
    </w:p>
    <w:p>
      <w:pPr>
        <w:pStyle w:val="25"/>
        <w:rPr>
          <w:rFonts w:hAnsi="宋体"/>
          <w:color w:val="000000" w:themeColor="text1"/>
          <w14:textFill>
            <w14:solidFill>
              <w14:schemeClr w14:val="tx1"/>
            </w14:solidFill>
          </w14:textFill>
        </w:rPr>
      </w:pPr>
    </w:p>
    <w:p>
      <w:pPr>
        <w:pStyle w:val="25"/>
        <w:rPr>
          <w:rFonts w:hAnsi="宋体"/>
          <w:color w:val="000000" w:themeColor="text1"/>
          <w14:textFill>
            <w14:solidFill>
              <w14:schemeClr w14:val="tx1"/>
            </w14:solidFill>
          </w14:textFill>
        </w:rPr>
      </w:pPr>
    </w:p>
    <w:p>
      <w:pPr>
        <w:pStyle w:val="25"/>
        <w:rPr>
          <w:rFonts w:hAnsi="宋体"/>
          <w:color w:val="000000" w:themeColor="text1"/>
          <w:u w:val="single"/>
          <w14:textFill>
            <w14:solidFill>
              <w14:schemeClr w14:val="tx1"/>
            </w14:solidFill>
          </w14:textFill>
        </w:rPr>
      </w:pPr>
    </w:p>
    <w:p>
      <w:pPr>
        <w:pStyle w:val="25"/>
        <w:rPr>
          <w:rFonts w:hAnsi="宋体"/>
          <w:color w:val="000000" w:themeColor="text1"/>
          <w:u w:val="single"/>
          <w14:textFill>
            <w14:solidFill>
              <w14:schemeClr w14:val="tx1"/>
            </w14:solidFill>
          </w14:textFill>
        </w:rPr>
      </w:pPr>
    </w:p>
    <w:p>
      <w:pPr>
        <w:pStyle w:val="25"/>
        <w:rPr>
          <w:rFonts w:hAnsi="宋体"/>
          <w:color w:val="000000" w:themeColor="text1"/>
          <w:u w:val="single"/>
          <w14:textFill>
            <w14:solidFill>
              <w14:schemeClr w14:val="tx1"/>
            </w14:solidFill>
          </w14:textFill>
        </w:rPr>
      </w:pPr>
    </w:p>
    <w:p>
      <w:pPr>
        <w:tabs>
          <w:tab w:val="left" w:pos="7665"/>
        </w:tabs>
        <w:ind w:left="2501" w:leftChars="400" w:hanging="1661" w:hangingChars="591"/>
        <w:rPr>
          <w:rFonts w:hint="eastAsia" w:ascii="宋体" w:hAnsi="宋体" w:eastAsia="宋体"/>
          <w:b/>
          <w:color w:val="000000" w:themeColor="text1"/>
          <w:sz w:val="28"/>
          <w:szCs w:val="36"/>
          <w:lang w:eastAsia="zh-CN"/>
          <w14:textFill>
            <w14:solidFill>
              <w14:schemeClr w14:val="tx1"/>
            </w14:solidFill>
          </w14:textFill>
        </w:rPr>
      </w:pPr>
      <w:r>
        <w:rPr>
          <w:rFonts w:hint="eastAsia" w:ascii="宋体" w:hAnsi="宋体"/>
          <w:b/>
          <w:color w:val="000000" w:themeColor="text1"/>
          <w:sz w:val="28"/>
          <w:szCs w:val="36"/>
          <w14:textFill>
            <w14:solidFill>
              <w14:schemeClr w14:val="tx1"/>
            </w14:solidFill>
          </w14:textFill>
        </w:rPr>
        <w:t>项目名称：</w:t>
      </w:r>
      <w:r>
        <w:rPr>
          <w:rFonts w:hint="eastAsia" w:ascii="宋体" w:hAnsi="宋体"/>
          <w:b/>
          <w:color w:val="000000" w:themeColor="text1"/>
          <w:sz w:val="28"/>
          <w:szCs w:val="36"/>
          <w:lang w:eastAsia="zh-CN"/>
          <w14:textFill>
            <w14:solidFill>
              <w14:schemeClr w14:val="tx1"/>
            </w14:solidFill>
          </w14:textFill>
        </w:rPr>
        <w:t>城区重大交通基础设施ppp项目（一期）工程可行性论证及“两评一案”编制服务</w:t>
      </w:r>
    </w:p>
    <w:p>
      <w:pPr>
        <w:ind w:firstLine="843" w:firstLineChars="300"/>
        <w:rPr>
          <w:rFonts w:hint="eastAsia" w:ascii="宋体" w:hAnsi="宋体" w:eastAsia="宋体"/>
          <w:b/>
          <w:color w:val="000000" w:themeColor="text1"/>
          <w:sz w:val="28"/>
          <w:szCs w:val="36"/>
          <w:lang w:eastAsia="zh-CN"/>
          <w14:textFill>
            <w14:solidFill>
              <w14:schemeClr w14:val="tx1"/>
            </w14:solidFill>
          </w14:textFill>
        </w:rPr>
      </w:pPr>
      <w:r>
        <w:rPr>
          <w:rFonts w:hint="eastAsia" w:ascii="宋体" w:hAnsi="宋体"/>
          <w:b/>
          <w:color w:val="000000" w:themeColor="text1"/>
          <w:sz w:val="28"/>
          <w:szCs w:val="36"/>
          <w14:textFill>
            <w14:solidFill>
              <w14:schemeClr w14:val="tx1"/>
            </w14:solidFill>
          </w14:textFill>
        </w:rPr>
        <w:t>项目编号：</w:t>
      </w:r>
      <w:r>
        <w:rPr>
          <w:rFonts w:hint="eastAsia" w:ascii="宋体" w:hAnsi="宋体"/>
          <w:b/>
          <w:color w:val="000000" w:themeColor="text1"/>
          <w:sz w:val="28"/>
          <w:szCs w:val="36"/>
          <w:lang w:eastAsia="zh-CN"/>
          <w14:textFill>
            <w14:solidFill>
              <w14:schemeClr w14:val="tx1"/>
            </w14:solidFill>
          </w14:textFill>
        </w:rPr>
        <w:t>GGZC2020-C3-04776-GXJZ</w:t>
      </w:r>
    </w:p>
    <w:p>
      <w:pPr>
        <w:rPr>
          <w:rFonts w:ascii="宋体" w:hAnsi="宋体"/>
          <w:b/>
          <w:color w:val="000000" w:themeColor="text1"/>
          <w:sz w:val="28"/>
          <w:szCs w:val="36"/>
          <w14:textFill>
            <w14:solidFill>
              <w14:schemeClr w14:val="tx1"/>
            </w14:solidFill>
          </w14:textFill>
        </w:rPr>
      </w:pPr>
    </w:p>
    <w:p>
      <w:pPr>
        <w:jc w:val="center"/>
        <w:rPr>
          <w:rFonts w:ascii="宋体" w:hAnsi="宋体"/>
          <w:b/>
          <w:bCs/>
          <w:color w:val="000000" w:themeColor="text1"/>
          <w:sz w:val="24"/>
          <w:szCs w:val="20"/>
          <w14:textFill>
            <w14:solidFill>
              <w14:schemeClr w14:val="tx1"/>
            </w14:solidFill>
          </w14:textFill>
        </w:rPr>
      </w:pPr>
    </w:p>
    <w:p>
      <w:pPr>
        <w:ind w:firstLine="843" w:firstLineChars="300"/>
        <w:rPr>
          <w:rFonts w:hint="eastAsia" w:ascii="宋体" w:hAnsi="宋体" w:eastAsia="宋体"/>
          <w:b/>
          <w:color w:val="000000" w:themeColor="text1"/>
          <w:sz w:val="28"/>
          <w:szCs w:val="36"/>
          <w:lang w:eastAsia="zh-CN"/>
          <w14:textFill>
            <w14:solidFill>
              <w14:schemeClr w14:val="tx1"/>
            </w14:solidFill>
          </w14:textFill>
        </w:rPr>
      </w:pPr>
      <w:r>
        <w:rPr>
          <w:rFonts w:hint="eastAsia" w:ascii="宋体" w:hAnsi="宋体"/>
          <w:b/>
          <w:color w:val="000000" w:themeColor="text1"/>
          <w:sz w:val="28"/>
          <w:szCs w:val="36"/>
          <w14:textFill>
            <w14:solidFill>
              <w14:schemeClr w14:val="tx1"/>
            </w14:solidFill>
          </w14:textFill>
        </w:rPr>
        <w:t>采购人：</w:t>
      </w:r>
      <w:r>
        <w:rPr>
          <w:rFonts w:hint="eastAsia" w:ascii="宋体" w:hAnsi="宋体"/>
          <w:b/>
          <w:color w:val="000000" w:themeColor="text1"/>
          <w:sz w:val="28"/>
          <w:szCs w:val="36"/>
          <w:lang w:eastAsia="zh-CN"/>
          <w14:textFill>
            <w14:solidFill>
              <w14:schemeClr w14:val="tx1"/>
            </w14:solidFill>
          </w14:textFill>
        </w:rPr>
        <w:t>贵港市财政局</w:t>
      </w:r>
    </w:p>
    <w:p>
      <w:pPr>
        <w:ind w:firstLine="843" w:firstLineChars="300"/>
        <w:rPr>
          <w:rFonts w:ascii="宋体" w:hAnsi="宋体"/>
          <w:b/>
          <w:color w:val="000000" w:themeColor="text1"/>
          <w:sz w:val="28"/>
          <w:szCs w:val="36"/>
          <w14:textFill>
            <w14:solidFill>
              <w14:schemeClr w14:val="tx1"/>
            </w14:solidFill>
          </w14:textFill>
        </w:rPr>
      </w:pPr>
      <w:r>
        <w:rPr>
          <w:rFonts w:hint="eastAsia" w:ascii="宋体" w:hAnsi="宋体"/>
          <w:b/>
          <w:color w:val="000000" w:themeColor="text1"/>
          <w:sz w:val="28"/>
          <w:szCs w:val="36"/>
          <w14:textFill>
            <w14:solidFill>
              <w14:schemeClr w14:val="tx1"/>
            </w14:solidFill>
          </w14:textFill>
        </w:rPr>
        <w:t>采购代理机构：广西建展建设工程管理集团有限公司</w:t>
      </w:r>
    </w:p>
    <w:p>
      <w:pPr>
        <w:ind w:firstLine="1470" w:firstLineChars="523"/>
        <w:rPr>
          <w:rFonts w:ascii="宋体" w:hAnsi="宋体"/>
          <w:b/>
          <w:color w:val="000000" w:themeColor="text1"/>
          <w:sz w:val="28"/>
          <w:szCs w:val="36"/>
          <w14:textFill>
            <w14:solidFill>
              <w14:schemeClr w14:val="tx1"/>
            </w14:solidFill>
          </w14:textFill>
        </w:rPr>
      </w:pPr>
    </w:p>
    <w:p>
      <w:pPr>
        <w:jc w:val="center"/>
        <w:rPr>
          <w:rFonts w:ascii="宋体" w:cs="宋体"/>
          <w:color w:val="000000" w:themeColor="text1"/>
          <w:sz w:val="30"/>
          <w:szCs w:val="30"/>
          <w14:textFill>
            <w14:solidFill>
              <w14:schemeClr w14:val="tx1"/>
            </w14:solidFill>
          </w14:textFill>
        </w:rPr>
      </w:pPr>
      <w:r>
        <w:rPr>
          <w:rFonts w:hint="eastAsia" w:ascii="宋体" w:hAnsi="宋体"/>
          <w:b/>
          <w:color w:val="000000" w:themeColor="text1"/>
          <w:sz w:val="28"/>
          <w:szCs w:val="36"/>
          <w14:textFill>
            <w14:solidFill>
              <w14:schemeClr w14:val="tx1"/>
            </w14:solidFill>
          </w14:textFill>
        </w:rPr>
        <w:t>2020年</w:t>
      </w:r>
      <w:r>
        <w:rPr>
          <w:rFonts w:hint="eastAsia" w:ascii="宋体" w:hAnsi="宋体"/>
          <w:b/>
          <w:color w:val="000000" w:themeColor="text1"/>
          <w:sz w:val="28"/>
          <w:szCs w:val="36"/>
          <w:lang w:val="en-US" w:eastAsia="zh-CN"/>
          <w14:textFill>
            <w14:solidFill>
              <w14:schemeClr w14:val="tx1"/>
            </w14:solidFill>
          </w14:textFill>
        </w:rPr>
        <w:t>11</w:t>
      </w:r>
      <w:r>
        <w:rPr>
          <w:rFonts w:hint="eastAsia" w:ascii="宋体" w:hAnsi="宋体"/>
          <w:b/>
          <w:color w:val="000000" w:themeColor="text1"/>
          <w:sz w:val="28"/>
          <w:szCs w:val="36"/>
          <w14:textFill>
            <w14:solidFill>
              <w14:schemeClr w14:val="tx1"/>
            </w14:solidFill>
          </w14:textFill>
        </w:rPr>
        <w:t>月</w:t>
      </w:r>
    </w:p>
    <w:p>
      <w:pPr>
        <w:pStyle w:val="5"/>
        <w:jc w:val="center"/>
        <w:rPr>
          <w:rFonts w:ascii="宋体" w:cs="宋体"/>
          <w:color w:val="000000" w:themeColor="text1"/>
          <w:sz w:val="52"/>
          <w:szCs w:val="52"/>
          <w14:textFill>
            <w14:solidFill>
              <w14:schemeClr w14:val="tx1"/>
            </w14:solidFill>
          </w14:textFill>
        </w:rPr>
        <w:sectPr>
          <w:headerReference r:id="rId3" w:type="default"/>
          <w:footerReference r:id="rId5" w:type="default"/>
          <w:headerReference r:id="rId4" w:type="even"/>
          <w:footerReference r:id="rId6" w:type="even"/>
          <w:pgSz w:w="11906" w:h="16838"/>
          <w:pgMar w:top="1134" w:right="1134" w:bottom="1134" w:left="1134" w:header="851" w:footer="567" w:gutter="0"/>
          <w:pgNumType w:start="0"/>
          <w:cols w:space="720" w:num="1"/>
          <w:titlePg/>
          <w:docGrid w:type="lines" w:linePitch="312" w:charSpace="0"/>
        </w:sectPr>
      </w:pPr>
    </w:p>
    <w:p>
      <w:pPr>
        <w:pStyle w:val="5"/>
        <w:jc w:val="center"/>
        <w:rPr>
          <w:rFonts w:ascii="宋体" w:cs="宋体"/>
          <w:color w:val="000000" w:themeColor="text1"/>
          <w:sz w:val="52"/>
          <w:szCs w:val="52"/>
          <w14:textFill>
            <w14:solidFill>
              <w14:schemeClr w14:val="tx1"/>
            </w14:solidFill>
          </w14:textFill>
        </w:rPr>
      </w:pPr>
      <w:r>
        <w:rPr>
          <w:rFonts w:hint="eastAsia" w:ascii="宋体" w:hAnsi="宋体" w:cs="宋体"/>
          <w:color w:val="000000" w:themeColor="text1"/>
          <w:sz w:val="52"/>
          <w:szCs w:val="52"/>
          <w14:textFill>
            <w14:solidFill>
              <w14:schemeClr w14:val="tx1"/>
            </w14:solidFill>
          </w14:textFill>
        </w:rPr>
        <w:t>目录</w:t>
      </w:r>
    </w:p>
    <w:p>
      <w:pPr>
        <w:pStyle w:val="139"/>
        <w:tabs>
          <w:tab w:val="right" w:leader="dot" w:pos="8364"/>
        </w:tabs>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"_Toc9128"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第一章竞争性磋商公告</w:t>
      </w:r>
      <w:r>
        <w:rPr>
          <w:rFonts w:ascii="宋体" w:hAnsi="宋体" w:cs="宋体"/>
          <w:color w:val="000000" w:themeColor="text1"/>
          <w:sz w:val="28"/>
          <w:szCs w:val="28"/>
          <w14:textFill>
            <w14:solidFill>
              <w14:schemeClr w14:val="tx1"/>
            </w14:solidFill>
          </w14:textFill>
        </w:rPr>
        <w:tab/>
      </w:r>
      <w:r>
        <w:rPr>
          <w:rFonts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fldChar w:fldCharType="end"/>
      </w:r>
    </w:p>
    <w:p>
      <w:pPr>
        <w:pStyle w:val="139"/>
        <w:tabs>
          <w:tab w:val="right" w:leader="dot" w:pos="8364"/>
        </w:tabs>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"_Toc22939"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第二章磋商须知及前附表</w:t>
      </w:r>
      <w:r>
        <w:rPr>
          <w:rFonts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fldChar w:fldCharType="end"/>
      </w:r>
    </w:p>
    <w:p>
      <w:pPr>
        <w:pStyle w:val="139"/>
        <w:tabs>
          <w:tab w:val="right" w:leader="dot" w:pos="8364"/>
        </w:tabs>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"_Toc19851"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第三章项目</w:t>
      </w:r>
      <w:bookmarkStart w:id="0" w:name="_Hlt515613175"/>
      <w:r>
        <w:rPr>
          <w:rFonts w:hint="eastAsia" w:ascii="宋体" w:hAnsi="宋体" w:cs="宋体"/>
          <w:color w:val="000000" w:themeColor="text1"/>
          <w:sz w:val="28"/>
          <w:szCs w:val="28"/>
          <w14:textFill>
            <w14:solidFill>
              <w14:schemeClr w14:val="tx1"/>
            </w14:solidFill>
          </w14:textFill>
        </w:rPr>
        <w:t>采</w:t>
      </w:r>
      <w:bookmarkEnd w:id="0"/>
      <w:r>
        <w:rPr>
          <w:rFonts w:hint="eastAsia" w:ascii="宋体" w:hAnsi="宋体" w:cs="宋体"/>
          <w:color w:val="000000" w:themeColor="text1"/>
          <w:sz w:val="28"/>
          <w:szCs w:val="28"/>
          <w14:textFill>
            <w14:solidFill>
              <w14:schemeClr w14:val="tx1"/>
            </w14:solidFill>
          </w14:textFill>
        </w:rPr>
        <w:t>购需求</w:t>
      </w:r>
      <w:r>
        <w:rPr>
          <w:rFonts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14:textFill>
            <w14:solidFill>
              <w14:schemeClr w14:val="tx1"/>
            </w14:solidFill>
          </w14:textFill>
        </w:rPr>
        <w:fldChar w:fldCharType="end"/>
      </w:r>
    </w:p>
    <w:p>
      <w:pPr>
        <w:pStyle w:val="139"/>
        <w:tabs>
          <w:tab w:val="right" w:leader="dot" w:pos="8364"/>
        </w:tabs>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"_Toc13906"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第四章合同书（参考格式）</w:t>
      </w:r>
      <w:r>
        <w:rPr>
          <w:rFonts w:ascii="宋体" w:hAnsi="宋体" w:cs="宋体"/>
          <w:color w:val="000000" w:themeColor="text1"/>
          <w:sz w:val="28"/>
          <w:szCs w:val="28"/>
          <w14:textFill>
            <w14:solidFill>
              <w14:schemeClr w14:val="tx1"/>
            </w14:solidFill>
          </w14:textFill>
        </w:rPr>
        <w:tab/>
      </w:r>
      <w:r>
        <w:rPr>
          <w:rFonts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14:textFill>
            <w14:solidFill>
              <w14:schemeClr w14:val="tx1"/>
            </w14:solidFill>
          </w14:textFill>
        </w:rPr>
        <w:t>3</w:t>
      </w:r>
    </w:p>
    <w:p>
      <w:pPr>
        <w:pStyle w:val="139"/>
        <w:tabs>
          <w:tab w:val="right" w:leader="dot" w:pos="8364"/>
        </w:tabs>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"_Toc23660"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第五章评标办法及评审标准</w:t>
      </w:r>
      <w:bookmarkStart w:id="1" w:name="_Hlt515613115"/>
      <w:r>
        <w:rPr>
          <w:rFonts w:ascii="宋体" w:hAnsi="宋体" w:cs="宋体"/>
          <w:color w:val="000000" w:themeColor="text1"/>
          <w:sz w:val="28"/>
          <w:szCs w:val="28"/>
          <w14:textFill>
            <w14:solidFill>
              <w14:schemeClr w14:val="tx1"/>
            </w14:solidFill>
          </w14:textFill>
        </w:rPr>
        <w:tab/>
      </w:r>
      <w:bookmarkEnd w:id="1"/>
      <w:r>
        <w:rPr>
          <w:rFonts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29</w:t>
      </w:r>
    </w:p>
    <w:p>
      <w:pPr>
        <w:pStyle w:val="139"/>
        <w:tabs>
          <w:tab w:val="right" w:leader="dot" w:pos="8364"/>
        </w:tabs>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"_Toc32321"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第六章</w:t>
      </w:r>
      <w:bookmarkStart w:id="2" w:name="_Hlt515613166"/>
      <w:r>
        <w:rPr>
          <w:rFonts w:hint="eastAsia" w:ascii="宋体" w:hAnsi="宋体" w:cs="宋体"/>
          <w:color w:val="000000" w:themeColor="text1"/>
          <w:sz w:val="28"/>
          <w:szCs w:val="28"/>
          <w14:textFill>
            <w14:solidFill>
              <w14:schemeClr w14:val="tx1"/>
            </w14:solidFill>
          </w14:textFill>
        </w:rPr>
        <w:t>竞</w:t>
      </w:r>
      <w:bookmarkEnd w:id="2"/>
      <w:r>
        <w:rPr>
          <w:rFonts w:hint="eastAsia" w:ascii="宋体" w:hAnsi="宋体" w:cs="宋体"/>
          <w:color w:val="000000" w:themeColor="text1"/>
          <w:sz w:val="28"/>
          <w:szCs w:val="28"/>
          <w14:textFill>
            <w14:solidFill>
              <w14:schemeClr w14:val="tx1"/>
            </w14:solidFill>
          </w14:textFill>
        </w:rPr>
        <w:t>争性磋商响应文件（格式）</w:t>
      </w:r>
      <w:bookmarkStart w:id="3" w:name="_Hlt515613132"/>
      <w:r>
        <w:rPr>
          <w:rFonts w:ascii="宋体" w:hAnsi="宋体" w:cs="宋体"/>
          <w:color w:val="000000" w:themeColor="text1"/>
          <w:sz w:val="28"/>
          <w:szCs w:val="28"/>
          <w14:textFill>
            <w14:solidFill>
              <w14:schemeClr w14:val="tx1"/>
            </w14:solidFill>
          </w14:textFill>
        </w:rPr>
        <w:tab/>
      </w:r>
      <w:bookmarkEnd w:id="3"/>
      <w:r>
        <w:rPr>
          <w:rFonts w:ascii="宋体" w:hAnsi="宋体" w:cs="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14:textFill>
            <w14:solidFill>
              <w14:schemeClr w14:val="tx1"/>
            </w14:solidFill>
          </w14:textFill>
        </w:rPr>
        <w:t>33</w:t>
      </w:r>
    </w:p>
    <w:p>
      <w:pPr>
        <w:pStyle w:val="139"/>
        <w:tabs>
          <w:tab w:val="right" w:leader="dot" w:pos="8364"/>
        </w:tabs>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"_Toc31750"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第七章附件</w:t>
      </w:r>
      <w:r>
        <w:rPr>
          <w:rFonts w:ascii="宋体" w:hAnsi="宋体" w:cs="宋体"/>
          <w:color w:val="000000" w:themeColor="text1"/>
          <w:sz w:val="28"/>
          <w:szCs w:val="28"/>
          <w14:textFill>
            <w14:solidFill>
              <w14:schemeClr w14:val="tx1"/>
            </w14:solidFill>
          </w14:textFill>
        </w:rPr>
        <w:tab/>
      </w:r>
      <w:r>
        <w:rPr>
          <w:rFonts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50</w:t>
      </w:r>
    </w:p>
    <w:p>
      <w:pPr>
        <w:rPr>
          <w:rFonts w:ascii="宋体" w:hAnsi="宋体" w:cs="宋体"/>
          <w:color w:val="000000" w:themeColor="text1"/>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br w:type="textWrapping"/>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41"/>
        <w:rPr>
          <w:rFonts w:ascii="宋体" w:cs="Times New Roman"/>
          <w:color w:val="000000" w:themeColor="text1"/>
          <w14:textFill>
            <w14:solidFill>
              <w14:schemeClr w14:val="tx1"/>
            </w14:solidFill>
          </w14:textFill>
        </w:rPr>
      </w:pPr>
      <w:bookmarkStart w:id="4" w:name="_Toc9128"/>
      <w:r>
        <w:rPr>
          <w:rFonts w:ascii="宋体" w:cs="Times New Roman"/>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第一章竞争性磋商公告</w:t>
      </w:r>
      <w:bookmarkEnd w:id="4"/>
    </w:p>
    <w:p>
      <w:pPr>
        <w:spacing w:line="400" w:lineRule="exact"/>
        <w:jc w:val="center"/>
        <w:rPr>
          <w:rFonts w:ascii="宋体" w:hAnsi="宋体" w:cs="宋体"/>
          <w:b/>
          <w:bCs/>
          <w:color w:val="000000" w:themeColor="text1"/>
          <w:sz w:val="30"/>
          <w:szCs w:val="30"/>
          <w14:textFill>
            <w14:solidFill>
              <w14:schemeClr w14:val="tx1"/>
            </w14:solidFill>
          </w14:textFill>
        </w:rPr>
      </w:pPr>
      <w:bookmarkStart w:id="5" w:name="_Toc22939"/>
      <w:r>
        <w:rPr>
          <w:rFonts w:hint="eastAsia" w:ascii="宋体" w:hAnsi="宋体" w:cs="宋体"/>
          <w:b/>
          <w:bCs/>
          <w:color w:val="000000" w:themeColor="text1"/>
          <w:sz w:val="30"/>
          <w:szCs w:val="30"/>
          <w14:textFill>
            <w14:solidFill>
              <w14:schemeClr w14:val="tx1"/>
            </w14:solidFill>
          </w14:textFill>
        </w:rPr>
        <w:t>广西建展建设工程管理集团有限公司</w:t>
      </w:r>
    </w:p>
    <w:p>
      <w:pPr>
        <w:spacing w:line="400" w:lineRule="exact"/>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关于</w:t>
      </w:r>
      <w:r>
        <w:rPr>
          <w:rFonts w:hint="eastAsia" w:ascii="宋体" w:hAnsi="宋体" w:cs="宋体"/>
          <w:b/>
          <w:bCs/>
          <w:color w:val="000000" w:themeColor="text1"/>
          <w:sz w:val="30"/>
          <w:szCs w:val="30"/>
          <w:lang w:eastAsia="zh-CN"/>
          <w14:textFill>
            <w14:solidFill>
              <w14:schemeClr w14:val="tx1"/>
            </w14:solidFill>
          </w14:textFill>
        </w:rPr>
        <w:t>城区重大交通基础设施ppp项目（一期）工程可行性论证及“两评一案”编制服务</w:t>
      </w:r>
      <w:r>
        <w:rPr>
          <w:rFonts w:hint="eastAsia" w:ascii="宋体" w:hAnsi="宋体" w:cs="宋体"/>
          <w:b/>
          <w:bCs/>
          <w:color w:val="000000" w:themeColor="text1"/>
          <w:sz w:val="30"/>
          <w:szCs w:val="30"/>
          <w14:textFill>
            <w14:solidFill>
              <w14:schemeClr w14:val="tx1"/>
            </w14:solidFill>
          </w14:textFill>
        </w:rPr>
        <w:t>（项目编号：</w:t>
      </w:r>
      <w:r>
        <w:rPr>
          <w:rFonts w:hint="eastAsia" w:ascii="宋体" w:hAnsi="宋体" w:cs="宋体"/>
          <w:b/>
          <w:bCs/>
          <w:color w:val="000000" w:themeColor="text1"/>
          <w:sz w:val="30"/>
          <w:szCs w:val="30"/>
          <w:lang w:eastAsia="zh-CN"/>
          <w14:textFill>
            <w14:solidFill>
              <w14:schemeClr w14:val="tx1"/>
            </w14:solidFill>
          </w14:textFill>
        </w:rPr>
        <w:t>GGZC2020-C3-04776-GXJZ</w:t>
      </w:r>
      <w:r>
        <w:rPr>
          <w:rFonts w:hint="eastAsia" w:ascii="宋体" w:hAnsi="宋体" w:cs="宋体"/>
          <w:b/>
          <w:bCs/>
          <w:color w:val="000000" w:themeColor="text1"/>
          <w:sz w:val="30"/>
          <w:szCs w:val="30"/>
          <w14:textFill>
            <w14:solidFill>
              <w14:schemeClr w14:val="tx1"/>
            </w14:solidFill>
          </w14:textFill>
        </w:rPr>
        <w:t>）</w:t>
      </w:r>
    </w:p>
    <w:p>
      <w:pPr>
        <w:spacing w:line="400" w:lineRule="exact"/>
        <w:jc w:val="center"/>
        <w:rPr>
          <w:rFonts w:asci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竞争性磋商公告</w:t>
      </w:r>
    </w:p>
    <w:p>
      <w:pPr>
        <w:spacing w:line="400" w:lineRule="exact"/>
        <w:rPr>
          <w:color w:val="000000" w:themeColor="text1"/>
          <w14:textFill>
            <w14:solidFill>
              <w14:schemeClr w14:val="tx1"/>
            </w14:solidFill>
          </w14:textFill>
        </w:rPr>
      </w:pPr>
      <w:r>
        <w:rPr>
          <w:rFonts w:hint="eastAsia"/>
          <w:b/>
          <w:bCs/>
          <w:color w:val="000000" w:themeColor="text1"/>
          <w:sz w:val="24"/>
          <w:szCs w:val="24"/>
          <w14:textFill>
            <w14:solidFill>
              <w14:schemeClr w14:val="tx1"/>
            </w14:solidFill>
          </w14:textFill>
        </w:rPr>
        <w:t>项目概况</w:t>
      </w:r>
    </w:p>
    <w:p>
      <w:pPr>
        <w:spacing w:line="40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城区重大交通基础设施ppp项目（一期）工程可行性论证及“两评一案”编制服务</w:t>
      </w:r>
      <w:r>
        <w:rPr>
          <w:rFonts w:hint="eastAsia" w:ascii="宋体" w:hAnsi="宋体" w:cs="宋体"/>
          <w:color w:val="000000" w:themeColor="text1"/>
          <w14:textFill>
            <w14:solidFill>
              <w14:schemeClr w14:val="tx1"/>
            </w14:solidFill>
          </w14:textFill>
        </w:rPr>
        <w:t>项目的潜在供应商应在贵港市政府采购网“供应商注册入口”完成账号注册后，登录政采云平台“项目采购—获取采购文件”模块自行下载采购文件，并于2020年</w:t>
      </w:r>
      <w:r>
        <w:rPr>
          <w:rFonts w:hint="eastAsia" w:ascii="宋体" w:hAnsi="宋体" w:cs="宋体"/>
          <w:color w:val="000000" w:themeColor="text1"/>
          <w:lang w:val="en-US" w:eastAsia="zh-CN"/>
          <w14:textFill>
            <w14:solidFill>
              <w14:schemeClr w14:val="tx1"/>
            </w14:solidFill>
          </w14:textFill>
        </w:rPr>
        <w:t>12</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日下午15点30分（北京时间）前提交响应文件</w:t>
      </w:r>
      <w:r>
        <w:rPr>
          <w:rFonts w:hint="eastAsia"/>
          <w:color w:val="000000" w:themeColor="text1"/>
          <w14:textFill>
            <w14:solidFill>
              <w14:schemeClr w14:val="tx1"/>
            </w14:solidFill>
          </w14:textFill>
        </w:rPr>
        <w:t>。</w:t>
      </w:r>
    </w:p>
    <w:p>
      <w:pPr>
        <w:spacing w:line="400" w:lineRule="exact"/>
        <w:rPr>
          <w:color w:val="000000" w:themeColor="text1"/>
          <w14:textFill>
            <w14:solidFill>
              <w14:schemeClr w14:val="tx1"/>
            </w14:solidFill>
          </w14:textFill>
        </w:rPr>
      </w:pPr>
      <w:bookmarkStart w:id="6" w:name="_Toc35393629"/>
      <w:bookmarkStart w:id="7" w:name="_Toc35393798"/>
      <w:bookmarkStart w:id="8" w:name="_Toc28359012"/>
      <w:bookmarkStart w:id="9" w:name="_Toc28359089"/>
      <w:r>
        <w:rPr>
          <w:rFonts w:hint="eastAsia"/>
          <w:b/>
          <w:bCs/>
          <w:color w:val="000000" w:themeColor="text1"/>
          <w:sz w:val="24"/>
          <w:szCs w:val="24"/>
          <w14:textFill>
            <w14:solidFill>
              <w14:schemeClr w14:val="tx1"/>
            </w14:solidFill>
          </w14:textFill>
        </w:rPr>
        <w:t>一、项目基本情况</w:t>
      </w:r>
      <w:bookmarkEnd w:id="6"/>
      <w:bookmarkEnd w:id="7"/>
      <w:bookmarkEnd w:id="8"/>
      <w:bookmarkEnd w:id="9"/>
    </w:p>
    <w:p>
      <w:pPr>
        <w:spacing w:line="400" w:lineRule="exact"/>
        <w:rPr>
          <w:rFonts w:hint="eastAsia" w:eastAsia="宋体"/>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GGZC2020-C3-04776-GXJZ</w:t>
      </w:r>
    </w:p>
    <w:p>
      <w:pPr>
        <w:spacing w:line="400" w:lineRule="exact"/>
        <w:rPr>
          <w:rFonts w:hint="eastAsia" w:eastAsia="宋体"/>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城区重大交通基础设施ppp项目（一期）工程可行性论证及“两评一案”编制服务</w:t>
      </w:r>
    </w:p>
    <w:p>
      <w:pPr>
        <w:spacing w:line="400" w:lineRule="exact"/>
        <w:rPr>
          <w:color w:val="000000" w:themeColor="text1"/>
          <w14:textFill>
            <w14:solidFill>
              <w14:schemeClr w14:val="tx1"/>
            </w14:solidFill>
          </w14:textFill>
        </w:rPr>
      </w:pPr>
      <w:r>
        <w:rPr>
          <w:rFonts w:hint="eastAsia"/>
          <w:b/>
          <w:bCs/>
          <w:color w:val="000000" w:themeColor="text1"/>
          <w14:textFill>
            <w14:solidFill>
              <w14:schemeClr w14:val="tx1"/>
            </w14:solidFill>
          </w14:textFill>
        </w:rPr>
        <w:t>采购方式：</w:t>
      </w:r>
      <w:r>
        <w:rPr>
          <w:rFonts w:hint="eastAsia"/>
          <w:color w:val="000000" w:themeColor="text1"/>
          <w14:textFill>
            <w14:solidFill>
              <w14:schemeClr w14:val="tx1"/>
            </w14:solidFill>
          </w14:textFill>
        </w:rPr>
        <w:t>竞争性磋商</w:t>
      </w:r>
    </w:p>
    <w:p>
      <w:pPr>
        <w:spacing w:line="400" w:lineRule="exact"/>
        <w:rPr>
          <w:rFonts w:hint="eastAsia" w:eastAsia="宋体"/>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预算金额：</w:t>
      </w:r>
      <w:r>
        <w:rPr>
          <w:rFonts w:hint="eastAsia"/>
          <w:color w:val="000000" w:themeColor="text1"/>
          <w:lang w:eastAsia="zh-CN"/>
          <w14:textFill>
            <w14:solidFill>
              <w14:schemeClr w14:val="tx1"/>
            </w14:solidFill>
          </w14:textFill>
        </w:rPr>
        <w:t>人民币壹佰柒拾万元整（￥1,700,000.00）</w:t>
      </w:r>
    </w:p>
    <w:p>
      <w:pPr>
        <w:spacing w:line="400" w:lineRule="exact"/>
        <w:rPr>
          <w:color w:val="000000" w:themeColor="text1"/>
          <w14:textFill>
            <w14:solidFill>
              <w14:schemeClr w14:val="tx1"/>
            </w14:solidFill>
          </w14:textFill>
        </w:rPr>
      </w:pPr>
      <w:r>
        <w:rPr>
          <w:rFonts w:hint="eastAsia"/>
          <w:b/>
          <w:bCs/>
          <w:color w:val="000000" w:themeColor="text1"/>
          <w14:textFill>
            <w14:solidFill>
              <w14:schemeClr w14:val="tx1"/>
            </w14:solidFill>
          </w14:textFill>
        </w:rPr>
        <w:t>采购需求：</w:t>
      </w:r>
      <w:r>
        <w:rPr>
          <w:rFonts w:hint="eastAsia"/>
          <w:color w:val="000000" w:themeColor="text1"/>
          <w:lang w:eastAsia="zh-CN"/>
          <w14:textFill>
            <w14:solidFill>
              <w14:schemeClr w14:val="tx1"/>
            </w14:solidFill>
          </w14:textFill>
        </w:rPr>
        <w:t>城区重大交通基础设施ppp项目（一期）工程可行性论证及“两评一案”编制服务</w:t>
      </w:r>
      <w:r>
        <w:rPr>
          <w:rFonts w:hint="eastAsia"/>
          <w:color w:val="000000" w:themeColor="text1"/>
          <w14:textFill>
            <w14:solidFill>
              <w14:schemeClr w14:val="tx1"/>
            </w14:solidFill>
          </w14:textFill>
        </w:rPr>
        <w:t>一项，详见竞争性磋商文件。</w:t>
      </w:r>
    </w:p>
    <w:p>
      <w:pPr>
        <w:spacing w:line="400" w:lineRule="exact"/>
        <w:rPr>
          <w:rFonts w:hint="eastAsia" w:eastAsia="宋体"/>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合同履行期限：</w:t>
      </w:r>
      <w:r>
        <w:rPr>
          <w:rFonts w:hint="eastAsia"/>
          <w:color w:val="000000" w:themeColor="text1"/>
          <w:lang w:eastAsia="zh-CN"/>
          <w14:textFill>
            <w14:solidFill>
              <w14:schemeClr w14:val="tx1"/>
            </w14:solidFill>
          </w14:textFill>
        </w:rPr>
        <w:t>自签订服务合同之日起6个月。</w:t>
      </w:r>
    </w:p>
    <w:p>
      <w:pPr>
        <w:spacing w:line="400" w:lineRule="exact"/>
        <w:rPr>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w:t>
      </w:r>
      <w:r>
        <w:rPr>
          <w:rFonts w:hint="eastAsia"/>
          <w:b/>
          <w:bCs/>
          <w:color w:val="000000" w:themeColor="text1"/>
          <w:lang w:val="en-US" w:eastAsia="zh-CN"/>
          <w14:textFill>
            <w14:solidFill>
              <w14:schemeClr w14:val="tx1"/>
            </w14:solidFill>
          </w14:textFill>
        </w:rPr>
        <w:t>不</w:t>
      </w:r>
      <w:r>
        <w:rPr>
          <w:rFonts w:hint="eastAsia"/>
          <w:b/>
          <w:bCs/>
          <w:color w:val="000000" w:themeColor="text1"/>
          <w14:textFill>
            <w14:solidFill>
              <w14:schemeClr w14:val="tx1"/>
            </w14:solidFill>
          </w14:textFill>
        </w:rPr>
        <w:t>接受联合体。</w:t>
      </w:r>
    </w:p>
    <w:p>
      <w:pPr>
        <w:spacing w:line="400" w:lineRule="exact"/>
        <w:rPr>
          <w:color w:val="000000" w:themeColor="text1"/>
          <w14:textFill>
            <w14:solidFill>
              <w14:schemeClr w14:val="tx1"/>
            </w14:solidFill>
          </w14:textFill>
        </w:rPr>
      </w:pPr>
      <w:bookmarkStart w:id="10" w:name="_Toc28359090"/>
      <w:bookmarkStart w:id="11" w:name="_Toc28359013"/>
      <w:bookmarkStart w:id="12" w:name="_Toc35393630"/>
      <w:bookmarkStart w:id="13" w:name="_Toc35393799"/>
      <w:r>
        <w:rPr>
          <w:rFonts w:hint="eastAsia"/>
          <w:b/>
          <w:bCs/>
          <w:color w:val="000000" w:themeColor="text1"/>
          <w:sz w:val="24"/>
          <w:szCs w:val="24"/>
          <w14:textFill>
            <w14:solidFill>
              <w14:schemeClr w14:val="tx1"/>
            </w14:solidFill>
          </w14:textFill>
        </w:rPr>
        <w:t>二、申请人的资格要求：</w:t>
      </w:r>
      <w:bookmarkEnd w:id="10"/>
      <w:bookmarkEnd w:id="11"/>
      <w:bookmarkEnd w:id="12"/>
      <w:bookmarkEnd w:id="13"/>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1、满足《中华人民共和国政府采购法》第二十二条规定；</w:t>
      </w:r>
    </w:p>
    <w:p>
      <w:pPr>
        <w:spacing w:line="400" w:lineRule="exact"/>
        <w:rPr>
          <w:color w:val="000000" w:themeColor="text1"/>
          <w14:textFill>
            <w14:solidFill>
              <w14:schemeClr w14:val="tx1"/>
            </w14:solidFill>
          </w14:textFill>
        </w:rPr>
      </w:pPr>
      <w:bookmarkStart w:id="14" w:name="_Toc28359091"/>
      <w:bookmarkStart w:id="15" w:name="_Toc28359014"/>
      <w:r>
        <w:rPr>
          <w:rFonts w:hint="eastAsia"/>
          <w:color w:val="000000" w:themeColor="text1"/>
          <w14:textFill>
            <w14:solidFill>
              <w14:schemeClr w14:val="tx1"/>
            </w14:solidFill>
          </w14:textFill>
        </w:rPr>
        <w:t>2、落实政府采购政策需满足的资格要求：</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（1）、《政府采购促进中小企业发展暂行办法》（财库[2011]181号）；</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（2）、《财政部、司法部关于政府采购支持监狱企业发展有关问题的通知》（财库〔2014〕68号）；</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（3）、《财政部民政部中国残疾人联合会关于促进残疾人就业政府采购政策的通知》（财库〔2017〕 141号）；</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（4）、财政部《环保总局关于环境标志产品政府采购实施的意见》（财库[2006]90号）；</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（5）、财政部国家发展改革委关于印发《节能产品政府采购实施意见》的通知（财库[2004]185号）等政府采购相关政策。</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3、本项目的特定资格要求：</w:t>
      </w:r>
      <w:bookmarkStart w:id="16" w:name="_Toc35393631"/>
      <w:bookmarkStart w:id="17" w:name="_Toc35393800"/>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本项目</w:t>
      </w:r>
      <w:r>
        <w:rPr>
          <w:rFonts w:hint="eastAsia" w:ascii="宋体" w:hAnsi="宋体" w:cs="宋体"/>
          <w:color w:val="000000" w:themeColor="text1"/>
          <w:kern w:val="0"/>
          <w:lang w:val="en-US" w:eastAsia="zh-CN"/>
          <w14:textFill>
            <w14:solidFill>
              <w14:schemeClr w14:val="tx1"/>
            </w14:solidFill>
          </w14:textFill>
        </w:rPr>
        <w:t>不</w:t>
      </w:r>
      <w:r>
        <w:rPr>
          <w:rFonts w:hint="eastAsia" w:ascii="宋体" w:hAnsi="宋体" w:cs="宋体"/>
          <w:color w:val="000000" w:themeColor="text1"/>
          <w:kern w:val="0"/>
          <w14:textFill>
            <w14:solidFill>
              <w14:schemeClr w14:val="tx1"/>
            </w14:solidFill>
          </w14:textFill>
        </w:rPr>
        <w:t>接受联合体磋商。</w:t>
      </w:r>
    </w:p>
    <w:p>
      <w:pPr>
        <w:spacing w:line="400" w:lineRule="exact"/>
        <w:rPr>
          <w:color w:val="000000" w:themeColor="text1"/>
          <w14:textFill>
            <w14:solidFill>
              <w14:schemeClr w14:val="tx1"/>
            </w14:solidFill>
          </w14:textFill>
        </w:rPr>
      </w:pPr>
      <w:r>
        <w:rPr>
          <w:rFonts w:hint="eastAsia"/>
          <w:b/>
          <w:bCs/>
          <w:color w:val="000000" w:themeColor="text1"/>
          <w:sz w:val="24"/>
          <w:szCs w:val="24"/>
          <w14:textFill>
            <w14:solidFill>
              <w14:schemeClr w14:val="tx1"/>
            </w14:solidFill>
          </w14:textFill>
        </w:rPr>
        <w:t>三、获取采购文件</w:t>
      </w:r>
      <w:bookmarkEnd w:id="14"/>
      <w:bookmarkEnd w:id="15"/>
      <w:bookmarkEnd w:id="16"/>
      <w:bookmarkEnd w:id="17"/>
    </w:p>
    <w:p>
      <w:pPr>
        <w:spacing w:line="400" w:lineRule="exact"/>
        <w:ind w:firstLine="420" w:firstLineChars="20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时间：2020年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27</w:t>
      </w:r>
      <w:r>
        <w:rPr>
          <w:rFonts w:hint="eastAsia"/>
          <w:color w:val="000000" w:themeColor="text1"/>
          <w14:textFill>
            <w14:solidFill>
              <w14:schemeClr w14:val="tx1"/>
            </w14:solidFill>
          </w14:textFill>
        </w:rPr>
        <w:t>日至</w:t>
      </w:r>
      <w:r>
        <w:rPr>
          <w:rFonts w:hint="eastAsia"/>
          <w:color w:val="000000" w:themeColor="text1"/>
          <w:lang w:val="en-US" w:eastAsia="zh-CN"/>
          <w14:textFill>
            <w14:solidFill>
              <w14:schemeClr w14:val="tx1"/>
            </w14:solidFill>
          </w14:textFill>
        </w:rPr>
        <w:t>磋商文件递交的截止之日止</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地点：地点：http://zfcg.czj.gxgg.gov.cn（贵港市政府采购网）；</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方式：供应商通过贵港市政府采购网“供应商注册入口”完成账号注册后，登录政采云平台“项目采购—获取采购文件”模块自行下载采购文件；</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售价：0元。</w:t>
      </w:r>
    </w:p>
    <w:p>
      <w:pPr>
        <w:spacing w:line="400" w:lineRule="exact"/>
        <w:rPr>
          <w:color w:val="000000" w:themeColor="text1"/>
          <w14:textFill>
            <w14:solidFill>
              <w14:schemeClr w14:val="tx1"/>
            </w14:solidFill>
          </w14:textFill>
        </w:rPr>
      </w:pPr>
      <w:bookmarkStart w:id="18" w:name="_Toc35393632"/>
      <w:bookmarkStart w:id="19" w:name="_Toc35393801"/>
      <w:bookmarkStart w:id="20" w:name="_Toc28359015"/>
      <w:bookmarkStart w:id="21" w:name="_Toc28359092"/>
      <w:r>
        <w:rPr>
          <w:rFonts w:hint="eastAsia"/>
          <w:b/>
          <w:bCs/>
          <w:color w:val="000000" w:themeColor="text1"/>
          <w:sz w:val="24"/>
          <w:szCs w:val="24"/>
          <w14:textFill>
            <w14:solidFill>
              <w14:schemeClr w14:val="tx1"/>
            </w14:solidFill>
          </w14:textFill>
        </w:rPr>
        <w:t>四、响应文件提交</w:t>
      </w:r>
      <w:bookmarkEnd w:id="18"/>
      <w:bookmarkEnd w:id="19"/>
      <w:bookmarkEnd w:id="20"/>
      <w:bookmarkEnd w:id="21"/>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截止时间：2020年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日下午15点30分（北京时间）参加磋商的法定代表人或委托代理人必须持有效证件，法定代表人凭身份证、营业执照复印件或委托代理人凭法人授权委托书原件和身份证、营业执照复印件依时到达指定地点等候当面磋商。</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地点：贵港市公共资源交易中心（贵港市港北区金城商业步行街与金田路交叉口东南150米水利大厦）</w:t>
      </w:r>
    </w:p>
    <w:p>
      <w:pPr>
        <w:spacing w:line="400" w:lineRule="exact"/>
        <w:rPr>
          <w:b/>
          <w:bCs/>
          <w:color w:val="000000" w:themeColor="text1"/>
          <w:sz w:val="24"/>
          <w:szCs w:val="24"/>
          <w14:textFill>
            <w14:solidFill>
              <w14:schemeClr w14:val="tx1"/>
            </w14:solidFill>
          </w14:textFill>
        </w:rPr>
      </w:pPr>
      <w:bookmarkStart w:id="22" w:name="_Toc35393802"/>
      <w:bookmarkStart w:id="23" w:name="_Toc35393633"/>
      <w:bookmarkStart w:id="24" w:name="_Toc28359016"/>
      <w:bookmarkStart w:id="25" w:name="_Toc28359093"/>
      <w:r>
        <w:rPr>
          <w:rFonts w:hint="eastAsia"/>
          <w:b/>
          <w:bCs/>
          <w:color w:val="000000" w:themeColor="text1"/>
          <w:sz w:val="24"/>
          <w:szCs w:val="24"/>
          <w14:textFill>
            <w14:solidFill>
              <w14:schemeClr w14:val="tx1"/>
            </w14:solidFill>
          </w14:textFill>
        </w:rPr>
        <w:t>五、开启</w:t>
      </w:r>
      <w:bookmarkEnd w:id="22"/>
      <w:bookmarkEnd w:id="23"/>
      <w:bookmarkEnd w:id="24"/>
      <w:bookmarkEnd w:id="25"/>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时间：2020年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日下午15点30分（北京时间）</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地点：贵港市公共资源交易中心（贵港市港北区金城商业步行街与金田路交叉口东南150米水利大厦）</w:t>
      </w:r>
    </w:p>
    <w:p>
      <w:pPr>
        <w:spacing w:line="400" w:lineRule="exact"/>
        <w:rPr>
          <w:color w:val="000000" w:themeColor="text1"/>
          <w14:textFill>
            <w14:solidFill>
              <w14:schemeClr w14:val="tx1"/>
            </w14:solidFill>
          </w14:textFill>
        </w:rPr>
      </w:pPr>
      <w:bookmarkStart w:id="26" w:name="_Toc28359094"/>
      <w:bookmarkStart w:id="27" w:name="_Toc35393634"/>
      <w:bookmarkStart w:id="28" w:name="_Toc35393803"/>
      <w:bookmarkStart w:id="29" w:name="_Toc28359017"/>
      <w:r>
        <w:rPr>
          <w:rFonts w:hint="eastAsia"/>
          <w:b/>
          <w:bCs/>
          <w:color w:val="000000" w:themeColor="text1"/>
          <w:sz w:val="24"/>
          <w:szCs w:val="24"/>
          <w14:textFill>
            <w14:solidFill>
              <w14:schemeClr w14:val="tx1"/>
            </w14:solidFill>
          </w14:textFill>
        </w:rPr>
        <w:t>六、公告期限</w:t>
      </w:r>
      <w:bookmarkEnd w:id="26"/>
      <w:bookmarkEnd w:id="27"/>
      <w:bookmarkEnd w:id="28"/>
      <w:bookmarkEnd w:id="29"/>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自本公告发布之日起5个工作日。</w:t>
      </w:r>
    </w:p>
    <w:p>
      <w:pPr>
        <w:spacing w:line="400" w:lineRule="exact"/>
        <w:rPr>
          <w:color w:val="000000" w:themeColor="text1"/>
          <w14:textFill>
            <w14:solidFill>
              <w14:schemeClr w14:val="tx1"/>
            </w14:solidFill>
          </w14:textFill>
        </w:rPr>
      </w:pPr>
      <w:bookmarkStart w:id="30" w:name="_Toc35393635"/>
      <w:bookmarkStart w:id="31" w:name="_Toc35393804"/>
      <w:r>
        <w:rPr>
          <w:rFonts w:hint="eastAsia"/>
          <w:b/>
          <w:bCs/>
          <w:color w:val="000000" w:themeColor="text1"/>
          <w:sz w:val="24"/>
          <w:szCs w:val="24"/>
          <w14:textFill>
            <w14:solidFill>
              <w14:schemeClr w14:val="tx1"/>
            </w14:solidFill>
          </w14:textFill>
        </w:rPr>
        <w:t>七、其他补充事宜</w:t>
      </w:r>
      <w:bookmarkEnd w:id="30"/>
      <w:bookmarkEnd w:id="31"/>
    </w:p>
    <w:p>
      <w:pPr>
        <w:spacing w:line="400" w:lineRule="exact"/>
        <w:rPr>
          <w:rFonts w:ascii="宋体" w:hAnsi="宋体"/>
          <w:color w:val="000000" w:themeColor="text1"/>
          <w14:textFill>
            <w14:solidFill>
              <w14:schemeClr w14:val="tx1"/>
            </w14:solidFill>
          </w14:textFill>
        </w:rPr>
      </w:pPr>
      <w:bookmarkStart w:id="32" w:name="_Toc28359018"/>
      <w:bookmarkStart w:id="33" w:name="_Toc28359095"/>
      <w:bookmarkStart w:id="34" w:name="_Toc35393805"/>
      <w:bookmarkStart w:id="35" w:name="_Toc35393636"/>
      <w:r>
        <w:rPr>
          <w:rFonts w:hint="eastAsia" w:ascii="宋体" w:hAnsi="宋体"/>
          <w:b/>
          <w:color w:val="000000" w:themeColor="text1"/>
          <w14:textFill>
            <w14:solidFill>
              <w14:schemeClr w14:val="tx1"/>
            </w14:solidFill>
          </w14:textFill>
        </w:rPr>
        <w:t>磋商保证金(人民币)</w:t>
      </w:r>
      <w:r>
        <w:rPr>
          <w:rFonts w:hint="eastAsia" w:ascii="宋体" w:hAnsi="宋体"/>
          <w:color w:val="000000" w:themeColor="text1"/>
          <w14:textFill>
            <w14:solidFill>
              <w14:schemeClr w14:val="tx1"/>
            </w14:solidFill>
          </w14:textFill>
        </w:rPr>
        <w:t>：</w:t>
      </w:r>
      <w:r>
        <w:rPr>
          <w:rFonts w:hint="eastAsia" w:ascii="宋体" w:hAnsi="宋体"/>
          <w:b/>
          <w:color w:val="000000" w:themeColor="text1"/>
          <w:lang w:val="en-US" w:eastAsia="zh-CN"/>
          <w14:textFill>
            <w14:solidFill>
              <w14:schemeClr w14:val="tx1"/>
            </w14:solidFill>
          </w14:textFill>
        </w:rPr>
        <w:t>无</w:t>
      </w:r>
    </w:p>
    <w:p>
      <w:pPr>
        <w:spacing w:line="400" w:lineRule="exact"/>
        <w:rPr>
          <w:color w:val="000000" w:themeColor="text1"/>
          <w14:textFill>
            <w14:solidFill>
              <w14:schemeClr w14:val="tx1"/>
            </w14:solidFill>
          </w14:textFill>
        </w:rPr>
      </w:pPr>
      <w:r>
        <w:rPr>
          <w:rFonts w:hint="eastAsia"/>
          <w:b/>
          <w:bCs/>
          <w:color w:val="000000" w:themeColor="text1"/>
          <w:sz w:val="24"/>
          <w:szCs w:val="24"/>
          <w14:textFill>
            <w14:solidFill>
              <w14:schemeClr w14:val="tx1"/>
            </w14:solidFill>
          </w14:textFill>
        </w:rPr>
        <w:t>八、凡对本次采购提出询问，请按以下方式联系。</w:t>
      </w:r>
      <w:bookmarkEnd w:id="32"/>
      <w:bookmarkEnd w:id="33"/>
      <w:bookmarkEnd w:id="34"/>
      <w:bookmarkEnd w:id="35"/>
    </w:p>
    <w:p>
      <w:pPr>
        <w:spacing w:line="400" w:lineRule="exact"/>
        <w:rPr>
          <w:color w:val="000000" w:themeColor="text1"/>
          <w14:textFill>
            <w14:solidFill>
              <w14:schemeClr w14:val="tx1"/>
            </w14:solidFill>
          </w14:textFill>
        </w:rPr>
      </w:pPr>
      <w:bookmarkStart w:id="36" w:name="_Toc35393637"/>
      <w:bookmarkStart w:id="37" w:name="_Toc28359019"/>
      <w:bookmarkStart w:id="38" w:name="_Toc35393806"/>
      <w:bookmarkStart w:id="39" w:name="_Toc28359096"/>
      <w:r>
        <w:rPr>
          <w:rFonts w:hint="eastAsia" w:ascii="宋体" w:hAnsi="宋体" w:cs="宋体"/>
          <w:b/>
          <w:bCs/>
          <w:color w:val="000000" w:themeColor="text1"/>
          <w:sz w:val="22"/>
          <w:szCs w:val="22"/>
          <w14:textFill>
            <w14:solidFill>
              <w14:schemeClr w14:val="tx1"/>
            </w14:solidFill>
          </w14:textFill>
        </w:rPr>
        <w:t>1.采购人信息</w:t>
      </w:r>
      <w:bookmarkEnd w:id="36"/>
      <w:bookmarkEnd w:id="37"/>
      <w:bookmarkEnd w:id="38"/>
      <w:bookmarkEnd w:id="39"/>
    </w:p>
    <w:p>
      <w:pPr>
        <w:spacing w:line="400" w:lineRule="exac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名    称：</w:t>
      </w:r>
      <w:r>
        <w:rPr>
          <w:rFonts w:hint="eastAsia" w:ascii="宋体" w:hAnsi="宋体" w:cs="宋体"/>
          <w:color w:val="000000" w:themeColor="text1"/>
          <w:lang w:eastAsia="zh-CN"/>
          <w14:textFill>
            <w14:solidFill>
              <w14:schemeClr w14:val="tx1"/>
            </w14:solidFill>
          </w14:textFill>
        </w:rPr>
        <w:t>贵港市财政局</w:t>
      </w:r>
    </w:p>
    <w:p>
      <w:pPr>
        <w:spacing w:line="400" w:lineRule="exac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地    址：</w:t>
      </w:r>
      <w:r>
        <w:rPr>
          <w:rFonts w:hint="eastAsia"/>
          <w:color w:val="000000" w:themeColor="text1"/>
          <w:lang w:eastAsia="zh-CN"/>
          <w14:textFill>
            <w14:solidFill>
              <w14:schemeClr w14:val="tx1"/>
            </w14:solidFill>
          </w14:textFill>
        </w:rPr>
        <w:t>贵港市港北区金港大道902号</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r>
        <w:rPr>
          <w:rFonts w:hint="eastAsia"/>
          <w:color w:val="000000" w:themeColor="text1"/>
          <w:lang w:val="en-US" w:eastAsia="zh-CN"/>
          <w14:textFill>
            <w14:solidFill>
              <w14:schemeClr w14:val="tx1"/>
            </w14:solidFill>
          </w14:textFill>
        </w:rPr>
        <w:t>蒋工</w:t>
      </w:r>
      <w:r>
        <w:rPr>
          <w:rFonts w:hint="eastAsia"/>
          <w:color w:val="000000" w:themeColor="text1"/>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0775—4578625</w:t>
      </w:r>
      <w:r>
        <w:rPr>
          <w:rFonts w:hint="eastAsia"/>
          <w:color w:val="000000" w:themeColor="text1"/>
          <w14:textFill>
            <w14:solidFill>
              <w14:schemeClr w14:val="tx1"/>
            </w14:solidFill>
          </w14:textFill>
        </w:rPr>
        <w:t xml:space="preserve">　　　　　　　　 　　　 </w:t>
      </w:r>
    </w:p>
    <w:p>
      <w:pPr>
        <w:spacing w:line="400" w:lineRule="exact"/>
        <w:rPr>
          <w:color w:val="000000" w:themeColor="text1"/>
          <w14:textFill>
            <w14:solidFill>
              <w14:schemeClr w14:val="tx1"/>
            </w14:solidFill>
          </w14:textFill>
        </w:rPr>
      </w:pPr>
      <w:bookmarkStart w:id="40" w:name="_Toc28359020"/>
      <w:bookmarkStart w:id="41" w:name="_Toc35393638"/>
      <w:bookmarkStart w:id="42" w:name="_Toc35393807"/>
      <w:bookmarkStart w:id="43" w:name="_Toc28359097"/>
      <w:r>
        <w:rPr>
          <w:rFonts w:hint="eastAsia" w:ascii="宋体" w:hAnsi="宋体" w:cs="宋体"/>
          <w:b/>
          <w:bCs/>
          <w:color w:val="000000" w:themeColor="text1"/>
          <w:sz w:val="22"/>
          <w:szCs w:val="22"/>
          <w14:textFill>
            <w14:solidFill>
              <w14:schemeClr w14:val="tx1"/>
            </w14:solidFill>
          </w14:textFill>
        </w:rPr>
        <w:t>2.采购代理机构信息</w:t>
      </w:r>
      <w:bookmarkEnd w:id="40"/>
      <w:bookmarkEnd w:id="41"/>
      <w:bookmarkEnd w:id="42"/>
      <w:bookmarkEnd w:id="43"/>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名    称： </w:t>
      </w:r>
      <w:r>
        <w:rPr>
          <w:rFonts w:hint="eastAsia" w:ascii="宋体" w:hAnsi="宋体" w:cs="宋体"/>
          <w:color w:val="000000" w:themeColor="text1"/>
          <w14:textFill>
            <w14:solidFill>
              <w14:schemeClr w14:val="tx1"/>
            </w14:solidFill>
          </w14:textFill>
        </w:rPr>
        <w:t>广西建展建设工程管理集团有限公司</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地　　址：</w:t>
      </w:r>
      <w:r>
        <w:rPr>
          <w:rFonts w:hint="eastAsia" w:ascii="宋体" w:hAnsi="宋体" w:cs="宋体"/>
          <w:color w:val="000000" w:themeColor="text1"/>
          <w14:textFill>
            <w14:solidFill>
              <w14:schemeClr w14:val="tx1"/>
            </w14:solidFill>
          </w14:textFill>
        </w:rPr>
        <w:t>广西贵港市港北区金港大道844号万港城6幢14层1402号</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联系方式：0775-4598668</w:t>
      </w:r>
    </w:p>
    <w:p>
      <w:pPr>
        <w:spacing w:line="400" w:lineRule="exact"/>
        <w:rPr>
          <w:color w:val="000000" w:themeColor="text1"/>
          <w14:textFill>
            <w14:solidFill>
              <w14:schemeClr w14:val="tx1"/>
            </w14:solidFill>
          </w14:textFill>
        </w:rPr>
      </w:pPr>
      <w:bookmarkStart w:id="44" w:name="_Toc28359021"/>
      <w:bookmarkStart w:id="45" w:name="_Toc35393639"/>
      <w:bookmarkStart w:id="46" w:name="_Toc35393808"/>
      <w:bookmarkStart w:id="47" w:name="_Toc28359098"/>
      <w:r>
        <w:rPr>
          <w:rFonts w:hint="eastAsia" w:ascii="宋体" w:hAnsi="宋体" w:cs="宋体"/>
          <w:b/>
          <w:bCs/>
          <w:color w:val="000000" w:themeColor="text1"/>
          <w:sz w:val="22"/>
          <w:szCs w:val="22"/>
          <w14:textFill>
            <w14:solidFill>
              <w14:schemeClr w14:val="tx1"/>
            </w14:solidFill>
          </w14:textFill>
        </w:rPr>
        <w:t>3.项目联系方式</w:t>
      </w:r>
      <w:bookmarkEnd w:id="44"/>
      <w:bookmarkEnd w:id="45"/>
      <w:bookmarkEnd w:id="46"/>
      <w:bookmarkEnd w:id="47"/>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项目联系人：廖工</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电　　 话：0775-4598668</w:t>
      </w:r>
    </w:p>
    <w:p>
      <w:pPr>
        <w:spacing w:line="400" w:lineRule="exac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4.监督部门：</w:t>
      </w:r>
      <w:r>
        <w:rPr>
          <w:rFonts w:hint="eastAsia" w:ascii="宋体" w:hAnsi="宋体" w:cs="宋体"/>
          <w:color w:val="000000" w:themeColor="text1"/>
          <w14:textFill>
            <w14:solidFill>
              <w14:schemeClr w14:val="tx1"/>
            </w14:solidFill>
          </w14:textFill>
        </w:rPr>
        <w:t>贵港市财政局政府采购监督管理</w:t>
      </w:r>
      <w:r>
        <w:rPr>
          <w:rFonts w:hint="eastAsia" w:ascii="宋体" w:hAnsi="宋体" w:cs="宋体"/>
          <w:color w:val="000000" w:themeColor="text1"/>
          <w:lang w:val="en-US" w:eastAsia="zh-CN"/>
          <w14:textFill>
            <w14:solidFill>
              <w14:schemeClr w14:val="tx1"/>
            </w14:solidFill>
          </w14:textFill>
        </w:rPr>
        <w:t>科</w:t>
      </w:r>
    </w:p>
    <w:p>
      <w:pPr>
        <w:spacing w:line="400" w:lineRule="exac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联系电话：0775-</w:t>
      </w:r>
      <w:r>
        <w:rPr>
          <w:rFonts w:hint="eastAsia" w:ascii="宋体" w:hAnsi="宋体" w:cs="宋体"/>
          <w:color w:val="000000" w:themeColor="text1"/>
          <w:lang w:val="en-US" w:eastAsia="zh-CN"/>
          <w14:textFill>
            <w14:solidFill>
              <w14:schemeClr w14:val="tx1"/>
            </w14:solidFill>
          </w14:textFill>
        </w:rPr>
        <w:t>4555290</w:t>
      </w:r>
    </w:p>
    <w:p>
      <w:pPr>
        <w:rPr>
          <w:color w:val="000000" w:themeColor="text1"/>
          <w14:textFill>
            <w14:solidFill>
              <w14:schemeClr w14:val="tx1"/>
            </w14:solidFill>
          </w14:textFill>
        </w:rPr>
      </w:pPr>
    </w:p>
    <w:p>
      <w:pPr>
        <w:pStyle w:val="3"/>
        <w:jc w:val="both"/>
        <w:rPr>
          <w:color w:val="000000" w:themeColor="text1"/>
          <w14:textFill>
            <w14:solidFill>
              <w14:schemeClr w14:val="tx1"/>
            </w14:solidFill>
          </w14:textFill>
        </w:rPr>
      </w:pPr>
    </w:p>
    <w:p>
      <w:pPr>
        <w:pStyle w:val="3"/>
        <w:rPr>
          <w:rFonts w:ascii="Times New Roman" w:eastAsia="宋体" w:cs="Times New Roman"/>
          <w:b w:val="0"/>
          <w:color w:val="000000" w:themeColor="text1"/>
          <w:sz w:val="21"/>
          <w:szCs w:val="21"/>
          <w14:textFill>
            <w14:solidFill>
              <w14:schemeClr w14:val="tx1"/>
            </w14:solidFill>
          </w14:textFill>
        </w:rPr>
      </w:pPr>
      <w:r>
        <w:rPr>
          <w:rFonts w:hint="eastAsia" w:ascii="Times New Roman" w:eastAsia="宋体" w:cs="Times New Roman"/>
          <w:b w:val="0"/>
          <w:color w:val="000000" w:themeColor="text1"/>
          <w:sz w:val="21"/>
          <w:szCs w:val="21"/>
          <w:lang w:eastAsia="zh-CN"/>
          <w14:textFill>
            <w14:solidFill>
              <w14:schemeClr w14:val="tx1"/>
            </w14:solidFill>
          </w14:textFill>
        </w:rPr>
        <w:t>贵港市财政局</w:t>
      </w:r>
      <w:r>
        <w:rPr>
          <w:rFonts w:hint="eastAsia" w:ascii="Times New Roman" w:eastAsia="宋体" w:cs="Times New Roman"/>
          <w:b w:val="0"/>
          <w:color w:val="000000" w:themeColor="text1"/>
          <w:sz w:val="21"/>
          <w:szCs w:val="21"/>
          <w14:textFill>
            <w14:solidFill>
              <w14:schemeClr w14:val="tx1"/>
            </w14:solidFill>
          </w14:textFill>
        </w:rPr>
        <w:t xml:space="preserve">                           广西建展建设工程管理集团有限公司                                        </w:t>
      </w:r>
    </w:p>
    <w:p>
      <w:pPr>
        <w:pStyle w:val="3"/>
        <w:rPr>
          <w:rFonts w:ascii="Times New Roman" w:eastAsia="宋体" w:cs="Times New Roman"/>
          <w:b w:val="0"/>
          <w:color w:val="000000" w:themeColor="text1"/>
          <w:sz w:val="21"/>
          <w:szCs w:val="21"/>
          <w14:textFill>
            <w14:solidFill>
              <w14:schemeClr w14:val="tx1"/>
            </w14:solidFill>
          </w14:textFill>
        </w:rPr>
      </w:pPr>
    </w:p>
    <w:p>
      <w:pPr>
        <w:pStyle w:val="3"/>
        <w:rPr>
          <w:rFonts w:ascii="Times New Roman" w:hAnsi="Times New Roman" w:eastAsia="宋体" w:cs="Times New Roman"/>
          <w:b w:val="0"/>
          <w:color w:val="000000" w:themeColor="text1"/>
          <w:sz w:val="21"/>
          <w:szCs w:val="21"/>
          <w14:textFill>
            <w14:solidFill>
              <w14:schemeClr w14:val="tx1"/>
            </w14:solidFill>
          </w14:textFill>
        </w:rPr>
      </w:pPr>
      <w:r>
        <w:rPr>
          <w:rFonts w:hint="eastAsia" w:ascii="Times New Roman" w:eastAsia="宋体" w:cs="Times New Roman"/>
          <w:b w:val="0"/>
          <w:color w:val="000000" w:themeColor="text1"/>
          <w:sz w:val="21"/>
          <w:szCs w:val="21"/>
          <w14:textFill>
            <w14:solidFill>
              <w14:schemeClr w14:val="tx1"/>
            </w14:solidFill>
          </w14:textFill>
        </w:rPr>
        <w:t xml:space="preserve">                                                     2020年</w:t>
      </w:r>
      <w:r>
        <w:rPr>
          <w:rFonts w:hint="eastAsia" w:ascii="Times New Roman" w:eastAsia="宋体" w:cs="Times New Roman"/>
          <w:b w:val="0"/>
          <w:color w:val="000000" w:themeColor="text1"/>
          <w:sz w:val="21"/>
          <w:szCs w:val="21"/>
          <w:lang w:val="en-US" w:eastAsia="zh-CN"/>
          <w14:textFill>
            <w14:solidFill>
              <w14:schemeClr w14:val="tx1"/>
            </w14:solidFill>
          </w14:textFill>
        </w:rPr>
        <w:t>11</w:t>
      </w:r>
      <w:r>
        <w:rPr>
          <w:rFonts w:hint="eastAsia" w:ascii="Times New Roman" w:eastAsia="宋体" w:cs="Times New Roman"/>
          <w:b w:val="0"/>
          <w:color w:val="000000" w:themeColor="text1"/>
          <w:sz w:val="21"/>
          <w:szCs w:val="21"/>
          <w14:textFill>
            <w14:solidFill>
              <w14:schemeClr w14:val="tx1"/>
            </w14:solidFill>
          </w14:textFill>
        </w:rPr>
        <w:t>月</w:t>
      </w:r>
      <w:r>
        <w:rPr>
          <w:rFonts w:hint="eastAsia" w:ascii="Times New Roman" w:eastAsia="宋体" w:cs="Times New Roman"/>
          <w:b w:val="0"/>
          <w:color w:val="000000" w:themeColor="text1"/>
          <w:sz w:val="21"/>
          <w:szCs w:val="21"/>
          <w:lang w:val="en-US" w:eastAsia="zh-CN"/>
          <w14:textFill>
            <w14:solidFill>
              <w14:schemeClr w14:val="tx1"/>
            </w14:solidFill>
          </w14:textFill>
        </w:rPr>
        <w:t>26</w:t>
      </w:r>
      <w:r>
        <w:rPr>
          <w:rFonts w:hint="eastAsia" w:ascii="Times New Roman" w:eastAsia="宋体" w:cs="Times New Roman"/>
          <w:b w:val="0"/>
          <w:color w:val="000000" w:themeColor="text1"/>
          <w:sz w:val="21"/>
          <w:szCs w:val="21"/>
          <w14:textFill>
            <w14:solidFill>
              <w14:schemeClr w14:val="tx1"/>
            </w14:solidFill>
          </w14:textFill>
        </w:rPr>
        <w:t>日</w:t>
      </w:r>
    </w:p>
    <w:p>
      <w:pPr>
        <w:pStyle w:val="41"/>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第二章磋商须知及前附表</w:t>
      </w:r>
      <w:bookmarkEnd w:id="5"/>
    </w:p>
    <w:p>
      <w:pPr>
        <w:jc w:val="center"/>
        <w:rPr>
          <w:rFonts w:asci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磋商须知前附表</w:t>
      </w:r>
    </w:p>
    <w:tbl>
      <w:tblPr>
        <w:tblStyle w:val="43"/>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0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Align w:val="center"/>
          </w:tcPr>
          <w:p>
            <w:pPr>
              <w:spacing w:line="360" w:lineRule="exact"/>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905" w:type="dxa"/>
            <w:vAlign w:val="center"/>
          </w:tcPr>
          <w:p>
            <w:pPr>
              <w:spacing w:line="360" w:lineRule="exact"/>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条款号</w:t>
            </w:r>
          </w:p>
        </w:tc>
        <w:tc>
          <w:tcPr>
            <w:tcW w:w="7200" w:type="dxa"/>
            <w:vAlign w:val="center"/>
          </w:tcPr>
          <w:p>
            <w:pPr>
              <w:spacing w:line="360" w:lineRule="exact"/>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06"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905"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w:t>
            </w:r>
          </w:p>
        </w:tc>
        <w:tc>
          <w:tcPr>
            <w:tcW w:w="7200" w:type="dxa"/>
            <w:vAlign w:val="center"/>
          </w:tcPr>
          <w:p>
            <w:pPr>
              <w:spacing w:line="360" w:lineRule="exact"/>
              <w:rPr>
                <w:rFonts w:hint="eastAsia" w:asci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lang w:eastAsia="zh-CN"/>
                <w14:textFill>
                  <w14:solidFill>
                    <w14:schemeClr w14:val="tx1"/>
                  </w14:solidFill>
                </w14:textFill>
              </w:rPr>
              <w:t>城区重大交通基础设施ppp项目（一期）工程可行性论证及“两评一案”编制服务</w:t>
            </w:r>
          </w:p>
          <w:p>
            <w:pPr>
              <w:spacing w:line="360" w:lineRule="exac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GGZC2020-C3-04776-GXJZ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6"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905"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w:t>
            </w:r>
          </w:p>
        </w:tc>
        <w:tc>
          <w:tcPr>
            <w:tcW w:w="7200" w:type="dxa"/>
            <w:vAlign w:val="center"/>
          </w:tcPr>
          <w:p>
            <w:pPr>
              <w:spacing w:line="360" w:lineRule="exact"/>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供应商资格要求：</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1、满足《中华人民共和国政府采购法》第二十二条规定；</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2、落实政府采购政策需满足的资格要求：</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（1）、《政府采购促进中小企业发展暂行办法》（财库[2011]181号）；</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（2）、《财政部、司法部关于政府采购支持监狱企业发展有关问题的通知》（财库〔2014〕68号）；</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（3）、《财政部民政部中国残疾人联合会关于促进残疾人就业政府采购政策的通知》（财库〔2017〕 141号）；</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（4）、财政部《环保总局关于环境标志产品政府采购实施的意见》（财库[2006]90号）；</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（5）、财政部国家发展改革委关于印发《节能产品政府采购实施意见》的通知（财库[2004]185号）等政府采购相关政策。</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3、本项目的特定资格要求：</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本项目</w:t>
            </w:r>
            <w:r>
              <w:rPr>
                <w:rFonts w:hint="eastAsia" w:ascii="宋体" w:hAnsi="宋体" w:cs="宋体"/>
                <w:color w:val="000000" w:themeColor="text1"/>
                <w:kern w:val="0"/>
                <w:lang w:val="en-US" w:eastAsia="zh-CN"/>
                <w14:textFill>
                  <w14:solidFill>
                    <w14:schemeClr w14:val="tx1"/>
                  </w14:solidFill>
                </w14:textFill>
              </w:rPr>
              <w:t>不</w:t>
            </w:r>
            <w:r>
              <w:rPr>
                <w:rFonts w:hint="eastAsia" w:ascii="宋体" w:hAnsi="宋体" w:cs="宋体"/>
                <w:color w:val="000000" w:themeColor="text1"/>
                <w:kern w:val="0"/>
                <w14:textFill>
                  <w14:solidFill>
                    <w14:schemeClr w14:val="tx1"/>
                  </w14:solidFill>
                </w14:textFill>
              </w:rPr>
              <w:t>接受联合体磋商。</w:t>
            </w:r>
          </w:p>
          <w:p>
            <w:pPr>
              <w:spacing w:line="420" w:lineRule="exact"/>
              <w:ind w:firstLine="411" w:firstLineChars="196"/>
              <w:rPr>
                <w:rFonts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06"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905"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7.3</w:t>
            </w:r>
          </w:p>
        </w:tc>
        <w:tc>
          <w:tcPr>
            <w:tcW w:w="7200"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磋商报价：供应商必须就所投项目的全部内容作完整唯一报价，漏项报价的</w:t>
            </w:r>
          </w:p>
          <w:p>
            <w:pPr>
              <w:spacing w:line="360" w:lineRule="exac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或有选择的或有条件的报价，其磋商将视为无效。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6"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905"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p>
        </w:tc>
        <w:tc>
          <w:tcPr>
            <w:tcW w:w="7200" w:type="dxa"/>
            <w:vAlign w:val="center"/>
          </w:tcPr>
          <w:p>
            <w:pPr>
              <w:spacing w:line="360" w:lineRule="exac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响应文件：正本一份，副本三份。</w:t>
            </w:r>
          </w:p>
          <w:p>
            <w:pPr>
              <w:spacing w:line="360" w:lineRule="exac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每份文件需清楚的标明“正本”、“副本”。若正本与副本不符，以正本为准。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06"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905"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9.1</w:t>
            </w:r>
          </w:p>
        </w:tc>
        <w:tc>
          <w:tcPr>
            <w:tcW w:w="7200"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响应文件递交截止时间：2020年</w:t>
            </w:r>
            <w:r>
              <w:rPr>
                <w:rFonts w:hint="eastAsia" w:ascii="宋体" w:hAnsi="宋体" w:cs="宋体"/>
                <w:color w:val="000000" w:themeColor="text1"/>
                <w:lang w:val="en-US" w:eastAsia="zh-CN"/>
                <w14:textFill>
                  <w14:solidFill>
                    <w14:schemeClr w14:val="tx1"/>
                  </w14:solidFill>
                </w14:textFill>
              </w:rPr>
              <w:t>12</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日下午15时30分</w:t>
            </w: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地址：贵港市公共资源交易中心二楼（贵港市港北区金城商业步行街与金田路交叉口东南150米水利大厦）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06"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p>
        </w:tc>
        <w:tc>
          <w:tcPr>
            <w:tcW w:w="905"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9.2</w:t>
            </w:r>
          </w:p>
        </w:tc>
        <w:tc>
          <w:tcPr>
            <w:tcW w:w="7200"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响应文件有效期：响应文件递交截止日期后</w:t>
            </w:r>
            <w:r>
              <w:rPr>
                <w:rFonts w:ascii="宋体" w:hAnsi="宋体" w:cs="宋体"/>
                <w:color w:val="000000" w:themeColor="text1"/>
                <w14:textFill>
                  <w14:solidFill>
                    <w14:schemeClr w14:val="tx1"/>
                  </w14:solidFill>
                </w14:textFill>
              </w:rPr>
              <w:t xml:space="preserve"> 60 </w:t>
            </w:r>
            <w:r>
              <w:rPr>
                <w:rFonts w:hint="eastAsia" w:ascii="宋体" w:hAnsi="宋体" w:cs="宋体"/>
                <w:color w:val="000000" w:themeColor="text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6"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p>
        </w:tc>
        <w:tc>
          <w:tcPr>
            <w:tcW w:w="905"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11.0</w:t>
            </w:r>
          </w:p>
        </w:tc>
        <w:tc>
          <w:tcPr>
            <w:tcW w:w="7200" w:type="dxa"/>
            <w:vAlign w:val="center"/>
          </w:tcPr>
          <w:p>
            <w:pPr>
              <w:spacing w:line="360" w:lineRule="exact"/>
              <w:rPr>
                <w:rFonts w:hint="eastAsia" w:asci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磋商保证金（人民币）：</w:t>
            </w:r>
            <w:r>
              <w:rPr>
                <w:rFonts w:hint="eastAsia" w:hAnsi="宋体"/>
                <w:color w:val="000000" w:themeColor="text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06"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p>
        </w:tc>
        <w:tc>
          <w:tcPr>
            <w:tcW w:w="905"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13.4.1</w:t>
            </w:r>
          </w:p>
        </w:tc>
        <w:tc>
          <w:tcPr>
            <w:tcW w:w="7200"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磋商时间：</w:t>
            </w:r>
            <w:r>
              <w:rPr>
                <w:rFonts w:hint="eastAsia" w:hAnsi="宋体"/>
                <w:color w:val="000000" w:themeColor="text1"/>
                <w14:textFill>
                  <w14:solidFill>
                    <w14:schemeClr w14:val="tx1"/>
                  </w14:solidFill>
                </w14:textFill>
              </w:rPr>
              <w:t>磋商截止时间后（具体时间另行通知）</w:t>
            </w: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磋商地点：与递交响应文件地点相同</w:t>
            </w:r>
          </w:p>
          <w:p>
            <w:pPr>
              <w:spacing w:line="360" w:lineRule="exact"/>
              <w:rPr>
                <w:rFonts w:ascii="宋体" w:cs="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参加开标会携带有效证明资料：</w:t>
            </w:r>
            <w:r>
              <w:rPr>
                <w:rFonts w:hint="eastAsia" w:hAnsi="宋体"/>
                <w:color w:val="000000" w:themeColor="text1"/>
                <w14:textFill>
                  <w14:solidFill>
                    <w14:schemeClr w14:val="tx1"/>
                  </w14:solidFill>
                </w14:textFill>
              </w:rPr>
              <w:t>参加开标的</w:t>
            </w:r>
            <w:r>
              <w:rPr>
                <w:rFonts w:hint="eastAsia" w:hAnsi="宋体"/>
                <w:color w:val="000000" w:themeColor="text1"/>
                <w:lang w:eastAsia="zh-CN"/>
                <w14:textFill>
                  <w14:solidFill>
                    <w14:schemeClr w14:val="tx1"/>
                  </w14:solidFill>
                </w14:textFill>
              </w:rPr>
              <w:t>供应商</w:t>
            </w:r>
            <w:r>
              <w:rPr>
                <w:rFonts w:hint="eastAsia" w:hAnsi="宋体"/>
                <w:color w:val="000000" w:themeColor="text1"/>
                <w14:textFill>
                  <w14:solidFill>
                    <w14:schemeClr w14:val="tx1"/>
                  </w14:solidFill>
                </w14:textFill>
              </w:rPr>
              <w:t>法定代表人或授权委托代理人应签名报到，以证明其出席开标会议，并携带有效证明材料[法定代表人出席须携带法定代表人身份证明书、法人代表人身份证原件及正反面复印件，委托代理人出席须携带授权委托书原件及代理人身份证原件及正反面复印件、法人代表人身份证正反面复印件，以证实其身份]前往以证实其资格（属复印件的须加盖磋商单位公章）。若相关证明材料不合格或不齐全，不予启封竞争性磋商响应文件，并按无效标处理，其竞争性磋商响应文件不予以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6"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p>
        </w:tc>
        <w:tc>
          <w:tcPr>
            <w:tcW w:w="905"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13.8</w:t>
            </w:r>
          </w:p>
        </w:tc>
        <w:tc>
          <w:tcPr>
            <w:tcW w:w="7200" w:type="dxa"/>
            <w:vAlign w:val="center"/>
          </w:tcPr>
          <w:p>
            <w:pPr>
              <w:spacing w:line="360" w:lineRule="exac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评标办法：综合评分法（详细见第</w:t>
            </w:r>
            <w:r>
              <w:rPr>
                <w:rFonts w:hint="eastAsia" w:ascii="宋体" w:hAnsi="宋体" w:cs="宋体"/>
                <w:color w:val="000000" w:themeColor="text1"/>
                <w:lang w:eastAsia="zh-CN"/>
                <w14:textFill>
                  <w14:solidFill>
                    <w14:schemeClr w14:val="tx1"/>
                  </w14:solidFill>
                </w14:textFill>
              </w:rPr>
              <w:t>五</w:t>
            </w:r>
            <w:r>
              <w:rPr>
                <w:rFonts w:hint="eastAsia" w:ascii="宋体" w:hAnsi="宋体" w:cs="宋体"/>
                <w:color w:val="000000" w:themeColor="text1"/>
                <w14:textFill>
                  <w14:solidFill>
                    <w14:schemeClr w14:val="tx1"/>
                  </w14:solidFill>
                </w14:textFill>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6" w:type="dxa"/>
            <w:vAlign w:val="center"/>
          </w:tcPr>
          <w:p>
            <w:pPr>
              <w:spacing w:line="36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p>
        </w:tc>
        <w:tc>
          <w:tcPr>
            <w:tcW w:w="905" w:type="dxa"/>
            <w:vAlign w:val="center"/>
          </w:tcPr>
          <w:p>
            <w:pPr>
              <w:spacing w:line="360" w:lineRule="exact"/>
              <w:jc w:val="center"/>
              <w:rPr>
                <w:rFonts w:ascii="宋体" w:hAnsi="宋体" w:cs="宋体"/>
                <w:color w:val="000000" w:themeColor="text1"/>
                <w14:textFill>
                  <w14:solidFill>
                    <w14:schemeClr w14:val="tx1"/>
                  </w14:solidFill>
                </w14:textFill>
              </w:rPr>
            </w:pPr>
          </w:p>
        </w:tc>
        <w:tc>
          <w:tcPr>
            <w:tcW w:w="7200" w:type="dxa"/>
            <w:vAlign w:val="center"/>
          </w:tcPr>
          <w:p>
            <w:pPr>
              <w:autoSpaceDE w:val="0"/>
              <w:autoSpaceDN w:val="0"/>
              <w:snapToGrid w:val="0"/>
              <w:spacing w:line="360" w:lineRule="exact"/>
              <w:textAlignment w:val="bottom"/>
              <w:rPr>
                <w:rFonts w:ascii="宋体" w:cs="宋体"/>
                <w:color w:val="000000" w:themeColor="text1"/>
                <w:spacing w:val="2"/>
                <w14:textFill>
                  <w14:solidFill>
                    <w14:schemeClr w14:val="tx1"/>
                  </w14:solidFill>
                </w14:textFill>
              </w:rPr>
            </w:pPr>
            <w:r>
              <w:rPr>
                <w:rFonts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14:textFill>
                  <w14:solidFill>
                    <w14:schemeClr w14:val="tx1"/>
                  </w14:solidFill>
                </w14:textFill>
              </w:rPr>
              <w:t>、本文件中描述供应商的“公章”是指根据我国对公章的管理规定，用供应商法定主体行为名称制作的印章，除本文件有特殊规定外，供应商的财务章、部门章、分公司章、工会章、合同章、业务专用章及银行的转账章、现金收讫章、现金付讫章等其它形式印章均不能代替公章。</w:t>
            </w:r>
          </w:p>
          <w:p>
            <w:pPr>
              <w:spacing w:line="360" w:lineRule="exact"/>
              <w:rPr>
                <w:rFonts w:ascii="宋体" w:cs="宋体"/>
                <w:color w:val="000000" w:themeColor="text1"/>
                <w14:textFill>
                  <w14:solidFill>
                    <w14:schemeClr w14:val="tx1"/>
                  </w14:solidFill>
                </w14:textFill>
              </w:rPr>
            </w:pPr>
            <w:r>
              <w:rPr>
                <w:rFonts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14:textFill>
                  <w14:solidFill>
                    <w14:schemeClr w14:val="tx1"/>
                  </w14:solidFill>
                </w14:textFill>
              </w:rPr>
              <w:t>、本文件中描述供应商的“签字”是指供应商的法定代表人或被授权人亲自在文件规定签署处亲笔写上个人的名字的行为，私章、签字章、印鉴、影印等其他形式均不能代替亲笔签名。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6" w:type="dxa"/>
            <w:vAlign w:val="center"/>
          </w:tcPr>
          <w:p>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905" w:type="dxa"/>
            <w:vAlign w:val="center"/>
          </w:tcPr>
          <w:p>
            <w:pPr>
              <w:spacing w:line="360" w:lineRule="exact"/>
              <w:jc w:val="center"/>
              <w:rPr>
                <w:rFonts w:ascii="宋体" w:hAnsi="宋体" w:cs="宋体"/>
                <w:color w:val="000000" w:themeColor="text1"/>
                <w14:textFill>
                  <w14:solidFill>
                    <w14:schemeClr w14:val="tx1"/>
                  </w14:solidFill>
                </w14:textFill>
              </w:rPr>
            </w:pPr>
          </w:p>
        </w:tc>
        <w:tc>
          <w:tcPr>
            <w:tcW w:w="7200" w:type="dxa"/>
            <w:vAlign w:val="center"/>
          </w:tcPr>
          <w:p>
            <w:pPr>
              <w:pStyle w:val="25"/>
              <w:spacing w:line="360" w:lineRule="auto"/>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采购代理服务费：本项目的采购代理服务费</w:t>
            </w:r>
            <w:r>
              <w:rPr>
                <w:rFonts w:hint="eastAsia" w:hAnsi="宋体"/>
                <w:color w:val="000000" w:themeColor="text1"/>
                <w:lang w:eastAsia="zh-CN"/>
                <w14:textFill>
                  <w14:solidFill>
                    <w14:schemeClr w14:val="tx1"/>
                  </w14:solidFill>
                </w14:textFill>
              </w:rPr>
              <w:t>《计价格〔2002〕1980号》代理费收费标准</w:t>
            </w:r>
            <w:r>
              <w:rPr>
                <w:rFonts w:hint="eastAsia" w:hAnsi="宋体"/>
                <w:color w:val="000000" w:themeColor="text1"/>
                <w14:textFill>
                  <w14:solidFill>
                    <w14:schemeClr w14:val="tx1"/>
                  </w14:solidFill>
                </w14:textFill>
              </w:rPr>
              <w:t>，规定收取，领取成交通知书前，成交人应向采购代理机构一次付清采购代理服务费；成交服务费：人民币</w:t>
            </w:r>
            <w:r>
              <w:rPr>
                <w:rFonts w:hint="eastAsia" w:hAnsi="宋体"/>
                <w:color w:val="000000" w:themeColor="text1"/>
                <w:lang w:eastAsia="zh-CN"/>
                <w14:textFill>
                  <w14:solidFill>
                    <w14:schemeClr w14:val="tx1"/>
                  </w14:solidFill>
                </w14:textFill>
              </w:rPr>
              <w:t>壹万陆仟元整（￥16,</w:t>
            </w:r>
            <w:r>
              <w:rPr>
                <w:rFonts w:hint="eastAsia" w:hAnsi="宋体"/>
                <w:color w:val="000000" w:themeColor="text1"/>
                <w:lang w:val="en-US" w:eastAsia="zh-CN"/>
                <w14:textFill>
                  <w14:solidFill>
                    <w14:schemeClr w14:val="tx1"/>
                  </w14:solidFill>
                </w14:textFill>
              </w:rPr>
              <w:t>00</w:t>
            </w:r>
            <w:r>
              <w:rPr>
                <w:rFonts w:hint="eastAsia" w:hAnsi="宋体"/>
                <w:color w:val="000000" w:themeColor="text1"/>
                <w:lang w:eastAsia="zh-CN"/>
                <w14:textFill>
                  <w14:solidFill>
                    <w14:schemeClr w14:val="tx1"/>
                  </w14:solidFill>
                </w14:textFill>
              </w:rPr>
              <w:t>0.00）</w:t>
            </w:r>
            <w:r>
              <w:rPr>
                <w:rFonts w:hint="eastAsia" w:hAnsi="宋体"/>
                <w:color w:val="000000" w:themeColor="text1"/>
                <w14:textFill>
                  <w14:solidFill>
                    <w14:schemeClr w14:val="tx1"/>
                  </w14:solidFill>
                </w14:textFill>
              </w:rPr>
              <w:t>，否则，采购代理机构将视之为违约，并对成交人已提交的全部磋商保证金不予退还。</w:t>
            </w:r>
          </w:p>
          <w:p>
            <w:pPr>
              <w:pStyle w:val="25"/>
              <w:spacing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代理服务费专用帐户：</w:t>
            </w:r>
          </w:p>
          <w:p>
            <w:pPr>
              <w:pStyle w:val="25"/>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开户名：广西建展建设工程管理集团有限公司</w:t>
            </w:r>
          </w:p>
          <w:p>
            <w:pPr>
              <w:pStyle w:val="25"/>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开户银行：广西北部湾银行股份有限公司贵港分行</w:t>
            </w:r>
          </w:p>
          <w:p>
            <w:pPr>
              <w:spacing w:line="360" w:lineRule="exact"/>
              <w:rPr>
                <w:rFonts w:ascii="宋体" w:hAnsi="宋体" w:cs="宋体"/>
                <w:color w:val="000000" w:themeColor="text1"/>
                <w:spacing w:val="2"/>
                <w14:textFill>
                  <w14:solidFill>
                    <w14:schemeClr w14:val="tx1"/>
                  </w14:solidFill>
                </w14:textFill>
              </w:rPr>
            </w:pPr>
            <w:r>
              <w:rPr>
                <w:rFonts w:hint="eastAsia" w:hAnsi="宋体"/>
                <w:color w:val="000000" w:themeColor="text1"/>
                <w14:textFill>
                  <w14:solidFill>
                    <w14:schemeClr w14:val="tx1"/>
                  </w14:solidFill>
                </w14:textFill>
              </w:rPr>
              <w:t xml:space="preserve">开户账号：8001 1065 9400 013 </w:t>
            </w:r>
          </w:p>
        </w:tc>
      </w:tr>
    </w:tbl>
    <w:p>
      <w:pPr>
        <w:jc w:val="center"/>
        <w:rPr>
          <w:rFonts w:ascii="宋体" w:cs="宋体"/>
          <w:b/>
          <w:bCs/>
          <w:color w:val="000000" w:themeColor="text1"/>
          <w:sz w:val="36"/>
          <w:szCs w:val="36"/>
          <w14:textFill>
            <w14:solidFill>
              <w14:schemeClr w14:val="tx1"/>
            </w14:solidFill>
          </w14:textFill>
        </w:rPr>
      </w:pPr>
    </w:p>
    <w:p>
      <w:pPr>
        <w:jc w:val="center"/>
        <w:rPr>
          <w:rFonts w:ascii="宋体" w:cs="宋体"/>
          <w:b/>
          <w:bCs/>
          <w:color w:val="000000" w:themeColor="text1"/>
          <w:sz w:val="36"/>
          <w:szCs w:val="36"/>
          <w14:textFill>
            <w14:solidFill>
              <w14:schemeClr w14:val="tx1"/>
            </w14:solidFill>
          </w14:textFill>
        </w:rPr>
      </w:pPr>
      <w:r>
        <w:rPr>
          <w:rFonts w:ascii="宋体" w:cs="宋体"/>
          <w:b/>
          <w:bCs/>
          <w:color w:val="000000" w:themeColor="text1"/>
          <w:sz w:val="36"/>
          <w:szCs w:val="36"/>
          <w14:textFill>
            <w14:solidFill>
              <w14:schemeClr w14:val="tx1"/>
            </w14:solidFill>
          </w14:textFill>
        </w:rPr>
        <w:br w:type="page"/>
      </w:r>
      <w:r>
        <w:rPr>
          <w:rFonts w:hint="eastAsia" w:ascii="宋体" w:hAnsi="宋体" w:cs="宋体"/>
          <w:b/>
          <w:bCs/>
          <w:color w:val="000000" w:themeColor="text1"/>
          <w:sz w:val="36"/>
          <w:szCs w:val="36"/>
          <w14:textFill>
            <w14:solidFill>
              <w14:schemeClr w14:val="tx1"/>
            </w14:solidFill>
          </w14:textFill>
        </w:rPr>
        <w:t>磋商须知</w:t>
      </w:r>
    </w:p>
    <w:p>
      <w:pPr>
        <w:pStyle w:val="7"/>
        <w:rPr>
          <w:rFonts w:ascii="宋体" w:cs="宋体"/>
          <w:color w:val="000000" w:themeColor="text1"/>
          <w:sz w:val="36"/>
          <w:szCs w:val="36"/>
          <w14:textFill>
            <w14:solidFill>
              <w14:schemeClr w14:val="tx1"/>
            </w14:solidFill>
          </w14:textFill>
        </w:rPr>
      </w:pPr>
      <w:r>
        <w:rPr>
          <w:rFonts w:hint="eastAsia" w:ascii="宋体" w:hAnsi="宋体" w:cs="宋体"/>
          <w:color w:val="000000" w:themeColor="text1"/>
          <w14:textFill>
            <w14:solidFill>
              <w14:schemeClr w14:val="tx1"/>
            </w14:solidFill>
          </w14:textFill>
        </w:rPr>
        <w:t>一、总则</w:t>
      </w:r>
    </w:p>
    <w:p>
      <w:pPr>
        <w:spacing w:line="360" w:lineRule="auto"/>
        <w:ind w:firstLine="316" w:firstLineChars="150"/>
        <w:rPr>
          <w:rFonts w:ascii="宋体" w:hAns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 </w:t>
      </w:r>
      <w:r>
        <w:rPr>
          <w:rFonts w:hint="eastAsia" w:ascii="宋体" w:hAnsi="宋体" w:cs="宋体"/>
          <w:b/>
          <w:bCs/>
          <w:color w:val="000000" w:themeColor="text1"/>
          <w14:textFill>
            <w14:solidFill>
              <w14:schemeClr w14:val="tx1"/>
            </w14:solidFill>
          </w14:textFill>
        </w:rPr>
        <w:t>适用范围</w:t>
      </w:r>
    </w:p>
    <w:p>
      <w:pPr>
        <w:spacing w:line="360" w:lineRule="auto"/>
        <w:ind w:firstLine="315" w:firstLineChars="150"/>
        <w:rPr>
          <w:rFonts w:hint="eastAsia" w:ascii="宋体" w:eastAsia="宋体" w:cs="宋体"/>
          <w:color w:val="000000" w:themeColor="text1"/>
          <w:lang w:eastAsia="zh-CN"/>
          <w14:textFill>
            <w14:solidFill>
              <w14:schemeClr w14:val="tx1"/>
            </w14:solidFill>
          </w14:textFill>
        </w:rPr>
      </w:pPr>
      <w:r>
        <w:rPr>
          <w:rFonts w:ascii="宋体" w:hAnsi="宋体" w:cs="宋体"/>
          <w:color w:val="000000" w:themeColor="text1"/>
          <w14:textFill>
            <w14:solidFill>
              <w14:schemeClr w14:val="tx1"/>
            </w14:solidFill>
          </w14:textFill>
        </w:rPr>
        <w:t>1.1</w:t>
      </w: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lang w:eastAsia="zh-CN"/>
          <w14:textFill>
            <w14:solidFill>
              <w14:schemeClr w14:val="tx1"/>
            </w14:solidFill>
          </w14:textFill>
        </w:rPr>
        <w:t>城区重大交通基础设施ppp项目（一期）工程可行性论证及“两评一案”编制服务</w:t>
      </w:r>
    </w:p>
    <w:p>
      <w:pPr>
        <w:spacing w:line="360" w:lineRule="auto"/>
        <w:ind w:firstLine="630" w:firstLineChars="30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GGZC2020-C3-04776-GXJZ</w:t>
      </w:r>
    </w:p>
    <w:p>
      <w:pPr>
        <w:spacing w:line="360" w:lineRule="auto"/>
        <w:ind w:firstLine="63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本文件仅适用于本文件中所叙述的服务类采购项目。</w:t>
      </w:r>
    </w:p>
    <w:p>
      <w:pPr>
        <w:spacing w:line="360" w:lineRule="auto"/>
        <w:ind w:firstLine="316" w:firstLineChars="150"/>
        <w:rPr>
          <w:rFonts w:ascii="宋体" w:hAns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 </w:t>
      </w:r>
      <w:r>
        <w:rPr>
          <w:rFonts w:hint="eastAsia" w:ascii="宋体" w:hAnsi="宋体" w:cs="宋体"/>
          <w:b/>
          <w:bCs/>
          <w:color w:val="000000" w:themeColor="text1"/>
          <w14:textFill>
            <w14:solidFill>
              <w14:schemeClr w14:val="tx1"/>
            </w14:solidFill>
          </w14:textFill>
        </w:rPr>
        <w:t>定义</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2.1 </w:t>
      </w:r>
      <w:r>
        <w:rPr>
          <w:rFonts w:hint="eastAsia" w:ascii="宋体" w:hAnsi="宋体" w:cs="宋体"/>
          <w:color w:val="000000" w:themeColor="text1"/>
          <w14:textFill>
            <w14:solidFill>
              <w14:schemeClr w14:val="tx1"/>
            </w14:solidFill>
          </w14:textFill>
        </w:rPr>
        <w:t>“采购人”是指：</w:t>
      </w:r>
      <w:r>
        <w:rPr>
          <w:rFonts w:hint="eastAsia" w:ascii="宋体" w:hAnsi="宋体" w:cs="宋体"/>
          <w:color w:val="000000" w:themeColor="text1"/>
          <w:lang w:eastAsia="zh-CN"/>
          <w14:textFill>
            <w14:solidFill>
              <w14:schemeClr w14:val="tx1"/>
            </w14:solidFill>
          </w14:textFill>
        </w:rPr>
        <w:t>贵港市财政局</w:t>
      </w:r>
      <w:r>
        <w:rPr>
          <w:rFonts w:hint="eastAsia" w:ascii="宋体" w:hAnsi="宋体" w:cs="宋体"/>
          <w:color w:val="000000" w:themeColor="text1"/>
          <w14:textFill>
            <w14:solidFill>
              <w14:schemeClr w14:val="tx1"/>
            </w14:solidFill>
          </w14:textFill>
        </w:rPr>
        <w:t>。</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2.2 </w:t>
      </w:r>
      <w:r>
        <w:rPr>
          <w:rFonts w:hint="eastAsia" w:ascii="宋体" w:hAnsi="宋体" w:cs="宋体"/>
          <w:color w:val="000000" w:themeColor="text1"/>
          <w14:textFill>
            <w14:solidFill>
              <w14:schemeClr w14:val="tx1"/>
            </w14:solidFill>
          </w14:textFill>
        </w:rPr>
        <w:t>“采购代理机构”是指：广西建展建设工程管理集团有限公司</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以下简称“本公司”</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2.3 </w:t>
      </w:r>
      <w:r>
        <w:rPr>
          <w:rFonts w:hint="eastAsia" w:ascii="宋体" w:hAnsi="宋体" w:cs="宋体"/>
          <w:color w:val="000000" w:themeColor="text1"/>
          <w14:textFill>
            <w14:solidFill>
              <w14:schemeClr w14:val="tx1"/>
            </w14:solidFill>
          </w14:textFill>
        </w:rPr>
        <w:t>“供应商”是指响应本文件要求，参加磋商的法人或者其他组织。如果该供应商在本次磋商中成交，即成为“成交供应商”。</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2.4 </w:t>
      </w:r>
      <w:r>
        <w:rPr>
          <w:rFonts w:hint="eastAsia" w:ascii="宋体" w:hAnsi="宋体" w:cs="宋体"/>
          <w:color w:val="000000" w:themeColor="text1"/>
          <w14:textFill>
            <w14:solidFill>
              <w14:schemeClr w14:val="tx1"/>
            </w14:solidFill>
          </w14:textFill>
        </w:rPr>
        <w:t>“服务”是指除货物和工程以外的其他采购对象。</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2.5 </w:t>
      </w:r>
      <w:r>
        <w:rPr>
          <w:rFonts w:hint="eastAsia" w:ascii="宋体" w:hAnsi="宋体" w:cs="宋体"/>
          <w:color w:val="000000" w:themeColor="text1"/>
          <w14:textFill>
            <w14:solidFill>
              <w14:schemeClr w14:val="tx1"/>
            </w14:solidFill>
          </w14:textFill>
        </w:rPr>
        <w:t>“竞争性磋商响应文件”是指：供应商根据本磋商文件要求，编制包含报价、技术和服务等所有内容的文件。</w:t>
      </w:r>
    </w:p>
    <w:p>
      <w:pPr>
        <w:spacing w:line="360" w:lineRule="auto"/>
        <w:ind w:firstLine="316" w:firstLineChars="150"/>
        <w:rPr>
          <w:rFonts w:ascii="宋体" w:hAns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3.</w:t>
      </w:r>
      <w:r>
        <w:rPr>
          <w:rFonts w:hint="eastAsia" w:ascii="宋体" w:hAnsi="宋体" w:cs="宋体"/>
          <w:b/>
          <w:bCs/>
          <w:color w:val="000000" w:themeColor="text1"/>
          <w14:textFill>
            <w14:solidFill>
              <w14:schemeClr w14:val="tx1"/>
            </w14:solidFill>
          </w14:textFill>
        </w:rPr>
        <w:t>供应商的资格</w:t>
      </w:r>
    </w:p>
    <w:p>
      <w:pPr>
        <w:spacing w:line="420" w:lineRule="exact"/>
        <w:ind w:firstLine="411" w:firstLineChars="196"/>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满足《中华人民共和国政府采购法》第二十二条规定；</w:t>
      </w:r>
    </w:p>
    <w:p>
      <w:pPr>
        <w:spacing w:line="42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3.2.落实政府采购政策需满足的资格要求：</w:t>
      </w:r>
    </w:p>
    <w:p>
      <w:pPr>
        <w:spacing w:line="42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（1）、《政府采购促进中小企业发展暂行办法》（财库[2011]181号）；</w:t>
      </w:r>
    </w:p>
    <w:p>
      <w:pPr>
        <w:spacing w:line="42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（2）、《财政部、司法部关于政府采购支持监狱企业发展有关问题的通知》（财库〔2014〕68号）；</w:t>
      </w:r>
    </w:p>
    <w:p>
      <w:pPr>
        <w:spacing w:line="42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（3）、《财政部民政部中国残疾人联合会关于促进残疾人就业政府采购政策的通知》（财库〔2017〕 141号）；</w:t>
      </w:r>
    </w:p>
    <w:p>
      <w:pPr>
        <w:spacing w:line="42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（4）、财政部《环保总局关于环境标志产品政府采购实施的意见》（财库[2006]90号）；</w:t>
      </w:r>
    </w:p>
    <w:p>
      <w:pPr>
        <w:spacing w:line="42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（5）、财政部国家发展改革委关于印发《节能产品政府采购实施意见》的通知（财库[2004]185号）等政府采购相关政策。</w:t>
      </w:r>
    </w:p>
    <w:p>
      <w:pPr>
        <w:spacing w:line="420" w:lineRule="exact"/>
        <w:ind w:firstLine="411" w:firstLineChars="196"/>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3.3.本项目的特定资格要求：</w:t>
      </w:r>
    </w:p>
    <w:p>
      <w:pPr>
        <w:spacing w:line="420" w:lineRule="exact"/>
        <w:ind w:firstLine="411" w:firstLineChars="196"/>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2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20" w:lineRule="exact"/>
        <w:ind w:firstLine="411" w:firstLineChars="196"/>
        <w:rPr>
          <w:rFonts w:ascii="宋体" w:hAnsi="宋体" w:cs="宋体"/>
          <w:color w:val="000000" w:themeColor="text1"/>
          <w:kern w:val="0"/>
          <w14:textFill>
            <w14:solidFill>
              <w14:schemeClr w14:val="tx1"/>
            </w14:solidFill>
          </w14:textFill>
        </w:rPr>
      </w:pPr>
      <w:r>
        <w:rPr>
          <w:rFonts w:hint="eastAsia" w:cs="宋体"/>
          <w:color w:val="000000" w:themeColor="text1"/>
          <w14:textFill>
            <w14:solidFill>
              <w14:schemeClr w14:val="tx1"/>
            </w14:solidFill>
          </w14:textFill>
        </w:rPr>
        <w:t>3.</w:t>
      </w:r>
      <w:r>
        <w:rPr>
          <w:rFonts w:hint="eastAsia" w:cs="宋体"/>
          <w:color w:val="000000" w:themeColor="text1"/>
          <w:lang w:val="en-US" w:eastAsia="zh-CN"/>
          <w14:textFill>
            <w14:solidFill>
              <w14:schemeClr w14:val="tx1"/>
            </w14:solidFill>
          </w14:textFill>
        </w:rPr>
        <w:t>4</w:t>
      </w:r>
      <w:r>
        <w:rPr>
          <w:rFonts w:hint="eastAsia" w:cs="宋体"/>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本项目</w:t>
      </w:r>
      <w:r>
        <w:rPr>
          <w:rFonts w:hint="eastAsia" w:ascii="宋体" w:hAnsi="宋体" w:cs="宋体"/>
          <w:color w:val="000000" w:themeColor="text1"/>
          <w:kern w:val="0"/>
          <w:lang w:val="en-US" w:eastAsia="zh-CN"/>
          <w14:textFill>
            <w14:solidFill>
              <w14:schemeClr w14:val="tx1"/>
            </w14:solidFill>
          </w14:textFill>
        </w:rPr>
        <w:t>不</w:t>
      </w:r>
      <w:r>
        <w:rPr>
          <w:rFonts w:hint="eastAsia" w:ascii="宋体" w:hAnsi="宋体" w:cs="宋体"/>
          <w:color w:val="000000" w:themeColor="text1"/>
          <w:kern w:val="0"/>
          <w14:textFill>
            <w14:solidFill>
              <w14:schemeClr w14:val="tx1"/>
            </w14:solidFill>
          </w14:textFill>
        </w:rPr>
        <w:t>接受联合体磋商。</w:t>
      </w:r>
    </w:p>
    <w:p>
      <w:pPr>
        <w:spacing w:line="360" w:lineRule="auto"/>
        <w:ind w:firstLine="316" w:firstLineChars="150"/>
        <w:rPr>
          <w:rFonts w:ascii="宋体" w:hAns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4. </w:t>
      </w:r>
      <w:r>
        <w:rPr>
          <w:rFonts w:hint="eastAsia" w:ascii="宋体" w:hAnsi="宋体" w:cs="宋体"/>
          <w:b/>
          <w:bCs/>
          <w:color w:val="000000" w:themeColor="text1"/>
          <w14:textFill>
            <w14:solidFill>
              <w14:schemeClr w14:val="tx1"/>
            </w14:solidFill>
          </w14:textFill>
        </w:rPr>
        <w:t>磋商费用、竞争性磋商公告、竞争性磋商文件的澄清和修改</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4.1 </w:t>
      </w:r>
      <w:r>
        <w:rPr>
          <w:rFonts w:hint="eastAsia" w:ascii="宋体" w:hAnsi="宋体" w:cs="宋体"/>
          <w:color w:val="000000" w:themeColor="text1"/>
          <w14:textFill>
            <w14:solidFill>
              <w14:schemeClr w14:val="tx1"/>
            </w14:solidFill>
          </w14:textFill>
        </w:rPr>
        <w:t>磋商费用：供应商应自行承担所有与编写和提交竞争性磋商响应文件有关的费用，不论磋商结果如何，采购人和本公司在任何情况下无义务和责任承担此类费用。</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4.2 </w:t>
      </w:r>
      <w:r>
        <w:rPr>
          <w:rFonts w:hint="eastAsia" w:ascii="宋体" w:hAnsi="宋体" w:cs="宋体"/>
          <w:color w:val="000000" w:themeColor="text1"/>
          <w14:textFill>
            <w14:solidFill>
              <w14:schemeClr w14:val="tx1"/>
            </w14:solidFill>
          </w14:textFill>
        </w:rPr>
        <w:t>竞争性磋商公告：</w:t>
      </w:r>
      <w:r>
        <w:rPr>
          <w:rFonts w:ascii="宋体" w:hAnsi="宋体" w:cs="宋体"/>
          <w:color w:val="000000" w:themeColor="text1"/>
          <w14:textFill>
            <w14:solidFill>
              <w14:schemeClr w14:val="tx1"/>
            </w14:solidFill>
          </w14:textFill>
        </w:rPr>
        <w:t>http://www.ccgp.gov.cn</w:t>
      </w:r>
      <w:r>
        <w:rPr>
          <w:rFonts w:hint="eastAsia" w:ascii="宋体" w:hAnsi="宋体" w:cs="宋体"/>
          <w:color w:val="000000" w:themeColor="text1"/>
          <w14:textFill>
            <w14:solidFill>
              <w14:schemeClr w14:val="tx1"/>
            </w14:solidFill>
          </w14:textFill>
        </w:rPr>
        <w:t>（中国政府采购网）、</w:t>
      </w:r>
      <w:r>
        <w:rPr>
          <w:rFonts w:ascii="宋体" w:hAnsi="宋体" w:cs="宋体"/>
          <w:color w:val="000000" w:themeColor="text1"/>
          <w14:textFill>
            <w14:solidFill>
              <w14:schemeClr w14:val="tx1"/>
            </w14:solidFill>
          </w14:textFill>
        </w:rPr>
        <w:t>http://zfcg.gxzf.gov.cn/</w:t>
      </w:r>
      <w:r>
        <w:rPr>
          <w:rFonts w:hint="eastAsia" w:ascii="宋体" w:hAnsi="宋体" w:cs="宋体"/>
          <w:color w:val="000000" w:themeColor="text1"/>
          <w14:textFill>
            <w14:solidFill>
              <w14:schemeClr w14:val="tx1"/>
            </w14:solidFill>
          </w14:textFill>
        </w:rPr>
        <w:t>（广西壮族自治区政府采购网）、</w:t>
      </w:r>
      <w:r>
        <w:rPr>
          <w:rFonts w:ascii="宋体" w:hAnsi="宋体" w:cs="宋体"/>
          <w:color w:val="000000" w:themeColor="text1"/>
          <w14:textFill>
            <w14:solidFill>
              <w14:schemeClr w14:val="tx1"/>
            </w14:solidFill>
          </w14:textFill>
        </w:rPr>
        <w:t>http://zfcg.czj.gxgg.gov.cn/</w:t>
      </w:r>
      <w:r>
        <w:rPr>
          <w:rFonts w:hint="eastAsia" w:ascii="宋体" w:hAnsi="宋体" w:cs="宋体"/>
          <w:color w:val="000000" w:themeColor="text1"/>
          <w14:textFill>
            <w14:solidFill>
              <w14:schemeClr w14:val="tx1"/>
            </w14:solidFill>
          </w14:textFill>
        </w:rPr>
        <w:t>（贵港市政府采购网）、贵港市公共资源交易中心网站（</w:t>
      </w:r>
      <w:r>
        <w:rPr>
          <w:rFonts w:ascii="宋体" w:hAnsi="宋体" w:cs="宋体"/>
          <w:color w:val="000000" w:themeColor="text1"/>
          <w14:textFill>
            <w14:solidFill>
              <w14:schemeClr w14:val="tx1"/>
            </w14:solidFill>
          </w14:textFill>
        </w:rPr>
        <w:t>http://ggggjy.gxgg.gov.cn:9005/</w:t>
      </w:r>
      <w:r>
        <w:rPr>
          <w:rFonts w:hint="eastAsia" w:ascii="宋体" w:hAnsi="宋体" w:cs="宋体"/>
          <w:color w:val="000000" w:themeColor="text1"/>
          <w14:textFill>
            <w14:solidFill>
              <w14:schemeClr w14:val="tx1"/>
            </w14:solidFill>
          </w14:textFill>
        </w:rPr>
        <w:t>）。</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4.3 </w:t>
      </w:r>
      <w:r>
        <w:rPr>
          <w:rFonts w:hint="eastAsia" w:ascii="宋体" w:hAnsi="宋体" w:cs="宋体"/>
          <w:color w:val="000000" w:themeColor="text1"/>
          <w14:textFill>
            <w14:solidFill>
              <w14:schemeClr w14:val="tx1"/>
            </w14:solidFill>
          </w14:textFill>
        </w:rPr>
        <w:t>竞争性磋商文件的澄清和修改：</w:t>
      </w:r>
    </w:p>
    <w:p>
      <w:pPr>
        <w:spacing w:line="360" w:lineRule="auto"/>
        <w:ind w:firstLine="411" w:firstLineChars="196"/>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日前，以书面形式通知所有获取磋商文件的供应商；不足</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日的，采购人、采购代理机构应当顺延提交首次响应文件截止时间。</w:t>
      </w:r>
    </w:p>
    <w:p>
      <w:pPr>
        <w:pStyle w:val="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二、竞争性磋商响应文件的编制</w:t>
      </w:r>
    </w:p>
    <w:p>
      <w:pPr>
        <w:spacing w:line="360" w:lineRule="auto"/>
        <w:ind w:firstLine="310" w:firstLineChars="147"/>
        <w:rPr>
          <w:rFonts w:ascii="宋体" w:hAns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5. </w:t>
      </w:r>
      <w:r>
        <w:rPr>
          <w:rFonts w:hint="eastAsia" w:ascii="宋体" w:hAnsi="宋体" w:cs="宋体"/>
          <w:b/>
          <w:bCs/>
          <w:color w:val="000000" w:themeColor="text1"/>
          <w14:textFill>
            <w14:solidFill>
              <w14:schemeClr w14:val="tx1"/>
            </w14:solidFill>
          </w14:textFill>
        </w:rPr>
        <w:t>竞争性磋商响应文件编制基本要求</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5.1 </w:t>
      </w:r>
      <w:r>
        <w:rPr>
          <w:rFonts w:hint="eastAsia" w:ascii="宋体" w:hAnsi="宋体" w:cs="宋体"/>
          <w:color w:val="000000" w:themeColor="text1"/>
          <w14:textFill>
            <w14:solidFill>
              <w14:schemeClr w14:val="tx1"/>
            </w14:solidFill>
          </w14:textFill>
        </w:rPr>
        <w:t>供应商对竞争性磋商响应文件的编制应按要求装订和封装。</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5.2 </w:t>
      </w:r>
      <w:r>
        <w:rPr>
          <w:rFonts w:hint="eastAsia" w:ascii="宋体" w:hAnsi="宋体" w:cs="宋体"/>
          <w:color w:val="000000" w:themeColor="text1"/>
          <w14:textFill>
            <w14:solidFill>
              <w14:schemeClr w14:val="tx1"/>
            </w14:solidFill>
          </w14:textFill>
        </w:rPr>
        <w:t>供应商提交的竞争性磋商响应文件以及供应商与本公司和采购人就有关磋商的所有来往函电均应使用中文。供应商提交的支持文件和印刷的文献可以使用别的语言，但其相应内容必须附有中文翻译文本，在解释竞争性磋商响应文件时以翻译文本为主。</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5.3 </w:t>
      </w:r>
      <w:r>
        <w:rPr>
          <w:rFonts w:hint="eastAsia" w:ascii="宋体" w:hAnsi="宋体" w:cs="宋体"/>
          <w:color w:val="000000" w:themeColor="text1"/>
          <w14:textFill>
            <w14:solidFill>
              <w14:schemeClr w14:val="tx1"/>
            </w14:solidFill>
          </w14:textFill>
        </w:rPr>
        <w:t>供应商应认真阅读、并充分理解本文件的全部内容（包括所有的澄清、更改、补充、答疑等内容），承诺并履行本文件中各项条款规定及要求。</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5.4 </w:t>
      </w:r>
      <w:r>
        <w:rPr>
          <w:rFonts w:hint="eastAsia" w:ascii="宋体" w:hAnsi="宋体" w:cs="宋体"/>
          <w:color w:val="000000" w:themeColor="text1"/>
          <w14:textFill>
            <w14:solidFill>
              <w14:schemeClr w14:val="tx1"/>
            </w14:solidFill>
          </w14:textFill>
        </w:rPr>
        <w:t>竞争性磋商响应文件必须按本文件的全部内容，包括所有的澄清、更改、补充、答疑等内容及附件进行编制。</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5.5 </w:t>
      </w:r>
      <w:r>
        <w:rPr>
          <w:rFonts w:hint="eastAsia" w:ascii="宋体" w:hAnsi="宋体" w:cs="宋体"/>
          <w:color w:val="000000" w:themeColor="text1"/>
          <w14:textFill>
            <w14:solidFill>
              <w14:schemeClr w14:val="tx1"/>
            </w14:solidFill>
          </w14:textFill>
        </w:rPr>
        <w:t>如因供应商只填写和提供了本文件要求的部分内容和附件，而给磋商小组评审造成困难，其可能导致的结果和责任由供应商自行承担。</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5.6 </w:t>
      </w:r>
      <w:r>
        <w:rPr>
          <w:rFonts w:hint="eastAsia" w:ascii="宋体" w:hAnsi="宋体" w:cs="宋体"/>
          <w:color w:val="000000" w:themeColor="text1"/>
          <w14:textFill>
            <w14:solidFill>
              <w14:schemeClr w14:val="tx1"/>
            </w14:solidFill>
          </w14:textFill>
        </w:rPr>
        <w:t>竞争性磋商响应文件的组成：竞争性磋商响应文件应分为商务及资格文件和技术文件两个部分组成（要求装订成一本）。</w:t>
      </w:r>
    </w:p>
    <w:p>
      <w:pPr>
        <w:spacing w:line="420" w:lineRule="exact"/>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5.6.1 </w:t>
      </w:r>
      <w:r>
        <w:rPr>
          <w:rFonts w:hint="eastAsia" w:ascii="宋体" w:hAnsi="宋体" w:cs="宋体"/>
          <w:color w:val="000000" w:themeColor="text1"/>
          <w14:textFill>
            <w14:solidFill>
              <w14:schemeClr w14:val="tx1"/>
            </w14:solidFill>
          </w14:textFill>
        </w:rPr>
        <w:t>商务及资格文件</w:t>
      </w:r>
    </w:p>
    <w:p>
      <w:pPr>
        <w:spacing w:line="360" w:lineRule="auto"/>
        <w:ind w:firstLine="105" w:firstLineChars="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1、磋商书； </w:t>
      </w:r>
    </w:p>
    <w:p>
      <w:pPr>
        <w:spacing w:line="360" w:lineRule="auto"/>
        <w:ind w:firstLine="105" w:firstLineChars="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2、报价表；</w:t>
      </w:r>
    </w:p>
    <w:p>
      <w:pPr>
        <w:spacing w:line="360" w:lineRule="auto"/>
        <w:ind w:firstLine="105" w:firstLineChars="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3、资格证明文件： </w:t>
      </w:r>
    </w:p>
    <w:p>
      <w:pPr>
        <w:spacing w:line="360" w:lineRule="auto"/>
        <w:ind w:firstLine="105" w:firstLineChars="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（1）有效的加载社会统一代码的营业执照或事业单位法人证书等主体资格证明副本复印件；</w:t>
      </w:r>
      <w:r>
        <w:rPr>
          <w:rFonts w:hint="eastAsia" w:ascii="宋体" w:hAnsi="宋体" w:cs="宋体"/>
          <w:b/>
          <w:bCs/>
          <w:color w:val="000000" w:themeColor="text1"/>
          <w:kern w:val="0"/>
          <w14:textFill>
            <w14:solidFill>
              <w14:schemeClr w14:val="tx1"/>
            </w14:solidFill>
          </w14:textFill>
        </w:rPr>
        <w:t>（必须提供，加盖公章）</w:t>
      </w:r>
      <w:r>
        <w:rPr>
          <w:rFonts w:hint="eastAsia" w:ascii="宋体" w:hAnsi="宋体" w:cs="宋体"/>
          <w:color w:val="000000" w:themeColor="text1"/>
          <w:kern w:val="0"/>
          <w14:textFill>
            <w14:solidFill>
              <w14:schemeClr w14:val="tx1"/>
            </w14:solidFill>
          </w14:textFill>
        </w:rPr>
        <w:t>；</w:t>
      </w:r>
    </w:p>
    <w:p>
      <w:pPr>
        <w:spacing w:line="360" w:lineRule="auto"/>
        <w:ind w:firstLine="105" w:firstLineChars="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（2）供应商资格声明；</w:t>
      </w:r>
      <w:r>
        <w:rPr>
          <w:rFonts w:hint="eastAsia" w:ascii="宋体" w:hAnsi="宋体" w:cs="宋体"/>
          <w:b/>
          <w:bCs/>
          <w:color w:val="000000" w:themeColor="text1"/>
          <w:kern w:val="0"/>
          <w14:textFill>
            <w14:solidFill>
              <w14:schemeClr w14:val="tx1"/>
            </w14:solidFill>
          </w14:textFill>
        </w:rPr>
        <w:t>（必须提供，加盖公章）</w:t>
      </w:r>
      <w:r>
        <w:rPr>
          <w:rFonts w:hint="eastAsia" w:ascii="宋体" w:hAnsi="宋体" w:cs="宋体"/>
          <w:color w:val="000000" w:themeColor="text1"/>
          <w:kern w:val="0"/>
          <w14:textFill>
            <w14:solidFill>
              <w14:schemeClr w14:val="tx1"/>
            </w14:solidFill>
          </w14:textFill>
        </w:rPr>
        <w:t xml:space="preserve">； </w:t>
      </w:r>
    </w:p>
    <w:p>
      <w:pPr>
        <w:spacing w:line="360" w:lineRule="auto"/>
        <w:ind w:firstLine="105" w:firstLineChars="50"/>
        <w:rPr>
          <w:rFonts w:ascii="宋体" w:hAnsi="宋体" w:cs="宋体"/>
          <w:b/>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（3）法定代表人正反面身份证复印件，要求证件有效并与营业执照中的法定代表人相符</w:t>
      </w:r>
      <w:r>
        <w:rPr>
          <w:rFonts w:hint="eastAsia" w:ascii="宋体" w:hAnsi="宋体" w:cs="宋体"/>
          <w:b/>
          <w:bCs/>
          <w:color w:val="000000" w:themeColor="text1"/>
          <w:kern w:val="0"/>
          <w14:textFill>
            <w14:solidFill>
              <w14:schemeClr w14:val="tx1"/>
            </w14:solidFill>
          </w14:textFill>
        </w:rPr>
        <w:t>（必须提供，加盖公章）</w:t>
      </w:r>
    </w:p>
    <w:p>
      <w:pPr>
        <w:spacing w:line="360" w:lineRule="auto"/>
        <w:ind w:firstLine="105" w:firstLineChars="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（4）法定代表人授权书及委托</w:t>
      </w:r>
      <w:r>
        <w:rPr>
          <w:rFonts w:hint="eastAsia" w:ascii="宋体" w:hAnsi="宋体" w:cs="宋体"/>
          <w:color w:val="000000" w:themeColor="text1"/>
          <w14:textFill>
            <w14:solidFill>
              <w14:schemeClr w14:val="tx1"/>
            </w14:solidFill>
          </w14:textFill>
        </w:rPr>
        <w:t>代理人身份证正反面复印件；</w:t>
      </w:r>
      <w:r>
        <w:rPr>
          <w:rFonts w:hint="eastAsia" w:ascii="宋体" w:hAnsi="宋体" w:cs="宋体"/>
          <w:b/>
          <w:bCs/>
          <w:color w:val="000000" w:themeColor="text1"/>
          <w14:textFill>
            <w14:solidFill>
              <w14:schemeClr w14:val="tx1"/>
            </w14:solidFill>
          </w14:textFill>
        </w:rPr>
        <w:t>（</w:t>
      </w:r>
      <w:r>
        <w:rPr>
          <w:rFonts w:hint="eastAsia" w:hAnsi="宋体"/>
          <w:b/>
          <w:bCs/>
          <w:color w:val="000000" w:themeColor="text1"/>
          <w14:textFill>
            <w14:solidFill>
              <w14:schemeClr w14:val="tx1"/>
            </w14:solidFill>
          </w14:textFill>
        </w:rPr>
        <w:t>委托代理时</w:t>
      </w:r>
      <w:r>
        <w:rPr>
          <w:rFonts w:hint="eastAsia" w:ascii="宋体" w:hAnsi="宋体" w:cs="宋体"/>
          <w:b/>
          <w:bCs/>
          <w:color w:val="000000" w:themeColor="text1"/>
          <w14:textFill>
            <w14:solidFill>
              <w14:schemeClr w14:val="tx1"/>
            </w14:solidFill>
          </w14:textFill>
        </w:rPr>
        <w:t>必须提供，加盖公章）</w:t>
      </w:r>
      <w:r>
        <w:rPr>
          <w:rFonts w:hint="eastAsia" w:ascii="宋体" w:hAnsi="宋体" w:cs="宋体"/>
          <w:color w:val="000000" w:themeColor="text1"/>
          <w14:textFill>
            <w14:solidFill>
              <w14:schemeClr w14:val="tx1"/>
            </w14:solidFill>
          </w14:textFill>
        </w:rPr>
        <w:t>；</w:t>
      </w:r>
    </w:p>
    <w:p>
      <w:pPr>
        <w:spacing w:line="360" w:lineRule="auto"/>
        <w:ind w:firstLine="105" w:firstLineChars="50"/>
        <w:rPr>
          <w:rFonts w:hint="eastAsia" w:eastAsia="宋体" w:cs="宋体"/>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lang w:val="en-US" w:eastAsia="zh-CN"/>
          <w14:textFill>
            <w14:solidFill>
              <w14:schemeClr w14:val="tx1"/>
            </w14:solidFill>
          </w14:textFill>
        </w:rPr>
        <w:t>5</w:t>
      </w:r>
      <w:r>
        <w:rPr>
          <w:rFonts w:hint="eastAsia" w:cs="宋体"/>
          <w:color w:val="000000" w:themeColor="text1"/>
          <w14:textFill>
            <w14:solidFill>
              <w14:schemeClr w14:val="tx1"/>
            </w14:solidFill>
          </w14:textFill>
        </w:rPr>
        <w:t>）贵港市政府采购项目投标资格承诺函</w:t>
      </w:r>
      <w:r>
        <w:rPr>
          <w:rFonts w:hint="eastAsia" w:cs="宋体"/>
          <w:color w:val="000000" w:themeColor="text1"/>
          <w:lang w:eastAsia="zh-CN"/>
          <w14:textFill>
            <w14:solidFill>
              <w14:schemeClr w14:val="tx1"/>
            </w14:solidFill>
          </w14:textFill>
        </w:rPr>
        <w:t>（必须提供）；</w:t>
      </w:r>
    </w:p>
    <w:p>
      <w:pPr>
        <w:spacing w:line="360" w:lineRule="auto"/>
        <w:ind w:firstLine="105" w:firstLineChars="5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供应商认为有必要提供的其它资格证明文件及资料；</w:t>
      </w:r>
    </w:p>
    <w:p>
      <w:pPr>
        <w:spacing w:line="360" w:lineRule="auto"/>
        <w:ind w:firstLine="105" w:firstLineChars="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5.6.2 技术文件</w:t>
      </w:r>
    </w:p>
    <w:p>
      <w:pPr>
        <w:spacing w:line="360" w:lineRule="auto"/>
        <w:ind w:firstLine="105" w:firstLineChars="5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供应商根据评分办法自行编制，格式自拟。 </w:t>
      </w:r>
    </w:p>
    <w:p>
      <w:pPr>
        <w:spacing w:line="360" w:lineRule="auto"/>
        <w:rPr>
          <w:rFonts w:ascii="宋体" w:hAns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6. </w:t>
      </w:r>
      <w:r>
        <w:rPr>
          <w:rFonts w:hint="eastAsia" w:ascii="宋体" w:hAnsi="宋体" w:cs="宋体"/>
          <w:b/>
          <w:bCs/>
          <w:color w:val="000000" w:themeColor="text1"/>
          <w14:textFill>
            <w14:solidFill>
              <w14:schemeClr w14:val="tx1"/>
            </w14:solidFill>
          </w14:textFill>
        </w:rPr>
        <w:t>计量单位</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6.1 </w:t>
      </w:r>
      <w:r>
        <w:rPr>
          <w:rFonts w:hint="eastAsia" w:ascii="宋体" w:hAnsi="宋体" w:cs="宋体"/>
          <w:color w:val="000000" w:themeColor="text1"/>
          <w14:textFill>
            <w14:solidFill>
              <w14:schemeClr w14:val="tx1"/>
            </w14:solidFill>
          </w14:textFill>
        </w:rPr>
        <w:t>除技术要求中另有规定外，本文件所要求使用的计量单位均应采用国家法定计量单位。</w:t>
      </w:r>
    </w:p>
    <w:p>
      <w:pPr>
        <w:pStyle w:val="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三、报价要求</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7.1 </w:t>
      </w:r>
      <w:r>
        <w:rPr>
          <w:rFonts w:hint="eastAsia" w:ascii="宋体" w:hAnsi="宋体" w:cs="宋体"/>
          <w:color w:val="000000" w:themeColor="text1"/>
          <w14:textFill>
            <w14:solidFill>
              <w14:schemeClr w14:val="tx1"/>
            </w14:solidFill>
          </w14:textFill>
        </w:rPr>
        <w:t>成交供应商负责本项目所需服务及售后服务等全部工作。</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7.2</w:t>
      </w:r>
      <w:r>
        <w:rPr>
          <w:rFonts w:hint="eastAsia" w:ascii="宋体" w:hAnsi="宋体" w:cs="宋体"/>
          <w:color w:val="000000" w:themeColor="text1"/>
          <w14:textFill>
            <w14:solidFill>
              <w14:schemeClr w14:val="tx1"/>
            </w14:solidFill>
          </w14:textFill>
        </w:rPr>
        <w:t>对不同文字文本竞争性磋商响应文件的解释发生异议的，以中文文本为准。除上述原因以外，如果因供应商原因引起的报价失误，并在磋商时被接受，其后果由供应商自负。</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7.3 </w:t>
      </w:r>
      <w:r>
        <w:rPr>
          <w:rFonts w:hint="eastAsia" w:ascii="宋体" w:hAnsi="宋体" w:cs="宋体"/>
          <w:color w:val="000000" w:themeColor="text1"/>
          <w14:textFill>
            <w14:solidFill>
              <w14:schemeClr w14:val="tx1"/>
            </w14:solidFill>
          </w14:textFill>
        </w:rPr>
        <w:t>报价：</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7.3.1. </w:t>
      </w:r>
      <w:r>
        <w:rPr>
          <w:rFonts w:hint="eastAsia" w:ascii="宋体" w:hAnsi="宋体" w:cs="宋体"/>
          <w:color w:val="000000" w:themeColor="text1"/>
          <w14:textFill>
            <w14:solidFill>
              <w14:schemeClr w14:val="tx1"/>
            </w14:solidFill>
          </w14:textFill>
        </w:rPr>
        <w:t>磋商报价：</w:t>
      </w:r>
    </w:p>
    <w:p>
      <w:pPr>
        <w:spacing w:line="360" w:lineRule="auto"/>
        <w:ind w:firstLine="315" w:firstLineChars="1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）磋商报价</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 供应商必须就所投项目的全部内容作完整唯一报价，漏项报价的</w:t>
      </w:r>
    </w:p>
    <w:p>
      <w:pPr>
        <w:spacing w:line="360" w:lineRule="auto"/>
        <w:ind w:firstLine="315" w:firstLineChars="1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或有选择的或有条件的报价，其磋商将视为无效。</w:t>
      </w:r>
    </w:p>
    <w:p>
      <w:pPr>
        <w:spacing w:line="360" w:lineRule="auto"/>
        <w:ind w:firstLine="315" w:firstLineChars="15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）对于本文件中未列明，而供应商认为必需的费用也需列入总报价。在合同实施时，采购人将不予支付成交供应商没有列入的项目费用，并认为此项目的费用已包括在总报价中。</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7.3.2.</w:t>
      </w:r>
      <w:r>
        <w:rPr>
          <w:rFonts w:hint="eastAsia" w:ascii="宋体" w:hAnsi="宋体" w:cs="宋体"/>
          <w:color w:val="000000" w:themeColor="text1"/>
          <w14:textFill>
            <w14:solidFill>
              <w14:schemeClr w14:val="tx1"/>
            </w14:solidFill>
          </w14:textFill>
        </w:rPr>
        <w:t>不论磋商结果如何，供应商均应自行承担所有与磋商有关的全部费用；</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7.3.3.</w:t>
      </w:r>
      <w:r>
        <w:rPr>
          <w:rFonts w:hint="eastAsia" w:ascii="宋体" w:hAnsi="宋体" w:cs="宋体"/>
          <w:color w:val="000000" w:themeColor="text1"/>
          <w14:textFill>
            <w14:solidFill>
              <w14:schemeClr w14:val="tx1"/>
            </w14:solidFill>
          </w14:textFill>
        </w:rPr>
        <w:t>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7.3.4</w:t>
      </w:r>
      <w:r>
        <w:rPr>
          <w:rFonts w:hint="eastAsia" w:ascii="宋体" w:hAnsi="宋体" w:cs="宋体"/>
          <w:color w:val="000000" w:themeColor="text1"/>
          <w:kern w:val="0"/>
          <w14:textFill>
            <w14:solidFill>
              <w14:schemeClr w14:val="tx1"/>
            </w14:solidFill>
          </w14:textFill>
        </w:rPr>
        <w:t>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pStyle w:val="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四、竞争性磋商响应文件的签署、份数、封装和递交</w:t>
      </w:r>
    </w:p>
    <w:p>
      <w:pPr>
        <w:spacing w:line="360" w:lineRule="auto"/>
        <w:ind w:firstLine="316" w:firstLineChars="150"/>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8. </w:t>
      </w:r>
      <w:r>
        <w:rPr>
          <w:rFonts w:hint="eastAsia" w:ascii="宋体" w:hAnsi="宋体" w:cs="宋体"/>
          <w:b/>
          <w:bCs/>
          <w:color w:val="000000" w:themeColor="text1"/>
          <w14:textFill>
            <w14:solidFill>
              <w14:schemeClr w14:val="tx1"/>
            </w14:solidFill>
          </w14:textFill>
        </w:rPr>
        <w:t>竞争性磋商响应文件的签署、份数和封装</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8.1 </w:t>
      </w:r>
      <w:r>
        <w:rPr>
          <w:rFonts w:hint="eastAsia" w:ascii="宋体" w:hAnsi="宋体" w:cs="宋体"/>
          <w:color w:val="000000" w:themeColor="text1"/>
          <w14:textFill>
            <w14:solidFill>
              <w14:schemeClr w14:val="tx1"/>
            </w14:solidFill>
          </w14:textFill>
        </w:rPr>
        <w:t>供应商应将竞争性磋商响应文件中“商务及资格文件”和“技术文件”装订成一本（两文件相隔之间用封面标识，封面写明“商务及资格文件”、“技术文件”字样）。</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将竞争性磋商响应文件按正、副本分别装订成册，在每个正、副本封面上标明“正本”或“副本”，以及项目名称、项目编号、分标号（如有）、供应商名称、地址等内容。采用胶装装订，活页装订或散页的竞争性磋商响应文件将被拒绝。</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8.2 </w:t>
      </w:r>
      <w:r>
        <w:rPr>
          <w:rFonts w:hint="eastAsia" w:ascii="宋体" w:hAnsi="宋体" w:cs="宋体"/>
          <w:color w:val="000000" w:themeColor="text1"/>
          <w14:textFill>
            <w14:solidFill>
              <w14:schemeClr w14:val="tx1"/>
            </w14:solidFill>
          </w14:textFill>
        </w:rPr>
        <w:t>供应商应将竞争性磋商响应文件正、副本（正本一份，副本三份）装入到一个竞争性磋商响应文件袋内，封装并加以密封（要求竞争性磋商响应文件袋无明显缝隙露出袋内文件）；</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8.3</w:t>
      </w:r>
      <w:r>
        <w:rPr>
          <w:rFonts w:hint="eastAsia" w:ascii="宋体" w:hAnsi="宋体" w:cs="宋体"/>
          <w:color w:val="000000" w:themeColor="text1"/>
          <w14:textFill>
            <w14:solidFill>
              <w14:schemeClr w14:val="tx1"/>
            </w14:solidFill>
          </w14:textFill>
        </w:rPr>
        <w:t>竞争性磋商响应文件的正本需打印或用不褪色的墨水填写，竞争性磋商响应文件正本除本竞争性磋商采购文件规定的可提供复印件外均须提供原件。副本</w:t>
      </w:r>
      <w:r>
        <w:rPr>
          <w:rFonts w:hint="eastAsia" w:ascii="宋体" w:hAnsi="宋体" w:cs="宋体"/>
          <w:color w:val="000000" w:themeColor="text1"/>
          <w:lang w:eastAsia="zh-CN"/>
          <w14:textFill>
            <w14:solidFill>
              <w14:schemeClr w14:val="tx1"/>
            </w14:solidFill>
          </w14:textFill>
        </w:rPr>
        <w:t>可</w:t>
      </w:r>
      <w:r>
        <w:rPr>
          <w:rFonts w:hint="eastAsia" w:ascii="宋体" w:hAnsi="宋体" w:cs="宋体"/>
          <w:color w:val="000000" w:themeColor="text1"/>
          <w14:textFill>
            <w14:solidFill>
              <w14:schemeClr w14:val="tx1"/>
            </w14:solidFill>
          </w14:textFill>
        </w:rPr>
        <w:t>为正本</w:t>
      </w:r>
      <w:r>
        <w:rPr>
          <w:rFonts w:hint="eastAsia" w:ascii="宋体" w:hAnsi="宋体" w:cs="宋体"/>
          <w:color w:val="000000" w:themeColor="text1"/>
          <w:lang w:val="en-US" w:eastAsia="zh-CN"/>
          <w14:textFill>
            <w14:solidFill>
              <w14:schemeClr w14:val="tx1"/>
            </w14:solidFill>
          </w14:textFill>
        </w:rPr>
        <w:t>盖章签字后</w:t>
      </w:r>
      <w:r>
        <w:rPr>
          <w:rFonts w:hint="eastAsia" w:ascii="宋体" w:hAnsi="宋体" w:cs="宋体"/>
          <w:color w:val="000000" w:themeColor="text1"/>
          <w14:textFill>
            <w14:solidFill>
              <w14:schemeClr w14:val="tx1"/>
            </w14:solidFill>
          </w14:textFill>
        </w:rPr>
        <w:t>的复印件。</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8.4</w:t>
      </w:r>
      <w:r>
        <w:rPr>
          <w:rFonts w:hint="eastAsia" w:ascii="宋体" w:hAnsi="宋体" w:cs="宋体"/>
          <w:color w:val="000000" w:themeColor="text1"/>
          <w14:textFill>
            <w14:solidFill>
              <w14:schemeClr w14:val="tx1"/>
            </w14:solidFill>
          </w14:textFill>
        </w:rPr>
        <w:t>竞争性磋商响应文件须由供应商在规定位置盖章并由法定代表人或法定代表人的授权委托人</w:t>
      </w:r>
      <w:r>
        <w:rPr>
          <w:rFonts w:hint="eastAsia" w:ascii="宋体" w:hAnsi="宋体" w:cs="宋体"/>
          <w:color w:val="000000" w:themeColor="text1"/>
          <w:lang w:eastAsia="zh-CN"/>
          <w14:textFill>
            <w14:solidFill>
              <w14:schemeClr w14:val="tx1"/>
            </w14:solidFill>
          </w14:textFill>
        </w:rPr>
        <w:t>签字或盖章</w:t>
      </w:r>
      <w:r>
        <w:rPr>
          <w:rFonts w:hint="eastAsia" w:ascii="宋体" w:hAnsi="宋体" w:cs="宋体"/>
          <w:color w:val="000000" w:themeColor="text1"/>
          <w14:textFill>
            <w14:solidFill>
              <w14:schemeClr w14:val="tx1"/>
            </w14:solidFill>
          </w14:textFill>
        </w:rPr>
        <w:t>，供应商应写全称。</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8.5</w:t>
      </w:r>
      <w:r>
        <w:rPr>
          <w:rFonts w:hint="eastAsia" w:ascii="宋体" w:hAnsi="宋体" w:cs="宋体"/>
          <w:color w:val="000000" w:themeColor="text1"/>
          <w14:textFill>
            <w14:solidFill>
              <w14:schemeClr w14:val="tx1"/>
            </w14:solidFill>
          </w14:textFill>
        </w:rPr>
        <w:t>竞争性磋商响应文件不得涂改，若有修改错漏处，须加盖单位公章或者法定代表人或授权委托人签字或盖印鉴章。竞争性磋商响应文件因字迹潦草或表达不清所引起的后果由供应商负责。</w:t>
      </w:r>
    </w:p>
    <w:p>
      <w:pPr>
        <w:snapToGrid w:val="0"/>
        <w:spacing w:line="360" w:lineRule="auto"/>
        <w:ind w:firstLine="42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8.6</w:t>
      </w:r>
      <w:r>
        <w:rPr>
          <w:rFonts w:hint="eastAsia" w:ascii="宋体" w:hAnsi="宋体" w:cs="宋体"/>
          <w:color w:val="000000" w:themeColor="text1"/>
          <w14:textFill>
            <w14:solidFill>
              <w14:schemeClr w14:val="tx1"/>
            </w14:solidFill>
          </w14:textFill>
        </w:rPr>
        <w:t>未按规定密封或标记的竞争性磋商响应文件将被拒绝，由此造成竞争性磋商响应文件被误投或提前拆封的风险由供应商承担。</w:t>
      </w:r>
    </w:p>
    <w:p>
      <w:pPr>
        <w:snapToGrid w:val="0"/>
        <w:spacing w:line="360" w:lineRule="auto"/>
        <w:ind w:firstLine="42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8.7</w:t>
      </w:r>
      <w:r>
        <w:rPr>
          <w:rFonts w:hint="eastAsia" w:ascii="宋体" w:hAnsi="宋体" w:cs="宋体"/>
          <w:color w:val="000000" w:themeColor="text1"/>
          <w14:textFill>
            <w14:solidFill>
              <w14:schemeClr w14:val="tx1"/>
            </w14:solidFill>
          </w14:textFill>
        </w:rPr>
        <w:t>供应商在磋商截止时间之前，可以对已提交的竞争性磋商响应文件进行修改或撤回，并书面通知采购人；修改后重新递交的竞争性磋商响应文件应当按本竞争性磋商采购文件的要求签署、盖章和密封。磋商截止时间后，供应商不得撤回、修改竞争性磋商响应文件。</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文件袋外层封面上应写明：</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）采购项目名称；</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）采购项目编号；</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）分标号（如有）；</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）供应商名称；</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）供应商地址。</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）北京时间年月日时分开标，在此时间以前不得开封。</w:t>
      </w:r>
    </w:p>
    <w:p>
      <w:pPr>
        <w:spacing w:line="360" w:lineRule="auto"/>
        <w:ind w:firstLine="316" w:firstLineChars="150"/>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9. </w:t>
      </w:r>
      <w:r>
        <w:rPr>
          <w:rFonts w:hint="eastAsia" w:ascii="宋体" w:hAnsi="宋体" w:cs="宋体"/>
          <w:b/>
          <w:bCs/>
          <w:color w:val="000000" w:themeColor="text1"/>
          <w14:textFill>
            <w14:solidFill>
              <w14:schemeClr w14:val="tx1"/>
            </w14:solidFill>
          </w14:textFill>
        </w:rPr>
        <w:t>竞争性磋商响应文件的递交</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9.1 </w:t>
      </w:r>
      <w:r>
        <w:rPr>
          <w:rFonts w:hint="eastAsia" w:ascii="宋体" w:hAnsi="宋体" w:cs="宋体"/>
          <w:color w:val="000000" w:themeColor="text1"/>
          <w14:textFill>
            <w14:solidFill>
              <w14:schemeClr w14:val="tx1"/>
            </w14:solidFill>
          </w14:textFill>
        </w:rPr>
        <w:t>所有竞争性磋商响应文件应于竞争性磋商采购文件中规定的时间前递交到指定地点。</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9.2 </w:t>
      </w:r>
      <w:r>
        <w:rPr>
          <w:rFonts w:hint="eastAsia" w:ascii="宋体" w:hAnsi="宋体" w:cs="宋体"/>
          <w:color w:val="000000" w:themeColor="text1"/>
          <w14:textFill>
            <w14:solidFill>
              <w14:schemeClr w14:val="tx1"/>
            </w14:solidFill>
          </w14:textFill>
        </w:rPr>
        <w:t>竞争性磋商响应文件从响应文件递交截止日期后</w:t>
      </w:r>
      <w:r>
        <w:rPr>
          <w:rFonts w:ascii="宋体" w:hAnsi="宋体" w:cs="宋体"/>
          <w:color w:val="000000" w:themeColor="text1"/>
          <w14:textFill>
            <w14:solidFill>
              <w14:schemeClr w14:val="tx1"/>
            </w14:solidFill>
          </w14:textFill>
        </w:rPr>
        <w:t>60</w:t>
      </w:r>
      <w:r>
        <w:rPr>
          <w:rFonts w:hint="eastAsia" w:ascii="宋体" w:hAnsi="宋体" w:cs="宋体"/>
          <w:color w:val="000000" w:themeColor="text1"/>
          <w14:textFill>
            <w14:solidFill>
              <w14:schemeClr w14:val="tx1"/>
            </w14:solidFill>
          </w14:textFill>
        </w:rPr>
        <w:t>天内有效。</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9.3</w:t>
      </w:r>
      <w:r>
        <w:rPr>
          <w:rFonts w:hint="eastAsia" w:ascii="宋体" w:hAnsi="宋体" w:cs="宋体"/>
          <w:color w:val="000000" w:themeColor="text1"/>
          <w14:textFill>
            <w14:solidFill>
              <w14:schemeClr w14:val="tx1"/>
            </w14:solidFill>
          </w14:textFill>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ind w:firstLine="316" w:firstLineChars="150"/>
        <w:rPr>
          <w:rFonts w:ascii="宋体" w:hAns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10. </w:t>
      </w:r>
      <w:r>
        <w:rPr>
          <w:rFonts w:hint="eastAsia" w:ascii="宋体" w:hAnsi="宋体" w:cs="宋体"/>
          <w:b/>
          <w:bCs/>
          <w:color w:val="000000" w:themeColor="text1"/>
          <w14:textFill>
            <w14:solidFill>
              <w14:schemeClr w14:val="tx1"/>
            </w14:solidFill>
          </w14:textFill>
        </w:rPr>
        <w:t>迟交的竞争性磋商响应文件</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10.1 </w:t>
      </w:r>
      <w:r>
        <w:rPr>
          <w:rFonts w:hint="eastAsia" w:ascii="宋体" w:hAnsi="宋体" w:cs="宋体"/>
          <w:color w:val="000000" w:themeColor="text1"/>
          <w14:textFill>
            <w14:solidFill>
              <w14:schemeClr w14:val="tx1"/>
            </w14:solidFill>
          </w14:textFill>
        </w:rPr>
        <w:t>在本文件要求竞争性磋商响应文件递交截止时间后送达的竞争性磋商响应文件为无效文件，广西建展建设工程管理集团有限公司将拒收。</w:t>
      </w:r>
    </w:p>
    <w:p>
      <w:pPr>
        <w:spacing w:line="360" w:lineRule="auto"/>
        <w:ind w:firstLine="316" w:firstLineChars="15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11.</w:t>
      </w:r>
      <w:r>
        <w:rPr>
          <w:rFonts w:hint="eastAsia" w:ascii="宋体" w:hAnsi="宋体" w:cs="宋体"/>
          <w:b/>
          <w:bCs/>
          <w:color w:val="000000" w:themeColor="text1"/>
          <w14:textFill>
            <w14:solidFill>
              <w14:schemeClr w14:val="tx1"/>
            </w14:solidFill>
          </w14:textFill>
        </w:rPr>
        <w:t>保证金金额</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无</w:t>
      </w:r>
      <w:r>
        <w:rPr>
          <w:rFonts w:hint="eastAsia" w:ascii="宋体" w:hAnsi="宋体" w:cs="宋体"/>
          <w:color w:val="000000" w:themeColor="text1"/>
          <w14:textFill>
            <w14:solidFill>
              <w14:schemeClr w14:val="tx1"/>
            </w14:solidFill>
          </w14:textFill>
        </w:rPr>
        <w:t>。</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14:textFill>
            <w14:solidFill>
              <w14:schemeClr w14:val="tx1"/>
            </w14:solidFill>
          </w14:textFill>
        </w:rPr>
        <w:t>保证金交纳方式：供应商必须于磋商截止时间前将磋商保证金通过单位银行账户以电汇、转账等非现金形式交至保证金专用账户并确保到账。</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14:textFill>
            <w14:solidFill>
              <w14:schemeClr w14:val="tx1"/>
            </w14:solidFill>
          </w14:textFill>
        </w:rPr>
        <w:t>供应商的磋商保证金应在竞争性磋商采购文件规定时间内递交。</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11.3 </w:t>
      </w:r>
      <w:r>
        <w:rPr>
          <w:rFonts w:hint="eastAsia" w:ascii="宋体" w:hAnsi="宋体" w:cs="宋体"/>
          <w:color w:val="000000" w:themeColor="text1"/>
          <w14:textFill>
            <w14:solidFill>
              <w14:schemeClr w14:val="tx1"/>
            </w14:solidFill>
          </w14:textFill>
        </w:rPr>
        <w:t>办理保证金手续时，请务必注明项目名称、项目编号、分标号（如有），以免耽误竞争性磋商。</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11.4</w:t>
      </w:r>
      <w:r>
        <w:rPr>
          <w:rFonts w:hint="eastAsia" w:ascii="宋体" w:hAnsi="宋体" w:cs="宋体"/>
          <w:color w:val="000000" w:themeColor="text1"/>
          <w14:textFill>
            <w14:solidFill>
              <w14:schemeClr w14:val="tx1"/>
            </w14:solidFill>
          </w14:textFill>
        </w:rPr>
        <w:t>非成交供应商的保证金在成交通知书发出后通过系统原路退回，（含息）；成交供应商的保证金在采购人与成交供应商签订采购项目合同后退回，（含息）。成交供应商与采购签订合同后应将合同送达本公司。</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11.5 </w:t>
      </w:r>
      <w:r>
        <w:rPr>
          <w:rFonts w:hint="eastAsia" w:ascii="宋体" w:hAnsi="宋体" w:cs="宋体"/>
          <w:color w:val="000000" w:themeColor="text1"/>
          <w14:textFill>
            <w14:solidFill>
              <w14:schemeClr w14:val="tx1"/>
            </w14:solidFill>
          </w14:textFill>
        </w:rPr>
        <w:t>对应交未交保证金的竞争性磋商响应文件，将会在评审中按照无效竞争性磋商响应文件处理。</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11.6 </w:t>
      </w:r>
      <w:r>
        <w:rPr>
          <w:rFonts w:hint="eastAsia" w:ascii="宋体" w:hAnsi="宋体" w:cs="宋体"/>
          <w:color w:val="000000" w:themeColor="text1"/>
          <w14:textFill>
            <w14:solidFill>
              <w14:schemeClr w14:val="tx1"/>
            </w14:solidFill>
          </w14:textFill>
        </w:rPr>
        <w:t>供应商有下列情形之一的，保证金将不予退还：</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）供应商在提交响应文件截止时间后撤回响应文件的；</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）供应商在竞争性磋商响应文件中提供虚假材料的；</w:t>
      </w:r>
    </w:p>
    <w:p>
      <w:pPr>
        <w:spacing w:line="360" w:lineRule="auto"/>
        <w:ind w:firstLine="315" w:firstLineChars="15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）除因不可抗力或竞争性磋商采购文件认可的情形以外，成交供应商不与采购人签订协议的；</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）供应商与采购人、其他供应商或者采购代理机构恶意串通的；</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）磋商文件规定的其他情形。</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注：供应商已经被推荐为第一成交候选供应商后撤回竞争性磋商响应文件或拒绝签订采购合同的，其保证金将不予退还，并上缴相关单位。给采购人造成其损失的，还应当赔偿损失，并作为不良行为记录在案。</w:t>
      </w:r>
    </w:p>
    <w:p>
      <w:pPr>
        <w:pStyle w:val="7"/>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五、磋商程序及评审方法</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t>磋商小组组建</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磋商小组由采购人代表和评审专家共</w:t>
      </w:r>
      <w:r>
        <w:rPr>
          <w:rFonts w:ascii="宋体" w:hAnsi="宋体" w:cs="宋体"/>
          <w:color w:val="000000" w:themeColor="text1"/>
          <w14:textFill>
            <w14:solidFill>
              <w14:schemeClr w14:val="tx1"/>
            </w14:solidFill>
          </w14:textFill>
        </w:rPr>
        <w:t xml:space="preserve"> 3 </w:t>
      </w:r>
      <w:r>
        <w:rPr>
          <w:rFonts w:hint="eastAsia" w:ascii="宋体" w:hAnsi="宋体" w:cs="宋体"/>
          <w:color w:val="000000" w:themeColor="text1"/>
          <w14:textFill>
            <w14:solidFill>
              <w14:schemeClr w14:val="tx1"/>
            </w14:solidFill>
          </w14:textFill>
        </w:rPr>
        <w:t>人组成，其中评审专家人数不得少于磋商小组成员总数的</w:t>
      </w:r>
      <w:r>
        <w:rPr>
          <w:rFonts w:ascii="宋体" w:hAnsi="宋体" w:cs="宋体"/>
          <w:color w:val="000000" w:themeColor="text1"/>
          <w14:textFill>
            <w14:solidFill>
              <w14:schemeClr w14:val="tx1"/>
            </w14:solidFill>
          </w14:textFill>
        </w:rPr>
        <w:t xml:space="preserve"> 2/3</w:t>
      </w:r>
      <w:r>
        <w:rPr>
          <w:rFonts w:hint="eastAsia" w:ascii="宋体" w:hAnsi="宋体" w:cs="宋体"/>
          <w:color w:val="000000" w:themeColor="text1"/>
          <w14:textFill>
            <w14:solidFill>
              <w14:schemeClr w14:val="tx1"/>
            </w14:solidFill>
          </w14:textFill>
        </w:rPr>
        <w:t>。</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w:t>
      </w:r>
      <w:r>
        <w:rPr>
          <w:rFonts w:hint="eastAsia" w:ascii="宋体" w:hAnsi="宋体" w:cs="宋体"/>
          <w:color w:val="000000" w:themeColor="text1"/>
          <w14:textFill>
            <w14:solidFill>
              <w14:schemeClr w14:val="tx1"/>
            </w14:solidFill>
          </w14:textFill>
        </w:rPr>
        <w:t>评审程序</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采购代理机向磋商小组移交接收所有的响应文件。</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13.2</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磋商小组评审响应文件</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磋商小组对供应商资格条件和响应文件的有效性、完整性和响应程度进行审查。对资格条件不符合的供应商或未实质性响应磋商文件的响应文件按无效响应处理，磋商小组应当告知有关供应商。</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13.3</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澄清</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13.4</w:t>
      </w:r>
      <w:r>
        <w:rPr>
          <w:rFonts w:hint="eastAsia" w:ascii="宋体" w:hAnsi="宋体" w:cs="宋体"/>
          <w:color w:val="000000" w:themeColor="text1"/>
          <w14:textFill>
            <w14:solidFill>
              <w14:schemeClr w14:val="tx1"/>
            </w14:solidFill>
          </w14:textFill>
        </w:rPr>
        <w:t>磋商</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在磋商正式开始前由磋商小组对竞争性磋商采购文件进行确认，认可竞争性磋商文件的内容符合法律法规的规定、不存在歧视性或排他性内容。</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未实质性响应竞争性磋商文件的竞争性磋商响应文件按无效处理，磋商小组应当告知有关供应商。</w:t>
      </w:r>
    </w:p>
    <w:p>
      <w:pPr>
        <w:spacing w:line="360" w:lineRule="auto"/>
        <w:ind w:firstLine="316" w:firstLineChars="150"/>
        <w:rPr>
          <w:rFonts w:ascii="宋体" w:hAns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13.4.1 </w:t>
      </w:r>
      <w:r>
        <w:rPr>
          <w:rFonts w:hint="eastAsia" w:ascii="宋体" w:hAnsi="宋体" w:cs="宋体"/>
          <w:b/>
          <w:bCs/>
          <w:color w:val="000000" w:themeColor="text1"/>
          <w14:textFill>
            <w14:solidFill>
              <w14:schemeClr w14:val="tx1"/>
            </w14:solidFill>
          </w14:textFill>
        </w:rPr>
        <w:t>第一轮磋商</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磋商时间及地点</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详见本须知前附表第</w:t>
      </w: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项规定。</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对竞争性磋商响应文件进行资格性审查，依据竞争性磋商采购文件对已通过资格性审核的各竞争性磋商响应文件进行书面评审，审查竞争性磋商响应文件是否实质上响应了竞争性磋商采购文件的要求，在评审后由磋商小组组长主持，归纳各专家审核意见，形成磋商要点。磋商小组依据磋商要点，与单一供应商分别进行磋商，给予所有参加磋商的供应商平等的磋商机会。</w:t>
      </w:r>
    </w:p>
    <w:p>
      <w:pPr>
        <w:autoSpaceDE w:val="0"/>
        <w:autoSpaceDN w:val="0"/>
        <w:snapToGrid w:val="0"/>
        <w:spacing w:line="360" w:lineRule="auto"/>
        <w:ind w:firstLine="420" w:firstLineChars="200"/>
        <w:textAlignment w:val="bottom"/>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磋商主要内容及程序：</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 </w:t>
      </w:r>
      <w:r>
        <w:rPr>
          <w:rFonts w:hint="eastAsia" w:ascii="宋体" w:hAnsi="宋体" w:cs="宋体"/>
          <w:color w:val="000000" w:themeColor="text1"/>
          <w14:textFill>
            <w14:solidFill>
              <w14:schemeClr w14:val="tx1"/>
            </w14:solidFill>
          </w14:textFill>
        </w:rPr>
        <w:t>就本项目各类报价进行磋商；</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 </w:t>
      </w:r>
      <w:r>
        <w:rPr>
          <w:rFonts w:hint="eastAsia" w:ascii="宋体" w:hAnsi="宋体" w:cs="宋体"/>
          <w:color w:val="000000" w:themeColor="text1"/>
          <w14:textFill>
            <w14:solidFill>
              <w14:schemeClr w14:val="tx1"/>
            </w14:solidFill>
          </w14:textFill>
        </w:rPr>
        <w:t>就本项目的服务承诺进行磋商；</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 </w:t>
      </w:r>
      <w:r>
        <w:rPr>
          <w:rFonts w:hint="eastAsia" w:ascii="宋体" w:hAnsi="宋体" w:cs="宋体"/>
          <w:color w:val="000000" w:themeColor="text1"/>
          <w14:textFill>
            <w14:solidFill>
              <w14:schemeClr w14:val="tx1"/>
            </w14:solidFill>
          </w14:textFill>
        </w:rPr>
        <w:t>就本项目的质量要求进行磋商并对其作出相关承诺。</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磋商评审在严格保密的情况下进行，磋商的任何一方不得透露与磋商有关的其他供应商的技术服务资料、价格和其他信息。本公司对磋商过程和重要磋商内容进行记录，磋商双方及记录人在记录上签字确认。</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磋商后，供应商根据磋商小组统一整理的书面磋商记录要求做出书面承诺，并由其法定代表人或授权代表签字后按时密封递交，如若法定代表人或授权代表未在规定处签字的，视为无效文件。</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当磋商小组一致确定供应商的竞争性磋商响应文件能够详细列明采购标的技术、服务要求且符合竞争性磋商文件要求，无需再磋商的，磋商小组按竞争性磋商采购文件设定的和综合评分法确定成交候选供应商。第一轮磋商后竞争性磋商文件有实质性变动或仍需磋商的，磋商小组对竞争性磋商文件变动或提出磋商意见后进行第二轮磋商。</w:t>
      </w:r>
    </w:p>
    <w:p>
      <w:pPr>
        <w:spacing w:line="360" w:lineRule="auto"/>
        <w:ind w:firstLine="316" w:firstLineChars="150"/>
        <w:rPr>
          <w:rFonts w:ascii="宋体" w:hAns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13.4.2 </w:t>
      </w:r>
      <w:r>
        <w:rPr>
          <w:rFonts w:hint="eastAsia" w:ascii="宋体" w:hAnsi="宋体" w:cs="宋体"/>
          <w:b/>
          <w:bCs/>
          <w:color w:val="000000" w:themeColor="text1"/>
          <w14:textFill>
            <w14:solidFill>
              <w14:schemeClr w14:val="tx1"/>
            </w14:solidFill>
          </w14:textFill>
        </w:rPr>
        <w:t>竞争性磋商文件变动</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⑴第一轮磋商结束后，各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对竞争性磋商文件作出的实质性变动是竞争性磋商文件的有效组成部分，磋商小组应当及时以书面形式同时通知所有参加磋商的供应商，并要求供应商做出书面响应。</w:t>
      </w:r>
    </w:p>
    <w:p>
      <w:pPr>
        <w:spacing w:line="360" w:lineRule="auto"/>
        <w:ind w:firstLine="315" w:firstLineChars="150"/>
        <w:rPr>
          <w:rFonts w:asci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⑵供应商应当按照竞争性磋商文件的变动情况和磋商小组的要求重新提交竞争性磋商响应文件，并由其法定代表人或授权代表签字或者加盖公章后密封递交。由授权代表（委托代理人）签字的，应当附法定代表人授权书。供应商为自然人的，应当由本人签字并附身份证明。逾时不交的，视同放弃磋商。重新提交的响应文件与竞争性磋商响应文件同具法律效力。</w:t>
      </w:r>
    </w:p>
    <w:p>
      <w:pPr>
        <w:spacing w:line="360" w:lineRule="auto"/>
        <w:ind w:firstLine="316" w:firstLineChars="150"/>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13.4.3 </w:t>
      </w:r>
      <w:r>
        <w:rPr>
          <w:rFonts w:hint="eastAsia" w:ascii="宋体" w:hAnsi="宋体" w:cs="宋体"/>
          <w:b/>
          <w:bCs/>
          <w:color w:val="000000" w:themeColor="text1"/>
          <w14:textFill>
            <w14:solidFill>
              <w14:schemeClr w14:val="tx1"/>
            </w14:solidFill>
          </w14:textFill>
        </w:rPr>
        <w:t>第二轮磋商</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磋商小组集中就重新提交的响应文件或磋商小组提出的磋商意见与单一响应供应商分别进行磋商。本公司对磋商过程和重要磋商内容进行记录，磋商双方在记录上签字确认。</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磋商后，供应商根据磋商小组统一整理的书面磋商记录要求做出书面承诺，并由其法定代表人或授权代表签字或者加盖公章后按时密封递交。</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当磋商小组一致确定供应商的竞争性磋商响应文件能够详细列明采购标的的技术、服务要求且符合竞争性磋商文件要求，无需再磋商的，磋商小组按竞争性磋商文件设定的</w:t>
      </w:r>
      <w:r>
        <w:rPr>
          <w:rFonts w:ascii="宋体" w:hAnsi="宋体" w:cs="宋体"/>
          <w:color w:val="000000" w:themeColor="text1"/>
          <w14:textFill>
            <w14:solidFill>
              <w14:schemeClr w14:val="tx1"/>
            </w14:solidFill>
          </w14:textFill>
        </w:rPr>
        <w:t>13.4</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13.8</w:t>
      </w:r>
      <w:r>
        <w:rPr>
          <w:rFonts w:hint="eastAsia" w:ascii="宋体" w:hAnsi="宋体" w:cs="宋体"/>
          <w:color w:val="000000" w:themeColor="text1"/>
          <w14:textFill>
            <w14:solidFill>
              <w14:schemeClr w14:val="tx1"/>
            </w14:solidFill>
          </w14:textFill>
        </w:rPr>
        <w:t>程序和综合评分法确定成交候选供应商。第二轮磋商后竞争性磋商文件仍有实质性变动的或仍需磋商的，磋商小组对竞争性磋商文件变动或提出磋商意见后进行第三轮磋商，以此类推。</w:t>
      </w:r>
    </w:p>
    <w:p>
      <w:pPr>
        <w:spacing w:line="360" w:lineRule="auto"/>
        <w:ind w:firstLine="316" w:firstLineChars="150"/>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13.5</w:t>
      </w:r>
      <w:r>
        <w:rPr>
          <w:rFonts w:hint="eastAsia" w:ascii="宋体" w:hAnsi="宋体" w:cs="宋体"/>
          <w:b/>
          <w:bCs/>
          <w:color w:val="000000" w:themeColor="text1"/>
          <w14:textFill>
            <w14:solidFill>
              <w14:schemeClr w14:val="tx1"/>
            </w14:solidFill>
          </w14:textFill>
        </w:rPr>
        <w:t>最后报价</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13.5.1</w:t>
      </w:r>
      <w:r>
        <w:rPr>
          <w:rFonts w:hint="eastAsia" w:ascii="宋体" w:hAnsi="宋体" w:cs="宋体"/>
          <w:color w:val="000000" w:themeColor="text1"/>
          <w14:textFill>
            <w14:solidFill>
              <w14:schemeClr w14:val="tx1"/>
            </w14:solidFill>
          </w14:textFill>
        </w:rPr>
        <w:t>磋商文件能够详细列明采购标的的技术、服务要求的，磋商结束后，磋商小组应当要求所有继续参加磋商的供应商在规定时间内密封提交最后报价，提交最后报价的供应商不得少于</w:t>
      </w:r>
      <w:r>
        <w:rPr>
          <w:rFonts w:ascii="宋体" w:hAnsi="宋体" w:cs="宋体"/>
          <w:color w:val="000000" w:themeColor="text1"/>
          <w14:textFill>
            <w14:solidFill>
              <w14:schemeClr w14:val="tx1"/>
            </w14:solidFill>
          </w14:textFill>
        </w:rPr>
        <w:t xml:space="preserve"> 3 </w:t>
      </w:r>
      <w:r>
        <w:rPr>
          <w:rFonts w:hint="eastAsia" w:ascii="宋体" w:hAnsi="宋体" w:cs="宋体"/>
          <w:color w:val="000000" w:themeColor="text1"/>
          <w14:textFill>
            <w14:solidFill>
              <w14:schemeClr w14:val="tx1"/>
            </w14:solidFill>
          </w14:textFill>
        </w:rPr>
        <w:t>家。</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13.5.2</w:t>
      </w:r>
      <w:r>
        <w:rPr>
          <w:rFonts w:hint="eastAsia" w:ascii="宋体" w:hAnsi="宋体" w:cs="宋体"/>
          <w:color w:val="000000" w:themeColor="text1"/>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w:t>
      </w:r>
      <w:r>
        <w:rPr>
          <w:rFonts w:ascii="宋体" w:hAnsi="宋体" w:cs="宋体"/>
          <w:color w:val="000000" w:themeColor="text1"/>
          <w14:textFill>
            <w14:solidFill>
              <w14:schemeClr w14:val="tx1"/>
            </w14:solidFill>
          </w14:textFill>
        </w:rPr>
        <w:t xml:space="preserve"> 3 </w:t>
      </w:r>
      <w:r>
        <w:rPr>
          <w:rFonts w:hint="eastAsia" w:ascii="宋体" w:hAnsi="宋体" w:cs="宋体"/>
          <w:color w:val="000000" w:themeColor="text1"/>
          <w14:textFill>
            <w14:solidFill>
              <w14:schemeClr w14:val="tx1"/>
            </w14:solidFill>
          </w14:textFill>
        </w:rPr>
        <w:t>家以上供应商的设计方案或者解决方案，并要求其在规定时间内密封提交最后报价。</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13.5.3</w:t>
      </w:r>
      <w:r>
        <w:rPr>
          <w:rFonts w:hint="eastAsia" w:ascii="宋体" w:hAnsi="宋体" w:cs="宋体"/>
          <w:color w:val="000000" w:themeColor="text1"/>
          <w14:textFill>
            <w14:solidFill>
              <w14:schemeClr w14:val="tx1"/>
            </w14:solidFill>
          </w14:textFill>
        </w:rPr>
        <w:t>属于市场竞争不充分的科研项目，以及需要扶持的科技成果转化项目，提交最后报价的供应商可以为</w:t>
      </w:r>
      <w:r>
        <w:rPr>
          <w:rFonts w:ascii="宋体" w:hAnsi="宋体" w:cs="宋体"/>
          <w:color w:val="000000" w:themeColor="text1"/>
          <w14:textFill>
            <w14:solidFill>
              <w14:schemeClr w14:val="tx1"/>
            </w14:solidFill>
          </w14:textFill>
        </w:rPr>
        <w:t xml:space="preserve"> 2 </w:t>
      </w:r>
      <w:r>
        <w:rPr>
          <w:rFonts w:hint="eastAsia" w:ascii="宋体" w:hAnsi="宋体" w:cs="宋体"/>
          <w:color w:val="000000" w:themeColor="text1"/>
          <w14:textFill>
            <w14:solidFill>
              <w14:schemeClr w14:val="tx1"/>
            </w14:solidFill>
          </w14:textFill>
        </w:rPr>
        <w:t>家。</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13.5.4</w:t>
      </w:r>
      <w:r>
        <w:rPr>
          <w:rFonts w:hint="eastAsia" w:ascii="宋体" w:hAnsi="宋体" w:cs="宋体"/>
          <w:color w:val="000000" w:themeColor="text1"/>
          <w14:textFill>
            <w14:solidFill>
              <w14:schemeClr w14:val="tx1"/>
            </w14:solidFill>
          </w14:textFill>
        </w:rPr>
        <w:t>根据财库【</w:t>
      </w:r>
      <w:r>
        <w:rPr>
          <w:rFonts w:ascii="宋体" w:hAnsi="宋体" w:cs="宋体"/>
          <w:color w:val="000000" w:themeColor="text1"/>
          <w14:textFill>
            <w14:solidFill>
              <w14:schemeClr w14:val="tx1"/>
            </w14:solidFill>
          </w14:textFill>
        </w:rPr>
        <w:t>2015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124 </w:t>
      </w:r>
      <w:r>
        <w:rPr>
          <w:rFonts w:hint="eastAsia" w:ascii="宋体" w:hAnsi="宋体" w:cs="宋体"/>
          <w:color w:val="000000" w:themeColor="text1"/>
          <w14:textFill>
            <w14:solidFill>
              <w14:schemeClr w14:val="tx1"/>
            </w14:solidFill>
          </w14:textFill>
        </w:rPr>
        <w:t>号《财政部关于政府采购竞争性磋商采购方式管理暂行办法有关问题的补充通知》的规定，采用竞争性磋商采购方式采购的政府购买服务项目（含政府和社会资本合作项目），在采购过程中符合要求的供应商（社会资本）只有</w:t>
      </w:r>
      <w:r>
        <w:rPr>
          <w:rFonts w:ascii="宋体" w:hAnsi="宋体" w:cs="宋体"/>
          <w:color w:val="000000" w:themeColor="text1"/>
          <w14:textFill>
            <w14:solidFill>
              <w14:schemeClr w14:val="tx1"/>
            </w14:solidFill>
          </w14:textFill>
        </w:rPr>
        <w:t xml:space="preserve"> 2 </w:t>
      </w:r>
      <w:r>
        <w:rPr>
          <w:rFonts w:hint="eastAsia" w:ascii="宋体" w:hAnsi="宋体" w:cs="宋体"/>
          <w:color w:val="000000" w:themeColor="text1"/>
          <w14:textFill>
            <w14:solidFill>
              <w14:schemeClr w14:val="tx1"/>
            </w14:solidFill>
          </w14:textFill>
        </w:rPr>
        <w:t>家的，竞争性磋商采购活动可以继续进行。采购过程中符合要求的供应商（社会资本）只有</w:t>
      </w:r>
      <w:r>
        <w:rPr>
          <w:rFonts w:ascii="宋体" w:hAnsi="宋体" w:cs="宋体"/>
          <w:color w:val="000000" w:themeColor="text1"/>
          <w14:textFill>
            <w14:solidFill>
              <w14:schemeClr w14:val="tx1"/>
            </w14:solidFill>
          </w14:textFill>
        </w:rPr>
        <w:t xml:space="preserve"> 1 </w:t>
      </w:r>
      <w:r>
        <w:rPr>
          <w:rFonts w:hint="eastAsia" w:ascii="宋体" w:hAnsi="宋体" w:cs="宋体"/>
          <w:color w:val="000000" w:themeColor="text1"/>
          <w14:textFill>
            <w14:solidFill>
              <w14:schemeClr w14:val="tx1"/>
            </w14:solidFill>
          </w14:textFill>
        </w:rPr>
        <w:t>家的，采购人（项目实施机构）或者采购代理机构应当终止竞争性磋商采购活动，发布项目终止公告并说明原因，重新开展采购活动。</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13.5.5</w:t>
      </w:r>
      <w:r>
        <w:rPr>
          <w:rFonts w:hint="eastAsia" w:ascii="宋体" w:hAnsi="宋体" w:cs="宋体"/>
          <w:color w:val="000000" w:themeColor="text1"/>
          <w14:textFill>
            <w14:solidFill>
              <w14:schemeClr w14:val="tx1"/>
            </w14:solidFill>
          </w14:textFill>
        </w:rPr>
        <w:t>最后报价是供应商响应文件的有效组成部分。</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13.5.6</w:t>
      </w:r>
      <w:r>
        <w:rPr>
          <w:rFonts w:hint="eastAsia" w:ascii="宋体" w:hAnsi="宋体" w:cs="宋体"/>
          <w:color w:val="000000" w:themeColor="text1"/>
          <w14:textFill>
            <w14:solidFill>
              <w14:schemeClr w14:val="tx1"/>
            </w14:solidFill>
          </w14:textFill>
        </w:rPr>
        <w:t>已经提交响应文件的供应商，在提交最后报价之前，可以根据磋商情况退出磋商。采购人、采购代理机构将退还退出磋商的供应商的保证金。</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13.5.7</w:t>
      </w:r>
      <w:r>
        <w:rPr>
          <w:rFonts w:hint="eastAsia" w:ascii="宋体" w:hAnsi="宋体" w:cs="宋体"/>
          <w:color w:val="000000" w:themeColor="text1"/>
          <w14:textFill>
            <w14:solidFill>
              <w14:schemeClr w14:val="tx1"/>
            </w14:solidFill>
          </w14:textFill>
        </w:rPr>
        <w:t>响应供应商的报价均超过了采购预算，采购人不能支付的，磋商活动终止。</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13.5.8</w:t>
      </w:r>
      <w:r>
        <w:rPr>
          <w:rFonts w:hint="eastAsia" w:ascii="宋体" w:hAnsi="宋体" w:cs="宋体"/>
          <w:color w:val="000000" w:themeColor="text1"/>
          <w14:textFill>
            <w14:solidFill>
              <w14:schemeClr w14:val="tx1"/>
            </w14:solidFill>
          </w14:textFill>
        </w:rPr>
        <w:t>低于成本报价</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pPr>
        <w:spacing w:line="360" w:lineRule="auto"/>
        <w:ind w:firstLine="316" w:firstLineChars="150"/>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13.6</w:t>
      </w:r>
      <w:r>
        <w:rPr>
          <w:rFonts w:hint="eastAsia" w:ascii="宋体" w:hAnsi="宋体" w:cs="宋体"/>
          <w:b/>
          <w:bCs/>
          <w:color w:val="000000" w:themeColor="text1"/>
          <w14:textFill>
            <w14:solidFill>
              <w14:schemeClr w14:val="tx1"/>
            </w14:solidFill>
          </w14:textFill>
        </w:rPr>
        <w:t>最后报价及成交候选供应商推荐</w:t>
      </w:r>
    </w:p>
    <w:p>
      <w:pPr>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磋商结束后，磋商小组要求所有继续参加磋商的供应商在规定时间内提交最后报价。继续参加磋商的供应商作最后报价，由其法定代表人或授权代表签字或者加盖公章后密封递交磋商小组。</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磋商小组根据综合评分情况，按照评审得分由高到低顺序推荐</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名成交候选供应商（如为本须知</w:t>
      </w:r>
      <w:r>
        <w:rPr>
          <w:rFonts w:ascii="宋体" w:hAnsi="宋体" w:cs="宋体"/>
          <w:color w:val="000000" w:themeColor="text1"/>
          <w14:textFill>
            <w14:solidFill>
              <w14:schemeClr w14:val="tx1"/>
            </w14:solidFill>
          </w14:textFill>
        </w:rPr>
        <w:t>13.5.3</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13.5.4</w:t>
      </w:r>
      <w:r>
        <w:rPr>
          <w:rFonts w:hint="eastAsia" w:ascii="宋体" w:hAnsi="宋体" w:cs="宋体"/>
          <w:color w:val="000000" w:themeColor="text1"/>
          <w14:textFill>
            <w14:solidFill>
              <w14:schemeClr w14:val="tx1"/>
            </w14:solidFill>
          </w14:textFill>
        </w:rPr>
        <w:t>规定的情形，可以推荐</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家成交候选供应商），并编写评审报告。评审得分相同的，按照最后报价由低到高的顺序推荐。评审得分且最后报价相同的，按照技术指标优劣顺序推荐，由采购单位确定成交候选供应商。最后报价是供应商竞争性磋商响应文件的有效组成部分。</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312" w:firstLineChars="150"/>
        <w:rPr>
          <w:rFonts w:ascii="宋体" w:cs="宋体"/>
          <w:b/>
          <w:bCs/>
          <w:color w:val="000000" w:themeColor="text1"/>
          <w14:textFill>
            <w14:solidFill>
              <w14:schemeClr w14:val="tx1"/>
            </w14:solidFill>
          </w14:textFill>
        </w:rPr>
      </w:pPr>
      <w:r>
        <w:rPr>
          <w:rFonts w:hint="eastAsia" w:ascii="宋体" w:hAnsi="宋体" w:cs="宋体"/>
          <w:b/>
          <w:bCs/>
          <w:color w:val="000000" w:themeColor="text1"/>
          <w:w w:val="99"/>
          <w14:textFill>
            <w14:solidFill>
              <w14:schemeClr w14:val="tx1"/>
            </w14:solidFill>
          </w14:textFill>
        </w:rPr>
        <w:t>在评标过程中</w:t>
      </w:r>
      <w:r>
        <w:rPr>
          <w:rFonts w:hint="eastAsia" w:ascii="宋体" w:hAnsi="宋体" w:cs="宋体"/>
          <w:b/>
          <w:bCs/>
          <w:color w:val="000000" w:themeColor="text1"/>
          <w:spacing w:val="15"/>
          <w:w w:val="99"/>
          <w14:textFill>
            <w14:solidFill>
              <w14:schemeClr w14:val="tx1"/>
            </w14:solidFill>
          </w14:textFill>
        </w:rPr>
        <w:t>出</w:t>
      </w:r>
      <w:r>
        <w:rPr>
          <w:rFonts w:hint="eastAsia" w:ascii="宋体" w:hAnsi="宋体" w:cs="宋体"/>
          <w:b/>
          <w:bCs/>
          <w:color w:val="000000" w:themeColor="text1"/>
          <w:w w:val="99"/>
          <w14:textFill>
            <w14:solidFill>
              <w14:schemeClr w14:val="tx1"/>
            </w14:solidFill>
          </w14:textFill>
        </w:rPr>
        <w:t>现法律法规和磋商文件均没有明确规</w:t>
      </w:r>
      <w:r>
        <w:rPr>
          <w:rFonts w:hint="eastAsia" w:ascii="宋体" w:hAnsi="宋体" w:cs="宋体"/>
          <w:b/>
          <w:bCs/>
          <w:color w:val="000000" w:themeColor="text1"/>
          <w:spacing w:val="15"/>
          <w:w w:val="99"/>
          <w14:textFill>
            <w14:solidFill>
              <w14:schemeClr w14:val="tx1"/>
            </w14:solidFill>
          </w14:textFill>
        </w:rPr>
        <w:t>定</w:t>
      </w:r>
      <w:r>
        <w:rPr>
          <w:rFonts w:hint="eastAsia" w:ascii="宋体" w:hAnsi="宋体" w:cs="宋体"/>
          <w:b/>
          <w:bCs/>
          <w:color w:val="000000" w:themeColor="text1"/>
          <w:w w:val="99"/>
          <w14:textFill>
            <w14:solidFill>
              <w14:schemeClr w14:val="tx1"/>
            </w14:solidFill>
          </w14:textFill>
        </w:rPr>
        <w:t>的情形时</w:t>
      </w:r>
      <w:r>
        <w:rPr>
          <w:rFonts w:hint="eastAsia" w:ascii="宋体" w:hAnsi="宋体" w:cs="宋体"/>
          <w:b/>
          <w:bCs/>
          <w:color w:val="000000" w:themeColor="text1"/>
          <w:spacing w:val="-75"/>
          <w:w w:val="99"/>
          <w14:textFill>
            <w14:solidFill>
              <w14:schemeClr w14:val="tx1"/>
            </w14:solidFill>
          </w14:textFill>
        </w:rPr>
        <w:t>，</w:t>
      </w:r>
      <w:r>
        <w:rPr>
          <w:rFonts w:hint="eastAsia" w:ascii="宋体" w:hAnsi="宋体" w:cs="宋体"/>
          <w:b/>
          <w:bCs/>
          <w:color w:val="000000" w:themeColor="text1"/>
          <w:w w:val="99"/>
          <w14:textFill>
            <w14:solidFill>
              <w14:schemeClr w14:val="tx1"/>
            </w14:solidFill>
          </w14:textFill>
        </w:rPr>
        <w:t>由磋商小组现场协商解</w:t>
      </w:r>
      <w:r>
        <w:rPr>
          <w:rFonts w:hint="eastAsia" w:ascii="宋体" w:hAnsi="宋体" w:cs="宋体"/>
          <w:b/>
          <w:bCs/>
          <w:color w:val="000000" w:themeColor="text1"/>
          <w:spacing w:val="15"/>
          <w:w w:val="99"/>
          <w14:textFill>
            <w14:solidFill>
              <w14:schemeClr w14:val="tx1"/>
            </w14:solidFill>
          </w14:textFill>
        </w:rPr>
        <w:t>决</w:t>
      </w:r>
      <w:r>
        <w:rPr>
          <w:rFonts w:hint="eastAsia" w:ascii="宋体" w:hAnsi="宋体" w:cs="宋体"/>
          <w:b/>
          <w:bCs/>
          <w:color w:val="000000" w:themeColor="text1"/>
          <w:spacing w:val="-31"/>
          <w:w w:val="99"/>
          <w14:textFill>
            <w14:solidFill>
              <w14:schemeClr w14:val="tx1"/>
            </w14:solidFill>
          </w14:textFill>
        </w:rPr>
        <w:t>，</w:t>
      </w:r>
      <w:r>
        <w:rPr>
          <w:rFonts w:hint="eastAsia" w:ascii="宋体" w:hAnsi="宋体" w:cs="宋体"/>
          <w:b/>
          <w:bCs/>
          <w:color w:val="000000" w:themeColor="text1"/>
          <w:w w:val="99"/>
          <w14:textFill>
            <w14:solidFill>
              <w14:schemeClr w14:val="tx1"/>
            </w14:solidFill>
          </w14:textFill>
        </w:rPr>
        <w:t>协商不一致的</w:t>
      </w:r>
      <w:r>
        <w:rPr>
          <w:rFonts w:hint="eastAsia" w:ascii="宋体" w:hAnsi="宋体" w:cs="宋体"/>
          <w:b/>
          <w:bCs/>
          <w:color w:val="000000" w:themeColor="text1"/>
          <w:spacing w:val="-31"/>
          <w:w w:val="99"/>
          <w14:textFill>
            <w14:solidFill>
              <w14:schemeClr w14:val="tx1"/>
            </w14:solidFill>
          </w14:textFill>
        </w:rPr>
        <w:t>，</w:t>
      </w:r>
      <w:r>
        <w:rPr>
          <w:rFonts w:hint="eastAsia" w:ascii="宋体" w:hAnsi="宋体" w:cs="宋体"/>
          <w:b/>
          <w:bCs/>
          <w:color w:val="000000" w:themeColor="text1"/>
          <w:w w:val="99"/>
          <w14:textFill>
            <w14:solidFill>
              <w14:schemeClr w14:val="tx1"/>
            </w14:solidFill>
          </w14:textFill>
        </w:rPr>
        <w:t>由全体</w:t>
      </w:r>
      <w:r>
        <w:rPr>
          <w:rFonts w:hint="eastAsia" w:ascii="宋体" w:hAnsi="宋体" w:cs="宋体"/>
          <w:b/>
          <w:bCs/>
          <w:color w:val="000000" w:themeColor="text1"/>
          <w:spacing w:val="15"/>
          <w:w w:val="99"/>
          <w14:textFill>
            <w14:solidFill>
              <w14:schemeClr w14:val="tx1"/>
            </w14:solidFill>
          </w14:textFill>
        </w:rPr>
        <w:t>磋</w:t>
      </w:r>
      <w:r>
        <w:rPr>
          <w:rFonts w:hint="eastAsia" w:ascii="宋体" w:hAnsi="宋体" w:cs="宋体"/>
          <w:b/>
          <w:bCs/>
          <w:color w:val="000000" w:themeColor="text1"/>
          <w:w w:val="99"/>
          <w14:textFill>
            <w14:solidFill>
              <w14:schemeClr w14:val="tx1"/>
            </w14:solidFill>
          </w14:textFill>
        </w:rPr>
        <w:t>商小组投票表决</w:t>
      </w:r>
      <w:r>
        <w:rPr>
          <w:rFonts w:hint="eastAsia" w:ascii="宋体" w:hAnsi="宋体" w:cs="宋体"/>
          <w:b/>
          <w:bCs/>
          <w:color w:val="000000" w:themeColor="text1"/>
          <w:spacing w:val="-30"/>
          <w:w w:val="99"/>
          <w14:textFill>
            <w14:solidFill>
              <w14:schemeClr w14:val="tx1"/>
            </w14:solidFill>
          </w14:textFill>
        </w:rPr>
        <w:t>，</w:t>
      </w:r>
      <w:r>
        <w:rPr>
          <w:rFonts w:hint="eastAsia" w:ascii="宋体" w:hAnsi="宋体" w:cs="宋体"/>
          <w:b/>
          <w:bCs/>
          <w:color w:val="000000" w:themeColor="text1"/>
          <w:w w:val="99"/>
          <w14:textFill>
            <w14:solidFill>
              <w14:schemeClr w14:val="tx1"/>
            </w14:solidFill>
          </w14:textFill>
        </w:rPr>
        <w:t>以得票</w:t>
      </w:r>
      <w:r>
        <w:rPr>
          <w:rFonts w:hint="eastAsia" w:ascii="宋体" w:hAnsi="宋体" w:cs="宋体"/>
          <w:b/>
          <w:bCs/>
          <w:color w:val="000000" w:themeColor="text1"/>
          <w:spacing w:val="15"/>
          <w:w w:val="99"/>
          <w14:textFill>
            <w14:solidFill>
              <w14:schemeClr w14:val="tx1"/>
            </w14:solidFill>
          </w14:textFill>
        </w:rPr>
        <w:t>率</w:t>
      </w:r>
      <w:r>
        <w:rPr>
          <w:rFonts w:hint="eastAsia" w:ascii="宋体" w:hAnsi="宋体" w:cs="宋体"/>
          <w:b/>
          <w:bCs/>
          <w:color w:val="000000" w:themeColor="text1"/>
          <w:w w:val="99"/>
          <w14:textFill>
            <w14:solidFill>
              <w14:schemeClr w14:val="tx1"/>
            </w14:solidFill>
          </w14:textFill>
        </w:rPr>
        <w:t>二分之一以上专家的意见为准。</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13.7</w:t>
      </w:r>
      <w:r>
        <w:rPr>
          <w:rFonts w:hint="eastAsia" w:ascii="宋体" w:hAnsi="宋体" w:cs="宋体"/>
          <w:color w:val="000000" w:themeColor="text1"/>
          <w14:textFill>
            <w14:solidFill>
              <w14:schemeClr w14:val="tx1"/>
            </w14:solidFill>
          </w14:textFill>
        </w:rPr>
        <w:t>出现下列情形之一的，采购人或者采购代理机构应当终止竞争性磋商采购活动，发布项目终止公告并说明原因，重新开展采购活动：</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（一）因情况变化，不再符合规定的竞争性磋商采购方式适用情形的；</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（二）出现影响采购公正的违法、违规行为的；</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（三）除本须知</w:t>
      </w:r>
      <w:r>
        <w:rPr>
          <w:rFonts w:ascii="宋体" w:hAnsi="宋体" w:cs="宋体"/>
          <w:color w:val="000000" w:themeColor="text1"/>
          <w14:textFill>
            <w14:solidFill>
              <w14:schemeClr w14:val="tx1"/>
            </w14:solidFill>
          </w14:textFill>
        </w:rPr>
        <w:t>13.5.3</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13.5.4</w:t>
      </w:r>
      <w:r>
        <w:rPr>
          <w:rFonts w:hint="eastAsia" w:ascii="宋体" w:hAnsi="宋体" w:cs="宋体"/>
          <w:color w:val="000000" w:themeColor="text1"/>
          <w14:textFill>
            <w14:solidFill>
              <w14:schemeClr w14:val="tx1"/>
            </w14:solidFill>
          </w14:textFill>
        </w:rPr>
        <w:t>规定的情形外，在采购过程中符合要求的供应商或者报价未超过采购预算的供应商不足</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家的。</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13.8</w:t>
      </w:r>
      <w:r>
        <w:rPr>
          <w:rFonts w:hint="eastAsia" w:ascii="宋体" w:hAnsi="宋体" w:cs="宋体"/>
          <w:color w:val="000000" w:themeColor="text1"/>
          <w14:textFill>
            <w14:solidFill>
              <w14:schemeClr w14:val="tx1"/>
            </w14:solidFill>
          </w14:textFill>
        </w:rPr>
        <w:t>本采购项目的评审依据为竞争性磋商文件和竞争性磋商响应文件，采用的评审方法为</w:t>
      </w:r>
      <w:r>
        <w:rPr>
          <w:rFonts w:hint="eastAsia" w:ascii="宋体" w:hAnsi="宋体" w:cs="宋体"/>
          <w:color w:val="000000" w:themeColor="text1"/>
          <w:u w:val="single"/>
          <w14:textFill>
            <w14:solidFill>
              <w14:schemeClr w14:val="tx1"/>
            </w14:solidFill>
          </w14:textFill>
        </w:rPr>
        <w:t>综合评分法</w:t>
      </w:r>
      <w:r>
        <w:rPr>
          <w:rFonts w:hint="eastAsia" w:ascii="宋体" w:hAnsi="宋体" w:cs="宋体"/>
          <w:color w:val="000000" w:themeColor="text1"/>
          <w14:textFill>
            <w14:solidFill>
              <w14:schemeClr w14:val="tx1"/>
            </w14:solidFill>
          </w14:textFill>
        </w:rPr>
        <w:t>。</w:t>
      </w:r>
    </w:p>
    <w:p>
      <w:pPr>
        <w:pStyle w:val="7"/>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六、确定成交供应商办法</w:t>
      </w:r>
    </w:p>
    <w:p>
      <w:pPr>
        <w:spacing w:line="360" w:lineRule="auto"/>
        <w:ind w:firstLine="316" w:firstLineChars="150"/>
        <w:rPr>
          <w:rFonts w:ascii="宋体" w:hAns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14. </w:t>
      </w:r>
      <w:r>
        <w:rPr>
          <w:rFonts w:hint="eastAsia" w:ascii="宋体" w:hAnsi="宋体" w:cs="宋体"/>
          <w:b/>
          <w:bCs/>
          <w:color w:val="000000" w:themeColor="text1"/>
          <w14:textFill>
            <w14:solidFill>
              <w14:schemeClr w14:val="tx1"/>
            </w14:solidFill>
          </w14:textFill>
        </w:rPr>
        <w:t>根据以下原则确定成交供应商：</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14.1 </w:t>
      </w:r>
      <w:r>
        <w:rPr>
          <w:rFonts w:hint="eastAsia" w:ascii="宋体" w:hAnsi="宋体" w:cs="宋体"/>
          <w:color w:val="000000" w:themeColor="text1"/>
          <w14:textFill>
            <w14:solidFill>
              <w14:schemeClr w14:val="tx1"/>
            </w14:solidFill>
          </w14:textFill>
        </w:rPr>
        <w:t>响应文件满足磋商文件全部实质性要求且按评审因素的量化指标评审综合得分最高的供应商为成交供应商，如排名第一的成交候选供应商放弃成交、因不可抗力提出不能履行协议的，或者竞争性磋商采购文件规定应当提交履约保证金而在规定的期限内未能提交的，采购单位可以确定排名第二的成交候选供应商为成交供应商，也可以重新组织开展采购活动。</w:t>
      </w:r>
    </w:p>
    <w:p>
      <w:pPr>
        <w:pStyle w:val="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七、成交结果公告</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15.1</w:t>
      </w:r>
      <w:r>
        <w:rPr>
          <w:rFonts w:hint="eastAsia" w:ascii="宋体" w:hAnsi="宋体" w:cs="宋体"/>
          <w:color w:val="000000" w:themeColor="text1"/>
          <w14:textFill>
            <w14:solidFill>
              <w14:schemeClr w14:val="tx1"/>
            </w14:solidFill>
          </w14:textFill>
        </w:rPr>
        <w:t>采购代理机构应当在评审结束后</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个工作日内将评审报告送采购人确认。采购人应当在收到评审报告后</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个工作日内，从评审报告提出的成交候选供应商中，按照排序由高到低的原则确定成交供应商。采购人逾期未确定成交供应商且不提出异议的，视为确定评审报告提出的排序第一的供应商为成交供应商。</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采购代理机构应当在成交供应商确定后</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排名第二的成交候选人因前款规定的同样原因被取消成交资格的，采购人可以确定排名第三的成交候选人为成交人。</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以上信息查询记录及相关证据与采购文件一并保存。</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采购代理机构在向成交人发出成交通知书的同时在</w:t>
      </w:r>
      <w:r>
        <w:rPr>
          <w:rFonts w:ascii="宋体" w:hAnsi="宋体" w:cs="宋体"/>
          <w:color w:val="000000" w:themeColor="text1"/>
          <w14:textFill>
            <w14:solidFill>
              <w14:schemeClr w14:val="tx1"/>
            </w14:solidFill>
          </w14:textFill>
        </w:rPr>
        <w:t>http://www.ccgp.gov.cn</w:t>
      </w:r>
      <w:r>
        <w:rPr>
          <w:rFonts w:hint="eastAsia" w:ascii="宋体" w:hAnsi="宋体" w:cs="宋体"/>
          <w:color w:val="000000" w:themeColor="text1"/>
          <w14:textFill>
            <w14:solidFill>
              <w14:schemeClr w14:val="tx1"/>
            </w14:solidFill>
          </w14:textFill>
        </w:rPr>
        <w:t>（中国政府采购网）、</w:t>
      </w:r>
      <w:r>
        <w:rPr>
          <w:rFonts w:ascii="宋体" w:hAnsi="宋体" w:cs="宋体"/>
          <w:color w:val="000000" w:themeColor="text1"/>
          <w14:textFill>
            <w14:solidFill>
              <w14:schemeClr w14:val="tx1"/>
            </w14:solidFill>
          </w14:textFill>
        </w:rPr>
        <w:t>http://zfcg.gxzf.gov.cn/</w:t>
      </w:r>
      <w:r>
        <w:rPr>
          <w:rFonts w:hint="eastAsia" w:ascii="宋体" w:hAnsi="宋体" w:cs="宋体"/>
          <w:color w:val="000000" w:themeColor="text1"/>
          <w14:textFill>
            <w14:solidFill>
              <w14:schemeClr w14:val="tx1"/>
            </w14:solidFill>
          </w14:textFill>
        </w:rPr>
        <w:t>（广西壮族自治区政府采购网）、</w:t>
      </w:r>
      <w:r>
        <w:rPr>
          <w:rFonts w:ascii="宋体" w:hAnsi="宋体" w:cs="宋体"/>
          <w:color w:val="000000" w:themeColor="text1"/>
          <w14:textFill>
            <w14:solidFill>
              <w14:schemeClr w14:val="tx1"/>
            </w14:solidFill>
          </w14:textFill>
        </w:rPr>
        <w:t>http://zfcg.czj.gxgg.gov.cn/</w:t>
      </w:r>
      <w:r>
        <w:rPr>
          <w:rFonts w:hint="eastAsia" w:ascii="宋体" w:hAnsi="宋体" w:cs="宋体"/>
          <w:color w:val="000000" w:themeColor="text1"/>
          <w14:textFill>
            <w14:solidFill>
              <w14:schemeClr w14:val="tx1"/>
            </w14:solidFill>
          </w14:textFill>
        </w:rPr>
        <w:t>（贵港市政府采购网）、贵港市公共资源交易中心网站（</w:t>
      </w:r>
      <w:r>
        <w:rPr>
          <w:rFonts w:ascii="宋体" w:hAnsi="宋体" w:cs="宋体"/>
          <w:color w:val="000000" w:themeColor="text1"/>
          <w14:textFill>
            <w14:solidFill>
              <w14:schemeClr w14:val="tx1"/>
            </w14:solidFill>
          </w14:textFill>
        </w:rPr>
        <w:t>http://ggggjy.gxgg.gov.cn:9005/</w:t>
      </w:r>
      <w:r>
        <w:rPr>
          <w:rFonts w:hint="eastAsia" w:ascii="宋体" w:hAnsi="宋体" w:cs="宋体"/>
          <w:color w:val="000000" w:themeColor="text1"/>
          <w14:textFill>
            <w14:solidFill>
              <w14:schemeClr w14:val="tx1"/>
            </w14:solidFill>
          </w14:textFill>
        </w:rPr>
        <w:t>）上发布采购结果公告。</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15.2 </w:t>
      </w:r>
      <w:r>
        <w:rPr>
          <w:rFonts w:hint="eastAsia" w:ascii="宋体" w:hAnsi="宋体" w:cs="宋体"/>
          <w:color w:val="000000" w:themeColor="text1"/>
          <w14:textFill>
            <w14:solidFill>
              <w14:schemeClr w14:val="tx1"/>
            </w14:solidFill>
          </w14:textFill>
        </w:rPr>
        <w:t>供应商认为成交结果使自己的权益受到损害的，可以在成交结果公告期限届满之日起七个工作日内以书面形式向本公司提出质疑。本公司将在收到供应商的书面质疑后七个工作日内做出答复，但答复的内容不得涉及商业秘密。</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15.3 </w:t>
      </w:r>
      <w:r>
        <w:rPr>
          <w:rFonts w:hint="eastAsia" w:ascii="宋体" w:hAnsi="宋体" w:cs="宋体"/>
          <w:color w:val="000000" w:themeColor="text1"/>
          <w14:textFill>
            <w14:solidFill>
              <w14:schemeClr w14:val="tx1"/>
            </w14:solidFill>
          </w14:textFill>
        </w:rPr>
        <w:t>质疑供应商必须首先经过质疑程序，在对本公司的答复不满意或者本公司未在规定的时间内做出答复的，可以在答复期满后十五个工作日内书面向监督管理部门投诉。</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质疑联系部门及电话为：广西建展建设工程管理集团有限公司</w:t>
      </w:r>
      <w:r>
        <w:rPr>
          <w:rFonts w:ascii="宋体" w:hAnsi="宋体" w:cs="宋体"/>
          <w:color w:val="000000" w:themeColor="text1"/>
          <w14:textFill>
            <w14:solidFill>
              <w14:schemeClr w14:val="tx1"/>
            </w14:solidFill>
          </w14:textFill>
        </w:rPr>
        <w:t xml:space="preserve"> 0775-4</w:t>
      </w:r>
      <w:r>
        <w:rPr>
          <w:rFonts w:hint="eastAsia" w:ascii="宋体" w:hAnsi="宋体" w:cs="宋体"/>
          <w:color w:val="000000" w:themeColor="text1"/>
          <w14:textFill>
            <w14:solidFill>
              <w14:schemeClr w14:val="tx1"/>
            </w14:solidFill>
          </w14:textFill>
        </w:rPr>
        <w:t>598668</w:t>
      </w:r>
    </w:p>
    <w:p>
      <w:pPr>
        <w:pStyle w:val="7"/>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八、签订合同</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16.1 </w:t>
      </w:r>
      <w:r>
        <w:rPr>
          <w:rFonts w:hint="eastAsia" w:ascii="宋体" w:hAnsi="宋体" w:cs="宋体"/>
          <w:color w:val="000000" w:themeColor="text1"/>
          <w14:textFill>
            <w14:solidFill>
              <w14:schemeClr w14:val="tx1"/>
            </w14:solidFill>
          </w14:textFill>
        </w:rPr>
        <w:t>成交供应商自成交通知书发出之日起</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日内与采购人签订合同。联合体投标的，联合体各方应当共同与采购人签订采购合同，就采购合同约定的事项对采购人承担连带责任。</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16.2 </w:t>
      </w:r>
      <w:r>
        <w:rPr>
          <w:rFonts w:hint="eastAsia" w:ascii="宋体" w:hAnsi="宋体" w:cs="宋体"/>
          <w:color w:val="000000" w:themeColor="text1"/>
          <w14:textFill>
            <w14:solidFill>
              <w14:schemeClr w14:val="tx1"/>
            </w14:solidFill>
          </w14:textFill>
        </w:rPr>
        <w:t>成交供应商拒绝签订采购合同的，采购人可以根据磋商评审报告确定成交供应商之后排名第一的成交候选供应商作为成交供应商并签订采购合同，也可以重新组织开展采购活动。拒绝签订采购合同的成交供应商不得再参加对该项目重新组织开展的采购活动。</w:t>
      </w:r>
    </w:p>
    <w:p>
      <w:pPr>
        <w:spacing w:line="360" w:lineRule="auto"/>
        <w:ind w:firstLine="315" w:firstLineChars="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16.3 </w:t>
      </w:r>
      <w:r>
        <w:rPr>
          <w:rFonts w:hint="eastAsia" w:ascii="宋体" w:hAnsi="宋体" w:cs="宋体"/>
          <w:color w:val="000000" w:themeColor="text1"/>
          <w14:textFill>
            <w14:solidFill>
              <w14:schemeClr w14:val="tx1"/>
            </w14:solidFill>
          </w14:textFill>
        </w:rPr>
        <w:t>成交供应商拒绝签订采购合同的，其保证金将不予退还，并上缴采购人，给采购人造成其损失的，还应当赔偿损失，并作为不良行为记录在案。</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16.4</w:t>
      </w:r>
      <w:r>
        <w:rPr>
          <w:rFonts w:hint="eastAsia" w:ascii="宋体" w:hAnsi="宋体" w:cs="宋体"/>
          <w:color w:val="000000" w:themeColor="text1"/>
          <w14:textFill>
            <w14:solidFill>
              <w14:schemeClr w14:val="tx1"/>
            </w14:solidFill>
          </w14:textFill>
        </w:rPr>
        <w:t>根据《中华人民共和国政府采购法实施条例》第五十条规定，采购人应当自政府采购合同签订之日起</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个工作日内，将政府采购合同在省级以上人民政府财政部门指定的媒体上公告，但政府采购合同中涉及国家秘密、商业秘密的内容除外。</w:t>
      </w:r>
    </w:p>
    <w:p>
      <w:pPr>
        <w:spacing w:line="360" w:lineRule="auto"/>
        <w:ind w:firstLine="316" w:firstLineChars="150"/>
        <w:rPr>
          <w:rFonts w:asci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16.5</w:t>
      </w:r>
      <w:r>
        <w:rPr>
          <w:rFonts w:hint="eastAsia" w:ascii="宋体" w:hAnsi="宋体" w:cs="宋体"/>
          <w:b/>
          <w:bCs/>
          <w:color w:val="000000" w:themeColor="text1"/>
          <w14:textFill>
            <w14:solidFill>
              <w14:schemeClr w14:val="tx1"/>
            </w14:solidFill>
          </w14:textFill>
        </w:rPr>
        <w:t>中标、成交供应商应在取得中标、成交通知书后</w:t>
      </w:r>
      <w:r>
        <w:rPr>
          <w:rFonts w:ascii="宋体" w:hAnsi="宋体" w:cs="宋体"/>
          <w:b/>
          <w:bCs/>
          <w:color w:val="000000" w:themeColor="text1"/>
          <w14:textFill>
            <w14:solidFill>
              <w14:schemeClr w14:val="tx1"/>
            </w14:solidFill>
          </w14:textFill>
        </w:rPr>
        <w:t>10</w:t>
      </w:r>
      <w:r>
        <w:rPr>
          <w:rFonts w:hint="eastAsia" w:ascii="宋体" w:hAnsi="宋体" w:cs="宋体"/>
          <w:b/>
          <w:bCs/>
          <w:color w:val="000000" w:themeColor="text1"/>
          <w14:textFill>
            <w14:solidFill>
              <w14:schemeClr w14:val="tx1"/>
            </w14:solidFill>
          </w14:textFill>
        </w:rPr>
        <w:t>日内登录“政采云”平台（</w:t>
      </w:r>
      <w:r>
        <w:rPr>
          <w:rFonts w:ascii="宋体" w:hAnsi="宋体" w:cs="宋体"/>
          <w:b/>
          <w:bCs/>
          <w:color w:val="000000" w:themeColor="text1"/>
          <w14:textFill>
            <w14:solidFill>
              <w14:schemeClr w14:val="tx1"/>
            </w14:solidFill>
          </w14:textFill>
        </w:rPr>
        <w:t>www.zcy.gov.cn</w:t>
      </w:r>
      <w:r>
        <w:rPr>
          <w:rFonts w:hint="eastAsia" w:ascii="宋体" w:hAnsi="宋体" w:cs="宋体"/>
          <w:b/>
          <w:bCs/>
          <w:color w:val="000000" w:themeColor="text1"/>
          <w14:textFill>
            <w14:solidFill>
              <w14:schemeClr w14:val="tx1"/>
            </w14:solidFill>
          </w14:textFill>
        </w:rPr>
        <w:t>）完成供应商注册。</w:t>
      </w:r>
    </w:p>
    <w:p>
      <w:pPr>
        <w:pStyle w:val="87"/>
        <w:rPr>
          <w:rFonts w:cs="Times New Roman"/>
          <w:color w:val="000000" w:themeColor="text1"/>
          <w14:textFill>
            <w14:solidFill>
              <w14:schemeClr w14:val="tx1"/>
            </w14:solidFill>
          </w14:textFill>
        </w:rPr>
      </w:pPr>
    </w:p>
    <w:p>
      <w:pPr>
        <w:pStyle w:val="7"/>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九、适用法律</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17. </w:t>
      </w:r>
      <w:r>
        <w:rPr>
          <w:rFonts w:hint="eastAsia" w:ascii="宋体" w:hAnsi="宋体" w:cs="宋体"/>
          <w:color w:val="000000" w:themeColor="text1"/>
          <w14:textFill>
            <w14:solidFill>
              <w14:schemeClr w14:val="tx1"/>
            </w14:solidFill>
          </w14:textFill>
        </w:rPr>
        <w:t>采购当事人的一切活动均根据《中华人民共和国政府采购法》、《政府采购竞争性磋商采购方式管理暂行办法》等相关规定。</w:t>
      </w:r>
    </w:p>
    <w:p>
      <w:pPr>
        <w:pStyle w:val="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十、其他事项</w:t>
      </w:r>
    </w:p>
    <w:p>
      <w:pPr>
        <w:spacing w:line="360" w:lineRule="auto"/>
        <w:ind w:firstLine="422" w:firstLineChars="200"/>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18.</w:t>
      </w:r>
      <w:r>
        <w:rPr>
          <w:rFonts w:hint="eastAsia" w:ascii="宋体" w:hAnsi="宋体" w:cs="宋体"/>
          <w:b/>
          <w:bCs/>
          <w:color w:val="000000" w:themeColor="text1"/>
          <w14:textFill>
            <w14:solidFill>
              <w14:schemeClr w14:val="tx1"/>
            </w14:solidFill>
          </w14:textFill>
        </w:rPr>
        <w:t>其他事项</w:t>
      </w:r>
    </w:p>
    <w:p>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18.1</w:t>
      </w:r>
      <w:r>
        <w:rPr>
          <w:rFonts w:hint="eastAsia" w:ascii="宋体" w:hAnsi="宋体" w:cs="宋体"/>
          <w:color w:val="000000" w:themeColor="text1"/>
          <w14:textFill>
            <w14:solidFill>
              <w14:schemeClr w14:val="tx1"/>
            </w14:solidFill>
          </w14:textFill>
        </w:rPr>
        <w:t>采购代理服务费：本项目的采购代理服务费</w:t>
      </w:r>
      <w:r>
        <w:rPr>
          <w:rFonts w:hint="eastAsia" w:ascii="宋体" w:hAnsi="宋体" w:cs="宋体"/>
          <w:color w:val="000000" w:themeColor="text1"/>
          <w:lang w:eastAsia="zh-CN"/>
          <w14:textFill>
            <w14:solidFill>
              <w14:schemeClr w14:val="tx1"/>
            </w14:solidFill>
          </w14:textFill>
        </w:rPr>
        <w:t>《计价格〔2002〕1980号》代理费收费标准</w:t>
      </w:r>
      <w:r>
        <w:rPr>
          <w:rFonts w:hint="eastAsia" w:ascii="宋体" w:hAnsi="宋体" w:cs="宋体"/>
          <w:color w:val="000000" w:themeColor="text1"/>
          <w14:textFill>
            <w14:solidFill>
              <w14:schemeClr w14:val="tx1"/>
            </w14:solidFill>
          </w14:textFill>
        </w:rPr>
        <w:t>，规定收取，领取成交通知书前，成交人应向采购代理机构一次付清采购代理服务费；成交服务费：人民币</w:t>
      </w:r>
      <w:r>
        <w:rPr>
          <w:rFonts w:hint="eastAsia" w:ascii="宋体" w:hAnsi="宋体" w:cs="宋体"/>
          <w:color w:val="000000" w:themeColor="text1"/>
          <w:lang w:eastAsia="zh-CN"/>
          <w14:textFill>
            <w14:solidFill>
              <w14:schemeClr w14:val="tx1"/>
            </w14:solidFill>
          </w14:textFill>
        </w:rPr>
        <w:t>壹万陆仟元整（￥16,</w:t>
      </w:r>
      <w:r>
        <w:rPr>
          <w:rFonts w:hint="eastAsia" w:ascii="宋体" w:hAnsi="宋体" w:cs="宋体"/>
          <w:color w:val="000000" w:themeColor="text1"/>
          <w:lang w:val="en-US" w:eastAsia="zh-CN"/>
          <w14:textFill>
            <w14:solidFill>
              <w14:schemeClr w14:val="tx1"/>
            </w14:solidFill>
          </w14:textFill>
        </w:rPr>
        <w:t>00</w:t>
      </w:r>
      <w:r>
        <w:rPr>
          <w:rFonts w:hint="eastAsia" w:ascii="宋体" w:hAnsi="宋体" w:cs="宋体"/>
          <w:color w:val="000000" w:themeColor="text1"/>
          <w:lang w:eastAsia="zh-CN"/>
          <w14:textFill>
            <w14:solidFill>
              <w14:schemeClr w14:val="tx1"/>
            </w14:solidFill>
          </w14:textFill>
        </w:rPr>
        <w:t>0.00）</w:t>
      </w:r>
      <w:r>
        <w:rPr>
          <w:rFonts w:hint="eastAsia" w:ascii="宋体" w:hAnsi="宋体" w:cs="宋体"/>
          <w:color w:val="000000" w:themeColor="text1"/>
          <w14:textFill>
            <w14:solidFill>
              <w14:schemeClr w14:val="tx1"/>
            </w14:solidFill>
          </w14:textFill>
        </w:rPr>
        <w:t>，否则，采购代理机构将视之为违约。</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代理服务费专用帐户：</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开户名：广西建展建设工程管理集团有限公司</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开户银行：广西北部湾银行股份有限公司贵港分行</w:t>
      </w:r>
    </w:p>
    <w:p>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开户账号：8001 1065 9400 013 </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18.2.</w:t>
      </w:r>
      <w:r>
        <w:rPr>
          <w:rFonts w:hint="eastAsia" w:ascii="宋体" w:hAnsi="宋体" w:cs="宋体"/>
          <w:color w:val="000000" w:themeColor="text1"/>
          <w14:textFill>
            <w14:solidFill>
              <w14:schemeClr w14:val="tx1"/>
            </w14:solidFill>
          </w14:textFill>
        </w:rPr>
        <w:t>解释权</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本竞争性磋商文件解释权属本公司。</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18.3. </w:t>
      </w:r>
      <w:r>
        <w:rPr>
          <w:rFonts w:hint="eastAsia" w:ascii="宋体" w:hAnsi="宋体" w:cs="宋体"/>
          <w:color w:val="000000" w:themeColor="text1"/>
          <w14:textFill>
            <w14:solidFill>
              <w14:schemeClr w14:val="tx1"/>
            </w14:solidFill>
          </w14:textFill>
        </w:rPr>
        <w:t>有关事宜</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所有与本竞争性磋商采购文件有关的函件请按下列通讯地址联系：</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广西建展建设工程管理集团有限公司贵港分公司</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r>
        <w:rPr>
          <w:rFonts w:ascii="宋体" w:hAnsi="宋体" w:cs="宋体"/>
          <w:color w:val="000000" w:themeColor="text1"/>
          <w14:textFill>
            <w14:solidFill>
              <w14:schemeClr w14:val="tx1"/>
            </w14:solidFill>
          </w14:textFill>
        </w:rPr>
        <w:t>537100</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通讯地址：广西贵港市港北区金港大道844号万港城6幢14层1402号</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电话：</w:t>
      </w:r>
      <w:r>
        <w:rPr>
          <w:rFonts w:ascii="宋体" w:hAnsi="宋体" w:cs="宋体"/>
          <w:color w:val="000000" w:themeColor="text1"/>
          <w14:textFill>
            <w14:solidFill>
              <w14:schemeClr w14:val="tx1"/>
            </w14:solidFill>
          </w14:textFill>
        </w:rPr>
        <w:t>0775-4</w:t>
      </w:r>
      <w:r>
        <w:rPr>
          <w:rFonts w:hint="eastAsia" w:ascii="宋体" w:hAnsi="宋体" w:cs="宋体"/>
          <w:color w:val="000000" w:themeColor="text1"/>
          <w14:textFill>
            <w14:solidFill>
              <w14:schemeClr w14:val="tx1"/>
            </w14:solidFill>
          </w14:textFill>
        </w:rPr>
        <w:t>598668</w:t>
      </w:r>
    </w:p>
    <w:p>
      <w:pPr>
        <w:spacing w:line="360" w:lineRule="auto"/>
        <w:ind w:firstLine="316" w:firstLineChars="150"/>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19.</w:t>
      </w:r>
      <w:r>
        <w:rPr>
          <w:rFonts w:hint="eastAsia" w:ascii="宋体" w:hAnsi="宋体" w:cs="宋体"/>
          <w:b/>
          <w:bCs/>
          <w:color w:val="000000" w:themeColor="text1"/>
          <w14:textFill>
            <w14:solidFill>
              <w14:schemeClr w14:val="tx1"/>
            </w14:solidFill>
          </w14:textFill>
        </w:rPr>
        <w:t>回避</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在政府采购活动中，采购人员及相关人员与供应商有下列利害关系之一的，应当回避：</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一</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参加采购活动前</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年内与供应商存在劳动关系</w:t>
      </w:r>
      <w:r>
        <w:rPr>
          <w:rFonts w:ascii="宋体" w:hAnsi="宋体" w:cs="宋体"/>
          <w:color w:val="000000" w:themeColor="text1"/>
          <w14:textFill>
            <w14:solidFill>
              <w14:schemeClr w14:val="tx1"/>
            </w14:solidFill>
          </w14:textFill>
        </w:rPr>
        <w:t>;</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二</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参加采购活动前</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年内担任供应商的董事、监事</w:t>
      </w:r>
      <w:r>
        <w:rPr>
          <w:rFonts w:ascii="宋体" w:hAnsi="宋体" w:cs="宋体"/>
          <w:color w:val="000000" w:themeColor="text1"/>
          <w14:textFill>
            <w14:solidFill>
              <w14:schemeClr w14:val="tx1"/>
            </w14:solidFill>
          </w14:textFill>
        </w:rPr>
        <w:t>;</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三</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参加采购活动前</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年内是供应商的控股股东或者实际控制人</w:t>
      </w:r>
      <w:r>
        <w:rPr>
          <w:rFonts w:ascii="宋体" w:hAnsi="宋体" w:cs="宋体"/>
          <w:color w:val="000000" w:themeColor="text1"/>
          <w14:textFill>
            <w14:solidFill>
              <w14:schemeClr w14:val="tx1"/>
            </w14:solidFill>
          </w14:textFill>
        </w:rPr>
        <w:t>;</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四</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与供应商的法定代表人或者负责人有夫妻、直系血亲、三代以内旁系血亲或者近姻亲关系</w:t>
      </w:r>
      <w:r>
        <w:rPr>
          <w:rFonts w:ascii="宋体" w:hAnsi="宋体" w:cs="宋体"/>
          <w:color w:val="000000" w:themeColor="text1"/>
          <w14:textFill>
            <w14:solidFill>
              <w14:schemeClr w14:val="tx1"/>
            </w14:solidFill>
          </w14:textFill>
        </w:rPr>
        <w:t>;</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五</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与供应商有其他可能影响政府采购活动公平、公正进行的关系。</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316" w:firstLineChars="150"/>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20. </w:t>
      </w:r>
      <w:r>
        <w:rPr>
          <w:rFonts w:hint="eastAsia" w:ascii="宋体" w:hAnsi="宋体" w:cs="宋体"/>
          <w:b/>
          <w:bCs/>
          <w:color w:val="000000" w:themeColor="text1"/>
          <w14:textFill>
            <w14:solidFill>
              <w14:schemeClr w14:val="tx1"/>
            </w14:solidFill>
          </w14:textFill>
        </w:rPr>
        <w:t>询问、质疑和投诉</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20.1</w:t>
      </w:r>
      <w:r>
        <w:rPr>
          <w:rFonts w:hint="eastAsia" w:ascii="宋体" w:hAnsi="宋体" w:cs="宋体"/>
          <w:color w:val="000000" w:themeColor="text1"/>
          <w14:textFill>
            <w14:solidFill>
              <w14:schemeClr w14:val="tx1"/>
            </w14:solidFill>
          </w14:textFill>
        </w:rPr>
        <w:t>供应商对政府采购活动事项有疑问的，可以向采购人、采购代理机构提出询问。</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20.2</w:t>
      </w:r>
      <w:r>
        <w:rPr>
          <w:rFonts w:hint="eastAsia" w:ascii="宋体" w:hAnsi="宋体" w:cs="宋体"/>
          <w:color w:val="000000" w:themeColor="text1"/>
          <w14:textFill>
            <w14:solidFill>
              <w14:schemeClr w14:val="tx1"/>
            </w14:solidFill>
          </w14:textFill>
        </w:rPr>
        <w:t>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（一）对可以质疑的采购文件提出质疑的，为收到采购文件之日；</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（二）对采购过程提出质疑的，为各采购程序环节结束之日；</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（三）对成交结果提出质疑的，为成交结果公告期限届满之日。</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pPr>
        <w:spacing w:line="360" w:lineRule="auto"/>
        <w:ind w:firstLine="315" w:firstLineChars="15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20.3</w:t>
      </w:r>
      <w:r>
        <w:rPr>
          <w:rFonts w:hint="eastAsia" w:ascii="宋体" w:hAnsi="宋体" w:cs="宋体"/>
          <w:color w:val="000000" w:themeColor="text1"/>
          <w14:textFill>
            <w14:solidFill>
              <w14:schemeClr w14:val="tx1"/>
            </w14:solidFill>
          </w14:textFill>
        </w:rPr>
        <w:t>质疑、投诉应当采用书面形式，质疑书、投诉书均应明确阐述采购文件、采购过程、成交结果中使自己合法权益受到损害的实质性内容，提供相关事实、明确的请求、必要的证明材料，便于有关单位调查、答复和处理。</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供应商提出质疑应当提交质疑函和必要的证明材料，针对同一采购程序环节的质疑必须在法定质疑期内一次性提出。质疑函应当包括下列内容：</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）供应商的姓名或者名称、地址、邮编、联系人及联系电话；</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）质疑项目的名称、编号；</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）具体、明确的质疑事项和与质疑事项相关的请求；</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）事实依据；</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）必要的法律依据；</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）提出质疑的日期。</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供应商为自然人的，应当由本人签字；供应商为法人或者其他组织的，应当由法定代表人、主要负责人，或者其授权代表签字或者盖章，并加盖公章。</w:t>
      </w:r>
    </w:p>
    <w:p>
      <w:pPr>
        <w:pStyle w:val="41"/>
        <w:spacing w:before="0" w:after="0"/>
        <w:rPr>
          <w:rFonts w:ascii="宋体" w:cs="Times New Roman"/>
          <w:color w:val="000000" w:themeColor="text1"/>
          <w14:textFill>
            <w14:solidFill>
              <w14:schemeClr w14:val="tx1"/>
            </w14:solidFill>
          </w14:textFill>
        </w:rPr>
      </w:pPr>
      <w:r>
        <w:rPr>
          <w:rFonts w:ascii="宋体" w:cs="Times New Roman"/>
          <w:b w:val="0"/>
          <w:bCs w:val="0"/>
          <w:color w:val="000000" w:themeColor="text1"/>
          <w:sz w:val="31"/>
          <w:szCs w:val="31"/>
          <w14:textFill>
            <w14:solidFill>
              <w14:schemeClr w14:val="tx1"/>
            </w14:solidFill>
          </w14:textFill>
        </w:rPr>
        <w:br w:type="column"/>
      </w:r>
      <w:bookmarkStart w:id="48" w:name="_Toc19851"/>
      <w:r>
        <w:rPr>
          <w:rFonts w:hint="eastAsia" w:ascii="宋体" w:hAnsi="宋体" w:cs="宋体"/>
          <w:color w:val="000000" w:themeColor="text1"/>
          <w:sz w:val="40"/>
          <w:szCs w:val="40"/>
          <w14:textFill>
            <w14:solidFill>
              <w14:schemeClr w14:val="tx1"/>
            </w14:solidFill>
          </w14:textFill>
        </w:rPr>
        <w:t>第三章项目采购需求</w:t>
      </w:r>
      <w:bookmarkEnd w:id="48"/>
    </w:p>
    <w:p>
      <w:pPr>
        <w:pStyle w:val="25"/>
        <w:spacing w:line="400" w:lineRule="exact"/>
        <w:rPr>
          <w:rFonts w:ascii="Times New Roman" w:hAnsi="Times New Roman"/>
          <w:b/>
          <w:bCs/>
          <w:color w:val="000000" w:themeColor="text1"/>
          <w14:textFill>
            <w14:solidFill>
              <w14:schemeClr w14:val="tx1"/>
            </w14:solidFill>
          </w14:textFill>
        </w:rPr>
      </w:pPr>
      <w:bookmarkStart w:id="49" w:name="_Toc13906"/>
    </w:p>
    <w:p>
      <w:pPr>
        <w:spacing w:line="360" w:lineRule="auto"/>
        <w:ind w:firstLine="316" w:firstLineChars="150"/>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说明：</w:t>
      </w:r>
    </w:p>
    <w:p>
      <w:pPr>
        <w:spacing w:line="360" w:lineRule="auto"/>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1、本服务需求一览表实质性要求和条件。 </w:t>
      </w:r>
    </w:p>
    <w:p>
      <w:pPr>
        <w:spacing w:line="360" w:lineRule="auto"/>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2、本服务需求一览表中内容如与第四章“合同书格式”相关条款不一致的，以本表为准。 </w:t>
      </w:r>
    </w:p>
    <w:p>
      <w:pPr>
        <w:spacing w:line="360" w:lineRule="auto"/>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一、项目说明： </w:t>
      </w:r>
    </w:p>
    <w:p>
      <w:pPr>
        <w:spacing w:line="360" w:lineRule="auto"/>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根据《财政部关于推广运用政府和社会资本合作模式有关问题的通知》（财金〔2014〕76 号）和 《财政部关于印发政府和社会资本合作模式操作指南（试行）的通知》（财金〔2014〕113 号），为积 极发挥第三方专业机构作用，提高政府和社会资本合作（PPP）项目开发、实施的质量与效率，现拟通过竞争性磋商采购方式确定政府和社会资本合作（PPP）项目专业咨询服务机构，提供业的咨询服务。 </w:t>
      </w:r>
    </w:p>
    <w:p>
      <w:pPr>
        <w:spacing w:line="360" w:lineRule="auto"/>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二、咨询服务需求 </w:t>
      </w:r>
    </w:p>
    <w:p>
      <w:pPr>
        <w:spacing w:line="360" w:lineRule="auto"/>
        <w:ind w:firstLine="315" w:firstLineChars="15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为保障本项目规范、有序地进行，现通过竞争性磋商方式选择一家专业的PPP咨询服务机构，配合采购人实施贵港市城区重大交通基础设施PPP项目（一期）ppp咨询工作。</w:t>
      </w:r>
    </w:p>
    <w:p>
      <w:pPr>
        <w:spacing w:line="360" w:lineRule="auto"/>
        <w:ind w:firstLine="315" w:firstLineChars="150"/>
        <w:rPr>
          <w:rFonts w:hint="eastAsia" w:ascii="宋体" w:hAnsi="宋体" w:cs="宋体"/>
          <w:color w:val="000000" w:themeColor="text1"/>
          <w:vertAlign w:val="baseline"/>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此次采购的PPP项目咨询服务主要包括开展可行性论证审查、编制物有所值评价和财政承受能力论证报告、PPP实施方案、协助采购人完成社会资本的采购和PPP合同谈判签署等工作，对本PPP项目开展工作内容如下: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919"/>
        <w:gridCol w:w="837"/>
        <w:gridCol w:w="4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keepNext w:val="0"/>
              <w:keepLines w:val="0"/>
              <w:widowControl/>
              <w:suppressLineNumbers w:val="0"/>
              <w:spacing w:line="360" w:lineRule="auto"/>
              <w:jc w:val="center"/>
              <w:rPr>
                <w:rFonts w:hint="eastAsia" w:ascii="宋体" w:hAnsi="宋体" w:cs="宋体"/>
                <w:color w:val="000000" w:themeColor="text1"/>
                <w:vertAlign w:val="baseline"/>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项号</w:t>
            </w:r>
          </w:p>
        </w:tc>
        <w:tc>
          <w:tcPr>
            <w:tcW w:w="2919" w:type="dxa"/>
            <w:vAlign w:val="center"/>
          </w:tcPr>
          <w:p>
            <w:pPr>
              <w:keepNext w:val="0"/>
              <w:keepLines w:val="0"/>
              <w:widowControl/>
              <w:suppressLineNumbers w:val="0"/>
              <w:spacing w:line="360" w:lineRule="auto"/>
              <w:jc w:val="center"/>
              <w:rPr>
                <w:rFonts w:hint="eastAsia" w:ascii="宋体" w:hAnsi="宋体" w:cs="宋体"/>
                <w:color w:val="000000" w:themeColor="text1"/>
                <w:vertAlign w:val="baseline"/>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服务名称</w:t>
            </w:r>
          </w:p>
        </w:tc>
        <w:tc>
          <w:tcPr>
            <w:tcW w:w="837" w:type="dxa"/>
            <w:vAlign w:val="center"/>
          </w:tcPr>
          <w:p>
            <w:pPr>
              <w:keepNext w:val="0"/>
              <w:keepLines w:val="0"/>
              <w:widowControl/>
              <w:suppressLineNumbers w:val="0"/>
              <w:spacing w:line="360" w:lineRule="auto"/>
              <w:jc w:val="center"/>
              <w:rPr>
                <w:rFonts w:hint="eastAsia" w:ascii="宋体" w:hAnsi="宋体" w:cs="宋体"/>
                <w:color w:val="000000" w:themeColor="text1"/>
                <w:vertAlign w:val="baseline"/>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数量</w:t>
            </w:r>
          </w:p>
        </w:tc>
        <w:tc>
          <w:tcPr>
            <w:tcW w:w="4791" w:type="dxa"/>
            <w:vAlign w:val="center"/>
          </w:tcPr>
          <w:p>
            <w:pPr>
              <w:keepNext w:val="0"/>
              <w:keepLines w:val="0"/>
              <w:widowControl/>
              <w:suppressLineNumbers w:val="0"/>
              <w:spacing w:line="360" w:lineRule="auto"/>
              <w:jc w:val="center"/>
              <w:rPr>
                <w:rFonts w:hint="eastAsia" w:ascii="宋体" w:hAnsi="宋体" w:cs="宋体"/>
                <w:color w:val="000000" w:themeColor="text1"/>
                <w:vertAlign w:val="baseline"/>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60" w:lineRule="auto"/>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1</w:t>
            </w:r>
          </w:p>
        </w:tc>
        <w:tc>
          <w:tcPr>
            <w:tcW w:w="2919" w:type="dxa"/>
            <w:vAlign w:val="center"/>
          </w:tcPr>
          <w:p>
            <w:pPr>
              <w:spacing w:line="400" w:lineRule="exact"/>
              <w:rPr>
                <w:rFonts w:hint="eastAsia" w:ascii="宋体" w:hAnsi="宋体" w:cs="宋体"/>
                <w:color w:val="000000" w:themeColor="text1"/>
                <w:vertAlign w:val="baseline"/>
                <w14:textFill>
                  <w14:solidFill>
                    <w14:schemeClr w14:val="tx1"/>
                  </w14:solidFill>
                </w14:textFill>
              </w:rPr>
            </w:pPr>
            <w:r>
              <w:rPr>
                <w:rFonts w:hint="eastAsia"/>
                <w:color w:val="000000" w:themeColor="text1"/>
                <w14:textFill>
                  <w14:solidFill>
                    <w14:schemeClr w14:val="tx1"/>
                  </w14:solidFill>
                </w14:textFill>
              </w:rPr>
              <w:t>开展可行性论证审查</w:t>
            </w:r>
          </w:p>
        </w:tc>
        <w:tc>
          <w:tcPr>
            <w:tcW w:w="837" w:type="dxa"/>
            <w:vAlign w:val="center"/>
          </w:tcPr>
          <w:p>
            <w:pPr>
              <w:widowControl/>
              <w:spacing w:line="400" w:lineRule="exact"/>
              <w:jc w:val="center"/>
              <w:textAlignment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791" w:type="dxa"/>
            <w:vAlign w:val="center"/>
          </w:tcPr>
          <w:p>
            <w:pPr>
              <w:numPr>
                <w:ilvl w:val="0"/>
                <w:numId w:val="0"/>
              </w:numPr>
              <w:spacing w:line="400" w:lineRule="exact"/>
              <w:ind w:left="0" w:leftChars="0" w:firstLine="0" w:firstLineChars="0"/>
              <w:jc w:val="left"/>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1.通过尽职调查，全面收集本项目相关资料和基础数据，对该项目可行性进行充分分析和论证，及是否适宜采用PPP模式进行分析和论证。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60" w:lineRule="auto"/>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2</w:t>
            </w:r>
          </w:p>
        </w:tc>
        <w:tc>
          <w:tcPr>
            <w:tcW w:w="2919" w:type="dxa"/>
            <w:vAlign w:val="center"/>
          </w:tcPr>
          <w:p>
            <w:pPr>
              <w:widowControl/>
              <w:spacing w:line="400" w:lineRule="exact"/>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进行PPP项目尽职调查，收集PPP项目运作相关资料（包括市场调查），提出操作基本思路。</w:t>
            </w:r>
          </w:p>
        </w:tc>
        <w:tc>
          <w:tcPr>
            <w:tcW w:w="837" w:type="dxa"/>
            <w:vAlign w:val="center"/>
          </w:tcPr>
          <w:p>
            <w:pPr>
              <w:widowControl/>
              <w:spacing w:line="400" w:lineRule="exact"/>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791" w:type="dxa"/>
            <w:vAlign w:val="center"/>
          </w:tcPr>
          <w:p>
            <w:pPr>
              <w:numPr>
                <w:ilvl w:val="0"/>
                <w:numId w:val="7"/>
              </w:numPr>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据调查报告建立财务模型，进行财务测算；</w:t>
            </w:r>
          </w:p>
          <w:p>
            <w:pPr>
              <w:numPr>
                <w:ilvl w:val="0"/>
                <w:numId w:val="0"/>
              </w:numPr>
              <w:spacing w:line="400" w:lineRule="exact"/>
              <w:ind w:left="0" w:leftChars="0" w:firstLine="0" w:firstLineChars="0"/>
              <w:jc w:val="left"/>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2.基于设计方案及其他设计文件或报告，编制初步实施方案，提供相应的专业咨询服务。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60" w:lineRule="auto"/>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3</w:t>
            </w:r>
          </w:p>
        </w:tc>
        <w:tc>
          <w:tcPr>
            <w:tcW w:w="2919" w:type="dxa"/>
            <w:vAlign w:val="center"/>
          </w:tcPr>
          <w:p>
            <w:pPr>
              <w:widowControl/>
              <w:spacing w:line="400" w:lineRule="exact"/>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分析PPP项目财务、法务条件、编制初步实施方案，提出交易边界条件。</w:t>
            </w:r>
          </w:p>
        </w:tc>
        <w:tc>
          <w:tcPr>
            <w:tcW w:w="837" w:type="dxa"/>
            <w:vAlign w:val="center"/>
          </w:tcPr>
          <w:p>
            <w:pPr>
              <w:widowControl/>
              <w:spacing w:line="400" w:lineRule="exact"/>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791" w:type="dxa"/>
            <w:vAlign w:val="center"/>
          </w:tcPr>
          <w:p>
            <w:pPr>
              <w:numPr>
                <w:ilvl w:val="0"/>
                <w:numId w:val="8"/>
              </w:numPr>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协助采购人明确项目运作目标及要求，设计项目交易结构，协助采购人确定重要的项目边界条件；</w:t>
            </w:r>
          </w:p>
          <w:p>
            <w:pPr>
              <w:numPr>
                <w:ilvl w:val="0"/>
                <w:numId w:val="0"/>
              </w:numPr>
              <w:spacing w:line="400" w:lineRule="exact"/>
              <w:ind w:left="0" w:leftChars="0" w:firstLine="0" w:firstLineChars="0"/>
              <w:jc w:val="left"/>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2.为项目决策机构和实施机构提供意见和建议，确保项目实施合法合规；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60" w:lineRule="auto"/>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4</w:t>
            </w:r>
          </w:p>
        </w:tc>
        <w:tc>
          <w:tcPr>
            <w:tcW w:w="2919" w:type="dxa"/>
            <w:vAlign w:val="center"/>
          </w:tcPr>
          <w:p>
            <w:pPr>
              <w:widowControl/>
              <w:spacing w:line="400" w:lineRule="exact"/>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完成本PPP项目物有所值及财政可承受能力论证</w:t>
            </w:r>
          </w:p>
        </w:tc>
        <w:tc>
          <w:tcPr>
            <w:tcW w:w="837" w:type="dxa"/>
            <w:vAlign w:val="center"/>
          </w:tcPr>
          <w:p>
            <w:pPr>
              <w:widowControl/>
              <w:spacing w:line="400" w:lineRule="exact"/>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4791" w:type="dxa"/>
            <w:vAlign w:val="center"/>
          </w:tcPr>
          <w:p>
            <w:pPr>
              <w:spacing w:line="400" w:lineRule="exact"/>
              <w:jc w:val="left"/>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根据</w:t>
            </w:r>
            <w:r>
              <w:rPr>
                <w:rFonts w:hint="eastAsia" w:ascii="宋体" w:hAnsi="宋体"/>
                <w:color w:val="000000" w:themeColor="text1"/>
                <w:szCs w:val="21"/>
                <w14:textFill>
                  <w14:solidFill>
                    <w14:schemeClr w14:val="tx1"/>
                  </w14:solidFill>
                </w14:textFill>
              </w:rPr>
              <w:t>财政部</w:t>
            </w:r>
            <w:r>
              <w:rPr>
                <w:rFonts w:hint="eastAsia" w:ascii="宋体" w:hAnsi="宋体"/>
                <w:color w:val="000000" w:themeColor="text1"/>
                <w:szCs w:val="21"/>
                <w:lang w:eastAsia="zh-CN"/>
                <w14:textFill>
                  <w14:solidFill>
                    <w14:schemeClr w14:val="tx1"/>
                  </w14:solidFill>
                </w14:textFill>
              </w:rPr>
              <w:t>相关文件</w:t>
            </w:r>
            <w:r>
              <w:rPr>
                <w:rFonts w:hint="eastAsia" w:ascii="宋体" w:hAnsi="宋体"/>
                <w:color w:val="000000" w:themeColor="text1"/>
                <w:szCs w:val="21"/>
                <w14:textFill>
                  <w14:solidFill>
                    <w14:schemeClr w14:val="tx1"/>
                  </w14:solidFill>
                </w14:textFill>
              </w:rPr>
              <w:t>等PPP规范操作流程进行项目物有所值评价和财政可承受能力论证，并配合采购人通过市财政部门的相关评价、论证并获得批准。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60" w:lineRule="auto"/>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5</w:t>
            </w:r>
          </w:p>
        </w:tc>
        <w:tc>
          <w:tcPr>
            <w:tcW w:w="2919" w:type="dxa"/>
            <w:vAlign w:val="center"/>
          </w:tcPr>
          <w:p>
            <w:pPr>
              <w:widowControl/>
              <w:spacing w:line="400" w:lineRule="exact"/>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编制PPP项目《实施方案》并报政府审批</w:t>
            </w:r>
          </w:p>
        </w:tc>
        <w:tc>
          <w:tcPr>
            <w:tcW w:w="837" w:type="dxa"/>
            <w:vAlign w:val="center"/>
          </w:tcPr>
          <w:p>
            <w:pPr>
              <w:widowControl/>
              <w:spacing w:line="400" w:lineRule="exact"/>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791" w:type="dxa"/>
            <w:vAlign w:val="center"/>
          </w:tcPr>
          <w:p>
            <w:pPr>
              <w:widowControl/>
              <w:numPr>
                <w:ilvl w:val="0"/>
                <w:numId w:val="9"/>
              </w:numPr>
              <w:spacing w:line="40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根据</w:t>
            </w:r>
            <w:r>
              <w:rPr>
                <w:rFonts w:hint="eastAsia" w:ascii="宋体" w:hAnsi="宋体"/>
                <w:color w:val="000000" w:themeColor="text1"/>
                <w:szCs w:val="21"/>
                <w14:textFill>
                  <w14:solidFill>
                    <w14:schemeClr w14:val="tx1"/>
                  </w14:solidFill>
                </w14:textFill>
              </w:rPr>
              <w:t>财政部</w:t>
            </w:r>
            <w:r>
              <w:rPr>
                <w:rFonts w:hint="eastAsia" w:ascii="宋体" w:hAnsi="宋体"/>
                <w:color w:val="000000" w:themeColor="text1"/>
                <w:szCs w:val="21"/>
                <w:lang w:eastAsia="zh-CN"/>
                <w14:textFill>
                  <w14:solidFill>
                    <w14:schemeClr w14:val="tx1"/>
                  </w14:solidFill>
                </w14:textFill>
              </w:rPr>
              <w:t>相关文件</w:t>
            </w:r>
            <w:r>
              <w:rPr>
                <w:rFonts w:hint="eastAsia" w:ascii="宋体" w:hAnsi="宋体"/>
                <w:color w:val="000000" w:themeColor="text1"/>
                <w:szCs w:val="21"/>
                <w14:textFill>
                  <w14:solidFill>
                    <w14:schemeClr w14:val="tx1"/>
                  </w14:solidFill>
                </w14:textFill>
              </w:rPr>
              <w:t>等PPP规范操作流程，编制PPP实施方案（包括参与各级相关会议的PPP项目实施方案汇报；PPP项目实施方案须为根据各相关管理部门反馈意见修改后的报批稿</w:t>
            </w:r>
            <w:r>
              <w:rPr>
                <w:rFonts w:ascii="宋体" w:hAnsi="宋体"/>
                <w:color w:val="000000" w:themeColor="text1"/>
                <w:szCs w:val="21"/>
                <w14:textFill>
                  <w14:solidFill>
                    <w14:schemeClr w14:val="tx1"/>
                  </w14:solidFill>
                </w14:textFill>
              </w:rPr>
              <w:t>（含合同及其他重要公告、文件），</w:t>
            </w:r>
            <w:r>
              <w:rPr>
                <w:rFonts w:hint="eastAsia" w:ascii="宋体" w:hAnsi="宋体"/>
                <w:color w:val="000000" w:themeColor="text1"/>
                <w:szCs w:val="21"/>
                <w14:textFill>
                  <w14:solidFill>
                    <w14:schemeClr w14:val="tx1"/>
                  </w14:solidFill>
                </w14:textFill>
              </w:rPr>
              <w:t>满足向政府报批的要求）；</w:t>
            </w:r>
          </w:p>
          <w:p>
            <w:pPr>
              <w:widowControl/>
              <w:numPr>
                <w:ilvl w:val="0"/>
                <w:numId w:val="0"/>
              </w:numPr>
              <w:spacing w:line="400" w:lineRule="exact"/>
              <w:ind w:left="0" w:leftChars="0" w:firstLine="0" w:firstLineChars="0"/>
              <w:jc w:val="left"/>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2.根据项目具体情况，建立结构化的现金流折现财务模型，对项目盈利水平、投资回报等进行测算，掌握当前方案设计下项目的财务效果，并编制财务测算报告，在财务测算的基础上确定项目补贴标准、调价原则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60" w:lineRule="auto"/>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6</w:t>
            </w:r>
          </w:p>
        </w:tc>
        <w:tc>
          <w:tcPr>
            <w:tcW w:w="2919" w:type="dxa"/>
            <w:vAlign w:val="center"/>
          </w:tcPr>
          <w:p>
            <w:pPr>
              <w:widowControl/>
              <w:spacing w:line="400" w:lineRule="exact"/>
              <w:textAlignment w:val="center"/>
              <w:rPr>
                <w:rFonts w:hint="eastAsia" w:ascii="宋体" w:hAnsi="宋体" w:cs="宋体"/>
                <w:color w:val="000000" w:themeColor="text1"/>
                <w:vertAlign w:val="baseline"/>
                <w14:textFill>
                  <w14:solidFill>
                    <w14:schemeClr w14:val="tx1"/>
                  </w14:solidFill>
                </w14:textFill>
              </w:rPr>
            </w:pPr>
            <w:r>
              <w:rPr>
                <w:rFonts w:ascii="宋体" w:hAnsi="宋体"/>
                <w:color w:val="000000" w:themeColor="text1"/>
                <w:szCs w:val="21"/>
                <w14:textFill>
                  <w14:solidFill>
                    <w14:schemeClr w14:val="tx1"/>
                  </w14:solidFill>
                </w14:textFill>
              </w:rPr>
              <w:t>协助编制采购文件，并按采购人要求完成采购各阶段的磋商、文件澄清和修订</w:t>
            </w:r>
          </w:p>
        </w:tc>
        <w:tc>
          <w:tcPr>
            <w:tcW w:w="837" w:type="dxa"/>
            <w:vAlign w:val="center"/>
          </w:tcPr>
          <w:p>
            <w:pPr>
              <w:widowControl/>
              <w:spacing w:line="400" w:lineRule="exact"/>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791" w:type="dxa"/>
            <w:vAlign w:val="center"/>
          </w:tcPr>
          <w:p>
            <w:pPr>
              <w:widowControl/>
              <w:spacing w:line="400" w:lineRule="exact"/>
              <w:jc w:val="left"/>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根据经政府批准的PPP项目《实施方案》，协助采购人及招标代理机构修订《采购文件》，包括但不限于按照采购人要求协助确认项目社会资本的采购方式和采购策</w:t>
            </w:r>
            <w:r>
              <w:rPr>
                <w:rFonts w:hint="eastAsia" w:ascii="宋体" w:hAnsi="宋体"/>
                <w:color w:val="000000" w:themeColor="text1"/>
                <w:szCs w:val="21"/>
                <w:lang w:eastAsia="zh-CN"/>
                <w14:textFill>
                  <w14:solidFill>
                    <w14:schemeClr w14:val="tx1"/>
                  </w14:solidFill>
                </w14:textFill>
              </w:rPr>
              <w:t>略</w:t>
            </w:r>
            <w:r>
              <w:rPr>
                <w:rFonts w:hint="eastAsia" w:ascii="宋体" w:hAnsi="宋体"/>
                <w:color w:val="000000" w:themeColor="text1"/>
                <w:szCs w:val="21"/>
                <w14:textFill>
                  <w14:solidFill>
                    <w14:schemeClr w14:val="tx1"/>
                  </w14:solidFill>
                </w14:textFill>
              </w:rPr>
              <w:t>、资格审查文件与评审/评标办法、PPP项目合同等，并按采购人要求经多轮磋商、澄清、修订形成最终《采购文件》。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60" w:lineRule="auto"/>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7</w:t>
            </w:r>
          </w:p>
        </w:tc>
        <w:tc>
          <w:tcPr>
            <w:tcW w:w="2919" w:type="dxa"/>
            <w:vAlign w:val="center"/>
          </w:tcPr>
          <w:p>
            <w:pPr>
              <w:widowControl/>
              <w:spacing w:line="400" w:lineRule="exact"/>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协助采购人完成社会资本的采购</w:t>
            </w:r>
          </w:p>
        </w:tc>
        <w:tc>
          <w:tcPr>
            <w:tcW w:w="837" w:type="dxa"/>
            <w:vAlign w:val="center"/>
          </w:tcPr>
          <w:p>
            <w:pPr>
              <w:widowControl/>
              <w:spacing w:line="400" w:lineRule="exact"/>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791" w:type="dxa"/>
            <w:vAlign w:val="center"/>
          </w:tcPr>
          <w:p>
            <w:pPr>
              <w:widowControl/>
              <w:numPr>
                <w:ilvl w:val="0"/>
                <w:numId w:val="10"/>
              </w:numPr>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协助采购人及招标代理机构进行PPP项目采购直至采购完成；</w:t>
            </w:r>
          </w:p>
          <w:p>
            <w:pPr>
              <w:widowControl/>
              <w:numPr>
                <w:ilvl w:val="0"/>
                <w:numId w:val="0"/>
              </w:numPr>
              <w:spacing w:line="400" w:lineRule="exact"/>
              <w:ind w:left="0" w:leftChars="0" w:firstLine="0" w:firstLineChars="0"/>
              <w:jc w:val="left"/>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2.协助与项目实施机构与潜在社会资本方的洽商、磋商；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60" w:lineRule="auto"/>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8</w:t>
            </w:r>
          </w:p>
        </w:tc>
        <w:tc>
          <w:tcPr>
            <w:tcW w:w="2919" w:type="dxa"/>
            <w:vAlign w:val="center"/>
          </w:tcPr>
          <w:p>
            <w:pPr>
              <w:widowControl/>
              <w:spacing w:line="400" w:lineRule="exact"/>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协助进行PPP项目合同谈判和签署，完成对社会资本方的采购。</w:t>
            </w:r>
          </w:p>
        </w:tc>
        <w:tc>
          <w:tcPr>
            <w:tcW w:w="837" w:type="dxa"/>
            <w:vAlign w:val="center"/>
          </w:tcPr>
          <w:p>
            <w:pPr>
              <w:widowControl/>
              <w:spacing w:line="400" w:lineRule="exact"/>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791" w:type="dxa"/>
            <w:vAlign w:val="center"/>
          </w:tcPr>
          <w:p>
            <w:pPr>
              <w:widowControl/>
              <w:numPr>
                <w:ilvl w:val="0"/>
                <w:numId w:val="11"/>
              </w:numPr>
              <w:spacing w:line="40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根据评标结果，参与PPP项目合同谈判，协助交易双方最终达成一致，直至成功签署；</w:t>
            </w:r>
          </w:p>
          <w:p>
            <w:pPr>
              <w:widowControl/>
              <w:numPr>
                <w:ilvl w:val="0"/>
                <w:numId w:val="11"/>
              </w:numPr>
              <w:spacing w:line="400" w:lineRule="exact"/>
              <w:ind w:left="0" w:leftChars="0" w:firstLine="0" w:firstLineChars="0"/>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完善PPP合同、项目公司合资协议及公司章程等文本，协助采购人完成项目合同签署等一系列工作；</w:t>
            </w:r>
          </w:p>
          <w:p>
            <w:pPr>
              <w:widowControl/>
              <w:numPr>
                <w:ilvl w:val="0"/>
                <w:numId w:val="0"/>
              </w:numPr>
              <w:spacing w:line="400" w:lineRule="exact"/>
              <w:ind w:left="0" w:leftChars="0" w:firstLine="0" w:firstLineChars="0"/>
              <w:jc w:val="left"/>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3.对项目实施监管工作提出方案建议；为项目实施前、实施中、实施后的风险作出评估和提出规避措施建议。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60" w:lineRule="auto"/>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9</w:t>
            </w:r>
          </w:p>
        </w:tc>
        <w:tc>
          <w:tcPr>
            <w:tcW w:w="2919" w:type="dxa"/>
            <w:vAlign w:val="center"/>
          </w:tcPr>
          <w:p>
            <w:pPr>
              <w:widowControl/>
              <w:spacing w:line="400" w:lineRule="exact"/>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业务指导</w:t>
            </w:r>
          </w:p>
        </w:tc>
        <w:tc>
          <w:tcPr>
            <w:tcW w:w="837" w:type="dxa"/>
            <w:vAlign w:val="center"/>
          </w:tcPr>
          <w:p>
            <w:pPr>
              <w:widowControl/>
              <w:spacing w:line="400" w:lineRule="exact"/>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791" w:type="dxa"/>
            <w:vAlign w:val="center"/>
          </w:tcPr>
          <w:p>
            <w:pPr>
              <w:widowControl/>
              <w:spacing w:line="400" w:lineRule="exac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1.为采购人提供PPP知识和相关能力建设培训，应采购人要求，就前述准备、采购阶段中所涉及的财务、商务及法律问题出具专业意见；</w:t>
            </w:r>
          </w:p>
          <w:p>
            <w:pPr>
              <w:widowControl/>
              <w:spacing w:line="400" w:lineRule="exact"/>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2、时间节点要求：视采购人需求而定。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60" w:lineRule="auto"/>
              <w:jc w:val="center"/>
              <w:rPr>
                <w:rFonts w:hint="default"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10</w:t>
            </w:r>
          </w:p>
        </w:tc>
        <w:tc>
          <w:tcPr>
            <w:tcW w:w="2919" w:type="dxa"/>
            <w:vAlign w:val="center"/>
          </w:tcPr>
          <w:p>
            <w:pPr>
              <w:widowControl/>
              <w:spacing w:line="400" w:lineRule="exact"/>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进度控制</w:t>
            </w:r>
          </w:p>
        </w:tc>
        <w:tc>
          <w:tcPr>
            <w:tcW w:w="837" w:type="dxa"/>
            <w:vAlign w:val="center"/>
          </w:tcPr>
          <w:p>
            <w:pPr>
              <w:widowControl/>
              <w:spacing w:line="400" w:lineRule="exact"/>
              <w:jc w:val="center"/>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791" w:type="dxa"/>
            <w:vAlign w:val="center"/>
          </w:tcPr>
          <w:p>
            <w:pPr>
              <w:widowControl/>
              <w:spacing w:line="400" w:lineRule="exact"/>
              <w:textAlignment w:val="center"/>
              <w:rPr>
                <w:rFonts w:hint="eastAsia" w:ascii="宋体" w:hAnsi="宋体" w:cs="宋体"/>
                <w:color w:val="000000" w:themeColor="text1"/>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就PPP项目实施工作进度进行协调控制，定期向采购人汇报，协助采购人完成项目各环节审批工作。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60" w:lineRule="auto"/>
              <w:jc w:val="center"/>
              <w:rPr>
                <w:rFonts w:hint="default" w:ascii="宋体" w:hAnsi="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11</w:t>
            </w:r>
          </w:p>
        </w:tc>
        <w:tc>
          <w:tcPr>
            <w:tcW w:w="2919" w:type="dxa"/>
            <w:vAlign w:val="center"/>
          </w:tcPr>
          <w:p>
            <w:pPr>
              <w:widowControl/>
              <w:spacing w:line="400" w:lineRule="exact"/>
              <w:jc w:val="center"/>
              <w:textAlignment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协调管理</w:t>
            </w:r>
          </w:p>
        </w:tc>
        <w:tc>
          <w:tcPr>
            <w:tcW w:w="837" w:type="dxa"/>
            <w:vAlign w:val="center"/>
          </w:tcPr>
          <w:p>
            <w:pPr>
              <w:widowControl/>
              <w:spacing w:line="400" w:lineRule="exact"/>
              <w:jc w:val="center"/>
              <w:textAlignment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791" w:type="dxa"/>
            <w:vAlign w:val="center"/>
          </w:tcPr>
          <w:p>
            <w:pPr>
              <w:widowControl/>
              <w:spacing w:line="400" w:lineRule="exact"/>
              <w:jc w:val="left"/>
              <w:textAlignment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为采购人提供PPP知识和相关能力建设培训，应采购人要求，就前述准备、采购阶段中所涉及的财务、商务及法律问题出具专业意见。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814" w:type="dxa"/>
          </w:tcPr>
          <w:p>
            <w:pPr>
              <w:spacing w:line="360" w:lineRule="auto"/>
              <w:rPr>
                <w:rFonts w:hint="eastAsia" w:ascii="宋体" w:hAnsi="宋体" w:cs="宋体"/>
                <w:color w:val="000000" w:themeColor="text1"/>
                <w:vertAlign w:val="baseline"/>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商务条款</w:t>
            </w:r>
          </w:p>
        </w:tc>
        <w:tc>
          <w:tcPr>
            <w:tcW w:w="8547" w:type="dxa"/>
            <w:gridSpan w:val="3"/>
          </w:tcPr>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一、合同签订期：自成交通知书发出之日起 7 日内。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二、提交成果文件要求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项目服务过程中，采购人对供应商提交项目各阶段成果文件的要求如下：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1、文件的版式、装订应美观、牢固、清晰、有条理、重点突出。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2、提交纸质文件（送审版）的份数须满足审查、论证需要；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3、提交正式文本纸质文件的份数须满足报批需要；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4、文字报告包括供应商提供的正式往来文件、中间成果报告、最终成果报告和技术说明书等， 文字报告、图纸采用标准的尺寸。 </w:t>
            </w:r>
          </w:p>
          <w:p>
            <w:pPr>
              <w:pStyle w:val="30"/>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合同履行期限：</w:t>
            </w:r>
            <w:r>
              <w:rPr>
                <w:rFonts w:hint="eastAsia" w:ascii="宋体" w:hAnsi="宋体" w:cs="宋体"/>
                <w:color w:val="000000" w:themeColor="text1"/>
                <w:sz w:val="20"/>
                <w:szCs w:val="20"/>
                <w:lang w:eastAsia="zh-CN"/>
                <w14:textFill>
                  <w14:solidFill>
                    <w14:schemeClr w14:val="tx1"/>
                  </w14:solidFill>
                </w14:textFill>
              </w:rPr>
              <w:t>自签订服务合同之日起6个月。</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三、提交服务成果地点： 采购单位指定地点。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▲四、技术力量要求：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1、供应商应承诺为本项目配备不少于5人的咨询服务团队，其中咨询类不得少于1人；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▲五、售后服务要求： </w:t>
            </w:r>
          </w:p>
          <w:p>
            <w:pPr>
              <w:spacing w:line="360"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1、项目服务期限：自签订服务合同之日起6个月。</w:t>
            </w:r>
          </w:p>
          <w:p>
            <w:pPr>
              <w:spacing w:line="360"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2、处理问题响应时间：接到采购人处理问题通知后12小时内做出积极响应。</w:t>
            </w:r>
          </w:p>
          <w:p>
            <w:pPr>
              <w:spacing w:line="360"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3、投标时根据服务内容提交相应工作进度计划。</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六、其他要求：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1、本次招标为整体采购项目。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2、中标供应商提供的服务内容、执行标准及技术规范等必须符合国家相关标准或规范要求, 相关内 容符合国家及行业规范标准。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▲3、报价必须含以下部分，包括：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（1）服务的价格；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（2）必要的保险费用和各项税费；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（3）培训、技术支持、售后服务及根据最新的法律法规及政策性文件调整服务方案等费用。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（4）中标供应商完成本咨询服务工作所需的住宿、办公、通讯、交通等办公生活相关费用。 </w:t>
            </w:r>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4、付款方式： </w:t>
            </w:r>
          </w:p>
          <w:p>
            <w:pPr>
              <w:spacing w:line="360"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（1）中标供应商提交本项目可行性论证审查报告15个工作日内，采购人向中标供应商支付本项目合同价款的20%；</w:t>
            </w:r>
            <w:r>
              <w:rPr>
                <w:rFonts w:hint="eastAsia" w:ascii="宋体" w:hAnsi="宋体" w:cs="宋体"/>
                <w:color w:val="000000" w:themeColor="text1"/>
                <w:lang w:val="en-US" w:eastAsia="zh-CN"/>
                <w14:textFill>
                  <w14:solidFill>
                    <w14:schemeClr w14:val="tx1"/>
                  </w14:solidFill>
                </w14:textFill>
              </w:rPr>
              <w:br w:type="textWrapping"/>
            </w:r>
            <w:r>
              <w:rPr>
                <w:rFonts w:hint="eastAsia" w:ascii="宋体" w:hAnsi="宋体" w:cs="宋体"/>
                <w:color w:val="000000" w:themeColor="text1"/>
                <w:lang w:val="en-US" w:eastAsia="zh-CN"/>
                <w14:textFill>
                  <w14:solidFill>
                    <w14:schemeClr w14:val="tx1"/>
                  </w14:solidFill>
                </w14:textFill>
              </w:rPr>
              <w:t>（2）中标供应商提交本项目物有所值评价、财政承受能力论证报告、PPP项目初步实施方案初稿后20个工作日内，采购人向中标供应商支付合同总价款的25%；</w:t>
            </w:r>
            <w:r>
              <w:rPr>
                <w:rFonts w:hint="eastAsia" w:ascii="宋体" w:hAnsi="宋体" w:cs="宋体"/>
                <w:color w:val="000000" w:themeColor="text1"/>
                <w:lang w:val="en-US" w:eastAsia="zh-CN"/>
                <w14:textFill>
                  <w14:solidFill>
                    <w14:schemeClr w14:val="tx1"/>
                  </w14:solidFill>
                </w14:textFill>
              </w:rPr>
              <w:br w:type="textWrapping"/>
            </w:r>
            <w:r>
              <w:rPr>
                <w:rFonts w:hint="eastAsia" w:ascii="宋体" w:hAnsi="宋体" w:cs="宋体"/>
                <w:color w:val="000000" w:themeColor="text1"/>
                <w:lang w:val="en-US" w:eastAsia="zh-CN"/>
                <w14:textFill>
                  <w14:solidFill>
                    <w14:schemeClr w14:val="tx1"/>
                  </w14:solidFill>
                </w14:textFill>
              </w:rPr>
              <w:t>（3）中标供应商协助采购人开展两报告专家评审会且中标供应商编制的两报告通过专家评审后20个工作日内，采购人向中标供应商支付合同咨询费总额的35%。</w:t>
            </w:r>
            <w:r>
              <w:rPr>
                <w:rFonts w:hint="eastAsia" w:ascii="宋体" w:hAnsi="宋体" w:cs="宋体"/>
                <w:color w:val="000000" w:themeColor="text1"/>
                <w:lang w:val="en-US" w:eastAsia="zh-CN"/>
                <w14:textFill>
                  <w14:solidFill>
                    <w14:schemeClr w14:val="tx1"/>
                  </w14:solidFill>
                </w14:textFill>
              </w:rPr>
              <w:br w:type="textWrapping"/>
            </w:r>
            <w:r>
              <w:rPr>
                <w:rFonts w:hint="eastAsia" w:ascii="宋体" w:hAnsi="宋体" w:cs="宋体"/>
                <w:color w:val="000000" w:themeColor="text1"/>
                <w:lang w:val="en-US" w:eastAsia="zh-CN"/>
                <w14:textFill>
                  <w14:solidFill>
                    <w14:schemeClr w14:val="tx1"/>
                  </w14:solidFill>
                </w14:textFill>
              </w:rPr>
              <w:t>（4）中标供应商完善PPP实施方案修改稿并通过政府常务会批复后20个工作日内采购人向中标供应商支付合同合同咨询费总额的15%；</w:t>
            </w:r>
            <w:r>
              <w:rPr>
                <w:rFonts w:hint="eastAsia" w:ascii="宋体" w:hAnsi="宋体" w:cs="宋体"/>
                <w:color w:val="000000" w:themeColor="text1"/>
                <w:lang w:val="en-US" w:eastAsia="zh-CN"/>
                <w14:textFill>
                  <w14:solidFill>
                    <w14:schemeClr w14:val="tx1"/>
                  </w14:solidFill>
                </w14:textFill>
              </w:rPr>
              <w:br w:type="textWrapping"/>
            </w:r>
            <w:r>
              <w:rPr>
                <w:rFonts w:hint="eastAsia" w:ascii="宋体" w:hAnsi="宋体" w:cs="宋体"/>
                <w:color w:val="000000" w:themeColor="text1"/>
                <w:lang w:val="en-US" w:eastAsia="zh-CN"/>
                <w14:textFill>
                  <w14:solidFill>
                    <w14:schemeClr w14:val="tx1"/>
                  </w14:solidFill>
                </w14:textFill>
              </w:rPr>
              <w:t>（5）中标供应商完成项目采购公告、资格预审文件、采购文件等编制工作，并协助采购人完成项目社会资本招标，拟定PPP项目合同，在完成合同谈判、签订有关PPP项目合同后，采购人向中标供应商支付本合同咨询费总额的5%。</w:t>
            </w:r>
          </w:p>
          <w:p>
            <w:pPr>
              <w:spacing w:line="360" w:lineRule="auto"/>
              <w:rPr>
                <w:rFonts w:hint="eastAsia" w:ascii="宋体" w:hAnsi="宋体" w:cs="宋体"/>
                <w:color w:val="000000" w:themeColor="text1"/>
                <w:vertAlign w:val="baseline"/>
                <w14:textFill>
                  <w14:solidFill>
                    <w14:schemeClr w14:val="tx1"/>
                  </w14:solidFill>
                </w14:textFill>
              </w:rPr>
            </w:pPr>
          </w:p>
        </w:tc>
      </w:tr>
    </w:tbl>
    <w:p>
      <w:pPr>
        <w:spacing w:line="360" w:lineRule="auto"/>
        <w:ind w:firstLine="315" w:firstLineChars="150"/>
        <w:rPr>
          <w:rFonts w:hint="eastAsia" w:ascii="宋体" w:hAnsi="宋体" w:cs="宋体"/>
          <w:color w:val="000000" w:themeColor="text1"/>
          <w14:textFill>
            <w14:solidFill>
              <w14:schemeClr w14:val="tx1"/>
            </w14:solidFill>
          </w14:textFill>
        </w:rPr>
      </w:pPr>
    </w:p>
    <w:p>
      <w:pPr>
        <w:spacing w:line="360" w:lineRule="auto"/>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 </w:t>
      </w:r>
    </w:p>
    <w:p>
      <w:pPr>
        <w:snapToGrid w:val="0"/>
        <w:spacing w:line="400" w:lineRule="exact"/>
        <w:jc w:val="center"/>
        <w:rPr>
          <w:rStyle w:val="61"/>
          <w:rFonts w:hint="eastAsia" w:ascii="宋体" w:hAnsi="宋体" w:eastAsia="宋体" w:cs="宋体"/>
          <w:color w:val="000000" w:themeColor="text1"/>
          <w:sz w:val="36"/>
          <w:szCs w:val="36"/>
          <w14:textFill>
            <w14:solidFill>
              <w14:schemeClr w14:val="tx1"/>
            </w14:solidFill>
          </w14:textFill>
        </w:rPr>
      </w:pPr>
    </w:p>
    <w:p>
      <w:pPr>
        <w:snapToGrid w:val="0"/>
        <w:spacing w:line="400" w:lineRule="exact"/>
        <w:jc w:val="center"/>
        <w:rPr>
          <w:rStyle w:val="61"/>
          <w:rFonts w:hint="eastAsia" w:ascii="宋体" w:hAnsi="宋体" w:eastAsia="宋体" w:cs="宋体"/>
          <w:color w:val="000000" w:themeColor="text1"/>
          <w:sz w:val="36"/>
          <w:szCs w:val="36"/>
          <w14:textFill>
            <w14:solidFill>
              <w14:schemeClr w14:val="tx1"/>
            </w14:solidFill>
          </w14:textFill>
        </w:rPr>
      </w:pPr>
    </w:p>
    <w:p>
      <w:pPr>
        <w:snapToGrid w:val="0"/>
        <w:spacing w:line="400" w:lineRule="exact"/>
        <w:jc w:val="center"/>
        <w:rPr>
          <w:rStyle w:val="61"/>
          <w:rFonts w:hint="eastAsia" w:ascii="宋体" w:hAnsi="宋体" w:eastAsia="宋体" w:cs="宋体"/>
          <w:color w:val="000000" w:themeColor="text1"/>
          <w:sz w:val="36"/>
          <w:szCs w:val="36"/>
          <w14:textFill>
            <w14:solidFill>
              <w14:schemeClr w14:val="tx1"/>
            </w14:solidFill>
          </w14:textFill>
        </w:rPr>
      </w:pPr>
    </w:p>
    <w:p>
      <w:pPr>
        <w:snapToGrid w:val="0"/>
        <w:spacing w:line="400" w:lineRule="exact"/>
        <w:jc w:val="center"/>
        <w:rPr>
          <w:rStyle w:val="61"/>
          <w:rFonts w:hint="eastAsia" w:ascii="宋体" w:hAnsi="宋体" w:eastAsia="宋体" w:cs="宋体"/>
          <w:color w:val="000000" w:themeColor="text1"/>
          <w:sz w:val="36"/>
          <w:szCs w:val="36"/>
          <w14:textFill>
            <w14:solidFill>
              <w14:schemeClr w14:val="tx1"/>
            </w14:solidFill>
          </w14:textFill>
        </w:rPr>
      </w:pPr>
    </w:p>
    <w:p>
      <w:pPr>
        <w:snapToGrid w:val="0"/>
        <w:spacing w:line="400" w:lineRule="exact"/>
        <w:jc w:val="center"/>
        <w:rPr>
          <w:rStyle w:val="61"/>
          <w:rFonts w:hint="eastAsia" w:ascii="宋体" w:hAnsi="宋体" w:eastAsia="宋体" w:cs="宋体"/>
          <w:color w:val="000000" w:themeColor="text1"/>
          <w:sz w:val="36"/>
          <w:szCs w:val="36"/>
          <w14:textFill>
            <w14:solidFill>
              <w14:schemeClr w14:val="tx1"/>
            </w14:solidFill>
          </w14:textFill>
        </w:rPr>
      </w:pPr>
    </w:p>
    <w:p>
      <w:pPr>
        <w:snapToGrid w:val="0"/>
        <w:spacing w:line="400" w:lineRule="exact"/>
        <w:jc w:val="center"/>
        <w:rPr>
          <w:rStyle w:val="61"/>
          <w:rFonts w:hint="eastAsia" w:ascii="宋体" w:hAnsi="宋体" w:eastAsia="宋体" w:cs="宋体"/>
          <w:color w:val="000000" w:themeColor="text1"/>
          <w:sz w:val="36"/>
          <w:szCs w:val="36"/>
          <w14:textFill>
            <w14:solidFill>
              <w14:schemeClr w14:val="tx1"/>
            </w14:solidFill>
          </w14:textFill>
        </w:rPr>
      </w:pPr>
    </w:p>
    <w:p>
      <w:pPr>
        <w:snapToGrid w:val="0"/>
        <w:spacing w:line="400" w:lineRule="exact"/>
        <w:jc w:val="center"/>
        <w:rPr>
          <w:rStyle w:val="61"/>
          <w:rFonts w:hint="eastAsia" w:ascii="宋体" w:hAnsi="宋体" w:eastAsia="宋体" w:cs="宋体"/>
          <w:color w:val="000000" w:themeColor="text1"/>
          <w:sz w:val="36"/>
          <w:szCs w:val="36"/>
          <w14:textFill>
            <w14:solidFill>
              <w14:schemeClr w14:val="tx1"/>
            </w14:solidFill>
          </w14:textFill>
        </w:rPr>
      </w:pPr>
    </w:p>
    <w:p>
      <w:pPr>
        <w:snapToGrid w:val="0"/>
        <w:spacing w:line="400" w:lineRule="exact"/>
        <w:jc w:val="center"/>
        <w:rPr>
          <w:rStyle w:val="61"/>
          <w:rFonts w:hint="eastAsia" w:ascii="宋体" w:hAnsi="宋体" w:eastAsia="宋体" w:cs="宋体"/>
          <w:color w:val="000000" w:themeColor="text1"/>
          <w:sz w:val="36"/>
          <w:szCs w:val="36"/>
          <w14:textFill>
            <w14:solidFill>
              <w14:schemeClr w14:val="tx1"/>
            </w14:solidFill>
          </w14:textFill>
        </w:rPr>
      </w:pPr>
    </w:p>
    <w:p>
      <w:pPr>
        <w:snapToGrid w:val="0"/>
        <w:spacing w:line="400" w:lineRule="exact"/>
        <w:jc w:val="center"/>
        <w:rPr>
          <w:rStyle w:val="61"/>
          <w:rFonts w:hint="eastAsia" w:ascii="宋体" w:hAnsi="宋体" w:eastAsia="宋体" w:cs="宋体"/>
          <w:color w:val="000000" w:themeColor="text1"/>
          <w:sz w:val="36"/>
          <w:szCs w:val="36"/>
          <w14:textFill>
            <w14:solidFill>
              <w14:schemeClr w14:val="tx1"/>
            </w14:solidFill>
          </w14:textFill>
        </w:rPr>
      </w:pPr>
    </w:p>
    <w:p>
      <w:pPr>
        <w:snapToGrid w:val="0"/>
        <w:spacing w:line="400" w:lineRule="exact"/>
        <w:jc w:val="center"/>
        <w:rPr>
          <w:rStyle w:val="61"/>
          <w:rFonts w:hint="eastAsia" w:ascii="宋体" w:hAnsi="宋体" w:eastAsia="宋体" w:cs="宋体"/>
          <w:color w:val="000000" w:themeColor="text1"/>
          <w:sz w:val="36"/>
          <w:szCs w:val="36"/>
          <w14:textFill>
            <w14:solidFill>
              <w14:schemeClr w14:val="tx1"/>
            </w14:solidFill>
          </w14:textFill>
        </w:rPr>
      </w:pPr>
    </w:p>
    <w:p>
      <w:pPr>
        <w:pStyle w:val="30"/>
        <w:rPr>
          <w:rStyle w:val="61"/>
          <w:rFonts w:hint="eastAsia" w:ascii="宋体" w:hAnsi="宋体" w:eastAsia="宋体" w:cs="宋体"/>
          <w:color w:val="000000" w:themeColor="text1"/>
          <w:sz w:val="36"/>
          <w:szCs w:val="36"/>
          <w14:textFill>
            <w14:solidFill>
              <w14:schemeClr w14:val="tx1"/>
            </w14:solidFill>
          </w14:textFill>
        </w:rPr>
      </w:pPr>
    </w:p>
    <w:p>
      <w:pPr>
        <w:pStyle w:val="30"/>
        <w:rPr>
          <w:rStyle w:val="61"/>
          <w:rFonts w:hint="eastAsia" w:ascii="宋体" w:hAnsi="宋体" w:eastAsia="宋体" w:cs="宋体"/>
          <w:color w:val="000000" w:themeColor="text1"/>
          <w:sz w:val="36"/>
          <w:szCs w:val="36"/>
          <w14:textFill>
            <w14:solidFill>
              <w14:schemeClr w14:val="tx1"/>
            </w14:solidFill>
          </w14:textFill>
        </w:rPr>
      </w:pPr>
    </w:p>
    <w:p>
      <w:pPr>
        <w:pStyle w:val="30"/>
        <w:rPr>
          <w:rStyle w:val="61"/>
          <w:rFonts w:hint="eastAsia" w:ascii="宋体" w:hAnsi="宋体" w:eastAsia="宋体" w:cs="宋体"/>
          <w:color w:val="000000" w:themeColor="text1"/>
          <w:sz w:val="36"/>
          <w:szCs w:val="36"/>
          <w14:textFill>
            <w14:solidFill>
              <w14:schemeClr w14:val="tx1"/>
            </w14:solidFill>
          </w14:textFill>
        </w:rPr>
      </w:pPr>
    </w:p>
    <w:p>
      <w:pPr>
        <w:pStyle w:val="30"/>
        <w:rPr>
          <w:rStyle w:val="61"/>
          <w:rFonts w:hint="eastAsia" w:ascii="宋体" w:hAnsi="宋体" w:eastAsia="宋体" w:cs="宋体"/>
          <w:color w:val="000000" w:themeColor="text1"/>
          <w:sz w:val="36"/>
          <w:szCs w:val="36"/>
          <w14:textFill>
            <w14:solidFill>
              <w14:schemeClr w14:val="tx1"/>
            </w14:solidFill>
          </w14:textFill>
        </w:rPr>
      </w:pPr>
    </w:p>
    <w:p>
      <w:pPr>
        <w:pStyle w:val="30"/>
        <w:rPr>
          <w:rStyle w:val="61"/>
          <w:rFonts w:hint="eastAsia" w:ascii="宋体" w:hAnsi="宋体" w:eastAsia="宋体" w:cs="宋体"/>
          <w:color w:val="000000" w:themeColor="text1"/>
          <w:sz w:val="36"/>
          <w:szCs w:val="36"/>
          <w14:textFill>
            <w14:solidFill>
              <w14:schemeClr w14:val="tx1"/>
            </w14:solidFill>
          </w14:textFill>
        </w:rPr>
      </w:pPr>
    </w:p>
    <w:p>
      <w:pPr>
        <w:pStyle w:val="30"/>
        <w:rPr>
          <w:rStyle w:val="61"/>
          <w:rFonts w:hint="eastAsia" w:ascii="宋体" w:hAnsi="宋体" w:eastAsia="宋体" w:cs="宋体"/>
          <w:color w:val="000000" w:themeColor="text1"/>
          <w:sz w:val="36"/>
          <w:szCs w:val="36"/>
          <w14:textFill>
            <w14:solidFill>
              <w14:schemeClr w14:val="tx1"/>
            </w14:solidFill>
          </w14:textFill>
        </w:rPr>
      </w:pPr>
    </w:p>
    <w:p>
      <w:pPr>
        <w:pStyle w:val="30"/>
        <w:rPr>
          <w:rStyle w:val="61"/>
          <w:rFonts w:hint="eastAsia" w:ascii="宋体" w:hAnsi="宋体" w:eastAsia="宋体" w:cs="宋体"/>
          <w:color w:val="000000" w:themeColor="text1"/>
          <w:sz w:val="36"/>
          <w:szCs w:val="36"/>
          <w14:textFill>
            <w14:solidFill>
              <w14:schemeClr w14:val="tx1"/>
            </w14:solidFill>
          </w14:textFill>
        </w:rPr>
      </w:pPr>
    </w:p>
    <w:p>
      <w:pPr>
        <w:pStyle w:val="30"/>
        <w:rPr>
          <w:rStyle w:val="61"/>
          <w:rFonts w:hint="eastAsia" w:ascii="宋体" w:hAnsi="宋体" w:eastAsia="宋体" w:cs="宋体"/>
          <w:color w:val="000000" w:themeColor="text1"/>
          <w:sz w:val="36"/>
          <w:szCs w:val="36"/>
          <w14:textFill>
            <w14:solidFill>
              <w14:schemeClr w14:val="tx1"/>
            </w14:solidFill>
          </w14:textFill>
        </w:rPr>
      </w:pPr>
    </w:p>
    <w:p>
      <w:pPr>
        <w:pStyle w:val="30"/>
        <w:rPr>
          <w:rStyle w:val="61"/>
          <w:rFonts w:hint="eastAsia" w:ascii="宋体" w:hAnsi="宋体" w:eastAsia="宋体" w:cs="宋体"/>
          <w:color w:val="000000" w:themeColor="text1"/>
          <w:sz w:val="36"/>
          <w:szCs w:val="36"/>
          <w14:textFill>
            <w14:solidFill>
              <w14:schemeClr w14:val="tx1"/>
            </w14:solidFill>
          </w14:textFill>
        </w:rPr>
      </w:pPr>
    </w:p>
    <w:p>
      <w:pPr>
        <w:pStyle w:val="30"/>
        <w:rPr>
          <w:rStyle w:val="61"/>
          <w:rFonts w:hint="eastAsia" w:ascii="宋体" w:hAnsi="宋体" w:eastAsia="宋体" w:cs="宋体"/>
          <w:color w:val="000000" w:themeColor="text1"/>
          <w:sz w:val="36"/>
          <w:szCs w:val="36"/>
          <w14:textFill>
            <w14:solidFill>
              <w14:schemeClr w14:val="tx1"/>
            </w14:solidFill>
          </w14:textFill>
        </w:rPr>
      </w:pPr>
    </w:p>
    <w:p>
      <w:pPr>
        <w:pStyle w:val="30"/>
        <w:rPr>
          <w:rStyle w:val="61"/>
          <w:rFonts w:hint="eastAsia" w:ascii="宋体" w:hAnsi="宋体" w:eastAsia="宋体" w:cs="宋体"/>
          <w:color w:val="000000" w:themeColor="text1"/>
          <w:sz w:val="36"/>
          <w:szCs w:val="36"/>
          <w14:textFill>
            <w14:solidFill>
              <w14:schemeClr w14:val="tx1"/>
            </w14:solidFill>
          </w14:textFill>
        </w:rPr>
      </w:pPr>
    </w:p>
    <w:p>
      <w:pPr>
        <w:pStyle w:val="30"/>
        <w:rPr>
          <w:rStyle w:val="61"/>
          <w:rFonts w:hint="eastAsia" w:ascii="宋体" w:hAnsi="宋体" w:eastAsia="宋体" w:cs="宋体"/>
          <w:color w:val="000000" w:themeColor="text1"/>
          <w:sz w:val="36"/>
          <w:szCs w:val="36"/>
          <w14:textFill>
            <w14:solidFill>
              <w14:schemeClr w14:val="tx1"/>
            </w14:solidFill>
          </w14:textFill>
        </w:rPr>
      </w:pPr>
    </w:p>
    <w:p>
      <w:pPr>
        <w:pStyle w:val="30"/>
        <w:rPr>
          <w:rStyle w:val="61"/>
          <w:rFonts w:hint="eastAsia" w:ascii="宋体" w:hAnsi="宋体" w:eastAsia="宋体" w:cs="宋体"/>
          <w:color w:val="000000" w:themeColor="text1"/>
          <w:sz w:val="36"/>
          <w:szCs w:val="36"/>
          <w14:textFill>
            <w14:solidFill>
              <w14:schemeClr w14:val="tx1"/>
            </w14:solidFill>
          </w14:textFill>
        </w:rPr>
      </w:pPr>
    </w:p>
    <w:p>
      <w:pPr>
        <w:snapToGrid w:val="0"/>
        <w:spacing w:line="400" w:lineRule="exact"/>
        <w:jc w:val="center"/>
        <w:rPr>
          <w:rFonts w:ascii="宋体" w:cs="宋体"/>
          <w:b/>
          <w:bCs/>
          <w:color w:val="000000" w:themeColor="text1"/>
          <w:sz w:val="32"/>
          <w:szCs w:val="32"/>
          <w14:textFill>
            <w14:solidFill>
              <w14:schemeClr w14:val="tx1"/>
            </w14:solidFill>
          </w14:textFill>
        </w:rPr>
      </w:pPr>
      <w:r>
        <w:rPr>
          <w:rStyle w:val="61"/>
          <w:rFonts w:hint="eastAsia" w:ascii="宋体" w:hAnsi="宋体" w:eastAsia="宋体" w:cs="宋体"/>
          <w:color w:val="000000" w:themeColor="text1"/>
          <w:sz w:val="36"/>
          <w:szCs w:val="36"/>
          <w14:textFill>
            <w14:solidFill>
              <w14:schemeClr w14:val="tx1"/>
            </w14:solidFill>
          </w14:textFill>
        </w:rPr>
        <w:t>第四章</w:t>
      </w:r>
      <w:bookmarkEnd w:id="49"/>
      <w:bookmarkStart w:id="50" w:name="_Toc6795_WPSOffice_Level1"/>
      <w:bookmarkStart w:id="51" w:name="_Toc23660"/>
      <w:r>
        <w:rPr>
          <w:rStyle w:val="61"/>
          <w:rFonts w:hint="eastAsia" w:ascii="宋体" w:hAnsi="宋体" w:eastAsia="宋体" w:cs="宋体"/>
          <w:color w:val="000000" w:themeColor="text1"/>
          <w:sz w:val="36"/>
          <w:szCs w:val="36"/>
          <w14:textFill>
            <w14:solidFill>
              <w14:schemeClr w14:val="tx1"/>
            </w14:solidFill>
          </w14:textFill>
        </w:rPr>
        <w:t>合同书格式</w:t>
      </w:r>
      <w:bookmarkEnd w:id="50"/>
      <w:r>
        <w:rPr>
          <w:rFonts w:hint="eastAsia" w:ascii="宋体" w:hAnsi="宋体" w:cs="宋体"/>
          <w:b/>
          <w:bCs/>
          <w:color w:val="000000" w:themeColor="text1"/>
          <w:sz w:val="32"/>
          <w:szCs w:val="32"/>
          <w14:textFill>
            <w14:solidFill>
              <w14:schemeClr w14:val="tx1"/>
            </w14:solidFill>
          </w14:textFill>
        </w:rPr>
        <w:t>（参考）</w:t>
      </w:r>
    </w:p>
    <w:p>
      <w:pPr>
        <w:spacing w:line="360" w:lineRule="auto"/>
        <w:ind w:firstLine="460" w:firstLineChars="200"/>
        <w:rPr>
          <w:rFonts w:ascii="宋体" w:hAnsi="宋体"/>
          <w:color w:val="000000" w:themeColor="text1"/>
          <w:sz w:val="44"/>
          <w14:textFill>
            <w14:solidFill>
              <w14:schemeClr w14:val="tx1"/>
            </w14:solidFill>
          </w14:textFill>
        </w:rPr>
      </w:pPr>
      <w:r>
        <w:rPr>
          <w:color w:val="000000" w:themeColor="text1"/>
          <w:sz w:val="23"/>
          <w:szCs w:val="23"/>
          <w14:textFill>
            <w14:solidFill>
              <w14:schemeClr w14:val="tx1"/>
            </w14:solidFill>
          </w14:textFill>
        </w:rPr>
        <w:t>注：本合同仅为合同的参考文本，合同签订双方可根据项目的具体要求进行修订，但合同条款不得与采购文件和成交供应商</w:t>
      </w:r>
      <w:r>
        <w:rPr>
          <w:rFonts w:hint="eastAsia"/>
          <w:color w:val="000000" w:themeColor="text1"/>
          <w:sz w:val="23"/>
          <w:szCs w:val="23"/>
          <w14:textFill>
            <w14:solidFill>
              <w14:schemeClr w14:val="tx1"/>
            </w14:solidFill>
          </w14:textFill>
        </w:rPr>
        <w:t>响应</w:t>
      </w:r>
      <w:r>
        <w:rPr>
          <w:color w:val="000000" w:themeColor="text1"/>
          <w:sz w:val="23"/>
          <w:szCs w:val="23"/>
          <w14:textFill>
            <w14:solidFill>
              <w14:schemeClr w14:val="tx1"/>
            </w14:solidFill>
          </w14:textFill>
        </w:rPr>
        <w:t>文件有实质性偏离</w:t>
      </w:r>
    </w:p>
    <w:p>
      <w:pPr>
        <w:tabs>
          <w:tab w:val="left" w:pos="417"/>
        </w:tabs>
        <w:autoSpaceDE w:val="0"/>
        <w:autoSpaceDN w:val="0"/>
        <w:spacing w:line="360" w:lineRule="auto"/>
        <w:jc w:val="center"/>
        <w:rPr>
          <w:rFonts w:ascii="宋体" w:hAnsi="宋体"/>
          <w:b/>
          <w:color w:val="000000" w:themeColor="text1"/>
          <w:kern w:val="0"/>
          <w:sz w:val="48"/>
          <w:szCs w:val="48"/>
          <w14:textFill>
            <w14:solidFill>
              <w14:schemeClr w14:val="tx1"/>
            </w14:solidFill>
          </w14:textFill>
        </w:rPr>
      </w:pPr>
    </w:p>
    <w:p>
      <w:pPr>
        <w:tabs>
          <w:tab w:val="left" w:pos="417"/>
        </w:tabs>
        <w:autoSpaceDE w:val="0"/>
        <w:autoSpaceDN w:val="0"/>
        <w:spacing w:line="360" w:lineRule="auto"/>
        <w:rPr>
          <w:rFonts w:ascii="宋体" w:hAnsi="宋体"/>
          <w:b/>
          <w:color w:val="000000" w:themeColor="text1"/>
          <w:kern w:val="0"/>
          <w:sz w:val="72"/>
          <w:szCs w:val="72"/>
          <w14:textFill>
            <w14:solidFill>
              <w14:schemeClr w14:val="tx1"/>
            </w14:solidFill>
          </w14:textFill>
        </w:rPr>
      </w:pPr>
      <w:r>
        <w:rPr>
          <w:rFonts w:hint="eastAsia" w:ascii="宋体" w:hAnsi="宋体"/>
          <w:b/>
          <w:color w:val="000000" w:themeColor="text1"/>
          <w:kern w:val="0"/>
          <w:sz w:val="48"/>
          <w:szCs w:val="48"/>
          <w14:textFill>
            <w14:solidFill>
              <w14:schemeClr w14:val="tx1"/>
            </w14:solidFill>
          </w14:textFill>
        </w:rPr>
        <w:t xml:space="preserve">  </w:t>
      </w:r>
      <w:r>
        <w:rPr>
          <w:rFonts w:hint="eastAsia" w:ascii="宋体" w:hAnsi="宋体"/>
          <w:b/>
          <w:color w:val="000000" w:themeColor="text1"/>
          <w:kern w:val="0"/>
          <w:sz w:val="72"/>
          <w:szCs w:val="72"/>
          <w14:textFill>
            <w14:solidFill>
              <w14:schemeClr w14:val="tx1"/>
            </w14:solidFill>
          </w14:textFill>
        </w:rPr>
        <w:t xml:space="preserve">   政府采购合同书</w:t>
      </w:r>
    </w:p>
    <w:p>
      <w:pPr>
        <w:autoSpaceDE w:val="0"/>
        <w:autoSpaceDN w:val="0"/>
        <w:adjustRightInd w:val="0"/>
        <w:spacing w:line="360" w:lineRule="auto"/>
        <w:jc w:val="left"/>
        <w:rPr>
          <w:rFonts w:ascii="宋体" w:hAnsi="宋体"/>
          <w:color w:val="000000" w:themeColor="text1"/>
          <w:kern w:val="0"/>
          <w:sz w:val="24"/>
          <w:szCs w:val="20"/>
          <w14:textFill>
            <w14:solidFill>
              <w14:schemeClr w14:val="tx1"/>
            </w14:solidFill>
          </w14:textFill>
        </w:rPr>
      </w:pPr>
    </w:p>
    <w:p>
      <w:pPr>
        <w:pStyle w:val="40"/>
        <w:widowControl w:val="0"/>
        <w:autoSpaceDE w:val="0"/>
        <w:autoSpaceDN w:val="0"/>
        <w:adjustRightInd w:val="0"/>
        <w:spacing w:before="0" w:beforeAutospacing="0" w:after="0" w:afterAutospacing="0" w:line="360" w:lineRule="auto"/>
        <w:rPr>
          <w:color w:val="000000" w:themeColor="text1"/>
          <w:szCs w:val="20"/>
          <w14:textFill>
            <w14:solidFill>
              <w14:schemeClr w14:val="tx1"/>
            </w14:solidFill>
          </w14:textFill>
        </w:rPr>
      </w:pPr>
    </w:p>
    <w:p>
      <w:pPr>
        <w:pStyle w:val="40"/>
        <w:widowControl w:val="0"/>
        <w:autoSpaceDE w:val="0"/>
        <w:autoSpaceDN w:val="0"/>
        <w:adjustRightInd w:val="0"/>
        <w:spacing w:before="0" w:beforeAutospacing="0" w:after="0" w:afterAutospacing="0" w:line="360" w:lineRule="auto"/>
        <w:rPr>
          <w:color w:val="000000" w:themeColor="text1"/>
          <w:szCs w:val="20"/>
          <w14:textFill>
            <w14:solidFill>
              <w14:schemeClr w14:val="tx1"/>
            </w14:solidFill>
          </w14:textFill>
        </w:rPr>
      </w:pPr>
    </w:p>
    <w:p>
      <w:pPr>
        <w:pStyle w:val="3"/>
        <w:jc w:val="center"/>
        <w:rPr>
          <w:rFonts w:ascii="宋体" w:hAnsi="宋体"/>
          <w:b/>
          <w:color w:val="000000" w:themeColor="text1"/>
          <w:spacing w:val="60"/>
          <w:sz w:val="36"/>
          <w:szCs w:val="36"/>
          <w:u w:val="single"/>
          <w14:textFill>
            <w14:solidFill>
              <w14:schemeClr w14:val="tx1"/>
            </w14:solidFill>
          </w14:textFill>
        </w:rPr>
      </w:pPr>
    </w:p>
    <w:p>
      <w:pPr>
        <w:pStyle w:val="3"/>
        <w:jc w:val="center"/>
        <w:rPr>
          <w:rFonts w:ascii="宋体" w:hAnsi="宋体"/>
          <w:b/>
          <w:color w:val="000000" w:themeColor="text1"/>
          <w:spacing w:val="60"/>
          <w:sz w:val="36"/>
          <w:szCs w:val="36"/>
          <w:u w:val="single"/>
          <w14:textFill>
            <w14:solidFill>
              <w14:schemeClr w14:val="tx1"/>
            </w14:solidFill>
          </w14:textFill>
        </w:rPr>
      </w:pPr>
      <w:r>
        <w:rPr>
          <w:rFonts w:ascii="宋体" w:hAnsi="宋体"/>
          <w:b/>
          <w:color w:val="000000" w:themeColor="text1"/>
          <w:spacing w:val="60"/>
          <w:sz w:val="36"/>
          <w:szCs w:val="36"/>
          <w:u w:val="single"/>
          <w14:textFill>
            <w14:solidFill>
              <w14:schemeClr w14:val="tx1"/>
            </w14:solidFill>
          </w14:textFill>
        </w:rPr>
        <w:t xml:space="preserve">                     </w:t>
      </w:r>
      <w:r>
        <w:rPr>
          <w:rFonts w:hint="eastAsia" w:ascii="宋体" w:hAnsi="宋体"/>
          <w:b/>
          <w:color w:val="000000" w:themeColor="text1"/>
          <w:spacing w:val="60"/>
          <w:sz w:val="36"/>
          <w:szCs w:val="36"/>
          <w14:textFill>
            <w14:solidFill>
              <w14:schemeClr w14:val="tx1"/>
            </w14:solidFill>
          </w14:textFill>
        </w:rPr>
        <w:t>合同</w:t>
      </w:r>
    </w:p>
    <w:p>
      <w:pPr>
        <w:rPr>
          <w:rFonts w:ascii="宋体" w:hAnsi="宋体"/>
          <w:b/>
          <w:bCs/>
          <w:color w:val="000000" w:themeColor="text1"/>
          <w:sz w:val="36"/>
          <w:szCs w:val="36"/>
          <w14:textFill>
            <w14:solidFill>
              <w14:schemeClr w14:val="tx1"/>
            </w14:solidFill>
          </w14:textFill>
        </w:rPr>
      </w:pPr>
    </w:p>
    <w:p>
      <w:pPr>
        <w:autoSpaceDE w:val="0"/>
        <w:autoSpaceDN w:val="0"/>
        <w:adjustRightInd w:val="0"/>
        <w:spacing w:line="360" w:lineRule="auto"/>
        <w:jc w:val="left"/>
        <w:rPr>
          <w:rFonts w:ascii="宋体" w:hAnsi="宋体"/>
          <w:color w:val="000000" w:themeColor="text1"/>
          <w:kern w:val="0"/>
          <w14:textFill>
            <w14:solidFill>
              <w14:schemeClr w14:val="tx1"/>
            </w14:solidFill>
          </w14:textFill>
        </w:rPr>
      </w:pPr>
    </w:p>
    <w:p>
      <w:pPr>
        <w:autoSpaceDE w:val="0"/>
        <w:autoSpaceDN w:val="0"/>
        <w:adjustRightInd w:val="0"/>
        <w:spacing w:line="360" w:lineRule="auto"/>
        <w:jc w:val="left"/>
        <w:rPr>
          <w:rFonts w:ascii="宋体" w:hAnsi="宋体"/>
          <w:color w:val="000000" w:themeColor="text1"/>
          <w:kern w:val="0"/>
          <w14:textFill>
            <w14:solidFill>
              <w14:schemeClr w14:val="tx1"/>
            </w14:solidFill>
          </w14:textFill>
        </w:rPr>
      </w:pPr>
    </w:p>
    <w:p>
      <w:pPr>
        <w:autoSpaceDE w:val="0"/>
        <w:autoSpaceDN w:val="0"/>
        <w:adjustRightInd w:val="0"/>
        <w:spacing w:line="360" w:lineRule="auto"/>
        <w:jc w:val="left"/>
        <w:rPr>
          <w:rFonts w:ascii="宋体" w:hAnsi="宋体"/>
          <w:color w:val="000000" w:themeColor="text1"/>
          <w:kern w:val="0"/>
          <w14:textFill>
            <w14:solidFill>
              <w14:schemeClr w14:val="tx1"/>
            </w14:solidFill>
          </w14:textFill>
        </w:rPr>
      </w:pPr>
    </w:p>
    <w:p>
      <w:pPr>
        <w:autoSpaceDE w:val="0"/>
        <w:autoSpaceDN w:val="0"/>
        <w:adjustRightInd w:val="0"/>
        <w:spacing w:line="360" w:lineRule="auto"/>
        <w:jc w:val="left"/>
        <w:rPr>
          <w:rFonts w:ascii="宋体" w:hAnsi="宋体"/>
          <w:color w:val="000000" w:themeColor="text1"/>
          <w:kern w:val="0"/>
          <w14:textFill>
            <w14:solidFill>
              <w14:schemeClr w14:val="tx1"/>
            </w14:solidFill>
          </w14:textFill>
        </w:rPr>
      </w:pPr>
    </w:p>
    <w:p>
      <w:pPr>
        <w:autoSpaceDE w:val="0"/>
        <w:autoSpaceDN w:val="0"/>
        <w:adjustRightInd w:val="0"/>
        <w:spacing w:line="360" w:lineRule="auto"/>
        <w:jc w:val="left"/>
        <w:rPr>
          <w:rFonts w:ascii="宋体" w:hAnsi="宋体"/>
          <w:color w:val="000000" w:themeColor="text1"/>
          <w:kern w:val="0"/>
          <w14:textFill>
            <w14:solidFill>
              <w14:schemeClr w14:val="tx1"/>
            </w14:solidFill>
          </w14:textFill>
        </w:rPr>
      </w:pPr>
    </w:p>
    <w:p>
      <w:pPr>
        <w:autoSpaceDE w:val="0"/>
        <w:autoSpaceDN w:val="0"/>
        <w:adjustRightInd w:val="0"/>
        <w:spacing w:line="360" w:lineRule="auto"/>
        <w:jc w:val="left"/>
        <w:rPr>
          <w:rFonts w:ascii="宋体" w:hAnsi="宋体"/>
          <w:color w:val="000000" w:themeColor="text1"/>
          <w:kern w:val="0"/>
          <w14:textFill>
            <w14:solidFill>
              <w14:schemeClr w14:val="tx1"/>
            </w14:solidFill>
          </w14:textFill>
        </w:rPr>
      </w:pPr>
    </w:p>
    <w:p>
      <w:pPr>
        <w:autoSpaceDE w:val="0"/>
        <w:autoSpaceDN w:val="0"/>
        <w:adjustRightInd w:val="0"/>
        <w:spacing w:line="360" w:lineRule="auto"/>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pacing w:line="360" w:lineRule="auto"/>
        <w:jc w:val="left"/>
        <w:rPr>
          <w:rFonts w:ascii="宋体" w:hAnsi="宋体"/>
          <w:color w:val="000000" w:themeColor="text1"/>
          <w:kern w:val="0"/>
          <w14:textFill>
            <w14:solidFill>
              <w14:schemeClr w14:val="tx1"/>
            </w14:solidFill>
          </w14:textFill>
        </w:rPr>
      </w:pPr>
    </w:p>
    <w:p>
      <w:pPr>
        <w:autoSpaceDE w:val="0"/>
        <w:autoSpaceDN w:val="0"/>
        <w:adjustRightInd w:val="0"/>
        <w:spacing w:line="360" w:lineRule="auto"/>
        <w:ind w:firstLine="551" w:firstLineChars="196"/>
        <w:rPr>
          <w:rFonts w:ascii="宋体" w:hAnsi="宋体"/>
          <w:b/>
          <w:color w:val="000000" w:themeColor="text1"/>
          <w:kern w:val="0"/>
          <w:sz w:val="28"/>
          <w:szCs w:val="28"/>
          <w:u w:val="single"/>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采  购  人：</w:t>
      </w:r>
      <w:r>
        <w:rPr>
          <w:rFonts w:hint="eastAsia" w:ascii="宋体" w:hAnsi="宋体"/>
          <w:b/>
          <w:color w:val="000000" w:themeColor="text1"/>
          <w:kern w:val="0"/>
          <w:sz w:val="28"/>
          <w:szCs w:val="28"/>
          <w:u w:val="single"/>
          <w14:textFill>
            <w14:solidFill>
              <w14:schemeClr w14:val="tx1"/>
            </w14:solidFill>
          </w14:textFill>
        </w:rPr>
        <w:t xml:space="preserve">                                         </w:t>
      </w:r>
    </w:p>
    <w:p>
      <w:pPr>
        <w:autoSpaceDE w:val="0"/>
        <w:autoSpaceDN w:val="0"/>
        <w:adjustRightInd w:val="0"/>
        <w:spacing w:line="360" w:lineRule="auto"/>
        <w:ind w:firstLine="551" w:firstLineChars="196"/>
        <w:rPr>
          <w:rFonts w:ascii="宋体" w:hAnsi="宋体"/>
          <w:b/>
          <w:color w:val="000000" w:themeColor="text1"/>
          <w:kern w:val="0"/>
          <w:sz w:val="28"/>
          <w:szCs w:val="28"/>
          <w:u w:val="single"/>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成交供应商：</w:t>
      </w:r>
      <w:r>
        <w:rPr>
          <w:rFonts w:hint="eastAsia" w:ascii="宋体" w:hAnsi="宋体"/>
          <w:b/>
          <w:color w:val="000000" w:themeColor="text1"/>
          <w:kern w:val="0"/>
          <w:sz w:val="28"/>
          <w:szCs w:val="28"/>
          <w:u w:val="single"/>
          <w14:textFill>
            <w14:solidFill>
              <w14:schemeClr w14:val="tx1"/>
            </w14:solidFill>
          </w14:textFill>
        </w:rPr>
        <w:t xml:space="preserve">                                         </w:t>
      </w:r>
    </w:p>
    <w:p>
      <w:pPr>
        <w:jc w:val="center"/>
        <w:rPr>
          <w:rFonts w:ascii="宋体" w:hAnsi="宋体"/>
          <w:b/>
          <w:color w:val="000000" w:themeColor="text1"/>
          <w:sz w:val="36"/>
          <w:szCs w:val="36"/>
          <w14:textFill>
            <w14:solidFill>
              <w14:schemeClr w14:val="tx1"/>
            </w14:solidFill>
          </w14:textFill>
        </w:rPr>
      </w:pPr>
    </w:p>
    <w:p>
      <w:pPr>
        <w:jc w:val="center"/>
        <w:rPr>
          <w:rFonts w:ascii="宋体" w:hAnsi="宋体"/>
          <w:b/>
          <w:color w:val="000000" w:themeColor="text1"/>
          <w:sz w:val="36"/>
          <w:szCs w:val="36"/>
          <w14:textFill>
            <w14:solidFill>
              <w14:schemeClr w14:val="tx1"/>
            </w14:solidFill>
          </w14:textFill>
        </w:rPr>
      </w:pPr>
    </w:p>
    <w:p>
      <w:pPr>
        <w:widowControl/>
        <w:jc w:val="left"/>
        <w:rPr>
          <w:rFonts w:ascii="宋体" w:hAns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br w:type="page"/>
      </w:r>
    </w:p>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目</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录</w:t>
      </w:r>
    </w:p>
    <w:p>
      <w:pPr>
        <w:tabs>
          <w:tab w:val="left" w:pos="1170"/>
        </w:tabs>
        <w:spacing w:line="360" w:lineRule="auto"/>
        <w:ind w:left="359" w:leftChars="171" w:firstLine="198" w:firstLineChars="71"/>
        <w:rPr>
          <w:rFonts w:ascii="宋体" w:hAnsi="宋体"/>
          <w:color w:val="000000" w:themeColor="text1"/>
          <w:sz w:val="28"/>
          <w:szCs w:val="24"/>
          <w14:textFill>
            <w14:solidFill>
              <w14:schemeClr w14:val="tx1"/>
            </w14:solidFill>
          </w14:textFill>
        </w:rPr>
      </w:pPr>
      <w:r>
        <w:rPr>
          <w:rFonts w:hint="eastAsia" w:ascii="宋体" w:hAnsi="宋体"/>
          <w:color w:val="000000" w:themeColor="text1"/>
          <w:sz w:val="28"/>
          <w14:textFill>
            <w14:solidFill>
              <w14:schemeClr w14:val="tx1"/>
            </w14:solidFill>
          </w14:textFill>
        </w:rPr>
        <w:tab/>
      </w:r>
    </w:p>
    <w:p>
      <w:pPr>
        <w:pStyle w:val="25"/>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一、政府采购合同书</w:t>
      </w:r>
      <w:r>
        <w:rPr>
          <w:rFonts w:hAnsi="宋体"/>
          <w:color w:val="000000" w:themeColor="text1"/>
          <w:sz w:val="24"/>
          <w:szCs w:val="24"/>
          <w14:textFill>
            <w14:solidFill>
              <w14:schemeClr w14:val="tx1"/>
            </w14:solidFill>
          </w14:textFill>
        </w:rPr>
        <w:t xml:space="preserve"> </w:t>
      </w:r>
    </w:p>
    <w:p>
      <w:pPr>
        <w:pStyle w:val="25"/>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二、补充协议</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（如有请提供）</w:t>
      </w:r>
      <w:r>
        <w:rPr>
          <w:rFonts w:hAnsi="宋体"/>
          <w:color w:val="000000" w:themeColor="text1"/>
          <w:sz w:val="24"/>
          <w:szCs w:val="24"/>
          <w14:textFill>
            <w14:solidFill>
              <w14:schemeClr w14:val="tx1"/>
            </w14:solidFill>
          </w14:textFill>
        </w:rPr>
        <w:t xml:space="preserve">                                             </w:t>
      </w:r>
    </w:p>
    <w:p>
      <w:pPr>
        <w:pStyle w:val="25"/>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三、合同附件</w:t>
      </w:r>
    </w:p>
    <w:p>
      <w:pPr>
        <w:pStyle w:val="25"/>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1、成交通知书</w:t>
      </w:r>
    </w:p>
    <w:p>
      <w:pPr>
        <w:pStyle w:val="25"/>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2、磋商响应文件</w:t>
      </w:r>
    </w:p>
    <w:p>
      <w:pPr>
        <w:pStyle w:val="25"/>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3、成交供应商澄清函（如有请提供）</w:t>
      </w:r>
    </w:p>
    <w:p>
      <w:pPr>
        <w:pStyle w:val="25"/>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4、最后报价</w:t>
      </w:r>
    </w:p>
    <w:p>
      <w:pPr>
        <w:pStyle w:val="25"/>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5、其他与本合同相关的资料（如有请提供）</w:t>
      </w:r>
    </w:p>
    <w:p>
      <w:pPr>
        <w:pStyle w:val="25"/>
        <w:spacing w:line="360" w:lineRule="auto"/>
        <w:ind w:firstLine="360"/>
        <w:rPr>
          <w:rFonts w:hAnsi="宋体"/>
          <w:color w:val="000000" w:themeColor="text1"/>
          <w14:textFill>
            <w14:solidFill>
              <w14:schemeClr w14:val="tx1"/>
            </w14:solidFill>
          </w14:textFill>
        </w:rPr>
      </w:pPr>
    </w:p>
    <w:p>
      <w:pPr>
        <w:rPr>
          <w:rFonts w:ascii="宋体" w:hAnsi="宋体"/>
          <w:color w:val="000000" w:themeColor="text1"/>
          <w:sz w:val="30"/>
          <w:szCs w:val="30"/>
          <w14:textFill>
            <w14:solidFill>
              <w14:schemeClr w14:val="tx1"/>
            </w14:solidFill>
          </w14:textFill>
        </w:rPr>
      </w:pPr>
    </w:p>
    <w:p>
      <w:pPr>
        <w:rPr>
          <w:rFonts w:ascii="宋体" w:hAnsi="宋体"/>
          <w:color w:val="000000" w:themeColor="text1"/>
          <w:sz w:val="30"/>
          <w:szCs w:val="30"/>
          <w14:textFill>
            <w14:solidFill>
              <w14:schemeClr w14:val="tx1"/>
            </w14:solidFill>
          </w14:textFill>
        </w:rPr>
      </w:pPr>
    </w:p>
    <w:p>
      <w:pPr>
        <w:spacing w:line="360" w:lineRule="auto"/>
        <w:rPr>
          <w:rFonts w:ascii="宋体" w:hAnsi="宋体"/>
          <w:b/>
          <w:color w:val="000000" w:themeColor="text1"/>
          <w:sz w:val="30"/>
          <w:szCs w:val="30"/>
          <w14:textFill>
            <w14:solidFill>
              <w14:schemeClr w14:val="tx1"/>
            </w14:solidFill>
          </w14:textFill>
        </w:rPr>
      </w:pPr>
    </w:p>
    <w:p>
      <w:pPr>
        <w:spacing w:line="360" w:lineRule="auto"/>
        <w:rPr>
          <w:rFonts w:ascii="宋体" w:hAnsi="宋体"/>
          <w:b/>
          <w:color w:val="000000" w:themeColor="text1"/>
          <w:sz w:val="30"/>
          <w:szCs w:val="30"/>
          <w14:textFill>
            <w14:solidFill>
              <w14:schemeClr w14:val="tx1"/>
            </w14:solidFill>
          </w14:textFill>
        </w:rPr>
      </w:pPr>
    </w:p>
    <w:p>
      <w:pPr>
        <w:widowControl/>
        <w:jc w:val="left"/>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br w:type="page"/>
      </w:r>
    </w:p>
    <w:p>
      <w:pPr>
        <w:spacing w:line="360" w:lineRule="auto"/>
        <w:jc w:val="center"/>
        <w:rPr>
          <w:rFonts w:ascii="宋体" w:hAnsi="宋体"/>
          <w:b/>
          <w:bCs/>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政府采购合同书</w:t>
      </w:r>
    </w:p>
    <w:p>
      <w:pPr>
        <w:pStyle w:val="25"/>
        <w:spacing w:line="360" w:lineRule="auto"/>
        <w:rPr>
          <w:rFonts w:hAnsi="宋体"/>
          <w:color w:val="000000" w:themeColor="text1"/>
          <w14:textFill>
            <w14:solidFill>
              <w14:schemeClr w14:val="tx1"/>
            </w14:solidFill>
          </w14:textFill>
        </w:rPr>
      </w:pPr>
    </w:p>
    <w:p>
      <w:pPr>
        <w:pStyle w:val="25"/>
        <w:spacing w:line="360" w:lineRule="auto"/>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合同名称：</w:t>
      </w:r>
      <w:r>
        <w:rPr>
          <w:rFonts w:hint="eastAsia" w:hAnsi="宋体"/>
          <w:color w:val="000000" w:themeColor="text1"/>
          <w:sz w:val="21"/>
          <w:u w:val="single"/>
          <w14:textFill>
            <w14:solidFill>
              <w14:schemeClr w14:val="tx1"/>
            </w14:solidFill>
          </w14:textFill>
        </w:rPr>
        <w:t xml:space="preserve">                                        </w:t>
      </w:r>
    </w:p>
    <w:p>
      <w:pPr>
        <w:pStyle w:val="25"/>
        <w:spacing w:line="360" w:lineRule="auto"/>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合同编号：</w:t>
      </w:r>
      <w:r>
        <w:rPr>
          <w:rFonts w:hint="eastAsia" w:hAnsi="宋体"/>
          <w:color w:val="000000" w:themeColor="text1"/>
          <w:sz w:val="21"/>
          <w:u w:val="single"/>
          <w14:textFill>
            <w14:solidFill>
              <w14:schemeClr w14:val="tx1"/>
            </w14:solidFill>
          </w14:textFill>
        </w:rPr>
        <w:t xml:space="preserve">                                        </w:t>
      </w:r>
    </w:p>
    <w:p>
      <w:pPr>
        <w:pStyle w:val="25"/>
        <w:spacing w:line="360" w:lineRule="auto"/>
        <w:rPr>
          <w:rFonts w:hAnsi="宋体"/>
          <w:color w:val="000000" w:themeColor="text1"/>
          <w:sz w:val="21"/>
          <w14:textFill>
            <w14:solidFill>
              <w14:schemeClr w14:val="tx1"/>
            </w14:solidFill>
          </w14:textFill>
        </w:rPr>
      </w:pPr>
    </w:p>
    <w:p>
      <w:pPr>
        <w:pStyle w:val="25"/>
        <w:spacing w:line="360" w:lineRule="auto"/>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 xml:space="preserve">采购人（甲方）： </w:t>
      </w:r>
      <w:r>
        <w:rPr>
          <w:rFonts w:hint="eastAsia" w:hAnsi="宋体"/>
          <w:color w:val="000000" w:themeColor="text1"/>
          <w:sz w:val="21"/>
          <w:u w:val="single"/>
          <w14:textFill>
            <w14:solidFill>
              <w14:schemeClr w14:val="tx1"/>
            </w14:solidFill>
          </w14:textFill>
        </w:rPr>
        <w:t xml:space="preserve">                                  </w:t>
      </w:r>
    </w:p>
    <w:p>
      <w:pPr>
        <w:pStyle w:val="25"/>
        <w:spacing w:line="360" w:lineRule="auto"/>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成交供应商（乙方）：</w:t>
      </w:r>
      <w:r>
        <w:rPr>
          <w:rFonts w:hint="eastAsia" w:hAnsi="宋体"/>
          <w:b/>
          <w:color w:val="000000" w:themeColor="text1"/>
          <w:sz w:val="21"/>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p>
    <w:p>
      <w:pPr>
        <w:pStyle w:val="25"/>
        <w:spacing w:line="360" w:lineRule="auto"/>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 xml:space="preserve">    </w:t>
      </w:r>
    </w:p>
    <w:p>
      <w:pPr>
        <w:pStyle w:val="87"/>
        <w:rPr>
          <w:rFonts w:hAnsi="宋体"/>
          <w:b/>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根据 </w:t>
      </w:r>
      <w:r>
        <w:rPr>
          <w:rFonts w:hint="eastAsia" w:hAnsi="宋体"/>
          <w:color w:val="000000" w:themeColor="text1"/>
          <w:sz w:val="21"/>
          <w:szCs w:val="21"/>
          <w:lang w:val="en-US" w:eastAsia="zh-CN"/>
          <w14:textFill>
            <w14:solidFill>
              <w14:schemeClr w14:val="tx1"/>
            </w14:solidFill>
          </w14:textFill>
        </w:rPr>
        <w:t xml:space="preserve">   </w:t>
      </w:r>
      <w:r>
        <w:rPr>
          <w:rFonts w:hAnsi="宋体"/>
          <w:color w:val="000000" w:themeColor="text1"/>
          <w:sz w:val="21"/>
          <w:szCs w:val="21"/>
          <w14:textFill>
            <w14:solidFill>
              <w14:schemeClr w14:val="tx1"/>
            </w14:solidFill>
          </w14:textFill>
        </w:rPr>
        <w:t>年 月 日 项目的评标结果，并依照《中华人民共和国合同法》《中华人民共和国政府采购法》及其他等有关法律、行政法规的规定，同时在平等、公平、诚实和信用的原则下，经双方协商一致，订立本合同。</w:t>
      </w:r>
    </w:p>
    <w:p>
      <w:pPr>
        <w:pStyle w:val="25"/>
        <w:spacing w:line="360" w:lineRule="auto"/>
        <w:rPr>
          <w:rFonts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1.  成交内容</w:t>
      </w:r>
    </w:p>
    <w:p>
      <w:pPr>
        <w:pStyle w:val="25"/>
        <w:tabs>
          <w:tab w:val="left" w:pos="5220"/>
        </w:tabs>
        <w:spacing w:line="360" w:lineRule="auto"/>
        <w:ind w:firstLine="420" w:firstLineChars="200"/>
        <w:rPr>
          <w:rFonts w:hAnsi="宋体"/>
          <w:color w:val="000000" w:themeColor="text1"/>
          <w:sz w:val="21"/>
          <w:u w:val="single"/>
          <w14:textFill>
            <w14:solidFill>
              <w14:schemeClr w14:val="tx1"/>
            </w14:solidFill>
          </w14:textFill>
        </w:rPr>
      </w:pPr>
      <w:r>
        <w:rPr>
          <w:rFonts w:hint="eastAsia" w:hAnsi="宋体"/>
          <w:color w:val="000000" w:themeColor="text1"/>
          <w:sz w:val="21"/>
          <w14:textFill>
            <w14:solidFill>
              <w14:schemeClr w14:val="tx1"/>
            </w14:solidFill>
          </w14:textFill>
        </w:rPr>
        <w:t>1.1 服务名称：</w:t>
      </w:r>
    </w:p>
    <w:p>
      <w:pPr>
        <w:spacing w:line="360" w:lineRule="exact"/>
        <w:ind w:firstLine="420" w:firstLineChars="200"/>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1.2服务内容及要求：</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770"/>
        <w:gridCol w:w="766"/>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项号</w:t>
            </w:r>
          </w:p>
        </w:tc>
        <w:tc>
          <w:tcPr>
            <w:tcW w:w="3770"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服务名称</w:t>
            </w:r>
          </w:p>
        </w:tc>
        <w:tc>
          <w:tcPr>
            <w:tcW w:w="766"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数量</w:t>
            </w:r>
          </w:p>
        </w:tc>
        <w:tc>
          <w:tcPr>
            <w:tcW w:w="4252"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3770" w:type="dxa"/>
            <w:noWrap w:val="0"/>
            <w:vAlign w:val="center"/>
          </w:tcPr>
          <w:p>
            <w:pPr>
              <w:spacing w:line="400" w:lineRule="exac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开展可行性论证审查</w:t>
            </w:r>
            <w:r>
              <w:rPr>
                <w:rFonts w:hint="eastAsia"/>
                <w:color w:val="000000" w:themeColor="text1"/>
                <w:lang w:eastAsia="zh-CN"/>
                <w14:textFill>
                  <w14:solidFill>
                    <w14:schemeClr w14:val="tx1"/>
                  </w14:solidFill>
                </w14:textFill>
              </w:rPr>
              <w:t>。</w:t>
            </w:r>
          </w:p>
        </w:tc>
        <w:tc>
          <w:tcPr>
            <w:tcW w:w="766"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252" w:type="dxa"/>
            <w:noWrap w:val="0"/>
            <w:vAlign w:val="center"/>
          </w:tcPr>
          <w:p>
            <w:pPr>
              <w:numPr>
                <w:ilvl w:val="0"/>
                <w:numId w:val="0"/>
              </w:numPr>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1.通过尽职调查，全面收集本项目相关资料和基础数据，对该项目可行性进行充分分析和论证，及是否适宜采用PPP模式进行分析和论证。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widowControl/>
              <w:spacing w:line="400" w:lineRule="exact"/>
              <w:jc w:val="center"/>
              <w:textAlignment w:val="center"/>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w:t>
            </w:r>
          </w:p>
        </w:tc>
        <w:tc>
          <w:tcPr>
            <w:tcW w:w="3770" w:type="dxa"/>
            <w:noWrap w:val="0"/>
            <w:vAlign w:val="center"/>
          </w:tcPr>
          <w:p>
            <w:pPr>
              <w:widowControl/>
              <w:spacing w:line="400" w:lineRule="exact"/>
              <w:textAlignment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进行PPP项目尽职调查，收集PPP项目运作相关资料（包括市场调查），提出操作基本思路。</w:t>
            </w:r>
          </w:p>
        </w:tc>
        <w:tc>
          <w:tcPr>
            <w:tcW w:w="766" w:type="dxa"/>
            <w:noWrap w:val="0"/>
            <w:vAlign w:val="center"/>
          </w:tcPr>
          <w:p>
            <w:pPr>
              <w:widowControl/>
              <w:spacing w:line="400" w:lineRule="exact"/>
              <w:jc w:val="center"/>
              <w:textAlignment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252" w:type="dxa"/>
            <w:noWrap w:val="0"/>
            <w:vAlign w:val="center"/>
          </w:tcPr>
          <w:p>
            <w:pPr>
              <w:numPr>
                <w:ilvl w:val="-1"/>
                <w:numId w:val="0"/>
              </w:numPr>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据调查报告建立财务模型，进行财务测算；</w:t>
            </w:r>
          </w:p>
          <w:p>
            <w:pPr>
              <w:numPr>
                <w:ilvl w:val="0"/>
                <w:numId w:val="0"/>
              </w:numPr>
              <w:spacing w:line="400" w:lineRule="exact"/>
              <w:ind w:left="0" w:leftChars="0" w:firstLine="0" w:firstLineChars="0"/>
              <w:jc w:val="lef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2.基于设计方案及其他设计文件或报告，编制初步实施方案，提供相应的专业咨询服务。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widowControl/>
              <w:spacing w:line="400" w:lineRule="exact"/>
              <w:jc w:val="center"/>
              <w:textAlignment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770" w:type="dxa"/>
            <w:noWrap w:val="0"/>
            <w:vAlign w:val="center"/>
          </w:tcPr>
          <w:p>
            <w:pPr>
              <w:widowControl/>
              <w:spacing w:line="400" w:lineRule="exac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分析PPP项目财务、法务条件、编制初步实施方案，提出交易边界条件。</w:t>
            </w:r>
          </w:p>
        </w:tc>
        <w:tc>
          <w:tcPr>
            <w:tcW w:w="766"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252" w:type="dxa"/>
            <w:noWrap w:val="0"/>
            <w:vAlign w:val="center"/>
          </w:tcPr>
          <w:p>
            <w:pPr>
              <w:numPr>
                <w:ilvl w:val="0"/>
                <w:numId w:val="8"/>
              </w:numPr>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协助采购人明确项目运作目标及要求，设计项目交易结构，协助采购人确定重要的项目边界条件；</w:t>
            </w:r>
          </w:p>
          <w:p>
            <w:pPr>
              <w:numPr>
                <w:ilvl w:val="0"/>
                <w:numId w:val="0"/>
              </w:numPr>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2.为项目决策机构和实施机构提供意见和建议，确保项目实施合法合规；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widowControl/>
              <w:spacing w:line="400" w:lineRule="exact"/>
              <w:jc w:val="center"/>
              <w:textAlignment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p>
        </w:tc>
        <w:tc>
          <w:tcPr>
            <w:tcW w:w="3770"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完成本PPP项目物有所值及财政可承受能力论证</w:t>
            </w:r>
          </w:p>
        </w:tc>
        <w:tc>
          <w:tcPr>
            <w:tcW w:w="766"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4252" w:type="dxa"/>
            <w:noWrap w:val="0"/>
            <w:vAlign w:val="center"/>
          </w:tcPr>
          <w:p>
            <w:pPr>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根据</w:t>
            </w:r>
            <w:r>
              <w:rPr>
                <w:rFonts w:hint="eastAsia" w:ascii="宋体" w:hAnsi="宋体"/>
                <w:color w:val="000000" w:themeColor="text1"/>
                <w:szCs w:val="21"/>
                <w14:textFill>
                  <w14:solidFill>
                    <w14:schemeClr w14:val="tx1"/>
                  </w14:solidFill>
                </w14:textFill>
              </w:rPr>
              <w:t>财政部</w:t>
            </w:r>
            <w:r>
              <w:rPr>
                <w:rFonts w:hint="eastAsia" w:ascii="宋体" w:hAnsi="宋体"/>
                <w:color w:val="000000" w:themeColor="text1"/>
                <w:szCs w:val="21"/>
                <w:lang w:eastAsia="zh-CN"/>
                <w14:textFill>
                  <w14:solidFill>
                    <w14:schemeClr w14:val="tx1"/>
                  </w14:solidFill>
                </w14:textFill>
              </w:rPr>
              <w:t>相关文件</w:t>
            </w:r>
            <w:r>
              <w:rPr>
                <w:rFonts w:hint="eastAsia" w:ascii="宋体" w:hAnsi="宋体"/>
                <w:color w:val="000000" w:themeColor="text1"/>
                <w:szCs w:val="21"/>
                <w14:textFill>
                  <w14:solidFill>
                    <w14:schemeClr w14:val="tx1"/>
                  </w14:solidFill>
                </w14:textFill>
              </w:rPr>
              <w:t>等PPP规范操作流程进行项目物有所值评价和财政可承受能力论证，并配合采购人通过市财政部门的相关评价、论证并获得批准。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widowControl/>
              <w:spacing w:line="400" w:lineRule="exact"/>
              <w:jc w:val="center"/>
              <w:textAlignment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5</w:t>
            </w:r>
          </w:p>
        </w:tc>
        <w:tc>
          <w:tcPr>
            <w:tcW w:w="3770" w:type="dxa"/>
            <w:noWrap w:val="0"/>
            <w:vAlign w:val="center"/>
          </w:tcPr>
          <w:p>
            <w:pPr>
              <w:widowControl/>
              <w:spacing w:line="400" w:lineRule="exac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编制PPP项目《实施方案》并报政府审批</w:t>
            </w:r>
          </w:p>
        </w:tc>
        <w:tc>
          <w:tcPr>
            <w:tcW w:w="766"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252" w:type="dxa"/>
            <w:noWrap w:val="0"/>
            <w:vAlign w:val="center"/>
          </w:tcPr>
          <w:p>
            <w:pPr>
              <w:widowControl/>
              <w:numPr>
                <w:ilvl w:val="0"/>
                <w:numId w:val="9"/>
              </w:numPr>
              <w:spacing w:line="40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根据</w:t>
            </w:r>
            <w:r>
              <w:rPr>
                <w:rFonts w:hint="eastAsia" w:ascii="宋体" w:hAnsi="宋体"/>
                <w:color w:val="000000" w:themeColor="text1"/>
                <w:szCs w:val="21"/>
                <w14:textFill>
                  <w14:solidFill>
                    <w14:schemeClr w14:val="tx1"/>
                  </w14:solidFill>
                </w14:textFill>
              </w:rPr>
              <w:t>财政部</w:t>
            </w:r>
            <w:r>
              <w:rPr>
                <w:rFonts w:hint="eastAsia" w:ascii="宋体" w:hAnsi="宋体"/>
                <w:color w:val="000000" w:themeColor="text1"/>
                <w:szCs w:val="21"/>
                <w:lang w:eastAsia="zh-CN"/>
                <w14:textFill>
                  <w14:solidFill>
                    <w14:schemeClr w14:val="tx1"/>
                  </w14:solidFill>
                </w14:textFill>
              </w:rPr>
              <w:t>相关文件</w:t>
            </w:r>
            <w:r>
              <w:rPr>
                <w:rFonts w:hint="eastAsia" w:ascii="宋体" w:hAnsi="宋体"/>
                <w:color w:val="000000" w:themeColor="text1"/>
                <w:szCs w:val="21"/>
                <w14:textFill>
                  <w14:solidFill>
                    <w14:schemeClr w14:val="tx1"/>
                  </w14:solidFill>
                </w14:textFill>
              </w:rPr>
              <w:t>等PPP规范操作流程，编制PPP实施方案（包括参与各级相关会议的PPP项目实施方案汇报；PPP项目实施方案须为根据各相关管理部门反馈意见修改后的报批稿</w:t>
            </w:r>
            <w:r>
              <w:rPr>
                <w:rFonts w:ascii="宋体" w:hAnsi="宋体"/>
                <w:color w:val="000000" w:themeColor="text1"/>
                <w:szCs w:val="21"/>
                <w14:textFill>
                  <w14:solidFill>
                    <w14:schemeClr w14:val="tx1"/>
                  </w14:solidFill>
                </w14:textFill>
              </w:rPr>
              <w:t>（含合同及其他重要公告、文件），</w:t>
            </w:r>
            <w:r>
              <w:rPr>
                <w:rFonts w:hint="eastAsia" w:ascii="宋体" w:hAnsi="宋体"/>
                <w:color w:val="000000" w:themeColor="text1"/>
                <w:szCs w:val="21"/>
                <w14:textFill>
                  <w14:solidFill>
                    <w14:schemeClr w14:val="tx1"/>
                  </w14:solidFill>
                </w14:textFill>
              </w:rPr>
              <w:t>满足向政府报批的要求）；</w:t>
            </w:r>
          </w:p>
          <w:p>
            <w:pPr>
              <w:widowControl/>
              <w:numPr>
                <w:ilvl w:val="0"/>
                <w:numId w:val="0"/>
              </w:numPr>
              <w:spacing w:line="400" w:lineRule="exact"/>
              <w:jc w:val="left"/>
              <w:textAlignment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根据项目具体情况，建立结构化的现金流折现财务模型，对项目盈利水平、投资回报等进行测算，掌握当前方案设计下项目的财务效果，并编制财务测算报告，在财务测算的基础上确定项目补贴标准、调价原则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widowControl/>
              <w:spacing w:line="400" w:lineRule="exact"/>
              <w:jc w:val="center"/>
              <w:textAlignment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w:t>
            </w:r>
          </w:p>
        </w:tc>
        <w:tc>
          <w:tcPr>
            <w:tcW w:w="3770" w:type="dxa"/>
            <w:noWrap w:val="0"/>
            <w:vAlign w:val="center"/>
          </w:tcPr>
          <w:p>
            <w:pPr>
              <w:widowControl/>
              <w:spacing w:line="400" w:lineRule="exac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协助编制采购文件，并按采购人要求完成采购各阶段的磋商、文件澄清和修订</w:t>
            </w:r>
          </w:p>
        </w:tc>
        <w:tc>
          <w:tcPr>
            <w:tcW w:w="766"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252" w:type="dxa"/>
            <w:noWrap w:val="0"/>
            <w:vAlign w:val="center"/>
          </w:tcPr>
          <w:p>
            <w:pPr>
              <w:widowControl/>
              <w:spacing w:line="40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根据经政府批准的PPP项目《实施方案》，协助采购人及招标代理机构修订《采购文件》，包括但不限于按照采购人要求协助确认项目社会资本的采购方式和采购策</w:t>
            </w:r>
            <w:r>
              <w:rPr>
                <w:rFonts w:hint="eastAsia" w:ascii="宋体" w:hAnsi="宋体"/>
                <w:color w:val="000000" w:themeColor="text1"/>
                <w:szCs w:val="21"/>
                <w:lang w:eastAsia="zh-CN"/>
                <w14:textFill>
                  <w14:solidFill>
                    <w14:schemeClr w14:val="tx1"/>
                  </w14:solidFill>
                </w14:textFill>
              </w:rPr>
              <w:t>略</w:t>
            </w:r>
            <w:r>
              <w:rPr>
                <w:rFonts w:hint="eastAsia" w:ascii="宋体" w:hAnsi="宋体"/>
                <w:color w:val="000000" w:themeColor="text1"/>
                <w:szCs w:val="21"/>
                <w14:textFill>
                  <w14:solidFill>
                    <w14:schemeClr w14:val="tx1"/>
                  </w14:solidFill>
                </w14:textFill>
              </w:rPr>
              <w:t>、资格审查文件与评审/评标办法、PPP项目合同等，并按采购人要求经多轮磋商、澄清、修订形成最终《采购文件》。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widowControl/>
              <w:spacing w:line="400" w:lineRule="exact"/>
              <w:jc w:val="center"/>
              <w:textAlignment w:val="center"/>
              <w:rPr>
                <w:rFonts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p>
        </w:tc>
        <w:tc>
          <w:tcPr>
            <w:tcW w:w="3770" w:type="dxa"/>
            <w:noWrap w:val="0"/>
            <w:vAlign w:val="center"/>
          </w:tcPr>
          <w:p>
            <w:pPr>
              <w:widowControl/>
              <w:spacing w:line="400" w:lineRule="exac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协助采购人完成社会资本的采购</w:t>
            </w:r>
          </w:p>
        </w:tc>
        <w:tc>
          <w:tcPr>
            <w:tcW w:w="766"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252" w:type="dxa"/>
            <w:noWrap w:val="0"/>
            <w:vAlign w:val="center"/>
          </w:tcPr>
          <w:p>
            <w:pPr>
              <w:widowControl/>
              <w:numPr>
                <w:ilvl w:val="0"/>
                <w:numId w:val="10"/>
              </w:numPr>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协助采购人及招标代理机构进行PPP项目采购直至采购完成；</w:t>
            </w:r>
          </w:p>
          <w:p>
            <w:pPr>
              <w:widowControl/>
              <w:numPr>
                <w:ilvl w:val="0"/>
                <w:numId w:val="0"/>
              </w:numPr>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2.协助与项目实施机构与潜在社会资本方的洽商、磋商；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widowControl/>
              <w:spacing w:line="400" w:lineRule="exact"/>
              <w:jc w:val="center"/>
              <w:textAlignment w:val="center"/>
              <w:rPr>
                <w:rFonts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w:t>
            </w:r>
          </w:p>
        </w:tc>
        <w:tc>
          <w:tcPr>
            <w:tcW w:w="3770" w:type="dxa"/>
            <w:noWrap w:val="0"/>
            <w:vAlign w:val="center"/>
          </w:tcPr>
          <w:p>
            <w:pPr>
              <w:widowControl/>
              <w:spacing w:line="400" w:lineRule="exac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协助进行PPP项目合同谈判和签署，完成对社会资本方的采购。</w:t>
            </w:r>
          </w:p>
        </w:tc>
        <w:tc>
          <w:tcPr>
            <w:tcW w:w="766" w:type="dxa"/>
            <w:noWrap w:val="0"/>
            <w:vAlign w:val="center"/>
          </w:tcPr>
          <w:p>
            <w:pPr>
              <w:widowControl/>
              <w:spacing w:line="400" w:lineRule="exact"/>
              <w:jc w:val="center"/>
              <w:textAlignment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252" w:type="dxa"/>
            <w:noWrap w:val="0"/>
            <w:vAlign w:val="center"/>
          </w:tcPr>
          <w:p>
            <w:pPr>
              <w:widowControl/>
              <w:numPr>
                <w:ilvl w:val="0"/>
                <w:numId w:val="11"/>
              </w:numPr>
              <w:spacing w:line="40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根据评标结果，参与PPP项目合同谈判，协助交易双方最终达成一致，直至成功签署；</w:t>
            </w:r>
          </w:p>
          <w:p>
            <w:pPr>
              <w:widowControl/>
              <w:numPr>
                <w:ilvl w:val="0"/>
                <w:numId w:val="11"/>
              </w:numPr>
              <w:spacing w:line="400" w:lineRule="exact"/>
              <w:ind w:left="0" w:leftChars="0" w:firstLine="0" w:firstLineChars="0"/>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完善PPP合同、项目公司合资协议及公司章程等文本，协助采购人完成项目合同签署等一系列工作；</w:t>
            </w:r>
          </w:p>
          <w:p>
            <w:pPr>
              <w:widowControl/>
              <w:numPr>
                <w:ilvl w:val="0"/>
                <w:numId w:val="0"/>
              </w:numPr>
              <w:spacing w:line="400" w:lineRule="exact"/>
              <w:ind w:leftChars="0"/>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3.对项目实施监管工作提出方案建议；为项目实施前、实施中、实施后的风险作出评估和提出规避措施建议。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widowControl/>
              <w:spacing w:line="400" w:lineRule="exact"/>
              <w:jc w:val="center"/>
              <w:textAlignment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9</w:t>
            </w:r>
          </w:p>
        </w:tc>
        <w:tc>
          <w:tcPr>
            <w:tcW w:w="3770" w:type="dxa"/>
            <w:noWrap w:val="0"/>
            <w:vAlign w:val="center"/>
          </w:tcPr>
          <w:p>
            <w:pPr>
              <w:widowControl/>
              <w:spacing w:line="400" w:lineRule="exact"/>
              <w:jc w:val="center"/>
              <w:textAlignment w:val="cente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业务指导</w:t>
            </w:r>
          </w:p>
        </w:tc>
        <w:tc>
          <w:tcPr>
            <w:tcW w:w="766" w:type="dxa"/>
            <w:noWrap w:val="0"/>
            <w:vAlign w:val="center"/>
          </w:tcPr>
          <w:p>
            <w:pPr>
              <w:widowControl/>
              <w:spacing w:line="400" w:lineRule="exact"/>
              <w:jc w:val="center"/>
              <w:textAlignment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252" w:type="dxa"/>
            <w:noWrap w:val="0"/>
            <w:vAlign w:val="center"/>
          </w:tcPr>
          <w:p>
            <w:pPr>
              <w:widowControl/>
              <w:spacing w:line="400" w:lineRule="exac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1.为采购人提供PPP知识和相关能力建设培训，应采购人要求，就前述准备、采购阶段中所涉及的财务、商务及法律问题出具专业意见；</w:t>
            </w:r>
          </w:p>
          <w:p>
            <w:pPr>
              <w:widowControl/>
              <w:spacing w:line="400" w:lineRule="exact"/>
              <w:textAlignment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2、时间节点要求：视采购人需求而定。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widowControl/>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10</w:t>
            </w:r>
          </w:p>
        </w:tc>
        <w:tc>
          <w:tcPr>
            <w:tcW w:w="3770"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进度控制</w:t>
            </w:r>
          </w:p>
        </w:tc>
        <w:tc>
          <w:tcPr>
            <w:tcW w:w="766"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252" w:type="dxa"/>
            <w:noWrap w:val="0"/>
            <w:vAlign w:val="center"/>
          </w:tcPr>
          <w:p>
            <w:pPr>
              <w:widowControl/>
              <w:spacing w:line="400" w:lineRule="exac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就PPP项目实施工作进度进行协调控制，定期向采购人汇报，协助采购人完成项目各环节审批工作。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widowControl/>
              <w:spacing w:line="400" w:lineRule="exact"/>
              <w:jc w:val="center"/>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11</w:t>
            </w:r>
          </w:p>
        </w:tc>
        <w:tc>
          <w:tcPr>
            <w:tcW w:w="3770"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协调管理</w:t>
            </w:r>
          </w:p>
        </w:tc>
        <w:tc>
          <w:tcPr>
            <w:tcW w:w="766" w:type="dxa"/>
            <w:noWrap w:val="0"/>
            <w:vAlign w:val="center"/>
          </w:tcPr>
          <w:p>
            <w:pPr>
              <w:widowControl/>
              <w:spacing w:line="40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4252" w:type="dxa"/>
            <w:noWrap w:val="0"/>
            <w:vAlign w:val="center"/>
          </w:tcPr>
          <w:p>
            <w:pPr>
              <w:widowControl/>
              <w:spacing w:line="400" w:lineRule="exact"/>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为采购人提供PPP知识和相关能力建设培训，应采购人要求，就前述准备、采购阶段中所涉及的财务、商务及法律问题出具专业意见。</w:t>
            </w:r>
          </w:p>
        </w:tc>
      </w:tr>
    </w:tbl>
    <w:p>
      <w:pPr>
        <w:pStyle w:val="25"/>
        <w:spacing w:line="360" w:lineRule="auto"/>
        <w:rPr>
          <w:rFonts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2.  合同金额</w:t>
      </w:r>
    </w:p>
    <w:p>
      <w:pPr>
        <w:pStyle w:val="25"/>
        <w:spacing w:line="360" w:lineRule="auto"/>
        <w:ind w:left="2" w:firstLine="359" w:firstLineChars="171"/>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2.1 本合同金额为（大写）人民币</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元）。</w:t>
      </w:r>
    </w:p>
    <w:p>
      <w:pPr>
        <w:pStyle w:val="25"/>
        <w:spacing w:line="360" w:lineRule="auto"/>
        <w:ind w:left="2" w:firstLine="359" w:firstLineChars="171"/>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2.2本服务项目采用总价包干方式，成交人提供服务的整个过程中不办理任何签证，因深化设计产生的工程量变化，或因材料价格上涨等因素造成造价增加等风险由成交自行承担。</w:t>
      </w:r>
    </w:p>
    <w:p>
      <w:pPr>
        <w:pStyle w:val="25"/>
        <w:tabs>
          <w:tab w:val="left" w:pos="5940"/>
        </w:tabs>
        <w:spacing w:line="360" w:lineRule="auto"/>
        <w:rPr>
          <w:rFonts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3.  项目完成时间</w:t>
      </w:r>
    </w:p>
    <w:p>
      <w:pPr>
        <w:pStyle w:val="25"/>
        <w:tabs>
          <w:tab w:val="left" w:pos="5220"/>
        </w:tabs>
        <w:spacing w:line="360" w:lineRule="auto"/>
        <w:ind w:firstLine="360"/>
        <w:rPr>
          <w:rFonts w:hAnsi="宋体"/>
          <w:color w:val="000000" w:themeColor="text1"/>
          <w:sz w:val="21"/>
          <w:u w:val="single"/>
          <w14:textFill>
            <w14:solidFill>
              <w14:schemeClr w14:val="tx1"/>
            </w14:solidFill>
          </w14:textFill>
        </w:rPr>
      </w:pPr>
      <w:r>
        <w:rPr>
          <w:rFonts w:hint="eastAsia" w:hAnsi="宋体"/>
          <w:bCs/>
          <w:color w:val="000000" w:themeColor="text1"/>
          <w:sz w:val="21"/>
          <w14:textFill>
            <w14:solidFill>
              <w14:schemeClr w14:val="tx1"/>
            </w14:solidFill>
          </w14:textFill>
        </w:rPr>
        <w:t>3.1</w:t>
      </w:r>
      <w:r>
        <w:rPr>
          <w:rFonts w:hint="eastAsia" w:hAnsi="宋体"/>
          <w:color w:val="000000" w:themeColor="text1"/>
          <w:sz w:val="21"/>
          <w14:textFill>
            <w14:solidFill>
              <w14:schemeClr w14:val="tx1"/>
            </w14:solidFill>
          </w14:textFill>
        </w:rPr>
        <w:t>项目完成时间</w:t>
      </w:r>
      <w:r>
        <w:rPr>
          <w:rFonts w:hint="eastAsia" w:hAnsi="宋体"/>
          <w:bCs/>
          <w:color w:val="000000" w:themeColor="text1"/>
          <w:sz w:val="21"/>
          <w14:textFill>
            <w14:solidFill>
              <w14:schemeClr w14:val="tx1"/>
            </w14:solidFill>
          </w14:textFill>
        </w:rPr>
        <w:t>：</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lang w:val="en-US" w:eastAsia="zh-CN"/>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年  月   日前</w:t>
      </w:r>
    </w:p>
    <w:p>
      <w:pPr>
        <w:pStyle w:val="25"/>
        <w:spacing w:line="360" w:lineRule="auto"/>
        <w:ind w:firstLine="360"/>
        <w:rPr>
          <w:rFonts w:hint="eastAsia" w:hAnsi="宋体"/>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 xml:space="preserve">3.2 </w:t>
      </w:r>
      <w:r>
        <w:rPr>
          <w:rFonts w:hint="eastAsia" w:hAnsi="宋体"/>
          <w:color w:val="000000" w:themeColor="text1"/>
          <w:sz w:val="21"/>
          <w14:textFill>
            <w14:solidFill>
              <w14:schemeClr w14:val="tx1"/>
            </w14:solidFill>
          </w14:textFill>
        </w:rPr>
        <w:t>乙方必须按响应文件承诺的服务响应条款向甲方提供服务。</w:t>
      </w:r>
    </w:p>
    <w:p>
      <w:pPr>
        <w:pStyle w:val="25"/>
        <w:spacing w:line="360" w:lineRule="auto"/>
        <w:ind w:left="360" w:hanging="361" w:hangingChars="171"/>
        <w:rPr>
          <w:rFonts w:hAnsi="宋体"/>
          <w:b/>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4.  产权</w:t>
      </w:r>
    </w:p>
    <w:p>
      <w:pPr>
        <w:pStyle w:val="25"/>
        <w:spacing w:line="360" w:lineRule="auto"/>
        <w:ind w:firstLine="420" w:firstLineChars="200"/>
        <w:rPr>
          <w:rFonts w:hAnsi="宋体"/>
          <w:b/>
          <w:color w:val="000000" w:themeColor="text1"/>
          <w:sz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4</w:t>
      </w:r>
      <w:r>
        <w:rPr>
          <w:rFonts w:hint="eastAsia" w:hAnsi="宋体"/>
          <w:color w:val="000000" w:themeColor="text1"/>
          <w:sz w:val="21"/>
          <w14:textFill>
            <w14:solidFill>
              <w14:schemeClr w14:val="tx1"/>
            </w14:solidFill>
          </w14:textFill>
        </w:rPr>
        <w:t>.1 乙方应保证所提供的服务或其任何一部分均不会侵犯任何第三方的专利权、商标权或著作权</w:t>
      </w:r>
      <w:r>
        <w:rPr>
          <w:rFonts w:hint="eastAsia" w:hAnsi="宋体"/>
          <w:bCs/>
          <w:color w:val="000000" w:themeColor="text1"/>
          <w:sz w:val="21"/>
          <w14:textFill>
            <w14:solidFill>
              <w14:schemeClr w14:val="tx1"/>
            </w14:solidFill>
          </w14:textFill>
        </w:rPr>
        <w:t>。</w:t>
      </w:r>
    </w:p>
    <w:p>
      <w:pPr>
        <w:pStyle w:val="25"/>
        <w:spacing w:line="360" w:lineRule="auto"/>
        <w:ind w:firstLine="420" w:firstLineChars="200"/>
        <w:rPr>
          <w:rFonts w:hAnsi="宋体"/>
          <w:b/>
          <w:color w:val="000000" w:themeColor="text1"/>
          <w:sz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4</w:t>
      </w:r>
      <w:r>
        <w:rPr>
          <w:rFonts w:hint="eastAsia" w:hAnsi="宋体"/>
          <w:color w:val="000000" w:themeColor="text1"/>
          <w:sz w:val="21"/>
          <w14:textFill>
            <w14:solidFill>
              <w14:schemeClr w14:val="tx1"/>
            </w14:solidFill>
          </w14:textFill>
        </w:rPr>
        <w:t>.2 乙方保证所交付服务的所有权完全属于乙方且无任何抵押、查封等产权瑕疵。如乙方所交付服务有产权瑕疵的，视为乙方违约，按照本合同第10.3项的约定处理。</w:t>
      </w:r>
    </w:p>
    <w:p>
      <w:pPr>
        <w:pStyle w:val="25"/>
        <w:spacing w:line="360" w:lineRule="auto"/>
        <w:rPr>
          <w:rFonts w:hAnsi="宋体"/>
          <w:b/>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5.  技术资料</w:t>
      </w:r>
    </w:p>
    <w:p>
      <w:pPr>
        <w:pStyle w:val="25"/>
        <w:tabs>
          <w:tab w:val="left" w:pos="0"/>
        </w:tabs>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5</w:t>
      </w:r>
      <w:r>
        <w:rPr>
          <w:rFonts w:hint="eastAsia" w:hAnsi="宋体"/>
          <w:color w:val="000000" w:themeColor="text1"/>
          <w:sz w:val="21"/>
          <w14:textFill>
            <w14:solidFill>
              <w14:schemeClr w14:val="tx1"/>
            </w14:solidFill>
          </w14:textFill>
        </w:rPr>
        <w:t>.1 甲方应向乙方提供提交服务成果所必需的有关数据、资料等。</w:t>
      </w:r>
    </w:p>
    <w:p>
      <w:pPr>
        <w:pStyle w:val="25"/>
        <w:tabs>
          <w:tab w:val="left" w:pos="0"/>
        </w:tabs>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5</w:t>
      </w:r>
      <w:r>
        <w:rPr>
          <w:rFonts w:hint="eastAsia" w:hAnsi="宋体"/>
          <w:color w:val="000000" w:themeColor="text1"/>
          <w:sz w:val="21"/>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pacing w:line="360" w:lineRule="auto"/>
        <w:rPr>
          <w:rFonts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6.  验收</w:t>
      </w:r>
    </w:p>
    <w:p>
      <w:pPr>
        <w:pStyle w:val="25"/>
        <w:tabs>
          <w:tab w:val="left" w:pos="0"/>
        </w:tabs>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6</w:t>
      </w:r>
      <w:r>
        <w:rPr>
          <w:rFonts w:hint="eastAsia" w:hAnsi="宋体"/>
          <w:color w:val="000000" w:themeColor="text1"/>
          <w:sz w:val="21"/>
          <w14:textFill>
            <w14:solidFill>
              <w14:schemeClr w14:val="tx1"/>
            </w14:solidFill>
          </w14:textFill>
        </w:rPr>
        <w:t>.1 乙方应对提交的服务成果作出全面检查和整理，并列出清单，作为甲方验收和使用的技术条件依据，清单应随提交的服务成果交给甲方。</w:t>
      </w:r>
    </w:p>
    <w:p>
      <w:pPr>
        <w:pStyle w:val="25"/>
        <w:tabs>
          <w:tab w:val="left" w:pos="0"/>
        </w:tabs>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6</w:t>
      </w:r>
      <w:r>
        <w:rPr>
          <w:rFonts w:hint="eastAsia" w:hAnsi="宋体"/>
          <w:color w:val="000000" w:themeColor="text1"/>
          <w:sz w:val="21"/>
          <w14:textFill>
            <w14:solidFill>
              <w14:schemeClr w14:val="tx1"/>
            </w14:solidFill>
          </w14:textFill>
        </w:rPr>
        <w:t>.2 乙方在指定地点提交服务成果后，甲方应在五个工作日内依据竞争性磋商文件、乙方的响应文件等组织验收，验收完毕后作出书面验收报告。验收时乙方必须在现场。</w:t>
      </w:r>
    </w:p>
    <w:p>
      <w:pPr>
        <w:pStyle w:val="25"/>
        <w:tabs>
          <w:tab w:val="left" w:pos="0"/>
        </w:tabs>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6</w:t>
      </w:r>
      <w:r>
        <w:rPr>
          <w:rFonts w:hint="eastAsia" w:hAnsi="宋体"/>
          <w:color w:val="000000" w:themeColor="text1"/>
          <w:sz w:val="21"/>
          <w14:textFill>
            <w14:solidFill>
              <w14:schemeClr w14:val="tx1"/>
            </w14:solidFill>
          </w14:textFill>
        </w:rPr>
        <w:t>.3 对复杂的服务，甲方可请国家认可的专业机构参与验收，并由其出具验收报告，相关费用由甲方承担。</w:t>
      </w:r>
    </w:p>
    <w:p>
      <w:pPr>
        <w:pStyle w:val="25"/>
        <w:spacing w:line="360" w:lineRule="auto"/>
        <w:rPr>
          <w:rFonts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7.  合同款支付</w:t>
      </w:r>
    </w:p>
    <w:p>
      <w:pPr>
        <w:spacing w:line="360" w:lineRule="auto"/>
        <w:ind w:firstLine="420" w:firstLineChars="200"/>
        <w:rPr>
          <w:rFonts w:hint="eastAsia"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7</w:t>
      </w:r>
      <w:r>
        <w:rPr>
          <w:rFonts w:hint="eastAsia" w:hAnsi="宋体"/>
          <w:bCs/>
          <w:color w:val="000000" w:themeColor="text1"/>
          <w14:textFill>
            <w14:solidFill>
              <w14:schemeClr w14:val="tx1"/>
            </w14:solidFill>
          </w14:textFill>
        </w:rPr>
        <w:t>.1 付款方式：</w:t>
      </w:r>
    </w:p>
    <w:p>
      <w:pPr>
        <w:adjustRightInd w:val="0"/>
        <w:spacing w:line="440" w:lineRule="exact"/>
        <w:ind w:firstLine="411" w:firstLineChars="19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）中标供应商</w:t>
      </w:r>
      <w:r>
        <w:rPr>
          <w:rFonts w:hint="eastAsia" w:ascii="宋体" w:hAnsi="宋体"/>
          <w:color w:val="000000" w:themeColor="text1"/>
          <w:szCs w:val="21"/>
          <w14:textFill>
            <w14:solidFill>
              <w14:schemeClr w14:val="tx1"/>
            </w14:solidFill>
          </w14:textFill>
        </w:rPr>
        <w:t>提交本项目可行性论证审查报告15个工作日内，采购人向</w:t>
      </w:r>
      <w:r>
        <w:rPr>
          <w:rFonts w:hint="eastAsia" w:ascii="宋体" w:hAnsi="宋体"/>
          <w:color w:val="000000" w:themeColor="text1"/>
          <w:szCs w:val="21"/>
          <w:lang w:eastAsia="zh-CN"/>
          <w14:textFill>
            <w14:solidFill>
              <w14:schemeClr w14:val="tx1"/>
            </w14:solidFill>
          </w14:textFill>
        </w:rPr>
        <w:t>中标供应商</w:t>
      </w:r>
      <w:r>
        <w:rPr>
          <w:rFonts w:hint="eastAsia" w:ascii="宋体" w:hAnsi="宋体"/>
          <w:color w:val="000000" w:themeColor="text1"/>
          <w:szCs w:val="21"/>
          <w14:textFill>
            <w14:solidFill>
              <w14:schemeClr w14:val="tx1"/>
            </w14:solidFill>
          </w14:textFill>
        </w:rPr>
        <w:t>支付本项目合同价款的20%；</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）中标供应商</w:t>
      </w:r>
      <w:r>
        <w:rPr>
          <w:rFonts w:hint="eastAsia" w:ascii="宋体" w:hAnsi="宋体"/>
          <w:color w:val="000000" w:themeColor="text1"/>
          <w:szCs w:val="21"/>
          <w14:textFill>
            <w14:solidFill>
              <w14:schemeClr w14:val="tx1"/>
            </w14:solidFill>
          </w14:textFill>
        </w:rPr>
        <w:t>提交本项目物有所值评价、财政承受能力论证报告、PPP项目初步实施方案初稿后20个工作日内，采购人向</w:t>
      </w:r>
      <w:r>
        <w:rPr>
          <w:rFonts w:hint="eastAsia" w:ascii="宋体" w:hAnsi="宋体"/>
          <w:color w:val="000000" w:themeColor="text1"/>
          <w:szCs w:val="21"/>
          <w:lang w:eastAsia="zh-CN"/>
          <w14:textFill>
            <w14:solidFill>
              <w14:schemeClr w14:val="tx1"/>
            </w14:solidFill>
          </w14:textFill>
        </w:rPr>
        <w:t>中标供应商</w:t>
      </w:r>
      <w:r>
        <w:rPr>
          <w:rFonts w:hint="eastAsia" w:ascii="宋体" w:hAnsi="宋体"/>
          <w:color w:val="000000" w:themeColor="text1"/>
          <w:szCs w:val="21"/>
          <w14:textFill>
            <w14:solidFill>
              <w14:schemeClr w14:val="tx1"/>
            </w14:solidFill>
          </w14:textFill>
        </w:rPr>
        <w:t>支付合同总价款的25%；</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）中标供应商</w:t>
      </w:r>
      <w:r>
        <w:rPr>
          <w:rFonts w:hint="eastAsia" w:ascii="宋体" w:hAnsi="宋体"/>
          <w:color w:val="000000" w:themeColor="text1"/>
          <w:szCs w:val="21"/>
          <w14:textFill>
            <w14:solidFill>
              <w14:schemeClr w14:val="tx1"/>
            </w14:solidFill>
          </w14:textFill>
        </w:rPr>
        <w:t>协助采购人开展两报告专家评审会且</w:t>
      </w:r>
      <w:r>
        <w:rPr>
          <w:rFonts w:hint="eastAsia" w:ascii="宋体" w:hAnsi="宋体"/>
          <w:color w:val="000000" w:themeColor="text1"/>
          <w:szCs w:val="21"/>
          <w:lang w:eastAsia="zh-CN"/>
          <w14:textFill>
            <w14:solidFill>
              <w14:schemeClr w14:val="tx1"/>
            </w14:solidFill>
          </w14:textFill>
        </w:rPr>
        <w:t>中标供应商</w:t>
      </w:r>
      <w:r>
        <w:rPr>
          <w:rFonts w:hint="eastAsia" w:ascii="宋体" w:hAnsi="宋体"/>
          <w:color w:val="000000" w:themeColor="text1"/>
          <w:szCs w:val="21"/>
          <w14:textFill>
            <w14:solidFill>
              <w14:schemeClr w14:val="tx1"/>
            </w14:solidFill>
          </w14:textFill>
        </w:rPr>
        <w:t>编制的两报告通过专家评审后20个工作日内，采购人向</w:t>
      </w:r>
      <w:r>
        <w:rPr>
          <w:rFonts w:hint="eastAsia" w:ascii="宋体" w:hAnsi="宋体"/>
          <w:color w:val="000000" w:themeColor="text1"/>
          <w:szCs w:val="21"/>
          <w:lang w:eastAsia="zh-CN"/>
          <w14:textFill>
            <w14:solidFill>
              <w14:schemeClr w14:val="tx1"/>
            </w14:solidFill>
          </w14:textFill>
        </w:rPr>
        <w:t>中标供应商</w:t>
      </w:r>
      <w:r>
        <w:rPr>
          <w:rFonts w:hint="eastAsia" w:ascii="宋体" w:hAnsi="宋体"/>
          <w:color w:val="000000" w:themeColor="text1"/>
          <w:szCs w:val="21"/>
          <w14:textFill>
            <w14:solidFill>
              <w14:schemeClr w14:val="tx1"/>
            </w14:solidFill>
          </w14:textFill>
        </w:rPr>
        <w:t>支付合同咨询费总额的35%。</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lang w:eastAsia="zh-CN"/>
          <w14:textFill>
            <w14:solidFill>
              <w14:schemeClr w14:val="tx1"/>
            </w14:solidFill>
          </w14:textFill>
        </w:rPr>
        <w:t>）中标供应商</w:t>
      </w:r>
      <w:r>
        <w:rPr>
          <w:rFonts w:hint="eastAsia" w:ascii="宋体" w:hAnsi="宋体"/>
          <w:color w:val="000000" w:themeColor="text1"/>
          <w:szCs w:val="21"/>
          <w14:textFill>
            <w14:solidFill>
              <w14:schemeClr w14:val="tx1"/>
            </w14:solidFill>
          </w14:textFill>
        </w:rPr>
        <w:t>完善PPP实施方案修改稿并通过政府常务会批复后20个工作日内采购人向</w:t>
      </w:r>
      <w:r>
        <w:rPr>
          <w:rFonts w:hint="eastAsia" w:ascii="宋体" w:hAnsi="宋体"/>
          <w:color w:val="000000" w:themeColor="text1"/>
          <w:szCs w:val="21"/>
          <w:lang w:eastAsia="zh-CN"/>
          <w14:textFill>
            <w14:solidFill>
              <w14:schemeClr w14:val="tx1"/>
            </w14:solidFill>
          </w14:textFill>
        </w:rPr>
        <w:t>中标供应商</w:t>
      </w:r>
      <w:r>
        <w:rPr>
          <w:rFonts w:hint="eastAsia" w:ascii="宋体" w:hAnsi="宋体"/>
          <w:color w:val="000000" w:themeColor="text1"/>
          <w:szCs w:val="21"/>
          <w14:textFill>
            <w14:solidFill>
              <w14:schemeClr w14:val="tx1"/>
            </w14:solidFill>
          </w14:textFill>
        </w:rPr>
        <w:t>支付合同合同咨询费总额的15%；</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lang w:eastAsia="zh-CN"/>
          <w14:textFill>
            <w14:solidFill>
              <w14:schemeClr w14:val="tx1"/>
            </w14:solidFill>
          </w14:textFill>
        </w:rPr>
        <w:t>）中标供应商</w:t>
      </w:r>
      <w:r>
        <w:rPr>
          <w:rFonts w:hint="eastAsia" w:ascii="宋体" w:hAnsi="宋体"/>
          <w:color w:val="000000" w:themeColor="text1"/>
          <w:szCs w:val="21"/>
          <w14:textFill>
            <w14:solidFill>
              <w14:schemeClr w14:val="tx1"/>
            </w14:solidFill>
          </w14:textFill>
        </w:rPr>
        <w:t>完成项目采购公告、资格预审文件、采购文件等编制工作，并协助采购人完成项目社会资本招标，拟定PPP项目合同，在完成合同谈判、签订有关PPP项目合同后，采购人向</w:t>
      </w:r>
      <w:r>
        <w:rPr>
          <w:rFonts w:hint="eastAsia" w:ascii="宋体" w:hAnsi="宋体"/>
          <w:color w:val="000000" w:themeColor="text1"/>
          <w:szCs w:val="21"/>
          <w:lang w:eastAsia="zh-CN"/>
          <w14:textFill>
            <w14:solidFill>
              <w14:schemeClr w14:val="tx1"/>
            </w14:solidFill>
          </w14:textFill>
        </w:rPr>
        <w:t>中标供应商</w:t>
      </w:r>
      <w:r>
        <w:rPr>
          <w:rFonts w:hint="eastAsia" w:ascii="宋体" w:hAnsi="宋体"/>
          <w:color w:val="000000" w:themeColor="text1"/>
          <w:szCs w:val="21"/>
          <w14:textFill>
            <w14:solidFill>
              <w14:schemeClr w14:val="tx1"/>
            </w14:solidFill>
          </w14:textFill>
        </w:rPr>
        <w:t>支付本合同咨询费总额的5%。</w:t>
      </w:r>
    </w:p>
    <w:p>
      <w:pPr>
        <w:pStyle w:val="25"/>
        <w:tabs>
          <w:tab w:val="left" w:pos="5145"/>
          <w:tab w:val="left" w:pos="5355"/>
          <w:tab w:val="left" w:pos="6195"/>
        </w:tabs>
        <w:spacing w:line="360" w:lineRule="auto"/>
        <w:ind w:firstLine="420" w:firstLineChars="200"/>
        <w:rPr>
          <w:rFonts w:hAnsi="宋体"/>
          <w:bCs/>
          <w:color w:val="000000" w:themeColor="text1"/>
          <w:sz w:val="21"/>
          <w:u w:val="single"/>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7</w:t>
      </w:r>
      <w:r>
        <w:rPr>
          <w:rFonts w:hint="eastAsia" w:hAnsi="宋体"/>
          <w:color w:val="000000" w:themeColor="text1"/>
          <w:sz w:val="21"/>
          <w14:textFill>
            <w14:solidFill>
              <w14:schemeClr w14:val="tx1"/>
            </w14:solidFill>
          </w14:textFill>
        </w:rPr>
        <w:t>.2 支付合同款时，由甲方按照合同约定向贵港市财政局提交《贵港市财政局政府采购履约验收证明和资金支付申请表》等完整且合格的支付申请材料；贵港市财政局按财政国库直接支付程序将款项直接支付给供应商。</w:t>
      </w:r>
    </w:p>
    <w:p>
      <w:pPr>
        <w:pStyle w:val="25"/>
        <w:tabs>
          <w:tab w:val="left" w:pos="5145"/>
          <w:tab w:val="left" w:pos="5355"/>
          <w:tab w:val="left" w:pos="6195"/>
        </w:tabs>
        <w:spacing w:line="360" w:lineRule="auto"/>
        <w:ind w:firstLine="420" w:firstLineChars="200"/>
        <w:rPr>
          <w:rFonts w:hAnsi="宋体"/>
          <w:bCs/>
          <w:color w:val="000000" w:themeColor="text1"/>
          <w:sz w:val="21"/>
          <w:u w:val="single"/>
          <w14:textFill>
            <w14:solidFill>
              <w14:schemeClr w14:val="tx1"/>
            </w14:solidFill>
          </w14:textFill>
        </w:rPr>
      </w:pPr>
      <w:r>
        <w:rPr>
          <w:rFonts w:hint="eastAsia" w:hAnsi="宋体"/>
          <w:color w:val="000000" w:themeColor="text1"/>
          <w:sz w:val="21"/>
          <w:lang w:val="en-US" w:eastAsia="zh-CN"/>
          <w14:textFill>
            <w14:solidFill>
              <w14:schemeClr w14:val="tx1"/>
            </w14:solidFill>
          </w14:textFill>
        </w:rPr>
        <w:t>7</w:t>
      </w:r>
      <w:r>
        <w:rPr>
          <w:rFonts w:hint="eastAsia" w:hAnsi="宋体"/>
          <w:color w:val="000000" w:themeColor="text1"/>
          <w:sz w:val="21"/>
          <w14:textFill>
            <w14:solidFill>
              <w14:schemeClr w14:val="tx1"/>
            </w14:solidFill>
          </w14:textFill>
        </w:rPr>
        <w:t>.3 政府采购监督管理部门在处理投诉事项期间，可以视具体情况书面通知采购人暂停采购活动</w:t>
      </w:r>
      <w:r>
        <w:rPr>
          <w:rFonts w:hint="eastAsia" w:hAnsi="宋体"/>
          <w:bCs/>
          <w:color w:val="000000" w:themeColor="text1"/>
          <w:sz w:val="21"/>
          <w14:textFill>
            <w14:solidFill>
              <w14:schemeClr w14:val="tx1"/>
            </w14:solidFill>
          </w14:textFill>
        </w:rPr>
        <w:t>，并延期支付合同款。</w:t>
      </w:r>
    </w:p>
    <w:p>
      <w:pPr>
        <w:pStyle w:val="25"/>
        <w:spacing w:line="360" w:lineRule="auto"/>
        <w:rPr>
          <w:rFonts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8.  售后服务要求</w:t>
      </w:r>
    </w:p>
    <w:p>
      <w:pPr>
        <w:pStyle w:val="25"/>
        <w:spacing w:line="360" w:lineRule="auto"/>
        <w:ind w:firstLine="420" w:firstLineChars="200"/>
        <w:rPr>
          <w:rFonts w:hAnsi="宋体"/>
          <w:color w:val="000000" w:themeColor="text1"/>
          <w:sz w:val="21"/>
          <w:u w:val="single"/>
          <w14:textFill>
            <w14:solidFill>
              <w14:schemeClr w14:val="tx1"/>
            </w14:solidFill>
          </w14:textFill>
        </w:rPr>
      </w:pPr>
      <w:r>
        <w:rPr>
          <w:rFonts w:hint="eastAsia" w:hAnsi="宋体"/>
          <w:color w:val="000000" w:themeColor="text1"/>
          <w:sz w:val="21"/>
          <w14:textFill>
            <w14:solidFill>
              <w14:schemeClr w14:val="tx1"/>
            </w14:solidFill>
          </w14:textFill>
        </w:rPr>
        <w:t>8.1 乙方提供服务的质量保证期为：</w:t>
      </w:r>
      <w:r>
        <w:rPr>
          <w:rFonts w:hint="eastAsia" w:hAnsi="宋体"/>
          <w:color w:val="000000" w:themeColor="text1"/>
          <w:sz w:val="21"/>
          <w:u w:val="single"/>
          <w14:textFill>
            <w14:solidFill>
              <w14:schemeClr w14:val="tx1"/>
            </w14:solidFill>
          </w14:textFill>
        </w:rPr>
        <w:t>　　　</w:t>
      </w:r>
      <w:r>
        <w:rPr>
          <w:rFonts w:hint="eastAsia" w:hAnsi="宋体"/>
          <w:color w:val="000000" w:themeColor="text1"/>
          <w:sz w:val="21"/>
          <w:u w:val="single"/>
          <w14:textFill>
            <w14:solidFill>
              <w14:schemeClr w14:val="tx1"/>
            </w14:solidFill>
          </w14:textFill>
        </w:rPr>
        <w:softHyphen/>
      </w:r>
      <w:r>
        <w:rPr>
          <w:rFonts w:hint="eastAsia" w:hAnsi="宋体"/>
          <w:color w:val="000000" w:themeColor="text1"/>
          <w:sz w:val="21"/>
          <w:u w:val="single"/>
          <w14:textFill>
            <w14:solidFill>
              <w14:schemeClr w14:val="tx1"/>
            </w14:solidFill>
          </w14:textFill>
        </w:rPr>
        <w:softHyphen/>
      </w:r>
      <w:r>
        <w:rPr>
          <w:rFonts w:hint="eastAsia" w:hAnsi="宋体"/>
          <w:color w:val="000000" w:themeColor="text1"/>
          <w:sz w:val="21"/>
          <w:u w:val="single"/>
          <w14:textFill>
            <w14:solidFill>
              <w14:schemeClr w14:val="tx1"/>
            </w14:solidFill>
          </w14:textFill>
        </w:rPr>
        <w:softHyphen/>
      </w:r>
      <w:r>
        <w:rPr>
          <w:rFonts w:hint="eastAsia" w:hAnsi="宋体"/>
          <w:color w:val="000000" w:themeColor="text1"/>
          <w:sz w:val="21"/>
          <w:u w:val="single"/>
          <w14:textFill>
            <w14:solidFill>
              <w14:schemeClr w14:val="tx1"/>
            </w14:solidFill>
          </w14:textFill>
        </w:rPr>
        <w:t xml:space="preserve">                                     </w:t>
      </w:r>
    </w:p>
    <w:p>
      <w:pPr>
        <w:pStyle w:val="25"/>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（自提交服务验收合格之日起计）。</w:t>
      </w:r>
    </w:p>
    <w:p>
      <w:pPr>
        <w:pStyle w:val="25"/>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8.2 在本合同第9.1项约定的质量保证期内，乙方应对服务出现的问题负责处理解决并承担一切费用。</w:t>
      </w:r>
    </w:p>
    <w:p>
      <w:pPr>
        <w:pStyle w:val="25"/>
        <w:spacing w:line="480" w:lineRule="exact"/>
        <w:ind w:left="2" w:firstLine="360"/>
        <w:rPr>
          <w:rFonts w:hAnsi="宋体"/>
          <w:color w:val="000000" w:themeColor="text1"/>
          <w:sz w:val="21"/>
          <w:u w:val="single"/>
          <w14:textFill>
            <w14:solidFill>
              <w14:schemeClr w14:val="tx1"/>
            </w14:solidFill>
          </w14:textFill>
        </w:rPr>
      </w:pPr>
      <w:r>
        <w:rPr>
          <w:rFonts w:hint="eastAsia" w:hAnsi="宋体"/>
          <w:color w:val="000000" w:themeColor="text1"/>
          <w:sz w:val="21"/>
          <w14:textFill>
            <w14:solidFill>
              <w14:schemeClr w14:val="tx1"/>
            </w14:solidFill>
          </w14:textFill>
        </w:rPr>
        <w:t>8.3其他售后服务要求：</w:t>
      </w:r>
      <w:r>
        <w:rPr>
          <w:rFonts w:hint="eastAsia" w:hAnsi="宋体"/>
          <w:color w:val="000000" w:themeColor="text1"/>
          <w:sz w:val="21"/>
          <w:u w:val="single"/>
          <w14:textFill>
            <w14:solidFill>
              <w14:schemeClr w14:val="tx1"/>
            </w14:solidFill>
          </w14:textFill>
        </w:rPr>
        <w:t>按响应文件商务条款偏离表及澄清函（商务条款偏离表与澄清函不一致的以澄清函为准）内容执行</w:t>
      </w:r>
      <w:r>
        <w:rPr>
          <w:rFonts w:hint="eastAsia" w:hAnsi="宋体"/>
          <w:color w:val="000000" w:themeColor="text1"/>
          <w:sz w:val="21"/>
          <w14:textFill>
            <w14:solidFill>
              <w14:schemeClr w14:val="tx1"/>
            </w14:solidFill>
          </w14:textFill>
        </w:rPr>
        <w:t>。</w:t>
      </w:r>
    </w:p>
    <w:p>
      <w:pPr>
        <w:pStyle w:val="25"/>
        <w:spacing w:line="360" w:lineRule="auto"/>
        <w:rPr>
          <w:rFonts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9.  违约责任</w:t>
      </w:r>
    </w:p>
    <w:p>
      <w:pPr>
        <w:pStyle w:val="25"/>
        <w:spacing w:line="360" w:lineRule="auto"/>
        <w:ind w:firstLine="359" w:firstLineChars="171"/>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9.1 甲方无故逾期接收和办理服务费支付手续的,甲方应按逾期付款总额每日万分之五向乙方支付违约金。</w:t>
      </w:r>
    </w:p>
    <w:p>
      <w:pPr>
        <w:pStyle w:val="25"/>
        <w:spacing w:line="360" w:lineRule="auto"/>
        <w:ind w:firstLine="359" w:firstLineChars="171"/>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9.</w:t>
      </w:r>
      <w:r>
        <w:rPr>
          <w:rFonts w:hint="eastAsia" w:hAnsi="宋体"/>
          <w:color w:val="000000" w:themeColor="text1"/>
          <w:sz w:val="21"/>
          <w:lang w:val="en-US" w:eastAsia="zh-CN"/>
          <w14:textFill>
            <w14:solidFill>
              <w14:schemeClr w14:val="tx1"/>
            </w14:solidFill>
          </w14:textFill>
        </w:rPr>
        <w:t>2</w:t>
      </w:r>
      <w:r>
        <w:rPr>
          <w:rFonts w:hint="eastAsia" w:hAnsi="宋体"/>
          <w:color w:val="000000" w:themeColor="text1"/>
          <w:sz w:val="21"/>
          <w14:textFill>
            <w14:solidFill>
              <w14:schemeClr w14:val="tx1"/>
            </w14:solidFill>
          </w14:textFill>
        </w:rPr>
        <w:t xml:space="preserve"> 乙方逾期交付服务的，乙方应按逾期提供服务总额每日</w:t>
      </w:r>
      <w:r>
        <w:rPr>
          <w:rFonts w:hint="eastAsia" w:hAnsi="宋体"/>
          <w:color w:val="000000" w:themeColor="text1"/>
          <w:sz w:val="21"/>
          <w:lang w:eastAsia="zh-CN"/>
          <w14:textFill>
            <w14:solidFill>
              <w14:schemeClr w14:val="tx1"/>
            </w14:solidFill>
          </w14:textFill>
        </w:rPr>
        <w:t>万</w:t>
      </w:r>
      <w:r>
        <w:rPr>
          <w:rFonts w:hint="eastAsia" w:hAnsi="宋体"/>
          <w:color w:val="000000" w:themeColor="text1"/>
          <w:sz w:val="21"/>
          <w14:textFill>
            <w14:solidFill>
              <w14:schemeClr w14:val="tx1"/>
            </w14:solidFill>
          </w14:textFill>
        </w:rPr>
        <w:t>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25"/>
        <w:spacing w:line="360" w:lineRule="auto"/>
        <w:ind w:firstLine="359" w:firstLineChars="171"/>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9.</w:t>
      </w:r>
      <w:r>
        <w:rPr>
          <w:rFonts w:hint="eastAsia" w:hAnsi="宋体"/>
          <w:color w:val="000000" w:themeColor="text1"/>
          <w:sz w:val="21"/>
          <w:lang w:val="en-US" w:eastAsia="zh-CN"/>
          <w14:textFill>
            <w14:solidFill>
              <w14:schemeClr w14:val="tx1"/>
            </w14:solidFill>
          </w14:textFill>
        </w:rPr>
        <w:t>3</w:t>
      </w:r>
      <w:r>
        <w:rPr>
          <w:rFonts w:hint="eastAsia" w:hAnsi="宋体"/>
          <w:color w:val="000000" w:themeColor="text1"/>
          <w:sz w:val="21"/>
          <w14:textFill>
            <w14:solidFill>
              <w14:schemeClr w14:val="tx1"/>
            </w14:solidFill>
          </w14:textFill>
        </w:rPr>
        <w:t xml:space="preserve"> 在合同履行期间，甲方无正当理由拒收服务</w:t>
      </w:r>
      <w:r>
        <w:rPr>
          <w:rFonts w:hint="eastAsia" w:hAnsi="宋体"/>
          <w:color w:val="000000" w:themeColor="text1"/>
          <w:sz w:val="21"/>
          <w:lang w:eastAsia="zh-CN"/>
          <w14:textFill>
            <w14:solidFill>
              <w14:schemeClr w14:val="tx1"/>
            </w14:solidFill>
          </w14:textFill>
        </w:rPr>
        <w:t>或</w:t>
      </w:r>
      <w:r>
        <w:rPr>
          <w:rFonts w:hint="eastAsia" w:hAnsi="宋体"/>
          <w:color w:val="000000" w:themeColor="text1"/>
          <w:sz w:val="21"/>
          <w14:textFill>
            <w14:solidFill>
              <w14:schemeClr w14:val="tx1"/>
            </w14:solidFill>
          </w14:textFill>
        </w:rPr>
        <w:t>单方提出解除合同，已开始相关工作的，甲方应根据乙方已进行的实际工作量，不足一半时，按咨询费用的一半支付；超过一半时，按咨询费用的全部支付。</w:t>
      </w:r>
    </w:p>
    <w:p>
      <w:pPr>
        <w:pStyle w:val="25"/>
        <w:spacing w:line="360" w:lineRule="auto"/>
        <w:rPr>
          <w:rFonts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10.  不可抗力事件处理</w:t>
      </w:r>
    </w:p>
    <w:p>
      <w:pPr>
        <w:pStyle w:val="25"/>
        <w:spacing w:line="360" w:lineRule="auto"/>
        <w:ind w:firstLine="359" w:firstLineChars="171"/>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10.1 在合同有效期内，任何一方因不可抗力事件导致不能履行合同，则合同履行期可延长，其延长期与不可抗力影响期相同。</w:t>
      </w:r>
    </w:p>
    <w:p>
      <w:pPr>
        <w:pStyle w:val="25"/>
        <w:spacing w:line="360" w:lineRule="auto"/>
        <w:ind w:firstLine="359" w:firstLineChars="171"/>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10.2 不可抗力事件发生后，应立即通知对方，并寄送有关权威机构出具的证明。</w:t>
      </w:r>
    </w:p>
    <w:p>
      <w:pPr>
        <w:pStyle w:val="25"/>
        <w:spacing w:line="360" w:lineRule="auto"/>
        <w:ind w:firstLine="359" w:firstLineChars="171"/>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10.3 不可抗力事件延续120天以上，双方应通过友好协商，确定是否继续履行合同。</w:t>
      </w:r>
    </w:p>
    <w:p>
      <w:pPr>
        <w:pStyle w:val="25"/>
        <w:spacing w:line="360" w:lineRule="auto"/>
        <w:rPr>
          <w:rFonts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11.  诉讼</w:t>
      </w:r>
    </w:p>
    <w:p>
      <w:pPr>
        <w:pStyle w:val="25"/>
        <w:tabs>
          <w:tab w:val="left" w:pos="0"/>
        </w:tabs>
        <w:spacing w:line="360" w:lineRule="auto"/>
        <w:ind w:firstLine="359" w:firstLineChars="171"/>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11.1 双方在执行合同中所发生的一切争议，应通过协商解决。如协商不成，可向合同签订地法院起诉，合同签订地在此约定为广西贵港市。</w:t>
      </w:r>
    </w:p>
    <w:p>
      <w:pPr>
        <w:pStyle w:val="25"/>
        <w:spacing w:line="360" w:lineRule="auto"/>
        <w:rPr>
          <w:rFonts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12.  合同生效及其它</w:t>
      </w:r>
    </w:p>
    <w:p>
      <w:pPr>
        <w:pStyle w:val="25"/>
        <w:spacing w:line="360" w:lineRule="auto"/>
        <w:ind w:firstLine="36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12.1 合同经双方法定代表人或授权委托代理人签字并加盖单位公章后生效。</w:t>
      </w:r>
    </w:p>
    <w:p>
      <w:pPr>
        <w:pStyle w:val="25"/>
        <w:spacing w:line="460" w:lineRule="exact"/>
        <w:ind w:firstLine="357"/>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12.2 合同执行中涉及采购资金和采购内容修改或补充的，须经市财政部门审批，并签书面补充协议报贵港市政府采购监督管理部门备案，方可作为主合同不可分割的一部分。</w:t>
      </w:r>
    </w:p>
    <w:p>
      <w:pPr>
        <w:pStyle w:val="25"/>
        <w:spacing w:line="460" w:lineRule="exact"/>
        <w:ind w:firstLine="357"/>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12.3 下述合同附件为本合同不可分割的部分并与本合同具有同等效力：</w:t>
      </w:r>
    </w:p>
    <w:p>
      <w:pPr>
        <w:pStyle w:val="25"/>
        <w:spacing w:line="460" w:lineRule="exact"/>
        <w:ind w:firstLine="357"/>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（1）成交通知书</w:t>
      </w:r>
    </w:p>
    <w:p>
      <w:pPr>
        <w:pStyle w:val="25"/>
        <w:spacing w:line="460" w:lineRule="exact"/>
        <w:ind w:firstLine="357"/>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（2）磋商响应文件</w:t>
      </w:r>
    </w:p>
    <w:p>
      <w:pPr>
        <w:pStyle w:val="25"/>
        <w:spacing w:line="460" w:lineRule="exact"/>
        <w:ind w:firstLine="357"/>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（3）成交供应商澄清函（如有请提供）</w:t>
      </w:r>
    </w:p>
    <w:p>
      <w:pPr>
        <w:pStyle w:val="25"/>
        <w:spacing w:line="460" w:lineRule="exact"/>
        <w:ind w:firstLine="357"/>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（4）最后报价</w:t>
      </w:r>
    </w:p>
    <w:p>
      <w:pPr>
        <w:pStyle w:val="25"/>
        <w:spacing w:line="460" w:lineRule="exact"/>
        <w:ind w:firstLine="357"/>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（5）其他与本合同相关的资料（如有请提供）</w:t>
      </w:r>
    </w:p>
    <w:p>
      <w:pPr>
        <w:pStyle w:val="25"/>
        <w:spacing w:line="460" w:lineRule="exact"/>
        <w:ind w:firstLine="357"/>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12.4 本合同未尽事宜，遵照《中华人民共和国合同法》有关条文执行。</w:t>
      </w:r>
    </w:p>
    <w:p>
      <w:pPr>
        <w:pStyle w:val="25"/>
        <w:spacing w:line="460" w:lineRule="exact"/>
        <w:ind w:firstLine="357"/>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12.5本合同正本一式两份，具有同等法律效力，甲乙双方各执一份；副本两份，采购代理机构存副本一份，并由采购代理机构报贵港市政府采购监督管理部门备案副本一份。</w:t>
      </w:r>
    </w:p>
    <w:p>
      <w:pPr>
        <w:pStyle w:val="25"/>
        <w:spacing w:line="360" w:lineRule="auto"/>
        <w:ind w:firstLine="360"/>
        <w:rPr>
          <w:rFonts w:hAnsi="宋体"/>
          <w:color w:val="000000" w:themeColor="text1"/>
          <w:sz w:val="21"/>
          <w14:textFill>
            <w14:solidFill>
              <w14:schemeClr w14:val="tx1"/>
            </w14:solidFill>
          </w14:textFill>
        </w:rPr>
      </w:pPr>
    </w:p>
    <w:p>
      <w:pPr>
        <w:pStyle w:val="25"/>
        <w:spacing w:line="360" w:lineRule="auto"/>
        <w:rPr>
          <w:rFonts w:hAnsi="宋体"/>
          <w:color w:val="000000" w:themeColor="text1"/>
          <w:sz w:val="21"/>
          <w:u w:val="single"/>
          <w14:textFill>
            <w14:solidFill>
              <w14:schemeClr w14:val="tx1"/>
            </w14:solidFill>
          </w14:textFill>
        </w:rPr>
      </w:pPr>
      <w:r>
        <w:rPr>
          <w:rFonts w:hint="eastAsia" w:hAnsi="宋体"/>
          <w:color w:val="000000" w:themeColor="text1"/>
          <w:sz w:val="21"/>
          <w14:textFill>
            <w14:solidFill>
              <w14:schemeClr w14:val="tx1"/>
            </w14:solidFill>
          </w14:textFill>
        </w:rPr>
        <w:t>甲方：</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 xml:space="preserve">    乙方：</w:t>
      </w:r>
      <w:r>
        <w:rPr>
          <w:rFonts w:hint="eastAsia" w:hAnsi="宋体"/>
          <w:color w:val="000000" w:themeColor="text1"/>
          <w:sz w:val="21"/>
          <w:u w:val="single"/>
          <w14:textFill>
            <w14:solidFill>
              <w14:schemeClr w14:val="tx1"/>
            </w14:solidFill>
          </w14:textFill>
        </w:rPr>
        <w:t xml:space="preserve">                            </w:t>
      </w:r>
    </w:p>
    <w:p>
      <w:pPr>
        <w:pStyle w:val="25"/>
        <w:spacing w:line="360" w:lineRule="auto"/>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地址：</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 xml:space="preserve">    地址：</w:t>
      </w:r>
      <w:r>
        <w:rPr>
          <w:rFonts w:hint="eastAsia" w:hAnsi="宋体"/>
          <w:color w:val="000000" w:themeColor="text1"/>
          <w:sz w:val="21"/>
          <w:u w:val="single"/>
          <w14:textFill>
            <w14:solidFill>
              <w14:schemeClr w14:val="tx1"/>
            </w14:solidFill>
          </w14:textFill>
        </w:rPr>
        <w:t xml:space="preserve">                            </w:t>
      </w:r>
    </w:p>
    <w:p>
      <w:pPr>
        <w:pStyle w:val="25"/>
        <w:spacing w:line="360" w:lineRule="auto"/>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 xml:space="preserve">    法定代表人：</w:t>
      </w:r>
      <w:r>
        <w:rPr>
          <w:rFonts w:hint="eastAsia" w:hAnsi="宋体"/>
          <w:color w:val="000000" w:themeColor="text1"/>
          <w:sz w:val="21"/>
          <w:u w:val="single"/>
          <w14:textFill>
            <w14:solidFill>
              <w14:schemeClr w14:val="tx1"/>
            </w14:solidFill>
          </w14:textFill>
        </w:rPr>
        <w:t xml:space="preserve">                      </w:t>
      </w:r>
    </w:p>
    <w:p>
      <w:pPr>
        <w:pStyle w:val="25"/>
        <w:spacing w:line="360" w:lineRule="auto"/>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委托代理人：</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 xml:space="preserve">    委托代理人：</w:t>
      </w:r>
      <w:r>
        <w:rPr>
          <w:rFonts w:hint="eastAsia" w:hAnsi="宋体"/>
          <w:color w:val="000000" w:themeColor="text1"/>
          <w:sz w:val="21"/>
          <w:u w:val="single"/>
          <w14:textFill>
            <w14:solidFill>
              <w14:schemeClr w14:val="tx1"/>
            </w14:solidFill>
          </w14:textFill>
        </w:rPr>
        <w:t xml:space="preserve">                      </w:t>
      </w:r>
    </w:p>
    <w:p>
      <w:pPr>
        <w:pStyle w:val="25"/>
        <w:spacing w:line="360" w:lineRule="auto"/>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电话：</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 xml:space="preserve">    电话：</w:t>
      </w:r>
      <w:r>
        <w:rPr>
          <w:rFonts w:hint="eastAsia" w:hAnsi="宋体"/>
          <w:color w:val="000000" w:themeColor="text1"/>
          <w:sz w:val="21"/>
          <w:u w:val="single"/>
          <w14:textFill>
            <w14:solidFill>
              <w14:schemeClr w14:val="tx1"/>
            </w14:solidFill>
          </w14:textFill>
        </w:rPr>
        <w:t xml:space="preserve">                            </w:t>
      </w:r>
    </w:p>
    <w:p>
      <w:pPr>
        <w:pStyle w:val="25"/>
        <w:spacing w:line="360" w:lineRule="auto"/>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传真：</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 xml:space="preserve">    传真：</w:t>
      </w:r>
      <w:r>
        <w:rPr>
          <w:rFonts w:hint="eastAsia" w:hAnsi="宋体"/>
          <w:color w:val="000000" w:themeColor="text1"/>
          <w:sz w:val="21"/>
          <w:u w:val="single"/>
          <w14:textFill>
            <w14:solidFill>
              <w14:schemeClr w14:val="tx1"/>
            </w14:solidFill>
          </w14:textFill>
        </w:rPr>
        <w:t xml:space="preserve">                            </w:t>
      </w:r>
    </w:p>
    <w:p>
      <w:pPr>
        <w:pStyle w:val="25"/>
        <w:spacing w:line="360" w:lineRule="auto"/>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邮政编码：</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 xml:space="preserve">    邮政编码：</w:t>
      </w:r>
      <w:r>
        <w:rPr>
          <w:rFonts w:hint="eastAsia" w:hAnsi="宋体"/>
          <w:color w:val="000000" w:themeColor="text1"/>
          <w:sz w:val="21"/>
          <w:u w:val="single"/>
          <w14:textFill>
            <w14:solidFill>
              <w14:schemeClr w14:val="tx1"/>
            </w14:solidFill>
          </w14:textFill>
        </w:rPr>
        <w:t xml:space="preserve">                        </w:t>
      </w:r>
    </w:p>
    <w:p>
      <w:pPr>
        <w:pStyle w:val="25"/>
        <w:spacing w:line="360" w:lineRule="auto"/>
        <w:rPr>
          <w:rFonts w:hAnsi="宋体"/>
          <w:color w:val="000000" w:themeColor="text1"/>
          <w:sz w:val="21"/>
          <w:u w:val="single"/>
          <w14:textFill>
            <w14:solidFill>
              <w14:schemeClr w14:val="tx1"/>
            </w14:solidFill>
          </w14:textFill>
        </w:rPr>
      </w:pPr>
      <w:r>
        <w:rPr>
          <w:rFonts w:hint="eastAsia" w:hAnsi="宋体"/>
          <w:color w:val="000000" w:themeColor="text1"/>
          <w:sz w:val="21"/>
          <w14:textFill>
            <w14:solidFill>
              <w14:schemeClr w14:val="tx1"/>
            </w14:solidFill>
          </w14:textFill>
        </w:rPr>
        <w:t xml:space="preserve">                                              开户银行：</w:t>
      </w:r>
      <w:r>
        <w:rPr>
          <w:rFonts w:hint="eastAsia" w:hAnsi="宋体"/>
          <w:color w:val="000000" w:themeColor="text1"/>
          <w:sz w:val="21"/>
          <w:u w:val="single"/>
          <w14:textFill>
            <w14:solidFill>
              <w14:schemeClr w14:val="tx1"/>
            </w14:solidFill>
          </w14:textFill>
        </w:rPr>
        <w:t xml:space="preserve">                        </w:t>
      </w:r>
    </w:p>
    <w:p>
      <w:pPr>
        <w:pStyle w:val="25"/>
        <w:spacing w:line="360" w:lineRule="auto"/>
        <w:rPr>
          <w:rFonts w:hAnsi="宋体"/>
          <w:color w:val="000000" w:themeColor="text1"/>
          <w:sz w:val="21"/>
          <w:u w:val="single"/>
          <w14:textFill>
            <w14:solidFill>
              <w14:schemeClr w14:val="tx1"/>
            </w14:solidFill>
          </w14:textFill>
        </w:rPr>
      </w:pPr>
      <w:r>
        <w:rPr>
          <w:rFonts w:hint="eastAsia" w:hAnsi="宋体"/>
          <w:color w:val="000000" w:themeColor="text1"/>
          <w:sz w:val="21"/>
          <w14:textFill>
            <w14:solidFill>
              <w14:schemeClr w14:val="tx1"/>
            </w14:solidFill>
          </w14:textFill>
        </w:rPr>
        <w:t xml:space="preserve">                                              开户名称：</w:t>
      </w:r>
      <w:r>
        <w:rPr>
          <w:rFonts w:hint="eastAsia" w:hAnsi="宋体"/>
          <w:color w:val="000000" w:themeColor="text1"/>
          <w:sz w:val="21"/>
          <w:u w:val="single"/>
          <w14:textFill>
            <w14:solidFill>
              <w14:schemeClr w14:val="tx1"/>
            </w14:solidFill>
          </w14:textFill>
        </w:rPr>
        <w:t xml:space="preserve">                        </w:t>
      </w:r>
    </w:p>
    <w:p>
      <w:pPr>
        <w:pStyle w:val="25"/>
        <w:spacing w:line="360" w:lineRule="auto"/>
        <w:rPr>
          <w:rFonts w:hAnsi="宋体"/>
          <w:color w:val="000000" w:themeColor="text1"/>
          <w:sz w:val="21"/>
          <w:u w:val="single"/>
          <w14:textFill>
            <w14:solidFill>
              <w14:schemeClr w14:val="tx1"/>
            </w14:solidFill>
          </w14:textFill>
        </w:rPr>
      </w:pPr>
      <w:r>
        <w:rPr>
          <w:rFonts w:hint="eastAsia" w:hAnsi="宋体"/>
          <w:color w:val="000000" w:themeColor="text1"/>
          <w:sz w:val="21"/>
          <w14:textFill>
            <w14:solidFill>
              <w14:schemeClr w14:val="tx1"/>
            </w14:solidFill>
          </w14:textFill>
        </w:rPr>
        <w:t xml:space="preserve">                                              银行账号：</w:t>
      </w:r>
      <w:r>
        <w:rPr>
          <w:rFonts w:hint="eastAsia" w:hAnsi="宋体"/>
          <w:color w:val="000000" w:themeColor="text1"/>
          <w:sz w:val="21"/>
          <w:u w:val="single"/>
          <w14:textFill>
            <w14:solidFill>
              <w14:schemeClr w14:val="tx1"/>
            </w14:solidFill>
          </w14:textFill>
        </w:rPr>
        <w:t xml:space="preserve">                        </w:t>
      </w:r>
    </w:p>
    <w:p>
      <w:pPr>
        <w:pStyle w:val="25"/>
        <w:spacing w:line="360" w:lineRule="auto"/>
        <w:ind w:left="178" w:leftChars="85"/>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合同签订日期：</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年</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月</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 xml:space="preserve">日           合同签订地点：广西贵港市 </w:t>
      </w:r>
    </w:p>
    <w:p>
      <w:pPr>
        <w:pStyle w:val="25"/>
        <w:spacing w:line="360" w:lineRule="auto"/>
        <w:rPr>
          <w:rFonts w:hint="eastAsia" w:hAnsi="宋体" w:cs="新宋体"/>
          <w:bCs/>
          <w:color w:val="000000" w:themeColor="text1"/>
          <w:sz w:val="32"/>
          <w:szCs w:val="32"/>
          <w14:textFill>
            <w14:solidFill>
              <w14:schemeClr w14:val="tx1"/>
            </w14:solidFill>
          </w14:textFill>
        </w:rPr>
      </w:pPr>
      <w:r>
        <w:rPr>
          <w:rFonts w:hAnsi="宋体"/>
          <w:color w:val="000000" w:themeColor="text1"/>
          <w14:textFill>
            <w14:solidFill>
              <w14:schemeClr w14:val="tx1"/>
            </w14:solidFill>
          </w14:textFill>
        </w:rPr>
        <w:br w:type="page"/>
      </w:r>
      <w:r>
        <w:rPr>
          <w:rFonts w:hint="eastAsia" w:hAnsi="宋体" w:cs="新宋体"/>
          <w:bCs/>
          <w:color w:val="000000" w:themeColor="text1"/>
          <w:sz w:val="32"/>
          <w:szCs w:val="32"/>
          <w14:textFill>
            <w14:solidFill>
              <w14:schemeClr w14:val="tx1"/>
            </w14:solidFill>
          </w14:textFill>
        </w:rPr>
        <w:t>附件1</w:t>
      </w:r>
    </w:p>
    <w:p>
      <w:pPr>
        <w:widowControl/>
        <w:jc w:val="center"/>
        <w:rPr>
          <w:rFonts w:hint="eastAsia" w:ascii="宋体" w:hAnsi="宋体" w:cs="新宋体"/>
          <w:b/>
          <w:bCs/>
          <w:color w:val="000000" w:themeColor="text1"/>
          <w:kern w:val="0"/>
          <w:sz w:val="32"/>
          <w:szCs w:val="32"/>
          <w14:textFill>
            <w14:solidFill>
              <w14:schemeClr w14:val="tx1"/>
            </w14:solidFill>
          </w14:textFill>
        </w:rPr>
      </w:pPr>
      <w:r>
        <w:rPr>
          <w:rFonts w:hint="eastAsia" w:ascii="宋体" w:hAnsi="宋体" w:cs="新宋体"/>
          <w:b/>
          <w:bCs/>
          <w:color w:val="000000" w:themeColor="text1"/>
          <w:kern w:val="0"/>
          <w:sz w:val="32"/>
          <w:szCs w:val="32"/>
          <w14:textFill>
            <w14:solidFill>
              <w14:schemeClr w14:val="tx1"/>
            </w14:solidFill>
          </w14:textFill>
        </w:rPr>
        <w:t>广西壮族自治区政府采购项目</w:t>
      </w:r>
      <w:r>
        <w:rPr>
          <w:rFonts w:hint="eastAsia" w:ascii="宋体" w:hAnsi="宋体" w:cs="宋体"/>
          <w:b/>
          <w:color w:val="000000" w:themeColor="text1"/>
          <w:kern w:val="0"/>
          <w:sz w:val="32"/>
          <w:szCs w:val="32"/>
          <w14:textFill>
            <w14:solidFill>
              <w14:schemeClr w14:val="tx1"/>
            </w14:solidFill>
          </w14:textFill>
        </w:rPr>
        <w:t>合同验收书（格式）</w:t>
      </w:r>
    </w:p>
    <w:p>
      <w:pPr>
        <w:widowControl/>
        <w:snapToGrid w:val="0"/>
        <w:spacing w:before="100" w:beforeAutospacing="1" w:after="100" w:afterAutospacing="1" w:line="320" w:lineRule="exact"/>
        <w:ind w:left="-359" w:leftChars="-171"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根据政府采购项目（</w:t>
      </w:r>
      <w:r>
        <w:rPr>
          <w:rFonts w:hint="eastAsia" w:ascii="宋体" w:hAnsi="宋体" w:cs="宋体"/>
          <w:color w:val="000000" w:themeColor="text1"/>
          <w:kern w:val="0"/>
          <w:szCs w:val="21"/>
          <w:u w:val="single"/>
          <w14:textFill>
            <w14:solidFill>
              <w14:schemeClr w14:val="tx1"/>
            </w14:solidFill>
          </w14:textFill>
        </w:rPr>
        <w:t>采购合同编号：</w:t>
      </w:r>
      <w:r>
        <w:rPr>
          <w:rFonts w:hint="eastAsia" w:ascii="宋体" w:hAnsi="宋体" w:cs="宋体"/>
          <w:color w:val="000000" w:themeColor="text1"/>
          <w:kern w:val="0"/>
          <w:szCs w:val="21"/>
          <w:u w:val="single"/>
          <w14:textFill>
            <w14:solidFill>
              <w14:schemeClr w14:val="tx1"/>
            </w14:solidFill>
          </w14:textFill>
        </w:rPr>
        <w:softHyphen/>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）的约定，我单位对（</w:t>
      </w:r>
      <w:r>
        <w:rPr>
          <w:rFonts w:hint="eastAsia" w:ascii="宋体" w:hAnsi="宋体" w:cs="宋体"/>
          <w:color w:val="000000" w:themeColor="text1"/>
          <w:kern w:val="0"/>
          <w:szCs w:val="21"/>
          <w:u w:val="single"/>
          <w14:textFill>
            <w14:solidFill>
              <w14:schemeClr w14:val="tx1"/>
            </w14:solidFill>
          </w14:textFill>
        </w:rPr>
        <w:t xml:space="preserve">  项目名称   </w:t>
      </w:r>
      <w:r>
        <w:rPr>
          <w:rFonts w:hint="eastAsia" w:ascii="宋体" w:hAnsi="宋体" w:cs="宋体"/>
          <w:color w:val="000000" w:themeColor="text1"/>
          <w:kern w:val="0"/>
          <w:szCs w:val="21"/>
          <w14:textFill>
            <w14:solidFill>
              <w14:schemeClr w14:val="tx1"/>
            </w14:solidFill>
          </w14:textFill>
        </w:rPr>
        <w:t>）政府采购项目中标（或成交）供应商（</w:t>
      </w:r>
      <w:r>
        <w:rPr>
          <w:rFonts w:hint="eastAsia" w:ascii="宋体" w:hAnsi="宋体" w:cs="宋体"/>
          <w:color w:val="000000" w:themeColor="text1"/>
          <w:kern w:val="0"/>
          <w:szCs w:val="21"/>
          <w:u w:val="single"/>
          <w14:textFill>
            <w14:solidFill>
              <w14:schemeClr w14:val="tx1"/>
            </w14:solidFill>
          </w14:textFill>
        </w:rPr>
        <w:t xml:space="preserve">            公司名称              </w:t>
      </w:r>
      <w:r>
        <w:rPr>
          <w:rFonts w:hint="eastAsia" w:ascii="宋体" w:hAnsi="宋体" w:cs="宋体"/>
          <w:color w:val="000000" w:themeColor="text1"/>
          <w:kern w:val="0"/>
          <w:szCs w:val="21"/>
          <w14:textFill>
            <w14:solidFill>
              <w14:schemeClr w14:val="tx1"/>
            </w14:solidFill>
          </w14:textFill>
        </w:rPr>
        <w:t>）提供的货物（或工程、服务）进行了验收，验收情况如下：</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 w:firstLineChars="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2" w:firstLineChars="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2" w:firstLineChars="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2" w:firstLineChars="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2" w:firstLineChars="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 w:firstLineChars="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 w:firstLineChars="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2" w:firstLineChars="1"/>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2" w:firstLineChars="1"/>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39" w:firstLineChars="19"/>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left="590" w:firstLine="420" w:firstLineChars="200"/>
              <w:jc w:val="left"/>
              <w:rPr>
                <w:rFonts w:ascii="宋体" w:hAnsi="宋体" w:cs="宋体"/>
                <w:color w:val="000000" w:themeColor="text1"/>
                <w:kern w:val="0"/>
                <w:szCs w:val="21"/>
                <w14:textFill>
                  <w14:solidFill>
                    <w14:schemeClr w14:val="tx1"/>
                  </w14:solidFill>
                </w14:textFill>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w:t>
            </w:r>
            <w:r>
              <w:rPr>
                <w:rFonts w:hint="eastAsia" w:ascii="宋体" w:hAnsi="宋体" w:cs="宋体"/>
                <w:color w:val="000000" w:themeColor="text1"/>
                <w:kern w:val="0"/>
                <w:szCs w:val="21"/>
                <w14:textFill>
                  <w14:solidFill>
                    <w14:schemeClr w14:val="tx1"/>
                  </w14:solidFill>
                </w14:textFill>
              </w:rPr>
              <w:t>按采购合同、采购文件、响应文件及验收方案等进行验收；并核对</w:t>
            </w:r>
            <w:r>
              <w:rPr>
                <w:rFonts w:hint="eastAsia" w:ascii="宋体" w:hAnsi="宋体"/>
                <w:color w:val="000000" w:themeColor="text1"/>
                <w:szCs w:val="21"/>
                <w14:textFill>
                  <w14:solidFill>
                    <w14:schemeClr w14:val="tx1"/>
                  </w14:solidFill>
                </w14:textFill>
              </w:rPr>
              <w:t>中标或者成交供应商在安装调试等方面是否违反合同约定或服务规范要求、提供的质量保证证明材料是否齐全、应有的配件及附件是否达到合同约定等</w:t>
            </w:r>
            <w:r>
              <w:rPr>
                <w:rFonts w:hint="eastAsia" w:ascii="宋体" w:hAnsi="宋体" w:cs="宋体"/>
                <w:color w:val="000000" w:themeColor="text1"/>
                <w:kern w:val="0"/>
                <w:szCs w:val="21"/>
                <w14:textFill>
                  <w14:solidFill>
                    <w14:schemeClr w14:val="tx1"/>
                  </w14:solidFill>
                </w14:textFill>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pPr>
              <w:widowControl/>
              <w:spacing w:before="100" w:beforeAutospacing="1" w:after="100" w:afterAutospacing="1" w:line="320" w:lineRule="exact"/>
              <w:ind w:firstLine="105" w:firstLineChars="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验收结论性意见：</w:t>
            </w:r>
          </w:p>
          <w:p>
            <w:pPr>
              <w:widowControl/>
              <w:spacing w:before="100" w:beforeAutospacing="1" w:after="100" w:afterAutospacing="1" w:line="320" w:lineRule="exact"/>
              <w:jc w:val="left"/>
              <w:rPr>
                <w:rFonts w:ascii="宋体" w:hAnsi="宋体"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rFonts w:ascii="宋体" w:hAnsi="宋体" w:cs="宋体"/>
                <w:color w:val="000000" w:themeColor="text1"/>
                <w:kern w:val="0"/>
                <w:szCs w:val="21"/>
                <w14:textFill>
                  <w14:solidFill>
                    <w14:schemeClr w14:val="tx1"/>
                  </w14:solidFill>
                </w14:textFill>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pPr>
              <w:spacing w:before="100" w:beforeAutospacing="1" w:after="100" w:afterAutospacing="1" w:line="320" w:lineRule="exact"/>
              <w:ind w:firstLine="84" w:firstLineChars="4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有异议的意见和说明理由：</w:t>
            </w:r>
          </w:p>
          <w:p>
            <w:pPr>
              <w:spacing w:before="100" w:beforeAutospacing="1" w:after="100" w:afterAutospacing="1"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监督人员或其他相关人员签字：</w:t>
            </w:r>
          </w:p>
          <w:p>
            <w:pPr>
              <w:widowControl/>
              <w:spacing w:before="100" w:beforeAutospacing="1" w:after="100" w:afterAutospacing="1" w:line="320" w:lineRule="exact"/>
              <w:ind w:firstLine="65" w:firstLineChars="31"/>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中标或者成交供应商负责人签字或盖章：</w:t>
            </w:r>
          </w:p>
          <w:p>
            <w:pPr>
              <w:widowControl/>
              <w:spacing w:before="100" w:beforeAutospacing="1" w:after="100" w:afterAutospacing="1"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pPr>
              <w:widowControl/>
              <w:spacing w:before="100" w:beforeAutospacing="1" w:after="100" w:afterAutospacing="1"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采购人或受托机构的意见（盖章）：</w:t>
            </w:r>
          </w:p>
          <w:p>
            <w:pPr>
              <w:widowControl/>
              <w:spacing w:before="100" w:beforeAutospacing="1" w:after="100" w:afterAutospacing="1"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                 年   月   日</w:t>
            </w:r>
          </w:p>
        </w:tc>
      </w:tr>
    </w:tbl>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关于印发广西壮族自治区政府采购项目履约验收管理办法的通知[桂财采〔2015〕22号]</w:t>
      </w:r>
    </w:p>
    <w:p>
      <w:pPr>
        <w:snapToGrid w:val="0"/>
        <w:spacing w:line="360" w:lineRule="auto"/>
        <w:rPr>
          <w:rFonts w:ascii="宋体" w:cs="宋体"/>
          <w:b/>
          <w:bCs/>
          <w:color w:val="000000" w:themeColor="text1"/>
          <w14:textFill>
            <w14:solidFill>
              <w14:schemeClr w14:val="tx1"/>
            </w14:solidFill>
          </w14:textFill>
        </w:rPr>
      </w:pPr>
    </w:p>
    <w:p>
      <w:pPr>
        <w:snapToGrid w:val="0"/>
        <w:spacing w:line="360" w:lineRule="auto"/>
        <w:rPr>
          <w:rFonts w:ascii="宋体" w:cs="宋体"/>
          <w:color w:val="000000" w:themeColor="text1"/>
          <w14:textFill>
            <w14:solidFill>
              <w14:schemeClr w14:val="tx1"/>
            </w14:solidFill>
          </w14:textFill>
        </w:rPr>
      </w:pPr>
      <w:r>
        <w:rPr>
          <w:rFonts w:ascii="宋体" w:cs="宋体"/>
          <w:b/>
          <w:bCs/>
          <w:color w:val="000000" w:themeColor="text1"/>
          <w14:textFill>
            <w14:solidFill>
              <w14:schemeClr w14:val="tx1"/>
            </w14:solidFill>
          </w14:textFill>
        </w:rPr>
        <w:br w:type="page"/>
      </w:r>
    </w:p>
    <w:p>
      <w:pPr>
        <w:pStyle w:val="41"/>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第五章评标办法及评审标准</w:t>
      </w:r>
      <w:bookmarkEnd w:id="51"/>
    </w:p>
    <w:p>
      <w:pPr>
        <w:spacing w:before="156" w:beforeLines="50" w:line="400" w:lineRule="exact"/>
        <w:rPr>
          <w:rFonts w:hint="eastAsia"/>
          <w:b/>
          <w:color w:val="000000" w:themeColor="text1"/>
          <w:sz w:val="22"/>
          <w:szCs w:val="22"/>
          <w:highlight w:val="none"/>
          <w14:textFill>
            <w14:solidFill>
              <w14:schemeClr w14:val="tx1"/>
            </w14:solidFill>
          </w14:textFill>
        </w:rPr>
      </w:pPr>
      <w:bookmarkStart w:id="52" w:name="_Toc32321"/>
      <w:r>
        <w:rPr>
          <w:rFonts w:hint="eastAsia"/>
          <w:b/>
          <w:color w:val="000000" w:themeColor="text1"/>
          <w:sz w:val="22"/>
          <w:szCs w:val="22"/>
          <w:highlight w:val="none"/>
          <w14:textFill>
            <w14:solidFill>
              <w14:schemeClr w14:val="tx1"/>
            </w14:solidFill>
          </w14:textFill>
        </w:rPr>
        <w:t>一、评标原则</w:t>
      </w:r>
    </w:p>
    <w:p>
      <w:pPr>
        <w:spacing w:line="400" w:lineRule="exact"/>
        <w:ind w:left="630" w:hanging="630" w:hangingChars="3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（一）磋商小组构成：本项目的磋商小组由采购人代表和评审专家共3人组成，业主评委1人；评审专家2人，其中评审专家人数不得少于磋商小组成员总数的2/3。</w:t>
      </w:r>
    </w:p>
    <w:p>
      <w:pPr>
        <w:spacing w:line="400" w:lineRule="exact"/>
        <w:ind w:left="630" w:hanging="630" w:hangingChars="3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（二）评标依据：以竞争性磋商采购文件、更改公告（如有）和响应文件为评审依据。</w:t>
      </w:r>
    </w:p>
    <w:p>
      <w:pPr>
        <w:spacing w:line="400" w:lineRule="exact"/>
        <w:ind w:left="630" w:hanging="630" w:hangingChars="3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（三）评标方式：以封闭方式进行。</w:t>
      </w:r>
    </w:p>
    <w:p>
      <w:pPr>
        <w:pStyle w:val="30"/>
        <w:rPr>
          <w:rFonts w:hint="default"/>
          <w:color w:val="000000" w:themeColor="text1"/>
          <w:lang w:val="en-US" w:eastAsia="zh-CN"/>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（四）</w:t>
      </w:r>
      <w:r>
        <w:rPr>
          <w:rFonts w:hint="eastAsia" w:ascii="宋体" w:hAnsi="宋体" w:eastAsia="宋体" w:cs="宋体"/>
          <w:color w:val="000000" w:themeColor="text1"/>
          <w:kern w:val="2"/>
          <w:sz w:val="21"/>
          <w:szCs w:val="21"/>
          <w:lang w:val="en-US" w:eastAsia="zh-CN" w:bidi="ar-SA"/>
          <w14:textFill>
            <w14:solidFill>
              <w14:schemeClr w14:val="tx1"/>
            </w14:solidFill>
          </w14:textFill>
        </w:rPr>
        <w:t>评标</w:t>
      </w:r>
      <w:r>
        <w:rPr>
          <w:rFonts w:hint="eastAsia" w:ascii="宋体" w:hAnsi="宋体" w:cs="宋体"/>
          <w:color w:val="000000" w:themeColor="text1"/>
          <w:kern w:val="2"/>
          <w:sz w:val="21"/>
          <w:szCs w:val="21"/>
          <w:lang w:val="en-US" w:eastAsia="zh-CN" w:bidi="ar-SA"/>
          <w14:textFill>
            <w14:solidFill>
              <w14:schemeClr w14:val="tx1"/>
            </w14:solidFill>
          </w14:textFill>
        </w:rPr>
        <w:t>办法：综合评分法</w:t>
      </w:r>
    </w:p>
    <w:p>
      <w:pPr>
        <w:spacing w:line="380" w:lineRule="exac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二、评定方法</w:t>
      </w:r>
    </w:p>
    <w:p>
      <w:pPr>
        <w:spacing w:line="380" w:lineRule="exac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（一）对进入详评的，采用百分制综合评分法。</w:t>
      </w:r>
    </w:p>
    <w:p>
      <w:pPr>
        <w:spacing w:line="380" w:lineRule="exac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（二）计分办法（按四舍五入取至百分位）：</w:t>
      </w:r>
    </w:p>
    <w:p>
      <w:pPr>
        <w:spacing w:line="400" w:lineRule="exact"/>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1、价格分…………………………………………………………………………10分</w:t>
      </w:r>
    </w:p>
    <w:p>
      <w:pPr>
        <w:spacing w:line="400" w:lineRule="exact"/>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（1）评标报价为</w:t>
      </w:r>
      <w:r>
        <w:rPr>
          <w:rFonts w:hint="eastAsia" w:ascii="宋体" w:hAnsi="宋体" w:cs="宋体"/>
          <w:color w:val="000000" w:themeColor="text1"/>
          <w:kern w:val="2"/>
          <w:sz w:val="21"/>
          <w:szCs w:val="21"/>
          <w:lang w:val="en-US" w:eastAsia="zh-CN" w:bidi="ar-SA"/>
          <w14:textFill>
            <w14:solidFill>
              <w14:schemeClr w14:val="tx1"/>
            </w14:solidFill>
          </w14:textFill>
        </w:rPr>
        <w:t>供应商</w:t>
      </w:r>
      <w:r>
        <w:rPr>
          <w:rFonts w:hint="eastAsia" w:ascii="宋体" w:hAnsi="宋体" w:eastAsia="宋体" w:cs="宋体"/>
          <w:color w:val="000000" w:themeColor="text1"/>
          <w:kern w:val="2"/>
          <w:sz w:val="21"/>
          <w:szCs w:val="21"/>
          <w:lang w:val="en-US" w:eastAsia="zh-CN" w:bidi="ar-SA"/>
          <w14:textFill>
            <w14:solidFill>
              <w14:schemeClr w14:val="tx1"/>
            </w14:solidFill>
          </w14:textFill>
        </w:rPr>
        <w:t>的投标报价进行政策性扣除后的价格，评标报价只是作为评标时使用。最终</w:t>
      </w:r>
      <w:r>
        <w:rPr>
          <w:rFonts w:hint="eastAsia" w:ascii="宋体" w:hAnsi="宋体" w:cs="宋体"/>
          <w:color w:val="000000" w:themeColor="text1"/>
          <w:kern w:val="2"/>
          <w:sz w:val="21"/>
          <w:szCs w:val="21"/>
          <w:lang w:val="en-US" w:eastAsia="zh-CN" w:bidi="ar-SA"/>
          <w14:textFill>
            <w14:solidFill>
              <w14:schemeClr w14:val="tx1"/>
            </w14:solidFill>
          </w14:textFill>
        </w:rPr>
        <w:t>中标供应商</w:t>
      </w:r>
      <w:r>
        <w:rPr>
          <w:rFonts w:hint="eastAsia" w:ascii="宋体" w:hAnsi="宋体" w:eastAsia="宋体" w:cs="宋体"/>
          <w:color w:val="000000" w:themeColor="text1"/>
          <w:kern w:val="2"/>
          <w:sz w:val="21"/>
          <w:szCs w:val="21"/>
          <w:lang w:val="en-US" w:eastAsia="zh-CN" w:bidi="ar-SA"/>
          <w14:textFill>
            <w14:solidFill>
              <w14:schemeClr w14:val="tx1"/>
            </w14:solidFill>
          </w14:textFill>
        </w:rPr>
        <w:t>的中标金额＝投标报价。</w:t>
      </w:r>
    </w:p>
    <w:p>
      <w:pPr>
        <w:spacing w:line="400" w:lineRule="exact"/>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（2）政策性扣除计算方法。</w:t>
      </w:r>
    </w:p>
    <w:p>
      <w:pPr>
        <w:spacing w:line="400" w:lineRule="exact"/>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供应商符合小型、微型企业、残疾人就业政策或监狱企业条件的，其投标报价将按相应比例进行扣除，用扣除后的价格参与评审（计算价格分）。小型、微型企业组成联合体参加投标的，联合体视同为小型、微型企业享受扶持政策。</w:t>
      </w:r>
    </w:p>
    <w:p>
      <w:pPr>
        <w:spacing w:line="400" w:lineRule="exact"/>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（3）按照《财政部、司法部关于政府采购支持监狱企业发展有关问题的通知》（财库〔2014〕68号）之规定，监狱企业视同小型、微型企业。</w:t>
      </w:r>
    </w:p>
    <w:p>
      <w:pPr>
        <w:spacing w:line="400" w:lineRule="exact"/>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（4）按照《财政部、司法部关于政府采购支持监狱企业发展有关问题的通知》（财库〔2014〕68号）的规定，监狱企业视同小型、微型企业，享受预留份额、评审中价格扣除等促进中小企业发展的政府采购政策。</w:t>
      </w:r>
    </w:p>
    <w:p>
      <w:pPr>
        <w:spacing w:line="400" w:lineRule="exact"/>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（5）按照《政府采购促进中小企业发展暂行办法》（财库[2011]181号）之规定，投标产品被认定为小型和微型企业产品（以具有认定职能的部门出具的证明材料为准）的，对小型和微型企业产品的价格给予</w:t>
      </w:r>
      <w:r>
        <w:rPr>
          <w:rFonts w:hint="eastAsia" w:ascii="宋体" w:hAnsi="宋体" w:cs="宋体"/>
          <w:color w:val="000000" w:themeColor="text1"/>
          <w:kern w:val="2"/>
          <w:sz w:val="21"/>
          <w:szCs w:val="21"/>
          <w:lang w:val="en-US" w:eastAsia="zh-CN" w:bidi="ar-SA"/>
          <w14:textFill>
            <w14:solidFill>
              <w14:schemeClr w14:val="tx1"/>
            </w14:solidFill>
          </w14:textFill>
        </w:rPr>
        <w:t>10</w:t>
      </w:r>
      <w:r>
        <w:rPr>
          <w:rFonts w:hint="eastAsia" w:ascii="宋体" w:hAnsi="宋体" w:eastAsia="宋体" w:cs="宋体"/>
          <w:color w:val="000000" w:themeColor="text1"/>
          <w:kern w:val="2"/>
          <w:sz w:val="21"/>
          <w:szCs w:val="21"/>
          <w:lang w:val="en-US" w:eastAsia="zh-CN" w:bidi="ar-SA"/>
          <w14:textFill>
            <w14:solidFill>
              <w14:schemeClr w14:val="tx1"/>
            </w14:solidFill>
          </w14:textFill>
        </w:rPr>
        <w:t>%的扣除，扣除后的价格为评标报价，即评标报价=投标报价×（1-</w:t>
      </w:r>
      <w:r>
        <w:rPr>
          <w:rFonts w:hint="eastAsia" w:ascii="宋体" w:hAnsi="宋体" w:cs="宋体"/>
          <w:color w:val="000000" w:themeColor="text1"/>
          <w:kern w:val="2"/>
          <w:sz w:val="21"/>
          <w:szCs w:val="21"/>
          <w:lang w:val="en-US" w:eastAsia="zh-CN" w:bidi="ar-SA"/>
          <w14:textFill>
            <w14:solidFill>
              <w14:schemeClr w14:val="tx1"/>
            </w14:solidFill>
          </w14:textFill>
        </w:rPr>
        <w:t>10</w:t>
      </w:r>
      <w:r>
        <w:rPr>
          <w:rFonts w:hint="eastAsia" w:ascii="宋体" w:hAnsi="宋体" w:eastAsia="宋体" w:cs="宋体"/>
          <w:color w:val="000000" w:themeColor="text1"/>
          <w:kern w:val="2"/>
          <w:sz w:val="21"/>
          <w:szCs w:val="21"/>
          <w:lang w:val="en-US" w:eastAsia="zh-CN" w:bidi="ar-SA"/>
          <w14:textFill>
            <w14:solidFill>
              <w14:schemeClr w14:val="tx1"/>
            </w14:solidFill>
          </w14:textFill>
        </w:rPr>
        <w:t>%）；除上述情况外，评标报价=投标报价。（小型、微型企业提供中型企业制造的货物的，视同为中型企业；小型、微型企业提供大型企业制造的货物的，视同为大型企业。）</w:t>
      </w:r>
    </w:p>
    <w:p>
      <w:pPr>
        <w:spacing w:line="400" w:lineRule="exact"/>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（6）以进入综合评分环节的最低的评标报价为基准价，基准价报价得分为10分。</w:t>
      </w:r>
    </w:p>
    <w:p>
      <w:pPr>
        <w:spacing w:line="400" w:lineRule="exact"/>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（7）价格分计算公式：</w:t>
      </w:r>
    </w:p>
    <w:p>
      <w:pPr>
        <w:spacing w:line="360" w:lineRule="exact"/>
        <w:ind w:firstLine="3885" w:firstLineChars="1850"/>
        <w:rPr>
          <w:rFonts w:asci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基准价</w:t>
      </w:r>
      <w:r>
        <w:rPr>
          <w:rFonts w:ascii="宋体" w:hAnsi="宋体" w:cs="宋体"/>
          <w:color w:val="000000" w:themeColor="text1"/>
          <w:sz w:val="21"/>
          <w:szCs w:val="21"/>
          <w:highlight w:val="none"/>
          <w14:textFill>
            <w14:solidFill>
              <w14:schemeClr w14:val="tx1"/>
            </w14:solidFill>
          </w14:textFill>
        </w:rPr>
        <w:t xml:space="preserve"> </w:t>
      </w:r>
    </w:p>
    <w:p>
      <w:pPr>
        <w:spacing w:line="360" w:lineRule="exact"/>
        <w:ind w:firstLine="525" w:firstLineChars="250"/>
        <w:rPr>
          <w:rFonts w:ascii="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1722755</wp:posOffset>
                </wp:positionH>
                <wp:positionV relativeFrom="paragraph">
                  <wp:posOffset>124460</wp:posOffset>
                </wp:positionV>
                <wp:extent cx="1882775" cy="6350"/>
                <wp:effectExtent l="0" t="0" r="0" b="0"/>
                <wp:wrapNone/>
                <wp:docPr id="1" name="直线 17"/>
                <wp:cNvGraphicFramePr/>
                <a:graphic xmlns:a="http://schemas.openxmlformats.org/drawingml/2006/main">
                  <a:graphicData uri="http://schemas.microsoft.com/office/word/2010/wordprocessingShape">
                    <wps:wsp>
                      <wps:cNvCnPr/>
                      <wps:spPr>
                        <a:xfrm flipV="1">
                          <a:off x="0" y="0"/>
                          <a:ext cx="188277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flip:y;margin-left:135.65pt;margin-top:9.8pt;height:0.5pt;width:148.25pt;z-index:251668480;mso-width-relative:page;mso-height-relative:page;" filled="f" stroked="t" coordsize="21600,21600" o:gfxdata="UEsDBAoAAAAAAIdO4kAAAAAAAAAAAAAAAAAEAAAAZHJzL1BLAwQUAAAACACHTuJAKLD3xtYAAAAJ&#10;AQAADwAAAGRycy9kb3ducmV2LnhtbE2PQUvEMBCF74L/IYzgzU3axa5bmy4i6kUQXKvntBnbYjIp&#10;Tba7/nvHkx6H9/Hme9Xu5J1YcI5jIA3ZSoFA6oIdqdfQvD1e3YCIyZA1LhBq+MYIu/r8rDKlDUd6&#10;xWWfesElFEujYUhpKqWM3YDexFWYkDj7DLM3ic+5l3Y2Ry73TuZKFdKbkfjDYCa8H7D72h+8hruP&#10;54f1y9L64Oy2b96tb9RTrvXlRaZuQSQ8pT8YfvVZHWp2asOBbBROQ77J1oxysC1AMHBdbHhLy4kq&#10;QNaV/L+g/gFQSwMEFAAAAAgAh07iQKBM81XzAQAA6QMAAA4AAABkcnMvZTJvRG9jLnhtbK1TS44T&#10;MRDdI3EHy3vSSVAmQyudWUwYNggiMbCvuO1uS/7J5aSTs3ANVmw4zlyDsjsEGDZZ0ItWuT6v6j2X&#10;V3dHa9hBRtTeNXw2mXImnfCtdl3DPz8+vLrlDBO4Fox3suEnifxu/fLFagi1nPvem1ZGRiAO6yE0&#10;vE8p1FWFopcWcOKDdBRUPlpIdIxd1UYYCN2aaj6d3lSDj22IXkhE8m7GID8jxmsAvVJayI0Xeytd&#10;GlGjNJCIEvY6IF+XaZWSIn1UCmVipuHENJU/NSF7l//VegV1FyH0WpxHgGtGeMbJgnbU9AK1gQRs&#10;H/U/UFaL6NGrNBHeViORogixmE2fafOphyALF5Iaw0V0/H+w4sNhG5luaRM4c2Dpwp++fnv6/oPN&#10;llmcIWBNOfduG88nDNuYmR5VtEwZHb7k2uwhNuxYpD1dpJXHxAQ5Z7e38+VywZmg2M3rRVG+GlFy&#10;bYiY3klvWTYabrTLxKGGw3tM1JlSf6Vkt3FsaPibxTwjAm2hotsn0wZigq4rteiNbh+0MbkCY7e7&#10;N5EdIG9C+TI/wv0rLTfZAPZjXgmNO9JLaN+6lqVTII0cPQ2eR7Cy5cxIeknZIkCoE2hzTSa1No4m&#10;yBKPomZr59sT3cg+RN31pMSsTJkjtAFl3vO25hX781yQfr/Q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sPfG1gAAAAkBAAAPAAAAAAAAAAEAIAAAACIAAABkcnMvZG93bnJldi54bWxQSwECFAAU&#10;AAAACACHTuJAoEzzVfMBAADp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价格分</w:t>
      </w:r>
      <w:r>
        <w:rPr>
          <w:rFonts w:ascii="宋体" w:hAnsi="宋体" w:cs="宋体"/>
          <w:color w:val="000000" w:themeColor="text1"/>
          <w:sz w:val="21"/>
          <w:szCs w:val="21"/>
          <w:highlight w:val="none"/>
          <w14:textFill>
            <w14:solidFill>
              <w14:schemeClr w14:val="tx1"/>
            </w14:solidFill>
          </w14:textFill>
        </w:rPr>
        <w:t xml:space="preserve"> =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ascii="宋体" w:hAnsi="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14:textFill>
            <w14:solidFill>
              <w14:schemeClr w14:val="tx1"/>
            </w14:solidFill>
          </w14:textFill>
        </w:rPr>
        <w:t>分</w:t>
      </w:r>
    </w:p>
    <w:p>
      <w:pPr>
        <w:spacing w:line="360" w:lineRule="exact"/>
        <w:rPr>
          <w:rFonts w:ascii="宋体"/>
          <w:color w:val="000000" w:themeColor="text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最终评标报价金额</w:t>
      </w:r>
      <w:r>
        <w:rPr>
          <w:rFonts w:ascii="宋体" w:hAnsi="宋体" w:cs="宋体"/>
          <w:color w:val="000000" w:themeColor="text1"/>
          <w:sz w:val="24"/>
          <w:highlight w:val="none"/>
          <w14:textFill>
            <w14:solidFill>
              <w14:schemeClr w14:val="tx1"/>
            </w14:solidFill>
          </w14:textFill>
        </w:rPr>
        <w:t xml:space="preserve">          </w:t>
      </w:r>
    </w:p>
    <w:p>
      <w:pPr>
        <w:pStyle w:val="25"/>
        <w:spacing w:line="360" w:lineRule="auto"/>
        <w:ind w:firstLine="420"/>
        <w:jc w:val="left"/>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2、技术分…………………………………………………………………………</w:t>
      </w:r>
      <w:r>
        <w:rPr>
          <w:rFonts w:hint="eastAsia" w:hAnsi="宋体"/>
          <w:b/>
          <w:color w:val="000000" w:themeColor="text1"/>
          <w:lang w:val="en-US" w:eastAsia="zh-CN"/>
          <w14:textFill>
            <w14:solidFill>
              <w14:schemeClr w14:val="tx1"/>
            </w14:solidFill>
          </w14:textFill>
        </w:rPr>
        <w:t>70</w:t>
      </w:r>
      <w:r>
        <w:rPr>
          <w:rFonts w:hint="eastAsia" w:hAnsi="宋体"/>
          <w:b/>
          <w:color w:val="000000" w:themeColor="text1"/>
          <w14:textFill>
            <w14:solidFill>
              <w14:schemeClr w14:val="tx1"/>
            </w14:solidFill>
          </w14:textFill>
        </w:rPr>
        <w:t xml:space="preserve">分  </w:t>
      </w:r>
    </w:p>
    <w:p>
      <w:pPr>
        <w:keepNext w:val="0"/>
        <w:keepLines w:val="0"/>
        <w:widowControl/>
        <w:suppressLineNumbers w:val="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本项评分由评标委员会讨论进档，各评委独立进行打分。 </w:t>
      </w:r>
    </w:p>
    <w:p>
      <w:pPr>
        <w:keepNext w:val="0"/>
        <w:keepLines w:val="0"/>
        <w:widowControl/>
        <w:suppressLineNumbers w:val="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（1）项目初步实施方案（15 分） </w:t>
      </w:r>
    </w:p>
    <w:p>
      <w:pPr>
        <w:keepNext w:val="0"/>
        <w:keepLines w:val="0"/>
        <w:widowControl/>
        <w:suppressLineNumbers w:val="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一档（</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分）能提出一般详细实施方案大纲，提出的交易结构、边界条件、监管体系一般； </w:t>
      </w:r>
    </w:p>
    <w:p>
      <w:pPr>
        <w:keepNext w:val="0"/>
        <w:keepLines w:val="0"/>
        <w:widowControl/>
        <w:suppressLineNumbers w:val="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二档（</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10</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分）能提出较详细实施方案大纲，提出较科学合理的交易结构、边界条件、监管体系， </w:t>
      </w:r>
    </w:p>
    <w:p>
      <w:pPr>
        <w:keepNext w:val="0"/>
        <w:keepLines w:val="0"/>
        <w:widowControl/>
        <w:suppressLineNumbers w:val="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具有可操作性； </w:t>
      </w:r>
    </w:p>
    <w:p>
      <w:pPr>
        <w:keepNext w:val="0"/>
        <w:keepLines w:val="0"/>
        <w:widowControl/>
        <w:suppressLineNumbers w:val="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三档（</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15</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分）能按照国家出台的对 PPP 项目的相关要求提出全面完整、详细实施方案大纲， </w:t>
      </w:r>
    </w:p>
    <w:p>
      <w:pPr>
        <w:keepNext w:val="0"/>
        <w:keepLines w:val="0"/>
        <w:widowControl/>
        <w:suppressLineNumbers w:val="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提出科学合理的交易结构、边界条件</w:t>
      </w:r>
      <w:bookmarkStart w:id="58" w:name="_GoBack"/>
      <w:bookmarkEnd w:id="58"/>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、监管体系，可操作性强。</w:t>
      </w:r>
    </w:p>
    <w:p>
      <w:pPr>
        <w:pStyle w:val="25"/>
        <w:spacing w:line="360" w:lineRule="auto"/>
        <w:ind w:firstLine="42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（2）项目物有所值评价</w:t>
      </w:r>
      <w:r>
        <w:rPr>
          <w:rFonts w:hint="eastAsia" w:hAnsi="宋体" w:cs="宋体"/>
          <w:b w:val="0"/>
          <w:bCs w:val="0"/>
          <w:color w:val="000000" w:themeColor="text1"/>
          <w:sz w:val="21"/>
          <w:szCs w:val="21"/>
          <w:lang w:val="en-US" w:eastAsia="zh-CN"/>
          <w14:textFill>
            <w14:solidFill>
              <w14:schemeClr w14:val="tx1"/>
            </w14:solidFill>
          </w14:textFill>
        </w:rPr>
        <w:t>论证</w:t>
      </w:r>
      <w:r>
        <w:rPr>
          <w:rFonts w:hint="eastAsia" w:ascii="宋体" w:hAnsi="宋体" w:eastAsia="宋体" w:cs="宋体"/>
          <w:b w:val="0"/>
          <w:bCs w:val="0"/>
          <w:color w:val="000000" w:themeColor="text1"/>
          <w:sz w:val="21"/>
          <w:szCs w:val="21"/>
          <w:lang w:val="en-US" w:eastAsia="zh-CN"/>
          <w14:textFill>
            <w14:solidFill>
              <w14:schemeClr w14:val="tx1"/>
            </w14:solidFill>
          </w14:textFill>
        </w:rPr>
        <w:t>方案（</w:t>
      </w:r>
      <w:r>
        <w:rPr>
          <w:rFonts w:hint="eastAsia" w:hAnsi="宋体" w:cs="宋体"/>
          <w:b w:val="0"/>
          <w:bCs w:val="0"/>
          <w:color w:val="000000" w:themeColor="text1"/>
          <w:sz w:val="21"/>
          <w:szCs w:val="21"/>
          <w:lang w:val="en-US" w:eastAsia="zh-CN"/>
          <w14:textFill>
            <w14:solidFill>
              <w14:schemeClr w14:val="tx1"/>
            </w14:solidFill>
          </w14:textFill>
        </w:rPr>
        <w:t>15</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分）</w:t>
      </w:r>
    </w:p>
    <w:p>
      <w:pPr>
        <w:pStyle w:val="25"/>
        <w:numPr>
          <w:ilvl w:val="0"/>
          <w:numId w:val="0"/>
        </w:numPr>
        <w:spacing w:line="360" w:lineRule="auto"/>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一档（</w:t>
      </w:r>
      <w:r>
        <w:rPr>
          <w:rFonts w:hint="eastAsia" w:hAnsi="宋体" w:cs="宋体"/>
          <w:b w:val="0"/>
          <w:bCs w:val="0"/>
          <w:color w:val="000000" w:themeColor="text1"/>
          <w:kern w:val="0"/>
          <w:sz w:val="21"/>
          <w:szCs w:val="21"/>
          <w:lang w:val="en-US" w:eastAsia="zh-CN"/>
          <w14:textFill>
            <w14:solidFill>
              <w14:schemeClr w14:val="tx1"/>
            </w14:solidFill>
          </w14:textFill>
        </w:rPr>
        <w:t>3</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 xml:space="preserve">分）能提出一般详细的物有所值初步评价方案，提出的物有所值评价依据一般充分、 物有所值定性评价指标一般全面、物有所值定量评价合理性一般的； </w:t>
      </w:r>
    </w:p>
    <w:p>
      <w:pPr>
        <w:pStyle w:val="25"/>
        <w:numPr>
          <w:ilvl w:val="0"/>
          <w:numId w:val="0"/>
        </w:numPr>
        <w:spacing w:line="360" w:lineRule="auto"/>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二档（</w:t>
      </w:r>
      <w:r>
        <w:rPr>
          <w:rFonts w:hint="eastAsia" w:hAnsi="宋体" w:cs="宋体"/>
          <w:b w:val="0"/>
          <w:bCs w:val="0"/>
          <w:color w:val="000000" w:themeColor="text1"/>
          <w:kern w:val="0"/>
          <w:sz w:val="21"/>
          <w:szCs w:val="21"/>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分）能提出较详细物有所值初步评价方案，提出较全面科学合理的物有所值评价依据 较充分、物有所值定性评价指标较全面、物有所值定量评价较合理性的；</w:t>
      </w:r>
    </w:p>
    <w:p>
      <w:pPr>
        <w:pStyle w:val="25"/>
        <w:numPr>
          <w:ilvl w:val="0"/>
          <w:numId w:val="0"/>
        </w:numPr>
        <w:spacing w:line="360" w:lineRule="auto"/>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三档（</w:t>
      </w:r>
      <w:r>
        <w:rPr>
          <w:rFonts w:hint="eastAsia" w:hAnsi="宋体" w:cs="宋体"/>
          <w:b w:val="0"/>
          <w:bCs w:val="0"/>
          <w:color w:val="000000" w:themeColor="text1"/>
          <w:kern w:val="0"/>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分）能按照国家出台的对 PPP 项目的相关要求提出全面完整、详细物有所值初步评价 方案，提出科学合理的物有所值评价依据、物有所值定性评价评价指标、物有所值定量评价，可操作性 强。</w:t>
      </w:r>
    </w:p>
    <w:p>
      <w:pPr>
        <w:pStyle w:val="25"/>
        <w:numPr>
          <w:ilvl w:val="0"/>
          <w:numId w:val="12"/>
        </w:numPr>
        <w:spacing w:line="360" w:lineRule="auto"/>
        <w:ind w:firstLine="420"/>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项目财政承受能力论证报告框架（</w:t>
      </w:r>
      <w:r>
        <w:rPr>
          <w:rFonts w:hint="eastAsia" w:hAnsi="宋体" w:cs="宋体"/>
          <w:b w:val="0"/>
          <w:bCs w:val="0"/>
          <w:color w:val="000000" w:themeColor="text1"/>
          <w:kern w:val="0"/>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kern w:val="0"/>
          <w:sz w:val="21"/>
          <w:szCs w:val="21"/>
          <w14:textFill>
            <w14:solidFill>
              <w14:schemeClr w14:val="tx1"/>
            </w14:solidFill>
          </w14:textFill>
        </w:rPr>
        <w:t xml:space="preserve"> 分）</w:t>
      </w:r>
    </w:p>
    <w:p>
      <w:pPr>
        <w:pStyle w:val="25"/>
        <w:numPr>
          <w:ilvl w:val="0"/>
          <w:numId w:val="0"/>
        </w:numPr>
        <w:spacing w:line="360" w:lineRule="auto"/>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 xml:space="preserve"> 一档（</w:t>
      </w:r>
      <w:r>
        <w:rPr>
          <w:rFonts w:hint="eastAsia" w:hAnsi="宋体" w:cs="宋体"/>
          <w:b w:val="0"/>
          <w:bCs w:val="0"/>
          <w:color w:val="000000" w:themeColor="text1"/>
          <w:kern w:val="0"/>
          <w:sz w:val="21"/>
          <w:szCs w:val="21"/>
          <w:lang w:val="en-US" w:eastAsia="zh-CN"/>
          <w14:textFill>
            <w14:solidFill>
              <w14:schemeClr w14:val="tx1"/>
            </w14:solidFill>
          </w14:textFill>
        </w:rPr>
        <w:t>3</w:t>
      </w:r>
      <w:r>
        <w:rPr>
          <w:rFonts w:hint="eastAsia" w:ascii="宋体" w:hAnsi="宋体" w:eastAsia="宋体" w:cs="宋体"/>
          <w:b w:val="0"/>
          <w:bCs w:val="0"/>
          <w:color w:val="000000" w:themeColor="text1"/>
          <w:kern w:val="0"/>
          <w:sz w:val="21"/>
          <w:szCs w:val="21"/>
          <w14:textFill>
            <w14:solidFill>
              <w14:schemeClr w14:val="tx1"/>
            </w14:solidFill>
          </w14:textFill>
        </w:rPr>
        <w:t>分）能提出一般详细财政承受能力论证初步报告框架；</w:t>
      </w:r>
    </w:p>
    <w:p>
      <w:pPr>
        <w:pStyle w:val="25"/>
        <w:numPr>
          <w:ilvl w:val="0"/>
          <w:numId w:val="0"/>
        </w:numPr>
        <w:spacing w:line="360" w:lineRule="auto"/>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 xml:space="preserve"> 二档（</w:t>
      </w:r>
      <w:r>
        <w:rPr>
          <w:rFonts w:hint="eastAsia" w:hAnsi="宋体" w:cs="宋体"/>
          <w:b w:val="0"/>
          <w:bCs w:val="0"/>
          <w:color w:val="000000" w:themeColor="text1"/>
          <w:kern w:val="0"/>
          <w:sz w:val="21"/>
          <w:szCs w:val="21"/>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14:textFill>
            <w14:solidFill>
              <w14:schemeClr w14:val="tx1"/>
            </w14:solidFill>
          </w14:textFill>
        </w:rPr>
        <w:t xml:space="preserve">分）能提出较详细财政承受能力论证初步报告框架，提出较科学合理的财政承受能力 论证依据及方法、财政承受能力责任识别、财政承受能力能力评估，具有可操作性； </w:t>
      </w:r>
    </w:p>
    <w:p>
      <w:pPr>
        <w:pStyle w:val="25"/>
        <w:numPr>
          <w:ilvl w:val="0"/>
          <w:numId w:val="0"/>
        </w:numPr>
        <w:spacing w:line="360" w:lineRule="auto"/>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三档（</w:t>
      </w:r>
      <w:r>
        <w:rPr>
          <w:rFonts w:hint="eastAsia" w:hAnsi="宋体" w:cs="宋体"/>
          <w:b w:val="0"/>
          <w:bCs w:val="0"/>
          <w:color w:val="000000" w:themeColor="text1"/>
          <w:kern w:val="0"/>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kern w:val="0"/>
          <w:sz w:val="21"/>
          <w:szCs w:val="21"/>
          <w14:textFill>
            <w14:solidFill>
              <w14:schemeClr w14:val="tx1"/>
            </w14:solidFill>
          </w14:textFill>
        </w:rPr>
        <w:t>分）能按照国家出台的对 PPP 项目的相关要求提出全面完整、详细财政承受能力论证 初步报告框架，提出科学合理的财政承受能力论证依据及方法、财政承受能力责任识别、财政承受能力 能力评估，可操作性强。</w:t>
      </w:r>
    </w:p>
    <w:p>
      <w:pPr>
        <w:pStyle w:val="25"/>
        <w:numPr>
          <w:ilvl w:val="0"/>
          <w:numId w:val="12"/>
        </w:numPr>
        <w:spacing w:line="360" w:lineRule="auto"/>
        <w:ind w:left="0" w:leftChars="0" w:firstLine="420" w:firstLine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项目进度计划（</w:t>
      </w:r>
      <w:r>
        <w:rPr>
          <w:rFonts w:hint="eastAsia" w:hAnsi="宋体" w:cs="宋体"/>
          <w:b w:val="0"/>
          <w:bCs w:val="0"/>
          <w:color w:val="000000" w:themeColor="text1"/>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14:textFill>
            <w14:solidFill>
              <w14:schemeClr w14:val="tx1"/>
            </w14:solidFill>
          </w14:textFill>
        </w:rPr>
        <w:t xml:space="preserve"> 分）</w:t>
      </w:r>
    </w:p>
    <w:p>
      <w:pPr>
        <w:pStyle w:val="25"/>
        <w:numPr>
          <w:ilvl w:val="0"/>
          <w:numId w:val="0"/>
        </w:numPr>
        <w:spacing w:line="360" w:lineRule="auto"/>
        <w:ind w:left="420" w:left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hAnsi="宋体" w:cs="宋体"/>
          <w:b w:val="0"/>
          <w:bCs w:val="0"/>
          <w:color w:val="000000" w:themeColor="text1"/>
          <w:sz w:val="21"/>
          <w:szCs w:val="21"/>
          <w:lang w:eastAsia="zh-CN"/>
          <w14:textFill>
            <w14:solidFill>
              <w14:schemeClr w14:val="tx1"/>
            </w14:solidFill>
          </w14:textFill>
        </w:rPr>
        <w:t>一档</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分)）各项核心工作时间计划表、各环节时间安排不合理、不符合招标人要求；</w:t>
      </w:r>
    </w:p>
    <w:p>
      <w:pPr>
        <w:pStyle w:val="25"/>
        <w:numPr>
          <w:ilvl w:val="0"/>
          <w:numId w:val="0"/>
        </w:numPr>
        <w:spacing w:line="360" w:lineRule="auto"/>
        <w:ind w:left="420" w:left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hAnsi="宋体" w:cs="宋体"/>
          <w:b w:val="0"/>
          <w:bCs w:val="0"/>
          <w:color w:val="000000" w:themeColor="text1"/>
          <w:sz w:val="21"/>
          <w:szCs w:val="21"/>
          <w:lang w:eastAsia="zh-CN"/>
          <w14:textFill>
            <w14:solidFill>
              <w14:schemeClr w14:val="tx1"/>
            </w14:solidFill>
          </w14:textFill>
        </w:rPr>
        <w:t>二档</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hAnsi="宋体" w:cs="宋体"/>
          <w:b w:val="0"/>
          <w:bCs w:val="0"/>
          <w:color w:val="000000" w:themeColor="text1"/>
          <w:sz w:val="21"/>
          <w:szCs w:val="21"/>
          <w:lang w:val="en-US" w:eastAsia="zh-CN"/>
          <w14:textFill>
            <w14:solidFill>
              <w14:schemeClr w14:val="tx1"/>
            </w14:solidFill>
          </w14:textFill>
        </w:rPr>
        <w:t>7分</w:t>
      </w:r>
      <w:r>
        <w:rPr>
          <w:rFonts w:hint="eastAsia" w:ascii="宋体" w:hAnsi="宋体" w:eastAsia="宋体" w:cs="宋体"/>
          <w:b w:val="0"/>
          <w:bCs w:val="0"/>
          <w:color w:val="000000" w:themeColor="text1"/>
          <w:sz w:val="21"/>
          <w:szCs w:val="21"/>
          <w14:textFill>
            <w14:solidFill>
              <w14:schemeClr w14:val="tx1"/>
            </w14:solidFill>
          </w14:textFill>
        </w:rPr>
        <w:t>）各项核心工作时间计划表、各环节时间安排基本合理、基本符合招标人要求；</w:t>
      </w:r>
    </w:p>
    <w:p>
      <w:pPr>
        <w:pStyle w:val="25"/>
        <w:numPr>
          <w:ilvl w:val="0"/>
          <w:numId w:val="0"/>
        </w:numPr>
        <w:spacing w:line="360" w:lineRule="auto"/>
        <w:ind w:left="420" w:leftChars="0"/>
        <w:jc w:val="left"/>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hAnsi="宋体" w:cs="宋体"/>
          <w:b w:val="0"/>
          <w:bCs w:val="0"/>
          <w:color w:val="000000" w:themeColor="text1"/>
          <w:sz w:val="21"/>
          <w:szCs w:val="21"/>
          <w:lang w:eastAsia="zh-CN"/>
          <w14:textFill>
            <w14:solidFill>
              <w14:schemeClr w14:val="tx1"/>
            </w14:solidFill>
          </w14:textFill>
        </w:rPr>
        <w:t>三档</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hAnsi="宋体" w:cs="宋体"/>
          <w:b w:val="0"/>
          <w:bCs w:val="0"/>
          <w:color w:val="000000" w:themeColor="text1"/>
          <w:sz w:val="21"/>
          <w:szCs w:val="21"/>
          <w:lang w:val="en-US" w:eastAsia="zh-CN"/>
          <w14:textFill>
            <w14:solidFill>
              <w14:schemeClr w14:val="tx1"/>
            </w14:solidFill>
          </w14:textFill>
        </w:rPr>
        <w:t>10分</w:t>
      </w:r>
      <w:r>
        <w:rPr>
          <w:rFonts w:hint="eastAsia" w:ascii="宋体" w:hAnsi="宋体" w:eastAsia="宋体" w:cs="宋体"/>
          <w:b w:val="0"/>
          <w:bCs w:val="0"/>
          <w:color w:val="000000" w:themeColor="text1"/>
          <w:sz w:val="21"/>
          <w:szCs w:val="21"/>
          <w14:textFill>
            <w14:solidFill>
              <w14:schemeClr w14:val="tx1"/>
            </w14:solidFill>
          </w14:textFill>
        </w:rPr>
        <w:t>）各项核心工作时间计划表、各环节时间安排合理、符合招标人要求</w:t>
      </w:r>
      <w:r>
        <w:rPr>
          <w:rFonts w:hint="eastAsia" w:hAnsi="宋体" w:cs="宋体"/>
          <w:b w:val="0"/>
          <w:bCs w:val="0"/>
          <w:color w:val="000000" w:themeColor="text1"/>
          <w:sz w:val="21"/>
          <w:szCs w:val="21"/>
          <w:lang w:eastAsia="zh-CN"/>
          <w14:textFill>
            <w14:solidFill>
              <w14:schemeClr w14:val="tx1"/>
            </w14:solidFill>
          </w14:textFill>
        </w:rPr>
        <w:t>。</w:t>
      </w:r>
    </w:p>
    <w:p>
      <w:pPr>
        <w:pStyle w:val="25"/>
        <w:numPr>
          <w:ilvl w:val="0"/>
          <w:numId w:val="0"/>
        </w:numPr>
        <w:spacing w:line="360" w:lineRule="auto"/>
        <w:ind w:left="420" w:leftChars="0"/>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（5）服务承诺（</w:t>
      </w:r>
      <w:r>
        <w:rPr>
          <w:rFonts w:hint="eastAsia" w:hAnsi="宋体" w:cs="宋体"/>
          <w:b w:val="0"/>
          <w:bCs w:val="0"/>
          <w:color w:val="000000" w:themeColor="text1"/>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14:textFill>
            <w14:solidFill>
              <w14:schemeClr w14:val="tx1"/>
            </w14:solidFill>
          </w14:textFill>
        </w:rPr>
        <w:t xml:space="preserve"> 分） </w:t>
      </w:r>
    </w:p>
    <w:p>
      <w:pPr>
        <w:pStyle w:val="25"/>
        <w:numPr>
          <w:ilvl w:val="0"/>
          <w:numId w:val="0"/>
        </w:numPr>
        <w:spacing w:line="360" w:lineRule="auto"/>
        <w:ind w:left="420" w:left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一档（</w:t>
      </w:r>
      <w:r>
        <w:rPr>
          <w:rFonts w:hint="eastAsia"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分)）</w:t>
      </w:r>
      <w:r>
        <w:rPr>
          <w:rFonts w:hint="eastAsia" w:hAnsi="宋体" w:cs="宋体"/>
          <w:b w:val="0"/>
          <w:bCs w:val="0"/>
          <w:color w:val="000000" w:themeColor="text1"/>
          <w:sz w:val="21"/>
          <w:szCs w:val="21"/>
          <w:lang w:eastAsia="zh-CN"/>
          <w14:textFill>
            <w14:solidFill>
              <w14:schemeClr w14:val="tx1"/>
            </w14:solidFill>
          </w14:textFill>
        </w:rPr>
        <w:t>供应商</w:t>
      </w:r>
      <w:r>
        <w:rPr>
          <w:rFonts w:hint="eastAsia" w:ascii="宋体" w:hAnsi="宋体" w:eastAsia="宋体" w:cs="宋体"/>
          <w:b w:val="0"/>
          <w:bCs w:val="0"/>
          <w:color w:val="000000" w:themeColor="text1"/>
          <w:sz w:val="21"/>
          <w:szCs w:val="21"/>
          <w14:textFill>
            <w14:solidFill>
              <w14:schemeClr w14:val="tx1"/>
            </w14:solidFill>
          </w14:textFill>
        </w:rPr>
        <w:t xml:space="preserve">服务承诺方案简单，基本满足采购文件要求的； </w:t>
      </w:r>
    </w:p>
    <w:p>
      <w:pPr>
        <w:pStyle w:val="25"/>
        <w:numPr>
          <w:ilvl w:val="0"/>
          <w:numId w:val="0"/>
        </w:numPr>
        <w:spacing w:line="360" w:lineRule="auto"/>
        <w:ind w:left="420" w:left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二档（</w:t>
      </w:r>
      <w:r>
        <w:rPr>
          <w:rFonts w:hint="eastAsia" w:hAnsi="宋体" w:cs="宋体"/>
          <w:b w:val="0"/>
          <w:bCs w:val="0"/>
          <w:color w:val="000000" w:themeColor="text1"/>
          <w:sz w:val="21"/>
          <w:szCs w:val="21"/>
          <w:lang w:val="en-US" w:eastAsia="zh-CN"/>
          <w14:textFill>
            <w14:solidFill>
              <w14:schemeClr w14:val="tx1"/>
            </w14:solidFill>
          </w14:textFill>
        </w:rPr>
        <w:t>7分</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hAnsi="宋体" w:cs="宋体"/>
          <w:b w:val="0"/>
          <w:bCs w:val="0"/>
          <w:color w:val="000000" w:themeColor="text1"/>
          <w:sz w:val="21"/>
          <w:szCs w:val="21"/>
          <w:lang w:eastAsia="zh-CN"/>
          <w14:textFill>
            <w14:solidFill>
              <w14:schemeClr w14:val="tx1"/>
            </w14:solidFill>
          </w14:textFill>
        </w:rPr>
        <w:t>供应商</w:t>
      </w:r>
      <w:r>
        <w:rPr>
          <w:rFonts w:hint="eastAsia" w:ascii="宋体" w:hAnsi="宋体" w:eastAsia="宋体" w:cs="宋体"/>
          <w:b w:val="0"/>
          <w:bCs w:val="0"/>
          <w:color w:val="000000" w:themeColor="text1"/>
          <w:sz w:val="21"/>
          <w:szCs w:val="21"/>
          <w14:textFill>
            <w14:solidFill>
              <w14:schemeClr w14:val="tx1"/>
            </w14:solidFill>
          </w14:textFill>
        </w:rPr>
        <w:t>服务承诺方案全面、可行，服务措施到位，应急措施较合理，人员配置较充足，能更好地为采购单位服务的</w:t>
      </w:r>
      <w:r>
        <w:rPr>
          <w:rFonts w:hint="eastAsia" w:hAnsi="宋体" w:cs="宋体"/>
          <w:b w:val="0"/>
          <w:bCs w:val="0"/>
          <w:color w:val="000000" w:themeColor="text1"/>
          <w:sz w:val="21"/>
          <w:szCs w:val="21"/>
          <w:lang w:eastAsia="zh-CN"/>
          <w14:textFill>
            <w14:solidFill>
              <w14:schemeClr w14:val="tx1"/>
            </w14:solidFill>
          </w14:textFill>
        </w:rPr>
        <w:t>。</w:t>
      </w:r>
    </w:p>
    <w:p>
      <w:pPr>
        <w:pStyle w:val="25"/>
        <w:numPr>
          <w:ilvl w:val="0"/>
          <w:numId w:val="0"/>
        </w:numPr>
        <w:spacing w:line="360" w:lineRule="auto"/>
        <w:ind w:left="420" w:left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三档（</w:t>
      </w:r>
      <w:r>
        <w:rPr>
          <w:rFonts w:hint="eastAsia" w:hAnsi="宋体" w:cs="宋体"/>
          <w:b w:val="0"/>
          <w:bCs w:val="0"/>
          <w:color w:val="000000" w:themeColor="text1"/>
          <w:sz w:val="21"/>
          <w:szCs w:val="21"/>
          <w:lang w:val="en-US" w:eastAsia="zh-CN"/>
          <w14:textFill>
            <w14:solidFill>
              <w14:schemeClr w14:val="tx1"/>
            </w14:solidFill>
          </w14:textFill>
        </w:rPr>
        <w:t>10分</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hAnsi="宋体" w:cs="宋体"/>
          <w:b w:val="0"/>
          <w:bCs w:val="0"/>
          <w:color w:val="000000" w:themeColor="text1"/>
          <w:sz w:val="21"/>
          <w:szCs w:val="21"/>
          <w:lang w:eastAsia="zh-CN"/>
          <w14:textFill>
            <w14:solidFill>
              <w14:schemeClr w14:val="tx1"/>
            </w14:solidFill>
          </w14:textFill>
        </w:rPr>
        <w:t>供应商</w:t>
      </w:r>
      <w:r>
        <w:rPr>
          <w:rFonts w:hint="eastAsia" w:ascii="宋体" w:hAnsi="宋体" w:eastAsia="宋体" w:cs="宋体"/>
          <w:b w:val="0"/>
          <w:bCs w:val="0"/>
          <w:color w:val="000000" w:themeColor="text1"/>
          <w:sz w:val="21"/>
          <w:szCs w:val="21"/>
          <w14:textFill>
            <w14:solidFill>
              <w14:schemeClr w14:val="tx1"/>
            </w14:solidFill>
          </w14:textFill>
        </w:rPr>
        <w:t>服务承诺方案详细、具体，应急措施合理、可操作性强，人员配置充分，具有一定技术专业能力，能很好地为采购单位服务的。</w:t>
      </w:r>
    </w:p>
    <w:p>
      <w:pPr>
        <w:ind w:firstLine="420" w:firstLineChars="200"/>
        <w:rPr>
          <w:rFonts w:hint="eastAsia" w:eastAsia="宋体"/>
          <w:color w:val="000000" w:themeColor="text1"/>
          <w:lang w:eastAsia="zh-CN"/>
          <w14:textFill>
            <w14:solidFill>
              <w14:schemeClr w14:val="tx1"/>
            </w14:solidFill>
          </w14:textFill>
        </w:rPr>
      </w:pPr>
      <w:r>
        <w:rPr>
          <w:rFonts w:hint="eastAsia" w:ascii="宋体" w:hAnsi="宋体" w:cs="宋体"/>
          <w:b w:val="0"/>
          <w:bCs w:val="0"/>
          <w:color w:val="000000" w:themeColor="text1"/>
          <w:sz w:val="21"/>
          <w:szCs w:val="21"/>
          <w:lang w:eastAsia="zh-CN"/>
          <w14:textFill>
            <w14:solidFill>
              <w14:schemeClr w14:val="tx1"/>
            </w14:solidFill>
          </w14:textFill>
        </w:rPr>
        <w:t>（</w:t>
      </w:r>
      <w:r>
        <w:rPr>
          <w:rFonts w:hint="eastAsia" w:ascii="宋体" w:hAnsi="宋体" w:cs="宋体"/>
          <w:b w:val="0"/>
          <w:bCs w:val="0"/>
          <w:color w:val="000000" w:themeColor="text1"/>
          <w:sz w:val="21"/>
          <w:szCs w:val="21"/>
          <w:lang w:val="en-US" w:eastAsia="zh-CN"/>
          <w14:textFill>
            <w14:solidFill>
              <w14:schemeClr w14:val="tx1"/>
            </w14:solidFill>
          </w14:textFill>
        </w:rPr>
        <w:t>6</w:t>
      </w:r>
      <w:r>
        <w:rPr>
          <w:rFonts w:hint="eastAsia" w:ascii="宋体" w:hAnsi="宋体" w:cs="宋体"/>
          <w:b w:val="0"/>
          <w:bCs w:val="0"/>
          <w:color w:val="000000" w:themeColor="text1"/>
          <w:sz w:val="21"/>
          <w:szCs w:val="21"/>
          <w:lang w:eastAsia="zh-CN"/>
          <w14:textFill>
            <w14:solidFill>
              <w14:schemeClr w14:val="tx1"/>
            </w14:solidFill>
          </w14:textFill>
        </w:rPr>
        <w:t>）公司管理制度及质量保障措施（</w:t>
      </w:r>
      <w:r>
        <w:rPr>
          <w:rFonts w:hint="eastAsia" w:ascii="宋体" w:hAnsi="宋体" w:cs="宋体"/>
          <w:b w:val="0"/>
          <w:bCs w:val="0"/>
          <w:color w:val="000000" w:themeColor="text1"/>
          <w:sz w:val="21"/>
          <w:szCs w:val="21"/>
          <w:lang w:val="en-US" w:eastAsia="zh-CN"/>
          <w14:textFill>
            <w14:solidFill>
              <w14:schemeClr w14:val="tx1"/>
            </w14:solidFill>
          </w14:textFill>
        </w:rPr>
        <w:t>10分</w:t>
      </w:r>
      <w:r>
        <w:rPr>
          <w:rFonts w:hint="eastAsia" w:ascii="宋体" w:hAnsi="宋体" w:cs="宋体"/>
          <w:b w:val="0"/>
          <w:bCs w:val="0"/>
          <w:color w:val="000000" w:themeColor="text1"/>
          <w:sz w:val="21"/>
          <w:szCs w:val="21"/>
          <w:lang w:eastAsia="zh-CN"/>
          <w14:textFill>
            <w14:solidFill>
              <w14:schemeClr w14:val="tx1"/>
            </w14:solidFill>
          </w14:textFill>
        </w:rPr>
        <w:t>）</w:t>
      </w:r>
    </w:p>
    <w:p>
      <w:pPr>
        <w:pStyle w:val="25"/>
        <w:numPr>
          <w:ilvl w:val="0"/>
          <w:numId w:val="0"/>
        </w:numPr>
        <w:spacing w:line="360" w:lineRule="auto"/>
        <w:ind w:left="420" w:left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hAnsi="宋体" w:cs="宋体"/>
          <w:b w:val="0"/>
          <w:bCs w:val="0"/>
          <w:color w:val="000000" w:themeColor="text1"/>
          <w:sz w:val="21"/>
          <w:szCs w:val="21"/>
          <w:lang w:eastAsia="zh-CN"/>
          <w14:textFill>
            <w14:solidFill>
              <w14:schemeClr w14:val="tx1"/>
            </w14:solidFill>
          </w14:textFill>
        </w:rPr>
        <w:t>一档</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分)公司管理制度及质量保障措施较差；</w:t>
      </w:r>
    </w:p>
    <w:p>
      <w:pPr>
        <w:pStyle w:val="25"/>
        <w:numPr>
          <w:ilvl w:val="0"/>
          <w:numId w:val="0"/>
        </w:numPr>
        <w:spacing w:line="360" w:lineRule="auto"/>
        <w:ind w:left="420" w:left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hAnsi="宋体" w:cs="宋体"/>
          <w:b w:val="0"/>
          <w:bCs w:val="0"/>
          <w:color w:val="000000" w:themeColor="text1"/>
          <w:sz w:val="21"/>
          <w:szCs w:val="21"/>
          <w:lang w:eastAsia="zh-CN"/>
          <w14:textFill>
            <w14:solidFill>
              <w14:schemeClr w14:val="tx1"/>
            </w14:solidFill>
          </w14:textFill>
        </w:rPr>
        <w:t>二档</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hAnsi="宋体" w:cs="宋体"/>
          <w:b w:val="0"/>
          <w:bCs w:val="0"/>
          <w:color w:val="000000" w:themeColor="text1"/>
          <w:sz w:val="21"/>
          <w:szCs w:val="21"/>
          <w:lang w:val="en-US" w:eastAsia="zh-CN"/>
          <w14:textFill>
            <w14:solidFill>
              <w14:schemeClr w14:val="tx1"/>
            </w14:solidFill>
          </w14:textFill>
        </w:rPr>
        <w:t>7分</w:t>
      </w:r>
      <w:r>
        <w:rPr>
          <w:rFonts w:hint="eastAsia" w:ascii="宋体" w:hAnsi="宋体" w:eastAsia="宋体" w:cs="宋体"/>
          <w:b w:val="0"/>
          <w:bCs w:val="0"/>
          <w:color w:val="000000" w:themeColor="text1"/>
          <w:sz w:val="21"/>
          <w:szCs w:val="21"/>
          <w14:textFill>
            <w14:solidFill>
              <w14:schemeClr w14:val="tx1"/>
            </w14:solidFill>
          </w14:textFill>
        </w:rPr>
        <w:t>）公司管理制度及质量保障措施较为完善；</w:t>
      </w:r>
    </w:p>
    <w:p>
      <w:pPr>
        <w:pStyle w:val="25"/>
        <w:numPr>
          <w:ilvl w:val="0"/>
          <w:numId w:val="0"/>
        </w:numPr>
        <w:spacing w:line="360" w:lineRule="auto"/>
        <w:ind w:left="420" w:leftChars="0"/>
        <w:jc w:val="left"/>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hAnsi="宋体" w:cs="宋体"/>
          <w:b w:val="0"/>
          <w:bCs w:val="0"/>
          <w:color w:val="000000" w:themeColor="text1"/>
          <w:sz w:val="21"/>
          <w:szCs w:val="21"/>
          <w:lang w:eastAsia="zh-CN"/>
          <w14:textFill>
            <w14:solidFill>
              <w14:schemeClr w14:val="tx1"/>
            </w14:solidFill>
          </w14:textFill>
        </w:rPr>
        <w:t>三档</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hAnsi="宋体" w:cs="宋体"/>
          <w:b w:val="0"/>
          <w:bCs w:val="0"/>
          <w:color w:val="000000" w:themeColor="text1"/>
          <w:sz w:val="21"/>
          <w:szCs w:val="21"/>
          <w:lang w:val="en-US" w:eastAsia="zh-CN"/>
          <w14:textFill>
            <w14:solidFill>
              <w14:schemeClr w14:val="tx1"/>
            </w14:solidFill>
          </w14:textFill>
        </w:rPr>
        <w:t>10分</w:t>
      </w:r>
      <w:r>
        <w:rPr>
          <w:rFonts w:hint="eastAsia" w:ascii="宋体" w:hAnsi="宋体" w:eastAsia="宋体" w:cs="宋体"/>
          <w:b w:val="0"/>
          <w:bCs w:val="0"/>
          <w:color w:val="000000" w:themeColor="text1"/>
          <w:sz w:val="21"/>
          <w:szCs w:val="21"/>
          <w14:textFill>
            <w14:solidFill>
              <w14:schemeClr w14:val="tx1"/>
            </w14:solidFill>
          </w14:textFill>
        </w:rPr>
        <w:t>）公司管理制度及质量保障措施完善</w:t>
      </w:r>
      <w:r>
        <w:rPr>
          <w:rFonts w:hint="eastAsia" w:hAnsi="宋体" w:cs="宋体"/>
          <w:b w:val="0"/>
          <w:bCs w:val="0"/>
          <w:color w:val="000000" w:themeColor="text1"/>
          <w:sz w:val="21"/>
          <w:szCs w:val="21"/>
          <w:lang w:eastAsia="zh-CN"/>
          <w14:textFill>
            <w14:solidFill>
              <w14:schemeClr w14:val="tx1"/>
            </w14:solidFill>
          </w14:textFill>
        </w:rPr>
        <w:t>。</w:t>
      </w:r>
    </w:p>
    <w:p>
      <w:pPr>
        <w:pStyle w:val="25"/>
        <w:numPr>
          <w:ilvl w:val="0"/>
          <w:numId w:val="0"/>
        </w:numPr>
        <w:spacing w:line="360" w:lineRule="auto"/>
        <w:ind w:left="420" w:leftChars="0"/>
        <w:jc w:val="left"/>
        <w:rPr>
          <w:rFonts w:hint="eastAsia" w:ascii="宋体" w:hAnsi="宋体" w:eastAsia="宋体" w:cs="宋体"/>
          <w:b w:val="0"/>
          <w:bCs w:val="0"/>
          <w:color w:val="000000" w:themeColor="text1"/>
          <w:kern w:val="0"/>
          <w:sz w:val="21"/>
          <w:szCs w:val="21"/>
          <w14:textFill>
            <w14:solidFill>
              <w14:schemeClr w14:val="tx1"/>
            </w14:solidFill>
          </w14:textFill>
        </w:rPr>
      </w:pPr>
    </w:p>
    <w:p>
      <w:pPr>
        <w:pStyle w:val="25"/>
        <w:numPr>
          <w:ilvl w:val="0"/>
          <w:numId w:val="0"/>
        </w:numPr>
        <w:spacing w:line="360" w:lineRule="auto"/>
        <w:ind w:left="420" w:leftChars="0"/>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3、</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商务</w:t>
      </w:r>
      <w:r>
        <w:rPr>
          <w:rFonts w:hint="eastAsia" w:ascii="宋体" w:hAnsi="宋体" w:eastAsia="宋体" w:cs="宋体"/>
          <w:b w:val="0"/>
          <w:bCs w:val="0"/>
          <w:color w:val="000000" w:themeColor="text1"/>
          <w:kern w:val="0"/>
          <w:sz w:val="21"/>
          <w:szCs w:val="21"/>
          <w14:textFill>
            <w14:solidFill>
              <w14:schemeClr w14:val="tx1"/>
            </w14:solidFill>
          </w14:textFill>
        </w:rPr>
        <w:t>分………………………………………………………………………</w:t>
      </w:r>
      <w:r>
        <w:rPr>
          <w:rFonts w:hint="eastAsia" w:hAnsi="宋体" w:cs="宋体"/>
          <w:b w:val="0"/>
          <w:bCs w:val="0"/>
          <w:color w:val="000000" w:themeColor="text1"/>
          <w:kern w:val="0"/>
          <w:sz w:val="21"/>
          <w:szCs w:val="21"/>
          <w:lang w:val="en-US" w:eastAsia="zh-CN"/>
          <w14:textFill>
            <w14:solidFill>
              <w14:schemeClr w14:val="tx1"/>
            </w14:solidFill>
          </w14:textFill>
        </w:rPr>
        <w:t>20</w:t>
      </w:r>
      <w:r>
        <w:rPr>
          <w:rFonts w:hint="eastAsia" w:ascii="宋体" w:hAnsi="宋体" w:eastAsia="宋体" w:cs="宋体"/>
          <w:b w:val="0"/>
          <w:bCs w:val="0"/>
          <w:color w:val="000000" w:themeColor="text1"/>
          <w:kern w:val="0"/>
          <w:sz w:val="21"/>
          <w:szCs w:val="21"/>
          <w14:textFill>
            <w14:solidFill>
              <w14:schemeClr w14:val="tx1"/>
            </w14:solidFill>
          </w14:textFill>
        </w:rPr>
        <w:t>分</w:t>
      </w:r>
    </w:p>
    <w:p>
      <w:pPr>
        <w:widowControl/>
        <w:spacing w:line="360" w:lineRule="auto"/>
        <w:ind w:firstLine="420" w:firstLineChars="200"/>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1）</w:t>
      </w:r>
      <w:r>
        <w:rPr>
          <w:rFonts w:hint="eastAsia" w:ascii="宋体" w:hAnsi="宋体" w:eastAsia="宋体" w:cs="宋体"/>
          <w:b w:val="0"/>
          <w:bCs w:val="0"/>
          <w:color w:val="000000" w:themeColor="text1"/>
          <w:kern w:val="0"/>
          <w:sz w:val="21"/>
          <w:szCs w:val="21"/>
          <w14:textFill>
            <w14:solidFill>
              <w14:schemeClr w14:val="tx1"/>
            </w14:solidFill>
          </w14:textFill>
        </w:rPr>
        <w:t>供应商具有工程咨询单位甲级资信证书</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PPP咨询专项资信</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的得</w:t>
      </w:r>
      <w:r>
        <w:rPr>
          <w:rFonts w:hint="eastAsia" w:ascii="宋体" w:hAnsi="宋体" w:cs="宋体"/>
          <w:b w:val="0"/>
          <w:bCs w:val="0"/>
          <w:color w:val="000000" w:themeColor="text1"/>
          <w:kern w:val="0"/>
          <w:sz w:val="21"/>
          <w:szCs w:val="21"/>
          <w:lang w:val="en-US" w:eastAsia="zh-CN"/>
          <w14:textFill>
            <w14:solidFill>
              <w14:schemeClr w14:val="tx1"/>
            </w14:solidFill>
          </w14:textFill>
        </w:rPr>
        <w:t>1</w:t>
      </w:r>
      <w:r>
        <w:rPr>
          <w:rFonts w:hint="eastAsia" w:ascii="宋体" w:hAnsi="宋体" w:eastAsia="宋体" w:cs="宋体"/>
          <w:b w:val="0"/>
          <w:bCs w:val="0"/>
          <w:color w:val="000000" w:themeColor="text1"/>
          <w:kern w:val="0"/>
          <w:sz w:val="21"/>
          <w:szCs w:val="21"/>
          <w14:textFill>
            <w14:solidFill>
              <w14:schemeClr w14:val="tx1"/>
            </w14:solidFill>
          </w14:textFill>
        </w:rPr>
        <w:t>分</w:t>
      </w:r>
      <w:r>
        <w:rPr>
          <w:rFonts w:hint="eastAsia" w:ascii="宋体" w:hAnsi="宋体" w:eastAsia="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具有工程咨询单位甲级资信证书</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综合资信</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的得</w:t>
      </w:r>
      <w:r>
        <w:rPr>
          <w:rFonts w:hint="eastAsia" w:ascii="宋体" w:hAnsi="宋体" w:cs="宋体"/>
          <w:b w:val="0"/>
          <w:bCs w:val="0"/>
          <w:color w:val="000000" w:themeColor="text1"/>
          <w:kern w:val="0"/>
          <w:sz w:val="21"/>
          <w:szCs w:val="21"/>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14:textFill>
            <w14:solidFill>
              <w14:schemeClr w14:val="tx1"/>
            </w14:solidFill>
          </w14:textFill>
        </w:rPr>
        <w:t>分</w:t>
      </w:r>
      <w:r>
        <w:rPr>
          <w:rFonts w:hint="eastAsia" w:ascii="宋体" w:hAnsi="宋体" w:eastAsia="宋体" w:cs="宋体"/>
          <w:b w:val="0"/>
          <w:bCs w:val="0"/>
          <w:color w:val="000000" w:themeColor="text1"/>
          <w:kern w:val="0"/>
          <w:sz w:val="21"/>
          <w:szCs w:val="21"/>
          <w:lang w:eastAsia="zh-CN"/>
          <w14:textFill>
            <w14:solidFill>
              <w14:schemeClr w14:val="tx1"/>
            </w14:solidFill>
          </w14:textFill>
        </w:rPr>
        <w:t>（满分</w:t>
      </w:r>
      <w:r>
        <w:rPr>
          <w:rFonts w:hint="eastAsia" w:ascii="宋体" w:hAnsi="宋体" w:cs="宋体"/>
          <w:b w:val="0"/>
          <w:bCs w:val="0"/>
          <w:color w:val="000000" w:themeColor="text1"/>
          <w:kern w:val="0"/>
          <w:sz w:val="21"/>
          <w:szCs w:val="21"/>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分</w:t>
      </w:r>
      <w:r>
        <w:rPr>
          <w:rFonts w:hint="eastAsia" w:ascii="宋体" w:hAnsi="宋体" w:eastAsia="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w:t>
      </w:r>
    </w:p>
    <w:p>
      <w:pPr>
        <w:widowControl/>
        <w:spacing w:line="360" w:lineRule="auto"/>
        <w:ind w:firstLine="420" w:firstLineChars="200"/>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2）供应商自2017年1月1日至投标截止时间止获得过国家专业委员会、国家级刊物或国家级网站颁发的优秀PPP咨询机构奖项一次得1分（满分1分）。</w:t>
      </w:r>
    </w:p>
    <w:p>
      <w:pPr>
        <w:widowControl/>
        <w:spacing w:line="360" w:lineRule="auto"/>
        <w:ind w:firstLine="420" w:firstLineChars="200"/>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3）2017年1月1日至今（委托合同签订时间为准）完成的PPP项目全过程咨询业绩（至少包含可行性研究报告编制、实施方案、财政承受能力论证报告、物有所值报告、社会资本采购）中，每具有一个进入执行阶段的得</w:t>
      </w:r>
      <w:r>
        <w:rPr>
          <w:rFonts w:hint="eastAsia" w:ascii="宋体" w:hAnsi="宋体" w:cs="宋体"/>
          <w:b w:val="0"/>
          <w:bCs w:val="0"/>
          <w:color w:val="000000" w:themeColor="text1"/>
          <w:kern w:val="0"/>
          <w:sz w:val="21"/>
          <w:szCs w:val="21"/>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分</w:t>
      </w:r>
      <w:r>
        <w:rPr>
          <w:rFonts w:hint="eastAsia" w:ascii="宋体" w:hAnsi="宋体" w:cs="宋体"/>
          <w:b w:val="0"/>
          <w:bCs w:val="0"/>
          <w:color w:val="000000" w:themeColor="text1"/>
          <w:kern w:val="0"/>
          <w:sz w:val="21"/>
          <w:szCs w:val="21"/>
          <w:lang w:val="en-US" w:eastAsia="zh-CN"/>
          <w14:textFill>
            <w14:solidFill>
              <w14:schemeClr w14:val="tx1"/>
            </w14:solidFill>
          </w14:textFill>
        </w:rPr>
        <w:t>（满分6分）</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。（提供咨询合同复印件，财政部政府和社会资本合作中心网站体现进入“执行阶段”的截图并加盖公章）</w:t>
      </w:r>
    </w:p>
    <w:p>
      <w:pPr>
        <w:widowControl/>
        <w:spacing w:line="360" w:lineRule="auto"/>
        <w:ind w:firstLine="420" w:firstLineChars="200"/>
        <w:jc w:val="left"/>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4）2017年1月1日至</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投标截止时间止</w:t>
      </w:r>
      <w:r>
        <w:rPr>
          <w:rFonts w:hint="eastAsia" w:ascii="宋体" w:hAnsi="宋体" w:cs="宋体"/>
          <w:b w:val="0"/>
          <w:bCs w:val="0"/>
          <w:color w:val="000000" w:themeColor="text1"/>
          <w:kern w:val="0"/>
          <w:sz w:val="21"/>
          <w:szCs w:val="21"/>
          <w:lang w:val="en-US" w:eastAsia="zh-CN"/>
          <w14:textFill>
            <w14:solidFill>
              <w14:schemeClr w14:val="tx1"/>
            </w14:solidFill>
          </w14:textFill>
        </w:rPr>
        <w:t>（以委托合同签订时间为准）承接过的PPP项目咨询业绩中，每具有一个财政部示范项目且已进入执行阶段项目得2.5分（满分5分）。（提供咨询合同复印件、财政部政府和社会资本合作中心网站体现“项目示范级别/批次”的截图并加盖公章）</w:t>
      </w:r>
    </w:p>
    <w:p>
      <w:pPr>
        <w:widowControl/>
        <w:spacing w:line="360" w:lineRule="auto"/>
        <w:ind w:firstLine="420" w:firstLineChars="200"/>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以上业绩不能重复计分，</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必须提供服务合同且服务内容必须包含有物有所值评价、财政承受能力论证、PPP实施方案等服务内容，否则不得分】</w:t>
      </w:r>
    </w:p>
    <w:p>
      <w:pPr>
        <w:widowControl/>
        <w:numPr>
          <w:ilvl w:val="0"/>
          <w:numId w:val="13"/>
        </w:numPr>
        <w:spacing w:line="360" w:lineRule="auto"/>
        <w:ind w:firstLine="420" w:firstLineChars="200"/>
        <w:jc w:val="left"/>
        <w:rPr>
          <w:rFonts w:hint="eastAsia"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人员配备（满分6分）</w:t>
      </w:r>
    </w:p>
    <w:p>
      <w:pPr>
        <w:widowControl/>
        <w:numPr>
          <w:ilvl w:val="-1"/>
          <w:numId w:val="0"/>
        </w:numPr>
        <w:spacing w:line="360" w:lineRule="auto"/>
        <w:ind w:firstLine="420" w:firstLineChars="200"/>
        <w:jc w:val="left"/>
        <w:rPr>
          <w:rFonts w:hint="eastAsia"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①拟担任的项目负责人同时具有市政公用工程专业咨询工程师（投资）执业证书、国家注册造价工程师和高级及以上技术职称的得1分（满分1分）</w:t>
      </w:r>
    </w:p>
    <w:p>
      <w:pPr>
        <w:widowControl/>
        <w:numPr>
          <w:ilvl w:val="-1"/>
          <w:numId w:val="0"/>
        </w:numPr>
        <w:spacing w:line="360" w:lineRule="auto"/>
        <w:ind w:firstLine="420" w:firstLineChars="200"/>
        <w:jc w:val="left"/>
        <w:rPr>
          <w:rFonts w:hint="eastAsia"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②拟投入本项目的技术负责人具有咨询工程师（投资）执业证书且负责过已落地PPP项目业绩的，每有一个得1分（满分1分）（业绩须提供咨询合同复印件和社会资本方采购公告网页截图，合同不能体现技术负责人姓名的需由委托方出具相关证明材料并加盖公章）。</w:t>
      </w:r>
    </w:p>
    <w:p>
      <w:pPr>
        <w:widowControl/>
        <w:numPr>
          <w:ilvl w:val="-1"/>
          <w:numId w:val="0"/>
        </w:numPr>
        <w:spacing w:line="360" w:lineRule="auto"/>
        <w:ind w:firstLine="420" w:firstLineChars="200"/>
        <w:jc w:val="left"/>
        <w:rPr>
          <w:rFonts w:hint="default"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③拟投入人员中具有国家发改委及财政部PPP双库专家的，每有一个得1分（满分1分）；拟投入人员中具有国家发改委或财政部PPP专家的，每有一个得0.5分（满分1分）；拟投入人员中同时具有咨询工程师（投资）执业证书和高级及以上技术职称的每人得0.5分（满分2分）</w:t>
      </w:r>
    </w:p>
    <w:p>
      <w:pPr>
        <w:pStyle w:val="30"/>
        <w:numPr>
          <w:ilvl w:val="0"/>
          <w:numId w:val="0"/>
        </w:numPr>
        <w:ind w:left="105" w:leftChars="0"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注：以上拟投入人员不可重复计分。</w:t>
      </w:r>
    </w:p>
    <w:p>
      <w:pPr>
        <w:widowControl/>
        <w:spacing w:line="360" w:lineRule="auto"/>
        <w:ind w:firstLine="422" w:firstLineChars="200"/>
        <w:jc w:val="left"/>
        <w:rPr>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总得分</w:t>
      </w:r>
      <w:r>
        <w:rPr>
          <w:rFonts w:ascii="宋体" w:hAnsi="宋体" w:cs="宋体"/>
          <w:b/>
          <w:bCs/>
          <w:color w:val="000000" w:themeColor="text1"/>
          <w:kern w:val="0"/>
          <w14:textFill>
            <w14:solidFill>
              <w14:schemeClr w14:val="tx1"/>
            </w14:solidFill>
          </w14:textFill>
        </w:rPr>
        <w:t>=1+2</w:t>
      </w:r>
      <w:r>
        <w:rPr>
          <w:rFonts w:hint="eastAsia" w:ascii="宋体" w:hAnsi="宋体" w:cs="宋体"/>
          <w:b/>
          <w:bCs/>
          <w:color w:val="000000" w:themeColor="text1"/>
          <w:kern w:val="0"/>
          <w:lang w:val="en-US" w:eastAsia="zh-CN"/>
          <w14:textFill>
            <w14:solidFill>
              <w14:schemeClr w14:val="tx1"/>
            </w14:solidFill>
          </w14:textFill>
        </w:rPr>
        <w:t>+3</w:t>
      </w:r>
      <w:r>
        <w:rPr>
          <w:rFonts w:hint="eastAsia" w:ascii="宋体" w:hAnsi="宋体" w:cs="宋体"/>
          <w:b/>
          <w:bCs/>
          <w:color w:val="000000" w:themeColor="text1"/>
          <w:kern w:val="0"/>
          <w14:textFill>
            <w14:solidFill>
              <w14:schemeClr w14:val="tx1"/>
            </w14:solidFill>
          </w14:textFill>
        </w:rPr>
        <w:t>。</w:t>
      </w:r>
    </w:p>
    <w:p>
      <w:pPr>
        <w:spacing w:line="400" w:lineRule="exact"/>
        <w:ind w:firstLine="413" w:firstLineChars="196"/>
        <w:rPr>
          <w:rFonts w:ascii="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三、成交候选供应商推荐原则</w:t>
      </w:r>
    </w:p>
    <w:p>
      <w:pPr>
        <w:spacing w:line="400" w:lineRule="exact"/>
        <w:ind w:firstLine="411" w:firstLineChars="196"/>
        <w:rPr>
          <w:rFonts w:hint="eastAsia"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评标委员会将根据得分由高到低排列次序</w:t>
      </w:r>
      <w:r>
        <w:rPr>
          <w:rFonts w:ascii="宋体" w:cs="宋体"/>
          <w:color w:val="000000" w:themeColor="text1"/>
          <w:kern w:val="0"/>
          <w14:textFill>
            <w14:solidFill>
              <w14:schemeClr w14:val="tx1"/>
            </w14:solidFill>
          </w14:textFill>
        </w:rPr>
        <w:t>(</w:t>
      </w:r>
      <w:r>
        <w:rPr>
          <w:rFonts w:hint="eastAsia" w:ascii="宋体" w:cs="宋体"/>
          <w:color w:val="000000" w:themeColor="text1"/>
          <w:kern w:val="0"/>
          <w14:textFill>
            <w14:solidFill>
              <w14:schemeClr w14:val="tx1"/>
            </w14:solidFill>
          </w14:textFill>
        </w:rPr>
        <w:t>得分相同时，以评标报价由低到高排列；得分相同且评标报价相同的，按技术指标优劣顺序排列</w:t>
      </w:r>
      <w:r>
        <w:rPr>
          <w:rFonts w:ascii="宋体" w:cs="宋体"/>
          <w:color w:val="000000" w:themeColor="text1"/>
          <w:kern w:val="0"/>
          <w14:textFill>
            <w14:solidFill>
              <w14:schemeClr w14:val="tx1"/>
            </w14:solidFill>
          </w14:textFill>
        </w:rPr>
        <w:t>)</w:t>
      </w:r>
      <w:r>
        <w:rPr>
          <w:rFonts w:hint="eastAsia" w:ascii="宋体" w:cs="宋体"/>
          <w:color w:val="000000" w:themeColor="text1"/>
          <w:kern w:val="0"/>
          <w14:textFill>
            <w14:solidFill>
              <w14:schemeClr w14:val="tx1"/>
            </w14:solidFill>
          </w14:textFill>
        </w:rPr>
        <w:t>并推荐推荐三名成交候选供应商。采购单位应当确定评审委员会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w:t>
      </w:r>
    </w:p>
    <w:p>
      <w:pPr>
        <w:spacing w:line="400" w:lineRule="exact"/>
        <w:ind w:firstLine="411" w:firstLineChars="196"/>
        <w:rPr>
          <w:rFonts w:ascii="宋体" w:cs="宋体"/>
          <w:color w:val="000000" w:themeColor="text1"/>
          <w:kern w:val="0"/>
          <w14:textFill>
            <w14:solidFill>
              <w14:schemeClr w14:val="tx1"/>
            </w14:solidFill>
          </w14:textFill>
        </w:rPr>
      </w:pPr>
    </w:p>
    <w:p>
      <w:pPr>
        <w:pStyle w:val="41"/>
        <w:spacing w:before="0" w:after="0" w:line="500" w:lineRule="exact"/>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第六章竞争性磋商响应文件（格式）</w:t>
      </w:r>
      <w:bookmarkEnd w:id="52"/>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竞争性磋商响应文件的外包装封面格式：</w:t>
      </w: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jc w:val="center"/>
        <w:rPr>
          <w:rFonts w:asci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竞争性磋商响应文件</w:t>
      </w:r>
    </w:p>
    <w:p>
      <w:pPr>
        <w:rPr>
          <w:rFonts w:ascii="宋体" w:cs="宋体"/>
          <w:color w:val="000000" w:themeColor="text1"/>
          <w:sz w:val="24"/>
          <w:szCs w:val="24"/>
          <w14:textFill>
            <w14:solidFill>
              <w14:schemeClr w14:val="tx1"/>
            </w14:solidFill>
          </w14:textFill>
        </w:rPr>
      </w:pPr>
    </w:p>
    <w:p>
      <w:pPr>
        <w:rPr>
          <w:rFonts w:ascii="宋体" w:cs="宋体"/>
          <w:color w:val="000000" w:themeColor="text1"/>
          <w:sz w:val="24"/>
          <w:szCs w:val="24"/>
          <w14:textFill>
            <w14:solidFill>
              <w14:schemeClr w14:val="tx1"/>
            </w14:solidFill>
          </w14:textFill>
        </w:rPr>
      </w:pPr>
    </w:p>
    <w:p>
      <w:p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p>
      <w:p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w:t>
      </w:r>
    </w:p>
    <w:p>
      <w:p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分标号：</w:t>
      </w:r>
    </w:p>
    <w:p>
      <w:p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p>
    <w:p>
      <w:pPr>
        <w:spacing w:line="48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p>
    <w:p>
      <w:p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（于北京时间年月日时分前不得启封）</w:t>
      </w: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竞争性磋商响应文件封面格式：</w:t>
      </w: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（正</w:t>
      </w:r>
      <w:r>
        <w:rPr>
          <w:rFonts w:ascii="宋体" w:hAnsi="宋体" w:cs="宋体"/>
          <w:color w:val="000000" w:themeColor="text1"/>
          <w:sz w:val="24"/>
          <w:szCs w:val="24"/>
          <w14:textFill>
            <w14:solidFill>
              <w14:schemeClr w14:val="tx1"/>
            </w14:solidFill>
          </w14:textFill>
        </w:rPr>
        <w:t xml:space="preserve"> / </w:t>
      </w:r>
      <w:r>
        <w:rPr>
          <w:rFonts w:hint="eastAsia" w:ascii="宋体" w:hAnsi="宋体" w:cs="宋体"/>
          <w:color w:val="000000" w:themeColor="text1"/>
          <w:sz w:val="24"/>
          <w:szCs w:val="24"/>
          <w14:textFill>
            <w14:solidFill>
              <w14:schemeClr w14:val="tx1"/>
            </w14:solidFill>
          </w14:textFill>
        </w:rPr>
        <w:t>副本）</w:t>
      </w:r>
    </w:p>
    <w:p>
      <w:pPr>
        <w:jc w:val="right"/>
        <w:rPr>
          <w:rFonts w:ascii="宋体" w:hAnsi="宋体" w:cs="宋体"/>
          <w:color w:val="000000" w:themeColor="text1"/>
          <w:sz w:val="24"/>
          <w:szCs w:val="24"/>
          <w14:textFill>
            <w14:solidFill>
              <w14:schemeClr w14:val="tx1"/>
            </w14:solidFill>
          </w14:textFill>
        </w:rPr>
      </w:pPr>
    </w:p>
    <w:p>
      <w:pPr>
        <w:jc w:val="right"/>
        <w:rPr>
          <w:rFonts w:ascii="宋体" w:hAnsi="宋体" w:cs="宋体"/>
          <w:color w:val="000000" w:themeColor="text1"/>
          <w:sz w:val="24"/>
          <w:szCs w:val="24"/>
          <w14:textFill>
            <w14:solidFill>
              <w14:schemeClr w14:val="tx1"/>
            </w14:solidFill>
          </w14:textFill>
        </w:rPr>
      </w:pPr>
    </w:p>
    <w:p>
      <w:pPr>
        <w:jc w:val="right"/>
        <w:rPr>
          <w:rFonts w:ascii="宋体" w:hAnsi="宋体" w:cs="宋体"/>
          <w:color w:val="000000" w:themeColor="text1"/>
          <w:sz w:val="24"/>
          <w:szCs w:val="24"/>
          <w14:textFill>
            <w14:solidFill>
              <w14:schemeClr w14:val="tx1"/>
            </w14:solidFill>
          </w14:textFill>
        </w:rPr>
      </w:pPr>
    </w:p>
    <w:p>
      <w:pPr>
        <w:jc w:val="right"/>
        <w:rPr>
          <w:rFonts w:ascii="宋体" w:hAnsi="宋体" w:cs="宋体"/>
          <w:color w:val="000000" w:themeColor="text1"/>
          <w:sz w:val="24"/>
          <w:szCs w:val="24"/>
          <w14:textFill>
            <w14:solidFill>
              <w14:schemeClr w14:val="tx1"/>
            </w14:solidFill>
          </w14:textFill>
        </w:rPr>
      </w:pPr>
    </w:p>
    <w:p>
      <w:pPr>
        <w:jc w:val="right"/>
        <w:rPr>
          <w:rFonts w:ascii="宋体" w:hAnsi="宋体" w:cs="宋体"/>
          <w:color w:val="000000" w:themeColor="text1"/>
          <w:sz w:val="24"/>
          <w:szCs w:val="24"/>
          <w14:textFill>
            <w14:solidFill>
              <w14:schemeClr w14:val="tx1"/>
            </w14:solidFill>
          </w14:textFill>
        </w:rPr>
      </w:pPr>
    </w:p>
    <w:p>
      <w:pPr>
        <w:jc w:val="right"/>
        <w:rPr>
          <w:rFonts w:ascii="宋体" w:hAnsi="宋体" w:cs="宋体"/>
          <w:color w:val="000000" w:themeColor="text1"/>
          <w:sz w:val="24"/>
          <w:szCs w:val="24"/>
          <w14:textFill>
            <w14:solidFill>
              <w14:schemeClr w14:val="tx1"/>
            </w14:solidFill>
          </w14:textFill>
        </w:rPr>
      </w:pPr>
    </w:p>
    <w:p>
      <w:pPr>
        <w:jc w:val="right"/>
        <w:rPr>
          <w:rFonts w:ascii="宋体" w:hAnsi="宋体" w:cs="宋体"/>
          <w:color w:val="000000" w:themeColor="text1"/>
          <w:sz w:val="24"/>
          <w:szCs w:val="24"/>
          <w14:textFill>
            <w14:solidFill>
              <w14:schemeClr w14:val="tx1"/>
            </w14:solidFill>
          </w14:textFill>
        </w:rPr>
      </w:pPr>
    </w:p>
    <w:p>
      <w:pPr>
        <w:jc w:val="right"/>
        <w:rPr>
          <w:rFonts w:ascii="宋体" w:hAnsi="宋体" w:cs="宋体"/>
          <w:color w:val="000000" w:themeColor="text1"/>
          <w:sz w:val="24"/>
          <w:szCs w:val="24"/>
          <w14:textFill>
            <w14:solidFill>
              <w14:schemeClr w14:val="tx1"/>
            </w14:solidFill>
          </w14:textFill>
        </w:rPr>
      </w:pPr>
    </w:p>
    <w:p>
      <w:pPr>
        <w:jc w:val="right"/>
        <w:rPr>
          <w:rFonts w:ascii="宋体" w:hAnsi="宋体" w:cs="宋体"/>
          <w:color w:val="000000" w:themeColor="text1"/>
          <w:sz w:val="24"/>
          <w:szCs w:val="24"/>
          <w14:textFill>
            <w14:solidFill>
              <w14:schemeClr w14:val="tx1"/>
            </w14:solidFill>
          </w14:textFill>
        </w:rPr>
      </w:pPr>
    </w:p>
    <w:p>
      <w:pPr>
        <w:jc w:val="center"/>
        <w:rPr>
          <w:rFonts w:ascii="宋体" w:cs="宋体"/>
          <w:color w:val="000000" w:themeColor="text1"/>
          <w:sz w:val="24"/>
          <w:szCs w:val="2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竞争性磋商响应文件（封面）</w:t>
      </w: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w:t>
      </w:r>
    </w:p>
    <w:p>
      <w:pPr>
        <w:rPr>
          <w:rFonts w:ascii="宋体" w:hAnsi="宋体" w:cs="宋体"/>
          <w:color w:val="000000" w:themeColor="text1"/>
          <w:sz w:val="24"/>
          <w:szCs w:val="24"/>
          <w14:textFill>
            <w14:solidFill>
              <w14:schemeClr w14:val="tx1"/>
            </w14:solidFill>
          </w14:textFill>
        </w:rPr>
      </w:pPr>
    </w:p>
    <w:p>
      <w:p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分标号：</w:t>
      </w: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年月日</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jc w:val="center"/>
        <w:rPr>
          <w:rFonts w:ascii="宋体" w:cs="宋体"/>
          <w:color w:val="000000" w:themeColor="text1"/>
          <w:sz w:val="48"/>
          <w:szCs w:val="48"/>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目录</w:t>
      </w:r>
    </w:p>
    <w:p>
      <w:pPr>
        <w:spacing w:line="420" w:lineRule="exact"/>
        <w:ind w:firstLine="316" w:firstLineChars="150"/>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商务及资格文件</w:t>
      </w:r>
    </w:p>
    <w:p>
      <w:pPr>
        <w:spacing w:line="420" w:lineRule="exact"/>
        <w:ind w:firstLine="315" w:firstLineChars="150"/>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）磋商书；</w:t>
      </w:r>
    </w:p>
    <w:p>
      <w:pPr>
        <w:spacing w:line="420" w:lineRule="exact"/>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磋商</w:t>
      </w:r>
      <w:r>
        <w:rPr>
          <w:rFonts w:hint="eastAsia" w:ascii="宋体" w:hAnsi="宋体" w:cs="宋体"/>
          <w:color w:val="000000" w:themeColor="text1"/>
          <w14:textFill>
            <w14:solidFill>
              <w14:schemeClr w14:val="tx1"/>
            </w14:solidFill>
          </w14:textFill>
        </w:rPr>
        <w:t>报价表；</w:t>
      </w:r>
    </w:p>
    <w:p>
      <w:pPr>
        <w:spacing w:line="420" w:lineRule="exact"/>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）资格证明文件：</w:t>
      </w:r>
    </w:p>
    <w:p>
      <w:pPr>
        <w:spacing w:line="360" w:lineRule="auto"/>
        <w:ind w:firstLine="105" w:firstLineChars="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1）有效的加载社会统一代码的营业执照或事业单位法人证书等主体资格证明副本复印件；</w:t>
      </w:r>
      <w:r>
        <w:rPr>
          <w:rFonts w:hint="eastAsia" w:ascii="宋体" w:hAnsi="宋体" w:cs="宋体"/>
          <w:b/>
          <w:bCs/>
          <w:color w:val="000000" w:themeColor="text1"/>
          <w:kern w:val="0"/>
          <w14:textFill>
            <w14:solidFill>
              <w14:schemeClr w14:val="tx1"/>
            </w14:solidFill>
          </w14:textFill>
        </w:rPr>
        <w:t>（必须提供，加盖公章）</w:t>
      </w:r>
      <w:r>
        <w:rPr>
          <w:rFonts w:hint="eastAsia" w:ascii="宋体" w:hAnsi="宋体" w:cs="宋体"/>
          <w:color w:val="000000" w:themeColor="text1"/>
          <w:kern w:val="0"/>
          <w14:textFill>
            <w14:solidFill>
              <w14:schemeClr w14:val="tx1"/>
            </w14:solidFill>
          </w14:textFill>
        </w:rPr>
        <w:t>；</w:t>
      </w:r>
    </w:p>
    <w:p>
      <w:pPr>
        <w:spacing w:line="360" w:lineRule="auto"/>
        <w:ind w:firstLine="315" w:firstLineChars="1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2）供应商资格声明；</w:t>
      </w:r>
      <w:r>
        <w:rPr>
          <w:rFonts w:hint="eastAsia" w:ascii="宋体" w:hAnsi="宋体" w:cs="宋体"/>
          <w:b/>
          <w:bCs/>
          <w:color w:val="000000" w:themeColor="text1"/>
          <w:kern w:val="0"/>
          <w14:textFill>
            <w14:solidFill>
              <w14:schemeClr w14:val="tx1"/>
            </w14:solidFill>
          </w14:textFill>
        </w:rPr>
        <w:t>（必须提供，加盖公章）</w:t>
      </w:r>
      <w:r>
        <w:rPr>
          <w:rFonts w:hint="eastAsia" w:ascii="宋体" w:hAnsi="宋体" w:cs="宋体"/>
          <w:color w:val="000000" w:themeColor="text1"/>
          <w:kern w:val="0"/>
          <w14:textFill>
            <w14:solidFill>
              <w14:schemeClr w14:val="tx1"/>
            </w14:solidFill>
          </w14:textFill>
        </w:rPr>
        <w:t xml:space="preserve">； </w:t>
      </w:r>
    </w:p>
    <w:p>
      <w:pPr>
        <w:spacing w:line="360" w:lineRule="auto"/>
        <w:ind w:firstLine="315" w:firstLineChars="150"/>
        <w:rPr>
          <w:rFonts w:ascii="宋体" w:hAnsi="宋体" w:cs="宋体"/>
          <w:b/>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3）法定代表人正反面身份证复印件，要求证件有效并与营业执照中的法定代表人相符</w:t>
      </w:r>
      <w:r>
        <w:rPr>
          <w:rFonts w:hint="eastAsia" w:ascii="宋体" w:hAnsi="宋体" w:cs="宋体"/>
          <w:b/>
          <w:bCs/>
          <w:color w:val="000000" w:themeColor="text1"/>
          <w:kern w:val="0"/>
          <w14:textFill>
            <w14:solidFill>
              <w14:schemeClr w14:val="tx1"/>
            </w14:solidFill>
          </w14:textFill>
        </w:rPr>
        <w:t>（必须提供，加盖公章）</w:t>
      </w:r>
    </w:p>
    <w:p>
      <w:pPr>
        <w:spacing w:line="360" w:lineRule="auto"/>
        <w:ind w:firstLine="315" w:firstLineChars="150"/>
        <w:rPr>
          <w:rFonts w:asci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4）法定代表人授权书及委托</w:t>
      </w:r>
      <w:r>
        <w:rPr>
          <w:rFonts w:hint="eastAsia" w:ascii="宋体" w:hAnsi="宋体" w:cs="宋体"/>
          <w:color w:val="000000" w:themeColor="text1"/>
          <w14:textFill>
            <w14:solidFill>
              <w14:schemeClr w14:val="tx1"/>
            </w14:solidFill>
          </w14:textFill>
        </w:rPr>
        <w:t>代理人身份证正反面复印件；</w:t>
      </w:r>
      <w:r>
        <w:rPr>
          <w:rFonts w:hint="eastAsia" w:ascii="宋体" w:hAnsi="宋体" w:cs="宋体"/>
          <w:b/>
          <w:bCs/>
          <w:color w:val="000000" w:themeColor="text1"/>
          <w14:textFill>
            <w14:solidFill>
              <w14:schemeClr w14:val="tx1"/>
            </w14:solidFill>
          </w14:textFill>
        </w:rPr>
        <w:t>（</w:t>
      </w:r>
      <w:r>
        <w:rPr>
          <w:rFonts w:hint="eastAsia" w:hAnsi="宋体"/>
          <w:b/>
          <w:bCs/>
          <w:color w:val="000000" w:themeColor="text1"/>
          <w14:textFill>
            <w14:solidFill>
              <w14:schemeClr w14:val="tx1"/>
            </w14:solidFill>
          </w14:textFill>
        </w:rPr>
        <w:t>委托代理时</w:t>
      </w:r>
      <w:r>
        <w:rPr>
          <w:rFonts w:hint="eastAsia" w:ascii="宋体" w:hAnsi="宋体" w:cs="宋体"/>
          <w:b/>
          <w:bCs/>
          <w:color w:val="000000" w:themeColor="text1"/>
          <w14:textFill>
            <w14:solidFill>
              <w14:schemeClr w14:val="tx1"/>
            </w14:solidFill>
          </w14:textFill>
        </w:rPr>
        <w:t>必须提供，加盖公章）</w:t>
      </w:r>
      <w:r>
        <w:rPr>
          <w:rFonts w:hint="eastAsia" w:ascii="宋体" w:hAnsi="宋体" w:cs="宋体"/>
          <w:color w:val="000000" w:themeColor="text1"/>
          <w14:textFill>
            <w14:solidFill>
              <w14:schemeClr w14:val="tx1"/>
            </w14:solidFill>
          </w14:textFill>
        </w:rPr>
        <w:t>；</w:t>
      </w:r>
    </w:p>
    <w:p>
      <w:pPr>
        <w:spacing w:line="360" w:lineRule="auto"/>
        <w:ind w:firstLine="315" w:firstLineChars="150"/>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5</w:t>
      </w:r>
      <w:r>
        <w:rPr>
          <w:rFonts w:hint="eastAsia" w:cs="宋体"/>
          <w:color w:val="000000" w:themeColor="text1"/>
          <w14:textFill>
            <w14:solidFill>
              <w14:schemeClr w14:val="tx1"/>
            </w14:solidFill>
          </w14:textFill>
        </w:rPr>
        <w:t>）贵港市政府采购项目投标资格承诺函</w:t>
      </w: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供应商认为有必要提供的其它资格证明文件及资料；</w:t>
      </w:r>
    </w:p>
    <w:p>
      <w:pPr>
        <w:spacing w:line="42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技术文件</w:t>
      </w:r>
      <w:r>
        <w:rPr>
          <w:rFonts w:ascii="宋体" w:hAnsi="宋体" w:cs="宋体"/>
          <w:b/>
          <w:bCs/>
          <w:color w:val="000000" w:themeColor="text1"/>
          <w14:textFill>
            <w14:solidFill>
              <w14:schemeClr w14:val="tx1"/>
            </w14:solidFill>
          </w14:textFill>
        </w:rPr>
        <w:tab/>
      </w:r>
    </w:p>
    <w:p>
      <w:pPr>
        <w:rPr>
          <w:rFonts w:ascii="宋体" w:cs="宋体"/>
          <w:b/>
          <w:bCs/>
          <w:color w:val="000000" w:themeColor="text1"/>
          <w:sz w:val="36"/>
          <w:szCs w:val="36"/>
          <w14:textFill>
            <w14:solidFill>
              <w14:schemeClr w14:val="tx1"/>
            </w14:solidFill>
          </w14:textFill>
        </w:rPr>
      </w:pPr>
    </w:p>
    <w:p>
      <w:pPr>
        <w:rPr>
          <w:rFonts w:ascii="宋体" w:cs="宋体"/>
          <w:b/>
          <w:bCs/>
          <w:color w:val="000000" w:themeColor="text1"/>
          <w:sz w:val="36"/>
          <w:szCs w:val="36"/>
          <w14:textFill>
            <w14:solidFill>
              <w14:schemeClr w14:val="tx1"/>
            </w14:solidFill>
          </w14:textFill>
        </w:rPr>
      </w:pPr>
    </w:p>
    <w:p>
      <w:pPr>
        <w:rPr>
          <w:rFonts w:ascii="宋体" w:cs="宋体"/>
          <w:b/>
          <w:bCs/>
          <w:color w:val="000000" w:themeColor="text1"/>
          <w:sz w:val="36"/>
          <w:szCs w:val="36"/>
          <w14:textFill>
            <w14:solidFill>
              <w14:schemeClr w14:val="tx1"/>
            </w14:solidFill>
          </w14:textFill>
        </w:rPr>
      </w:pPr>
    </w:p>
    <w:p>
      <w:pPr>
        <w:rPr>
          <w:rFonts w:ascii="宋体" w:cs="宋体"/>
          <w:b/>
          <w:bCs/>
          <w:color w:val="000000" w:themeColor="text1"/>
          <w:sz w:val="36"/>
          <w:szCs w:val="36"/>
          <w14:textFill>
            <w14:solidFill>
              <w14:schemeClr w14:val="tx1"/>
            </w14:solidFill>
          </w14:textFill>
        </w:rPr>
      </w:pPr>
    </w:p>
    <w:p>
      <w:pPr>
        <w:rPr>
          <w:rFonts w:ascii="宋体" w:cs="宋体"/>
          <w:b/>
          <w:bCs/>
          <w:color w:val="000000" w:themeColor="text1"/>
          <w:sz w:val="36"/>
          <w:szCs w:val="36"/>
          <w14:textFill>
            <w14:solidFill>
              <w14:schemeClr w14:val="tx1"/>
            </w14:solidFill>
          </w14:textFill>
        </w:rPr>
      </w:pPr>
    </w:p>
    <w:p>
      <w:pPr>
        <w:rPr>
          <w:rFonts w:ascii="宋体" w:cs="宋体"/>
          <w:b/>
          <w:bCs/>
          <w:color w:val="000000" w:themeColor="text1"/>
          <w:sz w:val="36"/>
          <w:szCs w:val="36"/>
          <w14:textFill>
            <w14:solidFill>
              <w14:schemeClr w14:val="tx1"/>
            </w14:solidFill>
          </w14:textFill>
        </w:rPr>
      </w:pPr>
    </w:p>
    <w:p>
      <w:pPr>
        <w:pStyle w:val="7"/>
        <w:rPr>
          <w:rFonts w:ascii="宋体" w:cs="宋体"/>
          <w:color w:val="000000" w:themeColor="text1"/>
          <w:sz w:val="36"/>
          <w:szCs w:val="36"/>
          <w14:textFill>
            <w14:solidFill>
              <w14:schemeClr w14:val="tx1"/>
            </w14:solidFill>
          </w14:textFill>
        </w:rPr>
      </w:pPr>
    </w:p>
    <w:p>
      <w:pPr>
        <w:rPr>
          <w:rFonts w:ascii="宋体" w:cs="宋体"/>
          <w:b/>
          <w:bCs/>
          <w:color w:val="000000" w:themeColor="text1"/>
          <w:sz w:val="36"/>
          <w:szCs w:val="36"/>
          <w14:textFill>
            <w14:solidFill>
              <w14:schemeClr w14:val="tx1"/>
            </w14:solidFill>
          </w14:textFill>
        </w:rPr>
      </w:pPr>
    </w:p>
    <w:p>
      <w:pPr>
        <w:pStyle w:val="7"/>
        <w:rPr>
          <w:rFonts w:ascii="宋体" w:cs="宋体"/>
          <w:color w:val="000000" w:themeColor="text1"/>
          <w:sz w:val="36"/>
          <w:szCs w:val="36"/>
          <w14:textFill>
            <w14:solidFill>
              <w14:schemeClr w14:val="tx1"/>
            </w14:solidFill>
          </w14:textFill>
        </w:rPr>
      </w:pPr>
    </w:p>
    <w:p>
      <w:pPr>
        <w:rPr>
          <w:rFonts w:ascii="宋体" w:cs="宋体"/>
          <w:b/>
          <w:bCs/>
          <w:color w:val="000000" w:themeColor="text1"/>
          <w:sz w:val="36"/>
          <w:szCs w:val="36"/>
          <w14:textFill>
            <w14:solidFill>
              <w14:schemeClr w14:val="tx1"/>
            </w14:solidFill>
          </w14:textFill>
        </w:rPr>
      </w:pPr>
    </w:p>
    <w:p>
      <w:pPr>
        <w:pStyle w:val="7"/>
        <w:rPr>
          <w:rFonts w:ascii="宋体" w:cs="宋体"/>
          <w:color w:val="000000" w:themeColor="text1"/>
          <w:sz w:val="36"/>
          <w:szCs w:val="36"/>
          <w14:textFill>
            <w14:solidFill>
              <w14:schemeClr w14:val="tx1"/>
            </w14:solidFill>
          </w14:textFill>
        </w:rPr>
      </w:pPr>
    </w:p>
    <w:p>
      <w:pPr>
        <w:rPr>
          <w:rFonts w:ascii="宋体" w:cs="宋体"/>
          <w:color w:val="000000" w:themeColor="text1"/>
          <w:sz w:val="36"/>
          <w:szCs w:val="36"/>
          <w14:textFill>
            <w14:solidFill>
              <w14:schemeClr w14:val="tx1"/>
            </w14:solidFill>
          </w14:textFill>
        </w:rPr>
      </w:pPr>
    </w:p>
    <w:p>
      <w:pPr>
        <w:pStyle w:val="30"/>
        <w:rPr>
          <w:rFonts w:ascii="宋体" w:cs="宋体"/>
          <w:color w:val="000000" w:themeColor="text1"/>
          <w:sz w:val="36"/>
          <w:szCs w:val="36"/>
          <w14:textFill>
            <w14:solidFill>
              <w14:schemeClr w14:val="tx1"/>
            </w14:solidFill>
          </w14:textFill>
        </w:rPr>
      </w:pPr>
    </w:p>
    <w:p>
      <w:pPr>
        <w:pStyle w:val="30"/>
        <w:rPr>
          <w:rFonts w:ascii="宋体" w:cs="宋体"/>
          <w:color w:val="000000" w:themeColor="text1"/>
          <w:sz w:val="36"/>
          <w:szCs w:val="36"/>
          <w14:textFill>
            <w14:solidFill>
              <w14:schemeClr w14:val="tx1"/>
            </w14:solidFill>
          </w14:textFill>
        </w:rPr>
      </w:pPr>
    </w:p>
    <w:p>
      <w:pPr>
        <w:pStyle w:val="30"/>
        <w:rPr>
          <w:rFonts w:ascii="宋体" w:cs="宋体"/>
          <w:color w:val="000000" w:themeColor="text1"/>
          <w:sz w:val="36"/>
          <w:szCs w:val="36"/>
          <w14:textFill>
            <w14:solidFill>
              <w14:schemeClr w14:val="tx1"/>
            </w14:solidFill>
          </w14:textFill>
        </w:rPr>
      </w:pPr>
    </w:p>
    <w:p>
      <w:pPr>
        <w:pStyle w:val="30"/>
        <w:rPr>
          <w:rFonts w:ascii="宋体" w:cs="宋体"/>
          <w:color w:val="000000" w:themeColor="text1"/>
          <w:sz w:val="36"/>
          <w:szCs w:val="36"/>
          <w14:textFill>
            <w14:solidFill>
              <w14:schemeClr w14:val="tx1"/>
            </w14:solidFill>
          </w14:textFill>
        </w:rPr>
      </w:pPr>
    </w:p>
    <w:p>
      <w:pPr>
        <w:pStyle w:val="30"/>
        <w:rPr>
          <w:rFonts w:ascii="宋体" w:cs="宋体"/>
          <w:color w:val="000000" w:themeColor="text1"/>
          <w:sz w:val="36"/>
          <w:szCs w:val="36"/>
          <w14:textFill>
            <w14:solidFill>
              <w14:schemeClr w14:val="tx1"/>
            </w14:solidFill>
          </w14:textFill>
        </w:rPr>
      </w:pPr>
    </w:p>
    <w:p>
      <w:pPr>
        <w:pStyle w:val="30"/>
        <w:rPr>
          <w:rFonts w:ascii="宋体" w:cs="宋体"/>
          <w:color w:val="000000" w:themeColor="text1"/>
          <w:sz w:val="36"/>
          <w:szCs w:val="36"/>
          <w14:textFill>
            <w14:solidFill>
              <w14:schemeClr w14:val="tx1"/>
            </w14:solidFill>
          </w14:textFill>
        </w:rPr>
      </w:pPr>
    </w:p>
    <w:p>
      <w:pPr>
        <w:pStyle w:val="30"/>
        <w:rPr>
          <w:rFonts w:ascii="宋体" w:cs="宋体"/>
          <w:color w:val="000000" w:themeColor="text1"/>
          <w:sz w:val="36"/>
          <w:szCs w:val="36"/>
          <w14:textFill>
            <w14:solidFill>
              <w14:schemeClr w14:val="tx1"/>
            </w14:solidFill>
          </w14:textFill>
        </w:rPr>
      </w:pPr>
    </w:p>
    <w:p>
      <w:pPr>
        <w:pStyle w:val="30"/>
        <w:rPr>
          <w:rFonts w:ascii="宋体" w:cs="宋体"/>
          <w:color w:val="000000" w:themeColor="text1"/>
          <w:sz w:val="36"/>
          <w:szCs w:val="36"/>
          <w14:textFill>
            <w14:solidFill>
              <w14:schemeClr w14:val="tx1"/>
            </w14:solidFill>
          </w14:textFill>
        </w:rPr>
      </w:pPr>
    </w:p>
    <w:p>
      <w:pPr>
        <w:pStyle w:val="30"/>
        <w:rPr>
          <w:rFonts w:ascii="宋体" w:cs="宋体"/>
          <w:color w:val="000000" w:themeColor="text1"/>
          <w:sz w:val="36"/>
          <w:szCs w:val="36"/>
          <w14:textFill>
            <w14:solidFill>
              <w14:schemeClr w14:val="tx1"/>
            </w14:solidFill>
          </w14:textFill>
        </w:rPr>
      </w:pPr>
    </w:p>
    <w:p>
      <w:pPr>
        <w:pStyle w:val="30"/>
        <w:rPr>
          <w:rFonts w:ascii="宋体" w:cs="宋体"/>
          <w:color w:val="000000" w:themeColor="text1"/>
          <w:sz w:val="36"/>
          <w:szCs w:val="36"/>
          <w14:textFill>
            <w14:solidFill>
              <w14:schemeClr w14:val="tx1"/>
            </w14:solidFill>
          </w14:textFill>
        </w:rPr>
      </w:pPr>
    </w:p>
    <w:p>
      <w:pPr>
        <w:pStyle w:val="30"/>
        <w:rPr>
          <w:rFonts w:ascii="宋体" w:cs="宋体"/>
          <w:color w:val="000000" w:themeColor="text1"/>
          <w:sz w:val="36"/>
          <w:szCs w:val="36"/>
          <w14:textFill>
            <w14:solidFill>
              <w14:schemeClr w14:val="tx1"/>
            </w14:solidFill>
          </w14:textFill>
        </w:rPr>
      </w:pPr>
    </w:p>
    <w:p>
      <w:pPr>
        <w:pStyle w:val="7"/>
        <w:rPr>
          <w:rFonts w:ascii="宋体" w:cs="宋体"/>
          <w:color w:val="000000" w:themeColor="text1"/>
          <w:sz w:val="36"/>
          <w:szCs w:val="36"/>
          <w14:textFill>
            <w14:solidFill>
              <w14:schemeClr w14:val="tx1"/>
            </w14:solidFill>
          </w14:textFill>
        </w:rPr>
      </w:pPr>
    </w:p>
    <w:p>
      <w:pPr>
        <w:rPr>
          <w:color w:val="000000" w:themeColor="text1"/>
          <w14:textFill>
            <w14:solidFill>
              <w14:schemeClr w14:val="tx1"/>
            </w14:solidFill>
          </w14:textFill>
        </w:rPr>
      </w:pPr>
    </w:p>
    <w:p>
      <w:pPr>
        <w:jc w:val="center"/>
        <w:rPr>
          <w:rFonts w:asci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商务及资格文件</w:t>
      </w:r>
    </w:p>
    <w:p>
      <w:pPr>
        <w:jc w:val="center"/>
        <w:rPr>
          <w:rFonts w:ascii="宋体" w:cs="宋体"/>
          <w:b/>
          <w:bCs/>
          <w:color w:val="000000" w:themeColor="text1"/>
          <w:sz w:val="36"/>
          <w:szCs w:val="36"/>
          <w14:textFill>
            <w14:solidFill>
              <w14:schemeClr w14:val="tx1"/>
            </w14:solidFill>
          </w14:textFill>
        </w:rPr>
      </w:pPr>
    </w:p>
    <w:p>
      <w:pPr>
        <w:jc w:val="center"/>
        <w:rPr>
          <w:rFonts w:ascii="宋体" w:cs="宋体"/>
          <w:b/>
          <w:bCs/>
          <w:color w:val="000000" w:themeColor="text1"/>
          <w:sz w:val="36"/>
          <w:szCs w:val="36"/>
          <w14:textFill>
            <w14:solidFill>
              <w14:schemeClr w14:val="tx1"/>
            </w14:solidFill>
          </w14:textFill>
        </w:rPr>
      </w:pPr>
    </w:p>
    <w:p>
      <w:pPr>
        <w:jc w:val="center"/>
        <w:rPr>
          <w:rFonts w:ascii="宋体" w:cs="宋体"/>
          <w:b/>
          <w:bCs/>
          <w:color w:val="000000" w:themeColor="text1"/>
          <w:sz w:val="36"/>
          <w:szCs w:val="36"/>
          <w14:textFill>
            <w14:solidFill>
              <w14:schemeClr w14:val="tx1"/>
            </w14:solidFill>
          </w14:textFill>
        </w:rPr>
      </w:pPr>
    </w:p>
    <w:p>
      <w:pPr>
        <w:jc w:val="center"/>
        <w:rPr>
          <w:rFonts w:ascii="宋体" w:cs="宋体"/>
          <w:b/>
          <w:bCs/>
          <w:color w:val="000000" w:themeColor="text1"/>
          <w:sz w:val="36"/>
          <w:szCs w:val="36"/>
          <w14:textFill>
            <w14:solidFill>
              <w14:schemeClr w14:val="tx1"/>
            </w14:solidFill>
          </w14:textFill>
        </w:rPr>
      </w:pPr>
    </w:p>
    <w:p>
      <w:pPr>
        <w:jc w:val="center"/>
        <w:rPr>
          <w:rFonts w:ascii="宋体" w:cs="宋体"/>
          <w:b/>
          <w:bCs/>
          <w:color w:val="000000" w:themeColor="text1"/>
          <w:sz w:val="36"/>
          <w:szCs w:val="36"/>
          <w14:textFill>
            <w14:solidFill>
              <w14:schemeClr w14:val="tx1"/>
            </w14:solidFill>
          </w14:textFill>
        </w:rPr>
      </w:pPr>
    </w:p>
    <w:p>
      <w:pPr>
        <w:jc w:val="center"/>
        <w:rPr>
          <w:rFonts w:ascii="宋体" w:cs="宋体"/>
          <w:b/>
          <w:bCs/>
          <w:color w:val="000000" w:themeColor="text1"/>
          <w:sz w:val="36"/>
          <w:szCs w:val="36"/>
          <w14:textFill>
            <w14:solidFill>
              <w14:schemeClr w14:val="tx1"/>
            </w14:solidFill>
          </w14:textFill>
        </w:rPr>
      </w:pPr>
    </w:p>
    <w:p>
      <w:pPr>
        <w:jc w:val="center"/>
        <w:rPr>
          <w:rFonts w:ascii="宋体" w:cs="宋体"/>
          <w:b/>
          <w:bCs/>
          <w:color w:val="000000" w:themeColor="text1"/>
          <w:sz w:val="36"/>
          <w:szCs w:val="36"/>
          <w14:textFill>
            <w14:solidFill>
              <w14:schemeClr w14:val="tx1"/>
            </w14:solidFill>
          </w14:textFill>
        </w:rPr>
      </w:pPr>
    </w:p>
    <w:p>
      <w:pPr>
        <w:jc w:val="center"/>
        <w:rPr>
          <w:rFonts w:ascii="宋体" w:cs="宋体"/>
          <w:b/>
          <w:bCs/>
          <w:color w:val="000000" w:themeColor="text1"/>
          <w:sz w:val="36"/>
          <w:szCs w:val="36"/>
          <w14:textFill>
            <w14:solidFill>
              <w14:schemeClr w14:val="tx1"/>
            </w14:solidFill>
          </w14:textFill>
        </w:rPr>
      </w:pPr>
    </w:p>
    <w:p>
      <w:pPr>
        <w:jc w:val="center"/>
        <w:rPr>
          <w:rFonts w:ascii="宋体" w:cs="宋体"/>
          <w:b/>
          <w:bCs/>
          <w:color w:val="000000" w:themeColor="text1"/>
          <w:sz w:val="36"/>
          <w:szCs w:val="36"/>
          <w14:textFill>
            <w14:solidFill>
              <w14:schemeClr w14:val="tx1"/>
            </w14:solidFill>
          </w14:textFill>
        </w:rPr>
      </w:pPr>
    </w:p>
    <w:p>
      <w:pPr>
        <w:jc w:val="center"/>
        <w:rPr>
          <w:rFonts w:ascii="宋体" w:cs="宋体"/>
          <w:b/>
          <w:bCs/>
          <w:color w:val="000000" w:themeColor="text1"/>
          <w:sz w:val="36"/>
          <w:szCs w:val="36"/>
          <w14:textFill>
            <w14:solidFill>
              <w14:schemeClr w14:val="tx1"/>
            </w14:solidFill>
          </w14:textFill>
        </w:rPr>
      </w:pPr>
      <w:r>
        <w:rPr>
          <w:rFonts w:ascii="宋体" w:cs="宋体"/>
          <w:b/>
          <w:bCs/>
          <w:color w:val="000000" w:themeColor="text1"/>
          <w:sz w:val="36"/>
          <w:szCs w:val="36"/>
          <w14:textFill>
            <w14:solidFill>
              <w14:schemeClr w14:val="tx1"/>
            </w14:solidFill>
          </w14:textFill>
        </w:rPr>
        <w:br w:type="page"/>
      </w:r>
    </w:p>
    <w:p>
      <w:pPr>
        <w:pStyle w:val="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一、磋商书格式</w:t>
      </w: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磋商书</w:t>
      </w:r>
    </w:p>
    <w:p>
      <w:pPr>
        <w:rPr>
          <w:rFonts w:ascii="宋体" w:hAnsi="宋体" w:cs="宋体"/>
          <w:color w:val="000000" w:themeColor="text1"/>
          <w14:textFill>
            <w14:solidFill>
              <w14:schemeClr w14:val="tx1"/>
            </w14:solidFill>
          </w14:textFill>
        </w:rPr>
      </w:pPr>
    </w:p>
    <w:p>
      <w:pPr>
        <w:widowControl/>
        <w:shd w:val="clear" w:color="auto" w:fill="FFFFFF"/>
        <w:spacing w:line="360" w:lineRule="auto"/>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u w:val="single"/>
          <w14:textFill>
            <w14:solidFill>
              <w14:schemeClr w14:val="tx1"/>
            </w14:solidFill>
          </w14:textFill>
        </w:rPr>
        <w:t>（广西建展建设工程管理集团有限公司）</w:t>
      </w:r>
      <w:r>
        <w:rPr>
          <w:rFonts w:hint="eastAsia" w:ascii="宋体" w:hAnsi="宋体" w:cs="宋体"/>
          <w:color w:val="000000" w:themeColor="text1"/>
          <w:kern w:val="0"/>
          <w14:textFill>
            <w14:solidFill>
              <w14:schemeClr w14:val="tx1"/>
            </w14:solidFill>
          </w14:textFill>
        </w:rPr>
        <w:t>：</w:t>
      </w:r>
    </w:p>
    <w:p>
      <w:pPr>
        <w:widowControl/>
        <w:shd w:val="clear" w:color="auto" w:fill="FFFFFF"/>
        <w:spacing w:line="360" w:lineRule="auto"/>
        <w:ind w:firstLine="447" w:firstLineChars="213"/>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依据贵方</w:t>
      </w:r>
      <w:r>
        <w:rPr>
          <w:rFonts w:hint="eastAsia" w:ascii="宋体" w:hAnsi="宋体" w:cs="宋体"/>
          <w:color w:val="000000" w:themeColor="text1"/>
          <w:kern w:val="0"/>
          <w:u w:val="single"/>
          <w14:textFill>
            <w14:solidFill>
              <w14:schemeClr w14:val="tx1"/>
            </w14:solidFill>
          </w14:textFill>
        </w:rPr>
        <w:t>（项目名称</w:t>
      </w:r>
      <w:r>
        <w:rPr>
          <w:rFonts w:ascii="宋体" w:hAnsi="宋体" w:cs="宋体"/>
          <w:color w:val="000000" w:themeColor="text1"/>
          <w:kern w:val="0"/>
          <w:u w:val="single"/>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文件编号）</w:t>
      </w:r>
      <w:r>
        <w:rPr>
          <w:rFonts w:hint="eastAsia" w:ascii="宋体" w:hAnsi="宋体" w:cs="宋体"/>
          <w:color w:val="000000" w:themeColor="text1"/>
          <w:kern w:val="0"/>
          <w14:textFill>
            <w14:solidFill>
              <w14:schemeClr w14:val="tx1"/>
            </w14:solidFill>
          </w14:textFill>
        </w:rPr>
        <w:t>项目采购的磋商邀请，我方</w:t>
      </w:r>
      <w:r>
        <w:rPr>
          <w:rFonts w:hint="eastAsia" w:ascii="宋体" w:hAnsi="宋体" w:cs="宋体"/>
          <w:color w:val="000000" w:themeColor="text1"/>
          <w:kern w:val="0"/>
          <w:u w:val="single"/>
          <w14:textFill>
            <w14:solidFill>
              <w14:schemeClr w14:val="tx1"/>
            </w14:solidFill>
          </w14:textFill>
        </w:rPr>
        <w:t>（姓名和职务）</w:t>
      </w:r>
      <w:r>
        <w:rPr>
          <w:rFonts w:hint="eastAsia" w:ascii="宋体" w:hAnsi="宋体" w:cs="宋体"/>
          <w:color w:val="000000" w:themeColor="text1"/>
          <w:kern w:val="0"/>
          <w14:textFill>
            <w14:solidFill>
              <w14:schemeClr w14:val="tx1"/>
            </w14:solidFill>
          </w14:textFill>
        </w:rPr>
        <w:t>经正式授权并代表供应商</w:t>
      </w:r>
      <w:r>
        <w:rPr>
          <w:rFonts w:hint="eastAsia" w:ascii="宋体" w:hAnsi="宋体" w:cs="宋体"/>
          <w:color w:val="000000" w:themeColor="text1"/>
          <w:kern w:val="0"/>
          <w:u w:val="single"/>
          <w14:textFill>
            <w14:solidFill>
              <w14:schemeClr w14:val="tx1"/>
            </w14:solidFill>
          </w14:textFill>
        </w:rPr>
        <w:t>（供应商名称、地址）</w:t>
      </w:r>
      <w:r>
        <w:rPr>
          <w:rFonts w:hint="eastAsia" w:ascii="宋体" w:hAnsi="宋体" w:cs="宋体"/>
          <w:color w:val="000000" w:themeColor="text1"/>
          <w:kern w:val="0"/>
          <w14:textFill>
            <w14:solidFill>
              <w14:schemeClr w14:val="tx1"/>
            </w14:solidFill>
          </w14:textFill>
        </w:rPr>
        <w:t>提交下述响应文件正本一份，副本</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份，包含下列内容：</w:t>
      </w:r>
    </w:p>
    <w:p>
      <w:pPr>
        <w:widowControl/>
        <w:shd w:val="clear" w:color="auto" w:fill="FFFFFF"/>
        <w:spacing w:line="360" w:lineRule="auto"/>
        <w:ind w:firstLine="447" w:firstLineChars="213"/>
        <w:jc w:val="left"/>
        <w:outlineLvl w:val="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磋商书</w:t>
      </w:r>
    </w:p>
    <w:p>
      <w:pPr>
        <w:widowControl/>
        <w:shd w:val="clear" w:color="auto" w:fill="FFFFFF"/>
        <w:spacing w:line="360" w:lineRule="auto"/>
        <w:ind w:firstLine="447" w:firstLineChars="213"/>
        <w:jc w:val="left"/>
        <w:outlineLvl w:val="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磋商报价表；</w:t>
      </w:r>
    </w:p>
    <w:p>
      <w:pPr>
        <w:widowControl/>
        <w:shd w:val="clear" w:color="auto" w:fill="FFFFFF"/>
        <w:spacing w:line="360" w:lineRule="auto"/>
        <w:ind w:firstLine="447" w:firstLineChars="213"/>
        <w:jc w:val="left"/>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3. </w:t>
      </w:r>
      <w:r>
        <w:rPr>
          <w:rFonts w:hint="eastAsia" w:ascii="宋体" w:hAnsi="宋体" w:cs="宋体"/>
          <w:color w:val="000000" w:themeColor="text1"/>
          <w:kern w:val="0"/>
          <w14:textFill>
            <w14:solidFill>
              <w14:schemeClr w14:val="tx1"/>
            </w14:solidFill>
          </w14:textFill>
        </w:rPr>
        <w:t>资格证明文件；</w:t>
      </w:r>
    </w:p>
    <w:p>
      <w:pPr>
        <w:widowControl/>
        <w:shd w:val="clear" w:color="auto" w:fill="FFFFFF"/>
        <w:spacing w:line="360" w:lineRule="auto"/>
        <w:ind w:firstLine="447" w:firstLineChars="213"/>
        <w:jc w:val="left"/>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4. </w:t>
      </w:r>
      <w:r>
        <w:rPr>
          <w:rFonts w:hint="eastAsia" w:ascii="宋体" w:hAnsi="宋体" w:cs="宋体"/>
          <w:color w:val="000000" w:themeColor="text1"/>
          <w:kern w:val="0"/>
          <w14:textFill>
            <w14:solidFill>
              <w14:schemeClr w14:val="tx1"/>
            </w14:solidFill>
          </w14:textFill>
        </w:rPr>
        <w:t>技术文件；</w:t>
      </w:r>
    </w:p>
    <w:p>
      <w:pPr>
        <w:widowControl/>
        <w:shd w:val="clear" w:color="auto" w:fill="FFFFFF"/>
        <w:spacing w:line="360" w:lineRule="auto"/>
        <w:ind w:firstLine="447" w:firstLineChars="213"/>
        <w:jc w:val="left"/>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5. </w:t>
      </w:r>
      <w:r>
        <w:rPr>
          <w:rFonts w:hint="eastAsia" w:ascii="宋体" w:hAnsi="宋体" w:cs="宋体"/>
          <w:color w:val="000000" w:themeColor="text1"/>
          <w:kern w:val="0"/>
          <w:lang w:eastAsia="zh-CN"/>
          <w14:textFill>
            <w14:solidFill>
              <w14:schemeClr w14:val="tx1"/>
            </w14:solidFill>
          </w14:textFill>
        </w:rPr>
        <w:t>供应商</w:t>
      </w:r>
      <w:r>
        <w:rPr>
          <w:rFonts w:hint="eastAsia" w:ascii="宋体" w:hAnsi="宋体" w:cs="宋体"/>
          <w:color w:val="000000" w:themeColor="text1"/>
          <w:kern w:val="0"/>
          <w14:textFill>
            <w14:solidFill>
              <w14:schemeClr w14:val="tx1"/>
            </w14:solidFill>
          </w14:textFill>
        </w:rPr>
        <w:t>认为有必要提供的其他资料；</w:t>
      </w:r>
    </w:p>
    <w:p>
      <w:pPr>
        <w:widowControl/>
        <w:shd w:val="clear" w:color="auto" w:fill="FFFFFF"/>
        <w:spacing w:line="360" w:lineRule="auto"/>
        <w:ind w:firstLine="447" w:firstLineChars="213"/>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在此，授权代表宣布同意如下：</w:t>
      </w:r>
    </w:p>
    <w:p>
      <w:pPr>
        <w:widowControl/>
        <w:shd w:val="clear" w:color="auto" w:fill="FFFFFF"/>
        <w:spacing w:line="360" w:lineRule="auto"/>
        <w:ind w:firstLine="447" w:firstLineChars="213"/>
        <w:jc w:val="left"/>
        <w:outlineLvl w:val="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1. </w:t>
      </w:r>
      <w:r>
        <w:rPr>
          <w:rFonts w:hint="eastAsia" w:ascii="宋体" w:hAnsi="宋体" w:cs="宋体"/>
          <w:color w:val="000000" w:themeColor="text1"/>
          <w:kern w:val="0"/>
          <w14:textFill>
            <w14:solidFill>
              <w14:schemeClr w14:val="tx1"/>
            </w14:solidFill>
          </w14:textFill>
        </w:rPr>
        <w:t>将按竞争性磋商文件的约定履行合同责任和义务；</w:t>
      </w:r>
    </w:p>
    <w:p>
      <w:pPr>
        <w:widowControl/>
        <w:shd w:val="clear" w:color="auto" w:fill="FFFFFF"/>
        <w:spacing w:line="360" w:lineRule="auto"/>
        <w:ind w:firstLine="447" w:firstLineChars="213"/>
        <w:jc w:val="left"/>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已详细审查全部竞争性磋商文件，包括</w:t>
      </w:r>
      <w:r>
        <w:rPr>
          <w:rFonts w:hint="eastAsia" w:ascii="宋体" w:hAnsi="宋体" w:cs="宋体"/>
          <w:color w:val="000000" w:themeColor="text1"/>
          <w:kern w:val="0"/>
          <w:u w:val="single"/>
          <w14:textFill>
            <w14:solidFill>
              <w14:schemeClr w14:val="tx1"/>
            </w14:solidFill>
          </w14:textFill>
        </w:rPr>
        <w:t>（补遗文件）（如果有的话）</w:t>
      </w:r>
      <w:r>
        <w:rPr>
          <w:rFonts w:hint="eastAsia" w:ascii="宋体" w:hAnsi="宋体" w:cs="宋体"/>
          <w:color w:val="000000" w:themeColor="text1"/>
          <w:kern w:val="0"/>
          <w14:textFill>
            <w14:solidFill>
              <w14:schemeClr w14:val="tx1"/>
            </w14:solidFill>
          </w14:textFill>
        </w:rPr>
        <w:t>；我们完全理解并同意放弃对这方面有不明及误解的权力；</w:t>
      </w:r>
    </w:p>
    <w:p>
      <w:pPr>
        <w:widowControl/>
        <w:shd w:val="clear" w:color="auto" w:fill="FFFFFF"/>
        <w:spacing w:line="360" w:lineRule="auto"/>
        <w:ind w:firstLine="447" w:firstLineChars="213"/>
        <w:jc w:val="left"/>
        <w:outlineLvl w:val="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3. </w:t>
      </w:r>
      <w:r>
        <w:rPr>
          <w:rFonts w:hint="eastAsia" w:ascii="宋体" w:hAnsi="宋体" w:cs="宋体"/>
          <w:color w:val="000000" w:themeColor="text1"/>
          <w:kern w:val="0"/>
          <w14:textFill>
            <w14:solidFill>
              <w14:schemeClr w14:val="tx1"/>
            </w14:solidFill>
          </w14:textFill>
        </w:rPr>
        <w:t>同意提供按照贵方可能要求的与其磋商有关的一切数据或资料；</w:t>
      </w:r>
    </w:p>
    <w:p>
      <w:pPr>
        <w:widowControl/>
        <w:shd w:val="clear" w:color="auto" w:fill="FFFFFF"/>
        <w:spacing w:line="360" w:lineRule="auto"/>
        <w:ind w:firstLine="447" w:firstLineChars="213"/>
        <w:jc w:val="left"/>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4. </w:t>
      </w:r>
      <w:r>
        <w:rPr>
          <w:rFonts w:hint="eastAsia" w:ascii="宋体" w:hAnsi="宋体" w:cs="宋体"/>
          <w:color w:val="000000" w:themeColor="text1"/>
          <w:kern w:val="0"/>
          <w14:textFill>
            <w14:solidFill>
              <w14:schemeClr w14:val="tx1"/>
            </w14:solidFill>
          </w14:textFill>
        </w:rPr>
        <w:t>与本磋商有关的一切正式往来信函请寄：邮政编号：</w:t>
      </w:r>
    </w:p>
    <w:p>
      <w:pPr>
        <w:widowControl/>
        <w:shd w:val="clear" w:color="auto" w:fill="FFFFFF"/>
        <w:spacing w:line="360" w:lineRule="auto"/>
        <w:ind w:firstLine="447" w:firstLineChars="213"/>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电话</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传真：电子函件：</w:t>
      </w:r>
    </w:p>
    <w:p>
      <w:pPr>
        <w:widowControl/>
        <w:shd w:val="clear" w:color="auto" w:fill="FFFFFF"/>
        <w:spacing w:line="360" w:lineRule="auto"/>
        <w:ind w:firstLine="447" w:firstLineChars="213"/>
        <w:jc w:val="left"/>
        <w:rPr>
          <w:rFonts w:ascii="宋体" w:hAnsi="宋体" w:cs="宋体"/>
          <w:color w:val="000000" w:themeColor="text1"/>
          <w:kern w:val="0"/>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法定代表人或被授权人签字或盖章：</w:t>
      </w:r>
    </w:p>
    <w:p>
      <w:pPr>
        <w:widowControl/>
        <w:shd w:val="clear" w:color="auto" w:fill="FFFFFF"/>
        <w:spacing w:line="360" w:lineRule="auto"/>
        <w:ind w:firstLine="447" w:firstLineChars="213"/>
        <w:jc w:val="left"/>
        <w:rPr>
          <w:rFonts w:ascii="宋体" w:hAnsi="宋体" w:cs="宋体"/>
          <w:color w:val="000000" w:themeColor="text1"/>
          <w:kern w:val="0"/>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供应商名称（公章</w:t>
      </w:r>
      <w:r>
        <w:rPr>
          <w:rFonts w:hint="eastAsia" w:ascii="宋体" w:hAnsi="宋体" w:cs="宋体"/>
          <w:color w:val="000000" w:themeColor="text1"/>
          <w:kern w:val="0"/>
          <w:u w:val="none"/>
          <w14:textFill>
            <w14:solidFill>
              <w14:schemeClr w14:val="tx1"/>
            </w14:solidFill>
          </w14:textFill>
        </w:rPr>
        <w:t>）：</w:t>
      </w:r>
    </w:p>
    <w:p>
      <w:pPr>
        <w:widowControl/>
        <w:shd w:val="clear" w:color="auto" w:fill="FFFFFF"/>
        <w:spacing w:line="360" w:lineRule="auto"/>
        <w:ind w:firstLine="447" w:firstLineChars="213"/>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日期：年月日</w:t>
      </w:r>
    </w:p>
    <w:p>
      <w:pPr>
        <w:widowControl/>
        <w:shd w:val="clear" w:color="auto" w:fill="FFFFFF"/>
        <w:spacing w:line="360" w:lineRule="auto"/>
        <w:ind w:firstLine="447" w:firstLineChars="213"/>
        <w:jc w:val="left"/>
        <w:rPr>
          <w:rFonts w:ascii="宋体" w:hAnsi="宋体" w:cs="宋体"/>
          <w:b/>
          <w:bCs/>
          <w:color w:val="000000" w:themeColor="text1"/>
          <w:kern w:val="0"/>
          <w:sz w:val="36"/>
          <w:szCs w:val="36"/>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开户银行：账号</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行号：</w:t>
      </w:r>
    </w:p>
    <w:p>
      <w:pPr>
        <w:autoSpaceDE w:val="0"/>
        <w:autoSpaceDN w:val="0"/>
        <w:adjustRightInd w:val="0"/>
        <w:spacing w:line="460" w:lineRule="exact"/>
        <w:ind w:firstLine="723" w:firstLineChars="200"/>
        <w:jc w:val="center"/>
        <w:rPr>
          <w:rFonts w:ascii="宋体" w:cs="宋体"/>
          <w:b/>
          <w:bCs/>
          <w:color w:val="000000" w:themeColor="text1"/>
          <w:kern w:val="0"/>
          <w:sz w:val="36"/>
          <w:szCs w:val="36"/>
          <w14:textFill>
            <w14:solidFill>
              <w14:schemeClr w14:val="tx1"/>
            </w14:solidFill>
          </w14:textFill>
        </w:rPr>
      </w:pPr>
    </w:p>
    <w:p>
      <w:pPr>
        <w:pStyle w:val="25"/>
        <w:spacing w:before="48" w:after="120" w:line="460" w:lineRule="exact"/>
        <w:ind w:firstLine="420"/>
        <w:rPr>
          <w:rFonts w:cs="Times New Roman"/>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注：未按照本磋商函要求填报的磋商函将被视为非实质性响应磋商，从而导致该磋商被拒绝。</w:t>
      </w:r>
    </w:p>
    <w:p>
      <w:pPr>
        <w:spacing w:line="480" w:lineRule="auto"/>
        <w:jc w:val="center"/>
        <w:rPr>
          <w:rFonts w:ascii="宋体" w:cs="宋体"/>
          <w:color w:val="000000" w:themeColor="text1"/>
          <w:sz w:val="24"/>
          <w:szCs w:val="24"/>
          <w14:textFill>
            <w14:solidFill>
              <w14:schemeClr w14:val="tx1"/>
            </w14:solidFill>
          </w14:textFill>
        </w:rPr>
      </w:pPr>
    </w:p>
    <w:p>
      <w:pPr>
        <w:spacing w:line="480" w:lineRule="auto"/>
        <w:jc w:val="center"/>
        <w:rPr>
          <w:rFonts w:ascii="宋体" w:cs="宋体"/>
          <w:color w:val="000000" w:themeColor="text1"/>
          <w:sz w:val="24"/>
          <w:szCs w:val="24"/>
          <w14:textFill>
            <w14:solidFill>
              <w14:schemeClr w14:val="tx1"/>
            </w14:solidFill>
          </w14:textFill>
        </w:rPr>
      </w:pPr>
    </w:p>
    <w:p>
      <w:pPr>
        <w:spacing w:line="480" w:lineRule="auto"/>
        <w:jc w:val="center"/>
        <w:rPr>
          <w:rFonts w:ascii="宋体" w:cs="宋体"/>
          <w:color w:val="000000" w:themeColor="text1"/>
          <w:sz w:val="24"/>
          <w:szCs w:val="24"/>
          <w14:textFill>
            <w14:solidFill>
              <w14:schemeClr w14:val="tx1"/>
            </w14:solidFill>
          </w14:textFill>
        </w:rPr>
      </w:pPr>
    </w:p>
    <w:p>
      <w:pPr>
        <w:spacing w:line="480" w:lineRule="auto"/>
        <w:jc w:val="center"/>
        <w:rPr>
          <w:rFonts w:ascii="宋体" w:cs="宋体"/>
          <w:color w:val="000000" w:themeColor="text1"/>
          <w:sz w:val="24"/>
          <w:szCs w:val="24"/>
          <w14:textFill>
            <w14:solidFill>
              <w14:schemeClr w14:val="tx1"/>
            </w14:solidFill>
          </w14:textFill>
        </w:rPr>
      </w:pPr>
    </w:p>
    <w:p>
      <w:pPr>
        <w:widowControl/>
        <w:jc w:val="left"/>
        <w:rPr>
          <w:rFonts w:ascii="宋体" w:cs="宋体"/>
          <w:color w:val="000000" w:themeColor="text1"/>
          <w:sz w:val="24"/>
          <w:szCs w:val="24"/>
          <w14:textFill>
            <w14:solidFill>
              <w14:schemeClr w14:val="tx1"/>
            </w14:solidFill>
          </w14:textFill>
        </w:rPr>
      </w:pPr>
      <w:r>
        <w:rPr>
          <w:rFonts w:ascii="宋体" w:cs="宋体"/>
          <w:color w:val="000000" w:themeColor="text1"/>
          <w:sz w:val="24"/>
          <w:szCs w:val="24"/>
          <w14:textFill>
            <w14:solidFill>
              <w14:schemeClr w14:val="tx1"/>
            </w14:solidFill>
          </w14:textFill>
        </w:rPr>
        <w:br w:type="page"/>
      </w:r>
    </w:p>
    <w:p>
      <w:pPr>
        <w:pStyle w:val="7"/>
        <w:rPr>
          <w:rFonts w:hint="eastAsia" w:ascii="宋体" w:hAnsi="宋体" w:cs="宋体"/>
          <w:color w:val="000000" w:themeColor="text1"/>
          <w14:textFill>
            <w14:solidFill>
              <w14:schemeClr w14:val="tx1"/>
            </w14:solidFill>
          </w14:textFill>
        </w:rPr>
      </w:pPr>
    </w:p>
    <w:p>
      <w:pPr>
        <w:pStyle w:val="7"/>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二、磋商报价表格式</w:t>
      </w:r>
    </w:p>
    <w:p>
      <w:pPr>
        <w:pStyle w:val="87"/>
        <w:rPr>
          <w:rFonts w:hAnsi="宋体" w:cs="Times New Roman"/>
          <w:color w:val="000000" w:themeColor="text1"/>
          <w14:textFill>
            <w14:solidFill>
              <w14:schemeClr w14:val="tx1"/>
            </w14:solidFill>
          </w14:textFill>
        </w:rPr>
      </w:pPr>
    </w:p>
    <w:p>
      <w:pPr>
        <w:spacing w:line="500" w:lineRule="exact"/>
        <w:rPr>
          <w:rFonts w:asci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采购编号</w:t>
      </w:r>
      <w:r>
        <w:rPr>
          <w:rFonts w:ascii="宋体" w:hAnsi="宋体" w:cs="宋体"/>
          <w:color w:val="000000" w:themeColor="text1"/>
          <w:sz w:val="24"/>
          <w:szCs w:val="24"/>
          <w14:textFill>
            <w14:solidFill>
              <w14:schemeClr w14:val="tx1"/>
            </w14:solidFill>
          </w14:textFill>
        </w:rPr>
        <w:t>:</w:t>
      </w:r>
    </w:p>
    <w:p>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 xml:space="preserve">  </w:t>
      </w:r>
    </w:p>
    <w:tbl>
      <w:tblPr>
        <w:tblStyle w:val="43"/>
        <w:tblW w:w="9746" w:type="dxa"/>
        <w:jc w:val="center"/>
        <w:tblLayout w:type="fixed"/>
        <w:tblCellMar>
          <w:top w:w="0" w:type="dxa"/>
          <w:left w:w="108" w:type="dxa"/>
          <w:bottom w:w="0" w:type="dxa"/>
          <w:right w:w="108" w:type="dxa"/>
        </w:tblCellMar>
      </w:tblPr>
      <w:tblGrid>
        <w:gridCol w:w="753"/>
        <w:gridCol w:w="3775"/>
        <w:gridCol w:w="3079"/>
        <w:gridCol w:w="2139"/>
      </w:tblGrid>
      <w:tr>
        <w:tblPrEx>
          <w:tblCellMar>
            <w:top w:w="0" w:type="dxa"/>
            <w:left w:w="108" w:type="dxa"/>
            <w:bottom w:w="0" w:type="dxa"/>
            <w:right w:w="108" w:type="dxa"/>
          </w:tblCellMar>
        </w:tblPrEx>
        <w:trPr>
          <w:trHeight w:val="410"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3775" w:type="dxa"/>
            <w:tcBorders>
              <w:top w:val="single" w:color="000000" w:sz="4" w:space="0"/>
              <w:left w:val="nil"/>
              <w:bottom w:val="single" w:color="000000" w:sz="4" w:space="0"/>
              <w:right w:val="single" w:color="000000" w:sz="4" w:space="0"/>
            </w:tcBorders>
            <w:vAlign w:val="center"/>
          </w:tcPr>
          <w:p>
            <w:pPr>
              <w:snapToGrid w:val="0"/>
              <w:spacing w:before="50" w:after="50"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服务项目</w:t>
            </w:r>
          </w:p>
        </w:tc>
        <w:tc>
          <w:tcPr>
            <w:tcW w:w="3079" w:type="dxa"/>
            <w:tcBorders>
              <w:top w:val="single" w:color="000000" w:sz="4" w:space="0"/>
              <w:left w:val="nil"/>
              <w:bottom w:val="single" w:color="000000" w:sz="4" w:space="0"/>
              <w:right w:val="single" w:color="000000" w:sz="4" w:space="0"/>
            </w:tcBorders>
            <w:vAlign w:val="center"/>
          </w:tcPr>
          <w:p>
            <w:pPr>
              <w:snapToGrid w:val="0"/>
              <w:spacing w:before="50" w:after="50"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磋商</w:t>
            </w:r>
            <w:r>
              <w:rPr>
                <w:rFonts w:hint="eastAsia" w:ascii="宋体" w:hAnsi="宋体" w:cs="宋体"/>
                <w:color w:val="000000" w:themeColor="text1"/>
                <w:sz w:val="24"/>
                <w14:textFill>
                  <w14:solidFill>
                    <w14:schemeClr w14:val="tx1"/>
                  </w14:solidFill>
                </w14:textFill>
              </w:rPr>
              <w:t>报价</w:t>
            </w:r>
          </w:p>
        </w:tc>
        <w:tc>
          <w:tcPr>
            <w:tcW w:w="2139" w:type="dxa"/>
            <w:tcBorders>
              <w:top w:val="single" w:color="000000" w:sz="4" w:space="0"/>
              <w:left w:val="nil"/>
              <w:bottom w:val="single" w:color="000000" w:sz="4" w:space="0"/>
              <w:right w:val="single" w:color="000000" w:sz="4" w:space="0"/>
            </w:tcBorders>
            <w:vAlign w:val="center"/>
          </w:tcPr>
          <w:p>
            <w:pPr>
              <w:snapToGrid w:val="0"/>
              <w:spacing w:before="50" w:after="50"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合同履行期限</w:t>
            </w:r>
          </w:p>
        </w:tc>
      </w:tr>
      <w:tr>
        <w:tblPrEx>
          <w:tblCellMar>
            <w:top w:w="0" w:type="dxa"/>
            <w:left w:w="108" w:type="dxa"/>
            <w:bottom w:w="0" w:type="dxa"/>
            <w:right w:w="108" w:type="dxa"/>
          </w:tblCellMar>
        </w:tblPrEx>
        <w:trPr>
          <w:trHeight w:val="1465" w:hRule="atLeast"/>
          <w:jc w:val="center"/>
        </w:trPr>
        <w:tc>
          <w:tcPr>
            <w:tcW w:w="753" w:type="dxa"/>
            <w:tcBorders>
              <w:top w:val="single" w:color="000000" w:sz="4" w:space="0"/>
              <w:left w:val="single" w:color="000000" w:sz="4" w:space="0"/>
              <w:bottom w:val="single" w:color="000000" w:sz="4" w:space="0"/>
              <w:right w:val="single" w:color="000000" w:sz="4" w:space="0"/>
            </w:tcBorders>
          </w:tcPr>
          <w:p>
            <w:pPr>
              <w:snapToGrid w:val="0"/>
              <w:spacing w:before="50" w:after="50"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775" w:type="dxa"/>
            <w:tcBorders>
              <w:top w:val="single" w:color="000000" w:sz="4" w:space="0"/>
              <w:left w:val="nil"/>
              <w:bottom w:val="single" w:color="000000" w:sz="4" w:space="0"/>
              <w:right w:val="single" w:color="000000" w:sz="4" w:space="0"/>
            </w:tcBorders>
          </w:tcPr>
          <w:p>
            <w:pPr>
              <w:snapToGrid w:val="0"/>
              <w:spacing w:before="50" w:after="50" w:line="400" w:lineRule="exact"/>
              <w:jc w:val="center"/>
              <w:rPr>
                <w:rFonts w:ascii="宋体" w:hAnsi="宋体" w:cs="宋体"/>
                <w:color w:val="000000" w:themeColor="text1"/>
                <w:sz w:val="24"/>
                <w14:textFill>
                  <w14:solidFill>
                    <w14:schemeClr w14:val="tx1"/>
                  </w14:solidFill>
                </w14:textFill>
              </w:rPr>
            </w:pPr>
          </w:p>
        </w:tc>
        <w:tc>
          <w:tcPr>
            <w:tcW w:w="3079" w:type="dxa"/>
            <w:tcBorders>
              <w:top w:val="single" w:color="000000" w:sz="4" w:space="0"/>
              <w:left w:val="nil"/>
              <w:bottom w:val="single" w:color="000000" w:sz="4" w:space="0"/>
              <w:right w:val="single" w:color="000000" w:sz="4" w:space="0"/>
            </w:tcBorders>
            <w:vAlign w:val="center"/>
          </w:tcPr>
          <w:p>
            <w:pPr>
              <w:snapToGrid w:val="0"/>
              <w:spacing w:before="50" w:after="50" w:line="400" w:lineRule="exact"/>
              <w:jc w:val="center"/>
              <w:rPr>
                <w:rFonts w:ascii="宋体" w:hAnsi="宋体" w:cs="宋体"/>
                <w:color w:val="000000" w:themeColor="text1"/>
                <w:sz w:val="24"/>
                <w:u w:val="single"/>
                <w14:textFill>
                  <w14:solidFill>
                    <w14:schemeClr w14:val="tx1"/>
                  </w14:solidFill>
                </w14:textFill>
              </w:rPr>
            </w:pPr>
          </w:p>
        </w:tc>
        <w:tc>
          <w:tcPr>
            <w:tcW w:w="2139" w:type="dxa"/>
            <w:tcBorders>
              <w:top w:val="single" w:color="000000" w:sz="4" w:space="0"/>
              <w:left w:val="nil"/>
              <w:bottom w:val="single" w:color="000000" w:sz="4" w:space="0"/>
              <w:right w:val="single" w:color="000000" w:sz="4" w:space="0"/>
            </w:tcBorders>
            <w:vAlign w:val="center"/>
          </w:tcPr>
          <w:p>
            <w:pPr>
              <w:snapToGrid w:val="0"/>
              <w:spacing w:before="50" w:after="50" w:line="400" w:lineRule="exact"/>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54" w:hRule="atLeast"/>
          <w:jc w:val="center"/>
        </w:trPr>
        <w:tc>
          <w:tcPr>
            <w:tcW w:w="9746" w:type="dxa"/>
            <w:gridSpan w:val="4"/>
            <w:tcBorders>
              <w:top w:val="single" w:color="000000" w:sz="4" w:space="0"/>
              <w:left w:val="single" w:color="000000" w:sz="4" w:space="0"/>
              <w:bottom w:val="single" w:color="000000" w:sz="4" w:space="0"/>
              <w:right w:val="single" w:color="000000" w:sz="4" w:space="0"/>
            </w:tcBorders>
          </w:tcPr>
          <w:p>
            <w:pPr>
              <w:snapToGrid w:val="0"/>
              <w:spacing w:before="50" w:after="50"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磋商</w:t>
            </w:r>
            <w:r>
              <w:rPr>
                <w:rFonts w:hint="eastAsia" w:ascii="宋体" w:hAnsi="宋体" w:cs="宋体"/>
                <w:color w:val="000000" w:themeColor="text1"/>
                <w:sz w:val="24"/>
                <w14:textFill>
                  <w14:solidFill>
                    <w14:schemeClr w14:val="tx1"/>
                  </w14:solidFill>
                </w14:textFill>
              </w:rPr>
              <w:t xml:space="preserve">总报价为 </w:t>
            </w:r>
            <w:r>
              <w:rPr>
                <w:rFonts w:hint="eastAsia" w:ascii="宋体" w:hAnsi="宋体" w:cs="宋体"/>
                <w:color w:val="000000" w:themeColor="text1"/>
                <w:sz w:val="24"/>
                <w:u w:val="single"/>
                <w14:textFill>
                  <w14:solidFill>
                    <w14:schemeClr w14:val="tx1"/>
                  </w14:solidFill>
                </w14:textFill>
              </w:rPr>
              <w:t xml:space="preserve">    （大写）   （小写）</w:t>
            </w:r>
          </w:p>
        </w:tc>
      </w:tr>
    </w:tbl>
    <w:p>
      <w:pPr>
        <w:pStyle w:val="7"/>
        <w:rPr>
          <w:rFonts w:ascii="宋体" w:hAnsi="宋体" w:cs="宋体"/>
          <w:color w:val="000000" w:themeColor="text1"/>
          <w:sz w:val="24"/>
          <w:szCs w:val="24"/>
          <w14:textFill>
            <w14:solidFill>
              <w14:schemeClr w14:val="tx1"/>
            </w14:solidFill>
          </w14:textFill>
        </w:rPr>
      </w:pPr>
    </w:p>
    <w:p>
      <w:pPr>
        <w:spacing w:line="500" w:lineRule="exac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、所有价格均用人民币表示，单位为元，精确到个位数。</w:t>
      </w:r>
    </w:p>
    <w:p>
      <w:pPr>
        <w:numPr>
          <w:ilvl w:val="0"/>
          <w:numId w:val="14"/>
        </w:numPr>
        <w:spacing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pPr>
        <w:numPr>
          <w:ilvl w:val="0"/>
          <w:numId w:val="14"/>
        </w:numPr>
        <w:spacing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蹉商报价不能超过项目预算价，蹉商报价超出预算价为无效蹉商。</w:t>
      </w:r>
    </w:p>
    <w:p>
      <w:pPr>
        <w:pStyle w:val="25"/>
        <w:spacing w:line="500" w:lineRule="exact"/>
        <w:rPr>
          <w:rFonts w:hAns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以下为盖章格式：</w:t>
      </w:r>
    </w:p>
    <w:p>
      <w:pPr>
        <w:snapToGrid w:val="0"/>
        <w:spacing w:line="440" w:lineRule="exact"/>
        <w:ind w:firstLine="84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供应商</w:t>
      </w:r>
      <w:r>
        <w:rPr>
          <w:rFonts w:hint="eastAsia" w:ascii="宋体" w:hAnsi="宋体" w:cs="宋体"/>
          <w:color w:val="000000" w:themeColor="text1"/>
          <w14:textFill>
            <w14:solidFill>
              <w14:schemeClr w14:val="tx1"/>
            </w14:solidFill>
          </w14:textFill>
        </w:rPr>
        <w:t>盖章：</w:t>
      </w:r>
      <w:r>
        <w:rPr>
          <w:rFonts w:hint="eastAsia" w:ascii="宋体" w:hAnsi="宋体" w:cs="宋体"/>
          <w:color w:val="000000" w:themeColor="text1"/>
          <w:u w:val="single"/>
          <w14:textFill>
            <w14:solidFill>
              <w14:schemeClr w14:val="tx1"/>
            </w14:solidFill>
          </w14:textFill>
        </w:rPr>
        <w:t>　　    　　</w:t>
      </w:r>
    </w:p>
    <w:p>
      <w:pPr>
        <w:snapToGrid w:val="0"/>
        <w:spacing w:line="440" w:lineRule="exact"/>
        <w:ind w:firstLine="84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法定代表人或委托代理人签字</w:t>
      </w:r>
      <w:r>
        <w:rPr>
          <w:rFonts w:hint="eastAsia" w:ascii="宋体" w:hAnsi="宋体" w:cs="宋体"/>
          <w:color w:val="000000" w:themeColor="text1"/>
          <w:kern w:val="0"/>
          <w14:textFill>
            <w14:solidFill>
              <w14:schemeClr w14:val="tx1"/>
            </w14:solidFill>
          </w14:textFill>
        </w:rPr>
        <w:t>或盖章</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　　    　　</w:t>
      </w:r>
    </w:p>
    <w:p>
      <w:pPr>
        <w:snapToGrid w:val="0"/>
        <w:spacing w:line="600" w:lineRule="exact"/>
        <w:ind w:firstLine="840" w:firstLineChars="4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u w:val="single"/>
          <w14:textFill>
            <w14:solidFill>
              <w14:schemeClr w14:val="tx1"/>
            </w14:solidFill>
          </w14:textFill>
        </w:rPr>
        <w:t>　　    　　</w:t>
      </w:r>
    </w:p>
    <w:p>
      <w:pPr>
        <w:topLinePunct/>
        <w:spacing w:line="500" w:lineRule="exact"/>
        <w:ind w:firstLine="840" w:firstLineChars="400"/>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87"/>
        <w:rPr>
          <w:rFonts w:hAnsi="宋体" w:cs="Times New Roman"/>
          <w:color w:val="000000" w:themeColor="text1"/>
          <w:u w:val="single"/>
          <w14:textFill>
            <w14:solidFill>
              <w14:schemeClr w14:val="tx1"/>
            </w14:solidFill>
          </w14:textFill>
        </w:rPr>
      </w:pPr>
    </w:p>
    <w:p>
      <w:pPr>
        <w:pStyle w:val="87"/>
        <w:rPr>
          <w:rFonts w:hAnsi="宋体" w:cs="Times New Roman"/>
          <w:color w:val="000000" w:themeColor="text1"/>
          <w:u w:val="single"/>
          <w14:textFill>
            <w14:solidFill>
              <w14:schemeClr w14:val="tx1"/>
            </w14:solidFill>
          </w14:textFill>
        </w:rPr>
      </w:pPr>
    </w:p>
    <w:p>
      <w:pPr>
        <w:pStyle w:val="87"/>
        <w:rPr>
          <w:rFonts w:hAnsi="宋体" w:cs="Times New Roman"/>
          <w:color w:val="000000" w:themeColor="text1"/>
          <w:u w:val="single"/>
          <w14:textFill>
            <w14:solidFill>
              <w14:schemeClr w14:val="tx1"/>
            </w14:solidFill>
          </w14:textFill>
        </w:rPr>
      </w:pPr>
    </w:p>
    <w:p>
      <w:pPr>
        <w:rPr>
          <w:rFonts w:ascii="宋体" w:cs="宋体"/>
          <w:color w:val="000000" w:themeColor="text1"/>
          <w14:textFill>
            <w14:solidFill>
              <w14:schemeClr w14:val="tx1"/>
            </w14:solidFill>
          </w14:textFill>
        </w:rPr>
      </w:pPr>
    </w:p>
    <w:p>
      <w:pPr>
        <w:pStyle w:val="7"/>
        <w:rPr>
          <w:rFonts w:ascii="宋体" w:cs="宋体"/>
          <w:color w:val="000000" w:themeColor="text1"/>
          <w14:textFill>
            <w14:solidFill>
              <w14:schemeClr w14:val="tx1"/>
            </w14:solidFill>
          </w14:textFill>
        </w:rPr>
      </w:pPr>
      <w:bookmarkStart w:id="53" w:name="_Toc432088965"/>
      <w:r>
        <w:rPr>
          <w:rFonts w:ascii="宋体" w:cs="宋体"/>
          <w:color w:val="000000" w:themeColor="text1"/>
          <w:sz w:val="32"/>
          <w:szCs w:val="32"/>
          <w14:textFill>
            <w14:solidFill>
              <w14:schemeClr w14:val="tx1"/>
            </w14:solidFill>
          </w14:textFill>
        </w:rPr>
        <w:br w:type="page"/>
      </w:r>
      <w:r>
        <w:rPr>
          <w:rFonts w:hint="eastAsia" w:ascii="宋体" w:hAnsi="宋体" w:cs="宋体"/>
          <w:color w:val="000000" w:themeColor="text1"/>
          <w:sz w:val="32"/>
          <w:szCs w:val="32"/>
          <w14:textFill>
            <w14:solidFill>
              <w14:schemeClr w14:val="tx1"/>
            </w14:solidFill>
          </w14:textFill>
        </w:rPr>
        <w:t>三、</w:t>
      </w:r>
      <w:bookmarkEnd w:id="53"/>
      <w:r>
        <w:rPr>
          <w:rFonts w:hint="eastAsia" w:ascii="宋体" w:hAnsi="宋体" w:cs="宋体"/>
          <w:color w:val="000000" w:themeColor="text1"/>
          <w14:textFill>
            <w14:solidFill>
              <w14:schemeClr w14:val="tx1"/>
            </w14:solidFill>
          </w14:textFill>
        </w:rPr>
        <w:t>资格证明文件</w:t>
      </w:r>
    </w:p>
    <w:p>
      <w:pPr>
        <w:spacing w:line="360" w:lineRule="auto"/>
        <w:ind w:firstLine="105" w:firstLineChars="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（1）有效的加载社会统一代码的营业执照或事业单位法人证书等主体资格证明副本复印件；</w:t>
      </w:r>
      <w:r>
        <w:rPr>
          <w:rFonts w:hint="eastAsia" w:ascii="宋体" w:hAnsi="宋体" w:cs="宋体"/>
          <w:b/>
          <w:bCs/>
          <w:color w:val="000000" w:themeColor="text1"/>
          <w:kern w:val="0"/>
          <w14:textFill>
            <w14:solidFill>
              <w14:schemeClr w14:val="tx1"/>
            </w14:solidFill>
          </w14:textFill>
        </w:rPr>
        <w:t>（必须提供，加盖公章）</w:t>
      </w:r>
      <w:r>
        <w:rPr>
          <w:rFonts w:hint="eastAsia" w:ascii="宋体" w:hAnsi="宋体" w:cs="宋体"/>
          <w:color w:val="000000" w:themeColor="text1"/>
          <w:kern w:val="0"/>
          <w14:textFill>
            <w14:solidFill>
              <w14:schemeClr w14:val="tx1"/>
            </w14:solidFill>
          </w14:textFill>
        </w:rPr>
        <w:t>；</w:t>
      </w:r>
    </w:p>
    <w:p>
      <w:pPr>
        <w:spacing w:line="360" w:lineRule="auto"/>
        <w:ind w:firstLine="105" w:firstLineChars="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（2）供应商资格声明；</w:t>
      </w:r>
      <w:r>
        <w:rPr>
          <w:rFonts w:hint="eastAsia" w:ascii="宋体" w:hAnsi="宋体" w:cs="宋体"/>
          <w:b/>
          <w:bCs/>
          <w:color w:val="000000" w:themeColor="text1"/>
          <w:kern w:val="0"/>
          <w14:textFill>
            <w14:solidFill>
              <w14:schemeClr w14:val="tx1"/>
            </w14:solidFill>
          </w14:textFill>
        </w:rPr>
        <w:t>（必须提供，加盖公章）</w:t>
      </w:r>
      <w:r>
        <w:rPr>
          <w:rFonts w:hint="eastAsia" w:ascii="宋体" w:hAnsi="宋体" w:cs="宋体"/>
          <w:color w:val="000000" w:themeColor="text1"/>
          <w:kern w:val="0"/>
          <w14:textFill>
            <w14:solidFill>
              <w14:schemeClr w14:val="tx1"/>
            </w14:solidFill>
          </w14:textFill>
        </w:rPr>
        <w:t xml:space="preserve">； </w:t>
      </w:r>
    </w:p>
    <w:p>
      <w:pPr>
        <w:spacing w:line="360" w:lineRule="auto"/>
        <w:ind w:firstLine="105" w:firstLineChars="50"/>
        <w:rPr>
          <w:rFonts w:ascii="宋体" w:hAnsi="宋体" w:cs="宋体"/>
          <w:b/>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（3）法定代表人正反面身份证复印件，要求证件有效并与营业执照中的法定代表人相符</w:t>
      </w:r>
      <w:r>
        <w:rPr>
          <w:rFonts w:hint="eastAsia" w:ascii="宋体" w:hAnsi="宋体" w:cs="宋体"/>
          <w:b/>
          <w:bCs/>
          <w:color w:val="000000" w:themeColor="text1"/>
          <w:kern w:val="0"/>
          <w14:textFill>
            <w14:solidFill>
              <w14:schemeClr w14:val="tx1"/>
            </w14:solidFill>
          </w14:textFill>
        </w:rPr>
        <w:t>（必须提供，加盖公章）</w:t>
      </w:r>
    </w:p>
    <w:p>
      <w:pPr>
        <w:spacing w:line="360" w:lineRule="auto"/>
        <w:ind w:firstLine="105" w:firstLineChars="50"/>
        <w:rPr>
          <w:rFonts w:asci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（4）法定代表人授权书及委托</w:t>
      </w:r>
      <w:r>
        <w:rPr>
          <w:rFonts w:hint="eastAsia" w:ascii="宋体" w:hAnsi="宋体" w:cs="宋体"/>
          <w:color w:val="000000" w:themeColor="text1"/>
          <w14:textFill>
            <w14:solidFill>
              <w14:schemeClr w14:val="tx1"/>
            </w14:solidFill>
          </w14:textFill>
        </w:rPr>
        <w:t>代理人身份证正反面复印件；</w:t>
      </w:r>
      <w:r>
        <w:rPr>
          <w:rFonts w:hint="eastAsia" w:ascii="宋体" w:hAnsi="宋体" w:cs="宋体"/>
          <w:b/>
          <w:bCs/>
          <w:color w:val="000000" w:themeColor="text1"/>
          <w14:textFill>
            <w14:solidFill>
              <w14:schemeClr w14:val="tx1"/>
            </w14:solidFill>
          </w14:textFill>
        </w:rPr>
        <w:t>（</w:t>
      </w:r>
      <w:r>
        <w:rPr>
          <w:rFonts w:hint="eastAsia" w:hAnsi="宋体"/>
          <w:b/>
          <w:bCs/>
          <w:color w:val="000000" w:themeColor="text1"/>
          <w14:textFill>
            <w14:solidFill>
              <w14:schemeClr w14:val="tx1"/>
            </w14:solidFill>
          </w14:textFill>
        </w:rPr>
        <w:t>委托代理时</w:t>
      </w:r>
      <w:r>
        <w:rPr>
          <w:rFonts w:hint="eastAsia" w:ascii="宋体" w:hAnsi="宋体" w:cs="宋体"/>
          <w:b/>
          <w:bCs/>
          <w:color w:val="000000" w:themeColor="text1"/>
          <w14:textFill>
            <w14:solidFill>
              <w14:schemeClr w14:val="tx1"/>
            </w14:solidFill>
          </w14:textFill>
        </w:rPr>
        <w:t>必须提供，加盖公章）</w:t>
      </w:r>
      <w:r>
        <w:rPr>
          <w:rFonts w:hint="eastAsia" w:ascii="宋体" w:hAnsi="宋体" w:cs="宋体"/>
          <w:color w:val="000000" w:themeColor="text1"/>
          <w14:textFill>
            <w14:solidFill>
              <w14:schemeClr w14:val="tx1"/>
            </w14:solidFill>
          </w14:textFill>
        </w:rPr>
        <w:t>；</w:t>
      </w:r>
    </w:p>
    <w:p>
      <w:pPr>
        <w:spacing w:line="360" w:lineRule="auto"/>
        <w:ind w:firstLine="105" w:firstLineChars="5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lang w:val="en-US" w:eastAsia="zh-CN"/>
          <w14:textFill>
            <w14:solidFill>
              <w14:schemeClr w14:val="tx1"/>
            </w14:solidFill>
          </w14:textFill>
        </w:rPr>
        <w:t>5</w:t>
      </w:r>
      <w:r>
        <w:rPr>
          <w:rFonts w:hint="eastAsia" w:cs="宋体"/>
          <w:color w:val="000000" w:themeColor="text1"/>
          <w14:textFill>
            <w14:solidFill>
              <w14:schemeClr w14:val="tx1"/>
            </w14:solidFill>
          </w14:textFill>
        </w:rPr>
        <w:t>）贵港市政府采购项目投标资格承诺函</w:t>
      </w:r>
    </w:p>
    <w:p>
      <w:pPr>
        <w:spacing w:line="360" w:lineRule="auto"/>
        <w:ind w:firstLine="105" w:firstLineChars="5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供应商认为有必要提供的其它资格证明文件及资料；</w:t>
      </w:r>
    </w:p>
    <w:p>
      <w:pPr>
        <w:spacing w:line="500" w:lineRule="exact"/>
        <w:ind w:firstLine="720" w:firstLineChars="30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以上材料注明必须提供的，供应商必须按要求提供，否则响应无效。</w:t>
      </w:r>
    </w:p>
    <w:p>
      <w:pPr>
        <w:spacing w:line="500" w:lineRule="exact"/>
        <w:ind w:firstLine="720" w:firstLineChars="300"/>
        <w:rPr>
          <w:rFonts w:ascii="宋体" w:cs="宋体"/>
          <w:color w:val="000000" w:themeColor="text1"/>
          <w:sz w:val="24"/>
          <w:szCs w:val="24"/>
          <w14:textFill>
            <w14:solidFill>
              <w14:schemeClr w14:val="tx1"/>
            </w14:solidFill>
          </w14:textFill>
        </w:rPr>
      </w:pPr>
    </w:p>
    <w:p>
      <w:pPr>
        <w:spacing w:line="500" w:lineRule="exact"/>
        <w:ind w:firstLine="720" w:firstLineChars="300"/>
        <w:rPr>
          <w:rFonts w:ascii="宋体" w:cs="宋体"/>
          <w:color w:val="000000" w:themeColor="text1"/>
          <w:sz w:val="24"/>
          <w:szCs w:val="24"/>
          <w14:textFill>
            <w14:solidFill>
              <w14:schemeClr w14:val="tx1"/>
            </w14:solidFill>
          </w14:textFill>
        </w:rPr>
      </w:pPr>
    </w:p>
    <w:p>
      <w:pPr>
        <w:spacing w:line="500" w:lineRule="exact"/>
        <w:ind w:firstLine="720" w:firstLineChars="300"/>
        <w:rPr>
          <w:rFonts w:ascii="宋体" w:cs="宋体"/>
          <w:color w:val="000000" w:themeColor="text1"/>
          <w:sz w:val="24"/>
          <w:szCs w:val="24"/>
          <w14:textFill>
            <w14:solidFill>
              <w14:schemeClr w14:val="tx1"/>
            </w14:solidFill>
          </w14:textFill>
        </w:rPr>
      </w:pPr>
    </w:p>
    <w:p>
      <w:pPr>
        <w:spacing w:line="500" w:lineRule="exact"/>
        <w:jc w:val="center"/>
        <w:outlineLvl w:val="1"/>
        <w:rPr>
          <w:rFonts w:ascii="宋体" w:cs="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7"/>
        <w:rPr>
          <w:rFonts w:cs="Times New Roman"/>
          <w:color w:val="000000" w:themeColor="text1"/>
          <w14:textFill>
            <w14:solidFill>
              <w14:schemeClr w14:val="tx1"/>
            </w14:solidFill>
          </w14:textFill>
        </w:rPr>
      </w:pPr>
    </w:p>
    <w:p>
      <w:pPr>
        <w:spacing w:line="500" w:lineRule="exact"/>
        <w:rPr>
          <w:rFonts w:hint="eastAsia" w:ascii="宋体" w:hAnsi="宋体" w:cs="宋体"/>
          <w:color w:val="000000" w:themeColor="text1"/>
          <w:sz w:val="40"/>
          <w:szCs w:val="40"/>
          <w14:textFill>
            <w14:solidFill>
              <w14:schemeClr w14:val="tx1"/>
            </w14:solidFill>
          </w14:textFill>
        </w:rPr>
        <w:sectPr>
          <w:footerReference r:id="rId8" w:type="first"/>
          <w:footerReference r:id="rId7" w:type="default"/>
          <w:pgSz w:w="11906" w:h="16838"/>
          <w:pgMar w:top="1134" w:right="1134" w:bottom="1134" w:left="1134" w:header="851" w:footer="567" w:gutter="0"/>
          <w:cols w:space="720" w:num="1"/>
          <w:titlePg/>
          <w:docGrid w:type="lines" w:linePitch="312" w:charSpace="0"/>
        </w:sectPr>
      </w:pPr>
    </w:p>
    <w:p>
      <w:pPr>
        <w:spacing w:line="500" w:lineRule="exact"/>
        <w:rPr>
          <w:rFonts w:ascii="宋体" w:cs="宋体"/>
          <w:color w:val="000000" w:themeColor="text1"/>
          <w:sz w:val="40"/>
          <w:szCs w:val="40"/>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格式：</w:t>
      </w:r>
    </w:p>
    <w:p>
      <w:pPr>
        <w:numPr>
          <w:ilvl w:val="0"/>
          <w:numId w:val="15"/>
        </w:numPr>
        <w:spacing w:line="500" w:lineRule="exact"/>
        <w:jc w:val="center"/>
        <w:outlineLvl w:val="2"/>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有效的加载社会统一代码的营业执照或事业单位法人证书等主体资格证明副本复印件（加盖单位公章，）（格式自拟）</w:t>
      </w:r>
    </w:p>
    <w:p>
      <w:pPr>
        <w:spacing w:line="500" w:lineRule="exact"/>
        <w:rPr>
          <w:rFonts w:ascii="宋体" w:cs="宋体"/>
          <w:color w:val="000000" w:themeColor="text1"/>
          <w:sz w:val="24"/>
          <w:szCs w:val="24"/>
          <w14:textFill>
            <w14:solidFill>
              <w14:schemeClr w14:val="tx1"/>
            </w14:solidFill>
          </w14:textFill>
        </w:rPr>
      </w:pPr>
    </w:p>
    <w:p>
      <w:pPr>
        <w:spacing w:line="500" w:lineRule="exact"/>
        <w:ind w:left="720" w:leftChars="343" w:firstLine="1500" w:firstLineChars="500"/>
        <w:rPr>
          <w:rFonts w:ascii="宋体" w:cs="宋体"/>
          <w:color w:val="000000" w:themeColor="text1"/>
          <w:sz w:val="30"/>
          <w:szCs w:val="30"/>
          <w14:textFill>
            <w14:solidFill>
              <w14:schemeClr w14:val="tx1"/>
            </w14:solidFill>
          </w14:textFill>
        </w:rPr>
      </w:pPr>
    </w:p>
    <w:p>
      <w:pPr>
        <w:spacing w:line="500" w:lineRule="exact"/>
        <w:jc w:val="center"/>
        <w:outlineLvl w:val="2"/>
        <w:rPr>
          <w:rFonts w:ascii="宋体" w:cs="宋体"/>
          <w:color w:val="000000" w:themeColor="text1"/>
          <w:sz w:val="28"/>
          <w:szCs w:val="28"/>
          <w14:textFill>
            <w14:solidFill>
              <w14:schemeClr w14:val="tx1"/>
            </w14:solidFill>
          </w14:textFill>
        </w:rPr>
      </w:pPr>
      <w:bookmarkStart w:id="54" w:name="_Toc432088967"/>
      <w:r>
        <w:rPr>
          <w:rFonts w:ascii="宋体" w:cs="宋体"/>
          <w:color w:val="000000" w:themeColor="text1"/>
          <w:sz w:val="28"/>
          <w:szCs w:val="28"/>
          <w14:textFill>
            <w14:solidFill>
              <w14:schemeClr w14:val="tx1"/>
            </w14:solidFill>
          </w14:textFill>
        </w:rPr>
        <w:br w:type="page"/>
      </w: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、供应商的资格声明</w:t>
      </w:r>
      <w:bookmarkEnd w:id="54"/>
    </w:p>
    <w:p>
      <w:pPr>
        <w:jc w:val="center"/>
        <w:rPr>
          <w:rFonts w:ascii="宋体" w:cs="宋体"/>
          <w:b/>
          <w:bCs/>
          <w:color w:val="000000" w:themeColor="text1"/>
          <w:spacing w:val="2"/>
          <w:kern w:val="0"/>
          <w:sz w:val="32"/>
          <w:szCs w:val="32"/>
          <w14:textFill>
            <w14:solidFill>
              <w14:schemeClr w14:val="tx1"/>
            </w14:solidFill>
          </w14:textFill>
        </w:rPr>
      </w:pPr>
    </w:p>
    <w:tbl>
      <w:tblPr>
        <w:tblStyle w:val="43"/>
        <w:tblW w:w="9164" w:type="dxa"/>
        <w:jc w:val="center"/>
        <w:tblLayout w:type="fixed"/>
        <w:tblCellMar>
          <w:top w:w="0" w:type="dxa"/>
          <w:left w:w="108" w:type="dxa"/>
          <w:bottom w:w="0" w:type="dxa"/>
          <w:right w:w="108" w:type="dxa"/>
        </w:tblCellMar>
      </w:tblPr>
      <w:tblGrid>
        <w:gridCol w:w="1548"/>
        <w:gridCol w:w="900"/>
        <w:gridCol w:w="900"/>
        <w:gridCol w:w="1440"/>
        <w:gridCol w:w="1260"/>
        <w:gridCol w:w="922"/>
        <w:gridCol w:w="2194"/>
      </w:tblGrid>
      <w:tr>
        <w:tblPrEx>
          <w:tblCellMar>
            <w:top w:w="0" w:type="dxa"/>
            <w:left w:w="108" w:type="dxa"/>
            <w:bottom w:w="0" w:type="dxa"/>
            <w:right w:w="108" w:type="dxa"/>
          </w:tblCellMar>
        </w:tblPrEx>
        <w:trPr>
          <w:trHeight w:val="556"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spacing w:val="2"/>
                <w:kern w:val="0"/>
                <w:lang w:eastAsia="zh-CN"/>
                <w14:textFill>
                  <w14:solidFill>
                    <w14:schemeClr w14:val="tx1"/>
                  </w14:solidFill>
                </w14:textFill>
              </w:rPr>
              <w:t>供应商</w:t>
            </w:r>
            <w:r>
              <w:rPr>
                <w:rFonts w:hint="eastAsia" w:ascii="宋体" w:hAnsi="宋体" w:cs="宋体"/>
                <w:color w:val="000000" w:themeColor="text1"/>
                <w:spacing w:val="2"/>
                <w:kern w:val="0"/>
                <w14:textFill>
                  <w14:solidFill>
                    <w14:schemeClr w14:val="tx1"/>
                  </w14:solidFill>
                </w14:textFill>
              </w:rPr>
              <w:t>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518"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themeColor="text1"/>
                <w:spacing w:val="2"/>
                <w:kern w:val="0"/>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注册地址</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707"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法定代表人</w:t>
            </w:r>
          </w:p>
          <w:p>
            <w:pPr>
              <w:ind w:left="-90"/>
              <w:jc w:val="center"/>
              <w:rPr>
                <w:rFonts w:ascii="宋体" w:cs="宋体"/>
                <w:color w:val="000000" w:themeColor="text1"/>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姓名</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技术职称</w:t>
            </w: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c>
          <w:tcPr>
            <w:tcW w:w="922"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707"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spacing w:val="2"/>
                <w:kern w:val="0"/>
                <w14:textFill>
                  <w14:solidFill>
                    <w14:schemeClr w14:val="tx1"/>
                  </w14:solidFill>
                </w14:textFill>
              </w:rPr>
            </w:pPr>
            <w:r>
              <w:rPr>
                <w:rFonts w:hint="eastAsia" w:ascii="宋体" w:cs="宋体"/>
                <w:color w:val="000000" w:themeColor="text1"/>
                <w:spacing w:val="2"/>
                <w:kern w:val="0"/>
                <w14:textFill>
                  <w14:solidFill>
                    <w14:schemeClr w14:val="tx1"/>
                  </w14:solidFill>
                </w14:textFill>
              </w:rPr>
              <w:t>营业执照号或事业单位法人证号</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spacing w:val="2"/>
                <w:kern w:val="0"/>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注册资本</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707"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spacing w:val="2"/>
                <w:kern w:val="0"/>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基本账户银行</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spacing w:val="2"/>
                <w:kern w:val="0"/>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账号</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499" w:hRule="atLeast"/>
          <w:jc w:val="center"/>
        </w:trPr>
        <w:tc>
          <w:tcPr>
            <w:tcW w:w="1548" w:type="dxa"/>
            <w:vMerge w:val="restart"/>
            <w:tcBorders>
              <w:top w:val="single" w:color="auto" w:sz="6" w:space="0"/>
              <w:left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pPr>
              <w:ind w:left="-78" w:right="-78" w:rightChars="-37" w:firstLine="8" w:firstLineChars="4"/>
              <w:jc w:val="center"/>
              <w:rPr>
                <w:rFonts w:ascii="宋体" w:cs="宋体"/>
                <w:color w:val="000000" w:themeColor="text1"/>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联系人</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电话</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45" w:hRule="atLeast"/>
          <w:jc w:val="center"/>
        </w:trPr>
        <w:tc>
          <w:tcPr>
            <w:tcW w:w="1548" w:type="dxa"/>
            <w:vMerge w:val="continue"/>
            <w:tcBorders>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vAlign w:val="center"/>
          </w:tcPr>
          <w:p>
            <w:pPr>
              <w:ind w:left="-78" w:right="-78" w:rightChars="-37" w:firstLine="8" w:firstLineChars="4"/>
              <w:jc w:val="center"/>
              <w:rPr>
                <w:rFonts w:ascii="宋体" w:cs="宋体"/>
                <w:color w:val="000000" w:themeColor="text1"/>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传真</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电子信箱</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1989" w:hRule="atLeast"/>
          <w:jc w:val="center"/>
        </w:trPr>
        <w:tc>
          <w:tcPr>
            <w:tcW w:w="1548" w:type="dxa"/>
            <w:tcBorders>
              <w:top w:val="single" w:color="auto" w:sz="6" w:space="0"/>
              <w:left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经营范围</w:t>
            </w:r>
          </w:p>
        </w:tc>
        <w:tc>
          <w:tcPr>
            <w:tcW w:w="7616" w:type="dxa"/>
            <w:gridSpan w:val="6"/>
            <w:tcBorders>
              <w:top w:val="single" w:color="auto" w:sz="6" w:space="0"/>
              <w:left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1989" w:hRule="atLeast"/>
          <w:jc w:val="center"/>
        </w:trPr>
        <w:tc>
          <w:tcPr>
            <w:tcW w:w="1548" w:type="dxa"/>
            <w:tcBorders>
              <w:top w:val="single" w:color="auto" w:sz="6" w:space="0"/>
              <w:left w:val="single" w:color="auto" w:sz="6" w:space="0"/>
              <w:right w:val="single" w:color="auto" w:sz="6" w:space="0"/>
            </w:tcBorders>
            <w:vAlign w:val="center"/>
          </w:tcPr>
          <w:p>
            <w:pPr>
              <w:ind w:left="-90"/>
              <w:jc w:val="center"/>
              <w:rPr>
                <w:rFonts w:ascii="宋体" w:hAnsi="宋体" w:cs="宋体"/>
                <w:color w:val="000000" w:themeColor="text1"/>
                <w:spacing w:val="2"/>
                <w:kern w:val="0"/>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企业资质情况</w:t>
            </w:r>
          </w:p>
        </w:tc>
        <w:tc>
          <w:tcPr>
            <w:tcW w:w="7616" w:type="dxa"/>
            <w:gridSpan w:val="6"/>
            <w:tcBorders>
              <w:top w:val="single" w:color="auto" w:sz="6" w:space="0"/>
              <w:left w:val="single" w:color="auto" w:sz="6" w:space="0"/>
              <w:right w:val="single" w:color="auto" w:sz="6" w:space="0"/>
            </w:tcBorders>
            <w:vAlign w:val="center"/>
          </w:tcPr>
          <w:p>
            <w:pPr>
              <w:ind w:left="-90"/>
              <w:jc w:val="center"/>
              <w:rPr>
                <w:rFonts w:asci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543" w:hRule="atLeast"/>
          <w:jc w:val="center"/>
        </w:trPr>
        <w:tc>
          <w:tcPr>
            <w:tcW w:w="1548" w:type="dxa"/>
            <w:vMerge w:val="restart"/>
            <w:tcBorders>
              <w:top w:val="single" w:color="auto" w:sz="6" w:space="0"/>
              <w:left w:val="single" w:color="auto" w:sz="6" w:space="0"/>
              <w:bottom w:val="nil"/>
              <w:right w:val="single" w:color="auto" w:sz="6" w:space="0"/>
            </w:tcBorders>
            <w:vAlign w:val="center"/>
          </w:tcPr>
          <w:p>
            <w:pPr>
              <w:ind w:left="-90"/>
              <w:jc w:val="center"/>
              <w:rPr>
                <w:rFonts w:ascii="宋体" w:cs="宋体"/>
                <w:color w:val="000000" w:themeColor="text1"/>
                <w14:textFill>
                  <w14:solidFill>
                    <w14:schemeClr w14:val="tx1"/>
                  </w14:solidFill>
                </w14:textFill>
              </w:rPr>
            </w:pPr>
            <w:r>
              <w:rPr>
                <w:rFonts w:hint="eastAsia" w:ascii="宋体" w:hAnsi="宋体" w:cs="宋体"/>
                <w:color w:val="000000" w:themeColor="text1"/>
                <w:spacing w:val="2"/>
                <w:kern w:val="0"/>
                <w14:textFill>
                  <w14:solidFill>
                    <w14:schemeClr w14:val="tx1"/>
                  </w14:solidFill>
                </w14:textFill>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pPr>
              <w:ind w:left="-90"/>
              <w:jc w:val="center"/>
              <w:rPr>
                <w:rFonts w:asci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1197" w:hRule="atLeast"/>
          <w:jc w:val="center"/>
        </w:trPr>
        <w:tc>
          <w:tcPr>
            <w:tcW w:w="1548" w:type="dxa"/>
            <w:vMerge w:val="continue"/>
            <w:tcBorders>
              <w:top w:val="nil"/>
              <w:left w:val="single" w:color="auto" w:sz="6" w:space="0"/>
              <w:bottom w:val="single" w:color="auto" w:sz="6" w:space="0"/>
              <w:right w:val="single" w:color="auto" w:sz="6" w:space="0"/>
            </w:tcBorders>
            <w:vAlign w:val="center"/>
          </w:tcPr>
          <w:p>
            <w:pPr>
              <w:ind w:left="-90"/>
              <w:jc w:val="center"/>
              <w:rPr>
                <w:rFonts w:ascii="宋体" w:cs="宋体"/>
                <w:color w:val="000000" w:themeColor="text1"/>
                <w:kern w:val="0"/>
                <w14:textFill>
                  <w14:solidFill>
                    <w14:schemeClr w14:val="tx1"/>
                  </w14:solidFill>
                </w14:textFill>
              </w:rPr>
            </w:pPr>
          </w:p>
        </w:tc>
        <w:tc>
          <w:tcPr>
            <w:tcW w:w="7616" w:type="dxa"/>
            <w:gridSpan w:val="6"/>
            <w:vMerge w:val="continue"/>
            <w:tcBorders>
              <w:top w:val="nil"/>
              <w:left w:val="single" w:color="auto" w:sz="6" w:space="0"/>
              <w:bottom w:val="single" w:color="auto" w:sz="6" w:space="0"/>
              <w:right w:val="single" w:color="auto" w:sz="6" w:space="0"/>
            </w:tcBorders>
            <w:vAlign w:val="center"/>
          </w:tcPr>
          <w:p>
            <w:pPr>
              <w:ind w:left="-90"/>
              <w:jc w:val="center"/>
              <w:rPr>
                <w:rFonts w:ascii="宋体" w:cs="宋体"/>
                <w:color w:val="000000" w:themeColor="text1"/>
                <w:kern w:val="0"/>
                <w14:textFill>
                  <w14:solidFill>
                    <w14:schemeClr w14:val="tx1"/>
                  </w14:solidFill>
                </w14:textFill>
              </w:rPr>
            </w:pPr>
          </w:p>
        </w:tc>
      </w:tr>
    </w:tbl>
    <w:p>
      <w:pPr>
        <w:tabs>
          <w:tab w:val="left" w:pos="0"/>
          <w:tab w:val="left" w:pos="567"/>
          <w:tab w:val="left" w:pos="993"/>
          <w:tab w:val="left" w:pos="1134"/>
        </w:tabs>
        <w:snapToGrid w:val="0"/>
        <w:spacing w:line="300" w:lineRule="auto"/>
        <w:ind w:firstLine="210" w:firstLineChars="100"/>
        <w:rPr>
          <w:rFonts w:ascii="宋体" w:cs="宋体"/>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注：后附相关证明材料</w:t>
      </w:r>
    </w:p>
    <w:p>
      <w:pPr>
        <w:spacing w:line="500" w:lineRule="exact"/>
        <w:ind w:firstLine="600" w:firstLineChars="250"/>
        <w:jc w:val="left"/>
        <w:rPr>
          <w:rFonts w:ascii="宋体" w:cs="宋体"/>
          <w:color w:val="000000" w:themeColor="text1"/>
          <w:sz w:val="24"/>
          <w:szCs w:val="24"/>
          <w:u w:val="single"/>
          <w14:textFill>
            <w14:solidFill>
              <w14:schemeClr w14:val="tx1"/>
            </w14:solidFill>
          </w14:textFill>
        </w:rPr>
      </w:pPr>
    </w:p>
    <w:p>
      <w:pPr>
        <w:spacing w:line="500" w:lineRule="exact"/>
        <w:ind w:firstLine="600" w:firstLineChars="250"/>
        <w:jc w:val="left"/>
        <w:rPr>
          <w:rFonts w:ascii="宋体" w:cs="宋体"/>
          <w:color w:val="000000" w:themeColor="text1"/>
          <w:sz w:val="24"/>
          <w:szCs w:val="24"/>
          <w:u w:val="single"/>
          <w14:textFill>
            <w14:solidFill>
              <w14:schemeClr w14:val="tx1"/>
            </w14:solidFill>
          </w14:textFill>
        </w:rPr>
      </w:pPr>
    </w:p>
    <w:p>
      <w:pPr>
        <w:pStyle w:val="60"/>
        <w:rPr>
          <w:color w:val="000000" w:themeColor="text1"/>
          <w14:textFill>
            <w14:solidFill>
              <w14:schemeClr w14:val="tx1"/>
            </w14:solidFill>
          </w14:textFill>
        </w:rPr>
      </w:pPr>
    </w:p>
    <w:p>
      <w:pPr>
        <w:spacing w:line="500" w:lineRule="exact"/>
        <w:ind w:firstLine="525" w:firstLineChars="250"/>
        <w:jc w:val="left"/>
        <w:rPr>
          <w:rFonts w:ascii="宋体" w:hAnsi="宋体" w:cs="宋体"/>
          <w:color w:val="000000" w:themeColor="text1"/>
          <w:kern w:val="0"/>
          <w14:textFill>
            <w14:solidFill>
              <w14:schemeClr w14:val="tx1"/>
            </w14:solidFill>
          </w14:textFill>
        </w:rPr>
      </w:pPr>
    </w:p>
    <w:p>
      <w:pPr>
        <w:spacing w:line="500" w:lineRule="exact"/>
        <w:ind w:firstLine="525" w:firstLineChars="250"/>
        <w:jc w:val="left"/>
        <w:rPr>
          <w:rFonts w:ascii="宋体" w:hAnsi="宋体" w:cs="宋体"/>
          <w:color w:val="000000" w:themeColor="text1"/>
          <w:kern w:val="0"/>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3、法定代表人正反面身份证复印件，要求证件有效并与营业执照中的法定代表人相符</w:t>
      </w:r>
    </w:p>
    <w:p>
      <w:pPr>
        <w:spacing w:line="500" w:lineRule="exact"/>
        <w:ind w:firstLine="600" w:firstLineChars="250"/>
        <w:jc w:val="left"/>
        <w:rPr>
          <w:rFonts w:ascii="宋体" w:cs="宋体"/>
          <w:color w:val="000000" w:themeColor="text1"/>
          <w:sz w:val="24"/>
          <w:szCs w:val="24"/>
          <w:u w:val="single"/>
          <w14:textFill>
            <w14:solidFill>
              <w14:schemeClr w14:val="tx1"/>
            </w14:solidFill>
          </w14:textFill>
        </w:rPr>
      </w:pPr>
    </w:p>
    <w:p>
      <w:pPr>
        <w:pStyle w:val="30"/>
        <w:rPr>
          <w:rFonts w:ascii="宋体" w:cs="Times New Roman"/>
          <w:color w:val="000000" w:themeColor="text1"/>
          <w14:textFill>
            <w14:solidFill>
              <w14:schemeClr w14:val="tx1"/>
            </w14:solidFill>
          </w14:textFill>
        </w:rPr>
      </w:pPr>
    </w:p>
    <w:p>
      <w:pPr>
        <w:pStyle w:val="30"/>
        <w:rPr>
          <w:rFonts w:ascii="宋体" w:cs="Times New Roman"/>
          <w:color w:val="000000" w:themeColor="text1"/>
          <w14:textFill>
            <w14:solidFill>
              <w14:schemeClr w14:val="tx1"/>
            </w14:solidFill>
          </w14:textFill>
        </w:rPr>
      </w:pPr>
    </w:p>
    <w:p>
      <w:pPr>
        <w:pStyle w:val="30"/>
        <w:rPr>
          <w:rFonts w:ascii="宋体" w:cs="Times New Roman"/>
          <w:color w:val="000000" w:themeColor="text1"/>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bookmarkStart w:id="55" w:name="_Toc432088968"/>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hAnsi="宋体" w:cs="宋体"/>
          <w:color w:val="000000" w:themeColor="text1"/>
          <w:sz w:val="28"/>
          <w:szCs w:val="28"/>
          <w14:textFill>
            <w14:solidFill>
              <w14:schemeClr w14:val="tx1"/>
            </w14:solidFill>
          </w14:textFill>
        </w:rPr>
      </w:pPr>
    </w:p>
    <w:p>
      <w:pPr>
        <w:spacing w:line="500" w:lineRule="exact"/>
        <w:jc w:val="center"/>
        <w:outlineLvl w:val="2"/>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4、法定代表人授权委托书</w:t>
      </w:r>
      <w:bookmarkEnd w:id="55"/>
      <w:r>
        <w:rPr>
          <w:rFonts w:hint="eastAsia" w:ascii="宋体" w:hAnsi="宋体" w:cs="宋体"/>
          <w:color w:val="000000" w:themeColor="text1"/>
          <w:sz w:val="28"/>
          <w:szCs w:val="28"/>
          <w14:textFill>
            <w14:solidFill>
              <w14:schemeClr w14:val="tx1"/>
            </w14:solidFill>
          </w14:textFill>
        </w:rPr>
        <w:t>格式</w:t>
      </w:r>
    </w:p>
    <w:p>
      <w:pPr>
        <w:spacing w:line="500" w:lineRule="exact"/>
        <w:ind w:firstLine="750" w:firstLineChars="250"/>
        <w:jc w:val="left"/>
        <w:rPr>
          <w:rFonts w:ascii="宋体" w:cs="宋体"/>
          <w:color w:val="000000" w:themeColor="text1"/>
          <w:sz w:val="30"/>
          <w:szCs w:val="30"/>
          <w14:textFill>
            <w14:solidFill>
              <w14:schemeClr w14:val="tx1"/>
            </w14:solidFill>
          </w14:textFill>
        </w:rPr>
      </w:pPr>
    </w:p>
    <w:p>
      <w:pPr>
        <w:spacing w:line="500" w:lineRule="exact"/>
        <w:ind w:firstLine="750" w:firstLineChars="250"/>
        <w:jc w:val="left"/>
        <w:rPr>
          <w:rFonts w:ascii="宋体" w:cs="宋体"/>
          <w:color w:val="000000" w:themeColor="text1"/>
          <w:sz w:val="30"/>
          <w:szCs w:val="30"/>
          <w14:textFill>
            <w14:solidFill>
              <w14:schemeClr w14:val="tx1"/>
            </w14:solidFill>
          </w14:textFill>
        </w:rPr>
      </w:pPr>
    </w:p>
    <w:p>
      <w:pPr>
        <w:spacing w:line="5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广西建展建设工程管理集团有限公司</w:t>
      </w:r>
      <w:r>
        <w:rPr>
          <w:rFonts w:hint="eastAsia" w:ascii="宋体" w:hAnsi="宋体" w:cs="宋体"/>
          <w:color w:val="000000" w:themeColor="text1"/>
          <w:sz w:val="24"/>
          <w:szCs w:val="24"/>
          <w14:textFill>
            <w14:solidFill>
              <w14:schemeClr w14:val="tx1"/>
            </w14:solidFill>
          </w14:textFill>
        </w:rPr>
        <w:t>：</w:t>
      </w:r>
    </w:p>
    <w:p>
      <w:pPr>
        <w:spacing w:line="500" w:lineRule="exact"/>
        <w:ind w:firstLine="480" w:firstLineChars="20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w:t>
      </w:r>
      <w:r>
        <w:rPr>
          <w:rFonts w:ascii="宋体" w:hAnsi="宋体" w:cs="宋体"/>
          <w:color w:val="000000" w:themeColor="text1"/>
          <w:sz w:val="24"/>
          <w:szCs w:val="24"/>
          <w:u w:val="single"/>
          <w14:textFill>
            <w14:solidFill>
              <w14:schemeClr w14:val="tx1"/>
            </w14:solidFill>
          </w14:textFill>
        </w:rPr>
        <w:tab/>
      </w:r>
      <w:r>
        <w:rPr>
          <w:rFonts w:hint="eastAsia" w:ascii="宋体" w:hAnsi="宋体" w:cs="宋体"/>
          <w:color w:val="000000" w:themeColor="text1"/>
          <w:sz w:val="24"/>
          <w:szCs w:val="24"/>
          <w:u w:val="single"/>
          <w14:textFill>
            <w14:solidFill>
              <w14:schemeClr w14:val="tx1"/>
            </w14:solidFill>
          </w14:textFill>
        </w:rPr>
        <w:t>（姓名）系</w:t>
      </w:r>
      <w:r>
        <w:rPr>
          <w:rFonts w:ascii="宋体" w:hAnsi="宋体" w:cs="宋体"/>
          <w:color w:val="000000" w:themeColor="text1"/>
          <w:sz w:val="24"/>
          <w:szCs w:val="24"/>
          <w:u w:val="single"/>
          <w14:textFill>
            <w14:solidFill>
              <w14:schemeClr w14:val="tx1"/>
            </w14:solidFill>
          </w14:textFill>
        </w:rPr>
        <w:tab/>
      </w:r>
      <w:r>
        <w:rPr>
          <w:rFonts w:hint="eastAsia" w:ascii="宋体" w:hAnsi="宋体" w:cs="宋体"/>
          <w:color w:val="000000" w:themeColor="text1"/>
          <w:sz w:val="24"/>
          <w:szCs w:val="24"/>
          <w:u w:val="single"/>
          <w14:textFill>
            <w14:solidFill>
              <w14:schemeClr w14:val="tx1"/>
            </w14:solidFill>
          </w14:textFill>
        </w:rPr>
        <w:t>（供应商名称）</w:t>
      </w:r>
      <w:r>
        <w:rPr>
          <w:rFonts w:hint="eastAsia" w:ascii="宋体" w:hAnsi="宋体" w:cs="宋体"/>
          <w:color w:val="000000" w:themeColor="text1"/>
          <w:sz w:val="24"/>
          <w:szCs w:val="24"/>
          <w14:textFill>
            <w14:solidFill>
              <w14:schemeClr w14:val="tx1"/>
            </w14:solidFill>
          </w14:textFill>
        </w:rPr>
        <w:t>的法定代表人，现授权委托</w:t>
      </w:r>
      <w:r>
        <w:rPr>
          <w:rFonts w:ascii="宋体" w:hAnsi="宋体" w:cs="宋体"/>
          <w:color w:val="000000" w:themeColor="text1"/>
          <w:sz w:val="24"/>
          <w:szCs w:val="24"/>
          <w:u w:val="single"/>
          <w14:textFill>
            <w14:solidFill>
              <w14:schemeClr w14:val="tx1"/>
            </w14:solidFill>
          </w14:textFill>
        </w:rPr>
        <w:tab/>
      </w:r>
      <w:r>
        <w:rPr>
          <w:rFonts w:hint="eastAsia" w:ascii="宋体" w:hAnsi="宋体" w:cs="宋体"/>
          <w:color w:val="000000" w:themeColor="text1"/>
          <w:sz w:val="24"/>
          <w:szCs w:val="24"/>
          <w:u w:val="single"/>
          <w14:textFill>
            <w14:solidFill>
              <w14:schemeClr w14:val="tx1"/>
            </w14:solidFill>
          </w14:textFill>
        </w:rPr>
        <w:t>（姓名</w:t>
      </w:r>
      <w:r>
        <w:rPr>
          <w:rFonts w:hint="eastAsia" w:ascii="宋体" w:hAnsi="宋体" w:cs="宋体"/>
          <w:color w:val="000000" w:themeColor="text1"/>
          <w:sz w:val="24"/>
          <w:szCs w:val="24"/>
          <w14:textFill>
            <w14:solidFill>
              <w14:schemeClr w14:val="tx1"/>
            </w14:solidFill>
          </w14:textFill>
        </w:rPr>
        <w:t>）以我方的名义参加</w:t>
      </w:r>
      <w:r>
        <w:rPr>
          <w:rFonts w:ascii="宋体" w:hAnsi="宋体" w:cs="宋体"/>
          <w:color w:val="000000" w:themeColor="text1"/>
          <w:sz w:val="24"/>
          <w:szCs w:val="24"/>
          <w:u w:val="single"/>
          <w14:textFill>
            <w14:solidFill>
              <w14:schemeClr w14:val="tx1"/>
            </w14:solidFill>
          </w14:textFill>
        </w:rPr>
        <w:tab/>
      </w:r>
      <w:r>
        <w:rPr>
          <w:rFonts w:hint="eastAsia" w:ascii="宋体" w:hAnsi="宋体" w:cs="宋体"/>
          <w:color w:val="000000" w:themeColor="text1"/>
          <w:sz w:val="24"/>
          <w:szCs w:val="24"/>
          <w:u w:val="single"/>
          <w14:textFill>
            <w14:solidFill>
              <w14:schemeClr w14:val="tx1"/>
            </w14:solidFill>
          </w14:textFill>
        </w:rPr>
        <w:t>（项目名称）</w:t>
      </w:r>
      <w:r>
        <w:rPr>
          <w:rFonts w:hint="eastAsia" w:ascii="宋体" w:hAnsi="宋体" w:cs="宋体"/>
          <w:color w:val="000000" w:themeColor="text1"/>
          <w:sz w:val="24"/>
          <w:szCs w:val="24"/>
          <w14:textFill>
            <w14:solidFill>
              <w14:schemeClr w14:val="tx1"/>
            </w14:solidFill>
          </w14:textFill>
        </w:rPr>
        <w:t>的磋商活动，并代表我方全权办理针对上述项目的递交文件、磋商、澄清、签约等具体事务和签署相关文件。</w:t>
      </w:r>
    </w:p>
    <w:p>
      <w:pPr>
        <w:spacing w:line="500" w:lineRule="exact"/>
        <w:ind w:firstLine="480" w:firstLineChars="20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我方对被授权人的签名事项负全部责任。</w:t>
      </w:r>
    </w:p>
    <w:p>
      <w:pPr>
        <w:spacing w:line="500" w:lineRule="exact"/>
        <w:ind w:firstLine="480" w:firstLineChars="20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在撤销授权的书面通知以前，本授权书一直有效。被授权人在授权书有效期内签署的所有文件不因授权的撤销而失效。</w:t>
      </w:r>
    </w:p>
    <w:p>
      <w:pPr>
        <w:spacing w:line="500" w:lineRule="exact"/>
        <w:ind w:firstLine="480" w:firstLineChars="20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被授权人无转委托权，特此委托。</w:t>
      </w:r>
    </w:p>
    <w:p>
      <w:pPr>
        <w:spacing w:line="500" w:lineRule="exact"/>
        <w:ind w:firstLine="482" w:firstLineChars="200"/>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附：法定代表人身份证明及被授权人有效身份证正反面复印件。</w:t>
      </w:r>
    </w:p>
    <w:p>
      <w:pPr>
        <w:spacing w:line="500" w:lineRule="exact"/>
        <w:ind w:left="720" w:leftChars="343" w:firstLine="600"/>
        <w:rPr>
          <w:rFonts w:ascii="宋体" w:cs="宋体"/>
          <w:color w:val="000000" w:themeColor="text1"/>
          <w:sz w:val="24"/>
          <w:szCs w:val="24"/>
          <w14:textFill>
            <w14:solidFill>
              <w14:schemeClr w14:val="tx1"/>
            </w14:solidFill>
          </w14:textFill>
        </w:rPr>
      </w:pPr>
    </w:p>
    <w:p>
      <w:pPr>
        <w:spacing w:line="500" w:lineRule="exact"/>
        <w:ind w:firstLine="1924" w:firstLineChars="802"/>
        <w:jc w:val="right"/>
        <w:rPr>
          <w:rFonts w:asci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14:textFill>
            <w14:solidFill>
              <w14:schemeClr w14:val="tx1"/>
            </w14:solidFill>
          </w14:textFill>
        </w:rPr>
        <w:t>（加盖公章）</w:t>
      </w:r>
    </w:p>
    <w:p>
      <w:pPr>
        <w:spacing w:line="500" w:lineRule="exact"/>
        <w:ind w:firstLine="1888" w:firstLineChars="787"/>
        <w:jc w:val="right"/>
        <w:rPr>
          <w:rFonts w:asci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w:t>
      </w:r>
      <w:r>
        <w:rPr>
          <w:rFonts w:hint="eastAsia" w:ascii="宋体" w:hAnsi="宋体" w:cs="宋体"/>
          <w:color w:val="000000" w:themeColor="text1"/>
          <w:sz w:val="24"/>
          <w:szCs w:val="24"/>
          <w:u w:val="single"/>
          <w14:textFill>
            <w14:solidFill>
              <w14:schemeClr w14:val="tx1"/>
            </w14:solidFill>
          </w14:textFill>
        </w:rPr>
        <w:t>（签字或盖章）</w:t>
      </w:r>
    </w:p>
    <w:p>
      <w:pPr>
        <w:spacing w:line="500" w:lineRule="exact"/>
        <w:ind w:firstLine="4440" w:firstLineChars="1850"/>
        <w:jc w:val="righ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日期：年月日</w:t>
      </w:r>
    </w:p>
    <w:p>
      <w:pPr>
        <w:spacing w:line="500" w:lineRule="exact"/>
        <w:ind w:firstLine="700" w:firstLineChars="250"/>
        <w:jc w:val="left"/>
        <w:rPr>
          <w:rFonts w:ascii="宋体" w:cs="宋体"/>
          <w:color w:val="000000" w:themeColor="text1"/>
          <w:sz w:val="28"/>
          <w:szCs w:val="28"/>
          <w14:textFill>
            <w14:solidFill>
              <w14:schemeClr w14:val="tx1"/>
            </w14:solidFill>
          </w14:textFill>
        </w:rPr>
      </w:pPr>
    </w:p>
    <w:p>
      <w:pPr>
        <w:spacing w:line="500" w:lineRule="exact"/>
        <w:ind w:firstLine="600" w:firstLineChars="250"/>
        <w:jc w:val="left"/>
        <w:rPr>
          <w:rFonts w:ascii="宋体" w:hAnsi="宋体" w:cs="宋体"/>
          <w:color w:val="000000" w:themeColor="text1"/>
          <w:sz w:val="24"/>
          <w:szCs w:val="24"/>
          <w:u w:val="single"/>
          <w14:textFill>
            <w14:solidFill>
              <w14:schemeClr w14:val="tx1"/>
            </w14:solidFill>
          </w14:textFill>
        </w:rPr>
      </w:pPr>
    </w:p>
    <w:p>
      <w:pPr>
        <w:spacing w:line="500" w:lineRule="exact"/>
        <w:ind w:firstLine="600" w:firstLineChars="250"/>
        <w:rPr>
          <w:rFonts w:ascii="宋体" w:cs="宋体"/>
          <w:color w:val="000000" w:themeColor="text1"/>
          <w:sz w:val="24"/>
          <w:szCs w:val="24"/>
          <w14:textFill>
            <w14:solidFill>
              <w14:schemeClr w14:val="tx1"/>
            </w14:solidFill>
          </w14:textFill>
        </w:rPr>
      </w:pPr>
    </w:p>
    <w:p>
      <w:pPr>
        <w:spacing w:line="500" w:lineRule="exact"/>
        <w:ind w:firstLine="600" w:firstLineChars="250"/>
        <w:rPr>
          <w:rFonts w:ascii="宋体" w:cs="宋体"/>
          <w:color w:val="000000" w:themeColor="text1"/>
          <w:sz w:val="24"/>
          <w:szCs w:val="24"/>
          <w14:textFill>
            <w14:solidFill>
              <w14:schemeClr w14:val="tx1"/>
            </w14:solidFill>
          </w14:textFill>
        </w:rPr>
      </w:pPr>
    </w:p>
    <w:p>
      <w:pPr>
        <w:spacing w:line="500" w:lineRule="exact"/>
        <w:ind w:firstLine="600" w:firstLineChars="250"/>
        <w:rPr>
          <w:rFonts w:ascii="宋体" w:cs="宋体"/>
          <w:color w:val="000000" w:themeColor="text1"/>
          <w:sz w:val="24"/>
          <w:szCs w:val="24"/>
          <w14:textFill>
            <w14:solidFill>
              <w14:schemeClr w14:val="tx1"/>
            </w14:solidFill>
          </w14:textFill>
        </w:rPr>
      </w:pPr>
    </w:p>
    <w:p>
      <w:pPr>
        <w:spacing w:line="500" w:lineRule="exact"/>
        <w:ind w:firstLine="600" w:firstLineChars="250"/>
        <w:rPr>
          <w:rFonts w:ascii="宋体" w:cs="宋体"/>
          <w:color w:val="000000" w:themeColor="text1"/>
          <w:sz w:val="24"/>
          <w:szCs w:val="24"/>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jc w:val="center"/>
        <w:rPr>
          <w:rFonts w:hint="eastAsia" w:ascii="宋体" w:hAnsi="宋体" w:cs="宋体"/>
          <w:color w:val="000000" w:themeColor="text1"/>
          <w:sz w:val="36"/>
          <w:szCs w:val="36"/>
          <w:lang w:val="en-US" w:eastAsia="zh-CN"/>
          <w14:textFill>
            <w14:solidFill>
              <w14:schemeClr w14:val="tx1"/>
            </w14:solidFill>
          </w14:textFill>
        </w:rPr>
        <w:sectPr>
          <w:pgSz w:w="11906" w:h="16838"/>
          <w:pgMar w:top="1134" w:right="1134" w:bottom="1134" w:left="1134" w:header="851" w:footer="567" w:gutter="0"/>
          <w:cols w:space="720" w:num="1"/>
          <w:titlePg/>
          <w:docGrid w:type="lines" w:linePitch="312" w:charSpace="0"/>
        </w:sectPr>
      </w:pP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5、</w:t>
      </w:r>
      <w:r>
        <w:rPr>
          <w:rFonts w:hint="eastAsia" w:ascii="宋体" w:hAnsi="宋体" w:eastAsia="宋体" w:cs="宋体"/>
          <w:color w:val="000000" w:themeColor="text1"/>
          <w:sz w:val="36"/>
          <w:szCs w:val="36"/>
          <w14:textFill>
            <w14:solidFill>
              <w14:schemeClr w14:val="tx1"/>
            </w14:solidFill>
          </w14:textFill>
        </w:rPr>
        <w:t>贵港市政府采购项目投标资格承诺函</w:t>
      </w:r>
    </w:p>
    <w:p>
      <w:pPr>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本公司郑重承诺，根据《中华人民共和国政府采购法》第二十二条的规定，本公司为参加政府采购活动的合格供应商。即本公司同时满足以下条件：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提交投标文件截止日期前三年内，在经营活动中没有重大违法记录。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本公司对上述承诺的真实性负责，并接受政府采购、税务、社会保障等监督管理部门、采购文件规定的资格审查机构、社会公众的监督和检查。如有虚假，将依法承担相应责任。</w:t>
      </w:r>
    </w:p>
    <w:p>
      <w:pPr>
        <w:ind w:firstLine="640"/>
        <w:rPr>
          <w:rFonts w:hint="eastAsia" w:ascii="宋体" w:hAnsi="宋体" w:eastAsia="宋体" w:cs="宋体"/>
          <w:color w:val="000000" w:themeColor="text1"/>
          <w:sz w:val="24"/>
          <w:szCs w:val="24"/>
          <w14:textFill>
            <w14:solidFill>
              <w14:schemeClr w14:val="tx1"/>
            </w14:solidFill>
          </w14:textFill>
        </w:rPr>
      </w:pPr>
    </w:p>
    <w:p>
      <w:pPr>
        <w:ind w:firstLine="640"/>
        <w:rPr>
          <w:rFonts w:hint="eastAsia" w:ascii="宋体" w:hAnsi="宋体" w:eastAsia="宋体" w:cs="宋体"/>
          <w:color w:val="000000" w:themeColor="text1"/>
          <w:sz w:val="24"/>
          <w:szCs w:val="24"/>
          <w14:textFill>
            <w14:solidFill>
              <w14:schemeClr w14:val="tx1"/>
            </w14:solidFill>
          </w14:textFill>
        </w:rPr>
      </w:pPr>
    </w:p>
    <w:p>
      <w:pPr>
        <w:ind w:firstLine="640"/>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pacing w:line="560" w:lineRule="exact"/>
        <w:ind w:firstLine="64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企业名称（盖章）：                       </w:t>
      </w:r>
    </w:p>
    <w:p>
      <w:pPr>
        <w:keepNext w:val="0"/>
        <w:keepLines w:val="0"/>
        <w:pageBreakBefore w:val="0"/>
        <w:widowControl w:val="0"/>
        <w:kinsoku/>
        <w:wordWrap w:val="0"/>
        <w:overflowPunct/>
        <w:topLinePunct w:val="0"/>
        <w:autoSpaceDE/>
        <w:autoSpaceDN/>
        <w:bidi w:val="0"/>
        <w:adjustRightInd/>
        <w:spacing w:line="560" w:lineRule="exact"/>
        <w:ind w:firstLine="64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法定代表人（签名）：                     </w:t>
      </w:r>
    </w:p>
    <w:p>
      <w:pPr>
        <w:pStyle w:val="30"/>
        <w:keepNext w:val="0"/>
        <w:keepLines w:val="0"/>
        <w:pageBreakBefore w:val="0"/>
        <w:widowControl w:val="0"/>
        <w:kinsoku/>
        <w:overflowPunct/>
        <w:topLinePunct w:val="0"/>
        <w:autoSpaceDE/>
        <w:autoSpaceDN/>
        <w:bidi w:val="0"/>
        <w:adjustRightInd/>
        <w:spacing w:line="560" w:lineRule="exact"/>
        <w:ind w:firstLine="4800" w:firstLineChars="2000"/>
        <w:textAlignment w:val="auto"/>
        <w:rPr>
          <w:rFonts w:ascii="宋体" w:hAnsi="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pStyle w:val="30"/>
        <w:rPr>
          <w:rFonts w:ascii="宋体" w:hAnsi="宋体" w:cs="宋体"/>
          <w:color w:val="000000" w:themeColor="text1"/>
          <w:sz w:val="24"/>
          <w:szCs w:val="24"/>
          <w:u w:val="single"/>
          <w14:textFill>
            <w14:solidFill>
              <w14:schemeClr w14:val="tx1"/>
            </w14:solidFill>
          </w14:textFill>
        </w:rPr>
      </w:pPr>
    </w:p>
    <w:p>
      <w:pPr>
        <w:spacing w:line="500" w:lineRule="exact"/>
        <w:jc w:val="left"/>
        <w:outlineLvl w:val="2"/>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、供应商认为有必要提供的其它资格证明文件及资料；</w:t>
      </w:r>
    </w:p>
    <w:p>
      <w:pPr>
        <w:spacing w:line="360" w:lineRule="auto"/>
        <w:rPr>
          <w:rFonts w:ascii="宋体" w:cs="宋体"/>
          <w:b/>
          <w:bCs/>
          <w:color w:val="000000" w:themeColor="text1"/>
          <w:sz w:val="30"/>
          <w:szCs w:val="30"/>
          <w14:textFill>
            <w14:solidFill>
              <w14:schemeClr w14:val="tx1"/>
            </w14:solidFill>
          </w14:textFill>
        </w:rPr>
      </w:pPr>
      <w:bookmarkStart w:id="56" w:name="_Toc432088978"/>
    </w:p>
    <w:p>
      <w:pPr>
        <w:jc w:val="center"/>
        <w:rPr>
          <w:rFonts w:asci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技术文件</w:t>
      </w:r>
    </w:p>
    <w:p>
      <w:pPr>
        <w:spacing w:line="360" w:lineRule="auto"/>
        <w:jc w:val="center"/>
        <w:rPr>
          <w:rFonts w:ascii="宋体" w:cs="宋体"/>
          <w:b/>
          <w:bCs/>
          <w:color w:val="000000" w:themeColor="text1"/>
          <w:sz w:val="30"/>
          <w:szCs w:val="30"/>
          <w14:textFill>
            <w14:solidFill>
              <w14:schemeClr w14:val="tx1"/>
            </w14:solidFill>
          </w14:textFill>
        </w:rPr>
      </w:pPr>
    </w:p>
    <w:p>
      <w:pPr>
        <w:spacing w:line="360" w:lineRule="auto"/>
        <w:jc w:val="center"/>
        <w:rPr>
          <w:rFonts w:ascii="宋体" w:cs="宋体"/>
          <w:b/>
          <w:bCs/>
          <w:color w:val="000000" w:themeColor="text1"/>
          <w:sz w:val="30"/>
          <w:szCs w:val="30"/>
          <w14:textFill>
            <w14:solidFill>
              <w14:schemeClr w14:val="tx1"/>
            </w14:solidFill>
          </w14:textFill>
        </w:rPr>
      </w:pPr>
    </w:p>
    <w:p>
      <w:pPr>
        <w:spacing w:line="360" w:lineRule="auto"/>
        <w:jc w:val="center"/>
        <w:rPr>
          <w:rFonts w:hint="eastAsia" w:ascii="宋体" w:eastAsia="宋体" w:cs="宋体"/>
          <w:b/>
          <w:bCs/>
          <w:color w:val="000000" w:themeColor="text1"/>
          <w:sz w:val="30"/>
          <w:szCs w:val="30"/>
          <w:lang w:eastAsia="zh-CN"/>
          <w14:textFill>
            <w14:solidFill>
              <w14:schemeClr w14:val="tx1"/>
            </w14:solidFill>
          </w14:textFill>
        </w:rPr>
      </w:pPr>
      <w:r>
        <w:rPr>
          <w:rFonts w:hint="eastAsia" w:ascii="宋体" w:cs="宋体"/>
          <w:b/>
          <w:bCs/>
          <w:color w:val="000000" w:themeColor="text1"/>
          <w:sz w:val="30"/>
          <w:szCs w:val="30"/>
          <w:lang w:eastAsia="zh-CN"/>
          <w14:textFill>
            <w14:solidFill>
              <w14:schemeClr w14:val="tx1"/>
            </w14:solidFill>
          </w14:textFill>
        </w:rPr>
        <w:t>根据评分办法自行编写，格式自拟</w:t>
      </w:r>
    </w:p>
    <w:p>
      <w:pPr>
        <w:spacing w:line="360" w:lineRule="auto"/>
        <w:jc w:val="center"/>
        <w:rPr>
          <w:rFonts w:ascii="宋体" w:cs="宋体"/>
          <w:b/>
          <w:bCs/>
          <w:color w:val="000000" w:themeColor="text1"/>
          <w:sz w:val="30"/>
          <w:szCs w:val="30"/>
          <w14:textFill>
            <w14:solidFill>
              <w14:schemeClr w14:val="tx1"/>
            </w14:solidFill>
          </w14:textFill>
        </w:rPr>
      </w:pPr>
    </w:p>
    <w:p>
      <w:pPr>
        <w:spacing w:line="360" w:lineRule="auto"/>
        <w:jc w:val="center"/>
        <w:rPr>
          <w:rFonts w:ascii="宋体" w:cs="宋体"/>
          <w:b/>
          <w:bCs/>
          <w:color w:val="000000" w:themeColor="text1"/>
          <w:sz w:val="30"/>
          <w:szCs w:val="30"/>
          <w14:textFill>
            <w14:solidFill>
              <w14:schemeClr w14:val="tx1"/>
            </w14:solidFill>
          </w14:textFill>
        </w:rPr>
      </w:pPr>
    </w:p>
    <w:p>
      <w:pPr>
        <w:spacing w:line="360" w:lineRule="auto"/>
        <w:jc w:val="center"/>
        <w:rPr>
          <w:rFonts w:ascii="宋体" w:cs="宋体"/>
          <w:b/>
          <w:bCs/>
          <w:color w:val="000000" w:themeColor="text1"/>
          <w:sz w:val="30"/>
          <w:szCs w:val="30"/>
          <w14:textFill>
            <w14:solidFill>
              <w14:schemeClr w14:val="tx1"/>
            </w14:solidFill>
          </w14:textFill>
        </w:rPr>
      </w:pPr>
    </w:p>
    <w:p>
      <w:pPr>
        <w:spacing w:line="360" w:lineRule="auto"/>
        <w:jc w:val="center"/>
        <w:rPr>
          <w:rFonts w:ascii="宋体" w:cs="宋体"/>
          <w:b/>
          <w:bCs/>
          <w:color w:val="000000" w:themeColor="text1"/>
          <w:sz w:val="30"/>
          <w:szCs w:val="30"/>
          <w14:textFill>
            <w14:solidFill>
              <w14:schemeClr w14:val="tx1"/>
            </w14:solidFill>
          </w14:textFill>
        </w:rPr>
      </w:pPr>
    </w:p>
    <w:p>
      <w:pPr>
        <w:spacing w:line="360" w:lineRule="auto"/>
        <w:jc w:val="center"/>
        <w:rPr>
          <w:rFonts w:ascii="宋体" w:cs="宋体"/>
          <w:b/>
          <w:bCs/>
          <w:color w:val="000000" w:themeColor="text1"/>
          <w:sz w:val="30"/>
          <w:szCs w:val="30"/>
          <w14:textFill>
            <w14:solidFill>
              <w14:schemeClr w14:val="tx1"/>
            </w14:solidFill>
          </w14:textFill>
        </w:rPr>
      </w:pPr>
    </w:p>
    <w:p>
      <w:pPr>
        <w:spacing w:line="360" w:lineRule="auto"/>
        <w:jc w:val="center"/>
        <w:rPr>
          <w:rFonts w:ascii="宋体" w:cs="宋体"/>
          <w:b/>
          <w:bCs/>
          <w:color w:val="000000" w:themeColor="text1"/>
          <w:sz w:val="30"/>
          <w:szCs w:val="30"/>
          <w14:textFill>
            <w14:solidFill>
              <w14:schemeClr w14:val="tx1"/>
            </w14:solidFill>
          </w14:textFill>
        </w:rPr>
      </w:pPr>
    </w:p>
    <w:p>
      <w:pPr>
        <w:spacing w:line="360" w:lineRule="auto"/>
        <w:jc w:val="center"/>
        <w:rPr>
          <w:rFonts w:ascii="宋体" w:cs="宋体"/>
          <w:b/>
          <w:bCs/>
          <w:color w:val="000000" w:themeColor="text1"/>
          <w:sz w:val="30"/>
          <w:szCs w:val="30"/>
          <w14:textFill>
            <w14:solidFill>
              <w14:schemeClr w14:val="tx1"/>
            </w14:solidFill>
          </w14:textFill>
        </w:rPr>
      </w:pPr>
    </w:p>
    <w:p>
      <w:pPr>
        <w:spacing w:line="360" w:lineRule="auto"/>
        <w:jc w:val="center"/>
        <w:rPr>
          <w:rFonts w:ascii="宋体" w:cs="宋体"/>
          <w:b/>
          <w:bCs/>
          <w:color w:val="000000" w:themeColor="text1"/>
          <w:sz w:val="30"/>
          <w:szCs w:val="30"/>
          <w14:textFill>
            <w14:solidFill>
              <w14:schemeClr w14:val="tx1"/>
            </w14:solidFill>
          </w14:textFill>
        </w:rPr>
      </w:pPr>
    </w:p>
    <w:p>
      <w:pPr>
        <w:spacing w:line="360" w:lineRule="auto"/>
        <w:jc w:val="center"/>
        <w:rPr>
          <w:rFonts w:ascii="宋体" w:cs="宋体"/>
          <w:b/>
          <w:bCs/>
          <w:color w:val="000000" w:themeColor="text1"/>
          <w:sz w:val="30"/>
          <w:szCs w:val="30"/>
          <w14:textFill>
            <w14:solidFill>
              <w14:schemeClr w14:val="tx1"/>
            </w14:solidFill>
          </w14:textFill>
        </w:rPr>
      </w:pPr>
    </w:p>
    <w:p>
      <w:pPr>
        <w:spacing w:line="360" w:lineRule="auto"/>
        <w:jc w:val="center"/>
        <w:rPr>
          <w:rFonts w:ascii="宋体" w:cs="宋体"/>
          <w:b/>
          <w:bCs/>
          <w:color w:val="000000" w:themeColor="text1"/>
          <w:sz w:val="30"/>
          <w:szCs w:val="30"/>
          <w14:textFill>
            <w14:solidFill>
              <w14:schemeClr w14:val="tx1"/>
            </w14:solidFill>
          </w14:textFill>
        </w:rPr>
      </w:pPr>
    </w:p>
    <w:p>
      <w:pPr>
        <w:rPr>
          <w:rFonts w:ascii="宋体" w:cs="宋体"/>
          <w:color w:val="000000" w:themeColor="text1"/>
          <w14:textFill>
            <w14:solidFill>
              <w14:schemeClr w14:val="tx1"/>
            </w14:solidFill>
          </w14:textFill>
        </w:rPr>
      </w:pPr>
    </w:p>
    <w:p>
      <w:pPr>
        <w:rPr>
          <w:rFonts w:ascii="宋体" w:cs="宋体"/>
          <w:color w:val="000000" w:themeColor="text1"/>
          <w14:textFill>
            <w14:solidFill>
              <w14:schemeClr w14:val="tx1"/>
            </w14:solidFill>
          </w14:textFill>
        </w:rPr>
      </w:pPr>
    </w:p>
    <w:p>
      <w:pPr>
        <w:rPr>
          <w:rFonts w:ascii="宋体" w:cs="宋体"/>
          <w:color w:val="000000" w:themeColor="text1"/>
          <w14:textFill>
            <w14:solidFill>
              <w14:schemeClr w14:val="tx1"/>
            </w14:solidFill>
          </w14:textFill>
        </w:rPr>
      </w:pPr>
    </w:p>
    <w:p>
      <w:pPr>
        <w:spacing w:line="360" w:lineRule="auto"/>
        <w:jc w:val="center"/>
        <w:rPr>
          <w:rFonts w:ascii="宋体" w:cs="宋体"/>
          <w:b/>
          <w:bCs/>
          <w:color w:val="000000" w:themeColor="text1"/>
          <w:sz w:val="30"/>
          <w:szCs w:val="30"/>
          <w14:textFill>
            <w14:solidFill>
              <w14:schemeClr w14:val="tx1"/>
            </w14:solidFill>
          </w14:textFill>
        </w:rPr>
      </w:pPr>
    </w:p>
    <w:p>
      <w:pPr>
        <w:pStyle w:val="30"/>
        <w:rPr>
          <w:rFonts w:ascii="宋体" w:cs="宋体"/>
          <w:b/>
          <w:bCs/>
          <w:color w:val="000000" w:themeColor="text1"/>
          <w:sz w:val="30"/>
          <w:szCs w:val="30"/>
          <w14:textFill>
            <w14:solidFill>
              <w14:schemeClr w14:val="tx1"/>
            </w14:solidFill>
          </w14:textFill>
        </w:rPr>
      </w:pPr>
    </w:p>
    <w:p>
      <w:pPr>
        <w:pStyle w:val="30"/>
        <w:rPr>
          <w:rFonts w:ascii="宋体" w:cs="宋体"/>
          <w:b/>
          <w:bCs/>
          <w:color w:val="000000" w:themeColor="text1"/>
          <w:sz w:val="30"/>
          <w:szCs w:val="30"/>
          <w14:textFill>
            <w14:solidFill>
              <w14:schemeClr w14:val="tx1"/>
            </w14:solidFill>
          </w14:textFill>
        </w:rPr>
      </w:pPr>
    </w:p>
    <w:p>
      <w:pPr>
        <w:pStyle w:val="30"/>
        <w:rPr>
          <w:rFonts w:ascii="宋体" w:cs="宋体"/>
          <w:b/>
          <w:bCs/>
          <w:color w:val="000000" w:themeColor="text1"/>
          <w:sz w:val="30"/>
          <w:szCs w:val="30"/>
          <w14:textFill>
            <w14:solidFill>
              <w14:schemeClr w14:val="tx1"/>
            </w14:solidFill>
          </w14:textFill>
        </w:rPr>
      </w:pPr>
    </w:p>
    <w:p>
      <w:pPr>
        <w:pStyle w:val="30"/>
        <w:rPr>
          <w:rFonts w:ascii="宋体" w:cs="宋体"/>
          <w:b/>
          <w:bCs/>
          <w:color w:val="000000" w:themeColor="text1"/>
          <w:sz w:val="30"/>
          <w:szCs w:val="30"/>
          <w14:textFill>
            <w14:solidFill>
              <w14:schemeClr w14:val="tx1"/>
            </w14:solidFill>
          </w14:textFill>
        </w:rPr>
      </w:pPr>
    </w:p>
    <w:p>
      <w:pPr>
        <w:pStyle w:val="30"/>
        <w:rPr>
          <w:rFonts w:ascii="宋体" w:cs="宋体"/>
          <w:b/>
          <w:bCs/>
          <w:color w:val="000000" w:themeColor="text1"/>
          <w:sz w:val="30"/>
          <w:szCs w:val="30"/>
          <w14:textFill>
            <w14:solidFill>
              <w14:schemeClr w14:val="tx1"/>
            </w14:solidFill>
          </w14:textFill>
        </w:rPr>
        <w:sectPr>
          <w:pgSz w:w="11906" w:h="16838"/>
          <w:pgMar w:top="1134" w:right="1134" w:bottom="1134" w:left="1134" w:header="851" w:footer="567" w:gutter="0"/>
          <w:cols w:space="720" w:num="1"/>
          <w:titlePg/>
          <w:docGrid w:type="lines" w:linePitch="312" w:charSpace="0"/>
        </w:sectPr>
      </w:pPr>
    </w:p>
    <w:p>
      <w:pPr>
        <w:pStyle w:val="30"/>
        <w:rPr>
          <w:rFonts w:ascii="宋体" w:cs="宋体"/>
          <w:b/>
          <w:bCs/>
          <w:color w:val="000000" w:themeColor="text1"/>
          <w:sz w:val="30"/>
          <w:szCs w:val="30"/>
          <w14:textFill>
            <w14:solidFill>
              <w14:schemeClr w14:val="tx1"/>
            </w14:solidFill>
          </w14:textFill>
        </w:rPr>
      </w:pPr>
    </w:p>
    <w:bookmarkEnd w:id="56"/>
    <w:p>
      <w:pPr>
        <w:widowControl/>
        <w:numPr>
          <w:ilvl w:val="0"/>
          <w:numId w:val="16"/>
        </w:numPr>
        <w:jc w:val="center"/>
        <w:rPr>
          <w:rFonts w:ascii="宋体" w:cs="宋体"/>
          <w:b/>
          <w:bCs/>
          <w:color w:val="000000" w:themeColor="text1"/>
          <w:sz w:val="44"/>
          <w:szCs w:val="44"/>
          <w14:textFill>
            <w14:solidFill>
              <w14:schemeClr w14:val="tx1"/>
            </w14:solidFill>
          </w14:textFill>
        </w:rPr>
      </w:pPr>
      <w:bookmarkStart w:id="57" w:name="_Toc31750"/>
      <w:r>
        <w:rPr>
          <w:rFonts w:hint="eastAsia" w:ascii="宋体" w:hAnsi="宋体" w:cs="宋体"/>
          <w:b/>
          <w:bCs/>
          <w:color w:val="000000" w:themeColor="text1"/>
          <w:sz w:val="44"/>
          <w:szCs w:val="44"/>
          <w14:textFill>
            <w14:solidFill>
              <w14:schemeClr w14:val="tx1"/>
            </w14:solidFill>
          </w14:textFill>
        </w:rPr>
        <w:t>附件</w:t>
      </w:r>
      <w:bookmarkEnd w:id="57"/>
    </w:p>
    <w:p>
      <w:pPr>
        <w:widowControl/>
        <w:jc w:val="left"/>
        <w:rPr>
          <w:rFonts w:ascii="宋体" w:cs="宋体"/>
          <w:color w:val="000000" w:themeColor="text1"/>
          <w:kern w:val="0"/>
          <w:sz w:val="24"/>
          <w:szCs w:val="24"/>
          <w14:textFill>
            <w14:solidFill>
              <w14:schemeClr w14:val="tx1"/>
            </w14:solidFill>
          </w14:textFill>
        </w:rPr>
      </w:pPr>
    </w:p>
    <w:p>
      <w:pPr>
        <w:widowControl/>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说明：</w:t>
      </w:r>
    </w:p>
    <w:p>
      <w:pPr>
        <w:widowControl/>
        <w:jc w:val="left"/>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、本声明函主要供参加政府采购活动的中小企业填写，非中小企业无需填写。</w:t>
      </w:r>
    </w:p>
    <w:p>
      <w:pPr>
        <w:widowControl/>
        <w:jc w:val="left"/>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、小型、微型企业提供中型企业制造的货物、服务的，视同为中型企业。</w:t>
      </w:r>
    </w:p>
    <w:p>
      <w:pPr>
        <w:widowControl/>
        <w:jc w:val="left"/>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、按《财政部、司法部关于政府采购支持监狱企业发展有关问题的通知》（财库〔</w:t>
      </w:r>
      <w:r>
        <w:rPr>
          <w:rFonts w:ascii="宋体" w:hAnsi="宋体" w:cs="宋体"/>
          <w:color w:val="000000" w:themeColor="text1"/>
          <w:kern w:val="0"/>
          <w:sz w:val="24"/>
          <w:szCs w:val="24"/>
          <w14:textFill>
            <w14:solidFill>
              <w14:schemeClr w14:val="tx1"/>
            </w14:solidFill>
          </w14:textFill>
        </w:rPr>
        <w:t>2014</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68</w:t>
      </w:r>
      <w:r>
        <w:rPr>
          <w:rFonts w:hint="eastAsia" w:ascii="宋体" w:hAnsi="宋体" w:cs="宋体"/>
          <w:color w:val="000000" w:themeColor="text1"/>
          <w:kern w:val="0"/>
          <w:sz w:val="24"/>
          <w:szCs w:val="24"/>
          <w14:textFill>
            <w14:solidFill>
              <w14:schemeClr w14:val="tx1"/>
            </w14:solidFill>
          </w14:textFill>
        </w:rPr>
        <w:t>号）规定，</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为监狱企业的，视同小型、微型企业。</w:t>
      </w:r>
    </w:p>
    <w:p>
      <w:pPr>
        <w:widowControl/>
        <w:jc w:val="left"/>
        <w:rPr>
          <w:rFonts w:ascii="宋体" w:cs="宋体"/>
          <w:color w:val="000000" w:themeColor="text1"/>
          <w14:textFill>
            <w14:solidFill>
              <w14:schemeClr w14:val="tx1"/>
            </w14:solidFill>
          </w14:textFill>
        </w:rPr>
      </w:pPr>
    </w:p>
    <w:p>
      <w:pPr>
        <w:rPr>
          <w:rFonts w:ascii="宋体" w:cs="宋体"/>
          <w:color w:val="000000" w:themeColor="text1"/>
          <w14:textFill>
            <w14:solidFill>
              <w14:schemeClr w14:val="tx1"/>
            </w14:solidFill>
          </w14:textFill>
        </w:rPr>
      </w:pPr>
    </w:p>
    <w:p>
      <w:pPr>
        <w:snapToGrid w:val="0"/>
        <w:spacing w:beforeLines="50" w:after="50"/>
        <w:jc w:val="left"/>
        <w:rPr>
          <w:rFonts w:asci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、残疾人福利性单位声明函</w:t>
      </w:r>
    </w:p>
    <w:p>
      <w:pPr>
        <w:spacing w:line="588" w:lineRule="exact"/>
        <w:jc w:val="center"/>
        <w:rPr>
          <w:rFonts w:ascii="宋体" w:cs="宋体"/>
          <w:b/>
          <w:bCs/>
          <w:color w:val="000000" w:themeColor="text1"/>
          <w:spacing w:val="6"/>
          <w:sz w:val="24"/>
          <w:szCs w:val="24"/>
          <w14:textFill>
            <w14:solidFill>
              <w14:schemeClr w14:val="tx1"/>
            </w14:solidFill>
          </w14:textFill>
        </w:rPr>
      </w:pPr>
    </w:p>
    <w:p>
      <w:pPr>
        <w:spacing w:line="588" w:lineRule="exact"/>
        <w:jc w:val="center"/>
        <w:rPr>
          <w:rFonts w:ascii="宋体" w:cs="宋体"/>
          <w:b/>
          <w:bCs/>
          <w:color w:val="000000" w:themeColor="text1"/>
          <w:spacing w:val="6"/>
          <w:sz w:val="32"/>
          <w:szCs w:val="32"/>
          <w14:textFill>
            <w14:solidFill>
              <w14:schemeClr w14:val="tx1"/>
            </w14:solidFill>
          </w14:textFill>
        </w:rPr>
      </w:pPr>
      <w:r>
        <w:rPr>
          <w:rFonts w:hint="eastAsia" w:ascii="宋体" w:hAnsi="宋体" w:cs="宋体"/>
          <w:b/>
          <w:bCs/>
          <w:color w:val="000000" w:themeColor="text1"/>
          <w:spacing w:val="6"/>
          <w:sz w:val="32"/>
          <w:szCs w:val="32"/>
          <w14:textFill>
            <w14:solidFill>
              <w14:schemeClr w14:val="tx1"/>
            </w14:solidFill>
          </w14:textFill>
        </w:rPr>
        <w:t>残疾人福利性单位声明函</w:t>
      </w:r>
    </w:p>
    <w:p>
      <w:pPr>
        <w:spacing w:line="588" w:lineRule="exact"/>
        <w:rPr>
          <w:rFonts w:ascii="宋体" w:cs="宋体"/>
          <w:b/>
          <w:bCs/>
          <w:color w:val="000000" w:themeColor="text1"/>
          <w:spacing w:val="6"/>
          <w:sz w:val="24"/>
          <w:szCs w:val="24"/>
          <w14:textFill>
            <w14:solidFill>
              <w14:schemeClr w14:val="tx1"/>
            </w14:solidFill>
          </w14:textFill>
        </w:rPr>
      </w:pPr>
    </w:p>
    <w:p>
      <w:pPr>
        <w:spacing w:line="588" w:lineRule="exact"/>
        <w:ind w:firstLine="504" w:firstLineChars="200"/>
        <w:rPr>
          <w:rFonts w:asci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本单位郑重声明，根据《财政部民政部中国残疾人联合会关于促进残疾人就业政府采购政策的通知》（财库</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2017</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 xml:space="preserve"> 141</w:t>
      </w:r>
      <w:r>
        <w:rPr>
          <w:rFonts w:hint="eastAsia" w:ascii="宋体" w:hAnsi="宋体" w:cs="宋体"/>
          <w:color w:val="000000" w:themeColor="text1"/>
          <w:spacing w:val="6"/>
          <w:sz w:val="24"/>
          <w:szCs w:val="24"/>
          <w14:textFill>
            <w14:solidFill>
              <w14:schemeClr w14:val="tx1"/>
            </w14:solidFill>
          </w14:textFill>
        </w:rPr>
        <w:t>号）的规定，本单位为符合条件的残疾人福利性单位，且本单位参加</w:t>
      </w:r>
      <w:r>
        <w:rPr>
          <w:rFonts w:ascii="宋体" w:hAnsi="宋体" w:cs="宋体"/>
          <w:color w:val="000000" w:themeColor="text1"/>
          <w:spacing w:val="6"/>
          <w:sz w:val="24"/>
          <w:szCs w:val="24"/>
          <w14:textFill>
            <w14:solidFill>
              <w14:schemeClr w14:val="tx1"/>
            </w14:solidFill>
          </w14:textFill>
        </w:rPr>
        <w:t>______</w:t>
      </w:r>
      <w:r>
        <w:rPr>
          <w:rFonts w:hint="eastAsia" w:ascii="宋体" w:hAnsi="宋体" w:cs="宋体"/>
          <w:color w:val="000000" w:themeColor="text1"/>
          <w:spacing w:val="6"/>
          <w:sz w:val="24"/>
          <w:szCs w:val="24"/>
          <w14:textFill>
            <w14:solidFill>
              <w14:schemeClr w14:val="tx1"/>
            </w14:solidFill>
          </w14:textFill>
        </w:rPr>
        <w:t>单位的</w:t>
      </w:r>
      <w:r>
        <w:rPr>
          <w:rFonts w:ascii="宋体" w:hAnsi="宋体" w:cs="宋体"/>
          <w:color w:val="000000" w:themeColor="text1"/>
          <w:spacing w:val="6"/>
          <w:sz w:val="24"/>
          <w:szCs w:val="24"/>
          <w14:textFill>
            <w14:solidFill>
              <w14:schemeClr w14:val="tx1"/>
            </w14:solidFill>
          </w14:textFill>
        </w:rPr>
        <w:t>______</w:t>
      </w:r>
      <w:r>
        <w:rPr>
          <w:rFonts w:hint="eastAsia" w:ascii="宋体" w:hAnsi="宋体" w:cs="宋体"/>
          <w:color w:val="000000" w:themeColor="text1"/>
          <w:spacing w:val="6"/>
          <w:sz w:val="24"/>
          <w:szCs w:val="24"/>
          <w14:textFill>
            <w14:solidFill>
              <w14:schemeClr w14:val="tx1"/>
            </w14:solidFill>
          </w14:textFill>
        </w:rPr>
        <w:t>项目采购活动提供本单位制造的货物（由本单位承担工程</w:t>
      </w:r>
      <w:r>
        <w:rPr>
          <w:rFonts w:ascii="宋体" w:hAnsi="宋体" w:cs="宋体"/>
          <w:color w:val="000000" w:themeColor="text1"/>
          <w:spacing w:val="6"/>
          <w:sz w:val="24"/>
          <w:szCs w:val="24"/>
          <w14:textFill>
            <w14:solidFill>
              <w14:schemeClr w14:val="tx1"/>
            </w14:solidFill>
          </w14:textFill>
        </w:rPr>
        <w:t>/</w:t>
      </w:r>
      <w:r>
        <w:rPr>
          <w:rFonts w:hint="eastAsia" w:ascii="宋体" w:hAnsi="宋体" w:cs="宋体"/>
          <w:color w:val="000000" w:themeColor="text1"/>
          <w:spacing w:val="6"/>
          <w:sz w:val="24"/>
          <w:szCs w:val="24"/>
          <w14:textFill>
            <w14:solidFill>
              <w14:schemeClr w14:val="tx1"/>
            </w14:solidFill>
          </w14:textFill>
        </w:rPr>
        <w:t>提供服务），或者提供其他残疾人福利性单位制造的货物（不包括使用非残疾人福利性单位注册商标的货物）。</w:t>
      </w:r>
    </w:p>
    <w:p>
      <w:pPr>
        <w:spacing w:line="588" w:lineRule="exact"/>
        <w:ind w:firstLine="504" w:firstLineChars="200"/>
        <w:rPr>
          <w:rFonts w:asci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本单位对上述声明的真实性负责。如有虚假，将依法承担相应责任。</w:t>
      </w:r>
    </w:p>
    <w:p>
      <w:pPr>
        <w:spacing w:line="588" w:lineRule="exact"/>
        <w:ind w:firstLine="504" w:firstLineChars="200"/>
        <w:rPr>
          <w:rFonts w:ascii="宋体" w:cs="宋体"/>
          <w:color w:val="000000" w:themeColor="text1"/>
          <w:spacing w:val="6"/>
          <w:sz w:val="24"/>
          <w:szCs w:val="24"/>
          <w14:textFill>
            <w14:solidFill>
              <w14:schemeClr w14:val="tx1"/>
            </w14:solidFill>
          </w14:textFill>
        </w:rPr>
      </w:pPr>
    </w:p>
    <w:p>
      <w:pPr>
        <w:spacing w:line="588" w:lineRule="exact"/>
        <w:ind w:firstLine="504" w:firstLineChars="200"/>
        <w:rPr>
          <w:rFonts w:ascii="宋体" w:cs="宋体"/>
          <w:color w:val="000000" w:themeColor="text1"/>
          <w:spacing w:val="6"/>
          <w:sz w:val="24"/>
          <w:szCs w:val="24"/>
          <w14:textFill>
            <w14:solidFill>
              <w14:schemeClr w14:val="tx1"/>
            </w14:solidFill>
          </w14:textFill>
        </w:rPr>
      </w:pPr>
    </w:p>
    <w:p>
      <w:pPr>
        <w:tabs>
          <w:tab w:val="left" w:pos="4860"/>
        </w:tabs>
        <w:spacing w:line="588" w:lineRule="exact"/>
        <w:ind w:right="930" w:firstLine="504" w:firstLineChars="200"/>
        <w:jc w:val="right"/>
        <w:rPr>
          <w:rFonts w:asci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单位名称（盖章）：</w:t>
      </w:r>
    </w:p>
    <w:p>
      <w:pPr>
        <w:autoSpaceDE w:val="0"/>
        <w:autoSpaceDN w:val="0"/>
        <w:spacing w:line="300" w:lineRule="auto"/>
        <w:ind w:left="480" w:right="504" w:hanging="480"/>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日期：</w:t>
      </w:r>
    </w:p>
    <w:p>
      <w:pPr>
        <w:autoSpaceDE w:val="0"/>
        <w:autoSpaceDN w:val="0"/>
        <w:spacing w:line="300" w:lineRule="auto"/>
        <w:ind w:left="480" w:hanging="480"/>
        <w:rPr>
          <w:rFonts w:ascii="宋体" w:cs="宋体"/>
          <w:color w:val="000000" w:themeColor="text1"/>
          <w14:textFill>
            <w14:solidFill>
              <w14:schemeClr w14:val="tx1"/>
            </w14:solidFill>
          </w14:textFill>
        </w:rPr>
      </w:pPr>
    </w:p>
    <w:p>
      <w:pPr>
        <w:autoSpaceDE w:val="0"/>
        <w:autoSpaceDN w:val="0"/>
        <w:spacing w:line="300" w:lineRule="auto"/>
        <w:ind w:left="480" w:hanging="480"/>
        <w:rPr>
          <w:rFonts w:ascii="宋体" w:cs="宋体"/>
          <w:color w:val="000000" w:themeColor="text1"/>
          <w14:textFill>
            <w14:solidFill>
              <w14:schemeClr w14:val="tx1"/>
            </w14:solidFill>
          </w14:textFill>
        </w:rPr>
      </w:pPr>
    </w:p>
    <w:p>
      <w:pPr>
        <w:snapToGrid w:val="0"/>
        <w:spacing w:beforeLines="50" w:after="50"/>
        <w:jc w:val="left"/>
        <w:rPr>
          <w:rFonts w:ascii="宋体" w:cs="宋体"/>
          <w:color w:val="000000" w:themeColor="text1"/>
          <w14:textFill>
            <w14:solidFill>
              <w14:schemeClr w14:val="tx1"/>
            </w14:solidFill>
          </w14:textFill>
        </w:rPr>
      </w:pPr>
      <w:r>
        <w:rPr>
          <w:rFonts w:ascii="宋体" w:cs="宋体"/>
          <w:color w:val="000000" w:themeColor="text1"/>
          <w:sz w:val="24"/>
          <w:szCs w:val="24"/>
          <w14:textFill>
            <w14:solidFill>
              <w14:schemeClr w14:val="tx1"/>
            </w14:solidFill>
          </w14:textFill>
        </w:rPr>
        <w:br w:type="page"/>
      </w:r>
      <w:r>
        <w:rPr>
          <w:rFonts w:ascii="宋体" w:hAnsi="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14:textFill>
            <w14:solidFill>
              <w14:schemeClr w14:val="tx1"/>
            </w14:solidFill>
          </w14:textFill>
        </w:rPr>
        <w:t>、中小企业声明函</w:t>
      </w:r>
    </w:p>
    <w:p>
      <w:pPr>
        <w:rPr>
          <w:rFonts w:ascii="宋体" w:cs="宋体"/>
          <w:color w:val="000000" w:themeColor="text1"/>
          <w14:textFill>
            <w14:solidFill>
              <w14:schemeClr w14:val="tx1"/>
            </w14:solidFill>
          </w14:textFill>
        </w:rPr>
      </w:pPr>
    </w:p>
    <w:p>
      <w:pPr>
        <w:spacing w:line="588" w:lineRule="exact"/>
        <w:jc w:val="center"/>
        <w:rPr>
          <w:rFonts w:ascii="宋体" w:cs="宋体"/>
          <w:b/>
          <w:bCs/>
          <w:color w:val="000000" w:themeColor="text1"/>
          <w:spacing w:val="6"/>
          <w:sz w:val="32"/>
          <w:szCs w:val="32"/>
          <w14:textFill>
            <w14:solidFill>
              <w14:schemeClr w14:val="tx1"/>
            </w14:solidFill>
          </w14:textFill>
        </w:rPr>
      </w:pPr>
      <w:r>
        <w:rPr>
          <w:rFonts w:hint="eastAsia" w:ascii="宋体" w:hAnsi="宋体" w:cs="宋体"/>
          <w:b/>
          <w:bCs/>
          <w:color w:val="000000" w:themeColor="text1"/>
          <w:spacing w:val="6"/>
          <w:sz w:val="32"/>
          <w:szCs w:val="32"/>
          <w14:textFill>
            <w14:solidFill>
              <w14:schemeClr w14:val="tx1"/>
            </w14:solidFill>
          </w14:textFill>
        </w:rPr>
        <w:t>中小企业声明函</w:t>
      </w:r>
    </w:p>
    <w:p>
      <w:pPr>
        <w:spacing w:line="588" w:lineRule="exact"/>
        <w:rPr>
          <w:rFonts w:ascii="宋体" w:cs="宋体"/>
          <w:b/>
          <w:bCs/>
          <w:color w:val="000000" w:themeColor="text1"/>
          <w:spacing w:val="6"/>
          <w:sz w:val="30"/>
          <w:szCs w:val="30"/>
          <w14:textFill>
            <w14:solidFill>
              <w14:schemeClr w14:val="tx1"/>
            </w14:solidFill>
          </w14:textFill>
        </w:rPr>
      </w:pPr>
    </w:p>
    <w:p>
      <w:pPr>
        <w:spacing w:line="588" w:lineRule="exact"/>
        <w:ind w:firstLine="504" w:firstLineChars="200"/>
        <w:rPr>
          <w:rFonts w:asci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本公司郑重声明，根据《政府采购促进中小企业发展暂行办法》（财库</w:t>
      </w:r>
      <w:r>
        <w:rPr>
          <w:rFonts w:ascii="宋体" w:hAnsi="宋体" w:cs="宋体"/>
          <w:color w:val="000000" w:themeColor="text1"/>
          <w:spacing w:val="6"/>
          <w:sz w:val="24"/>
          <w:szCs w:val="24"/>
          <w14:textFill>
            <w14:solidFill>
              <w14:schemeClr w14:val="tx1"/>
            </w14:solidFill>
          </w14:textFill>
        </w:rPr>
        <w:t>[2011]181</w:t>
      </w:r>
      <w:r>
        <w:rPr>
          <w:rFonts w:hint="eastAsia" w:ascii="宋体" w:hAnsi="宋体" w:cs="宋体"/>
          <w:color w:val="000000" w:themeColor="text1"/>
          <w:spacing w:val="6"/>
          <w:sz w:val="24"/>
          <w:szCs w:val="24"/>
          <w14:textFill>
            <w14:solidFill>
              <w14:schemeClr w14:val="tx1"/>
            </w14:solidFill>
          </w14:textFill>
        </w:rPr>
        <w:t>号）的规定，本公司为</w:t>
      </w:r>
      <w:r>
        <w:rPr>
          <w:rFonts w:ascii="宋体" w:hAnsi="宋体" w:cs="宋体"/>
          <w:color w:val="000000" w:themeColor="text1"/>
          <w:spacing w:val="6"/>
          <w:sz w:val="24"/>
          <w:szCs w:val="24"/>
          <w14:textFill>
            <w14:solidFill>
              <w14:schemeClr w14:val="tx1"/>
            </w14:solidFill>
          </w14:textFill>
        </w:rPr>
        <w:t>______</w:t>
      </w:r>
      <w:r>
        <w:rPr>
          <w:rFonts w:hint="eastAsia" w:ascii="宋体" w:hAnsi="宋体" w:cs="宋体"/>
          <w:color w:val="000000" w:themeColor="text1"/>
          <w:spacing w:val="6"/>
          <w:sz w:val="24"/>
          <w:szCs w:val="24"/>
          <w14:textFill>
            <w14:solidFill>
              <w14:schemeClr w14:val="tx1"/>
            </w14:solidFill>
          </w14:textFill>
        </w:rPr>
        <w:t>（请填写：中型、小型、微型）企业。即，本公司同时满足以下条件：</w:t>
      </w:r>
    </w:p>
    <w:p>
      <w:pPr>
        <w:spacing w:line="588" w:lineRule="exact"/>
        <w:ind w:firstLine="504" w:firstLineChars="200"/>
        <w:rPr>
          <w:rFonts w:ascii="宋体" w:cs="宋体"/>
          <w:color w:val="000000" w:themeColor="text1"/>
          <w:spacing w:val="6"/>
          <w:sz w:val="24"/>
          <w:szCs w:val="24"/>
          <w14:textFill>
            <w14:solidFill>
              <w14:schemeClr w14:val="tx1"/>
            </w14:solidFill>
          </w14:textFill>
        </w:rPr>
      </w:pPr>
      <w:r>
        <w:rPr>
          <w:rFonts w:ascii="宋体" w:hAnsi="宋体" w:cs="宋体"/>
          <w:color w:val="000000" w:themeColor="text1"/>
          <w:spacing w:val="6"/>
          <w:sz w:val="24"/>
          <w:szCs w:val="24"/>
          <w14:textFill>
            <w14:solidFill>
              <w14:schemeClr w14:val="tx1"/>
            </w14:solidFill>
          </w14:textFill>
        </w:rPr>
        <w:t>1.</w:t>
      </w:r>
      <w:r>
        <w:rPr>
          <w:rFonts w:hint="eastAsia" w:ascii="宋体" w:hAnsi="宋体" w:cs="宋体"/>
          <w:color w:val="000000" w:themeColor="text1"/>
          <w:spacing w:val="6"/>
          <w:sz w:val="24"/>
          <w:szCs w:val="24"/>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宋体"/>
          <w:color w:val="000000" w:themeColor="text1"/>
          <w:spacing w:val="6"/>
          <w:sz w:val="24"/>
          <w:szCs w:val="24"/>
          <w14:textFill>
            <w14:solidFill>
              <w14:schemeClr w14:val="tx1"/>
            </w14:solidFill>
          </w14:textFill>
        </w:rPr>
        <w:t>[2011]300</w:t>
      </w:r>
      <w:r>
        <w:rPr>
          <w:rFonts w:hint="eastAsia" w:ascii="宋体" w:hAnsi="宋体" w:cs="宋体"/>
          <w:color w:val="000000" w:themeColor="text1"/>
          <w:spacing w:val="6"/>
          <w:sz w:val="24"/>
          <w:szCs w:val="24"/>
          <w14:textFill>
            <w14:solidFill>
              <w14:schemeClr w14:val="tx1"/>
            </w14:solidFill>
          </w14:textFill>
        </w:rPr>
        <w:t>号）规定的划分标准，本公司为</w:t>
      </w:r>
      <w:r>
        <w:rPr>
          <w:rFonts w:ascii="宋体" w:hAnsi="宋体" w:cs="宋体"/>
          <w:color w:val="000000" w:themeColor="text1"/>
          <w:spacing w:val="6"/>
          <w:sz w:val="24"/>
          <w:szCs w:val="24"/>
          <w14:textFill>
            <w14:solidFill>
              <w14:schemeClr w14:val="tx1"/>
            </w14:solidFill>
          </w14:textFill>
        </w:rPr>
        <w:t>______</w:t>
      </w:r>
      <w:r>
        <w:rPr>
          <w:rFonts w:hint="eastAsia" w:ascii="宋体" w:hAnsi="宋体" w:cs="宋体"/>
          <w:color w:val="000000" w:themeColor="text1"/>
          <w:spacing w:val="6"/>
          <w:sz w:val="24"/>
          <w:szCs w:val="24"/>
          <w14:textFill>
            <w14:solidFill>
              <w14:schemeClr w14:val="tx1"/>
            </w14:solidFill>
          </w14:textFill>
        </w:rPr>
        <w:t>（请填写：中型、小型、微型）企业。</w:t>
      </w:r>
    </w:p>
    <w:p>
      <w:pPr>
        <w:spacing w:line="588" w:lineRule="exact"/>
        <w:ind w:firstLine="504" w:firstLineChars="200"/>
        <w:rPr>
          <w:rFonts w:ascii="宋体" w:cs="宋体"/>
          <w:color w:val="000000" w:themeColor="text1"/>
          <w:spacing w:val="6"/>
          <w:sz w:val="24"/>
          <w:szCs w:val="24"/>
          <w14:textFill>
            <w14:solidFill>
              <w14:schemeClr w14:val="tx1"/>
            </w14:solidFill>
          </w14:textFill>
        </w:rPr>
      </w:pPr>
      <w:r>
        <w:rPr>
          <w:rFonts w:ascii="宋体" w:hAnsi="宋体" w:cs="宋体"/>
          <w:color w:val="000000" w:themeColor="text1"/>
          <w:spacing w:val="6"/>
          <w:sz w:val="24"/>
          <w:szCs w:val="24"/>
          <w14:textFill>
            <w14:solidFill>
              <w14:schemeClr w14:val="tx1"/>
            </w14:solidFill>
          </w14:textFill>
        </w:rPr>
        <w:t>2.</w:t>
      </w:r>
      <w:r>
        <w:rPr>
          <w:rFonts w:hint="eastAsia" w:ascii="宋体" w:hAnsi="宋体" w:cs="宋体"/>
          <w:color w:val="000000" w:themeColor="text1"/>
          <w:spacing w:val="6"/>
          <w:sz w:val="24"/>
          <w:szCs w:val="24"/>
          <w14:textFill>
            <w14:solidFill>
              <w14:schemeClr w14:val="tx1"/>
            </w14:solidFill>
          </w14:textFill>
        </w:rPr>
        <w:t>本公司参加</w:t>
      </w:r>
      <w:r>
        <w:rPr>
          <w:rFonts w:ascii="宋体" w:hAnsi="宋体" w:cs="宋体"/>
          <w:color w:val="000000" w:themeColor="text1"/>
          <w:spacing w:val="6"/>
          <w:sz w:val="24"/>
          <w:szCs w:val="24"/>
          <w14:textFill>
            <w14:solidFill>
              <w14:schemeClr w14:val="tx1"/>
            </w14:solidFill>
          </w14:textFill>
        </w:rPr>
        <w:t>______</w:t>
      </w:r>
      <w:r>
        <w:rPr>
          <w:rFonts w:hint="eastAsia" w:ascii="宋体" w:hAnsi="宋体" w:cs="宋体"/>
          <w:color w:val="000000" w:themeColor="text1"/>
          <w:spacing w:val="6"/>
          <w:sz w:val="24"/>
          <w:szCs w:val="24"/>
          <w14:textFill>
            <w14:solidFill>
              <w14:schemeClr w14:val="tx1"/>
            </w14:solidFill>
          </w14:textFill>
        </w:rPr>
        <w:t>单位的</w:t>
      </w:r>
      <w:r>
        <w:rPr>
          <w:rFonts w:ascii="宋体" w:hAnsi="宋体" w:cs="宋体"/>
          <w:color w:val="000000" w:themeColor="text1"/>
          <w:spacing w:val="6"/>
          <w:sz w:val="24"/>
          <w:szCs w:val="24"/>
          <w14:textFill>
            <w14:solidFill>
              <w14:schemeClr w14:val="tx1"/>
            </w14:solidFill>
          </w14:textFill>
        </w:rPr>
        <w:t>______</w:t>
      </w:r>
      <w:r>
        <w:rPr>
          <w:rFonts w:hint="eastAsia" w:ascii="宋体" w:hAnsi="宋体" w:cs="宋体"/>
          <w:color w:val="000000" w:themeColor="text1"/>
          <w:spacing w:val="6"/>
          <w:sz w:val="24"/>
          <w:szCs w:val="24"/>
          <w14:textFill>
            <w14:solidFill>
              <w14:schemeClr w14:val="tx1"/>
            </w14:solidFill>
          </w14:textFill>
        </w:rPr>
        <w:t>项目采购活动提供本企业制造的货物，由本企业承担工程、提供服务，或者提供其他</w:t>
      </w:r>
      <w:r>
        <w:rPr>
          <w:rFonts w:ascii="宋体" w:hAnsi="宋体" w:cs="宋体"/>
          <w:color w:val="000000" w:themeColor="text1"/>
          <w:spacing w:val="6"/>
          <w:sz w:val="24"/>
          <w:szCs w:val="24"/>
          <w14:textFill>
            <w14:solidFill>
              <w14:schemeClr w14:val="tx1"/>
            </w14:solidFill>
          </w14:textFill>
        </w:rPr>
        <w:t>______</w:t>
      </w:r>
      <w:r>
        <w:rPr>
          <w:rFonts w:hint="eastAsia" w:ascii="宋体" w:hAnsi="宋体" w:cs="宋体"/>
          <w:color w:val="000000" w:themeColor="text1"/>
          <w:spacing w:val="6"/>
          <w:sz w:val="24"/>
          <w:szCs w:val="24"/>
          <w14:textFill>
            <w14:solidFill>
              <w14:schemeClr w14:val="tx1"/>
            </w14:solidFill>
          </w14:textFill>
        </w:rPr>
        <w:t>（请填写：中型、小型、微型）企业制造的货物。本条所称货物不包括使用大型企业注册商标的货物。</w:t>
      </w:r>
    </w:p>
    <w:p>
      <w:pPr>
        <w:spacing w:line="588" w:lineRule="exact"/>
        <w:ind w:firstLine="504" w:firstLineChars="200"/>
        <w:rPr>
          <w:rFonts w:asci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本公司对上述声明的真实性负责。如有虚假，将依法承担相应责任。</w:t>
      </w:r>
    </w:p>
    <w:p>
      <w:pPr>
        <w:spacing w:line="588" w:lineRule="exact"/>
        <w:ind w:firstLine="504" w:firstLineChars="200"/>
        <w:rPr>
          <w:rFonts w:ascii="宋体" w:cs="宋体"/>
          <w:color w:val="000000" w:themeColor="text1"/>
          <w:spacing w:val="6"/>
          <w:sz w:val="24"/>
          <w:szCs w:val="24"/>
          <w14:textFill>
            <w14:solidFill>
              <w14:schemeClr w14:val="tx1"/>
            </w14:solidFill>
          </w14:textFill>
        </w:rPr>
      </w:pPr>
    </w:p>
    <w:p>
      <w:pPr>
        <w:spacing w:line="588" w:lineRule="exact"/>
        <w:ind w:firstLine="504" w:firstLineChars="200"/>
        <w:rPr>
          <w:rFonts w:ascii="宋体" w:cs="宋体"/>
          <w:color w:val="000000" w:themeColor="text1"/>
          <w:spacing w:val="6"/>
          <w:sz w:val="24"/>
          <w:szCs w:val="24"/>
          <w14:textFill>
            <w14:solidFill>
              <w14:schemeClr w14:val="tx1"/>
            </w14:solidFill>
          </w14:textFill>
        </w:rPr>
      </w:pPr>
    </w:p>
    <w:p>
      <w:pPr>
        <w:tabs>
          <w:tab w:val="left" w:pos="4860"/>
        </w:tabs>
        <w:spacing w:line="588" w:lineRule="exact"/>
        <w:ind w:right="1560" w:firstLine="504" w:firstLineChars="200"/>
        <w:jc w:val="center"/>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企业名称（盖章）：</w:t>
      </w:r>
    </w:p>
    <w:p>
      <w:pPr>
        <w:snapToGrid w:val="0"/>
        <w:spacing w:beforeLines="50" w:line="500" w:lineRule="exact"/>
        <w:ind w:left="1480" w:leftChars="650" w:hanging="115" w:hangingChars="46"/>
        <w:jc w:val="left"/>
        <w:rPr>
          <w:rFonts w:ascii="宋体" w:cs="宋体"/>
          <w:color w:val="000000" w:themeColor="text1"/>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日期：</w:t>
      </w:r>
    </w:p>
    <w:sectPr>
      <w:pgSz w:w="11906" w:h="16838"/>
      <w:pgMar w:top="1134" w:right="1134" w:bottom="1134" w:left="1134"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fldChar w:fldCharType="begin"/>
    </w:r>
    <w:r>
      <w:instrText xml:space="preserve"> PAGE   \* MERGEFORMAT </w:instrText>
    </w:r>
    <w:r>
      <w:fldChar w:fldCharType="separate"/>
    </w:r>
    <w:r>
      <w:rPr>
        <w:lang w:val="zh-CN"/>
      </w:rPr>
      <w:t>12</w:t>
    </w:r>
    <w:r>
      <w:rPr>
        <w:lang w:val="zh-CN"/>
      </w:rPr>
      <w:fldChar w:fldCharType="end"/>
    </w:r>
  </w:p>
  <w:p>
    <w:pPr>
      <w:pStyle w:val="3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rPr>
                              <w:rFonts w:cs="Times New Roman"/>
                            </w:rPr>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ZCXM0BAACnAwAADgAAAGRycy9lMm9Eb2MueG1srVPNjtMwEL4j8Q6W&#10;7zRph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e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eZCXM0BAACnAwAADgAAAAAAAAABACAAAAAeAQAAZHJzL2Uy&#10;b0RvYy54bWxQSwUGAAAAAAYABgBZAQAAXQUAAAAA&#10;">
              <v:fill on="f" focussize="0,0"/>
              <v:stroke on="f"/>
              <v:imagedata o:title=""/>
              <o:lock v:ext="edit" aspectratio="f"/>
              <v:textbox inset="0mm,0mm,0mm,0mm" style="mso-fit-shape-to-text:t;">
                <w:txbxContent>
                  <w:p>
                    <w:pPr>
                      <w:pStyle w:val="30"/>
                      <w:rPr>
                        <w:rFonts w:cs="Times New Roman"/>
                      </w:rPr>
                    </w:pPr>
                    <w:r>
                      <w:fldChar w:fldCharType="begin"/>
                    </w:r>
                    <w:r>
                      <w:instrText xml:space="preserve"> PAGE  \* MERGEFORMAT </w:instrText>
                    </w:r>
                    <w:r>
                      <w:fldChar w:fldCharType="separate"/>
                    </w:r>
                    <w:r>
                      <w:t>55</w:t>
                    </w:r>
                    <w:r>
                      <w:fldChar w:fldCharType="end"/>
                    </w:r>
                  </w:p>
                </w:txbxContent>
              </v:textbox>
            </v:shape>
          </w:pict>
        </mc:Fallback>
      </mc:AlternateContent>
    </w:r>
  </w:p>
  <w:p>
    <w:pPr>
      <w:pStyle w:val="3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rPr>
                              <w:rFonts w:cs="Times New Roman"/>
                            </w:rPr>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SCX80BAACnAwAADgAAAGRycy9lMm9Eb2MueG1srVNLbtswEN0XyB0I&#10;7mPJBlo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6FtKLDP44Ofv384/fp1/fiVV&#10;kqf3UGPVk8e6ONy5AZdmjgMGE+tBBpO+yIdgHsU9XcQVQyQ8XapWVVViimNudhC/eL7uA8T3whmS&#10;jIYGfL0sKjs+QhxL55LUzbp7pXV+QW3/CiDmGBF5Babbick4cbLisBsmejvXnpBdj2vQUItbT4l+&#10;sKhy2pjZCLOxm42DD2rf4aDLPCX420PEkfKkqcMIiwyTg++XuU67lhbkTz9XPf9f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DDSCX80BAACnAwAADgAAAAAAAAABACAAAAAeAQAAZHJzL2Uy&#10;b0RvYy54bWxQSwUGAAAAAAYABgBZAQAAXQUAAAAA&#10;">
              <v:fill on="f" focussize="0,0"/>
              <v:stroke on="f"/>
              <v:imagedata o:title=""/>
              <o:lock v:ext="edit" aspectratio="f"/>
              <v:textbox inset="0mm,0mm,0mm,0mm" style="mso-fit-shape-to-text:t;">
                <w:txbxContent>
                  <w:p>
                    <w:pPr>
                      <w:pStyle w:val="30"/>
                      <w:rPr>
                        <w:rFonts w:cs="Times New Roman"/>
                      </w:rPr>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cs="Times New Roman"/>
      </w:rPr>
    </w:pPr>
    <w:r>
      <w:rPr>
        <w:rFonts w:hint="eastAsia" w:ascii="宋体" w:hAnsi="宋体" w:cs="宋体"/>
      </w:rPr>
      <w:t>广西建展建设工程管理集团有限公司竞争性磋商文件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D4966"/>
    <w:multiLevelType w:val="singleLevel"/>
    <w:tmpl w:val="862D4966"/>
    <w:lvl w:ilvl="0" w:tentative="0">
      <w:start w:val="2"/>
      <w:numFmt w:val="decimal"/>
      <w:suff w:val="nothing"/>
      <w:lvlText w:val="%1、"/>
      <w:lvlJc w:val="left"/>
    </w:lvl>
  </w:abstractNum>
  <w:abstractNum w:abstractNumId="1">
    <w:nsid w:val="905E578B"/>
    <w:multiLevelType w:val="singleLevel"/>
    <w:tmpl w:val="905E578B"/>
    <w:lvl w:ilvl="0" w:tentative="0">
      <w:start w:val="1"/>
      <w:numFmt w:val="decimal"/>
      <w:lvlText w:val="%1."/>
      <w:lvlJc w:val="left"/>
      <w:pPr>
        <w:tabs>
          <w:tab w:val="left" w:pos="312"/>
        </w:tabs>
      </w:pPr>
    </w:lvl>
  </w:abstractNum>
  <w:abstractNum w:abstractNumId="2">
    <w:nsid w:val="9874BADC"/>
    <w:multiLevelType w:val="singleLevel"/>
    <w:tmpl w:val="9874BADC"/>
    <w:lvl w:ilvl="0" w:tentative="0">
      <w:start w:val="1"/>
      <w:numFmt w:val="decimal"/>
      <w:pStyle w:val="15"/>
      <w:lvlText w:val="%1."/>
      <w:lvlJc w:val="left"/>
      <w:pPr>
        <w:tabs>
          <w:tab w:val="left" w:pos="360"/>
        </w:tabs>
        <w:ind w:left="360" w:hanging="360"/>
      </w:pPr>
    </w:lvl>
  </w:abstractNum>
  <w:abstractNum w:abstractNumId="3">
    <w:nsid w:val="99806C98"/>
    <w:multiLevelType w:val="singleLevel"/>
    <w:tmpl w:val="99806C98"/>
    <w:lvl w:ilvl="0" w:tentative="0">
      <w:start w:val="1"/>
      <w:numFmt w:val="decimal"/>
      <w:lvlText w:val="%1."/>
      <w:lvlJc w:val="left"/>
      <w:pPr>
        <w:tabs>
          <w:tab w:val="left" w:pos="312"/>
        </w:tabs>
      </w:pPr>
    </w:lvl>
  </w:abstractNum>
  <w:abstractNum w:abstractNumId="4">
    <w:nsid w:val="A7498AFD"/>
    <w:multiLevelType w:val="singleLevel"/>
    <w:tmpl w:val="A7498AFD"/>
    <w:lvl w:ilvl="0" w:tentative="0">
      <w:start w:val="1"/>
      <w:numFmt w:val="decimal"/>
      <w:lvlText w:val="%1."/>
      <w:lvlJc w:val="left"/>
      <w:pPr>
        <w:tabs>
          <w:tab w:val="left" w:pos="312"/>
        </w:tabs>
      </w:pPr>
    </w:lvl>
  </w:abstractNum>
  <w:abstractNum w:abstractNumId="5">
    <w:nsid w:val="C6A8827E"/>
    <w:multiLevelType w:val="singleLevel"/>
    <w:tmpl w:val="C6A8827E"/>
    <w:lvl w:ilvl="0" w:tentative="0">
      <w:start w:val="3"/>
      <w:numFmt w:val="decimal"/>
      <w:suff w:val="nothing"/>
      <w:lvlText w:val="（%1）"/>
      <w:lvlJc w:val="left"/>
    </w:lvl>
  </w:abstractNum>
  <w:abstractNum w:abstractNumId="6">
    <w:nsid w:val="D3B38530"/>
    <w:multiLevelType w:val="singleLevel"/>
    <w:tmpl w:val="D3B38530"/>
    <w:lvl w:ilvl="0" w:tentative="0">
      <w:start w:val="1"/>
      <w:numFmt w:val="decimal"/>
      <w:lvlText w:val="%1."/>
      <w:lvlJc w:val="left"/>
      <w:pPr>
        <w:tabs>
          <w:tab w:val="left" w:pos="312"/>
        </w:tabs>
      </w:pPr>
    </w:lvl>
  </w:abstractNum>
  <w:abstractNum w:abstractNumId="7">
    <w:nsid w:val="049E55D1"/>
    <w:multiLevelType w:val="multilevel"/>
    <w:tmpl w:val="049E55D1"/>
    <w:lvl w:ilvl="0" w:tentative="0">
      <w:start w:val="1"/>
      <w:numFmt w:val="decimal"/>
      <w:pStyle w:val="125"/>
      <w:lvlText w:val="%1."/>
      <w:lvlJc w:val="left"/>
      <w:pPr>
        <w:tabs>
          <w:tab w:val="left" w:pos="624"/>
        </w:tabs>
        <w:ind w:left="624" w:hanging="624"/>
      </w:pPr>
      <w:rPr>
        <w:rFonts w:hint="default" w:ascii="Arial" w:hAnsi="Arial" w:cs="Arial"/>
        <w:b/>
        <w:bCs/>
        <w:i w:val="0"/>
        <w:iCs w:val="0"/>
        <w:sz w:val="24"/>
        <w:szCs w:val="24"/>
      </w:rPr>
    </w:lvl>
    <w:lvl w:ilvl="1" w:tentative="0">
      <w:start w:val="1"/>
      <w:numFmt w:val="decimal"/>
      <w:pStyle w:val="148"/>
      <w:lvlText w:val="%1.%2"/>
      <w:lvlJc w:val="left"/>
      <w:pPr>
        <w:tabs>
          <w:tab w:val="left" w:pos="624"/>
        </w:tabs>
        <w:ind w:left="624" w:hanging="624"/>
      </w:pPr>
      <w:rPr>
        <w:rFonts w:hint="default" w:ascii="Arial" w:hAnsi="Arial" w:cs="Arial"/>
        <w:b w:val="0"/>
        <w:bCs w:val="0"/>
        <w:i w:val="0"/>
        <w:iCs w:val="0"/>
        <w:sz w:val="24"/>
        <w:szCs w:val="24"/>
      </w:rPr>
    </w:lvl>
    <w:lvl w:ilvl="2" w:tentative="0">
      <w:start w:val="1"/>
      <w:numFmt w:val="decimal"/>
      <w:pStyle w:val="145"/>
      <w:lvlText w:val="(%3)"/>
      <w:lvlJc w:val="left"/>
      <w:pPr>
        <w:tabs>
          <w:tab w:val="left" w:pos="624"/>
        </w:tabs>
        <w:ind w:left="624" w:hanging="624"/>
      </w:pPr>
      <w:rPr>
        <w:rFonts w:hint="default" w:ascii="Arial" w:hAnsi="Arial" w:cs="Arial"/>
        <w:b w:val="0"/>
        <w:bCs w:val="0"/>
        <w:i w:val="0"/>
        <w:iCs w:val="0"/>
        <w:sz w:val="24"/>
        <w:szCs w:val="24"/>
      </w:rPr>
    </w:lvl>
    <w:lvl w:ilvl="3" w:tentative="0">
      <w:start w:val="1"/>
      <w:numFmt w:val="decimal"/>
      <w:pStyle w:val="130"/>
      <w:lvlText w:val="%1.%2.%4"/>
      <w:lvlJc w:val="left"/>
      <w:pPr>
        <w:tabs>
          <w:tab w:val="left" w:pos="1361"/>
        </w:tabs>
        <w:ind w:left="1361" w:hanging="737"/>
      </w:pPr>
      <w:rPr>
        <w:rFonts w:hint="default" w:ascii="Arial" w:hAnsi="Arial" w:cs="Arial"/>
        <w:b w:val="0"/>
        <w:bCs w:val="0"/>
        <w:i w:val="0"/>
        <w:iCs w:val="0"/>
        <w:sz w:val="24"/>
        <w:szCs w:val="24"/>
      </w:rPr>
    </w:lvl>
    <w:lvl w:ilvl="4" w:tentative="0">
      <w:start w:val="1"/>
      <w:numFmt w:val="lowerLetter"/>
      <w:pStyle w:val="129"/>
      <w:lvlText w:val="(%5)"/>
      <w:lvlJc w:val="left"/>
      <w:pPr>
        <w:tabs>
          <w:tab w:val="left" w:pos="1361"/>
        </w:tabs>
        <w:ind w:left="1361" w:hanging="737"/>
      </w:pPr>
      <w:rPr>
        <w:rFonts w:hint="default" w:ascii="Arial" w:hAnsi="Arial" w:cs="Arial"/>
        <w:b w:val="0"/>
        <w:bCs w:val="0"/>
        <w:i w:val="0"/>
        <w:iCs w:val="0"/>
        <w:sz w:val="20"/>
        <w:szCs w:val="20"/>
      </w:rPr>
    </w:lvl>
    <w:lvl w:ilvl="5" w:tentative="0">
      <w:start w:val="1"/>
      <w:numFmt w:val="lowerRoman"/>
      <w:pStyle w:val="137"/>
      <w:lvlText w:val="(%6)"/>
      <w:lvlJc w:val="left"/>
      <w:pPr>
        <w:tabs>
          <w:tab w:val="left" w:pos="2041"/>
        </w:tabs>
        <w:ind w:left="2041" w:hanging="680"/>
      </w:pPr>
      <w:rPr>
        <w:rFonts w:hint="default" w:ascii="Arial" w:hAnsi="Arial" w:cs="Arial"/>
        <w:b w:val="0"/>
        <w:bCs w:val="0"/>
        <w:i w:val="0"/>
        <w:iCs w:val="0"/>
        <w:sz w:val="20"/>
        <w:szCs w:val="20"/>
      </w:rPr>
    </w:lvl>
    <w:lvl w:ilvl="6" w:tentative="0">
      <w:start w:val="1"/>
      <w:numFmt w:val="upperLetter"/>
      <w:pStyle w:val="138"/>
      <w:lvlText w:val="(%7)"/>
      <w:lvlJc w:val="left"/>
      <w:pPr>
        <w:tabs>
          <w:tab w:val="left" w:pos="2041"/>
        </w:tabs>
        <w:ind w:left="2041" w:hanging="680"/>
      </w:pPr>
      <w:rPr>
        <w:rFonts w:hint="default" w:ascii="Arial" w:hAnsi="Arial" w:cs="Arial"/>
        <w:b w:val="0"/>
        <w:bCs w:val="0"/>
        <w:i w:val="0"/>
        <w:iCs w:val="0"/>
        <w:sz w:val="20"/>
        <w:szCs w:val="20"/>
      </w:rPr>
    </w:lvl>
    <w:lvl w:ilvl="7" w:tentative="0">
      <w:start w:val="1"/>
      <w:numFmt w:val="upperLetter"/>
      <w:pStyle w:val="126"/>
      <w:lvlText w:val="(%8)"/>
      <w:lvlJc w:val="left"/>
      <w:pPr>
        <w:tabs>
          <w:tab w:val="left" w:pos="2722"/>
        </w:tabs>
        <w:ind w:left="2722" w:hanging="681"/>
      </w:pPr>
      <w:rPr>
        <w:rFonts w:hint="default" w:ascii="Arial" w:hAnsi="Arial" w:cs="Arial"/>
        <w:b w:val="0"/>
        <w:bCs w:val="0"/>
        <w:i w:val="0"/>
        <w:iCs w:val="0"/>
        <w:sz w:val="20"/>
        <w:szCs w:val="20"/>
      </w:rPr>
    </w:lvl>
    <w:lvl w:ilvl="8" w:tentative="0">
      <w:start w:val="1"/>
      <w:numFmt w:val="none"/>
      <w:lvlText w:val=""/>
      <w:lvlJc w:val="left"/>
      <w:pPr>
        <w:tabs>
          <w:tab w:val="left" w:pos="4320"/>
        </w:tabs>
        <w:ind w:left="4320" w:hanging="1440"/>
      </w:pPr>
      <w:rPr>
        <w:rFonts w:hint="eastAsia"/>
      </w:rPr>
    </w:lvl>
  </w:abstractNum>
  <w:abstractNum w:abstractNumId="8">
    <w:nsid w:val="0C48645C"/>
    <w:multiLevelType w:val="multilevel"/>
    <w:tmpl w:val="0C48645C"/>
    <w:lvl w:ilvl="0" w:tentative="0">
      <w:start w:val="1"/>
      <w:numFmt w:val="decimal"/>
      <w:pStyle w:val="128"/>
      <w:lvlText w:val="(%1)"/>
      <w:lvlJc w:val="left"/>
      <w:pPr>
        <w:tabs>
          <w:tab w:val="left" w:pos="680"/>
        </w:tabs>
        <w:ind w:left="680" w:hanging="680"/>
      </w:pPr>
      <w:rPr>
        <w:rFonts w:hint="default"/>
        <w:b/>
        <w:bCs/>
        <w:i w:val="0"/>
        <w:iCs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14EF5680"/>
    <w:multiLevelType w:val="singleLevel"/>
    <w:tmpl w:val="14EF5680"/>
    <w:lvl w:ilvl="0" w:tentative="0">
      <w:start w:val="1"/>
      <w:numFmt w:val="decimal"/>
      <w:pStyle w:val="140"/>
      <w:lvlText w:val="%1."/>
      <w:lvlJc w:val="left"/>
      <w:pPr>
        <w:tabs>
          <w:tab w:val="left" w:pos="480"/>
        </w:tabs>
        <w:ind w:left="480" w:hanging="480"/>
      </w:pPr>
      <w:rPr>
        <w:rFonts w:hint="default"/>
        <w:sz w:val="23"/>
        <w:szCs w:val="23"/>
      </w:rPr>
    </w:lvl>
  </w:abstractNum>
  <w:abstractNum w:abstractNumId="10">
    <w:nsid w:val="44DE2A04"/>
    <w:multiLevelType w:val="multilevel"/>
    <w:tmpl w:val="44DE2A04"/>
    <w:lvl w:ilvl="0" w:tentative="0">
      <w:start w:val="1"/>
      <w:numFmt w:val="decimal"/>
      <w:lvlText w:val="%1、"/>
      <w:lvlJc w:val="left"/>
      <w:pPr>
        <w:ind w:left="630" w:hanging="36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abstractNum w:abstractNumId="11">
    <w:nsid w:val="57EC4BDC"/>
    <w:multiLevelType w:val="multilevel"/>
    <w:tmpl w:val="57EC4BDC"/>
    <w:lvl w:ilvl="0" w:tentative="0">
      <w:start w:val="1"/>
      <w:numFmt w:val="chineseCountingThousand"/>
      <w:pStyle w:val="4"/>
      <w:lvlText w:val="第%1条."/>
      <w:lvlJc w:val="left"/>
      <w:pPr>
        <w:tabs>
          <w:tab w:val="left" w:pos="1080"/>
        </w:tabs>
      </w:pPr>
    </w:lvl>
    <w:lvl w:ilvl="1" w:tentative="0">
      <w:start w:val="1"/>
      <w:numFmt w:val="decimal"/>
      <w:lvlText w:val="3.%2."/>
      <w:lvlJc w:val="left"/>
      <w:pPr>
        <w:tabs>
          <w:tab w:val="left" w:pos="1140"/>
        </w:tabs>
        <w:ind w:left="420"/>
      </w:pPr>
      <w:rPr>
        <w:rFonts w:hint="eastAsia"/>
        <w:b/>
        <w:bCs/>
        <w:i w:val="0"/>
        <w:iCs w:val="0"/>
        <w:caps w:val="0"/>
        <w:strike w:val="0"/>
        <w:dstrike w:val="0"/>
        <w:shadow w:val="0"/>
        <w:emboss w:val="0"/>
        <w:imprint w:val="0"/>
        <w:vanish w:val="0"/>
        <w:sz w:val="24"/>
        <w:szCs w:val="24"/>
        <w:vertAlign w:val="baseline"/>
      </w:rPr>
    </w:lvl>
    <w:lvl w:ilvl="2" w:tentative="0">
      <w:start w:val="1"/>
      <w:numFmt w:val="decimal"/>
      <w:lvlText w:val="4.%3."/>
      <w:lvlJc w:val="left"/>
      <w:pPr>
        <w:tabs>
          <w:tab w:val="left" w:pos="1560"/>
        </w:tabs>
        <w:ind w:left="840"/>
      </w:pPr>
      <w:rPr>
        <w:rFonts w:hint="eastAsia" w:ascii="宋体" w:eastAsia="宋体"/>
        <w:b/>
        <w:bCs/>
        <w:i w:val="0"/>
        <w:iCs w:val="0"/>
        <w:caps w:val="0"/>
        <w:strike w:val="0"/>
        <w:dstrike w:val="0"/>
        <w:outline w:val="0"/>
        <w:shadow w:val="0"/>
        <w:emboss w:val="0"/>
        <w:imprint w:val="0"/>
        <w:vanish w:val="0"/>
        <w:sz w:val="24"/>
        <w:szCs w:val="24"/>
        <w:vertAlign w:val="baseline"/>
      </w:rPr>
    </w:lvl>
    <w:lvl w:ilvl="3" w:tentative="0">
      <w:start w:val="1"/>
      <w:numFmt w:val="decimal"/>
      <w:lvlText w:val="6.%4."/>
      <w:lvlJc w:val="left"/>
      <w:pPr>
        <w:tabs>
          <w:tab w:val="left" w:pos="1980"/>
        </w:tabs>
        <w:ind w:left="1260"/>
      </w:pPr>
      <w:rPr>
        <w:rFonts w:hint="eastAsia" w:ascii="宋体" w:eastAsia="宋体"/>
        <w:b/>
        <w:bCs/>
        <w:i w:val="0"/>
        <w:iCs w:val="0"/>
        <w:caps w:val="0"/>
        <w:strike w:val="0"/>
        <w:dstrike w:val="0"/>
        <w:outline w:val="0"/>
        <w:shadow w:val="0"/>
        <w:emboss w:val="0"/>
        <w:imprint w:val="0"/>
        <w:vanish w:val="0"/>
        <w:sz w:val="24"/>
        <w:szCs w:val="24"/>
        <w:vertAlign w:val="baseline"/>
      </w:rPr>
    </w:lvl>
    <w:lvl w:ilvl="4" w:tentative="0">
      <w:start w:val="1"/>
      <w:numFmt w:val="decimal"/>
      <w:lvlText w:val="12.%5."/>
      <w:lvlJc w:val="left"/>
      <w:pPr>
        <w:tabs>
          <w:tab w:val="left" w:pos="2400"/>
        </w:tabs>
        <w:ind w:left="1680"/>
      </w:pPr>
      <w:rPr>
        <w:rFonts w:hint="eastAsia" w:ascii="宋体" w:eastAsia="宋体"/>
        <w:b/>
        <w:bCs/>
        <w:i w:val="0"/>
        <w:iCs w:val="0"/>
        <w:caps w:val="0"/>
        <w:strike w:val="0"/>
        <w:dstrike w:val="0"/>
        <w:outline w:val="0"/>
        <w:shadow w:val="0"/>
        <w:emboss w:val="0"/>
        <w:imprint w:val="0"/>
        <w:vanish w:val="0"/>
        <w:sz w:val="24"/>
        <w:szCs w:val="24"/>
        <w:vertAlign w:val="baseline"/>
      </w:rPr>
    </w:lvl>
    <w:lvl w:ilvl="5" w:tentative="0">
      <w:start w:val="10"/>
      <w:numFmt w:val="decimal"/>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AB8A122"/>
    <w:multiLevelType w:val="singleLevel"/>
    <w:tmpl w:val="5AB8A122"/>
    <w:lvl w:ilvl="0" w:tentative="0">
      <w:start w:val="7"/>
      <w:numFmt w:val="chineseCounting"/>
      <w:suff w:val="nothing"/>
      <w:lvlText w:val="第%1章"/>
      <w:lvlJc w:val="left"/>
    </w:lvl>
  </w:abstractNum>
  <w:abstractNum w:abstractNumId="13">
    <w:nsid w:val="6B5030ED"/>
    <w:multiLevelType w:val="singleLevel"/>
    <w:tmpl w:val="6B5030ED"/>
    <w:lvl w:ilvl="0" w:tentative="0">
      <w:start w:val="1"/>
      <w:numFmt w:val="decimal"/>
      <w:pStyle w:val="142"/>
      <w:lvlText w:val="(%1)"/>
      <w:lvlJc w:val="left"/>
      <w:pPr>
        <w:tabs>
          <w:tab w:val="left" w:pos="567"/>
        </w:tabs>
        <w:ind w:left="567" w:hanging="567"/>
      </w:pPr>
      <w:rPr>
        <w:rFonts w:hint="eastAsia"/>
        <w:b/>
        <w:bCs/>
        <w:i w:val="0"/>
        <w:iCs w:val="0"/>
        <w:sz w:val="23"/>
        <w:szCs w:val="23"/>
      </w:rPr>
    </w:lvl>
  </w:abstractNum>
  <w:abstractNum w:abstractNumId="14">
    <w:nsid w:val="6E091D3A"/>
    <w:multiLevelType w:val="singleLevel"/>
    <w:tmpl w:val="6E091D3A"/>
    <w:lvl w:ilvl="0" w:tentative="0">
      <w:start w:val="5"/>
      <w:numFmt w:val="decimal"/>
      <w:suff w:val="nothing"/>
      <w:lvlText w:val="%1）"/>
      <w:lvlJc w:val="left"/>
    </w:lvl>
  </w:abstractNum>
  <w:abstractNum w:abstractNumId="15">
    <w:nsid w:val="73C42241"/>
    <w:multiLevelType w:val="singleLevel"/>
    <w:tmpl w:val="73C42241"/>
    <w:lvl w:ilvl="0" w:tentative="0">
      <w:start w:val="1"/>
      <w:numFmt w:val="decimal"/>
      <w:lvlText w:val="%1."/>
      <w:lvlJc w:val="left"/>
      <w:pPr>
        <w:tabs>
          <w:tab w:val="left" w:pos="312"/>
        </w:tabs>
      </w:pPr>
    </w:lvl>
  </w:abstractNum>
  <w:num w:numId="1">
    <w:abstractNumId w:val="11"/>
  </w:num>
  <w:num w:numId="2">
    <w:abstractNumId w:val="2"/>
  </w:num>
  <w:num w:numId="3">
    <w:abstractNumId w:val="7"/>
  </w:num>
  <w:num w:numId="4">
    <w:abstractNumId w:val="8"/>
  </w:num>
  <w:num w:numId="5">
    <w:abstractNumId w:val="9"/>
  </w:num>
  <w:num w:numId="6">
    <w:abstractNumId w:val="13"/>
  </w:num>
  <w:num w:numId="7">
    <w:abstractNumId w:val="6"/>
  </w:num>
  <w:num w:numId="8">
    <w:abstractNumId w:val="4"/>
  </w:num>
  <w:num w:numId="9">
    <w:abstractNumId w:val="3"/>
  </w:num>
  <w:num w:numId="10">
    <w:abstractNumId w:val="1"/>
  </w:num>
  <w:num w:numId="11">
    <w:abstractNumId w:val="15"/>
  </w:num>
  <w:num w:numId="12">
    <w:abstractNumId w:val="5"/>
  </w:num>
  <w:num w:numId="13">
    <w:abstractNumId w:val="14"/>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ED"/>
    <w:rsid w:val="000024DE"/>
    <w:rsid w:val="00010C77"/>
    <w:rsid w:val="00011899"/>
    <w:rsid w:val="0001218C"/>
    <w:rsid w:val="00020A71"/>
    <w:rsid w:val="00022350"/>
    <w:rsid w:val="00023AB5"/>
    <w:rsid w:val="0002407E"/>
    <w:rsid w:val="00024C49"/>
    <w:rsid w:val="000307DF"/>
    <w:rsid w:val="0004358A"/>
    <w:rsid w:val="000464F7"/>
    <w:rsid w:val="000650FD"/>
    <w:rsid w:val="00065D5A"/>
    <w:rsid w:val="00066024"/>
    <w:rsid w:val="00066D29"/>
    <w:rsid w:val="00070679"/>
    <w:rsid w:val="000740D7"/>
    <w:rsid w:val="0007799F"/>
    <w:rsid w:val="00077EFF"/>
    <w:rsid w:val="0009670F"/>
    <w:rsid w:val="000A4132"/>
    <w:rsid w:val="000A6026"/>
    <w:rsid w:val="000A72BD"/>
    <w:rsid w:val="000B0092"/>
    <w:rsid w:val="000C230F"/>
    <w:rsid w:val="000D0C9B"/>
    <w:rsid w:val="000D17B6"/>
    <w:rsid w:val="000E2D92"/>
    <w:rsid w:val="000E4992"/>
    <w:rsid w:val="000E5811"/>
    <w:rsid w:val="000F3368"/>
    <w:rsid w:val="000F66D9"/>
    <w:rsid w:val="000F707E"/>
    <w:rsid w:val="00100835"/>
    <w:rsid w:val="00102F57"/>
    <w:rsid w:val="00116448"/>
    <w:rsid w:val="00124391"/>
    <w:rsid w:val="001317AE"/>
    <w:rsid w:val="001337E6"/>
    <w:rsid w:val="00136896"/>
    <w:rsid w:val="00137881"/>
    <w:rsid w:val="00140EBB"/>
    <w:rsid w:val="00143CDD"/>
    <w:rsid w:val="00146333"/>
    <w:rsid w:val="00146553"/>
    <w:rsid w:val="00154B81"/>
    <w:rsid w:val="00154F58"/>
    <w:rsid w:val="00161EF4"/>
    <w:rsid w:val="00173E1E"/>
    <w:rsid w:val="001A10A0"/>
    <w:rsid w:val="001A1EDB"/>
    <w:rsid w:val="001A4EE3"/>
    <w:rsid w:val="001B64AE"/>
    <w:rsid w:val="001C30E0"/>
    <w:rsid w:val="001C315D"/>
    <w:rsid w:val="001C577C"/>
    <w:rsid w:val="001D4F53"/>
    <w:rsid w:val="001E159A"/>
    <w:rsid w:val="001E3021"/>
    <w:rsid w:val="001F238E"/>
    <w:rsid w:val="002000B3"/>
    <w:rsid w:val="002000F9"/>
    <w:rsid w:val="00200DE8"/>
    <w:rsid w:val="0020408D"/>
    <w:rsid w:val="0020622B"/>
    <w:rsid w:val="00206495"/>
    <w:rsid w:val="002070F2"/>
    <w:rsid w:val="0022500E"/>
    <w:rsid w:val="00225888"/>
    <w:rsid w:val="00233186"/>
    <w:rsid w:val="002418ED"/>
    <w:rsid w:val="002430CF"/>
    <w:rsid w:val="002472F6"/>
    <w:rsid w:val="00250BF0"/>
    <w:rsid w:val="002566DB"/>
    <w:rsid w:val="00265FBB"/>
    <w:rsid w:val="00273957"/>
    <w:rsid w:val="002806C9"/>
    <w:rsid w:val="00280E75"/>
    <w:rsid w:val="00283E1C"/>
    <w:rsid w:val="00291D1C"/>
    <w:rsid w:val="002927A6"/>
    <w:rsid w:val="00295A85"/>
    <w:rsid w:val="00295D2F"/>
    <w:rsid w:val="002A4CB1"/>
    <w:rsid w:val="002A64CA"/>
    <w:rsid w:val="002B2944"/>
    <w:rsid w:val="002C3D86"/>
    <w:rsid w:val="002C3F2B"/>
    <w:rsid w:val="002C3FBA"/>
    <w:rsid w:val="002C47F7"/>
    <w:rsid w:val="002D042A"/>
    <w:rsid w:val="002D5F2A"/>
    <w:rsid w:val="002F5D4B"/>
    <w:rsid w:val="002F5F3E"/>
    <w:rsid w:val="0030031C"/>
    <w:rsid w:val="003408DC"/>
    <w:rsid w:val="00344462"/>
    <w:rsid w:val="00346547"/>
    <w:rsid w:val="003625A6"/>
    <w:rsid w:val="00372A9F"/>
    <w:rsid w:val="00375AB2"/>
    <w:rsid w:val="00376C37"/>
    <w:rsid w:val="00386152"/>
    <w:rsid w:val="00395214"/>
    <w:rsid w:val="003A1E66"/>
    <w:rsid w:val="003A4E4E"/>
    <w:rsid w:val="003B3FC0"/>
    <w:rsid w:val="003B41BD"/>
    <w:rsid w:val="003C4C7D"/>
    <w:rsid w:val="003D6924"/>
    <w:rsid w:val="003D6A75"/>
    <w:rsid w:val="003F218D"/>
    <w:rsid w:val="003F73C7"/>
    <w:rsid w:val="00407E53"/>
    <w:rsid w:val="00413BF7"/>
    <w:rsid w:val="00413DF3"/>
    <w:rsid w:val="00422C49"/>
    <w:rsid w:val="004237E1"/>
    <w:rsid w:val="00460FCD"/>
    <w:rsid w:val="00467A0B"/>
    <w:rsid w:val="00471270"/>
    <w:rsid w:val="0047539B"/>
    <w:rsid w:val="004802AB"/>
    <w:rsid w:val="00495C3A"/>
    <w:rsid w:val="004B122E"/>
    <w:rsid w:val="004B604B"/>
    <w:rsid w:val="004C34EF"/>
    <w:rsid w:val="004D0FCB"/>
    <w:rsid w:val="004D3C0E"/>
    <w:rsid w:val="004D6A4A"/>
    <w:rsid w:val="004E0B5E"/>
    <w:rsid w:val="004E49D5"/>
    <w:rsid w:val="004F4F31"/>
    <w:rsid w:val="004F628A"/>
    <w:rsid w:val="004F63C4"/>
    <w:rsid w:val="00501984"/>
    <w:rsid w:val="00507A3B"/>
    <w:rsid w:val="00512253"/>
    <w:rsid w:val="005175A0"/>
    <w:rsid w:val="0052090F"/>
    <w:rsid w:val="00524C65"/>
    <w:rsid w:val="0052705D"/>
    <w:rsid w:val="005326E6"/>
    <w:rsid w:val="005365DD"/>
    <w:rsid w:val="00536E01"/>
    <w:rsid w:val="00537EA0"/>
    <w:rsid w:val="005409BD"/>
    <w:rsid w:val="00541765"/>
    <w:rsid w:val="005428A6"/>
    <w:rsid w:val="00543553"/>
    <w:rsid w:val="00550C66"/>
    <w:rsid w:val="005518BE"/>
    <w:rsid w:val="00553717"/>
    <w:rsid w:val="00556B47"/>
    <w:rsid w:val="00560684"/>
    <w:rsid w:val="0056147A"/>
    <w:rsid w:val="00564BC7"/>
    <w:rsid w:val="00572E36"/>
    <w:rsid w:val="00583952"/>
    <w:rsid w:val="005A5525"/>
    <w:rsid w:val="005B1D6C"/>
    <w:rsid w:val="005C115F"/>
    <w:rsid w:val="005C3611"/>
    <w:rsid w:val="005C7139"/>
    <w:rsid w:val="005D37F6"/>
    <w:rsid w:val="005E1F87"/>
    <w:rsid w:val="005E4022"/>
    <w:rsid w:val="005F1F68"/>
    <w:rsid w:val="005F5278"/>
    <w:rsid w:val="005F5881"/>
    <w:rsid w:val="005F737D"/>
    <w:rsid w:val="00605DF4"/>
    <w:rsid w:val="00607483"/>
    <w:rsid w:val="00626B50"/>
    <w:rsid w:val="00626E14"/>
    <w:rsid w:val="006301A9"/>
    <w:rsid w:val="00637B0F"/>
    <w:rsid w:val="006402BB"/>
    <w:rsid w:val="00652F80"/>
    <w:rsid w:val="006533C8"/>
    <w:rsid w:val="00662FC0"/>
    <w:rsid w:val="00676B1A"/>
    <w:rsid w:val="00677874"/>
    <w:rsid w:val="006818BE"/>
    <w:rsid w:val="00695ADF"/>
    <w:rsid w:val="006A315E"/>
    <w:rsid w:val="006A436E"/>
    <w:rsid w:val="006B03BA"/>
    <w:rsid w:val="006B34F6"/>
    <w:rsid w:val="006C1253"/>
    <w:rsid w:val="006D3F4C"/>
    <w:rsid w:val="006D440F"/>
    <w:rsid w:val="006E2778"/>
    <w:rsid w:val="006F03C3"/>
    <w:rsid w:val="006F1267"/>
    <w:rsid w:val="006F295F"/>
    <w:rsid w:val="006F5836"/>
    <w:rsid w:val="0072393C"/>
    <w:rsid w:val="00723940"/>
    <w:rsid w:val="00725A9D"/>
    <w:rsid w:val="0072738E"/>
    <w:rsid w:val="00734057"/>
    <w:rsid w:val="00746D1A"/>
    <w:rsid w:val="00746DB1"/>
    <w:rsid w:val="0074744B"/>
    <w:rsid w:val="007476D1"/>
    <w:rsid w:val="00747FC0"/>
    <w:rsid w:val="0075003A"/>
    <w:rsid w:val="00751256"/>
    <w:rsid w:val="00753809"/>
    <w:rsid w:val="007555E7"/>
    <w:rsid w:val="007559E6"/>
    <w:rsid w:val="00756E26"/>
    <w:rsid w:val="00757124"/>
    <w:rsid w:val="007615EE"/>
    <w:rsid w:val="00772B14"/>
    <w:rsid w:val="0078005B"/>
    <w:rsid w:val="00781DD5"/>
    <w:rsid w:val="0078544E"/>
    <w:rsid w:val="007A0AC3"/>
    <w:rsid w:val="007A140A"/>
    <w:rsid w:val="007B31F2"/>
    <w:rsid w:val="007B7721"/>
    <w:rsid w:val="007C0FFC"/>
    <w:rsid w:val="007D105F"/>
    <w:rsid w:val="007D6954"/>
    <w:rsid w:val="007E64F6"/>
    <w:rsid w:val="007F220F"/>
    <w:rsid w:val="007F7880"/>
    <w:rsid w:val="007F789C"/>
    <w:rsid w:val="0080091A"/>
    <w:rsid w:val="008010AD"/>
    <w:rsid w:val="00813113"/>
    <w:rsid w:val="00815300"/>
    <w:rsid w:val="00817BE8"/>
    <w:rsid w:val="00820E2E"/>
    <w:rsid w:val="00821943"/>
    <w:rsid w:val="00837A78"/>
    <w:rsid w:val="008431F4"/>
    <w:rsid w:val="00860D24"/>
    <w:rsid w:val="00860E24"/>
    <w:rsid w:val="0086353C"/>
    <w:rsid w:val="00870301"/>
    <w:rsid w:val="008716B9"/>
    <w:rsid w:val="00876637"/>
    <w:rsid w:val="0087698C"/>
    <w:rsid w:val="0088133F"/>
    <w:rsid w:val="00886C07"/>
    <w:rsid w:val="0089184C"/>
    <w:rsid w:val="0089756E"/>
    <w:rsid w:val="008A3255"/>
    <w:rsid w:val="008B241A"/>
    <w:rsid w:val="008B349F"/>
    <w:rsid w:val="008B37D9"/>
    <w:rsid w:val="008C7582"/>
    <w:rsid w:val="008D1EB5"/>
    <w:rsid w:val="008D4713"/>
    <w:rsid w:val="008E7C49"/>
    <w:rsid w:val="008F6368"/>
    <w:rsid w:val="008F755E"/>
    <w:rsid w:val="009029B3"/>
    <w:rsid w:val="00906816"/>
    <w:rsid w:val="00907FC6"/>
    <w:rsid w:val="00912109"/>
    <w:rsid w:val="00912FA7"/>
    <w:rsid w:val="0091575E"/>
    <w:rsid w:val="00931690"/>
    <w:rsid w:val="009335C6"/>
    <w:rsid w:val="00935851"/>
    <w:rsid w:val="00946D68"/>
    <w:rsid w:val="0095169E"/>
    <w:rsid w:val="00952EA2"/>
    <w:rsid w:val="00971180"/>
    <w:rsid w:val="0097336F"/>
    <w:rsid w:val="009737F6"/>
    <w:rsid w:val="00982926"/>
    <w:rsid w:val="00982DAC"/>
    <w:rsid w:val="00991015"/>
    <w:rsid w:val="009A149D"/>
    <w:rsid w:val="009B0695"/>
    <w:rsid w:val="009C0C49"/>
    <w:rsid w:val="009C25F5"/>
    <w:rsid w:val="009C31AF"/>
    <w:rsid w:val="009C366D"/>
    <w:rsid w:val="009E2495"/>
    <w:rsid w:val="009E449E"/>
    <w:rsid w:val="009E6D1B"/>
    <w:rsid w:val="009E6D2A"/>
    <w:rsid w:val="009F6ACD"/>
    <w:rsid w:val="00A01351"/>
    <w:rsid w:val="00A11776"/>
    <w:rsid w:val="00A16237"/>
    <w:rsid w:val="00A16D45"/>
    <w:rsid w:val="00A2229A"/>
    <w:rsid w:val="00A34443"/>
    <w:rsid w:val="00A44191"/>
    <w:rsid w:val="00A4753B"/>
    <w:rsid w:val="00A635B8"/>
    <w:rsid w:val="00A63E35"/>
    <w:rsid w:val="00A70478"/>
    <w:rsid w:val="00A709C2"/>
    <w:rsid w:val="00A746B0"/>
    <w:rsid w:val="00A83F39"/>
    <w:rsid w:val="00A85F5F"/>
    <w:rsid w:val="00A90C5A"/>
    <w:rsid w:val="00A92929"/>
    <w:rsid w:val="00A96131"/>
    <w:rsid w:val="00AA109B"/>
    <w:rsid w:val="00AB474E"/>
    <w:rsid w:val="00AB5084"/>
    <w:rsid w:val="00AB74B1"/>
    <w:rsid w:val="00AC4EA2"/>
    <w:rsid w:val="00AD0667"/>
    <w:rsid w:val="00AD42E3"/>
    <w:rsid w:val="00AD484B"/>
    <w:rsid w:val="00AE1FE7"/>
    <w:rsid w:val="00AF1DF9"/>
    <w:rsid w:val="00AF2A5F"/>
    <w:rsid w:val="00AF35D0"/>
    <w:rsid w:val="00B17AFD"/>
    <w:rsid w:val="00B17CF6"/>
    <w:rsid w:val="00B25C7C"/>
    <w:rsid w:val="00B27F1C"/>
    <w:rsid w:val="00B37527"/>
    <w:rsid w:val="00B47B62"/>
    <w:rsid w:val="00B54C14"/>
    <w:rsid w:val="00B56338"/>
    <w:rsid w:val="00B56EC4"/>
    <w:rsid w:val="00B571C8"/>
    <w:rsid w:val="00B611CB"/>
    <w:rsid w:val="00B6641A"/>
    <w:rsid w:val="00B87D3E"/>
    <w:rsid w:val="00B93444"/>
    <w:rsid w:val="00BA122F"/>
    <w:rsid w:val="00BA2D0F"/>
    <w:rsid w:val="00BA4A41"/>
    <w:rsid w:val="00BA5AD7"/>
    <w:rsid w:val="00BB00AF"/>
    <w:rsid w:val="00BB13FF"/>
    <w:rsid w:val="00BB179A"/>
    <w:rsid w:val="00BB57D2"/>
    <w:rsid w:val="00BC2F68"/>
    <w:rsid w:val="00BD1E32"/>
    <w:rsid w:val="00BE58F6"/>
    <w:rsid w:val="00BE5AE6"/>
    <w:rsid w:val="00BE7250"/>
    <w:rsid w:val="00BE7D1C"/>
    <w:rsid w:val="00BF3B8F"/>
    <w:rsid w:val="00BF637A"/>
    <w:rsid w:val="00C00F1B"/>
    <w:rsid w:val="00C12ADF"/>
    <w:rsid w:val="00C15701"/>
    <w:rsid w:val="00C15C3F"/>
    <w:rsid w:val="00C213F2"/>
    <w:rsid w:val="00C27508"/>
    <w:rsid w:val="00C44B47"/>
    <w:rsid w:val="00C4570F"/>
    <w:rsid w:val="00C5149B"/>
    <w:rsid w:val="00C52E96"/>
    <w:rsid w:val="00C53BA4"/>
    <w:rsid w:val="00C54670"/>
    <w:rsid w:val="00C55DF0"/>
    <w:rsid w:val="00C679A7"/>
    <w:rsid w:val="00C72E51"/>
    <w:rsid w:val="00C77D88"/>
    <w:rsid w:val="00C813BD"/>
    <w:rsid w:val="00C82081"/>
    <w:rsid w:val="00C84926"/>
    <w:rsid w:val="00C870D2"/>
    <w:rsid w:val="00CA1AAD"/>
    <w:rsid w:val="00CA628A"/>
    <w:rsid w:val="00CA70B5"/>
    <w:rsid w:val="00CA73D1"/>
    <w:rsid w:val="00CB1D83"/>
    <w:rsid w:val="00CB3531"/>
    <w:rsid w:val="00CB56A0"/>
    <w:rsid w:val="00CB6B55"/>
    <w:rsid w:val="00CB7F76"/>
    <w:rsid w:val="00CC119F"/>
    <w:rsid w:val="00CE2826"/>
    <w:rsid w:val="00CE3554"/>
    <w:rsid w:val="00CE718A"/>
    <w:rsid w:val="00CE7B03"/>
    <w:rsid w:val="00CF40E0"/>
    <w:rsid w:val="00D00636"/>
    <w:rsid w:val="00D02750"/>
    <w:rsid w:val="00D0490A"/>
    <w:rsid w:val="00D066F5"/>
    <w:rsid w:val="00D12147"/>
    <w:rsid w:val="00D201D6"/>
    <w:rsid w:val="00D20303"/>
    <w:rsid w:val="00D268EB"/>
    <w:rsid w:val="00D364BD"/>
    <w:rsid w:val="00D40439"/>
    <w:rsid w:val="00D40E87"/>
    <w:rsid w:val="00D4142A"/>
    <w:rsid w:val="00D41F63"/>
    <w:rsid w:val="00D4339C"/>
    <w:rsid w:val="00D44383"/>
    <w:rsid w:val="00D4699C"/>
    <w:rsid w:val="00D53FCB"/>
    <w:rsid w:val="00D6164F"/>
    <w:rsid w:val="00D64C56"/>
    <w:rsid w:val="00D76C49"/>
    <w:rsid w:val="00D8593B"/>
    <w:rsid w:val="00D865C8"/>
    <w:rsid w:val="00D977C1"/>
    <w:rsid w:val="00DA278F"/>
    <w:rsid w:val="00DD2337"/>
    <w:rsid w:val="00DE4811"/>
    <w:rsid w:val="00DF2D8B"/>
    <w:rsid w:val="00DF6FDB"/>
    <w:rsid w:val="00E0024B"/>
    <w:rsid w:val="00E06822"/>
    <w:rsid w:val="00E1331D"/>
    <w:rsid w:val="00E23A8D"/>
    <w:rsid w:val="00E240C2"/>
    <w:rsid w:val="00E32504"/>
    <w:rsid w:val="00E33954"/>
    <w:rsid w:val="00E501BB"/>
    <w:rsid w:val="00E6044D"/>
    <w:rsid w:val="00E65307"/>
    <w:rsid w:val="00E66BAF"/>
    <w:rsid w:val="00E81690"/>
    <w:rsid w:val="00E85071"/>
    <w:rsid w:val="00E9304C"/>
    <w:rsid w:val="00EB2CA5"/>
    <w:rsid w:val="00EC71C9"/>
    <w:rsid w:val="00ED5D15"/>
    <w:rsid w:val="00EE20B9"/>
    <w:rsid w:val="00EE2B69"/>
    <w:rsid w:val="00EE7999"/>
    <w:rsid w:val="00EF0908"/>
    <w:rsid w:val="00EF7714"/>
    <w:rsid w:val="00F02A38"/>
    <w:rsid w:val="00F0307D"/>
    <w:rsid w:val="00F04316"/>
    <w:rsid w:val="00F04538"/>
    <w:rsid w:val="00F10BC6"/>
    <w:rsid w:val="00F10E49"/>
    <w:rsid w:val="00F10F1E"/>
    <w:rsid w:val="00F11288"/>
    <w:rsid w:val="00F16F62"/>
    <w:rsid w:val="00F207B7"/>
    <w:rsid w:val="00F24E46"/>
    <w:rsid w:val="00F30444"/>
    <w:rsid w:val="00F3115B"/>
    <w:rsid w:val="00F3273B"/>
    <w:rsid w:val="00F32C68"/>
    <w:rsid w:val="00F409AE"/>
    <w:rsid w:val="00F52AEE"/>
    <w:rsid w:val="00F659D8"/>
    <w:rsid w:val="00F6624B"/>
    <w:rsid w:val="00F816DA"/>
    <w:rsid w:val="00F81F04"/>
    <w:rsid w:val="00F91EA5"/>
    <w:rsid w:val="00FA03FD"/>
    <w:rsid w:val="00FB07AC"/>
    <w:rsid w:val="00FC2B24"/>
    <w:rsid w:val="00FD283A"/>
    <w:rsid w:val="00FD4031"/>
    <w:rsid w:val="00FD431C"/>
    <w:rsid w:val="00FD4839"/>
    <w:rsid w:val="00FD570F"/>
    <w:rsid w:val="00FE0856"/>
    <w:rsid w:val="00FE738C"/>
    <w:rsid w:val="012E7376"/>
    <w:rsid w:val="01F31BE8"/>
    <w:rsid w:val="02120FAF"/>
    <w:rsid w:val="02372D0F"/>
    <w:rsid w:val="023B7552"/>
    <w:rsid w:val="026217A5"/>
    <w:rsid w:val="02945A74"/>
    <w:rsid w:val="02A00900"/>
    <w:rsid w:val="02A959BF"/>
    <w:rsid w:val="02B27519"/>
    <w:rsid w:val="03724C65"/>
    <w:rsid w:val="03762FCE"/>
    <w:rsid w:val="03C677E0"/>
    <w:rsid w:val="03D67AA7"/>
    <w:rsid w:val="042A5A85"/>
    <w:rsid w:val="043E7A61"/>
    <w:rsid w:val="045079CB"/>
    <w:rsid w:val="04B35215"/>
    <w:rsid w:val="05814654"/>
    <w:rsid w:val="05D83EB1"/>
    <w:rsid w:val="05DD267B"/>
    <w:rsid w:val="05F31120"/>
    <w:rsid w:val="06073A00"/>
    <w:rsid w:val="0609596A"/>
    <w:rsid w:val="06510E63"/>
    <w:rsid w:val="06581ED7"/>
    <w:rsid w:val="06695630"/>
    <w:rsid w:val="066C500A"/>
    <w:rsid w:val="066D22CA"/>
    <w:rsid w:val="07061263"/>
    <w:rsid w:val="072F79E9"/>
    <w:rsid w:val="07536E70"/>
    <w:rsid w:val="075A79FA"/>
    <w:rsid w:val="07606658"/>
    <w:rsid w:val="0770228B"/>
    <w:rsid w:val="07BD614B"/>
    <w:rsid w:val="085920DA"/>
    <w:rsid w:val="08D7083A"/>
    <w:rsid w:val="08D913E3"/>
    <w:rsid w:val="091929F9"/>
    <w:rsid w:val="093362B4"/>
    <w:rsid w:val="09407AFF"/>
    <w:rsid w:val="099E530D"/>
    <w:rsid w:val="09D43205"/>
    <w:rsid w:val="09DB6B97"/>
    <w:rsid w:val="09E766BF"/>
    <w:rsid w:val="09EA14C4"/>
    <w:rsid w:val="0A0C6C51"/>
    <w:rsid w:val="0A472D58"/>
    <w:rsid w:val="0A572459"/>
    <w:rsid w:val="0A674FBB"/>
    <w:rsid w:val="0A711DFC"/>
    <w:rsid w:val="0ADF746A"/>
    <w:rsid w:val="0B1F2756"/>
    <w:rsid w:val="0B4E52BC"/>
    <w:rsid w:val="0C2D7540"/>
    <w:rsid w:val="0C471688"/>
    <w:rsid w:val="0C6639E1"/>
    <w:rsid w:val="0C6E40D8"/>
    <w:rsid w:val="0C9E1A42"/>
    <w:rsid w:val="0D064EF0"/>
    <w:rsid w:val="0DAA1AD4"/>
    <w:rsid w:val="0DFD0BA9"/>
    <w:rsid w:val="0E0F78E3"/>
    <w:rsid w:val="0ED80944"/>
    <w:rsid w:val="0F0E13A0"/>
    <w:rsid w:val="0F3D0B10"/>
    <w:rsid w:val="0F5836BF"/>
    <w:rsid w:val="10F54EEC"/>
    <w:rsid w:val="11177F59"/>
    <w:rsid w:val="113F7B03"/>
    <w:rsid w:val="114151AB"/>
    <w:rsid w:val="116D6407"/>
    <w:rsid w:val="119F6055"/>
    <w:rsid w:val="11ED6858"/>
    <w:rsid w:val="12553C12"/>
    <w:rsid w:val="12CC5EF8"/>
    <w:rsid w:val="12DE2386"/>
    <w:rsid w:val="134B6BA7"/>
    <w:rsid w:val="138E0117"/>
    <w:rsid w:val="139F252B"/>
    <w:rsid w:val="13DE1180"/>
    <w:rsid w:val="14124C70"/>
    <w:rsid w:val="14201B96"/>
    <w:rsid w:val="14A739F6"/>
    <w:rsid w:val="14A85258"/>
    <w:rsid w:val="14BB0389"/>
    <w:rsid w:val="14E276A9"/>
    <w:rsid w:val="15032EB2"/>
    <w:rsid w:val="152225E8"/>
    <w:rsid w:val="155335AA"/>
    <w:rsid w:val="162D0C60"/>
    <w:rsid w:val="165A7C22"/>
    <w:rsid w:val="16B07B8D"/>
    <w:rsid w:val="16FB462A"/>
    <w:rsid w:val="171D15C0"/>
    <w:rsid w:val="17226D7D"/>
    <w:rsid w:val="174C0A0C"/>
    <w:rsid w:val="17C107C4"/>
    <w:rsid w:val="18040F9B"/>
    <w:rsid w:val="180951DF"/>
    <w:rsid w:val="18217D80"/>
    <w:rsid w:val="186B2E6C"/>
    <w:rsid w:val="18A03FFE"/>
    <w:rsid w:val="18AC2D48"/>
    <w:rsid w:val="18F647AD"/>
    <w:rsid w:val="191565EA"/>
    <w:rsid w:val="19673942"/>
    <w:rsid w:val="19C055D3"/>
    <w:rsid w:val="19E10A81"/>
    <w:rsid w:val="1A01273B"/>
    <w:rsid w:val="1A3D10FA"/>
    <w:rsid w:val="1A566D72"/>
    <w:rsid w:val="1A7F7549"/>
    <w:rsid w:val="1A875403"/>
    <w:rsid w:val="1A90660A"/>
    <w:rsid w:val="1B13113D"/>
    <w:rsid w:val="1B682F66"/>
    <w:rsid w:val="1BA2155F"/>
    <w:rsid w:val="1C26254D"/>
    <w:rsid w:val="1C84042B"/>
    <w:rsid w:val="1C964586"/>
    <w:rsid w:val="1D1430AC"/>
    <w:rsid w:val="1D3D3CE3"/>
    <w:rsid w:val="1D4D05F9"/>
    <w:rsid w:val="1DC552D5"/>
    <w:rsid w:val="1DDB0F66"/>
    <w:rsid w:val="1E3C5D7D"/>
    <w:rsid w:val="1E576B21"/>
    <w:rsid w:val="1E717CB5"/>
    <w:rsid w:val="1E721076"/>
    <w:rsid w:val="1EB20AC9"/>
    <w:rsid w:val="1F7F557F"/>
    <w:rsid w:val="200559E8"/>
    <w:rsid w:val="20233146"/>
    <w:rsid w:val="20C83537"/>
    <w:rsid w:val="21862EF2"/>
    <w:rsid w:val="226E3D8A"/>
    <w:rsid w:val="22B770F0"/>
    <w:rsid w:val="230A664C"/>
    <w:rsid w:val="231418B9"/>
    <w:rsid w:val="23214273"/>
    <w:rsid w:val="23585D23"/>
    <w:rsid w:val="23FF60FE"/>
    <w:rsid w:val="248E2EDB"/>
    <w:rsid w:val="24A47CC6"/>
    <w:rsid w:val="24CA7624"/>
    <w:rsid w:val="25097B68"/>
    <w:rsid w:val="2541602D"/>
    <w:rsid w:val="256049F3"/>
    <w:rsid w:val="257C7E9B"/>
    <w:rsid w:val="258D06E8"/>
    <w:rsid w:val="25BD6174"/>
    <w:rsid w:val="25D92BCB"/>
    <w:rsid w:val="264C3AA2"/>
    <w:rsid w:val="26B45202"/>
    <w:rsid w:val="26F05CCE"/>
    <w:rsid w:val="273A5638"/>
    <w:rsid w:val="274025AE"/>
    <w:rsid w:val="2747782B"/>
    <w:rsid w:val="27BC0B83"/>
    <w:rsid w:val="284C2511"/>
    <w:rsid w:val="293A227F"/>
    <w:rsid w:val="2A590910"/>
    <w:rsid w:val="2A692927"/>
    <w:rsid w:val="2B1C5D6A"/>
    <w:rsid w:val="2BF15E71"/>
    <w:rsid w:val="2C4F1C74"/>
    <w:rsid w:val="2C611C49"/>
    <w:rsid w:val="2CC70450"/>
    <w:rsid w:val="2D2068E8"/>
    <w:rsid w:val="2D5B73EE"/>
    <w:rsid w:val="2D5F0603"/>
    <w:rsid w:val="2E1B6ABA"/>
    <w:rsid w:val="2E332BC0"/>
    <w:rsid w:val="2E36391A"/>
    <w:rsid w:val="2EB43B8F"/>
    <w:rsid w:val="2EB73D32"/>
    <w:rsid w:val="2F064285"/>
    <w:rsid w:val="2F165484"/>
    <w:rsid w:val="2F241694"/>
    <w:rsid w:val="2F4C2971"/>
    <w:rsid w:val="2F6D71C3"/>
    <w:rsid w:val="2FD33134"/>
    <w:rsid w:val="2FEF7DC1"/>
    <w:rsid w:val="301F465A"/>
    <w:rsid w:val="30812BDD"/>
    <w:rsid w:val="30A33826"/>
    <w:rsid w:val="30B37AE1"/>
    <w:rsid w:val="319C5B06"/>
    <w:rsid w:val="31E450DC"/>
    <w:rsid w:val="31E75138"/>
    <w:rsid w:val="31FF4D8D"/>
    <w:rsid w:val="32225C2D"/>
    <w:rsid w:val="3279054D"/>
    <w:rsid w:val="329F5D65"/>
    <w:rsid w:val="332F78F0"/>
    <w:rsid w:val="33785373"/>
    <w:rsid w:val="339073DA"/>
    <w:rsid w:val="33BF26CA"/>
    <w:rsid w:val="33DD2C8B"/>
    <w:rsid w:val="34875154"/>
    <w:rsid w:val="349E50A3"/>
    <w:rsid w:val="3528552F"/>
    <w:rsid w:val="356B132F"/>
    <w:rsid w:val="356F47F1"/>
    <w:rsid w:val="358F6801"/>
    <w:rsid w:val="35D250CF"/>
    <w:rsid w:val="361E6B0F"/>
    <w:rsid w:val="36562D0C"/>
    <w:rsid w:val="366D1C08"/>
    <w:rsid w:val="36CF64DC"/>
    <w:rsid w:val="36FD7FED"/>
    <w:rsid w:val="37DA353B"/>
    <w:rsid w:val="37DA68A4"/>
    <w:rsid w:val="37E962EE"/>
    <w:rsid w:val="37FC1580"/>
    <w:rsid w:val="38930FB7"/>
    <w:rsid w:val="38A96C8B"/>
    <w:rsid w:val="38FB49AB"/>
    <w:rsid w:val="39007DD0"/>
    <w:rsid w:val="39071200"/>
    <w:rsid w:val="39241207"/>
    <w:rsid w:val="39241977"/>
    <w:rsid w:val="394F34C1"/>
    <w:rsid w:val="39C27511"/>
    <w:rsid w:val="39F84EC2"/>
    <w:rsid w:val="3A032D46"/>
    <w:rsid w:val="3A08047B"/>
    <w:rsid w:val="3A3A7C1B"/>
    <w:rsid w:val="3A960159"/>
    <w:rsid w:val="3B4150BB"/>
    <w:rsid w:val="3B732CED"/>
    <w:rsid w:val="3C154788"/>
    <w:rsid w:val="3C1D74F9"/>
    <w:rsid w:val="3D04574E"/>
    <w:rsid w:val="3D136F8E"/>
    <w:rsid w:val="3D976A2B"/>
    <w:rsid w:val="3D977BFA"/>
    <w:rsid w:val="3FAD5361"/>
    <w:rsid w:val="406E780D"/>
    <w:rsid w:val="40825B35"/>
    <w:rsid w:val="4094640C"/>
    <w:rsid w:val="40E56F0A"/>
    <w:rsid w:val="424150F8"/>
    <w:rsid w:val="425F1F13"/>
    <w:rsid w:val="428539FF"/>
    <w:rsid w:val="42A540F3"/>
    <w:rsid w:val="42D1459D"/>
    <w:rsid w:val="43031F51"/>
    <w:rsid w:val="433131E2"/>
    <w:rsid w:val="435E47D9"/>
    <w:rsid w:val="4369682F"/>
    <w:rsid w:val="438966D6"/>
    <w:rsid w:val="43C81457"/>
    <w:rsid w:val="43EB7755"/>
    <w:rsid w:val="43F16FC3"/>
    <w:rsid w:val="43FE7C47"/>
    <w:rsid w:val="44290AAC"/>
    <w:rsid w:val="447E2F39"/>
    <w:rsid w:val="44AB5ECC"/>
    <w:rsid w:val="44F6129F"/>
    <w:rsid w:val="453D4C3A"/>
    <w:rsid w:val="45464A27"/>
    <w:rsid w:val="454D2163"/>
    <w:rsid w:val="45600804"/>
    <w:rsid w:val="45961999"/>
    <w:rsid w:val="461F1351"/>
    <w:rsid w:val="46DC48D5"/>
    <w:rsid w:val="47553F76"/>
    <w:rsid w:val="4760048E"/>
    <w:rsid w:val="47A97A25"/>
    <w:rsid w:val="47B40003"/>
    <w:rsid w:val="47EF5E45"/>
    <w:rsid w:val="47F52135"/>
    <w:rsid w:val="48004D3E"/>
    <w:rsid w:val="48063B42"/>
    <w:rsid w:val="4836042B"/>
    <w:rsid w:val="487123E0"/>
    <w:rsid w:val="48943CFD"/>
    <w:rsid w:val="49612A6C"/>
    <w:rsid w:val="49864844"/>
    <w:rsid w:val="49D86E65"/>
    <w:rsid w:val="49F37CD2"/>
    <w:rsid w:val="4A3A5824"/>
    <w:rsid w:val="4A6951FB"/>
    <w:rsid w:val="4AA433E5"/>
    <w:rsid w:val="4B1E52EE"/>
    <w:rsid w:val="4B3D7744"/>
    <w:rsid w:val="4B480FC0"/>
    <w:rsid w:val="4C144D92"/>
    <w:rsid w:val="4C607576"/>
    <w:rsid w:val="4CBE05A2"/>
    <w:rsid w:val="4CF5295E"/>
    <w:rsid w:val="4CFE3409"/>
    <w:rsid w:val="4D1A59B3"/>
    <w:rsid w:val="4D270897"/>
    <w:rsid w:val="4DA971F4"/>
    <w:rsid w:val="4DB34127"/>
    <w:rsid w:val="4DEC2E36"/>
    <w:rsid w:val="4E173CBB"/>
    <w:rsid w:val="4EBA3CAF"/>
    <w:rsid w:val="4ECE2D78"/>
    <w:rsid w:val="4EE55326"/>
    <w:rsid w:val="4FE514A9"/>
    <w:rsid w:val="500473E8"/>
    <w:rsid w:val="50A64FC4"/>
    <w:rsid w:val="514F68E8"/>
    <w:rsid w:val="51596695"/>
    <w:rsid w:val="51860FF0"/>
    <w:rsid w:val="51BE22E2"/>
    <w:rsid w:val="520B6BF0"/>
    <w:rsid w:val="5213235B"/>
    <w:rsid w:val="52397752"/>
    <w:rsid w:val="5262003F"/>
    <w:rsid w:val="528974FA"/>
    <w:rsid w:val="53DC6B99"/>
    <w:rsid w:val="54DD3088"/>
    <w:rsid w:val="54E217EC"/>
    <w:rsid w:val="5550781F"/>
    <w:rsid w:val="556537CE"/>
    <w:rsid w:val="557A4BD1"/>
    <w:rsid w:val="55A41C86"/>
    <w:rsid w:val="55C25ABA"/>
    <w:rsid w:val="56335F8E"/>
    <w:rsid w:val="56717FF9"/>
    <w:rsid w:val="56C95995"/>
    <w:rsid w:val="56FF4C8C"/>
    <w:rsid w:val="57305F5D"/>
    <w:rsid w:val="57D10AAE"/>
    <w:rsid w:val="57EC1991"/>
    <w:rsid w:val="5819598B"/>
    <w:rsid w:val="58EE4CE0"/>
    <w:rsid w:val="593A57D1"/>
    <w:rsid w:val="59C077FE"/>
    <w:rsid w:val="5A4963EC"/>
    <w:rsid w:val="5A6E02F3"/>
    <w:rsid w:val="5A816AEF"/>
    <w:rsid w:val="5A922D49"/>
    <w:rsid w:val="5AEF63CA"/>
    <w:rsid w:val="5AFD4686"/>
    <w:rsid w:val="5B203AE8"/>
    <w:rsid w:val="5B4C6E0D"/>
    <w:rsid w:val="5B593398"/>
    <w:rsid w:val="5B690DEE"/>
    <w:rsid w:val="5C54092C"/>
    <w:rsid w:val="5CFD1972"/>
    <w:rsid w:val="5D5C2F13"/>
    <w:rsid w:val="5DD3501A"/>
    <w:rsid w:val="5E1E6B57"/>
    <w:rsid w:val="5E2133D5"/>
    <w:rsid w:val="5EE52ADA"/>
    <w:rsid w:val="5F0E69F9"/>
    <w:rsid w:val="5F1B268E"/>
    <w:rsid w:val="5F545D77"/>
    <w:rsid w:val="5FB60A49"/>
    <w:rsid w:val="5FEA3C62"/>
    <w:rsid w:val="606D5124"/>
    <w:rsid w:val="60EA0B5C"/>
    <w:rsid w:val="618C74FF"/>
    <w:rsid w:val="61E03655"/>
    <w:rsid w:val="623069F6"/>
    <w:rsid w:val="62AC74A8"/>
    <w:rsid w:val="637A5D3A"/>
    <w:rsid w:val="639E7ED1"/>
    <w:rsid w:val="643A74F1"/>
    <w:rsid w:val="644D71BF"/>
    <w:rsid w:val="64B70633"/>
    <w:rsid w:val="651D166F"/>
    <w:rsid w:val="65416402"/>
    <w:rsid w:val="658F2A26"/>
    <w:rsid w:val="65EE6508"/>
    <w:rsid w:val="660863AB"/>
    <w:rsid w:val="66395B4F"/>
    <w:rsid w:val="67497F8D"/>
    <w:rsid w:val="6750389B"/>
    <w:rsid w:val="67822B00"/>
    <w:rsid w:val="67B21A3C"/>
    <w:rsid w:val="680E32AB"/>
    <w:rsid w:val="68B32B05"/>
    <w:rsid w:val="68CF3782"/>
    <w:rsid w:val="68FE3ADC"/>
    <w:rsid w:val="692B458B"/>
    <w:rsid w:val="69D5759E"/>
    <w:rsid w:val="6A1E08A7"/>
    <w:rsid w:val="6A832EC5"/>
    <w:rsid w:val="6B7742FD"/>
    <w:rsid w:val="6C8D678A"/>
    <w:rsid w:val="6CAA66C6"/>
    <w:rsid w:val="6CE66507"/>
    <w:rsid w:val="6D261EB4"/>
    <w:rsid w:val="6D9E52C1"/>
    <w:rsid w:val="6DE35E14"/>
    <w:rsid w:val="6E0023B6"/>
    <w:rsid w:val="6E0E7885"/>
    <w:rsid w:val="6E4E5AA3"/>
    <w:rsid w:val="6E534657"/>
    <w:rsid w:val="6E6B3A67"/>
    <w:rsid w:val="6EF67DD6"/>
    <w:rsid w:val="6F0A3725"/>
    <w:rsid w:val="6F9B5076"/>
    <w:rsid w:val="6FBE7411"/>
    <w:rsid w:val="705A698D"/>
    <w:rsid w:val="705D4334"/>
    <w:rsid w:val="7171365E"/>
    <w:rsid w:val="71EB20D2"/>
    <w:rsid w:val="71F352EE"/>
    <w:rsid w:val="71F852BF"/>
    <w:rsid w:val="723C0DB4"/>
    <w:rsid w:val="72C95D95"/>
    <w:rsid w:val="72DC2BBB"/>
    <w:rsid w:val="72E3505F"/>
    <w:rsid w:val="733157E5"/>
    <w:rsid w:val="739C3061"/>
    <w:rsid w:val="73B91237"/>
    <w:rsid w:val="73CD7866"/>
    <w:rsid w:val="73D32680"/>
    <w:rsid w:val="74145027"/>
    <w:rsid w:val="74416546"/>
    <w:rsid w:val="744E5F8F"/>
    <w:rsid w:val="747A743B"/>
    <w:rsid w:val="74EE33B6"/>
    <w:rsid w:val="753006F7"/>
    <w:rsid w:val="75381A4A"/>
    <w:rsid w:val="754A5110"/>
    <w:rsid w:val="75660FBB"/>
    <w:rsid w:val="76550DBF"/>
    <w:rsid w:val="76C9716B"/>
    <w:rsid w:val="76F52580"/>
    <w:rsid w:val="76FC54A1"/>
    <w:rsid w:val="773253A3"/>
    <w:rsid w:val="77920AC7"/>
    <w:rsid w:val="77B86779"/>
    <w:rsid w:val="781E3CAC"/>
    <w:rsid w:val="786A20C6"/>
    <w:rsid w:val="788225AF"/>
    <w:rsid w:val="78A26600"/>
    <w:rsid w:val="78EC113E"/>
    <w:rsid w:val="79CC6154"/>
    <w:rsid w:val="7A816477"/>
    <w:rsid w:val="7AAE16CC"/>
    <w:rsid w:val="7ADC2CB9"/>
    <w:rsid w:val="7B150B2A"/>
    <w:rsid w:val="7B5C613B"/>
    <w:rsid w:val="7B743A8F"/>
    <w:rsid w:val="7B951103"/>
    <w:rsid w:val="7BCD4220"/>
    <w:rsid w:val="7BE80B9A"/>
    <w:rsid w:val="7C2D07A9"/>
    <w:rsid w:val="7C530CF6"/>
    <w:rsid w:val="7CA2473A"/>
    <w:rsid w:val="7D1F3B7B"/>
    <w:rsid w:val="7D461A45"/>
    <w:rsid w:val="7D7C5062"/>
    <w:rsid w:val="7DA37D36"/>
    <w:rsid w:val="7E3B4941"/>
    <w:rsid w:val="7E7C4227"/>
    <w:rsid w:val="7F285990"/>
    <w:rsid w:val="7FDE17D5"/>
    <w:rsid w:val="7FE26FAA"/>
    <w:rsid w:val="7FEC593F"/>
    <w:rsid w:val="7FF159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name="Salutation"/>
    <w:lsdException w:qFormat="1" w:unhideWhenUsed="0" w:uiPriority="99" w:semiHidden="0" w:name="Date"/>
    <w:lsdException w:uiPriority="99" w:name="Body Text First Indent" w:locked="1"/>
    <w:lsdException w:uiPriority="99" w:name="Body Text First Indent 2" w:locked="1"/>
    <w:lsdException w:qFormat="1" w:unhideWhenUsed="0" w:uiPriority="99"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61"/>
    <w:qFormat/>
    <w:uiPriority w:val="99"/>
    <w:pPr>
      <w:numPr>
        <w:ilvl w:val="0"/>
        <w:numId w:val="1"/>
      </w:numPr>
      <w:overflowPunct w:val="0"/>
      <w:autoSpaceDE w:val="0"/>
      <w:autoSpaceDN w:val="0"/>
      <w:adjustRightInd w:val="0"/>
      <w:snapToGrid w:val="0"/>
      <w:spacing w:before="120" w:line="360" w:lineRule="auto"/>
      <w:textAlignment w:val="baseline"/>
      <w:outlineLvl w:val="0"/>
    </w:pPr>
    <w:rPr>
      <w:rFonts w:eastAsia="理德小标宋简"/>
      <w:b/>
      <w:bCs/>
      <w:kern w:val="44"/>
      <w:sz w:val="28"/>
      <w:szCs w:val="28"/>
    </w:rPr>
  </w:style>
  <w:style w:type="paragraph" w:styleId="5">
    <w:name w:val="heading 2"/>
    <w:basedOn w:val="1"/>
    <w:next w:val="1"/>
    <w:link w:val="62"/>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63"/>
    <w:qFormat/>
    <w:uiPriority w:val="99"/>
    <w:pPr>
      <w:keepNext/>
      <w:keepLines/>
      <w:spacing w:before="260" w:after="260" w:line="416" w:lineRule="auto"/>
      <w:outlineLvl w:val="2"/>
    </w:pPr>
    <w:rPr>
      <w:b/>
      <w:bCs/>
      <w:sz w:val="32"/>
      <w:szCs w:val="32"/>
    </w:rPr>
  </w:style>
  <w:style w:type="paragraph" w:styleId="7">
    <w:name w:val="heading 4"/>
    <w:basedOn w:val="1"/>
    <w:next w:val="1"/>
    <w:link w:val="64"/>
    <w:qFormat/>
    <w:uiPriority w:val="99"/>
    <w:pPr>
      <w:keepNext/>
      <w:keepLines/>
      <w:spacing w:line="360" w:lineRule="auto"/>
      <w:jc w:val="center"/>
      <w:outlineLvl w:val="3"/>
    </w:pPr>
    <w:rPr>
      <w:rFonts w:ascii="Cambria" w:hAnsi="Cambria" w:cs="Cambria"/>
      <w:b/>
      <w:bCs/>
      <w:sz w:val="28"/>
      <w:szCs w:val="28"/>
    </w:rPr>
  </w:style>
  <w:style w:type="paragraph" w:styleId="8">
    <w:name w:val="heading 5"/>
    <w:basedOn w:val="1"/>
    <w:next w:val="1"/>
    <w:link w:val="65"/>
    <w:qFormat/>
    <w:uiPriority w:val="99"/>
    <w:pPr>
      <w:keepNext/>
      <w:keepLines/>
      <w:spacing w:before="280" w:after="290" w:line="376" w:lineRule="auto"/>
      <w:outlineLvl w:val="4"/>
    </w:pPr>
    <w:rPr>
      <w:b/>
      <w:bCs/>
      <w:sz w:val="28"/>
      <w:szCs w:val="28"/>
    </w:rPr>
  </w:style>
  <w:style w:type="paragraph" w:styleId="9">
    <w:name w:val="heading 6"/>
    <w:basedOn w:val="1"/>
    <w:next w:val="1"/>
    <w:link w:val="66"/>
    <w:qFormat/>
    <w:uiPriority w:val="99"/>
    <w:pPr>
      <w:keepNext/>
      <w:keepLines/>
      <w:spacing w:before="240" w:after="64" w:line="316" w:lineRule="auto"/>
      <w:outlineLvl w:val="5"/>
    </w:pPr>
    <w:rPr>
      <w:rFonts w:ascii="Cambria" w:hAnsi="Cambria" w:cs="Cambria"/>
      <w:b/>
      <w:bCs/>
      <w:sz w:val="24"/>
      <w:szCs w:val="24"/>
    </w:rPr>
  </w:style>
  <w:style w:type="paragraph" w:styleId="10">
    <w:name w:val="heading 7"/>
    <w:basedOn w:val="1"/>
    <w:next w:val="1"/>
    <w:link w:val="67"/>
    <w:qFormat/>
    <w:uiPriority w:val="99"/>
    <w:pPr>
      <w:keepNext/>
      <w:keepLines/>
      <w:spacing w:before="240" w:after="64" w:line="316" w:lineRule="auto"/>
      <w:outlineLvl w:val="6"/>
    </w:pPr>
    <w:rPr>
      <w:rFonts w:ascii="Calibri" w:hAnsi="Calibri" w:cs="Calibri"/>
      <w:b/>
      <w:bCs/>
      <w:sz w:val="24"/>
      <w:szCs w:val="24"/>
    </w:rPr>
  </w:style>
  <w:style w:type="paragraph" w:styleId="11">
    <w:name w:val="heading 8"/>
    <w:basedOn w:val="1"/>
    <w:next w:val="1"/>
    <w:link w:val="68"/>
    <w:qFormat/>
    <w:uiPriority w:val="99"/>
    <w:pPr>
      <w:keepNext/>
      <w:keepLines/>
      <w:spacing w:before="240" w:after="64" w:line="316" w:lineRule="auto"/>
      <w:outlineLvl w:val="7"/>
    </w:pPr>
    <w:rPr>
      <w:rFonts w:ascii="Cambria" w:hAnsi="Cambria" w:cs="Cambria"/>
      <w:sz w:val="24"/>
      <w:szCs w:val="24"/>
    </w:rPr>
  </w:style>
  <w:style w:type="paragraph" w:styleId="12">
    <w:name w:val="heading 9"/>
    <w:basedOn w:val="1"/>
    <w:next w:val="1"/>
    <w:link w:val="69"/>
    <w:qFormat/>
    <w:uiPriority w:val="99"/>
    <w:pPr>
      <w:keepNext/>
      <w:keepLines/>
      <w:spacing w:before="240" w:after="64" w:line="316" w:lineRule="auto"/>
      <w:outlineLvl w:val="8"/>
    </w:pPr>
    <w:rPr>
      <w:rFonts w:ascii="Cambria" w:hAnsi="Cambria" w:cs="Cambria"/>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locked/>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eastAsia="宋体" w:cs="Times New Roman"/>
      <w:color w:val="000000"/>
      <w:sz w:val="28"/>
    </w:rPr>
  </w:style>
  <w:style w:type="paragraph" w:styleId="3">
    <w:name w:val="Body Text"/>
    <w:basedOn w:val="1"/>
    <w:link w:val="74"/>
    <w:qFormat/>
    <w:uiPriority w:val="99"/>
    <w:pPr>
      <w:adjustRightInd w:val="0"/>
      <w:spacing w:line="312" w:lineRule="atLeast"/>
      <w:jc w:val="center"/>
      <w:textAlignment w:val="baseline"/>
    </w:pPr>
    <w:rPr>
      <w:rFonts w:ascii="楷体_GB2312" w:hAnsi="Calibri" w:eastAsia="楷体_GB2312" w:cs="楷体_GB2312"/>
      <w:b/>
      <w:bCs/>
      <w:sz w:val="48"/>
      <w:szCs w:val="48"/>
    </w:rPr>
  </w:style>
  <w:style w:type="paragraph" w:styleId="13">
    <w:name w:val="toc 7"/>
    <w:basedOn w:val="1"/>
    <w:next w:val="1"/>
    <w:semiHidden/>
    <w:qFormat/>
    <w:uiPriority w:val="99"/>
    <w:pPr>
      <w:adjustRightInd w:val="0"/>
      <w:spacing w:line="312" w:lineRule="atLeast"/>
      <w:ind w:left="1260"/>
      <w:jc w:val="left"/>
      <w:textAlignment w:val="baseline"/>
    </w:pPr>
    <w:rPr>
      <w:kern w:val="0"/>
      <w:sz w:val="18"/>
      <w:szCs w:val="18"/>
    </w:rPr>
  </w:style>
  <w:style w:type="paragraph" w:styleId="14">
    <w:name w:val="Note Heading"/>
    <w:basedOn w:val="1"/>
    <w:next w:val="1"/>
    <w:link w:val="70"/>
    <w:semiHidden/>
    <w:qFormat/>
    <w:uiPriority w:val="99"/>
    <w:pPr>
      <w:spacing w:beforeLines="20" w:afterLines="50"/>
      <w:jc w:val="center"/>
    </w:pPr>
    <w:rPr>
      <w:rFonts w:ascii="Calibri" w:hAnsi="Calibri" w:cs="Calibri"/>
      <w:sz w:val="24"/>
      <w:szCs w:val="24"/>
    </w:rPr>
  </w:style>
  <w:style w:type="paragraph" w:styleId="15">
    <w:name w:val="List Number"/>
    <w:basedOn w:val="1"/>
    <w:semiHidden/>
    <w:unhideWhenUsed/>
    <w:qFormat/>
    <w:locked/>
    <w:uiPriority w:val="99"/>
    <w:pPr>
      <w:numPr>
        <w:ilvl w:val="0"/>
        <w:numId w:val="2"/>
      </w:numPr>
    </w:pPr>
  </w:style>
  <w:style w:type="paragraph" w:styleId="16">
    <w:name w:val="Normal Indent"/>
    <w:basedOn w:val="1"/>
    <w:qFormat/>
    <w:uiPriority w:val="99"/>
    <w:pPr>
      <w:widowControl/>
      <w:ind w:firstLine="420"/>
      <w:jc w:val="left"/>
    </w:pPr>
    <w:rPr>
      <w:sz w:val="20"/>
      <w:szCs w:val="20"/>
    </w:r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Document Map"/>
    <w:basedOn w:val="1"/>
    <w:link w:val="71"/>
    <w:semiHidden/>
    <w:qFormat/>
    <w:uiPriority w:val="99"/>
    <w:pPr>
      <w:adjustRightInd w:val="0"/>
      <w:spacing w:line="312" w:lineRule="atLeast"/>
      <w:textAlignment w:val="baseline"/>
    </w:pPr>
    <w:rPr>
      <w:rFonts w:ascii="宋体" w:hAnsi="Calibri" w:cs="宋体"/>
      <w:sz w:val="18"/>
      <w:szCs w:val="18"/>
    </w:rPr>
  </w:style>
  <w:style w:type="paragraph" w:styleId="19">
    <w:name w:val="annotation text"/>
    <w:basedOn w:val="1"/>
    <w:link w:val="72"/>
    <w:semiHidden/>
    <w:qFormat/>
    <w:uiPriority w:val="99"/>
    <w:pPr>
      <w:adjustRightInd w:val="0"/>
      <w:spacing w:line="312" w:lineRule="atLeast"/>
      <w:jc w:val="left"/>
      <w:textAlignment w:val="baseline"/>
    </w:pPr>
    <w:rPr>
      <w:rFonts w:ascii="Calibri" w:hAnsi="Calibri" w:cs="Calibri"/>
    </w:rPr>
  </w:style>
  <w:style w:type="paragraph" w:styleId="20">
    <w:name w:val="Salutation"/>
    <w:basedOn w:val="1"/>
    <w:next w:val="1"/>
    <w:link w:val="73"/>
    <w:semiHidden/>
    <w:qFormat/>
    <w:uiPriority w:val="99"/>
    <w:rPr>
      <w:rFonts w:ascii="Calibri" w:hAnsi="Calibri" w:cs="Calibri"/>
      <w:sz w:val="24"/>
      <w:szCs w:val="24"/>
    </w:rPr>
  </w:style>
  <w:style w:type="paragraph" w:styleId="21">
    <w:name w:val="Body Text Indent"/>
    <w:basedOn w:val="1"/>
    <w:link w:val="75"/>
    <w:qFormat/>
    <w:uiPriority w:val="99"/>
    <w:pPr>
      <w:ind w:left="420" w:leftChars="200"/>
      <w:jc w:val="left"/>
    </w:pPr>
    <w:rPr>
      <w:rFonts w:ascii="Calibri" w:hAnsi="Calibri" w:cs="Calibri"/>
      <w:sz w:val="24"/>
      <w:szCs w:val="24"/>
    </w:rPr>
  </w:style>
  <w:style w:type="paragraph" w:styleId="22">
    <w:name w:val="index 4"/>
    <w:basedOn w:val="1"/>
    <w:next w:val="1"/>
    <w:semiHidden/>
    <w:qFormat/>
    <w:uiPriority w:val="99"/>
    <w:pPr>
      <w:ind w:left="600" w:leftChars="600"/>
    </w:pPr>
  </w:style>
  <w:style w:type="paragraph" w:styleId="23">
    <w:name w:val="toc 5"/>
    <w:basedOn w:val="1"/>
    <w:next w:val="1"/>
    <w:semiHidden/>
    <w:qFormat/>
    <w:uiPriority w:val="99"/>
    <w:pPr>
      <w:adjustRightInd w:val="0"/>
      <w:spacing w:line="312" w:lineRule="atLeast"/>
      <w:ind w:left="840"/>
      <w:jc w:val="left"/>
      <w:textAlignment w:val="baseline"/>
    </w:pPr>
    <w:rPr>
      <w:kern w:val="0"/>
      <w:sz w:val="18"/>
      <w:szCs w:val="18"/>
    </w:rPr>
  </w:style>
  <w:style w:type="paragraph" w:styleId="24">
    <w:name w:val="toc 3"/>
    <w:basedOn w:val="1"/>
    <w:next w:val="1"/>
    <w:semiHidden/>
    <w:qFormat/>
    <w:uiPriority w:val="99"/>
    <w:pPr>
      <w:adjustRightInd w:val="0"/>
      <w:spacing w:line="312" w:lineRule="atLeast"/>
      <w:ind w:left="420"/>
      <w:jc w:val="left"/>
      <w:textAlignment w:val="baseline"/>
    </w:pPr>
    <w:rPr>
      <w:i/>
      <w:iCs/>
      <w:kern w:val="0"/>
      <w:sz w:val="20"/>
      <w:szCs w:val="20"/>
    </w:rPr>
  </w:style>
  <w:style w:type="paragraph" w:styleId="25">
    <w:name w:val="Plain Text"/>
    <w:basedOn w:val="1"/>
    <w:next w:val="1"/>
    <w:link w:val="76"/>
    <w:qFormat/>
    <w:uiPriority w:val="0"/>
    <w:rPr>
      <w:rFonts w:ascii="宋体" w:hAnsi="Courier New" w:cs="宋体"/>
    </w:rPr>
  </w:style>
  <w:style w:type="paragraph" w:styleId="26">
    <w:name w:val="toc 8"/>
    <w:basedOn w:val="1"/>
    <w:next w:val="1"/>
    <w:semiHidden/>
    <w:qFormat/>
    <w:uiPriority w:val="99"/>
    <w:pPr>
      <w:adjustRightInd w:val="0"/>
      <w:spacing w:line="312" w:lineRule="atLeast"/>
      <w:ind w:left="1470"/>
      <w:jc w:val="left"/>
      <w:textAlignment w:val="baseline"/>
    </w:pPr>
    <w:rPr>
      <w:kern w:val="0"/>
      <w:sz w:val="18"/>
      <w:szCs w:val="18"/>
    </w:rPr>
  </w:style>
  <w:style w:type="paragraph" w:styleId="27">
    <w:name w:val="Date"/>
    <w:basedOn w:val="1"/>
    <w:next w:val="1"/>
    <w:link w:val="77"/>
    <w:qFormat/>
    <w:uiPriority w:val="99"/>
    <w:pPr>
      <w:ind w:left="100" w:leftChars="2500"/>
    </w:pPr>
    <w:rPr>
      <w:rFonts w:ascii="Calibri" w:hAnsi="Calibri" w:cs="Calibri"/>
    </w:rPr>
  </w:style>
  <w:style w:type="paragraph" w:styleId="28">
    <w:name w:val="Body Text Indent 2"/>
    <w:basedOn w:val="1"/>
    <w:link w:val="78"/>
    <w:qFormat/>
    <w:uiPriority w:val="99"/>
    <w:pPr>
      <w:spacing w:after="120" w:line="480" w:lineRule="auto"/>
      <w:ind w:left="420" w:leftChars="200"/>
    </w:pPr>
    <w:rPr>
      <w:rFonts w:ascii="Calibri" w:hAnsi="Calibri" w:cs="Calibri"/>
    </w:rPr>
  </w:style>
  <w:style w:type="paragraph" w:styleId="29">
    <w:name w:val="Balloon Text"/>
    <w:basedOn w:val="1"/>
    <w:link w:val="79"/>
    <w:semiHidden/>
    <w:qFormat/>
    <w:uiPriority w:val="99"/>
    <w:rPr>
      <w:rFonts w:ascii="Calibri" w:hAnsi="Calibri" w:cs="Calibri"/>
      <w:sz w:val="18"/>
      <w:szCs w:val="18"/>
    </w:rPr>
  </w:style>
  <w:style w:type="paragraph" w:styleId="30">
    <w:name w:val="footer"/>
    <w:basedOn w:val="1"/>
    <w:link w:val="80"/>
    <w:qFormat/>
    <w:uiPriority w:val="99"/>
    <w:pPr>
      <w:tabs>
        <w:tab w:val="center" w:pos="4153"/>
        <w:tab w:val="right" w:pos="8306"/>
      </w:tabs>
      <w:snapToGrid w:val="0"/>
      <w:jc w:val="left"/>
    </w:pPr>
    <w:rPr>
      <w:rFonts w:ascii="Calibri" w:hAnsi="Calibri" w:cs="Calibri"/>
      <w:sz w:val="18"/>
      <w:szCs w:val="18"/>
    </w:rPr>
  </w:style>
  <w:style w:type="paragraph" w:styleId="31">
    <w:name w:val="header"/>
    <w:basedOn w:val="1"/>
    <w:link w:val="81"/>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32">
    <w:name w:val="toc 1"/>
    <w:basedOn w:val="1"/>
    <w:next w:val="1"/>
    <w:semiHidden/>
    <w:qFormat/>
    <w:uiPriority w:val="99"/>
    <w:pPr>
      <w:adjustRightInd w:val="0"/>
      <w:spacing w:before="120" w:after="120" w:line="312" w:lineRule="atLeast"/>
      <w:jc w:val="left"/>
      <w:textAlignment w:val="baseline"/>
    </w:pPr>
    <w:rPr>
      <w:b/>
      <w:bCs/>
      <w:caps/>
      <w:kern w:val="0"/>
      <w:sz w:val="20"/>
      <w:szCs w:val="20"/>
    </w:rPr>
  </w:style>
  <w:style w:type="paragraph" w:styleId="33">
    <w:name w:val="toc 4"/>
    <w:basedOn w:val="1"/>
    <w:next w:val="1"/>
    <w:semiHidden/>
    <w:qFormat/>
    <w:uiPriority w:val="99"/>
    <w:pPr>
      <w:adjustRightInd w:val="0"/>
      <w:spacing w:line="312" w:lineRule="atLeast"/>
      <w:ind w:left="630"/>
      <w:jc w:val="left"/>
      <w:textAlignment w:val="baseline"/>
    </w:pPr>
    <w:rPr>
      <w:kern w:val="0"/>
      <w:sz w:val="18"/>
      <w:szCs w:val="18"/>
    </w:rPr>
  </w:style>
  <w:style w:type="paragraph" w:styleId="34">
    <w:name w:val="Subtitle"/>
    <w:basedOn w:val="1"/>
    <w:next w:val="1"/>
    <w:link w:val="82"/>
    <w:qFormat/>
    <w:uiPriority w:val="99"/>
    <w:pPr>
      <w:spacing w:before="240" w:after="60" w:line="312" w:lineRule="auto"/>
      <w:jc w:val="center"/>
      <w:outlineLvl w:val="1"/>
    </w:pPr>
    <w:rPr>
      <w:rFonts w:ascii="Cambria" w:hAnsi="Cambria" w:cs="Cambria"/>
      <w:b/>
      <w:bCs/>
      <w:kern w:val="28"/>
      <w:sz w:val="32"/>
      <w:szCs w:val="32"/>
    </w:rPr>
  </w:style>
  <w:style w:type="paragraph" w:styleId="35">
    <w:name w:val="footnote text"/>
    <w:basedOn w:val="1"/>
    <w:link w:val="83"/>
    <w:semiHidden/>
    <w:qFormat/>
    <w:uiPriority w:val="99"/>
    <w:pPr>
      <w:adjustRightInd w:val="0"/>
      <w:spacing w:line="312" w:lineRule="atLeast"/>
      <w:jc w:val="left"/>
    </w:pPr>
    <w:rPr>
      <w:rFonts w:ascii="Calibri" w:hAnsi="Calibri" w:cs="Calibri"/>
      <w:sz w:val="18"/>
      <w:szCs w:val="18"/>
    </w:rPr>
  </w:style>
  <w:style w:type="paragraph" w:styleId="36">
    <w:name w:val="toc 6"/>
    <w:basedOn w:val="1"/>
    <w:next w:val="1"/>
    <w:semiHidden/>
    <w:qFormat/>
    <w:uiPriority w:val="99"/>
    <w:pPr>
      <w:adjustRightInd w:val="0"/>
      <w:spacing w:line="312" w:lineRule="atLeast"/>
      <w:ind w:left="1050"/>
      <w:jc w:val="left"/>
      <w:textAlignment w:val="baseline"/>
    </w:pPr>
    <w:rPr>
      <w:kern w:val="0"/>
      <w:sz w:val="18"/>
      <w:szCs w:val="18"/>
    </w:rPr>
  </w:style>
  <w:style w:type="paragraph" w:styleId="37">
    <w:name w:val="Body Text Indent 3"/>
    <w:basedOn w:val="1"/>
    <w:link w:val="84"/>
    <w:qFormat/>
    <w:uiPriority w:val="99"/>
    <w:pPr>
      <w:adjustRightInd w:val="0"/>
      <w:spacing w:line="360" w:lineRule="auto"/>
      <w:ind w:firstLine="480"/>
      <w:textAlignment w:val="baseline"/>
    </w:pPr>
    <w:rPr>
      <w:rFonts w:ascii="宋体" w:hAnsi="Calibri" w:cs="宋体"/>
      <w:sz w:val="28"/>
      <w:szCs w:val="28"/>
    </w:rPr>
  </w:style>
  <w:style w:type="paragraph" w:styleId="38">
    <w:name w:val="toc 2"/>
    <w:basedOn w:val="1"/>
    <w:next w:val="1"/>
    <w:semiHidden/>
    <w:qFormat/>
    <w:uiPriority w:val="99"/>
    <w:pPr>
      <w:adjustRightInd w:val="0"/>
      <w:spacing w:line="312" w:lineRule="atLeast"/>
      <w:ind w:left="210"/>
      <w:jc w:val="left"/>
      <w:textAlignment w:val="baseline"/>
    </w:pPr>
    <w:rPr>
      <w:smallCaps/>
      <w:kern w:val="0"/>
      <w:sz w:val="20"/>
      <w:szCs w:val="20"/>
    </w:rPr>
  </w:style>
  <w:style w:type="paragraph" w:styleId="39">
    <w:name w:val="toc 9"/>
    <w:basedOn w:val="1"/>
    <w:next w:val="1"/>
    <w:semiHidden/>
    <w:qFormat/>
    <w:uiPriority w:val="99"/>
    <w:pPr>
      <w:adjustRightInd w:val="0"/>
      <w:spacing w:line="312" w:lineRule="atLeast"/>
      <w:ind w:left="1680"/>
      <w:jc w:val="left"/>
      <w:textAlignment w:val="baseline"/>
    </w:pPr>
    <w:rPr>
      <w:kern w:val="0"/>
      <w:sz w:val="18"/>
      <w:szCs w:val="18"/>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link w:val="85"/>
    <w:qFormat/>
    <w:uiPriority w:val="0"/>
    <w:pPr>
      <w:spacing w:before="240" w:after="60"/>
      <w:jc w:val="center"/>
      <w:outlineLvl w:val="0"/>
    </w:pPr>
    <w:rPr>
      <w:rFonts w:ascii="Arial" w:hAnsi="Arial" w:cs="Arial"/>
      <w:b/>
      <w:bCs/>
      <w:sz w:val="44"/>
      <w:szCs w:val="44"/>
    </w:rPr>
  </w:style>
  <w:style w:type="paragraph" w:styleId="42">
    <w:name w:val="annotation subject"/>
    <w:basedOn w:val="19"/>
    <w:next w:val="19"/>
    <w:link w:val="86"/>
    <w:semiHidden/>
    <w:qFormat/>
    <w:uiPriority w:val="99"/>
    <w:rPr>
      <w:b/>
      <w:bCs/>
    </w:rPr>
  </w:style>
  <w:style w:type="table" w:styleId="44">
    <w:name w:val="Table Grid"/>
    <w:basedOn w:val="4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99"/>
    <w:rPr>
      <w:b/>
      <w:bCs/>
    </w:rPr>
  </w:style>
  <w:style w:type="character" w:styleId="47">
    <w:name w:val="page number"/>
    <w:basedOn w:val="45"/>
    <w:qFormat/>
    <w:uiPriority w:val="99"/>
  </w:style>
  <w:style w:type="character" w:styleId="48">
    <w:name w:val="FollowedHyperlink"/>
    <w:basedOn w:val="45"/>
    <w:qFormat/>
    <w:uiPriority w:val="99"/>
    <w:rPr>
      <w:color w:val="auto"/>
      <w:u w:val="none"/>
    </w:rPr>
  </w:style>
  <w:style w:type="character" w:styleId="49">
    <w:name w:val="Emphasis"/>
    <w:basedOn w:val="45"/>
    <w:qFormat/>
    <w:locked/>
    <w:uiPriority w:val="20"/>
    <w:rPr>
      <w:b/>
    </w:rPr>
  </w:style>
  <w:style w:type="character" w:styleId="50">
    <w:name w:val="HTML Definition"/>
    <w:basedOn w:val="45"/>
    <w:qFormat/>
    <w:uiPriority w:val="99"/>
  </w:style>
  <w:style w:type="character" w:styleId="51">
    <w:name w:val="HTML Typewriter"/>
    <w:basedOn w:val="45"/>
    <w:qFormat/>
    <w:uiPriority w:val="99"/>
    <w:rPr>
      <w:rFonts w:ascii="monospace" w:hAnsi="monospace" w:eastAsia="Times New Roman" w:cs="monospace"/>
      <w:sz w:val="20"/>
      <w:szCs w:val="20"/>
    </w:rPr>
  </w:style>
  <w:style w:type="character" w:styleId="52">
    <w:name w:val="HTML Acronym"/>
    <w:basedOn w:val="45"/>
    <w:qFormat/>
    <w:uiPriority w:val="99"/>
  </w:style>
  <w:style w:type="character" w:styleId="53">
    <w:name w:val="HTML Variable"/>
    <w:basedOn w:val="45"/>
    <w:qFormat/>
    <w:uiPriority w:val="99"/>
  </w:style>
  <w:style w:type="character" w:styleId="54">
    <w:name w:val="Hyperlink"/>
    <w:basedOn w:val="45"/>
    <w:qFormat/>
    <w:uiPriority w:val="99"/>
    <w:rPr>
      <w:color w:val="auto"/>
      <w:u w:val="none"/>
    </w:rPr>
  </w:style>
  <w:style w:type="character" w:styleId="55">
    <w:name w:val="HTML Code"/>
    <w:basedOn w:val="45"/>
    <w:qFormat/>
    <w:uiPriority w:val="99"/>
    <w:rPr>
      <w:rFonts w:ascii="monospace" w:hAnsi="monospace" w:eastAsia="Times New Roman" w:cs="monospace"/>
      <w:sz w:val="20"/>
      <w:szCs w:val="20"/>
    </w:rPr>
  </w:style>
  <w:style w:type="character" w:styleId="56">
    <w:name w:val="annotation reference"/>
    <w:basedOn w:val="45"/>
    <w:semiHidden/>
    <w:qFormat/>
    <w:uiPriority w:val="99"/>
    <w:rPr>
      <w:sz w:val="21"/>
      <w:szCs w:val="21"/>
    </w:rPr>
  </w:style>
  <w:style w:type="character" w:styleId="57">
    <w:name w:val="HTML Cite"/>
    <w:basedOn w:val="45"/>
    <w:qFormat/>
    <w:uiPriority w:val="99"/>
  </w:style>
  <w:style w:type="character" w:styleId="58">
    <w:name w:val="HTML Keyboard"/>
    <w:basedOn w:val="45"/>
    <w:qFormat/>
    <w:uiPriority w:val="99"/>
    <w:rPr>
      <w:rFonts w:ascii="monospace" w:hAnsi="monospace" w:eastAsia="Times New Roman" w:cs="monospace"/>
      <w:sz w:val="20"/>
      <w:szCs w:val="20"/>
    </w:rPr>
  </w:style>
  <w:style w:type="character" w:styleId="59">
    <w:name w:val="HTML Sample"/>
    <w:basedOn w:val="45"/>
    <w:qFormat/>
    <w:uiPriority w:val="99"/>
    <w:rPr>
      <w:rFonts w:ascii="monospace" w:hAnsi="monospace" w:eastAsia="Times New Roman" w:cs="monospace"/>
    </w:rPr>
  </w:style>
  <w:style w:type="paragraph" w:customStyle="1" w:styleId="60">
    <w:name w:val="正文格式"/>
    <w:basedOn w:val="1"/>
    <w:qFormat/>
    <w:uiPriority w:val="0"/>
    <w:pPr>
      <w:topLinePunct/>
      <w:ind w:firstLine="420" w:firstLineChars="200"/>
    </w:pPr>
    <w:rPr>
      <w:rFonts w:ascii="宋体" w:hAnsi="宋体"/>
      <w:bCs/>
    </w:rPr>
  </w:style>
  <w:style w:type="character" w:customStyle="1" w:styleId="61">
    <w:name w:val="标题 1 Char"/>
    <w:basedOn w:val="45"/>
    <w:link w:val="4"/>
    <w:qFormat/>
    <w:locked/>
    <w:uiPriority w:val="99"/>
    <w:rPr>
      <w:rFonts w:ascii="Times New Roman" w:hAnsi="Times New Roman" w:eastAsia="理德小标宋简" w:cs="Times New Roman"/>
      <w:b/>
      <w:bCs/>
      <w:kern w:val="44"/>
      <w:sz w:val="44"/>
      <w:szCs w:val="44"/>
    </w:rPr>
  </w:style>
  <w:style w:type="character" w:customStyle="1" w:styleId="62">
    <w:name w:val="标题 2 Char"/>
    <w:basedOn w:val="45"/>
    <w:link w:val="5"/>
    <w:qFormat/>
    <w:locked/>
    <w:uiPriority w:val="99"/>
    <w:rPr>
      <w:rFonts w:ascii="Cambria" w:hAnsi="Cambria" w:eastAsia="宋体" w:cs="Cambria"/>
      <w:b/>
      <w:bCs/>
      <w:sz w:val="32"/>
      <w:szCs w:val="32"/>
    </w:rPr>
  </w:style>
  <w:style w:type="character" w:customStyle="1" w:styleId="63">
    <w:name w:val="标题 3 Char"/>
    <w:basedOn w:val="45"/>
    <w:link w:val="6"/>
    <w:qFormat/>
    <w:locked/>
    <w:uiPriority w:val="99"/>
    <w:rPr>
      <w:rFonts w:ascii="Times New Roman" w:hAnsi="Times New Roman" w:eastAsia="宋体" w:cs="Times New Roman"/>
      <w:b/>
      <w:bCs/>
      <w:sz w:val="32"/>
      <w:szCs w:val="32"/>
    </w:rPr>
  </w:style>
  <w:style w:type="character" w:customStyle="1" w:styleId="64">
    <w:name w:val="标题 4 Char"/>
    <w:basedOn w:val="45"/>
    <w:link w:val="7"/>
    <w:qFormat/>
    <w:locked/>
    <w:uiPriority w:val="99"/>
    <w:rPr>
      <w:rFonts w:ascii="Cambria" w:hAnsi="Cambria" w:eastAsia="宋体" w:cs="Cambria"/>
      <w:b/>
      <w:bCs/>
      <w:sz w:val="36"/>
      <w:szCs w:val="36"/>
    </w:rPr>
  </w:style>
  <w:style w:type="character" w:customStyle="1" w:styleId="65">
    <w:name w:val="标题 5 Char"/>
    <w:basedOn w:val="45"/>
    <w:link w:val="8"/>
    <w:qFormat/>
    <w:locked/>
    <w:uiPriority w:val="99"/>
    <w:rPr>
      <w:rFonts w:ascii="Times New Roman" w:hAnsi="Times New Roman" w:eastAsia="宋体" w:cs="Times New Roman"/>
      <w:b/>
      <w:bCs/>
      <w:sz w:val="28"/>
      <w:szCs w:val="28"/>
    </w:rPr>
  </w:style>
  <w:style w:type="character" w:customStyle="1" w:styleId="66">
    <w:name w:val="标题 6 Char"/>
    <w:basedOn w:val="45"/>
    <w:link w:val="9"/>
    <w:qFormat/>
    <w:locked/>
    <w:uiPriority w:val="99"/>
    <w:rPr>
      <w:rFonts w:ascii="Cambria" w:hAnsi="Cambria" w:eastAsia="宋体" w:cs="Cambria"/>
      <w:b/>
      <w:bCs/>
      <w:sz w:val="24"/>
      <w:szCs w:val="24"/>
    </w:rPr>
  </w:style>
  <w:style w:type="character" w:customStyle="1" w:styleId="67">
    <w:name w:val="标题 7 Char"/>
    <w:basedOn w:val="45"/>
    <w:link w:val="10"/>
    <w:qFormat/>
    <w:locked/>
    <w:uiPriority w:val="99"/>
    <w:rPr>
      <w:rFonts w:ascii="Calibri" w:hAnsi="Calibri" w:eastAsia="宋体" w:cs="Calibri"/>
      <w:b/>
      <w:bCs/>
      <w:sz w:val="24"/>
      <w:szCs w:val="24"/>
    </w:rPr>
  </w:style>
  <w:style w:type="character" w:customStyle="1" w:styleId="68">
    <w:name w:val="标题 8 Char"/>
    <w:basedOn w:val="45"/>
    <w:link w:val="11"/>
    <w:qFormat/>
    <w:locked/>
    <w:uiPriority w:val="99"/>
    <w:rPr>
      <w:rFonts w:ascii="Cambria" w:hAnsi="Cambria" w:eastAsia="宋体" w:cs="Cambria"/>
      <w:sz w:val="24"/>
      <w:szCs w:val="24"/>
    </w:rPr>
  </w:style>
  <w:style w:type="character" w:customStyle="1" w:styleId="69">
    <w:name w:val="标题 9 Char"/>
    <w:basedOn w:val="45"/>
    <w:link w:val="12"/>
    <w:qFormat/>
    <w:locked/>
    <w:uiPriority w:val="99"/>
    <w:rPr>
      <w:rFonts w:ascii="Cambria" w:hAnsi="Cambria" w:eastAsia="宋体" w:cs="Cambria"/>
      <w:sz w:val="21"/>
      <w:szCs w:val="21"/>
    </w:rPr>
  </w:style>
  <w:style w:type="character" w:customStyle="1" w:styleId="70">
    <w:name w:val="注释标题 Char1"/>
    <w:basedOn w:val="45"/>
    <w:link w:val="14"/>
    <w:semiHidden/>
    <w:qFormat/>
    <w:locked/>
    <w:uiPriority w:val="99"/>
    <w:rPr>
      <w:rFonts w:ascii="Times New Roman" w:hAnsi="Times New Roman" w:eastAsia="宋体" w:cs="Times New Roman"/>
    </w:rPr>
  </w:style>
  <w:style w:type="character" w:customStyle="1" w:styleId="71">
    <w:name w:val="文档结构图 Char1"/>
    <w:basedOn w:val="45"/>
    <w:link w:val="18"/>
    <w:semiHidden/>
    <w:qFormat/>
    <w:locked/>
    <w:uiPriority w:val="99"/>
    <w:rPr>
      <w:rFonts w:ascii="宋体" w:hAnsi="Times New Roman" w:eastAsia="宋体" w:cs="宋体"/>
      <w:sz w:val="18"/>
      <w:szCs w:val="18"/>
    </w:rPr>
  </w:style>
  <w:style w:type="character" w:customStyle="1" w:styleId="72">
    <w:name w:val="批注文字 Char1"/>
    <w:basedOn w:val="45"/>
    <w:link w:val="19"/>
    <w:semiHidden/>
    <w:qFormat/>
    <w:locked/>
    <w:uiPriority w:val="99"/>
    <w:rPr>
      <w:rFonts w:ascii="Times New Roman" w:hAnsi="Times New Roman" w:eastAsia="宋体" w:cs="Times New Roman"/>
    </w:rPr>
  </w:style>
  <w:style w:type="character" w:customStyle="1" w:styleId="73">
    <w:name w:val="称呼 Char1"/>
    <w:basedOn w:val="45"/>
    <w:link w:val="20"/>
    <w:semiHidden/>
    <w:qFormat/>
    <w:locked/>
    <w:uiPriority w:val="99"/>
    <w:rPr>
      <w:rFonts w:ascii="Times New Roman" w:hAnsi="Times New Roman" w:eastAsia="宋体" w:cs="Times New Roman"/>
    </w:rPr>
  </w:style>
  <w:style w:type="character" w:customStyle="1" w:styleId="74">
    <w:name w:val="正文文本 Char2"/>
    <w:basedOn w:val="45"/>
    <w:link w:val="3"/>
    <w:semiHidden/>
    <w:qFormat/>
    <w:locked/>
    <w:uiPriority w:val="99"/>
    <w:rPr>
      <w:rFonts w:ascii="Times New Roman" w:hAnsi="Times New Roman" w:eastAsia="宋体" w:cs="Times New Roman"/>
    </w:rPr>
  </w:style>
  <w:style w:type="character" w:customStyle="1" w:styleId="75">
    <w:name w:val="正文文本缩进 Char1"/>
    <w:basedOn w:val="45"/>
    <w:link w:val="21"/>
    <w:semiHidden/>
    <w:qFormat/>
    <w:locked/>
    <w:uiPriority w:val="99"/>
    <w:rPr>
      <w:rFonts w:ascii="Times New Roman" w:hAnsi="Times New Roman" w:eastAsia="宋体" w:cs="Times New Roman"/>
    </w:rPr>
  </w:style>
  <w:style w:type="character" w:customStyle="1" w:styleId="76">
    <w:name w:val="纯文本 Char3"/>
    <w:basedOn w:val="45"/>
    <w:link w:val="25"/>
    <w:qFormat/>
    <w:locked/>
    <w:uiPriority w:val="0"/>
    <w:rPr>
      <w:rFonts w:ascii="宋体" w:hAnsi="Courier New" w:eastAsia="宋体" w:cs="宋体"/>
      <w:sz w:val="21"/>
      <w:szCs w:val="21"/>
    </w:rPr>
  </w:style>
  <w:style w:type="character" w:customStyle="1" w:styleId="77">
    <w:name w:val="日期 Char1"/>
    <w:basedOn w:val="45"/>
    <w:link w:val="27"/>
    <w:semiHidden/>
    <w:qFormat/>
    <w:locked/>
    <w:uiPriority w:val="99"/>
    <w:rPr>
      <w:rFonts w:ascii="Times New Roman" w:hAnsi="Times New Roman" w:eastAsia="宋体" w:cs="Times New Roman"/>
    </w:rPr>
  </w:style>
  <w:style w:type="character" w:customStyle="1" w:styleId="78">
    <w:name w:val="正文文本缩进 2 Char2"/>
    <w:basedOn w:val="45"/>
    <w:link w:val="28"/>
    <w:semiHidden/>
    <w:qFormat/>
    <w:locked/>
    <w:uiPriority w:val="99"/>
    <w:rPr>
      <w:rFonts w:ascii="Times New Roman" w:hAnsi="Times New Roman" w:eastAsia="宋体" w:cs="Times New Roman"/>
    </w:rPr>
  </w:style>
  <w:style w:type="character" w:customStyle="1" w:styleId="79">
    <w:name w:val="批注框文本 Char1"/>
    <w:basedOn w:val="45"/>
    <w:link w:val="29"/>
    <w:semiHidden/>
    <w:qFormat/>
    <w:locked/>
    <w:uiPriority w:val="99"/>
    <w:rPr>
      <w:rFonts w:ascii="Times New Roman" w:hAnsi="Times New Roman" w:eastAsia="宋体" w:cs="Times New Roman"/>
      <w:sz w:val="18"/>
      <w:szCs w:val="18"/>
    </w:rPr>
  </w:style>
  <w:style w:type="character" w:customStyle="1" w:styleId="80">
    <w:name w:val="页脚 Char1"/>
    <w:basedOn w:val="45"/>
    <w:link w:val="30"/>
    <w:semiHidden/>
    <w:qFormat/>
    <w:locked/>
    <w:uiPriority w:val="99"/>
    <w:rPr>
      <w:rFonts w:ascii="Times New Roman" w:hAnsi="Times New Roman" w:eastAsia="宋体" w:cs="Times New Roman"/>
      <w:sz w:val="18"/>
      <w:szCs w:val="18"/>
    </w:rPr>
  </w:style>
  <w:style w:type="character" w:customStyle="1" w:styleId="81">
    <w:name w:val="页眉 Char1"/>
    <w:basedOn w:val="45"/>
    <w:link w:val="31"/>
    <w:semiHidden/>
    <w:qFormat/>
    <w:locked/>
    <w:uiPriority w:val="99"/>
    <w:rPr>
      <w:rFonts w:ascii="Times New Roman" w:hAnsi="Times New Roman" w:eastAsia="宋体" w:cs="Times New Roman"/>
      <w:sz w:val="18"/>
      <w:szCs w:val="18"/>
    </w:rPr>
  </w:style>
  <w:style w:type="character" w:customStyle="1" w:styleId="82">
    <w:name w:val="副标题 Char2"/>
    <w:basedOn w:val="45"/>
    <w:link w:val="34"/>
    <w:qFormat/>
    <w:locked/>
    <w:uiPriority w:val="99"/>
    <w:rPr>
      <w:rFonts w:ascii="Cambria" w:hAnsi="Cambria" w:eastAsia="宋体" w:cs="Cambria"/>
      <w:b/>
      <w:bCs/>
      <w:kern w:val="28"/>
      <w:sz w:val="32"/>
      <w:szCs w:val="32"/>
    </w:rPr>
  </w:style>
  <w:style w:type="character" w:customStyle="1" w:styleId="83">
    <w:name w:val="脚注文本 Char2"/>
    <w:basedOn w:val="45"/>
    <w:link w:val="35"/>
    <w:semiHidden/>
    <w:qFormat/>
    <w:locked/>
    <w:uiPriority w:val="99"/>
    <w:rPr>
      <w:rFonts w:ascii="Times New Roman" w:hAnsi="Times New Roman" w:eastAsia="宋体" w:cs="Times New Roman"/>
      <w:sz w:val="18"/>
      <w:szCs w:val="18"/>
    </w:rPr>
  </w:style>
  <w:style w:type="character" w:customStyle="1" w:styleId="84">
    <w:name w:val="正文文本缩进 3 Char1"/>
    <w:basedOn w:val="45"/>
    <w:link w:val="37"/>
    <w:semiHidden/>
    <w:qFormat/>
    <w:locked/>
    <w:uiPriority w:val="99"/>
    <w:rPr>
      <w:rFonts w:ascii="Times New Roman" w:hAnsi="Times New Roman" w:eastAsia="宋体" w:cs="Times New Roman"/>
      <w:sz w:val="16"/>
      <w:szCs w:val="16"/>
    </w:rPr>
  </w:style>
  <w:style w:type="character" w:customStyle="1" w:styleId="85">
    <w:name w:val="标题 Char1"/>
    <w:basedOn w:val="45"/>
    <w:link w:val="41"/>
    <w:qFormat/>
    <w:locked/>
    <w:uiPriority w:val="0"/>
    <w:rPr>
      <w:rFonts w:ascii="Cambria" w:hAnsi="Cambria" w:eastAsia="宋体" w:cs="Cambria"/>
      <w:b/>
      <w:bCs/>
      <w:sz w:val="32"/>
      <w:szCs w:val="32"/>
    </w:rPr>
  </w:style>
  <w:style w:type="character" w:customStyle="1" w:styleId="86">
    <w:name w:val="批注主题 Char1"/>
    <w:basedOn w:val="72"/>
    <w:link w:val="42"/>
    <w:semiHidden/>
    <w:qFormat/>
    <w:locked/>
    <w:uiPriority w:val="99"/>
    <w:rPr>
      <w:b/>
      <w:bCs/>
    </w:rPr>
  </w:style>
  <w:style w:type="paragraph" w:customStyle="1" w:styleId="8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8">
    <w:name w:val="正文文本 Char"/>
    <w:qFormat/>
    <w:uiPriority w:val="99"/>
    <w:rPr>
      <w:rFonts w:ascii="楷体_GB2312" w:eastAsia="楷体_GB2312" w:cs="楷体_GB2312"/>
      <w:b/>
      <w:bCs/>
      <w:sz w:val="48"/>
      <w:szCs w:val="48"/>
    </w:rPr>
  </w:style>
  <w:style w:type="character" w:customStyle="1" w:styleId="89">
    <w:name w:val="脚注文本 Char1"/>
    <w:basedOn w:val="45"/>
    <w:qFormat/>
    <w:locked/>
    <w:uiPriority w:val="99"/>
    <w:rPr>
      <w:sz w:val="18"/>
      <w:szCs w:val="18"/>
    </w:rPr>
  </w:style>
  <w:style w:type="character" w:customStyle="1" w:styleId="90">
    <w:name w:val="明显引用 Char1"/>
    <w:basedOn w:val="45"/>
    <w:qFormat/>
    <w:locked/>
    <w:uiPriority w:val="99"/>
    <w:rPr>
      <w:b/>
      <w:bCs/>
      <w:i/>
      <w:iCs/>
      <w:color w:val="4F81BD"/>
    </w:rPr>
  </w:style>
  <w:style w:type="paragraph" w:customStyle="1" w:styleId="91">
    <w:name w:val="明显引用1"/>
    <w:basedOn w:val="1"/>
    <w:next w:val="1"/>
    <w:link w:val="133"/>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92">
    <w:name w:val="页眉 Char"/>
    <w:qFormat/>
    <w:uiPriority w:val="99"/>
    <w:rPr>
      <w:sz w:val="18"/>
      <w:szCs w:val="18"/>
    </w:rPr>
  </w:style>
  <w:style w:type="character" w:customStyle="1" w:styleId="93">
    <w:name w:val="批注框文本 Char"/>
    <w:qFormat/>
    <w:uiPriority w:val="99"/>
    <w:rPr>
      <w:sz w:val="18"/>
      <w:szCs w:val="18"/>
    </w:rPr>
  </w:style>
  <w:style w:type="character" w:customStyle="1" w:styleId="94">
    <w:name w:val="l2"/>
    <w:basedOn w:val="45"/>
    <w:qFormat/>
    <w:uiPriority w:val="99"/>
  </w:style>
  <w:style w:type="character" w:customStyle="1" w:styleId="95">
    <w:name w:val="文档结构图 Char"/>
    <w:qFormat/>
    <w:uiPriority w:val="99"/>
    <w:rPr>
      <w:rFonts w:ascii="宋体" w:cs="宋体"/>
      <w:sz w:val="18"/>
      <w:szCs w:val="18"/>
    </w:rPr>
  </w:style>
  <w:style w:type="character" w:customStyle="1" w:styleId="96">
    <w:name w:val="正文文本 Char1"/>
    <w:basedOn w:val="45"/>
    <w:qFormat/>
    <w:locked/>
    <w:uiPriority w:val="99"/>
    <w:rPr>
      <w:kern w:val="2"/>
      <w:sz w:val="22"/>
      <w:szCs w:val="22"/>
    </w:rPr>
  </w:style>
  <w:style w:type="character" w:customStyle="1" w:styleId="97">
    <w:name w:val="正文文本缩进 2 Char1"/>
    <w:basedOn w:val="45"/>
    <w:qFormat/>
    <w:locked/>
    <w:uiPriority w:val="99"/>
    <w:rPr>
      <w:sz w:val="24"/>
      <w:szCs w:val="24"/>
    </w:rPr>
  </w:style>
  <w:style w:type="character" w:customStyle="1" w:styleId="98">
    <w:name w:val="正文文本缩进 2 Char"/>
    <w:basedOn w:val="45"/>
    <w:semiHidden/>
    <w:qFormat/>
    <w:uiPriority w:val="99"/>
    <w:rPr>
      <w:kern w:val="2"/>
      <w:sz w:val="22"/>
      <w:szCs w:val="22"/>
    </w:rPr>
  </w:style>
  <w:style w:type="character" w:customStyle="1" w:styleId="99">
    <w:name w:val="r2"/>
    <w:basedOn w:val="45"/>
    <w:qFormat/>
    <w:uiPriority w:val="99"/>
  </w:style>
  <w:style w:type="character" w:customStyle="1" w:styleId="100">
    <w:name w:val="批注主题 Char"/>
    <w:qFormat/>
    <w:uiPriority w:val="99"/>
    <w:rPr>
      <w:b/>
      <w:bCs/>
    </w:rPr>
  </w:style>
  <w:style w:type="character" w:customStyle="1" w:styleId="101">
    <w:name w:val="副标题 Char"/>
    <w:basedOn w:val="45"/>
    <w:qFormat/>
    <w:uiPriority w:val="99"/>
    <w:rPr>
      <w:rFonts w:ascii="Cambria" w:hAnsi="Cambria" w:cs="Cambria"/>
      <w:b/>
      <w:bCs/>
      <w:kern w:val="28"/>
      <w:sz w:val="32"/>
      <w:szCs w:val="32"/>
    </w:rPr>
  </w:style>
  <w:style w:type="character" w:customStyle="1" w:styleId="102">
    <w:name w:val="明显引用 Char"/>
    <w:basedOn w:val="45"/>
    <w:qFormat/>
    <w:uiPriority w:val="99"/>
    <w:rPr>
      <w:b/>
      <w:bCs/>
      <w:i/>
      <w:iCs/>
      <w:color w:val="4F81BD"/>
      <w:kern w:val="2"/>
      <w:sz w:val="22"/>
      <w:szCs w:val="22"/>
    </w:rPr>
  </w:style>
  <w:style w:type="character" w:customStyle="1" w:styleId="103">
    <w:name w:val="日期 Char"/>
    <w:basedOn w:val="45"/>
    <w:qFormat/>
    <w:uiPriority w:val="99"/>
  </w:style>
  <w:style w:type="character" w:customStyle="1" w:styleId="104">
    <w:name w:val="引用 Char1"/>
    <w:basedOn w:val="45"/>
    <w:qFormat/>
    <w:locked/>
    <w:uiPriority w:val="99"/>
    <w:rPr>
      <w:i/>
      <w:iCs/>
      <w:color w:val="000000"/>
    </w:rPr>
  </w:style>
  <w:style w:type="paragraph" w:customStyle="1" w:styleId="105">
    <w:name w:val="引用1"/>
    <w:basedOn w:val="1"/>
    <w:next w:val="1"/>
    <w:link w:val="132"/>
    <w:qFormat/>
    <w:uiPriority w:val="99"/>
    <w:rPr>
      <w:rFonts w:ascii="Calibri" w:hAnsi="Calibri" w:cs="Calibri"/>
      <w:i/>
      <w:iCs/>
      <w:color w:val="000000"/>
    </w:rPr>
  </w:style>
  <w:style w:type="character" w:customStyle="1" w:styleId="106">
    <w:name w:val="注释标题 Char"/>
    <w:semiHidden/>
    <w:qFormat/>
    <w:uiPriority w:val="99"/>
    <w:rPr>
      <w:sz w:val="24"/>
      <w:szCs w:val="24"/>
    </w:rPr>
  </w:style>
  <w:style w:type="character" w:customStyle="1" w:styleId="107">
    <w:name w:val="正文文本缩进 3 Char"/>
    <w:qFormat/>
    <w:uiPriority w:val="99"/>
    <w:rPr>
      <w:rFonts w:ascii="宋体" w:cs="宋体"/>
      <w:sz w:val="28"/>
      <w:szCs w:val="28"/>
    </w:rPr>
  </w:style>
  <w:style w:type="character" w:customStyle="1" w:styleId="108">
    <w:name w:val="副标题 Char1"/>
    <w:basedOn w:val="45"/>
    <w:qFormat/>
    <w:locked/>
    <w:uiPriority w:val="99"/>
    <w:rPr>
      <w:rFonts w:ascii="Cambria" w:hAnsi="Cambria" w:cs="Cambria"/>
      <w:b/>
      <w:bCs/>
      <w:kern w:val="28"/>
      <w:sz w:val="32"/>
      <w:szCs w:val="32"/>
    </w:rPr>
  </w:style>
  <w:style w:type="character" w:customStyle="1" w:styleId="109">
    <w:name w:val="称呼 Char"/>
    <w:semiHidden/>
    <w:qFormat/>
    <w:uiPriority w:val="99"/>
    <w:rPr>
      <w:sz w:val="24"/>
      <w:szCs w:val="24"/>
    </w:rPr>
  </w:style>
  <w:style w:type="character" w:customStyle="1" w:styleId="110">
    <w:name w:val="批注文字 Char"/>
    <w:qFormat/>
    <w:uiPriority w:val="99"/>
  </w:style>
  <w:style w:type="character" w:customStyle="1" w:styleId="111">
    <w:name w:val="纯文本 Char2"/>
    <w:qFormat/>
    <w:uiPriority w:val="99"/>
    <w:rPr>
      <w:rFonts w:ascii="宋体" w:hAnsi="Courier New" w:cs="宋体"/>
      <w:kern w:val="2"/>
      <w:sz w:val="21"/>
      <w:szCs w:val="21"/>
    </w:rPr>
  </w:style>
  <w:style w:type="character" w:customStyle="1" w:styleId="112">
    <w:name w:val="标题4 Char Char"/>
    <w:link w:val="113"/>
    <w:qFormat/>
    <w:locked/>
    <w:uiPriority w:val="99"/>
    <w:rPr>
      <w:rFonts w:ascii="Arial" w:hAnsi="Arial" w:cs="Arial"/>
      <w:b/>
      <w:bCs/>
      <w:sz w:val="32"/>
      <w:szCs w:val="32"/>
    </w:rPr>
  </w:style>
  <w:style w:type="paragraph" w:customStyle="1" w:styleId="113">
    <w:name w:val="标题4"/>
    <w:basedOn w:val="5"/>
    <w:next w:val="22"/>
    <w:link w:val="112"/>
    <w:qFormat/>
    <w:uiPriority w:val="99"/>
    <w:pPr>
      <w:spacing w:before="60" w:after="60" w:line="412" w:lineRule="auto"/>
    </w:pPr>
    <w:rPr>
      <w:rFonts w:ascii="Arial" w:hAnsi="Arial" w:cs="Arial"/>
      <w:kern w:val="0"/>
      <w:sz w:val="24"/>
      <w:szCs w:val="24"/>
    </w:rPr>
  </w:style>
  <w:style w:type="character" w:customStyle="1" w:styleId="114">
    <w:name w:val="标题5 Char Char"/>
    <w:link w:val="115"/>
    <w:qFormat/>
    <w:locked/>
    <w:uiPriority w:val="99"/>
    <w:rPr>
      <w:rFonts w:ascii="Arial" w:hAnsi="Arial" w:cs="Arial"/>
      <w:b/>
      <w:bCs/>
      <w:sz w:val="32"/>
      <w:szCs w:val="32"/>
    </w:rPr>
  </w:style>
  <w:style w:type="paragraph" w:customStyle="1" w:styleId="115">
    <w:name w:val="标题5"/>
    <w:basedOn w:val="6"/>
    <w:link w:val="114"/>
    <w:qFormat/>
    <w:uiPriority w:val="99"/>
    <w:pPr>
      <w:spacing w:line="412" w:lineRule="auto"/>
    </w:pPr>
    <w:rPr>
      <w:rFonts w:ascii="Arial" w:hAnsi="Arial" w:cs="Arial"/>
      <w:kern w:val="0"/>
      <w:sz w:val="24"/>
      <w:szCs w:val="24"/>
    </w:rPr>
  </w:style>
  <w:style w:type="character" w:customStyle="1" w:styleId="116">
    <w:name w:val="纯文本 Char"/>
    <w:qFormat/>
    <w:uiPriority w:val="99"/>
    <w:rPr>
      <w:rFonts w:ascii="宋体" w:hAnsi="Courier New" w:cs="宋体"/>
      <w:sz w:val="21"/>
      <w:szCs w:val="21"/>
    </w:rPr>
  </w:style>
  <w:style w:type="character" w:customStyle="1" w:styleId="117">
    <w:name w:val="页脚 Char"/>
    <w:qFormat/>
    <w:uiPriority w:val="99"/>
    <w:rPr>
      <w:sz w:val="18"/>
      <w:szCs w:val="18"/>
    </w:rPr>
  </w:style>
  <w:style w:type="character" w:customStyle="1" w:styleId="118">
    <w:name w:val="标题 Char"/>
    <w:qFormat/>
    <w:uiPriority w:val="99"/>
    <w:rPr>
      <w:rFonts w:ascii="Arial" w:hAnsi="Arial" w:cs="Arial"/>
      <w:b/>
      <w:bCs/>
      <w:sz w:val="32"/>
      <w:szCs w:val="32"/>
    </w:rPr>
  </w:style>
  <w:style w:type="character" w:customStyle="1" w:styleId="119">
    <w:name w:val="脚注文本 Char"/>
    <w:basedOn w:val="45"/>
    <w:semiHidden/>
    <w:qFormat/>
    <w:uiPriority w:val="99"/>
    <w:rPr>
      <w:kern w:val="2"/>
      <w:sz w:val="18"/>
      <w:szCs w:val="18"/>
    </w:rPr>
  </w:style>
  <w:style w:type="character" w:customStyle="1" w:styleId="120">
    <w:name w:val="正文文本缩进 Char"/>
    <w:qFormat/>
    <w:uiPriority w:val="99"/>
    <w:rPr>
      <w:sz w:val="24"/>
      <w:szCs w:val="24"/>
    </w:rPr>
  </w:style>
  <w:style w:type="character" w:customStyle="1" w:styleId="121">
    <w:name w:val="纯文本 Char1"/>
    <w:qFormat/>
    <w:uiPriority w:val="0"/>
    <w:rPr>
      <w:rFonts w:ascii="宋体" w:hAnsi="Courier New" w:eastAsia="宋体" w:cs="宋体"/>
      <w:sz w:val="20"/>
      <w:szCs w:val="20"/>
    </w:rPr>
  </w:style>
  <w:style w:type="character" w:customStyle="1" w:styleId="122">
    <w:name w:val="引用 Char"/>
    <w:basedOn w:val="45"/>
    <w:qFormat/>
    <w:uiPriority w:val="99"/>
    <w:rPr>
      <w:i/>
      <w:iCs/>
      <w:color w:val="000000"/>
      <w:kern w:val="2"/>
      <w:sz w:val="22"/>
      <w:szCs w:val="22"/>
    </w:rPr>
  </w:style>
  <w:style w:type="character" w:customStyle="1" w:styleId="123">
    <w:name w:val="普通文字 Char Char2"/>
    <w:qFormat/>
    <w:uiPriority w:val="99"/>
    <w:rPr>
      <w:rFonts w:ascii="宋体" w:hAnsi="Courier New" w:eastAsia="宋体" w:cs="宋体"/>
      <w:kern w:val="2"/>
      <w:sz w:val="21"/>
      <w:szCs w:val="21"/>
      <w:lang w:val="en-US" w:eastAsia="zh-CN"/>
    </w:rPr>
  </w:style>
  <w:style w:type="paragraph" w:customStyle="1" w:styleId="124">
    <w:name w:val="Table Paragraph"/>
    <w:basedOn w:val="1"/>
    <w:qFormat/>
    <w:uiPriority w:val="99"/>
    <w:pPr>
      <w:autoSpaceDE w:val="0"/>
      <w:autoSpaceDN w:val="0"/>
      <w:adjustRightInd w:val="0"/>
      <w:jc w:val="left"/>
    </w:pPr>
    <w:rPr>
      <w:rFonts w:ascii="黑体" w:eastAsia="黑体" w:cs="黑体"/>
      <w:kern w:val="0"/>
      <w:sz w:val="24"/>
      <w:szCs w:val="24"/>
    </w:rPr>
  </w:style>
  <w:style w:type="paragraph" w:customStyle="1" w:styleId="125">
    <w:name w:val="Level 1"/>
    <w:basedOn w:val="1"/>
    <w:next w:val="1"/>
    <w:qFormat/>
    <w:uiPriority w:val="99"/>
    <w:pPr>
      <w:keepNext/>
      <w:widowControl/>
      <w:numPr>
        <w:ilvl w:val="0"/>
        <w:numId w:val="3"/>
      </w:numPr>
      <w:spacing w:line="360" w:lineRule="auto"/>
      <w:outlineLvl w:val="0"/>
    </w:pPr>
    <w:rPr>
      <w:rFonts w:ascii="Arial" w:hAnsi="Arial" w:eastAsia="黑体" w:cs="Arial"/>
      <w:b/>
      <w:bCs/>
      <w:caps/>
      <w:w w:val="105"/>
      <w:kern w:val="20"/>
      <w:sz w:val="24"/>
      <w:szCs w:val="24"/>
      <w:lang w:val="en-GB" w:eastAsia="en-US"/>
    </w:rPr>
  </w:style>
  <w:style w:type="paragraph" w:customStyle="1" w:styleId="126">
    <w:name w:val="Level 8"/>
    <w:basedOn w:val="1"/>
    <w:qFormat/>
    <w:uiPriority w:val="99"/>
    <w:pPr>
      <w:widowControl/>
      <w:numPr>
        <w:ilvl w:val="7"/>
        <w:numId w:val="3"/>
      </w:numPr>
      <w:spacing w:after="120" w:line="336" w:lineRule="auto"/>
      <w:outlineLvl w:val="7"/>
    </w:pPr>
    <w:rPr>
      <w:rFonts w:ascii="Arial" w:hAnsi="Arial" w:cs="Arial"/>
      <w:w w:val="105"/>
      <w:kern w:val="20"/>
      <w:sz w:val="24"/>
      <w:szCs w:val="24"/>
      <w:lang w:val="en-GB" w:eastAsia="en-US"/>
    </w:rPr>
  </w:style>
  <w:style w:type="paragraph" w:customStyle="1" w:styleId="127">
    <w:name w:val="05 Body"/>
    <w:basedOn w:val="1"/>
    <w:qFormat/>
    <w:uiPriority w:val="99"/>
    <w:pPr>
      <w:widowControl/>
      <w:spacing w:line="290" w:lineRule="auto"/>
    </w:pPr>
    <w:rPr>
      <w:rFonts w:ascii="Arial" w:hAnsi="Arial" w:cs="Arial"/>
      <w:kern w:val="20"/>
      <w:sz w:val="24"/>
      <w:szCs w:val="24"/>
      <w:lang w:val="en-GB" w:eastAsia="en-US"/>
    </w:rPr>
  </w:style>
  <w:style w:type="paragraph" w:customStyle="1" w:styleId="128">
    <w:name w:val="Parties"/>
    <w:basedOn w:val="1"/>
    <w:qFormat/>
    <w:uiPriority w:val="99"/>
    <w:pPr>
      <w:widowControl/>
      <w:numPr>
        <w:ilvl w:val="0"/>
        <w:numId w:val="4"/>
      </w:numPr>
      <w:spacing w:after="140" w:line="290" w:lineRule="auto"/>
    </w:pPr>
    <w:rPr>
      <w:rFonts w:ascii="Arial" w:hAnsi="Arial" w:cs="Arial"/>
      <w:kern w:val="20"/>
      <w:sz w:val="20"/>
      <w:szCs w:val="20"/>
      <w:lang w:val="en-GB" w:eastAsia="en-US"/>
    </w:rPr>
  </w:style>
  <w:style w:type="paragraph" w:customStyle="1" w:styleId="129">
    <w:name w:val="Level 5"/>
    <w:basedOn w:val="130"/>
    <w:qFormat/>
    <w:uiPriority w:val="99"/>
    <w:pPr>
      <w:numPr>
        <w:ilvl w:val="4"/>
      </w:numPr>
      <w:tabs>
        <w:tab w:val="left" w:pos="1361"/>
      </w:tabs>
      <w:outlineLvl w:val="4"/>
    </w:pPr>
  </w:style>
  <w:style w:type="paragraph" w:customStyle="1" w:styleId="130">
    <w:name w:val="Level 4"/>
    <w:basedOn w:val="1"/>
    <w:qFormat/>
    <w:uiPriority w:val="99"/>
    <w:pPr>
      <w:numPr>
        <w:ilvl w:val="3"/>
        <w:numId w:val="3"/>
      </w:numPr>
      <w:spacing w:after="120" w:line="336" w:lineRule="auto"/>
      <w:outlineLvl w:val="3"/>
    </w:pPr>
    <w:rPr>
      <w:rFonts w:ascii="Arial" w:hAnsi="Arial" w:cs="Arial"/>
      <w:w w:val="105"/>
      <w:kern w:val="20"/>
      <w:sz w:val="24"/>
      <w:szCs w:val="24"/>
      <w:lang w:val="en-GB" w:eastAsia="en-US"/>
    </w:rPr>
  </w:style>
  <w:style w:type="paragraph" w:customStyle="1" w:styleId="131">
    <w:name w:val="Body"/>
    <w:basedOn w:val="1"/>
    <w:qFormat/>
    <w:uiPriority w:val="99"/>
    <w:pPr>
      <w:widowControl/>
      <w:spacing w:after="140" w:line="290" w:lineRule="auto"/>
    </w:pPr>
    <w:rPr>
      <w:rFonts w:ascii="Arial" w:hAnsi="Arial" w:cs="Arial"/>
      <w:kern w:val="20"/>
      <w:sz w:val="20"/>
      <w:szCs w:val="20"/>
      <w:lang w:val="en-GB" w:eastAsia="en-US"/>
    </w:rPr>
  </w:style>
  <w:style w:type="character" w:customStyle="1" w:styleId="132">
    <w:name w:val="引用 Char2"/>
    <w:basedOn w:val="45"/>
    <w:link w:val="105"/>
    <w:qFormat/>
    <w:locked/>
    <w:uiPriority w:val="99"/>
    <w:rPr>
      <w:rFonts w:ascii="Times New Roman" w:hAnsi="Times New Roman" w:eastAsia="宋体" w:cs="Times New Roman"/>
      <w:i/>
      <w:iCs/>
      <w:color w:val="000000"/>
    </w:rPr>
  </w:style>
  <w:style w:type="character" w:customStyle="1" w:styleId="133">
    <w:name w:val="明显引用 Char2"/>
    <w:basedOn w:val="45"/>
    <w:link w:val="91"/>
    <w:qFormat/>
    <w:locked/>
    <w:uiPriority w:val="99"/>
    <w:rPr>
      <w:rFonts w:ascii="Times New Roman" w:hAnsi="Times New Roman" w:eastAsia="宋体" w:cs="Times New Roman"/>
      <w:b/>
      <w:bCs/>
      <w:i/>
      <w:iCs/>
      <w:color w:val="4F81BD"/>
    </w:rPr>
  </w:style>
  <w:style w:type="paragraph" w:customStyle="1" w:styleId="134">
    <w:name w:val="Char"/>
    <w:basedOn w:val="1"/>
    <w:qFormat/>
    <w:uiPriority w:val="99"/>
    <w:pPr>
      <w:snapToGrid w:val="0"/>
      <w:spacing w:line="440" w:lineRule="atLeast"/>
    </w:pPr>
    <w:rPr>
      <w:rFonts w:ascii="宋体" w:cs="宋体"/>
      <w:sz w:val="24"/>
      <w:szCs w:val="24"/>
    </w:rPr>
  </w:style>
  <w:style w:type="paragraph" w:customStyle="1" w:styleId="135">
    <w:name w:val="样式 标题 2 + Times New Roman 四号 非加粗 段前: 5 磅 段后: 0 磅 行距: 固定值 20..."/>
    <w:basedOn w:val="5"/>
    <w:next w:val="1"/>
    <w:qFormat/>
    <w:uiPriority w:val="99"/>
    <w:pPr>
      <w:spacing w:before="100" w:after="0" w:line="400" w:lineRule="exact"/>
    </w:pPr>
    <w:rPr>
      <w:rFonts w:ascii="Times New Roman" w:hAnsi="Times New Roman" w:eastAsia="黑体" w:cs="Times New Roman"/>
      <w:b w:val="0"/>
      <w:bCs w:val="0"/>
      <w:sz w:val="28"/>
      <w:szCs w:val="28"/>
    </w:rPr>
  </w:style>
  <w:style w:type="paragraph" w:customStyle="1" w:styleId="136">
    <w:name w:val="03 Wheras"/>
    <w:basedOn w:val="1"/>
    <w:qFormat/>
    <w:uiPriority w:val="99"/>
    <w:pPr>
      <w:widowControl/>
      <w:spacing w:line="290" w:lineRule="auto"/>
    </w:pPr>
    <w:rPr>
      <w:rFonts w:ascii="Arial" w:hAnsi="Arial" w:eastAsia="黑体" w:cs="Arial"/>
      <w:b/>
      <w:bCs/>
      <w:kern w:val="20"/>
      <w:sz w:val="24"/>
      <w:szCs w:val="24"/>
      <w:lang w:val="en-GB" w:eastAsia="en-US"/>
    </w:rPr>
  </w:style>
  <w:style w:type="paragraph" w:customStyle="1" w:styleId="137">
    <w:name w:val="Level 6"/>
    <w:basedOn w:val="129"/>
    <w:qFormat/>
    <w:uiPriority w:val="99"/>
    <w:pPr>
      <w:numPr>
        <w:ilvl w:val="5"/>
      </w:numPr>
      <w:outlineLvl w:val="5"/>
    </w:pPr>
  </w:style>
  <w:style w:type="paragraph" w:customStyle="1" w:styleId="138">
    <w:name w:val="Level 7"/>
    <w:basedOn w:val="1"/>
    <w:qFormat/>
    <w:uiPriority w:val="99"/>
    <w:pPr>
      <w:widowControl/>
      <w:numPr>
        <w:ilvl w:val="6"/>
        <w:numId w:val="3"/>
      </w:numPr>
      <w:spacing w:after="120" w:line="336" w:lineRule="auto"/>
      <w:outlineLvl w:val="6"/>
    </w:pPr>
    <w:rPr>
      <w:rFonts w:ascii="Arial" w:hAnsi="Arial" w:cs="Arial"/>
      <w:w w:val="105"/>
      <w:kern w:val="20"/>
      <w:sz w:val="24"/>
      <w:szCs w:val="24"/>
      <w:lang w:val="en-GB" w:eastAsia="en-US"/>
    </w:rPr>
  </w:style>
  <w:style w:type="paragraph" w:customStyle="1" w:styleId="139">
    <w:name w:val="WPSOffice手动目录 1"/>
    <w:qFormat/>
    <w:uiPriority w:val="99"/>
    <w:rPr>
      <w:rFonts w:ascii="Times New Roman" w:hAnsi="Times New Roman" w:eastAsia="宋体" w:cs="Times New Roman"/>
      <w:lang w:val="en-US" w:eastAsia="zh-CN" w:bidi="ar-SA"/>
    </w:rPr>
  </w:style>
  <w:style w:type="paragraph" w:customStyle="1" w:styleId="140">
    <w:name w:val="04 Recitals"/>
    <w:basedOn w:val="127"/>
    <w:qFormat/>
    <w:uiPriority w:val="99"/>
    <w:pPr>
      <w:numPr>
        <w:ilvl w:val="0"/>
        <w:numId w:val="5"/>
      </w:numPr>
    </w:pPr>
  </w:style>
  <w:style w:type="paragraph" w:customStyle="1" w:styleId="141">
    <w:name w:val="zFSNarrative"/>
    <w:basedOn w:val="1"/>
    <w:qFormat/>
    <w:uiPriority w:val="99"/>
    <w:pPr>
      <w:widowControl/>
      <w:spacing w:before="120" w:after="120" w:line="290" w:lineRule="auto"/>
      <w:jc w:val="center"/>
    </w:pPr>
    <w:rPr>
      <w:rFonts w:ascii="Arial" w:hAnsi="Arial" w:cs="Arial"/>
      <w:kern w:val="20"/>
      <w:sz w:val="20"/>
      <w:szCs w:val="20"/>
      <w:lang w:val="en-GB" w:eastAsia="en-US"/>
    </w:rPr>
  </w:style>
  <w:style w:type="paragraph" w:customStyle="1" w:styleId="142">
    <w:name w:val="02 Parties"/>
    <w:basedOn w:val="1"/>
    <w:qFormat/>
    <w:uiPriority w:val="99"/>
    <w:pPr>
      <w:widowControl/>
      <w:numPr>
        <w:ilvl w:val="0"/>
        <w:numId w:val="6"/>
      </w:numPr>
      <w:spacing w:line="290" w:lineRule="auto"/>
    </w:pPr>
    <w:rPr>
      <w:rFonts w:ascii="Arial" w:hAnsi="Arial" w:cs="Arial"/>
      <w:kern w:val="20"/>
      <w:sz w:val="24"/>
      <w:szCs w:val="24"/>
      <w:lang w:val="en-GB" w:eastAsia="en-US"/>
    </w:rPr>
  </w:style>
  <w:style w:type="paragraph" w:customStyle="1" w:styleId="143">
    <w:name w:val="修订1"/>
    <w:qFormat/>
    <w:uiPriority w:val="99"/>
    <w:rPr>
      <w:rFonts w:ascii="Times New Roman" w:hAnsi="Times New Roman" w:eastAsia="宋体" w:cs="Times New Roman"/>
      <w:kern w:val="2"/>
      <w:sz w:val="21"/>
      <w:szCs w:val="21"/>
      <w:lang w:val="en-US" w:eastAsia="zh-CN" w:bidi="ar-SA"/>
    </w:rPr>
  </w:style>
  <w:style w:type="paragraph" w:customStyle="1" w:styleId="144">
    <w:name w:val="Char Char Char Char Char Char Char"/>
    <w:basedOn w:val="1"/>
    <w:qFormat/>
    <w:uiPriority w:val="99"/>
    <w:rPr>
      <w:rFonts w:ascii="仿宋_GB2312" w:eastAsia="仿宋_GB2312" w:cs="仿宋_GB2312"/>
      <w:spacing w:val="-4"/>
      <w:sz w:val="32"/>
      <w:szCs w:val="32"/>
    </w:rPr>
  </w:style>
  <w:style w:type="paragraph" w:customStyle="1" w:styleId="145">
    <w:name w:val="Level 3"/>
    <w:basedOn w:val="1"/>
    <w:qFormat/>
    <w:uiPriority w:val="99"/>
    <w:pPr>
      <w:numPr>
        <w:ilvl w:val="2"/>
        <w:numId w:val="3"/>
      </w:numPr>
      <w:spacing w:after="120" w:line="336" w:lineRule="auto"/>
      <w:outlineLvl w:val="2"/>
    </w:pPr>
    <w:rPr>
      <w:rFonts w:ascii="Arial" w:hAnsi="Arial" w:cs="Arial"/>
      <w:w w:val="105"/>
      <w:kern w:val="20"/>
      <w:sz w:val="24"/>
      <w:szCs w:val="24"/>
      <w:lang w:val="en-GB" w:eastAsia="en-US"/>
    </w:rPr>
  </w:style>
  <w:style w:type="paragraph" w:customStyle="1" w:styleId="146">
    <w:name w:val="列出段落1"/>
    <w:basedOn w:val="1"/>
    <w:link w:val="149"/>
    <w:qFormat/>
    <w:uiPriority w:val="99"/>
    <w:pPr>
      <w:ind w:firstLine="420" w:firstLineChars="200"/>
    </w:pPr>
  </w:style>
  <w:style w:type="paragraph" w:customStyle="1" w:styleId="147">
    <w:name w:val="zFSco-names"/>
    <w:basedOn w:val="1"/>
    <w:next w:val="1"/>
    <w:qFormat/>
    <w:uiPriority w:val="99"/>
    <w:pPr>
      <w:widowControl/>
      <w:spacing w:before="120" w:after="120" w:line="290" w:lineRule="auto"/>
      <w:jc w:val="center"/>
    </w:pPr>
    <w:rPr>
      <w:rFonts w:ascii="Arial" w:hAnsi="Arial" w:cs="Arial"/>
      <w:kern w:val="24"/>
      <w:sz w:val="24"/>
      <w:szCs w:val="24"/>
      <w:lang w:val="en-GB" w:eastAsia="en-US"/>
    </w:rPr>
  </w:style>
  <w:style w:type="paragraph" w:customStyle="1" w:styleId="148">
    <w:name w:val="Level 2"/>
    <w:basedOn w:val="1"/>
    <w:next w:val="1"/>
    <w:qFormat/>
    <w:uiPriority w:val="99"/>
    <w:pPr>
      <w:numPr>
        <w:ilvl w:val="1"/>
        <w:numId w:val="3"/>
      </w:numPr>
      <w:spacing w:line="360" w:lineRule="auto"/>
      <w:outlineLvl w:val="1"/>
    </w:pPr>
    <w:rPr>
      <w:rFonts w:ascii="Arial" w:hAnsi="Arial" w:cs="Arial"/>
      <w:w w:val="105"/>
      <w:kern w:val="20"/>
      <w:sz w:val="24"/>
      <w:szCs w:val="24"/>
      <w:lang w:val="en-GB" w:eastAsia="en-US"/>
    </w:rPr>
  </w:style>
  <w:style w:type="character" w:customStyle="1" w:styleId="149">
    <w:name w:val="列出段落 Char"/>
    <w:link w:val="146"/>
    <w:qFormat/>
    <w:locked/>
    <w:uiPriority w:val="99"/>
    <w:rPr>
      <w:kern w:val="2"/>
      <w:sz w:val="22"/>
      <w:szCs w:val="22"/>
    </w:rPr>
  </w:style>
  <w:style w:type="paragraph" w:customStyle="1" w:styleId="150">
    <w:name w:val="标题 81"/>
    <w:basedOn w:val="1"/>
    <w:qFormat/>
    <w:uiPriority w:val="99"/>
    <w:pPr>
      <w:autoSpaceDE w:val="0"/>
      <w:autoSpaceDN w:val="0"/>
      <w:ind w:left="765"/>
      <w:jc w:val="left"/>
      <w:outlineLvl w:val="8"/>
    </w:pPr>
    <w:rPr>
      <w:rFonts w:ascii="宋体" w:hAnsi="宋体" w:cs="宋体"/>
      <w:b/>
      <w:bCs/>
      <w:kern w:val="0"/>
      <w:lang w:val="zh-CN"/>
    </w:rPr>
  </w:style>
  <w:style w:type="character" w:customStyle="1" w:styleId="151">
    <w:name w:val="fontstyle01"/>
    <w:qFormat/>
    <w:uiPriority w:val="99"/>
    <w:rPr>
      <w:rFonts w:ascii="Times New Roman" w:hAnsi="Times New Roman" w:eastAsia="宋体" w:cs="Times New Roman"/>
      <w:color w:val="000000"/>
      <w:sz w:val="22"/>
      <w:szCs w:val="22"/>
    </w:rPr>
  </w:style>
  <w:style w:type="paragraph" w:customStyle="1" w:styleId="152">
    <w:name w:val="列出段落2"/>
    <w:basedOn w:val="1"/>
    <w:qFormat/>
    <w:uiPriority w:val="99"/>
    <w:pPr>
      <w:ind w:firstLine="420" w:firstLineChars="200"/>
    </w:pPr>
  </w:style>
  <w:style w:type="paragraph" w:customStyle="1" w:styleId="153">
    <w:name w:val="Heading 3"/>
    <w:basedOn w:val="1"/>
    <w:qFormat/>
    <w:uiPriority w:val="1"/>
    <w:pPr>
      <w:autoSpaceDE w:val="0"/>
      <w:autoSpaceDN w:val="0"/>
      <w:spacing w:line="360" w:lineRule="auto"/>
      <w:ind w:left="117"/>
      <w:jc w:val="left"/>
      <w:outlineLvl w:val="3"/>
    </w:pPr>
    <w:rPr>
      <w:rFonts w:ascii="宋体" w:hAnsi="宋体" w:cs="宋体"/>
      <w:kern w:val="0"/>
      <w:sz w:val="28"/>
      <w:szCs w:val="28"/>
      <w:lang w:eastAsia="en-US"/>
    </w:rPr>
  </w:style>
  <w:style w:type="paragraph" w:customStyle="1" w:styleId="154">
    <w:name w:val="表格正文"/>
    <w:basedOn w:val="1"/>
    <w:qFormat/>
    <w:uiPriority w:val="0"/>
    <w:pPr>
      <w:widowControl/>
      <w:adjustRightInd w:val="0"/>
      <w:contextualSpacing/>
      <w:jc w:val="left"/>
    </w:pPr>
    <w:rPr>
      <w:rFonts w:cs="宋体"/>
      <w:kern w:val="0"/>
      <w:sz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FDF30-B6D5-40C2-AD31-6F50D8BA0E2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27017</Words>
  <Characters>3984</Characters>
  <Lines>33</Lines>
  <Paragraphs>61</Paragraphs>
  <TotalTime>40</TotalTime>
  <ScaleCrop>false</ScaleCrop>
  <LinksUpToDate>false</LinksUpToDate>
  <CharactersWithSpaces>30940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2020-07-03T08:06:00Z</dcterms:created>
  <dc:creator>NTKO</dc:creator>
  <cp:lastModifiedBy>孤独无聊</cp:lastModifiedBy>
  <cp:lastPrinted>2020-11-24T07:15:00Z</cp:lastPrinted>
  <dcterms:modified xsi:type="dcterms:W3CDTF">2020-11-26T09:04:05Z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