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8"/>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r>
        <w:rPr>
          <w:rFonts w:hint="eastAsia"/>
          <w:color w:val="auto"/>
          <w:highlight w:val="none"/>
        </w:rPr>
        <w:drawing>
          <wp:inline distT="0" distB="0" distL="0" distR="0">
            <wp:extent cx="5644515" cy="1552575"/>
            <wp:effectExtent l="0" t="0" r="0" b="0"/>
            <wp:docPr id="4" name="图片 1" descr="ba8b8434a1eccf8278aef83974b46cd"/>
            <wp:cNvGraphicFramePr/>
            <a:graphic xmlns:a="http://schemas.openxmlformats.org/drawingml/2006/main">
              <a:graphicData uri="http://schemas.openxmlformats.org/drawingml/2006/picture">
                <pic:pic xmlns:pic="http://schemas.openxmlformats.org/drawingml/2006/picture">
                  <pic:nvPicPr>
                    <pic:cNvPr id="4" name="图片 1" descr="ba8b8434a1eccf8278aef83974b46cd"/>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644515" cy="1552575"/>
                    </a:xfrm>
                    <a:prstGeom prst="rect">
                      <a:avLst/>
                    </a:prstGeom>
                    <a:noFill/>
                    <a:ln>
                      <a:noFill/>
                    </a:ln>
                  </pic:spPr>
                </pic:pic>
              </a:graphicData>
            </a:graphic>
          </wp:inline>
        </w:drawing>
      </w:r>
    </w:p>
    <w:p>
      <w:pPr>
        <w:pStyle w:val="14"/>
        <w:jc w:val="center"/>
        <w:rPr>
          <w:rFonts w:hAnsi="宋体"/>
          <w:b/>
          <w:color w:val="auto"/>
          <w:spacing w:val="-18"/>
          <w:sz w:val="96"/>
          <w:highlight w:val="none"/>
        </w:rPr>
      </w:pPr>
      <w:r>
        <w:rPr>
          <w:rFonts w:hint="eastAsia" w:hAnsi="宋体" w:cs="宋体"/>
          <w:color w:val="auto"/>
          <w:sz w:val="28"/>
          <w:highlight w:val="none"/>
        </w:rP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462915</wp:posOffset>
                </wp:positionV>
                <wp:extent cx="6105525" cy="28575"/>
                <wp:effectExtent l="0" t="19050" r="28575" b="28575"/>
                <wp:wrapNone/>
                <wp:docPr id="5" name="直线 24"/>
                <wp:cNvGraphicFramePr/>
                <a:graphic xmlns:a="http://schemas.openxmlformats.org/drawingml/2006/main">
                  <a:graphicData uri="http://schemas.microsoft.com/office/word/2010/wordprocessingShape">
                    <wps:wsp>
                      <wps:cNvCnPr/>
                      <wps:spPr bwMode="auto">
                        <a:xfrm>
                          <a:off x="0" y="0"/>
                          <a:ext cx="6105525" cy="28575"/>
                        </a:xfrm>
                        <a:prstGeom prst="straightConnector1">
                          <a:avLst/>
                        </a:prstGeom>
                        <a:noFill/>
                        <a:ln w="63500" cmpd="tri">
                          <a:solidFill>
                            <a:srgbClr val="000000"/>
                          </a:solidFill>
                          <a:round/>
                        </a:ln>
                      </wps:spPr>
                      <wps:bodyPr/>
                    </wps:wsp>
                  </a:graphicData>
                </a:graphic>
              </wp:anchor>
            </w:drawing>
          </mc:Choice>
          <mc:Fallback>
            <w:pict>
              <v:shape id="直线 24" o:spid="_x0000_s1026" o:spt="32" type="#_x0000_t32" style="position:absolute;left:0pt;margin-left:-5pt;margin-top:36.45pt;height:2.25pt;width:480.75pt;z-index:251662336;mso-width-relative:page;mso-height-relative:page;" filled="f" stroked="t" coordsize="21600,21600" o:gfxdata="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nzpzc2gAAAAkBAAAPAAAAAAAAAAEAIAAA&#10;ACIAAABkcnMvZG93bnJldi54bWxQSwECFAAUAAAACACHTuJAMyny5tEBAACOAwAADgAAAAAAAAAB&#10;ACAAAAApAQAAZHJzL2Uyb0RvYy54bWxQSwUGAAAAAAYABgBZAQAAbAUAAAAA&#10;">
                <v:fill on="f" focussize="0,0"/>
                <v:stroke weight="5pt" color="#000000" linestyle="thickBetweenThin" joinstyle="round"/>
                <v:imagedata o:title=""/>
                <o:lock v:ext="edit" aspectratio="f"/>
              </v:shape>
            </w:pict>
          </mc:Fallback>
        </mc:AlternateContent>
      </w:r>
    </w:p>
    <w:p>
      <w:pPr>
        <w:pStyle w:val="14"/>
        <w:jc w:val="center"/>
        <w:rPr>
          <w:rFonts w:hAnsi="宋体"/>
          <w:b/>
          <w:color w:val="auto"/>
          <w:spacing w:val="-18"/>
          <w:sz w:val="84"/>
          <w:szCs w:val="84"/>
          <w:highlight w:val="none"/>
        </w:rPr>
      </w:pPr>
      <w:r>
        <w:rPr>
          <w:rFonts w:hint="eastAsia" w:hAnsi="宋体"/>
          <w:b/>
          <w:color w:val="auto"/>
          <w:sz w:val="84"/>
          <w:szCs w:val="84"/>
          <w:highlight w:val="none"/>
        </w:rPr>
        <w:t>竞争性磋商采购文件</w:t>
      </w:r>
    </w:p>
    <w:p>
      <w:pPr>
        <w:pStyle w:val="14"/>
        <w:rPr>
          <w:rFonts w:hAnsi="宋体"/>
          <w:b/>
          <w:color w:val="auto"/>
          <w:highlight w:val="none"/>
        </w:rPr>
      </w:pPr>
    </w:p>
    <w:p>
      <w:pPr>
        <w:pStyle w:val="14"/>
        <w:rPr>
          <w:rFonts w:hAnsi="宋体"/>
          <w:b/>
          <w:color w:val="auto"/>
          <w:highlight w:val="none"/>
        </w:rPr>
      </w:pPr>
    </w:p>
    <w:p>
      <w:pPr>
        <w:pStyle w:val="14"/>
        <w:rPr>
          <w:rFonts w:hAnsi="宋体"/>
          <w:b/>
          <w:color w:val="auto"/>
          <w:highlight w:val="none"/>
        </w:rPr>
      </w:pPr>
    </w:p>
    <w:p>
      <w:pPr>
        <w:pStyle w:val="14"/>
        <w:rPr>
          <w:rFonts w:hAnsi="宋体"/>
          <w:b/>
          <w:color w:val="auto"/>
          <w:highlight w:val="none"/>
        </w:rPr>
      </w:pPr>
    </w:p>
    <w:p>
      <w:pPr>
        <w:pStyle w:val="14"/>
        <w:snapToGrid w:val="0"/>
        <w:spacing w:before="120" w:after="120" w:line="360" w:lineRule="auto"/>
        <w:rPr>
          <w:rFonts w:hAnsi="宋体" w:cs="宋体"/>
          <w:b/>
          <w:bCs/>
          <w:color w:val="auto"/>
          <w:w w:val="95"/>
          <w:sz w:val="30"/>
          <w:szCs w:val="30"/>
          <w:highlight w:val="none"/>
        </w:rPr>
      </w:pPr>
    </w:p>
    <w:p>
      <w:pPr>
        <w:pStyle w:val="14"/>
        <w:snapToGrid w:val="0"/>
        <w:spacing w:before="120" w:after="120" w:line="360" w:lineRule="auto"/>
        <w:ind w:firstLine="1717" w:firstLineChars="600"/>
        <w:rPr>
          <w:rFonts w:hint="eastAsia" w:hAnsi="宋体" w:eastAsia="宋体" w:cs="宋体"/>
          <w:b/>
          <w:bCs/>
          <w:color w:val="auto"/>
          <w:w w:val="95"/>
          <w:sz w:val="30"/>
          <w:szCs w:val="30"/>
          <w:highlight w:val="none"/>
          <w:lang w:eastAsia="zh-CN"/>
        </w:rPr>
      </w:pPr>
      <w:r>
        <w:rPr>
          <w:rFonts w:hint="eastAsia" w:hAnsi="宋体" w:cs="宋体"/>
          <w:b/>
          <w:bCs/>
          <w:color w:val="auto"/>
          <w:w w:val="95"/>
          <w:sz w:val="30"/>
          <w:szCs w:val="30"/>
          <w:highlight w:val="none"/>
        </w:rPr>
        <w:t>项目名称：</w:t>
      </w:r>
      <w:r>
        <w:rPr>
          <w:rFonts w:hint="eastAsia" w:hAnsi="宋体" w:cs="宋体"/>
          <w:b/>
          <w:bCs/>
          <w:color w:val="auto"/>
          <w:w w:val="95"/>
          <w:sz w:val="30"/>
          <w:szCs w:val="30"/>
          <w:highlight w:val="none"/>
          <w:lang w:eastAsia="zh-CN"/>
        </w:rPr>
        <w:t>桂平市土地增值税清算辅助审核服务</w:t>
      </w:r>
    </w:p>
    <w:p>
      <w:pPr>
        <w:pStyle w:val="14"/>
        <w:snapToGrid w:val="0"/>
        <w:spacing w:before="120" w:after="120" w:line="360" w:lineRule="auto"/>
        <w:ind w:firstLine="1807" w:firstLineChars="600"/>
        <w:rPr>
          <w:rFonts w:hint="eastAsia" w:hAnsi="宋体" w:eastAsia="宋体" w:cs="宋体"/>
          <w:b/>
          <w:bCs/>
          <w:color w:val="auto"/>
          <w:sz w:val="30"/>
          <w:szCs w:val="30"/>
          <w:highlight w:val="none"/>
          <w:lang w:eastAsia="zh-CN"/>
        </w:rPr>
      </w:pPr>
      <w:r>
        <w:rPr>
          <w:rFonts w:hint="eastAsia" w:hAnsi="宋体" w:cs="宋体"/>
          <w:b/>
          <w:bCs/>
          <w:color w:val="auto"/>
          <w:sz w:val="30"/>
          <w:szCs w:val="30"/>
          <w:highlight w:val="none"/>
        </w:rPr>
        <w:t>项目编号：</w:t>
      </w:r>
      <w:r>
        <w:rPr>
          <w:rFonts w:hint="eastAsia" w:hAnsi="宋体" w:cs="宋体"/>
          <w:b/>
          <w:bCs/>
          <w:color w:val="auto"/>
          <w:sz w:val="30"/>
          <w:szCs w:val="30"/>
          <w:highlight w:val="none"/>
          <w:lang w:eastAsia="zh-CN"/>
        </w:rPr>
        <w:t>GGZC2022-C3-50096-GXBS</w:t>
      </w:r>
    </w:p>
    <w:p>
      <w:pPr>
        <w:pStyle w:val="14"/>
        <w:snapToGrid w:val="0"/>
        <w:spacing w:before="120" w:after="120" w:line="360" w:lineRule="auto"/>
        <w:jc w:val="center"/>
        <w:rPr>
          <w:rFonts w:hAnsi="宋体" w:cs="宋体"/>
          <w:b/>
          <w:bCs/>
          <w:color w:val="auto"/>
          <w:w w:val="95"/>
          <w:sz w:val="30"/>
          <w:szCs w:val="30"/>
          <w:highlight w:val="none"/>
        </w:rPr>
      </w:pPr>
    </w:p>
    <w:p>
      <w:pPr>
        <w:pStyle w:val="14"/>
        <w:snapToGrid w:val="0"/>
        <w:spacing w:before="120" w:after="120" w:line="360" w:lineRule="auto"/>
        <w:jc w:val="center"/>
        <w:rPr>
          <w:rFonts w:hAnsi="宋体" w:cs="宋体"/>
          <w:b/>
          <w:bCs/>
          <w:color w:val="auto"/>
          <w:w w:val="95"/>
          <w:sz w:val="30"/>
          <w:szCs w:val="30"/>
          <w:highlight w:val="none"/>
        </w:rPr>
      </w:pPr>
    </w:p>
    <w:p>
      <w:pPr>
        <w:pStyle w:val="14"/>
        <w:snapToGrid w:val="0"/>
        <w:spacing w:before="120" w:after="120" w:line="360" w:lineRule="auto"/>
        <w:ind w:firstLine="2289" w:firstLineChars="800"/>
        <w:rPr>
          <w:rFonts w:hAnsi="宋体" w:cs="宋体"/>
          <w:b/>
          <w:bCs/>
          <w:color w:val="auto"/>
          <w:w w:val="95"/>
          <w:sz w:val="30"/>
          <w:szCs w:val="30"/>
          <w:highlight w:val="none"/>
        </w:rPr>
      </w:pPr>
      <w:r>
        <w:rPr>
          <w:rFonts w:hint="eastAsia" w:hAnsi="宋体" w:cs="宋体"/>
          <w:b/>
          <w:bCs/>
          <w:color w:val="auto"/>
          <w:w w:val="95"/>
          <w:sz w:val="30"/>
          <w:szCs w:val="30"/>
          <w:highlight w:val="none"/>
        </w:rPr>
        <w:t>采 购 人：桂平市财政局</w:t>
      </w:r>
    </w:p>
    <w:p>
      <w:pPr>
        <w:pStyle w:val="14"/>
        <w:snapToGrid w:val="0"/>
        <w:spacing w:before="120" w:after="120" w:line="360" w:lineRule="auto"/>
        <w:ind w:firstLine="2289" w:firstLineChars="800"/>
        <w:rPr>
          <w:rFonts w:hAnsi="宋体" w:cs="宋体"/>
          <w:b/>
          <w:bCs/>
          <w:color w:val="auto"/>
          <w:w w:val="95"/>
          <w:sz w:val="30"/>
          <w:szCs w:val="30"/>
          <w:highlight w:val="none"/>
        </w:rPr>
      </w:pPr>
      <w:r>
        <w:rPr>
          <w:rFonts w:hint="eastAsia" w:hAnsi="宋体" w:cs="宋体"/>
          <w:b/>
          <w:bCs/>
          <w:color w:val="auto"/>
          <w:w w:val="95"/>
          <w:sz w:val="30"/>
          <w:szCs w:val="30"/>
          <w:highlight w:val="none"/>
        </w:rPr>
        <w:t>采购代理机构：广西宝盛工程咨询有限公司</w:t>
      </w:r>
    </w:p>
    <w:p>
      <w:pPr>
        <w:pStyle w:val="14"/>
        <w:snapToGrid w:val="0"/>
        <w:spacing w:before="120" w:after="120" w:line="360" w:lineRule="auto"/>
        <w:jc w:val="center"/>
        <w:rPr>
          <w:rFonts w:hAnsi="宋体"/>
          <w:b/>
          <w:color w:val="auto"/>
          <w:sz w:val="30"/>
          <w:szCs w:val="72"/>
          <w:highlight w:val="none"/>
        </w:rPr>
      </w:pPr>
      <w:r>
        <w:rPr>
          <w:rFonts w:hint="eastAsia" w:hAnsi="宋体" w:cs="宋体"/>
          <w:b/>
          <w:bCs/>
          <w:color w:val="auto"/>
          <w:w w:val="95"/>
          <w:sz w:val="30"/>
          <w:szCs w:val="30"/>
          <w:highlight w:val="none"/>
        </w:rPr>
        <w:t>202</w:t>
      </w:r>
      <w:r>
        <w:rPr>
          <w:rFonts w:hint="eastAsia" w:hAnsi="宋体" w:cs="宋体"/>
          <w:b/>
          <w:bCs/>
          <w:color w:val="auto"/>
          <w:w w:val="95"/>
          <w:sz w:val="30"/>
          <w:szCs w:val="30"/>
          <w:highlight w:val="none"/>
          <w:lang w:val="en-US" w:eastAsia="zh-CN"/>
        </w:rPr>
        <w:t>2</w:t>
      </w:r>
      <w:r>
        <w:rPr>
          <w:rFonts w:hint="eastAsia" w:hAnsi="宋体" w:cs="宋体"/>
          <w:b/>
          <w:bCs/>
          <w:color w:val="auto"/>
          <w:w w:val="95"/>
          <w:sz w:val="30"/>
          <w:szCs w:val="30"/>
          <w:highlight w:val="none"/>
        </w:rPr>
        <w:t>年</w:t>
      </w:r>
      <w:r>
        <w:rPr>
          <w:rFonts w:hint="eastAsia" w:hAnsi="宋体" w:cs="宋体"/>
          <w:b/>
          <w:bCs/>
          <w:color w:val="auto"/>
          <w:w w:val="95"/>
          <w:sz w:val="30"/>
          <w:szCs w:val="30"/>
          <w:highlight w:val="none"/>
          <w:lang w:val="en-US" w:eastAsia="zh-CN"/>
        </w:rPr>
        <w:t>6</w:t>
      </w:r>
      <w:r>
        <w:rPr>
          <w:rFonts w:hint="eastAsia" w:hAnsi="宋体" w:cs="宋体"/>
          <w:b/>
          <w:bCs/>
          <w:color w:val="auto"/>
          <w:w w:val="95"/>
          <w:sz w:val="30"/>
          <w:szCs w:val="30"/>
          <w:highlight w:val="none"/>
        </w:rPr>
        <w:t>月</w:t>
      </w:r>
    </w:p>
    <w:p>
      <w:pPr>
        <w:jc w:val="center"/>
        <w:rPr>
          <w:rFonts w:ascii="宋体" w:hAnsi="宋体" w:cs="宋体"/>
          <w:b/>
          <w:color w:val="auto"/>
          <w:sz w:val="44"/>
          <w:szCs w:val="44"/>
          <w:highlight w:val="none"/>
        </w:rPr>
      </w:pPr>
    </w:p>
    <w:p>
      <w:pPr>
        <w:jc w:val="center"/>
        <w:rPr>
          <w:rFonts w:ascii="宋体" w:hAnsi="宋体" w:cs="宋体"/>
          <w:b/>
          <w:color w:val="auto"/>
          <w:sz w:val="44"/>
          <w:szCs w:val="44"/>
          <w:highlight w:val="none"/>
        </w:rPr>
      </w:pPr>
    </w:p>
    <w:p>
      <w:pPr>
        <w:jc w:val="center"/>
        <w:rPr>
          <w:rFonts w:ascii="宋体" w:hAnsi="宋体" w:cs="宋体"/>
          <w:b/>
          <w:color w:val="auto"/>
          <w:sz w:val="44"/>
          <w:szCs w:val="44"/>
          <w:highlight w:val="none"/>
        </w:rPr>
      </w:pPr>
      <w:r>
        <w:rPr>
          <w:rFonts w:hint="eastAsia" w:ascii="宋体" w:hAnsi="宋体" w:cs="宋体"/>
          <w:b/>
          <w:color w:val="auto"/>
          <w:sz w:val="44"/>
          <w:szCs w:val="44"/>
          <w:highlight w:val="none"/>
        </w:rPr>
        <w:t>目 录</w:t>
      </w:r>
    </w:p>
    <w:p>
      <w:pPr>
        <w:jc w:val="center"/>
        <w:rPr>
          <w:rFonts w:ascii="宋体" w:hAnsi="宋体" w:cs="宋体"/>
          <w:b/>
          <w:color w:val="auto"/>
          <w:sz w:val="28"/>
          <w:szCs w:val="28"/>
          <w:highlight w:val="none"/>
        </w:rPr>
      </w:pPr>
      <w:r>
        <w:rPr>
          <w:rFonts w:hint="eastAsia" w:ascii="宋体" w:hAnsi="宋体" w:cs="宋体"/>
          <w:b/>
          <w:color w:val="auto"/>
          <w:sz w:val="28"/>
          <w:szCs w:val="28"/>
          <w:highlight w:val="none"/>
        </w:rPr>
        <w:t>（请各磋商供应商仔细阅读本竞争性磋商文件）</w:t>
      </w:r>
    </w:p>
    <w:p>
      <w:pPr>
        <w:pStyle w:val="20"/>
        <w:tabs>
          <w:tab w:val="right" w:leader="dot" w:pos="9921"/>
          <w:tab w:val="clear" w:pos="9060"/>
        </w:tabs>
        <w:rPr>
          <w:sz w:val="28"/>
          <w:szCs w:val="28"/>
        </w:rPr>
      </w:pPr>
      <w:r>
        <w:rPr>
          <w:rFonts w:hint="eastAsia" w:ascii="宋体" w:hAnsi="宋体" w:cs="宋体"/>
          <w:color w:val="auto"/>
          <w:sz w:val="36"/>
          <w:szCs w:val="36"/>
          <w:highlight w:val="none"/>
        </w:rPr>
        <w:fldChar w:fldCharType="begin"/>
      </w:r>
      <w:r>
        <w:rPr>
          <w:rFonts w:hint="eastAsia" w:ascii="宋体" w:hAnsi="宋体" w:cs="宋体"/>
          <w:color w:val="auto"/>
          <w:sz w:val="36"/>
          <w:szCs w:val="36"/>
          <w:highlight w:val="none"/>
        </w:rPr>
        <w:instrText xml:space="preserve">TOC \o "1-2" \h \z \u</w:instrText>
      </w:r>
      <w:r>
        <w:rPr>
          <w:rFonts w:hint="eastAsia" w:ascii="宋体" w:hAnsi="宋体" w:cs="宋体"/>
          <w:color w:val="auto"/>
          <w:sz w:val="36"/>
          <w:szCs w:val="36"/>
          <w:highlight w:val="none"/>
        </w:rPr>
        <w:fldChar w:fldCharType="separate"/>
      </w: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_Toc12133 </w:instrText>
      </w:r>
      <w:r>
        <w:rPr>
          <w:rFonts w:hint="eastAsia" w:ascii="宋体" w:hAnsi="宋体" w:cs="宋体"/>
          <w:sz w:val="28"/>
          <w:szCs w:val="28"/>
          <w:highlight w:val="none"/>
        </w:rPr>
        <w:fldChar w:fldCharType="separate"/>
      </w:r>
      <w:r>
        <w:rPr>
          <w:rFonts w:hint="eastAsia"/>
          <w:sz w:val="28"/>
          <w:szCs w:val="28"/>
          <w:highlight w:val="none"/>
        </w:rPr>
        <w:t>第一章 竞争性磋商公告</w:t>
      </w:r>
      <w:r>
        <w:rPr>
          <w:sz w:val="28"/>
          <w:szCs w:val="28"/>
        </w:rPr>
        <w:tab/>
      </w:r>
      <w:r>
        <w:rPr>
          <w:sz w:val="28"/>
          <w:szCs w:val="28"/>
        </w:rPr>
        <w:fldChar w:fldCharType="begin"/>
      </w:r>
      <w:r>
        <w:rPr>
          <w:sz w:val="28"/>
          <w:szCs w:val="28"/>
        </w:rPr>
        <w:instrText xml:space="preserve"> PAGEREF _Toc12133 \h </w:instrText>
      </w:r>
      <w:r>
        <w:rPr>
          <w:sz w:val="28"/>
          <w:szCs w:val="28"/>
        </w:rPr>
        <w:fldChar w:fldCharType="separate"/>
      </w:r>
      <w:r>
        <w:rPr>
          <w:sz w:val="28"/>
          <w:szCs w:val="28"/>
        </w:rPr>
        <w:t>1</w:t>
      </w:r>
      <w:r>
        <w:rPr>
          <w:sz w:val="28"/>
          <w:szCs w:val="28"/>
        </w:rPr>
        <w:fldChar w:fldCharType="end"/>
      </w:r>
      <w:r>
        <w:rPr>
          <w:rFonts w:hint="eastAsia" w:ascii="宋体" w:hAnsi="宋体" w:cs="宋体"/>
          <w:color w:val="auto"/>
          <w:sz w:val="28"/>
          <w:szCs w:val="28"/>
          <w:highlight w:val="none"/>
        </w:rPr>
        <w:fldChar w:fldCharType="end"/>
      </w:r>
    </w:p>
    <w:p>
      <w:pPr>
        <w:pStyle w:val="20"/>
        <w:tabs>
          <w:tab w:val="right" w:leader="dot" w:pos="9921"/>
          <w:tab w:val="clear" w:pos="9060"/>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_Toc30637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第二章 供应商须知及前附表</w:t>
      </w:r>
      <w:r>
        <w:rPr>
          <w:sz w:val="28"/>
          <w:szCs w:val="28"/>
        </w:rPr>
        <w:tab/>
      </w:r>
      <w:r>
        <w:rPr>
          <w:sz w:val="28"/>
          <w:szCs w:val="28"/>
        </w:rPr>
        <w:fldChar w:fldCharType="begin"/>
      </w:r>
      <w:r>
        <w:rPr>
          <w:sz w:val="28"/>
          <w:szCs w:val="28"/>
        </w:rPr>
        <w:instrText xml:space="preserve"> PAGEREF _Toc30637 \h </w:instrText>
      </w:r>
      <w:r>
        <w:rPr>
          <w:sz w:val="28"/>
          <w:szCs w:val="28"/>
        </w:rPr>
        <w:fldChar w:fldCharType="separate"/>
      </w:r>
      <w:r>
        <w:rPr>
          <w:sz w:val="28"/>
          <w:szCs w:val="28"/>
        </w:rPr>
        <w:t>1</w:t>
      </w:r>
      <w:r>
        <w:rPr>
          <w:sz w:val="28"/>
          <w:szCs w:val="28"/>
        </w:rPr>
        <w:fldChar w:fldCharType="end"/>
      </w:r>
      <w:r>
        <w:rPr>
          <w:rFonts w:hint="eastAsia" w:ascii="宋体" w:hAnsi="宋体" w:cs="宋体"/>
          <w:color w:val="auto"/>
          <w:sz w:val="28"/>
          <w:szCs w:val="28"/>
          <w:highlight w:val="none"/>
        </w:rPr>
        <w:fldChar w:fldCharType="end"/>
      </w:r>
    </w:p>
    <w:p>
      <w:pPr>
        <w:pStyle w:val="20"/>
        <w:tabs>
          <w:tab w:val="right" w:leader="dot" w:pos="9921"/>
          <w:tab w:val="clear" w:pos="9060"/>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_Toc29026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第三章  采购服务需求</w:t>
      </w:r>
      <w:r>
        <w:rPr>
          <w:sz w:val="28"/>
          <w:szCs w:val="28"/>
        </w:rPr>
        <w:tab/>
      </w:r>
      <w:r>
        <w:rPr>
          <w:sz w:val="28"/>
          <w:szCs w:val="28"/>
        </w:rPr>
        <w:fldChar w:fldCharType="begin"/>
      </w:r>
      <w:r>
        <w:rPr>
          <w:sz w:val="28"/>
          <w:szCs w:val="28"/>
        </w:rPr>
        <w:instrText xml:space="preserve"> PAGEREF _Toc29026 \h </w:instrText>
      </w:r>
      <w:r>
        <w:rPr>
          <w:sz w:val="28"/>
          <w:szCs w:val="28"/>
        </w:rPr>
        <w:fldChar w:fldCharType="separate"/>
      </w:r>
      <w:r>
        <w:rPr>
          <w:sz w:val="28"/>
          <w:szCs w:val="28"/>
        </w:rPr>
        <w:t>15</w:t>
      </w:r>
      <w:r>
        <w:rPr>
          <w:sz w:val="28"/>
          <w:szCs w:val="28"/>
        </w:rPr>
        <w:fldChar w:fldCharType="end"/>
      </w:r>
      <w:r>
        <w:rPr>
          <w:rFonts w:hint="eastAsia" w:ascii="宋体" w:hAnsi="宋体" w:cs="宋体"/>
          <w:color w:val="auto"/>
          <w:sz w:val="28"/>
          <w:szCs w:val="28"/>
          <w:highlight w:val="none"/>
        </w:rPr>
        <w:fldChar w:fldCharType="end"/>
      </w:r>
    </w:p>
    <w:p>
      <w:pPr>
        <w:pStyle w:val="20"/>
        <w:tabs>
          <w:tab w:val="right" w:leader="dot" w:pos="9921"/>
          <w:tab w:val="clear" w:pos="9060"/>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_Toc6159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第四章 评标办法及评审标准</w:t>
      </w:r>
      <w:r>
        <w:rPr>
          <w:sz w:val="28"/>
          <w:szCs w:val="28"/>
        </w:rPr>
        <w:tab/>
      </w:r>
      <w:r>
        <w:rPr>
          <w:sz w:val="28"/>
          <w:szCs w:val="28"/>
        </w:rPr>
        <w:fldChar w:fldCharType="begin"/>
      </w:r>
      <w:r>
        <w:rPr>
          <w:sz w:val="28"/>
          <w:szCs w:val="28"/>
        </w:rPr>
        <w:instrText xml:space="preserve"> PAGEREF _Toc6159 \h </w:instrText>
      </w:r>
      <w:r>
        <w:rPr>
          <w:sz w:val="28"/>
          <w:szCs w:val="28"/>
        </w:rPr>
        <w:fldChar w:fldCharType="separate"/>
      </w:r>
      <w:r>
        <w:rPr>
          <w:sz w:val="28"/>
          <w:szCs w:val="28"/>
        </w:rPr>
        <w:t>19</w:t>
      </w:r>
      <w:r>
        <w:rPr>
          <w:sz w:val="28"/>
          <w:szCs w:val="28"/>
        </w:rPr>
        <w:fldChar w:fldCharType="end"/>
      </w:r>
      <w:r>
        <w:rPr>
          <w:rFonts w:hint="eastAsia" w:ascii="宋体" w:hAnsi="宋体" w:cs="宋体"/>
          <w:color w:val="auto"/>
          <w:sz w:val="28"/>
          <w:szCs w:val="28"/>
          <w:highlight w:val="none"/>
        </w:rPr>
        <w:fldChar w:fldCharType="end"/>
      </w:r>
    </w:p>
    <w:p>
      <w:pPr>
        <w:pStyle w:val="20"/>
        <w:tabs>
          <w:tab w:val="right" w:leader="dot" w:pos="9921"/>
          <w:tab w:val="clear" w:pos="9060"/>
        </w:tabs>
        <w:rPr>
          <w:sz w:val="28"/>
          <w:szCs w:val="28"/>
        </w:rPr>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_Toc1002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第五章    响应文件格式</w:t>
      </w:r>
      <w:r>
        <w:rPr>
          <w:sz w:val="28"/>
          <w:szCs w:val="28"/>
        </w:rPr>
        <w:tab/>
      </w:r>
      <w:r>
        <w:rPr>
          <w:sz w:val="28"/>
          <w:szCs w:val="28"/>
        </w:rPr>
        <w:fldChar w:fldCharType="begin"/>
      </w:r>
      <w:r>
        <w:rPr>
          <w:sz w:val="28"/>
          <w:szCs w:val="28"/>
        </w:rPr>
        <w:instrText xml:space="preserve"> PAGEREF _Toc1002 \h </w:instrText>
      </w:r>
      <w:r>
        <w:rPr>
          <w:sz w:val="28"/>
          <w:szCs w:val="28"/>
        </w:rPr>
        <w:fldChar w:fldCharType="separate"/>
      </w:r>
      <w:r>
        <w:rPr>
          <w:sz w:val="28"/>
          <w:szCs w:val="28"/>
        </w:rPr>
        <w:t>22</w:t>
      </w:r>
      <w:r>
        <w:rPr>
          <w:sz w:val="28"/>
          <w:szCs w:val="28"/>
        </w:rPr>
        <w:fldChar w:fldCharType="end"/>
      </w:r>
      <w:r>
        <w:rPr>
          <w:rFonts w:hint="eastAsia" w:ascii="宋体" w:hAnsi="宋体" w:cs="宋体"/>
          <w:color w:val="auto"/>
          <w:sz w:val="28"/>
          <w:szCs w:val="28"/>
          <w:highlight w:val="none"/>
        </w:rPr>
        <w:fldChar w:fldCharType="end"/>
      </w:r>
    </w:p>
    <w:p>
      <w:pPr>
        <w:pStyle w:val="20"/>
        <w:tabs>
          <w:tab w:val="right" w:leader="dot" w:pos="9921"/>
          <w:tab w:val="clear" w:pos="9060"/>
        </w:tabs>
      </w:pPr>
      <w:r>
        <w:rPr>
          <w:rFonts w:hint="eastAsia" w:ascii="宋体" w:hAnsi="宋体" w:cs="宋体"/>
          <w:color w:val="auto"/>
          <w:sz w:val="28"/>
          <w:szCs w:val="28"/>
          <w:highlight w:val="none"/>
        </w:rPr>
        <w:fldChar w:fldCharType="begin"/>
      </w:r>
      <w:r>
        <w:rPr>
          <w:rFonts w:hint="eastAsia" w:ascii="宋体" w:hAnsi="宋体" w:cs="宋体"/>
          <w:sz w:val="28"/>
          <w:szCs w:val="28"/>
          <w:highlight w:val="none"/>
        </w:rPr>
        <w:instrText xml:space="preserve"> HYPERLINK \l _Toc1058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第六章  合同条款格式</w:t>
      </w:r>
      <w:r>
        <w:rPr>
          <w:sz w:val="28"/>
          <w:szCs w:val="28"/>
        </w:rPr>
        <w:tab/>
      </w:r>
      <w:r>
        <w:rPr>
          <w:sz w:val="28"/>
          <w:szCs w:val="28"/>
        </w:rPr>
        <w:fldChar w:fldCharType="begin"/>
      </w:r>
      <w:r>
        <w:rPr>
          <w:sz w:val="28"/>
          <w:szCs w:val="28"/>
        </w:rPr>
        <w:instrText xml:space="preserve"> PAGEREF _Toc1058 \h </w:instrText>
      </w:r>
      <w:r>
        <w:rPr>
          <w:sz w:val="28"/>
          <w:szCs w:val="28"/>
        </w:rPr>
        <w:fldChar w:fldCharType="separate"/>
      </w:r>
      <w:r>
        <w:rPr>
          <w:sz w:val="28"/>
          <w:szCs w:val="28"/>
        </w:rPr>
        <w:t>34</w:t>
      </w:r>
      <w:r>
        <w:rPr>
          <w:sz w:val="28"/>
          <w:szCs w:val="28"/>
        </w:rPr>
        <w:fldChar w:fldCharType="end"/>
      </w:r>
      <w:r>
        <w:rPr>
          <w:rFonts w:hint="eastAsia" w:ascii="宋体" w:hAnsi="宋体" w:cs="宋体"/>
          <w:color w:val="auto"/>
          <w:sz w:val="28"/>
          <w:szCs w:val="28"/>
          <w:highlight w:val="none"/>
        </w:rPr>
        <w:fldChar w:fldCharType="end"/>
      </w:r>
    </w:p>
    <w:p>
      <w:pPr>
        <w:pStyle w:val="3"/>
        <w:spacing w:before="0" w:after="0" w:line="440" w:lineRule="exact"/>
        <w:jc w:val="center"/>
        <w:rPr>
          <w:rFonts w:ascii="宋体" w:hAnsi="宋体" w:cs="宋体"/>
          <w:color w:val="auto"/>
          <w:sz w:val="24"/>
          <w:szCs w:val="24"/>
          <w:highlight w:val="none"/>
        </w:rPr>
        <w:sectPr>
          <w:headerReference r:id="rId3" w:type="default"/>
          <w:pgSz w:w="11906" w:h="16838"/>
          <w:pgMar w:top="1134" w:right="851" w:bottom="1134" w:left="1134" w:header="851" w:footer="992" w:gutter="0"/>
          <w:pgNumType w:start="0"/>
          <w:cols w:space="720" w:num="1"/>
          <w:titlePg/>
          <w:docGrid w:type="lines" w:linePitch="312" w:charSpace="0"/>
        </w:sectPr>
      </w:pPr>
      <w:r>
        <w:rPr>
          <w:rFonts w:hint="eastAsia" w:ascii="宋体" w:hAnsi="宋体" w:cs="宋体"/>
          <w:color w:val="auto"/>
          <w:szCs w:val="36"/>
          <w:highlight w:val="none"/>
        </w:rPr>
        <w:fldChar w:fldCharType="end"/>
      </w:r>
    </w:p>
    <w:p>
      <w:pPr>
        <w:pStyle w:val="3"/>
        <w:spacing w:before="0" w:after="0" w:line="500" w:lineRule="exact"/>
        <w:jc w:val="center"/>
        <w:rPr>
          <w:rFonts w:ascii="宋体" w:hAnsi="宋体" w:cs="宋体"/>
          <w:color w:val="auto"/>
          <w:sz w:val="28"/>
          <w:szCs w:val="28"/>
          <w:highlight w:val="none"/>
        </w:rPr>
      </w:pPr>
      <w:bookmarkStart w:id="0" w:name="_Toc12133"/>
      <w:r>
        <w:rPr>
          <w:rFonts w:hint="eastAsia"/>
          <w:color w:val="auto"/>
          <w:sz w:val="28"/>
          <w:szCs w:val="28"/>
          <w:highlight w:val="none"/>
        </w:rPr>
        <w:t>第一章 竞争性磋商公告</w:t>
      </w:r>
      <w:bookmarkEnd w:id="0"/>
    </w:p>
    <w:p>
      <w:pPr>
        <w:pStyle w:val="26"/>
        <w:shd w:val="clear" w:color="auto" w:fill="FFFFFF"/>
        <w:spacing w:beforeAutospacing="0" w:afterAutospacing="0" w:line="360" w:lineRule="auto"/>
        <w:jc w:val="center"/>
        <w:rPr>
          <w:rFonts w:ascii="宋体" w:hAnsi="宋体" w:cs="宋体"/>
          <w:b/>
          <w:color w:val="auto"/>
          <w:highlight w:val="none"/>
        </w:rPr>
      </w:pPr>
    </w:p>
    <w:p>
      <w:pPr>
        <w:pStyle w:val="26"/>
        <w:shd w:val="clear" w:color="auto" w:fill="FFFFFF"/>
        <w:spacing w:beforeAutospacing="0" w:afterAutospacing="0" w:line="360" w:lineRule="auto"/>
        <w:jc w:val="center"/>
        <w:rPr>
          <w:rFonts w:hint="eastAsia" w:ascii="宋体" w:hAnsi="宋体" w:eastAsia="宋体" w:cs="宋体"/>
          <w:b/>
          <w:color w:val="auto"/>
          <w:sz w:val="28"/>
          <w:szCs w:val="22"/>
          <w:highlight w:val="none"/>
          <w:lang w:eastAsia="zh-CN"/>
        </w:rPr>
      </w:pPr>
      <w:r>
        <w:rPr>
          <w:rFonts w:hint="eastAsia" w:ascii="宋体" w:hAnsi="宋体" w:cs="宋体"/>
          <w:b/>
          <w:color w:val="auto"/>
          <w:sz w:val="28"/>
          <w:szCs w:val="22"/>
          <w:highlight w:val="none"/>
        </w:rPr>
        <w:t>广西宝盛工程咨询有限公司</w:t>
      </w:r>
      <w:r>
        <w:rPr>
          <w:rFonts w:hint="eastAsia" w:ascii="宋体" w:hAnsi="宋体" w:cs="宋体"/>
          <w:b/>
          <w:color w:val="auto"/>
          <w:sz w:val="28"/>
          <w:szCs w:val="22"/>
          <w:highlight w:val="none"/>
          <w:lang w:eastAsia="zh-CN"/>
        </w:rPr>
        <w:t>桂平市土地增值税清算辅助审核服务</w:t>
      </w:r>
    </w:p>
    <w:p>
      <w:pPr>
        <w:pStyle w:val="26"/>
        <w:shd w:val="clear" w:color="auto" w:fill="FFFFFF"/>
        <w:spacing w:beforeAutospacing="0" w:afterAutospacing="0" w:line="360" w:lineRule="auto"/>
        <w:jc w:val="center"/>
        <w:rPr>
          <w:rFonts w:ascii="宋体" w:hAnsi="宋体" w:cs="宋体"/>
          <w:color w:val="auto"/>
          <w:sz w:val="32"/>
          <w:highlight w:val="none"/>
        </w:rPr>
      </w:pPr>
      <w:r>
        <w:rPr>
          <w:rFonts w:hint="eastAsia" w:ascii="宋体" w:hAnsi="宋体" w:cs="宋体"/>
          <w:b/>
          <w:color w:val="auto"/>
          <w:sz w:val="28"/>
          <w:szCs w:val="22"/>
          <w:highlight w:val="none"/>
        </w:rPr>
        <w:t>（项目编号：</w:t>
      </w:r>
      <w:r>
        <w:rPr>
          <w:rFonts w:hint="eastAsia" w:ascii="宋体" w:hAnsi="宋体" w:cs="宋体"/>
          <w:b/>
          <w:color w:val="auto"/>
          <w:sz w:val="28"/>
          <w:szCs w:val="22"/>
          <w:highlight w:val="none"/>
          <w:lang w:eastAsia="zh-CN"/>
        </w:rPr>
        <w:t>GGZC2022-C3-50096-GXBS</w:t>
      </w:r>
      <w:r>
        <w:rPr>
          <w:rFonts w:hint="eastAsia" w:ascii="宋体" w:hAnsi="宋体" w:cs="宋体"/>
          <w:b/>
          <w:color w:val="auto"/>
          <w:sz w:val="28"/>
          <w:szCs w:val="22"/>
          <w:highlight w:val="none"/>
        </w:rPr>
        <w:t>）竞争性磋商采购公告</w:t>
      </w:r>
    </w:p>
    <w:p>
      <w:pPr>
        <w:spacing w:line="360" w:lineRule="auto"/>
        <w:rPr>
          <w:color w:val="auto"/>
          <w:highlight w:val="none"/>
        </w:rPr>
      </w:pPr>
    </w:p>
    <w:p>
      <w:pPr>
        <w:pBdr>
          <w:top w:val="single" w:color="auto" w:sz="4" w:space="1"/>
          <w:left w:val="single" w:color="auto" w:sz="4" w:space="4"/>
          <w:bottom w:val="single" w:color="auto" w:sz="4" w:space="1"/>
          <w:right w:val="single" w:color="auto" w:sz="4" w:space="4"/>
        </w:pBdr>
        <w:spacing w:line="360" w:lineRule="auto"/>
        <w:ind w:firstLine="560" w:firstLineChars="200"/>
        <w:rPr>
          <w:rFonts w:ascii="仿宋" w:hAnsi="仿宋" w:eastAsia="仿宋"/>
          <w:color w:val="auto"/>
          <w:sz w:val="28"/>
          <w:szCs w:val="28"/>
          <w:highlight w:val="none"/>
        </w:rPr>
      </w:pPr>
      <w:r>
        <w:rPr>
          <w:rFonts w:hint="eastAsia" w:ascii="仿宋" w:hAnsi="仿宋" w:eastAsia="仿宋" w:cs="仿宋"/>
          <w:color w:val="auto"/>
          <w:sz w:val="28"/>
          <w:szCs w:val="28"/>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ascii="仿宋" w:hAnsi="仿宋" w:eastAsia="仿宋"/>
          <w:color w:val="auto"/>
          <w:sz w:val="28"/>
          <w:szCs w:val="28"/>
          <w:highlight w:val="none"/>
        </w:rPr>
      </w:pP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eastAsia="zh-CN"/>
        </w:rPr>
        <w:t>桂平市土地增值税清算辅助审核服务</w:t>
      </w:r>
      <w:r>
        <w:rPr>
          <w:rFonts w:hint="eastAsia" w:ascii="仿宋" w:hAnsi="仿宋" w:eastAsia="仿宋" w:cs="仿宋"/>
          <w:color w:val="auto"/>
          <w:sz w:val="28"/>
          <w:szCs w:val="28"/>
          <w:highlight w:val="none"/>
        </w:rPr>
        <w:t>的潜在供应商应在</w:t>
      </w:r>
      <w:r>
        <w:rPr>
          <w:rFonts w:hint="eastAsia" w:ascii="仿宋" w:hAnsi="仿宋" w:eastAsia="仿宋" w:cs="仿宋"/>
          <w:color w:val="auto"/>
          <w:sz w:val="28"/>
          <w:szCs w:val="28"/>
          <w:highlight w:val="none"/>
          <w:u w:val="single"/>
        </w:rPr>
        <w:t>政采云平台免费</w:t>
      </w:r>
      <w:r>
        <w:rPr>
          <w:rFonts w:hint="eastAsia" w:ascii="仿宋" w:hAnsi="仿宋" w:eastAsia="仿宋" w:cs="仿宋"/>
          <w:color w:val="auto"/>
          <w:sz w:val="28"/>
          <w:szCs w:val="28"/>
          <w:highlight w:val="none"/>
        </w:rPr>
        <w:t>获取采购文件，并于</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eastAsia="zh-CN"/>
        </w:rPr>
        <w:t>2022年6月29日9点00分</w:t>
      </w:r>
      <w:r>
        <w:rPr>
          <w:rFonts w:hint="eastAsia" w:ascii="仿宋" w:hAnsi="仿宋" w:eastAsia="仿宋" w:cs="仿宋"/>
          <w:color w:val="auto"/>
          <w:sz w:val="28"/>
          <w:szCs w:val="28"/>
          <w:highlight w:val="none"/>
        </w:rPr>
        <w:t>（北京时间）前提交响应文件。</w:t>
      </w:r>
    </w:p>
    <w:p>
      <w:pPr>
        <w:spacing w:line="360" w:lineRule="auto"/>
        <w:rPr>
          <w:color w:val="auto"/>
          <w:highlight w:val="none"/>
        </w:rPr>
      </w:pPr>
    </w:p>
    <w:p>
      <w:pPr>
        <w:pStyle w:val="4"/>
        <w:spacing w:line="360" w:lineRule="auto"/>
        <w:rPr>
          <w:rFonts w:ascii="黑体"/>
          <w:b w:val="0"/>
          <w:bCs w:val="0"/>
          <w:color w:val="auto"/>
          <w:sz w:val="28"/>
          <w:szCs w:val="28"/>
          <w:highlight w:val="none"/>
        </w:rPr>
      </w:pPr>
      <w:bookmarkStart w:id="1" w:name="_Toc30864"/>
      <w:bookmarkStart w:id="2" w:name="_Toc35393798"/>
      <w:bookmarkStart w:id="3" w:name="_Toc28359012"/>
      <w:bookmarkStart w:id="4" w:name="_Toc28359089"/>
      <w:bookmarkStart w:id="5" w:name="_Toc35393629"/>
      <w:r>
        <w:rPr>
          <w:rFonts w:hint="eastAsia" w:ascii="黑体" w:hAnsi="黑体" w:cs="黑体"/>
          <w:b w:val="0"/>
          <w:bCs w:val="0"/>
          <w:color w:val="auto"/>
          <w:sz w:val="28"/>
          <w:szCs w:val="28"/>
          <w:highlight w:val="none"/>
        </w:rPr>
        <w:t>一、项目基本情况</w:t>
      </w:r>
      <w:bookmarkEnd w:id="1"/>
      <w:bookmarkEnd w:id="2"/>
      <w:bookmarkEnd w:id="3"/>
      <w:bookmarkEnd w:id="4"/>
      <w:bookmarkEnd w:id="5"/>
    </w:p>
    <w:p>
      <w:pPr>
        <w:spacing w:line="360" w:lineRule="auto"/>
        <w:ind w:firstLine="560" w:firstLineChars="200"/>
        <w:rPr>
          <w:rFonts w:hint="eastAsia" w:ascii="仿宋" w:hAnsi="仿宋" w:eastAsia="仿宋"/>
          <w:color w:val="auto"/>
          <w:sz w:val="28"/>
          <w:szCs w:val="28"/>
          <w:highlight w:val="none"/>
          <w:lang w:eastAsia="zh-CN"/>
        </w:rPr>
      </w:pPr>
      <w:r>
        <w:rPr>
          <w:rFonts w:hint="eastAsia" w:ascii="仿宋" w:hAnsi="仿宋" w:eastAsia="仿宋" w:cs="仿宋"/>
          <w:color w:val="auto"/>
          <w:sz w:val="28"/>
          <w:szCs w:val="28"/>
          <w:highlight w:val="none"/>
        </w:rPr>
        <w:t>项目编号：</w:t>
      </w:r>
      <w:r>
        <w:rPr>
          <w:rFonts w:hint="eastAsia" w:ascii="仿宋" w:hAnsi="仿宋" w:eastAsia="仿宋" w:cs="仿宋"/>
          <w:color w:val="auto"/>
          <w:sz w:val="28"/>
          <w:szCs w:val="28"/>
          <w:highlight w:val="none"/>
          <w:lang w:eastAsia="zh-CN"/>
        </w:rPr>
        <w:t>GGZC2022-C3-50096-GXBS</w:t>
      </w:r>
    </w:p>
    <w:p>
      <w:pPr>
        <w:spacing w:line="360" w:lineRule="auto"/>
        <w:ind w:firstLine="560" w:firstLineChars="200"/>
        <w:rPr>
          <w:rFonts w:hint="eastAsia" w:ascii="仿宋" w:hAnsi="仿宋" w:eastAsia="仿宋"/>
          <w:b/>
          <w:bCs/>
          <w:color w:val="auto"/>
          <w:sz w:val="28"/>
          <w:szCs w:val="28"/>
          <w:highlight w:val="none"/>
          <w:u w:val="single"/>
          <w:lang w:eastAsia="zh-CN"/>
        </w:rPr>
      </w:pP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eastAsia="zh-CN"/>
        </w:rPr>
        <w:t>桂平市土地增值税清算辅助审核服务</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s="仿宋"/>
          <w:color w:val="auto"/>
          <w:sz w:val="28"/>
          <w:szCs w:val="28"/>
          <w:highlight w:val="none"/>
        </w:rPr>
        <w:t>采购方式：□竞争性谈判</w:t>
      </w:r>
      <w:r>
        <w:rPr>
          <w:rFonts w:hint="eastAsia" w:ascii="仿宋" w:hAnsi="仿宋" w:eastAsia="仿宋" w:cs="仿宋"/>
          <w:color w:val="auto"/>
          <w:sz w:val="28"/>
          <w:szCs w:val="28"/>
          <w:highlight w:val="none"/>
        </w:rPr>
        <w:sym w:font="Wingdings 2" w:char="0052"/>
      </w:r>
      <w:r>
        <w:rPr>
          <w:rFonts w:hint="eastAsia" w:ascii="仿宋" w:hAnsi="仿宋" w:eastAsia="仿宋" w:cs="仿宋"/>
          <w:color w:val="auto"/>
          <w:sz w:val="28"/>
          <w:szCs w:val="28"/>
          <w:highlight w:val="none"/>
        </w:rPr>
        <w:t>竞争性磋商</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□询价</w:t>
      </w:r>
    </w:p>
    <w:p>
      <w:pPr>
        <w:spacing w:line="360" w:lineRule="auto"/>
        <w:ind w:firstLine="560" w:firstLineChars="200"/>
        <w:rPr>
          <w:rFonts w:ascii="仿宋" w:hAnsi="仿宋" w:eastAsia="仿宋"/>
          <w:color w:val="auto"/>
          <w:sz w:val="28"/>
          <w:szCs w:val="28"/>
          <w:highlight w:val="none"/>
        </w:rPr>
      </w:pPr>
      <w:r>
        <w:rPr>
          <w:rFonts w:hint="eastAsia" w:ascii="仿宋" w:hAnsi="仿宋" w:eastAsia="仿宋" w:cs="仿宋"/>
          <w:color w:val="auto"/>
          <w:sz w:val="28"/>
          <w:szCs w:val="28"/>
          <w:highlight w:val="none"/>
        </w:rPr>
        <w:t>预算金额：</w:t>
      </w:r>
      <w:r>
        <w:rPr>
          <w:rFonts w:hint="eastAsia" w:ascii="仿宋" w:hAnsi="仿宋" w:eastAsia="仿宋" w:cs="仿宋"/>
          <w:color w:val="auto"/>
          <w:sz w:val="28"/>
          <w:szCs w:val="28"/>
          <w:highlight w:val="none"/>
          <w:lang w:eastAsia="zh-CN"/>
        </w:rPr>
        <w:t>人民币壹佰玖拾万元整（¥1900000.00）</w:t>
      </w:r>
      <w:r>
        <w:rPr>
          <w:rFonts w:hint="eastAsia" w:ascii="仿宋" w:hAnsi="仿宋" w:eastAsia="仿宋" w:cs="仿宋"/>
          <w:color w:val="auto"/>
          <w:sz w:val="28"/>
          <w:szCs w:val="28"/>
          <w:highlight w:val="none"/>
        </w:rPr>
        <w:t>。</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采购需求：</w:t>
      </w:r>
    </w:p>
    <w:p>
      <w:pPr>
        <w:pStyle w:val="2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479" w:leftChars="228" w:right="0" w:firstLine="0" w:firstLineChars="0"/>
        <w:textAlignment w:val="auto"/>
        <w:rPr>
          <w:rFonts w:hint="eastAsia" w:ascii="仿宋" w:hAnsi="仿宋" w:eastAsia="仿宋" w:cs="仿宋"/>
          <w:i w:val="0"/>
          <w:iCs w:val="0"/>
          <w:caps w:val="0"/>
          <w:color w:val="auto"/>
          <w:spacing w:val="0"/>
          <w:sz w:val="24"/>
          <w:szCs w:val="24"/>
          <w:highlight w:val="none"/>
          <w:lang w:eastAsia="zh-CN"/>
        </w:rPr>
      </w:pPr>
      <w:r>
        <w:rPr>
          <w:rFonts w:hint="eastAsia" w:ascii="仿宋" w:hAnsi="仿宋" w:eastAsia="仿宋" w:cs="仿宋"/>
          <w:i w:val="0"/>
          <w:iCs w:val="0"/>
          <w:caps w:val="0"/>
          <w:color w:val="auto"/>
          <w:spacing w:val="0"/>
          <w:sz w:val="24"/>
          <w:szCs w:val="24"/>
          <w:highlight w:val="none"/>
        </w:rPr>
        <w:t>标项名称:桂平市土地增值税清算辅助审核服务</w:t>
      </w:r>
    </w:p>
    <w:p>
      <w:pPr>
        <w:pStyle w:val="2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479" w:leftChars="228" w:right="0" w:firstLine="0" w:firstLineChars="0"/>
        <w:textAlignment w:val="auto"/>
        <w:rPr>
          <w:rFonts w:hint="eastAsia" w:ascii="仿宋" w:hAnsi="仿宋" w:eastAsia="仿宋" w:cs="仿宋"/>
          <w:i w:val="0"/>
          <w:iCs w:val="0"/>
          <w:caps w:val="0"/>
          <w:color w:val="auto"/>
          <w:spacing w:val="0"/>
          <w:sz w:val="24"/>
          <w:szCs w:val="24"/>
          <w:highlight w:val="none"/>
          <w:lang w:eastAsia="zh-CN"/>
        </w:rPr>
      </w:pPr>
      <w:r>
        <w:rPr>
          <w:rFonts w:hint="eastAsia" w:ascii="仿宋" w:hAnsi="仿宋" w:eastAsia="仿宋" w:cs="仿宋"/>
          <w:i w:val="0"/>
          <w:iCs w:val="0"/>
          <w:caps w:val="0"/>
          <w:color w:val="auto"/>
          <w:spacing w:val="0"/>
          <w:sz w:val="24"/>
          <w:szCs w:val="24"/>
          <w:highlight w:val="none"/>
        </w:rPr>
        <w:t>数量:1</w:t>
      </w:r>
    </w:p>
    <w:p>
      <w:pPr>
        <w:pStyle w:val="2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479" w:leftChars="228" w:right="0" w:firstLine="0" w:firstLineChars="0"/>
        <w:textAlignment w:val="auto"/>
        <w:rPr>
          <w:rFonts w:hint="eastAsia" w:ascii="仿宋" w:hAnsi="仿宋" w:eastAsia="仿宋" w:cs="仿宋"/>
          <w:i w:val="0"/>
          <w:iCs w:val="0"/>
          <w:caps w:val="0"/>
          <w:color w:val="auto"/>
          <w:spacing w:val="0"/>
          <w:sz w:val="24"/>
          <w:szCs w:val="24"/>
          <w:highlight w:val="none"/>
          <w:lang w:eastAsia="zh-CN"/>
        </w:rPr>
      </w:pPr>
      <w:r>
        <w:rPr>
          <w:rFonts w:hint="eastAsia" w:ascii="仿宋" w:hAnsi="仿宋" w:eastAsia="仿宋" w:cs="仿宋"/>
          <w:i w:val="0"/>
          <w:iCs w:val="0"/>
          <w:caps w:val="0"/>
          <w:color w:val="auto"/>
          <w:spacing w:val="0"/>
          <w:sz w:val="24"/>
          <w:szCs w:val="24"/>
          <w:highlight w:val="none"/>
        </w:rPr>
        <w:t>预算金额（元）:1900000</w:t>
      </w:r>
    </w:p>
    <w:p>
      <w:pPr>
        <w:pStyle w:val="2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479" w:leftChars="228" w:right="0" w:firstLine="0" w:firstLineChars="0"/>
        <w:textAlignment w:val="auto"/>
        <w:rPr>
          <w:rFonts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简要规格描述或项目基本概况介绍、用途：桂平市土地增值税清算辅助审核服务一项，如需进一步了解详细内容，详见竞争性磋商采购文件。</w:t>
      </w:r>
    </w:p>
    <w:p>
      <w:pPr>
        <w:pStyle w:val="2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80" w:firstLineChars="20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最高限价（如有）：</w:t>
      </w:r>
      <w:r>
        <w:rPr>
          <w:rStyle w:val="46"/>
          <w:rFonts w:hint="eastAsia" w:ascii="仿宋" w:hAnsi="仿宋" w:eastAsia="仿宋" w:cs="仿宋"/>
          <w:i w:val="0"/>
          <w:iCs w:val="0"/>
          <w:caps w:val="0"/>
          <w:color w:val="auto"/>
          <w:spacing w:val="0"/>
          <w:sz w:val="24"/>
          <w:szCs w:val="24"/>
          <w:highlight w:val="none"/>
        </w:rPr>
        <w:t>/</w:t>
      </w:r>
    </w:p>
    <w:p>
      <w:pPr>
        <w:pStyle w:val="2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80" w:firstLineChars="20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合同履约期限：签订合同之日起至2022年12月31日。</w:t>
      </w:r>
    </w:p>
    <w:p>
      <w:pPr>
        <w:pStyle w:val="2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479" w:leftChars="228" w:right="0" w:firstLine="0" w:firstLineChars="0"/>
        <w:textAlignment w:val="auto"/>
        <w:rPr>
          <w:rFonts w:hint="eastAsia" w:ascii="仿宋" w:hAnsi="仿宋" w:eastAsia="仿宋" w:cs="仿宋"/>
          <w:i w:val="0"/>
          <w:iCs w:val="0"/>
          <w:caps w:val="0"/>
          <w:color w:val="auto"/>
          <w:spacing w:val="0"/>
          <w:sz w:val="24"/>
          <w:szCs w:val="24"/>
          <w:highlight w:val="none"/>
          <w:lang w:eastAsia="zh-CN"/>
        </w:rPr>
      </w:pPr>
      <w:r>
        <w:rPr>
          <w:rFonts w:hint="eastAsia" w:ascii="仿宋" w:hAnsi="仿宋" w:eastAsia="仿宋" w:cs="仿宋"/>
          <w:i w:val="0"/>
          <w:iCs w:val="0"/>
          <w:caps w:val="0"/>
          <w:color w:val="auto"/>
          <w:spacing w:val="0"/>
          <w:sz w:val="24"/>
          <w:szCs w:val="24"/>
          <w:highlight w:val="none"/>
        </w:rPr>
        <w:t>本标项（</w:t>
      </w:r>
      <w:r>
        <w:rPr>
          <w:rStyle w:val="46"/>
          <w:rFonts w:hint="eastAsia" w:ascii="仿宋" w:hAnsi="仿宋" w:eastAsia="仿宋" w:cs="仿宋"/>
          <w:i w:val="0"/>
          <w:iCs w:val="0"/>
          <w:caps w:val="0"/>
          <w:color w:val="auto"/>
          <w:spacing w:val="0"/>
          <w:sz w:val="24"/>
          <w:szCs w:val="24"/>
          <w:highlight w:val="none"/>
        </w:rPr>
        <w:t>否</w:t>
      </w:r>
      <w:r>
        <w:rPr>
          <w:rFonts w:hint="eastAsia" w:ascii="仿宋" w:hAnsi="仿宋" w:eastAsia="仿宋" w:cs="仿宋"/>
          <w:i w:val="0"/>
          <w:iCs w:val="0"/>
          <w:caps w:val="0"/>
          <w:color w:val="auto"/>
          <w:spacing w:val="0"/>
          <w:sz w:val="24"/>
          <w:szCs w:val="24"/>
          <w:highlight w:val="none"/>
        </w:rPr>
        <w:t>）接受联合体投标</w:t>
      </w:r>
    </w:p>
    <w:p>
      <w:pPr>
        <w:pStyle w:val="2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479" w:leftChars="228" w:right="0" w:firstLine="0" w:firstLineChars="0"/>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备注：</w:t>
      </w:r>
    </w:p>
    <w:p>
      <w:pPr>
        <w:pStyle w:val="4"/>
        <w:spacing w:line="360" w:lineRule="auto"/>
        <w:rPr>
          <w:rFonts w:ascii="仿宋" w:hAnsi="仿宋" w:eastAsia="仿宋" w:cs="仿宋"/>
          <w:b w:val="0"/>
          <w:bCs w:val="0"/>
          <w:color w:val="auto"/>
          <w:sz w:val="28"/>
          <w:szCs w:val="28"/>
          <w:highlight w:val="none"/>
        </w:rPr>
      </w:pPr>
      <w:bookmarkStart w:id="6" w:name="_Toc28359013"/>
      <w:bookmarkStart w:id="7" w:name="_Toc35393799"/>
      <w:bookmarkStart w:id="8" w:name="_Toc35393630"/>
      <w:bookmarkStart w:id="9" w:name="_Toc13719"/>
      <w:bookmarkStart w:id="10" w:name="_Toc28359090"/>
      <w:r>
        <w:rPr>
          <w:rFonts w:hint="eastAsia" w:ascii="黑体" w:hAnsi="黑体" w:cs="黑体"/>
          <w:b w:val="0"/>
          <w:bCs w:val="0"/>
          <w:color w:val="auto"/>
          <w:sz w:val="28"/>
          <w:szCs w:val="28"/>
          <w:highlight w:val="none"/>
        </w:rPr>
        <w:t>二</w:t>
      </w:r>
      <w:r>
        <w:rPr>
          <w:rFonts w:hint="eastAsia" w:ascii="仿宋" w:hAnsi="仿宋" w:eastAsia="仿宋" w:cs="仿宋"/>
          <w:b w:val="0"/>
          <w:bCs w:val="0"/>
          <w:color w:val="auto"/>
          <w:sz w:val="28"/>
          <w:szCs w:val="28"/>
          <w:highlight w:val="none"/>
        </w:rPr>
        <w:t>、</w:t>
      </w:r>
      <w:r>
        <w:rPr>
          <w:rFonts w:hint="eastAsia" w:ascii="黑体" w:hAnsi="黑体" w:cs="黑体"/>
          <w:b w:val="0"/>
          <w:bCs w:val="0"/>
          <w:color w:val="auto"/>
          <w:sz w:val="28"/>
          <w:szCs w:val="28"/>
          <w:highlight w:val="none"/>
        </w:rPr>
        <w:t>申请人的资格要求：</w:t>
      </w:r>
      <w:bookmarkEnd w:id="6"/>
      <w:bookmarkEnd w:id="7"/>
      <w:bookmarkEnd w:id="8"/>
      <w:bookmarkEnd w:id="9"/>
      <w:bookmarkEnd w:id="10"/>
    </w:p>
    <w:p>
      <w:pPr>
        <w:spacing w:line="360" w:lineRule="auto"/>
        <w:ind w:firstLine="560" w:firstLineChars="200"/>
        <w:rPr>
          <w:rFonts w:ascii="仿宋" w:hAnsi="仿宋" w:eastAsia="仿宋"/>
          <w:color w:val="auto"/>
          <w:sz w:val="28"/>
          <w:szCs w:val="28"/>
          <w:highlight w:val="none"/>
        </w:rPr>
      </w:pPr>
      <w:bookmarkStart w:id="11" w:name="_Toc35393631"/>
      <w:bookmarkStart w:id="12" w:name="_Toc28359091"/>
      <w:bookmarkStart w:id="13" w:name="_Toc28359014"/>
      <w:bookmarkStart w:id="14" w:name="_Toc35393800"/>
      <w:r>
        <w:rPr>
          <w:rFonts w:hint="eastAsia" w:ascii="仿宋" w:hAnsi="仿宋" w:eastAsia="仿宋"/>
          <w:color w:val="auto"/>
          <w:sz w:val="28"/>
          <w:szCs w:val="28"/>
          <w:highlight w:val="none"/>
        </w:rPr>
        <w:t>1.满足《中华人民共和国政府采购法》第二十二条规定；</w:t>
      </w:r>
    </w:p>
    <w:p>
      <w:pPr>
        <w:snapToGrid w:val="0"/>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w:t>
      </w:r>
      <w:r>
        <w:rPr>
          <w:rFonts w:ascii="仿宋" w:hAnsi="仿宋" w:eastAsia="仿宋"/>
          <w:color w:val="auto"/>
          <w:sz w:val="28"/>
          <w:szCs w:val="28"/>
          <w:highlight w:val="none"/>
        </w:rPr>
        <w:t>2</w:t>
      </w:r>
      <w:r>
        <w:rPr>
          <w:rFonts w:hint="eastAsia" w:ascii="仿宋" w:hAnsi="仿宋" w:eastAsia="仿宋"/>
          <w:color w:val="auto"/>
          <w:sz w:val="28"/>
          <w:szCs w:val="28"/>
          <w:highlight w:val="none"/>
        </w:rPr>
        <w:t>.落实政府采购政策需满足的资格要求：本项目属于专门面向中小企业采购的项目。供应商应为符合《政府采购促进中小企业发展管理办法》(财库（2020）46号）、《关于政府采购支持监狱企业发展有关问题的通知》(财库(2014） 68号)、《关于促进残疾人就业政府采购政策的通知》 (财库 (2017)141号)等规定的条件的小微企业、监狱企业、残疾人福利性单位；</w:t>
      </w:r>
    </w:p>
    <w:p>
      <w:pPr>
        <w:snapToGrid w:val="0"/>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3.本项目的特定资格要求：</w:t>
      </w:r>
      <w:r>
        <w:rPr>
          <w:rFonts w:hint="eastAsia" w:ascii="宋体" w:hAnsi="宋体" w:cs="宋体"/>
          <w:bCs/>
          <w:color w:val="auto"/>
          <w:szCs w:val="21"/>
          <w:highlight w:val="none"/>
        </w:rPr>
        <w:t>/</w:t>
      </w:r>
    </w:p>
    <w:p>
      <w:pPr>
        <w:pStyle w:val="4"/>
        <w:spacing w:line="360" w:lineRule="auto"/>
        <w:rPr>
          <w:rFonts w:ascii="黑体"/>
          <w:b w:val="0"/>
          <w:bCs w:val="0"/>
          <w:color w:val="auto"/>
          <w:sz w:val="28"/>
          <w:szCs w:val="28"/>
          <w:highlight w:val="none"/>
        </w:rPr>
      </w:pPr>
      <w:bookmarkStart w:id="15" w:name="_Toc19737"/>
      <w:r>
        <w:rPr>
          <w:rFonts w:hint="eastAsia" w:ascii="黑体" w:hAnsi="黑体" w:cs="黑体"/>
          <w:b w:val="0"/>
          <w:bCs w:val="0"/>
          <w:color w:val="auto"/>
          <w:sz w:val="28"/>
          <w:szCs w:val="28"/>
          <w:highlight w:val="none"/>
        </w:rPr>
        <w:t>三、获取采购文件</w:t>
      </w:r>
      <w:bookmarkEnd w:id="11"/>
      <w:bookmarkEnd w:id="12"/>
      <w:bookmarkEnd w:id="13"/>
      <w:bookmarkEnd w:id="14"/>
      <w:bookmarkEnd w:id="15"/>
    </w:p>
    <w:p>
      <w:pPr>
        <w:spacing w:line="360" w:lineRule="auto"/>
        <w:ind w:firstLine="540"/>
        <w:rPr>
          <w:rFonts w:ascii="仿宋" w:hAnsi="仿宋" w:eastAsia="仿宋"/>
          <w:color w:val="auto"/>
          <w:sz w:val="28"/>
          <w:szCs w:val="28"/>
          <w:highlight w:val="none"/>
        </w:rPr>
      </w:pPr>
      <w:r>
        <w:rPr>
          <w:rFonts w:hint="eastAsia" w:ascii="仿宋" w:hAnsi="仿宋" w:eastAsia="仿宋" w:cs="仿宋"/>
          <w:color w:val="auto"/>
          <w:sz w:val="28"/>
          <w:szCs w:val="28"/>
          <w:highlight w:val="none"/>
        </w:rPr>
        <w:t>时间：</w:t>
      </w:r>
      <w:r>
        <w:rPr>
          <w:rFonts w:hint="eastAsia" w:ascii="仿宋" w:hAnsi="仿宋" w:eastAsia="仿宋" w:cs="仿宋"/>
          <w:color w:val="auto"/>
          <w:sz w:val="28"/>
          <w:szCs w:val="28"/>
          <w:highlight w:val="none"/>
          <w:u w:val="single"/>
        </w:rPr>
        <w:t>　</w:t>
      </w:r>
      <w:r>
        <w:rPr>
          <w:rFonts w:hint="eastAsia" w:ascii="仿宋" w:hAnsi="仿宋" w:eastAsia="仿宋" w:cs="仿宋"/>
          <w:color w:val="auto"/>
          <w:sz w:val="28"/>
          <w:szCs w:val="28"/>
          <w:highlight w:val="none"/>
          <w:u w:val="single"/>
          <w:lang w:eastAsia="zh-CN"/>
        </w:rPr>
        <w:t>2022年</w:t>
      </w:r>
      <w:r>
        <w:rPr>
          <w:rFonts w:hint="eastAsia" w:ascii="仿宋" w:hAnsi="仿宋" w:eastAsia="仿宋" w:cs="仿宋"/>
          <w:color w:val="auto"/>
          <w:sz w:val="28"/>
          <w:szCs w:val="28"/>
          <w:highlight w:val="none"/>
          <w:u w:val="single"/>
          <w:lang w:val="en-US" w:eastAsia="zh-CN"/>
        </w:rPr>
        <w:t>6</w:t>
      </w:r>
      <w:r>
        <w:rPr>
          <w:rFonts w:hint="eastAsia" w:ascii="仿宋" w:hAnsi="仿宋" w:eastAsia="仿宋" w:cs="仿宋"/>
          <w:color w:val="auto"/>
          <w:sz w:val="28"/>
          <w:szCs w:val="28"/>
          <w:highlight w:val="none"/>
          <w:u w:val="single"/>
          <w:lang w:eastAsia="zh-CN"/>
        </w:rPr>
        <w:t>月</w:t>
      </w:r>
      <w:r>
        <w:rPr>
          <w:rFonts w:hint="eastAsia" w:ascii="仿宋" w:hAnsi="仿宋" w:eastAsia="仿宋" w:cs="仿宋"/>
          <w:color w:val="auto"/>
          <w:sz w:val="28"/>
          <w:szCs w:val="28"/>
          <w:highlight w:val="none"/>
          <w:u w:val="single"/>
          <w:lang w:val="en-US" w:eastAsia="zh-CN"/>
        </w:rPr>
        <w:t>17</w:t>
      </w:r>
      <w:r>
        <w:rPr>
          <w:rFonts w:hint="eastAsia" w:ascii="仿宋" w:hAnsi="仿宋" w:eastAsia="仿宋" w:cs="仿宋"/>
          <w:color w:val="auto"/>
          <w:sz w:val="28"/>
          <w:szCs w:val="28"/>
          <w:highlight w:val="none"/>
          <w:u w:val="single"/>
          <w:lang w:eastAsia="zh-CN"/>
        </w:rPr>
        <w:t>日</w:t>
      </w:r>
      <w:r>
        <w:rPr>
          <w:rFonts w:hint="eastAsia" w:ascii="仿宋" w:hAnsi="仿宋" w:eastAsia="仿宋" w:cs="仿宋"/>
          <w:color w:val="auto"/>
          <w:sz w:val="28"/>
          <w:szCs w:val="28"/>
          <w:highlight w:val="none"/>
        </w:rPr>
        <w:t>至</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eastAsia="zh-CN"/>
        </w:rPr>
        <w:t>2022年6月29日9点00分</w:t>
      </w:r>
      <w:r>
        <w:rPr>
          <w:rFonts w:hint="eastAsia" w:ascii="仿宋" w:hAnsi="仿宋" w:eastAsia="仿宋" w:cs="仿宋"/>
          <w:color w:val="auto"/>
          <w:sz w:val="28"/>
          <w:szCs w:val="28"/>
          <w:highlight w:val="none"/>
        </w:rPr>
        <w:t>（磋商文件递交的截止时间止）</w:t>
      </w:r>
    </w:p>
    <w:p>
      <w:pPr>
        <w:spacing w:line="360" w:lineRule="auto"/>
        <w:ind w:firstLine="540"/>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地点：http://zfcg.czj.gxgg.gov.cn（贵港市政府采购网）</w:t>
      </w:r>
    </w:p>
    <w:p>
      <w:pPr>
        <w:spacing w:line="360" w:lineRule="auto"/>
        <w:ind w:firstLine="540"/>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方式：由潜在供应商在贵港市政府采购网（http://zfcg.czj.gxgg.gov.cn）“供应商注册入口”完 成账号注册后，登录政采云平台“项目采购—获取采购文件”模块自行下载竞争性磋商文件，未在政采云注册的供应商可在获取竞争性磋商文件前登录政采云（https://www.zcygov.cn/）进行注册。如在操作过程中遇到问题或需技术支持，请致电政采云客服热线：400-881-7190。</w:t>
      </w:r>
    </w:p>
    <w:p>
      <w:pPr>
        <w:spacing w:line="360" w:lineRule="auto"/>
        <w:ind w:firstLine="540"/>
        <w:rPr>
          <w:rFonts w:ascii="仿宋" w:hAnsi="仿宋" w:eastAsia="仿宋"/>
          <w:color w:val="auto"/>
          <w:sz w:val="28"/>
          <w:szCs w:val="28"/>
          <w:highlight w:val="none"/>
        </w:rPr>
      </w:pPr>
      <w:r>
        <w:rPr>
          <w:rFonts w:hint="eastAsia" w:ascii="仿宋" w:hAnsi="仿宋" w:eastAsia="仿宋" w:cs="仿宋"/>
          <w:color w:val="auto"/>
          <w:sz w:val="28"/>
          <w:szCs w:val="28"/>
          <w:highlight w:val="none"/>
        </w:rPr>
        <w:t>售价：每本0元</w:t>
      </w:r>
    </w:p>
    <w:p>
      <w:pPr>
        <w:pStyle w:val="4"/>
        <w:spacing w:line="360" w:lineRule="auto"/>
        <w:rPr>
          <w:rFonts w:ascii="黑体"/>
          <w:b w:val="0"/>
          <w:bCs w:val="0"/>
          <w:color w:val="auto"/>
          <w:sz w:val="28"/>
          <w:szCs w:val="28"/>
          <w:highlight w:val="none"/>
        </w:rPr>
      </w:pPr>
      <w:bookmarkStart w:id="16" w:name="_Toc35393632"/>
      <w:bookmarkStart w:id="17" w:name="_Toc28359015"/>
      <w:bookmarkStart w:id="18" w:name="_Toc28359092"/>
      <w:bookmarkStart w:id="19" w:name="_Toc4671"/>
      <w:bookmarkStart w:id="20" w:name="_Toc35393801"/>
      <w:r>
        <w:rPr>
          <w:rFonts w:hint="eastAsia" w:ascii="黑体" w:hAnsi="黑体" w:cs="黑体"/>
          <w:b w:val="0"/>
          <w:bCs w:val="0"/>
          <w:color w:val="auto"/>
          <w:sz w:val="28"/>
          <w:szCs w:val="28"/>
          <w:highlight w:val="none"/>
        </w:rPr>
        <w:t>四、响应文件提交</w:t>
      </w:r>
      <w:bookmarkEnd w:id="16"/>
      <w:bookmarkEnd w:id="17"/>
      <w:bookmarkEnd w:id="18"/>
      <w:bookmarkEnd w:id="19"/>
      <w:bookmarkEnd w:id="20"/>
    </w:p>
    <w:p>
      <w:pPr>
        <w:spacing w:line="360" w:lineRule="auto"/>
        <w:ind w:firstLine="560" w:firstLineChars="200"/>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截止时间：</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eastAsia="zh-CN"/>
        </w:rPr>
        <w:t>2022年6月29日9点00分</w:t>
      </w:r>
      <w:r>
        <w:rPr>
          <w:rFonts w:hint="eastAsia" w:ascii="仿宋" w:hAnsi="仿宋" w:eastAsia="仿宋" w:cs="仿宋"/>
          <w:color w:val="auto"/>
          <w:sz w:val="28"/>
          <w:szCs w:val="28"/>
          <w:highlight w:val="none"/>
        </w:rPr>
        <w:t>（北京时间）</w:t>
      </w:r>
    </w:p>
    <w:p>
      <w:pPr>
        <w:spacing w:line="360" w:lineRule="auto"/>
        <w:ind w:firstLine="560" w:firstLineChars="200"/>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地点：通过政采云平台实行在线投标响应。</w:t>
      </w:r>
    </w:p>
    <w:p>
      <w:pPr>
        <w:pStyle w:val="4"/>
        <w:spacing w:line="360" w:lineRule="auto"/>
        <w:rPr>
          <w:rFonts w:ascii="黑体"/>
          <w:b w:val="0"/>
          <w:bCs w:val="0"/>
          <w:color w:val="auto"/>
          <w:sz w:val="28"/>
          <w:szCs w:val="28"/>
          <w:highlight w:val="none"/>
        </w:rPr>
      </w:pPr>
      <w:bookmarkStart w:id="21" w:name="_Toc35393802"/>
      <w:bookmarkStart w:id="22" w:name="_Toc28359093"/>
      <w:bookmarkStart w:id="23" w:name="_Toc35393633"/>
      <w:bookmarkStart w:id="24" w:name="_Toc28359016"/>
      <w:bookmarkStart w:id="25" w:name="_Toc31102"/>
      <w:r>
        <w:rPr>
          <w:rFonts w:hint="eastAsia" w:ascii="黑体" w:hAnsi="黑体" w:cs="黑体"/>
          <w:b w:val="0"/>
          <w:bCs w:val="0"/>
          <w:color w:val="auto"/>
          <w:sz w:val="28"/>
          <w:szCs w:val="28"/>
          <w:highlight w:val="none"/>
        </w:rPr>
        <w:t>五、开启</w:t>
      </w:r>
      <w:bookmarkEnd w:id="21"/>
      <w:bookmarkEnd w:id="22"/>
      <w:bookmarkEnd w:id="23"/>
      <w:bookmarkEnd w:id="24"/>
      <w:bookmarkEnd w:id="25"/>
    </w:p>
    <w:p>
      <w:pPr>
        <w:spacing w:line="360" w:lineRule="auto"/>
        <w:ind w:firstLine="560" w:firstLineChars="200"/>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时间：</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eastAsia="zh-CN"/>
        </w:rPr>
        <w:t>2022年6月29日9点00分</w:t>
      </w:r>
      <w:r>
        <w:rPr>
          <w:rFonts w:hint="eastAsia" w:ascii="仿宋" w:hAnsi="仿宋" w:eastAsia="仿宋" w:cs="仿宋"/>
          <w:color w:val="auto"/>
          <w:sz w:val="28"/>
          <w:szCs w:val="28"/>
          <w:highlight w:val="none"/>
        </w:rPr>
        <w:t>（北京时间）</w:t>
      </w:r>
    </w:p>
    <w:p>
      <w:pPr>
        <w:spacing w:line="360" w:lineRule="auto"/>
        <w:ind w:firstLine="560" w:firstLineChars="200"/>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地点：通过政采云平台实行在线解密开启。</w:t>
      </w:r>
    </w:p>
    <w:p>
      <w:pPr>
        <w:pStyle w:val="4"/>
        <w:spacing w:line="360" w:lineRule="auto"/>
        <w:rPr>
          <w:rFonts w:ascii="黑体"/>
          <w:b w:val="0"/>
          <w:bCs w:val="0"/>
          <w:color w:val="auto"/>
          <w:sz w:val="28"/>
          <w:szCs w:val="28"/>
          <w:highlight w:val="none"/>
        </w:rPr>
      </w:pPr>
      <w:bookmarkStart w:id="26" w:name="_Toc21152"/>
      <w:bookmarkStart w:id="27" w:name="_Toc35393634"/>
      <w:bookmarkStart w:id="28" w:name="_Toc28359017"/>
      <w:bookmarkStart w:id="29" w:name="_Toc35393803"/>
      <w:bookmarkStart w:id="30" w:name="_Toc28359094"/>
      <w:r>
        <w:rPr>
          <w:rFonts w:hint="eastAsia" w:ascii="黑体" w:hAnsi="黑体" w:cs="黑体"/>
          <w:b w:val="0"/>
          <w:bCs w:val="0"/>
          <w:color w:val="auto"/>
          <w:sz w:val="28"/>
          <w:szCs w:val="28"/>
          <w:highlight w:val="none"/>
        </w:rPr>
        <w:t>六、公告期限</w:t>
      </w:r>
      <w:bookmarkEnd w:id="26"/>
      <w:bookmarkEnd w:id="27"/>
      <w:bookmarkEnd w:id="28"/>
      <w:bookmarkEnd w:id="29"/>
      <w:bookmarkEnd w:id="30"/>
    </w:p>
    <w:p>
      <w:pPr>
        <w:spacing w:line="360" w:lineRule="auto"/>
        <w:ind w:firstLine="560" w:firstLineChars="200"/>
        <w:rPr>
          <w:rFonts w:ascii="仿宋" w:hAnsi="仿宋" w:eastAsia="仿宋"/>
          <w:color w:val="auto"/>
          <w:kern w:val="0"/>
          <w:sz w:val="28"/>
          <w:szCs w:val="28"/>
          <w:highlight w:val="none"/>
        </w:rPr>
      </w:pPr>
      <w:r>
        <w:rPr>
          <w:rFonts w:hint="eastAsia" w:ascii="仿宋" w:hAnsi="仿宋" w:eastAsia="仿宋" w:cs="仿宋"/>
          <w:color w:val="auto"/>
          <w:kern w:val="0"/>
          <w:sz w:val="28"/>
          <w:szCs w:val="28"/>
          <w:highlight w:val="none"/>
        </w:rPr>
        <w:t>自本公告发布之日起10个日历天。</w:t>
      </w:r>
    </w:p>
    <w:p>
      <w:pPr>
        <w:pStyle w:val="4"/>
        <w:spacing w:line="360" w:lineRule="auto"/>
        <w:rPr>
          <w:rFonts w:ascii="黑体"/>
          <w:b w:val="0"/>
          <w:bCs w:val="0"/>
          <w:color w:val="auto"/>
          <w:sz w:val="28"/>
          <w:szCs w:val="28"/>
          <w:highlight w:val="none"/>
        </w:rPr>
      </w:pPr>
      <w:bookmarkStart w:id="31" w:name="_Toc35393804"/>
      <w:bookmarkStart w:id="32" w:name="_Toc16841"/>
      <w:bookmarkStart w:id="33" w:name="_Toc35393635"/>
      <w:r>
        <w:rPr>
          <w:rFonts w:hint="eastAsia" w:ascii="黑体" w:hAnsi="黑体" w:cs="黑体"/>
          <w:b w:val="0"/>
          <w:bCs w:val="0"/>
          <w:color w:val="auto"/>
          <w:sz w:val="28"/>
          <w:szCs w:val="28"/>
          <w:highlight w:val="none"/>
        </w:rPr>
        <w:t>七、其他补充事宜</w:t>
      </w:r>
      <w:bookmarkEnd w:id="31"/>
      <w:bookmarkEnd w:id="32"/>
      <w:bookmarkEnd w:id="33"/>
    </w:p>
    <w:p>
      <w:pPr>
        <w:spacing w:line="360" w:lineRule="auto"/>
        <w:ind w:firstLine="560" w:firstLineChars="200"/>
        <w:rPr>
          <w:rFonts w:ascii="仿宋" w:hAnsi="仿宋" w:eastAsia="仿宋" w:cs="仿宋"/>
          <w:color w:val="auto"/>
          <w:kern w:val="0"/>
          <w:sz w:val="28"/>
          <w:szCs w:val="28"/>
          <w:highlight w:val="none"/>
        </w:rPr>
      </w:pPr>
      <w:r>
        <w:rPr>
          <w:rFonts w:ascii="仿宋" w:hAnsi="仿宋" w:eastAsia="仿宋" w:cs="仿宋"/>
          <w:color w:val="auto"/>
          <w:kern w:val="0"/>
          <w:sz w:val="28"/>
          <w:szCs w:val="28"/>
          <w:highlight w:val="none"/>
        </w:rPr>
        <w:t>1.</w:t>
      </w:r>
      <w:r>
        <w:rPr>
          <w:rFonts w:hint="eastAsia" w:ascii="仿宋" w:hAnsi="仿宋" w:eastAsia="仿宋" w:cs="仿宋"/>
          <w:color w:val="auto"/>
          <w:kern w:val="0"/>
          <w:sz w:val="28"/>
          <w:szCs w:val="28"/>
          <w:highlight w:val="none"/>
        </w:rPr>
        <w:t>本项目需要落实的政府采购政策：</w:t>
      </w:r>
    </w:p>
    <w:p>
      <w:pPr>
        <w:spacing w:line="360" w:lineRule="auto"/>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（1）《政府采购促进中小企业发展管理办法》(财库〔2020〕46号）；</w:t>
      </w:r>
    </w:p>
    <w:p>
      <w:pPr>
        <w:spacing w:line="360" w:lineRule="auto"/>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（2）《财政部、司法部关于政府采购支持监狱企业发展有关问题的通知》（财库〔2014〕68号）；</w:t>
      </w:r>
    </w:p>
    <w:p>
      <w:pPr>
        <w:spacing w:line="360" w:lineRule="auto"/>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（3）《财政部民政部中国残疾人联合会关于促进残疾人就业政府采购政策的通知》（财库〔2017〕141号）；</w:t>
      </w:r>
    </w:p>
    <w:p>
      <w:pPr>
        <w:spacing w:line="360" w:lineRule="auto"/>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（4）财政部发展改革委生态环境部市场监管总局关于调整优化节能产品、环境标志产品政府采购执行机制的通知（财库〔2019〕9号）；</w:t>
      </w:r>
    </w:p>
    <w:p>
      <w:pPr>
        <w:spacing w:line="360" w:lineRule="auto"/>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（5）财政部发展改革委关于印发节能产品政府采购品目清单的通知（财库〔2019〕19号）等政府采购相关政策。</w:t>
      </w:r>
    </w:p>
    <w:p>
      <w:pPr>
        <w:spacing w:line="360" w:lineRule="auto"/>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本次采购公告同时在中国政府采购网（www.ccgp.gov.cn）、广西壮族自治区政府采购网（www.gxzfcg.gov.cn）、贵港市政府采购网（http://zfcg.ggcz.gov.cn）、全国公共资源交易平台（广西.贵港）（http://ggzy.jgswj.gxzf.gov.cn/ggggzy/）上发布。</w:t>
      </w:r>
    </w:p>
    <w:p>
      <w:pPr>
        <w:pStyle w:val="26"/>
        <w:spacing w:before="156" w:beforeLines="50" w:beforeAutospacing="0" w:after="156" w:afterLines="50" w:afterAutospacing="0" w:line="360" w:lineRule="atLeast"/>
        <w:ind w:firstLine="40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3.在线投标响应（电子投标）说明</w:t>
      </w:r>
    </w:p>
    <w:p>
      <w:pPr>
        <w:pStyle w:val="26"/>
        <w:spacing w:before="156" w:beforeLines="50" w:beforeAutospacing="0" w:after="156" w:afterLines="50" w:afterAutospacing="0" w:line="360" w:lineRule="atLeast"/>
        <w:ind w:firstLine="40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本项目通过政采云平台实行在线投标响应（电子投标），供应商需要先安装“政采云电子交易客户端”，并按照本采购文件和政采云平台的要求，通过“政采云电子交易客户端”编制并加密响应文件。供应商未按规定编制并加密的响应文件，政采云平台将予以拒收。</w:t>
      </w:r>
    </w:p>
    <w:p>
      <w:pPr>
        <w:pStyle w:val="26"/>
        <w:spacing w:before="156" w:beforeLines="50" w:beforeAutospacing="0" w:after="156" w:afterLines="50" w:afterAutospacing="0" w:line="360" w:lineRule="atLeast"/>
        <w:ind w:firstLine="40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400-881-7190。</w:t>
      </w:r>
    </w:p>
    <w:p>
      <w:pPr>
        <w:pStyle w:val="26"/>
        <w:spacing w:before="156" w:beforeLines="50" w:beforeAutospacing="0" w:after="156" w:afterLines="50" w:afterAutospacing="0" w:line="360" w:lineRule="atLeast"/>
        <w:ind w:firstLine="40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为确保网上操作合法、有效和安全，供应商应当在响应文件递交截止时间前完成在“政府采购云平台”的身份认证，确保在电子投标过程中能够对相关数据电文进行加密和使用电子签章。使用“政采云电子交易客户端”需要提前申领CA数字证书，申领流程请自行前往相关网站进行查阅。（电子标需要完成CA数字证书办理，建议供应商获取采购文件后立即办理。）</w:t>
      </w:r>
    </w:p>
    <w:p>
      <w:pPr>
        <w:pStyle w:val="26"/>
        <w:spacing w:before="156" w:beforeLines="50" w:beforeAutospacing="0" w:after="156" w:afterLines="50" w:afterAutospacing="0" w:line="360" w:lineRule="atLeast"/>
        <w:ind w:firstLine="40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供应商应当在响应文件递交截止时间前，将生成的“电子响应文件”上传递交至政采云平台。响应文件递交截止时间前可以补充、修改或者撤回电子响应文件。补充或者修改电子响应文件的，应当先行撤回原文件，补充、修改后重新传输递交，响应文件递交截止时间前未完成传输的，视为撤回响应文件。</w:t>
      </w:r>
    </w:p>
    <w:p>
      <w:pPr>
        <w:pStyle w:val="26"/>
        <w:spacing w:before="156" w:beforeLines="50" w:beforeAutospacing="0" w:after="156" w:afterLines="50" w:afterAutospacing="0" w:line="360" w:lineRule="atLeast"/>
        <w:ind w:firstLine="40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（4）如电子响应文件无法按时解密时，供应商可授权采购代理机构解密电子备份响应文件，需出示授权委托书并加盖公章。电子备份响应文件可以通过以下三种方式递交：</w:t>
      </w:r>
      <w:r>
        <w:rPr>
          <w:rFonts w:hint="eastAsia"/>
          <w:color w:val="auto"/>
          <w:highlight w:val="none"/>
        </w:rPr>
        <w:fldChar w:fldCharType="begin"/>
      </w:r>
      <w:r>
        <w:rPr>
          <w:color w:val="auto"/>
          <w:highlight w:val="none"/>
        </w:rPr>
        <w:instrText xml:space="preserve"> HYPERLINK "mailto:1.以邮寄方式在响应文件解密截止时间前寄到贵港市港北区中央花园2楼201大成工程咨询有限公司；2.响应文件解密截止时间前发送至大成工程咨询有限公司邮箱dcgczx2021@163.com；3.在响应文件解密截止时间前按要求密封并送达贵港市公共资源交易中心二楼交易厅（贵港市港北区金城商业步行街与金田路交叉口东南150米水利大厦），逾期送达或未按要求密封将被拒收。电子备份响应文件应当密封包装并在包装上标注投标项目名称、单位名称并加盖公章。" </w:instrText>
      </w:r>
      <w:r>
        <w:rPr>
          <w:rFonts w:hint="eastAsia"/>
          <w:color w:val="auto"/>
          <w:highlight w:val="none"/>
        </w:rPr>
        <w:fldChar w:fldCharType="separate"/>
      </w:r>
      <w:r>
        <w:rPr>
          <w:rFonts w:hint="eastAsia" w:ascii="仿宋" w:hAnsi="仿宋" w:eastAsia="仿宋" w:cs="仿宋"/>
          <w:color w:val="auto"/>
          <w:sz w:val="28"/>
          <w:szCs w:val="28"/>
          <w:highlight w:val="none"/>
        </w:rPr>
        <w:t>1.以邮寄方式在响应文件解密截止时间前寄到贵港市港北区中央花园2楼201广西宝盛工程咨询有限公司；2.响应文件解密截止时间前发送至广西宝盛工程咨询有限公司邮箱gxbsgc2021@163.com；3.在响应文件解密截止时间前按要求密封并送达桂平市政务服务中心新大楼五楼【桂江西路中段原国会大厦（桂平市公共资源交易中心）】，逾期送达或未按要求密封将被拒收。电子备份响应文件应当密封包装并在包装上标注投标项目名称、单位名称并加盖公章。</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邮寄地址：广西贵港市港北区中央花园2楼201，联系人：宋工，电话：0775-4360008。本公司拒收到付邮件，通过邮寄方式送达的，请合理安排邮寄时间，因邮寄原因未能在规定时间内送达的后果由投标供应商自行承担。</w:t>
      </w:r>
    </w:p>
    <w:p>
      <w:pPr>
        <w:pStyle w:val="26"/>
        <w:spacing w:before="156" w:beforeLines="50" w:beforeAutospacing="0" w:after="156" w:afterLines="50" w:afterAutospacing="0" w:line="360" w:lineRule="atLeast"/>
        <w:ind w:firstLine="40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（5）供应商可以在截标前向我公司提供电子备份响应文件，通过政采云平台上传递交的电子加密响应文件无法按时解密且无法通过政采云“异常处理”端口处理的视为响应文件撤回。</w:t>
      </w:r>
    </w:p>
    <w:p>
      <w:pPr>
        <w:pStyle w:val="26"/>
        <w:spacing w:before="156" w:beforeLines="50" w:beforeAutospacing="0" w:after="156" w:afterLines="50" w:afterAutospacing="0" w:line="360" w:lineRule="atLeast"/>
        <w:ind w:firstLine="405"/>
        <w:rPr>
          <w:rFonts w:ascii="仿宋" w:hAnsi="仿宋" w:eastAsia="仿宋"/>
          <w:color w:val="auto"/>
          <w:kern w:val="2"/>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olor w:val="auto"/>
          <w:kern w:val="2"/>
          <w:sz w:val="28"/>
          <w:szCs w:val="28"/>
          <w:highlight w:val="none"/>
        </w:rPr>
        <w:t>监督部门：桂平市财政局政府采购监督管理股；联系电话：0775-3380263</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5.相关业务联系单位及联系电话</w:t>
      </w:r>
    </w:p>
    <w:p>
      <w:pPr>
        <w:spacing w:line="360" w:lineRule="auto"/>
        <w:ind w:firstLine="840" w:firstLineChars="3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CA咨询(汇信公司)客服热线：</w:t>
      </w:r>
      <w:r>
        <w:rPr>
          <w:rFonts w:hint="eastAsia" w:ascii="仿宋" w:hAnsi="仿宋" w:eastAsia="仿宋" w:cs="仿宋"/>
          <w:color w:val="auto"/>
          <w:sz w:val="28"/>
          <w:szCs w:val="28"/>
          <w:highlight w:val="none"/>
          <w:u w:val="single"/>
        </w:rPr>
        <w:t>400-888-4636</w:t>
      </w:r>
    </w:p>
    <w:p>
      <w:pPr>
        <w:pStyle w:val="26"/>
        <w:spacing w:before="156" w:beforeLines="50" w:beforeAutospacing="0" w:after="156" w:afterLines="50" w:afterAutospacing="0" w:line="360" w:lineRule="atLeast"/>
        <w:ind w:firstLine="405"/>
        <w:rPr>
          <w:rFonts w:ascii="仿宋" w:hAnsi="仿宋" w:eastAsia="仿宋" w:cs="仿宋"/>
          <w:color w:val="auto"/>
          <w:sz w:val="28"/>
          <w:szCs w:val="28"/>
          <w:highlight w:val="none"/>
        </w:rPr>
      </w:pPr>
      <w:r>
        <w:rPr>
          <w:rFonts w:hint="eastAsia" w:ascii="仿宋" w:hAnsi="仿宋" w:eastAsia="仿宋" w:cs="仿宋"/>
          <w:color w:val="auto"/>
          <w:kern w:val="2"/>
          <w:sz w:val="28"/>
          <w:szCs w:val="28"/>
          <w:highlight w:val="none"/>
        </w:rPr>
        <w:t>“政采云”平台客服电话：</w:t>
      </w:r>
      <w:r>
        <w:rPr>
          <w:rFonts w:hint="eastAsia" w:ascii="仿宋" w:hAnsi="仿宋" w:eastAsia="仿宋" w:cs="仿宋"/>
          <w:color w:val="auto"/>
          <w:kern w:val="2"/>
          <w:sz w:val="28"/>
          <w:szCs w:val="28"/>
          <w:highlight w:val="none"/>
          <w:u w:val="single"/>
        </w:rPr>
        <w:t>400-881-719</w:t>
      </w:r>
      <w:r>
        <w:rPr>
          <w:rFonts w:hint="eastAsia" w:ascii="仿宋" w:hAnsi="仿宋" w:eastAsia="仿宋" w:cs="仿宋"/>
          <w:color w:val="auto"/>
          <w:sz w:val="28"/>
          <w:szCs w:val="28"/>
          <w:highlight w:val="none"/>
          <w:u w:val="single"/>
        </w:rPr>
        <w:t>0</w:t>
      </w:r>
    </w:p>
    <w:p>
      <w:pPr>
        <w:pStyle w:val="26"/>
        <w:spacing w:before="156" w:beforeLines="50" w:beforeAutospacing="0" w:after="156" w:afterLines="50" w:afterAutospacing="0" w:line="360" w:lineRule="atLeast"/>
        <w:ind w:firstLine="405"/>
        <w:rPr>
          <w:rFonts w:ascii="仿宋" w:hAnsi="仿宋" w:eastAsia="仿宋" w:cs="仿宋"/>
          <w:color w:val="auto"/>
          <w:sz w:val="28"/>
          <w:szCs w:val="28"/>
          <w:highlight w:val="none"/>
        </w:rPr>
      </w:pPr>
    </w:p>
    <w:p>
      <w:pPr>
        <w:pStyle w:val="4"/>
        <w:spacing w:line="360" w:lineRule="auto"/>
        <w:rPr>
          <w:rFonts w:ascii="黑体"/>
          <w:b w:val="0"/>
          <w:bCs w:val="0"/>
          <w:color w:val="auto"/>
          <w:sz w:val="28"/>
          <w:szCs w:val="28"/>
          <w:highlight w:val="none"/>
        </w:rPr>
      </w:pPr>
      <w:bookmarkStart w:id="34" w:name="_Toc28359095"/>
      <w:bookmarkStart w:id="35" w:name="_Toc28359018"/>
      <w:bookmarkStart w:id="36" w:name="_Toc35393805"/>
      <w:bookmarkStart w:id="37" w:name="_Toc35393636"/>
      <w:bookmarkStart w:id="38" w:name="_Toc20239"/>
      <w:r>
        <w:rPr>
          <w:rFonts w:hint="eastAsia" w:ascii="黑体" w:hAnsi="黑体" w:cs="黑体"/>
          <w:b w:val="0"/>
          <w:bCs w:val="0"/>
          <w:color w:val="auto"/>
          <w:sz w:val="28"/>
          <w:szCs w:val="28"/>
          <w:highlight w:val="none"/>
        </w:rPr>
        <w:t>八、凡对本次采购提出询问，请按以下方式联系。</w:t>
      </w:r>
      <w:bookmarkEnd w:id="34"/>
      <w:bookmarkEnd w:id="35"/>
      <w:bookmarkEnd w:id="36"/>
      <w:bookmarkEnd w:id="37"/>
      <w:bookmarkEnd w:id="38"/>
    </w:p>
    <w:p>
      <w:pPr>
        <w:widowControl/>
        <w:spacing w:line="360" w:lineRule="auto"/>
        <w:jc w:val="left"/>
        <w:rPr>
          <w:rFonts w:ascii="仿宋_GB2312" w:eastAsia="仿宋_GB2312"/>
          <w:color w:val="auto"/>
          <w:sz w:val="28"/>
          <w:szCs w:val="28"/>
          <w:highlight w:val="none"/>
        </w:rPr>
      </w:pPr>
      <w:r>
        <w:rPr>
          <w:rFonts w:hint="eastAsia" w:ascii="仿宋" w:hAnsi="仿宋" w:eastAsia="仿宋" w:cs="仿宋"/>
          <w:color w:val="auto"/>
          <w:sz w:val="28"/>
          <w:szCs w:val="28"/>
          <w:highlight w:val="none"/>
        </w:rPr>
        <w:t>　</w:t>
      </w: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采购人信息</w:t>
      </w:r>
    </w:p>
    <w:p>
      <w:pPr>
        <w:spacing w:line="360" w:lineRule="auto"/>
        <w:ind w:left="1129" w:leftChars="371" w:hanging="350" w:hangingChars="125"/>
        <w:jc w:val="left"/>
        <w:rPr>
          <w:rFonts w:ascii="仿宋" w:hAnsi="仿宋" w:eastAsia="仿宋"/>
          <w:color w:val="auto"/>
          <w:sz w:val="28"/>
          <w:szCs w:val="28"/>
          <w:highlight w:val="none"/>
        </w:rPr>
      </w:pPr>
      <w:r>
        <w:rPr>
          <w:rFonts w:hint="eastAsia" w:ascii="仿宋" w:hAnsi="仿宋" w:eastAsia="仿宋" w:cs="仿宋"/>
          <w:color w:val="auto"/>
          <w:sz w:val="28"/>
          <w:szCs w:val="28"/>
          <w:highlight w:val="none"/>
        </w:rPr>
        <w:t>名</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称：</w:t>
      </w:r>
      <w:r>
        <w:rPr>
          <w:rFonts w:hint="eastAsia" w:ascii="仿宋" w:hAnsi="仿宋" w:eastAsia="仿宋" w:cs="仿宋"/>
          <w:color w:val="auto"/>
          <w:sz w:val="28"/>
          <w:szCs w:val="28"/>
          <w:highlight w:val="none"/>
          <w:u w:val="single"/>
        </w:rPr>
        <w:t>　桂平市财政局　</w:t>
      </w:r>
    </w:p>
    <w:p>
      <w:pPr>
        <w:spacing w:line="360" w:lineRule="auto"/>
        <w:ind w:left="1129" w:leftChars="371" w:hanging="350" w:hangingChars="125"/>
        <w:jc w:val="left"/>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地</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址：</w:t>
      </w:r>
      <w:r>
        <w:rPr>
          <w:rFonts w:hint="eastAsia" w:ascii="仿宋" w:hAnsi="仿宋" w:eastAsia="仿宋" w:cs="仿宋"/>
          <w:color w:val="auto"/>
          <w:sz w:val="28"/>
          <w:szCs w:val="28"/>
          <w:highlight w:val="none"/>
          <w:u w:val="single"/>
        </w:rPr>
        <w:t>桂平市新岗东街71号</w:t>
      </w:r>
    </w:p>
    <w:p>
      <w:pPr>
        <w:spacing w:line="360" w:lineRule="auto"/>
        <w:ind w:left="1129" w:leftChars="371" w:hanging="350" w:hangingChars="125"/>
        <w:jc w:val="left"/>
        <w:rPr>
          <w:rFonts w:ascii="仿宋" w:hAnsi="仿宋" w:eastAsia="仿宋"/>
          <w:color w:val="auto"/>
          <w:sz w:val="28"/>
          <w:szCs w:val="28"/>
          <w:highlight w:val="none"/>
        </w:rPr>
      </w:pPr>
      <w:r>
        <w:rPr>
          <w:rFonts w:hint="eastAsia" w:ascii="仿宋" w:hAnsi="仿宋" w:eastAsia="仿宋" w:cs="仿宋"/>
          <w:color w:val="auto"/>
          <w:sz w:val="28"/>
          <w:szCs w:val="28"/>
          <w:highlight w:val="none"/>
        </w:rPr>
        <w:t>联系方式：</w:t>
      </w:r>
      <w:r>
        <w:rPr>
          <w:rFonts w:hint="eastAsia" w:ascii="仿宋" w:hAnsi="仿宋" w:eastAsia="仿宋" w:cs="仿宋"/>
          <w:color w:val="auto"/>
          <w:sz w:val="28"/>
          <w:szCs w:val="28"/>
          <w:highlight w:val="none"/>
          <w:u w:val="single"/>
        </w:rPr>
        <w:t>0775-3382646</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p>
    <w:p>
      <w:pPr>
        <w:spacing w:line="360" w:lineRule="auto"/>
        <w:ind w:firstLine="280" w:firstLineChars="100"/>
        <w:jc w:val="left"/>
        <w:rPr>
          <w:rFonts w:ascii="仿宋" w:hAnsi="仿宋" w:eastAsia="仿宋"/>
          <w:color w:val="auto"/>
          <w:sz w:val="28"/>
          <w:szCs w:val="28"/>
          <w:highlight w:val="none"/>
        </w:rPr>
      </w:pPr>
      <w:bookmarkStart w:id="39" w:name="_Toc28359009"/>
      <w:bookmarkStart w:id="40" w:name="_Toc28359086"/>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采购代理机构信息</w:t>
      </w:r>
      <w:bookmarkEnd w:id="39"/>
      <w:bookmarkEnd w:id="40"/>
    </w:p>
    <w:p>
      <w:pPr>
        <w:spacing w:line="360" w:lineRule="auto"/>
        <w:ind w:firstLine="840" w:firstLineChars="300"/>
        <w:rPr>
          <w:rFonts w:ascii="仿宋" w:hAnsi="仿宋" w:eastAsia="仿宋"/>
          <w:color w:val="auto"/>
          <w:sz w:val="28"/>
          <w:szCs w:val="28"/>
          <w:highlight w:val="none"/>
        </w:rPr>
      </w:pPr>
      <w:r>
        <w:rPr>
          <w:rFonts w:hint="eastAsia" w:ascii="仿宋" w:hAnsi="仿宋" w:eastAsia="仿宋" w:cs="仿宋"/>
          <w:color w:val="auto"/>
          <w:sz w:val="28"/>
          <w:szCs w:val="28"/>
          <w:highlight w:val="none"/>
        </w:rPr>
        <w:t>名</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称：</w:t>
      </w:r>
      <w:r>
        <w:rPr>
          <w:rFonts w:hint="eastAsia" w:ascii="仿宋" w:hAnsi="仿宋" w:eastAsia="仿宋" w:cs="仿宋"/>
          <w:color w:val="auto"/>
          <w:sz w:val="28"/>
          <w:szCs w:val="28"/>
          <w:highlight w:val="none"/>
          <w:u w:val="single"/>
        </w:rPr>
        <w:t>　广西宝盛工程咨询有限公司　</w:t>
      </w:r>
    </w:p>
    <w:p>
      <w:pPr>
        <w:spacing w:line="360" w:lineRule="auto"/>
        <w:ind w:firstLine="840" w:firstLineChars="300"/>
        <w:rPr>
          <w:rFonts w:ascii="仿宋" w:hAnsi="仿宋" w:eastAsia="仿宋"/>
          <w:color w:val="auto"/>
          <w:sz w:val="28"/>
          <w:szCs w:val="28"/>
          <w:highlight w:val="none"/>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u w:val="single"/>
        </w:rPr>
        <w:t>　贵港市港北区中央花园2楼201　</w:t>
      </w:r>
    </w:p>
    <w:p>
      <w:pPr>
        <w:spacing w:line="360" w:lineRule="auto"/>
        <w:ind w:firstLine="840" w:firstLineChars="300"/>
        <w:rPr>
          <w:rFonts w:ascii="仿宋" w:hAnsi="仿宋" w:eastAsia="仿宋"/>
          <w:color w:val="auto"/>
          <w:sz w:val="28"/>
          <w:szCs w:val="28"/>
          <w:highlight w:val="none"/>
        </w:rPr>
      </w:pPr>
      <w:r>
        <w:rPr>
          <w:rFonts w:hint="eastAsia" w:ascii="仿宋" w:hAnsi="仿宋" w:eastAsia="仿宋" w:cs="仿宋"/>
          <w:color w:val="auto"/>
          <w:sz w:val="28"/>
          <w:szCs w:val="28"/>
          <w:highlight w:val="none"/>
        </w:rPr>
        <w:t>联系方式：</w:t>
      </w:r>
      <w:bookmarkStart w:id="41" w:name="_Toc28359010"/>
      <w:bookmarkStart w:id="42" w:name="_Toc28359087"/>
      <w:r>
        <w:rPr>
          <w:rFonts w:hint="eastAsia" w:ascii="仿宋" w:hAnsi="仿宋" w:eastAsia="仿宋" w:cs="仿宋"/>
          <w:color w:val="auto"/>
          <w:sz w:val="28"/>
          <w:szCs w:val="28"/>
          <w:highlight w:val="none"/>
          <w:u w:val="single"/>
        </w:rPr>
        <w:t>　0775-4360008　</w:t>
      </w:r>
    </w:p>
    <w:p>
      <w:pPr>
        <w:spacing w:line="360" w:lineRule="auto"/>
        <w:ind w:firstLine="280" w:firstLineChars="100"/>
        <w:rPr>
          <w:rFonts w:ascii="仿宋" w:hAnsi="仿宋" w:eastAsia="仿宋"/>
          <w:color w:val="auto"/>
          <w:sz w:val="28"/>
          <w:szCs w:val="28"/>
          <w:highlight w:val="none"/>
          <w:u w:val="single"/>
        </w:rPr>
      </w:pP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项目联系方式</w:t>
      </w:r>
      <w:bookmarkEnd w:id="41"/>
      <w:bookmarkEnd w:id="42"/>
    </w:p>
    <w:p>
      <w:pPr>
        <w:pStyle w:val="14"/>
        <w:spacing w:line="360" w:lineRule="auto"/>
        <w:ind w:firstLine="840" w:firstLineChars="300"/>
        <w:rPr>
          <w:rFonts w:ascii="仿宋" w:hAnsi="仿宋" w:eastAsia="仿宋"/>
          <w:color w:val="auto"/>
          <w:sz w:val="28"/>
          <w:szCs w:val="28"/>
          <w:highlight w:val="none"/>
        </w:rPr>
      </w:pPr>
      <w:r>
        <w:rPr>
          <w:rFonts w:hint="eastAsia" w:ascii="仿宋" w:hAnsi="仿宋" w:eastAsia="仿宋" w:cs="仿宋"/>
          <w:color w:val="auto"/>
          <w:sz w:val="28"/>
          <w:szCs w:val="28"/>
          <w:highlight w:val="none"/>
        </w:rPr>
        <w:t>项目联系人：</w:t>
      </w:r>
      <w:r>
        <w:rPr>
          <w:rFonts w:hint="eastAsia" w:ascii="仿宋" w:hAnsi="仿宋" w:eastAsia="仿宋" w:cs="仿宋"/>
          <w:color w:val="auto"/>
          <w:sz w:val="28"/>
          <w:szCs w:val="28"/>
          <w:highlight w:val="none"/>
          <w:u w:val="single"/>
        </w:rPr>
        <w:t xml:space="preserve">  宋工  </w:t>
      </w:r>
    </w:p>
    <w:p>
      <w:pPr>
        <w:spacing w:line="360" w:lineRule="auto"/>
        <w:ind w:firstLine="840" w:firstLineChars="300"/>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电　话：</w:t>
      </w:r>
      <w:r>
        <w:rPr>
          <w:rFonts w:hint="eastAsia" w:ascii="仿宋" w:hAnsi="仿宋" w:eastAsia="仿宋" w:cs="仿宋"/>
          <w:color w:val="auto"/>
          <w:sz w:val="28"/>
          <w:szCs w:val="28"/>
          <w:highlight w:val="none"/>
          <w:u w:val="single"/>
        </w:rPr>
        <w:t>　0775-4360008　</w:t>
      </w:r>
    </w:p>
    <w:p>
      <w:pPr>
        <w:pStyle w:val="108"/>
        <w:spacing w:line="360" w:lineRule="auto"/>
        <w:ind w:firstLine="3640" w:firstLineChars="1300"/>
        <w:rPr>
          <w:rFonts w:ascii="仿宋" w:hAnsi="仿宋" w:eastAsia="仿宋" w:cs="仿宋"/>
          <w:b w:val="0"/>
          <w:bCs w:val="0"/>
          <w:color w:val="auto"/>
          <w:sz w:val="28"/>
          <w:szCs w:val="28"/>
          <w:highlight w:val="none"/>
          <w:lang w:val="en-US" w:bidi="ar-SA"/>
        </w:rPr>
      </w:pPr>
    </w:p>
    <w:p>
      <w:pPr>
        <w:rPr>
          <w:color w:val="auto"/>
          <w:highlight w:val="none"/>
        </w:rPr>
      </w:pPr>
    </w:p>
    <w:p>
      <w:pPr>
        <w:pStyle w:val="108"/>
        <w:spacing w:line="360" w:lineRule="auto"/>
        <w:ind w:firstLine="3640" w:firstLineChars="1300"/>
        <w:rPr>
          <w:rFonts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bidi="ar-SA"/>
        </w:rPr>
        <w:t>广西宝盛工程咨询有限公司</w:t>
      </w:r>
    </w:p>
    <w:p>
      <w:pPr>
        <w:rPr>
          <w:rFonts w:hint="eastAsia" w:ascii="宋体" w:hAnsi="宋体" w:eastAsia="仿宋" w:cs="宋体"/>
          <w:color w:val="auto"/>
          <w:sz w:val="28"/>
          <w:szCs w:val="28"/>
          <w:highlight w:val="none"/>
          <w:lang w:eastAsia="zh-CN"/>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eastAsia="zh-CN"/>
        </w:rPr>
        <w:t>2022年</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eastAsia="zh-CN"/>
        </w:rPr>
        <w:t>月</w:t>
      </w:r>
      <w:r>
        <w:rPr>
          <w:rFonts w:hint="eastAsia" w:ascii="仿宋" w:hAnsi="仿宋" w:eastAsia="仿宋" w:cs="仿宋"/>
          <w:color w:val="auto"/>
          <w:sz w:val="28"/>
          <w:szCs w:val="28"/>
          <w:highlight w:val="none"/>
          <w:lang w:val="en-US" w:eastAsia="zh-CN"/>
        </w:rPr>
        <w:t>17</w:t>
      </w:r>
      <w:r>
        <w:rPr>
          <w:rFonts w:hint="eastAsia" w:ascii="仿宋" w:hAnsi="仿宋" w:eastAsia="仿宋" w:cs="仿宋"/>
          <w:color w:val="auto"/>
          <w:sz w:val="28"/>
          <w:szCs w:val="28"/>
          <w:highlight w:val="none"/>
          <w:lang w:eastAsia="zh-CN"/>
        </w:rPr>
        <w:t>日</w:t>
      </w:r>
    </w:p>
    <w:p>
      <w:pPr>
        <w:pStyle w:val="3"/>
        <w:spacing w:before="0" w:after="120" w:line="240" w:lineRule="auto"/>
        <w:jc w:val="center"/>
        <w:rPr>
          <w:rFonts w:ascii="宋体" w:hAnsi="宋体" w:cs="宋体"/>
          <w:color w:val="auto"/>
          <w:sz w:val="28"/>
          <w:szCs w:val="28"/>
          <w:highlight w:val="none"/>
        </w:rPr>
        <w:sectPr>
          <w:footerReference r:id="rId5" w:type="first"/>
          <w:footerReference r:id="rId4" w:type="default"/>
          <w:pgSz w:w="11906" w:h="16838"/>
          <w:pgMar w:top="1134" w:right="851" w:bottom="1134" w:left="1134" w:header="851" w:footer="992" w:gutter="0"/>
          <w:pgNumType w:start="1"/>
          <w:cols w:space="720" w:num="1"/>
          <w:titlePg/>
          <w:docGrid w:type="lines" w:linePitch="312" w:charSpace="0"/>
        </w:sectPr>
      </w:pPr>
    </w:p>
    <w:p>
      <w:pPr>
        <w:pStyle w:val="3"/>
        <w:spacing w:before="0" w:after="120" w:line="240" w:lineRule="auto"/>
        <w:jc w:val="center"/>
        <w:rPr>
          <w:rFonts w:ascii="宋体" w:hAnsi="宋体" w:cs="宋体"/>
          <w:color w:val="auto"/>
          <w:sz w:val="28"/>
          <w:szCs w:val="28"/>
          <w:highlight w:val="none"/>
        </w:rPr>
      </w:pPr>
      <w:bookmarkStart w:id="43" w:name="_Toc30637"/>
      <w:r>
        <w:rPr>
          <w:rFonts w:hint="eastAsia" w:ascii="宋体" w:hAnsi="宋体" w:cs="宋体"/>
          <w:color w:val="auto"/>
          <w:sz w:val="28"/>
          <w:szCs w:val="28"/>
          <w:highlight w:val="none"/>
        </w:rPr>
        <w:t>第二章 供应商须知及前附表</w:t>
      </w:r>
      <w:bookmarkEnd w:id="43"/>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磋商供应商须知前附表</w:t>
      </w:r>
    </w:p>
    <w:tbl>
      <w:tblPr>
        <w:tblStyle w:val="3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7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20"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序号</w:t>
            </w:r>
          </w:p>
        </w:tc>
        <w:tc>
          <w:tcPr>
            <w:tcW w:w="1620"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条款号</w:t>
            </w:r>
          </w:p>
        </w:tc>
        <w:tc>
          <w:tcPr>
            <w:tcW w:w="7417"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6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w:t>
            </w:r>
          </w:p>
        </w:tc>
        <w:tc>
          <w:tcPr>
            <w:tcW w:w="7417"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bCs/>
                <w:color w:val="auto"/>
                <w:szCs w:val="21"/>
                <w:highlight w:val="none"/>
                <w:lang w:eastAsia="zh-CN"/>
              </w:rPr>
              <w:t>桂平市土地增值税清算辅助审核服务</w:t>
            </w:r>
            <w:r>
              <w:rPr>
                <w:rFonts w:hint="eastAsia" w:ascii="宋体" w:hAnsi="宋体" w:cs="宋体"/>
                <w:bCs/>
                <w:color w:val="auto"/>
                <w:szCs w:val="21"/>
                <w:highlight w:val="none"/>
              </w:rPr>
              <w:t xml:space="preserve"> </w:t>
            </w:r>
          </w:p>
          <w:p>
            <w:pPr>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GGZC2022-C3-50096-GXBS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7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16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2.1</w:t>
            </w:r>
          </w:p>
        </w:tc>
        <w:tc>
          <w:tcPr>
            <w:tcW w:w="7417" w:type="dxa"/>
            <w:vAlign w:val="center"/>
          </w:tcPr>
          <w:p>
            <w:pPr>
              <w:spacing w:line="500" w:lineRule="exact"/>
              <w:ind w:firstLine="316" w:firstLineChars="150"/>
              <w:rPr>
                <w:rFonts w:ascii="宋体" w:hAnsi="宋体" w:cs="宋体"/>
                <w:b/>
                <w:color w:val="auto"/>
                <w:szCs w:val="21"/>
                <w:highlight w:val="none"/>
              </w:rPr>
            </w:pPr>
            <w:r>
              <w:rPr>
                <w:rFonts w:hint="eastAsia" w:ascii="宋体" w:hAnsi="宋体" w:cs="宋体"/>
                <w:b/>
                <w:color w:val="auto"/>
                <w:szCs w:val="21"/>
                <w:highlight w:val="none"/>
              </w:rPr>
              <w:t>磋商供应商资格：</w:t>
            </w:r>
          </w:p>
          <w:p>
            <w:pPr>
              <w:spacing w:line="500" w:lineRule="exact"/>
              <w:ind w:firstLine="315" w:firstLineChars="150"/>
              <w:rPr>
                <w:rFonts w:ascii="宋体" w:hAnsi="宋体" w:cs="宋体"/>
                <w:bCs/>
                <w:color w:val="auto"/>
                <w:szCs w:val="21"/>
                <w:highlight w:val="none"/>
              </w:rPr>
            </w:pPr>
            <w:r>
              <w:rPr>
                <w:rFonts w:hint="eastAsia" w:ascii="宋体" w:hAnsi="宋体" w:cs="宋体"/>
                <w:bCs/>
                <w:color w:val="auto"/>
                <w:szCs w:val="21"/>
                <w:highlight w:val="none"/>
              </w:rPr>
              <w:t>1.满足《中华人民共和国政府采购法》第二十二条规定；</w:t>
            </w:r>
          </w:p>
          <w:p>
            <w:pPr>
              <w:spacing w:line="500" w:lineRule="exact"/>
              <w:ind w:firstLine="315" w:firstLineChars="150"/>
              <w:rPr>
                <w:rFonts w:ascii="宋体" w:hAnsi="宋体" w:cs="宋体"/>
                <w:bCs/>
                <w:color w:val="auto"/>
                <w:szCs w:val="21"/>
                <w:highlight w:val="none"/>
              </w:rPr>
            </w:pPr>
            <w:r>
              <w:rPr>
                <w:rFonts w:hint="eastAsia" w:ascii="宋体" w:hAnsi="宋体" w:cs="宋体"/>
                <w:bCs/>
                <w:color w:val="auto"/>
                <w:szCs w:val="21"/>
                <w:highlight w:val="none"/>
              </w:rPr>
              <w:t>2.落实政府采购政策需满足的资格要求：本项目属于专门面向中小企业采购的项目。供应商应为符合《政府采购促进中小企业发展管理办法》(财库（2020）46号）、《关于政府采购支持监狱企业发展有关问题的通知》(财库(2014） 68号)、《关于促进残疾人就业政府采购政策的通知》 (财库 (2017)141号)等规定的条件的小微企业、监狱企业、残疾人福利性单位；</w:t>
            </w:r>
          </w:p>
          <w:p>
            <w:pPr>
              <w:spacing w:line="500" w:lineRule="exact"/>
              <w:ind w:firstLine="315" w:firstLineChars="150"/>
              <w:rPr>
                <w:rFonts w:ascii="宋体" w:hAnsi="宋体" w:cs="宋体"/>
                <w:bCs/>
                <w:color w:val="auto"/>
                <w:szCs w:val="21"/>
                <w:highlight w:val="none"/>
              </w:rPr>
            </w:pPr>
            <w:r>
              <w:rPr>
                <w:rFonts w:hint="eastAsia" w:ascii="宋体" w:hAnsi="宋体" w:cs="宋体"/>
                <w:bCs/>
                <w:color w:val="auto"/>
                <w:szCs w:val="21"/>
                <w:highlight w:val="none"/>
              </w:rPr>
              <w:t>3.本项目的特定资格要求：/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16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3.1</w:t>
            </w:r>
          </w:p>
        </w:tc>
        <w:tc>
          <w:tcPr>
            <w:tcW w:w="7417"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磋商报价及费用：</w:t>
            </w:r>
          </w:p>
          <w:p>
            <w:pPr>
              <w:numPr>
                <w:ilvl w:val="0"/>
                <w:numId w:val="3"/>
              </w:numPr>
              <w:spacing w:line="360" w:lineRule="auto"/>
              <w:rPr>
                <w:rFonts w:ascii="宋体" w:hAnsi="宋体" w:cs="宋体"/>
                <w:color w:val="auto"/>
                <w:szCs w:val="21"/>
                <w:highlight w:val="none"/>
              </w:rPr>
            </w:pPr>
            <w:r>
              <w:rPr>
                <w:rFonts w:hint="eastAsia" w:ascii="宋体" w:hAnsi="宋体" w:cs="宋体"/>
                <w:color w:val="auto"/>
                <w:szCs w:val="21"/>
                <w:highlight w:val="none"/>
              </w:rPr>
              <w:t>本项目磋商供应商应以人民币报价；本项目实行总承包报价，支付费用包括本项目所有服务内容、所涉及的工具、劳务、人工费、交通、保险等各种费用和售后服务、税金及其它所有成本费用的总和，以及政策性文件规定及合同包含的应有风险、责任等各项应有费用。供应商应对本项目的所有内容范围的服务进行总承包报价；磋商报价中应包含全部内容，成交后采购人不再另行支付额外费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2、不论磋商结果如何，供应商均应自行承担所有与磋商有关的全部费用；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 w:val="22"/>
                <w:szCs w:val="22"/>
                <w:highlight w:val="none"/>
              </w:rPr>
              <w:t>招标代理服务费：</w:t>
            </w:r>
            <w:r>
              <w:rPr>
                <w:rFonts w:hint="eastAsia" w:ascii="宋体" w:hAnsi="宋体" w:cs="宋体"/>
                <w:bCs/>
                <w:color w:val="auto"/>
                <w:szCs w:val="21"/>
                <w:highlight w:val="none"/>
              </w:rPr>
              <w:t>本项目招标代理服务费按发改价格〔2015〕299号文件“服务类”规定收取标准，由中标人向招标代理机构支付，具体费用为：</w:t>
            </w:r>
            <w:r>
              <w:rPr>
                <w:rFonts w:hint="eastAsia" w:ascii="宋体" w:hAnsi="宋体" w:cs="宋体"/>
                <w:color w:val="auto"/>
                <w:sz w:val="22"/>
                <w:szCs w:val="22"/>
                <w:highlight w:val="none"/>
                <w:lang w:eastAsia="zh-CN"/>
              </w:rPr>
              <w:t>人民币贰万贰仟贰佰元整（￥22200.00）</w:t>
            </w:r>
            <w:r>
              <w:rPr>
                <w:rFonts w:hint="eastAsia" w:ascii="宋体" w:hAnsi="宋体" w:cs="宋体"/>
                <w:color w:val="auto"/>
                <w:sz w:val="22"/>
                <w:szCs w:val="22"/>
                <w:highlight w:val="none"/>
              </w:rPr>
              <w:t xml:space="preserve">,由成交供应商支付。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4、招标代理服务费缴纳账户：</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开户名称：广西宝盛工程咨询有限公司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开户银行：中国工商银行股份有限公司贵港市荷城支行</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银行账号：  2116710809100102991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16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4.1</w:t>
            </w:r>
          </w:p>
        </w:tc>
        <w:tc>
          <w:tcPr>
            <w:tcW w:w="7417" w:type="dxa"/>
            <w:vAlign w:val="center"/>
          </w:tcPr>
          <w:p>
            <w:pPr>
              <w:spacing w:line="360" w:lineRule="auto"/>
              <w:rPr>
                <w:rFonts w:ascii="宋体" w:hAnsi="宋体" w:cs="宋体"/>
                <w:color w:val="auto"/>
                <w:szCs w:val="21"/>
                <w:highlight w:val="none"/>
              </w:rPr>
            </w:pPr>
            <w:r>
              <w:rPr>
                <w:rFonts w:hint="eastAsia" w:ascii="宋体" w:hAnsi="宋体"/>
                <w:color w:val="auto"/>
                <w:szCs w:val="21"/>
                <w:highlight w:val="none"/>
              </w:rPr>
              <w:t>响应文件：</w:t>
            </w:r>
            <w:r>
              <w:rPr>
                <w:rFonts w:hint="eastAsia" w:hAnsi="宋体" w:cs="宋体"/>
                <w:color w:val="auto"/>
                <w:kern w:val="0"/>
                <w:highlight w:val="none"/>
              </w:rPr>
              <w:t>电子版一份。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7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16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5.1</w:t>
            </w:r>
          </w:p>
        </w:tc>
        <w:tc>
          <w:tcPr>
            <w:tcW w:w="7417"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响应文件递交截止时间 ：</w:t>
            </w:r>
            <w:r>
              <w:rPr>
                <w:rFonts w:hint="eastAsia" w:ascii="宋体" w:hAnsi="宋体" w:cs="宋体"/>
                <w:color w:val="auto"/>
                <w:szCs w:val="21"/>
                <w:highlight w:val="none"/>
                <w:lang w:eastAsia="zh-CN"/>
              </w:rPr>
              <w:t>2022年6月29日9点00分</w:t>
            </w:r>
            <w:r>
              <w:rPr>
                <w:rFonts w:hint="eastAsia" w:ascii="宋体" w:hAnsi="宋体" w:cs="宋体"/>
                <w:color w:val="auto"/>
                <w:szCs w:val="21"/>
                <w:highlight w:val="none"/>
              </w:rPr>
              <w:t>之前将电子磋商响应文件上传到政采云平台。应按照本项目竞争性磋商文件和政采云平台的要求编制、加密传输磋商响应文件。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7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6</w:t>
            </w:r>
          </w:p>
        </w:tc>
        <w:tc>
          <w:tcPr>
            <w:tcW w:w="16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6.1</w:t>
            </w:r>
          </w:p>
        </w:tc>
        <w:tc>
          <w:tcPr>
            <w:tcW w:w="7417"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响应文件有效期：响应文件递交截止日期后 60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7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7</w:t>
            </w:r>
          </w:p>
        </w:tc>
        <w:tc>
          <w:tcPr>
            <w:tcW w:w="16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7.1</w:t>
            </w:r>
          </w:p>
        </w:tc>
        <w:tc>
          <w:tcPr>
            <w:tcW w:w="7417" w:type="dxa"/>
            <w:vAlign w:val="center"/>
          </w:tcPr>
          <w:p>
            <w:pPr>
              <w:spacing w:line="360" w:lineRule="auto"/>
              <w:rPr>
                <w:color w:val="auto"/>
                <w:highlight w:val="none"/>
              </w:rPr>
            </w:pPr>
            <w:r>
              <w:rPr>
                <w:rFonts w:hint="eastAsia"/>
                <w:color w:val="auto"/>
                <w:highlight w:val="none"/>
              </w:rPr>
              <w:t xml:space="preserve">磋商时间： </w:t>
            </w:r>
            <w:r>
              <w:rPr>
                <w:rFonts w:hint="eastAsia"/>
                <w:color w:val="auto"/>
                <w:highlight w:val="none"/>
                <w:lang w:eastAsia="zh-CN"/>
              </w:rPr>
              <w:t>2022年6月29日9点00分</w:t>
            </w:r>
            <w:r>
              <w:rPr>
                <w:rFonts w:hint="eastAsia"/>
                <w:color w:val="auto"/>
                <w:highlight w:val="none"/>
              </w:rPr>
              <w:t>截标后</w:t>
            </w:r>
          </w:p>
          <w:p>
            <w:pPr>
              <w:spacing w:line="360" w:lineRule="auto"/>
              <w:rPr>
                <w:color w:val="auto"/>
                <w:highlight w:val="none"/>
              </w:rPr>
            </w:pPr>
            <w:r>
              <w:rPr>
                <w:rFonts w:hint="eastAsia"/>
                <w:color w:val="auto"/>
                <w:highlight w:val="none"/>
              </w:rPr>
              <w:t>磋商地点：通过政采云平台实行在线解密开启。</w:t>
            </w:r>
          </w:p>
          <w:p>
            <w:pPr>
              <w:pStyle w:val="102"/>
              <w:spacing w:line="360" w:lineRule="auto"/>
              <w:rPr>
                <w:b/>
                <w:bCs/>
                <w:color w:val="auto"/>
                <w:highlight w:val="none"/>
              </w:rPr>
            </w:pPr>
            <w:r>
              <w:rPr>
                <w:rFonts w:hint="eastAsia"/>
                <w:b/>
                <w:bCs/>
                <w:color w:val="auto"/>
                <w:highlight w:val="none"/>
              </w:rPr>
              <w:t>磋商前准备：</w:t>
            </w:r>
          </w:p>
          <w:p>
            <w:pPr>
              <w:pStyle w:val="102"/>
              <w:spacing w:line="360" w:lineRule="auto"/>
              <w:rPr>
                <w:color w:val="auto"/>
                <w:highlight w:val="none"/>
              </w:rPr>
            </w:pPr>
            <w:r>
              <w:rPr>
                <w:rFonts w:hint="eastAsia"/>
                <w:color w:val="auto"/>
                <w:highlight w:val="none"/>
              </w:rPr>
              <w:t>1、</w:t>
            </w:r>
            <w:r>
              <w:rPr>
                <w:color w:val="auto"/>
                <w:highlight w:val="none"/>
              </w:rPr>
              <w:t>本项目实行网上</w:t>
            </w:r>
            <w:r>
              <w:rPr>
                <w:rFonts w:hint="eastAsia"/>
                <w:color w:val="auto"/>
                <w:highlight w:val="none"/>
              </w:rPr>
              <w:t>磋商</w:t>
            </w:r>
            <w:r>
              <w:rPr>
                <w:color w:val="auto"/>
                <w:highlight w:val="none"/>
              </w:rPr>
              <w:t>，采用电子</w:t>
            </w:r>
            <w:r>
              <w:rPr>
                <w:rFonts w:hint="eastAsia"/>
                <w:color w:val="auto"/>
                <w:highlight w:val="none"/>
              </w:rPr>
              <w:t>磋商响应</w:t>
            </w:r>
            <w:r>
              <w:rPr>
                <w:color w:val="auto"/>
                <w:highlight w:val="none"/>
              </w:rPr>
              <w:t>文件。若供应商参与</w:t>
            </w:r>
            <w:r>
              <w:rPr>
                <w:rFonts w:hint="eastAsia"/>
                <w:color w:val="auto"/>
                <w:highlight w:val="none"/>
              </w:rPr>
              <w:t>磋商</w:t>
            </w:r>
            <w:r>
              <w:rPr>
                <w:color w:val="auto"/>
                <w:highlight w:val="none"/>
              </w:rPr>
              <w:t>，自行承担</w:t>
            </w:r>
            <w:r>
              <w:rPr>
                <w:rFonts w:hint="eastAsia"/>
                <w:color w:val="auto"/>
                <w:highlight w:val="none"/>
              </w:rPr>
              <w:t>磋商</w:t>
            </w:r>
            <w:r>
              <w:rPr>
                <w:color w:val="auto"/>
                <w:highlight w:val="none"/>
              </w:rPr>
              <w:t>一切费用</w:t>
            </w:r>
            <w:r>
              <w:rPr>
                <w:rFonts w:hint="eastAsia"/>
                <w:color w:val="auto"/>
                <w:highlight w:val="none"/>
              </w:rPr>
              <w:t>。</w:t>
            </w:r>
          </w:p>
          <w:p>
            <w:pPr>
              <w:pStyle w:val="102"/>
              <w:spacing w:line="360" w:lineRule="auto"/>
              <w:rPr>
                <w:color w:val="auto"/>
                <w:highlight w:val="none"/>
              </w:rPr>
            </w:pPr>
            <w:r>
              <w:rPr>
                <w:rFonts w:hint="eastAsia"/>
                <w:color w:val="auto"/>
                <w:highlight w:val="none"/>
              </w:rPr>
              <w:t>2、</w:t>
            </w:r>
            <w:r>
              <w:rPr>
                <w:color w:val="auto"/>
                <w:highlight w:val="none"/>
              </w:rPr>
              <w:t>各供应商应在</w:t>
            </w:r>
            <w:r>
              <w:rPr>
                <w:rFonts w:hint="eastAsia"/>
                <w:color w:val="auto"/>
                <w:highlight w:val="none"/>
              </w:rPr>
              <w:t>截</w:t>
            </w:r>
            <w:r>
              <w:rPr>
                <w:color w:val="auto"/>
                <w:highlight w:val="none"/>
              </w:rPr>
              <w:t>标前应确保成为</w:t>
            </w:r>
            <w:r>
              <w:rPr>
                <w:rFonts w:hint="eastAsia"/>
                <w:color w:val="auto"/>
                <w:highlight w:val="none"/>
              </w:rPr>
              <w:t>政采云平台</w:t>
            </w:r>
            <w:r>
              <w:rPr>
                <w:color w:val="auto"/>
                <w:highlight w:val="none"/>
              </w:rPr>
              <w:t>正式注册入库供应商，并完成CA数字证书</w:t>
            </w:r>
            <w:r>
              <w:rPr>
                <w:rFonts w:hint="eastAsia"/>
                <w:color w:val="auto"/>
                <w:highlight w:val="none"/>
              </w:rPr>
              <w:t>申领</w:t>
            </w:r>
            <w:r>
              <w:rPr>
                <w:color w:val="auto"/>
                <w:highlight w:val="none"/>
              </w:rPr>
              <w:t>。因未注册入库、未办理CA数字证书等原因造成无法</w:t>
            </w:r>
            <w:r>
              <w:rPr>
                <w:rFonts w:hint="eastAsia"/>
                <w:color w:val="auto"/>
                <w:highlight w:val="none"/>
              </w:rPr>
              <w:t>磋商</w:t>
            </w:r>
            <w:r>
              <w:rPr>
                <w:color w:val="auto"/>
                <w:highlight w:val="none"/>
              </w:rPr>
              <w:t>或</w:t>
            </w:r>
            <w:r>
              <w:rPr>
                <w:rFonts w:hint="eastAsia"/>
                <w:color w:val="auto"/>
                <w:highlight w:val="none"/>
              </w:rPr>
              <w:t>磋商</w:t>
            </w:r>
            <w:r>
              <w:rPr>
                <w:color w:val="auto"/>
                <w:highlight w:val="none"/>
              </w:rPr>
              <w:t>失败等后果由供应商自行承担。</w:t>
            </w:r>
          </w:p>
          <w:p>
            <w:pPr>
              <w:pStyle w:val="102"/>
              <w:spacing w:line="360" w:lineRule="auto"/>
              <w:rPr>
                <w:color w:val="auto"/>
                <w:highlight w:val="none"/>
              </w:rPr>
            </w:pPr>
            <w:r>
              <w:rPr>
                <w:rFonts w:hint="eastAsia"/>
                <w:color w:val="auto"/>
                <w:highlight w:val="none"/>
              </w:rPr>
              <w:t>3、</w:t>
            </w:r>
            <w:r>
              <w:rPr>
                <w:color w:val="auto"/>
                <w:highlight w:val="none"/>
              </w:rPr>
              <w:t>供应商将政采云电子交易客户端下载、安装完成后，可通过账号密码或CA登录客户端进行</w:t>
            </w:r>
            <w:r>
              <w:rPr>
                <w:rFonts w:hint="eastAsia"/>
                <w:color w:val="auto"/>
                <w:highlight w:val="none"/>
              </w:rPr>
              <w:t>响应文件</w:t>
            </w:r>
            <w:r>
              <w:rPr>
                <w:color w:val="auto"/>
                <w:highlight w:val="none"/>
              </w:rPr>
              <w:t>制作。</w:t>
            </w:r>
            <w:r>
              <w:rPr>
                <w:rFonts w:hint="eastAsia"/>
                <w:color w:val="auto"/>
                <w:highlight w:val="none"/>
              </w:rPr>
              <w:t>客户端请至网站下载专区查看，如有问题可拨打政采云客户服务热线4</w:t>
            </w:r>
            <w:r>
              <w:rPr>
                <w:color w:val="auto"/>
                <w:highlight w:val="none"/>
              </w:rPr>
              <w:t>00-881-7190</w:t>
            </w:r>
            <w:r>
              <w:rPr>
                <w:rFonts w:hint="eastAsia"/>
                <w:color w:val="auto"/>
                <w:highlight w:val="none"/>
              </w:rPr>
              <w:t>进行咨询。</w:t>
            </w:r>
          </w:p>
          <w:p>
            <w:pPr>
              <w:pStyle w:val="102"/>
              <w:spacing w:line="360" w:lineRule="auto"/>
              <w:rPr>
                <w:b/>
                <w:bCs/>
                <w:color w:val="auto"/>
                <w:highlight w:val="none"/>
              </w:rPr>
            </w:pPr>
            <w:r>
              <w:rPr>
                <w:rFonts w:hint="eastAsia"/>
                <w:b/>
                <w:bCs/>
                <w:color w:val="auto"/>
                <w:highlight w:val="none"/>
              </w:rPr>
              <w:t>磋商响应文件解密时间：</w:t>
            </w:r>
          </w:p>
          <w:p>
            <w:pPr>
              <w:pStyle w:val="6"/>
              <w:ind w:left="0" w:firstLine="0"/>
              <w:rPr>
                <w:color w:val="auto"/>
                <w:highlight w:val="none"/>
              </w:rPr>
            </w:pPr>
            <w:r>
              <w:rPr>
                <w:rFonts w:hint="eastAsia" w:hAnsi="Courier New"/>
                <w:b w:val="0"/>
                <w:color w:val="auto"/>
                <w:kern w:val="2"/>
                <w:sz w:val="21"/>
                <w:highlight w:val="none"/>
              </w:rPr>
              <w:t>截标时间后30分钟内磋商供应商可以登录政采云平台，用“项目采购-开标评标”功能进行解密磋商响应文件。若磋商供应商在规定时间内无法解密或解密失败，可以以电子备份磋商响应文件作为依据，若电子备份磋商响应文件与政采云平台上传的电子磋商响应文件被识别为不一致的，以电子备份磋商响应文件作为评审依据；磋商供应商按时在线解密响应文件的，以在线解密的响应文件作为评审依据。若磋商供应商在规定时间内无法解密或解密失败且未提供电子备份磋商响应文件的，视为响应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8</w:t>
            </w:r>
          </w:p>
        </w:tc>
        <w:tc>
          <w:tcPr>
            <w:tcW w:w="16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8.1</w:t>
            </w:r>
          </w:p>
        </w:tc>
        <w:tc>
          <w:tcPr>
            <w:tcW w:w="7417"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评标办法：综合评分法（详细见第四章）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7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9</w:t>
            </w:r>
          </w:p>
        </w:tc>
        <w:tc>
          <w:tcPr>
            <w:tcW w:w="16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9.1</w:t>
            </w:r>
          </w:p>
        </w:tc>
        <w:tc>
          <w:tcPr>
            <w:tcW w:w="7417" w:type="dxa"/>
            <w:vAlign w:val="center"/>
          </w:tcPr>
          <w:p>
            <w:pPr>
              <w:spacing w:line="360" w:lineRule="auto"/>
              <w:rPr>
                <w:color w:val="auto"/>
                <w:highlight w:val="none"/>
              </w:rPr>
            </w:pPr>
            <w:r>
              <w:rPr>
                <w:rFonts w:hint="eastAsia"/>
                <w:color w:val="auto"/>
                <w:highlight w:val="none"/>
              </w:rPr>
              <w:t>本文件中描述竞标人的“公章”是指根据我国对公章的管理规定，用竞标人法定主体行为名称制作的印章，除本文件有特殊规定外，竞标人的财务章、部门章、分公司章、工会章、合同章、竞标专用章、业务专用章及银行的转账章、现金收讫章、现金付讫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7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10</w:t>
            </w:r>
          </w:p>
        </w:tc>
        <w:tc>
          <w:tcPr>
            <w:tcW w:w="16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10.1</w:t>
            </w:r>
          </w:p>
        </w:tc>
        <w:tc>
          <w:tcPr>
            <w:tcW w:w="7417" w:type="dxa"/>
            <w:vAlign w:val="center"/>
          </w:tcPr>
          <w:p>
            <w:pPr>
              <w:autoSpaceDE w:val="0"/>
              <w:autoSpaceDN w:val="0"/>
              <w:snapToGrid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磋商主要内容及程序：</w:t>
            </w:r>
            <w:r>
              <w:rPr>
                <w:rFonts w:hint="eastAsia" w:ascii="宋体" w:hAnsi="宋体" w:cs="宋体"/>
                <w:color w:val="auto"/>
                <w:spacing w:val="2"/>
                <w:szCs w:val="21"/>
                <w:highlight w:val="none"/>
              </w:rPr>
              <w:t>就本项目的报价进行磋商。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7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w:t>
            </w:r>
          </w:p>
        </w:tc>
        <w:tc>
          <w:tcPr>
            <w:tcW w:w="1620" w:type="dxa"/>
            <w:vAlign w:val="center"/>
          </w:tcPr>
          <w:p>
            <w:pPr>
              <w:spacing w:line="440" w:lineRule="exact"/>
              <w:jc w:val="center"/>
              <w:rPr>
                <w:rFonts w:ascii="宋体" w:hAnsi="宋体" w:cs="宋体"/>
                <w:color w:val="auto"/>
                <w:szCs w:val="21"/>
                <w:highlight w:val="none"/>
              </w:rPr>
            </w:pPr>
            <w:r>
              <w:rPr>
                <w:rFonts w:hint="eastAsia" w:ascii="宋体" w:hAnsi="宋体" w:cs="宋体"/>
                <w:color w:val="auto"/>
                <w:szCs w:val="21"/>
                <w:highlight w:val="none"/>
              </w:rPr>
              <w:t>11.1</w:t>
            </w:r>
          </w:p>
        </w:tc>
        <w:tc>
          <w:tcPr>
            <w:tcW w:w="7417" w:type="dxa"/>
            <w:vAlign w:val="center"/>
          </w:tcPr>
          <w:p>
            <w:pPr>
              <w:spacing w:line="360" w:lineRule="auto"/>
              <w:ind w:firstLine="405" w:firstLineChars="193"/>
              <w:rPr>
                <w:rFonts w:hint="eastAsia" w:ascii="宋体" w:hAnsi="宋体" w:cs="宋体"/>
                <w:color w:val="auto"/>
                <w:szCs w:val="21"/>
                <w:highlight w:val="none"/>
              </w:rPr>
            </w:pPr>
            <w:r>
              <w:rPr>
                <w:rFonts w:hint="eastAsia" w:ascii="宋体" w:hAnsi="宋体" w:cs="宋体"/>
                <w:color w:val="auto"/>
                <w:szCs w:val="21"/>
                <w:highlight w:val="none"/>
              </w:rPr>
              <w:t>付款方式：1.本项目服务费按土地增值税清算补缴入库金额3%计算,应支付金额不高于中标价的，成交供应商提交鉴证报告给清算项目主管税务机关审核并出具验收审核意见后，向采购人提交书面付款申请，并由采购方根据合同完成的项目清算清单，按服务费用90%计算给付，清算项目结束一年后，如无重大涉税事项（税务稽查、风险应对），支付服务费用的10%。</w:t>
            </w:r>
          </w:p>
          <w:p>
            <w:pPr>
              <w:spacing w:line="360" w:lineRule="auto"/>
              <w:ind w:firstLine="405" w:firstLineChars="193"/>
              <w:rPr>
                <w:rFonts w:hint="eastAsia" w:ascii="宋体" w:hAnsi="宋体" w:cs="宋体"/>
                <w:color w:val="auto"/>
                <w:szCs w:val="21"/>
                <w:highlight w:val="none"/>
              </w:rPr>
            </w:pPr>
            <w:r>
              <w:rPr>
                <w:rFonts w:hint="eastAsia" w:ascii="宋体" w:hAnsi="宋体" w:cs="宋体"/>
                <w:color w:val="auto"/>
                <w:szCs w:val="21"/>
                <w:highlight w:val="none"/>
              </w:rPr>
              <w:t>2.本项目服务费按土地增值税清算补缴入库金额3%计算不足3万元的，按约定和要求完成清算辅助审核项目的，按每个项目3万元支付服务费，请款条件及流程同上。</w:t>
            </w:r>
          </w:p>
          <w:p>
            <w:pPr>
              <w:spacing w:line="360" w:lineRule="auto"/>
              <w:ind w:firstLine="405" w:firstLineChars="193"/>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3.本项目服务费按土地增值税清算补缴入库金额3%计算应支付金额高于中标价的, 按中标价给付，请款条件及流程同上。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720" w:type="dxa"/>
            <w:vAlign w:val="center"/>
          </w:tcPr>
          <w:p>
            <w:pPr>
              <w:spacing w:line="44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w:t>
            </w:r>
          </w:p>
        </w:tc>
        <w:tc>
          <w:tcPr>
            <w:tcW w:w="1620" w:type="dxa"/>
            <w:vAlign w:val="center"/>
          </w:tcPr>
          <w:p>
            <w:pPr>
              <w:spacing w:line="44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12.1</w:t>
            </w:r>
          </w:p>
        </w:tc>
        <w:tc>
          <w:tcPr>
            <w:tcW w:w="7417" w:type="dxa"/>
            <w:vAlign w:val="center"/>
          </w:tcPr>
          <w:p>
            <w:pPr>
              <w:pStyle w:val="14"/>
              <w:snapToGrid w:val="0"/>
              <w:spacing w:line="320" w:lineRule="exact"/>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其他事项：</w:t>
            </w:r>
          </w:p>
          <w:p>
            <w:pPr>
              <w:pStyle w:val="14"/>
              <w:snapToGrid w:val="0"/>
              <w:spacing w:line="320" w:lineRule="exact"/>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桂平市政府采购合同融资政策告知函</w:t>
            </w:r>
          </w:p>
          <w:p>
            <w:pPr>
              <w:pStyle w:val="14"/>
              <w:snapToGrid w:val="0"/>
              <w:spacing w:line="320" w:lineRule="exact"/>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各政府采购供应商:</w:t>
            </w:r>
          </w:p>
          <w:p>
            <w:pPr>
              <w:pStyle w:val="14"/>
              <w:snapToGrid w:val="0"/>
              <w:spacing w:line="320" w:lineRule="exact"/>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欢迎贵公司参与桂平市政府采购活动!政府采购合同融资是政府加强与银行联动，支持中小微企业发展，针对参与政府采购活动的供应商融资难、融资贵问题推出的一项融资政策。贵公司若成为本次政府采购项目的中标成交供应商，可持政府采购合同向建设银行桂平支行申请信用贷款，单户最高可贷额度3000万元、办理“桂惠贷”后总融资成本可低至2.435％，全流程在线操作便捷。建设银行桂平支行作为目前桂平市唯一一家在政府采购云平台上线“政采贷”业务的金融机构，将根据当地政府采购合同融资工作相关要求，按照双方自愿的原则提供便捷、优惠的融资服务。详情咨询建设银行桂平支行覃经理，咨询电话：0775-3383361；13768559451。</w:t>
            </w:r>
          </w:p>
          <w:p>
            <w:pPr>
              <w:autoSpaceDE w:val="0"/>
              <w:autoSpaceDN w:val="0"/>
              <w:snapToGrid w:val="0"/>
              <w:spacing w:line="360" w:lineRule="auto"/>
              <w:textAlignment w:val="bottom"/>
              <w:rPr>
                <w:rFonts w:hint="eastAsia" w:ascii="宋体" w:hAnsi="宋体" w:cs="宋体"/>
                <w:color w:val="auto"/>
                <w:szCs w:val="21"/>
                <w:highlight w:val="none"/>
              </w:rPr>
            </w:pPr>
            <w:r>
              <w:rPr>
                <w:rFonts w:hint="eastAsia" w:ascii="Times New Roman" w:hAnsi="Times New Roman" w:eastAsia="宋体" w:cs="Times New Roman"/>
                <w:color w:val="auto"/>
                <w:kern w:val="2"/>
                <w:sz w:val="21"/>
                <w:szCs w:val="24"/>
                <w:highlight w:val="none"/>
                <w:lang w:val="en-US" w:eastAsia="zh-CN" w:bidi="ar-SA"/>
              </w:rPr>
              <w:t>桂平市财政局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720" w:type="dxa"/>
            <w:vAlign w:val="center"/>
          </w:tcPr>
          <w:p>
            <w:pPr>
              <w:spacing w:line="44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13</w:t>
            </w:r>
          </w:p>
        </w:tc>
        <w:tc>
          <w:tcPr>
            <w:tcW w:w="1620" w:type="dxa"/>
            <w:vAlign w:val="center"/>
          </w:tcPr>
          <w:p>
            <w:pPr>
              <w:spacing w:line="44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13.1</w:t>
            </w:r>
          </w:p>
        </w:tc>
        <w:tc>
          <w:tcPr>
            <w:tcW w:w="7417" w:type="dxa"/>
            <w:vAlign w:val="center"/>
          </w:tcPr>
          <w:p>
            <w:pPr>
              <w:spacing w:line="360" w:lineRule="auto"/>
              <w:rPr>
                <w:rFonts w:hint="eastAsia" w:ascii="宋体" w:hAnsi="宋体"/>
                <w:bCs/>
                <w:color w:val="auto"/>
                <w:szCs w:val="21"/>
                <w:highlight w:val="none"/>
                <w:lang w:val="en-US" w:eastAsia="zh-CN"/>
              </w:rPr>
            </w:pPr>
            <w:r>
              <w:rPr>
                <w:rFonts w:hint="eastAsia" w:ascii="宋体" w:hAnsi="宋体"/>
                <w:bCs/>
                <w:color w:val="auto"/>
                <w:szCs w:val="21"/>
                <w:highlight w:val="none"/>
                <w:lang w:val="en-US" w:eastAsia="zh-CN"/>
              </w:rPr>
              <w:t>中小企业预留份额:</w:t>
            </w:r>
          </w:p>
          <w:p>
            <w:pPr>
              <w:spacing w:line="360" w:lineRule="auto"/>
              <w:rPr>
                <w:rFonts w:hint="default" w:ascii="宋体" w:hAnsi="宋体"/>
                <w:bCs/>
                <w:color w:val="auto"/>
                <w:szCs w:val="21"/>
                <w:highlight w:val="none"/>
                <w:lang w:val="en-US" w:eastAsia="zh-CN"/>
              </w:rPr>
            </w:pPr>
            <w:r>
              <w:rPr>
                <w:rFonts w:hint="eastAsia" w:ascii="宋体" w:hAnsi="宋体"/>
                <w:bCs/>
                <w:color w:val="auto"/>
                <w:szCs w:val="21"/>
                <w:highlight w:val="none"/>
                <w:lang w:val="en-US" w:eastAsia="zh-CN"/>
              </w:rPr>
              <w:t>专门面向中小企业预留份额:100%</w:t>
            </w:r>
          </w:p>
          <w:p>
            <w:pPr>
              <w:spacing w:line="360" w:lineRule="auto"/>
              <w:rPr>
                <w:rFonts w:hint="default"/>
                <w:color w:val="auto"/>
                <w:highlight w:val="none"/>
                <w:lang w:val="en-US" w:eastAsia="zh-CN"/>
              </w:rPr>
            </w:pPr>
            <w:r>
              <w:rPr>
                <w:rFonts w:hint="default" w:ascii="宋体" w:hAnsi="宋体"/>
                <w:bCs/>
                <w:color w:val="auto"/>
                <w:szCs w:val="21"/>
                <w:highlight w:val="none"/>
                <w:lang w:val="en-US" w:eastAsia="zh-CN"/>
              </w:rPr>
              <w:t>其中，专门面向小微企业预留份额</w:t>
            </w:r>
            <w:r>
              <w:rPr>
                <w:rFonts w:hint="eastAsia" w:ascii="宋体" w:hAnsi="宋体"/>
                <w:bCs/>
                <w:color w:val="auto"/>
                <w:szCs w:val="21"/>
                <w:highlight w:val="none"/>
                <w:lang w:val="en-US" w:eastAsia="zh-CN"/>
              </w:rPr>
              <w:t>:100%</w:t>
            </w:r>
          </w:p>
        </w:tc>
      </w:tr>
    </w:tbl>
    <w:p>
      <w:pPr>
        <w:widowControl/>
        <w:jc w:val="left"/>
        <w:rPr>
          <w:rFonts w:ascii="宋体" w:hAnsi="宋体" w:cs="宋体"/>
          <w:b/>
          <w:bCs/>
          <w:color w:val="auto"/>
          <w:szCs w:val="21"/>
          <w:highlight w:val="none"/>
        </w:rPr>
      </w:pPr>
    </w:p>
    <w:p>
      <w:pPr>
        <w:tabs>
          <w:tab w:val="left" w:pos="0"/>
        </w:tabs>
        <w:spacing w:line="350" w:lineRule="exact"/>
        <w:ind w:left="211" w:hanging="211" w:hangingChars="100"/>
        <w:jc w:val="left"/>
        <w:rPr>
          <w:rFonts w:ascii="宋体" w:hAnsi="宋体" w:cs="宋体"/>
          <w:b/>
          <w:bCs/>
          <w:color w:val="auto"/>
          <w:kern w:val="44"/>
          <w:szCs w:val="21"/>
          <w:highlight w:val="none"/>
        </w:rPr>
      </w:pPr>
      <w:r>
        <w:rPr>
          <w:rFonts w:hint="eastAsia" w:ascii="宋体" w:hAnsi="宋体" w:cs="宋体"/>
          <w:b/>
          <w:bCs/>
          <w:color w:val="auto"/>
          <w:kern w:val="44"/>
          <w:szCs w:val="21"/>
          <w:highlight w:val="none"/>
        </w:rPr>
        <w:t>一、说明</w:t>
      </w:r>
    </w:p>
    <w:p>
      <w:pPr>
        <w:pStyle w:val="6"/>
        <w:rPr>
          <w:color w:val="auto"/>
          <w:highlight w:val="none"/>
        </w:rPr>
      </w:pPr>
    </w:p>
    <w:p>
      <w:pPr>
        <w:tabs>
          <w:tab w:val="left" w:pos="0"/>
        </w:tabs>
        <w:spacing w:line="350" w:lineRule="exact"/>
        <w:ind w:left="211" w:hanging="211" w:hangingChars="100"/>
        <w:rPr>
          <w:rFonts w:ascii="宋体" w:hAnsi="宋体" w:cs="宋体"/>
          <w:b/>
          <w:bCs/>
          <w:color w:val="auto"/>
          <w:szCs w:val="21"/>
          <w:highlight w:val="none"/>
        </w:rPr>
      </w:pPr>
      <w:r>
        <w:rPr>
          <w:rFonts w:hint="eastAsia" w:ascii="宋体" w:hAnsi="宋体" w:cs="宋体"/>
          <w:b/>
          <w:bCs/>
          <w:color w:val="auto"/>
          <w:szCs w:val="21"/>
          <w:highlight w:val="none"/>
        </w:rPr>
        <w:t>1.合格供应商的范围</w:t>
      </w:r>
    </w:p>
    <w:p>
      <w:pPr>
        <w:pStyle w:val="15"/>
        <w:ind w:left="0" w:leftChars="0" w:firstLine="480" w:firstLineChars="200"/>
        <w:rPr>
          <w:color w:val="auto"/>
          <w:highlight w:val="none"/>
        </w:rPr>
      </w:pPr>
    </w:p>
    <w:p>
      <w:pPr>
        <w:pStyle w:val="12"/>
        <w:ind w:firstLine="367" w:firstLineChars="175"/>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1.1满足《中华人民共和国政府采购法》第二十二条规定；</w:t>
      </w:r>
    </w:p>
    <w:p>
      <w:pPr>
        <w:pStyle w:val="12"/>
        <w:ind w:firstLine="367" w:firstLineChars="175"/>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1.2落实政府采购政策需满足的资格要求：/</w:t>
      </w:r>
    </w:p>
    <w:p>
      <w:pPr>
        <w:pStyle w:val="12"/>
        <w:ind w:firstLine="367" w:firstLineChars="175"/>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1.3本项目的特定资格要求：</w:t>
      </w:r>
    </w:p>
    <w:p>
      <w:pPr>
        <w:pStyle w:val="12"/>
        <w:ind w:firstLine="367" w:firstLineChars="175"/>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（1）国内注册（指按国家有关规定要求注册的），经营本次采购服务，并在人员、设备、资金、专业技术能力等方面具有相应的能力，且具备独立法人资格的供应商；</w:t>
      </w:r>
    </w:p>
    <w:p>
      <w:pPr>
        <w:pStyle w:val="12"/>
        <w:ind w:firstLine="367" w:firstLineChars="175"/>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12"/>
        <w:ind w:firstLine="367" w:firstLineChars="175"/>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2"/>
        <w:ind w:firstLine="367" w:firstLineChars="175"/>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（4）本项目不接受联合体投标，不允许分包。</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2.定义</w:t>
      </w:r>
    </w:p>
    <w:p>
      <w:pPr>
        <w:pStyle w:val="12"/>
        <w:ind w:firstLine="367" w:firstLineChars="175"/>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2.1 竞争性磋商采购人：是指获得资金、贷款的国家机关、企事业单位或者其他社会组织。本项目竞争性磋商采购人特指：桂平市财政局。</w:t>
      </w:r>
    </w:p>
    <w:p>
      <w:pPr>
        <w:pStyle w:val="12"/>
        <w:ind w:firstLine="367" w:firstLineChars="175"/>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2.2 竞争性磋商采购代理机构：竞争性磋商采购代理机构是指依法取得采购代理资格、从事竞争性磋商采购代理业务并提供相关服务的专门机构。本竞争性磋商文件的竞争性磋商采购代理机构特指：广西宝盛工程咨询有限公司 。</w:t>
      </w:r>
    </w:p>
    <w:p>
      <w:pPr>
        <w:pStyle w:val="12"/>
        <w:ind w:firstLine="367" w:firstLineChars="175"/>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2.3服务：指供应商完全响应竞争性磋商文件要求的全部服务。</w:t>
      </w:r>
    </w:p>
    <w:p>
      <w:pPr>
        <w:pStyle w:val="12"/>
        <w:ind w:firstLine="367" w:firstLineChars="175"/>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2.4 供应商：指已经报名，且响应竞争性磋商文件、参加竞争性磋商的国内从事本次服务采购项目的法人单位或其他组织。</w:t>
      </w:r>
    </w:p>
    <w:p>
      <w:pPr>
        <w:pStyle w:val="12"/>
        <w:ind w:firstLine="367" w:firstLineChars="175"/>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 日期：如无特别说明，均指公历日。</w:t>
      </w:r>
    </w:p>
    <w:p>
      <w:pPr>
        <w:pStyle w:val="12"/>
        <w:ind w:firstLine="367" w:firstLineChars="175"/>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2.6 合同：指采购人与成交供应商双方按合同格式签署的书面协议，包括所有的附件、附录及双方认可的其它相关书面文件。</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 xml:space="preserve"> 3.竞争性磋商采购费用</w:t>
      </w:r>
    </w:p>
    <w:p>
      <w:pPr>
        <w:pStyle w:val="12"/>
        <w:ind w:firstLine="367" w:firstLineChars="175"/>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3.1 供应商自行承担本项目竞争性磋商采购期间所有相关费用。</w:t>
      </w:r>
    </w:p>
    <w:p>
      <w:pPr>
        <w:pStyle w:val="4"/>
        <w:jc w:val="left"/>
        <w:rPr>
          <w:rFonts w:ascii="宋体" w:hAnsi="宋体" w:eastAsia="宋体" w:cs="宋体"/>
          <w:color w:val="auto"/>
          <w:sz w:val="21"/>
          <w:szCs w:val="21"/>
          <w:highlight w:val="none"/>
        </w:rPr>
      </w:pPr>
      <w:bookmarkStart w:id="44" w:name="_Toc13947"/>
      <w:bookmarkStart w:id="45" w:name="_Toc27476"/>
      <w:bookmarkStart w:id="46" w:name="_Toc475717130"/>
      <w:bookmarkStart w:id="47" w:name="_Toc10870"/>
      <w:r>
        <w:rPr>
          <w:rFonts w:hint="eastAsia" w:ascii="宋体" w:hAnsi="宋体" w:eastAsia="宋体" w:cs="宋体"/>
          <w:color w:val="auto"/>
          <w:sz w:val="21"/>
          <w:szCs w:val="21"/>
          <w:highlight w:val="none"/>
        </w:rPr>
        <w:t>二、竞争性磋商文件</w:t>
      </w:r>
      <w:bookmarkEnd w:id="44"/>
      <w:bookmarkEnd w:id="45"/>
      <w:bookmarkEnd w:id="46"/>
      <w:bookmarkEnd w:id="47"/>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4.本竞争性磋商文件用以阐明竞争性磋商采购需求、竞争性磋商采购程序和合同条款等内容。本竞争性磋商文件由下述部分组成：</w:t>
      </w:r>
    </w:p>
    <w:p>
      <w:pPr>
        <w:pStyle w:val="12"/>
        <w:ind w:firstLine="560" w:firstLineChars="175"/>
        <w:rPr>
          <w:rFonts w:ascii="宋体" w:hAnsi="宋体" w:eastAsia="宋体" w:cs="宋体"/>
          <w:bCs/>
          <w:color w:val="auto"/>
          <w:sz w:val="21"/>
          <w:szCs w:val="21"/>
          <w:highlight w:val="none"/>
        </w:rPr>
      </w:pPr>
      <w:r>
        <w:rPr>
          <w:color w:val="auto"/>
          <w:highlight w:val="none"/>
        </w:rPr>
        <w:fldChar w:fldCharType="begin"/>
      </w:r>
      <w:r>
        <w:rPr>
          <w:color w:val="auto"/>
          <w:highlight w:val="none"/>
        </w:rPr>
        <w:instrText xml:space="preserve"> HYPERLINK \l "_Toc16778" </w:instrText>
      </w:r>
      <w:r>
        <w:rPr>
          <w:color w:val="auto"/>
          <w:highlight w:val="none"/>
        </w:rPr>
        <w:fldChar w:fldCharType="separate"/>
      </w:r>
      <w:r>
        <w:rPr>
          <w:rFonts w:hint="eastAsia" w:ascii="宋体" w:hAnsi="宋体" w:eastAsia="宋体" w:cs="宋体"/>
          <w:bCs/>
          <w:color w:val="auto"/>
          <w:sz w:val="21"/>
          <w:szCs w:val="21"/>
          <w:highlight w:val="none"/>
        </w:rPr>
        <w:t>第一章 竞</w:t>
      </w:r>
      <w:bookmarkStart w:id="48" w:name="_Hlt472629297"/>
      <w:r>
        <w:rPr>
          <w:rFonts w:hint="eastAsia" w:ascii="宋体" w:hAnsi="宋体" w:eastAsia="宋体" w:cs="宋体"/>
          <w:bCs/>
          <w:color w:val="auto"/>
          <w:sz w:val="21"/>
          <w:szCs w:val="21"/>
          <w:highlight w:val="none"/>
        </w:rPr>
        <w:t>争</w:t>
      </w:r>
      <w:bookmarkEnd w:id="48"/>
      <w:r>
        <w:rPr>
          <w:rFonts w:hint="eastAsia" w:ascii="宋体" w:hAnsi="宋体" w:eastAsia="宋体" w:cs="宋体"/>
          <w:bCs/>
          <w:color w:val="auto"/>
          <w:sz w:val="21"/>
          <w:szCs w:val="21"/>
          <w:highlight w:val="none"/>
        </w:rPr>
        <w:t>性磋商公告</w:t>
      </w:r>
      <w:r>
        <w:rPr>
          <w:rFonts w:hint="eastAsia" w:ascii="宋体" w:hAnsi="宋体" w:eastAsia="宋体" w:cs="宋体"/>
          <w:bCs/>
          <w:color w:val="auto"/>
          <w:sz w:val="21"/>
          <w:szCs w:val="21"/>
          <w:highlight w:val="none"/>
        </w:rPr>
        <w:fldChar w:fldCharType="end"/>
      </w:r>
    </w:p>
    <w:p>
      <w:pPr>
        <w:pStyle w:val="12"/>
        <w:ind w:firstLine="560" w:firstLineChars="175"/>
        <w:rPr>
          <w:rFonts w:ascii="宋体" w:hAnsi="宋体" w:eastAsia="宋体" w:cs="宋体"/>
          <w:bCs/>
          <w:color w:val="auto"/>
          <w:sz w:val="21"/>
          <w:szCs w:val="21"/>
          <w:highlight w:val="none"/>
        </w:rPr>
      </w:pPr>
      <w:r>
        <w:rPr>
          <w:color w:val="auto"/>
          <w:highlight w:val="none"/>
        </w:rPr>
        <w:fldChar w:fldCharType="begin"/>
      </w:r>
      <w:r>
        <w:rPr>
          <w:color w:val="auto"/>
          <w:highlight w:val="none"/>
        </w:rPr>
        <w:instrText xml:space="preserve"> HYPERLINK \l "_Toc11988" </w:instrText>
      </w:r>
      <w:r>
        <w:rPr>
          <w:color w:val="auto"/>
          <w:highlight w:val="none"/>
        </w:rPr>
        <w:fldChar w:fldCharType="separate"/>
      </w:r>
      <w:r>
        <w:rPr>
          <w:rFonts w:hint="eastAsia" w:ascii="宋体" w:hAnsi="宋体" w:eastAsia="宋体" w:cs="宋体"/>
          <w:bCs/>
          <w:color w:val="auto"/>
          <w:sz w:val="21"/>
          <w:szCs w:val="21"/>
          <w:highlight w:val="none"/>
        </w:rPr>
        <w:t>第二章 供应商须知</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前附表</w:t>
      </w:r>
    </w:p>
    <w:p>
      <w:pPr>
        <w:pStyle w:val="12"/>
        <w:ind w:firstLine="560" w:firstLineChars="175"/>
        <w:rPr>
          <w:rFonts w:ascii="宋体" w:hAnsi="宋体" w:eastAsia="宋体" w:cs="宋体"/>
          <w:bCs/>
          <w:color w:val="auto"/>
          <w:sz w:val="21"/>
          <w:szCs w:val="21"/>
          <w:highlight w:val="none"/>
        </w:rPr>
      </w:pPr>
      <w:r>
        <w:rPr>
          <w:color w:val="auto"/>
          <w:highlight w:val="none"/>
        </w:rPr>
        <w:fldChar w:fldCharType="begin"/>
      </w:r>
      <w:r>
        <w:rPr>
          <w:color w:val="auto"/>
          <w:highlight w:val="none"/>
        </w:rPr>
        <w:instrText xml:space="preserve"> HYPERLINK \l "_Toc29377" </w:instrText>
      </w:r>
      <w:r>
        <w:rPr>
          <w:color w:val="auto"/>
          <w:highlight w:val="none"/>
        </w:rPr>
        <w:fldChar w:fldCharType="separate"/>
      </w:r>
      <w:r>
        <w:rPr>
          <w:rFonts w:hint="eastAsia" w:ascii="宋体" w:hAnsi="宋体" w:eastAsia="宋体" w:cs="宋体"/>
          <w:bCs/>
          <w:color w:val="auto"/>
          <w:sz w:val="21"/>
          <w:szCs w:val="21"/>
          <w:highlight w:val="none"/>
        </w:rPr>
        <w:t>第三章 服务需求表</w:t>
      </w:r>
      <w:r>
        <w:rPr>
          <w:rFonts w:hint="eastAsia" w:ascii="宋体" w:hAnsi="宋体" w:eastAsia="宋体" w:cs="宋体"/>
          <w:bCs/>
          <w:color w:val="auto"/>
          <w:sz w:val="21"/>
          <w:szCs w:val="21"/>
          <w:highlight w:val="none"/>
        </w:rPr>
        <w:fldChar w:fldCharType="end"/>
      </w:r>
    </w:p>
    <w:p>
      <w:pPr>
        <w:pStyle w:val="12"/>
        <w:ind w:firstLine="560" w:firstLineChars="175"/>
        <w:rPr>
          <w:rFonts w:ascii="宋体" w:hAnsi="宋体" w:eastAsia="宋体" w:cs="宋体"/>
          <w:bCs/>
          <w:color w:val="auto"/>
          <w:sz w:val="21"/>
          <w:szCs w:val="21"/>
          <w:highlight w:val="none"/>
        </w:rPr>
      </w:pPr>
      <w:r>
        <w:rPr>
          <w:color w:val="auto"/>
          <w:highlight w:val="none"/>
        </w:rPr>
        <w:fldChar w:fldCharType="begin"/>
      </w:r>
      <w:r>
        <w:rPr>
          <w:color w:val="auto"/>
          <w:highlight w:val="none"/>
        </w:rPr>
        <w:instrText xml:space="preserve"> HYPERLINK \l "_Toc15448" </w:instrText>
      </w:r>
      <w:r>
        <w:rPr>
          <w:color w:val="auto"/>
          <w:highlight w:val="none"/>
        </w:rPr>
        <w:fldChar w:fldCharType="separate"/>
      </w:r>
      <w:r>
        <w:rPr>
          <w:rFonts w:hint="eastAsia" w:ascii="宋体" w:hAnsi="宋体" w:eastAsia="宋体" w:cs="宋体"/>
          <w:bCs/>
          <w:color w:val="auto"/>
          <w:sz w:val="21"/>
          <w:szCs w:val="21"/>
          <w:highlight w:val="none"/>
        </w:rPr>
        <w:t xml:space="preserve">第四章 </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评标办法及评审标准</w:t>
      </w:r>
    </w:p>
    <w:p>
      <w:pPr>
        <w:pStyle w:val="12"/>
        <w:ind w:firstLine="560" w:firstLineChars="175"/>
        <w:rPr>
          <w:rFonts w:ascii="宋体" w:hAnsi="宋体" w:eastAsia="宋体" w:cs="宋体"/>
          <w:bCs/>
          <w:color w:val="auto"/>
          <w:sz w:val="21"/>
          <w:szCs w:val="21"/>
          <w:highlight w:val="none"/>
        </w:rPr>
      </w:pPr>
      <w:r>
        <w:rPr>
          <w:color w:val="auto"/>
          <w:highlight w:val="none"/>
        </w:rPr>
        <w:fldChar w:fldCharType="begin"/>
      </w:r>
      <w:r>
        <w:rPr>
          <w:color w:val="auto"/>
          <w:highlight w:val="none"/>
        </w:rPr>
        <w:instrText xml:space="preserve"> HYPERLINK \l "_Toc3100" </w:instrText>
      </w:r>
      <w:r>
        <w:rPr>
          <w:color w:val="auto"/>
          <w:highlight w:val="none"/>
        </w:rPr>
        <w:fldChar w:fldCharType="separate"/>
      </w:r>
      <w:r>
        <w:rPr>
          <w:rFonts w:hint="eastAsia" w:ascii="宋体" w:hAnsi="宋体" w:eastAsia="宋体" w:cs="宋体"/>
          <w:bCs/>
          <w:color w:val="auto"/>
          <w:sz w:val="21"/>
          <w:szCs w:val="21"/>
          <w:highlight w:val="none"/>
        </w:rPr>
        <w:t>第五章　</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响应文件格式</w:t>
      </w:r>
    </w:p>
    <w:p>
      <w:pPr>
        <w:pStyle w:val="12"/>
        <w:ind w:firstLine="560" w:firstLineChars="175"/>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"_Toc15646" </w:instrText>
      </w:r>
      <w:r>
        <w:rPr>
          <w:color w:val="auto"/>
          <w:highlight w:val="none"/>
        </w:rPr>
        <w:fldChar w:fldCharType="separate"/>
      </w:r>
      <w:r>
        <w:rPr>
          <w:rFonts w:hint="eastAsia" w:ascii="宋体" w:hAnsi="宋体" w:eastAsia="宋体" w:cs="宋体"/>
          <w:bCs/>
          <w:color w:val="auto"/>
          <w:sz w:val="21"/>
          <w:szCs w:val="21"/>
          <w:highlight w:val="none"/>
        </w:rPr>
        <w:t>第六章  合同条款格式</w:t>
      </w:r>
      <w:r>
        <w:rPr>
          <w:rFonts w:hint="eastAsia" w:ascii="宋体" w:hAnsi="宋体" w:eastAsia="宋体" w:cs="宋体"/>
          <w:bCs/>
          <w:color w:val="auto"/>
          <w:sz w:val="21"/>
          <w:szCs w:val="21"/>
          <w:highlight w:val="none"/>
        </w:rPr>
        <w:fldChar w:fldCharType="end"/>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5.供应商应仔细阅读竞争性磋商文件的所有内容，按竞争性磋商文件的要求提供响应文件，并保证所提供的全部资料的真实性，以使其响应文件对竞争性磋商文件做出实质性响应，否则，其竞争性磋商被拒绝。</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6.竞争性磋商文件的澄清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6.1供应商获取竞争性磋商文件后，应仔细阅读竞争性磋商文件的全部内容，若发现竞争性磋商文件缺页或附件不全以及有违反国家法律、法规、规章的条款，应及时向采购人、采购代理机构提出。若对竞争性磋商文件有疑问需要澄清，应当在本竞争性磋商文件规定的提交响应文件截止时间</w:t>
      </w:r>
      <w:r>
        <w:rPr>
          <w:rFonts w:hint="eastAsia" w:ascii="宋体" w:hAnsi="宋体" w:cs="宋体"/>
          <w:color w:val="auto"/>
          <w:szCs w:val="21"/>
          <w:highlight w:val="none"/>
          <w:u w:val="single"/>
        </w:rPr>
        <w:t xml:space="preserve">  5 </w:t>
      </w:r>
      <w:r>
        <w:rPr>
          <w:rFonts w:hint="eastAsia" w:ascii="宋体" w:hAnsi="宋体" w:cs="宋体"/>
          <w:color w:val="auto"/>
          <w:szCs w:val="21"/>
          <w:highlight w:val="none"/>
        </w:rPr>
        <w:t>天（日历天）前以书面形式递交给采购人、采购代理机构。采购人、采购代理机构将在竞争性磋商文件规定的提交响应文件截止时间</w:t>
      </w:r>
      <w:r>
        <w:rPr>
          <w:rFonts w:hint="eastAsia" w:ascii="宋体" w:hAnsi="宋体" w:cs="宋体"/>
          <w:color w:val="auto"/>
          <w:szCs w:val="21"/>
          <w:highlight w:val="none"/>
          <w:u w:val="single"/>
        </w:rPr>
        <w:t xml:space="preserve"> 5</w:t>
      </w:r>
      <w:r>
        <w:rPr>
          <w:rFonts w:hint="eastAsia" w:ascii="宋体" w:hAnsi="宋体" w:cs="宋体"/>
          <w:color w:val="auto"/>
          <w:szCs w:val="21"/>
          <w:highlight w:val="none"/>
        </w:rPr>
        <w:t>天（日历天）前，将需澄清内容以书面形式通知所有供应商，但不指明澄清问题的来源。供应商收到澄清内容后，应在</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天（日历天）内以书面形式通知采购人、采购代理机构，确认收到该澄清函</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6.2澄清或者修改的内容可能影响响应文件编制的，采购人、采购代理机构应当在提交首次响应文件截止时间至少5天（日历天）前，以书面形式通知所有获取磋商文件的供应商；不足5天（日历天）的，采购人、采购代理机构应当顺延提交首次响应文件截止时间。</w:t>
      </w:r>
    </w:p>
    <w:p>
      <w:pPr>
        <w:spacing w:line="360" w:lineRule="auto"/>
        <w:ind w:left="211" w:hanging="211" w:hangingChars="100"/>
        <w:rPr>
          <w:rFonts w:ascii="宋体" w:hAnsi="宋体" w:cs="宋体"/>
          <w:b/>
          <w:bCs/>
          <w:color w:val="auto"/>
          <w:szCs w:val="21"/>
          <w:highlight w:val="none"/>
        </w:rPr>
      </w:pPr>
      <w:r>
        <w:rPr>
          <w:rFonts w:hint="eastAsia" w:ascii="宋体" w:hAnsi="宋体" w:cs="宋体"/>
          <w:b/>
          <w:bCs/>
          <w:color w:val="auto"/>
          <w:szCs w:val="21"/>
          <w:highlight w:val="none"/>
        </w:rPr>
        <w:t>7.竞争性磋商文件的修改</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7.1 在竞争性磋商采购截止时间前，采购人可对文件中认为表述不清的内容或对采购人所提问题进行澄清，届时可对竞争性磋商文件用补充文件的方式进行修改。</w:t>
      </w:r>
    </w:p>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7.2 对竞争性磋商文件的澄清或者修改，将以书面等形式通知</w:t>
      </w:r>
      <w:r>
        <w:rPr>
          <w:rFonts w:hint="eastAsia" w:ascii="宋体" w:hAnsi="宋体"/>
          <w:color w:val="auto"/>
          <w:szCs w:val="21"/>
          <w:highlight w:val="none"/>
        </w:rPr>
        <w:t>所有获取磋商文件的供应商</w:t>
      </w:r>
      <w:r>
        <w:rPr>
          <w:rFonts w:hint="eastAsia" w:ascii="宋体" w:hAnsi="宋体" w:cs="宋体"/>
          <w:color w:val="auto"/>
          <w:szCs w:val="21"/>
          <w:highlight w:val="none"/>
        </w:rPr>
        <w:t>，并在原公告发布媒体上发布更正公告。竞争性磋商文件的补充、修改和澄清将作为竞争性磋商文件的组成部分，对所有供应商均有约束力。</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8.供应商应仔细阅读本竞争性磋商文件的所有内容，并按本竞争性磋商文件的要求编制响应文件。</w:t>
      </w:r>
    </w:p>
    <w:p>
      <w:pPr>
        <w:pStyle w:val="4"/>
        <w:rPr>
          <w:rFonts w:ascii="宋体" w:hAnsi="宋体" w:eastAsia="宋体" w:cs="宋体"/>
          <w:color w:val="auto"/>
          <w:sz w:val="21"/>
          <w:szCs w:val="21"/>
          <w:highlight w:val="none"/>
        </w:rPr>
      </w:pPr>
      <w:bookmarkStart w:id="49" w:name="_Toc17051"/>
      <w:bookmarkStart w:id="50" w:name="_Toc475717131"/>
      <w:bookmarkStart w:id="51" w:name="_Toc353"/>
      <w:bookmarkStart w:id="52" w:name="_Toc29280"/>
      <w:r>
        <w:rPr>
          <w:rFonts w:hint="eastAsia" w:ascii="宋体" w:hAnsi="宋体" w:eastAsia="宋体" w:cs="宋体"/>
          <w:color w:val="auto"/>
          <w:sz w:val="21"/>
          <w:szCs w:val="21"/>
          <w:highlight w:val="none"/>
        </w:rPr>
        <w:t>三、响应文件编制说明</w:t>
      </w:r>
      <w:bookmarkEnd w:id="49"/>
      <w:bookmarkEnd w:id="50"/>
      <w:bookmarkEnd w:id="51"/>
      <w:bookmarkEnd w:id="52"/>
    </w:p>
    <w:p>
      <w:pPr>
        <w:spacing w:line="440" w:lineRule="exact"/>
        <w:ind w:firstLine="360"/>
        <w:rPr>
          <w:rFonts w:ascii="宋体" w:hAnsi="宋体"/>
          <w:color w:val="auto"/>
          <w:szCs w:val="21"/>
          <w:highlight w:val="none"/>
        </w:rPr>
      </w:pPr>
      <w:r>
        <w:rPr>
          <w:rFonts w:hint="eastAsia" w:ascii="宋体" w:hAnsi="宋体"/>
          <w:color w:val="auto"/>
          <w:szCs w:val="21"/>
          <w:highlight w:val="none"/>
        </w:rPr>
        <w:t>9.本项目实行电子投标，供应商应准备电子磋商响应文件：</w:t>
      </w:r>
    </w:p>
    <w:p>
      <w:pPr>
        <w:spacing w:line="440" w:lineRule="exact"/>
        <w:ind w:firstLine="360"/>
        <w:rPr>
          <w:rFonts w:ascii="宋体" w:hAnsi="宋体"/>
          <w:color w:val="auto"/>
          <w:szCs w:val="21"/>
          <w:highlight w:val="none"/>
        </w:rPr>
      </w:pPr>
      <w:r>
        <w:rPr>
          <w:rFonts w:hint="eastAsia" w:ascii="宋体" w:hAnsi="宋体"/>
          <w:color w:val="auto"/>
          <w:szCs w:val="21"/>
          <w:highlight w:val="none"/>
        </w:rPr>
        <w:t>9.1.1电子响应文件按政采云平台要求及本竞争性磋商文件要求制作、加密并递交。具体操作流程可参考《政府采购项目电子交易管理操作指南-供应商》，指南可在“http://www.ccgp-guangxi.gov.cn/PurchaseAdvisory/ImportantNotice/2866753.html”下载。</w:t>
      </w:r>
    </w:p>
    <w:p>
      <w:pPr>
        <w:spacing w:line="440" w:lineRule="exact"/>
        <w:ind w:firstLine="360"/>
        <w:rPr>
          <w:rFonts w:ascii="宋体" w:hAnsi="宋体"/>
          <w:color w:val="auto"/>
          <w:szCs w:val="21"/>
          <w:highlight w:val="none"/>
        </w:rPr>
      </w:pPr>
      <w:r>
        <w:rPr>
          <w:rFonts w:hint="eastAsia" w:ascii="宋体" w:hAnsi="宋体"/>
          <w:color w:val="auto"/>
          <w:szCs w:val="21"/>
          <w:highlight w:val="none"/>
        </w:rPr>
        <w:t>▲9.1.3磋商响应文件启用顺序和效力：磋商响应文件的启用，按先后顺位分别为电子磋商响应文件、电子备份磋商响应文件。若磋商供应商在规定时间内无法解密或解密失败，可以以电子备份磋商响应文件作为依据，若电子备份磋商响应文件与政采云平台上传的电子磋商响应文件被识别为不一致的，以电子备份磋商响应文件作为评审依据；磋商供应商按时在线解密响应文件的，以在线解密的响应文件作为评审依据。若磋商供应商在规定时间内无法解密或解密失败且未提供电子备份磋商响应文件的，视为响应文件撤回。</w:t>
      </w:r>
    </w:p>
    <w:p>
      <w:pPr>
        <w:spacing w:line="440" w:lineRule="exact"/>
        <w:ind w:firstLine="360"/>
        <w:rPr>
          <w:rFonts w:ascii="宋体" w:hAnsi="宋体"/>
          <w:color w:val="auto"/>
          <w:szCs w:val="21"/>
          <w:highlight w:val="none"/>
        </w:rPr>
      </w:pPr>
      <w:r>
        <w:rPr>
          <w:rFonts w:hint="eastAsia" w:ascii="宋体" w:hAnsi="宋体"/>
          <w:color w:val="auto"/>
          <w:szCs w:val="21"/>
          <w:highlight w:val="none"/>
        </w:rPr>
        <w:t>9.2供应商提交的竞争性磋商响应文件以及供应商与本公司和采购人就有关磋商的所有来往函电均应使用中文。供应商提交的支持文件和印刷的文献可以使用别的语言，但其相应内容必须附有中文翻译文本，在解释竞争性磋商响应文件时以翻译文本为主。</w:t>
      </w:r>
    </w:p>
    <w:p>
      <w:pPr>
        <w:spacing w:line="440" w:lineRule="exact"/>
        <w:ind w:firstLine="360"/>
        <w:rPr>
          <w:rFonts w:ascii="宋体" w:hAnsi="宋体"/>
          <w:color w:val="auto"/>
          <w:szCs w:val="21"/>
          <w:highlight w:val="none"/>
        </w:rPr>
      </w:pPr>
      <w:r>
        <w:rPr>
          <w:rFonts w:hint="eastAsia" w:ascii="宋体" w:hAnsi="宋体"/>
          <w:color w:val="auto"/>
          <w:szCs w:val="21"/>
          <w:highlight w:val="none"/>
        </w:rPr>
        <w:t>9.3供应商应认真阅读、并充分理解本文件的全部内容（包括所有的澄清、更改、补充、答疑等内容），承诺并履行本文件中各项条款规定及要求。</w:t>
      </w:r>
    </w:p>
    <w:p>
      <w:pPr>
        <w:spacing w:line="440" w:lineRule="exact"/>
        <w:ind w:firstLine="360"/>
        <w:rPr>
          <w:rFonts w:ascii="宋体" w:hAnsi="宋体"/>
          <w:color w:val="auto"/>
          <w:szCs w:val="21"/>
          <w:highlight w:val="none"/>
        </w:rPr>
      </w:pPr>
      <w:r>
        <w:rPr>
          <w:rFonts w:hint="eastAsia" w:ascii="宋体" w:hAnsi="宋体"/>
          <w:color w:val="auto"/>
          <w:szCs w:val="21"/>
          <w:highlight w:val="none"/>
        </w:rPr>
        <w:t>9.4竞争性磋商响应文件必须按本文件的全部内容，包括所有的澄清、更改、补充、答疑等内容及附件进行编制。</w:t>
      </w:r>
    </w:p>
    <w:p>
      <w:pPr>
        <w:spacing w:line="440" w:lineRule="exact"/>
        <w:ind w:firstLine="360"/>
        <w:rPr>
          <w:rFonts w:ascii="宋体" w:hAnsi="宋体"/>
          <w:color w:val="auto"/>
          <w:szCs w:val="21"/>
          <w:highlight w:val="none"/>
        </w:rPr>
      </w:pPr>
      <w:r>
        <w:rPr>
          <w:rFonts w:hint="eastAsia" w:ascii="宋体" w:hAnsi="宋体"/>
          <w:color w:val="auto"/>
          <w:szCs w:val="21"/>
          <w:highlight w:val="none"/>
        </w:rPr>
        <w:t>9.5如因供应商只填写和提供了本文件要求的部分内容和附件，而给磋商小组评审造成困难，其可能导致的结果和责任由供应商自行承担。</w:t>
      </w:r>
    </w:p>
    <w:p>
      <w:pPr>
        <w:spacing w:line="440" w:lineRule="exact"/>
        <w:ind w:firstLine="360"/>
        <w:rPr>
          <w:rFonts w:ascii="宋体" w:hAnsi="宋体"/>
          <w:color w:val="auto"/>
          <w:szCs w:val="21"/>
          <w:highlight w:val="none"/>
        </w:rPr>
      </w:pPr>
      <w:r>
        <w:rPr>
          <w:rFonts w:hint="eastAsia" w:ascii="宋体" w:hAnsi="宋体"/>
          <w:color w:val="auto"/>
          <w:szCs w:val="21"/>
          <w:highlight w:val="none"/>
        </w:rPr>
        <w:t xml:space="preserve">9.6竞争性磋商响应文件的组成：竞争性磋商响应文件应分为价格文件、资格文件、商务和技术文件三个部分组成。供应商应仔细阅读竞争性磋商文件的所有内容，按竞争性磋商文件的要求，详细编制磋商响应文件。 </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 xml:space="preserve">竞争性磋商响应文件应分为价格文件、资格文件、商务和技术文件三个部分组成 </w:t>
      </w:r>
    </w:p>
    <w:p>
      <w:pPr>
        <w:rPr>
          <w:color w:val="auto"/>
          <w:highlight w:val="none"/>
        </w:rPr>
      </w:pPr>
    </w:p>
    <w:p>
      <w:pPr>
        <w:numPr>
          <w:ilvl w:val="0"/>
          <w:numId w:val="4"/>
        </w:num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竞争性磋商文件语言及计量单位</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10.1与本次采购活动有关的文件和往来信件，均以中文书写。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10.2除在本竞争性磋商文件的技术规格中另有规定外，计量单位应使用中华人民共和国法定计量单位。</w:t>
      </w:r>
    </w:p>
    <w:p>
      <w:pPr>
        <w:spacing w:line="360" w:lineRule="auto"/>
        <w:rPr>
          <w:rFonts w:ascii="宋体" w:hAnsi="宋体" w:cs="宋体"/>
          <w:b/>
          <w:color w:val="auto"/>
          <w:szCs w:val="21"/>
          <w:highlight w:val="none"/>
        </w:rPr>
      </w:pPr>
      <w:r>
        <w:rPr>
          <w:rFonts w:hint="eastAsia" w:ascii="宋体" w:hAnsi="宋体" w:cs="宋体"/>
          <w:b/>
          <w:bCs/>
          <w:color w:val="auto"/>
          <w:szCs w:val="21"/>
          <w:highlight w:val="none"/>
        </w:rPr>
        <w:t>11.响应文件应包价格文件、资格文件、商务和技术文件三个部分：</w:t>
      </w:r>
    </w:p>
    <w:p>
      <w:pPr>
        <w:spacing w:line="360" w:lineRule="auto"/>
        <w:ind w:firstLine="105" w:firstLineChars="50"/>
        <w:rPr>
          <w:rFonts w:ascii="宋体" w:hAnsi="宋体" w:cs="宋体"/>
          <w:color w:val="auto"/>
          <w:szCs w:val="21"/>
          <w:highlight w:val="none"/>
        </w:rPr>
      </w:pPr>
      <w:r>
        <w:rPr>
          <w:rFonts w:hint="eastAsia" w:ascii="宋体" w:hAnsi="宋体" w:cs="宋体"/>
          <w:b/>
          <w:color w:val="auto"/>
          <w:szCs w:val="21"/>
          <w:highlight w:val="none"/>
        </w:rPr>
        <w:t>第一部分：</w:t>
      </w:r>
      <w:r>
        <w:rPr>
          <w:rFonts w:hint="eastAsia" w:ascii="宋体" w:hAnsi="宋体"/>
          <w:b/>
          <w:bCs/>
          <w:color w:val="auto"/>
          <w:szCs w:val="21"/>
          <w:highlight w:val="none"/>
          <w:lang w:eastAsia="zh-CN"/>
        </w:rPr>
        <w:t>价格</w:t>
      </w:r>
      <w:r>
        <w:rPr>
          <w:rFonts w:hint="eastAsia" w:ascii="宋体" w:hAnsi="宋体"/>
          <w:b/>
          <w:bCs/>
          <w:color w:val="auto"/>
          <w:szCs w:val="21"/>
          <w:highlight w:val="none"/>
        </w:rPr>
        <w:t>文件</w:t>
      </w:r>
      <w:r>
        <w:rPr>
          <w:rFonts w:hint="eastAsia" w:ascii="宋体" w:hAnsi="宋体" w:cs="宋体"/>
          <w:b/>
          <w:color w:val="auto"/>
          <w:szCs w:val="21"/>
          <w:highlight w:val="none"/>
        </w:rPr>
        <w:t>：</w:t>
      </w:r>
    </w:p>
    <w:p>
      <w:pPr>
        <w:pStyle w:val="12"/>
        <w:spacing w:line="360" w:lineRule="auto"/>
        <w:ind w:firstLine="210" w:firstLineChars="100"/>
        <w:rPr>
          <w:rFonts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 xml:space="preserve">（1）竞争性磋商响应书； （必须提供，加盖公章） </w:t>
      </w:r>
    </w:p>
    <w:p>
      <w:pPr>
        <w:pStyle w:val="12"/>
        <w:spacing w:line="360" w:lineRule="auto"/>
        <w:ind w:firstLine="210" w:firstLineChars="100"/>
        <w:rPr>
          <w:rFonts w:ascii="宋体" w:hAnsi="宋体" w:eastAsia="宋体" w:cs="宋体"/>
          <w:b/>
          <w:bCs/>
          <w:color w:val="auto"/>
          <w:sz w:val="21"/>
          <w:szCs w:val="21"/>
          <w:highlight w:val="none"/>
        </w:rPr>
      </w:pPr>
      <w:r>
        <w:rPr>
          <w:rFonts w:hint="eastAsia" w:ascii="宋体" w:hAnsi="宋体" w:eastAsia="宋体" w:cs="宋体"/>
          <w:b w:val="0"/>
          <w:bCs/>
          <w:color w:val="auto"/>
          <w:sz w:val="21"/>
          <w:szCs w:val="21"/>
          <w:highlight w:val="none"/>
          <w:lang w:eastAsia="zh-CN"/>
        </w:rPr>
        <w:t>（2）竞争性磋商报价表</w:t>
      </w:r>
      <w:r>
        <w:rPr>
          <w:rFonts w:hint="eastAsia" w:ascii="宋体" w:hAnsi="宋体" w:eastAsia="宋体" w:cs="宋体"/>
          <w:b w:val="0"/>
          <w:bCs/>
          <w:color w:val="auto"/>
          <w:sz w:val="21"/>
          <w:szCs w:val="21"/>
          <w:highlight w:val="none"/>
        </w:rPr>
        <w:t>；（必须提供，加盖公章）</w:t>
      </w:r>
      <w:r>
        <w:rPr>
          <w:rFonts w:hint="eastAsia" w:ascii="宋体" w:hAnsi="宋体" w:eastAsia="宋体" w:cs="宋体"/>
          <w:b/>
          <w:bCs/>
          <w:color w:val="auto"/>
          <w:sz w:val="21"/>
          <w:szCs w:val="21"/>
          <w:highlight w:val="none"/>
        </w:rPr>
        <w:t xml:space="preserve"> </w:t>
      </w:r>
    </w:p>
    <w:p>
      <w:pPr>
        <w:pStyle w:val="12"/>
        <w:spacing w:line="360" w:lineRule="auto"/>
        <w:ind w:firstLine="211" w:firstLineChars="1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第</w:t>
      </w:r>
      <w:r>
        <w:rPr>
          <w:rFonts w:hint="eastAsia" w:ascii="宋体" w:hAnsi="宋体" w:eastAsia="宋体" w:cs="宋体"/>
          <w:b/>
          <w:bCs/>
          <w:color w:val="auto"/>
          <w:sz w:val="21"/>
          <w:szCs w:val="21"/>
          <w:highlight w:val="none"/>
          <w:lang w:eastAsia="zh-CN"/>
        </w:rPr>
        <w:t>二</w:t>
      </w:r>
      <w:r>
        <w:rPr>
          <w:rFonts w:hint="eastAsia" w:ascii="宋体" w:hAnsi="宋体" w:eastAsia="宋体" w:cs="宋体"/>
          <w:b/>
          <w:bCs/>
          <w:color w:val="auto"/>
          <w:sz w:val="21"/>
          <w:szCs w:val="21"/>
          <w:highlight w:val="none"/>
        </w:rPr>
        <w:t>部分：资格证明文件；</w:t>
      </w:r>
    </w:p>
    <w:p>
      <w:pPr>
        <w:pStyle w:val="12"/>
        <w:spacing w:line="360" w:lineRule="auto"/>
        <w:ind w:left="0" w:leftChars="0" w:firstLine="0" w:firstLineChars="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（1）营业执照副本复印件；</w:t>
      </w:r>
      <w:r>
        <w:rPr>
          <w:rFonts w:hint="eastAsia" w:ascii="宋体" w:hAnsi="宋体" w:eastAsia="宋体" w:cs="宋体"/>
          <w:b/>
          <w:bCs/>
          <w:color w:val="auto"/>
          <w:sz w:val="21"/>
          <w:szCs w:val="21"/>
          <w:highlight w:val="none"/>
        </w:rPr>
        <w:t>（必须提供，加盖公章）</w:t>
      </w:r>
    </w:p>
    <w:p>
      <w:pPr>
        <w:pStyle w:val="12"/>
        <w:spacing w:line="360" w:lineRule="auto"/>
        <w:ind w:left="0" w:leftChars="0" w:firstLine="0" w:firstLineChars="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（2）法定代表人（负责人）身份证复印件；</w:t>
      </w:r>
      <w:r>
        <w:rPr>
          <w:rFonts w:hint="eastAsia" w:ascii="宋体" w:hAnsi="宋体" w:eastAsia="宋体" w:cs="宋体"/>
          <w:b/>
          <w:bCs/>
          <w:color w:val="auto"/>
          <w:sz w:val="21"/>
          <w:szCs w:val="21"/>
          <w:highlight w:val="none"/>
        </w:rPr>
        <w:t xml:space="preserve">（必须提供，加盖公章） </w:t>
      </w:r>
    </w:p>
    <w:p>
      <w:pPr>
        <w:pStyle w:val="12"/>
        <w:spacing w:line="360" w:lineRule="auto"/>
        <w:ind w:left="0" w:leftChars="0" w:firstLine="0" w:firstLineChars="0"/>
        <w:rPr>
          <w:rFonts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（3）法定代表人（负责人）授权书及委托代理人身份证正反面复印件；</w:t>
      </w:r>
      <w:r>
        <w:rPr>
          <w:rFonts w:hint="eastAsia" w:ascii="宋体" w:hAnsi="宋体" w:eastAsia="宋体" w:cs="宋体"/>
          <w:b/>
          <w:bCs/>
          <w:color w:val="auto"/>
          <w:sz w:val="21"/>
          <w:szCs w:val="21"/>
          <w:highlight w:val="none"/>
        </w:rPr>
        <w:t>（委托时必须提供，加盖公章）</w:t>
      </w:r>
    </w:p>
    <w:p>
      <w:pPr>
        <w:autoSpaceDE w:val="0"/>
        <w:autoSpaceDN w:val="0"/>
        <w:adjustRightInd w:val="0"/>
        <w:spacing w:line="360" w:lineRule="auto"/>
        <w:jc w:val="left"/>
        <w:rPr>
          <w:rFonts w:ascii="宋体" w:hAnsi="宋体" w:cs="宋体"/>
          <w:b/>
          <w:bCs/>
          <w:color w:val="auto"/>
          <w:szCs w:val="21"/>
          <w:highlight w:val="none"/>
        </w:rPr>
      </w:pPr>
      <w:r>
        <w:rPr>
          <w:rFonts w:hint="eastAsia" w:ascii="宋体" w:hAnsi="宋体" w:cs="宋体"/>
          <w:color w:val="auto"/>
          <w:szCs w:val="21"/>
          <w:highlight w:val="none"/>
        </w:rPr>
        <w:t>（4）桂平市政府采购项目投标资格承诺函</w:t>
      </w:r>
      <w:r>
        <w:rPr>
          <w:rFonts w:hint="eastAsia" w:ascii="宋体" w:hAnsi="宋体"/>
          <w:color w:val="auto"/>
          <w:szCs w:val="21"/>
          <w:highlight w:val="none"/>
        </w:rPr>
        <w:t>；</w:t>
      </w:r>
      <w:r>
        <w:rPr>
          <w:rFonts w:hint="eastAsia" w:ascii="宋体" w:hAnsi="宋体" w:cs="宋体"/>
          <w:b/>
          <w:bCs/>
          <w:color w:val="auto"/>
          <w:szCs w:val="21"/>
          <w:highlight w:val="none"/>
        </w:rPr>
        <w:t>（必须提供，加盖公章）</w:t>
      </w:r>
    </w:p>
    <w:p>
      <w:pPr>
        <w:pStyle w:val="6"/>
        <w:ind w:left="0" w:leftChars="0" w:firstLine="0" w:firstLineChars="0"/>
        <w:rPr>
          <w:rFonts w:hAnsi="宋体" w:cs="宋体"/>
          <w:b w:val="0"/>
          <w:color w:val="auto"/>
          <w:sz w:val="21"/>
          <w:szCs w:val="24"/>
          <w:highlight w:val="none"/>
        </w:rPr>
      </w:pPr>
      <w:r>
        <w:rPr>
          <w:rFonts w:hint="eastAsia" w:hAnsi="宋体" w:cs="宋体"/>
          <w:b w:val="0"/>
          <w:color w:val="auto"/>
          <w:kern w:val="2"/>
          <w:sz w:val="21"/>
          <w:szCs w:val="21"/>
          <w:highlight w:val="none"/>
        </w:rPr>
        <w:t>（5）其他</w:t>
      </w:r>
      <w:r>
        <w:rPr>
          <w:rFonts w:hAnsi="宋体" w:cs="宋体"/>
          <w:b w:val="0"/>
          <w:color w:val="auto"/>
          <w:sz w:val="21"/>
          <w:szCs w:val="24"/>
          <w:highlight w:val="none"/>
        </w:rPr>
        <w:t>有效证明文件的复印件。</w:t>
      </w:r>
    </w:p>
    <w:p>
      <w:pPr>
        <w:pStyle w:val="12"/>
        <w:spacing w:line="360" w:lineRule="auto"/>
        <w:ind w:firstLine="210" w:firstLineChars="1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注：资格证明文件要求必须提供的必须提供并加盖单位公章，否则会被视为资格审查不合格。</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第</w:t>
      </w:r>
      <w:r>
        <w:rPr>
          <w:rFonts w:hint="eastAsia" w:ascii="宋体" w:hAnsi="宋体" w:cs="宋体"/>
          <w:b/>
          <w:color w:val="auto"/>
          <w:szCs w:val="21"/>
          <w:highlight w:val="none"/>
          <w:lang w:eastAsia="zh-CN"/>
        </w:rPr>
        <w:t>三</w:t>
      </w:r>
      <w:r>
        <w:rPr>
          <w:rFonts w:hint="eastAsia" w:ascii="宋体" w:hAnsi="宋体" w:cs="宋体"/>
          <w:b/>
          <w:color w:val="auto"/>
          <w:szCs w:val="21"/>
          <w:highlight w:val="none"/>
        </w:rPr>
        <w:t>部分：</w:t>
      </w:r>
      <w:r>
        <w:rPr>
          <w:rFonts w:hint="eastAsia" w:ascii="宋体" w:hAnsi="宋体" w:cs="宋体"/>
          <w:b/>
          <w:bCs/>
          <w:color w:val="auto"/>
          <w:szCs w:val="21"/>
          <w:highlight w:val="none"/>
        </w:rPr>
        <w:t>商务和技术文件</w:t>
      </w:r>
      <w:r>
        <w:rPr>
          <w:rFonts w:hint="eastAsia" w:ascii="宋体" w:hAnsi="宋体" w:cs="宋体"/>
          <w:b/>
          <w:color w:val="auto"/>
          <w:szCs w:val="21"/>
          <w:highlight w:val="none"/>
        </w:rPr>
        <w:t>：</w:t>
      </w:r>
    </w:p>
    <w:p>
      <w:pPr>
        <w:autoSpaceDE w:val="0"/>
        <w:autoSpaceDN w:val="0"/>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（1）企业情况；</w:t>
      </w:r>
    </w:p>
    <w:p>
      <w:pPr>
        <w:autoSpaceDE w:val="0"/>
        <w:autoSpaceDN w:val="0"/>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（2）切实可行的服务方案</w:t>
      </w:r>
      <w:r>
        <w:rPr>
          <w:rFonts w:hint="eastAsia" w:ascii="宋体" w:hAnsi="宋体" w:cs="宋体"/>
          <w:color w:val="auto"/>
          <w:kern w:val="0"/>
          <w:szCs w:val="21"/>
          <w:highlight w:val="none"/>
        </w:rPr>
        <w:t>（</w:t>
      </w:r>
      <w:r>
        <w:rPr>
          <w:rFonts w:hint="eastAsia" w:ascii="宋体" w:hAnsi="宋体" w:cs="宋体"/>
          <w:color w:val="auto"/>
          <w:szCs w:val="21"/>
          <w:highlight w:val="none"/>
        </w:rPr>
        <w:t>格式自拟</w:t>
      </w:r>
      <w:r>
        <w:rPr>
          <w:rFonts w:hint="eastAsia" w:ascii="宋体" w:hAnsi="宋体" w:cs="宋体"/>
          <w:color w:val="auto"/>
          <w:kern w:val="0"/>
          <w:szCs w:val="21"/>
          <w:highlight w:val="none"/>
        </w:rPr>
        <w:t>）</w:t>
      </w:r>
      <w:r>
        <w:rPr>
          <w:rFonts w:hint="eastAsia" w:ascii="宋体" w:hAnsi="宋体" w:cs="宋体"/>
          <w:color w:val="auto"/>
          <w:szCs w:val="21"/>
          <w:highlight w:val="none"/>
        </w:rPr>
        <w:t>；</w:t>
      </w:r>
    </w:p>
    <w:p>
      <w:pPr>
        <w:autoSpaceDE w:val="0"/>
        <w:autoSpaceDN w:val="0"/>
        <w:adjustRightInd w:val="0"/>
        <w:spacing w:line="360" w:lineRule="auto"/>
        <w:jc w:val="left"/>
        <w:rPr>
          <w:rFonts w:ascii="宋体" w:hAnsi="宋体" w:cs="宋体"/>
          <w:b/>
          <w:bCs/>
          <w:color w:val="auto"/>
          <w:szCs w:val="21"/>
          <w:highlight w:val="none"/>
        </w:rPr>
      </w:pPr>
      <w:r>
        <w:rPr>
          <w:rFonts w:hint="eastAsia" w:ascii="宋体" w:hAnsi="宋体" w:cs="宋体"/>
          <w:color w:val="auto"/>
          <w:szCs w:val="21"/>
          <w:highlight w:val="none"/>
        </w:rPr>
        <w:t>（3）服务承诺书</w:t>
      </w:r>
      <w:r>
        <w:rPr>
          <w:rFonts w:hint="eastAsia" w:ascii="宋体" w:hAnsi="宋体" w:cs="宋体"/>
          <w:color w:val="auto"/>
          <w:kern w:val="0"/>
          <w:szCs w:val="21"/>
          <w:highlight w:val="none"/>
        </w:rPr>
        <w:t>（</w:t>
      </w:r>
      <w:r>
        <w:rPr>
          <w:rFonts w:hint="eastAsia" w:ascii="宋体" w:hAnsi="宋体" w:cs="宋体"/>
          <w:color w:val="auto"/>
          <w:szCs w:val="21"/>
          <w:highlight w:val="none"/>
        </w:rPr>
        <w:t>格式自拟</w:t>
      </w:r>
      <w:r>
        <w:rPr>
          <w:rFonts w:hint="eastAsia" w:ascii="宋体" w:hAnsi="宋体" w:cs="宋体"/>
          <w:color w:val="auto"/>
          <w:kern w:val="0"/>
          <w:szCs w:val="21"/>
          <w:highlight w:val="none"/>
        </w:rPr>
        <w:t>）</w:t>
      </w:r>
      <w:r>
        <w:rPr>
          <w:rFonts w:hint="eastAsia" w:ascii="宋体" w:hAnsi="宋体" w:cs="宋体"/>
          <w:color w:val="auto"/>
          <w:szCs w:val="21"/>
          <w:highlight w:val="none"/>
        </w:rPr>
        <w:t>；</w:t>
      </w:r>
    </w:p>
    <w:p>
      <w:pPr>
        <w:autoSpaceDE w:val="0"/>
        <w:autoSpaceDN w:val="0"/>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（4）技术响应表</w:t>
      </w:r>
      <w:r>
        <w:rPr>
          <w:rFonts w:hint="eastAsia" w:ascii="宋体" w:hAnsi="宋体"/>
          <w:color w:val="auto"/>
          <w:szCs w:val="21"/>
          <w:highlight w:val="none"/>
        </w:rPr>
        <w:t>；</w:t>
      </w:r>
      <w:r>
        <w:rPr>
          <w:rFonts w:hint="eastAsia" w:ascii="宋体" w:hAnsi="宋体" w:cs="宋体"/>
          <w:b/>
          <w:bCs/>
          <w:color w:val="auto"/>
          <w:szCs w:val="21"/>
          <w:highlight w:val="none"/>
        </w:rPr>
        <w:t>（必须提供，加盖公章）</w:t>
      </w:r>
    </w:p>
    <w:p>
      <w:pPr>
        <w:autoSpaceDE w:val="0"/>
        <w:autoSpaceDN w:val="0"/>
        <w:adjustRightIn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（5）</w:t>
      </w:r>
      <w:r>
        <w:rPr>
          <w:rFonts w:hint="eastAsia" w:hAnsi="宋体" w:cs="宋体"/>
          <w:b w:val="0"/>
          <w:color w:val="auto"/>
          <w:kern w:val="2"/>
          <w:sz w:val="21"/>
          <w:szCs w:val="21"/>
          <w:highlight w:val="none"/>
        </w:rPr>
        <w:t>商务响应表（格式见附件）；（必须提供，加盖公章）</w:t>
      </w:r>
    </w:p>
    <w:p>
      <w:pPr>
        <w:autoSpaceDE w:val="0"/>
        <w:autoSpaceDN w:val="0"/>
        <w:adjustRightIn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）拟投入项目实施人员情况一览表（必须提供，</w:t>
      </w:r>
      <w:r>
        <w:rPr>
          <w:rFonts w:hint="eastAsia" w:hAnsi="宋体" w:cs="宋体"/>
          <w:b w:val="0"/>
          <w:color w:val="auto"/>
          <w:kern w:val="2"/>
          <w:sz w:val="21"/>
          <w:szCs w:val="21"/>
          <w:highlight w:val="none"/>
        </w:rPr>
        <w:t>加盖公章</w:t>
      </w:r>
      <w:r>
        <w:rPr>
          <w:rFonts w:hint="eastAsia" w:ascii="宋体" w:hAnsi="宋体" w:cs="宋体"/>
          <w:color w:val="auto"/>
          <w:szCs w:val="21"/>
          <w:highlight w:val="none"/>
        </w:rPr>
        <w:t>）</w:t>
      </w:r>
    </w:p>
    <w:p>
      <w:pPr>
        <w:autoSpaceDE w:val="0"/>
        <w:autoSpaceDN w:val="0"/>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）竞标人认为有必要提供的其它文件及资料。</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特别说明：（1）响应文件中所须加盖公章部分均采用CA签章。若竞争性磋商文件中有专门标注的某关联点，并要求供应商在电子投标系统中作出磋商响应的，如供应商未对关联点进行响应或者在响应文件其它内容进行描述，造成电子评审不能查询的责任由供应商自行承担。</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（2）竞争性磋商文件要求提供的的各种复印件，须加盖磋商供应商CA签章，否则其磋商无效。</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（3）竞争性磋商文件要求“必须提供”的证明等材料，磋商供应商必须全部提供，缺一不可，否则磋商无效。</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（4）竞争性磋商文件要求法定代表人（负责人）或委托代理人签字的部分必须签字然后扫描或者拍照做成pdf格式上传，无签字的视为磋商无效。</w:t>
      </w:r>
    </w:p>
    <w:p>
      <w:pPr>
        <w:rPr>
          <w:color w:val="auto"/>
          <w:highlight w:val="none"/>
        </w:rPr>
      </w:pPr>
      <w:r>
        <w:rPr>
          <w:rFonts w:hint="eastAsia" w:ascii="宋体" w:hAnsi="宋体"/>
          <w:color w:val="auto"/>
          <w:szCs w:val="21"/>
          <w:highlight w:val="none"/>
        </w:rPr>
        <w:t>6.7响应文件有效期：见磋商须知前附表。</w:t>
      </w:r>
    </w:p>
    <w:p>
      <w:pPr>
        <w:spacing w:line="360" w:lineRule="auto"/>
        <w:ind w:left="211" w:hanging="211" w:hangingChars="100"/>
        <w:rPr>
          <w:rFonts w:ascii="宋体" w:hAnsi="宋体" w:cs="宋体"/>
          <w:b/>
          <w:bCs/>
          <w:color w:val="auto"/>
          <w:szCs w:val="21"/>
          <w:highlight w:val="none"/>
        </w:rPr>
      </w:pPr>
      <w:r>
        <w:rPr>
          <w:rFonts w:hint="eastAsia" w:ascii="宋体" w:hAnsi="宋体" w:cs="宋体"/>
          <w:b/>
          <w:bCs/>
          <w:color w:val="auto"/>
          <w:szCs w:val="21"/>
          <w:highlight w:val="none"/>
        </w:rPr>
        <w:t>12.响应文件格式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11.1供应商应按本竞争性磋商文件提供的竞争性磋商报价与服务响应函格式填写。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11.2供应商应按竞争性磋商文件中提供的格式编制响应文件内容。</w:t>
      </w:r>
    </w:p>
    <w:p>
      <w:pPr>
        <w:spacing w:line="360" w:lineRule="auto"/>
        <w:ind w:firstLine="105" w:firstLineChars="50"/>
        <w:rPr>
          <w:rFonts w:ascii="宋体" w:hAnsi="宋体" w:cs="宋体"/>
          <w:color w:val="auto"/>
          <w:szCs w:val="21"/>
          <w:highlight w:val="none"/>
        </w:rPr>
      </w:pPr>
      <w:r>
        <w:rPr>
          <w:rFonts w:hint="eastAsia" w:ascii="宋体" w:hAnsi="宋体" w:cs="宋体"/>
          <w:b/>
          <w:color w:val="auto"/>
          <w:szCs w:val="21"/>
          <w:highlight w:val="none"/>
        </w:rPr>
        <w:t>※详见第五章相关内容。</w:t>
      </w:r>
    </w:p>
    <w:p>
      <w:pPr>
        <w:numPr>
          <w:ilvl w:val="0"/>
          <w:numId w:val="5"/>
        </w:num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竞争性磋商采购响应报价</w:t>
      </w:r>
    </w:p>
    <w:p>
      <w:pPr>
        <w:numPr>
          <w:ilvl w:val="1"/>
          <w:numId w:val="5"/>
        </w:numPr>
        <w:spacing w:line="360" w:lineRule="auto"/>
        <w:rPr>
          <w:rFonts w:ascii="宋体" w:hAnsi="宋体" w:cs="宋体"/>
          <w:color w:val="auto"/>
          <w:szCs w:val="21"/>
          <w:highlight w:val="none"/>
        </w:rPr>
      </w:pPr>
      <w:r>
        <w:rPr>
          <w:rFonts w:hint="eastAsia" w:ascii="宋体" w:hAnsi="宋体" w:cs="宋体"/>
          <w:color w:val="auto"/>
          <w:szCs w:val="21"/>
          <w:highlight w:val="none"/>
        </w:rPr>
        <w:t>竞争性磋商响应报价采用的币种为：人民币。磋商供应商磋商报价超出采购预算金额的，其报价无效。</w:t>
      </w:r>
    </w:p>
    <w:p>
      <w:pPr>
        <w:numPr>
          <w:ilvl w:val="1"/>
          <w:numId w:val="5"/>
        </w:numPr>
        <w:spacing w:line="360" w:lineRule="auto"/>
        <w:rPr>
          <w:rFonts w:ascii="宋体" w:hAnsi="宋体" w:cs="宋体"/>
          <w:color w:val="auto"/>
          <w:szCs w:val="21"/>
          <w:highlight w:val="none"/>
        </w:rPr>
      </w:pPr>
      <w:r>
        <w:rPr>
          <w:rFonts w:hint="eastAsia" w:ascii="宋体" w:hAnsi="宋体" w:cs="宋体"/>
          <w:color w:val="auto"/>
          <w:szCs w:val="21"/>
          <w:highlight w:val="none"/>
        </w:rPr>
        <w:t>竞争性磋商报价：本项目实行总承包报价，支付费用包括本项目所有服务内容、所涉及的工具、劳务、人工费、交通、保险等各种费用和售后服务、税金及其它所有成本费用的总和，以及政策性文件规定及合同包含的应有风险、责任等各项应有费用。供应商应对本项目的所有内容范围的服务进行总承包报价；磋商报价中应包含全部内容，成交后采购人不再另行支付额外费用。</w:t>
      </w:r>
    </w:p>
    <w:p>
      <w:pPr>
        <w:numPr>
          <w:ilvl w:val="1"/>
          <w:numId w:val="5"/>
        </w:numPr>
        <w:spacing w:line="360" w:lineRule="auto"/>
        <w:rPr>
          <w:rFonts w:ascii="宋体" w:hAnsi="宋体" w:cs="宋体"/>
          <w:color w:val="auto"/>
          <w:szCs w:val="21"/>
          <w:highlight w:val="none"/>
        </w:rPr>
      </w:pPr>
      <w:r>
        <w:rPr>
          <w:rFonts w:hint="eastAsia" w:ascii="宋体" w:hAnsi="宋体" w:cs="宋体"/>
          <w:color w:val="auto"/>
          <w:szCs w:val="21"/>
          <w:highlight w:val="none"/>
        </w:rPr>
        <w:t>报价的确定原则：</w:t>
      </w:r>
    </w:p>
    <w:p>
      <w:pPr>
        <w:numPr>
          <w:ilvl w:val="1"/>
          <w:numId w:val="5"/>
        </w:numPr>
        <w:spacing w:line="360" w:lineRule="auto"/>
        <w:rPr>
          <w:rFonts w:ascii="宋体" w:hAnsi="宋体" w:cs="宋体"/>
          <w:color w:val="auto"/>
          <w:szCs w:val="21"/>
          <w:highlight w:val="none"/>
        </w:rPr>
      </w:pPr>
      <w:r>
        <w:rPr>
          <w:rFonts w:hint="eastAsia" w:ascii="宋体" w:hAnsi="宋体" w:cs="宋体"/>
          <w:color w:val="auto"/>
          <w:szCs w:val="21"/>
          <w:highlight w:val="none"/>
        </w:rPr>
        <w:t>响应文件的大写金额和小写金额不一致的，以大写金额为准。</w:t>
      </w:r>
    </w:p>
    <w:p>
      <w:pPr>
        <w:numPr>
          <w:ilvl w:val="1"/>
          <w:numId w:val="5"/>
        </w:numPr>
        <w:spacing w:line="360" w:lineRule="auto"/>
        <w:rPr>
          <w:rFonts w:ascii="宋体" w:hAnsi="宋体" w:cs="宋体"/>
          <w:color w:val="auto"/>
          <w:szCs w:val="21"/>
          <w:highlight w:val="none"/>
        </w:rPr>
      </w:pPr>
      <w:r>
        <w:rPr>
          <w:rFonts w:hint="eastAsia" w:ascii="宋体" w:hAnsi="宋体" w:cs="宋体"/>
          <w:color w:val="auto"/>
          <w:szCs w:val="21"/>
          <w:highlight w:val="none"/>
        </w:rPr>
        <w:t>对不同文字文本响应文件的解释发生异议的，以中文文本为准。</w:t>
      </w:r>
    </w:p>
    <w:p>
      <w:pPr>
        <w:numPr>
          <w:ilvl w:val="1"/>
          <w:numId w:val="5"/>
        </w:numPr>
        <w:spacing w:line="360" w:lineRule="auto"/>
        <w:rPr>
          <w:rFonts w:ascii="宋体" w:hAnsi="宋体" w:cs="宋体"/>
          <w:color w:val="auto"/>
          <w:szCs w:val="21"/>
          <w:highlight w:val="none"/>
        </w:rPr>
      </w:pPr>
      <w:r>
        <w:rPr>
          <w:rFonts w:hint="eastAsia" w:ascii="宋体" w:hAnsi="宋体" w:cs="宋体"/>
          <w:color w:val="auto"/>
          <w:szCs w:val="21"/>
          <w:highlight w:val="none"/>
        </w:rPr>
        <w:t>供应商按上述13.2款要求填写报价供采购人评审方便。</w:t>
      </w:r>
    </w:p>
    <w:p>
      <w:pPr>
        <w:spacing w:line="360" w:lineRule="auto"/>
        <w:ind w:left="42"/>
        <w:rPr>
          <w:rFonts w:ascii="宋体" w:hAnsi="宋体" w:cs="宋体"/>
          <w:b/>
          <w:bCs/>
          <w:color w:val="auto"/>
          <w:szCs w:val="21"/>
          <w:highlight w:val="none"/>
        </w:rPr>
      </w:pPr>
      <w:r>
        <w:rPr>
          <w:rFonts w:hint="eastAsia" w:ascii="宋体" w:hAnsi="宋体" w:cs="宋体"/>
          <w:b/>
          <w:bCs/>
          <w:color w:val="auto"/>
          <w:szCs w:val="21"/>
          <w:highlight w:val="none"/>
        </w:rPr>
        <w:t>14.竞争性磋商采购有效期</w:t>
      </w:r>
    </w:p>
    <w:p>
      <w:pPr>
        <w:spacing w:line="360" w:lineRule="auto"/>
        <w:ind w:left="42" w:leftChars="20" w:firstLine="420" w:firstLineChars="200"/>
        <w:rPr>
          <w:rFonts w:ascii="宋体" w:hAnsi="宋体" w:cs="宋体"/>
          <w:color w:val="auto"/>
          <w:szCs w:val="21"/>
          <w:highlight w:val="none"/>
        </w:rPr>
      </w:pPr>
      <w:r>
        <w:rPr>
          <w:rFonts w:hint="eastAsia" w:ascii="宋体" w:hAnsi="宋体" w:cs="宋体"/>
          <w:color w:val="auto"/>
          <w:szCs w:val="21"/>
          <w:highlight w:val="none"/>
        </w:rPr>
        <w:t>14.1.响应文件从开启之日起，竞争性磋商有效期为60天。</w:t>
      </w:r>
    </w:p>
    <w:p>
      <w:pPr>
        <w:pStyle w:val="4"/>
        <w:rPr>
          <w:rFonts w:ascii="宋体" w:hAnsi="宋体" w:eastAsia="宋体" w:cs="宋体"/>
          <w:color w:val="auto"/>
          <w:sz w:val="21"/>
          <w:szCs w:val="21"/>
          <w:highlight w:val="none"/>
        </w:rPr>
      </w:pPr>
      <w:bookmarkStart w:id="53" w:name="_Toc1859"/>
      <w:bookmarkStart w:id="54" w:name="_Toc21842"/>
      <w:bookmarkStart w:id="55" w:name="_Toc11678"/>
      <w:bookmarkStart w:id="56" w:name="_Toc475717132"/>
      <w:r>
        <w:rPr>
          <w:rFonts w:hint="eastAsia" w:ascii="宋体" w:hAnsi="宋体" w:eastAsia="宋体" w:cs="宋体"/>
          <w:color w:val="auto"/>
          <w:sz w:val="21"/>
          <w:szCs w:val="21"/>
          <w:highlight w:val="none"/>
        </w:rPr>
        <w:t>四、响应文件的份数、封装和递交</w:t>
      </w:r>
      <w:bookmarkEnd w:id="53"/>
    </w:p>
    <w:p>
      <w:pPr>
        <w:spacing w:line="440" w:lineRule="exact"/>
        <w:ind w:firstLine="357" w:firstLineChars="170"/>
        <w:rPr>
          <w:rFonts w:ascii="宋体" w:hAnsi="宋体"/>
          <w:b/>
          <w:bCs/>
          <w:color w:val="auto"/>
          <w:szCs w:val="21"/>
          <w:highlight w:val="none"/>
        </w:rPr>
      </w:pPr>
      <w:r>
        <w:rPr>
          <w:rFonts w:hint="eastAsia" w:ascii="宋体" w:hAnsi="宋体"/>
          <w:color w:val="auto"/>
          <w:szCs w:val="21"/>
          <w:highlight w:val="none"/>
        </w:rPr>
        <w:t>磋商响应文件的封装</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15.1.电子磋商响应文件中须加盖供应商公章部分均采用 CA 签章，并根据“政府采购项目电子交易管理操作指南-供应商” 及本竞争性磋商文件规定的格式和顺序编制电子磋商响应文件并进行关联定位，以便磋商小组在评审时，点击评分项可直接定位到该评分项内容。如对竞争性磋商文件的某项要求，供应商的电子磋商响应文件未能关联定位提供相应的内容与其对应，则磋商小组在评审时如做出对供应商不利的评审由供应商自行承担。电子磋商响应文件如内容不完整、编排混乱导致磋商响应文件被误读、 漏读，或者在按竞争性磋商文件规定的部位查找不到相关内容的，由供应商自行承担。</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15.2. CA 签章上目前没有法人（负责人）或授权代表签字信息，供应商在磋商响应文件中涉及到签字的位置线下签好字然后扫描或者拍照做成PDF的格式即可。</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15.3. 磋商响应文件不得涂改，若有修改错漏处，须法定代表人（负责人）或授权委托人签字。磋商响应文件因字迹潦草或表达不清所引起的后果由供应商负责。</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16．响应文件的递交</w:t>
      </w:r>
    </w:p>
    <w:p>
      <w:pPr>
        <w:adjustRightInd w:val="0"/>
        <w:snapToGrid w:val="0"/>
        <w:spacing w:line="360" w:lineRule="exact"/>
        <w:ind w:firstLine="420" w:firstLineChars="200"/>
        <w:rPr>
          <w:rFonts w:ascii="宋体"/>
          <w:color w:val="auto"/>
          <w:szCs w:val="21"/>
          <w:highlight w:val="none"/>
        </w:rPr>
      </w:pPr>
      <w:r>
        <w:rPr>
          <w:rFonts w:hint="eastAsia" w:ascii="宋体" w:hAnsi="宋体"/>
          <w:color w:val="auto"/>
          <w:szCs w:val="21"/>
          <w:highlight w:val="none"/>
        </w:rPr>
        <w:t xml:space="preserve">16.1. </w:t>
      </w:r>
      <w:r>
        <w:rPr>
          <w:rFonts w:hint="eastAsia" w:ascii="宋体"/>
          <w:color w:val="auto"/>
          <w:szCs w:val="21"/>
          <w:highlight w:val="none"/>
        </w:rPr>
        <w:t>所有竞争性磋商响应文件应于竞争性磋商文件中规定的时间前</w:t>
      </w:r>
      <w:r>
        <w:rPr>
          <w:rFonts w:ascii="宋体"/>
          <w:color w:val="auto"/>
          <w:szCs w:val="21"/>
          <w:highlight w:val="none"/>
        </w:rPr>
        <w:t>上传递交至政采云平台。</w:t>
      </w:r>
    </w:p>
    <w:p>
      <w:pPr>
        <w:adjustRightInd w:val="0"/>
        <w:snapToGrid w:val="0"/>
        <w:spacing w:line="360" w:lineRule="exact"/>
        <w:ind w:firstLine="422" w:firstLineChars="200"/>
        <w:rPr>
          <w:rFonts w:ascii="宋体"/>
          <w:b/>
          <w:color w:val="auto"/>
          <w:szCs w:val="21"/>
          <w:highlight w:val="none"/>
        </w:rPr>
      </w:pPr>
      <w:r>
        <w:rPr>
          <w:b/>
          <w:color w:val="auto"/>
          <w:szCs w:val="21"/>
          <w:highlight w:val="none"/>
        </w:rPr>
        <w:t>电子</w:t>
      </w:r>
      <w:r>
        <w:rPr>
          <w:rFonts w:hint="eastAsia"/>
          <w:b/>
          <w:color w:val="auto"/>
          <w:szCs w:val="21"/>
          <w:highlight w:val="none"/>
        </w:rPr>
        <w:t>响应文件</w:t>
      </w:r>
      <w:r>
        <w:rPr>
          <w:b/>
          <w:color w:val="auto"/>
          <w:szCs w:val="21"/>
          <w:highlight w:val="none"/>
        </w:rPr>
        <w:t>的相关说明</w:t>
      </w:r>
    </w:p>
    <w:p>
      <w:pPr>
        <w:adjustRightInd w:val="0"/>
        <w:snapToGrid w:val="0"/>
        <w:spacing w:line="360" w:lineRule="exact"/>
        <w:ind w:firstLine="422" w:firstLineChars="200"/>
        <w:rPr>
          <w:rFonts w:ascii="宋体"/>
          <w:b/>
          <w:color w:val="auto"/>
          <w:szCs w:val="21"/>
          <w:highlight w:val="none"/>
        </w:rPr>
      </w:pPr>
      <w:r>
        <w:rPr>
          <w:b/>
          <w:color w:val="auto"/>
          <w:szCs w:val="21"/>
          <w:highlight w:val="none"/>
        </w:rPr>
        <w:t>（1）供应商进行电子投标应安装客户端软件，并按照</w:t>
      </w:r>
      <w:r>
        <w:rPr>
          <w:rFonts w:hint="eastAsia" w:ascii="宋体" w:hAnsi="宋体" w:cs="宋体"/>
          <w:color w:val="auto"/>
          <w:szCs w:val="21"/>
          <w:highlight w:val="none"/>
          <w:lang w:bidi="ar"/>
        </w:rPr>
        <w:t>竞争性磋商</w:t>
      </w:r>
      <w:r>
        <w:rPr>
          <w:b/>
          <w:color w:val="auto"/>
          <w:szCs w:val="21"/>
          <w:highlight w:val="none"/>
        </w:rPr>
        <w:t>文件和电子交易平台的要求编制并加密</w:t>
      </w:r>
      <w:r>
        <w:rPr>
          <w:rFonts w:hint="eastAsia"/>
          <w:b/>
          <w:color w:val="auto"/>
          <w:szCs w:val="21"/>
          <w:highlight w:val="none"/>
        </w:rPr>
        <w:t>磋商</w:t>
      </w:r>
      <w:r>
        <w:rPr>
          <w:b/>
          <w:color w:val="auto"/>
          <w:szCs w:val="21"/>
          <w:highlight w:val="none"/>
        </w:rPr>
        <w:t>响应文件。供应商未按规定加密的</w:t>
      </w:r>
      <w:r>
        <w:rPr>
          <w:rFonts w:hint="eastAsia"/>
          <w:b/>
          <w:color w:val="auto"/>
          <w:szCs w:val="21"/>
          <w:highlight w:val="none"/>
        </w:rPr>
        <w:t>磋商</w:t>
      </w:r>
      <w:r>
        <w:rPr>
          <w:b/>
          <w:color w:val="auto"/>
          <w:szCs w:val="21"/>
          <w:highlight w:val="none"/>
        </w:rPr>
        <w:t>响应文件，电子交易平台将拒收。供应商应当在</w:t>
      </w:r>
      <w:r>
        <w:rPr>
          <w:rFonts w:hint="eastAsia"/>
          <w:b/>
          <w:color w:val="auto"/>
          <w:szCs w:val="21"/>
          <w:highlight w:val="none"/>
        </w:rPr>
        <w:t>磋商</w:t>
      </w:r>
      <w:r>
        <w:rPr>
          <w:b/>
          <w:color w:val="auto"/>
          <w:szCs w:val="21"/>
          <w:highlight w:val="none"/>
        </w:rPr>
        <w:t>截止时间前完成</w:t>
      </w:r>
      <w:r>
        <w:rPr>
          <w:rFonts w:hint="eastAsia"/>
          <w:b/>
          <w:color w:val="auto"/>
          <w:szCs w:val="21"/>
          <w:highlight w:val="none"/>
        </w:rPr>
        <w:t>磋商</w:t>
      </w:r>
      <w:r>
        <w:rPr>
          <w:b/>
          <w:color w:val="auto"/>
          <w:szCs w:val="21"/>
          <w:highlight w:val="none"/>
        </w:rPr>
        <w:t>响应文件的传输递交，并可以补充、修改或者撤回</w:t>
      </w:r>
      <w:r>
        <w:rPr>
          <w:rFonts w:hint="eastAsia"/>
          <w:b/>
          <w:color w:val="auto"/>
          <w:szCs w:val="21"/>
          <w:highlight w:val="none"/>
        </w:rPr>
        <w:t>磋商</w:t>
      </w:r>
      <w:r>
        <w:rPr>
          <w:b/>
          <w:color w:val="auto"/>
          <w:szCs w:val="21"/>
          <w:highlight w:val="none"/>
        </w:rPr>
        <w:t>响应文件。补充或者修改</w:t>
      </w:r>
      <w:r>
        <w:rPr>
          <w:rFonts w:hint="eastAsia"/>
          <w:b/>
          <w:color w:val="auto"/>
          <w:szCs w:val="21"/>
          <w:highlight w:val="none"/>
        </w:rPr>
        <w:t>磋商</w:t>
      </w:r>
      <w:r>
        <w:rPr>
          <w:b/>
          <w:color w:val="auto"/>
          <w:szCs w:val="21"/>
          <w:highlight w:val="none"/>
        </w:rPr>
        <w:t>响应文件的，应当先行撤回原文件</w:t>
      </w:r>
      <w:r>
        <w:rPr>
          <w:rFonts w:hint="eastAsia"/>
          <w:b/>
          <w:color w:val="auto"/>
          <w:szCs w:val="21"/>
          <w:highlight w:val="none"/>
        </w:rPr>
        <w:t>，</w:t>
      </w:r>
      <w:r>
        <w:rPr>
          <w:b/>
          <w:color w:val="auto"/>
          <w:szCs w:val="21"/>
          <w:highlight w:val="none"/>
        </w:rPr>
        <w:t>补充、修改后重新传输递交。</w:t>
      </w:r>
      <w:r>
        <w:rPr>
          <w:rFonts w:hint="eastAsia"/>
          <w:b/>
          <w:color w:val="auto"/>
          <w:szCs w:val="21"/>
          <w:highlight w:val="none"/>
        </w:rPr>
        <w:t>磋商</w:t>
      </w:r>
      <w:r>
        <w:rPr>
          <w:b/>
          <w:color w:val="auto"/>
          <w:szCs w:val="21"/>
          <w:highlight w:val="none"/>
        </w:rPr>
        <w:t>截止时间前未完成传输的，视为</w:t>
      </w:r>
      <w:r>
        <w:rPr>
          <w:rFonts w:hint="eastAsia"/>
          <w:b/>
          <w:color w:val="auto"/>
          <w:szCs w:val="21"/>
          <w:highlight w:val="none"/>
        </w:rPr>
        <w:t>不</w:t>
      </w:r>
      <w:r>
        <w:rPr>
          <w:b/>
          <w:color w:val="auto"/>
          <w:szCs w:val="21"/>
          <w:highlight w:val="none"/>
        </w:rPr>
        <w:t>撤回</w:t>
      </w:r>
      <w:r>
        <w:rPr>
          <w:rFonts w:hint="eastAsia"/>
          <w:b/>
          <w:color w:val="auto"/>
          <w:szCs w:val="21"/>
          <w:highlight w:val="none"/>
        </w:rPr>
        <w:t>磋商</w:t>
      </w:r>
      <w:r>
        <w:rPr>
          <w:b/>
          <w:color w:val="auto"/>
          <w:szCs w:val="21"/>
          <w:highlight w:val="none"/>
        </w:rPr>
        <w:t>响应文件。</w:t>
      </w:r>
      <w:r>
        <w:rPr>
          <w:rFonts w:hint="eastAsia"/>
          <w:b/>
          <w:color w:val="auto"/>
          <w:szCs w:val="21"/>
          <w:highlight w:val="none"/>
        </w:rPr>
        <w:t>磋商</w:t>
      </w:r>
      <w:r>
        <w:rPr>
          <w:b/>
          <w:color w:val="auto"/>
          <w:szCs w:val="21"/>
          <w:highlight w:val="none"/>
        </w:rPr>
        <w:t>截止时间后递交的</w:t>
      </w:r>
      <w:r>
        <w:rPr>
          <w:rFonts w:hint="eastAsia"/>
          <w:b/>
          <w:color w:val="auto"/>
          <w:szCs w:val="21"/>
          <w:highlight w:val="none"/>
        </w:rPr>
        <w:t>磋商</w:t>
      </w:r>
      <w:r>
        <w:rPr>
          <w:b/>
          <w:color w:val="auto"/>
          <w:szCs w:val="21"/>
          <w:highlight w:val="none"/>
        </w:rPr>
        <w:t>响应文件，电子交易平台将拒收。</w:t>
      </w:r>
    </w:p>
    <w:p>
      <w:pPr>
        <w:spacing w:line="440" w:lineRule="exact"/>
        <w:ind w:firstLine="358" w:firstLineChars="170"/>
        <w:rPr>
          <w:b/>
          <w:color w:val="auto"/>
          <w:highlight w:val="none"/>
        </w:rPr>
      </w:pPr>
      <w:r>
        <w:rPr>
          <w:b/>
          <w:color w:val="auto"/>
          <w:highlight w:val="none"/>
        </w:rPr>
        <w:t>（</w:t>
      </w:r>
      <w:r>
        <w:rPr>
          <w:rFonts w:hint="eastAsia"/>
          <w:b/>
          <w:color w:val="auto"/>
          <w:highlight w:val="none"/>
        </w:rPr>
        <w:t>2</w:t>
      </w:r>
      <w:r>
        <w:rPr>
          <w:b/>
          <w:color w:val="auto"/>
          <w:highlight w:val="none"/>
        </w:rPr>
        <w:t>）如有特殊情况，采购代理机构延长截止时间和开标时间，采购代理机构和供应商的权利和义务将受到新的截止时间和开标时间的约束。</w:t>
      </w:r>
    </w:p>
    <w:p>
      <w:pPr>
        <w:spacing w:line="440" w:lineRule="exact"/>
        <w:ind w:firstLine="358" w:firstLineChars="170"/>
        <w:rPr>
          <w:rFonts w:ascii="宋体" w:hAnsi="宋体"/>
          <w:b/>
          <w:bCs/>
          <w:color w:val="auto"/>
          <w:szCs w:val="21"/>
          <w:highlight w:val="none"/>
        </w:rPr>
      </w:pPr>
      <w:r>
        <w:rPr>
          <w:rFonts w:hint="eastAsia" w:ascii="宋体" w:hAnsi="宋体"/>
          <w:b/>
          <w:bCs/>
          <w:color w:val="auto"/>
          <w:szCs w:val="21"/>
          <w:highlight w:val="none"/>
        </w:rPr>
        <w:t>17.迟交的响应文件</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采购代理机构拒绝在其规定的递交响应文件截止时间之后收到的任何响应文件。</w:t>
      </w:r>
    </w:p>
    <w:bookmarkEnd w:id="54"/>
    <w:bookmarkEnd w:id="55"/>
    <w:bookmarkEnd w:id="56"/>
    <w:p>
      <w:pPr>
        <w:spacing w:line="440" w:lineRule="exact"/>
        <w:rPr>
          <w:rFonts w:ascii="宋体" w:hAnsi="宋体"/>
          <w:b/>
          <w:bCs/>
          <w:color w:val="auto"/>
          <w:szCs w:val="21"/>
          <w:highlight w:val="none"/>
        </w:rPr>
      </w:pPr>
      <w:bookmarkStart w:id="57" w:name="_Toc328061879"/>
      <w:r>
        <w:rPr>
          <w:rFonts w:hint="eastAsia" w:ascii="宋体" w:hAnsi="宋体"/>
          <w:b/>
          <w:bCs/>
          <w:color w:val="auto"/>
          <w:szCs w:val="21"/>
          <w:highlight w:val="none"/>
        </w:rPr>
        <w:t>五、响应文件评审及磋商的步骤</w:t>
      </w:r>
    </w:p>
    <w:p>
      <w:pPr>
        <w:spacing w:line="360" w:lineRule="exact"/>
        <w:ind w:firstLine="422" w:firstLineChars="201"/>
        <w:rPr>
          <w:rFonts w:ascii="宋体" w:hAnsi="宋体" w:cs="宋体"/>
          <w:bCs/>
          <w:color w:val="auto"/>
          <w:szCs w:val="21"/>
          <w:highlight w:val="none"/>
        </w:rPr>
      </w:pPr>
      <w:r>
        <w:rPr>
          <w:rFonts w:hint="eastAsia" w:ascii="宋体" w:hAnsi="宋体" w:cs="宋体"/>
          <w:bCs/>
          <w:color w:val="auto"/>
          <w:szCs w:val="21"/>
          <w:highlight w:val="none"/>
        </w:rPr>
        <w:t>18.1.采购代理机构结束解密后，磋商小组接收所有的响应文件开始评审。</w:t>
      </w:r>
    </w:p>
    <w:p>
      <w:pPr>
        <w:spacing w:line="360" w:lineRule="exact"/>
        <w:ind w:firstLine="422" w:firstLineChars="201"/>
        <w:rPr>
          <w:rFonts w:ascii="宋体" w:hAnsi="宋体" w:cs="宋体"/>
          <w:bCs/>
          <w:color w:val="auto"/>
          <w:szCs w:val="21"/>
          <w:highlight w:val="none"/>
        </w:rPr>
      </w:pPr>
      <w:r>
        <w:rPr>
          <w:rFonts w:hint="eastAsia" w:ascii="宋体" w:hAnsi="宋体" w:cs="宋体"/>
          <w:bCs/>
          <w:color w:val="auto"/>
          <w:szCs w:val="21"/>
          <w:highlight w:val="none"/>
        </w:rPr>
        <w:t>18.2.磋商小组评审响应文件</w:t>
      </w:r>
    </w:p>
    <w:p>
      <w:pPr>
        <w:spacing w:line="440" w:lineRule="exact"/>
        <w:ind w:firstLine="357" w:firstLineChars="170"/>
        <w:rPr>
          <w:rFonts w:ascii="宋体" w:hAnsi="宋体"/>
          <w:color w:val="auto"/>
          <w:szCs w:val="21"/>
          <w:highlight w:val="none"/>
        </w:rPr>
      </w:pPr>
      <w:r>
        <w:rPr>
          <w:rFonts w:hint="eastAsia" w:ascii="宋体" w:hAnsi="宋体" w:cs="宋体"/>
          <w:color w:val="auto"/>
          <w:szCs w:val="21"/>
          <w:highlight w:val="none"/>
        </w:rPr>
        <w:t>磋商小组对供应商资格条件和响应文件的有效性、完整性和响应程度进行审查。对资格条件不符合的供应商或未实质性响应磋商文件的响应文件按无效响应处理，磋商小组应当告知有关供应商。</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18.3.磋商小组对磋商资格条件及响应文件进行评审，并从符合竟争性磋商文件规定的相应资格条件的供应商名单中确定不少于3家的供应商参加磋商，符合财库〔2014〕214号《政府采购竞争性磋商采购方式管理暂行办法》第三条第一项（政府购买服务项目）情形的，确定不少于2家的供应商参加磋商。资格条件不符合的供应商或未实质性响应磋商文件的响应文件按无效响应处理，磋商小组应当告知有关供应商。</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磋商小组要求供应商澄清、说明或者更正响应文件应当在政采云在线评标系统向供应商发起在线询标澄清。供应商的澄清、说明或者更正应当由法定代表人或其授权代表签字或者加盖公章。由授权代表签字的，应当附法定代表人授权书。供应商为自然人的，应当由本人签字并附身份证明。</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18.4.磋商</w:t>
      </w:r>
    </w:p>
    <w:p>
      <w:pPr>
        <w:widowControl/>
        <w:tabs>
          <w:tab w:val="left" w:pos="540"/>
        </w:tabs>
        <w:spacing w:line="360" w:lineRule="exact"/>
        <w:ind w:firstLine="422" w:firstLineChars="201"/>
        <w:jc w:val="left"/>
        <w:rPr>
          <w:rFonts w:ascii="宋体" w:hAnsi="宋体" w:cs="宋体"/>
          <w:color w:val="auto"/>
          <w:szCs w:val="21"/>
          <w:highlight w:val="none"/>
        </w:rPr>
      </w:pPr>
      <w:r>
        <w:rPr>
          <w:rFonts w:hint="eastAsia" w:ascii="宋体" w:hAnsi="宋体"/>
          <w:color w:val="auto"/>
          <w:szCs w:val="21"/>
          <w:highlight w:val="none"/>
        </w:rPr>
        <w:t>18</w:t>
      </w:r>
      <w:r>
        <w:rPr>
          <w:rFonts w:hint="eastAsia" w:ascii="宋体" w:hAnsi="宋体" w:cs="宋体"/>
          <w:color w:val="auto"/>
          <w:szCs w:val="21"/>
          <w:highlight w:val="none"/>
        </w:rPr>
        <w:t>.4.1.磋商时间及地点：按须知前附表规定。</w:t>
      </w:r>
    </w:p>
    <w:p>
      <w:pPr>
        <w:widowControl/>
        <w:tabs>
          <w:tab w:val="left" w:pos="540"/>
        </w:tabs>
        <w:spacing w:line="360" w:lineRule="exact"/>
        <w:ind w:firstLine="422" w:firstLineChars="201"/>
        <w:jc w:val="left"/>
        <w:rPr>
          <w:rFonts w:ascii="宋体" w:hAnsi="宋体" w:cs="宋体"/>
          <w:color w:val="auto"/>
          <w:szCs w:val="21"/>
          <w:highlight w:val="none"/>
        </w:rPr>
      </w:pPr>
      <w:r>
        <w:rPr>
          <w:rFonts w:hint="eastAsia" w:ascii="宋体" w:hAnsi="宋体"/>
          <w:color w:val="auto"/>
          <w:szCs w:val="21"/>
          <w:highlight w:val="none"/>
        </w:rPr>
        <w:t>18</w:t>
      </w:r>
      <w:r>
        <w:rPr>
          <w:rFonts w:hint="eastAsia" w:ascii="宋体" w:hAnsi="宋体" w:cs="宋体"/>
          <w:color w:val="auto"/>
          <w:szCs w:val="21"/>
          <w:highlight w:val="none"/>
        </w:rPr>
        <w:t>.4.2.磋商小组按须知前附表规定的磋商顺序，集中与单一供应商分别进行磋商，并给予所有参加磋商的供应商平等的磋商机会。</w:t>
      </w:r>
    </w:p>
    <w:p>
      <w:pPr>
        <w:widowControl/>
        <w:tabs>
          <w:tab w:val="left" w:pos="540"/>
        </w:tabs>
        <w:spacing w:line="360" w:lineRule="exact"/>
        <w:ind w:firstLine="422" w:firstLineChars="201"/>
        <w:jc w:val="left"/>
        <w:rPr>
          <w:rFonts w:ascii="宋体" w:hAnsi="宋体" w:cs="宋体"/>
          <w:color w:val="auto"/>
          <w:szCs w:val="21"/>
          <w:highlight w:val="none"/>
        </w:rPr>
      </w:pPr>
      <w:r>
        <w:rPr>
          <w:rFonts w:hint="eastAsia" w:ascii="宋体" w:hAnsi="宋体" w:cs="宋体"/>
          <w:color w:val="auto"/>
          <w:szCs w:val="21"/>
          <w:highlight w:val="none"/>
        </w:rPr>
        <w:t>磋商中，磋商的任何一方不得透露与磋商有关的其他供应商的技术资料、价格和其他信息。</w:t>
      </w:r>
    </w:p>
    <w:p>
      <w:pPr>
        <w:spacing w:line="440" w:lineRule="exact"/>
        <w:ind w:firstLine="357" w:firstLineChars="170"/>
        <w:rPr>
          <w:rFonts w:ascii="宋体" w:hAnsi="宋体" w:cs="宋体"/>
          <w:color w:val="auto"/>
          <w:szCs w:val="21"/>
          <w:highlight w:val="none"/>
        </w:rPr>
      </w:pPr>
      <w:r>
        <w:rPr>
          <w:rFonts w:hint="eastAsia" w:ascii="宋体" w:hAnsi="宋体" w:cs="宋体"/>
          <w:color w:val="auto"/>
          <w:szCs w:val="21"/>
          <w:highlight w:val="none"/>
        </w:rPr>
        <w:t>采购代理机构对磋商过程和重要磋商内容进行记录留存。</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19.1. 最后报价</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19.1.1. 磋商文件能够详细列明采购标的的技术、服务要求的，磋商结束后，磋商小组应当要求所有继续参加磋商的磋商供应商在规定时间内提交最后报价，提交最后报价的供应商不得少于3家，符合财库〔2014〕214号《政府采购竞争性磋商采购方式管理暂行办法》第三条第一项（政府购买服务项目）或第四项（市场竞争不充分的科研项目，以及需要扶持的科技成果转化项目）情形的，提交最后报价的供应商不得少于2家。</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19.1.2. 最后报价是磋商供应商响应文件的有效组成部分。</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19.1.3. 己经提交响应文件的磋商供应商，在提交最后报价之前，可以根据磋商情况退出磋商。</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19.1.4. 小型和微型企业最终报价扣除计算。</w:t>
      </w:r>
    </w:p>
    <w:p>
      <w:pPr>
        <w:pStyle w:val="14"/>
        <w:spacing w:line="420" w:lineRule="exact"/>
        <w:ind w:firstLine="420" w:firstLineChars="200"/>
        <w:rPr>
          <w:rFonts w:hAnsi="宋体"/>
          <w:color w:val="auto"/>
          <w:szCs w:val="21"/>
          <w:highlight w:val="none"/>
        </w:rPr>
      </w:pPr>
      <w:r>
        <w:rPr>
          <w:rFonts w:hint="eastAsia" w:hAnsi="宋体"/>
          <w:color w:val="auto"/>
          <w:szCs w:val="21"/>
          <w:highlight w:val="none"/>
        </w:rPr>
        <w:t>按照《政府采购促进中小企业发展管理办法》(财库〔2020〕46号）认定为小型和微型企业产品的（以响应文件提供的符合规定生产厂家有关证明材料为准），对磋商价给予10%的扣除，扣除后的价格为评标价，即评标价=磋商价×（1-10%）；大中型企业与小型、微型企业组成联合体磋商，其中小型、微型企业的协议合同金额占到联合体协议合同总金额30%以上的，联合体磋商价给予3%的扣除，扣除后的价格为评标价，即评标价=投标价×（1-3%）。</w:t>
      </w:r>
    </w:p>
    <w:p>
      <w:pPr>
        <w:pStyle w:val="14"/>
        <w:spacing w:line="420" w:lineRule="exact"/>
        <w:ind w:firstLine="420" w:firstLineChars="200"/>
        <w:rPr>
          <w:rFonts w:hAnsi="宋体"/>
          <w:bCs/>
          <w:color w:val="auto"/>
          <w:szCs w:val="21"/>
          <w:highlight w:val="none"/>
        </w:rPr>
      </w:pPr>
      <w:r>
        <w:rPr>
          <w:rFonts w:hint="eastAsia" w:hAnsi="宋体"/>
          <w:bCs/>
          <w:color w:val="auto"/>
          <w:szCs w:val="21"/>
          <w:highlight w:val="none"/>
        </w:rPr>
        <w:t>根据《关于政府采购支持监狱企业发展有关问题的通知》（财库[2014]68号）、《关于我区政府采购支持监狱企业发展有关问题的通知》（桂财采[2018]24号）的规定，监狱企业视同小型、微型企业，享受小型、微型企业评审中价格扣除的政府采购政策。（必须提供相关证明文件，否则不予以认定）</w:t>
      </w:r>
    </w:p>
    <w:p>
      <w:pPr>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根据《三部门联合发布关于促进残疾人就业政府采购政策的通知》（财库[2017]141号）的规定，残疾人福利性单位视同小型、微型企业，享受小型、微型企业评审中价格扣除的政府采购政策。（必须提供残疾人福利性单位声明函，否则不予以认定）</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除上述情况外，评标价=投标价。</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19.1.5. 经磋商确定最终采购需求和提交最后报价的磋商供应商后，由磋商小组采用综合评分法对提交最后报价的磋商供应商的响应文件和最后报价进行综合评分。</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磋商小组应当根据综合评分情况，按照评审得分由高到低顺序推荐3名成交候选供应商，并编写评审报告。符合财库〔2014〕214号《政府采购竞争性磋商采购方式管理暂行办法》第三条第一项（政府购买服务项目）或第四项（市场竞争不充分的科研项目，以及需要扶持的科技成果转化项目）情形的，可以推荐2 家成交候选磋商供应商。评审得分相同的，按照最后报价由低到高的顺序推荐。评审得分且最后报价相同的，依次按节能环保和自主创新产品优先、技术指标高优先、质量保证期长优先、交货期短优先、故障响应时间短优先的顺序排列并推荐。</w:t>
      </w:r>
    </w:p>
    <w:p>
      <w:pPr>
        <w:autoSpaceDE w:val="0"/>
        <w:autoSpaceDN w:val="0"/>
        <w:adjustRightInd w:val="0"/>
        <w:spacing w:after="156" w:afterLines="5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20.1评审报告内容</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磋商小组根据以上阶段工作，撰写评审报告。评审报告内容包括：</w:t>
      </w:r>
    </w:p>
    <w:p>
      <w:pPr>
        <w:pStyle w:val="26"/>
        <w:widowControl/>
        <w:adjustRightInd w:val="0"/>
        <w:snapToGrid w:val="0"/>
        <w:spacing w:before="0" w:beforeAutospacing="0" w:after="0" w:afterAutospacing="0" w:line="360" w:lineRule="auto"/>
        <w:ind w:firstLine="420" w:firstLineChars="200"/>
        <w:jc w:val="both"/>
        <w:rPr>
          <w:rFonts w:ascii="宋体" w:hAnsi="宋体" w:cs="宋体"/>
          <w:bCs/>
          <w:color w:val="auto"/>
          <w:kern w:val="2"/>
          <w:sz w:val="21"/>
          <w:szCs w:val="21"/>
          <w:highlight w:val="none"/>
        </w:rPr>
      </w:pPr>
      <w:r>
        <w:rPr>
          <w:rFonts w:hint="eastAsia" w:ascii="宋体" w:hAnsi="宋体" w:cs="宋体"/>
          <w:bCs/>
          <w:color w:val="auto"/>
          <w:kern w:val="2"/>
          <w:sz w:val="21"/>
          <w:szCs w:val="21"/>
          <w:highlight w:val="none"/>
        </w:rPr>
        <w:t>（一）邀请供应商参加采购活动的具体方式和相关情况；</w:t>
      </w:r>
    </w:p>
    <w:p>
      <w:pPr>
        <w:pStyle w:val="26"/>
        <w:widowControl/>
        <w:adjustRightInd w:val="0"/>
        <w:snapToGrid w:val="0"/>
        <w:spacing w:before="0" w:beforeAutospacing="0" w:after="0" w:afterAutospacing="0" w:line="360" w:lineRule="auto"/>
        <w:jc w:val="both"/>
        <w:rPr>
          <w:rFonts w:ascii="宋体" w:hAnsi="宋体" w:cs="宋体"/>
          <w:bCs/>
          <w:color w:val="auto"/>
          <w:kern w:val="2"/>
          <w:sz w:val="21"/>
          <w:szCs w:val="21"/>
          <w:highlight w:val="none"/>
        </w:rPr>
      </w:pPr>
      <w:r>
        <w:rPr>
          <w:rFonts w:hint="eastAsia" w:ascii="宋体" w:hAnsi="宋体" w:cs="宋体"/>
          <w:bCs/>
          <w:color w:val="auto"/>
          <w:kern w:val="2"/>
          <w:sz w:val="21"/>
          <w:szCs w:val="21"/>
          <w:highlight w:val="none"/>
        </w:rPr>
        <w:t>　　（二）响应文件开启日期和地点；</w:t>
      </w:r>
    </w:p>
    <w:p>
      <w:pPr>
        <w:pStyle w:val="26"/>
        <w:widowControl/>
        <w:adjustRightInd w:val="0"/>
        <w:snapToGrid w:val="0"/>
        <w:spacing w:before="0" w:beforeAutospacing="0" w:after="0" w:afterAutospacing="0" w:line="360" w:lineRule="auto"/>
        <w:jc w:val="both"/>
        <w:rPr>
          <w:rFonts w:ascii="宋体" w:hAnsi="宋体" w:cs="宋体"/>
          <w:bCs/>
          <w:color w:val="auto"/>
          <w:kern w:val="2"/>
          <w:sz w:val="21"/>
          <w:szCs w:val="21"/>
          <w:highlight w:val="none"/>
        </w:rPr>
      </w:pPr>
      <w:r>
        <w:rPr>
          <w:rFonts w:hint="eastAsia" w:ascii="宋体" w:hAnsi="宋体" w:cs="宋体"/>
          <w:bCs/>
          <w:color w:val="auto"/>
          <w:kern w:val="2"/>
          <w:sz w:val="21"/>
          <w:szCs w:val="21"/>
          <w:highlight w:val="none"/>
        </w:rPr>
        <w:t>　　（三）获取磋商文件的供应商名单和磋商小组成员名单；</w:t>
      </w:r>
    </w:p>
    <w:p>
      <w:pPr>
        <w:pStyle w:val="26"/>
        <w:widowControl/>
        <w:adjustRightInd w:val="0"/>
        <w:snapToGrid w:val="0"/>
        <w:spacing w:before="0" w:beforeAutospacing="0" w:after="0" w:afterAutospacing="0" w:line="360" w:lineRule="auto"/>
        <w:jc w:val="both"/>
        <w:rPr>
          <w:rFonts w:ascii="宋体" w:hAnsi="宋体" w:cs="宋体"/>
          <w:bCs/>
          <w:color w:val="auto"/>
          <w:kern w:val="2"/>
          <w:sz w:val="21"/>
          <w:szCs w:val="21"/>
          <w:highlight w:val="none"/>
        </w:rPr>
      </w:pPr>
      <w:r>
        <w:rPr>
          <w:rFonts w:hint="eastAsia" w:ascii="宋体" w:hAnsi="宋体" w:cs="宋体"/>
          <w:bCs/>
          <w:color w:val="auto"/>
          <w:kern w:val="2"/>
          <w:sz w:val="21"/>
          <w:szCs w:val="21"/>
          <w:highlight w:val="none"/>
        </w:rPr>
        <w:t>　　（四）评审情况记录和说明，包括对供应商的资格审查情况、供应商响应文件评审情况、磋商情况、报价情况等；</w:t>
      </w:r>
    </w:p>
    <w:p>
      <w:pPr>
        <w:pStyle w:val="26"/>
        <w:widowControl/>
        <w:adjustRightInd w:val="0"/>
        <w:snapToGrid w:val="0"/>
        <w:spacing w:before="0" w:beforeAutospacing="0" w:after="0" w:afterAutospacing="0" w:line="360" w:lineRule="auto"/>
        <w:ind w:firstLine="420" w:firstLineChars="200"/>
        <w:jc w:val="both"/>
        <w:rPr>
          <w:rFonts w:ascii="宋体" w:hAnsi="宋体" w:cs="宋体"/>
          <w:bCs/>
          <w:color w:val="auto"/>
          <w:kern w:val="2"/>
          <w:sz w:val="21"/>
          <w:szCs w:val="21"/>
          <w:highlight w:val="none"/>
        </w:rPr>
      </w:pPr>
      <w:r>
        <w:rPr>
          <w:rFonts w:hint="eastAsia" w:ascii="宋体" w:hAnsi="宋体" w:cs="宋体"/>
          <w:bCs/>
          <w:color w:val="auto"/>
          <w:kern w:val="2"/>
          <w:sz w:val="21"/>
          <w:szCs w:val="21"/>
          <w:highlight w:val="none"/>
        </w:rPr>
        <w:t>（五）提出磋商成交候选供应商的排序名单及理由，确定</w:t>
      </w:r>
      <w:bookmarkStart w:id="58" w:name="OLE_LINK1"/>
      <w:r>
        <w:rPr>
          <w:rFonts w:hint="eastAsia" w:ascii="宋体" w:hAnsi="宋体" w:cs="宋体"/>
          <w:bCs/>
          <w:color w:val="auto"/>
          <w:kern w:val="2"/>
          <w:sz w:val="21"/>
          <w:szCs w:val="21"/>
          <w:highlight w:val="none"/>
        </w:rPr>
        <w:t>不超过3家</w:t>
      </w:r>
      <w:bookmarkEnd w:id="58"/>
      <w:r>
        <w:rPr>
          <w:rFonts w:hint="eastAsia" w:ascii="宋体" w:hAnsi="宋体" w:cs="宋体"/>
          <w:bCs/>
          <w:color w:val="auto"/>
          <w:kern w:val="2"/>
          <w:sz w:val="21"/>
          <w:szCs w:val="21"/>
          <w:highlight w:val="none"/>
        </w:rPr>
        <w:t>成交候选供应商。</w:t>
      </w:r>
    </w:p>
    <w:p>
      <w:pPr>
        <w:pStyle w:val="26"/>
        <w:widowControl/>
        <w:adjustRightInd w:val="0"/>
        <w:snapToGrid w:val="0"/>
        <w:spacing w:before="0" w:beforeAutospacing="0" w:after="0" w:afterAutospacing="0" w:line="360" w:lineRule="auto"/>
        <w:ind w:firstLine="420" w:firstLineChars="200"/>
        <w:jc w:val="both"/>
        <w:rPr>
          <w:rFonts w:ascii="宋体" w:hAnsi="宋体" w:cs="宋体"/>
          <w:bCs/>
          <w:color w:val="auto"/>
          <w:sz w:val="21"/>
          <w:szCs w:val="21"/>
          <w:highlight w:val="none"/>
        </w:rPr>
      </w:pPr>
      <w:r>
        <w:rPr>
          <w:rFonts w:hint="eastAsia" w:ascii="宋体" w:hAnsi="宋体" w:cs="宋体"/>
          <w:bCs/>
          <w:color w:val="auto"/>
          <w:kern w:val="2"/>
          <w:sz w:val="21"/>
          <w:szCs w:val="21"/>
          <w:highlight w:val="none"/>
        </w:rPr>
        <w:t>磋商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1"/>
        <w:rPr>
          <w:color w:val="auto"/>
          <w:highlight w:val="none"/>
        </w:rPr>
      </w:pP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21.1.响应供应商的报价均超过了采购预算，采购人不能支付的，磋商活动终止。</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22.1.在评标过程中出现法律法规和磋商文件均没有明确规定的情形时，由磋商小组现场协商解决，协商不一致的，由全体磋商小组投票表决，以得票率二分之一以上专家的意见为准。</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23.1.特别说明：</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1．磋商供应商磋商所使用的资格、信誉、荣誉、业绩与企业认证必须为本法人所拥有或按磋商文件规定。磋商供应商磋商所使用的采购项目实施人员必须为本法人员工（或必须为本法人或控股公司正式员工）。</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2．磋商供应商应仔细阅读竞争性磋商文件的所有内容，按照竞争性磋商文件的要求提交响应文件，并对所提供的全部资料的真实性承担法律责任。</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3．磋商供应商在磋商活动中提供任何虚假材料，其磋商无效，并报监管部门查处；中标后发现的，成交供应商须依照《中华人民共和国消费者权益保护法》 第49条之规定双倍赔偿采购人，且民事赔偿并不免除违法磋商供应商的行政与刑事责任。</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24.1. 低于成本报价</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磋商小组在评审过程中发现磋商供应商的总报价明显低于其他磋商供应商的总报价或者明显低于采购预算价，有理由怀疑其总报价可能低于其成本的，应当要求该磋商供应商做出书面说明并提供相关证明材料。磋商供应商不能合理说明或者不能提供相关证明材料的，视作该磋商供应商以低于成本报价磋商，其磋商无效。</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25.1. 最终磋商结束后，磋商小组不得再与磋商供应商进行任何形式的商谈。</w:t>
      </w:r>
    </w:p>
    <w:p>
      <w:pPr>
        <w:spacing w:line="440" w:lineRule="exact"/>
        <w:rPr>
          <w:rFonts w:ascii="宋体" w:hAnsi="宋体"/>
          <w:b/>
          <w:bCs/>
          <w:color w:val="auto"/>
          <w:szCs w:val="21"/>
          <w:highlight w:val="none"/>
        </w:rPr>
      </w:pPr>
      <w:r>
        <w:rPr>
          <w:rFonts w:hint="eastAsia" w:ascii="宋体" w:hAnsi="宋体"/>
          <w:b/>
          <w:bCs/>
          <w:color w:val="auto"/>
          <w:szCs w:val="21"/>
          <w:highlight w:val="none"/>
        </w:rPr>
        <w:t>六、确定成交供应商办法及结果公告</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26.采购代理机构应当在评审结束后2个工作日内将评审报告送采购人确认。采购人应当在收到评审报告后5个工作日，从评审报告提出的成交候选供应商中，按照排序由高到低的原则确定成交供应商，也可以书面授权磋商小组直接确定成交供应商。采购人逾期未确定成交供应商且不提出异议的，视为确定评审报告提出的拼序第一的供应商为成交供应商。</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27.采购代理机构应当在成交供应商确定后2 个工作日内，在竟争性磋商公告发布媒体上公告成交结果，同时向成交供应商发出成交通知书。</w:t>
      </w:r>
    </w:p>
    <w:p>
      <w:pPr>
        <w:spacing w:line="440" w:lineRule="exact"/>
        <w:ind w:firstLine="358" w:firstLineChars="170"/>
        <w:rPr>
          <w:rFonts w:ascii="宋体" w:hAnsi="宋体"/>
          <w:b/>
          <w:color w:val="auto"/>
          <w:szCs w:val="21"/>
          <w:highlight w:val="none"/>
        </w:rPr>
      </w:pPr>
    </w:p>
    <w:p>
      <w:pPr>
        <w:spacing w:line="360" w:lineRule="auto"/>
        <w:rPr>
          <w:rFonts w:ascii="宋体" w:hAnsi="宋体" w:cs="宋体"/>
          <w:color w:val="auto"/>
          <w:szCs w:val="21"/>
          <w:highlight w:val="none"/>
        </w:rPr>
      </w:pPr>
      <w:r>
        <w:rPr>
          <w:rFonts w:hint="eastAsia" w:ascii="宋体" w:hAnsi="宋体" w:cs="宋体"/>
          <w:b/>
          <w:bCs/>
          <w:color w:val="auto"/>
          <w:szCs w:val="21"/>
          <w:highlight w:val="none"/>
        </w:rPr>
        <w:t>28．保密</w:t>
      </w:r>
    </w:p>
    <w:p>
      <w:pPr>
        <w:autoSpaceDE w:val="0"/>
        <w:autoSpaceDN w:val="0"/>
        <w:adjustRightInd w:val="0"/>
        <w:snapToGrid w:val="0"/>
        <w:spacing w:line="360" w:lineRule="auto"/>
        <w:ind w:firstLine="105" w:firstLineChars="50"/>
        <w:rPr>
          <w:rFonts w:ascii="宋体" w:hAnsi="宋体" w:cs="宋体"/>
          <w:bCs/>
          <w:color w:val="auto"/>
          <w:szCs w:val="21"/>
          <w:highlight w:val="none"/>
        </w:rPr>
      </w:pPr>
      <w:r>
        <w:rPr>
          <w:rFonts w:hint="eastAsia" w:ascii="宋体" w:hAnsi="宋体" w:cs="宋体"/>
          <w:bCs/>
          <w:color w:val="auto"/>
          <w:szCs w:val="21"/>
          <w:highlight w:val="none"/>
        </w:rPr>
        <w:t>28.1.采购人、磋商小组、磋商会议工作人员等不得向任何供应商或与上述评审工作无关的人员透露有关响应文件的审查、澄清、评估和比较以及有关授予合同的意向的一切情况。</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 xml:space="preserve"> 28.2.供应商不得干扰采购人的评审活动，否则将被取消其竞争性磋商资格，并承担相应的法律责任。</w:t>
      </w:r>
    </w:p>
    <w:p>
      <w:pPr>
        <w:pStyle w:val="4"/>
        <w:rPr>
          <w:rFonts w:ascii="宋体" w:hAnsi="宋体" w:eastAsia="宋体" w:cs="宋体"/>
          <w:color w:val="auto"/>
          <w:sz w:val="21"/>
          <w:szCs w:val="21"/>
          <w:highlight w:val="none"/>
        </w:rPr>
      </w:pPr>
      <w:bookmarkStart w:id="59" w:name="_Toc475717134"/>
      <w:bookmarkStart w:id="60" w:name="_Toc5855"/>
      <w:bookmarkStart w:id="61" w:name="_Toc5858"/>
      <w:bookmarkStart w:id="62" w:name="_Toc6757"/>
      <w:r>
        <w:rPr>
          <w:rFonts w:hint="eastAsia" w:ascii="宋体" w:hAnsi="宋体" w:eastAsia="宋体" w:cs="宋体"/>
          <w:color w:val="auto"/>
          <w:sz w:val="21"/>
          <w:szCs w:val="21"/>
          <w:highlight w:val="none"/>
        </w:rPr>
        <w:t>七、无效响应文件确定</w:t>
      </w:r>
      <w:bookmarkEnd w:id="57"/>
      <w:bookmarkEnd w:id="59"/>
      <w:bookmarkEnd w:id="60"/>
      <w:bookmarkEnd w:id="61"/>
      <w:bookmarkEnd w:id="62"/>
    </w:p>
    <w:p>
      <w:pPr>
        <w:spacing w:line="360" w:lineRule="auto"/>
        <w:ind w:left="70"/>
        <w:rPr>
          <w:rFonts w:ascii="宋体" w:hAnsi="宋体" w:cs="宋体"/>
          <w:b/>
          <w:bCs/>
          <w:color w:val="auto"/>
          <w:szCs w:val="21"/>
          <w:highlight w:val="none"/>
        </w:rPr>
      </w:pPr>
      <w:r>
        <w:rPr>
          <w:rFonts w:hint="eastAsia" w:ascii="宋体" w:hAnsi="宋体" w:cs="宋体"/>
          <w:b/>
          <w:bCs/>
          <w:color w:val="auto"/>
          <w:szCs w:val="21"/>
          <w:highlight w:val="none"/>
        </w:rPr>
        <w:t>29.无效响应文件确定原则：</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（1）响应文件未按规定加密、签署、盖章的；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（2）响应文件中的内容与本采购项目内容不符的；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（3）竞争性磋商响应文件表格中的填写混乱，未按相应顺序填写；</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（4）私自更改本竞争性磋商文件中内容；</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（5）供应商相互串通或恶意报价的；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（6）提供虚假材料，骗取本项目供应商资格的；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（7）提供虚假竞争性磋商资料的；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（8）向采购主管单位、采购人、社会中介机构等行贿或者提供其他不正当利益的；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（9）拒绝有关部门的检查或者不如实反映情况、提供材料的；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（10）响应文件附有采购人不能接受的条件的；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（11）不具备竞争性磋商文件中规定资格要求的；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（12）实质上未响应竞争性磋商文件的；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（13）未按竞争性磋商文件规定要求签署、盖章的；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（14）其他违反法律法规规定的情形。</w:t>
      </w:r>
    </w:p>
    <w:p>
      <w:pPr>
        <w:pStyle w:val="4"/>
        <w:rPr>
          <w:rFonts w:ascii="宋体" w:hAnsi="宋体" w:eastAsia="宋体" w:cs="宋体"/>
          <w:color w:val="auto"/>
          <w:sz w:val="21"/>
          <w:szCs w:val="21"/>
          <w:highlight w:val="none"/>
        </w:rPr>
      </w:pPr>
      <w:bookmarkStart w:id="63" w:name="_Toc475717135"/>
      <w:bookmarkStart w:id="64" w:name="_Toc25747"/>
      <w:bookmarkStart w:id="65" w:name="_Toc22767"/>
      <w:bookmarkStart w:id="66" w:name="_Toc7286"/>
      <w:bookmarkStart w:id="67" w:name="_Toc328061880"/>
      <w:r>
        <w:rPr>
          <w:rFonts w:hint="eastAsia" w:ascii="宋体" w:hAnsi="宋体" w:eastAsia="宋体" w:cs="宋体"/>
          <w:color w:val="auto"/>
          <w:sz w:val="21"/>
          <w:szCs w:val="21"/>
          <w:highlight w:val="none"/>
        </w:rPr>
        <w:t>八、响应文件作废确定</w:t>
      </w:r>
      <w:bookmarkEnd w:id="63"/>
      <w:bookmarkEnd w:id="64"/>
      <w:bookmarkEnd w:id="65"/>
      <w:bookmarkEnd w:id="66"/>
      <w:bookmarkEnd w:id="67"/>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30.响应文件作废确定原则：</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（1）符合专业条件的供应商或者对竞争性磋商文件作出实质性响应的供应商不足2家的；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（2）出现影响采购公正的违法、违规行为的；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（3）因重大变故，采购任务取消的。</w:t>
      </w:r>
    </w:p>
    <w:p>
      <w:pPr>
        <w:pStyle w:val="4"/>
        <w:rPr>
          <w:rFonts w:ascii="宋体" w:hAnsi="宋体" w:eastAsia="宋体" w:cs="宋体"/>
          <w:color w:val="auto"/>
          <w:sz w:val="21"/>
          <w:szCs w:val="21"/>
          <w:highlight w:val="none"/>
        </w:rPr>
      </w:pPr>
      <w:bookmarkStart w:id="68" w:name="_Toc328061881"/>
      <w:bookmarkStart w:id="69" w:name="_Toc23609"/>
      <w:bookmarkStart w:id="70" w:name="_Toc4150"/>
      <w:bookmarkStart w:id="71" w:name="_Toc475717136"/>
      <w:bookmarkStart w:id="72" w:name="_Toc20606"/>
      <w:r>
        <w:rPr>
          <w:rFonts w:hint="eastAsia" w:ascii="宋体" w:hAnsi="宋体" w:eastAsia="宋体" w:cs="宋体"/>
          <w:color w:val="auto"/>
          <w:sz w:val="21"/>
          <w:szCs w:val="21"/>
          <w:highlight w:val="none"/>
        </w:rPr>
        <w:t>九、</w:t>
      </w:r>
      <w:bookmarkEnd w:id="68"/>
      <w:r>
        <w:rPr>
          <w:rFonts w:hint="eastAsia" w:ascii="宋体" w:hAnsi="宋体" w:eastAsia="宋体" w:cs="宋体"/>
          <w:color w:val="auto"/>
          <w:sz w:val="21"/>
          <w:szCs w:val="21"/>
          <w:highlight w:val="none"/>
        </w:rPr>
        <w:t>成交</w:t>
      </w:r>
      <w:bookmarkEnd w:id="69"/>
      <w:bookmarkEnd w:id="70"/>
      <w:bookmarkEnd w:id="71"/>
      <w:bookmarkEnd w:id="72"/>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31.成交准则：</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31.1.采购代理机构应当在磋商会议结束后2个工作日内将评审报告送采购人确认。</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31.2.采购人应当在收到评审报告后5个工作日内，从评审报告提出的成交候选供应商中，按照排序由高到低的原则等以排名顺序第一的成交候选供应商确定成交供应商。采购人逾期未确定成交供应商且不提出异议的，视为确定评审报告提出供应商为候选成交供应商。</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32.成交供应商服务能力及信誉</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采购人将审查成交供应商的服务能力及信誉，确定其是否能圆满地履行合同。</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33.成交公告与通知</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采购人或者采购代理机构应当在成交供应商确定后2个工作日内，在省级以上财政部门指定的政府采购信息发布媒体上公告成交结果，同时向成交供应商发出成交通知书。</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《成交通知书》将作为合同组成部分和签订合同的依据</w:t>
      </w:r>
      <w:bookmarkStart w:id="73" w:name="OLE_LINK4"/>
      <w:r>
        <w:rPr>
          <w:rFonts w:hint="eastAsia" w:ascii="宋体" w:hAnsi="宋体" w:cs="宋体"/>
          <w:bCs/>
          <w:color w:val="auto"/>
          <w:szCs w:val="21"/>
          <w:highlight w:val="none"/>
        </w:rPr>
        <w:t>。</w:t>
      </w:r>
    </w:p>
    <w:bookmarkEnd w:id="73"/>
    <w:p>
      <w:pPr>
        <w:pStyle w:val="4"/>
        <w:rPr>
          <w:rFonts w:ascii="宋体" w:hAnsi="宋体" w:eastAsia="宋体" w:cs="宋体"/>
          <w:color w:val="auto"/>
          <w:sz w:val="21"/>
          <w:szCs w:val="21"/>
          <w:highlight w:val="none"/>
        </w:rPr>
      </w:pPr>
      <w:bookmarkStart w:id="74" w:name="_Toc10844"/>
      <w:bookmarkStart w:id="75" w:name="_Toc28108"/>
      <w:bookmarkStart w:id="76" w:name="_Toc23867"/>
      <w:bookmarkStart w:id="77" w:name="_Toc328061882"/>
      <w:bookmarkStart w:id="78" w:name="_Toc475717137"/>
      <w:r>
        <w:rPr>
          <w:rFonts w:hint="eastAsia" w:ascii="宋体" w:hAnsi="宋体" w:eastAsia="宋体" w:cs="宋体"/>
          <w:color w:val="auto"/>
          <w:sz w:val="21"/>
          <w:szCs w:val="21"/>
          <w:highlight w:val="none"/>
        </w:rPr>
        <w:t>十一、合同</w:t>
      </w:r>
      <w:bookmarkEnd w:id="74"/>
      <w:bookmarkEnd w:id="75"/>
      <w:bookmarkEnd w:id="76"/>
      <w:bookmarkEnd w:id="77"/>
      <w:bookmarkEnd w:id="78"/>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34.签订合同</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34.1. 成交供应商应当按照《成交通知书》中指定的时间、地点与采购人按照本竞争性磋商文件和成交供应商的最终确认文件订立书面合同。</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34.2. 本竞争性磋商文件、成交供应商的响应文件及其澄清文件均为磋商性框架文件等，以最终磋商成交的结果为签订合同的依据。</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34.3.签订的合同须由采购人或成交供应商递交到相关行政主管部门备案。</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34.4.有以下情形之一的，订立的合同无效：</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（1）一方以欺诈、胁迫的手段订立合同，损害国家利益的；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（2）恶意串通，损害国家、集体或者第三方利益的；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（3）以合法形式掩盖非法目的的；</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（4）损害社会公共利益；</w:t>
      </w:r>
    </w:p>
    <w:p>
      <w:pPr>
        <w:autoSpaceDE w:val="0"/>
        <w:autoSpaceDN w:val="0"/>
        <w:adjustRightInd w:val="0"/>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rPr>
        <w:t>（5）违反法律、行政法规的强制性规定的。</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十二、成交代理服务费</w:t>
      </w:r>
    </w:p>
    <w:p>
      <w:pPr>
        <w:spacing w:line="360" w:lineRule="auto"/>
        <w:rPr>
          <w:rFonts w:ascii="宋体" w:hAnsi="宋体" w:cs="宋体"/>
          <w:color w:val="auto"/>
          <w:szCs w:val="21"/>
          <w:highlight w:val="none"/>
        </w:rPr>
      </w:pPr>
      <w:r>
        <w:rPr>
          <w:rFonts w:hint="eastAsia" w:ascii="宋体" w:hAnsi="宋体" w:cs="宋体"/>
          <w:bCs/>
          <w:color w:val="auto"/>
          <w:szCs w:val="21"/>
          <w:highlight w:val="none"/>
        </w:rPr>
        <w:t>35.</w:t>
      </w:r>
      <w:bookmarkStart w:id="79" w:name="_Toc328061884"/>
      <w:r>
        <w:rPr>
          <w:rFonts w:hint="eastAsia" w:ascii="宋体" w:hAnsi="宋体" w:cs="宋体"/>
          <w:color w:val="auto"/>
          <w:sz w:val="22"/>
          <w:szCs w:val="22"/>
          <w:highlight w:val="none"/>
        </w:rPr>
        <w:t>成交代理服务费：</w:t>
      </w:r>
      <w:r>
        <w:rPr>
          <w:rFonts w:hint="eastAsia" w:ascii="宋体" w:hAnsi="宋体" w:cs="宋体"/>
          <w:color w:val="auto"/>
          <w:sz w:val="22"/>
          <w:szCs w:val="22"/>
          <w:highlight w:val="none"/>
          <w:lang w:eastAsia="zh-CN"/>
        </w:rPr>
        <w:t>人民币贰万贰仟贰佰元整（￥22200.00）</w:t>
      </w:r>
      <w:r>
        <w:rPr>
          <w:rFonts w:hint="eastAsia" w:ascii="宋体" w:hAnsi="宋体" w:cs="宋体"/>
          <w:color w:val="auto"/>
          <w:sz w:val="22"/>
          <w:szCs w:val="22"/>
          <w:highlight w:val="none"/>
        </w:rPr>
        <w:t xml:space="preserve">，由成交供应商支付。 </w:t>
      </w:r>
    </w:p>
    <w:p>
      <w:pPr>
        <w:autoSpaceDE w:val="0"/>
        <w:autoSpaceDN w:val="0"/>
        <w:adjustRightInd w:val="0"/>
        <w:snapToGrid w:val="0"/>
        <w:spacing w:line="360" w:lineRule="auto"/>
        <w:ind w:firstLine="420" w:firstLineChars="200"/>
        <w:rPr>
          <w:rFonts w:ascii="宋体" w:hAnsi="宋体" w:cs="宋体"/>
          <w:bCs/>
          <w:color w:val="auto"/>
          <w:szCs w:val="21"/>
          <w:highlight w:val="none"/>
        </w:rPr>
      </w:pPr>
    </w:p>
    <w:p>
      <w:pPr>
        <w:autoSpaceDE w:val="0"/>
        <w:autoSpaceDN w:val="0"/>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十三、质疑及投诉</w:t>
      </w:r>
      <w:bookmarkEnd w:id="79"/>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36.1.潜在供应商已依法获取其可质疑的采购文件的，可以对该文件提出质疑。对采购文件提出质疑的，应当在获取采购文件或者采购文件公告期限届满之日起7个工作日内提出；供应商认为招标过程使自己的合法权益受到损害的，应当在各采购程序环节结束之日起7个工作日内，以书面形式向采购人、采购代理机构提出质疑；供应商认为中标结果使自己的合法权益受到损害的，应当在成交结果公告期限（成交结果公告期限为1个工作日）届满之日起7个工作日内，以书面形式向采购人、采购代理机构提出质疑。供应商应一次性提出针对同一采购程序环节的质疑。供应商对招标采购人的质疑答复不满意或者招标采购人未在规定时间内作出答复的，可以在答复期满后 15 个工作日内向同级政府采购监督管理部门投诉。</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36.2.磋商供应商提出质疑、投诉，应当遵守中华人民共和国财政部令第94号《政府采购质疑和投诉办法》的相关规定，且采用书面形式。质疑书、投诉书均应明确阐述采购文件、采购过程或成交结果中使自己合法权益受到损害的实质性内容，并提供相关事实、依据和证据及其来源。</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36.3.递交质疑函的联系事项：</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接收部门：广西宝盛工程咨询有限公司</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 xml:space="preserve">联系电话：0775-4360008     </w:t>
      </w:r>
    </w:p>
    <w:p>
      <w:pPr>
        <w:spacing w:line="440" w:lineRule="exact"/>
        <w:ind w:firstLine="357" w:firstLineChars="170"/>
        <w:rPr>
          <w:rFonts w:ascii="宋体" w:hAnsi="宋体"/>
          <w:color w:val="auto"/>
          <w:szCs w:val="21"/>
          <w:highlight w:val="none"/>
        </w:rPr>
      </w:pPr>
      <w:r>
        <w:rPr>
          <w:rFonts w:hint="eastAsia" w:ascii="宋体" w:hAnsi="宋体"/>
          <w:color w:val="auto"/>
          <w:szCs w:val="21"/>
          <w:highlight w:val="none"/>
        </w:rPr>
        <w:t>地址：贵港市港北区中央花园2楼201</w:t>
      </w:r>
    </w:p>
    <w:p>
      <w:pPr>
        <w:pStyle w:val="11"/>
        <w:ind w:firstLine="422" w:firstLineChars="200"/>
        <w:rPr>
          <w:color w:val="auto"/>
          <w:highlight w:val="none"/>
        </w:rPr>
      </w:pPr>
      <w:r>
        <w:rPr>
          <w:rFonts w:hint="eastAsia" w:ascii="宋体" w:hAnsi="宋体"/>
          <w:b/>
          <w:color w:val="auto"/>
          <w:szCs w:val="21"/>
          <w:highlight w:val="none"/>
        </w:rPr>
        <w:t>如不按政府采购相关规定及上述要求质疑或投诉的，视为无效质疑或无效投诉，不予受理。</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处理投诉事项期间，财政部门可以视具体情况暂停签订合同等活动，但暂停时间最长不得超过三十日。</w:t>
      </w:r>
    </w:p>
    <w:p>
      <w:pPr>
        <w:keepNext/>
        <w:keepLines/>
        <w:spacing w:line="416" w:lineRule="auto"/>
        <w:rPr>
          <w:rFonts w:ascii="宋体" w:hAnsi="宋体" w:cs="宋体"/>
          <w:b/>
          <w:bCs/>
          <w:color w:val="auto"/>
          <w:szCs w:val="21"/>
          <w:highlight w:val="none"/>
        </w:rPr>
      </w:pPr>
      <w:bookmarkStart w:id="80" w:name="_Toc475717138"/>
      <w:bookmarkStart w:id="81" w:name="_Toc328061885"/>
      <w:r>
        <w:rPr>
          <w:rFonts w:hint="eastAsia" w:ascii="宋体" w:hAnsi="宋体" w:cs="宋体"/>
          <w:b/>
          <w:bCs/>
          <w:color w:val="auto"/>
          <w:szCs w:val="21"/>
          <w:highlight w:val="none"/>
        </w:rPr>
        <w:t>十三、法律责任</w:t>
      </w:r>
      <w:bookmarkEnd w:id="80"/>
      <w:bookmarkEnd w:id="81"/>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 37.采购人有下列情形之一的，责令限期改正，给予警告，可以按照有关法律规定并处罚款，对直接负责的主管人员和其他直接责任人员，由其行政主管部门或者有关机关依法给予处分，并予通报：</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(1)应当采用政府采购方式而擅自采用其他方式采购的；</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(2)应当在财政部门指定的政府采购信息发布媒体上公告信息而未公告的；</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(3)将必须进行政府采购的项目化整为零或者以其他任何方式规避政府采购的；</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(4)以不合理的要求限制或者排斥潜在供应商，对潜在供应商实行差别待遇或者歧视待遇，或者竞争性磋商文件指定特定的供应商、含有倾向性或者排斥潜在供应商的其他内容的；</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(5)磋商小组组成不符合法律法规规定的；</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(6)无正当理由不按照依法推荐的成交候选供应商顺序确定成交供应商，或者在磋商小组依法推荐的成交候选供应商以外确定成交供应商的；</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(7)在竞争性磋商过程中与供应商进行协商，或者不按照竞争性磋商文件和成交供应商的响应文件确定的事项签订政府采购合同，或者与成交供应商另行订立背离合同实质性内容的协议的；</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(8)成交通知书发出后无正当理由不与成交供应商签订采购合同的；</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 (9)拒绝有关部门依法实施监督检查的。</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38.竞争性磋商采购单位及其工作人员有下列情形之一，构成犯罪的，依法追究刑事责任；尚不构成犯罪的，按照有关法律规定处以罚款，有违法所得的，并处没收违法所得，由其行政主管部门或者有关机关依法给予处分，并予通报：</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(1)与供应商恶意串通的；</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(2)在采购过程中接受贿赂或者获取其他不正当利益的；</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(3)在有关部门依法实施的监督检查中提供虚假情况的；</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(4)响应文件开启前泄露已获取竞争性磋商文件的潜在供应商的名称、数量或者其他可能影响公平竞争的有关竞争性磋商情况的。</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39.有本办法第37条、第38条违法行为之一，并且影响或者可能影响成交结果的，应当按照下列情况分别处理：</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(1)未确定成交候选供应商的，终止竞争性磋商活动，依法重新组织竞争性磋商采购；</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(2)成交候选供应商已经确定但采购合同尚未履行的，撤销合同，从成交候选供应商中按顺序另行确定成交供应商；</w:t>
      </w:r>
    </w:p>
    <w:p>
      <w:pPr>
        <w:autoSpaceDE w:val="0"/>
        <w:autoSpaceDN w:val="0"/>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(3)采购合同已经履行的，给采购人、供应商造成损失的，由责任人承担赔偿责任。</w:t>
      </w:r>
    </w:p>
    <w:p>
      <w:pPr>
        <w:autoSpaceDE w:val="0"/>
        <w:autoSpaceDN w:val="0"/>
        <w:adjustRightInd w:val="0"/>
        <w:snapToGrid w:val="0"/>
        <w:spacing w:line="360" w:lineRule="auto"/>
        <w:rPr>
          <w:rFonts w:ascii="宋体" w:hAnsi="宋体" w:cs="宋体"/>
          <w:b/>
          <w:color w:val="auto"/>
          <w:sz w:val="28"/>
          <w:szCs w:val="28"/>
          <w:highlight w:val="none"/>
        </w:rPr>
        <w:sectPr>
          <w:pgSz w:w="11906" w:h="16838"/>
          <w:pgMar w:top="1134" w:right="851" w:bottom="1134" w:left="1134" w:header="851" w:footer="992" w:gutter="0"/>
          <w:pgNumType w:start="1"/>
          <w:cols w:space="720" w:num="1"/>
          <w:titlePg/>
          <w:docGrid w:type="lines" w:linePitch="312" w:charSpace="0"/>
        </w:sectPr>
      </w:pPr>
    </w:p>
    <w:p>
      <w:pPr>
        <w:pStyle w:val="3"/>
        <w:adjustRightInd w:val="0"/>
        <w:snapToGrid w:val="0"/>
        <w:spacing w:before="0" w:after="0" w:line="360" w:lineRule="auto"/>
        <w:jc w:val="center"/>
        <w:rPr>
          <w:rFonts w:ascii="宋体" w:hAnsi="宋体" w:cs="宋体"/>
          <w:color w:val="auto"/>
          <w:sz w:val="28"/>
          <w:szCs w:val="28"/>
          <w:highlight w:val="none"/>
        </w:rPr>
      </w:pPr>
      <w:bookmarkStart w:id="82" w:name="_Toc29026"/>
      <w:r>
        <w:rPr>
          <w:rFonts w:hint="eastAsia" w:ascii="宋体" w:hAnsi="宋体" w:cs="宋体"/>
          <w:color w:val="auto"/>
          <w:sz w:val="28"/>
          <w:szCs w:val="28"/>
          <w:highlight w:val="none"/>
        </w:rPr>
        <w:t>第三章  采购服务需求</w:t>
      </w:r>
      <w:bookmarkEnd w:id="82"/>
    </w:p>
    <w:p>
      <w:pPr>
        <w:keepNext w:val="0"/>
        <w:keepLines w:val="0"/>
        <w:pageBreakBefore w:val="0"/>
        <w:widowControl/>
        <w:kinsoku/>
        <w:wordWrap/>
        <w:overflowPunct/>
        <w:topLinePunct w:val="0"/>
        <w:autoSpaceDE/>
        <w:autoSpaceDN/>
        <w:bidi w:val="0"/>
        <w:adjustRightInd/>
        <w:snapToGrid/>
        <w:spacing w:line="500" w:lineRule="exact"/>
        <w:ind w:firstLine="407" w:firstLineChars="193"/>
        <w:textAlignment w:val="baseline"/>
        <w:outlineLvl w:val="2"/>
        <w:rPr>
          <w:rFonts w:hint="eastAsia" w:ascii="宋体" w:hAnsi="宋体" w:eastAsia="宋体" w:cs="宋体"/>
          <w:b/>
          <w:bCs/>
          <w:color w:val="auto"/>
          <w:sz w:val="21"/>
          <w:szCs w:val="21"/>
          <w:highlight w:val="none"/>
        </w:rPr>
      </w:pPr>
      <w:bookmarkStart w:id="83" w:name="_Toc3015"/>
      <w:bookmarkStart w:id="84" w:name="_Toc472629323"/>
      <w:r>
        <w:rPr>
          <w:rFonts w:hint="eastAsia" w:ascii="宋体" w:hAnsi="宋体" w:eastAsia="宋体" w:cs="宋体"/>
          <w:b/>
          <w:bCs/>
          <w:color w:val="auto"/>
          <w:sz w:val="21"/>
          <w:szCs w:val="21"/>
          <w:highlight w:val="none"/>
          <w:lang w:eastAsia="zh-CN"/>
        </w:rPr>
        <w:t>一、</w:t>
      </w:r>
      <w:r>
        <w:rPr>
          <w:rFonts w:hint="eastAsia" w:ascii="宋体" w:hAnsi="宋体" w:eastAsia="宋体" w:cs="宋体"/>
          <w:b/>
          <w:bCs/>
          <w:color w:val="auto"/>
          <w:sz w:val="21"/>
          <w:szCs w:val="21"/>
          <w:highlight w:val="none"/>
        </w:rPr>
        <w:t>项目背景</w:t>
      </w:r>
      <w:bookmarkEnd w:id="83"/>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近年来</w:t>
      </w:r>
      <w:r>
        <w:rPr>
          <w:rFonts w:hint="eastAsia" w:ascii="宋体" w:hAnsi="宋体" w:eastAsia="宋体" w:cs="宋体"/>
          <w:bCs/>
          <w:color w:val="auto"/>
          <w:sz w:val="21"/>
          <w:szCs w:val="21"/>
          <w:highlight w:val="none"/>
          <w:lang w:eastAsia="zh-CN"/>
        </w:rPr>
        <w:t>桂平</w:t>
      </w:r>
      <w:r>
        <w:rPr>
          <w:rFonts w:hint="eastAsia" w:ascii="宋体" w:hAnsi="宋体" w:eastAsia="宋体" w:cs="宋体"/>
          <w:bCs/>
          <w:color w:val="auto"/>
          <w:sz w:val="21"/>
          <w:szCs w:val="21"/>
          <w:highlight w:val="none"/>
        </w:rPr>
        <w:t>市城市建设迅猛发展，房地产交易市场活跃，房地产开发项目呈井喷式增长,符合土地增值税清算条件的房地产开发项目日渐增多。为进一步加强和规范</w:t>
      </w:r>
      <w:r>
        <w:rPr>
          <w:rFonts w:hint="eastAsia" w:ascii="宋体" w:hAnsi="宋体" w:eastAsia="宋体" w:cs="宋体"/>
          <w:bCs/>
          <w:color w:val="auto"/>
          <w:sz w:val="21"/>
          <w:szCs w:val="21"/>
          <w:highlight w:val="none"/>
          <w:lang w:eastAsia="zh-CN"/>
        </w:rPr>
        <w:t>桂平</w:t>
      </w:r>
      <w:r>
        <w:rPr>
          <w:rFonts w:hint="eastAsia" w:ascii="宋体" w:hAnsi="宋体" w:eastAsia="宋体" w:cs="宋体"/>
          <w:bCs/>
          <w:color w:val="auto"/>
          <w:sz w:val="21"/>
          <w:szCs w:val="21"/>
          <w:highlight w:val="none"/>
        </w:rPr>
        <w:t>市房地产开发企业土地增值税清算工作，根据《中华人民共和国税收征收管理法》及其实施细则、《中华人民共和国土地增值税暂行条例》及其实施细则、《国家税务总局关于印发&lt;土地增值税清算鉴证业务准则&gt;的通知》（国税发〔2007〕132号）、《国家税务总局关于印发〈土地增值税清算管理规程〉的通知》（国税发〔2009〕91号）、《广西壮族自治区房地产开发项目土地增值税管理办法（试行）》（国家税务总局广西壮族自治区税务局2018年第1号公告</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以下简称</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1号公告</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）的有关文件规定和精神，落实</w:t>
      </w:r>
      <w:r>
        <w:rPr>
          <w:rFonts w:hint="eastAsia" w:ascii="宋体" w:hAnsi="宋体" w:eastAsia="宋体" w:cs="宋体"/>
          <w:bCs/>
          <w:color w:val="auto"/>
          <w:sz w:val="21"/>
          <w:szCs w:val="21"/>
          <w:highlight w:val="none"/>
          <w:lang w:eastAsia="zh-CN"/>
        </w:rPr>
        <w:t>桂平</w:t>
      </w:r>
      <w:r>
        <w:rPr>
          <w:rFonts w:hint="eastAsia" w:ascii="宋体" w:hAnsi="宋体" w:eastAsia="宋体" w:cs="宋体"/>
          <w:bCs/>
          <w:color w:val="auto"/>
          <w:sz w:val="21"/>
          <w:szCs w:val="21"/>
          <w:highlight w:val="none"/>
        </w:rPr>
        <w:t>市人民政府的工作部署，借鉴外地经验做法，决定</w:t>
      </w:r>
      <w:r>
        <w:rPr>
          <w:rFonts w:hint="eastAsia" w:ascii="宋体" w:hAnsi="宋体" w:eastAsia="宋体" w:cs="宋体"/>
          <w:bCs/>
          <w:color w:val="auto"/>
          <w:sz w:val="21"/>
          <w:szCs w:val="21"/>
          <w:highlight w:val="none"/>
          <w:lang w:eastAsia="zh-CN"/>
        </w:rPr>
        <w:t>组织</w:t>
      </w:r>
      <w:r>
        <w:rPr>
          <w:rFonts w:hint="eastAsia" w:ascii="宋体" w:hAnsi="宋体" w:eastAsia="宋体" w:cs="宋体"/>
          <w:bCs/>
          <w:color w:val="auto"/>
          <w:sz w:val="21"/>
          <w:szCs w:val="21"/>
          <w:highlight w:val="none"/>
        </w:rPr>
        <w:t>开展土地增值税清算工作，通过引入第三方专业机构，协助解决土地增值税清算难点、堵点问题。</w:t>
      </w:r>
    </w:p>
    <w:p>
      <w:pPr>
        <w:keepNext w:val="0"/>
        <w:keepLines w:val="0"/>
        <w:pageBreakBefore w:val="0"/>
        <w:widowControl/>
        <w:kinsoku/>
        <w:wordWrap/>
        <w:overflowPunct/>
        <w:topLinePunct w:val="0"/>
        <w:autoSpaceDE/>
        <w:autoSpaceDN/>
        <w:bidi w:val="0"/>
        <w:adjustRightInd/>
        <w:snapToGrid/>
        <w:spacing w:line="500" w:lineRule="exact"/>
        <w:ind w:firstLine="407" w:firstLineChars="193"/>
        <w:textAlignment w:val="baseline"/>
        <w:outlineLvl w:val="2"/>
        <w:rPr>
          <w:rFonts w:hint="eastAsia" w:ascii="宋体" w:hAnsi="宋体" w:eastAsia="宋体" w:cs="宋体"/>
          <w:b/>
          <w:bCs/>
          <w:color w:val="auto"/>
          <w:sz w:val="21"/>
          <w:szCs w:val="21"/>
          <w:highlight w:val="none"/>
        </w:rPr>
      </w:pPr>
      <w:bookmarkStart w:id="85" w:name="_Toc6906"/>
      <w:r>
        <w:rPr>
          <w:rFonts w:hint="eastAsia" w:ascii="宋体" w:hAnsi="宋体" w:eastAsia="宋体" w:cs="宋体"/>
          <w:b/>
          <w:bCs/>
          <w:color w:val="auto"/>
          <w:sz w:val="21"/>
          <w:szCs w:val="21"/>
          <w:highlight w:val="none"/>
          <w:lang w:eastAsia="zh-CN"/>
        </w:rPr>
        <w:t>二、</w:t>
      </w:r>
      <w:r>
        <w:rPr>
          <w:rFonts w:hint="eastAsia" w:ascii="宋体" w:hAnsi="宋体" w:eastAsia="宋体" w:cs="宋体"/>
          <w:b/>
          <w:bCs/>
          <w:color w:val="auto"/>
          <w:sz w:val="21"/>
          <w:szCs w:val="21"/>
          <w:highlight w:val="none"/>
        </w:rPr>
        <w:t>工作任务</w:t>
      </w:r>
      <w:bookmarkEnd w:id="85"/>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1.要协助税务机关对桂平市“香江一号”“金源华府”两个房地产开发项目是否符合土地增值税清算条件进行判定。</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2.成交供应商要配合税务机关做好房地产开发项目土地增值税清算受理资料真实性、准确性、完整性、合法性的审查工作，并按要求对清算申报资料做好系统信息采集录入和档案资料归整工作。</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3.成交供应商按照相关法律、法规及其他有关规定，对土地增值税清算项目出具含有鉴证结论或鉴证意见的《土地增值税清算税款鉴证报告》（以下简称报告），并按照1号公告附件要求提交相关成果表单。</w:t>
      </w:r>
    </w:p>
    <w:p>
      <w:pPr>
        <w:keepNext w:val="0"/>
        <w:keepLines w:val="0"/>
        <w:pageBreakBefore w:val="0"/>
        <w:widowControl/>
        <w:kinsoku/>
        <w:wordWrap/>
        <w:overflowPunct/>
        <w:topLinePunct w:val="0"/>
        <w:autoSpaceDE/>
        <w:autoSpaceDN/>
        <w:bidi w:val="0"/>
        <w:adjustRightInd/>
        <w:snapToGrid/>
        <w:spacing w:line="500" w:lineRule="exact"/>
        <w:ind w:firstLine="407" w:firstLineChars="193"/>
        <w:textAlignment w:val="baseline"/>
        <w:outlineLvl w:val="2"/>
        <w:rPr>
          <w:rFonts w:hint="eastAsia" w:ascii="宋体" w:hAnsi="宋体" w:eastAsia="宋体" w:cs="宋体"/>
          <w:b/>
          <w:bCs/>
          <w:color w:val="auto"/>
          <w:sz w:val="21"/>
          <w:szCs w:val="21"/>
          <w:highlight w:val="none"/>
        </w:rPr>
      </w:pPr>
      <w:bookmarkStart w:id="86" w:name="_Toc470"/>
      <w:r>
        <w:rPr>
          <w:rFonts w:hint="eastAsia" w:ascii="宋体" w:hAnsi="宋体" w:eastAsia="宋体" w:cs="宋体"/>
          <w:b/>
          <w:bCs/>
          <w:color w:val="auto"/>
          <w:sz w:val="21"/>
          <w:szCs w:val="21"/>
          <w:highlight w:val="none"/>
          <w:lang w:eastAsia="zh-CN"/>
        </w:rPr>
        <w:t>三、</w:t>
      </w:r>
      <w:r>
        <w:rPr>
          <w:rFonts w:hint="eastAsia" w:ascii="宋体" w:hAnsi="宋体" w:eastAsia="宋体" w:cs="宋体"/>
          <w:b/>
          <w:bCs/>
          <w:color w:val="auto"/>
          <w:sz w:val="21"/>
          <w:szCs w:val="21"/>
          <w:highlight w:val="none"/>
        </w:rPr>
        <w:t>服务要求</w:t>
      </w:r>
      <w:bookmarkEnd w:id="86"/>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r>
        <w:rPr>
          <w:rFonts w:hint="eastAsia" w:ascii="宋体" w:hAnsi="宋体" w:eastAsia="宋体" w:cs="宋体"/>
          <w:bCs/>
          <w:color w:val="auto"/>
          <w:sz w:val="21"/>
          <w:szCs w:val="21"/>
          <w:highlight w:val="none"/>
          <w:lang w:val="en-US" w:eastAsia="zh-CN"/>
        </w:rPr>
        <w:t>.</w:t>
      </w:r>
      <w:r>
        <w:rPr>
          <w:rFonts w:hint="eastAsia" w:ascii="宋体" w:hAnsi="宋体" w:eastAsia="宋体" w:cs="宋体"/>
          <w:bCs/>
          <w:color w:val="auto"/>
          <w:sz w:val="21"/>
          <w:szCs w:val="21"/>
          <w:highlight w:val="none"/>
        </w:rPr>
        <w:t>成交供应商需配合税务机关将清算核查项目申报资料导入“土地增值税清算核查管理系统工具”（以下简称“系统工具”）。并对导入“系统工具”申报资料进行比对分析，提出审核重点方向；在“系统工具”中对受理中标清算项目提供的电子和纸质资料的真实性、准确性、完整性、合法性的审查工作，按照相关法律、法规及其他有关规定，在“系统工具”出具含有鉴证结论或鉴证意见的《土地增值税清算税款鉴证报告》（以下简称报告），按照1号公告附件要求提交相关成果表单，并提供土地增值税清算</w:t>
      </w:r>
      <w:r>
        <w:rPr>
          <w:rStyle w:val="77"/>
          <w:rFonts w:hint="eastAsia" w:ascii="宋体" w:hAnsi="宋体" w:eastAsia="宋体" w:cs="宋体"/>
          <w:color w:val="auto"/>
          <w:sz w:val="21"/>
          <w:szCs w:val="21"/>
          <w:highlight w:val="none"/>
        </w:rPr>
        <w:t>辅助审核的</w:t>
      </w:r>
      <w:r>
        <w:rPr>
          <w:rFonts w:hint="eastAsia" w:ascii="宋体" w:hAnsi="宋体" w:eastAsia="宋体" w:cs="宋体"/>
          <w:bCs/>
          <w:color w:val="auto"/>
          <w:sz w:val="21"/>
          <w:szCs w:val="21"/>
          <w:highlight w:val="none"/>
        </w:rPr>
        <w:t>全过程电子系统档案交由税务机关永久保存，为了确保本次土地增值税清算辅助审核服务的顺利完成，成交供应商如不能满足税务机关的审核要求，采购单位有权终止合同，</w:t>
      </w:r>
      <w:r>
        <w:rPr>
          <w:rFonts w:hint="eastAsia" w:ascii="宋体" w:hAnsi="宋体" w:eastAsia="宋体" w:cs="宋体"/>
          <w:color w:val="auto"/>
          <w:sz w:val="21"/>
          <w:szCs w:val="21"/>
          <w:highlight w:val="none"/>
        </w:rPr>
        <w:t>由此造成的损失，全部由成交供应商自行承担</w:t>
      </w:r>
      <w:r>
        <w:rPr>
          <w:rFonts w:hint="eastAsia" w:ascii="宋体" w:hAnsi="宋体" w:eastAsia="宋体" w:cs="宋体"/>
          <w:bCs/>
          <w:color w:val="auto"/>
          <w:sz w:val="21"/>
          <w:szCs w:val="21"/>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420" w:firstLineChars="200"/>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2.出具报告内容要求</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成交供应商必须按照相关法律、法规及其他有关规定，对土地增值税清算项目实施必要的审核程序后，出具含有鉴证结论或鉴证意见的报告，并按照1号公告附件要求提交相关成果表单。报告应能完整反映房地产公司基本情况、清算项目概况、项目建设情况、项目销售情况、缴纳税款情况及清算审核情况。具体包含以下内容，并实施必要的信息披露：</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2.1</w:t>
      </w:r>
      <w:r>
        <w:rPr>
          <w:rFonts w:hint="eastAsia" w:ascii="宋体" w:hAnsi="宋体" w:eastAsia="宋体" w:cs="宋体"/>
          <w:bCs/>
          <w:color w:val="auto"/>
          <w:sz w:val="21"/>
          <w:szCs w:val="21"/>
          <w:highlight w:val="none"/>
        </w:rPr>
        <w:t>企业基本情况：包括成立日期、税务登记证号、地址、法人代表、注册资本、投资总额、企业类型、经营范围等。其中，对公司股权结构情况予以重点说明，并附列所有与清算项目相关的关联企业名单。</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2.2</w:t>
      </w:r>
      <w:r>
        <w:rPr>
          <w:rFonts w:hint="eastAsia" w:ascii="宋体" w:hAnsi="宋体" w:eastAsia="宋体" w:cs="宋体"/>
          <w:bCs/>
          <w:color w:val="auto"/>
          <w:sz w:val="21"/>
          <w:szCs w:val="21"/>
          <w:highlight w:val="none"/>
        </w:rPr>
        <w:t>项目基本情况</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2.2.1</w:t>
      </w:r>
      <w:r>
        <w:rPr>
          <w:rFonts w:hint="eastAsia" w:ascii="宋体" w:hAnsi="宋体" w:eastAsia="宋体" w:cs="宋体"/>
          <w:bCs/>
          <w:color w:val="auto"/>
          <w:sz w:val="21"/>
          <w:szCs w:val="21"/>
          <w:highlight w:val="none"/>
        </w:rPr>
        <w:t>项目概况：包括项目名称及地址、开发类型、占地面积、批文情况等。</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2.2.2</w:t>
      </w:r>
      <w:r>
        <w:rPr>
          <w:rFonts w:hint="eastAsia" w:ascii="宋体" w:hAnsi="宋体" w:eastAsia="宋体" w:cs="宋体"/>
          <w:bCs/>
          <w:color w:val="auto"/>
          <w:sz w:val="21"/>
          <w:szCs w:val="21"/>
          <w:highlight w:val="none"/>
        </w:rPr>
        <w:t>项目建设规模：列明总建筑面积、公共配套面积、可售面积，并分别说明各清算类型的建设规模。</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2.2.3</w:t>
      </w:r>
      <w:r>
        <w:rPr>
          <w:rFonts w:hint="eastAsia" w:ascii="宋体" w:hAnsi="宋体" w:eastAsia="宋体" w:cs="宋体"/>
          <w:bCs/>
          <w:color w:val="auto"/>
          <w:sz w:val="21"/>
          <w:szCs w:val="21"/>
          <w:highlight w:val="none"/>
        </w:rPr>
        <w:t>项目建设情况：简要描述项目取得土地、立项、建设、开发、测绘、验收各个环节进度和基本情况。</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2.2.4</w:t>
      </w:r>
      <w:r>
        <w:rPr>
          <w:rFonts w:hint="eastAsia" w:ascii="宋体" w:hAnsi="宋体" w:eastAsia="宋体" w:cs="宋体"/>
          <w:bCs/>
          <w:color w:val="auto"/>
          <w:sz w:val="21"/>
          <w:szCs w:val="21"/>
          <w:highlight w:val="none"/>
        </w:rPr>
        <w:t>项目销售情况：列明取得预售许可证情况，实际开始销售日期以及按房屋类型分类的可售面积、已售面积、未售面积、销售收入等。</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2.2.5</w:t>
      </w:r>
      <w:r>
        <w:rPr>
          <w:rFonts w:hint="eastAsia" w:ascii="宋体" w:hAnsi="宋体" w:eastAsia="宋体" w:cs="宋体"/>
          <w:bCs/>
          <w:color w:val="auto"/>
          <w:sz w:val="21"/>
          <w:szCs w:val="21"/>
          <w:highlight w:val="none"/>
        </w:rPr>
        <w:t>企业会计政策和税收政策：说明公司执行的会计准则、会计核算方法、土地增值税清算条件以及核算过程中的开发产品完工标准、销售收入确认标准、视同销售收入确认标准、成本费用分摊方法及其他相关的会计、税收政策。</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2.3</w:t>
      </w:r>
      <w:r>
        <w:rPr>
          <w:rFonts w:hint="eastAsia" w:ascii="宋体" w:hAnsi="宋体" w:eastAsia="宋体" w:cs="宋体"/>
          <w:bCs/>
          <w:color w:val="auto"/>
          <w:sz w:val="21"/>
          <w:szCs w:val="21"/>
          <w:highlight w:val="none"/>
        </w:rPr>
        <w:t>土地增值税审核及计算情况</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2.3.1</w:t>
      </w:r>
      <w:r>
        <w:rPr>
          <w:rFonts w:hint="eastAsia" w:ascii="宋体" w:hAnsi="宋体" w:eastAsia="宋体" w:cs="宋体"/>
          <w:bCs/>
          <w:color w:val="auto"/>
          <w:sz w:val="21"/>
          <w:szCs w:val="21"/>
          <w:highlight w:val="none"/>
        </w:rPr>
        <w:t>应税收入的审核及计算</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2.3.2</w:t>
      </w:r>
      <w:r>
        <w:rPr>
          <w:rFonts w:hint="eastAsia" w:ascii="宋体" w:hAnsi="宋体" w:eastAsia="宋体" w:cs="宋体"/>
          <w:bCs/>
          <w:color w:val="auto"/>
          <w:sz w:val="21"/>
          <w:szCs w:val="21"/>
          <w:highlight w:val="none"/>
        </w:rPr>
        <w:t>扣除项目的审核及计算</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2.3.2.1</w:t>
      </w:r>
      <w:r>
        <w:rPr>
          <w:rFonts w:hint="eastAsia" w:ascii="宋体" w:hAnsi="宋体" w:eastAsia="宋体" w:cs="宋体"/>
          <w:bCs/>
          <w:color w:val="auto"/>
          <w:sz w:val="21"/>
          <w:szCs w:val="21"/>
          <w:highlight w:val="none"/>
        </w:rPr>
        <w:t>取得土地使用权所支付的金额</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2.3.2.2</w:t>
      </w:r>
      <w:r>
        <w:rPr>
          <w:rFonts w:hint="eastAsia" w:ascii="宋体" w:hAnsi="宋体" w:eastAsia="宋体" w:cs="宋体"/>
          <w:bCs/>
          <w:color w:val="auto"/>
          <w:sz w:val="21"/>
          <w:szCs w:val="21"/>
          <w:highlight w:val="none"/>
        </w:rPr>
        <w:t>房地产开发成本</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2.3.2.3</w:t>
      </w:r>
      <w:r>
        <w:rPr>
          <w:rFonts w:hint="eastAsia" w:ascii="宋体" w:hAnsi="宋体" w:eastAsia="宋体" w:cs="宋体"/>
          <w:bCs/>
          <w:color w:val="auto"/>
          <w:sz w:val="21"/>
          <w:szCs w:val="21"/>
          <w:highlight w:val="none"/>
        </w:rPr>
        <w:t>房地产开发费用</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2.3.2.4</w:t>
      </w:r>
      <w:r>
        <w:rPr>
          <w:rFonts w:hint="eastAsia" w:ascii="宋体" w:hAnsi="宋体" w:eastAsia="宋体" w:cs="宋体"/>
          <w:bCs/>
          <w:color w:val="auto"/>
          <w:sz w:val="21"/>
          <w:szCs w:val="21"/>
          <w:highlight w:val="none"/>
        </w:rPr>
        <w:t>与转让房地产有关的税金</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2.3.2.5</w:t>
      </w:r>
      <w:r>
        <w:rPr>
          <w:rFonts w:hint="eastAsia" w:ascii="宋体" w:hAnsi="宋体" w:eastAsia="宋体" w:cs="宋体"/>
          <w:bCs/>
          <w:color w:val="auto"/>
          <w:sz w:val="21"/>
          <w:szCs w:val="21"/>
          <w:highlight w:val="none"/>
        </w:rPr>
        <w:t>税收规定的其他扣除项目</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2.3.3</w:t>
      </w:r>
      <w:r>
        <w:rPr>
          <w:rFonts w:hint="eastAsia" w:ascii="宋体" w:hAnsi="宋体" w:eastAsia="宋体" w:cs="宋体"/>
          <w:bCs/>
          <w:color w:val="auto"/>
          <w:sz w:val="21"/>
          <w:szCs w:val="21"/>
          <w:highlight w:val="none"/>
        </w:rPr>
        <w:t>增值额及增值率的审核及计算</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2.3.4</w:t>
      </w:r>
      <w:r>
        <w:rPr>
          <w:rFonts w:hint="eastAsia" w:ascii="宋体" w:hAnsi="宋体" w:eastAsia="宋体" w:cs="宋体"/>
          <w:bCs/>
          <w:color w:val="auto"/>
          <w:sz w:val="21"/>
          <w:szCs w:val="21"/>
          <w:highlight w:val="none"/>
        </w:rPr>
        <w:t>应缴土地增值税的审核及计算</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其他重要事项</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2.4.1</w:t>
      </w:r>
      <w:r>
        <w:rPr>
          <w:rFonts w:hint="eastAsia" w:ascii="宋体" w:hAnsi="宋体" w:eastAsia="宋体" w:cs="宋体"/>
          <w:bCs/>
          <w:color w:val="auto"/>
          <w:sz w:val="21"/>
          <w:szCs w:val="21"/>
          <w:highlight w:val="none"/>
        </w:rPr>
        <w:t>是否有单价偏低的房屋销售行为，列出低价销售清单并说明原因。</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2.4.2</w:t>
      </w:r>
      <w:r>
        <w:rPr>
          <w:rFonts w:hint="eastAsia" w:ascii="宋体" w:hAnsi="宋体" w:eastAsia="宋体" w:cs="宋体"/>
          <w:bCs/>
          <w:color w:val="auto"/>
          <w:sz w:val="21"/>
          <w:szCs w:val="21"/>
          <w:highlight w:val="none"/>
        </w:rPr>
        <w:t>是否有关联企业介入施工、设计、营销、销售等环节、列出交易清单并说明价格是否符合行业标准。如关联交易过多可用表格形式附列。</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2.4.3</w:t>
      </w:r>
      <w:r>
        <w:rPr>
          <w:rFonts w:hint="eastAsia" w:ascii="宋体" w:hAnsi="宋体" w:eastAsia="宋体" w:cs="宋体"/>
          <w:bCs/>
          <w:color w:val="auto"/>
          <w:sz w:val="21"/>
          <w:szCs w:val="21"/>
          <w:highlight w:val="none"/>
        </w:rPr>
        <w:t>是否有将开发产品用于职工福利、奖励、对外投资、分配给股东或投资人、抵偿债务、非货币性资产交换等视同销售行为。</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2.4.4</w:t>
      </w:r>
      <w:r>
        <w:rPr>
          <w:rFonts w:hint="eastAsia" w:ascii="宋体" w:hAnsi="宋体" w:eastAsia="宋体" w:cs="宋体"/>
          <w:bCs/>
          <w:color w:val="auto"/>
          <w:sz w:val="21"/>
          <w:szCs w:val="21"/>
          <w:highlight w:val="none"/>
        </w:rPr>
        <w:t>是否有购房人违约支付行为并说明违约金、滞纳金核算情况。</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5是否有售后返租行为并说明租金支付及核算情况。</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6是否有代收费用并说明代收费用性质、是否计入房价及相关核算情况。</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7是否有政府返还性补贴并说明补贴性质及核算情况。</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8是否有逾期开发的土地闲置费并说明核算情况。</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9是否有拆迁补偿款发生及现金、白条支付情况。</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10是否有回迁房并对说明回迁安置情况。</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11是否有甲供材料情况并说明具体材料品名、数量、金额、用途等具体去向以及是否已按规定缴纳增值税等相关税金。</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12是否采用对项目开发成本具有重大影响的新技术、新材料情况并说明具体名称、价格及是否符合行业标准。</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13是否精装修并提供精装修相关情况，包括装修费用、装修面积、装修项目清单、标准、发票取得等。</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14是否涉及多个房地产项目共同的三项费用分摊并说明分摊计算的方法及过程。</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15是否有预售资金对外投资情况并说明投资收益核算方法。</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16其它主管税务机关要求说明事项。</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rPr>
        <w:t>.报告完成时间要求</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成交供应商在接受</w:t>
      </w:r>
      <w:r>
        <w:rPr>
          <w:rFonts w:hint="eastAsia" w:ascii="宋体" w:hAnsi="宋体" w:eastAsia="宋体" w:cs="宋体"/>
          <w:bCs/>
          <w:color w:val="auto"/>
          <w:sz w:val="21"/>
          <w:szCs w:val="21"/>
          <w:highlight w:val="none"/>
          <w:lang w:eastAsia="zh-CN"/>
        </w:rPr>
        <w:t>采购方的委托</w:t>
      </w:r>
      <w:r>
        <w:rPr>
          <w:rFonts w:hint="eastAsia" w:ascii="宋体" w:hAnsi="宋体" w:eastAsia="宋体" w:cs="宋体"/>
          <w:bCs/>
          <w:color w:val="auto"/>
          <w:sz w:val="21"/>
          <w:szCs w:val="21"/>
          <w:highlight w:val="none"/>
        </w:rPr>
        <w:t>委托后，应于30日内出具土地增值税审核项目的鉴证报告。如遇特殊情况需延期的，经</w:t>
      </w:r>
      <w:r>
        <w:rPr>
          <w:rFonts w:hint="eastAsia" w:ascii="宋体" w:hAnsi="宋体" w:eastAsia="宋体" w:cs="宋体"/>
          <w:bCs/>
          <w:color w:val="auto"/>
          <w:sz w:val="21"/>
          <w:szCs w:val="21"/>
          <w:highlight w:val="none"/>
          <w:lang w:eastAsia="zh-CN"/>
        </w:rPr>
        <w:t>采购方</w:t>
      </w:r>
      <w:r>
        <w:rPr>
          <w:rFonts w:hint="eastAsia" w:ascii="宋体" w:hAnsi="宋体" w:eastAsia="宋体" w:cs="宋体"/>
          <w:bCs/>
          <w:color w:val="auto"/>
          <w:sz w:val="21"/>
          <w:szCs w:val="21"/>
          <w:highlight w:val="none"/>
        </w:rPr>
        <w:t>批准同意，可适当延期，但最长不超过60天。</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cs="宋体"/>
          <w:bCs/>
          <w:color w:val="auto"/>
          <w:sz w:val="21"/>
          <w:szCs w:val="21"/>
          <w:highlight w:val="none"/>
          <w:lang w:val="en-US" w:eastAsia="zh-CN"/>
        </w:rPr>
        <w:t>4</w:t>
      </w:r>
      <w:r>
        <w:rPr>
          <w:rFonts w:hint="eastAsia" w:ascii="宋体" w:hAnsi="宋体" w:eastAsia="宋体" w:cs="宋体"/>
          <w:bCs/>
          <w:color w:val="auto"/>
          <w:sz w:val="21"/>
          <w:szCs w:val="21"/>
          <w:highlight w:val="none"/>
        </w:rPr>
        <w:t>.事中事后服务工作要求</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（1）鉴证业务工作开展期间，成交供应商对纳税人提交的清算申报资料或有关涉税事项存有疑议需要主管税务机关协调沟通的，应及时提出，确保鉴证工作顺畅开展。</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鉴证报告成果提交后，主管税务机关对报告有关事项存有疑议的。对于紧急事项，成交供应商应在1个工作日内提供远程、电话服务，需要提供现场服务的，成交供应商必须及时派人到现场进行协调解决；非紧急事项，成交供应商应在2个工作日内提供远程、电话服务，需要提供现场服务的，成交供应商必须及时派人到现场进行协调解决。涉及有关清算数据调整的，成交供应商要配合主管税务机关做好系统数据的补充采集录入和资料归整工作。</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cs="宋体"/>
          <w:bCs/>
          <w:color w:val="auto"/>
          <w:sz w:val="21"/>
          <w:szCs w:val="21"/>
          <w:highlight w:val="none"/>
          <w:lang w:val="en-US" w:eastAsia="zh-CN"/>
        </w:rPr>
        <w:t>5</w:t>
      </w:r>
      <w:r>
        <w:rPr>
          <w:rFonts w:hint="eastAsia" w:ascii="宋体" w:hAnsi="宋体" w:eastAsia="宋体" w:cs="宋体"/>
          <w:bCs/>
          <w:color w:val="auto"/>
          <w:sz w:val="21"/>
          <w:szCs w:val="21"/>
          <w:highlight w:val="none"/>
          <w:lang w:val="en-US" w:eastAsia="zh-CN"/>
        </w:rPr>
        <w:t>.</w:t>
      </w:r>
      <w:r>
        <w:rPr>
          <w:rFonts w:hint="eastAsia" w:ascii="宋体" w:hAnsi="宋体" w:eastAsia="宋体" w:cs="宋体"/>
          <w:bCs/>
          <w:color w:val="auto"/>
          <w:sz w:val="21"/>
          <w:szCs w:val="21"/>
          <w:highlight w:val="none"/>
        </w:rPr>
        <w:t>数据保密要求</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成交供应商应遵守以下保密工作原则：</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⑴对检查情况保守秘密，不得对外泄露，未经税务机关同意不得与被查单位接触交流，不得自行要求企业提供资料；</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⑵在与税务机关合作期间，如遇审核的企业是服务单位（包括关联企业），应主动提出回避；</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⑶接受委托的成交供应商在合同约定时间内，不得代理该企业委托的税收鉴证业务；</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⑷不准接受被查企业或其人员以各种名义赠送的礼品、礼金、消费卡和有价证券等；</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⑸不得存在压价购房或强行介绍业务的行为；</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⑹不准接受被查企业的宴请、娱乐等活动；</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⑺不准以交易、筹划等形式向被查企业收取回扣、中介费、好处费；</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⑻不准泄露被查企业的商业秘密或利用知悉、掌握被查企业的信息为自己和他人谋取不正当利益；</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⑼不准向与税务机关无关的单位和个人泄露土地增值税清算情况或信息；</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⑽不得利用执业之便，刻意制造税企矛盾，向被核查单位索取财物，牟取非法利益；</w:t>
      </w:r>
    </w:p>
    <w:p>
      <w:pPr>
        <w:keepNext w:val="0"/>
        <w:keepLines w:val="0"/>
        <w:pageBreakBefore w:val="0"/>
        <w:widowControl/>
        <w:kinsoku/>
        <w:wordWrap/>
        <w:overflowPunct/>
        <w:topLinePunct w:val="0"/>
        <w:autoSpaceDE/>
        <w:autoSpaceDN/>
        <w:bidi w:val="0"/>
        <w:adjustRightInd/>
        <w:snapToGrid/>
        <w:spacing w:line="500" w:lineRule="exact"/>
        <w:ind w:firstLine="420" w:firstLineChars="200"/>
        <w:textAlignment w:val="baseline"/>
        <w:rPr>
          <w:rFonts w:hint="eastAsia" w:ascii="仿宋_GB2312" w:hAnsi="仿宋_GB2312" w:eastAsia="仿宋_GB2312" w:cs="仿宋_GB2312"/>
          <w:color w:val="auto"/>
          <w:sz w:val="32"/>
          <w:szCs w:val="32"/>
          <w:highlight w:val="none"/>
        </w:rPr>
      </w:pPr>
      <w:r>
        <w:rPr>
          <w:rFonts w:hint="eastAsia" w:ascii="宋体" w:hAnsi="宋体" w:eastAsia="宋体" w:cs="宋体"/>
          <w:bCs/>
          <w:color w:val="auto"/>
          <w:sz w:val="21"/>
          <w:szCs w:val="21"/>
          <w:highlight w:val="none"/>
        </w:rPr>
        <w:t>⑾不得要求被审核企业及其相关利益方接受或指定税务代理业务和其他有偿服务。</w:t>
      </w:r>
    </w:p>
    <w:p>
      <w:pPr>
        <w:rPr>
          <w:color w:val="auto"/>
          <w:highlight w:val="none"/>
        </w:rPr>
      </w:pPr>
    </w:p>
    <w:p>
      <w:pPr>
        <w:pStyle w:val="2"/>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四、其他要求</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1.供应商必须在响应文件中对以上条款和服务承诺明确列出，承诺内容必须达到本篇及采购文件其他条款的要求。</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2.成交供应商针对以上服务项目或内容要求，并结合采购人服务需求实情，制定科学、完备的服务及管理方案，纳入合同附件。其他未尽事宜由供需双方在采购合同中详细约定。</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3.由于本项目根据质量和服务均能满足采购文件实质性响应要求，因此供应商对本章的技术、服务等要求必须全部满足或优于，否则报价无效。</w:t>
      </w:r>
    </w:p>
    <w:p>
      <w:pPr>
        <w:keepNext w:val="0"/>
        <w:keepLines w:val="0"/>
        <w:pageBreakBefore w:val="0"/>
        <w:widowControl/>
        <w:kinsoku/>
        <w:wordWrap/>
        <w:overflowPunct/>
        <w:topLinePunct w:val="0"/>
        <w:autoSpaceDE/>
        <w:autoSpaceDN/>
        <w:bidi w:val="0"/>
        <w:adjustRightInd/>
        <w:snapToGrid/>
        <w:spacing w:line="500" w:lineRule="exact"/>
        <w:ind w:firstLine="405" w:firstLineChars="193"/>
        <w:textAlignment w:val="baseline"/>
        <w:rPr>
          <w:rFonts w:hint="eastAsia" w:ascii="宋体" w:hAnsi="宋体" w:eastAsia="宋体" w:cs="宋体"/>
          <w:bCs/>
          <w:color w:val="auto"/>
          <w:sz w:val="21"/>
          <w:szCs w:val="21"/>
          <w:highlight w:val="none"/>
        </w:rPr>
        <w:sectPr>
          <w:pgSz w:w="11906" w:h="16838"/>
          <w:pgMar w:top="1134" w:right="851" w:bottom="1134" w:left="1134" w:header="851" w:footer="992" w:gutter="0"/>
          <w:cols w:space="720" w:num="1"/>
          <w:titlePg/>
          <w:docGrid w:type="lines" w:linePitch="312" w:charSpace="0"/>
        </w:sectPr>
      </w:pPr>
      <w:r>
        <w:rPr>
          <w:rFonts w:hint="eastAsia" w:ascii="宋体" w:hAnsi="宋体" w:eastAsia="宋体" w:cs="宋体"/>
          <w:bCs/>
          <w:color w:val="auto"/>
          <w:sz w:val="21"/>
          <w:szCs w:val="21"/>
          <w:highlight w:val="none"/>
        </w:rPr>
        <w:t>4.磋商供应商须在响应文件中提供：中标后配备一名国家注册一级造价工程师的承诺，全程参与项目审核的工作，造价工程师必须到现场参与审核。（承诺书格式自拟，不提供此承诺按废标处理）</w:t>
      </w:r>
    </w:p>
    <w:p>
      <w:pPr>
        <w:pStyle w:val="3"/>
        <w:jc w:val="center"/>
        <w:rPr>
          <w:rFonts w:ascii="宋体" w:hAnsi="宋体" w:cs="宋体"/>
          <w:color w:val="auto"/>
          <w:sz w:val="28"/>
          <w:szCs w:val="28"/>
          <w:highlight w:val="none"/>
        </w:rPr>
      </w:pPr>
      <w:bookmarkStart w:id="87" w:name="_Toc6159"/>
      <w:r>
        <w:rPr>
          <w:rFonts w:hint="eastAsia" w:ascii="宋体" w:hAnsi="宋体" w:cs="宋体"/>
          <w:color w:val="auto"/>
          <w:sz w:val="28"/>
          <w:szCs w:val="28"/>
          <w:highlight w:val="none"/>
        </w:rPr>
        <w:t>第四章 评标办法及评审标准</w:t>
      </w:r>
      <w:bookmarkEnd w:id="87"/>
    </w:p>
    <w:p>
      <w:pPr>
        <w:pStyle w:val="14"/>
        <w:widowControl/>
        <w:spacing w:line="400" w:lineRule="exact"/>
        <w:ind w:firstLine="42" w:firstLineChars="20"/>
        <w:rPr>
          <w:rFonts w:hAnsi="宋体" w:cs="宋体"/>
          <w:b/>
          <w:color w:val="auto"/>
          <w:szCs w:val="21"/>
          <w:highlight w:val="none"/>
        </w:rPr>
      </w:pPr>
      <w:bookmarkStart w:id="88" w:name="_Toc9519"/>
      <w:bookmarkStart w:id="89" w:name="_Toc19657"/>
    </w:p>
    <w:p>
      <w:pPr>
        <w:spacing w:line="360" w:lineRule="auto"/>
        <w:rPr>
          <w:rFonts w:ascii="宋体" w:hAnsi="宋体"/>
          <w:color w:val="auto"/>
          <w:szCs w:val="21"/>
          <w:highlight w:val="none"/>
        </w:rPr>
      </w:pPr>
      <w:r>
        <w:rPr>
          <w:color w:val="auto"/>
          <w:sz w:val="24"/>
          <w:highlight w:val="none"/>
        </w:rPr>
        <w:t xml:space="preserve"> </w:t>
      </w:r>
      <w:r>
        <w:rPr>
          <w:rFonts w:hint="eastAsia" w:ascii="宋体" w:hAnsi="宋体"/>
          <w:color w:val="auto"/>
          <w:szCs w:val="21"/>
          <w:highlight w:val="none"/>
        </w:rPr>
        <w:t xml:space="preserve">一、评审原则  </w:t>
      </w:r>
      <w:bookmarkStart w:id="110" w:name="_GoBack"/>
    </w:p>
    <w:p>
      <w:pPr>
        <w:spacing w:line="360" w:lineRule="auto"/>
        <w:rPr>
          <w:rFonts w:ascii="宋体" w:hAnsi="宋体"/>
          <w:color w:val="auto"/>
          <w:szCs w:val="21"/>
          <w:highlight w:val="none"/>
        </w:rPr>
      </w:pPr>
      <w:r>
        <w:rPr>
          <w:rFonts w:hint="eastAsia" w:ascii="宋体" w:hAnsi="宋体"/>
          <w:color w:val="auto"/>
          <w:szCs w:val="21"/>
          <w:highlight w:val="none"/>
        </w:rPr>
        <w:t>（一） 磋商小组成员组成：本竞争性磋商采购项目的磋商小组</w:t>
      </w:r>
      <w:r>
        <w:rPr>
          <w:rFonts w:hint="eastAsia" w:ascii="宋体" w:hAnsi="宋体"/>
          <w:color w:val="auto"/>
          <w:szCs w:val="21"/>
          <w:highlight w:val="none"/>
          <w:lang w:eastAsia="zh-CN"/>
        </w:rPr>
        <w:t>由采购人代表和评审专家</w:t>
      </w:r>
      <w:r>
        <w:rPr>
          <w:rFonts w:hint="eastAsia" w:ascii="宋体" w:hAnsi="宋体"/>
          <w:color w:val="auto"/>
          <w:szCs w:val="21"/>
          <w:highlight w:val="none"/>
        </w:rPr>
        <w:t>3人及3人以上单数组成。</w:t>
      </w:r>
    </w:p>
    <w:bookmarkEnd w:id="110"/>
    <w:p>
      <w:pPr>
        <w:spacing w:line="360" w:lineRule="auto"/>
        <w:rPr>
          <w:rFonts w:ascii="宋体" w:hAnsi="宋体"/>
          <w:color w:val="auto"/>
          <w:szCs w:val="21"/>
          <w:highlight w:val="none"/>
        </w:rPr>
      </w:pPr>
      <w:r>
        <w:rPr>
          <w:rFonts w:hint="eastAsia" w:ascii="宋体" w:hAnsi="宋体"/>
          <w:color w:val="auto"/>
          <w:szCs w:val="21"/>
          <w:highlight w:val="none"/>
        </w:rPr>
        <w:t xml:space="preserve">（二） 评审依据：磋商小组以竞争性磋商文件和竞争性磋商响应文件为依据，对磋商供应商的商务资格文件和技术文件内容按百分制打分。  </w:t>
      </w:r>
    </w:p>
    <w:p>
      <w:pPr>
        <w:spacing w:line="360" w:lineRule="auto"/>
        <w:rPr>
          <w:rFonts w:ascii="宋体" w:hAnsi="宋体"/>
          <w:color w:val="auto"/>
          <w:szCs w:val="21"/>
          <w:highlight w:val="none"/>
        </w:rPr>
      </w:pPr>
      <w:r>
        <w:rPr>
          <w:rFonts w:hint="eastAsia" w:ascii="宋体" w:hAnsi="宋体"/>
          <w:color w:val="auto"/>
          <w:szCs w:val="21"/>
          <w:highlight w:val="none"/>
        </w:rPr>
        <w:t>二、评标方法：对进入详评的，采用百分制综合评分法。</w:t>
      </w:r>
    </w:p>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三、评审标准（按四舍五入取至百分位）</w:t>
      </w:r>
    </w:p>
    <w:bookmarkEnd w:id="88"/>
    <w:bookmarkEnd w:id="89"/>
    <w:tbl>
      <w:tblPr>
        <w:tblStyle w:val="30"/>
        <w:tblW w:w="95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3"/>
        <w:gridCol w:w="933"/>
        <w:gridCol w:w="992"/>
        <w:gridCol w:w="70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96"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Cs w:val="21"/>
                <w:highlight w:val="none"/>
              </w:rPr>
            </w:pPr>
            <w:bookmarkStart w:id="90" w:name="_Hlk42110597"/>
            <w:r>
              <w:rPr>
                <w:rStyle w:val="77"/>
                <w:rFonts w:ascii="宋体" w:hAnsi="宋体"/>
                <w:b/>
                <w:color w:val="auto"/>
                <w:szCs w:val="21"/>
                <w:highlight w:val="none"/>
              </w:rPr>
              <w:t>序号</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Cs w:val="21"/>
                <w:highlight w:val="none"/>
              </w:rPr>
            </w:pPr>
            <w:r>
              <w:rPr>
                <w:rStyle w:val="77"/>
                <w:rFonts w:ascii="宋体" w:hAnsi="宋体"/>
                <w:b/>
                <w:color w:val="auto"/>
                <w:szCs w:val="21"/>
                <w:highlight w:val="none"/>
              </w:rPr>
              <w:t>评分因素</w:t>
            </w:r>
          </w:p>
        </w:tc>
        <w:tc>
          <w:tcPr>
            <w:tcW w:w="7022"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Cs w:val="21"/>
                <w:highlight w:val="none"/>
              </w:rPr>
            </w:pPr>
            <w:r>
              <w:rPr>
                <w:rStyle w:val="77"/>
                <w:rFonts w:ascii="宋体" w:hAnsi="宋体"/>
                <w:b/>
                <w:color w:val="auto"/>
                <w:szCs w:val="21"/>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Style w:val="77"/>
                <w:rFonts w:ascii="宋体" w:hAnsi="宋体"/>
                <w:b/>
                <w:color w:val="auto"/>
                <w:szCs w:val="21"/>
                <w:highlight w:val="none"/>
              </w:rPr>
            </w:pPr>
            <w:r>
              <w:rPr>
                <w:rStyle w:val="77"/>
                <w:rFonts w:ascii="宋体" w:hAnsi="宋体"/>
                <w:b/>
                <w:color w:val="auto"/>
                <w:szCs w:val="21"/>
                <w:highlight w:val="none"/>
              </w:rPr>
              <w:t>1</w:t>
            </w: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Style w:val="77"/>
                <w:rFonts w:ascii="宋体" w:hAnsi="宋体"/>
                <w:b/>
                <w:color w:val="auto"/>
                <w:szCs w:val="21"/>
                <w:highlight w:val="none"/>
              </w:rPr>
            </w:pPr>
            <w:r>
              <w:rPr>
                <w:rStyle w:val="77"/>
                <w:rFonts w:ascii="宋体" w:hAnsi="宋体"/>
                <w:b/>
                <w:color w:val="auto"/>
                <w:szCs w:val="21"/>
                <w:highlight w:val="none"/>
              </w:rPr>
              <w:t>价格分（满分</w:t>
            </w:r>
            <w:r>
              <w:rPr>
                <w:rStyle w:val="77"/>
                <w:rFonts w:hint="eastAsia" w:ascii="宋体" w:hAnsi="宋体"/>
                <w:b/>
                <w:color w:val="auto"/>
                <w:szCs w:val="21"/>
                <w:highlight w:val="none"/>
              </w:rPr>
              <w:t>10</w:t>
            </w:r>
            <w:r>
              <w:rPr>
                <w:rStyle w:val="77"/>
                <w:rFonts w:ascii="宋体" w:hAnsi="宋体"/>
                <w:b/>
                <w:color w:val="auto"/>
                <w:szCs w:val="21"/>
                <w:highlight w:val="none"/>
              </w:rPr>
              <w:t>分）</w:t>
            </w:r>
          </w:p>
          <w:p>
            <w:pPr>
              <w:spacing w:line="276" w:lineRule="auto"/>
              <w:jc w:val="left"/>
              <w:rPr>
                <w:rStyle w:val="77"/>
                <w:rFonts w:ascii="宋体" w:hAnsi="宋体"/>
                <w:color w:val="auto"/>
                <w:szCs w:val="21"/>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Style w:val="77"/>
                <w:rFonts w:ascii="宋体" w:hAnsi="宋体"/>
                <w:b/>
                <w:color w:val="auto"/>
                <w:szCs w:val="21"/>
                <w:highlight w:val="none"/>
              </w:rPr>
            </w:pPr>
            <w:r>
              <w:rPr>
                <w:rStyle w:val="77"/>
                <w:rFonts w:ascii="宋体" w:hAnsi="宋体"/>
                <w:b/>
                <w:color w:val="auto"/>
                <w:szCs w:val="21"/>
                <w:highlight w:val="none"/>
              </w:rPr>
              <w:t>投标报价</w:t>
            </w:r>
            <w:r>
              <w:rPr>
                <w:rFonts w:ascii="宋体" w:hAnsi="宋体"/>
                <w:b/>
                <w:color w:val="auto"/>
                <w:szCs w:val="21"/>
                <w:highlight w:val="none"/>
              </w:rPr>
              <w:t>（满分</w:t>
            </w:r>
            <w:r>
              <w:rPr>
                <w:rFonts w:hint="eastAsia" w:ascii="宋体" w:hAnsi="宋体"/>
                <w:b/>
                <w:color w:val="auto"/>
                <w:szCs w:val="21"/>
                <w:highlight w:val="none"/>
              </w:rPr>
              <w:t>10</w:t>
            </w:r>
            <w:r>
              <w:rPr>
                <w:rFonts w:ascii="宋体" w:hAnsi="宋体"/>
                <w:b/>
                <w:color w:val="auto"/>
                <w:szCs w:val="21"/>
                <w:highlight w:val="none"/>
              </w:rPr>
              <w:t>分）</w:t>
            </w:r>
          </w:p>
        </w:tc>
        <w:tc>
          <w:tcPr>
            <w:tcW w:w="7022"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ind w:firstLine="233" w:firstLineChars="111"/>
              <w:rPr>
                <w:rStyle w:val="77"/>
                <w:rFonts w:ascii="宋体" w:hAnsi="宋体"/>
                <w:bCs/>
                <w:color w:val="auto"/>
                <w:szCs w:val="21"/>
                <w:highlight w:val="none"/>
              </w:rPr>
            </w:pPr>
            <w:r>
              <w:rPr>
                <w:rStyle w:val="77"/>
                <w:rFonts w:ascii="宋体" w:hAnsi="宋体"/>
                <w:bCs/>
                <w:color w:val="auto"/>
                <w:szCs w:val="21"/>
                <w:highlight w:val="none"/>
              </w:rPr>
              <w:t>磋商报价得分（满分</w:t>
            </w:r>
            <w:r>
              <w:rPr>
                <w:rStyle w:val="77"/>
                <w:rFonts w:hint="eastAsia" w:ascii="宋体" w:hAnsi="宋体"/>
                <w:bCs/>
                <w:color w:val="auto"/>
                <w:szCs w:val="21"/>
                <w:highlight w:val="none"/>
              </w:rPr>
              <w:t>10</w:t>
            </w:r>
            <w:r>
              <w:rPr>
                <w:rStyle w:val="77"/>
                <w:rFonts w:ascii="宋体" w:hAnsi="宋体"/>
                <w:bCs/>
                <w:color w:val="auto"/>
                <w:szCs w:val="21"/>
                <w:highlight w:val="none"/>
              </w:rPr>
              <w:t>分）</w:t>
            </w:r>
          </w:p>
          <w:p>
            <w:pPr>
              <w:snapToGrid w:val="0"/>
              <w:spacing w:line="276" w:lineRule="auto"/>
              <w:ind w:firstLine="233" w:firstLineChars="111"/>
              <w:rPr>
                <w:rStyle w:val="77"/>
                <w:rFonts w:ascii="宋体" w:hAnsi="宋体"/>
                <w:bCs/>
                <w:color w:val="auto"/>
                <w:szCs w:val="21"/>
                <w:highlight w:val="none"/>
              </w:rPr>
            </w:pPr>
            <w:r>
              <w:rPr>
                <w:rStyle w:val="77"/>
                <w:rFonts w:ascii="宋体" w:hAnsi="宋体"/>
                <w:bCs/>
                <w:color w:val="auto"/>
                <w:szCs w:val="21"/>
                <w:highlight w:val="none"/>
              </w:rPr>
              <w:t>（1）评标价为供应商的磋商报价进行政策性扣除后的价格，评标价只是作为评标时使用。最终成交供应商的成交金额＝磋商报价。</w:t>
            </w:r>
          </w:p>
          <w:p>
            <w:pPr>
              <w:snapToGrid w:val="0"/>
              <w:spacing w:line="276" w:lineRule="auto"/>
              <w:ind w:firstLine="233" w:firstLineChars="111"/>
              <w:rPr>
                <w:rStyle w:val="77"/>
                <w:rFonts w:ascii="宋体" w:hAnsi="宋体"/>
                <w:color w:val="auto"/>
                <w:szCs w:val="21"/>
                <w:highlight w:val="none"/>
              </w:rPr>
            </w:pPr>
            <w:r>
              <w:rPr>
                <w:rStyle w:val="77"/>
                <w:rFonts w:ascii="宋体" w:hAnsi="宋体"/>
                <w:bCs/>
                <w:color w:val="auto"/>
                <w:szCs w:val="21"/>
                <w:highlight w:val="none"/>
              </w:rPr>
              <w:t>（2）按照</w:t>
            </w:r>
            <w:r>
              <w:rPr>
                <w:rFonts w:hint="eastAsia" w:ascii="宋体" w:hAnsi="宋体"/>
                <w:color w:val="auto"/>
                <w:szCs w:val="21"/>
                <w:highlight w:val="none"/>
              </w:rPr>
              <w:t>《政府采购促进中小企业发展管理办法》（财库﹝</w:t>
            </w:r>
            <w:r>
              <w:rPr>
                <w:rFonts w:ascii="宋体" w:hAnsi="宋体"/>
                <w:color w:val="auto"/>
                <w:szCs w:val="21"/>
                <w:highlight w:val="none"/>
              </w:rPr>
              <w:t>2020</w:t>
            </w:r>
            <w:r>
              <w:rPr>
                <w:rFonts w:hint="eastAsia" w:ascii="宋体" w:hAnsi="宋体"/>
                <w:color w:val="auto"/>
                <w:szCs w:val="21"/>
                <w:highlight w:val="none"/>
              </w:rPr>
              <w:t>﹞</w:t>
            </w:r>
            <w:r>
              <w:rPr>
                <w:rFonts w:ascii="宋体" w:hAnsi="宋体"/>
                <w:color w:val="auto"/>
                <w:szCs w:val="21"/>
                <w:highlight w:val="none"/>
              </w:rPr>
              <w:t xml:space="preserve">46 </w:t>
            </w:r>
            <w:r>
              <w:rPr>
                <w:rFonts w:hint="eastAsia" w:ascii="宋体" w:hAnsi="宋体"/>
                <w:color w:val="auto"/>
                <w:szCs w:val="21"/>
                <w:highlight w:val="none"/>
              </w:rPr>
              <w:t>号）的规定</w:t>
            </w:r>
            <w:r>
              <w:rPr>
                <w:rStyle w:val="77"/>
                <w:rFonts w:ascii="宋体" w:hAnsi="宋体"/>
                <w:bCs/>
                <w:color w:val="auto"/>
                <w:szCs w:val="21"/>
                <w:highlight w:val="none"/>
              </w:rPr>
              <w:t>，</w:t>
            </w:r>
            <w:r>
              <w:rPr>
                <w:rFonts w:hint="eastAsia" w:ascii="宋体" w:hAnsi="宋体"/>
                <w:bCs/>
                <w:color w:val="auto"/>
                <w:szCs w:val="21"/>
                <w:highlight w:val="none"/>
              </w:rPr>
              <w:t>对符合本办法规定的小微企业应当在响应文件中出具本办法规定的《中小企业声明函》，否则不得享受相关中小企业扶持政策。任何单位和个人不得要求供应商提供《中小企业声明函》之外的中小企业身份证明文件。对符合本办法规定的小微企业报价给予</w:t>
            </w:r>
            <w:r>
              <w:rPr>
                <w:rFonts w:ascii="宋体" w:hAnsi="宋体"/>
                <w:bCs/>
                <w:color w:val="auto"/>
                <w:szCs w:val="21"/>
                <w:highlight w:val="none"/>
              </w:rPr>
              <w:t>10%</w:t>
            </w:r>
            <w:r>
              <w:rPr>
                <w:rFonts w:hint="eastAsia" w:ascii="宋体" w:hAnsi="宋体"/>
                <w:bCs/>
                <w:color w:val="auto"/>
                <w:szCs w:val="21"/>
                <w:highlight w:val="none"/>
              </w:rPr>
              <w:t>的扣除</w:t>
            </w:r>
            <w:r>
              <w:rPr>
                <w:rStyle w:val="77"/>
                <w:rFonts w:ascii="宋体" w:hAnsi="宋体"/>
                <w:bCs/>
                <w:color w:val="auto"/>
                <w:szCs w:val="21"/>
                <w:highlight w:val="none"/>
              </w:rPr>
              <w:t>。</w:t>
            </w:r>
          </w:p>
          <w:p>
            <w:pPr>
              <w:snapToGrid w:val="0"/>
              <w:spacing w:line="276" w:lineRule="auto"/>
              <w:ind w:firstLine="233" w:firstLineChars="111"/>
              <w:rPr>
                <w:rStyle w:val="77"/>
                <w:rFonts w:ascii="宋体" w:hAnsi="宋体"/>
                <w:bCs/>
                <w:color w:val="auto"/>
                <w:szCs w:val="21"/>
                <w:highlight w:val="none"/>
              </w:rPr>
            </w:pPr>
            <w:r>
              <w:rPr>
                <w:rStyle w:val="77"/>
                <w:rFonts w:ascii="宋体" w:hAnsi="宋体"/>
                <w:bCs/>
                <w:color w:val="auto"/>
                <w:szCs w:val="21"/>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snapToGrid w:val="0"/>
              <w:spacing w:line="276" w:lineRule="auto"/>
              <w:ind w:firstLine="233" w:firstLineChars="111"/>
              <w:rPr>
                <w:rStyle w:val="77"/>
                <w:rFonts w:ascii="宋体" w:hAnsi="宋体"/>
                <w:bCs/>
                <w:color w:val="auto"/>
                <w:szCs w:val="21"/>
                <w:highlight w:val="none"/>
              </w:rPr>
            </w:pPr>
            <w:r>
              <w:rPr>
                <w:rStyle w:val="77"/>
                <w:rFonts w:ascii="宋体" w:hAnsi="宋体"/>
                <w:bCs/>
                <w:color w:val="auto"/>
                <w:szCs w:val="21"/>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276" w:lineRule="auto"/>
              <w:ind w:firstLine="233" w:firstLineChars="111"/>
              <w:rPr>
                <w:rStyle w:val="77"/>
                <w:rFonts w:ascii="宋体" w:hAnsi="宋体"/>
                <w:bCs/>
                <w:color w:val="auto"/>
                <w:szCs w:val="21"/>
                <w:highlight w:val="none"/>
              </w:rPr>
            </w:pPr>
            <w:r>
              <w:rPr>
                <w:rStyle w:val="77"/>
                <w:rFonts w:ascii="宋体" w:hAnsi="宋体"/>
                <w:bCs/>
                <w:color w:val="auto"/>
                <w:szCs w:val="21"/>
                <w:highlight w:val="none"/>
              </w:rPr>
              <w:t>（5）政策性扣除计算方法。供应商被认定为监狱企业或残疾人福利性单位或小型和微型企业且其所投标产品</w:t>
            </w:r>
            <w:r>
              <w:rPr>
                <w:rStyle w:val="77"/>
                <w:rFonts w:hint="eastAsia" w:ascii="宋体" w:hAnsi="宋体"/>
                <w:bCs/>
                <w:color w:val="auto"/>
                <w:szCs w:val="21"/>
                <w:highlight w:val="none"/>
              </w:rPr>
              <w:t>或服务</w:t>
            </w:r>
            <w:r>
              <w:rPr>
                <w:rStyle w:val="77"/>
                <w:rFonts w:ascii="宋体" w:hAnsi="宋体"/>
                <w:bCs/>
                <w:color w:val="auto"/>
                <w:szCs w:val="21"/>
                <w:highlight w:val="none"/>
              </w:rPr>
              <w:t>为小型和微型企业产品的，该供应商的磋商报价给予10%的扣除，扣除后的价格为评标报价，即评标报价=磋商报价×（1-10%）；大中型企业和其他自然人、法人或者其他组织与小型、微型企业组成联合体投标，且联合体协议中约定小型、微型企业的协议合同金额占到联合体协议合同总金额30%以上的，联合体投标价给予</w:t>
            </w:r>
            <w:r>
              <w:rPr>
                <w:rStyle w:val="77"/>
                <w:rFonts w:hint="eastAsia" w:ascii="宋体" w:hAnsi="宋体"/>
                <w:bCs/>
                <w:color w:val="auto"/>
                <w:szCs w:val="21"/>
                <w:highlight w:val="none"/>
              </w:rPr>
              <w:t>3</w:t>
            </w:r>
            <w:r>
              <w:rPr>
                <w:rStyle w:val="77"/>
                <w:rFonts w:ascii="宋体" w:hAnsi="宋体"/>
                <w:bCs/>
                <w:color w:val="auto"/>
                <w:szCs w:val="21"/>
                <w:highlight w:val="none"/>
              </w:rPr>
              <w:t>%的扣除，扣除后的价格为评标价，即评标报价=磋商报价×（1-</w:t>
            </w:r>
            <w:r>
              <w:rPr>
                <w:rStyle w:val="77"/>
                <w:rFonts w:hint="eastAsia" w:ascii="宋体" w:hAnsi="宋体"/>
                <w:bCs/>
                <w:color w:val="auto"/>
                <w:szCs w:val="21"/>
                <w:highlight w:val="none"/>
              </w:rPr>
              <w:t>3</w:t>
            </w:r>
            <w:r>
              <w:rPr>
                <w:rStyle w:val="77"/>
                <w:rFonts w:ascii="宋体" w:hAnsi="宋体"/>
                <w:bCs/>
                <w:color w:val="auto"/>
                <w:szCs w:val="21"/>
                <w:highlight w:val="none"/>
              </w:rPr>
              <w:t>%）；除上述情况外，评标报价=磋商报价。</w:t>
            </w:r>
          </w:p>
          <w:p>
            <w:pPr>
              <w:snapToGrid w:val="0"/>
              <w:spacing w:line="276" w:lineRule="auto"/>
              <w:ind w:firstLine="233" w:firstLineChars="111"/>
              <w:rPr>
                <w:rStyle w:val="77"/>
                <w:rFonts w:ascii="宋体" w:hAnsi="宋体"/>
                <w:bCs/>
                <w:color w:val="auto"/>
                <w:szCs w:val="21"/>
                <w:highlight w:val="none"/>
              </w:rPr>
            </w:pPr>
            <w:r>
              <w:rPr>
                <w:rStyle w:val="77"/>
                <w:rFonts w:ascii="宋体" w:hAnsi="宋体"/>
                <w:bCs/>
                <w:color w:val="auto"/>
                <w:szCs w:val="21"/>
                <w:highlight w:val="none"/>
              </w:rPr>
              <w:t>（6）以进入综合评分环节的最低的评标报价为基准价，基准价报价得分为</w:t>
            </w:r>
            <w:r>
              <w:rPr>
                <w:rStyle w:val="77"/>
                <w:rFonts w:hint="eastAsia" w:ascii="宋体" w:hAnsi="宋体"/>
                <w:bCs/>
                <w:color w:val="auto"/>
                <w:szCs w:val="21"/>
                <w:highlight w:val="none"/>
              </w:rPr>
              <w:t>10</w:t>
            </w:r>
            <w:r>
              <w:rPr>
                <w:rStyle w:val="77"/>
                <w:rFonts w:ascii="宋体" w:hAnsi="宋体"/>
                <w:bCs/>
                <w:color w:val="auto"/>
                <w:szCs w:val="21"/>
                <w:highlight w:val="none"/>
              </w:rPr>
              <w:t>分。</w:t>
            </w:r>
          </w:p>
          <w:p>
            <w:pPr>
              <w:snapToGrid w:val="0"/>
              <w:spacing w:line="276" w:lineRule="auto"/>
              <w:ind w:firstLine="233" w:firstLineChars="111"/>
              <w:rPr>
                <w:rStyle w:val="77"/>
                <w:rFonts w:ascii="宋体" w:hAnsi="宋体"/>
                <w:bCs/>
                <w:color w:val="auto"/>
                <w:szCs w:val="21"/>
                <w:highlight w:val="none"/>
              </w:rPr>
            </w:pPr>
            <w:r>
              <w:rPr>
                <w:rStyle w:val="77"/>
                <w:rFonts w:ascii="宋体" w:hAnsi="宋体"/>
                <w:bCs/>
                <w:color w:val="auto"/>
                <w:szCs w:val="21"/>
                <w:highlight w:val="none"/>
              </w:rPr>
              <w:t>（7）价格分计算公式：某供应商价格分=基准价/某供应商评标报价金额×</w:t>
            </w:r>
            <w:r>
              <w:rPr>
                <w:rStyle w:val="77"/>
                <w:rFonts w:hint="eastAsia" w:ascii="宋体" w:hAnsi="宋体"/>
                <w:bCs/>
                <w:color w:val="auto"/>
                <w:szCs w:val="21"/>
                <w:highlight w:val="none"/>
              </w:rPr>
              <w:t>10</w:t>
            </w:r>
            <w:r>
              <w:rPr>
                <w:rStyle w:val="77"/>
                <w:rFonts w:ascii="宋体" w:hAnsi="宋体"/>
                <w:bCs/>
                <w:color w:val="auto"/>
                <w:szCs w:val="21"/>
                <w:highlight w:val="none"/>
              </w:rPr>
              <w:t>分。</w:t>
            </w:r>
          </w:p>
          <w:p>
            <w:pPr>
              <w:spacing w:line="276" w:lineRule="auto"/>
              <w:ind w:firstLine="233" w:firstLineChars="111"/>
              <w:rPr>
                <w:rStyle w:val="77"/>
                <w:rFonts w:hAnsi="宋体" w:cs="Courier New"/>
                <w:bCs/>
                <w:color w:val="auto"/>
                <w:szCs w:val="24"/>
                <w:highlight w:val="none"/>
              </w:rPr>
            </w:pPr>
            <w:r>
              <w:rPr>
                <w:rStyle w:val="77"/>
                <w:rFonts w:ascii="宋体" w:hAnsi="宋体"/>
                <w:bCs/>
                <w:color w:val="auto"/>
                <w:szCs w:val="21"/>
                <w:highlight w:val="none"/>
              </w:rPr>
              <w:t>备注: 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竞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91" w:hRule="atLeast"/>
          <w:jc w:val="center"/>
        </w:trPr>
        <w:tc>
          <w:tcPr>
            <w:tcW w:w="563" w:type="dxa"/>
            <w:vMerge w:val="restar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Style w:val="77"/>
                <w:rFonts w:ascii="宋体" w:hAnsi="宋体"/>
                <w:b/>
                <w:color w:val="auto"/>
                <w:szCs w:val="21"/>
                <w:highlight w:val="none"/>
              </w:rPr>
            </w:pPr>
            <w:r>
              <w:rPr>
                <w:rStyle w:val="77"/>
                <w:rFonts w:ascii="宋体" w:hAnsi="宋体"/>
                <w:b/>
                <w:color w:val="auto"/>
                <w:szCs w:val="21"/>
                <w:highlight w:val="none"/>
              </w:rPr>
              <w:t>2</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spacing w:line="276" w:lineRule="auto"/>
              <w:ind w:left="-105" w:leftChars="-50" w:right="-105"/>
              <w:jc w:val="center"/>
              <w:rPr>
                <w:rStyle w:val="77"/>
                <w:rFonts w:ascii="宋体" w:hAnsi="宋体"/>
                <w:color w:val="auto"/>
                <w:spacing w:val="-18"/>
                <w:szCs w:val="21"/>
                <w:highlight w:val="none"/>
              </w:rPr>
            </w:pPr>
            <w:r>
              <w:rPr>
                <w:rStyle w:val="77"/>
                <w:rFonts w:hint="eastAsia"/>
                <w:b/>
                <w:color w:val="auto"/>
                <w:szCs w:val="24"/>
                <w:highlight w:val="none"/>
              </w:rPr>
              <w:t>技术</w:t>
            </w:r>
            <w:r>
              <w:rPr>
                <w:rStyle w:val="77"/>
                <w:b/>
                <w:color w:val="auto"/>
                <w:szCs w:val="24"/>
                <w:highlight w:val="none"/>
              </w:rPr>
              <w:t>分（满分</w:t>
            </w:r>
            <w:r>
              <w:rPr>
                <w:rStyle w:val="77"/>
                <w:rFonts w:hint="eastAsia"/>
                <w:b/>
                <w:color w:val="auto"/>
                <w:szCs w:val="24"/>
                <w:highlight w:val="none"/>
              </w:rPr>
              <w:t>70</w:t>
            </w:r>
            <w:r>
              <w:rPr>
                <w:rStyle w:val="77"/>
                <w:b/>
                <w:color w:val="auto"/>
                <w:szCs w:val="24"/>
                <w:highlight w:val="none"/>
              </w:rPr>
              <w:t>分）</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Style w:val="77"/>
                <w:rFonts w:ascii="宋体" w:hAnsi="宋体"/>
                <w:b/>
                <w:color w:val="auto"/>
                <w:szCs w:val="21"/>
                <w:highlight w:val="none"/>
              </w:rPr>
            </w:pPr>
            <w:r>
              <w:rPr>
                <w:rFonts w:hint="eastAsia" w:ascii="宋体" w:hAnsi="宋体"/>
                <w:b/>
                <w:color w:val="auto"/>
                <w:szCs w:val="21"/>
                <w:highlight w:val="none"/>
              </w:rPr>
              <w:t>（1）工作方案（20分）</w:t>
            </w:r>
          </w:p>
        </w:tc>
        <w:tc>
          <w:tcPr>
            <w:tcW w:w="7022" w:type="dxa"/>
            <w:tcBorders>
              <w:top w:val="single" w:color="000000" w:sz="4" w:space="0"/>
              <w:left w:val="single" w:color="000000" w:sz="4" w:space="0"/>
              <w:bottom w:val="single" w:color="000000" w:sz="4" w:space="0"/>
              <w:right w:val="single" w:color="000000" w:sz="4" w:space="0"/>
            </w:tcBorders>
            <w:vAlign w:val="center"/>
          </w:tcPr>
          <w:p>
            <w:pPr>
              <w:spacing w:line="276" w:lineRule="auto"/>
              <w:ind w:firstLine="348" w:firstLineChars="166"/>
              <w:rPr>
                <w:rFonts w:ascii="宋体" w:hAnsi="宋体" w:cs="宋体"/>
                <w:bCs/>
                <w:color w:val="auto"/>
                <w:szCs w:val="21"/>
                <w:highlight w:val="none"/>
              </w:rPr>
            </w:pPr>
            <w:r>
              <w:rPr>
                <w:rFonts w:ascii="宋体" w:hAnsi="宋体" w:cs="宋体"/>
                <w:bCs/>
                <w:color w:val="auto"/>
                <w:szCs w:val="21"/>
                <w:highlight w:val="none"/>
              </w:rPr>
              <w:t xml:space="preserve">按工作实施方案的适用性、可行性、具体性，人员配套合理性，人员职责分工的明确性进行评价打分： </w:t>
            </w:r>
          </w:p>
          <w:p>
            <w:pPr>
              <w:spacing w:line="276" w:lineRule="auto"/>
              <w:ind w:firstLine="348" w:firstLineChars="166"/>
              <w:rPr>
                <w:rFonts w:ascii="宋体" w:hAnsi="宋体" w:cs="宋体"/>
                <w:bCs/>
                <w:color w:val="auto"/>
                <w:szCs w:val="21"/>
                <w:highlight w:val="none"/>
              </w:rPr>
            </w:pPr>
            <w:r>
              <w:rPr>
                <w:rFonts w:hint="eastAsia" w:ascii="宋体" w:hAnsi="宋体" w:cs="宋体"/>
                <w:bCs/>
                <w:color w:val="auto"/>
                <w:szCs w:val="21"/>
                <w:highlight w:val="none"/>
              </w:rPr>
              <w:t>包括但不限于</w:t>
            </w:r>
            <w:r>
              <w:rPr>
                <w:rFonts w:ascii="宋体" w:hAnsi="宋体" w:cs="宋体"/>
                <w:bCs/>
                <w:color w:val="auto"/>
                <w:szCs w:val="21"/>
                <w:highlight w:val="none"/>
              </w:rPr>
              <w:t>明确服务的范围</w:t>
            </w:r>
            <w:r>
              <w:rPr>
                <w:rFonts w:hint="eastAsia" w:ascii="宋体" w:hAnsi="宋体" w:cs="宋体"/>
                <w:bCs/>
                <w:color w:val="auto"/>
                <w:szCs w:val="21"/>
                <w:highlight w:val="none"/>
              </w:rPr>
              <w:t>，</w:t>
            </w:r>
            <w:r>
              <w:rPr>
                <w:rFonts w:ascii="宋体" w:hAnsi="宋体" w:cs="宋体"/>
                <w:bCs/>
                <w:color w:val="auto"/>
                <w:szCs w:val="21"/>
                <w:highlight w:val="none"/>
              </w:rPr>
              <w:t>工作内容</w:t>
            </w:r>
            <w:r>
              <w:rPr>
                <w:rFonts w:hint="eastAsia" w:ascii="宋体" w:hAnsi="宋体" w:cs="宋体"/>
                <w:bCs/>
                <w:color w:val="auto"/>
                <w:szCs w:val="21"/>
                <w:highlight w:val="none"/>
              </w:rPr>
              <w:t>、</w:t>
            </w:r>
            <w:r>
              <w:rPr>
                <w:rFonts w:ascii="宋体" w:hAnsi="宋体" w:cs="宋体"/>
                <w:bCs/>
                <w:color w:val="auto"/>
                <w:szCs w:val="21"/>
                <w:highlight w:val="none"/>
              </w:rPr>
              <w:t>目标</w:t>
            </w:r>
            <w:r>
              <w:rPr>
                <w:rFonts w:hint="eastAsia" w:ascii="宋体" w:hAnsi="宋体" w:cs="宋体"/>
                <w:bCs/>
                <w:color w:val="auto"/>
                <w:szCs w:val="21"/>
                <w:highlight w:val="none"/>
              </w:rPr>
              <w:t>，</w:t>
            </w:r>
            <w:r>
              <w:rPr>
                <w:rFonts w:ascii="宋体" w:hAnsi="宋体" w:cs="宋体"/>
                <w:bCs/>
                <w:color w:val="auto"/>
                <w:szCs w:val="21"/>
                <w:highlight w:val="none"/>
              </w:rPr>
              <w:t>组织实施方案完整，符合国家现行政策和方针</w:t>
            </w:r>
            <w:r>
              <w:rPr>
                <w:rFonts w:hint="eastAsia" w:ascii="宋体" w:hAnsi="宋体" w:cs="宋体"/>
                <w:bCs/>
                <w:color w:val="auto"/>
                <w:szCs w:val="21"/>
                <w:highlight w:val="none"/>
              </w:rPr>
              <w:t>等</w:t>
            </w:r>
            <w:r>
              <w:rPr>
                <w:rFonts w:ascii="宋体" w:hAnsi="宋体" w:cs="宋体"/>
                <w:bCs/>
                <w:color w:val="auto"/>
                <w:szCs w:val="21"/>
                <w:highlight w:val="none"/>
              </w:rPr>
              <w:t>，</w:t>
            </w:r>
            <w:r>
              <w:rPr>
                <w:rFonts w:hint="eastAsia" w:ascii="宋体" w:hAnsi="宋体" w:cs="宋体"/>
                <w:bCs/>
                <w:color w:val="auto"/>
                <w:szCs w:val="21"/>
                <w:highlight w:val="none"/>
              </w:rPr>
              <w:t>且</w:t>
            </w:r>
            <w:r>
              <w:rPr>
                <w:rFonts w:ascii="宋体" w:hAnsi="宋体" w:cs="宋体"/>
                <w:bCs/>
                <w:color w:val="auto"/>
                <w:szCs w:val="21"/>
                <w:highlight w:val="none"/>
              </w:rPr>
              <w:t>服务承诺内容明确详细</w:t>
            </w:r>
            <w:r>
              <w:rPr>
                <w:rFonts w:hint="eastAsia" w:ascii="宋体" w:hAnsi="宋体" w:cs="宋体"/>
                <w:bCs/>
                <w:color w:val="auto"/>
                <w:szCs w:val="21"/>
                <w:highlight w:val="none"/>
              </w:rPr>
              <w:t>、</w:t>
            </w:r>
            <w:r>
              <w:rPr>
                <w:rFonts w:ascii="宋体" w:hAnsi="宋体" w:cs="宋体"/>
                <w:bCs/>
                <w:color w:val="auto"/>
                <w:szCs w:val="21"/>
                <w:highlight w:val="none"/>
              </w:rPr>
              <w:t>切实可行。</w:t>
            </w:r>
          </w:p>
          <w:p>
            <w:pPr>
              <w:spacing w:line="276" w:lineRule="auto"/>
              <w:ind w:firstLine="33" w:firstLineChars="16"/>
              <w:rPr>
                <w:rFonts w:ascii="宋体" w:hAnsi="宋体" w:cs="宋体"/>
                <w:bCs/>
                <w:color w:val="auto"/>
                <w:szCs w:val="21"/>
                <w:highlight w:val="none"/>
              </w:rPr>
            </w:pPr>
            <w:r>
              <w:rPr>
                <w:rFonts w:hint="eastAsia" w:ascii="宋体" w:hAnsi="宋体" w:cs="宋体"/>
                <w:bCs/>
                <w:color w:val="auto"/>
                <w:szCs w:val="21"/>
                <w:highlight w:val="none"/>
              </w:rPr>
              <w:t>一档（7分）：工作方案描述简单、重复，不能满足项目需求，可操作性一般；</w:t>
            </w:r>
          </w:p>
          <w:p>
            <w:pPr>
              <w:spacing w:line="276" w:lineRule="auto"/>
              <w:ind w:firstLine="33" w:firstLineChars="16"/>
              <w:rPr>
                <w:rFonts w:ascii="宋体" w:hAnsi="宋体" w:cs="宋体"/>
                <w:bCs/>
                <w:color w:val="auto"/>
                <w:szCs w:val="21"/>
                <w:highlight w:val="none"/>
              </w:rPr>
            </w:pPr>
            <w:r>
              <w:rPr>
                <w:rFonts w:hint="eastAsia" w:ascii="宋体" w:hAnsi="宋体" w:cs="宋体"/>
                <w:bCs/>
                <w:color w:val="auto"/>
                <w:szCs w:val="21"/>
                <w:highlight w:val="none"/>
              </w:rPr>
              <w:t>二档（14分）：工作方案基本符合本项目的各项需求，并且具有一定的可操作性；</w:t>
            </w:r>
          </w:p>
          <w:p>
            <w:pPr>
              <w:spacing w:line="276" w:lineRule="auto"/>
              <w:ind w:firstLine="33" w:firstLineChars="16"/>
              <w:rPr>
                <w:rStyle w:val="77"/>
                <w:rFonts w:ascii="宋体" w:hAnsi="宋体" w:cs="宋体"/>
                <w:bCs/>
                <w:color w:val="auto"/>
                <w:szCs w:val="21"/>
                <w:highlight w:val="none"/>
              </w:rPr>
            </w:pPr>
            <w:r>
              <w:rPr>
                <w:rFonts w:hint="eastAsia" w:ascii="宋体" w:hAnsi="宋体" w:cs="宋体"/>
                <w:bCs/>
                <w:color w:val="auto"/>
                <w:szCs w:val="21"/>
                <w:highlight w:val="none"/>
              </w:rPr>
              <w:t>三档（20分）：工作方案基本符合本项目的各项需求，组织实施方案内容较完整，方案实施要点、管理要点基本满足总体要求，可操作性较强。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91" w:hRule="atLeast"/>
          <w:jc w:val="center"/>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Style w:val="77"/>
                <w:rFonts w:ascii="宋体" w:hAnsi="宋体"/>
                <w:b/>
                <w:color w:val="auto"/>
                <w:szCs w:val="21"/>
                <w:highlight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ind w:left="-105" w:leftChars="-50" w:right="-105"/>
              <w:jc w:val="center"/>
              <w:rPr>
                <w:rStyle w:val="77"/>
                <w:b/>
                <w:color w:val="auto"/>
                <w:szCs w:val="24"/>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b/>
                <w:color w:val="auto"/>
                <w:szCs w:val="21"/>
                <w:highlight w:val="none"/>
              </w:rPr>
            </w:pPr>
            <w:r>
              <w:rPr>
                <w:rFonts w:hint="eastAsia" w:ascii="宋体" w:hAnsi="宋体"/>
                <w:b/>
                <w:color w:val="auto"/>
                <w:szCs w:val="21"/>
                <w:highlight w:val="none"/>
              </w:rPr>
              <w:t>（2）</w:t>
            </w:r>
            <w:r>
              <w:rPr>
                <w:rFonts w:hint="eastAsia" w:ascii="宋体" w:hAnsi="宋体" w:cs="宋体"/>
                <w:b/>
                <w:color w:val="auto"/>
                <w:szCs w:val="21"/>
                <w:highlight w:val="none"/>
              </w:rPr>
              <w:t>服务方案分（20分）</w:t>
            </w:r>
          </w:p>
        </w:tc>
        <w:tc>
          <w:tcPr>
            <w:tcW w:w="7022" w:type="dxa"/>
            <w:tcBorders>
              <w:top w:val="single" w:color="000000" w:sz="4" w:space="0"/>
              <w:left w:val="single" w:color="000000" w:sz="4" w:space="0"/>
              <w:bottom w:val="single" w:color="000000" w:sz="4" w:space="0"/>
              <w:right w:val="single" w:color="000000" w:sz="4" w:space="0"/>
            </w:tcBorders>
            <w:vAlign w:val="center"/>
          </w:tcPr>
          <w:p>
            <w:pPr>
              <w:pStyle w:val="14"/>
              <w:ind w:firstLine="315" w:firstLineChars="150"/>
              <w:rPr>
                <w:rFonts w:hAnsi="宋体" w:cs="宋体"/>
                <w:bCs/>
                <w:color w:val="auto"/>
                <w:szCs w:val="21"/>
                <w:highlight w:val="none"/>
              </w:rPr>
            </w:pPr>
            <w:r>
              <w:rPr>
                <w:rFonts w:hint="eastAsia" w:hAnsi="宋体" w:cs="宋体"/>
                <w:bCs/>
                <w:color w:val="auto"/>
                <w:szCs w:val="21"/>
                <w:highlight w:val="none"/>
              </w:rPr>
              <w:t xml:space="preserve">①服务方案的的全面性（满分12分）： </w:t>
            </w:r>
          </w:p>
          <w:p>
            <w:pPr>
              <w:pStyle w:val="14"/>
              <w:ind w:firstLine="315" w:firstLineChars="150"/>
              <w:rPr>
                <w:rFonts w:hAnsi="宋体" w:cs="宋体"/>
                <w:bCs/>
                <w:color w:val="auto"/>
                <w:szCs w:val="21"/>
                <w:highlight w:val="none"/>
              </w:rPr>
            </w:pPr>
            <w:r>
              <w:rPr>
                <w:rFonts w:hint="eastAsia" w:hAnsi="宋体" w:cs="宋体"/>
                <w:bCs/>
                <w:color w:val="auto"/>
                <w:szCs w:val="21"/>
                <w:highlight w:val="none"/>
              </w:rPr>
              <w:t>一档（4分）：描述简单、重复或不满足本项目要求的得4分。</w:t>
            </w:r>
          </w:p>
          <w:p>
            <w:pPr>
              <w:pStyle w:val="14"/>
              <w:ind w:firstLine="315" w:firstLineChars="150"/>
              <w:rPr>
                <w:rFonts w:hAnsi="宋体" w:cs="宋体"/>
                <w:bCs/>
                <w:color w:val="auto"/>
                <w:szCs w:val="21"/>
                <w:highlight w:val="none"/>
              </w:rPr>
            </w:pPr>
            <w:r>
              <w:rPr>
                <w:rFonts w:hint="eastAsia" w:hAnsi="宋体" w:cs="宋体"/>
                <w:bCs/>
                <w:color w:val="auto"/>
                <w:szCs w:val="21"/>
                <w:highlight w:val="none"/>
              </w:rPr>
              <w:t>二档（8分）：方案的实施方法、实施计划与措施，方法措施较为合理，能确保工作质量，实施管理总进度计划具体的，得8分；</w:t>
            </w:r>
          </w:p>
          <w:p>
            <w:pPr>
              <w:pStyle w:val="14"/>
              <w:ind w:firstLine="315" w:firstLineChars="150"/>
              <w:rPr>
                <w:rFonts w:hAnsi="宋体" w:cs="宋体"/>
                <w:bCs/>
                <w:color w:val="auto"/>
                <w:szCs w:val="21"/>
                <w:highlight w:val="none"/>
              </w:rPr>
            </w:pPr>
            <w:r>
              <w:rPr>
                <w:rFonts w:hint="eastAsia" w:hAnsi="宋体" w:cs="宋体"/>
                <w:bCs/>
                <w:color w:val="auto"/>
                <w:szCs w:val="21"/>
                <w:highlight w:val="none"/>
              </w:rPr>
              <w:t>三档（12分）：对项目需求理解精准，服务方案能够满足本项目的总体要求的，得12分；</w:t>
            </w:r>
          </w:p>
          <w:p>
            <w:pPr>
              <w:pStyle w:val="14"/>
              <w:ind w:firstLine="315" w:firstLineChars="150"/>
              <w:rPr>
                <w:rFonts w:hAnsi="宋体" w:cs="宋体"/>
                <w:bCs/>
                <w:color w:val="auto"/>
                <w:szCs w:val="21"/>
                <w:highlight w:val="none"/>
              </w:rPr>
            </w:pPr>
            <w:r>
              <w:rPr>
                <w:rFonts w:hint="eastAsia" w:hAnsi="宋体" w:cs="宋体"/>
                <w:bCs/>
                <w:color w:val="auto"/>
                <w:szCs w:val="21"/>
                <w:highlight w:val="none"/>
              </w:rPr>
              <w:t>②服务方案的可行性（满分8分）：</w:t>
            </w:r>
          </w:p>
          <w:p>
            <w:pPr>
              <w:pStyle w:val="14"/>
              <w:ind w:firstLine="315" w:firstLineChars="150"/>
              <w:rPr>
                <w:rFonts w:hAnsi="宋体" w:cs="宋体"/>
                <w:bCs/>
                <w:color w:val="auto"/>
                <w:szCs w:val="21"/>
                <w:highlight w:val="none"/>
              </w:rPr>
            </w:pPr>
            <w:r>
              <w:rPr>
                <w:rFonts w:hint="eastAsia" w:hAnsi="宋体" w:cs="宋体"/>
                <w:bCs/>
                <w:color w:val="auto"/>
                <w:szCs w:val="21"/>
                <w:highlight w:val="none"/>
              </w:rPr>
              <w:t>一档（4分）：方案描述简单、重复或不满足本项目服务要求的得4分。</w:t>
            </w:r>
          </w:p>
          <w:p>
            <w:pPr>
              <w:pStyle w:val="14"/>
              <w:ind w:firstLine="315" w:firstLineChars="150"/>
              <w:rPr>
                <w:rFonts w:hAnsi="宋体" w:cs="宋体"/>
                <w:color w:val="auto"/>
                <w:highlight w:val="none"/>
              </w:rPr>
            </w:pPr>
            <w:r>
              <w:rPr>
                <w:rFonts w:hint="eastAsia" w:hAnsi="宋体" w:cs="宋体"/>
                <w:bCs/>
                <w:color w:val="auto"/>
                <w:szCs w:val="21"/>
                <w:highlight w:val="none"/>
              </w:rPr>
              <w:t>二档（8分）：方案各项主要内容的措施具体到位、计划、阶段的划分、各项工作时间安排符合实际，能确保项目按照业主要求时间完成工作的，得8分。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91" w:hRule="atLeast"/>
          <w:jc w:val="center"/>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Style w:val="77"/>
                <w:rFonts w:ascii="宋体" w:hAnsi="宋体"/>
                <w:b/>
                <w:color w:val="auto"/>
                <w:szCs w:val="21"/>
                <w:highlight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ind w:left="-105" w:leftChars="-50" w:right="-105"/>
              <w:jc w:val="center"/>
              <w:rPr>
                <w:rStyle w:val="77"/>
                <w:b/>
                <w:color w:val="auto"/>
                <w:szCs w:val="24"/>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b/>
                <w:color w:val="auto"/>
                <w:sz w:val="22"/>
                <w:highlight w:val="none"/>
              </w:rPr>
            </w:pPr>
            <w:r>
              <w:rPr>
                <w:rFonts w:hint="eastAsia"/>
                <w:b/>
                <w:color w:val="auto"/>
                <w:sz w:val="22"/>
                <w:highlight w:val="none"/>
              </w:rPr>
              <w:t>（3）</w:t>
            </w:r>
            <w:r>
              <w:rPr>
                <w:b/>
                <w:color w:val="auto"/>
                <w:sz w:val="22"/>
                <w:highlight w:val="none"/>
              </w:rPr>
              <w:t>工作期限承诺及保证措施</w:t>
            </w:r>
            <w:r>
              <w:rPr>
                <w:rFonts w:hint="eastAsia"/>
                <w:b/>
                <w:color w:val="auto"/>
                <w:sz w:val="22"/>
                <w:highlight w:val="none"/>
              </w:rPr>
              <w:t>（12分）</w:t>
            </w:r>
          </w:p>
        </w:tc>
        <w:tc>
          <w:tcPr>
            <w:tcW w:w="7022" w:type="dxa"/>
            <w:tcBorders>
              <w:top w:val="single" w:color="000000" w:sz="4" w:space="0"/>
              <w:left w:val="single" w:color="000000" w:sz="4" w:space="0"/>
              <w:bottom w:val="single" w:color="000000" w:sz="4" w:space="0"/>
              <w:right w:val="single" w:color="000000" w:sz="4" w:space="0"/>
            </w:tcBorders>
            <w:vAlign w:val="center"/>
          </w:tcPr>
          <w:p>
            <w:pPr>
              <w:ind w:firstLine="330" w:firstLineChars="150"/>
              <w:rPr>
                <w:color w:val="auto"/>
                <w:szCs w:val="21"/>
                <w:highlight w:val="none"/>
              </w:rPr>
            </w:pPr>
            <w:r>
              <w:rPr>
                <w:rFonts w:hint="eastAsia"/>
                <w:color w:val="auto"/>
                <w:sz w:val="22"/>
                <w:highlight w:val="none"/>
              </w:rPr>
              <w:t xml:space="preserve">按采购人要求工作完成时限的保证措施，及时响应及解决遇到问题的时限承诺，廉洁纪律保证措施以及服务成果资料归档制度进行评价打分： </w:t>
            </w:r>
          </w:p>
          <w:p>
            <w:pPr>
              <w:rPr>
                <w:color w:val="auto"/>
                <w:szCs w:val="21"/>
                <w:highlight w:val="none"/>
              </w:rPr>
            </w:pPr>
            <w:r>
              <w:rPr>
                <w:rFonts w:hint="eastAsia"/>
                <w:color w:val="auto"/>
                <w:szCs w:val="21"/>
                <w:highlight w:val="none"/>
              </w:rPr>
              <w:t>一档（4分）：措施不具体、针对性差。</w:t>
            </w:r>
          </w:p>
          <w:p>
            <w:pPr>
              <w:rPr>
                <w:color w:val="auto"/>
                <w:sz w:val="22"/>
                <w:highlight w:val="none"/>
              </w:rPr>
            </w:pPr>
            <w:r>
              <w:rPr>
                <w:rFonts w:hint="eastAsia"/>
                <w:color w:val="auto"/>
                <w:sz w:val="22"/>
                <w:highlight w:val="none"/>
              </w:rPr>
              <w:t>二档（8分）：措施较合理、措施不具体、针对性不强。</w:t>
            </w:r>
          </w:p>
          <w:p>
            <w:pPr>
              <w:rPr>
                <w:color w:val="auto"/>
                <w:sz w:val="22"/>
                <w:highlight w:val="none"/>
              </w:rPr>
            </w:pPr>
            <w:r>
              <w:rPr>
                <w:rFonts w:hint="eastAsia"/>
                <w:color w:val="auto"/>
                <w:sz w:val="22"/>
                <w:highlight w:val="none"/>
              </w:rPr>
              <w:t>三档（12分）：措施合理可行、措施具体、针对性强。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48" w:hRule="atLeast"/>
          <w:jc w:val="center"/>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Style w:val="77"/>
                <w:rFonts w:ascii="宋体" w:hAnsi="宋体"/>
                <w:b/>
                <w:color w:val="auto"/>
                <w:szCs w:val="21"/>
                <w:highlight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ind w:left="-105" w:leftChars="-50" w:right="-105"/>
              <w:jc w:val="center"/>
              <w:rPr>
                <w:rStyle w:val="77"/>
                <w:b/>
                <w:color w:val="auto"/>
                <w:szCs w:val="24"/>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color w:val="auto"/>
                <w:sz w:val="22"/>
                <w:highlight w:val="none"/>
              </w:rPr>
            </w:pPr>
            <w:r>
              <w:rPr>
                <w:rFonts w:hint="eastAsia"/>
                <w:b/>
                <w:color w:val="auto"/>
                <w:sz w:val="22"/>
                <w:highlight w:val="none"/>
              </w:rPr>
              <w:t>（4）公司管理制度（6分）</w:t>
            </w:r>
          </w:p>
        </w:tc>
        <w:tc>
          <w:tcPr>
            <w:tcW w:w="7022" w:type="dxa"/>
            <w:tcBorders>
              <w:top w:val="single" w:color="000000" w:sz="4" w:space="0"/>
              <w:left w:val="single" w:color="000000" w:sz="4" w:space="0"/>
              <w:bottom w:val="single" w:color="000000" w:sz="4" w:space="0"/>
              <w:right w:val="single" w:color="000000" w:sz="4" w:space="0"/>
            </w:tcBorders>
            <w:vAlign w:val="center"/>
          </w:tcPr>
          <w:p>
            <w:pPr>
              <w:rPr>
                <w:color w:val="auto"/>
                <w:szCs w:val="21"/>
                <w:highlight w:val="none"/>
              </w:rPr>
            </w:pPr>
            <w:r>
              <w:rPr>
                <w:rFonts w:hint="eastAsia"/>
                <w:color w:val="auto"/>
                <w:szCs w:val="21"/>
                <w:highlight w:val="none"/>
              </w:rPr>
              <w:t xml:space="preserve">企业以下每项内部制度健全的得1分，不提供的不得分： </w:t>
            </w:r>
          </w:p>
          <w:p>
            <w:pPr>
              <w:ind w:firstLine="315" w:firstLineChars="150"/>
              <w:rPr>
                <w:color w:val="auto"/>
                <w:szCs w:val="21"/>
                <w:highlight w:val="none"/>
              </w:rPr>
            </w:pPr>
            <w:r>
              <w:rPr>
                <w:rFonts w:hint="eastAsia"/>
                <w:color w:val="auto"/>
                <w:szCs w:val="21"/>
                <w:highlight w:val="none"/>
              </w:rPr>
              <w:t>1、风险控制制度；2、档案管理制度；3、廉洁自律制度；4、财务管理制度；5、人事管理制度；6、保密制度；本项最多得6分。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60" w:hRule="atLeast"/>
          <w:jc w:val="center"/>
        </w:trPr>
        <w:tc>
          <w:tcPr>
            <w:tcW w:w="563"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Style w:val="77"/>
                <w:rFonts w:ascii="宋体" w:hAnsi="宋体"/>
                <w:b/>
                <w:color w:val="auto"/>
                <w:szCs w:val="21"/>
                <w:highlight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ind w:left="-105" w:leftChars="-50" w:right="-105"/>
              <w:jc w:val="center"/>
              <w:rPr>
                <w:rStyle w:val="77"/>
                <w:b/>
                <w:color w:val="auto"/>
                <w:szCs w:val="24"/>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b/>
                <w:color w:val="auto"/>
                <w:szCs w:val="21"/>
                <w:highlight w:val="none"/>
              </w:rPr>
            </w:pPr>
            <w:r>
              <w:rPr>
                <w:rFonts w:hint="eastAsia" w:ascii="宋体" w:hAnsi="宋体"/>
                <w:b/>
                <w:color w:val="auto"/>
                <w:szCs w:val="21"/>
                <w:highlight w:val="none"/>
              </w:rPr>
              <w:t>（5）</w:t>
            </w:r>
            <w:r>
              <w:rPr>
                <w:rFonts w:hint="eastAsia" w:ascii="宋体" w:hAnsi="宋体" w:cs="宋体"/>
                <w:b/>
                <w:color w:val="auto"/>
                <w:szCs w:val="21"/>
                <w:highlight w:val="none"/>
              </w:rPr>
              <w:t>服务承诺分（12分）</w:t>
            </w:r>
          </w:p>
        </w:tc>
        <w:tc>
          <w:tcPr>
            <w:tcW w:w="7022" w:type="dxa"/>
            <w:tcBorders>
              <w:top w:val="single" w:color="000000" w:sz="4" w:space="0"/>
              <w:left w:val="single" w:color="000000" w:sz="4" w:space="0"/>
              <w:bottom w:val="single" w:color="000000" w:sz="4" w:space="0"/>
              <w:right w:val="single" w:color="000000" w:sz="4" w:space="0"/>
            </w:tcBorders>
            <w:vAlign w:val="center"/>
          </w:tcPr>
          <w:p>
            <w:pPr>
              <w:pStyle w:val="14"/>
              <w:ind w:firstLine="330" w:firstLineChars="150"/>
              <w:rPr>
                <w:rFonts w:hint="eastAsia" w:ascii="Times New Roman" w:hAnsi="Times New Roman" w:eastAsia="宋体" w:cs="Times New Roman"/>
                <w:color w:val="auto"/>
                <w:kern w:val="2"/>
                <w:sz w:val="22"/>
                <w:szCs w:val="24"/>
                <w:highlight w:val="none"/>
                <w:lang w:val="en-US" w:eastAsia="zh-CN" w:bidi="ar-SA"/>
              </w:rPr>
            </w:pPr>
            <w:r>
              <w:rPr>
                <w:rFonts w:hint="eastAsia" w:ascii="Times New Roman" w:hAnsi="Times New Roman" w:eastAsia="宋体" w:cs="Times New Roman"/>
                <w:color w:val="auto"/>
                <w:kern w:val="2"/>
                <w:sz w:val="22"/>
                <w:szCs w:val="24"/>
                <w:highlight w:val="none"/>
                <w:lang w:val="en-US" w:eastAsia="zh-CN" w:bidi="ar-SA"/>
              </w:rPr>
              <w:t>供应商对本项目的服务标准、响应时间、售后服务等方面内容作出书面承诺，根据供应商提供的服务承诺进行对比评分：</w:t>
            </w:r>
          </w:p>
          <w:p>
            <w:pPr>
              <w:pStyle w:val="14"/>
              <w:ind w:firstLine="330" w:firstLineChars="150"/>
              <w:rPr>
                <w:rFonts w:hint="eastAsia" w:ascii="Times New Roman" w:hAnsi="Times New Roman" w:eastAsia="宋体" w:cs="Times New Roman"/>
                <w:color w:val="auto"/>
                <w:kern w:val="2"/>
                <w:sz w:val="22"/>
                <w:szCs w:val="24"/>
                <w:highlight w:val="none"/>
                <w:lang w:val="en-US" w:eastAsia="zh-CN" w:bidi="ar-SA"/>
              </w:rPr>
            </w:pPr>
            <w:r>
              <w:rPr>
                <w:rFonts w:hint="eastAsia" w:ascii="Times New Roman" w:hAnsi="Times New Roman" w:eastAsia="宋体" w:cs="Times New Roman"/>
                <w:color w:val="auto"/>
                <w:kern w:val="2"/>
                <w:sz w:val="22"/>
                <w:szCs w:val="24"/>
                <w:highlight w:val="none"/>
                <w:lang w:val="en-US" w:eastAsia="zh-CN" w:bidi="ar-SA"/>
              </w:rPr>
              <w:t>一档（4分）：服务承诺简单的得4分，</w:t>
            </w:r>
          </w:p>
          <w:p>
            <w:pPr>
              <w:pStyle w:val="14"/>
              <w:ind w:firstLine="330" w:firstLineChars="150"/>
              <w:rPr>
                <w:rFonts w:hint="eastAsia" w:ascii="Times New Roman" w:hAnsi="Times New Roman" w:eastAsia="宋体" w:cs="Times New Roman"/>
                <w:color w:val="auto"/>
                <w:kern w:val="2"/>
                <w:sz w:val="22"/>
                <w:szCs w:val="24"/>
                <w:highlight w:val="none"/>
                <w:lang w:val="en-US" w:eastAsia="zh-CN" w:bidi="ar-SA"/>
              </w:rPr>
            </w:pPr>
            <w:r>
              <w:rPr>
                <w:rFonts w:hint="eastAsia" w:ascii="Times New Roman" w:hAnsi="Times New Roman" w:eastAsia="宋体" w:cs="Times New Roman"/>
                <w:color w:val="auto"/>
                <w:kern w:val="2"/>
                <w:sz w:val="22"/>
                <w:szCs w:val="24"/>
                <w:highlight w:val="none"/>
                <w:lang w:val="en-US" w:eastAsia="zh-CN" w:bidi="ar-SA"/>
              </w:rPr>
              <w:t>二档（8分）：服务承诺能满足采购需求，基本可行的得8分，</w:t>
            </w:r>
          </w:p>
          <w:p>
            <w:pPr>
              <w:pStyle w:val="14"/>
              <w:ind w:firstLine="330" w:firstLineChars="150"/>
              <w:rPr>
                <w:rFonts w:hAnsi="宋体" w:cs="宋体"/>
                <w:color w:val="auto"/>
                <w:highlight w:val="none"/>
              </w:rPr>
            </w:pPr>
            <w:r>
              <w:rPr>
                <w:rFonts w:hint="eastAsia" w:ascii="Times New Roman" w:hAnsi="Times New Roman" w:eastAsia="宋体" w:cs="Times New Roman"/>
                <w:color w:val="auto"/>
                <w:kern w:val="2"/>
                <w:sz w:val="22"/>
                <w:szCs w:val="24"/>
                <w:highlight w:val="none"/>
                <w:lang w:val="en-US" w:eastAsia="zh-CN" w:bidi="ar-SA"/>
              </w:rPr>
              <w:t>三档（12分）：服务承诺完善、合理、可行，保障响应措施考虑周全到位的得12分。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3" w:type="dxa"/>
            <w:vMerge w:val="restart"/>
            <w:tcBorders>
              <w:top w:val="single" w:color="000000" w:sz="4" w:space="0"/>
              <w:left w:val="single" w:color="000000" w:sz="4" w:space="0"/>
              <w:right w:val="single" w:color="000000" w:sz="4" w:space="0"/>
            </w:tcBorders>
            <w:vAlign w:val="center"/>
          </w:tcPr>
          <w:p>
            <w:pPr>
              <w:spacing w:line="276" w:lineRule="auto"/>
              <w:jc w:val="center"/>
              <w:rPr>
                <w:rStyle w:val="77"/>
                <w:rFonts w:ascii="宋体" w:hAnsi="宋体"/>
                <w:b/>
                <w:color w:val="auto"/>
                <w:szCs w:val="21"/>
                <w:highlight w:val="none"/>
              </w:rPr>
            </w:pPr>
            <w:r>
              <w:rPr>
                <w:rStyle w:val="77"/>
                <w:rFonts w:ascii="宋体" w:hAnsi="宋体"/>
                <w:b/>
                <w:color w:val="auto"/>
                <w:szCs w:val="21"/>
                <w:highlight w:val="none"/>
              </w:rPr>
              <w:t>3</w:t>
            </w:r>
          </w:p>
        </w:tc>
        <w:tc>
          <w:tcPr>
            <w:tcW w:w="933" w:type="dxa"/>
            <w:vMerge w:val="restart"/>
            <w:tcBorders>
              <w:top w:val="single" w:color="000000" w:sz="4" w:space="0"/>
              <w:left w:val="single" w:color="000000" w:sz="4" w:space="0"/>
              <w:right w:val="single" w:color="000000" w:sz="4" w:space="0"/>
            </w:tcBorders>
            <w:vAlign w:val="center"/>
          </w:tcPr>
          <w:p>
            <w:pPr>
              <w:spacing w:line="276" w:lineRule="auto"/>
              <w:jc w:val="center"/>
              <w:rPr>
                <w:rStyle w:val="77"/>
                <w:rFonts w:ascii="宋体" w:hAnsi="宋体"/>
                <w:b/>
                <w:color w:val="auto"/>
                <w:szCs w:val="21"/>
                <w:highlight w:val="none"/>
              </w:rPr>
            </w:pPr>
            <w:r>
              <w:rPr>
                <w:rFonts w:hint="eastAsia" w:ascii="宋体" w:hAnsi="宋体"/>
                <w:b/>
                <w:color w:val="auto"/>
                <w:szCs w:val="21"/>
                <w:highlight w:val="none"/>
              </w:rPr>
              <w:t>商务分</w:t>
            </w:r>
            <w:r>
              <w:rPr>
                <w:rStyle w:val="77"/>
                <w:rFonts w:ascii="宋体" w:hAnsi="宋体"/>
                <w:b/>
                <w:color w:val="auto"/>
                <w:szCs w:val="21"/>
                <w:highlight w:val="none"/>
              </w:rPr>
              <w:t>（满分</w:t>
            </w:r>
            <w:r>
              <w:rPr>
                <w:rStyle w:val="77"/>
                <w:rFonts w:hint="eastAsia" w:ascii="宋体" w:hAnsi="宋体"/>
                <w:b/>
                <w:color w:val="auto"/>
                <w:szCs w:val="21"/>
                <w:highlight w:val="none"/>
              </w:rPr>
              <w:t>20</w:t>
            </w:r>
            <w:r>
              <w:rPr>
                <w:rStyle w:val="77"/>
                <w:rFonts w:ascii="宋体" w:hAnsi="宋体"/>
                <w:b/>
                <w:color w:val="auto"/>
                <w:szCs w:val="21"/>
                <w:highlight w:val="none"/>
              </w:rPr>
              <w:t>分）</w:t>
            </w:r>
          </w:p>
        </w:tc>
        <w:tc>
          <w:tcPr>
            <w:tcW w:w="8014"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cs="宋体"/>
                <w:b/>
                <w:bCs/>
                <w:color w:val="auto"/>
                <w:szCs w:val="21"/>
                <w:highlight w:val="none"/>
              </w:rPr>
            </w:pPr>
            <w:r>
              <w:rPr>
                <w:rFonts w:hint="eastAsia" w:ascii="宋体" w:hAnsi="宋体" w:cs="宋体"/>
                <w:b/>
                <w:bCs/>
                <w:color w:val="auto"/>
                <w:szCs w:val="21"/>
                <w:highlight w:val="none"/>
              </w:rPr>
              <w:t>（1）业绩分（满分10分）</w:t>
            </w:r>
          </w:p>
          <w:p>
            <w:pPr>
              <w:spacing w:line="276" w:lineRule="auto"/>
              <w:ind w:firstLine="315" w:firstLineChars="150"/>
              <w:rPr>
                <w:rStyle w:val="77"/>
                <w:rFonts w:ascii="宋体" w:hAnsi="宋体" w:cs="宋体"/>
                <w:bCs/>
                <w:color w:val="auto"/>
                <w:szCs w:val="21"/>
                <w:highlight w:val="none"/>
              </w:rPr>
            </w:pPr>
            <w:r>
              <w:rPr>
                <w:rFonts w:ascii="宋体" w:hAnsi="宋体" w:cs="宋体"/>
                <w:bCs/>
                <w:color w:val="auto"/>
                <w:szCs w:val="21"/>
                <w:highlight w:val="none"/>
              </w:rPr>
              <w:t>201</w:t>
            </w:r>
            <w:r>
              <w:rPr>
                <w:rFonts w:hint="eastAsia" w:ascii="宋体" w:hAnsi="宋体" w:cs="宋体"/>
                <w:bCs/>
                <w:color w:val="auto"/>
                <w:szCs w:val="21"/>
                <w:highlight w:val="none"/>
                <w:lang w:val="en-US" w:eastAsia="zh-CN"/>
              </w:rPr>
              <w:t>9</w:t>
            </w:r>
            <w:r>
              <w:rPr>
                <w:rFonts w:ascii="宋体" w:hAnsi="宋体" w:cs="宋体"/>
                <w:bCs/>
                <w:color w:val="auto"/>
                <w:szCs w:val="21"/>
                <w:highlight w:val="none"/>
              </w:rPr>
              <w:t>年</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月至今（以合同签订日期为准）</w:t>
            </w:r>
            <w:r>
              <w:rPr>
                <w:rFonts w:ascii="宋体" w:hAnsi="宋体" w:cs="宋体"/>
                <w:bCs/>
                <w:color w:val="auto"/>
                <w:szCs w:val="21"/>
                <w:highlight w:val="none"/>
              </w:rPr>
              <w:t>每</w:t>
            </w:r>
            <w:r>
              <w:rPr>
                <w:rFonts w:hint="eastAsia" w:ascii="宋体" w:hAnsi="宋体" w:cs="宋体"/>
                <w:bCs/>
                <w:color w:val="auto"/>
                <w:szCs w:val="21"/>
                <w:highlight w:val="none"/>
              </w:rPr>
              <w:t>承接或完成过类似项目业绩的，每提供</w:t>
            </w:r>
            <w:r>
              <w:rPr>
                <w:rFonts w:ascii="宋体" w:hAnsi="宋体" w:cs="宋体"/>
                <w:bCs/>
                <w:color w:val="auto"/>
                <w:szCs w:val="21"/>
                <w:highlight w:val="none"/>
              </w:rPr>
              <w:t>一份得</w:t>
            </w:r>
            <w:r>
              <w:rPr>
                <w:rFonts w:hint="eastAsia" w:ascii="宋体" w:hAnsi="宋体" w:cs="宋体"/>
                <w:bCs/>
                <w:color w:val="auto"/>
                <w:szCs w:val="21"/>
                <w:highlight w:val="none"/>
              </w:rPr>
              <w:t>2</w:t>
            </w:r>
            <w:r>
              <w:rPr>
                <w:rFonts w:ascii="宋体" w:hAnsi="宋体" w:cs="宋体"/>
                <w:bCs/>
                <w:color w:val="auto"/>
                <w:szCs w:val="21"/>
                <w:highlight w:val="none"/>
              </w:rPr>
              <w:t>分，最高</w:t>
            </w:r>
            <w:r>
              <w:rPr>
                <w:rFonts w:hint="eastAsia" w:ascii="宋体" w:hAnsi="宋体" w:cs="宋体"/>
                <w:bCs/>
                <w:color w:val="auto"/>
                <w:szCs w:val="21"/>
                <w:highlight w:val="none"/>
              </w:rPr>
              <w:t>10</w:t>
            </w:r>
            <w:r>
              <w:rPr>
                <w:rFonts w:ascii="宋体" w:hAnsi="宋体" w:cs="宋体"/>
                <w:bCs/>
                <w:color w:val="auto"/>
                <w:szCs w:val="21"/>
                <w:highlight w:val="none"/>
              </w:rPr>
              <w:t>分。</w:t>
            </w:r>
            <w:r>
              <w:rPr>
                <w:rFonts w:hint="eastAsia" w:ascii="宋体" w:hAnsi="宋体" w:cs="宋体"/>
                <w:bCs/>
                <w:color w:val="auto"/>
                <w:szCs w:val="21"/>
                <w:highlight w:val="none"/>
              </w:rPr>
              <w:t>（提供的证明材料以中标</w:t>
            </w:r>
            <w:r>
              <w:rPr>
                <w:rFonts w:ascii="宋体" w:hAnsi="宋体" w:cs="宋体"/>
                <w:bCs/>
                <w:color w:val="auto"/>
                <w:szCs w:val="21"/>
                <w:highlight w:val="none"/>
              </w:rPr>
              <w:t>/</w:t>
            </w:r>
            <w:r>
              <w:rPr>
                <w:rFonts w:hint="eastAsia" w:ascii="宋体" w:hAnsi="宋体" w:cs="宋体"/>
                <w:bCs/>
                <w:color w:val="auto"/>
                <w:szCs w:val="21"/>
                <w:highlight w:val="none"/>
              </w:rPr>
              <w:t>成交通知书或合同复印件为准，并加盖公章，否则不予以计分）。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3" w:type="dxa"/>
            <w:vMerge w:val="continue"/>
            <w:tcBorders>
              <w:left w:val="single" w:color="000000" w:sz="4" w:space="0"/>
              <w:bottom w:val="single" w:color="000000" w:sz="4" w:space="0"/>
              <w:right w:val="single" w:color="000000" w:sz="4" w:space="0"/>
            </w:tcBorders>
            <w:vAlign w:val="center"/>
          </w:tcPr>
          <w:p>
            <w:pPr>
              <w:spacing w:line="276" w:lineRule="auto"/>
              <w:jc w:val="center"/>
              <w:rPr>
                <w:rStyle w:val="77"/>
                <w:rFonts w:ascii="宋体" w:hAnsi="宋体"/>
                <w:b/>
                <w:color w:val="auto"/>
                <w:szCs w:val="21"/>
                <w:highlight w:val="none"/>
              </w:rPr>
            </w:pPr>
          </w:p>
        </w:tc>
        <w:tc>
          <w:tcPr>
            <w:tcW w:w="933"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宋体" w:hAnsi="宋体"/>
                <w:b/>
                <w:color w:val="auto"/>
                <w:szCs w:val="21"/>
                <w:highlight w:val="none"/>
              </w:rPr>
            </w:pPr>
          </w:p>
        </w:tc>
        <w:tc>
          <w:tcPr>
            <w:tcW w:w="8014"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cs="宋体"/>
                <w:b/>
                <w:bCs/>
                <w:color w:val="auto"/>
                <w:szCs w:val="21"/>
                <w:highlight w:val="none"/>
              </w:rPr>
            </w:pPr>
            <w:r>
              <w:rPr>
                <w:rFonts w:hint="eastAsia" w:ascii="宋体" w:hAnsi="宋体" w:cs="宋体"/>
                <w:b/>
                <w:bCs/>
                <w:color w:val="auto"/>
                <w:szCs w:val="21"/>
                <w:highlight w:val="none"/>
              </w:rPr>
              <w:t>（2）人员配备分（满分10分）</w:t>
            </w:r>
          </w:p>
          <w:p>
            <w:pPr>
              <w:spacing w:line="276" w:lineRule="auto"/>
              <w:ind w:firstLine="315" w:firstLineChars="150"/>
              <w:rPr>
                <w:rFonts w:ascii="宋体" w:hAnsi="宋体" w:cs="宋体"/>
                <w:bCs/>
                <w:color w:val="auto"/>
                <w:szCs w:val="21"/>
                <w:highlight w:val="none"/>
              </w:rPr>
            </w:pPr>
            <w:r>
              <w:rPr>
                <w:rFonts w:hint="eastAsia" w:ascii="宋体" w:hAnsi="宋体" w:cs="宋体"/>
                <w:bCs/>
                <w:color w:val="auto"/>
                <w:szCs w:val="21"/>
                <w:highlight w:val="none"/>
              </w:rPr>
              <w:t>拟派项目人员中具有3名执业注册税务师得10分；有2名执业注册税务师得6分；有1名执业注册税务师得3分。本项最高得10分，不提供则不得分。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9510" w:type="dxa"/>
            <w:gridSpan w:val="4"/>
            <w:tcBorders>
              <w:top w:val="single" w:color="000000" w:sz="4" w:space="0"/>
              <w:left w:val="single" w:color="000000" w:sz="4" w:space="0"/>
              <w:bottom w:val="single" w:color="000000" w:sz="4" w:space="0"/>
              <w:right w:val="single" w:color="000000" w:sz="4" w:space="0"/>
            </w:tcBorders>
            <w:vAlign w:val="center"/>
          </w:tcPr>
          <w:p>
            <w:pPr>
              <w:spacing w:line="276" w:lineRule="auto"/>
              <w:rPr>
                <w:rStyle w:val="77"/>
                <w:rFonts w:ascii="宋体" w:hAnsi="宋体" w:cs="Courier New"/>
                <w:bCs/>
                <w:color w:val="auto"/>
                <w:szCs w:val="21"/>
                <w:highlight w:val="none"/>
              </w:rPr>
            </w:pPr>
            <w:r>
              <w:rPr>
                <w:rStyle w:val="77"/>
                <w:rFonts w:ascii="宋体" w:hAnsi="宋体" w:cs="Courier New"/>
                <w:b/>
                <w:bCs/>
                <w:color w:val="auto"/>
                <w:szCs w:val="21"/>
                <w:highlight w:val="none"/>
              </w:rPr>
              <w:t>总得分=1+2+3。</w:t>
            </w:r>
          </w:p>
        </w:tc>
      </w:tr>
    </w:tbl>
    <w:p>
      <w:pPr>
        <w:spacing w:line="390" w:lineRule="atLeast"/>
        <w:ind w:firstLine="525" w:firstLineChars="250"/>
        <w:rPr>
          <w:rFonts w:ascii="宋体" w:hAnsi="宋体"/>
          <w:color w:val="auto"/>
          <w:szCs w:val="21"/>
          <w:highlight w:val="none"/>
        </w:rPr>
      </w:pPr>
    </w:p>
    <w:bookmarkEnd w:id="90"/>
    <w:p>
      <w:pPr>
        <w:spacing w:line="390" w:lineRule="atLeast"/>
        <w:ind w:firstLine="527" w:firstLineChars="250"/>
        <w:rPr>
          <w:rFonts w:ascii="宋体" w:hAnsi="宋体"/>
          <w:b/>
          <w:color w:val="auto"/>
          <w:szCs w:val="21"/>
          <w:highlight w:val="none"/>
        </w:rPr>
      </w:pPr>
      <w:r>
        <w:rPr>
          <w:rFonts w:hint="eastAsia" w:ascii="宋体" w:hAnsi="宋体"/>
          <w:b/>
          <w:color w:val="auto"/>
          <w:szCs w:val="21"/>
          <w:highlight w:val="none"/>
        </w:rPr>
        <w:t>注：同一项目不重复计分。</w:t>
      </w:r>
    </w:p>
    <w:p>
      <w:pPr>
        <w:rPr>
          <w:color w:val="auto"/>
          <w:highlight w:val="none"/>
        </w:rPr>
      </w:pPr>
    </w:p>
    <w:p>
      <w:pPr>
        <w:pStyle w:val="14"/>
        <w:spacing w:line="360" w:lineRule="auto"/>
        <w:ind w:firstLine="464" w:firstLineChars="220"/>
        <w:jc w:val="left"/>
        <w:rPr>
          <w:rFonts w:hAnsi="宋体" w:cs="宋体"/>
          <w:color w:val="auto"/>
          <w:highlight w:val="none"/>
        </w:rPr>
      </w:pPr>
      <w:r>
        <w:rPr>
          <w:rFonts w:hint="eastAsia" w:hAnsi="宋体" w:cs="宋体"/>
          <w:b/>
          <w:bCs/>
          <w:color w:val="auto"/>
          <w:highlight w:val="none"/>
        </w:rPr>
        <w:t>三、成交候选人推荐原则</w:t>
      </w:r>
    </w:p>
    <w:p>
      <w:pPr>
        <w:pStyle w:val="14"/>
        <w:spacing w:line="360" w:lineRule="auto"/>
        <w:ind w:firstLine="462" w:firstLineChars="220"/>
        <w:jc w:val="left"/>
        <w:rPr>
          <w:rFonts w:hAnsi="宋体" w:cs="宋体"/>
          <w:color w:val="auto"/>
          <w:highlight w:val="none"/>
        </w:rPr>
      </w:pPr>
      <w:r>
        <w:rPr>
          <w:rFonts w:hint="eastAsia" w:hAnsi="宋体" w:cs="宋体"/>
          <w:color w:val="auto"/>
          <w:highlight w:val="none"/>
        </w:rPr>
        <w:t xml:space="preserve">（一）磋商小组应当根据综合评分情况，按照评审得分由高到低顺序推荐 3 名成交候选供应商。总得分相同的，按照最后报价由低到高的顺序推荐；总得分且最后报价相同的，按照技术分高优先、服务承诺具有优势的顺序排列推荐。采购单位应当确定磋商小组推荐排名第一的成交候选供应商为成交供应商。排名第一的成交候选供应商放弃成交、因不可抗力提出不能履行合同，或者磋商文件规定应当提交履约保证金而在规定的期限内未能提交的，采购单位可以确定排名第二的成交候选供应商为成交供应商。排名第二的成交候选供应商因前款规定的同样原因不能签订合同的，采购单位可以确定排名第三的成交候供应商为成交供应商，其余以此类推。采购单位也可以重新进行政府采购活动。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二）磋商小组认为，某磋商人的有效磋商报价或者某些分项报价明显不合理或者低于成本，有可能影响服务质量和不能诚信履约的，应要求其在规定的期限内提供书面文件予以解释说明，并提交相关证明材料，否则，磋商小组可以取消该磋商人的成交候选资格，按顺序由排在后面的成交候选人递补，以此类推。</w:t>
      </w:r>
    </w:p>
    <w:p>
      <w:pPr>
        <w:pStyle w:val="3"/>
        <w:jc w:val="center"/>
        <w:rPr>
          <w:rFonts w:ascii="宋体" w:hAnsi="宋体" w:cs="宋体"/>
          <w:color w:val="auto"/>
          <w:sz w:val="32"/>
          <w:szCs w:val="32"/>
          <w:highlight w:val="none"/>
        </w:rPr>
        <w:sectPr>
          <w:pgSz w:w="11906" w:h="16838"/>
          <w:pgMar w:top="1134" w:right="851" w:bottom="1134" w:left="1134" w:header="851" w:footer="992" w:gutter="0"/>
          <w:cols w:space="720" w:num="1"/>
          <w:titlePg/>
          <w:docGrid w:type="lines" w:linePitch="312" w:charSpace="0"/>
        </w:sectPr>
      </w:pPr>
    </w:p>
    <w:p>
      <w:pPr>
        <w:pStyle w:val="3"/>
        <w:jc w:val="center"/>
        <w:rPr>
          <w:rFonts w:ascii="宋体" w:hAnsi="宋体" w:cs="宋体"/>
          <w:color w:val="auto"/>
          <w:sz w:val="32"/>
          <w:szCs w:val="32"/>
          <w:highlight w:val="none"/>
        </w:rPr>
      </w:pPr>
      <w:bookmarkStart w:id="91" w:name="_Toc1002"/>
      <w:r>
        <w:rPr>
          <w:rFonts w:hint="eastAsia" w:ascii="宋体" w:hAnsi="宋体" w:cs="宋体"/>
          <w:color w:val="auto"/>
          <w:sz w:val="32"/>
          <w:szCs w:val="32"/>
          <w:highlight w:val="none"/>
        </w:rPr>
        <w:t>第五章    响应文件格式</w:t>
      </w:r>
      <w:bookmarkEnd w:id="84"/>
      <w:bookmarkEnd w:id="91"/>
    </w:p>
    <w:p>
      <w:pPr>
        <w:rPr>
          <w:color w:val="auto"/>
          <w:highlight w:val="none"/>
        </w:rPr>
      </w:pPr>
      <w:r>
        <w:rPr>
          <w:rFonts w:hint="eastAsia"/>
          <w:b/>
          <w:bCs/>
          <w:color w:val="auto"/>
          <w:sz w:val="24"/>
          <w:highlight w:val="none"/>
        </w:rPr>
        <w:t>竞争性磋商响应文件的外包装封面格式 ：</w:t>
      </w:r>
      <w:r>
        <w:rPr>
          <w:rFonts w:hint="eastAsia"/>
          <w:color w:val="auto"/>
          <w:sz w:val="24"/>
          <w:highlight w:val="none"/>
        </w:rPr>
        <w:t xml:space="preserve">    </w:t>
      </w:r>
    </w:p>
    <w:p>
      <w:pPr>
        <w:rPr>
          <w:color w:val="auto"/>
          <w:sz w:val="24"/>
          <w:highlight w:val="none"/>
        </w:rPr>
      </w:pPr>
      <w:r>
        <w:rPr>
          <w:color w:val="auto"/>
          <w:sz w:val="24"/>
          <w:highlight w:val="none"/>
        </w:rPr>
        <w:t xml:space="preserve">  </w:t>
      </w:r>
    </w:p>
    <w:p>
      <w:pPr>
        <w:rPr>
          <w:color w:val="auto"/>
          <w:sz w:val="24"/>
          <w:highlight w:val="none"/>
        </w:rPr>
      </w:pPr>
    </w:p>
    <w:p>
      <w:pPr>
        <w:rPr>
          <w:color w:val="auto"/>
          <w:sz w:val="24"/>
          <w:highlight w:val="none"/>
        </w:rPr>
      </w:pPr>
    </w:p>
    <w:p>
      <w:pPr>
        <w:jc w:val="center"/>
        <w:rPr>
          <w:b/>
          <w:color w:val="auto"/>
          <w:sz w:val="44"/>
          <w:szCs w:val="44"/>
          <w:highlight w:val="none"/>
        </w:rPr>
      </w:pPr>
      <w:r>
        <w:rPr>
          <w:rFonts w:hint="eastAsia"/>
          <w:b/>
          <w:color w:val="auto"/>
          <w:sz w:val="44"/>
          <w:szCs w:val="44"/>
          <w:highlight w:val="none"/>
        </w:rPr>
        <w:t>竞争性磋商响应文件</w:t>
      </w:r>
    </w:p>
    <w:p>
      <w:pPr>
        <w:rPr>
          <w:color w:val="auto"/>
          <w:sz w:val="24"/>
          <w:highlight w:val="none"/>
        </w:rPr>
      </w:pPr>
    </w:p>
    <w:p>
      <w:pPr>
        <w:rPr>
          <w:color w:val="auto"/>
          <w:sz w:val="24"/>
          <w:highlight w:val="none"/>
        </w:rPr>
      </w:pPr>
    </w:p>
    <w:p>
      <w:pPr>
        <w:spacing w:line="480" w:lineRule="auto"/>
        <w:rPr>
          <w:color w:val="auto"/>
          <w:sz w:val="24"/>
          <w:highlight w:val="none"/>
        </w:rPr>
      </w:pPr>
      <w:r>
        <w:rPr>
          <w:rFonts w:hint="eastAsia"/>
          <w:color w:val="auto"/>
          <w:sz w:val="24"/>
          <w:highlight w:val="none"/>
        </w:rPr>
        <w:t xml:space="preserve">项目名称 ：  </w:t>
      </w:r>
    </w:p>
    <w:p>
      <w:pPr>
        <w:spacing w:line="480" w:lineRule="auto"/>
        <w:rPr>
          <w:color w:val="auto"/>
          <w:sz w:val="24"/>
          <w:highlight w:val="none"/>
        </w:rPr>
      </w:pPr>
      <w:r>
        <w:rPr>
          <w:rFonts w:hint="eastAsia"/>
          <w:color w:val="auto"/>
          <w:sz w:val="24"/>
          <w:highlight w:val="none"/>
        </w:rPr>
        <w:t xml:space="preserve">项目编号 ：  </w:t>
      </w:r>
    </w:p>
    <w:p>
      <w:pPr>
        <w:spacing w:line="480" w:lineRule="auto"/>
        <w:rPr>
          <w:color w:val="auto"/>
          <w:sz w:val="24"/>
          <w:highlight w:val="none"/>
        </w:rPr>
      </w:pPr>
      <w:r>
        <w:rPr>
          <w:rFonts w:hint="eastAsia"/>
          <w:color w:val="auto"/>
          <w:sz w:val="24"/>
          <w:highlight w:val="none"/>
        </w:rPr>
        <w:t xml:space="preserve">磋商供应商名称 ：  </w:t>
      </w:r>
    </w:p>
    <w:p>
      <w:pPr>
        <w:spacing w:line="480" w:lineRule="auto"/>
        <w:rPr>
          <w:color w:val="auto"/>
          <w:sz w:val="24"/>
          <w:highlight w:val="none"/>
        </w:rPr>
      </w:pPr>
      <w:r>
        <w:rPr>
          <w:rFonts w:hint="eastAsia"/>
          <w:color w:val="auto"/>
          <w:sz w:val="24"/>
          <w:highlight w:val="none"/>
        </w:rPr>
        <w:t>地址：</w:t>
      </w:r>
    </w:p>
    <w:p>
      <w:pPr>
        <w:spacing w:line="480" w:lineRule="auto"/>
        <w:rPr>
          <w:color w:val="auto"/>
          <w:sz w:val="24"/>
          <w:highlight w:val="none"/>
        </w:rPr>
      </w:pPr>
      <w:r>
        <w:rPr>
          <w:rFonts w:hint="eastAsia"/>
          <w:color w:val="auto"/>
          <w:sz w:val="24"/>
          <w:highlight w:val="none"/>
        </w:rPr>
        <w:t xml:space="preserve">（ 于  年   月  日   时   分前不得启封 ）  </w:t>
      </w:r>
    </w:p>
    <w:p>
      <w:pPr>
        <w:rPr>
          <w:color w:val="auto"/>
          <w:sz w:val="24"/>
          <w:highlight w:val="none"/>
        </w:rPr>
      </w:pPr>
      <w:r>
        <w:rPr>
          <w:color w:val="auto"/>
          <w:sz w:val="24"/>
          <w:highlight w:val="none"/>
        </w:rPr>
        <w:t xml:space="preserve"> </w:t>
      </w:r>
    </w:p>
    <w:p>
      <w:pPr>
        <w:rPr>
          <w:color w:val="auto"/>
          <w:sz w:val="24"/>
          <w:highlight w:val="none"/>
        </w:rPr>
      </w:pPr>
      <w:r>
        <w:rPr>
          <w:color w:val="auto"/>
          <w:sz w:val="24"/>
          <w:highlight w:val="none"/>
        </w:rPr>
        <w:t xml:space="preserve"> </w:t>
      </w:r>
    </w:p>
    <w:p>
      <w:pPr>
        <w:rPr>
          <w:color w:val="auto"/>
          <w:sz w:val="24"/>
          <w:highlight w:val="none"/>
        </w:rPr>
      </w:pPr>
      <w:r>
        <w:rPr>
          <w:color w:val="auto"/>
          <w:sz w:val="24"/>
          <w:highlight w:val="none"/>
        </w:rPr>
        <w:t xml:space="preserve"> </w:t>
      </w:r>
    </w:p>
    <w:p>
      <w:pPr>
        <w:rPr>
          <w:color w:val="auto"/>
          <w:sz w:val="24"/>
          <w:highlight w:val="none"/>
        </w:rPr>
      </w:pPr>
    </w:p>
    <w:p>
      <w:pPr>
        <w:spacing w:line="360" w:lineRule="auto"/>
        <w:jc w:val="center"/>
        <w:rPr>
          <w:rFonts w:ascii="宋体" w:hAnsi="宋体" w:cs="宋体"/>
          <w:b/>
          <w:color w:val="auto"/>
          <w:sz w:val="28"/>
          <w:szCs w:val="28"/>
          <w:highlight w:val="none"/>
        </w:rPr>
      </w:pPr>
      <w:r>
        <w:rPr>
          <w:rFonts w:hint="eastAsia"/>
          <w:color w:val="auto"/>
          <w:sz w:val="24"/>
          <w:highlight w:val="none"/>
        </w:rPr>
        <w:br w:type="page"/>
      </w:r>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1、响应文件封面（格式）</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 xml:space="preserve"> XXXXX项目</w:t>
      </w:r>
    </w:p>
    <w:p>
      <w:pPr>
        <w:spacing w:line="480" w:lineRule="auto"/>
        <w:jc w:val="center"/>
        <w:rPr>
          <w:rFonts w:ascii="宋体" w:hAnsi="宋体" w:cs="宋体"/>
          <w:b/>
          <w:color w:val="auto"/>
          <w:sz w:val="28"/>
          <w:szCs w:val="28"/>
          <w:highlight w:val="none"/>
        </w:rPr>
      </w:pPr>
    </w:p>
    <w:p>
      <w:pPr>
        <w:spacing w:line="40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响应书</w:t>
      </w:r>
    </w:p>
    <w:p>
      <w:pPr>
        <w:spacing w:line="400" w:lineRule="exact"/>
        <w:ind w:left="180"/>
        <w:rPr>
          <w:rFonts w:ascii="宋体" w:hAnsi="宋体" w:cs="宋体"/>
          <w:b/>
          <w:color w:val="auto"/>
          <w:sz w:val="28"/>
          <w:szCs w:val="28"/>
          <w:highlight w:val="none"/>
        </w:rPr>
      </w:pPr>
    </w:p>
    <w:p>
      <w:pPr>
        <w:spacing w:line="400" w:lineRule="exact"/>
        <w:rPr>
          <w:rFonts w:ascii="宋体" w:hAnsi="宋体" w:cs="宋体"/>
          <w:b/>
          <w:color w:val="auto"/>
          <w:sz w:val="28"/>
          <w:szCs w:val="28"/>
          <w:highlight w:val="none"/>
        </w:rPr>
      </w:pPr>
    </w:p>
    <w:p>
      <w:pPr>
        <w:spacing w:line="40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价格文件、资格文件、商务和技术文件</w:t>
      </w:r>
    </w:p>
    <w:p>
      <w:pPr>
        <w:spacing w:line="400" w:lineRule="exact"/>
        <w:ind w:left="180"/>
        <w:rPr>
          <w:rFonts w:ascii="宋体" w:hAnsi="宋体" w:cs="宋体"/>
          <w:b/>
          <w:color w:val="auto"/>
          <w:sz w:val="28"/>
          <w:szCs w:val="28"/>
          <w:highlight w:val="none"/>
        </w:rPr>
      </w:pPr>
    </w:p>
    <w:p>
      <w:pPr>
        <w:spacing w:line="400" w:lineRule="exact"/>
        <w:ind w:left="180"/>
        <w:rPr>
          <w:rFonts w:ascii="宋体" w:hAnsi="宋体" w:cs="宋体"/>
          <w:b/>
          <w:color w:val="auto"/>
          <w:sz w:val="28"/>
          <w:szCs w:val="28"/>
          <w:highlight w:val="none"/>
        </w:rPr>
      </w:pPr>
    </w:p>
    <w:p>
      <w:pPr>
        <w:spacing w:line="400" w:lineRule="exact"/>
        <w:ind w:left="180"/>
        <w:rPr>
          <w:rFonts w:ascii="宋体" w:hAnsi="宋体" w:cs="宋体"/>
          <w:b/>
          <w:color w:val="auto"/>
          <w:sz w:val="28"/>
          <w:szCs w:val="28"/>
          <w:highlight w:val="none"/>
        </w:rPr>
      </w:pPr>
    </w:p>
    <w:p>
      <w:pPr>
        <w:spacing w:line="480" w:lineRule="auto"/>
        <w:ind w:left="180" w:firstLine="281" w:firstLineChars="100"/>
        <w:rPr>
          <w:rFonts w:ascii="宋体" w:hAnsi="宋体" w:cs="宋体"/>
          <w:b/>
          <w:color w:val="auto"/>
          <w:sz w:val="28"/>
          <w:szCs w:val="28"/>
          <w:highlight w:val="none"/>
          <w:u w:val="single"/>
        </w:rPr>
      </w:pPr>
      <w:r>
        <w:rPr>
          <w:rFonts w:hint="eastAsia" w:ascii="宋体" w:hAnsi="宋体" w:cs="宋体"/>
          <w:b/>
          <w:color w:val="auto"/>
          <w:sz w:val="28"/>
          <w:szCs w:val="28"/>
          <w:highlight w:val="none"/>
        </w:rPr>
        <w:t>采购项目名称:</w:t>
      </w:r>
    </w:p>
    <w:p>
      <w:pPr>
        <w:spacing w:line="480" w:lineRule="auto"/>
        <w:ind w:left="180" w:firstLine="281" w:firstLineChars="100"/>
        <w:rPr>
          <w:rFonts w:ascii="宋体" w:hAnsi="宋体" w:cs="宋体"/>
          <w:b/>
          <w:color w:val="auto"/>
          <w:sz w:val="28"/>
          <w:szCs w:val="28"/>
          <w:highlight w:val="none"/>
          <w:u w:val="single"/>
        </w:rPr>
      </w:pPr>
      <w:r>
        <w:rPr>
          <w:rFonts w:hint="eastAsia" w:ascii="宋体" w:hAnsi="宋体" w:cs="宋体"/>
          <w:b/>
          <w:color w:val="auto"/>
          <w:sz w:val="28"/>
          <w:szCs w:val="28"/>
          <w:highlight w:val="none"/>
        </w:rPr>
        <w:t>采购项目编号:</w:t>
      </w:r>
    </w:p>
    <w:p>
      <w:pPr>
        <w:spacing w:line="480" w:lineRule="auto"/>
        <w:ind w:left="180" w:firstLine="281" w:firstLineChars="100"/>
        <w:rPr>
          <w:rFonts w:ascii="宋体" w:hAnsi="宋体" w:cs="宋体"/>
          <w:b/>
          <w:color w:val="auto"/>
          <w:sz w:val="28"/>
          <w:szCs w:val="28"/>
          <w:highlight w:val="none"/>
        </w:rPr>
      </w:pPr>
      <w:r>
        <w:rPr>
          <w:rFonts w:hint="eastAsia" w:ascii="宋体" w:hAnsi="宋体" w:cs="宋体"/>
          <w:b/>
          <w:color w:val="auto"/>
          <w:sz w:val="28"/>
          <w:szCs w:val="28"/>
          <w:highlight w:val="none"/>
        </w:rPr>
        <w:t>响应单位名称:   （盖单位公章）</w:t>
      </w:r>
    </w:p>
    <w:p>
      <w:pPr>
        <w:tabs>
          <w:tab w:val="left" w:pos="7126"/>
        </w:tabs>
        <w:spacing w:line="480" w:lineRule="auto"/>
        <w:ind w:left="180" w:firstLine="281" w:firstLineChars="100"/>
        <w:rPr>
          <w:rFonts w:ascii="宋体" w:hAnsi="宋体" w:cs="宋体"/>
          <w:b/>
          <w:color w:val="auto"/>
          <w:sz w:val="28"/>
          <w:szCs w:val="28"/>
          <w:highlight w:val="none"/>
        </w:rPr>
      </w:pPr>
      <w:r>
        <w:rPr>
          <w:rFonts w:hint="eastAsia" w:ascii="宋体" w:hAnsi="宋体" w:cs="宋体"/>
          <w:b/>
          <w:color w:val="auto"/>
          <w:sz w:val="28"/>
          <w:szCs w:val="28"/>
          <w:highlight w:val="none"/>
        </w:rPr>
        <w:t>地址:</w:t>
      </w:r>
      <w:r>
        <w:rPr>
          <w:rFonts w:hint="eastAsia" w:ascii="宋体" w:hAnsi="宋体" w:cs="宋体"/>
          <w:b/>
          <w:color w:val="auto"/>
          <w:sz w:val="28"/>
          <w:szCs w:val="28"/>
          <w:highlight w:val="none"/>
        </w:rPr>
        <w:tab/>
      </w:r>
    </w:p>
    <w:p>
      <w:pPr>
        <w:spacing w:line="400" w:lineRule="exact"/>
        <w:ind w:left="180" w:firstLine="281" w:firstLineChars="100"/>
        <w:rPr>
          <w:rFonts w:ascii="宋体" w:hAnsi="宋体" w:cs="宋体"/>
          <w:b/>
          <w:color w:val="auto"/>
          <w:sz w:val="28"/>
          <w:szCs w:val="28"/>
          <w:highlight w:val="none"/>
          <w:u w:val="single"/>
        </w:rPr>
      </w:pPr>
      <w:r>
        <w:rPr>
          <w:rFonts w:hint="eastAsia" w:ascii="宋体" w:hAnsi="宋体" w:cs="宋体"/>
          <w:b/>
          <w:color w:val="auto"/>
          <w:sz w:val="28"/>
          <w:szCs w:val="28"/>
          <w:highlight w:val="none"/>
        </w:rPr>
        <w:t xml:space="preserve"> </w:t>
      </w:r>
    </w:p>
    <w:p>
      <w:pPr>
        <w:rPr>
          <w:rFonts w:ascii="宋体" w:hAnsi="宋体" w:cs="宋体"/>
          <w:b/>
          <w:color w:val="auto"/>
          <w:sz w:val="28"/>
          <w:szCs w:val="28"/>
          <w:highlight w:val="none"/>
        </w:rPr>
      </w:pPr>
    </w:p>
    <w:p>
      <w:pPr>
        <w:pStyle w:val="14"/>
        <w:spacing w:line="240" w:lineRule="atLeast"/>
        <w:rPr>
          <w:rFonts w:hAnsi="宋体" w:cs="宋体"/>
          <w:b/>
          <w:color w:val="auto"/>
          <w:sz w:val="28"/>
          <w:szCs w:val="28"/>
          <w:highlight w:val="none"/>
        </w:rPr>
      </w:pPr>
    </w:p>
    <w:p>
      <w:pPr>
        <w:pStyle w:val="2"/>
        <w:spacing w:line="240" w:lineRule="atLeast"/>
        <w:jc w:val="center"/>
        <w:rPr>
          <w:rFonts w:cs="宋体"/>
          <w:b/>
          <w:color w:val="auto"/>
          <w:sz w:val="28"/>
          <w:szCs w:val="28"/>
          <w:highlight w:val="none"/>
        </w:rPr>
      </w:pPr>
      <w:r>
        <w:rPr>
          <w:rFonts w:hint="eastAsia" w:cs="宋体"/>
          <w:b/>
          <w:color w:val="auto"/>
          <w:sz w:val="28"/>
          <w:szCs w:val="28"/>
          <w:highlight w:val="none"/>
        </w:rPr>
        <w:br w:type="page"/>
      </w:r>
      <w:r>
        <w:rPr>
          <w:rFonts w:hint="eastAsia" w:cs="宋体"/>
          <w:b/>
          <w:color w:val="auto"/>
          <w:sz w:val="28"/>
          <w:szCs w:val="28"/>
          <w:highlight w:val="none"/>
        </w:rPr>
        <w:t>一、</w:t>
      </w:r>
      <w:r>
        <w:rPr>
          <w:rFonts w:hint="eastAsia" w:ascii="宋体" w:hAnsi="宋体" w:cs="宋体"/>
          <w:b/>
          <w:color w:val="auto"/>
          <w:sz w:val="28"/>
          <w:szCs w:val="28"/>
          <w:highlight w:val="none"/>
        </w:rPr>
        <w:t>价格文件</w:t>
      </w: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1、竞争性磋商响应书</w:t>
      </w:r>
    </w:p>
    <w:p>
      <w:pPr>
        <w:jc w:val="center"/>
        <w:rPr>
          <w:rFonts w:ascii="宋体" w:hAnsi="宋体" w:cs="宋体"/>
          <w:b/>
          <w:bCs/>
          <w:color w:val="auto"/>
          <w:sz w:val="28"/>
          <w:szCs w:val="28"/>
          <w:highlight w:val="none"/>
        </w:rPr>
      </w:pPr>
    </w:p>
    <w:p>
      <w:pPr>
        <w:widowControl/>
        <w:adjustRightInd w:val="0"/>
        <w:snapToGrid w:val="0"/>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致：（采购人）</w:t>
      </w:r>
    </w:p>
    <w:p>
      <w:pPr>
        <w:widowControl/>
        <w:adjustRightInd w:val="0"/>
        <w:snapToGrid w:val="0"/>
        <w:spacing w:line="480" w:lineRule="auto"/>
        <w:rPr>
          <w:rFonts w:ascii="宋体" w:hAnsi="宋体" w:cs="宋体"/>
          <w:color w:val="auto"/>
          <w:kern w:val="0"/>
          <w:szCs w:val="21"/>
          <w:highlight w:val="none"/>
        </w:rPr>
      </w:pPr>
      <w:r>
        <w:rPr>
          <w:rFonts w:hint="eastAsia" w:ascii="宋体" w:hAnsi="宋体" w:cs="宋体"/>
          <w:color w:val="auto"/>
          <w:kern w:val="0"/>
          <w:sz w:val="28"/>
          <w:szCs w:val="28"/>
          <w:highlight w:val="none"/>
        </w:rPr>
        <w:t>  </w:t>
      </w:r>
      <w:r>
        <w:rPr>
          <w:rFonts w:hint="eastAsia" w:ascii="宋体" w:hAnsi="宋体" w:cs="宋体"/>
          <w:color w:val="auto"/>
          <w:kern w:val="0"/>
          <w:szCs w:val="21"/>
          <w:highlight w:val="none"/>
          <w:u w:val="single"/>
        </w:rPr>
        <w:t>        </w:t>
      </w:r>
      <w:r>
        <w:rPr>
          <w:rFonts w:hint="eastAsia" w:ascii="宋体" w:hAnsi="宋体" w:cs="宋体"/>
          <w:color w:val="auto"/>
          <w:kern w:val="0"/>
          <w:szCs w:val="21"/>
          <w:highlight w:val="none"/>
        </w:rPr>
        <w:t>（供应商全称）授权</w:t>
      </w:r>
      <w:r>
        <w:rPr>
          <w:rFonts w:hint="eastAsia" w:ascii="宋体" w:hAnsi="宋体" w:cs="宋体"/>
          <w:color w:val="auto"/>
          <w:kern w:val="0"/>
          <w:szCs w:val="21"/>
          <w:highlight w:val="none"/>
          <w:u w:val="single"/>
        </w:rPr>
        <w:t>  </w:t>
      </w:r>
      <w:r>
        <w:rPr>
          <w:rFonts w:hint="eastAsia" w:ascii="宋体" w:hAnsi="宋体" w:cs="宋体"/>
          <w:color w:val="auto"/>
          <w:kern w:val="0"/>
          <w:szCs w:val="21"/>
          <w:highlight w:val="none"/>
        </w:rPr>
        <w:t>（全权代表姓名、职务、职称）为全权代表,参加贵方组织的</w:t>
      </w:r>
      <w:r>
        <w:rPr>
          <w:rFonts w:hint="eastAsia" w:ascii="宋体" w:hAnsi="宋体" w:cs="宋体"/>
          <w:color w:val="auto"/>
          <w:kern w:val="0"/>
          <w:szCs w:val="21"/>
          <w:highlight w:val="none"/>
          <w:u w:val="single"/>
        </w:rPr>
        <w:t>                </w:t>
      </w:r>
      <w:r>
        <w:rPr>
          <w:rFonts w:hint="eastAsia" w:ascii="宋体" w:hAnsi="宋体" w:cs="宋体"/>
          <w:color w:val="auto"/>
          <w:kern w:val="0"/>
          <w:szCs w:val="21"/>
          <w:highlight w:val="none"/>
        </w:rPr>
        <w:t>（项目编号、项目名称）的有关活动,为此：</w:t>
      </w:r>
    </w:p>
    <w:p>
      <w:pPr>
        <w:widowControl/>
        <w:adjustRightInd w:val="0"/>
        <w:snapToGrid w:val="0"/>
        <w:spacing w:line="480" w:lineRule="auto"/>
        <w:ind w:left="420"/>
        <w:rPr>
          <w:rFonts w:ascii="宋体" w:hAnsi="宋体" w:cs="宋体"/>
          <w:color w:val="auto"/>
          <w:kern w:val="0"/>
          <w:szCs w:val="21"/>
          <w:highlight w:val="none"/>
        </w:rPr>
      </w:pPr>
      <w:r>
        <w:rPr>
          <w:rFonts w:hint="eastAsia" w:ascii="宋体" w:hAnsi="宋体" w:cs="宋体"/>
          <w:color w:val="auto"/>
          <w:kern w:val="0"/>
          <w:szCs w:val="21"/>
          <w:highlight w:val="none"/>
        </w:rPr>
        <w:t>（1）提供供应商须知规定的全部响应文件（电子版一份）。</w:t>
      </w:r>
    </w:p>
    <w:p>
      <w:pPr>
        <w:widowControl/>
        <w:tabs>
          <w:tab w:val="left" w:pos="1260"/>
        </w:tabs>
        <w:adjustRightInd w:val="0"/>
        <w:snapToGrid w:val="0"/>
        <w:spacing w:line="480" w:lineRule="auto"/>
        <w:ind w:left="1260" w:hanging="840"/>
        <w:rPr>
          <w:rFonts w:ascii="宋体" w:hAnsi="宋体" w:cs="宋体"/>
          <w:color w:val="auto"/>
          <w:kern w:val="0"/>
          <w:szCs w:val="21"/>
          <w:highlight w:val="none"/>
        </w:rPr>
      </w:pPr>
      <w:r>
        <w:rPr>
          <w:rFonts w:hint="eastAsia" w:ascii="宋体" w:hAnsi="宋体" w:cs="宋体"/>
          <w:color w:val="auto"/>
          <w:kern w:val="0"/>
          <w:szCs w:val="21"/>
          <w:highlight w:val="none"/>
        </w:rPr>
        <w:t>（2）提供按竞争性磋商文件要求的《竞争性磋商报价与服务响应书》。</w:t>
      </w:r>
    </w:p>
    <w:p>
      <w:pPr>
        <w:widowControl/>
        <w:tabs>
          <w:tab w:val="left" w:pos="840"/>
        </w:tabs>
        <w:adjustRightInd w:val="0"/>
        <w:snapToGrid w:val="0"/>
        <w:spacing w:line="480" w:lineRule="auto"/>
        <w:ind w:left="840" w:hanging="420"/>
        <w:rPr>
          <w:rFonts w:ascii="宋体" w:hAnsi="宋体" w:cs="宋体"/>
          <w:color w:val="auto"/>
          <w:kern w:val="0"/>
          <w:szCs w:val="21"/>
          <w:highlight w:val="none"/>
        </w:rPr>
      </w:pPr>
      <w:r>
        <w:rPr>
          <w:rFonts w:hint="eastAsia" w:ascii="宋体" w:hAnsi="宋体" w:cs="宋体"/>
          <w:color w:val="auto"/>
          <w:kern w:val="0"/>
          <w:szCs w:val="21"/>
          <w:highlight w:val="none"/>
        </w:rPr>
        <w:t>（3）供应商将按竞争性磋商文件的规定，履行全部责任和义务。</w:t>
      </w:r>
    </w:p>
    <w:p>
      <w:pPr>
        <w:widowControl/>
        <w:tabs>
          <w:tab w:val="left" w:pos="1260"/>
        </w:tabs>
        <w:adjustRightInd w:val="0"/>
        <w:snapToGrid w:val="0"/>
        <w:spacing w:line="480" w:lineRule="auto"/>
        <w:ind w:left="1260" w:hanging="840"/>
        <w:rPr>
          <w:rFonts w:ascii="宋体" w:hAnsi="宋体" w:cs="宋体"/>
          <w:color w:val="auto"/>
          <w:kern w:val="0"/>
          <w:szCs w:val="21"/>
          <w:highlight w:val="none"/>
        </w:rPr>
      </w:pPr>
      <w:r>
        <w:rPr>
          <w:rFonts w:hint="eastAsia" w:ascii="宋体" w:hAnsi="宋体" w:cs="宋体"/>
          <w:color w:val="auto"/>
          <w:kern w:val="0"/>
          <w:szCs w:val="21"/>
          <w:highlight w:val="none"/>
        </w:rPr>
        <w:t>（4）供应商已详细审查全部竞争性磋商文件,我们完全理解并同意放弃对竞争性磋商文件提出质疑及/或争议的权利。</w:t>
      </w:r>
    </w:p>
    <w:p>
      <w:pPr>
        <w:widowControl/>
        <w:tabs>
          <w:tab w:val="left" w:pos="1260"/>
        </w:tabs>
        <w:adjustRightInd w:val="0"/>
        <w:snapToGrid w:val="0"/>
        <w:spacing w:line="480" w:lineRule="auto"/>
        <w:ind w:left="1260" w:hanging="840"/>
        <w:rPr>
          <w:rFonts w:ascii="宋体" w:hAnsi="宋体" w:cs="宋体"/>
          <w:color w:val="auto"/>
          <w:kern w:val="0"/>
          <w:szCs w:val="21"/>
          <w:highlight w:val="none"/>
        </w:rPr>
      </w:pPr>
      <w:r>
        <w:rPr>
          <w:rFonts w:hint="eastAsia" w:ascii="宋体" w:hAnsi="宋体" w:cs="宋体"/>
          <w:color w:val="auto"/>
          <w:kern w:val="0"/>
          <w:szCs w:val="21"/>
          <w:highlight w:val="none"/>
        </w:rPr>
        <w:t>（5）本供应商递交响应文件的有效期为自递交响应文件截止日起</w:t>
      </w:r>
      <w:r>
        <w:rPr>
          <w:rFonts w:hint="eastAsia" w:ascii="宋体" w:hAnsi="宋体" w:cs="宋体"/>
          <w:b/>
          <w:color w:val="auto"/>
          <w:kern w:val="0"/>
          <w:szCs w:val="21"/>
          <w:highlight w:val="none"/>
          <w:u w:val="single"/>
        </w:rPr>
        <w:t>60</w:t>
      </w:r>
      <w:r>
        <w:rPr>
          <w:rFonts w:hint="eastAsia" w:ascii="宋体" w:hAnsi="宋体" w:cs="宋体"/>
          <w:color w:val="auto"/>
          <w:kern w:val="0"/>
          <w:szCs w:val="21"/>
          <w:highlight w:val="none"/>
        </w:rPr>
        <w:t>个日历日。</w:t>
      </w:r>
    </w:p>
    <w:p>
      <w:pPr>
        <w:widowControl/>
        <w:tabs>
          <w:tab w:val="left" w:pos="1260"/>
        </w:tabs>
        <w:adjustRightInd w:val="0"/>
        <w:snapToGrid w:val="0"/>
        <w:spacing w:line="480" w:lineRule="auto"/>
        <w:ind w:left="420"/>
        <w:rPr>
          <w:rFonts w:ascii="宋体" w:hAnsi="宋体" w:cs="宋体"/>
          <w:color w:val="auto"/>
          <w:kern w:val="0"/>
          <w:szCs w:val="21"/>
          <w:highlight w:val="none"/>
        </w:rPr>
      </w:pPr>
      <w:r>
        <w:rPr>
          <w:rFonts w:hint="eastAsia" w:ascii="宋体" w:hAnsi="宋体" w:cs="宋体"/>
          <w:color w:val="auto"/>
          <w:kern w:val="0"/>
          <w:szCs w:val="21"/>
          <w:highlight w:val="none"/>
        </w:rPr>
        <w:t>（6）我方授权贵方查询或调查我们递交的与本响应文件有关的声明、文件和资料,并同意在贵方的要求下提供相关文件或证书的原件及其他相关书面材料。</w:t>
      </w:r>
    </w:p>
    <w:p>
      <w:pPr>
        <w:widowControl/>
        <w:tabs>
          <w:tab w:val="left" w:pos="1260"/>
        </w:tabs>
        <w:adjustRightInd w:val="0"/>
        <w:snapToGrid w:val="0"/>
        <w:spacing w:line="480" w:lineRule="auto"/>
        <w:ind w:left="1260" w:hanging="840"/>
        <w:rPr>
          <w:rFonts w:ascii="宋体" w:hAnsi="宋体" w:cs="宋体"/>
          <w:color w:val="auto"/>
          <w:kern w:val="0"/>
          <w:szCs w:val="21"/>
          <w:highlight w:val="none"/>
        </w:rPr>
      </w:pPr>
    </w:p>
    <w:p>
      <w:pPr>
        <w:pStyle w:val="14"/>
        <w:spacing w:line="480" w:lineRule="auto"/>
        <w:jc w:val="center"/>
        <w:rPr>
          <w:rFonts w:hAnsi="宋体" w:cs="宋体"/>
          <w:color w:val="auto"/>
          <w:szCs w:val="21"/>
          <w:highlight w:val="none"/>
          <w:u w:val="single"/>
        </w:rPr>
      </w:pPr>
      <w:r>
        <w:rPr>
          <w:rFonts w:hint="eastAsia" w:hAnsi="宋体" w:cs="宋体"/>
          <w:color w:val="auto"/>
          <w:szCs w:val="21"/>
          <w:highlight w:val="none"/>
        </w:rPr>
        <w:t xml:space="preserve">                      磋商供应商名称（盖章）：</w:t>
      </w:r>
      <w:r>
        <w:rPr>
          <w:rFonts w:hint="eastAsia" w:hAnsi="宋体" w:cs="宋体"/>
          <w:color w:val="auto"/>
          <w:szCs w:val="21"/>
          <w:highlight w:val="none"/>
          <w:u w:val="single"/>
        </w:rPr>
        <w:t xml:space="preserve">                              </w:t>
      </w:r>
    </w:p>
    <w:p>
      <w:pPr>
        <w:pStyle w:val="14"/>
        <w:spacing w:line="480" w:lineRule="auto"/>
        <w:jc w:val="center"/>
        <w:rPr>
          <w:rFonts w:hAnsi="宋体" w:cs="宋体"/>
          <w:color w:val="auto"/>
          <w:szCs w:val="21"/>
          <w:highlight w:val="none"/>
          <w:u w:val="single"/>
        </w:rPr>
      </w:pPr>
      <w:r>
        <w:rPr>
          <w:rFonts w:hint="eastAsia" w:hAnsi="宋体" w:cs="宋体"/>
          <w:color w:val="auto"/>
          <w:szCs w:val="21"/>
          <w:highlight w:val="none"/>
        </w:rPr>
        <w:t xml:space="preserve">                        法定代表人（负责人）（签字）:</w:t>
      </w:r>
      <w:r>
        <w:rPr>
          <w:rFonts w:hint="eastAsia" w:hAnsi="宋体" w:cs="宋体"/>
          <w:color w:val="auto"/>
          <w:szCs w:val="21"/>
          <w:highlight w:val="none"/>
          <w:u w:val="single"/>
        </w:rPr>
        <w:t xml:space="preserve">              </w:t>
      </w:r>
    </w:p>
    <w:p>
      <w:pPr>
        <w:spacing w:line="480" w:lineRule="auto"/>
        <w:jc w:val="center"/>
        <w:rPr>
          <w:rFonts w:ascii="宋体" w:hAnsi="宋体" w:cs="宋体"/>
          <w:color w:val="auto"/>
          <w:szCs w:val="21"/>
          <w:highlight w:val="none"/>
        </w:rPr>
      </w:pPr>
      <w:r>
        <w:rPr>
          <w:rFonts w:hint="eastAsia" w:ascii="宋体" w:hAnsi="宋体" w:cs="宋体"/>
          <w:color w:val="auto"/>
          <w:szCs w:val="21"/>
          <w:highlight w:val="none"/>
        </w:rPr>
        <w:t xml:space="preserve">                          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00" w:lineRule="exact"/>
        <w:rPr>
          <w:rFonts w:ascii="宋体" w:hAnsi="宋体" w:cs="宋体"/>
          <w:b/>
          <w:bCs/>
          <w:color w:val="auto"/>
          <w:sz w:val="28"/>
          <w:szCs w:val="28"/>
          <w:highlight w:val="none"/>
        </w:rPr>
      </w:pPr>
    </w:p>
    <w:p>
      <w:pPr>
        <w:spacing w:line="400" w:lineRule="exact"/>
        <w:rPr>
          <w:rFonts w:ascii="宋体" w:hAnsi="宋体" w:cs="宋体"/>
          <w:b/>
          <w:bCs/>
          <w:color w:val="auto"/>
          <w:sz w:val="28"/>
          <w:szCs w:val="28"/>
          <w:highlight w:val="none"/>
        </w:rPr>
      </w:pPr>
    </w:p>
    <w:p>
      <w:pPr>
        <w:spacing w:line="400" w:lineRule="exact"/>
        <w:rPr>
          <w:rFonts w:ascii="宋体" w:hAnsi="宋体" w:cs="宋体"/>
          <w:b/>
          <w:bCs/>
          <w:color w:val="auto"/>
          <w:sz w:val="28"/>
          <w:szCs w:val="28"/>
          <w:highlight w:val="none"/>
        </w:rPr>
      </w:pPr>
    </w:p>
    <w:p>
      <w:pPr>
        <w:spacing w:line="400" w:lineRule="exact"/>
        <w:rPr>
          <w:rFonts w:ascii="宋体" w:hAnsi="宋体" w:cs="宋体"/>
          <w:b/>
          <w:bCs/>
          <w:color w:val="auto"/>
          <w:sz w:val="28"/>
          <w:szCs w:val="28"/>
          <w:highlight w:val="none"/>
        </w:rPr>
      </w:pPr>
    </w:p>
    <w:p>
      <w:pPr>
        <w:spacing w:line="400" w:lineRule="exact"/>
        <w:rPr>
          <w:rFonts w:ascii="宋体" w:hAnsi="宋体" w:cs="宋体"/>
          <w:b/>
          <w:bCs/>
          <w:color w:val="auto"/>
          <w:sz w:val="28"/>
          <w:szCs w:val="28"/>
          <w:highlight w:val="none"/>
        </w:rPr>
      </w:pPr>
    </w:p>
    <w:p>
      <w:pPr>
        <w:spacing w:line="400" w:lineRule="exact"/>
        <w:rPr>
          <w:rFonts w:ascii="宋体" w:hAnsi="宋体" w:cs="宋体"/>
          <w:b/>
          <w:bCs/>
          <w:color w:val="auto"/>
          <w:sz w:val="28"/>
          <w:szCs w:val="28"/>
          <w:highlight w:val="none"/>
        </w:rPr>
      </w:pPr>
    </w:p>
    <w:p>
      <w:pPr>
        <w:spacing w:line="400" w:lineRule="exact"/>
        <w:rPr>
          <w:rFonts w:ascii="宋体" w:hAnsi="宋体" w:cs="宋体"/>
          <w:b/>
          <w:bCs/>
          <w:color w:val="auto"/>
          <w:sz w:val="28"/>
          <w:szCs w:val="28"/>
          <w:highlight w:val="none"/>
        </w:rPr>
      </w:pPr>
    </w:p>
    <w:p>
      <w:pPr>
        <w:spacing w:line="400" w:lineRule="exact"/>
        <w:rPr>
          <w:rFonts w:ascii="宋体" w:hAnsi="宋体" w:cs="宋体"/>
          <w:b/>
          <w:bCs/>
          <w:color w:val="auto"/>
          <w:sz w:val="28"/>
          <w:szCs w:val="28"/>
          <w:highlight w:val="none"/>
        </w:rPr>
      </w:pPr>
    </w:p>
    <w:p>
      <w:pPr>
        <w:adjustRightInd w:val="0"/>
        <w:snapToGrid w:val="0"/>
        <w:spacing w:before="156" w:beforeLines="50"/>
        <w:ind w:left="121" w:hanging="121" w:hangingChars="43"/>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2、竞争性磋商报价表</w:t>
      </w:r>
    </w:p>
    <w:p>
      <w:pPr>
        <w:jc w:val="left"/>
        <w:rPr>
          <w:rFonts w:ascii="宋体" w:hAnsi="宋体" w:cs="宋体"/>
          <w:color w:val="auto"/>
          <w:kern w:val="0"/>
          <w:sz w:val="24"/>
          <w:highlight w:val="none"/>
        </w:rPr>
      </w:pPr>
    </w:p>
    <w:p>
      <w:pPr>
        <w:pStyle w:val="6"/>
        <w:rPr>
          <w:rFonts w:hAnsi="宋体" w:cs="宋体"/>
          <w:color w:val="auto"/>
          <w:highlight w:val="none"/>
        </w:rPr>
      </w:pPr>
    </w:p>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项目编号：</w:t>
      </w:r>
    </w:p>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项目名称： </w:t>
      </w:r>
    </w:p>
    <w:tbl>
      <w:tblPr>
        <w:tblStyle w:val="30"/>
        <w:tblW w:w="93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930"/>
        <w:gridCol w:w="4252"/>
        <w:gridCol w:w="709"/>
        <w:gridCol w:w="1417"/>
        <w:gridCol w:w="1302"/>
        <w:gridCol w:w="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trPr>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r>
              <w:rPr>
                <w:rStyle w:val="77"/>
                <w:rFonts w:ascii="宋体" w:hAnsi="宋体"/>
                <w:color w:val="auto"/>
                <w:kern w:val="0"/>
                <w:sz w:val="24"/>
                <w:highlight w:val="none"/>
              </w:rPr>
              <w:t>序号</w:t>
            </w:r>
          </w:p>
        </w:tc>
        <w:tc>
          <w:tcPr>
            <w:tcW w:w="930"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line="400" w:lineRule="exact"/>
              <w:jc w:val="center"/>
              <w:rPr>
                <w:rStyle w:val="77"/>
                <w:rFonts w:ascii="宋体" w:hAnsi="宋体"/>
                <w:color w:val="auto"/>
                <w:sz w:val="24"/>
                <w:highlight w:val="none"/>
              </w:rPr>
            </w:pPr>
            <w:r>
              <w:rPr>
                <w:rStyle w:val="77"/>
                <w:rFonts w:ascii="宋体" w:hAnsi="宋体"/>
                <w:color w:val="auto"/>
                <w:sz w:val="24"/>
                <w:highlight w:val="none"/>
              </w:rPr>
              <w:t>服务名称</w:t>
            </w:r>
          </w:p>
        </w:tc>
        <w:tc>
          <w:tcPr>
            <w:tcW w:w="4252"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line="400" w:lineRule="exact"/>
              <w:jc w:val="center"/>
              <w:rPr>
                <w:rStyle w:val="77"/>
                <w:rFonts w:ascii="宋体" w:hAnsi="宋体"/>
                <w:color w:val="auto"/>
                <w:sz w:val="24"/>
                <w:highlight w:val="none"/>
              </w:rPr>
            </w:pPr>
            <w:r>
              <w:rPr>
                <w:rStyle w:val="77"/>
                <w:rFonts w:ascii="宋体" w:hAnsi="宋体"/>
                <w:color w:val="auto"/>
                <w:sz w:val="24"/>
                <w:highlight w:val="none"/>
              </w:rPr>
              <w:t>服务内容</w:t>
            </w:r>
          </w:p>
        </w:tc>
        <w:tc>
          <w:tcPr>
            <w:tcW w:w="709"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line="400" w:lineRule="exact"/>
              <w:jc w:val="center"/>
              <w:rPr>
                <w:rStyle w:val="77"/>
                <w:rFonts w:ascii="宋体" w:hAnsi="宋体"/>
                <w:color w:val="auto"/>
                <w:sz w:val="24"/>
                <w:highlight w:val="none"/>
              </w:rPr>
            </w:pPr>
            <w:r>
              <w:rPr>
                <w:rStyle w:val="77"/>
                <w:rFonts w:ascii="宋体" w:hAnsi="宋体"/>
                <w:color w:val="auto"/>
                <w:sz w:val="24"/>
                <w:highlight w:val="none"/>
              </w:rPr>
              <w:t>数量①</w:t>
            </w:r>
          </w:p>
        </w:tc>
        <w:tc>
          <w:tcPr>
            <w:tcW w:w="1417"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line="400" w:lineRule="exact"/>
              <w:jc w:val="center"/>
              <w:rPr>
                <w:rStyle w:val="77"/>
                <w:rFonts w:ascii="宋体" w:hAnsi="宋体"/>
                <w:color w:val="auto"/>
                <w:sz w:val="24"/>
                <w:highlight w:val="none"/>
              </w:rPr>
            </w:pPr>
            <w:r>
              <w:rPr>
                <w:rStyle w:val="77"/>
                <w:rFonts w:ascii="宋体" w:hAnsi="宋体"/>
                <w:color w:val="auto"/>
                <w:sz w:val="24"/>
                <w:highlight w:val="none"/>
              </w:rPr>
              <w:t>单价（元）②</w:t>
            </w:r>
          </w:p>
        </w:tc>
        <w:tc>
          <w:tcPr>
            <w:tcW w:w="1319" w:type="dxa"/>
            <w:gridSpan w:val="2"/>
            <w:tcBorders>
              <w:top w:val="single" w:color="000000" w:sz="4" w:space="0"/>
              <w:left w:val="single" w:color="000000" w:sz="4" w:space="0"/>
              <w:bottom w:val="single" w:color="000000" w:sz="4" w:space="0"/>
              <w:right w:val="single" w:color="000000" w:sz="4" w:space="0"/>
            </w:tcBorders>
            <w:vAlign w:val="center"/>
          </w:tcPr>
          <w:p>
            <w:pPr>
              <w:pStyle w:val="110"/>
              <w:jc w:val="center"/>
              <w:rPr>
                <w:rStyle w:val="77"/>
                <w:rFonts w:hAnsi="宋体"/>
                <w:color w:val="auto"/>
                <w:highlight w:val="none"/>
              </w:rPr>
            </w:pPr>
            <w:r>
              <w:rPr>
                <w:rStyle w:val="77"/>
                <w:rFonts w:hAnsi="宋体"/>
                <w:color w:val="auto"/>
                <w:highlight w:val="none"/>
              </w:rPr>
              <w:t>单项合价（元）</w:t>
            </w:r>
          </w:p>
          <w:p>
            <w:pPr>
              <w:tabs>
                <w:tab w:val="left" w:pos="1418"/>
              </w:tabs>
              <w:snapToGrid w:val="0"/>
              <w:spacing w:before="50" w:after="50" w:line="400" w:lineRule="exact"/>
              <w:jc w:val="center"/>
              <w:rPr>
                <w:rStyle w:val="77"/>
                <w:rFonts w:ascii="宋体" w:hAnsi="宋体"/>
                <w:color w:val="auto"/>
                <w:sz w:val="24"/>
                <w:highlight w:val="none"/>
              </w:rPr>
            </w:pPr>
            <w:r>
              <w:rPr>
                <w:rStyle w:val="77"/>
                <w:rFonts w:hAnsi="宋体"/>
                <w:color w:val="auto"/>
                <w:highlight w:val="none"/>
              </w:rPr>
              <w:t>③=①×②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r>
              <w:rPr>
                <w:rStyle w:val="77"/>
                <w:rFonts w:ascii="宋体" w:hAnsi="宋体"/>
                <w:color w:val="auto"/>
                <w:kern w:val="0"/>
                <w:sz w:val="24"/>
                <w:highlight w:val="none"/>
              </w:rPr>
              <w:t>1</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4252"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line="400" w:lineRule="exact"/>
              <w:jc w:val="center"/>
              <w:rPr>
                <w:rStyle w:val="77"/>
                <w:rFonts w:ascii="宋体" w:hAnsi="宋体"/>
                <w:color w:val="auto"/>
                <w:sz w:val="24"/>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line="400" w:lineRule="exact"/>
              <w:jc w:val="center"/>
              <w:rPr>
                <w:rStyle w:val="77"/>
                <w:rFonts w:ascii="宋体" w:hAnsi="宋体"/>
                <w:color w:val="auto"/>
                <w:sz w:val="24"/>
                <w:highlight w:val="none"/>
              </w:rPr>
            </w:pPr>
          </w:p>
        </w:tc>
        <w:tc>
          <w:tcPr>
            <w:tcW w:w="1319"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before="50" w:after="50" w:line="400" w:lineRule="exact"/>
              <w:jc w:val="center"/>
              <w:rPr>
                <w:rStyle w:val="77"/>
                <w:rFonts w:ascii="宋体" w:hAnsi="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kern w:val="0"/>
                <w:sz w:val="24"/>
                <w:highlight w:val="none"/>
              </w:rPr>
            </w:pPr>
            <w:r>
              <w:rPr>
                <w:rStyle w:val="77"/>
                <w:rFonts w:ascii="宋体" w:hAnsi="宋体"/>
                <w:color w:val="auto"/>
                <w:kern w:val="0"/>
                <w:sz w:val="24"/>
                <w:highlight w:val="none"/>
              </w:rPr>
              <w:t>2</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4252"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1319"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kern w:val="0"/>
                <w:sz w:val="24"/>
                <w:highlight w:val="none"/>
              </w:rPr>
            </w:pPr>
            <w:r>
              <w:rPr>
                <w:rStyle w:val="77"/>
                <w:rFonts w:ascii="宋体" w:hAnsi="宋体"/>
                <w:color w:val="auto"/>
                <w:kern w:val="0"/>
                <w:sz w:val="24"/>
                <w:highlight w:val="none"/>
              </w:rPr>
              <w:t>3</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4252"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1319"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kern w:val="0"/>
                <w:sz w:val="24"/>
                <w:highlight w:val="none"/>
              </w:rPr>
            </w:pPr>
            <w:r>
              <w:rPr>
                <w:rStyle w:val="77"/>
                <w:rFonts w:ascii="宋体" w:hAnsi="宋体"/>
                <w:color w:val="auto"/>
                <w:kern w:val="0"/>
                <w:sz w:val="24"/>
                <w:highlight w:val="none"/>
              </w:rPr>
              <w:t>4</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4252"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1319"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kern w:val="0"/>
                <w:sz w:val="24"/>
                <w:highlight w:val="none"/>
              </w:rPr>
            </w:pPr>
            <w:r>
              <w:rPr>
                <w:rStyle w:val="77"/>
                <w:rFonts w:ascii="宋体" w:hAnsi="宋体"/>
                <w:color w:val="auto"/>
                <w:kern w:val="0"/>
                <w:sz w:val="24"/>
                <w:highlight w:val="none"/>
              </w:rPr>
              <w:t>5</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4252"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c>
          <w:tcPr>
            <w:tcW w:w="1319"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7"/>
                <w:rFonts w:ascii="宋体" w:hAnsi="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 w:type="dxa"/>
          <w:trHeight w:val="825" w:hRule="atLeast"/>
        </w:trPr>
        <w:tc>
          <w:tcPr>
            <w:tcW w:w="9348" w:type="dxa"/>
            <w:gridSpan w:val="6"/>
            <w:tcBorders>
              <w:top w:val="single" w:color="000000" w:sz="4" w:space="0"/>
              <w:left w:val="single" w:color="000000" w:sz="4" w:space="0"/>
              <w:bottom w:val="single" w:color="000000" w:sz="4" w:space="0"/>
              <w:right w:val="single" w:color="000000" w:sz="4" w:space="0"/>
            </w:tcBorders>
          </w:tcPr>
          <w:p>
            <w:pPr>
              <w:rPr>
                <w:rStyle w:val="77"/>
                <w:rFonts w:ascii="宋体" w:hAnsi="宋体"/>
                <w:color w:val="auto"/>
                <w:sz w:val="24"/>
                <w:highlight w:val="none"/>
              </w:rPr>
            </w:pPr>
            <w:r>
              <w:rPr>
                <w:rStyle w:val="77"/>
                <w:rFonts w:ascii="宋体" w:hAnsi="宋体"/>
                <w:color w:val="auto"/>
                <w:sz w:val="24"/>
                <w:highlight w:val="none"/>
              </w:rPr>
              <w:t>总报价：人民币</w:t>
            </w:r>
            <w:r>
              <w:rPr>
                <w:rStyle w:val="77"/>
                <w:rFonts w:ascii="宋体" w:hAnsi="宋体"/>
                <w:color w:val="auto"/>
                <w:sz w:val="24"/>
                <w:highlight w:val="none"/>
                <w:u w:val="single"/>
              </w:rPr>
              <w:t xml:space="preserve">（大写）               </w:t>
            </w:r>
            <w:r>
              <w:rPr>
                <w:rStyle w:val="77"/>
                <w:rFonts w:ascii="宋体" w:hAnsi="宋体"/>
                <w:color w:val="auto"/>
                <w:sz w:val="24"/>
                <w:highlight w:val="none"/>
              </w:rPr>
              <w:t>(¥小写)</w:t>
            </w:r>
          </w:p>
          <w:p>
            <w:pPr>
              <w:rPr>
                <w:rStyle w:val="77"/>
                <w:rFonts w:ascii="宋体" w:hAnsi="宋体"/>
                <w:color w:val="auto"/>
                <w:sz w:val="24"/>
                <w:highlight w:val="none"/>
              </w:rPr>
            </w:pPr>
            <w:r>
              <w:rPr>
                <w:rStyle w:val="77"/>
                <w:rFonts w:hint="eastAsia" w:ascii="宋体" w:hAnsi="宋体"/>
                <w:color w:val="auto"/>
                <w:sz w:val="24"/>
                <w:highlight w:val="none"/>
              </w:rPr>
              <w:t>合同履行期限</w:t>
            </w:r>
            <w:r>
              <w:rPr>
                <w:rStyle w:val="77"/>
                <w:rFonts w:ascii="宋体" w:hAnsi="宋体"/>
                <w:color w:val="auto"/>
                <w:sz w:val="24"/>
                <w:highlight w:val="none"/>
              </w:rPr>
              <w:t>：</w:t>
            </w:r>
            <w:r>
              <w:rPr>
                <w:rStyle w:val="77"/>
                <w:rFonts w:ascii="宋体" w:hAnsi="宋体"/>
                <w:color w:val="auto"/>
                <w:sz w:val="24"/>
                <w:highlight w:val="none"/>
                <w:u w:val="single"/>
              </w:rPr>
              <w:t xml:space="preserve">                                           </w:t>
            </w:r>
            <w:r>
              <w:rPr>
                <w:rStyle w:val="77"/>
                <w:rFonts w:ascii="宋体" w:hAnsi="宋体"/>
                <w:color w:val="auto"/>
                <w:sz w:val="24"/>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 w:type="dxa"/>
          <w:trHeight w:val="1066" w:hRule="atLeast"/>
        </w:trPr>
        <w:tc>
          <w:tcPr>
            <w:tcW w:w="9348" w:type="dxa"/>
            <w:gridSpan w:val="6"/>
            <w:tcBorders>
              <w:top w:val="single" w:color="000000" w:sz="4" w:space="0"/>
              <w:left w:val="single" w:color="000000" w:sz="4" w:space="0"/>
              <w:bottom w:val="single" w:color="000000" w:sz="4" w:space="0"/>
              <w:right w:val="single" w:color="000000" w:sz="4" w:space="0"/>
            </w:tcBorders>
          </w:tcPr>
          <w:p>
            <w:pPr>
              <w:spacing w:line="360" w:lineRule="auto"/>
              <w:rPr>
                <w:color w:val="auto"/>
                <w:highlight w:val="none"/>
              </w:rPr>
            </w:pPr>
            <w:r>
              <w:rPr>
                <w:color w:val="auto"/>
                <w:highlight w:val="none"/>
              </w:rPr>
              <w:t>注：1、所有价格均用人民币表示，单位为元，精确到个位数。</w:t>
            </w:r>
          </w:p>
          <w:p>
            <w:pPr>
              <w:spacing w:line="360" w:lineRule="auto"/>
              <w:rPr>
                <w:color w:val="auto"/>
                <w:highlight w:val="none"/>
              </w:rPr>
            </w:pPr>
            <w:r>
              <w:rPr>
                <w:rFonts w:hint="eastAsia"/>
                <w:color w:val="auto"/>
                <w:highlight w:val="none"/>
              </w:rPr>
              <w:t>2.</w:t>
            </w:r>
            <w:r>
              <w:rPr>
                <w:color w:val="auto"/>
                <w:highlight w:val="none"/>
              </w:rPr>
              <w:t>磋商供应商所报价的所有报价表都必须要加盖公章并签字，无盖章和签字的报价无效。</w:t>
            </w:r>
          </w:p>
          <w:p>
            <w:pPr>
              <w:pStyle w:val="6"/>
              <w:ind w:left="0" w:firstLine="0"/>
              <w:rPr>
                <w:color w:val="auto"/>
                <w:highlight w:val="none"/>
              </w:rPr>
            </w:pPr>
            <w:r>
              <w:rPr>
                <w:rFonts w:hint="eastAsia" w:ascii="Times New Roman" w:hAnsi="Times New Roman"/>
                <w:b w:val="0"/>
                <w:color w:val="auto"/>
                <w:kern w:val="2"/>
                <w:sz w:val="21"/>
                <w:szCs w:val="24"/>
                <w:highlight w:val="none"/>
              </w:rPr>
              <w:t>3.总报价包括成果文件及相应提供技术交底等相关资料、设备、劳务、管理、材料、维护、保险、组织评审会的全部费用、利润、税金、政策性文件规定及合同包含的应有风险、责任等各项应有费用。本项目至最终取得审批部门审批通过为止，采购人不另支付任何费用。</w:t>
            </w:r>
          </w:p>
        </w:tc>
      </w:tr>
    </w:tbl>
    <w:p>
      <w:pPr>
        <w:pStyle w:val="11"/>
        <w:rPr>
          <w:color w:val="auto"/>
          <w:highlight w:val="none"/>
        </w:rPr>
      </w:pPr>
    </w:p>
    <w:p>
      <w:pPr>
        <w:autoSpaceDE w:val="0"/>
        <w:autoSpaceDN w:val="0"/>
        <w:adjustRightInd w:val="0"/>
        <w:rPr>
          <w:rFonts w:ascii="宋体" w:hAnsi="宋体" w:cs="宋体"/>
          <w:color w:val="auto"/>
          <w:kern w:val="0"/>
          <w:highlight w:val="none"/>
        </w:rPr>
      </w:pPr>
    </w:p>
    <w:p>
      <w:pPr>
        <w:autoSpaceDE w:val="0"/>
        <w:autoSpaceDN w:val="0"/>
        <w:adjustRightInd w:val="0"/>
        <w:rPr>
          <w:rFonts w:ascii="宋体" w:hAnsi="宋体" w:cs="宋体"/>
          <w:color w:val="auto"/>
          <w:kern w:val="0"/>
          <w:highlight w:val="none"/>
        </w:rPr>
      </w:pPr>
    </w:p>
    <w:p>
      <w:pPr>
        <w:autoSpaceDE w:val="0"/>
        <w:autoSpaceDN w:val="0"/>
        <w:adjustRightInd w:val="0"/>
        <w:spacing w:line="460" w:lineRule="exact"/>
        <w:rPr>
          <w:rFonts w:ascii="宋体" w:hAnsi="宋体" w:cs="宋体"/>
          <w:color w:val="auto"/>
          <w:kern w:val="0"/>
          <w:highlight w:val="none"/>
        </w:rPr>
      </w:pPr>
    </w:p>
    <w:p>
      <w:pPr>
        <w:pStyle w:val="14"/>
        <w:spacing w:line="500" w:lineRule="exact"/>
        <w:rPr>
          <w:rFonts w:hAnsi="宋体" w:cs="宋体"/>
          <w:color w:val="auto"/>
          <w:highlight w:val="none"/>
          <w:u w:val="single"/>
        </w:rPr>
      </w:pPr>
      <w:r>
        <w:rPr>
          <w:rFonts w:hint="eastAsia" w:hAnsi="宋体" w:cs="宋体"/>
          <w:color w:val="auto"/>
          <w:highlight w:val="none"/>
        </w:rPr>
        <w:t>磋商供应商名称（签章）：</w:t>
      </w:r>
      <w:r>
        <w:rPr>
          <w:rFonts w:hint="eastAsia" w:hAnsi="宋体" w:cs="宋体"/>
          <w:color w:val="auto"/>
          <w:highlight w:val="none"/>
          <w:u w:val="single"/>
        </w:rPr>
        <w:t xml:space="preserve">                              </w:t>
      </w:r>
    </w:p>
    <w:p>
      <w:pPr>
        <w:pStyle w:val="14"/>
        <w:spacing w:line="500" w:lineRule="exact"/>
        <w:rPr>
          <w:rFonts w:hAnsi="宋体" w:cs="宋体"/>
          <w:color w:val="auto"/>
          <w:highlight w:val="none"/>
          <w:u w:val="single"/>
        </w:rPr>
      </w:pPr>
      <w:r>
        <w:rPr>
          <w:rFonts w:hint="eastAsia" w:hAnsi="宋体" w:cs="宋体"/>
          <w:color w:val="auto"/>
          <w:highlight w:val="none"/>
        </w:rPr>
        <w:t>法定代表人（负责人）或法定代表人（负责人）授权代表（签字）:</w:t>
      </w:r>
      <w:r>
        <w:rPr>
          <w:rFonts w:hint="eastAsia" w:hAnsi="宋体" w:cs="宋体"/>
          <w:color w:val="auto"/>
          <w:highlight w:val="none"/>
          <w:u w:val="single"/>
        </w:rPr>
        <w:t xml:space="preserve">              </w:t>
      </w:r>
    </w:p>
    <w:p>
      <w:pPr>
        <w:spacing w:line="360" w:lineRule="auto"/>
        <w:rPr>
          <w:rFonts w:ascii="宋体" w:hAnsi="宋体" w:cs="宋体"/>
          <w:color w:val="auto"/>
          <w:highlight w:val="none"/>
        </w:rPr>
      </w:pPr>
      <w:r>
        <w:rPr>
          <w:rFonts w:hint="eastAsia" w:ascii="宋体" w:hAnsi="宋体" w:cs="宋体"/>
          <w:color w:val="auto"/>
          <w:szCs w:val="21"/>
          <w:highlight w:val="none"/>
        </w:rPr>
        <w:t>报价时间：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00" w:lineRule="exact"/>
        <w:ind w:left="1405" w:hanging="1405" w:hangingChars="500"/>
        <w:jc w:val="center"/>
        <w:rPr>
          <w:rFonts w:ascii="宋体" w:hAnsi="宋体" w:cs="宋体"/>
          <w:b/>
          <w:bCs/>
          <w:color w:val="auto"/>
          <w:sz w:val="28"/>
          <w:szCs w:val="28"/>
          <w:highlight w:val="none"/>
        </w:rPr>
      </w:pPr>
      <w:r>
        <w:rPr>
          <w:rFonts w:hint="eastAsia" w:ascii="宋体" w:hAnsi="宋体" w:cs="宋体"/>
          <w:b/>
          <w:color w:val="auto"/>
          <w:sz w:val="28"/>
          <w:szCs w:val="28"/>
          <w:highlight w:val="none"/>
        </w:rPr>
        <w:br w:type="page"/>
      </w:r>
    </w:p>
    <w:p>
      <w:pPr>
        <w:adjustRightInd w:val="0"/>
        <w:snapToGrid w:val="0"/>
        <w:spacing w:before="156" w:beforeLines="50"/>
        <w:ind w:left="121" w:hanging="121" w:hangingChars="43"/>
        <w:jc w:val="center"/>
        <w:rPr>
          <w:rFonts w:ascii="宋体" w:hAnsi="宋体" w:cs="宋体"/>
          <w:b/>
          <w:bCs/>
          <w:color w:val="auto"/>
          <w:sz w:val="28"/>
          <w:szCs w:val="28"/>
          <w:highlight w:val="none"/>
        </w:rPr>
      </w:pPr>
      <w:r>
        <w:rPr>
          <w:rFonts w:hint="eastAsia" w:ascii="宋体" w:hAnsi="宋体" w:cs="宋体"/>
          <w:b/>
          <w:bCs/>
          <w:color w:val="auto"/>
          <w:sz w:val="28"/>
          <w:szCs w:val="28"/>
          <w:highlight w:val="none"/>
          <w:lang w:eastAsia="zh-CN"/>
        </w:rPr>
        <w:t>二、</w:t>
      </w:r>
      <w:r>
        <w:rPr>
          <w:rFonts w:hint="eastAsia" w:ascii="宋体" w:hAnsi="宋体" w:cs="宋体"/>
          <w:b/>
          <w:bCs/>
          <w:color w:val="auto"/>
          <w:sz w:val="28"/>
          <w:szCs w:val="28"/>
          <w:highlight w:val="none"/>
        </w:rPr>
        <w:t>资格文件；</w:t>
      </w:r>
    </w:p>
    <w:p>
      <w:pPr>
        <w:adjustRightInd w:val="0"/>
        <w:snapToGrid w:val="0"/>
        <w:spacing w:before="156" w:beforeLines="50"/>
        <w:ind w:left="121" w:hanging="121" w:hangingChars="43"/>
        <w:jc w:val="center"/>
        <w:rPr>
          <w:rFonts w:ascii="宋体" w:hAnsi="宋体" w:cs="宋体"/>
          <w:b/>
          <w:bCs/>
          <w:color w:val="auto"/>
          <w:sz w:val="28"/>
          <w:szCs w:val="28"/>
          <w:highlight w:val="none"/>
        </w:rPr>
      </w:pPr>
    </w:p>
    <w:p>
      <w:pPr>
        <w:pStyle w:val="12"/>
        <w:spacing w:line="360" w:lineRule="auto"/>
        <w:ind w:left="0" w:leftChars="0" w:firstLine="0" w:firstLineChars="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（1）营业执照副本复印件；</w:t>
      </w:r>
      <w:r>
        <w:rPr>
          <w:rFonts w:hint="eastAsia" w:ascii="宋体" w:hAnsi="宋体" w:eastAsia="宋体" w:cs="宋体"/>
          <w:b/>
          <w:bCs/>
          <w:color w:val="auto"/>
          <w:sz w:val="21"/>
          <w:szCs w:val="21"/>
          <w:highlight w:val="none"/>
        </w:rPr>
        <w:t>（必须提供，加盖公章）</w:t>
      </w:r>
    </w:p>
    <w:p>
      <w:pPr>
        <w:pStyle w:val="12"/>
        <w:spacing w:line="360" w:lineRule="auto"/>
        <w:ind w:left="0" w:leftChars="0" w:firstLine="0" w:firstLineChars="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（2）法定代表人（负责人）身份证复印件；</w:t>
      </w:r>
      <w:r>
        <w:rPr>
          <w:rFonts w:hint="eastAsia" w:ascii="宋体" w:hAnsi="宋体" w:eastAsia="宋体" w:cs="宋体"/>
          <w:b/>
          <w:bCs/>
          <w:color w:val="auto"/>
          <w:sz w:val="21"/>
          <w:szCs w:val="21"/>
          <w:highlight w:val="none"/>
        </w:rPr>
        <w:t xml:space="preserve">（必须提供，加盖公章） </w:t>
      </w:r>
    </w:p>
    <w:p>
      <w:pPr>
        <w:pStyle w:val="12"/>
        <w:spacing w:line="360" w:lineRule="auto"/>
        <w:ind w:left="0" w:leftChars="0" w:firstLine="0" w:firstLineChars="0"/>
        <w:rPr>
          <w:rFonts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（3）法定代表人（负责人）授权书及委托代理人身份证正反面复印件；</w:t>
      </w:r>
      <w:r>
        <w:rPr>
          <w:rFonts w:hint="eastAsia" w:ascii="宋体" w:hAnsi="宋体" w:eastAsia="宋体" w:cs="宋体"/>
          <w:b/>
          <w:bCs/>
          <w:color w:val="auto"/>
          <w:sz w:val="21"/>
          <w:szCs w:val="21"/>
          <w:highlight w:val="none"/>
        </w:rPr>
        <w:t>（委托时必须提供，加盖公章）</w:t>
      </w:r>
    </w:p>
    <w:p>
      <w:pPr>
        <w:autoSpaceDE w:val="0"/>
        <w:autoSpaceDN w:val="0"/>
        <w:adjustRightInd w:val="0"/>
        <w:spacing w:line="360" w:lineRule="auto"/>
        <w:jc w:val="left"/>
        <w:rPr>
          <w:rFonts w:ascii="宋体" w:hAnsi="宋体" w:cs="宋体"/>
          <w:b/>
          <w:bCs/>
          <w:color w:val="auto"/>
          <w:szCs w:val="21"/>
          <w:highlight w:val="none"/>
        </w:rPr>
      </w:pPr>
      <w:r>
        <w:rPr>
          <w:rFonts w:hint="eastAsia" w:ascii="宋体" w:hAnsi="宋体" w:cs="宋体"/>
          <w:color w:val="auto"/>
          <w:szCs w:val="21"/>
          <w:highlight w:val="none"/>
        </w:rPr>
        <w:t>（4）桂平市政府采购项目投标资格承诺函</w:t>
      </w:r>
      <w:r>
        <w:rPr>
          <w:rFonts w:hint="eastAsia" w:ascii="宋体" w:hAnsi="宋体"/>
          <w:color w:val="auto"/>
          <w:szCs w:val="21"/>
          <w:highlight w:val="none"/>
        </w:rPr>
        <w:t>；</w:t>
      </w:r>
      <w:r>
        <w:rPr>
          <w:rFonts w:hint="eastAsia" w:ascii="宋体" w:hAnsi="宋体" w:cs="宋体"/>
          <w:b/>
          <w:bCs/>
          <w:color w:val="auto"/>
          <w:szCs w:val="21"/>
          <w:highlight w:val="none"/>
        </w:rPr>
        <w:t>（必须提供，加盖公章）</w:t>
      </w:r>
    </w:p>
    <w:p>
      <w:pPr>
        <w:pStyle w:val="6"/>
        <w:ind w:left="0" w:leftChars="0" w:firstLine="0" w:firstLineChars="0"/>
        <w:rPr>
          <w:rFonts w:hAnsi="宋体" w:cs="宋体"/>
          <w:b w:val="0"/>
          <w:color w:val="auto"/>
          <w:sz w:val="21"/>
          <w:szCs w:val="24"/>
          <w:highlight w:val="none"/>
        </w:rPr>
      </w:pPr>
      <w:r>
        <w:rPr>
          <w:rFonts w:hint="eastAsia" w:hAnsi="宋体" w:cs="宋体"/>
          <w:b w:val="0"/>
          <w:color w:val="auto"/>
          <w:kern w:val="2"/>
          <w:sz w:val="21"/>
          <w:szCs w:val="21"/>
          <w:highlight w:val="none"/>
        </w:rPr>
        <w:t>（5）其他</w:t>
      </w:r>
      <w:r>
        <w:rPr>
          <w:rFonts w:hAnsi="宋体" w:cs="宋体"/>
          <w:b w:val="0"/>
          <w:color w:val="auto"/>
          <w:sz w:val="21"/>
          <w:szCs w:val="24"/>
          <w:highlight w:val="none"/>
        </w:rPr>
        <w:t>有效证明文件的复印件。</w:t>
      </w:r>
    </w:p>
    <w:p>
      <w:pPr>
        <w:pStyle w:val="12"/>
        <w:spacing w:line="360" w:lineRule="auto"/>
        <w:ind w:firstLine="420" w:firstLineChars="200"/>
        <w:rPr>
          <w:rFonts w:ascii="宋体" w:hAnsi="宋体" w:eastAsia="宋体" w:cs="宋体"/>
          <w:color w:val="auto"/>
          <w:kern w:val="0"/>
          <w:sz w:val="21"/>
          <w:szCs w:val="24"/>
          <w:highlight w:val="none"/>
        </w:rPr>
      </w:pPr>
      <w:r>
        <w:rPr>
          <w:rFonts w:hint="eastAsia" w:ascii="宋体" w:hAnsi="宋体" w:eastAsia="宋体" w:cs="宋体"/>
          <w:color w:val="auto"/>
          <w:sz w:val="21"/>
          <w:szCs w:val="21"/>
          <w:highlight w:val="none"/>
        </w:rPr>
        <w:t>注：资格证明文件要求必须提供的必须提供并加盖单位公章，否则会被视为资格审查不合格。</w:t>
      </w:r>
    </w:p>
    <w:p>
      <w:pPr>
        <w:spacing w:line="400" w:lineRule="exact"/>
        <w:ind w:left="1405" w:hanging="1405" w:hangingChars="500"/>
        <w:jc w:val="center"/>
        <w:rPr>
          <w:rFonts w:ascii="宋体" w:hAnsi="宋体" w:cs="宋体"/>
          <w:b/>
          <w:bCs/>
          <w:color w:val="auto"/>
          <w:sz w:val="28"/>
          <w:szCs w:val="28"/>
          <w:highlight w:val="none"/>
        </w:rPr>
      </w:pPr>
    </w:p>
    <w:p>
      <w:pPr>
        <w:spacing w:line="400" w:lineRule="exact"/>
        <w:ind w:left="1405" w:hanging="1405" w:hangingChars="50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r>
        <w:rPr>
          <w:rFonts w:hint="eastAsia" w:ascii="宋体" w:hAnsi="宋体" w:cs="宋体"/>
          <w:b/>
          <w:bCs/>
          <w:color w:val="auto"/>
          <w:sz w:val="28"/>
          <w:szCs w:val="28"/>
          <w:highlight w:val="none"/>
        </w:rPr>
        <w:t>法定代表人（负责人）授权委托书（格式）</w:t>
      </w:r>
    </w:p>
    <w:p>
      <w:pPr>
        <w:spacing w:line="400" w:lineRule="exact"/>
        <w:rPr>
          <w:rFonts w:ascii="宋体" w:hAnsi="宋体" w:cs="宋体"/>
          <w:color w:val="auto"/>
          <w:sz w:val="28"/>
          <w:szCs w:val="28"/>
          <w:highlight w:val="none"/>
        </w:rPr>
      </w:pPr>
    </w:p>
    <w:p>
      <w:pPr>
        <w:spacing w:line="400" w:lineRule="exact"/>
        <w:rPr>
          <w:rFonts w:ascii="宋体" w:hAnsi="宋体" w:cs="宋体"/>
          <w:b/>
          <w:bCs/>
          <w:color w:val="auto"/>
          <w:sz w:val="24"/>
          <w:highlight w:val="none"/>
          <w:u w:val="single"/>
        </w:rPr>
      </w:pPr>
      <w:r>
        <w:rPr>
          <w:rFonts w:hint="eastAsia" w:ascii="宋体" w:hAnsi="宋体" w:cs="宋体"/>
          <w:b/>
          <w:bCs/>
          <w:color w:val="auto"/>
          <w:sz w:val="24"/>
          <w:highlight w:val="none"/>
        </w:rPr>
        <w:t>致:</w:t>
      </w:r>
      <w:r>
        <w:rPr>
          <w:rFonts w:hint="eastAsia" w:ascii="宋体" w:hAnsi="宋体" w:cs="宋体"/>
          <w:b/>
          <w:bCs/>
          <w:color w:val="auto"/>
          <w:sz w:val="24"/>
          <w:highlight w:val="none"/>
          <w:u w:val="single"/>
        </w:rPr>
        <w:t xml:space="preserve"> （采购代理机构）</w:t>
      </w:r>
    </w:p>
    <w:p>
      <w:pPr>
        <w:spacing w:line="400" w:lineRule="exact"/>
        <w:ind w:firstLine="560" w:firstLineChars="200"/>
        <w:jc w:val="left"/>
        <w:rPr>
          <w:rFonts w:ascii="宋体" w:hAnsi="宋体" w:cs="宋体"/>
          <w:color w:val="auto"/>
          <w:sz w:val="28"/>
          <w:szCs w:val="28"/>
          <w:highlight w:val="none"/>
        </w:rPr>
      </w:pPr>
    </w:p>
    <w:p>
      <w:pPr>
        <w:spacing w:line="360" w:lineRule="auto"/>
        <w:ind w:firstLine="480"/>
        <w:rPr>
          <w:rFonts w:ascii="宋体" w:hAnsi="宋体" w:cs="宋体"/>
          <w:color w:val="auto"/>
          <w:highlight w:val="none"/>
        </w:rPr>
      </w:pPr>
      <w:r>
        <w:rPr>
          <w:rFonts w:hint="eastAsia" w:ascii="宋体" w:hAnsi="宋体" w:cs="宋体"/>
          <w:color w:val="auto"/>
          <w:highlight w:val="none"/>
        </w:rPr>
        <w:t>本授权委托书声明：我</w:t>
      </w:r>
      <w:r>
        <w:rPr>
          <w:rFonts w:hint="eastAsia" w:ascii="宋体" w:hAnsi="宋体" w:cs="宋体"/>
          <w:color w:val="auto"/>
          <w:highlight w:val="none"/>
          <w:u w:val="single"/>
        </w:rPr>
        <w:t xml:space="preserve">        </w:t>
      </w:r>
      <w:r>
        <w:rPr>
          <w:rFonts w:hint="eastAsia" w:ascii="宋体" w:hAnsi="宋体" w:cs="宋体"/>
          <w:color w:val="auto"/>
          <w:highlight w:val="none"/>
        </w:rPr>
        <w:t>（姓名）系</w:t>
      </w:r>
      <w:r>
        <w:rPr>
          <w:rFonts w:hint="eastAsia" w:ascii="宋体" w:hAnsi="宋体" w:cs="宋体"/>
          <w:color w:val="auto"/>
          <w:highlight w:val="none"/>
          <w:u w:val="single"/>
        </w:rPr>
        <w:t xml:space="preserve">                  </w:t>
      </w:r>
      <w:r>
        <w:rPr>
          <w:rFonts w:hint="eastAsia" w:ascii="宋体" w:hAnsi="宋体" w:cs="宋体"/>
          <w:color w:val="auto"/>
          <w:highlight w:val="none"/>
        </w:rPr>
        <w:t>（供应商名称）的法定代表人（负责人），现授权委托</w:t>
      </w:r>
      <w:r>
        <w:rPr>
          <w:rFonts w:hint="eastAsia" w:ascii="宋体" w:hAnsi="宋体" w:cs="宋体"/>
          <w:color w:val="auto"/>
          <w:highlight w:val="none"/>
          <w:u w:val="single"/>
        </w:rPr>
        <w:t xml:space="preserve">        （</w:t>
      </w:r>
      <w:r>
        <w:rPr>
          <w:rFonts w:hint="eastAsia" w:ascii="宋体" w:hAnsi="宋体" w:cs="宋体"/>
          <w:color w:val="auto"/>
          <w:highlight w:val="none"/>
        </w:rPr>
        <w:t>姓名）为我公司代理人，以本单位的名义参加</w:t>
      </w:r>
      <w:r>
        <w:rPr>
          <w:rFonts w:hint="eastAsia" w:ascii="宋体" w:hAnsi="宋体" w:cs="宋体"/>
          <w:color w:val="auto"/>
          <w:highlight w:val="none"/>
          <w:u w:val="single"/>
        </w:rPr>
        <w:t>                                              </w:t>
      </w:r>
      <w:r>
        <w:rPr>
          <w:rFonts w:hint="eastAsia" w:ascii="宋体" w:hAnsi="宋体" w:cs="宋体"/>
          <w:color w:val="auto"/>
          <w:highlight w:val="none"/>
        </w:rPr>
        <w:t>（招标人）的</w:t>
      </w:r>
      <w:r>
        <w:rPr>
          <w:rFonts w:hint="eastAsia" w:ascii="宋体" w:hAnsi="宋体" w:cs="宋体"/>
          <w:color w:val="auto"/>
          <w:highlight w:val="none"/>
          <w:u w:val="single"/>
        </w:rPr>
        <w:t xml:space="preserve">                        </w:t>
      </w:r>
      <w:r>
        <w:rPr>
          <w:rFonts w:hint="eastAsia" w:ascii="宋体" w:hAnsi="宋体" w:cs="宋体"/>
          <w:color w:val="auto"/>
          <w:highlight w:val="none"/>
        </w:rPr>
        <w:t>的磋商代理人，在磋商和合同签订过程中所签署的一切文件和处理与之有关的一切事务，我均予以承认。</w:t>
      </w:r>
    </w:p>
    <w:p>
      <w:pPr>
        <w:spacing w:line="360" w:lineRule="auto"/>
        <w:ind w:firstLine="480"/>
        <w:rPr>
          <w:rFonts w:ascii="宋体" w:hAnsi="宋体" w:cs="宋体"/>
          <w:color w:val="auto"/>
          <w:highlight w:val="none"/>
        </w:rPr>
      </w:pPr>
      <w:r>
        <w:rPr>
          <w:rFonts w:hint="eastAsia" w:ascii="宋体" w:hAnsi="宋体" w:cs="宋体"/>
          <w:color w:val="auto"/>
          <w:highlight w:val="none"/>
        </w:rPr>
        <w:t>代理人无转委权。特此委托。</w:t>
      </w:r>
    </w:p>
    <w:p>
      <w:pPr>
        <w:spacing w:line="360" w:lineRule="auto"/>
        <w:ind w:firstLine="480"/>
        <w:rPr>
          <w:rFonts w:ascii="宋体" w:hAnsi="宋体" w:cs="宋体"/>
          <w:color w:val="auto"/>
          <w:highlight w:val="none"/>
        </w:rPr>
      </w:pPr>
      <w:r>
        <w:rPr>
          <w:rFonts w:hint="eastAsia" w:ascii="宋体" w:hAnsi="宋体" w:cs="宋体"/>
          <w:color w:val="auto"/>
          <w:highlight w:val="none"/>
        </w:rPr>
        <w:t xml:space="preserve">代理人（签字或盖章）：            性别：               年龄： </w:t>
      </w:r>
    </w:p>
    <w:p>
      <w:pPr>
        <w:spacing w:line="360" w:lineRule="auto"/>
        <w:rPr>
          <w:rFonts w:ascii="宋体" w:hAnsi="宋体" w:cs="宋体"/>
          <w:color w:val="auto"/>
          <w:highlight w:val="none"/>
        </w:rPr>
      </w:pPr>
    </w:p>
    <w:p>
      <w:pPr>
        <w:spacing w:line="360" w:lineRule="auto"/>
        <w:ind w:firstLine="480"/>
        <w:rPr>
          <w:rFonts w:ascii="宋体" w:hAnsi="宋体" w:cs="宋体"/>
          <w:color w:val="auto"/>
          <w:highlight w:val="none"/>
        </w:rPr>
      </w:pPr>
      <w:r>
        <w:rPr>
          <w:rFonts w:hint="eastAsia" w:ascii="宋体" w:hAnsi="宋体" w:cs="宋体"/>
          <w:color w:val="auto"/>
          <w:highlight w:val="none"/>
        </w:rPr>
        <w:t xml:space="preserve">单位：              部门：               职务： </w:t>
      </w:r>
    </w:p>
    <w:p>
      <w:pPr>
        <w:spacing w:line="360" w:lineRule="auto"/>
        <w:rPr>
          <w:rFonts w:ascii="宋体" w:hAnsi="宋体" w:cs="宋体"/>
          <w:color w:val="auto"/>
          <w:highlight w:val="none"/>
        </w:rPr>
      </w:pPr>
    </w:p>
    <w:p>
      <w:pPr>
        <w:spacing w:line="360" w:lineRule="auto"/>
        <w:ind w:firstLine="480"/>
        <w:rPr>
          <w:rFonts w:ascii="宋体" w:hAnsi="宋体" w:cs="宋体"/>
          <w:color w:val="auto"/>
          <w:highlight w:val="none"/>
        </w:rPr>
      </w:pPr>
      <w:r>
        <w:rPr>
          <w:rFonts w:hint="eastAsia" w:ascii="宋体" w:hAnsi="宋体" w:cs="宋体"/>
          <w:color w:val="auto"/>
          <w:highlight w:val="none"/>
        </w:rPr>
        <w:t>身份证号码：</w:t>
      </w:r>
    </w:p>
    <w:p>
      <w:pPr>
        <w:spacing w:line="360" w:lineRule="auto"/>
        <w:ind w:firstLine="480"/>
        <w:rPr>
          <w:rFonts w:ascii="宋体" w:hAnsi="宋体" w:cs="宋体"/>
          <w:color w:val="auto"/>
          <w:highlight w:val="none"/>
        </w:rPr>
      </w:pPr>
      <w:r>
        <w:rPr>
          <w:rFonts w:hint="eastAsia" w:ascii="宋体" w:hAnsi="宋体" w:cs="宋体"/>
          <w:color w:val="auto"/>
          <w:highlight w:val="none"/>
        </w:rPr>
        <w:t>供应商：（盖章）</w:t>
      </w:r>
    </w:p>
    <w:p>
      <w:pPr>
        <w:spacing w:line="360" w:lineRule="auto"/>
        <w:rPr>
          <w:rFonts w:ascii="宋体" w:hAnsi="宋体" w:cs="宋体"/>
          <w:color w:val="auto"/>
          <w:highlight w:val="none"/>
        </w:rPr>
      </w:pPr>
    </w:p>
    <w:p>
      <w:pPr>
        <w:spacing w:line="360" w:lineRule="auto"/>
        <w:ind w:firstLine="480"/>
        <w:rPr>
          <w:rFonts w:ascii="宋体" w:hAnsi="宋体" w:cs="宋体"/>
          <w:color w:val="auto"/>
          <w:highlight w:val="none"/>
        </w:rPr>
      </w:pPr>
      <w:r>
        <w:rPr>
          <w:rFonts w:hint="eastAsia" w:ascii="宋体" w:hAnsi="宋体" w:cs="宋体"/>
          <w:color w:val="auto"/>
          <w:highlight w:val="none"/>
        </w:rPr>
        <w:t>法定代表人（负责人）：（签字或盖章）</w:t>
      </w: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sz w:val="24"/>
          <w:highlight w:val="none"/>
        </w:rPr>
      </w:pPr>
      <w:r>
        <w:rPr>
          <w:rFonts w:hint="eastAsia" w:ascii="宋体" w:hAnsi="宋体" w:cs="宋体"/>
          <w:color w:val="auto"/>
          <w:highlight w:val="none"/>
        </w:rPr>
        <w:t>日期：      年   月   日</w:t>
      </w:r>
    </w:p>
    <w:p>
      <w:pPr>
        <w:autoSpaceDE w:val="0"/>
        <w:autoSpaceDN w:val="0"/>
        <w:adjustRightInd w:val="0"/>
        <w:rPr>
          <w:rFonts w:ascii="宋体" w:hAnsi="宋体" w:cs="宋体"/>
          <w:color w:val="auto"/>
          <w:kern w:val="0"/>
          <w:sz w:val="24"/>
          <w:highlight w:val="none"/>
        </w:rPr>
      </w:pPr>
    </w:p>
    <w:p>
      <w:pPr>
        <w:autoSpaceDE w:val="0"/>
        <w:autoSpaceDN w:val="0"/>
        <w:adjustRightInd w:val="0"/>
        <w:rPr>
          <w:rFonts w:ascii="宋体" w:hAnsi="宋体" w:cs="宋体"/>
          <w:color w:val="auto"/>
          <w:kern w:val="0"/>
          <w:sz w:val="24"/>
          <w:highlight w:val="none"/>
        </w:rPr>
      </w:pPr>
    </w:p>
    <w:p>
      <w:pPr>
        <w:spacing w:line="360" w:lineRule="auto"/>
        <w:rPr>
          <w:rFonts w:ascii="宋体" w:hAnsi="宋体" w:cs="宋体"/>
          <w:color w:val="auto"/>
          <w:kern w:val="0"/>
          <w:highlight w:val="none"/>
        </w:rPr>
      </w:pPr>
      <w:r>
        <w:rPr>
          <w:rFonts w:hint="eastAsia" w:ascii="宋体" w:hAnsi="宋体" w:cs="宋体"/>
          <w:color w:val="auto"/>
          <w:kern w:val="0"/>
          <w:highlight w:val="none"/>
        </w:rPr>
        <w:t>附：1.</w:t>
      </w:r>
      <w:r>
        <w:rPr>
          <w:rFonts w:hint="eastAsia" w:ascii="宋体" w:hAnsi="宋体" w:cs="宋体"/>
          <w:color w:val="auto"/>
          <w:highlight w:val="none"/>
        </w:rPr>
        <w:t>法定代表人身份证正反面复印件</w:t>
      </w:r>
    </w:p>
    <w:p>
      <w:pPr>
        <w:spacing w:line="360" w:lineRule="auto"/>
        <w:ind w:firstLine="420" w:firstLineChars="200"/>
        <w:rPr>
          <w:rFonts w:ascii="宋体" w:hAnsi="宋体" w:cs="宋体"/>
          <w:color w:val="auto"/>
          <w:highlight w:val="none"/>
        </w:rPr>
      </w:pPr>
      <w:r>
        <w:rPr>
          <w:rFonts w:hint="eastAsia" w:ascii="宋体" w:hAnsi="宋体" w:cs="宋体"/>
          <w:color w:val="auto"/>
          <w:kern w:val="0"/>
          <w:highlight w:val="none"/>
        </w:rPr>
        <w:t>2.被授权人身份证正反面复印件。</w:t>
      </w:r>
    </w:p>
    <w:p>
      <w:pPr>
        <w:spacing w:line="360" w:lineRule="auto"/>
        <w:rPr>
          <w:rFonts w:ascii="宋体" w:hAnsi="宋体" w:cs="宋体"/>
          <w:color w:val="auto"/>
          <w:kern w:val="0"/>
          <w:highlight w:val="none"/>
        </w:rPr>
      </w:pPr>
    </w:p>
    <w:p>
      <w:pPr>
        <w:spacing w:line="360" w:lineRule="auto"/>
        <w:rPr>
          <w:rFonts w:ascii="宋体" w:hAnsi="宋体" w:cs="宋体"/>
          <w:color w:val="auto"/>
          <w:kern w:val="0"/>
          <w:highlight w:val="none"/>
        </w:rPr>
      </w:pPr>
      <w:r>
        <w:rPr>
          <w:rFonts w:hint="eastAsia" w:ascii="宋体" w:hAnsi="宋体" w:cs="宋体"/>
          <w:color w:val="auto"/>
          <w:kern w:val="0"/>
          <w:highlight w:val="none"/>
        </w:rPr>
        <w:t>备注：　</w:t>
      </w:r>
    </w:p>
    <w:p>
      <w:pPr>
        <w:spacing w:line="360" w:lineRule="auto"/>
        <w:ind w:left="780"/>
        <w:rPr>
          <w:rFonts w:ascii="宋体" w:hAnsi="宋体" w:cs="宋体"/>
          <w:color w:val="auto"/>
          <w:kern w:val="0"/>
          <w:highlight w:val="none"/>
        </w:rPr>
      </w:pPr>
      <w:r>
        <w:rPr>
          <w:rFonts w:hint="eastAsia" w:ascii="宋体" w:hAnsi="宋体" w:cs="宋体"/>
          <w:color w:val="auto"/>
          <w:kern w:val="0"/>
          <w:highlight w:val="none"/>
        </w:rPr>
        <w:t>法定代表人（负责人）不能亲自参加开标会议而由被授权人参加的，须附上授权委托书，并提供被授权人的身份证备查。</w:t>
      </w:r>
    </w:p>
    <w:p>
      <w:pPr>
        <w:spacing w:line="400" w:lineRule="exact"/>
        <w:jc w:val="center"/>
        <w:rPr>
          <w:rFonts w:ascii="宋体" w:hAnsi="宋体" w:cs="宋体"/>
          <w:b/>
          <w:bCs/>
          <w:color w:val="auto"/>
          <w:sz w:val="28"/>
          <w:szCs w:val="28"/>
          <w:highlight w:val="none"/>
        </w:rPr>
      </w:pPr>
    </w:p>
    <w:p>
      <w:pPr>
        <w:spacing w:line="400" w:lineRule="exact"/>
        <w:jc w:val="center"/>
        <w:rPr>
          <w:rFonts w:ascii="宋体" w:hAnsi="宋体" w:cs="宋体"/>
          <w:b/>
          <w:bCs/>
          <w:color w:val="auto"/>
          <w:sz w:val="28"/>
          <w:szCs w:val="28"/>
          <w:highlight w:val="none"/>
        </w:rPr>
      </w:pPr>
    </w:p>
    <w:p>
      <w:pPr>
        <w:spacing w:line="360" w:lineRule="auto"/>
        <w:rPr>
          <w:rFonts w:ascii="宋体" w:hAnsi="宋体" w:cs="宋体"/>
          <w:color w:val="auto"/>
          <w:sz w:val="24"/>
          <w:highlight w:val="none"/>
        </w:rPr>
      </w:pPr>
    </w:p>
    <w:p>
      <w:pPr>
        <w:pStyle w:val="12"/>
        <w:spacing w:line="360" w:lineRule="auto"/>
        <w:ind w:firstLine="210" w:firstLineChars="100"/>
        <w:rPr>
          <w:rFonts w:ascii="宋体" w:hAnsi="宋体" w:eastAsia="宋体" w:cs="宋体"/>
          <w:bCs/>
          <w:color w:val="auto"/>
          <w:sz w:val="21"/>
          <w:szCs w:val="21"/>
          <w:highlight w:val="none"/>
        </w:rPr>
        <w:sectPr>
          <w:pgSz w:w="11906" w:h="16838"/>
          <w:pgMar w:top="1134" w:right="851" w:bottom="1134" w:left="1134" w:header="851" w:footer="992" w:gutter="0"/>
          <w:cols w:space="720" w:num="1"/>
          <w:titlePg/>
          <w:docGrid w:type="lines" w:linePitch="312" w:charSpace="0"/>
        </w:sectPr>
      </w:pPr>
    </w:p>
    <w:p>
      <w:pPr>
        <w:pStyle w:val="26"/>
        <w:adjustRightInd w:val="0"/>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桂平市政府采购项目投标资格承诺函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本公司郑重承诺，根据《中华人民共和国政府采购法》第二十二条的规定，本公司为参加政府采购活动的合格供应商。即本公司同时满足以下条件：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1.具有独立承担民事责任的能力。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3.具有履行合同所必需的设备和专业技术能力。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4.有依法缴纳税收和社会保障资金的良好记录。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5. 提交投标文件截止日期前三年内，在经营活动中没有重大违法记录。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本公司对上述承诺的真实性负责，并接受政府采购、税务、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社会保障等监督管理部门、采购文件规定的资格审查机构、社会 </w:t>
      </w:r>
    </w:p>
    <w:p>
      <w:pPr>
        <w:spacing w:line="360" w:lineRule="auto"/>
        <w:rPr>
          <w:rFonts w:ascii="宋体" w:hAnsi="宋体" w:cs="宋体"/>
          <w:color w:val="auto"/>
          <w:sz w:val="24"/>
          <w:highlight w:val="none"/>
        </w:rPr>
      </w:pPr>
      <w:r>
        <w:rPr>
          <w:rFonts w:hint="eastAsia" w:ascii="宋体" w:hAnsi="宋体" w:cs="宋体"/>
          <w:color w:val="auto"/>
          <w:sz w:val="24"/>
          <w:highlight w:val="none"/>
        </w:rPr>
        <w:t>公众的监督和检查。如有虚假，将依法承担相应责任。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pacing w:line="360" w:lineRule="auto"/>
        <w:jc w:val="right"/>
        <w:rPr>
          <w:rFonts w:ascii="宋体" w:hAnsi="宋体" w:cs="宋体"/>
          <w:color w:val="auto"/>
          <w:sz w:val="24"/>
          <w:highlight w:val="none"/>
        </w:rPr>
      </w:pPr>
      <w:r>
        <w:rPr>
          <w:rFonts w:hint="eastAsia" w:ascii="宋体" w:hAnsi="宋体" w:cs="宋体"/>
          <w:color w:val="auto"/>
          <w:sz w:val="24"/>
          <w:highlight w:val="none"/>
        </w:rPr>
        <w:t xml:space="preserve">企业名称（盖章）： </w:t>
      </w:r>
    </w:p>
    <w:p>
      <w:pPr>
        <w:spacing w:line="360" w:lineRule="auto"/>
        <w:jc w:val="right"/>
        <w:rPr>
          <w:rFonts w:ascii="宋体" w:hAnsi="宋体" w:cs="宋体"/>
          <w:color w:val="auto"/>
          <w:sz w:val="24"/>
          <w:highlight w:val="none"/>
        </w:rPr>
      </w:pPr>
      <w:r>
        <w:rPr>
          <w:rFonts w:hint="eastAsia" w:ascii="宋体" w:hAnsi="宋体" w:cs="宋体"/>
          <w:color w:val="auto"/>
          <w:sz w:val="24"/>
          <w:highlight w:val="none"/>
        </w:rPr>
        <w:t xml:space="preserve">法定代表人（签名）： </w:t>
      </w:r>
    </w:p>
    <w:p>
      <w:pPr>
        <w:spacing w:line="360" w:lineRule="auto"/>
        <w:jc w:val="center"/>
        <w:rPr>
          <w:rFonts w:ascii="宋体" w:hAnsi="宋体" w:cs="宋体"/>
          <w:color w:val="auto"/>
          <w:sz w:val="24"/>
          <w:highlight w:val="none"/>
        </w:rPr>
        <w:sectPr>
          <w:footerReference r:id="rId6" w:type="default"/>
          <w:pgSz w:w="11906" w:h="16838"/>
          <w:pgMar w:top="1134" w:right="851" w:bottom="1134" w:left="1134" w:header="851" w:footer="992" w:gutter="0"/>
          <w:cols w:space="720" w:num="1"/>
          <w:titlePg/>
          <w:docGrid w:type="lines" w:linePitch="312" w:charSpace="0"/>
        </w:sectPr>
      </w:pPr>
      <w:r>
        <w:rPr>
          <w:rFonts w:hint="eastAsia" w:ascii="宋体" w:hAnsi="宋体" w:cs="宋体"/>
          <w:color w:val="auto"/>
          <w:sz w:val="24"/>
          <w:highlight w:val="none"/>
        </w:rPr>
        <w:t xml:space="preserve">                                                           日期： 年 月 日</w:t>
      </w:r>
    </w:p>
    <w:p>
      <w:pPr>
        <w:pStyle w:val="5"/>
        <w:jc w:val="center"/>
        <w:rPr>
          <w:rFonts w:ascii="宋体" w:hAnsi="宋体" w:cs="宋体"/>
          <w:b w:val="0"/>
          <w:color w:val="auto"/>
          <w:sz w:val="28"/>
          <w:szCs w:val="28"/>
          <w:highlight w:val="none"/>
        </w:rPr>
      </w:pPr>
      <w:bookmarkStart w:id="92" w:name="_Toc420669742"/>
      <w:bookmarkStart w:id="93" w:name="_Toc393367240"/>
      <w:r>
        <w:rPr>
          <w:rFonts w:hint="eastAsia" w:ascii="宋体" w:hAnsi="宋体" w:cs="宋体"/>
          <w:b w:val="0"/>
          <w:color w:val="auto"/>
          <w:sz w:val="28"/>
          <w:szCs w:val="28"/>
          <w:highlight w:val="none"/>
          <w:lang w:eastAsia="zh-CN"/>
        </w:rPr>
        <w:t>三</w:t>
      </w:r>
      <w:r>
        <w:rPr>
          <w:rFonts w:hint="eastAsia" w:ascii="宋体" w:hAnsi="宋体" w:cs="宋体"/>
          <w:b w:val="0"/>
          <w:color w:val="auto"/>
          <w:sz w:val="28"/>
          <w:szCs w:val="28"/>
          <w:highlight w:val="none"/>
        </w:rPr>
        <w:t>、</w:t>
      </w:r>
      <w:r>
        <w:rPr>
          <w:rFonts w:hint="eastAsia" w:ascii="宋体" w:hAnsi="宋体" w:cs="宋体"/>
          <w:b/>
          <w:color w:val="auto"/>
          <w:sz w:val="28"/>
          <w:szCs w:val="28"/>
          <w:highlight w:val="none"/>
        </w:rPr>
        <w:t>商务和技术文件</w:t>
      </w:r>
    </w:p>
    <w:bookmarkEnd w:id="92"/>
    <w:bookmarkEnd w:id="93"/>
    <w:p>
      <w:pPr>
        <w:autoSpaceDE w:val="0"/>
        <w:autoSpaceDN w:val="0"/>
        <w:adjustRightInd w:val="0"/>
        <w:spacing w:line="360" w:lineRule="auto"/>
        <w:jc w:val="left"/>
        <w:rPr>
          <w:rFonts w:ascii="宋体" w:hAnsi="宋体" w:cs="宋体"/>
          <w:color w:val="auto"/>
          <w:szCs w:val="21"/>
          <w:highlight w:val="none"/>
        </w:rPr>
      </w:pPr>
      <w:bookmarkStart w:id="94" w:name="_Toc393367241"/>
      <w:bookmarkStart w:id="95" w:name="_Toc420669743"/>
      <w:r>
        <w:rPr>
          <w:rFonts w:hint="eastAsia" w:ascii="宋体" w:hAnsi="宋体" w:cs="宋体"/>
          <w:color w:val="auto"/>
          <w:szCs w:val="21"/>
          <w:highlight w:val="none"/>
        </w:rPr>
        <w:t>（1）企业情况；</w:t>
      </w:r>
    </w:p>
    <w:p>
      <w:pPr>
        <w:autoSpaceDE w:val="0"/>
        <w:autoSpaceDN w:val="0"/>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（2）切实可行的服务方案</w:t>
      </w:r>
      <w:r>
        <w:rPr>
          <w:rFonts w:hint="eastAsia" w:ascii="宋体" w:hAnsi="宋体" w:cs="宋体"/>
          <w:color w:val="auto"/>
          <w:kern w:val="0"/>
          <w:szCs w:val="21"/>
          <w:highlight w:val="none"/>
        </w:rPr>
        <w:t>（</w:t>
      </w:r>
      <w:r>
        <w:rPr>
          <w:rFonts w:hint="eastAsia" w:ascii="宋体" w:hAnsi="宋体" w:cs="宋体"/>
          <w:color w:val="auto"/>
          <w:szCs w:val="21"/>
          <w:highlight w:val="none"/>
        </w:rPr>
        <w:t>格式自拟</w:t>
      </w:r>
      <w:r>
        <w:rPr>
          <w:rFonts w:hint="eastAsia" w:ascii="宋体" w:hAnsi="宋体" w:cs="宋体"/>
          <w:color w:val="auto"/>
          <w:kern w:val="0"/>
          <w:szCs w:val="21"/>
          <w:highlight w:val="none"/>
        </w:rPr>
        <w:t>）</w:t>
      </w:r>
      <w:r>
        <w:rPr>
          <w:rFonts w:hint="eastAsia" w:ascii="宋体" w:hAnsi="宋体" w:cs="宋体"/>
          <w:color w:val="auto"/>
          <w:szCs w:val="21"/>
          <w:highlight w:val="none"/>
        </w:rPr>
        <w:t>；</w:t>
      </w:r>
    </w:p>
    <w:p>
      <w:pPr>
        <w:autoSpaceDE w:val="0"/>
        <w:autoSpaceDN w:val="0"/>
        <w:adjustRightInd w:val="0"/>
        <w:spacing w:line="360" w:lineRule="auto"/>
        <w:jc w:val="left"/>
        <w:rPr>
          <w:rFonts w:ascii="宋体" w:hAnsi="宋体" w:cs="宋体"/>
          <w:b/>
          <w:bCs/>
          <w:color w:val="auto"/>
          <w:szCs w:val="21"/>
          <w:highlight w:val="none"/>
        </w:rPr>
      </w:pPr>
      <w:r>
        <w:rPr>
          <w:rFonts w:hint="eastAsia" w:ascii="宋体" w:hAnsi="宋体" w:cs="宋体"/>
          <w:color w:val="auto"/>
          <w:szCs w:val="21"/>
          <w:highlight w:val="none"/>
        </w:rPr>
        <w:t>（3）服务承诺书</w:t>
      </w:r>
      <w:r>
        <w:rPr>
          <w:rFonts w:hint="eastAsia" w:ascii="宋体" w:hAnsi="宋体" w:cs="宋体"/>
          <w:color w:val="auto"/>
          <w:kern w:val="0"/>
          <w:szCs w:val="21"/>
          <w:highlight w:val="none"/>
        </w:rPr>
        <w:t>（</w:t>
      </w:r>
      <w:r>
        <w:rPr>
          <w:rFonts w:hint="eastAsia" w:ascii="宋体" w:hAnsi="宋体" w:cs="宋体"/>
          <w:color w:val="auto"/>
          <w:szCs w:val="21"/>
          <w:highlight w:val="none"/>
        </w:rPr>
        <w:t>格式自拟</w:t>
      </w:r>
      <w:r>
        <w:rPr>
          <w:rFonts w:hint="eastAsia" w:ascii="宋体" w:hAnsi="宋体" w:cs="宋体"/>
          <w:color w:val="auto"/>
          <w:kern w:val="0"/>
          <w:szCs w:val="21"/>
          <w:highlight w:val="none"/>
        </w:rPr>
        <w:t>）</w:t>
      </w:r>
      <w:r>
        <w:rPr>
          <w:rFonts w:hint="eastAsia" w:ascii="宋体" w:hAnsi="宋体" w:cs="宋体"/>
          <w:color w:val="auto"/>
          <w:szCs w:val="21"/>
          <w:highlight w:val="none"/>
        </w:rPr>
        <w:t>；</w:t>
      </w:r>
    </w:p>
    <w:p>
      <w:pPr>
        <w:autoSpaceDE w:val="0"/>
        <w:autoSpaceDN w:val="0"/>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（4）技术响应表</w:t>
      </w:r>
      <w:r>
        <w:rPr>
          <w:rFonts w:hint="eastAsia" w:ascii="宋体" w:hAnsi="宋体"/>
          <w:color w:val="auto"/>
          <w:szCs w:val="21"/>
          <w:highlight w:val="none"/>
        </w:rPr>
        <w:t>；</w:t>
      </w:r>
      <w:r>
        <w:rPr>
          <w:rFonts w:hint="eastAsia" w:ascii="宋体" w:hAnsi="宋体" w:cs="宋体"/>
          <w:b/>
          <w:bCs/>
          <w:color w:val="auto"/>
          <w:szCs w:val="21"/>
          <w:highlight w:val="none"/>
        </w:rPr>
        <w:t>（必须提供，加盖公章）</w:t>
      </w:r>
    </w:p>
    <w:p>
      <w:pPr>
        <w:autoSpaceDE w:val="0"/>
        <w:autoSpaceDN w:val="0"/>
        <w:adjustRightIn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（5）</w:t>
      </w:r>
      <w:r>
        <w:rPr>
          <w:rFonts w:hint="eastAsia" w:hAnsi="宋体" w:cs="宋体"/>
          <w:b w:val="0"/>
          <w:color w:val="auto"/>
          <w:kern w:val="2"/>
          <w:sz w:val="21"/>
          <w:szCs w:val="21"/>
          <w:highlight w:val="none"/>
        </w:rPr>
        <w:t>商务响应表（格式见附件）；（必须提供，加盖公章）</w:t>
      </w:r>
    </w:p>
    <w:p>
      <w:pPr>
        <w:autoSpaceDE w:val="0"/>
        <w:autoSpaceDN w:val="0"/>
        <w:adjustRightIn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）拟投入项目实施人员情况一览表（必须提供，</w:t>
      </w:r>
      <w:r>
        <w:rPr>
          <w:rFonts w:hint="eastAsia" w:hAnsi="宋体" w:cs="宋体"/>
          <w:b w:val="0"/>
          <w:color w:val="auto"/>
          <w:kern w:val="2"/>
          <w:sz w:val="21"/>
          <w:szCs w:val="21"/>
          <w:highlight w:val="none"/>
        </w:rPr>
        <w:t>加盖公章</w:t>
      </w:r>
      <w:r>
        <w:rPr>
          <w:rFonts w:hint="eastAsia" w:ascii="宋体" w:hAnsi="宋体" w:cs="宋体"/>
          <w:color w:val="auto"/>
          <w:szCs w:val="21"/>
          <w:highlight w:val="none"/>
        </w:rPr>
        <w:t>）</w:t>
      </w:r>
    </w:p>
    <w:p>
      <w:pPr>
        <w:autoSpaceDE w:val="0"/>
        <w:autoSpaceDN w:val="0"/>
        <w:adjustRightIn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）竞标人认为有必要提供的其它文件及资料。</w:t>
      </w:r>
    </w:p>
    <w:p>
      <w:pPr>
        <w:pStyle w:val="5"/>
        <w:jc w:val="center"/>
        <w:rPr>
          <w:rFonts w:ascii="宋体" w:hAnsi="宋体" w:cs="宋体"/>
          <w:color w:val="auto"/>
          <w:sz w:val="24"/>
          <w:highlight w:val="none"/>
        </w:rPr>
      </w:pPr>
    </w:p>
    <w:p>
      <w:pPr>
        <w:pStyle w:val="5"/>
        <w:jc w:val="center"/>
        <w:rPr>
          <w:rFonts w:hint="eastAsia" w:ascii="宋体" w:hAnsi="宋体" w:cs="宋体"/>
          <w:color w:val="auto"/>
          <w:sz w:val="24"/>
          <w:highlight w:val="none"/>
        </w:rPr>
      </w:pPr>
    </w:p>
    <w:p>
      <w:pPr>
        <w:pStyle w:val="5"/>
        <w:jc w:val="center"/>
        <w:rPr>
          <w:rFonts w:hint="eastAsia" w:ascii="宋体" w:hAnsi="宋体" w:cs="宋体"/>
          <w:color w:val="auto"/>
          <w:sz w:val="24"/>
          <w:highlight w:val="none"/>
        </w:rPr>
      </w:pPr>
    </w:p>
    <w:p>
      <w:pPr>
        <w:pStyle w:val="5"/>
        <w:jc w:val="center"/>
        <w:rPr>
          <w:rFonts w:hint="eastAsia" w:ascii="宋体" w:hAnsi="宋体" w:cs="宋体"/>
          <w:color w:val="auto"/>
          <w:sz w:val="24"/>
          <w:highlight w:val="none"/>
        </w:rPr>
      </w:pPr>
    </w:p>
    <w:p>
      <w:pPr>
        <w:pStyle w:val="5"/>
        <w:jc w:val="center"/>
        <w:rPr>
          <w:rFonts w:hint="eastAsia" w:ascii="宋体" w:hAnsi="宋体" w:cs="宋体"/>
          <w:color w:val="auto"/>
          <w:sz w:val="24"/>
          <w:highlight w:val="none"/>
        </w:rPr>
        <w:sectPr>
          <w:pgSz w:w="11906" w:h="16838"/>
          <w:pgMar w:top="1134" w:right="851" w:bottom="1134" w:left="1134" w:header="851" w:footer="992" w:gutter="0"/>
          <w:cols w:space="720" w:num="1"/>
          <w:titlePg/>
          <w:docGrid w:type="lines" w:linePitch="312" w:charSpace="0"/>
        </w:sectPr>
      </w:pPr>
    </w:p>
    <w:p>
      <w:pPr>
        <w:pStyle w:val="5"/>
        <w:jc w:val="center"/>
        <w:rPr>
          <w:rFonts w:ascii="宋体" w:hAnsi="宋体" w:cs="宋体"/>
          <w:color w:val="auto"/>
          <w:sz w:val="24"/>
          <w:highlight w:val="none"/>
        </w:rPr>
      </w:pPr>
      <w:r>
        <w:rPr>
          <w:rFonts w:hint="eastAsia" w:ascii="宋体" w:hAnsi="宋体" w:cs="宋体"/>
          <w:color w:val="auto"/>
          <w:sz w:val="24"/>
          <w:highlight w:val="none"/>
        </w:rPr>
        <w:t>1、</w:t>
      </w:r>
      <w:bookmarkEnd w:id="94"/>
      <w:r>
        <w:rPr>
          <w:rFonts w:hint="eastAsia" w:ascii="宋体" w:hAnsi="宋体" w:cs="宋体"/>
          <w:color w:val="auto"/>
          <w:sz w:val="24"/>
          <w:highlight w:val="none"/>
        </w:rPr>
        <w:t>企业情况（格式自拟）；</w:t>
      </w:r>
      <w:bookmarkEnd w:id="95"/>
    </w:p>
    <w:p>
      <w:pPr>
        <w:rPr>
          <w:rFonts w:ascii="宋体" w:hAnsi="宋体" w:cs="宋体"/>
          <w:color w:val="auto"/>
          <w:highlight w:val="none"/>
        </w:rPr>
      </w:pPr>
    </w:p>
    <w:p>
      <w:pPr>
        <w:ind w:left="720"/>
        <w:rPr>
          <w:rFonts w:ascii="宋体" w:hAnsi="宋体" w:cs="宋体"/>
          <w:color w:val="auto"/>
          <w:sz w:val="32"/>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pStyle w:val="14"/>
        <w:spacing w:line="500" w:lineRule="exact"/>
        <w:rPr>
          <w:rFonts w:hAnsi="宋体" w:cs="宋体"/>
          <w:color w:val="auto"/>
          <w:highlight w:val="none"/>
          <w:u w:val="single"/>
        </w:rPr>
      </w:pPr>
      <w:r>
        <w:rPr>
          <w:rFonts w:hint="eastAsia" w:hAnsi="宋体" w:cs="宋体"/>
          <w:color w:val="auto"/>
          <w:highlight w:val="none"/>
        </w:rPr>
        <w:t>磋商供应商名称（签章）：</w:t>
      </w:r>
      <w:r>
        <w:rPr>
          <w:rFonts w:hint="eastAsia" w:hAnsi="宋体" w:cs="宋体"/>
          <w:color w:val="auto"/>
          <w:highlight w:val="none"/>
          <w:u w:val="single"/>
        </w:rPr>
        <w:t xml:space="preserve">                              </w:t>
      </w:r>
    </w:p>
    <w:p>
      <w:pPr>
        <w:pStyle w:val="14"/>
        <w:spacing w:line="500" w:lineRule="exact"/>
        <w:rPr>
          <w:rFonts w:hAnsi="宋体" w:cs="宋体"/>
          <w:color w:val="auto"/>
          <w:highlight w:val="none"/>
          <w:u w:val="single"/>
        </w:rPr>
      </w:pPr>
      <w:r>
        <w:rPr>
          <w:rFonts w:hint="eastAsia" w:hAnsi="宋体" w:cs="宋体"/>
          <w:color w:val="auto"/>
          <w:highlight w:val="none"/>
        </w:rPr>
        <w:t>法定代表人（负责人） 或法定代表人（负责人） 授权代表（签字）:</w:t>
      </w:r>
      <w:r>
        <w:rPr>
          <w:rFonts w:hint="eastAsia" w:hAnsi="宋体" w:cs="宋体"/>
          <w:color w:val="auto"/>
          <w:highlight w:val="none"/>
          <w:u w:val="single"/>
        </w:rPr>
        <w:t xml:space="preserve">              </w:t>
      </w:r>
    </w:p>
    <w:p>
      <w:pPr>
        <w:spacing w:line="360" w:lineRule="auto"/>
        <w:rPr>
          <w:rFonts w:ascii="宋体" w:hAnsi="宋体" w:cs="宋体"/>
          <w:color w:val="auto"/>
          <w:highlight w:val="none"/>
        </w:rPr>
      </w:pPr>
      <w:r>
        <w:rPr>
          <w:rFonts w:hint="eastAsia" w:ascii="宋体" w:hAnsi="宋体" w:cs="宋体"/>
          <w:color w:val="auto"/>
          <w:szCs w:val="21"/>
          <w:highlight w:val="none"/>
        </w:rPr>
        <w:t>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sz w:val="32"/>
          <w:highlight w:val="none"/>
        </w:rPr>
      </w:pPr>
    </w:p>
    <w:p>
      <w:pPr>
        <w:pStyle w:val="5"/>
        <w:jc w:val="center"/>
        <w:rPr>
          <w:rFonts w:ascii="宋体" w:hAnsi="宋体" w:cs="宋体"/>
          <w:color w:val="auto"/>
          <w:sz w:val="24"/>
          <w:highlight w:val="none"/>
        </w:rPr>
      </w:pPr>
      <w:bookmarkStart w:id="96" w:name="_Toc420669746"/>
      <w:r>
        <w:rPr>
          <w:rFonts w:hint="eastAsia" w:ascii="宋体" w:hAnsi="宋体" w:cs="宋体"/>
          <w:color w:val="auto"/>
          <w:sz w:val="24"/>
          <w:highlight w:val="none"/>
        </w:rPr>
        <w:t>2、切实可行的服务方案（格式自拟）；</w:t>
      </w:r>
    </w:p>
    <w:p>
      <w:pPr>
        <w:pStyle w:val="5"/>
        <w:jc w:val="center"/>
        <w:rPr>
          <w:rFonts w:ascii="宋体" w:hAnsi="宋体" w:cs="宋体"/>
          <w:color w:val="auto"/>
          <w:sz w:val="24"/>
          <w:highlight w:val="none"/>
        </w:rPr>
      </w:pPr>
    </w:p>
    <w:p>
      <w:pPr>
        <w:pStyle w:val="5"/>
        <w:jc w:val="center"/>
        <w:rPr>
          <w:rFonts w:ascii="宋体" w:hAnsi="宋体" w:cs="宋体"/>
          <w:color w:val="auto"/>
          <w:sz w:val="24"/>
          <w:highlight w:val="none"/>
        </w:rPr>
      </w:pPr>
    </w:p>
    <w:p>
      <w:pPr>
        <w:pStyle w:val="5"/>
        <w:jc w:val="center"/>
        <w:rPr>
          <w:rFonts w:ascii="宋体" w:hAnsi="宋体" w:cs="宋体"/>
          <w:color w:val="auto"/>
          <w:sz w:val="24"/>
          <w:highlight w:val="none"/>
        </w:rPr>
      </w:pPr>
    </w:p>
    <w:p>
      <w:pPr>
        <w:pStyle w:val="5"/>
        <w:jc w:val="center"/>
        <w:rPr>
          <w:rFonts w:ascii="宋体" w:hAnsi="宋体" w:cs="宋体"/>
          <w:color w:val="auto"/>
          <w:sz w:val="24"/>
          <w:highlight w:val="none"/>
        </w:rPr>
      </w:pPr>
    </w:p>
    <w:p>
      <w:pPr>
        <w:pStyle w:val="5"/>
        <w:jc w:val="center"/>
        <w:rPr>
          <w:rFonts w:ascii="宋体" w:hAnsi="宋体" w:cs="宋体"/>
          <w:color w:val="auto"/>
          <w:sz w:val="24"/>
          <w:highlight w:val="none"/>
        </w:rPr>
      </w:pPr>
      <w:r>
        <w:rPr>
          <w:rFonts w:hint="eastAsia" w:ascii="宋体" w:hAnsi="宋体" w:cs="宋体"/>
          <w:color w:val="auto"/>
          <w:sz w:val="24"/>
          <w:highlight w:val="none"/>
        </w:rPr>
        <w:t>3、服务承诺书（格式自拟）；</w:t>
      </w:r>
      <w:bookmarkEnd w:id="96"/>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ind w:firstLine="525" w:firstLineChars="250"/>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pStyle w:val="14"/>
        <w:spacing w:line="500" w:lineRule="exact"/>
        <w:rPr>
          <w:rFonts w:hAnsi="宋体" w:cs="宋体"/>
          <w:color w:val="auto"/>
          <w:highlight w:val="none"/>
          <w:u w:val="single"/>
        </w:rPr>
      </w:pPr>
      <w:r>
        <w:rPr>
          <w:rFonts w:hint="eastAsia" w:hAnsi="宋体" w:cs="宋体"/>
          <w:color w:val="auto"/>
          <w:highlight w:val="none"/>
        </w:rPr>
        <w:t>磋商供应商名称（签章）：</w:t>
      </w:r>
      <w:r>
        <w:rPr>
          <w:rFonts w:hint="eastAsia" w:hAnsi="宋体" w:cs="宋体"/>
          <w:color w:val="auto"/>
          <w:highlight w:val="none"/>
          <w:u w:val="single"/>
        </w:rPr>
        <w:t xml:space="preserve">                              </w:t>
      </w:r>
    </w:p>
    <w:p>
      <w:pPr>
        <w:pStyle w:val="14"/>
        <w:spacing w:line="500" w:lineRule="exact"/>
        <w:rPr>
          <w:rFonts w:hAnsi="宋体" w:cs="宋体"/>
          <w:color w:val="auto"/>
          <w:highlight w:val="none"/>
          <w:u w:val="single"/>
        </w:rPr>
      </w:pPr>
      <w:r>
        <w:rPr>
          <w:rFonts w:hint="eastAsia" w:hAnsi="宋体" w:cs="宋体"/>
          <w:color w:val="auto"/>
          <w:highlight w:val="none"/>
        </w:rPr>
        <w:t>法定代表人（负责人） 或法定代表人（负责人） 授权代表（签字）:</w:t>
      </w:r>
      <w:r>
        <w:rPr>
          <w:rFonts w:hint="eastAsia" w:hAnsi="宋体" w:cs="宋体"/>
          <w:color w:val="auto"/>
          <w:highlight w:val="none"/>
          <w:u w:val="single"/>
        </w:rPr>
        <w:t xml:space="preserve">              </w:t>
      </w:r>
    </w:p>
    <w:p>
      <w:pPr>
        <w:spacing w:line="360" w:lineRule="auto"/>
        <w:rPr>
          <w:rFonts w:ascii="宋体" w:hAnsi="宋体" w:cs="宋体"/>
          <w:color w:val="auto"/>
          <w:highlight w:val="none"/>
        </w:rPr>
      </w:pPr>
      <w:r>
        <w:rPr>
          <w:rFonts w:hint="eastAsia" w:ascii="宋体" w:hAnsi="宋体" w:cs="宋体"/>
          <w:color w:val="auto"/>
          <w:szCs w:val="21"/>
          <w:highlight w:val="none"/>
        </w:rPr>
        <w:t>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rPr>
          <w:rFonts w:ascii="宋体" w:hAnsi="宋体" w:cs="宋体"/>
          <w:color w:val="auto"/>
          <w:highlight w:val="none"/>
        </w:rPr>
      </w:pPr>
    </w:p>
    <w:p>
      <w:pPr>
        <w:rPr>
          <w:rFonts w:ascii="宋体" w:hAnsi="宋体" w:cs="宋体"/>
          <w:color w:val="auto"/>
          <w:highlight w:val="none"/>
        </w:rPr>
      </w:pPr>
    </w:p>
    <w:p>
      <w:pPr>
        <w:pStyle w:val="5"/>
        <w:jc w:val="center"/>
        <w:rPr>
          <w:rFonts w:ascii="宋体" w:hAnsi="宋体" w:cs="宋体"/>
          <w:color w:val="auto"/>
          <w:sz w:val="24"/>
          <w:highlight w:val="none"/>
        </w:rPr>
        <w:sectPr>
          <w:pgSz w:w="11906" w:h="16838"/>
          <w:pgMar w:top="1134" w:right="851" w:bottom="1134" w:left="1134" w:header="851" w:footer="992" w:gutter="0"/>
          <w:cols w:space="720" w:num="1"/>
          <w:titlePg/>
          <w:docGrid w:type="lines" w:linePitch="312" w:charSpace="0"/>
        </w:sectPr>
      </w:pPr>
      <w:bookmarkStart w:id="97" w:name="_Toc350457329"/>
      <w:bookmarkStart w:id="98" w:name="_Toc351991539"/>
      <w:bookmarkStart w:id="99" w:name="_Toc420669747"/>
      <w:bookmarkStart w:id="100" w:name="_Toc393367242"/>
    </w:p>
    <w:p>
      <w:pPr>
        <w:spacing w:before="61"/>
        <w:ind w:left="595" w:right="1433"/>
        <w:jc w:val="center"/>
        <w:rPr>
          <w:rFonts w:ascii="宋体" w:hAnsi="宋体" w:cs="宋体"/>
          <w:b/>
          <w:bCs/>
          <w:color w:val="auto"/>
          <w:sz w:val="24"/>
          <w:szCs w:val="32"/>
          <w:highlight w:val="none"/>
        </w:rPr>
      </w:pPr>
      <w:r>
        <w:rPr>
          <w:rFonts w:hint="eastAsia" w:ascii="宋体" w:hAnsi="宋体" w:cs="宋体"/>
          <w:b/>
          <w:bCs/>
          <w:color w:val="auto"/>
          <w:sz w:val="24"/>
          <w:szCs w:val="32"/>
          <w:highlight w:val="none"/>
        </w:rPr>
        <w:t>4技术响应表</w:t>
      </w:r>
    </w:p>
    <w:p>
      <w:pPr>
        <w:pStyle w:val="11"/>
        <w:spacing w:before="11"/>
        <w:rPr>
          <w:rFonts w:ascii="宋体" w:hAnsi="宋体" w:cs="宋体"/>
          <w:color w:val="auto"/>
          <w:highlight w:val="none"/>
        </w:rPr>
      </w:pPr>
    </w:p>
    <w:p>
      <w:pPr>
        <w:pStyle w:val="11"/>
        <w:spacing w:before="11"/>
        <w:rPr>
          <w:rFonts w:ascii="宋体" w:hAnsi="宋体" w:cs="宋体"/>
          <w:color w:val="auto"/>
          <w:highlight w:val="none"/>
        </w:rPr>
      </w:pPr>
    </w:p>
    <w:p>
      <w:pPr>
        <w:pStyle w:val="11"/>
        <w:spacing w:before="11"/>
        <w:rPr>
          <w:rFonts w:ascii="宋体" w:hAnsi="宋体" w:cs="宋体"/>
          <w:color w:val="auto"/>
          <w:highlight w:val="none"/>
        </w:rPr>
      </w:pPr>
      <w:r>
        <w:rPr>
          <w:rFonts w:hint="eastAsia" w:ascii="宋体" w:hAnsi="宋体" w:cs="宋体"/>
          <w:color w:val="auto"/>
          <w:highlight w:val="none"/>
        </w:rPr>
        <w:t>项目名称：</w:t>
      </w:r>
    </w:p>
    <w:p>
      <w:pPr>
        <w:pStyle w:val="11"/>
        <w:spacing w:before="11"/>
        <w:rPr>
          <w:rFonts w:ascii="宋体" w:hAnsi="宋体" w:cs="宋体"/>
          <w:color w:val="auto"/>
          <w:highlight w:val="none"/>
        </w:rPr>
      </w:pPr>
      <w:r>
        <w:rPr>
          <w:rFonts w:hint="eastAsia" w:ascii="宋体" w:hAnsi="宋体" w:cs="宋体"/>
          <w:color w:val="auto"/>
          <w:highlight w:val="none"/>
        </w:rPr>
        <w:t>项目编号</w:t>
      </w:r>
    </w:p>
    <w:tbl>
      <w:tblPr>
        <w:tblStyle w:val="3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57"/>
        <w:gridCol w:w="2125"/>
        <w:gridCol w:w="1340"/>
        <w:gridCol w:w="3246"/>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pStyle w:val="14"/>
              <w:jc w:val="center"/>
              <w:rPr>
                <w:rFonts w:hAnsi="宋体"/>
                <w:color w:val="auto"/>
                <w:spacing w:val="-20"/>
                <w:sz w:val="24"/>
                <w:szCs w:val="24"/>
                <w:highlight w:val="none"/>
              </w:rPr>
            </w:pPr>
            <w:r>
              <w:rPr>
                <w:rFonts w:hint="eastAsia" w:hAnsi="宋体"/>
                <w:color w:val="auto"/>
                <w:spacing w:val="-20"/>
                <w:sz w:val="24"/>
                <w:szCs w:val="24"/>
                <w:highlight w:val="none"/>
              </w:rPr>
              <w:t>项号</w:t>
            </w:r>
          </w:p>
        </w:tc>
        <w:tc>
          <w:tcPr>
            <w:tcW w:w="33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rPr>
              <w:t>竞争性磋商文件需求</w:t>
            </w:r>
          </w:p>
        </w:tc>
        <w:tc>
          <w:tcPr>
            <w:tcW w:w="45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rPr>
              <w:t>响应文件承诺</w:t>
            </w:r>
          </w:p>
        </w:tc>
        <w:tc>
          <w:tcPr>
            <w:tcW w:w="11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pacing w:val="-20"/>
                <w:sz w:val="24"/>
                <w:highlight w:val="none"/>
              </w:rPr>
            </w:pP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rPr>
              <w:t>服务名称</w:t>
            </w:r>
          </w:p>
        </w:tc>
        <w:tc>
          <w:tcPr>
            <w:tcW w:w="21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rPr>
              <w:t>服务内容及要求</w:t>
            </w: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rPr>
              <w:t>服务名称</w:t>
            </w:r>
          </w:p>
        </w:tc>
        <w:tc>
          <w:tcPr>
            <w:tcW w:w="3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highlight w:val="none"/>
              </w:rPr>
            </w:pPr>
            <w:r>
              <w:rPr>
                <w:rFonts w:hint="eastAsia" w:ascii="宋体" w:hAnsi="宋体"/>
                <w:color w:val="auto"/>
                <w:sz w:val="24"/>
                <w:highlight w:val="none"/>
              </w:rPr>
              <w:t>所提供服务的内容</w:t>
            </w: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pStyle w:val="14"/>
              <w:jc w:val="center"/>
              <w:rPr>
                <w:rFonts w:hAnsi="宋体"/>
                <w:color w:val="auto"/>
                <w:spacing w:val="-20"/>
                <w:sz w:val="24"/>
                <w:szCs w:val="24"/>
                <w:highlight w:val="none"/>
              </w:rPr>
            </w:pPr>
            <w:r>
              <w:rPr>
                <w:rFonts w:hint="eastAsia" w:hAnsi="宋体"/>
                <w:color w:val="auto"/>
                <w:spacing w:val="-20"/>
                <w:sz w:val="24"/>
                <w:szCs w:val="24"/>
                <w:highlight w:val="none"/>
              </w:rPr>
              <w:t>1</w:t>
            </w:r>
          </w:p>
        </w:tc>
        <w:tc>
          <w:tcPr>
            <w:tcW w:w="1257"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olor w:val="auto"/>
                <w:sz w:val="24"/>
                <w:szCs w:val="24"/>
                <w:highlight w:val="none"/>
              </w:rPr>
            </w:pPr>
          </w:p>
        </w:tc>
        <w:tc>
          <w:tcPr>
            <w:tcW w:w="2125"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olor w:val="auto"/>
                <w:sz w:val="24"/>
                <w:szCs w:val="24"/>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olor w:val="auto"/>
                <w:sz w:val="24"/>
                <w:szCs w:val="24"/>
                <w:highlight w:val="none"/>
              </w:rPr>
            </w:pPr>
          </w:p>
        </w:tc>
        <w:tc>
          <w:tcPr>
            <w:tcW w:w="3246"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olor w:val="auto"/>
                <w:sz w:val="24"/>
                <w:szCs w:val="24"/>
                <w:highlight w:val="none"/>
              </w:rPr>
            </w:pPr>
          </w:p>
        </w:tc>
        <w:tc>
          <w:tcPr>
            <w:tcW w:w="1151"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pStyle w:val="14"/>
              <w:jc w:val="center"/>
              <w:rPr>
                <w:rFonts w:hAnsi="宋体"/>
                <w:color w:val="auto"/>
                <w:spacing w:val="-20"/>
                <w:sz w:val="24"/>
                <w:szCs w:val="24"/>
                <w:highlight w:val="none"/>
              </w:rPr>
            </w:pPr>
            <w:r>
              <w:rPr>
                <w:rFonts w:hint="eastAsia" w:hAnsi="宋体"/>
                <w:color w:val="auto"/>
                <w:spacing w:val="-20"/>
                <w:sz w:val="24"/>
                <w:szCs w:val="24"/>
                <w:highlight w:val="none"/>
              </w:rPr>
              <w:t>2</w:t>
            </w:r>
          </w:p>
        </w:tc>
        <w:tc>
          <w:tcPr>
            <w:tcW w:w="1257"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olor w:val="auto"/>
                <w:sz w:val="24"/>
                <w:szCs w:val="24"/>
                <w:highlight w:val="none"/>
              </w:rPr>
            </w:pPr>
          </w:p>
        </w:tc>
        <w:tc>
          <w:tcPr>
            <w:tcW w:w="2125"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olor w:val="auto"/>
                <w:sz w:val="24"/>
                <w:szCs w:val="24"/>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olor w:val="auto"/>
                <w:sz w:val="24"/>
                <w:szCs w:val="24"/>
                <w:highlight w:val="none"/>
              </w:rPr>
            </w:pPr>
          </w:p>
        </w:tc>
        <w:tc>
          <w:tcPr>
            <w:tcW w:w="3246"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olor w:val="auto"/>
                <w:sz w:val="24"/>
                <w:szCs w:val="24"/>
                <w:highlight w:val="none"/>
              </w:rPr>
            </w:pPr>
          </w:p>
        </w:tc>
        <w:tc>
          <w:tcPr>
            <w:tcW w:w="1151"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pStyle w:val="14"/>
              <w:jc w:val="center"/>
              <w:rPr>
                <w:rFonts w:hAnsi="宋体"/>
                <w:color w:val="auto"/>
                <w:spacing w:val="-20"/>
                <w:sz w:val="24"/>
                <w:szCs w:val="24"/>
                <w:highlight w:val="none"/>
              </w:rPr>
            </w:pPr>
            <w:r>
              <w:rPr>
                <w:rFonts w:hint="eastAsia" w:hAnsi="宋体"/>
                <w:color w:val="auto"/>
                <w:spacing w:val="-20"/>
                <w:sz w:val="24"/>
                <w:szCs w:val="24"/>
                <w:highlight w:val="none"/>
              </w:rPr>
              <w:t>...</w:t>
            </w:r>
          </w:p>
        </w:tc>
        <w:tc>
          <w:tcPr>
            <w:tcW w:w="1257"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olor w:val="auto"/>
                <w:sz w:val="24"/>
                <w:szCs w:val="24"/>
                <w:highlight w:val="none"/>
              </w:rPr>
            </w:pPr>
          </w:p>
        </w:tc>
        <w:tc>
          <w:tcPr>
            <w:tcW w:w="2125"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olor w:val="auto"/>
                <w:sz w:val="24"/>
                <w:szCs w:val="24"/>
                <w:highlight w:val="none"/>
              </w:rPr>
            </w:pPr>
          </w:p>
        </w:tc>
        <w:tc>
          <w:tcPr>
            <w:tcW w:w="1340"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olor w:val="auto"/>
                <w:sz w:val="24"/>
                <w:szCs w:val="24"/>
                <w:highlight w:val="none"/>
              </w:rPr>
            </w:pPr>
          </w:p>
        </w:tc>
        <w:tc>
          <w:tcPr>
            <w:tcW w:w="3246"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olor w:val="auto"/>
                <w:sz w:val="24"/>
                <w:szCs w:val="24"/>
                <w:highlight w:val="none"/>
              </w:rPr>
            </w:pPr>
          </w:p>
        </w:tc>
        <w:tc>
          <w:tcPr>
            <w:tcW w:w="1151" w:type="dxa"/>
            <w:tcBorders>
              <w:top w:val="single" w:color="auto" w:sz="4" w:space="0"/>
              <w:left w:val="single" w:color="auto" w:sz="4" w:space="0"/>
              <w:bottom w:val="single" w:color="auto" w:sz="4" w:space="0"/>
              <w:right w:val="single" w:color="auto" w:sz="4" w:space="0"/>
            </w:tcBorders>
            <w:vAlign w:val="center"/>
          </w:tcPr>
          <w:p>
            <w:pPr>
              <w:pStyle w:val="14"/>
              <w:spacing w:line="600" w:lineRule="exact"/>
              <w:jc w:val="center"/>
              <w:rPr>
                <w:rFonts w:hAnsi="宋体"/>
                <w:color w:val="auto"/>
                <w:sz w:val="24"/>
                <w:szCs w:val="24"/>
                <w:highlight w:val="none"/>
              </w:rPr>
            </w:pPr>
          </w:p>
        </w:tc>
      </w:tr>
    </w:tbl>
    <w:p>
      <w:pPr>
        <w:spacing w:before="160" w:line="391" w:lineRule="auto"/>
        <w:ind w:left="590" w:right="1075" w:hanging="354"/>
        <w:rPr>
          <w:rFonts w:ascii="仿宋" w:hAnsi="仿宋" w:eastAsia="仿宋"/>
          <w:b/>
          <w:color w:val="auto"/>
          <w:sz w:val="24"/>
          <w:highlight w:val="none"/>
        </w:rPr>
      </w:pPr>
      <w:r>
        <w:rPr>
          <w:rFonts w:hint="eastAsia" w:hAnsi="宋体"/>
          <w:color w:val="auto"/>
          <w:sz w:val="24"/>
          <w:highlight w:val="none"/>
        </w:rPr>
        <w:t>请根据所磋商服务的实际参数，</w:t>
      </w:r>
      <w:r>
        <w:rPr>
          <w:rFonts w:hint="eastAsia" w:hAnsi="宋体"/>
          <w:b/>
          <w:color w:val="auto"/>
          <w:sz w:val="24"/>
          <w:highlight w:val="none"/>
        </w:rPr>
        <w:t>逐条对应</w:t>
      </w:r>
      <w:r>
        <w:rPr>
          <w:rFonts w:hint="eastAsia" w:hAnsi="宋体"/>
          <w:color w:val="auto"/>
          <w:sz w:val="24"/>
          <w:highlight w:val="none"/>
        </w:rPr>
        <w:t>本项目竞争性磋商文件第三章“服务需求”的要求认真填写该表，“偏离说明”一栏选择“正偏离”、“负偏离”或“无偏离”进行填写，</w:t>
      </w:r>
      <w:r>
        <w:rPr>
          <w:rFonts w:hint="eastAsia" w:hAnsi="宋体"/>
          <w:b/>
          <w:color w:val="auto"/>
          <w:sz w:val="24"/>
          <w:highlight w:val="none"/>
        </w:rPr>
        <w:t>否则响应无效。</w:t>
      </w:r>
    </w:p>
    <w:p>
      <w:pPr>
        <w:pStyle w:val="11"/>
        <w:rPr>
          <w:rFonts w:ascii="仿宋"/>
          <w:b/>
          <w:color w:val="auto"/>
          <w:sz w:val="24"/>
          <w:highlight w:val="none"/>
        </w:rPr>
      </w:pPr>
    </w:p>
    <w:p>
      <w:pPr>
        <w:pStyle w:val="11"/>
        <w:rPr>
          <w:rFonts w:ascii="仿宋"/>
          <w:b/>
          <w:color w:val="auto"/>
          <w:sz w:val="24"/>
          <w:highlight w:val="none"/>
        </w:rPr>
      </w:pPr>
    </w:p>
    <w:p>
      <w:pPr>
        <w:spacing w:before="213" w:line="345" w:lineRule="auto"/>
        <w:ind w:left="237" w:right="7466"/>
        <w:jc w:val="left"/>
        <w:rPr>
          <w:rFonts w:ascii="仿宋" w:eastAsia="仿宋"/>
          <w:color w:val="auto"/>
          <w:sz w:val="24"/>
          <w:highlight w:val="none"/>
        </w:rPr>
      </w:pPr>
      <w:r>
        <w:rPr>
          <w:rFonts w:hint="eastAsia" w:ascii="仿宋" w:eastAsia="仿宋"/>
          <w:color w:val="auto"/>
          <w:sz w:val="24"/>
          <w:highlight w:val="none"/>
        </w:rPr>
        <w:t>法定代表人或委托代理人签名： 竞标人盖章：</w:t>
      </w:r>
    </w:p>
    <w:p>
      <w:pPr>
        <w:spacing w:line="303" w:lineRule="exact"/>
        <w:ind w:left="237"/>
        <w:jc w:val="left"/>
        <w:rPr>
          <w:rFonts w:ascii="仿宋" w:eastAsia="仿宋"/>
          <w:color w:val="auto"/>
          <w:sz w:val="24"/>
          <w:highlight w:val="none"/>
        </w:rPr>
        <w:sectPr>
          <w:pgSz w:w="11910" w:h="16840"/>
          <w:pgMar w:top="1160" w:right="0" w:bottom="940" w:left="840" w:header="0" w:footer="668" w:gutter="0"/>
          <w:cols w:space="720" w:num="1"/>
        </w:sectPr>
      </w:pPr>
      <w:r>
        <w:rPr>
          <w:rFonts w:hint="eastAsia" w:ascii="仿宋" w:eastAsia="仿宋"/>
          <w:color w:val="auto"/>
          <w:sz w:val="24"/>
          <w:highlight w:val="none"/>
        </w:rPr>
        <w:t>日期：</w:t>
      </w:r>
    </w:p>
    <w:p>
      <w:pPr>
        <w:numPr>
          <w:ilvl w:val="0"/>
          <w:numId w:val="6"/>
        </w:numPr>
        <w:spacing w:line="300" w:lineRule="auto"/>
        <w:rPr>
          <w:rFonts w:hint="eastAsia" w:ascii="宋体" w:hAnsi="宋体" w:eastAsia="宋体" w:cs="宋体"/>
          <w:b/>
          <w:bCs/>
          <w:color w:val="auto"/>
          <w:kern w:val="2"/>
          <w:sz w:val="24"/>
          <w:szCs w:val="32"/>
          <w:highlight w:val="none"/>
          <w:lang w:val="en-US" w:eastAsia="zh-CN" w:bidi="ar-SA"/>
        </w:rPr>
      </w:pPr>
      <w:r>
        <w:rPr>
          <w:rFonts w:hint="eastAsia" w:ascii="宋体" w:hAnsi="宋体" w:eastAsia="宋体" w:cs="宋体"/>
          <w:b/>
          <w:bCs/>
          <w:color w:val="auto"/>
          <w:kern w:val="2"/>
          <w:sz w:val="24"/>
          <w:szCs w:val="32"/>
          <w:highlight w:val="none"/>
          <w:lang w:val="en-US" w:eastAsia="zh-CN" w:bidi="ar-SA"/>
        </w:rPr>
        <w:t>商务响应表（格式见附件）；（必须提供）</w:t>
      </w:r>
    </w:p>
    <w:p>
      <w:pPr>
        <w:numPr>
          <w:ilvl w:val="0"/>
          <w:numId w:val="0"/>
        </w:numPr>
        <w:spacing w:line="300" w:lineRule="auto"/>
        <w:rPr>
          <w:rStyle w:val="77"/>
          <w:rFonts w:ascii="宋体" w:hAnsi="宋体"/>
          <w:szCs w:val="21"/>
        </w:rPr>
      </w:pPr>
    </w:p>
    <w:p>
      <w:pPr>
        <w:numPr>
          <w:ilvl w:val="0"/>
          <w:numId w:val="0"/>
        </w:numPr>
        <w:spacing w:line="300" w:lineRule="auto"/>
        <w:rPr>
          <w:rStyle w:val="77"/>
          <w:rFonts w:ascii="宋体" w:hAnsi="宋体"/>
          <w:szCs w:val="21"/>
          <w:u w:val="single"/>
        </w:rPr>
      </w:pPr>
      <w:r>
        <w:rPr>
          <w:rStyle w:val="77"/>
          <w:rFonts w:ascii="宋体" w:hAnsi="宋体"/>
          <w:szCs w:val="21"/>
        </w:rPr>
        <w:t>采购项目编号:</w:t>
      </w:r>
      <w:r>
        <w:rPr>
          <w:rStyle w:val="77"/>
          <w:rFonts w:ascii="宋体" w:hAnsi="宋体"/>
          <w:szCs w:val="21"/>
          <w:u w:val="single"/>
        </w:rPr>
        <w:t xml:space="preserve">                 </w:t>
      </w:r>
    </w:p>
    <w:p>
      <w:pPr>
        <w:spacing w:line="300" w:lineRule="auto"/>
        <w:rPr>
          <w:rStyle w:val="77"/>
          <w:rFonts w:ascii="宋体" w:hAnsi="宋体"/>
          <w:szCs w:val="21"/>
        </w:rPr>
      </w:pPr>
      <w:r>
        <w:rPr>
          <w:rStyle w:val="77"/>
          <w:rFonts w:ascii="宋体" w:hAnsi="宋体"/>
          <w:szCs w:val="21"/>
        </w:rPr>
        <w:t>采购项目名称:</w:t>
      </w:r>
      <w:r>
        <w:rPr>
          <w:rStyle w:val="77"/>
          <w:rFonts w:ascii="宋体" w:hAnsi="宋体"/>
          <w:szCs w:val="21"/>
          <w:u w:val="single"/>
        </w:rPr>
        <w:t xml:space="preserve">                 </w:t>
      </w:r>
      <w:r>
        <w:rPr>
          <w:rStyle w:val="77"/>
          <w:rFonts w:ascii="宋体" w:hAnsi="宋体"/>
          <w:szCs w:val="21"/>
        </w:rPr>
        <w:t xml:space="preserve">    </w:t>
      </w:r>
    </w:p>
    <w:p>
      <w:pPr>
        <w:spacing w:line="300" w:lineRule="auto"/>
        <w:rPr>
          <w:rStyle w:val="77"/>
          <w:rFonts w:ascii="宋体" w:hAnsi="宋体"/>
          <w:szCs w:val="21"/>
        </w:rPr>
      </w:pPr>
    </w:p>
    <w:tbl>
      <w:tblPr>
        <w:tblStyle w:val="30"/>
        <w:tblW w:w="9062"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435"/>
        <w:gridCol w:w="2350"/>
        <w:gridCol w:w="1259"/>
        <w:gridCol w:w="30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2" w:hRule="atLeast"/>
          <w:jc w:val="center"/>
        </w:trPr>
        <w:tc>
          <w:tcPr>
            <w:tcW w:w="2435"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r>
              <w:rPr>
                <w:rStyle w:val="77"/>
                <w:rFonts w:ascii="宋体" w:hAnsi="宋体"/>
                <w:sz w:val="24"/>
              </w:rPr>
              <w:t>项目</w:t>
            </w:r>
          </w:p>
        </w:tc>
        <w:tc>
          <w:tcPr>
            <w:tcW w:w="2350"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r>
              <w:rPr>
                <w:rFonts w:hint="eastAsia" w:ascii="宋体" w:hAnsi="宋体"/>
                <w:sz w:val="24"/>
              </w:rPr>
              <w:t>竞争性磋商文件</w:t>
            </w:r>
          </w:p>
        </w:tc>
        <w:tc>
          <w:tcPr>
            <w:tcW w:w="1259"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r>
              <w:rPr>
                <w:rStyle w:val="77"/>
                <w:rFonts w:ascii="宋体" w:hAnsi="宋体"/>
                <w:sz w:val="24"/>
              </w:rPr>
              <w:t>是否响应</w:t>
            </w:r>
          </w:p>
        </w:tc>
        <w:tc>
          <w:tcPr>
            <w:tcW w:w="3018" w:type="dxa"/>
            <w:tcBorders>
              <w:top w:val="single" w:color="000000" w:sz="4" w:space="0"/>
              <w:left w:val="single" w:color="000000" w:sz="4" w:space="0"/>
              <w:bottom w:val="single" w:color="000000" w:sz="4" w:space="0"/>
              <w:right w:val="single" w:color="000000" w:sz="4" w:space="0"/>
            </w:tcBorders>
          </w:tcPr>
          <w:p>
            <w:pPr>
              <w:tabs>
                <w:tab w:val="left" w:pos="380"/>
                <w:tab w:val="center" w:pos="1504"/>
              </w:tabs>
              <w:snapToGrid w:val="0"/>
              <w:spacing w:before="156"/>
              <w:jc w:val="left"/>
              <w:rPr>
                <w:rStyle w:val="77"/>
                <w:rFonts w:ascii="宋体" w:hAnsi="宋体"/>
                <w:sz w:val="24"/>
                <w:szCs w:val="20"/>
              </w:rPr>
            </w:pPr>
            <w:r>
              <w:rPr>
                <w:rStyle w:val="77"/>
                <w:rFonts w:ascii="宋体" w:hAnsi="宋体"/>
                <w:sz w:val="24"/>
              </w:rPr>
              <w:tab/>
            </w:r>
            <w:r>
              <w:rPr>
                <w:rStyle w:val="77"/>
                <w:rFonts w:ascii="宋体" w:hAnsi="宋体"/>
                <w:sz w:val="24"/>
              </w:rPr>
              <w:tab/>
            </w:r>
            <w:r>
              <w:rPr>
                <w:rStyle w:val="77"/>
                <w:rFonts w:hint="eastAsia" w:ascii="宋体" w:hAnsi="宋体"/>
                <w:sz w:val="24"/>
              </w:rPr>
              <w:t>供应商</w:t>
            </w:r>
            <w:r>
              <w:rPr>
                <w:rStyle w:val="77"/>
                <w:rFonts w:ascii="宋体" w:hAnsi="宋体"/>
                <w:sz w:val="24"/>
              </w:rPr>
              <w:t>的承诺或说明</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3" w:hRule="atLeast"/>
          <w:jc w:val="center"/>
        </w:trPr>
        <w:tc>
          <w:tcPr>
            <w:tcW w:w="2435"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77"/>
                <w:rFonts w:ascii="宋体" w:hAnsi="宋体"/>
                <w:sz w:val="24"/>
              </w:rPr>
            </w:pPr>
          </w:p>
        </w:tc>
        <w:tc>
          <w:tcPr>
            <w:tcW w:w="2350"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1259"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3018"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3" w:hRule="atLeast"/>
          <w:jc w:val="center"/>
        </w:trPr>
        <w:tc>
          <w:tcPr>
            <w:tcW w:w="2435"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77"/>
                <w:rFonts w:ascii="宋体" w:hAnsi="宋体"/>
                <w:sz w:val="24"/>
              </w:rPr>
            </w:pPr>
          </w:p>
        </w:tc>
        <w:tc>
          <w:tcPr>
            <w:tcW w:w="2350"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1259"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3018"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3" w:hRule="atLeast"/>
          <w:jc w:val="center"/>
        </w:trPr>
        <w:tc>
          <w:tcPr>
            <w:tcW w:w="2435"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77"/>
                <w:rFonts w:ascii="宋体" w:hAnsi="宋体"/>
                <w:sz w:val="24"/>
              </w:rPr>
            </w:pPr>
          </w:p>
        </w:tc>
        <w:tc>
          <w:tcPr>
            <w:tcW w:w="2350"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1259"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3018"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3" w:hRule="atLeast"/>
          <w:jc w:val="center"/>
        </w:trPr>
        <w:tc>
          <w:tcPr>
            <w:tcW w:w="2435"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77"/>
                <w:rFonts w:ascii="宋体" w:hAnsi="宋体"/>
                <w:sz w:val="24"/>
              </w:rPr>
            </w:pPr>
          </w:p>
        </w:tc>
        <w:tc>
          <w:tcPr>
            <w:tcW w:w="2350"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1259"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3018"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3" w:hRule="atLeast"/>
          <w:jc w:val="center"/>
        </w:trPr>
        <w:tc>
          <w:tcPr>
            <w:tcW w:w="2435"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77"/>
                <w:rFonts w:ascii="宋体" w:hAnsi="宋体"/>
                <w:sz w:val="24"/>
              </w:rPr>
            </w:pPr>
          </w:p>
        </w:tc>
        <w:tc>
          <w:tcPr>
            <w:tcW w:w="2350"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1259"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3018"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3" w:hRule="atLeast"/>
          <w:jc w:val="center"/>
        </w:trPr>
        <w:tc>
          <w:tcPr>
            <w:tcW w:w="2435"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77"/>
                <w:rFonts w:ascii="宋体" w:hAnsi="宋体"/>
                <w:sz w:val="24"/>
              </w:rPr>
            </w:pPr>
          </w:p>
        </w:tc>
        <w:tc>
          <w:tcPr>
            <w:tcW w:w="2350"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1259"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3018"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3" w:hRule="atLeast"/>
          <w:jc w:val="center"/>
        </w:trPr>
        <w:tc>
          <w:tcPr>
            <w:tcW w:w="2435"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rPr>
            </w:pPr>
          </w:p>
        </w:tc>
        <w:tc>
          <w:tcPr>
            <w:tcW w:w="2350"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1259"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3018"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36" w:hRule="atLeast"/>
          <w:jc w:val="center"/>
        </w:trPr>
        <w:tc>
          <w:tcPr>
            <w:tcW w:w="2435"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rPr>
            </w:pPr>
          </w:p>
        </w:tc>
        <w:tc>
          <w:tcPr>
            <w:tcW w:w="2350"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1259"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c>
          <w:tcPr>
            <w:tcW w:w="3018" w:type="dxa"/>
            <w:tcBorders>
              <w:top w:val="single" w:color="000000" w:sz="4" w:space="0"/>
              <w:left w:val="single" w:color="000000" w:sz="4" w:space="0"/>
              <w:bottom w:val="single" w:color="000000" w:sz="4" w:space="0"/>
              <w:right w:val="single" w:color="000000" w:sz="4" w:space="0"/>
            </w:tcBorders>
          </w:tcPr>
          <w:p>
            <w:pPr>
              <w:snapToGrid w:val="0"/>
              <w:spacing w:before="156"/>
              <w:jc w:val="center"/>
              <w:rPr>
                <w:rStyle w:val="77"/>
                <w:rFonts w:ascii="宋体" w:hAnsi="宋体"/>
                <w:sz w:val="24"/>
                <w:szCs w:val="20"/>
              </w:rPr>
            </w:pPr>
          </w:p>
        </w:tc>
      </w:tr>
    </w:tbl>
    <w:p>
      <w:pPr>
        <w:spacing w:line="300" w:lineRule="auto"/>
        <w:rPr>
          <w:rStyle w:val="77"/>
          <w:rFonts w:ascii="宋体" w:hAnsi="宋体"/>
          <w:szCs w:val="21"/>
        </w:rPr>
      </w:pPr>
    </w:p>
    <w:p>
      <w:pPr>
        <w:spacing w:line="300" w:lineRule="auto"/>
        <w:rPr>
          <w:rStyle w:val="77"/>
          <w:rFonts w:ascii="宋体" w:hAnsi="宋体"/>
          <w:szCs w:val="21"/>
        </w:rPr>
      </w:pPr>
    </w:p>
    <w:p>
      <w:pPr>
        <w:spacing w:line="300" w:lineRule="auto"/>
        <w:rPr>
          <w:rStyle w:val="77"/>
          <w:rFonts w:ascii="宋体" w:hAnsi="宋体"/>
          <w:szCs w:val="21"/>
        </w:rPr>
      </w:pPr>
    </w:p>
    <w:p>
      <w:pPr>
        <w:pStyle w:val="110"/>
        <w:rPr>
          <w:rStyle w:val="77"/>
          <w:rFonts w:hAnsi="宋体"/>
        </w:rPr>
      </w:pPr>
    </w:p>
    <w:p>
      <w:pPr>
        <w:pStyle w:val="110"/>
        <w:spacing w:line="300" w:lineRule="auto"/>
        <w:rPr>
          <w:rStyle w:val="77"/>
          <w:rFonts w:hAnsi="宋体"/>
        </w:rPr>
      </w:pPr>
    </w:p>
    <w:p>
      <w:pPr>
        <w:snapToGrid w:val="0"/>
        <w:spacing w:before="50" w:after="50" w:line="320" w:lineRule="exact"/>
        <w:ind w:left="-2" w:leftChars="-1" w:right="-817" w:rightChars="-389"/>
        <w:rPr>
          <w:rFonts w:ascii="宋体" w:hAnsi="宋体"/>
          <w:color w:val="auto"/>
          <w:szCs w:val="21"/>
          <w:highlight w:val="none"/>
          <w:u w:val="single"/>
        </w:rPr>
      </w:pPr>
      <w:r>
        <w:rPr>
          <w:rFonts w:hint="eastAsia" w:ascii="宋体" w:hAnsi="宋体"/>
          <w:color w:val="auto"/>
          <w:szCs w:val="21"/>
          <w:highlight w:val="none"/>
        </w:rPr>
        <w:t xml:space="preserve">法定代表人（或负责人）或授权委托代理人（签字）： </w:t>
      </w:r>
    </w:p>
    <w:p>
      <w:pPr>
        <w:snapToGrid w:val="0"/>
        <w:spacing w:before="50" w:after="50"/>
        <w:ind w:right="-817" w:rightChars="-389"/>
        <w:rPr>
          <w:rFonts w:ascii="宋体" w:hAnsi="宋体"/>
          <w:color w:val="auto"/>
          <w:szCs w:val="21"/>
          <w:highlight w:val="none"/>
          <w:u w:val="single"/>
        </w:rPr>
      </w:pPr>
      <w:r>
        <w:rPr>
          <w:rFonts w:hint="eastAsia" w:ascii="宋体" w:hAnsi="宋体"/>
          <w:color w:val="auto"/>
          <w:szCs w:val="21"/>
          <w:highlight w:val="none"/>
        </w:rPr>
        <w:t>投标人名称（公章）：</w:t>
      </w:r>
    </w:p>
    <w:p>
      <w:pPr>
        <w:pStyle w:val="6"/>
        <w:rPr>
          <w:color w:val="auto"/>
          <w:highlight w:val="none"/>
        </w:rPr>
        <w:sectPr>
          <w:pgSz w:w="11906" w:h="16838"/>
          <w:pgMar w:top="1134" w:right="851" w:bottom="1134" w:left="1134" w:header="851" w:footer="992" w:gutter="0"/>
          <w:cols w:space="720" w:num="1"/>
          <w:titlePg/>
          <w:docGrid w:type="lines" w:linePitch="312" w:charSpace="0"/>
        </w:sectPr>
      </w:pPr>
      <w:r>
        <w:rPr>
          <w:rFonts w:hint="eastAsia" w:hAnsi="宋体"/>
          <w:color w:val="auto"/>
          <w:szCs w:val="21"/>
          <w:highlight w:val="none"/>
        </w:rPr>
        <w:t>日期：</w:t>
      </w:r>
      <w:r>
        <w:rPr>
          <w:rFonts w:hint="eastAsia" w:hAnsi="宋体"/>
          <w:color w:val="auto"/>
          <w:szCs w:val="21"/>
          <w:highlight w:val="none"/>
          <w:u w:val="single"/>
        </w:rPr>
        <w:t xml:space="preserve">       年   月   日</w:t>
      </w:r>
    </w:p>
    <w:p>
      <w:pPr>
        <w:spacing w:line="360" w:lineRule="auto"/>
        <w:jc w:val="left"/>
        <w:rPr>
          <w:rFonts w:hint="eastAsia" w:ascii="宋体" w:hAnsi="宋体" w:eastAsia="宋体" w:cs="宋体"/>
          <w:b/>
          <w:bCs/>
          <w:color w:val="auto"/>
          <w:kern w:val="2"/>
          <w:sz w:val="24"/>
          <w:szCs w:val="32"/>
          <w:highlight w:val="none"/>
          <w:lang w:val="en-US" w:eastAsia="zh-CN" w:bidi="ar-SA"/>
        </w:rPr>
      </w:pPr>
      <w:r>
        <w:rPr>
          <w:rFonts w:hint="eastAsia" w:ascii="宋体" w:hAnsi="宋体" w:eastAsia="宋体" w:cs="宋体"/>
          <w:b/>
          <w:bCs/>
          <w:color w:val="auto"/>
          <w:kern w:val="2"/>
          <w:sz w:val="24"/>
          <w:szCs w:val="32"/>
          <w:highlight w:val="none"/>
          <w:lang w:val="en-US" w:eastAsia="zh-CN" w:bidi="ar-SA"/>
        </w:rPr>
        <w:t>6、拟投入项目实施人员情况一览表；</w:t>
      </w:r>
    </w:p>
    <w:p>
      <w:pPr>
        <w:spacing w:after="240"/>
        <w:jc w:val="center"/>
        <w:rPr>
          <w:rFonts w:ascii="宋体" w:hAnsi="宋体"/>
          <w:b/>
          <w:bCs/>
          <w:sz w:val="24"/>
          <w:szCs w:val="24"/>
        </w:rPr>
      </w:pPr>
      <w:r>
        <w:rPr>
          <w:rFonts w:hint="eastAsia" w:ascii="宋体" w:hAnsi="宋体"/>
          <w:b/>
          <w:bCs/>
          <w:sz w:val="24"/>
          <w:szCs w:val="24"/>
        </w:rPr>
        <w:t>拟投入项目实施人员情况一</w:t>
      </w:r>
      <w:r>
        <w:rPr>
          <w:rFonts w:ascii="宋体" w:hAnsi="宋体"/>
          <w:b/>
          <w:bCs/>
          <w:sz w:val="24"/>
          <w:szCs w:val="24"/>
        </w:rPr>
        <w:t>览</w:t>
      </w:r>
      <w:r>
        <w:rPr>
          <w:rFonts w:hint="eastAsia" w:ascii="宋体" w:hAnsi="宋体"/>
          <w:b/>
          <w:bCs/>
          <w:sz w:val="24"/>
          <w:szCs w:val="24"/>
        </w:rPr>
        <w:t>表</w:t>
      </w:r>
    </w:p>
    <w:tbl>
      <w:tblPr>
        <w:tblStyle w:val="30"/>
        <w:tblW w:w="9678" w:type="dxa"/>
        <w:tblInd w:w="96" w:type="dxa"/>
        <w:tblLayout w:type="autofit"/>
        <w:tblCellMar>
          <w:top w:w="0" w:type="dxa"/>
          <w:left w:w="108" w:type="dxa"/>
          <w:bottom w:w="0" w:type="dxa"/>
          <w:right w:w="108" w:type="dxa"/>
        </w:tblCellMar>
      </w:tblPr>
      <w:tblGrid>
        <w:gridCol w:w="1222"/>
        <w:gridCol w:w="1186"/>
        <w:gridCol w:w="1186"/>
        <w:gridCol w:w="1186"/>
        <w:gridCol w:w="1186"/>
        <w:gridCol w:w="1186"/>
        <w:gridCol w:w="1186"/>
        <w:gridCol w:w="1340"/>
      </w:tblGrid>
      <w:tr>
        <w:tblPrEx>
          <w:tblCellMar>
            <w:top w:w="0" w:type="dxa"/>
            <w:left w:w="108" w:type="dxa"/>
            <w:bottom w:w="0" w:type="dxa"/>
            <w:right w:w="108" w:type="dxa"/>
          </w:tblCellMar>
        </w:tblPrEx>
        <w:trPr>
          <w:trHeight w:val="475" w:hRule="atLeast"/>
        </w:trPr>
        <w:tc>
          <w:tcPr>
            <w:tcW w:w="9677" w:type="dxa"/>
            <w:gridSpan w:val="8"/>
            <w:tcBorders>
              <w:top w:val="nil"/>
              <w:left w:val="nil"/>
              <w:bottom w:val="nil"/>
              <w:right w:val="nil"/>
            </w:tcBorders>
            <w:shd w:val="clear" w:color="auto" w:fill="auto"/>
            <w:noWrap/>
            <w:vAlign w:val="center"/>
          </w:tcPr>
          <w:p>
            <w:pPr>
              <w:jc w:val="center"/>
              <w:textAlignment w:val="center"/>
              <w:rPr>
                <w:rFonts w:ascii="宋体" w:hAnsi="宋体" w:cs="宋体"/>
                <w:b/>
                <w:bCs/>
                <w:sz w:val="32"/>
                <w:szCs w:val="32"/>
              </w:rPr>
            </w:pPr>
          </w:p>
        </w:tc>
      </w:tr>
      <w:tr>
        <w:tblPrEx>
          <w:tblCellMar>
            <w:top w:w="0" w:type="dxa"/>
            <w:left w:w="108" w:type="dxa"/>
            <w:bottom w:w="0" w:type="dxa"/>
            <w:right w:w="108" w:type="dxa"/>
          </w:tblCellMar>
        </w:tblPrEx>
        <w:trPr>
          <w:trHeight w:val="335" w:hRule="atLeast"/>
        </w:trPr>
        <w:tc>
          <w:tcPr>
            <w:tcW w:w="9677" w:type="dxa"/>
            <w:gridSpan w:val="8"/>
            <w:tcBorders>
              <w:top w:val="nil"/>
              <w:left w:val="nil"/>
              <w:bottom w:val="nil"/>
              <w:right w:val="nil"/>
            </w:tcBorders>
            <w:shd w:val="clear" w:color="auto" w:fill="auto"/>
            <w:vAlign w:val="center"/>
          </w:tcPr>
          <w:p>
            <w:pPr>
              <w:wordWrap w:val="0"/>
              <w:jc w:val="right"/>
              <w:rPr>
                <w:rFonts w:ascii="宋体" w:hAnsi="宋体" w:cs="宋体"/>
                <w:sz w:val="22"/>
              </w:rPr>
            </w:pPr>
          </w:p>
        </w:tc>
      </w:tr>
      <w:tr>
        <w:tblPrEx>
          <w:tblCellMar>
            <w:top w:w="0" w:type="dxa"/>
            <w:left w:w="108" w:type="dxa"/>
            <w:bottom w:w="0" w:type="dxa"/>
            <w:right w:w="108" w:type="dxa"/>
          </w:tblCellMar>
        </w:tblPrEx>
        <w:trPr>
          <w:trHeight w:val="1006"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sz w:val="22"/>
              </w:rPr>
            </w:pPr>
            <w:r>
              <w:rPr>
                <w:rFonts w:hint="eastAsia" w:ascii="宋体" w:hAnsi="宋体" w:cs="宋体"/>
                <w:kern w:val="0"/>
                <w:sz w:val="22"/>
                <w:lang w:bidi="ar"/>
              </w:rPr>
              <w:t>序号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sz w:val="22"/>
              </w:rPr>
            </w:pPr>
            <w:r>
              <w:rPr>
                <w:rFonts w:hint="eastAsia" w:ascii="宋体" w:hAnsi="宋体" w:cs="宋体"/>
                <w:kern w:val="0"/>
                <w:sz w:val="22"/>
                <w:lang w:bidi="ar"/>
              </w:rPr>
              <w:t>项目组所任职务</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sz w:val="22"/>
              </w:rPr>
            </w:pPr>
            <w:r>
              <w:rPr>
                <w:rFonts w:hint="eastAsia" w:ascii="宋体" w:hAnsi="宋体" w:cs="宋体"/>
                <w:kern w:val="0"/>
                <w:sz w:val="22"/>
                <w:lang w:bidi="ar"/>
              </w:rPr>
              <w:t>姓名</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sz w:val="22"/>
              </w:rPr>
            </w:pPr>
            <w:r>
              <w:rPr>
                <w:rFonts w:hint="eastAsia" w:ascii="宋体" w:hAnsi="宋体" w:cs="宋体"/>
                <w:kern w:val="0"/>
                <w:sz w:val="22"/>
                <w:lang w:bidi="ar"/>
              </w:rPr>
              <w:t>职称</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sz w:val="22"/>
              </w:rPr>
            </w:pPr>
            <w:r>
              <w:rPr>
                <w:rFonts w:hint="eastAsia" w:ascii="宋体" w:hAnsi="宋体" w:cs="宋体"/>
                <w:kern w:val="0"/>
                <w:sz w:val="22"/>
                <w:lang w:bidi="ar"/>
              </w:rPr>
              <w:t>专业技术资格</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sz w:val="22"/>
              </w:rPr>
            </w:pPr>
            <w:r>
              <w:rPr>
                <w:rFonts w:hint="eastAsia" w:ascii="宋体" w:hAnsi="宋体" w:cs="宋体"/>
                <w:kern w:val="0"/>
                <w:sz w:val="22"/>
                <w:lang w:bidi="ar"/>
              </w:rPr>
              <w:t>专业技术资格证书编号</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sz w:val="22"/>
              </w:rPr>
            </w:pPr>
            <w:r>
              <w:rPr>
                <w:rFonts w:hint="eastAsia" w:ascii="宋体" w:hAnsi="宋体" w:cs="宋体"/>
                <w:kern w:val="0"/>
                <w:sz w:val="22"/>
                <w:lang w:bidi="ar"/>
              </w:rPr>
              <w:t>从事本工作时间</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sz w:val="22"/>
              </w:rPr>
            </w:pPr>
            <w:r>
              <w:rPr>
                <w:rFonts w:hint="eastAsia" w:ascii="宋体" w:hAnsi="宋体" w:cs="宋体"/>
                <w:kern w:val="0"/>
                <w:sz w:val="22"/>
                <w:lang w:bidi="ar"/>
              </w:rPr>
              <w:t>典型业务与技术专长</w:t>
            </w: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kern w:val="0"/>
                <w:sz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kern w:val="0"/>
                <w:sz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kern w:val="0"/>
                <w:sz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kern w:val="0"/>
                <w:sz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kern w:val="0"/>
                <w:sz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r>
      <w:tr>
        <w:tblPrEx>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sz w:val="22"/>
              </w:rPr>
            </w:pPr>
            <w:r>
              <w:rPr>
                <w:rFonts w:hint="eastAsia" w:ascii="宋体" w:hAnsi="宋体" w:cs="宋体"/>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2"/>
              </w:rPr>
            </w:pPr>
          </w:p>
        </w:tc>
      </w:tr>
      <w:tr>
        <w:tblPrEx>
          <w:tblCellMar>
            <w:top w:w="0" w:type="dxa"/>
            <w:left w:w="108" w:type="dxa"/>
            <w:bottom w:w="0" w:type="dxa"/>
            <w:right w:w="108" w:type="dxa"/>
          </w:tblCellMar>
        </w:tblPrEx>
        <w:trPr>
          <w:trHeight w:val="1164" w:hRule="atLeast"/>
        </w:trPr>
        <w:tc>
          <w:tcPr>
            <w:tcW w:w="9677" w:type="dxa"/>
            <w:gridSpan w:val="8"/>
            <w:tcBorders>
              <w:top w:val="nil"/>
              <w:left w:val="nil"/>
              <w:bottom w:val="nil"/>
              <w:right w:val="nil"/>
            </w:tcBorders>
            <w:shd w:val="clear" w:color="auto" w:fill="auto"/>
            <w:vAlign w:val="center"/>
          </w:tcPr>
          <w:p>
            <w:pPr>
              <w:jc w:val="left"/>
              <w:textAlignment w:val="center"/>
              <w:rPr>
                <w:rFonts w:ascii="宋体" w:hAnsi="宋体" w:cs="宋体"/>
                <w:sz w:val="22"/>
              </w:rPr>
            </w:pPr>
            <w:r>
              <w:rPr>
                <w:rFonts w:hint="eastAsia" w:ascii="宋体" w:hAnsi="宋体" w:cs="宋体"/>
                <w:kern w:val="0"/>
                <w:sz w:val="22"/>
                <w:lang w:bidi="ar"/>
              </w:rPr>
              <w:t xml:space="preserve">注：1.“项目实施人员”指投标单位针对该项目的服务、培训、售后等完成本项目所配备的人员。                                                    2.附各专业人员身份证及相关证明材料复印件。                                                                                   </w:t>
            </w:r>
          </w:p>
        </w:tc>
      </w:tr>
      <w:tr>
        <w:tblPrEx>
          <w:tblCellMar>
            <w:top w:w="0" w:type="dxa"/>
            <w:left w:w="108" w:type="dxa"/>
            <w:bottom w:w="0" w:type="dxa"/>
            <w:right w:w="108" w:type="dxa"/>
          </w:tblCellMar>
        </w:tblPrEx>
        <w:trPr>
          <w:trHeight w:val="335" w:hRule="atLeast"/>
        </w:trPr>
        <w:tc>
          <w:tcPr>
            <w:tcW w:w="9677" w:type="dxa"/>
            <w:gridSpan w:val="8"/>
            <w:tcBorders>
              <w:top w:val="nil"/>
              <w:left w:val="nil"/>
              <w:bottom w:val="nil"/>
              <w:right w:val="nil"/>
            </w:tcBorders>
            <w:shd w:val="clear" w:color="auto" w:fill="auto"/>
          </w:tcPr>
          <w:p>
            <w:pPr>
              <w:pStyle w:val="110"/>
              <w:spacing w:line="600" w:lineRule="exact"/>
              <w:rPr>
                <w:rStyle w:val="77"/>
                <w:rFonts w:hAnsi="宋体"/>
                <w:u w:val="single"/>
              </w:rPr>
            </w:pPr>
            <w:r>
              <w:rPr>
                <w:rStyle w:val="77"/>
                <w:rFonts w:hAnsi="宋体"/>
              </w:rPr>
              <w:t>供应商（盖单位公章）：</w:t>
            </w:r>
            <w:r>
              <w:rPr>
                <w:rStyle w:val="77"/>
                <w:rFonts w:hAnsi="宋体"/>
                <w:u w:val="single"/>
              </w:rPr>
              <w:t xml:space="preserve">                                    </w:t>
            </w:r>
          </w:p>
        </w:tc>
      </w:tr>
      <w:tr>
        <w:tblPrEx>
          <w:tblCellMar>
            <w:top w:w="0" w:type="dxa"/>
            <w:left w:w="108" w:type="dxa"/>
            <w:bottom w:w="0" w:type="dxa"/>
            <w:right w:w="108" w:type="dxa"/>
          </w:tblCellMar>
        </w:tblPrEx>
        <w:trPr>
          <w:trHeight w:val="335" w:hRule="atLeast"/>
        </w:trPr>
        <w:tc>
          <w:tcPr>
            <w:tcW w:w="9677" w:type="dxa"/>
            <w:gridSpan w:val="8"/>
            <w:tcBorders>
              <w:top w:val="nil"/>
              <w:left w:val="nil"/>
              <w:bottom w:val="nil"/>
              <w:right w:val="nil"/>
            </w:tcBorders>
            <w:shd w:val="clear" w:color="auto" w:fill="auto"/>
          </w:tcPr>
          <w:p>
            <w:pPr>
              <w:spacing w:line="300" w:lineRule="auto"/>
              <w:rPr>
                <w:rStyle w:val="77"/>
                <w:rFonts w:ascii="宋体" w:hAnsi="宋体"/>
                <w:szCs w:val="21"/>
                <w:u w:val="single"/>
              </w:rPr>
            </w:pPr>
            <w:r>
              <w:rPr>
                <w:rStyle w:val="77"/>
                <w:rFonts w:ascii="宋体" w:hAnsi="宋体"/>
                <w:szCs w:val="21"/>
              </w:rPr>
              <w:t>法定代表人或委托代理人（签字）：</w:t>
            </w:r>
            <w:r>
              <w:rPr>
                <w:rStyle w:val="77"/>
                <w:rFonts w:ascii="宋体" w:hAnsi="宋体"/>
                <w:szCs w:val="21"/>
                <w:u w:val="single"/>
              </w:rPr>
              <w:t xml:space="preserve">                  </w:t>
            </w:r>
          </w:p>
          <w:p>
            <w:pPr>
              <w:spacing w:line="300" w:lineRule="auto"/>
              <w:rPr>
                <w:rStyle w:val="77"/>
                <w:rFonts w:ascii="宋体" w:hAnsi="宋体"/>
                <w:szCs w:val="21"/>
                <w:u w:val="single"/>
              </w:rPr>
            </w:pPr>
            <w:r>
              <w:rPr>
                <w:rStyle w:val="77"/>
                <w:rFonts w:ascii="宋体" w:hAnsi="宋体"/>
                <w:szCs w:val="21"/>
              </w:rPr>
              <w:t>日期：</w:t>
            </w:r>
            <w:r>
              <w:rPr>
                <w:rStyle w:val="77"/>
                <w:rFonts w:ascii="宋体" w:hAnsi="宋体"/>
                <w:szCs w:val="21"/>
                <w:u w:val="single"/>
              </w:rPr>
              <w:t xml:space="preserve">    </w:t>
            </w:r>
          </w:p>
          <w:p>
            <w:pPr>
              <w:spacing w:line="300" w:lineRule="auto"/>
              <w:rPr>
                <w:rStyle w:val="77"/>
                <w:rFonts w:ascii="宋体" w:hAnsi="宋体"/>
                <w:szCs w:val="21"/>
                <w:u w:val="single"/>
              </w:rPr>
            </w:pPr>
          </w:p>
        </w:tc>
      </w:tr>
    </w:tbl>
    <w:p>
      <w:pPr>
        <w:pStyle w:val="5"/>
        <w:jc w:val="center"/>
        <w:rPr>
          <w:rFonts w:hint="eastAsia" w:ascii="宋体" w:hAnsi="宋体" w:cs="宋体"/>
          <w:color w:val="auto"/>
          <w:sz w:val="24"/>
          <w:highlight w:val="none"/>
          <w:lang w:val="en-US" w:eastAsia="zh-CN"/>
        </w:rPr>
      </w:pPr>
    </w:p>
    <w:p>
      <w:pPr>
        <w:pStyle w:val="5"/>
        <w:jc w:val="center"/>
        <w:rPr>
          <w:rFonts w:hint="eastAsia" w:ascii="宋体" w:hAnsi="宋体" w:cs="宋体"/>
          <w:color w:val="auto"/>
          <w:sz w:val="24"/>
          <w:highlight w:val="none"/>
          <w:lang w:val="en-US" w:eastAsia="zh-CN"/>
        </w:rPr>
      </w:pPr>
    </w:p>
    <w:p>
      <w:pPr>
        <w:pStyle w:val="5"/>
        <w:jc w:val="center"/>
        <w:rPr>
          <w:rFonts w:hint="eastAsia" w:ascii="宋体" w:hAnsi="宋体" w:cs="宋体"/>
          <w:color w:val="auto"/>
          <w:sz w:val="24"/>
          <w:highlight w:val="none"/>
          <w:lang w:val="en-US" w:eastAsia="zh-CN"/>
        </w:rPr>
      </w:pPr>
    </w:p>
    <w:p>
      <w:pPr>
        <w:pStyle w:val="5"/>
        <w:jc w:val="center"/>
        <w:rPr>
          <w:rFonts w:hint="eastAsia" w:ascii="宋体" w:hAnsi="宋体" w:cs="宋体"/>
          <w:color w:val="auto"/>
          <w:sz w:val="24"/>
          <w:highlight w:val="none"/>
          <w:lang w:val="en-US" w:eastAsia="zh-CN"/>
        </w:rPr>
      </w:pPr>
    </w:p>
    <w:p>
      <w:pPr>
        <w:pStyle w:val="5"/>
        <w:jc w:val="center"/>
        <w:rPr>
          <w:rFonts w:hint="eastAsia" w:ascii="宋体" w:hAnsi="宋体" w:cs="宋体"/>
          <w:color w:val="auto"/>
          <w:sz w:val="24"/>
          <w:highlight w:val="none"/>
          <w:lang w:val="en-US" w:eastAsia="zh-CN"/>
        </w:rPr>
      </w:pPr>
    </w:p>
    <w:p>
      <w:pPr>
        <w:pStyle w:val="5"/>
        <w:jc w:val="center"/>
        <w:rPr>
          <w:rFonts w:hint="eastAsia" w:ascii="宋体" w:hAnsi="宋体" w:cs="宋体"/>
          <w:color w:val="auto"/>
          <w:sz w:val="24"/>
          <w:highlight w:val="none"/>
          <w:lang w:val="en-US" w:eastAsia="zh-CN"/>
        </w:rPr>
      </w:pPr>
    </w:p>
    <w:p>
      <w:pPr>
        <w:pStyle w:val="5"/>
        <w:jc w:val="center"/>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w:t>
      </w:r>
      <w:bookmarkEnd w:id="97"/>
      <w:bookmarkEnd w:id="98"/>
      <w:r>
        <w:rPr>
          <w:rFonts w:hint="eastAsia" w:ascii="宋体" w:hAnsi="宋体" w:cs="宋体"/>
          <w:color w:val="auto"/>
          <w:sz w:val="24"/>
          <w:highlight w:val="none"/>
        </w:rPr>
        <w:t>竞标人认为有必要提供的其它文件及资料。</w:t>
      </w:r>
      <w:bookmarkEnd w:id="99"/>
      <w:bookmarkEnd w:id="100"/>
    </w:p>
    <w:p>
      <w:pPr>
        <w:rPr>
          <w:rFonts w:ascii="宋体" w:hAnsi="宋体" w:cs="宋体"/>
          <w:color w:val="auto"/>
          <w:highlight w:val="none"/>
        </w:rPr>
      </w:pPr>
    </w:p>
    <w:p>
      <w:pPr>
        <w:spacing w:line="440" w:lineRule="exact"/>
        <w:rPr>
          <w:rFonts w:ascii="宋体" w:hAnsi="宋体" w:cs="宋体"/>
          <w:color w:val="auto"/>
          <w:sz w:val="44"/>
          <w:highlight w:val="none"/>
        </w:rPr>
        <w:sectPr>
          <w:pgSz w:w="11906" w:h="16838"/>
          <w:pgMar w:top="1134" w:right="851" w:bottom="1134" w:left="1134" w:header="851" w:footer="992" w:gutter="0"/>
          <w:cols w:space="720" w:num="1"/>
          <w:titlePg/>
          <w:docGrid w:type="lines" w:linePitch="312" w:charSpace="0"/>
        </w:sectPr>
      </w:pPr>
    </w:p>
    <w:p>
      <w:pPr>
        <w:spacing w:line="440" w:lineRule="exact"/>
        <w:rPr>
          <w:rFonts w:ascii="宋体" w:hAnsi="宋体" w:cs="宋体"/>
          <w:color w:val="auto"/>
          <w:sz w:val="44"/>
          <w:highlight w:val="none"/>
        </w:rPr>
      </w:pPr>
    </w:p>
    <w:p>
      <w:pPr>
        <w:pStyle w:val="3"/>
        <w:jc w:val="center"/>
        <w:rPr>
          <w:rFonts w:ascii="宋体" w:hAnsi="宋体" w:cs="宋体"/>
          <w:color w:val="auto"/>
          <w:sz w:val="32"/>
          <w:szCs w:val="32"/>
          <w:highlight w:val="none"/>
        </w:rPr>
      </w:pPr>
      <w:bookmarkStart w:id="101" w:name="_Toc1058"/>
      <w:r>
        <w:rPr>
          <w:rFonts w:hint="eastAsia" w:ascii="宋体" w:hAnsi="宋体" w:cs="宋体"/>
          <w:color w:val="auto"/>
          <w:sz w:val="32"/>
          <w:szCs w:val="32"/>
          <w:highlight w:val="none"/>
        </w:rPr>
        <w:fldChar w:fldCharType="begin"/>
      </w:r>
      <w:r>
        <w:rPr>
          <w:rFonts w:hint="eastAsia" w:ascii="宋体" w:hAnsi="宋体" w:cs="宋体"/>
          <w:color w:val="auto"/>
          <w:sz w:val="32"/>
          <w:szCs w:val="32"/>
          <w:highlight w:val="none"/>
        </w:rPr>
        <w:instrText xml:space="preserve">HYPERLINK \l "_Toc15646"</w:instrText>
      </w:r>
      <w:r>
        <w:rPr>
          <w:rFonts w:hint="eastAsia" w:ascii="宋体" w:hAnsi="宋体" w:cs="宋体"/>
          <w:color w:val="auto"/>
          <w:sz w:val="32"/>
          <w:szCs w:val="32"/>
          <w:highlight w:val="none"/>
        </w:rPr>
        <w:fldChar w:fldCharType="separate"/>
      </w:r>
      <w:r>
        <w:rPr>
          <w:rFonts w:hint="eastAsia" w:ascii="宋体" w:hAnsi="宋体" w:cs="宋体"/>
          <w:color w:val="auto"/>
          <w:sz w:val="32"/>
          <w:szCs w:val="32"/>
          <w:highlight w:val="none"/>
        </w:rPr>
        <w:t>第六章  合同条款格式</w:t>
      </w:r>
      <w:r>
        <w:rPr>
          <w:rFonts w:hint="eastAsia" w:ascii="宋体" w:hAnsi="宋体" w:cs="宋体"/>
          <w:color w:val="auto"/>
          <w:sz w:val="32"/>
          <w:szCs w:val="32"/>
          <w:highlight w:val="none"/>
        </w:rPr>
        <w:fldChar w:fldCharType="end"/>
      </w:r>
      <w:bookmarkEnd w:id="101"/>
    </w:p>
    <w:p>
      <w:pPr>
        <w:pStyle w:val="14"/>
        <w:spacing w:line="360" w:lineRule="auto"/>
        <w:rPr>
          <w:rFonts w:hAnsi="宋体"/>
          <w:color w:val="auto"/>
          <w:highlight w:val="none"/>
        </w:rPr>
      </w:pPr>
    </w:p>
    <w:p>
      <w:pPr>
        <w:spacing w:line="360" w:lineRule="auto"/>
        <w:ind w:left="1380" w:leftChars="657"/>
        <w:rPr>
          <w:rFonts w:ascii="宋体" w:hAnsi="宋体" w:cs="宋体"/>
          <w:b/>
          <w:color w:val="auto"/>
          <w:sz w:val="28"/>
          <w:szCs w:val="28"/>
          <w:highlight w:val="none"/>
        </w:rPr>
      </w:pPr>
      <w:r>
        <w:rPr>
          <w:rFonts w:hint="eastAsia" w:ascii="宋体" w:hAnsi="宋体" w:cs="宋体"/>
          <w:color w:val="auto"/>
          <w:highlight w:val="none"/>
        </w:rPr>
        <w:t>（</w:t>
      </w:r>
      <w:r>
        <w:rPr>
          <w:rFonts w:hint="eastAsia" w:ascii="宋体" w:hAnsi="宋体" w:cs="宋体"/>
          <w:b/>
          <w:color w:val="auto"/>
          <w:sz w:val="28"/>
          <w:szCs w:val="28"/>
          <w:highlight w:val="none"/>
        </w:rPr>
        <w:t>注：本合同格式仅为合同的参考文本，合同签订双方</w:t>
      </w:r>
    </w:p>
    <w:p>
      <w:pPr>
        <w:spacing w:line="360" w:lineRule="auto"/>
        <w:ind w:left="1380" w:leftChars="657" w:firstLine="1405" w:firstLineChars="500"/>
        <w:rPr>
          <w:rFonts w:ascii="宋体" w:hAnsi="宋体" w:cs="宋体"/>
          <w:color w:val="auto"/>
          <w:sz w:val="28"/>
          <w:highlight w:val="none"/>
        </w:rPr>
      </w:pPr>
      <w:r>
        <w:rPr>
          <w:rFonts w:hint="eastAsia" w:ascii="宋体" w:hAnsi="宋体" w:cs="宋体"/>
          <w:b/>
          <w:color w:val="auto"/>
          <w:sz w:val="28"/>
          <w:szCs w:val="28"/>
          <w:highlight w:val="none"/>
        </w:rPr>
        <w:t>可根据项目的具体要求进行修订。</w:t>
      </w:r>
      <w:r>
        <w:rPr>
          <w:rFonts w:hint="eastAsia" w:ascii="宋体" w:hAnsi="宋体" w:cs="宋体"/>
          <w:color w:val="auto"/>
          <w:highlight w:val="none"/>
        </w:rPr>
        <w:t>）</w:t>
      </w:r>
    </w:p>
    <w:p>
      <w:pPr>
        <w:widowControl/>
        <w:shd w:val="clear" w:color="auto" w:fill="FFFFFF"/>
        <w:spacing w:line="440" w:lineRule="exact"/>
        <w:jc w:val="center"/>
        <w:rPr>
          <w:rFonts w:ascii="宋体" w:hAnsi="宋体" w:cs="宋体"/>
          <w:b/>
          <w:color w:val="auto"/>
          <w:kern w:val="0"/>
          <w:sz w:val="30"/>
          <w:szCs w:val="30"/>
          <w:highlight w:val="none"/>
        </w:rPr>
      </w:pPr>
    </w:p>
    <w:p>
      <w:pPr>
        <w:widowControl/>
        <w:shd w:val="clear" w:color="auto" w:fill="FFFFFF"/>
        <w:spacing w:line="440" w:lineRule="exact"/>
        <w:jc w:val="left"/>
        <w:rPr>
          <w:rFonts w:ascii="宋体" w:hAnsi="宋体" w:cs="宋体"/>
          <w:color w:val="auto"/>
          <w:kern w:val="0"/>
          <w:sz w:val="24"/>
          <w:highlight w:val="none"/>
          <w:u w:val="single"/>
        </w:rPr>
      </w:pPr>
      <w:r>
        <w:rPr>
          <w:rFonts w:hint="eastAsia" w:ascii="宋体" w:hAnsi="宋体" w:cs="宋体"/>
          <w:color w:val="auto"/>
          <w:kern w:val="0"/>
          <w:sz w:val="24"/>
          <w:highlight w:val="none"/>
        </w:rPr>
        <w:t>项目名称：</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项目编号：</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甲方：（采购人）</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乙方：（成交人）</w:t>
      </w:r>
    </w:p>
    <w:p>
      <w:pPr>
        <w:widowControl/>
        <w:shd w:val="clear" w:color="auto" w:fill="FFFFFF"/>
        <w:spacing w:line="440" w:lineRule="exact"/>
        <w:ind w:firstLine="240" w:firstLineChars="100"/>
        <w:jc w:val="left"/>
        <w:rPr>
          <w:rFonts w:ascii="宋体" w:hAnsi="宋体" w:cs="宋体"/>
          <w:color w:val="auto"/>
          <w:kern w:val="0"/>
          <w:sz w:val="24"/>
          <w:highlight w:val="none"/>
        </w:rPr>
      </w:pPr>
      <w:r>
        <w:rPr>
          <w:rFonts w:hint="eastAsia" w:ascii="宋体" w:hAnsi="宋体" w:cs="宋体"/>
          <w:color w:val="auto"/>
          <w:kern w:val="0"/>
          <w:sz w:val="24"/>
          <w:highlight w:val="none"/>
        </w:rPr>
        <w:t>根据《中华人民共和国政府采购法》、《中华人民共和国</w:t>
      </w:r>
      <w:r>
        <w:rPr>
          <w:rFonts w:hint="eastAsia" w:ascii="宋体" w:hAnsi="宋体" w:cs="宋体"/>
          <w:color w:val="auto"/>
          <w:kern w:val="0"/>
          <w:sz w:val="24"/>
          <w:highlight w:val="none"/>
          <w:lang w:eastAsia="zh-CN"/>
        </w:rPr>
        <w:t>民法典</w:t>
      </w:r>
      <w:r>
        <w:rPr>
          <w:rFonts w:hint="eastAsia" w:ascii="宋体" w:hAnsi="宋体" w:cs="宋体"/>
          <w:color w:val="auto"/>
          <w:kern w:val="0"/>
          <w:sz w:val="24"/>
          <w:highlight w:val="none"/>
        </w:rPr>
        <w:t>》等法律、法规规定，按照竞标文件规定条款和成交供应商承诺、甲乙双方签订本合同。</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第一条合同文件</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本合同所附下列文件是构成本合同不可分割的部分：</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（1）成交人提交的竞标报价明细表、实施方案、服务承诺书；</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（2）成交通知书；</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（3）本合同协议书及有关补充资料；</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（4）招标文件的条款要求。</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第二条合同标的及合同金额</w:t>
      </w:r>
    </w:p>
    <w:tbl>
      <w:tblPr>
        <w:tblStyle w:val="30"/>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9"/>
        <w:gridCol w:w="1689"/>
        <w:gridCol w:w="1125"/>
        <w:gridCol w:w="1559"/>
        <w:gridCol w:w="1843"/>
        <w:gridCol w:w="2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89" w:type="dxa"/>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服务名称</w:t>
            </w:r>
          </w:p>
        </w:tc>
        <w:tc>
          <w:tcPr>
            <w:tcW w:w="1689" w:type="dxa"/>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服务内容</w:t>
            </w:r>
          </w:p>
        </w:tc>
        <w:tc>
          <w:tcPr>
            <w:tcW w:w="1125" w:type="dxa"/>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数量①</w:t>
            </w:r>
          </w:p>
        </w:tc>
        <w:tc>
          <w:tcPr>
            <w:tcW w:w="1559" w:type="dxa"/>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单位</w:t>
            </w:r>
          </w:p>
        </w:tc>
        <w:tc>
          <w:tcPr>
            <w:tcW w:w="1843" w:type="dxa"/>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单价②</w:t>
            </w:r>
          </w:p>
        </w:tc>
        <w:tc>
          <w:tcPr>
            <w:tcW w:w="2232" w:type="dxa"/>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单项合计金额（元）③＝①×②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89" w:type="dxa"/>
          </w:tcPr>
          <w:p>
            <w:pPr>
              <w:spacing w:line="440" w:lineRule="exact"/>
              <w:rPr>
                <w:rFonts w:ascii="宋体" w:hAnsi="宋体" w:cs="宋体"/>
                <w:color w:val="auto"/>
                <w:sz w:val="24"/>
                <w:highlight w:val="none"/>
              </w:rPr>
            </w:pPr>
          </w:p>
        </w:tc>
        <w:tc>
          <w:tcPr>
            <w:tcW w:w="1689" w:type="dxa"/>
          </w:tcPr>
          <w:p>
            <w:pPr>
              <w:spacing w:line="440" w:lineRule="exact"/>
              <w:rPr>
                <w:rFonts w:ascii="宋体" w:hAnsi="宋体" w:cs="宋体"/>
                <w:color w:val="auto"/>
                <w:sz w:val="24"/>
                <w:highlight w:val="none"/>
              </w:rPr>
            </w:pPr>
          </w:p>
        </w:tc>
        <w:tc>
          <w:tcPr>
            <w:tcW w:w="1125" w:type="dxa"/>
          </w:tcPr>
          <w:p>
            <w:pPr>
              <w:spacing w:line="440" w:lineRule="exact"/>
              <w:rPr>
                <w:rFonts w:ascii="宋体" w:hAnsi="宋体" w:cs="宋体"/>
                <w:color w:val="auto"/>
                <w:sz w:val="24"/>
                <w:highlight w:val="none"/>
              </w:rPr>
            </w:pPr>
          </w:p>
        </w:tc>
        <w:tc>
          <w:tcPr>
            <w:tcW w:w="1559" w:type="dxa"/>
          </w:tcPr>
          <w:p>
            <w:pPr>
              <w:spacing w:line="440" w:lineRule="exact"/>
              <w:rPr>
                <w:rFonts w:ascii="宋体" w:hAnsi="宋体" w:cs="宋体"/>
                <w:color w:val="auto"/>
                <w:sz w:val="24"/>
                <w:highlight w:val="none"/>
              </w:rPr>
            </w:pPr>
          </w:p>
        </w:tc>
        <w:tc>
          <w:tcPr>
            <w:tcW w:w="1843" w:type="dxa"/>
          </w:tcPr>
          <w:p>
            <w:pPr>
              <w:spacing w:line="440" w:lineRule="exact"/>
              <w:rPr>
                <w:rFonts w:ascii="宋体" w:hAnsi="宋体" w:cs="宋体"/>
                <w:color w:val="auto"/>
                <w:sz w:val="24"/>
                <w:highlight w:val="none"/>
              </w:rPr>
            </w:pPr>
          </w:p>
        </w:tc>
        <w:tc>
          <w:tcPr>
            <w:tcW w:w="2232" w:type="dxa"/>
          </w:tcPr>
          <w:p>
            <w:pPr>
              <w:spacing w:line="440" w:lineRule="exact"/>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05" w:type="dxa"/>
            <w:gridSpan w:val="5"/>
          </w:tcPr>
          <w:p>
            <w:pPr>
              <w:spacing w:line="440" w:lineRule="exact"/>
              <w:rPr>
                <w:rFonts w:ascii="宋体" w:hAnsi="宋体" w:cs="宋体"/>
                <w:color w:val="auto"/>
                <w:sz w:val="24"/>
                <w:highlight w:val="none"/>
              </w:rPr>
            </w:pPr>
            <w:r>
              <w:rPr>
                <w:rFonts w:hint="eastAsia" w:ascii="宋体" w:hAnsi="宋体" w:cs="宋体"/>
                <w:color w:val="auto"/>
                <w:sz w:val="24"/>
                <w:highlight w:val="none"/>
              </w:rPr>
              <w:t>竞标报价（合计金额）</w:t>
            </w:r>
          </w:p>
        </w:tc>
        <w:tc>
          <w:tcPr>
            <w:tcW w:w="2232" w:type="dxa"/>
          </w:tcPr>
          <w:p>
            <w:pPr>
              <w:spacing w:line="440" w:lineRule="exact"/>
              <w:rPr>
                <w:rFonts w:ascii="宋体" w:hAnsi="宋体" w:cs="宋体"/>
                <w:color w:val="auto"/>
                <w:sz w:val="24"/>
                <w:highlight w:val="none"/>
              </w:rPr>
            </w:pPr>
          </w:p>
        </w:tc>
      </w:tr>
    </w:tbl>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根据《成交通知书》的成交内容，合同的总金额为：（大写）</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人民币（￥元）</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第三条服务保证</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1、应在招标文件规定的招标范围内按其响应招标文件要求所承诺的项目实施方案及服务方案实施服务。</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2、服务时间：________________________、地点：__________________________。</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3、乙方提供不符合竞标文件和本合同规定的服务项目的，甲方有权拒绝接受。</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第四条权力保证</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1、乙方应保证所提供服务在使用时不会侵犯任何第三方的专利权、商标权、工业设计权或其他权利。</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2、乙方应按招标文件规定的时间向甲方提供使用服务方案的有关技术资料。</w:t>
      </w:r>
    </w:p>
    <w:p>
      <w:pPr>
        <w:widowControl/>
        <w:shd w:val="clear" w:color="auto" w:fill="FFFFFF"/>
        <w:spacing w:line="44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3、乙方保证所交付的服务内容的所有权完全属于乙方且无任何抵押、质押、查封等产权瑕疵。</w:t>
      </w:r>
    </w:p>
    <w:p>
      <w:pPr>
        <w:spacing w:line="440" w:lineRule="exact"/>
        <w:rPr>
          <w:rFonts w:ascii="宋体" w:hAnsi="宋体" w:cs="宋体"/>
          <w:color w:val="auto"/>
          <w:sz w:val="24"/>
          <w:highlight w:val="none"/>
        </w:rPr>
      </w:pPr>
    </w:p>
    <w:p>
      <w:pPr>
        <w:spacing w:line="440" w:lineRule="exact"/>
        <w:rPr>
          <w:rFonts w:ascii="宋体" w:hAnsi="宋体" w:cs="宋体"/>
          <w:color w:val="auto"/>
          <w:sz w:val="24"/>
          <w:highlight w:val="none"/>
        </w:rPr>
      </w:pPr>
      <w:r>
        <w:rPr>
          <w:rFonts w:hint="eastAsia" w:ascii="宋体" w:hAnsi="宋体" w:cs="宋体"/>
          <w:color w:val="auto"/>
          <w:sz w:val="24"/>
          <w:highlight w:val="none"/>
        </w:rPr>
        <w:t>第五条验收</w:t>
      </w:r>
    </w:p>
    <w:p>
      <w:pPr>
        <w:spacing w:line="440" w:lineRule="exact"/>
        <w:rPr>
          <w:rFonts w:ascii="宋体" w:hAnsi="宋体" w:cs="宋体"/>
          <w:color w:val="auto"/>
          <w:sz w:val="24"/>
          <w:highlight w:val="none"/>
        </w:rPr>
      </w:pPr>
      <w:r>
        <w:rPr>
          <w:rFonts w:hint="eastAsia" w:ascii="宋体" w:hAnsi="宋体" w:cs="宋体"/>
          <w:color w:val="auto"/>
          <w:sz w:val="24"/>
          <w:highlight w:val="none"/>
        </w:rPr>
        <w:t>1、甲方依照招标文件上的要求、考评方法和国家及桂平市的有关标准进行现场验收，服务达到要求的，给予签收，验收不合格的不予签收。</w:t>
      </w:r>
    </w:p>
    <w:p>
      <w:pPr>
        <w:spacing w:line="440" w:lineRule="exact"/>
        <w:rPr>
          <w:rFonts w:ascii="宋体" w:hAnsi="宋体" w:cs="宋体"/>
          <w:color w:val="auto"/>
          <w:sz w:val="24"/>
          <w:highlight w:val="none"/>
        </w:rPr>
      </w:pPr>
      <w:r>
        <w:rPr>
          <w:rFonts w:hint="eastAsia" w:ascii="宋体" w:hAnsi="宋体" w:cs="宋体"/>
          <w:color w:val="auto"/>
          <w:sz w:val="24"/>
          <w:highlight w:val="none"/>
        </w:rPr>
        <w:t>2、甲方应在验收完毕后按规定填制验收单。非不可抗力因素而拒绝验收或无故刁难、超过规定期限的，视同验收，损失自负。</w:t>
      </w:r>
    </w:p>
    <w:p>
      <w:pPr>
        <w:spacing w:line="440" w:lineRule="exact"/>
        <w:rPr>
          <w:rFonts w:ascii="宋体" w:hAnsi="宋体" w:cs="宋体"/>
          <w:color w:val="auto"/>
          <w:sz w:val="24"/>
          <w:highlight w:val="none"/>
        </w:rPr>
      </w:pPr>
      <w:r>
        <w:rPr>
          <w:rFonts w:hint="eastAsia" w:ascii="宋体" w:hAnsi="宋体" w:cs="宋体"/>
          <w:color w:val="auto"/>
          <w:sz w:val="24"/>
          <w:highlight w:val="none"/>
        </w:rPr>
        <w:t>3、甲方对验收有异议的，在验收后5个工作日内以书面形式向乙方提出，乙方应自收到甲方书面异议后日内及时予以解决。</w:t>
      </w:r>
    </w:p>
    <w:p>
      <w:pPr>
        <w:spacing w:line="440" w:lineRule="exact"/>
        <w:rPr>
          <w:rFonts w:ascii="宋体" w:hAnsi="宋体" w:cs="宋体"/>
          <w:color w:val="auto"/>
          <w:sz w:val="24"/>
          <w:highlight w:val="none"/>
        </w:rPr>
      </w:pPr>
      <w:r>
        <w:rPr>
          <w:rFonts w:hint="eastAsia" w:ascii="宋体" w:hAnsi="宋体" w:cs="宋体"/>
          <w:color w:val="auto"/>
          <w:sz w:val="24"/>
          <w:highlight w:val="none"/>
        </w:rPr>
        <w:t>第六条服务条款</w:t>
      </w:r>
    </w:p>
    <w:p>
      <w:pPr>
        <w:spacing w:line="440" w:lineRule="exact"/>
        <w:ind w:firstLine="120" w:firstLineChars="50"/>
        <w:rPr>
          <w:rFonts w:ascii="宋体" w:hAnsi="宋体" w:cs="宋体"/>
          <w:color w:val="auto"/>
          <w:sz w:val="24"/>
          <w:highlight w:val="none"/>
        </w:rPr>
      </w:pPr>
      <w:r>
        <w:rPr>
          <w:rFonts w:hint="eastAsia" w:ascii="宋体" w:hAnsi="宋体" w:cs="宋体"/>
          <w:color w:val="auto"/>
          <w:sz w:val="24"/>
          <w:highlight w:val="none"/>
        </w:rPr>
        <w:t>甲、乙双方应将招标文件、竞标文件及评标委员会确认的实施方案、服务方案及承诺书等作为本条款的基础。</w:t>
      </w:r>
    </w:p>
    <w:p>
      <w:pPr>
        <w:spacing w:line="440" w:lineRule="exact"/>
        <w:rPr>
          <w:rFonts w:ascii="宋体" w:hAnsi="宋体" w:cs="宋体"/>
          <w:color w:val="auto"/>
          <w:sz w:val="24"/>
          <w:highlight w:val="none"/>
        </w:rPr>
      </w:pPr>
      <w:r>
        <w:rPr>
          <w:rFonts w:hint="eastAsia" w:ascii="宋体" w:hAnsi="宋体" w:cs="宋体"/>
          <w:color w:val="auto"/>
          <w:sz w:val="24"/>
          <w:highlight w:val="none"/>
        </w:rPr>
        <w:t>第七条税费</w:t>
      </w:r>
    </w:p>
    <w:p>
      <w:pPr>
        <w:spacing w:line="440" w:lineRule="exact"/>
        <w:rPr>
          <w:rFonts w:ascii="宋体" w:hAnsi="宋体" w:cs="宋体"/>
          <w:color w:val="auto"/>
          <w:sz w:val="24"/>
          <w:highlight w:val="none"/>
        </w:rPr>
      </w:pPr>
      <w:r>
        <w:rPr>
          <w:rFonts w:hint="eastAsia" w:ascii="宋体" w:hAnsi="宋体" w:cs="宋体"/>
          <w:color w:val="auto"/>
          <w:sz w:val="24"/>
          <w:highlight w:val="none"/>
        </w:rPr>
        <w:t>本合同执行中相关的一切税费均由乙方负担。</w:t>
      </w:r>
    </w:p>
    <w:p>
      <w:pPr>
        <w:spacing w:line="440" w:lineRule="exact"/>
        <w:rPr>
          <w:rFonts w:ascii="宋体" w:hAnsi="宋体" w:cs="宋体"/>
          <w:color w:val="auto"/>
          <w:sz w:val="24"/>
          <w:highlight w:val="none"/>
        </w:rPr>
      </w:pPr>
      <w:r>
        <w:rPr>
          <w:rFonts w:hint="eastAsia" w:ascii="宋体" w:hAnsi="宋体" w:cs="宋体"/>
          <w:color w:val="auto"/>
          <w:sz w:val="24"/>
          <w:highlight w:val="none"/>
        </w:rPr>
        <w:t>第八条付款方式</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1.本项目服务费按土地增值税清算补缴入库金额3%计算,应支付金额不高于中标价的，成交供应商提交鉴证报告给清算项目主管税务机关审核并出具验收审核意见后，向采购人提交书面付款申请，并由采购方根据合同完成的项目清算清单，按服务费用90%计算给付，清算项目结束一年后，如无重大涉税事项（税务稽查、风险应对），支付服务费用的10%。</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2.本项目服务费按土地增值税清算补缴入库金额3%计算不足3万元的，按约定和要求完成清算辅助审核项目的，按每个项目3万元支付服务费，请款条件及流程同上。</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3.本项目服务费按土地增值税清算补缴入库金额3%计算应支付金额高于中标价的, 按中标价给付，请款条件及流程同上。</w:t>
      </w:r>
    </w:p>
    <w:p>
      <w:pPr>
        <w:spacing w:line="440" w:lineRule="exact"/>
        <w:rPr>
          <w:rFonts w:ascii="宋体" w:hAnsi="宋体" w:cs="宋体"/>
          <w:color w:val="auto"/>
          <w:sz w:val="24"/>
          <w:highlight w:val="none"/>
        </w:rPr>
      </w:pPr>
      <w:r>
        <w:rPr>
          <w:rFonts w:hint="eastAsia" w:ascii="宋体" w:hAnsi="宋体" w:cs="宋体"/>
          <w:color w:val="auto"/>
          <w:sz w:val="24"/>
          <w:highlight w:val="none"/>
        </w:rPr>
        <w:t>第九条违约责任</w:t>
      </w:r>
    </w:p>
    <w:p>
      <w:pPr>
        <w:spacing w:line="440" w:lineRule="exact"/>
        <w:rPr>
          <w:rFonts w:ascii="宋体" w:hAnsi="宋体" w:cs="宋体"/>
          <w:color w:val="auto"/>
          <w:sz w:val="24"/>
          <w:highlight w:val="none"/>
        </w:rPr>
      </w:pPr>
      <w:r>
        <w:rPr>
          <w:rFonts w:hint="eastAsia" w:ascii="宋体" w:hAnsi="宋体" w:cs="宋体"/>
          <w:color w:val="auto"/>
          <w:sz w:val="24"/>
          <w:highlight w:val="none"/>
        </w:rPr>
        <w:t>1.乙方未按本合同和竞标文件中规定的服务承诺提供服务的，每逾期一个工作日，乙方应按本合同合计金额5%向甲方支付违约金。</w:t>
      </w:r>
    </w:p>
    <w:p>
      <w:pPr>
        <w:pStyle w:val="6"/>
        <w:ind w:left="0" w:firstLine="0"/>
        <w:rPr>
          <w:b w:val="0"/>
          <w:bCs/>
          <w:color w:val="auto"/>
          <w:highlight w:val="none"/>
        </w:rPr>
      </w:pPr>
      <w:r>
        <w:rPr>
          <w:rFonts w:hint="eastAsia"/>
          <w:b w:val="0"/>
          <w:bCs/>
          <w:color w:val="auto"/>
          <w:highlight w:val="none"/>
        </w:rPr>
        <w:t>2.合同履行期间，如甲方发现乙方有严重失职或违反有关法律法规行为导致采购人利益受损，或严重影响交通隔离栏的使用，甲方有权解除合同。如甲方无故拖欠乙方工程款1个月以上成交人有权暂停工程维修服务。无特殊原因，甲乙双方不得擅自解除合同，违者应按有关文件规定赔偿给对方。</w:t>
      </w:r>
    </w:p>
    <w:p>
      <w:pPr>
        <w:spacing w:line="440" w:lineRule="exact"/>
        <w:rPr>
          <w:rFonts w:ascii="宋体" w:hAnsi="宋体" w:cs="宋体"/>
          <w:color w:val="auto"/>
          <w:sz w:val="24"/>
          <w:highlight w:val="none"/>
        </w:rPr>
      </w:pPr>
      <w:r>
        <w:rPr>
          <w:rFonts w:hint="eastAsia" w:ascii="宋体" w:hAnsi="宋体" w:cs="宋体"/>
          <w:color w:val="auto"/>
          <w:sz w:val="24"/>
          <w:highlight w:val="none"/>
        </w:rPr>
        <w:t>第十条不可抗力事件处理</w:t>
      </w:r>
    </w:p>
    <w:p>
      <w:pPr>
        <w:pStyle w:val="100"/>
        <w:spacing w:line="440" w:lineRule="exact"/>
        <w:ind w:left="105" w:firstLine="0" w:firstLineChars="0"/>
        <w:rPr>
          <w:rFonts w:ascii="宋体" w:hAnsi="宋体" w:cs="宋体"/>
          <w:color w:val="auto"/>
          <w:sz w:val="24"/>
          <w:highlight w:val="none"/>
        </w:rPr>
      </w:pPr>
      <w:r>
        <w:rPr>
          <w:rFonts w:hint="eastAsia" w:ascii="宋体" w:hAnsi="宋体" w:cs="宋体"/>
          <w:color w:val="auto"/>
          <w:sz w:val="24"/>
          <w:highlight w:val="none"/>
        </w:rPr>
        <w:t>1.在合同有效期内，乙方因不可抗力事件导致不能履行合同，则合同履行期可延长，其延长期与不可抗力影响期相同。</w:t>
      </w:r>
    </w:p>
    <w:p>
      <w:pPr>
        <w:pStyle w:val="100"/>
        <w:spacing w:line="440" w:lineRule="exact"/>
        <w:ind w:left="105" w:firstLine="0" w:firstLineChars="0"/>
        <w:rPr>
          <w:rFonts w:ascii="宋体" w:hAnsi="宋体" w:cs="宋体"/>
          <w:color w:val="auto"/>
          <w:sz w:val="24"/>
          <w:highlight w:val="none"/>
        </w:rPr>
      </w:pPr>
      <w:r>
        <w:rPr>
          <w:rFonts w:hint="eastAsia" w:ascii="宋体" w:hAnsi="宋体" w:cs="宋体"/>
          <w:color w:val="auto"/>
          <w:sz w:val="24"/>
          <w:highlight w:val="none"/>
        </w:rPr>
        <w:t>2.不可抗力事件发生后，应立即通知对方，并寄送有关权威机构出具的证明。</w:t>
      </w:r>
    </w:p>
    <w:p>
      <w:pPr>
        <w:pStyle w:val="100"/>
        <w:spacing w:line="440" w:lineRule="exact"/>
        <w:ind w:left="105" w:firstLine="0" w:firstLineChars="0"/>
        <w:rPr>
          <w:rFonts w:ascii="宋体" w:hAnsi="宋体" w:cs="宋体"/>
          <w:color w:val="auto"/>
          <w:sz w:val="24"/>
          <w:highlight w:val="none"/>
        </w:rPr>
      </w:pPr>
      <w:r>
        <w:rPr>
          <w:rFonts w:hint="eastAsia" w:ascii="宋体" w:hAnsi="宋体" w:cs="宋体"/>
          <w:color w:val="auto"/>
          <w:sz w:val="24"/>
          <w:highlight w:val="none"/>
        </w:rPr>
        <w:t>3.不可抗力事件延续一百二十天以上，双方应通过友好协商，确定是否继续履行合同。</w:t>
      </w:r>
    </w:p>
    <w:p>
      <w:pPr>
        <w:spacing w:line="440" w:lineRule="exact"/>
        <w:ind w:left="105"/>
        <w:rPr>
          <w:rFonts w:ascii="宋体" w:hAnsi="宋体" w:cs="宋体"/>
          <w:color w:val="auto"/>
          <w:sz w:val="24"/>
          <w:highlight w:val="none"/>
        </w:rPr>
      </w:pPr>
      <w:r>
        <w:rPr>
          <w:rFonts w:hint="eastAsia" w:ascii="宋体" w:hAnsi="宋体" w:cs="宋体"/>
          <w:color w:val="auto"/>
          <w:sz w:val="24"/>
          <w:highlight w:val="none"/>
        </w:rPr>
        <w:t>第十一条合同争议解决</w:t>
      </w:r>
    </w:p>
    <w:p>
      <w:pPr>
        <w:spacing w:line="440" w:lineRule="exact"/>
        <w:rPr>
          <w:rFonts w:ascii="宋体" w:hAnsi="宋体" w:cs="宋体"/>
          <w:color w:val="auto"/>
          <w:sz w:val="24"/>
          <w:highlight w:val="none"/>
        </w:rPr>
      </w:pPr>
      <w:r>
        <w:rPr>
          <w:rFonts w:hint="eastAsia" w:ascii="宋体" w:hAnsi="宋体" w:cs="宋体"/>
          <w:color w:val="auto"/>
          <w:sz w:val="24"/>
          <w:highlight w:val="none"/>
        </w:rPr>
        <w:t>1、因履行本合同引起的或与本合同有关的争议，甲乙双方应首先通过友好协商解决，如果协商不能解决，可向桂平市仲裁委员会申请仲裁或向桂平市人民法院提起诉讼。</w:t>
      </w:r>
    </w:p>
    <w:p>
      <w:pPr>
        <w:spacing w:line="440" w:lineRule="exact"/>
        <w:rPr>
          <w:rFonts w:ascii="宋体" w:hAnsi="宋体" w:cs="宋体"/>
          <w:color w:val="auto"/>
          <w:sz w:val="24"/>
          <w:highlight w:val="none"/>
        </w:rPr>
      </w:pPr>
      <w:r>
        <w:rPr>
          <w:rFonts w:hint="eastAsia" w:ascii="宋体" w:hAnsi="宋体" w:cs="宋体"/>
          <w:color w:val="auto"/>
          <w:sz w:val="24"/>
          <w:highlight w:val="none"/>
        </w:rPr>
        <w:t>2、诉讼期间，本合同继续履行。</w:t>
      </w:r>
    </w:p>
    <w:p>
      <w:pPr>
        <w:spacing w:line="440" w:lineRule="exact"/>
        <w:ind w:firstLine="240" w:firstLineChars="100"/>
        <w:rPr>
          <w:rFonts w:ascii="宋体" w:hAnsi="宋体" w:cs="宋体"/>
          <w:color w:val="auto"/>
          <w:sz w:val="24"/>
          <w:highlight w:val="none"/>
        </w:rPr>
      </w:pPr>
      <w:r>
        <w:rPr>
          <w:rFonts w:hint="eastAsia" w:ascii="宋体" w:hAnsi="宋体" w:cs="宋体"/>
          <w:color w:val="auto"/>
          <w:sz w:val="24"/>
          <w:highlight w:val="none"/>
        </w:rPr>
        <w:t>第十二条合同生效及其它</w:t>
      </w:r>
    </w:p>
    <w:p>
      <w:pPr>
        <w:spacing w:line="440" w:lineRule="exact"/>
        <w:rPr>
          <w:rFonts w:ascii="宋体" w:hAnsi="宋体" w:cs="宋体"/>
          <w:color w:val="auto"/>
          <w:sz w:val="24"/>
          <w:highlight w:val="none"/>
        </w:rPr>
      </w:pPr>
      <w:r>
        <w:rPr>
          <w:rFonts w:hint="eastAsia" w:ascii="宋体" w:hAnsi="宋体" w:cs="宋体"/>
          <w:color w:val="auto"/>
          <w:sz w:val="24"/>
          <w:highlight w:val="none"/>
        </w:rPr>
        <w:t>1、合同经甲乙双方法定代表人（负责人）或授权代表签字并加盖单位公章后生效。</w:t>
      </w:r>
    </w:p>
    <w:p>
      <w:pPr>
        <w:spacing w:line="440" w:lineRule="exact"/>
        <w:rPr>
          <w:rFonts w:ascii="宋体" w:hAnsi="宋体" w:cs="宋体"/>
          <w:color w:val="auto"/>
          <w:sz w:val="24"/>
          <w:highlight w:val="none"/>
        </w:rPr>
      </w:pPr>
      <w:r>
        <w:rPr>
          <w:rFonts w:hint="eastAsia" w:ascii="宋体" w:hAnsi="宋体" w:cs="宋体"/>
          <w:color w:val="auto"/>
          <w:sz w:val="24"/>
          <w:highlight w:val="none"/>
        </w:rPr>
        <w:t>2、合同执行中涉及采购资金和采购内容修改或补充的，需经桂平市财政部门审批，并签订书面补充协议报</w:t>
      </w:r>
      <w:r>
        <w:rPr>
          <w:rFonts w:hint="eastAsia" w:ascii="宋体" w:hAnsi="宋体" w:cs="宋体"/>
          <w:b/>
          <w:color w:val="auto"/>
          <w:sz w:val="24"/>
          <w:highlight w:val="none"/>
        </w:rPr>
        <w:t>同级监督部门</w:t>
      </w:r>
      <w:r>
        <w:rPr>
          <w:rFonts w:hint="eastAsia" w:ascii="宋体" w:hAnsi="宋体" w:cs="宋体"/>
          <w:color w:val="auto"/>
          <w:sz w:val="24"/>
          <w:highlight w:val="none"/>
        </w:rPr>
        <w:t>备案，方可作为主合同不可分割的一部分。</w:t>
      </w:r>
    </w:p>
    <w:p>
      <w:pPr>
        <w:spacing w:line="440" w:lineRule="exact"/>
        <w:rPr>
          <w:rFonts w:ascii="宋体" w:hAnsi="宋体" w:cs="宋体"/>
          <w:color w:val="auto"/>
          <w:sz w:val="24"/>
          <w:highlight w:val="none"/>
        </w:rPr>
      </w:pPr>
      <w:r>
        <w:rPr>
          <w:rFonts w:hint="eastAsia" w:ascii="宋体" w:hAnsi="宋体" w:cs="宋体"/>
          <w:color w:val="auto"/>
          <w:sz w:val="24"/>
          <w:highlight w:val="none"/>
        </w:rPr>
        <w:t>3、本合同未尽事宜，遵照《</w:t>
      </w:r>
      <w:r>
        <w:rPr>
          <w:rFonts w:hint="eastAsia" w:ascii="宋体" w:hAnsi="宋体" w:cs="宋体"/>
          <w:color w:val="auto"/>
          <w:sz w:val="24"/>
          <w:highlight w:val="none"/>
          <w:lang w:eastAsia="zh-CN"/>
        </w:rPr>
        <w:t>民法典</w:t>
      </w:r>
      <w:r>
        <w:rPr>
          <w:rFonts w:hint="eastAsia" w:ascii="宋体" w:hAnsi="宋体" w:cs="宋体"/>
          <w:color w:val="auto"/>
          <w:sz w:val="24"/>
          <w:highlight w:val="none"/>
        </w:rPr>
        <w:t>》有关条文执行。</w:t>
      </w:r>
    </w:p>
    <w:p>
      <w:pPr>
        <w:spacing w:line="440" w:lineRule="exact"/>
        <w:rPr>
          <w:rFonts w:ascii="宋体" w:hAnsi="宋体" w:cs="宋体"/>
          <w:color w:val="auto"/>
          <w:sz w:val="24"/>
          <w:highlight w:val="none"/>
        </w:rPr>
      </w:pPr>
      <w:r>
        <w:rPr>
          <w:rFonts w:hint="eastAsia" w:ascii="宋体" w:hAnsi="宋体" w:cs="宋体"/>
          <w:color w:val="auto"/>
          <w:sz w:val="24"/>
          <w:highlight w:val="none"/>
        </w:rPr>
        <w:t>第十三条合同的变更、终止与转让</w:t>
      </w:r>
    </w:p>
    <w:p>
      <w:pPr>
        <w:spacing w:line="440" w:lineRule="exact"/>
        <w:rPr>
          <w:rFonts w:ascii="宋体" w:hAnsi="宋体" w:cs="宋体"/>
          <w:color w:val="auto"/>
          <w:sz w:val="24"/>
          <w:highlight w:val="none"/>
        </w:rPr>
      </w:pPr>
      <w:r>
        <w:rPr>
          <w:rFonts w:hint="eastAsia" w:ascii="宋体" w:hAnsi="宋体" w:cs="宋体"/>
          <w:color w:val="auto"/>
          <w:sz w:val="24"/>
          <w:highlight w:val="none"/>
        </w:rPr>
        <w:t>1、除《中华人民共和国政府采购法》第五十条规定的情形外，本合同一经签订，甲乙双方不得擅自变更，中止或终止。</w:t>
      </w:r>
    </w:p>
    <w:p>
      <w:pPr>
        <w:spacing w:line="440" w:lineRule="exact"/>
        <w:rPr>
          <w:rFonts w:ascii="宋体" w:hAnsi="宋体" w:cs="宋体"/>
          <w:color w:val="auto"/>
          <w:sz w:val="24"/>
          <w:highlight w:val="none"/>
        </w:rPr>
      </w:pPr>
      <w:r>
        <w:rPr>
          <w:rFonts w:hint="eastAsia" w:ascii="宋体" w:hAnsi="宋体" w:cs="宋体"/>
          <w:color w:val="auto"/>
          <w:sz w:val="24"/>
          <w:highlight w:val="none"/>
        </w:rPr>
        <w:t>2、乙方不得擅自转让（无进口资格的供应商委托进口货物除外）其应履行的合同义务。</w:t>
      </w:r>
    </w:p>
    <w:p>
      <w:pPr>
        <w:spacing w:line="440" w:lineRule="exact"/>
        <w:rPr>
          <w:rFonts w:ascii="宋体" w:hAnsi="宋体" w:cs="宋体"/>
          <w:color w:val="auto"/>
          <w:sz w:val="24"/>
          <w:highlight w:val="none"/>
        </w:rPr>
      </w:pPr>
      <w:r>
        <w:rPr>
          <w:rFonts w:hint="eastAsia" w:ascii="宋体" w:hAnsi="宋体" w:cs="宋体"/>
          <w:color w:val="auto"/>
          <w:sz w:val="24"/>
          <w:highlight w:val="none"/>
        </w:rPr>
        <w:t>第十四条签订本合同依据</w:t>
      </w:r>
    </w:p>
    <w:p>
      <w:pPr>
        <w:spacing w:line="440" w:lineRule="exact"/>
        <w:rPr>
          <w:rFonts w:ascii="宋体" w:hAnsi="宋体" w:cs="宋体"/>
          <w:color w:val="auto"/>
          <w:sz w:val="24"/>
          <w:highlight w:val="none"/>
        </w:rPr>
      </w:pPr>
      <w:r>
        <w:rPr>
          <w:rFonts w:hint="eastAsia" w:ascii="宋体" w:hAnsi="宋体" w:cs="宋体"/>
          <w:color w:val="auto"/>
          <w:sz w:val="24"/>
          <w:highlight w:val="none"/>
        </w:rPr>
        <w:t>1、竞争性磋商文件；</w:t>
      </w:r>
    </w:p>
    <w:p>
      <w:pPr>
        <w:spacing w:line="440" w:lineRule="exact"/>
        <w:rPr>
          <w:rFonts w:ascii="宋体" w:hAnsi="宋体" w:cs="宋体"/>
          <w:color w:val="auto"/>
          <w:sz w:val="24"/>
          <w:highlight w:val="none"/>
        </w:rPr>
      </w:pPr>
      <w:r>
        <w:rPr>
          <w:rFonts w:hint="eastAsia" w:ascii="宋体" w:hAnsi="宋体" w:cs="宋体"/>
          <w:color w:val="auto"/>
          <w:sz w:val="24"/>
          <w:highlight w:val="none"/>
        </w:rPr>
        <w:t>2、成交人的竞标报价明细表、实施方案、响应本项目《项目采购需求》中所以内容及技术规范要求的承诺书；</w:t>
      </w:r>
    </w:p>
    <w:p>
      <w:pPr>
        <w:spacing w:line="440" w:lineRule="exact"/>
        <w:rPr>
          <w:rFonts w:ascii="宋体" w:hAnsi="宋体" w:cs="宋体"/>
          <w:color w:val="auto"/>
          <w:sz w:val="24"/>
          <w:highlight w:val="none"/>
        </w:rPr>
      </w:pPr>
      <w:r>
        <w:rPr>
          <w:rFonts w:hint="eastAsia" w:ascii="宋体" w:hAnsi="宋体" w:cs="宋体"/>
          <w:color w:val="auto"/>
          <w:sz w:val="24"/>
          <w:highlight w:val="none"/>
        </w:rPr>
        <w:t>3、成交通知书。</w:t>
      </w:r>
    </w:p>
    <w:p>
      <w:pPr>
        <w:spacing w:line="440" w:lineRule="exact"/>
        <w:ind w:firstLine="120" w:firstLineChars="50"/>
        <w:rPr>
          <w:rFonts w:ascii="宋体" w:hAnsi="宋体" w:cs="宋体"/>
          <w:color w:val="auto"/>
          <w:sz w:val="24"/>
          <w:highlight w:val="none"/>
        </w:rPr>
      </w:pPr>
      <w:r>
        <w:rPr>
          <w:rFonts w:hint="eastAsia" w:ascii="宋体" w:hAnsi="宋体" w:cs="宋体"/>
          <w:color w:val="auto"/>
          <w:sz w:val="24"/>
          <w:highlight w:val="none"/>
        </w:rPr>
        <w:t>本合同甲乙双方签字盖章后生效，一式肆份，具有同等法律效力，甲、乙双方各壹份。</w:t>
      </w:r>
    </w:p>
    <w:p>
      <w:pPr>
        <w:spacing w:line="440" w:lineRule="exact"/>
        <w:ind w:firstLine="120" w:firstLineChars="50"/>
        <w:rPr>
          <w:rFonts w:ascii="宋体" w:hAnsi="宋体" w:cs="宋体"/>
          <w:color w:val="auto"/>
          <w:sz w:val="24"/>
          <w:highlight w:val="none"/>
        </w:rPr>
      </w:pPr>
      <w:r>
        <w:rPr>
          <w:rFonts w:hint="eastAsia" w:ascii="宋体" w:hAnsi="宋体" w:cs="宋体"/>
          <w:color w:val="auto"/>
          <w:sz w:val="24"/>
          <w:highlight w:val="none"/>
        </w:rPr>
        <w:t>政府采购合同双方自签订之日起七个工作日内将合同两份交采购代理机构。采购代理机构将一份合同送</w:t>
      </w:r>
      <w:r>
        <w:rPr>
          <w:rFonts w:hint="eastAsia" w:ascii="宋体" w:hAnsi="宋体" w:cs="宋体"/>
          <w:b/>
          <w:color w:val="auto"/>
          <w:sz w:val="24"/>
          <w:highlight w:val="none"/>
        </w:rPr>
        <w:t>同级监督部门</w:t>
      </w:r>
      <w:r>
        <w:rPr>
          <w:rFonts w:hint="eastAsia" w:ascii="宋体" w:hAnsi="宋体" w:cs="宋体"/>
          <w:color w:val="auto"/>
          <w:sz w:val="24"/>
          <w:highlight w:val="none"/>
        </w:rPr>
        <w:t>备案，一份由采购代理机构存档。</w:t>
      </w:r>
    </w:p>
    <w:tbl>
      <w:tblPr>
        <w:tblStyle w:val="3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516"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 xml:space="preserve">甲方（章）           </w:t>
            </w:r>
          </w:p>
          <w:p>
            <w:pPr>
              <w:snapToGrid w:val="0"/>
              <w:spacing w:line="400" w:lineRule="exact"/>
              <w:ind w:firstLine="1080" w:firstLineChars="450"/>
              <w:jc w:val="right"/>
              <w:rPr>
                <w:rFonts w:ascii="宋体" w:hAnsi="宋体" w:cs="宋体"/>
                <w:color w:val="auto"/>
                <w:sz w:val="24"/>
                <w:highlight w:val="none"/>
              </w:rPr>
            </w:pPr>
            <w:r>
              <w:rPr>
                <w:rFonts w:hint="eastAsia" w:ascii="宋体" w:hAnsi="宋体" w:cs="宋体"/>
                <w:color w:val="auto"/>
                <w:sz w:val="24"/>
                <w:highlight w:val="none"/>
              </w:rPr>
              <w:t>年   月   日</w:t>
            </w:r>
          </w:p>
        </w:tc>
        <w:tc>
          <w:tcPr>
            <w:tcW w:w="4517"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 xml:space="preserve">乙方（章）              </w:t>
            </w:r>
          </w:p>
          <w:p>
            <w:pPr>
              <w:snapToGrid w:val="0"/>
              <w:spacing w:line="400" w:lineRule="exact"/>
              <w:jc w:val="right"/>
              <w:rPr>
                <w:rFonts w:ascii="宋体" w:hAnsi="宋体" w:cs="宋体"/>
                <w:color w:val="auto"/>
                <w:sz w:val="24"/>
                <w:highlight w:val="none"/>
              </w:rPr>
            </w:pPr>
            <w:r>
              <w:rPr>
                <w:rFonts w:hint="eastAsia" w:ascii="宋体" w:hAnsi="宋体" w:cs="宋体"/>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6"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单位地址：</w:t>
            </w:r>
          </w:p>
        </w:tc>
        <w:tc>
          <w:tcPr>
            <w:tcW w:w="4517"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516"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法定代表人（负责人）：</w:t>
            </w:r>
          </w:p>
        </w:tc>
        <w:tc>
          <w:tcPr>
            <w:tcW w:w="4517"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516"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委托代理人：</w:t>
            </w:r>
          </w:p>
        </w:tc>
        <w:tc>
          <w:tcPr>
            <w:tcW w:w="4517"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6"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c>
          <w:tcPr>
            <w:tcW w:w="4517"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516"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电子邮箱：</w:t>
            </w:r>
          </w:p>
        </w:tc>
        <w:tc>
          <w:tcPr>
            <w:tcW w:w="4517"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开户银行：</w:t>
            </w:r>
          </w:p>
        </w:tc>
        <w:tc>
          <w:tcPr>
            <w:tcW w:w="4517"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6"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账号：</w:t>
            </w:r>
          </w:p>
        </w:tc>
        <w:tc>
          <w:tcPr>
            <w:tcW w:w="4517"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6"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邮政编码：</w:t>
            </w:r>
          </w:p>
        </w:tc>
        <w:tc>
          <w:tcPr>
            <w:tcW w:w="4517" w:type="dxa"/>
            <w:vAlign w:val="center"/>
          </w:tcPr>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trPr>
        <w:tc>
          <w:tcPr>
            <w:tcW w:w="9033" w:type="dxa"/>
            <w:gridSpan w:val="2"/>
          </w:tcPr>
          <w:p>
            <w:pPr>
              <w:snapToGrid w:val="0"/>
              <w:spacing w:line="400" w:lineRule="exact"/>
              <w:ind w:left="2475" w:leftChars="1007" w:hanging="360" w:hangingChars="150"/>
              <w:rPr>
                <w:rFonts w:ascii="宋体" w:hAnsi="宋体" w:cs="宋体"/>
                <w:color w:val="auto"/>
                <w:sz w:val="24"/>
                <w:highlight w:val="none"/>
              </w:rPr>
            </w:pPr>
          </w:p>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经办人：</w:t>
            </w:r>
          </w:p>
          <w:p>
            <w:pPr>
              <w:snapToGrid w:val="0"/>
              <w:spacing w:line="400" w:lineRule="exact"/>
              <w:ind w:firstLine="720" w:firstLineChars="300"/>
              <w:jc w:val="right"/>
              <w:rPr>
                <w:rFonts w:ascii="宋体" w:hAnsi="宋体" w:cs="宋体"/>
                <w:color w:val="auto"/>
                <w:sz w:val="24"/>
                <w:highlight w:val="none"/>
              </w:rPr>
            </w:pPr>
            <w:r>
              <w:rPr>
                <w:rFonts w:hint="eastAsia" w:ascii="宋体" w:hAnsi="宋体" w:cs="宋体"/>
                <w:color w:val="auto"/>
                <w:sz w:val="24"/>
                <w:highlight w:val="none"/>
              </w:rPr>
              <w:t>年    月    日</w:t>
            </w:r>
          </w:p>
        </w:tc>
      </w:tr>
    </w:tbl>
    <w:p>
      <w:pPr>
        <w:rPr>
          <w:rFonts w:ascii="宋体" w:hAnsi="宋体" w:cs="宋体"/>
          <w:color w:val="auto"/>
          <w:sz w:val="24"/>
          <w:highlight w:val="none"/>
        </w:rPr>
      </w:pPr>
    </w:p>
    <w:p>
      <w:pPr>
        <w:rPr>
          <w:rFonts w:ascii="宋体" w:hAnsi="宋体" w:cs="宋体"/>
          <w:color w:val="auto"/>
          <w:sz w:val="24"/>
          <w:highlight w:val="none"/>
        </w:rPr>
        <w:sectPr>
          <w:footerReference r:id="rId8" w:type="first"/>
          <w:footerReference r:id="rId7" w:type="default"/>
          <w:pgSz w:w="11906" w:h="16838"/>
          <w:pgMar w:top="1134" w:right="851" w:bottom="1134" w:left="1134" w:header="851" w:footer="992" w:gutter="0"/>
          <w:cols w:space="720" w:num="1"/>
          <w:docGrid w:type="lines" w:linePitch="312" w:charSpace="0"/>
        </w:sectPr>
      </w:pPr>
    </w:p>
    <w:p>
      <w:pPr>
        <w:snapToGrid w:val="0"/>
        <w:spacing w:line="400" w:lineRule="exact"/>
        <w:jc w:val="center"/>
        <w:rPr>
          <w:rFonts w:ascii="宋体" w:hAnsi="宋体"/>
          <w:b/>
          <w:color w:val="auto"/>
          <w:sz w:val="24"/>
          <w:highlight w:val="none"/>
        </w:rPr>
      </w:pPr>
    </w:p>
    <w:p>
      <w:pPr>
        <w:jc w:val="center"/>
        <w:rPr>
          <w:color w:val="auto"/>
          <w:sz w:val="24"/>
          <w:highlight w:val="none"/>
        </w:rPr>
      </w:pPr>
      <w:bookmarkStart w:id="102" w:name="_Toc13139_WPSOffice_Level1"/>
      <w:r>
        <w:rPr>
          <w:rFonts w:hint="eastAsia"/>
          <w:color w:val="auto"/>
          <w:sz w:val="24"/>
          <w:highlight w:val="none"/>
        </w:rPr>
        <w:t>合 同 附 件</w:t>
      </w:r>
      <w:bookmarkEnd w:id="102"/>
    </w:p>
    <w:tbl>
      <w:tblPr>
        <w:tblStyle w:val="30"/>
        <w:tblW w:w="0" w:type="auto"/>
        <w:tblInd w:w="258" w:type="dxa"/>
        <w:tblLayout w:type="fixed"/>
        <w:tblCellMar>
          <w:top w:w="0" w:type="dxa"/>
          <w:left w:w="108" w:type="dxa"/>
          <w:bottom w:w="0" w:type="dxa"/>
          <w:right w:w="108" w:type="dxa"/>
        </w:tblCellMar>
      </w:tblPr>
      <w:tblGrid>
        <w:gridCol w:w="4219"/>
        <w:gridCol w:w="4826"/>
      </w:tblGrid>
      <w:tr>
        <w:tblPrEx>
          <w:tblCellMar>
            <w:top w:w="0" w:type="dxa"/>
            <w:left w:w="108" w:type="dxa"/>
            <w:bottom w:w="0" w:type="dxa"/>
            <w:right w:w="108" w:type="dxa"/>
          </w:tblCellMar>
        </w:tblPrEx>
        <w:trPr>
          <w:trHeight w:val="628" w:hRule="exact"/>
        </w:trPr>
        <w:tc>
          <w:tcPr>
            <w:tcW w:w="9045" w:type="dxa"/>
            <w:gridSpan w:val="2"/>
            <w:tcBorders>
              <w:top w:val="single" w:color="auto" w:sz="4" w:space="0"/>
              <w:left w:val="single" w:color="auto" w:sz="4" w:space="0"/>
              <w:right w:val="single" w:color="auto" w:sz="4" w:space="0"/>
            </w:tcBorders>
            <w:vAlign w:val="center"/>
          </w:tcPr>
          <w:p>
            <w:pPr>
              <w:snapToGrid w:val="0"/>
              <w:spacing w:line="400" w:lineRule="exact"/>
              <w:ind w:firstLine="482"/>
              <w:rPr>
                <w:rFonts w:ascii="宋体" w:hAnsi="宋体"/>
                <w:color w:val="auto"/>
                <w:sz w:val="24"/>
                <w:highlight w:val="none"/>
              </w:rPr>
            </w:pPr>
            <w:r>
              <w:rPr>
                <w:rFonts w:hint="eastAsia" w:ascii="宋体" w:hAnsi="宋体"/>
                <w:color w:val="auto"/>
                <w:sz w:val="24"/>
                <w:highlight w:val="none"/>
              </w:rPr>
              <w:t>1、供应商承诺具体事项：</w:t>
            </w:r>
          </w:p>
        </w:tc>
      </w:tr>
      <w:tr>
        <w:tblPrEx>
          <w:tblCellMar>
            <w:top w:w="0" w:type="dxa"/>
            <w:left w:w="108" w:type="dxa"/>
            <w:bottom w:w="0" w:type="dxa"/>
            <w:right w:w="108" w:type="dxa"/>
          </w:tblCellMar>
        </w:tblPrEx>
        <w:trPr>
          <w:trHeight w:val="447" w:hRule="atLeast"/>
        </w:trPr>
        <w:tc>
          <w:tcPr>
            <w:tcW w:w="9045" w:type="dxa"/>
            <w:gridSpan w:val="2"/>
            <w:tcBorders>
              <w:left w:val="single" w:color="auto" w:sz="4" w:space="0"/>
              <w:right w:val="single" w:color="auto" w:sz="4" w:space="0"/>
            </w:tcBorders>
            <w:vAlign w:val="center"/>
          </w:tcPr>
          <w:p>
            <w:pPr>
              <w:snapToGrid w:val="0"/>
              <w:spacing w:line="400" w:lineRule="exact"/>
              <w:ind w:firstLine="482"/>
              <w:rPr>
                <w:rFonts w:ascii="宋体" w:hAnsi="宋体"/>
                <w:color w:val="auto"/>
                <w:sz w:val="24"/>
                <w:highlight w:val="none"/>
              </w:rPr>
            </w:pPr>
          </w:p>
        </w:tc>
      </w:tr>
      <w:tr>
        <w:tblPrEx>
          <w:tblCellMar>
            <w:top w:w="0" w:type="dxa"/>
            <w:left w:w="108" w:type="dxa"/>
            <w:bottom w:w="0" w:type="dxa"/>
            <w:right w:w="108" w:type="dxa"/>
          </w:tblCellMar>
        </w:tblPrEx>
        <w:trPr>
          <w:trHeight w:val="628" w:hRule="exact"/>
        </w:trPr>
        <w:tc>
          <w:tcPr>
            <w:tcW w:w="9045" w:type="dxa"/>
            <w:gridSpan w:val="2"/>
            <w:tcBorders>
              <w:top w:val="single" w:color="auto" w:sz="4" w:space="0"/>
              <w:left w:val="single" w:color="auto" w:sz="4" w:space="0"/>
              <w:right w:val="single" w:color="auto" w:sz="4" w:space="0"/>
            </w:tcBorders>
            <w:vAlign w:val="center"/>
          </w:tcPr>
          <w:p>
            <w:pPr>
              <w:snapToGrid w:val="0"/>
              <w:spacing w:line="400" w:lineRule="exact"/>
              <w:ind w:firstLine="482"/>
              <w:rPr>
                <w:rFonts w:ascii="宋体" w:hAnsi="宋体"/>
                <w:color w:val="auto"/>
                <w:sz w:val="24"/>
                <w:highlight w:val="none"/>
              </w:rPr>
            </w:pPr>
            <w:r>
              <w:rPr>
                <w:rFonts w:hint="eastAsia" w:ascii="宋体" w:hAnsi="宋体"/>
                <w:color w:val="auto"/>
                <w:sz w:val="24"/>
                <w:highlight w:val="none"/>
              </w:rPr>
              <w:t>2、售后服务具体事项：</w:t>
            </w:r>
          </w:p>
        </w:tc>
      </w:tr>
      <w:tr>
        <w:tblPrEx>
          <w:tblCellMar>
            <w:top w:w="0" w:type="dxa"/>
            <w:left w:w="108" w:type="dxa"/>
            <w:bottom w:w="0" w:type="dxa"/>
            <w:right w:w="108" w:type="dxa"/>
          </w:tblCellMar>
        </w:tblPrEx>
        <w:trPr>
          <w:trHeight w:val="541" w:hRule="atLeast"/>
        </w:trPr>
        <w:tc>
          <w:tcPr>
            <w:tcW w:w="9045" w:type="dxa"/>
            <w:gridSpan w:val="2"/>
            <w:tcBorders>
              <w:left w:val="single" w:color="auto" w:sz="4" w:space="0"/>
              <w:bottom w:val="single" w:color="auto" w:sz="4" w:space="0"/>
              <w:right w:val="single" w:color="auto" w:sz="4" w:space="0"/>
            </w:tcBorders>
            <w:vAlign w:val="center"/>
          </w:tcPr>
          <w:p>
            <w:pPr>
              <w:snapToGrid w:val="0"/>
              <w:spacing w:line="400" w:lineRule="exact"/>
              <w:ind w:firstLine="482"/>
              <w:rPr>
                <w:rFonts w:ascii="宋体" w:hAnsi="宋体"/>
                <w:color w:val="auto"/>
                <w:sz w:val="24"/>
                <w:highlight w:val="none"/>
              </w:rPr>
            </w:pPr>
          </w:p>
        </w:tc>
      </w:tr>
      <w:tr>
        <w:tblPrEx>
          <w:tblCellMar>
            <w:top w:w="0" w:type="dxa"/>
            <w:left w:w="108" w:type="dxa"/>
            <w:bottom w:w="0" w:type="dxa"/>
            <w:right w:w="108" w:type="dxa"/>
          </w:tblCellMar>
        </w:tblPrEx>
        <w:trPr>
          <w:trHeight w:val="612" w:hRule="atLeast"/>
        </w:trPr>
        <w:tc>
          <w:tcPr>
            <w:tcW w:w="9045" w:type="dxa"/>
            <w:gridSpan w:val="2"/>
            <w:tcBorders>
              <w:top w:val="single" w:color="auto" w:sz="4" w:space="0"/>
              <w:left w:val="single" w:color="auto" w:sz="4" w:space="0"/>
              <w:right w:val="single" w:color="auto" w:sz="4" w:space="0"/>
            </w:tcBorders>
            <w:vAlign w:val="center"/>
          </w:tcPr>
          <w:p>
            <w:pPr>
              <w:snapToGrid w:val="0"/>
              <w:spacing w:line="400" w:lineRule="exact"/>
              <w:ind w:firstLine="482"/>
              <w:rPr>
                <w:rFonts w:ascii="宋体" w:hAnsi="宋体"/>
                <w:color w:val="auto"/>
                <w:sz w:val="24"/>
                <w:highlight w:val="none"/>
              </w:rPr>
            </w:pPr>
            <w:r>
              <w:rPr>
                <w:rFonts w:hint="eastAsia" w:ascii="宋体" w:hAnsi="宋体"/>
                <w:color w:val="auto"/>
                <w:sz w:val="24"/>
                <w:highlight w:val="none"/>
              </w:rPr>
              <w:t>3、服务期责任：</w:t>
            </w:r>
          </w:p>
        </w:tc>
      </w:tr>
      <w:tr>
        <w:tblPrEx>
          <w:tblCellMar>
            <w:top w:w="0" w:type="dxa"/>
            <w:left w:w="108" w:type="dxa"/>
            <w:bottom w:w="0" w:type="dxa"/>
            <w:right w:w="108" w:type="dxa"/>
          </w:tblCellMar>
        </w:tblPrEx>
        <w:trPr>
          <w:trHeight w:val="646" w:hRule="atLeast"/>
        </w:trPr>
        <w:tc>
          <w:tcPr>
            <w:tcW w:w="9045" w:type="dxa"/>
            <w:gridSpan w:val="2"/>
            <w:tcBorders>
              <w:left w:val="single" w:color="auto" w:sz="4" w:space="0"/>
              <w:bottom w:val="single" w:color="auto" w:sz="4" w:space="0"/>
              <w:right w:val="single" w:color="auto" w:sz="4" w:space="0"/>
            </w:tcBorders>
            <w:vAlign w:val="center"/>
          </w:tcPr>
          <w:p>
            <w:pPr>
              <w:snapToGrid w:val="0"/>
              <w:spacing w:line="400" w:lineRule="exact"/>
              <w:ind w:firstLine="482"/>
              <w:rPr>
                <w:rFonts w:ascii="宋体" w:hAnsi="宋体"/>
                <w:color w:val="auto"/>
                <w:sz w:val="24"/>
                <w:highlight w:val="none"/>
              </w:rPr>
            </w:pPr>
          </w:p>
        </w:tc>
      </w:tr>
      <w:tr>
        <w:tblPrEx>
          <w:tblCellMar>
            <w:top w:w="0" w:type="dxa"/>
            <w:left w:w="108" w:type="dxa"/>
            <w:bottom w:w="0" w:type="dxa"/>
            <w:right w:w="108" w:type="dxa"/>
          </w:tblCellMar>
        </w:tblPrEx>
        <w:trPr>
          <w:trHeight w:val="628" w:hRule="exact"/>
        </w:trPr>
        <w:tc>
          <w:tcPr>
            <w:tcW w:w="9045" w:type="dxa"/>
            <w:gridSpan w:val="2"/>
            <w:tcBorders>
              <w:top w:val="single" w:color="auto" w:sz="4" w:space="0"/>
              <w:left w:val="single" w:color="auto" w:sz="4" w:space="0"/>
              <w:right w:val="single" w:color="auto" w:sz="4" w:space="0"/>
            </w:tcBorders>
            <w:vAlign w:val="center"/>
          </w:tcPr>
          <w:p>
            <w:pPr>
              <w:snapToGrid w:val="0"/>
              <w:spacing w:line="400" w:lineRule="exact"/>
              <w:ind w:firstLine="482"/>
              <w:rPr>
                <w:rFonts w:ascii="宋体" w:hAnsi="宋体"/>
                <w:color w:val="auto"/>
                <w:sz w:val="24"/>
                <w:highlight w:val="none"/>
              </w:rPr>
            </w:pPr>
            <w:r>
              <w:rPr>
                <w:rFonts w:hint="eastAsia" w:ascii="宋体" w:hAnsi="宋体"/>
                <w:color w:val="auto"/>
                <w:sz w:val="24"/>
                <w:highlight w:val="none"/>
              </w:rPr>
              <w:t>4、其他具体事项：</w:t>
            </w:r>
          </w:p>
        </w:tc>
      </w:tr>
      <w:tr>
        <w:tblPrEx>
          <w:tblCellMar>
            <w:top w:w="0" w:type="dxa"/>
            <w:left w:w="108" w:type="dxa"/>
            <w:bottom w:w="0" w:type="dxa"/>
            <w:right w:w="108" w:type="dxa"/>
          </w:tblCellMar>
        </w:tblPrEx>
        <w:trPr>
          <w:trHeight w:val="690" w:hRule="atLeast"/>
        </w:trPr>
        <w:tc>
          <w:tcPr>
            <w:tcW w:w="9045" w:type="dxa"/>
            <w:gridSpan w:val="2"/>
            <w:tcBorders>
              <w:left w:val="single" w:color="auto" w:sz="4" w:space="0"/>
              <w:right w:val="single" w:color="auto" w:sz="4" w:space="0"/>
            </w:tcBorders>
            <w:vAlign w:val="center"/>
          </w:tcPr>
          <w:p>
            <w:pPr>
              <w:snapToGrid w:val="0"/>
              <w:spacing w:line="400" w:lineRule="exact"/>
              <w:ind w:firstLine="482"/>
              <w:rPr>
                <w:rFonts w:ascii="宋体" w:hAnsi="宋体"/>
                <w:color w:val="auto"/>
                <w:sz w:val="24"/>
                <w:highlight w:val="none"/>
              </w:rPr>
            </w:pPr>
          </w:p>
        </w:tc>
      </w:tr>
      <w:tr>
        <w:tblPrEx>
          <w:tblCellMar>
            <w:top w:w="0" w:type="dxa"/>
            <w:left w:w="108" w:type="dxa"/>
            <w:bottom w:w="0" w:type="dxa"/>
            <w:right w:w="108" w:type="dxa"/>
          </w:tblCellMar>
        </w:tblPrEx>
        <w:trPr>
          <w:trHeight w:val="3566" w:hRule="atLeast"/>
        </w:trPr>
        <w:tc>
          <w:tcPr>
            <w:tcW w:w="42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2"/>
              <w:rPr>
                <w:rFonts w:ascii="宋体" w:hAnsi="宋体"/>
                <w:color w:val="auto"/>
                <w:sz w:val="24"/>
                <w:highlight w:val="none"/>
              </w:rPr>
            </w:pPr>
            <w:r>
              <w:rPr>
                <w:rFonts w:hint="eastAsia" w:ascii="宋体" w:hAnsi="宋体"/>
                <w:color w:val="auto"/>
                <w:sz w:val="24"/>
                <w:highlight w:val="none"/>
              </w:rPr>
              <w:t>采购人（章）</w:t>
            </w:r>
          </w:p>
          <w:p>
            <w:pPr>
              <w:snapToGrid w:val="0"/>
              <w:spacing w:line="400" w:lineRule="exact"/>
              <w:ind w:firstLine="482"/>
              <w:rPr>
                <w:rFonts w:ascii="宋体" w:hAnsi="宋体"/>
                <w:color w:val="auto"/>
                <w:sz w:val="24"/>
                <w:highlight w:val="none"/>
              </w:rPr>
            </w:pPr>
          </w:p>
          <w:p>
            <w:pPr>
              <w:snapToGrid w:val="0"/>
              <w:spacing w:line="400" w:lineRule="exact"/>
              <w:ind w:firstLine="482"/>
              <w:rPr>
                <w:rFonts w:ascii="宋体" w:hAnsi="宋体"/>
                <w:color w:val="auto"/>
                <w:sz w:val="24"/>
                <w:highlight w:val="none"/>
              </w:rPr>
            </w:pPr>
          </w:p>
          <w:p>
            <w:pPr>
              <w:snapToGrid w:val="0"/>
              <w:spacing w:line="400" w:lineRule="exact"/>
              <w:ind w:firstLine="482"/>
              <w:rPr>
                <w:rFonts w:ascii="宋体" w:hAnsi="宋体"/>
                <w:color w:val="auto"/>
                <w:sz w:val="24"/>
                <w:highlight w:val="none"/>
              </w:rPr>
            </w:pPr>
          </w:p>
          <w:p>
            <w:pPr>
              <w:snapToGrid w:val="0"/>
              <w:spacing w:line="400" w:lineRule="exact"/>
              <w:ind w:firstLine="482"/>
              <w:rPr>
                <w:rFonts w:ascii="宋体" w:hAnsi="宋体"/>
                <w:color w:val="auto"/>
                <w:sz w:val="24"/>
                <w:highlight w:val="none"/>
              </w:rPr>
            </w:pPr>
          </w:p>
          <w:p>
            <w:pPr>
              <w:snapToGrid w:val="0"/>
              <w:spacing w:line="400" w:lineRule="exact"/>
              <w:ind w:firstLine="482"/>
              <w:rPr>
                <w:rFonts w:ascii="宋体" w:hAnsi="宋体"/>
                <w:color w:val="auto"/>
                <w:sz w:val="24"/>
                <w:highlight w:val="none"/>
              </w:rPr>
            </w:pPr>
          </w:p>
          <w:p>
            <w:pPr>
              <w:snapToGrid w:val="0"/>
              <w:spacing w:line="400" w:lineRule="exact"/>
              <w:ind w:firstLine="482"/>
              <w:rPr>
                <w:rFonts w:ascii="宋体" w:hAnsi="宋体"/>
                <w:color w:val="auto"/>
                <w:sz w:val="24"/>
                <w:highlight w:val="none"/>
              </w:rPr>
            </w:pPr>
          </w:p>
          <w:p>
            <w:pPr>
              <w:snapToGrid w:val="0"/>
              <w:spacing w:line="400" w:lineRule="exact"/>
              <w:ind w:firstLine="482"/>
              <w:rPr>
                <w:rFonts w:ascii="宋体" w:hAnsi="宋体"/>
                <w:color w:val="auto"/>
                <w:sz w:val="24"/>
                <w:highlight w:val="none"/>
              </w:rPr>
            </w:pPr>
            <w:r>
              <w:rPr>
                <w:rFonts w:hint="eastAsia" w:ascii="宋体" w:hAnsi="宋体"/>
                <w:color w:val="auto"/>
                <w:sz w:val="24"/>
                <w:highlight w:val="none"/>
              </w:rPr>
              <w:t xml:space="preserve">                 年   月   日 </w:t>
            </w:r>
          </w:p>
        </w:tc>
        <w:tc>
          <w:tcPr>
            <w:tcW w:w="48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82"/>
              <w:rPr>
                <w:rFonts w:ascii="宋体" w:hAnsi="宋体"/>
                <w:color w:val="auto"/>
                <w:sz w:val="24"/>
                <w:highlight w:val="none"/>
              </w:rPr>
            </w:pPr>
            <w:r>
              <w:rPr>
                <w:rFonts w:hint="eastAsia" w:ascii="宋体" w:hAnsi="宋体"/>
                <w:color w:val="auto"/>
                <w:sz w:val="24"/>
                <w:highlight w:val="none"/>
              </w:rPr>
              <w:t>成交供应商（章）</w:t>
            </w:r>
          </w:p>
          <w:p>
            <w:pPr>
              <w:snapToGrid w:val="0"/>
              <w:spacing w:line="400" w:lineRule="exact"/>
              <w:ind w:firstLine="482"/>
              <w:rPr>
                <w:rFonts w:ascii="宋体" w:hAnsi="宋体"/>
                <w:color w:val="auto"/>
                <w:sz w:val="24"/>
                <w:highlight w:val="none"/>
              </w:rPr>
            </w:pPr>
          </w:p>
          <w:p>
            <w:pPr>
              <w:snapToGrid w:val="0"/>
              <w:spacing w:line="400" w:lineRule="exact"/>
              <w:ind w:firstLine="482"/>
              <w:rPr>
                <w:rFonts w:ascii="宋体" w:hAnsi="宋体"/>
                <w:color w:val="auto"/>
                <w:sz w:val="24"/>
                <w:highlight w:val="none"/>
              </w:rPr>
            </w:pPr>
          </w:p>
          <w:p>
            <w:pPr>
              <w:snapToGrid w:val="0"/>
              <w:spacing w:line="400" w:lineRule="exact"/>
              <w:ind w:firstLine="482"/>
              <w:rPr>
                <w:rFonts w:ascii="宋体" w:hAnsi="宋体"/>
                <w:color w:val="auto"/>
                <w:sz w:val="24"/>
                <w:highlight w:val="none"/>
              </w:rPr>
            </w:pPr>
          </w:p>
          <w:p>
            <w:pPr>
              <w:snapToGrid w:val="0"/>
              <w:spacing w:line="400" w:lineRule="exact"/>
              <w:ind w:firstLine="482"/>
              <w:rPr>
                <w:rFonts w:ascii="宋体" w:hAnsi="宋体"/>
                <w:color w:val="auto"/>
                <w:sz w:val="24"/>
                <w:highlight w:val="none"/>
              </w:rPr>
            </w:pPr>
          </w:p>
          <w:p>
            <w:pPr>
              <w:snapToGrid w:val="0"/>
              <w:spacing w:line="400" w:lineRule="exact"/>
              <w:ind w:firstLine="482"/>
              <w:rPr>
                <w:rFonts w:ascii="宋体" w:hAnsi="宋体"/>
                <w:color w:val="auto"/>
                <w:sz w:val="24"/>
                <w:highlight w:val="none"/>
              </w:rPr>
            </w:pPr>
          </w:p>
          <w:p>
            <w:pPr>
              <w:snapToGrid w:val="0"/>
              <w:spacing w:line="400" w:lineRule="exact"/>
              <w:ind w:firstLine="482"/>
              <w:rPr>
                <w:rFonts w:ascii="宋体" w:hAnsi="宋体"/>
                <w:color w:val="auto"/>
                <w:sz w:val="24"/>
                <w:highlight w:val="none"/>
              </w:rPr>
            </w:pPr>
          </w:p>
          <w:p>
            <w:pPr>
              <w:snapToGrid w:val="0"/>
              <w:spacing w:line="400" w:lineRule="exact"/>
              <w:ind w:firstLine="482"/>
              <w:rPr>
                <w:rFonts w:ascii="宋体" w:hAnsi="宋体"/>
                <w:color w:val="auto"/>
                <w:sz w:val="24"/>
                <w:highlight w:val="none"/>
              </w:rPr>
            </w:pPr>
            <w:r>
              <w:rPr>
                <w:rFonts w:hint="eastAsia" w:ascii="宋体" w:hAnsi="宋体"/>
                <w:color w:val="auto"/>
                <w:sz w:val="24"/>
                <w:highlight w:val="none"/>
              </w:rPr>
              <w:t xml:space="preserve">                年   月   日</w:t>
            </w:r>
          </w:p>
        </w:tc>
      </w:tr>
    </w:tbl>
    <w:p>
      <w:pPr>
        <w:snapToGrid w:val="0"/>
        <w:spacing w:line="360" w:lineRule="auto"/>
        <w:rPr>
          <w:rFonts w:ascii="宋体" w:hAnsi="宋体"/>
          <w:color w:val="auto"/>
          <w:sz w:val="24"/>
          <w:highlight w:val="none"/>
        </w:rPr>
      </w:pPr>
      <w:r>
        <w:rPr>
          <w:rFonts w:hint="eastAsia" w:ascii="宋体" w:hAnsi="宋体"/>
          <w:color w:val="auto"/>
          <w:sz w:val="24"/>
          <w:highlight w:val="none"/>
        </w:rPr>
        <w:t xml:space="preserve">  注：售后服务事项填不下时可另加附页</w:t>
      </w:r>
    </w:p>
    <w:p>
      <w:pPr>
        <w:snapToGrid w:val="0"/>
        <w:spacing w:line="360" w:lineRule="auto"/>
        <w:rPr>
          <w:rFonts w:ascii="宋体" w:hAnsi="宋体"/>
          <w:color w:val="auto"/>
          <w:sz w:val="24"/>
          <w:highlight w:val="none"/>
        </w:rPr>
      </w:pPr>
    </w:p>
    <w:p>
      <w:pPr>
        <w:snapToGrid w:val="0"/>
        <w:spacing w:line="360" w:lineRule="auto"/>
        <w:rPr>
          <w:rFonts w:ascii="宋体" w:hAnsi="宋体"/>
          <w:color w:val="auto"/>
          <w:sz w:val="24"/>
          <w:highlight w:val="none"/>
        </w:rPr>
      </w:pPr>
    </w:p>
    <w:p>
      <w:pPr>
        <w:snapToGrid w:val="0"/>
        <w:spacing w:line="360" w:lineRule="auto"/>
        <w:rPr>
          <w:rFonts w:ascii="宋体" w:hAnsi="宋体"/>
          <w:color w:val="auto"/>
          <w:sz w:val="24"/>
          <w:highlight w:val="none"/>
        </w:rPr>
      </w:pPr>
    </w:p>
    <w:p>
      <w:pPr>
        <w:snapToGrid w:val="0"/>
        <w:spacing w:line="360" w:lineRule="auto"/>
        <w:rPr>
          <w:rFonts w:ascii="宋体" w:hAnsi="宋体"/>
          <w:color w:val="auto"/>
          <w:sz w:val="24"/>
          <w:highlight w:val="none"/>
        </w:rPr>
      </w:pPr>
    </w:p>
    <w:p>
      <w:pPr>
        <w:snapToGrid w:val="0"/>
        <w:spacing w:line="360" w:lineRule="auto"/>
        <w:rPr>
          <w:rFonts w:ascii="宋体" w:hAnsi="宋体"/>
          <w:color w:val="auto"/>
          <w:sz w:val="24"/>
          <w:highlight w:val="none"/>
        </w:rPr>
      </w:pPr>
    </w:p>
    <w:p>
      <w:pPr>
        <w:snapToGrid w:val="0"/>
        <w:spacing w:line="360" w:lineRule="auto"/>
        <w:rPr>
          <w:rFonts w:ascii="宋体" w:hAnsi="宋体"/>
          <w:color w:val="auto"/>
          <w:sz w:val="24"/>
          <w:highlight w:val="none"/>
        </w:rPr>
      </w:pPr>
    </w:p>
    <w:p>
      <w:pPr>
        <w:pStyle w:val="18"/>
        <w:rPr>
          <w:rFonts w:ascii="宋体" w:hAnsi="宋体"/>
          <w:color w:val="auto"/>
          <w:sz w:val="24"/>
          <w:highlight w:val="none"/>
        </w:rPr>
      </w:pPr>
    </w:p>
    <w:p>
      <w:pPr>
        <w:pStyle w:val="18"/>
        <w:rPr>
          <w:rFonts w:ascii="宋体" w:hAnsi="宋体"/>
          <w:color w:val="auto"/>
          <w:sz w:val="24"/>
          <w:highlight w:val="none"/>
        </w:rPr>
      </w:pPr>
    </w:p>
    <w:p>
      <w:pPr>
        <w:pStyle w:val="12"/>
        <w:spacing w:line="400" w:lineRule="exact"/>
        <w:ind w:firstLine="525" w:firstLineChars="175"/>
        <w:rPr>
          <w:color w:val="auto"/>
          <w:sz w:val="30"/>
          <w:szCs w:val="30"/>
          <w:highlight w:val="none"/>
        </w:rPr>
      </w:pPr>
    </w:p>
    <w:p>
      <w:pPr>
        <w:pStyle w:val="12"/>
        <w:spacing w:line="400" w:lineRule="exact"/>
        <w:ind w:firstLine="525" w:firstLineChars="175"/>
        <w:rPr>
          <w:color w:val="auto"/>
          <w:sz w:val="30"/>
          <w:szCs w:val="30"/>
          <w:highlight w:val="none"/>
        </w:rPr>
      </w:pPr>
    </w:p>
    <w:p>
      <w:pPr>
        <w:pStyle w:val="12"/>
        <w:spacing w:line="400" w:lineRule="exact"/>
        <w:ind w:firstLine="525" w:firstLineChars="175"/>
        <w:rPr>
          <w:color w:val="auto"/>
          <w:sz w:val="30"/>
          <w:szCs w:val="30"/>
          <w:highlight w:val="none"/>
        </w:rPr>
      </w:pPr>
    </w:p>
    <w:p>
      <w:pPr>
        <w:pStyle w:val="12"/>
        <w:spacing w:line="400" w:lineRule="exact"/>
        <w:ind w:firstLine="525" w:firstLineChars="175"/>
        <w:rPr>
          <w:color w:val="auto"/>
          <w:sz w:val="30"/>
          <w:szCs w:val="30"/>
          <w:highlight w:val="none"/>
        </w:rPr>
      </w:pPr>
      <w:r>
        <w:rPr>
          <w:rFonts w:hint="eastAsia"/>
          <w:color w:val="auto"/>
          <w:sz w:val="30"/>
          <w:szCs w:val="30"/>
          <w:highlight w:val="none"/>
        </w:rPr>
        <w:t>附件2：</w:t>
      </w:r>
    </w:p>
    <w:p>
      <w:pPr>
        <w:rPr>
          <w:color w:val="auto"/>
          <w:highlight w:val="none"/>
        </w:rPr>
      </w:pPr>
    </w:p>
    <w:p>
      <w:pPr>
        <w:widowControl/>
        <w:shd w:val="clear" w:color="auto" w:fill="FFFFFF"/>
        <w:spacing w:line="480" w:lineRule="atLeast"/>
        <w:jc w:val="center"/>
        <w:rPr>
          <w:rFonts w:ascii="仿宋" w:hAnsi="仿宋" w:eastAsia="仿宋" w:cs="宋体"/>
          <w:color w:val="auto"/>
          <w:kern w:val="0"/>
          <w:sz w:val="32"/>
          <w:szCs w:val="32"/>
          <w:highlight w:val="none"/>
        </w:rPr>
      </w:pPr>
      <w:r>
        <w:rPr>
          <w:rFonts w:hint="eastAsia" w:ascii="黑体" w:hAnsi="黑体" w:eastAsia="黑体" w:cs="黑体"/>
          <w:color w:val="auto"/>
          <w:kern w:val="0"/>
          <w:sz w:val="32"/>
          <w:szCs w:val="32"/>
          <w:highlight w:val="none"/>
        </w:rPr>
        <w:t>广西壮族自治区政府采购项目合同验收书</w:t>
      </w:r>
      <w:r>
        <w:rPr>
          <w:rFonts w:hint="eastAsia" w:ascii="仿宋" w:hAnsi="仿宋" w:eastAsia="仿宋" w:cs="宋体"/>
          <w:color w:val="auto"/>
          <w:kern w:val="0"/>
          <w:sz w:val="32"/>
          <w:szCs w:val="32"/>
          <w:highlight w:val="none"/>
        </w:rPr>
        <w:t>（格式）</w:t>
      </w:r>
    </w:p>
    <w:p>
      <w:pPr>
        <w:widowControl/>
        <w:shd w:val="clear" w:color="auto" w:fill="FFFFFF"/>
        <w:spacing w:line="480" w:lineRule="atLeast"/>
        <w:jc w:val="center"/>
        <w:rPr>
          <w:rFonts w:ascii="仿宋" w:hAnsi="仿宋" w:eastAsia="仿宋" w:cs="宋体"/>
          <w:color w:val="auto"/>
          <w:kern w:val="0"/>
          <w:sz w:val="32"/>
          <w:szCs w:val="32"/>
          <w:highlight w:val="none"/>
        </w:rPr>
      </w:pPr>
    </w:p>
    <w:p>
      <w:pPr>
        <w:widowControl/>
        <w:shd w:val="clear" w:color="auto" w:fill="FFFFFF"/>
        <w:snapToGrid w:val="0"/>
        <w:spacing w:line="320" w:lineRule="atLeast"/>
        <w:ind w:firstLine="480"/>
        <w:jc w:val="left"/>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根据政府采购项目（</w:t>
      </w:r>
      <w:r>
        <w:rPr>
          <w:rFonts w:hint="eastAsia" w:ascii="仿宋" w:hAnsi="仿宋" w:eastAsia="仿宋" w:cs="宋体"/>
          <w:color w:val="auto"/>
          <w:kern w:val="0"/>
          <w:szCs w:val="21"/>
          <w:highlight w:val="none"/>
          <w:u w:val="single"/>
        </w:rPr>
        <w:t>采购合同编号：</w:t>
      </w:r>
      <w:r>
        <w:rPr>
          <w:rFonts w:hint="eastAsia" w:ascii="仿宋" w:hAnsi="仿宋" w:eastAsia="仿宋" w:cs="宋体"/>
          <w:color w:val="auto"/>
          <w:kern w:val="0"/>
          <w:szCs w:val="21"/>
          <w:highlight w:val="none"/>
          <w:u w:val="single"/>
        </w:rPr>
        <w:softHyphen/>
      </w:r>
      <w:r>
        <w:rPr>
          <w:rFonts w:hint="eastAsia" w:ascii="仿宋" w:hAnsi="仿宋" w:eastAsia="仿宋" w:cs="宋体"/>
          <w:color w:val="auto"/>
          <w:kern w:val="0"/>
          <w:szCs w:val="21"/>
          <w:highlight w:val="none"/>
          <w:u w:val="single"/>
        </w:rPr>
        <w:t xml:space="preserve"> </w:t>
      </w:r>
      <w:r>
        <w:rPr>
          <w:rFonts w:hint="eastAsia" w:ascii="仿宋" w:hAnsi="仿宋" w:eastAsia="仿宋" w:cs="宋体"/>
          <w:color w:val="auto"/>
          <w:kern w:val="0"/>
          <w:szCs w:val="21"/>
          <w:highlight w:val="none"/>
        </w:rPr>
        <w:t>）的约定，我单位对（</w:t>
      </w:r>
      <w:r>
        <w:rPr>
          <w:rFonts w:hint="eastAsia" w:ascii="仿宋" w:hAnsi="仿宋" w:eastAsia="仿宋" w:cs="宋体"/>
          <w:color w:val="auto"/>
          <w:kern w:val="0"/>
          <w:szCs w:val="21"/>
          <w:highlight w:val="none"/>
          <w:u w:val="single"/>
        </w:rPr>
        <w:t xml:space="preserve"> 项目名称 </w:t>
      </w:r>
      <w:r>
        <w:rPr>
          <w:rFonts w:hint="eastAsia" w:ascii="仿宋" w:hAnsi="仿宋" w:eastAsia="仿宋" w:cs="宋体"/>
          <w:color w:val="auto"/>
          <w:kern w:val="0"/>
          <w:szCs w:val="21"/>
          <w:highlight w:val="none"/>
        </w:rPr>
        <w:t>） 政府采购项目中标（或成交）供应商（</w:t>
      </w:r>
      <w:r>
        <w:rPr>
          <w:rFonts w:hint="eastAsia" w:ascii="仿宋" w:hAnsi="仿宋" w:eastAsia="仿宋" w:cs="宋体"/>
          <w:color w:val="auto"/>
          <w:kern w:val="0"/>
          <w:szCs w:val="21"/>
          <w:highlight w:val="none"/>
          <w:u w:val="single"/>
        </w:rPr>
        <w:t xml:space="preserve"> 公司名称 </w:t>
      </w:r>
      <w:r>
        <w:rPr>
          <w:rFonts w:hint="eastAsia" w:ascii="仿宋" w:hAnsi="仿宋" w:eastAsia="仿宋" w:cs="宋体"/>
          <w:color w:val="auto"/>
          <w:kern w:val="0"/>
          <w:szCs w:val="21"/>
          <w:highlight w:val="none"/>
        </w:rPr>
        <w:t>） 提供的货物（或工程、服务）进行了验收，验收情况如下：</w:t>
      </w:r>
    </w:p>
    <w:tbl>
      <w:tblPr>
        <w:tblStyle w:val="30"/>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1428"/>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color w:val="auto"/>
                <w:kern w:val="0"/>
                <w:szCs w:val="21"/>
                <w:highlight w:val="none"/>
              </w:rPr>
            </w:pPr>
            <w:r>
              <w:rPr>
                <w:rFonts w:ascii="Verdana" w:hAnsi="Verdana" w:cs="宋体"/>
                <w:color w:val="auto"/>
                <w:kern w:val="0"/>
                <w:szCs w:val="21"/>
                <w:highlight w:val="none"/>
              </w:rPr>
              <w:t>验收方式：</w:t>
            </w:r>
          </w:p>
        </w:tc>
        <w:tc>
          <w:tcPr>
            <w:tcW w:w="5193" w:type="dxa"/>
            <w:gridSpan w:val="6"/>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ascii="Verdana" w:hAnsi="Verdana" w:cs="宋体"/>
                <w:color w:val="auto"/>
                <w:kern w:val="0"/>
                <w:szCs w:val="21"/>
                <w:highlight w:val="none"/>
              </w:rPr>
            </w:pPr>
            <w:r>
              <w:rPr>
                <w:rFonts w:ascii="Verdana" w:hAnsi="Verdana" w:cs="宋体"/>
                <w:color w:val="auto"/>
                <w:kern w:val="0"/>
                <w:szCs w:val="21"/>
                <w:highlight w:val="none"/>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名 称</w:t>
            </w:r>
          </w:p>
        </w:tc>
        <w:tc>
          <w:tcPr>
            <w:tcW w:w="290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Verdana" w:hAnsi="Verdana" w:cs="宋体"/>
                <w:color w:val="auto"/>
                <w:kern w:val="0"/>
                <w:szCs w:val="21"/>
                <w:highlight w:val="none"/>
              </w:rPr>
            </w:pPr>
            <w:r>
              <w:rPr>
                <w:rFonts w:ascii="Verdana" w:hAnsi="Verdana" w:cs="宋体"/>
                <w:color w:val="auto"/>
                <w:kern w:val="0"/>
                <w:szCs w:val="21"/>
                <w:highlight w:val="none"/>
              </w:rPr>
              <w:t>数量</w:t>
            </w:r>
          </w:p>
        </w:tc>
        <w:tc>
          <w:tcPr>
            <w:tcW w:w="1428"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290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color w:val="auto"/>
                <w:kern w:val="0"/>
                <w:szCs w:val="21"/>
                <w:highlight w:val="none"/>
              </w:rPr>
            </w:pPr>
            <w:r>
              <w:rPr>
                <w:rFonts w:ascii="Verdana" w:hAnsi="Verdana" w:cs="宋体"/>
                <w:color w:val="auto"/>
                <w:kern w:val="0"/>
                <w:szCs w:val="21"/>
                <w:highlight w:val="none"/>
              </w:rPr>
              <w:t>合 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641" w:hRule="atLeast"/>
          <w:jc w:val="center"/>
        </w:trPr>
        <w:tc>
          <w:tcPr>
            <w:tcW w:w="8445" w:type="dxa"/>
            <w:gridSpan w:val="8"/>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ascii="Verdana" w:hAnsi="Verdana" w:cs="宋体"/>
                <w:color w:val="auto"/>
                <w:kern w:val="0"/>
                <w:szCs w:val="21"/>
                <w:highlight w:val="none"/>
              </w:rPr>
            </w:pPr>
            <w:r>
              <w:rPr>
                <w:rFonts w:ascii="Verdana" w:hAnsi="Verdana" w:cs="宋体"/>
                <w:color w:val="auto"/>
                <w:kern w:val="0"/>
                <w:szCs w:val="21"/>
                <w:highlight w:val="none"/>
              </w:rPr>
              <w:t>合计大写金额：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color w:val="auto"/>
                <w:kern w:val="0"/>
                <w:szCs w:val="21"/>
                <w:highlight w:val="none"/>
              </w:rPr>
            </w:pPr>
            <w:r>
              <w:rPr>
                <w:rFonts w:ascii="Verdana" w:hAnsi="Verdana" w:cs="宋体"/>
                <w:color w:val="auto"/>
                <w:kern w:val="0"/>
                <w:szCs w:val="21"/>
                <w:highlight w:val="none"/>
              </w:rPr>
              <w:t>实际供货日期</w:t>
            </w: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Verdana" w:hAnsi="Verdana" w:cs="宋体"/>
                <w:color w:val="auto"/>
                <w:kern w:val="0"/>
                <w:szCs w:val="21"/>
                <w:highlight w:val="none"/>
              </w:rPr>
            </w:pPr>
            <w:r>
              <w:rPr>
                <w:rFonts w:ascii="Verdana" w:hAnsi="Verdana" w:cs="宋体"/>
                <w:color w:val="auto"/>
                <w:kern w:val="0"/>
                <w:szCs w:val="21"/>
                <w:highlight w:val="none"/>
              </w:rPr>
              <w:t>合同交货验收日期</w:t>
            </w:r>
          </w:p>
        </w:tc>
        <w:tc>
          <w:tcPr>
            <w:tcW w:w="211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2719"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c>
          <w:tcPr>
            <w:tcW w:w="211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color w:val="auto"/>
                <w:kern w:val="0"/>
                <w:szCs w:val="21"/>
                <w:highlight w:val="none"/>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验收具体内容</w:t>
            </w:r>
          </w:p>
        </w:tc>
        <w:tc>
          <w:tcPr>
            <w:tcW w:w="711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验收小组意见</w:t>
            </w:r>
          </w:p>
        </w:tc>
        <w:tc>
          <w:tcPr>
            <w:tcW w:w="7114"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ascii="Verdana" w:hAnsi="Verdana" w:cs="宋体"/>
                <w:color w:val="auto"/>
                <w:kern w:val="0"/>
                <w:szCs w:val="21"/>
                <w:highlight w:val="none"/>
              </w:rPr>
            </w:pPr>
          </w:p>
        </w:tc>
        <w:tc>
          <w:tcPr>
            <w:tcW w:w="7114" w:type="dxa"/>
            <w:gridSpan w:val="7"/>
            <w:tcBorders>
              <w:top w:val="nil"/>
              <w:left w:val="nil"/>
              <w:bottom w:val="single" w:color="auto" w:sz="8" w:space="0"/>
              <w:right w:val="single" w:color="auto" w:sz="8" w:space="0"/>
            </w:tcBorders>
            <w:vAlign w:val="center"/>
          </w:tcPr>
          <w:p>
            <w:pPr>
              <w:widowControl/>
              <w:spacing w:before="100" w:beforeAutospacing="1" w:after="100" w:afterAutospacing="1" w:line="320" w:lineRule="atLeast"/>
              <w:ind w:firstLine="96"/>
              <w:jc w:val="left"/>
              <w:rPr>
                <w:rFonts w:ascii="Verdana" w:hAnsi="Verdana" w:cs="宋体"/>
                <w:color w:val="auto"/>
                <w:kern w:val="0"/>
                <w:szCs w:val="21"/>
                <w:highlight w:val="none"/>
              </w:rPr>
            </w:pPr>
            <w:r>
              <w:rPr>
                <w:rFonts w:ascii="Verdana" w:hAnsi="Verdana" w:cs="宋体"/>
                <w:color w:val="auto"/>
                <w:kern w:val="0"/>
                <w:szCs w:val="21"/>
                <w:highlight w:val="none"/>
              </w:rPr>
              <w:t>有异议的意见和说明理由：</w:t>
            </w:r>
          </w:p>
          <w:p>
            <w:pPr>
              <w:widowControl/>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签字：</w:t>
            </w:r>
          </w:p>
        </w:tc>
      </w:tr>
      <w:tr>
        <w:tblPrEx>
          <w:tblCellMar>
            <w:top w:w="0" w:type="dxa"/>
            <w:left w:w="0" w:type="dxa"/>
            <w:bottom w:w="0" w:type="dxa"/>
            <w:right w:w="0" w:type="dxa"/>
          </w:tblCellMar>
        </w:tblPrEx>
        <w:trPr>
          <w:trHeight w:val="507" w:hRule="atLeast"/>
          <w:jc w:val="center"/>
        </w:trPr>
        <w:tc>
          <w:tcPr>
            <w:tcW w:w="8445"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验收小组成员签字：</w:t>
            </w:r>
          </w:p>
        </w:tc>
      </w:tr>
      <w:tr>
        <w:tblPrEx>
          <w:tblCellMar>
            <w:top w:w="0" w:type="dxa"/>
            <w:left w:w="0" w:type="dxa"/>
            <w:bottom w:w="0" w:type="dxa"/>
            <w:right w:w="0" w:type="dxa"/>
          </w:tblCellMar>
        </w:tblPrEx>
        <w:trPr>
          <w:trHeight w:val="736" w:hRule="atLeast"/>
          <w:jc w:val="center"/>
        </w:trPr>
        <w:tc>
          <w:tcPr>
            <w:tcW w:w="8445"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监督人员或其他相关人员签字：</w:t>
            </w:r>
          </w:p>
          <w:p>
            <w:pPr>
              <w:widowControl/>
              <w:spacing w:before="100" w:beforeAutospacing="1" w:after="100" w:afterAutospacing="1" w:line="320" w:lineRule="atLeast"/>
              <w:ind w:firstLine="74"/>
              <w:jc w:val="left"/>
              <w:rPr>
                <w:rFonts w:ascii="Verdana" w:hAnsi="Verdana" w:cs="宋体"/>
                <w:color w:val="auto"/>
                <w:kern w:val="0"/>
                <w:szCs w:val="21"/>
                <w:highlight w:val="none"/>
              </w:rPr>
            </w:pPr>
            <w:r>
              <w:rPr>
                <w:rFonts w:ascii="Verdana" w:hAnsi="Verdana" w:cs="宋体"/>
                <w:color w:val="auto"/>
                <w:kern w:val="0"/>
                <w:szCs w:val="21"/>
                <w:highlight w:val="none"/>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atLeast"/>
              <w:ind w:firstLine="74"/>
              <w:jc w:val="left"/>
              <w:rPr>
                <w:rFonts w:ascii="Verdana" w:hAnsi="Verdana" w:cs="宋体"/>
                <w:color w:val="auto"/>
                <w:kern w:val="0"/>
                <w:szCs w:val="21"/>
                <w:highlight w:val="none"/>
              </w:rPr>
            </w:pPr>
            <w:r>
              <w:rPr>
                <w:rFonts w:ascii="Verdana" w:hAnsi="Verdana" w:cs="宋体"/>
                <w:color w:val="auto"/>
                <w:kern w:val="0"/>
                <w:szCs w:val="21"/>
                <w:highlight w:val="none"/>
              </w:rPr>
              <w:t>中标或者成交供应商负责人签字或盖章：</w:t>
            </w:r>
          </w:p>
          <w:p>
            <w:pPr>
              <w:widowControl/>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联系电话： 年 月 日</w:t>
            </w:r>
          </w:p>
        </w:tc>
        <w:tc>
          <w:tcPr>
            <w:tcW w:w="4293"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采购人或受托机构的意见（盖章）：</w:t>
            </w:r>
          </w:p>
          <w:p>
            <w:pPr>
              <w:widowControl/>
              <w:spacing w:before="100" w:beforeAutospacing="1" w:after="100" w:afterAutospacing="1" w:line="320" w:lineRule="atLeast"/>
              <w:jc w:val="left"/>
              <w:rPr>
                <w:rFonts w:ascii="Verdana" w:hAnsi="Verdana" w:cs="宋体"/>
                <w:color w:val="auto"/>
                <w:kern w:val="0"/>
                <w:szCs w:val="21"/>
                <w:highlight w:val="none"/>
              </w:rPr>
            </w:pPr>
            <w:r>
              <w:rPr>
                <w:rFonts w:ascii="Verdana" w:hAnsi="Verdana" w:cs="宋体"/>
                <w:color w:val="auto"/>
                <w:kern w:val="0"/>
                <w:szCs w:val="21"/>
                <w:highlight w:val="none"/>
              </w:rPr>
              <w:t>联系电话： 年 月 日</w:t>
            </w:r>
          </w:p>
        </w:tc>
      </w:tr>
    </w:tbl>
    <w:p>
      <w:pPr>
        <w:rPr>
          <w:rFonts w:ascii="宋体" w:hAnsi="宋体" w:cs="宋体"/>
          <w:color w:val="auto"/>
          <w:sz w:val="24"/>
          <w:highlight w:val="none"/>
        </w:rPr>
      </w:pPr>
    </w:p>
    <w:p>
      <w:pPr>
        <w:rPr>
          <w:rFonts w:ascii="宋体" w:hAnsi="宋体" w:cs="宋体"/>
          <w:color w:val="auto"/>
          <w:sz w:val="24"/>
          <w:highlight w:val="none"/>
        </w:rPr>
      </w:pPr>
    </w:p>
    <w:p>
      <w:pPr>
        <w:snapToGrid w:val="0"/>
        <w:spacing w:before="156" w:beforeLines="50" w:after="50"/>
        <w:outlineLvl w:val="1"/>
        <w:rPr>
          <w:rFonts w:ascii="宋体" w:hAnsi="宋体" w:cs="宋体"/>
          <w:b/>
          <w:color w:val="auto"/>
          <w:sz w:val="24"/>
          <w:szCs w:val="22"/>
          <w:highlight w:val="none"/>
        </w:rPr>
      </w:pPr>
      <w:bookmarkStart w:id="103" w:name="_Toc19917"/>
      <w:bookmarkStart w:id="104" w:name="_Toc13144"/>
      <w:r>
        <w:rPr>
          <w:rFonts w:hint="eastAsia" w:ascii="宋体" w:hAnsi="宋体" w:cs="宋体"/>
          <w:b/>
          <w:color w:val="auto"/>
          <w:sz w:val="24"/>
          <w:szCs w:val="22"/>
          <w:highlight w:val="none"/>
          <w:lang w:bidi="ar"/>
        </w:rPr>
        <w:t>其他文书、文件格式</w:t>
      </w:r>
      <w:bookmarkEnd w:id="103"/>
      <w:bookmarkEnd w:id="104"/>
    </w:p>
    <w:p>
      <w:pPr>
        <w:snapToGrid w:val="0"/>
        <w:spacing w:before="156" w:beforeLines="50" w:after="50"/>
        <w:outlineLvl w:val="1"/>
        <w:rPr>
          <w:rFonts w:ascii="宋体" w:hAnsi="宋体" w:cs="宋体"/>
          <w:b/>
          <w:color w:val="auto"/>
          <w:sz w:val="24"/>
          <w:szCs w:val="22"/>
          <w:highlight w:val="none"/>
        </w:rPr>
      </w:pPr>
      <w:bookmarkStart w:id="105" w:name="_Toc2057"/>
      <w:bookmarkStart w:id="106" w:name="_Toc502340971"/>
      <w:bookmarkStart w:id="107" w:name="_Toc4292"/>
      <w:r>
        <w:rPr>
          <w:rFonts w:hint="eastAsia" w:ascii="宋体" w:hAnsi="宋体" w:cs="宋体"/>
          <w:b/>
          <w:color w:val="auto"/>
          <w:sz w:val="24"/>
          <w:szCs w:val="22"/>
          <w:highlight w:val="none"/>
          <w:lang w:bidi="ar"/>
        </w:rPr>
        <w:t>中小企业声明函</w:t>
      </w:r>
      <w:bookmarkEnd w:id="105"/>
      <w:bookmarkEnd w:id="106"/>
      <w:bookmarkEnd w:id="107"/>
    </w:p>
    <w:p>
      <w:pPr>
        <w:rPr>
          <w:rFonts w:ascii="宋体" w:hAnsi="宋体" w:cs="宋体"/>
          <w:color w:val="auto"/>
          <w:highlight w:val="none"/>
        </w:rPr>
      </w:pPr>
    </w:p>
    <w:p>
      <w:pPr>
        <w:widowControl/>
        <w:shd w:val="clear" w:color="auto" w:fill="FFFFFF"/>
        <w:spacing w:before="100" w:beforeAutospacing="1" w:after="100" w:afterAutospacing="1" w:line="482" w:lineRule="atLeast"/>
        <w:jc w:val="center"/>
        <w:rPr>
          <w:rFonts w:ascii="宋体" w:hAnsi="宋体"/>
          <w:color w:val="auto"/>
          <w:kern w:val="0"/>
          <w:sz w:val="32"/>
          <w:szCs w:val="32"/>
          <w:highlight w:val="none"/>
        </w:rPr>
      </w:pPr>
      <w:r>
        <w:rPr>
          <w:rFonts w:hint="eastAsia" w:ascii="宋体" w:hAnsi="宋体"/>
          <w:b/>
          <w:bCs/>
          <w:color w:val="auto"/>
          <w:kern w:val="0"/>
          <w:sz w:val="32"/>
          <w:szCs w:val="32"/>
          <w:highlight w:val="none"/>
        </w:rPr>
        <w:t>中小企业声明函</w:t>
      </w:r>
    </w:p>
    <w:p>
      <w:pPr>
        <w:widowControl/>
        <w:shd w:val="clear" w:color="auto" w:fill="FFFFFF"/>
        <w:spacing w:line="360" w:lineRule="auto"/>
        <w:ind w:firstLine="480" w:firstLineChars="200"/>
        <w:jc w:val="left"/>
        <w:rPr>
          <w:color w:val="auto"/>
          <w:kern w:val="0"/>
          <w:sz w:val="24"/>
          <w:highlight w:val="none"/>
        </w:rPr>
      </w:pPr>
      <w:r>
        <w:rPr>
          <w:rFonts w:hint="eastAsia"/>
          <w:color w:val="auto"/>
          <w:kern w:val="0"/>
          <w:sz w:val="24"/>
          <w:highlight w:val="none"/>
        </w:rPr>
        <w:t xml:space="preserve">本公司（联合体）郑重声明，根据《政府采购促进中小企业发展管理办法》（财库﹝2020﹞46 号）的规定，本公司（联合体）参加 </w:t>
      </w:r>
      <w:r>
        <w:rPr>
          <w:rFonts w:hint="eastAsia"/>
          <w:color w:val="auto"/>
          <w:kern w:val="0"/>
          <w:sz w:val="24"/>
          <w:highlight w:val="none"/>
          <w:u w:val="single"/>
        </w:rPr>
        <w:t>（单位名称）</w:t>
      </w:r>
      <w:r>
        <w:rPr>
          <w:rFonts w:hint="eastAsia"/>
          <w:color w:val="auto"/>
          <w:kern w:val="0"/>
          <w:sz w:val="24"/>
          <w:highlight w:val="none"/>
        </w:rPr>
        <w:t xml:space="preserve"> 的</w:t>
      </w:r>
      <w:r>
        <w:rPr>
          <w:rFonts w:hint="eastAsia"/>
          <w:color w:val="auto"/>
          <w:kern w:val="0"/>
          <w:sz w:val="24"/>
          <w:highlight w:val="none"/>
          <w:u w:val="single"/>
        </w:rPr>
        <w:t xml:space="preserve"> （项目名称） </w:t>
      </w:r>
      <w:r>
        <w:rPr>
          <w:rFonts w:hint="eastAsia"/>
          <w:color w:val="auto"/>
          <w:kern w:val="0"/>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widowControl/>
        <w:shd w:val="clear" w:color="auto" w:fill="FFFFFF"/>
        <w:spacing w:line="360" w:lineRule="auto"/>
        <w:ind w:firstLine="480" w:firstLineChars="200"/>
        <w:jc w:val="left"/>
        <w:rPr>
          <w:color w:val="auto"/>
          <w:kern w:val="0"/>
          <w:sz w:val="24"/>
          <w:highlight w:val="none"/>
        </w:rPr>
      </w:pPr>
      <w:r>
        <w:rPr>
          <w:rFonts w:hint="eastAsia"/>
          <w:color w:val="auto"/>
          <w:kern w:val="0"/>
          <w:sz w:val="24"/>
          <w:highlight w:val="none"/>
        </w:rPr>
        <w:t>1.</w:t>
      </w:r>
      <w:r>
        <w:rPr>
          <w:rFonts w:hint="eastAsia"/>
          <w:color w:val="auto"/>
          <w:kern w:val="0"/>
          <w:sz w:val="24"/>
          <w:highlight w:val="none"/>
          <w:u w:val="single"/>
        </w:rPr>
        <w:t>（标的名称）</w:t>
      </w:r>
      <w:r>
        <w:rPr>
          <w:rFonts w:hint="eastAsia"/>
          <w:color w:val="auto"/>
          <w:kern w:val="0"/>
          <w:sz w:val="24"/>
          <w:highlight w:val="none"/>
        </w:rPr>
        <w:t>，属于</w:t>
      </w:r>
      <w:r>
        <w:rPr>
          <w:rFonts w:hint="eastAsia"/>
          <w:color w:val="auto"/>
          <w:kern w:val="0"/>
          <w:sz w:val="24"/>
          <w:highlight w:val="none"/>
          <w:u w:val="single"/>
          <w:lang w:eastAsia="zh-CN"/>
        </w:rPr>
        <w:t>（</w:t>
      </w:r>
      <w:r>
        <w:rPr>
          <w:rFonts w:hint="eastAsia" w:ascii="Times New Roman" w:hAnsi="Times New Roman" w:eastAsia="宋体" w:cs="Times New Roman"/>
          <w:color w:val="auto"/>
          <w:kern w:val="0"/>
          <w:sz w:val="24"/>
          <w:highlight w:val="none"/>
          <w:u w:val="single"/>
        </w:rPr>
        <w:t>采购文件中明确的所属行业）</w:t>
      </w:r>
      <w:r>
        <w:rPr>
          <w:rFonts w:hint="eastAsia"/>
          <w:color w:val="auto"/>
          <w:kern w:val="0"/>
          <w:sz w:val="24"/>
          <w:highlight w:val="none"/>
          <w:u w:val="single"/>
        </w:rPr>
        <w:t xml:space="preserve"> </w:t>
      </w:r>
      <w:r>
        <w:rPr>
          <w:rFonts w:hint="eastAsia"/>
          <w:color w:val="auto"/>
          <w:kern w:val="0"/>
          <w:sz w:val="24"/>
          <w:highlight w:val="none"/>
        </w:rPr>
        <w:t xml:space="preserve">；承建（承接）企业为 </w:t>
      </w:r>
      <w:r>
        <w:rPr>
          <w:rFonts w:hint="eastAsia"/>
          <w:color w:val="auto"/>
          <w:kern w:val="0"/>
          <w:sz w:val="24"/>
          <w:highlight w:val="none"/>
          <w:u w:val="single"/>
        </w:rPr>
        <w:t xml:space="preserve">（企业名称） </w:t>
      </w:r>
      <w:r>
        <w:rPr>
          <w:rFonts w:hint="eastAsia"/>
          <w:color w:val="auto"/>
          <w:kern w:val="0"/>
          <w:sz w:val="24"/>
          <w:highlight w:val="none"/>
        </w:rPr>
        <w:t>，从业人员</w:t>
      </w:r>
      <w:r>
        <w:rPr>
          <w:rFonts w:hint="eastAsia"/>
          <w:color w:val="auto"/>
          <w:kern w:val="0"/>
          <w:sz w:val="24"/>
          <w:highlight w:val="none"/>
          <w:u w:val="single"/>
        </w:rPr>
        <w:t xml:space="preserve">       </w:t>
      </w:r>
      <w:r>
        <w:rPr>
          <w:rFonts w:hint="eastAsia"/>
          <w:color w:val="auto"/>
          <w:kern w:val="0"/>
          <w:sz w:val="24"/>
          <w:highlight w:val="none"/>
        </w:rPr>
        <w:t>人，营业收入为</w:t>
      </w:r>
      <w:r>
        <w:rPr>
          <w:rFonts w:hint="eastAsia"/>
          <w:color w:val="auto"/>
          <w:kern w:val="0"/>
          <w:sz w:val="24"/>
          <w:highlight w:val="none"/>
          <w:u w:val="single"/>
        </w:rPr>
        <w:t xml:space="preserve">        </w:t>
      </w:r>
      <w:r>
        <w:rPr>
          <w:rFonts w:hint="eastAsia"/>
          <w:color w:val="auto"/>
          <w:kern w:val="0"/>
          <w:sz w:val="24"/>
          <w:highlight w:val="none"/>
        </w:rPr>
        <w:t>万元，资产总额为</w:t>
      </w:r>
      <w:r>
        <w:rPr>
          <w:rFonts w:hint="eastAsia"/>
          <w:color w:val="auto"/>
          <w:kern w:val="0"/>
          <w:sz w:val="24"/>
          <w:highlight w:val="none"/>
          <w:u w:val="single"/>
        </w:rPr>
        <w:t xml:space="preserve">        </w:t>
      </w:r>
      <w:r>
        <w:rPr>
          <w:rFonts w:hint="eastAsia"/>
          <w:color w:val="auto"/>
          <w:kern w:val="0"/>
          <w:sz w:val="24"/>
          <w:highlight w:val="none"/>
        </w:rPr>
        <w:t>万元，属于（中型企业、小型企业、微型企业） ；</w:t>
      </w:r>
    </w:p>
    <w:p>
      <w:pPr>
        <w:widowControl/>
        <w:shd w:val="clear" w:color="auto" w:fill="FFFFFF"/>
        <w:spacing w:line="360" w:lineRule="auto"/>
        <w:ind w:firstLine="480" w:firstLineChars="200"/>
        <w:jc w:val="left"/>
        <w:rPr>
          <w:color w:val="auto"/>
          <w:kern w:val="0"/>
          <w:sz w:val="24"/>
          <w:highlight w:val="none"/>
        </w:rPr>
      </w:pPr>
      <w:r>
        <w:rPr>
          <w:rFonts w:hint="eastAsia"/>
          <w:color w:val="auto"/>
          <w:kern w:val="0"/>
          <w:sz w:val="24"/>
          <w:highlight w:val="none"/>
        </w:rPr>
        <w:t>2.</w:t>
      </w:r>
      <w:r>
        <w:rPr>
          <w:rFonts w:hint="eastAsia"/>
          <w:color w:val="auto"/>
          <w:kern w:val="0"/>
          <w:sz w:val="24"/>
          <w:highlight w:val="none"/>
          <w:u w:val="single"/>
        </w:rPr>
        <w:t>（标的名称）</w:t>
      </w:r>
      <w:r>
        <w:rPr>
          <w:rFonts w:hint="eastAsia"/>
          <w:color w:val="auto"/>
          <w:kern w:val="0"/>
          <w:sz w:val="24"/>
          <w:highlight w:val="none"/>
        </w:rPr>
        <w:t>，属于</w:t>
      </w:r>
      <w:r>
        <w:rPr>
          <w:rFonts w:hint="eastAsia"/>
          <w:color w:val="auto"/>
          <w:kern w:val="0"/>
          <w:sz w:val="24"/>
          <w:highlight w:val="none"/>
          <w:u w:val="single"/>
          <w:lang w:eastAsia="zh-CN"/>
        </w:rPr>
        <w:t>（</w:t>
      </w:r>
      <w:r>
        <w:rPr>
          <w:rFonts w:hint="eastAsia" w:ascii="Times New Roman" w:hAnsi="Times New Roman" w:eastAsia="宋体" w:cs="Times New Roman"/>
          <w:color w:val="auto"/>
          <w:kern w:val="0"/>
          <w:sz w:val="24"/>
          <w:highlight w:val="none"/>
          <w:u w:val="single"/>
        </w:rPr>
        <w:t xml:space="preserve">采购文件中明确的所属行业） </w:t>
      </w:r>
      <w:r>
        <w:rPr>
          <w:rFonts w:hint="eastAsia"/>
          <w:color w:val="auto"/>
          <w:kern w:val="0"/>
          <w:sz w:val="24"/>
          <w:highlight w:val="none"/>
        </w:rPr>
        <w:t xml:space="preserve">；承建（承接）企业为 </w:t>
      </w:r>
      <w:r>
        <w:rPr>
          <w:rFonts w:hint="eastAsia"/>
          <w:color w:val="auto"/>
          <w:kern w:val="0"/>
          <w:sz w:val="24"/>
          <w:highlight w:val="none"/>
          <w:u w:val="single"/>
        </w:rPr>
        <w:t>（企业名称）</w:t>
      </w:r>
      <w:r>
        <w:rPr>
          <w:rFonts w:hint="eastAsia"/>
          <w:color w:val="auto"/>
          <w:kern w:val="0"/>
          <w:sz w:val="24"/>
          <w:highlight w:val="none"/>
        </w:rPr>
        <w:t xml:space="preserve"> ，从业人员</w:t>
      </w:r>
      <w:r>
        <w:rPr>
          <w:rFonts w:hint="eastAsia"/>
          <w:color w:val="auto"/>
          <w:kern w:val="0"/>
          <w:sz w:val="24"/>
          <w:highlight w:val="none"/>
          <w:u w:val="single"/>
        </w:rPr>
        <w:t xml:space="preserve">     </w:t>
      </w:r>
      <w:r>
        <w:rPr>
          <w:rFonts w:hint="eastAsia"/>
          <w:color w:val="auto"/>
          <w:kern w:val="0"/>
          <w:sz w:val="24"/>
          <w:highlight w:val="none"/>
        </w:rPr>
        <w:t>人，营业收入为</w:t>
      </w:r>
      <w:r>
        <w:rPr>
          <w:rFonts w:hint="eastAsia"/>
          <w:color w:val="auto"/>
          <w:kern w:val="0"/>
          <w:sz w:val="24"/>
          <w:highlight w:val="none"/>
          <w:u w:val="single"/>
        </w:rPr>
        <w:t xml:space="preserve">     </w:t>
      </w:r>
      <w:r>
        <w:rPr>
          <w:rFonts w:hint="eastAsia"/>
          <w:color w:val="auto"/>
          <w:kern w:val="0"/>
          <w:sz w:val="24"/>
          <w:highlight w:val="none"/>
        </w:rPr>
        <w:t>万元，资产总额为</w:t>
      </w:r>
      <w:r>
        <w:rPr>
          <w:rFonts w:hint="eastAsia"/>
          <w:color w:val="auto"/>
          <w:kern w:val="0"/>
          <w:sz w:val="24"/>
          <w:highlight w:val="none"/>
          <w:u w:val="single"/>
        </w:rPr>
        <w:t xml:space="preserve">     </w:t>
      </w:r>
      <w:r>
        <w:rPr>
          <w:rFonts w:hint="eastAsia"/>
          <w:color w:val="auto"/>
          <w:kern w:val="0"/>
          <w:sz w:val="24"/>
          <w:highlight w:val="none"/>
        </w:rPr>
        <w:t>万元，属于（中型企业、小型企业、微型企业） ；</w:t>
      </w:r>
    </w:p>
    <w:p>
      <w:pPr>
        <w:widowControl/>
        <w:shd w:val="clear" w:color="auto" w:fill="FFFFFF"/>
        <w:spacing w:line="360" w:lineRule="auto"/>
        <w:ind w:firstLine="480" w:firstLineChars="200"/>
        <w:jc w:val="left"/>
        <w:rPr>
          <w:color w:val="auto"/>
          <w:kern w:val="0"/>
          <w:sz w:val="24"/>
          <w:highlight w:val="none"/>
        </w:rPr>
      </w:pPr>
      <w:r>
        <w:rPr>
          <w:rFonts w:hint="eastAsia"/>
          <w:color w:val="auto"/>
          <w:kern w:val="0"/>
          <w:sz w:val="24"/>
          <w:highlight w:val="none"/>
        </w:rPr>
        <w:t>……</w:t>
      </w:r>
    </w:p>
    <w:p>
      <w:pPr>
        <w:widowControl/>
        <w:shd w:val="clear" w:color="auto" w:fill="FFFFFF"/>
        <w:spacing w:line="360" w:lineRule="auto"/>
        <w:ind w:firstLine="480" w:firstLineChars="200"/>
        <w:jc w:val="left"/>
        <w:rPr>
          <w:color w:val="auto"/>
          <w:kern w:val="0"/>
          <w:sz w:val="24"/>
          <w:highlight w:val="none"/>
        </w:rPr>
      </w:pPr>
      <w:r>
        <w:rPr>
          <w:rFonts w:hint="eastAsia"/>
          <w:color w:val="auto"/>
          <w:kern w:val="0"/>
          <w:sz w:val="24"/>
          <w:highlight w:val="none"/>
        </w:rPr>
        <w:t>以上企业，不属于大企业的分支机构，不存在控股股东为大企业的情形，也不存在与大企业的负责人为同一人的情形。</w:t>
      </w:r>
    </w:p>
    <w:p>
      <w:pPr>
        <w:widowControl/>
        <w:shd w:val="clear" w:color="auto" w:fill="FFFFFF"/>
        <w:spacing w:line="360" w:lineRule="auto"/>
        <w:ind w:firstLine="480" w:firstLineChars="200"/>
        <w:jc w:val="left"/>
        <w:rPr>
          <w:color w:val="auto"/>
          <w:kern w:val="0"/>
          <w:sz w:val="24"/>
          <w:highlight w:val="none"/>
        </w:rPr>
      </w:pPr>
      <w:r>
        <w:rPr>
          <w:rFonts w:hint="eastAsia"/>
          <w:color w:val="auto"/>
          <w:kern w:val="0"/>
          <w:sz w:val="24"/>
          <w:highlight w:val="none"/>
        </w:rPr>
        <w:t>本企业对上述声明内容的真实性负责。如有虚假，将依法承担相应责任。</w:t>
      </w:r>
    </w:p>
    <w:p>
      <w:pPr>
        <w:widowControl/>
        <w:shd w:val="clear" w:color="auto" w:fill="FFFFFF"/>
        <w:spacing w:line="360" w:lineRule="auto"/>
        <w:ind w:firstLine="539"/>
        <w:jc w:val="left"/>
        <w:rPr>
          <w:color w:val="auto"/>
          <w:kern w:val="0"/>
          <w:sz w:val="24"/>
          <w:highlight w:val="none"/>
        </w:rPr>
      </w:pPr>
    </w:p>
    <w:p>
      <w:pPr>
        <w:widowControl/>
        <w:shd w:val="clear" w:color="auto" w:fill="FFFFFF"/>
        <w:spacing w:line="360" w:lineRule="auto"/>
        <w:ind w:firstLine="4140"/>
        <w:jc w:val="left"/>
        <w:rPr>
          <w:color w:val="auto"/>
          <w:kern w:val="0"/>
          <w:sz w:val="24"/>
          <w:highlight w:val="none"/>
        </w:rPr>
      </w:pPr>
    </w:p>
    <w:p>
      <w:pPr>
        <w:widowControl/>
        <w:shd w:val="clear" w:color="auto" w:fill="FFFFFF"/>
        <w:spacing w:line="360" w:lineRule="auto"/>
        <w:ind w:firstLine="4140"/>
        <w:jc w:val="left"/>
        <w:rPr>
          <w:color w:val="auto"/>
          <w:kern w:val="0"/>
          <w:sz w:val="24"/>
          <w:highlight w:val="none"/>
        </w:rPr>
      </w:pPr>
      <w:r>
        <w:rPr>
          <w:color w:val="auto"/>
          <w:kern w:val="0"/>
          <w:sz w:val="24"/>
          <w:highlight w:val="none"/>
        </w:rPr>
        <w:t>企业名称（盖章）：</w:t>
      </w:r>
    </w:p>
    <w:p>
      <w:pPr>
        <w:widowControl/>
        <w:shd w:val="clear" w:color="auto" w:fill="FFFFFF"/>
        <w:spacing w:line="360" w:lineRule="auto"/>
        <w:ind w:firstLine="4140"/>
        <w:jc w:val="left"/>
        <w:rPr>
          <w:color w:val="auto"/>
          <w:kern w:val="0"/>
          <w:sz w:val="24"/>
          <w:highlight w:val="none"/>
        </w:rPr>
      </w:pPr>
      <w:r>
        <w:rPr>
          <w:color w:val="auto"/>
          <w:kern w:val="0"/>
          <w:sz w:val="24"/>
          <w:highlight w:val="none"/>
        </w:rPr>
        <w:t xml:space="preserve">日    期： </w:t>
      </w:r>
    </w:p>
    <w:p>
      <w:pPr>
        <w:rPr>
          <w:rFonts w:ascii="宋体" w:hAnsi="宋体" w:cs="宋体"/>
          <w:b/>
          <w:color w:val="auto"/>
          <w:sz w:val="30"/>
          <w:szCs w:val="20"/>
          <w:highlight w:val="none"/>
        </w:rPr>
        <w:sectPr>
          <w:footerReference r:id="rId10" w:type="first"/>
          <w:footerReference r:id="rId9" w:type="default"/>
          <w:pgSz w:w="11906" w:h="16838"/>
          <w:pgMar w:top="1134" w:right="851" w:bottom="1134" w:left="1134" w:header="851" w:footer="992" w:gutter="0"/>
          <w:cols w:space="720" w:num="1"/>
          <w:titlePg/>
          <w:docGrid w:type="lines" w:linePitch="312" w:charSpace="0"/>
        </w:sectPr>
      </w:pPr>
    </w:p>
    <w:p>
      <w:pPr>
        <w:pStyle w:val="104"/>
        <w:shd w:val="clear" w:color="auto" w:fill="FFFFFF"/>
        <w:spacing w:before="0" w:beforeAutospacing="0" w:after="0" w:afterAutospacing="0" w:line="360" w:lineRule="exact"/>
        <w:jc w:val="center"/>
        <w:rPr>
          <w:b/>
          <w:color w:val="auto"/>
          <w:spacing w:val="6"/>
          <w:kern w:val="2"/>
          <w:sz w:val="32"/>
          <w:szCs w:val="32"/>
          <w:highlight w:val="none"/>
        </w:rPr>
      </w:pPr>
      <w:r>
        <w:rPr>
          <w:rFonts w:hint="eastAsia"/>
          <w:b/>
          <w:color w:val="auto"/>
          <w:spacing w:val="6"/>
          <w:kern w:val="2"/>
          <w:sz w:val="32"/>
          <w:szCs w:val="32"/>
          <w:highlight w:val="none"/>
        </w:rPr>
        <w:t>《残疾人福利性单位声明函》格式（非残疾人福利性单位无需填写）</w:t>
      </w:r>
    </w:p>
    <w:p>
      <w:pPr>
        <w:spacing w:line="588" w:lineRule="exact"/>
        <w:jc w:val="center"/>
        <w:rPr>
          <w:rFonts w:ascii="宋体" w:hAnsi="宋体" w:cs="宋体"/>
          <w:b/>
          <w:color w:val="auto"/>
          <w:spacing w:val="6"/>
          <w:sz w:val="32"/>
          <w:szCs w:val="32"/>
          <w:highlight w:val="none"/>
        </w:rPr>
      </w:pPr>
      <w:bookmarkStart w:id="108" w:name="OLE_LINK14"/>
      <w:bookmarkStart w:id="109" w:name="OLE_LINK13"/>
    </w:p>
    <w:p>
      <w:pPr>
        <w:spacing w:line="588" w:lineRule="exact"/>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残疾人福利性单位声明函</w:t>
      </w:r>
    </w:p>
    <w:bookmarkEnd w:id="108"/>
    <w:bookmarkEnd w:id="109"/>
    <w:p>
      <w:pPr>
        <w:spacing w:line="588" w:lineRule="exact"/>
        <w:rPr>
          <w:rFonts w:eastAsia="仿宋_GB2312"/>
          <w:b/>
          <w:color w:val="auto"/>
          <w:spacing w:val="6"/>
          <w:sz w:val="30"/>
          <w:szCs w:val="30"/>
          <w:highlight w:val="none"/>
        </w:rPr>
      </w:pP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〔2017〕141</w:t>
      </w:r>
      <w:r>
        <w:rPr>
          <w:rFonts w:hint="eastAsia" w:ascii="宋体" w:hAnsi="宋体" w:cs="宋体"/>
          <w:color w:val="auto"/>
          <w:spacing w:val="6"/>
          <w:sz w:val="24"/>
          <w:highlight w:val="none"/>
        </w:rPr>
        <w:t>号）的规定，本单位为符合条件的残疾人福利性单位，且本单位参加</w:t>
      </w:r>
      <w:r>
        <w:rPr>
          <w:rFonts w:hint="eastAsia" w:ascii="宋体" w:hAnsi="宋体" w:cs="宋体"/>
          <w:color w:val="auto"/>
          <w:spacing w:val="6"/>
          <w:sz w:val="24"/>
          <w:highlight w:val="none"/>
          <w:u w:val="single"/>
        </w:rPr>
        <w:t xml:space="preserve">          </w:t>
      </w:r>
      <w:r>
        <w:rPr>
          <w:rFonts w:hint="eastAsia" w:ascii="宋体" w:hAnsi="宋体" w:cs="宋体"/>
          <w:color w:val="auto"/>
          <w:spacing w:val="6"/>
          <w:sz w:val="24"/>
          <w:highlight w:val="none"/>
        </w:rPr>
        <w:t>单位的</w:t>
      </w:r>
      <w:r>
        <w:rPr>
          <w:rFonts w:hint="eastAsia" w:ascii="宋体" w:hAnsi="宋体" w:cs="宋体"/>
          <w:color w:val="auto"/>
          <w:spacing w:val="6"/>
          <w:sz w:val="24"/>
          <w:highlight w:val="none"/>
          <w:u w:val="single"/>
        </w:rPr>
        <w:t xml:space="preserve">                   </w:t>
      </w:r>
      <w:r>
        <w:rPr>
          <w:rFonts w:hint="eastAsia" w:ascii="宋体" w:hAnsi="宋体" w:cs="宋体"/>
          <w:color w:val="auto"/>
          <w:spacing w:val="6"/>
          <w:sz w:val="24"/>
          <w:highlight w:val="none"/>
        </w:rPr>
        <w:t>项目磋商活动提供的服务（由本单位承担工程/提供服务），或者由其他残疾人福利性单位提供的服务。</w:t>
      </w: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pacing w:line="588" w:lineRule="exact"/>
        <w:ind w:firstLine="504" w:firstLineChars="200"/>
        <w:rPr>
          <w:rFonts w:ascii="宋体" w:hAnsi="宋体" w:cs="宋体"/>
          <w:color w:val="auto"/>
          <w:spacing w:val="6"/>
          <w:sz w:val="24"/>
          <w:highlight w:val="none"/>
        </w:rPr>
      </w:pPr>
    </w:p>
    <w:p>
      <w:pPr>
        <w:spacing w:line="588" w:lineRule="exact"/>
        <w:ind w:firstLine="504" w:firstLineChars="200"/>
        <w:rPr>
          <w:rFonts w:eastAsia="仿宋_GB2312"/>
          <w:color w:val="auto"/>
          <w:spacing w:val="6"/>
          <w:sz w:val="24"/>
          <w:highlight w:val="none"/>
        </w:rPr>
      </w:pPr>
    </w:p>
    <w:p>
      <w:pPr>
        <w:tabs>
          <w:tab w:val="left" w:pos="4860"/>
        </w:tabs>
        <w:spacing w:line="588" w:lineRule="exact"/>
        <w:ind w:firstLine="5040" w:firstLineChars="2000"/>
        <w:rPr>
          <w:rFonts w:ascii="宋体" w:hAnsi="宋体" w:cs="宋体"/>
          <w:color w:val="auto"/>
          <w:spacing w:val="6"/>
          <w:sz w:val="24"/>
          <w:highlight w:val="none"/>
        </w:rPr>
      </w:pPr>
      <w:r>
        <w:rPr>
          <w:rFonts w:hint="eastAsia" w:ascii="宋体" w:hAnsi="宋体" w:cs="宋体"/>
          <w:color w:val="auto"/>
          <w:spacing w:val="6"/>
          <w:sz w:val="24"/>
          <w:highlight w:val="none"/>
        </w:rPr>
        <w:t>单位名称（盖章）：</w:t>
      </w:r>
    </w:p>
    <w:p>
      <w:pPr>
        <w:snapToGrid w:val="0"/>
        <w:spacing w:before="156" w:beforeLines="50" w:after="50" w:line="360" w:lineRule="auto"/>
        <w:ind w:firstLine="5040" w:firstLineChars="2000"/>
        <w:rPr>
          <w:rFonts w:ascii="宋体" w:hAnsi="宋体" w:cs="宋体"/>
          <w:b/>
          <w:color w:val="auto"/>
          <w:sz w:val="24"/>
          <w:highlight w:val="none"/>
        </w:rPr>
      </w:pPr>
      <w:r>
        <w:rPr>
          <w:rFonts w:hint="eastAsia" w:ascii="宋体" w:hAnsi="宋体" w:cs="宋体"/>
          <w:color w:val="auto"/>
          <w:spacing w:val="6"/>
          <w:sz w:val="24"/>
          <w:highlight w:val="none"/>
        </w:rPr>
        <w:t>日    期：</w:t>
      </w:r>
    </w:p>
    <w:p>
      <w:pPr>
        <w:rPr>
          <w:rFonts w:ascii="宋体" w:hAnsi="宋体" w:cs="宋体"/>
          <w:color w:val="auto"/>
          <w:highlight w:val="none"/>
        </w:rPr>
      </w:pPr>
    </w:p>
    <w:sectPr>
      <w:pgSz w:w="11906" w:h="16838"/>
      <w:pgMar w:top="1134" w:right="851" w:bottom="1134"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20B05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Batang">
    <w:panose1 w:val="02030600000101010101"/>
    <w:charset w:val="81"/>
    <w:family w:val="auto"/>
    <w:pitch w:val="default"/>
    <w:sig w:usb0="B00002AF" w:usb1="69D77CFB" w:usb2="00000030" w:usb3="00000000" w:csb0="4008009F" w:csb1="DFD7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font-weight : 400">
    <w:altName w:val="宋体"/>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25"/>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AFk8he&#10;7QEAANgDAAAOAAAAAAAAAAEAIAAAAB4BAABkcnMvZTJvRG9jLnhtbFBLBQYAAAAABgAGAFkBAAB9&#10;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6"/>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BLIYpW&#10;7QEAANcDAAAOAAAAAAAAAAEAIAAAAB4BAABkcnMvZTJvRG9jLnhtbFBLBQYAAAAABgAGAFkBAAB9&#10;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7"/>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6pebnPAAAABQEA&#10;AA8AAAAAAAAAAQAgAAAAIgAAAGRycy9kb3ducmV2LnhtbFBLAQIUABQAAAAIAIdO4kBGHthH6gEA&#10;ANQDAAAOAAAAAAAAAAEAIAAAAB4BAABkcnMvZTJvRG9jLnhtbFBLBQYAAAAABgAGAFkBAAB6BQAA&#10;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34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8"/>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B2DZh6&#10;7QEAANcDAAAOAAAAAAAAAAEAIAAAAB4BAABkcnMvZTJvRG9jLnhtbFBLBQYAAAAABgAGAFkBAAB9&#10;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9"/>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CJUpWQ&#10;7QEAANcDAAAOAAAAAAAAAAEAIAAAAB4BAABkcnMvZTJvRG9jLnhtbFBLBQYAAAAABgAGAFkBAAB9&#10;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rPr>
        <w:rFonts w:ascii="宋体" w:hAnsi="宋体"/>
        <w:b/>
        <w:bCs/>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9D2F2"/>
    <w:multiLevelType w:val="multilevel"/>
    <w:tmpl w:val="AA29D2F2"/>
    <w:lvl w:ilvl="0" w:tentative="0">
      <w:start w:val="13"/>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EA4AFA90"/>
    <w:multiLevelType w:val="multilevel"/>
    <w:tmpl w:val="EA4AFA90"/>
    <w:lvl w:ilvl="0" w:tentative="0">
      <w:start w:val="10"/>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2">
    <w:nsid w:val="FFFFFFFB"/>
    <w:multiLevelType w:val="multilevel"/>
    <w:tmpl w:val="FFFFFFFB"/>
    <w:lvl w:ilvl="0" w:tentative="0">
      <w:start w:val="1"/>
      <w:numFmt w:val="chineseCountingThousand"/>
      <w:suff w:val="space"/>
      <w:lvlText w:val="第%1章"/>
      <w:lvlJc w:val="left"/>
      <w:pPr>
        <w:ind w:left="0" w:firstLine="0"/>
      </w:pPr>
      <w:rPr>
        <w:rFonts w:hint="eastAsia"/>
        <w:lang w:val="en-US"/>
      </w:rPr>
    </w:lvl>
    <w:lvl w:ilvl="1" w:tentative="0">
      <w:start w:val="1"/>
      <w:numFmt w:val="decimal"/>
      <w:isLgl/>
      <w:suff w:val="space"/>
      <w:lvlText w:val="%1.%2"/>
      <w:lvlJc w:val="left"/>
      <w:pPr>
        <w:ind w:left="0" w:firstLine="0"/>
      </w:pPr>
      <w:rPr>
        <w:rFonts w:hint="eastAsia" w:hAnsi="Times New Roman" w:cs="Times New Roman"/>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tentative="0">
      <w:start w:val="1"/>
      <w:numFmt w:val="decimal"/>
      <w:isLgl/>
      <w:suff w:val="space"/>
      <w:lvlText w:val="%1.%2.%3"/>
      <w:lvlJc w:val="left"/>
      <w:pPr>
        <w:ind w:left="0" w:firstLine="0"/>
      </w:pPr>
      <w:rPr>
        <w:rFonts w:hint="eastAsia" w:cs="Times New Roman"/>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tentative="0">
      <w:start w:val="1"/>
      <w:numFmt w:val="decimal"/>
      <w:isLgl/>
      <w:suff w:val="space"/>
      <w:lvlText w:val="%1.%2.%3.%4"/>
      <w:lvlJc w:val="left"/>
      <w:pPr>
        <w:ind w:left="0" w:firstLine="0"/>
      </w:pPr>
      <w:rPr>
        <w:rFonts w:hint="eastAsia" w:cs="Times New Roman"/>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7"/>
      <w:isLgl/>
      <w:suff w:val="space"/>
      <w:lvlText w:val="%1.%2.%3.%4.%5"/>
      <w:lvlJc w:val="left"/>
      <w:pPr>
        <w:ind w:left="284" w:firstLine="0"/>
      </w:pPr>
      <w:rPr>
        <w:rFonts w:hint="eastAsia" w:ascii="宋体" w:hAnsi="宋体" w:eastAsia="宋体"/>
        <w:lang w:val="en-US"/>
      </w:rPr>
    </w:lvl>
    <w:lvl w:ilvl="5" w:tentative="0">
      <w:start w:val="1"/>
      <w:numFmt w:val="decimal"/>
      <w:pStyle w:val="8"/>
      <w:isLgl/>
      <w:suff w:val="space"/>
      <w:lvlText w:val="%1.%2.%3.%4.%5.%6"/>
      <w:lvlJc w:val="left"/>
      <w:pPr>
        <w:ind w:left="0"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abstractNum w:abstractNumId="3">
    <w:nsid w:val="36CA113D"/>
    <w:multiLevelType w:val="multilevel"/>
    <w:tmpl w:val="36CA113D"/>
    <w:lvl w:ilvl="0" w:tentative="0">
      <w:start w:val="1"/>
      <w:numFmt w:val="decimal"/>
      <w:lvlText w:val="第%1章"/>
      <w:lvlJc w:val="left"/>
      <w:pPr>
        <w:ind w:left="420" w:hanging="420"/>
      </w:pPr>
      <w:rPr>
        <w:rFonts w:hint="eastAsia" w:eastAsia="黑体"/>
        <w:color w:val="auto"/>
        <w:sz w:val="36"/>
      </w:rPr>
    </w:lvl>
    <w:lvl w:ilvl="1" w:tentative="0">
      <w:start w:val="1"/>
      <w:numFmt w:val="decimal"/>
      <w:pStyle w:val="112"/>
      <w:isLgl/>
      <w:suff w:val="space"/>
      <w:lvlText w:val="%1.%2"/>
      <w:lvlJc w:val="left"/>
      <w:pPr>
        <w:ind w:left="0" w:firstLine="0"/>
      </w:pPr>
      <w:rPr>
        <w:rFonts w:hint="default" w:ascii="Times New Roman" w:hAnsi="Times New Roman" w:eastAsia="宋体"/>
        <w:color w:val="auto"/>
      </w:rPr>
    </w:lvl>
    <w:lvl w:ilvl="2" w:tentative="0">
      <w:start w:val="1"/>
      <w:numFmt w:val="decimal"/>
      <w:isLgl/>
      <w:suff w:val="space"/>
      <w:lvlText w:val="%1.%2.%3"/>
      <w:lvlJc w:val="left"/>
      <w:pPr>
        <w:ind w:left="709" w:hanging="709"/>
      </w:pPr>
      <w:rPr>
        <w:rFonts w:hint="default" w:ascii="Times New Roman" w:hAnsi="Times New Roman" w:eastAsia="宋体"/>
        <w:color w:val="auto"/>
      </w:rPr>
    </w:lvl>
    <w:lvl w:ilvl="3" w:tentative="0">
      <w:start w:val="1"/>
      <w:numFmt w:val="decimal"/>
      <w:isLgl/>
      <w:suff w:val="space"/>
      <w:lvlText w:val="%1.%2.%3.%4"/>
      <w:lvlJc w:val="left"/>
      <w:pPr>
        <w:ind w:left="900" w:hanging="900"/>
      </w:pPr>
      <w:rPr>
        <w:rFonts w:hint="default" w:ascii="Times New Roman" w:hAnsi="Times New Roman" w:eastAsia="宋体"/>
        <w:color w:val="auto"/>
        <w:lang w:val="en-US"/>
      </w:rPr>
    </w:lvl>
    <w:lvl w:ilvl="4" w:tentative="0">
      <w:start w:val="1"/>
      <w:numFmt w:val="decimal"/>
      <w:isLgl/>
      <w:suff w:val="space"/>
      <w:lvlText w:val="%1.%2.%3.%4.%5"/>
      <w:lvlJc w:val="left"/>
      <w:pPr>
        <w:ind w:left="1440" w:hanging="1440"/>
      </w:pPr>
      <w:rPr>
        <w:rFonts w:hint="default" w:ascii="Times New Roman" w:hAnsi="Times New Roman" w:eastAsia="宋体"/>
        <w:color w:val="auto"/>
      </w:rPr>
    </w:lvl>
    <w:lvl w:ilvl="5" w:tentative="0">
      <w:start w:val="1"/>
      <w:numFmt w:val="decimal"/>
      <w:isLgl/>
      <w:suff w:val="space"/>
      <w:lvlText w:val="%1.%2.%3.%4.%5.%6."/>
      <w:lvlJc w:val="left"/>
      <w:pPr>
        <w:ind w:left="1134" w:hanging="1134"/>
      </w:pPr>
      <w:rPr>
        <w:rFonts w:hint="eastAsia"/>
      </w:rPr>
    </w:lvl>
    <w:lvl w:ilvl="6" w:tentative="0">
      <w:start w:val="1"/>
      <w:numFmt w:val="decimal"/>
      <w:isLgl/>
      <w:suff w:val="space"/>
      <w:lvlText w:val="%1.%2.%3.%4.%5.%6.%7."/>
      <w:lvlJc w:val="left"/>
      <w:pPr>
        <w:ind w:left="1276" w:hanging="1276"/>
      </w:pPr>
      <w:rPr>
        <w:rFonts w:hint="eastAsia"/>
      </w:rPr>
    </w:lvl>
    <w:lvl w:ilvl="7" w:tentative="0">
      <w:start w:val="1"/>
      <w:numFmt w:val="decimal"/>
      <w:isLgl/>
      <w:suff w:val="space"/>
      <w:lvlText w:val="%1.%2.%3.%4.%5.%6.%7.%8."/>
      <w:lvlJc w:val="left"/>
      <w:pPr>
        <w:ind w:left="1418" w:hanging="1418"/>
      </w:pPr>
      <w:rPr>
        <w:rFonts w:hint="eastAsia"/>
      </w:rPr>
    </w:lvl>
    <w:lvl w:ilvl="8" w:tentative="0">
      <w:start w:val="1"/>
      <w:numFmt w:val="decimal"/>
      <w:isLgl/>
      <w:suff w:val="space"/>
      <w:lvlText w:val="%1.%2.%3.%4.%5.%6.%7.%8.%9."/>
      <w:lvlJc w:val="left"/>
      <w:pPr>
        <w:ind w:left="1559" w:hanging="1559"/>
      </w:pPr>
      <w:rPr>
        <w:rFonts w:hint="eastAsia"/>
      </w:rPr>
    </w:lvl>
  </w:abstractNum>
  <w:abstractNum w:abstractNumId="4">
    <w:nsid w:val="4503544F"/>
    <w:multiLevelType w:val="multilevel"/>
    <w:tmpl w:val="450354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B5A45CC"/>
    <w:multiLevelType w:val="singleLevel"/>
    <w:tmpl w:val="5B5A45CC"/>
    <w:lvl w:ilvl="0" w:tentative="0">
      <w:start w:val="5"/>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kNTVkOGNkODU1NTRiMmM5NDM5MTEzOTU3OWRmYmYifQ=="/>
  </w:docVars>
  <w:rsids>
    <w:rsidRoot w:val="00172A27"/>
    <w:rsid w:val="00000345"/>
    <w:rsid w:val="0000146E"/>
    <w:rsid w:val="00004A13"/>
    <w:rsid w:val="00004E68"/>
    <w:rsid w:val="0001520B"/>
    <w:rsid w:val="000158FE"/>
    <w:rsid w:val="00015972"/>
    <w:rsid w:val="00017F32"/>
    <w:rsid w:val="00026AC8"/>
    <w:rsid w:val="00026DCD"/>
    <w:rsid w:val="000300F6"/>
    <w:rsid w:val="00035163"/>
    <w:rsid w:val="000415CB"/>
    <w:rsid w:val="00044771"/>
    <w:rsid w:val="0004677D"/>
    <w:rsid w:val="00063CB6"/>
    <w:rsid w:val="00067342"/>
    <w:rsid w:val="00075EAE"/>
    <w:rsid w:val="00086B70"/>
    <w:rsid w:val="00087518"/>
    <w:rsid w:val="00087552"/>
    <w:rsid w:val="00090429"/>
    <w:rsid w:val="00090943"/>
    <w:rsid w:val="00090B33"/>
    <w:rsid w:val="00096505"/>
    <w:rsid w:val="000A14E9"/>
    <w:rsid w:val="000A43CD"/>
    <w:rsid w:val="000A5659"/>
    <w:rsid w:val="000B36DB"/>
    <w:rsid w:val="000B3D99"/>
    <w:rsid w:val="000B638F"/>
    <w:rsid w:val="000D1ACF"/>
    <w:rsid w:val="000D1D24"/>
    <w:rsid w:val="000E0423"/>
    <w:rsid w:val="000E108A"/>
    <w:rsid w:val="000E2321"/>
    <w:rsid w:val="000E3A46"/>
    <w:rsid w:val="000E5DF7"/>
    <w:rsid w:val="000E7396"/>
    <w:rsid w:val="000F0652"/>
    <w:rsid w:val="000F227C"/>
    <w:rsid w:val="000F3180"/>
    <w:rsid w:val="000F5198"/>
    <w:rsid w:val="00100DAF"/>
    <w:rsid w:val="00101AD8"/>
    <w:rsid w:val="0010237B"/>
    <w:rsid w:val="0010253B"/>
    <w:rsid w:val="0010374A"/>
    <w:rsid w:val="0010538A"/>
    <w:rsid w:val="00105D86"/>
    <w:rsid w:val="001076D0"/>
    <w:rsid w:val="00114101"/>
    <w:rsid w:val="001168D7"/>
    <w:rsid w:val="00116BCF"/>
    <w:rsid w:val="00117330"/>
    <w:rsid w:val="00125427"/>
    <w:rsid w:val="00125BE2"/>
    <w:rsid w:val="001306EF"/>
    <w:rsid w:val="001314DE"/>
    <w:rsid w:val="001326F4"/>
    <w:rsid w:val="00143AA7"/>
    <w:rsid w:val="00146CBA"/>
    <w:rsid w:val="0015014A"/>
    <w:rsid w:val="00153F2E"/>
    <w:rsid w:val="00153FB4"/>
    <w:rsid w:val="00162705"/>
    <w:rsid w:val="00164560"/>
    <w:rsid w:val="001705B9"/>
    <w:rsid w:val="00171FAC"/>
    <w:rsid w:val="00172A27"/>
    <w:rsid w:val="00184CC1"/>
    <w:rsid w:val="0018580B"/>
    <w:rsid w:val="0018775C"/>
    <w:rsid w:val="0019037D"/>
    <w:rsid w:val="00192BEE"/>
    <w:rsid w:val="00193CD0"/>
    <w:rsid w:val="0019730D"/>
    <w:rsid w:val="00197FFD"/>
    <w:rsid w:val="001A47CC"/>
    <w:rsid w:val="001A5A44"/>
    <w:rsid w:val="001B2AB3"/>
    <w:rsid w:val="001B38C4"/>
    <w:rsid w:val="001B5031"/>
    <w:rsid w:val="001B7FB6"/>
    <w:rsid w:val="001C1858"/>
    <w:rsid w:val="001C1F97"/>
    <w:rsid w:val="001C4C5E"/>
    <w:rsid w:val="001C5C61"/>
    <w:rsid w:val="001C6FC8"/>
    <w:rsid w:val="001D0928"/>
    <w:rsid w:val="001D4947"/>
    <w:rsid w:val="001D6E62"/>
    <w:rsid w:val="001D7DBF"/>
    <w:rsid w:val="001E0820"/>
    <w:rsid w:val="001E295C"/>
    <w:rsid w:val="001E5CA2"/>
    <w:rsid w:val="001F0202"/>
    <w:rsid w:val="001F1A0D"/>
    <w:rsid w:val="001F328E"/>
    <w:rsid w:val="001F3CB6"/>
    <w:rsid w:val="001F4FE4"/>
    <w:rsid w:val="001F60FB"/>
    <w:rsid w:val="001F7CB5"/>
    <w:rsid w:val="002026F3"/>
    <w:rsid w:val="0020299A"/>
    <w:rsid w:val="002035A7"/>
    <w:rsid w:val="00203AB1"/>
    <w:rsid w:val="002115E1"/>
    <w:rsid w:val="00215271"/>
    <w:rsid w:val="00240A87"/>
    <w:rsid w:val="0024472C"/>
    <w:rsid w:val="0024725B"/>
    <w:rsid w:val="00251240"/>
    <w:rsid w:val="00252D8F"/>
    <w:rsid w:val="00253056"/>
    <w:rsid w:val="002539CE"/>
    <w:rsid w:val="00255206"/>
    <w:rsid w:val="0025748B"/>
    <w:rsid w:val="00267D7E"/>
    <w:rsid w:val="00277496"/>
    <w:rsid w:val="0028512C"/>
    <w:rsid w:val="002876C3"/>
    <w:rsid w:val="00287E5D"/>
    <w:rsid w:val="00290165"/>
    <w:rsid w:val="002937C9"/>
    <w:rsid w:val="00296CE4"/>
    <w:rsid w:val="002977CF"/>
    <w:rsid w:val="002A01C9"/>
    <w:rsid w:val="002A39F2"/>
    <w:rsid w:val="002A4970"/>
    <w:rsid w:val="002A59C8"/>
    <w:rsid w:val="002B22AE"/>
    <w:rsid w:val="002B4155"/>
    <w:rsid w:val="002B73CA"/>
    <w:rsid w:val="002C361E"/>
    <w:rsid w:val="002D22EE"/>
    <w:rsid w:val="002D4830"/>
    <w:rsid w:val="002E4186"/>
    <w:rsid w:val="002E4DC5"/>
    <w:rsid w:val="002E5323"/>
    <w:rsid w:val="002F0B0F"/>
    <w:rsid w:val="002F2EE4"/>
    <w:rsid w:val="002F6085"/>
    <w:rsid w:val="00303184"/>
    <w:rsid w:val="00314061"/>
    <w:rsid w:val="0031499F"/>
    <w:rsid w:val="003212D0"/>
    <w:rsid w:val="00327983"/>
    <w:rsid w:val="00331184"/>
    <w:rsid w:val="003318A0"/>
    <w:rsid w:val="00332636"/>
    <w:rsid w:val="003335AA"/>
    <w:rsid w:val="00334B01"/>
    <w:rsid w:val="00341669"/>
    <w:rsid w:val="0034388B"/>
    <w:rsid w:val="00351B48"/>
    <w:rsid w:val="00354307"/>
    <w:rsid w:val="003562BD"/>
    <w:rsid w:val="00362748"/>
    <w:rsid w:val="00362B2F"/>
    <w:rsid w:val="00370151"/>
    <w:rsid w:val="00372818"/>
    <w:rsid w:val="00373DFB"/>
    <w:rsid w:val="00384AA1"/>
    <w:rsid w:val="003862E4"/>
    <w:rsid w:val="00387F24"/>
    <w:rsid w:val="003B00A7"/>
    <w:rsid w:val="003B110F"/>
    <w:rsid w:val="003B1B20"/>
    <w:rsid w:val="003B1C5B"/>
    <w:rsid w:val="003B4345"/>
    <w:rsid w:val="003B6E9B"/>
    <w:rsid w:val="003C0789"/>
    <w:rsid w:val="003C6532"/>
    <w:rsid w:val="003D23D8"/>
    <w:rsid w:val="003E468B"/>
    <w:rsid w:val="003F0132"/>
    <w:rsid w:val="003F37EC"/>
    <w:rsid w:val="003F52B9"/>
    <w:rsid w:val="003F659B"/>
    <w:rsid w:val="004061F5"/>
    <w:rsid w:val="0042447B"/>
    <w:rsid w:val="004340DC"/>
    <w:rsid w:val="004353B8"/>
    <w:rsid w:val="0044162F"/>
    <w:rsid w:val="00451146"/>
    <w:rsid w:val="00453351"/>
    <w:rsid w:val="00454745"/>
    <w:rsid w:val="00455C59"/>
    <w:rsid w:val="00455CED"/>
    <w:rsid w:val="00457B8B"/>
    <w:rsid w:val="00460588"/>
    <w:rsid w:val="00462C64"/>
    <w:rsid w:val="00471DBE"/>
    <w:rsid w:val="00477638"/>
    <w:rsid w:val="00480C7C"/>
    <w:rsid w:val="0048190A"/>
    <w:rsid w:val="00487516"/>
    <w:rsid w:val="00491896"/>
    <w:rsid w:val="00494008"/>
    <w:rsid w:val="00494AAD"/>
    <w:rsid w:val="004A1E08"/>
    <w:rsid w:val="004A2F73"/>
    <w:rsid w:val="004A2F82"/>
    <w:rsid w:val="004B3C53"/>
    <w:rsid w:val="004D0952"/>
    <w:rsid w:val="004D49ED"/>
    <w:rsid w:val="004D4C9F"/>
    <w:rsid w:val="004D7133"/>
    <w:rsid w:val="004D7D77"/>
    <w:rsid w:val="004E3A5C"/>
    <w:rsid w:val="004E5CCA"/>
    <w:rsid w:val="004E5E05"/>
    <w:rsid w:val="004F271B"/>
    <w:rsid w:val="004F440F"/>
    <w:rsid w:val="004F6A7A"/>
    <w:rsid w:val="004F783B"/>
    <w:rsid w:val="00512116"/>
    <w:rsid w:val="005138D2"/>
    <w:rsid w:val="005177CA"/>
    <w:rsid w:val="00517943"/>
    <w:rsid w:val="00521B54"/>
    <w:rsid w:val="0052236D"/>
    <w:rsid w:val="00522C51"/>
    <w:rsid w:val="00525F89"/>
    <w:rsid w:val="005332B4"/>
    <w:rsid w:val="00535E0C"/>
    <w:rsid w:val="005360A3"/>
    <w:rsid w:val="00541B94"/>
    <w:rsid w:val="0054280A"/>
    <w:rsid w:val="00544374"/>
    <w:rsid w:val="0054573E"/>
    <w:rsid w:val="00545D2D"/>
    <w:rsid w:val="00547955"/>
    <w:rsid w:val="00550DAF"/>
    <w:rsid w:val="00552BC7"/>
    <w:rsid w:val="00553BC3"/>
    <w:rsid w:val="0055582E"/>
    <w:rsid w:val="00573D9C"/>
    <w:rsid w:val="00575F44"/>
    <w:rsid w:val="005775DF"/>
    <w:rsid w:val="005854F4"/>
    <w:rsid w:val="00585824"/>
    <w:rsid w:val="00585DDC"/>
    <w:rsid w:val="00586CA8"/>
    <w:rsid w:val="00590882"/>
    <w:rsid w:val="00590BF4"/>
    <w:rsid w:val="00593D42"/>
    <w:rsid w:val="00596590"/>
    <w:rsid w:val="0059710A"/>
    <w:rsid w:val="005B05A0"/>
    <w:rsid w:val="005B4321"/>
    <w:rsid w:val="005B6342"/>
    <w:rsid w:val="005C1879"/>
    <w:rsid w:val="005D2B5F"/>
    <w:rsid w:val="005E06AF"/>
    <w:rsid w:val="005E4A21"/>
    <w:rsid w:val="005E4C76"/>
    <w:rsid w:val="005F0F62"/>
    <w:rsid w:val="005F2FF3"/>
    <w:rsid w:val="005F3179"/>
    <w:rsid w:val="005F57DC"/>
    <w:rsid w:val="005F5C57"/>
    <w:rsid w:val="005F6509"/>
    <w:rsid w:val="00612950"/>
    <w:rsid w:val="00616B05"/>
    <w:rsid w:val="006173C4"/>
    <w:rsid w:val="00620C45"/>
    <w:rsid w:val="00633339"/>
    <w:rsid w:val="0063629F"/>
    <w:rsid w:val="0063744A"/>
    <w:rsid w:val="00651FA8"/>
    <w:rsid w:val="00660471"/>
    <w:rsid w:val="00665832"/>
    <w:rsid w:val="00665979"/>
    <w:rsid w:val="00670B39"/>
    <w:rsid w:val="00680035"/>
    <w:rsid w:val="00684F5B"/>
    <w:rsid w:val="006900EE"/>
    <w:rsid w:val="006960F7"/>
    <w:rsid w:val="006A2457"/>
    <w:rsid w:val="006A6D7A"/>
    <w:rsid w:val="006B0E0B"/>
    <w:rsid w:val="006B1585"/>
    <w:rsid w:val="006B44D0"/>
    <w:rsid w:val="006B4F9C"/>
    <w:rsid w:val="006D5EEA"/>
    <w:rsid w:val="006D789D"/>
    <w:rsid w:val="006E18AA"/>
    <w:rsid w:val="006E6EC4"/>
    <w:rsid w:val="006F05E0"/>
    <w:rsid w:val="006F3DA6"/>
    <w:rsid w:val="006F4926"/>
    <w:rsid w:val="00701A8B"/>
    <w:rsid w:val="00704F41"/>
    <w:rsid w:val="0070546B"/>
    <w:rsid w:val="007107C7"/>
    <w:rsid w:val="007127E4"/>
    <w:rsid w:val="00714B71"/>
    <w:rsid w:val="00720A11"/>
    <w:rsid w:val="00725D08"/>
    <w:rsid w:val="007316A6"/>
    <w:rsid w:val="00732428"/>
    <w:rsid w:val="00734B74"/>
    <w:rsid w:val="00743A16"/>
    <w:rsid w:val="0074591E"/>
    <w:rsid w:val="00745A8B"/>
    <w:rsid w:val="00747ADC"/>
    <w:rsid w:val="00750E83"/>
    <w:rsid w:val="00752567"/>
    <w:rsid w:val="00752746"/>
    <w:rsid w:val="00755A87"/>
    <w:rsid w:val="00755E0D"/>
    <w:rsid w:val="00755E54"/>
    <w:rsid w:val="00756218"/>
    <w:rsid w:val="00760F45"/>
    <w:rsid w:val="007656A8"/>
    <w:rsid w:val="00774133"/>
    <w:rsid w:val="0077452C"/>
    <w:rsid w:val="00777AFD"/>
    <w:rsid w:val="00784704"/>
    <w:rsid w:val="007855AC"/>
    <w:rsid w:val="007872FD"/>
    <w:rsid w:val="0078765D"/>
    <w:rsid w:val="00791E83"/>
    <w:rsid w:val="00794B6C"/>
    <w:rsid w:val="00794D7C"/>
    <w:rsid w:val="007A4FC3"/>
    <w:rsid w:val="007A589E"/>
    <w:rsid w:val="007A63B7"/>
    <w:rsid w:val="007B0065"/>
    <w:rsid w:val="007B04BE"/>
    <w:rsid w:val="007B14F2"/>
    <w:rsid w:val="007B19AB"/>
    <w:rsid w:val="007B33AA"/>
    <w:rsid w:val="007B53E4"/>
    <w:rsid w:val="007B5FD8"/>
    <w:rsid w:val="007B656A"/>
    <w:rsid w:val="007C06CF"/>
    <w:rsid w:val="007C1C94"/>
    <w:rsid w:val="007C1DD8"/>
    <w:rsid w:val="007D0968"/>
    <w:rsid w:val="007D10B8"/>
    <w:rsid w:val="007D2595"/>
    <w:rsid w:val="007D45AB"/>
    <w:rsid w:val="007D7F0C"/>
    <w:rsid w:val="007E23D7"/>
    <w:rsid w:val="007E2FC3"/>
    <w:rsid w:val="007E31C3"/>
    <w:rsid w:val="007E3965"/>
    <w:rsid w:val="007E7214"/>
    <w:rsid w:val="007F0CE7"/>
    <w:rsid w:val="007F12F7"/>
    <w:rsid w:val="007F2B2E"/>
    <w:rsid w:val="007F60EC"/>
    <w:rsid w:val="0080002F"/>
    <w:rsid w:val="0080300D"/>
    <w:rsid w:val="00804506"/>
    <w:rsid w:val="008052CA"/>
    <w:rsid w:val="00810AC2"/>
    <w:rsid w:val="008179E0"/>
    <w:rsid w:val="00820144"/>
    <w:rsid w:val="00824432"/>
    <w:rsid w:val="00825A8A"/>
    <w:rsid w:val="00827F4B"/>
    <w:rsid w:val="00833188"/>
    <w:rsid w:val="00837CAF"/>
    <w:rsid w:val="0084383C"/>
    <w:rsid w:val="00847DB8"/>
    <w:rsid w:val="008511F0"/>
    <w:rsid w:val="00855A14"/>
    <w:rsid w:val="00855FC0"/>
    <w:rsid w:val="00870624"/>
    <w:rsid w:val="00871BAF"/>
    <w:rsid w:val="00872F8B"/>
    <w:rsid w:val="00873A78"/>
    <w:rsid w:val="00876660"/>
    <w:rsid w:val="00876F7B"/>
    <w:rsid w:val="00876FE8"/>
    <w:rsid w:val="00881FB6"/>
    <w:rsid w:val="00882047"/>
    <w:rsid w:val="00884FDB"/>
    <w:rsid w:val="00885E12"/>
    <w:rsid w:val="008866A5"/>
    <w:rsid w:val="00887497"/>
    <w:rsid w:val="0088751C"/>
    <w:rsid w:val="008920E5"/>
    <w:rsid w:val="008976A4"/>
    <w:rsid w:val="008A2556"/>
    <w:rsid w:val="008B0805"/>
    <w:rsid w:val="008B0BDF"/>
    <w:rsid w:val="008B1633"/>
    <w:rsid w:val="008B2BE8"/>
    <w:rsid w:val="008B769D"/>
    <w:rsid w:val="008C5A01"/>
    <w:rsid w:val="008E2505"/>
    <w:rsid w:val="008E255D"/>
    <w:rsid w:val="008E2F80"/>
    <w:rsid w:val="008E3228"/>
    <w:rsid w:val="008E360D"/>
    <w:rsid w:val="008E71D8"/>
    <w:rsid w:val="008F3B3B"/>
    <w:rsid w:val="009051E4"/>
    <w:rsid w:val="00910788"/>
    <w:rsid w:val="009130EB"/>
    <w:rsid w:val="00920A5E"/>
    <w:rsid w:val="009250B7"/>
    <w:rsid w:val="00925FD7"/>
    <w:rsid w:val="00930F51"/>
    <w:rsid w:val="00930F8B"/>
    <w:rsid w:val="00933276"/>
    <w:rsid w:val="0093358C"/>
    <w:rsid w:val="009414FD"/>
    <w:rsid w:val="00943C5D"/>
    <w:rsid w:val="0094471F"/>
    <w:rsid w:val="00953233"/>
    <w:rsid w:val="00955148"/>
    <w:rsid w:val="00956EE5"/>
    <w:rsid w:val="00957304"/>
    <w:rsid w:val="0096107E"/>
    <w:rsid w:val="0096635E"/>
    <w:rsid w:val="00966FB8"/>
    <w:rsid w:val="0097298A"/>
    <w:rsid w:val="00973B9D"/>
    <w:rsid w:val="009749FD"/>
    <w:rsid w:val="00977B93"/>
    <w:rsid w:val="00981DD7"/>
    <w:rsid w:val="00983631"/>
    <w:rsid w:val="00984258"/>
    <w:rsid w:val="00987E2F"/>
    <w:rsid w:val="0099149E"/>
    <w:rsid w:val="00992C1B"/>
    <w:rsid w:val="009970CF"/>
    <w:rsid w:val="009A0BF1"/>
    <w:rsid w:val="009A20EC"/>
    <w:rsid w:val="009A78D1"/>
    <w:rsid w:val="009B2D31"/>
    <w:rsid w:val="009B4320"/>
    <w:rsid w:val="009B6EB2"/>
    <w:rsid w:val="009B769B"/>
    <w:rsid w:val="009B7A43"/>
    <w:rsid w:val="009C250F"/>
    <w:rsid w:val="009C2533"/>
    <w:rsid w:val="009C3D06"/>
    <w:rsid w:val="009C4E39"/>
    <w:rsid w:val="009D26FE"/>
    <w:rsid w:val="009E080B"/>
    <w:rsid w:val="009E1ECA"/>
    <w:rsid w:val="009E3757"/>
    <w:rsid w:val="009F0052"/>
    <w:rsid w:val="009F6DA1"/>
    <w:rsid w:val="00A00BDF"/>
    <w:rsid w:val="00A11241"/>
    <w:rsid w:val="00A1161C"/>
    <w:rsid w:val="00A1249E"/>
    <w:rsid w:val="00A12FDA"/>
    <w:rsid w:val="00A15513"/>
    <w:rsid w:val="00A22FE7"/>
    <w:rsid w:val="00A237F2"/>
    <w:rsid w:val="00A30D78"/>
    <w:rsid w:val="00A3493A"/>
    <w:rsid w:val="00A35F0D"/>
    <w:rsid w:val="00A41CF0"/>
    <w:rsid w:val="00A433E3"/>
    <w:rsid w:val="00A4525D"/>
    <w:rsid w:val="00A51680"/>
    <w:rsid w:val="00A5401C"/>
    <w:rsid w:val="00A54DCB"/>
    <w:rsid w:val="00A56588"/>
    <w:rsid w:val="00A56664"/>
    <w:rsid w:val="00A67BE3"/>
    <w:rsid w:val="00A77A14"/>
    <w:rsid w:val="00A829E8"/>
    <w:rsid w:val="00A85418"/>
    <w:rsid w:val="00A866F5"/>
    <w:rsid w:val="00A871B2"/>
    <w:rsid w:val="00A877A7"/>
    <w:rsid w:val="00A930F9"/>
    <w:rsid w:val="00AB6AD0"/>
    <w:rsid w:val="00AC061E"/>
    <w:rsid w:val="00AC1CCA"/>
    <w:rsid w:val="00AC6AD1"/>
    <w:rsid w:val="00AC7092"/>
    <w:rsid w:val="00AD0DFA"/>
    <w:rsid w:val="00AE312F"/>
    <w:rsid w:val="00AE5159"/>
    <w:rsid w:val="00AE5384"/>
    <w:rsid w:val="00AF11DA"/>
    <w:rsid w:val="00AF4F3B"/>
    <w:rsid w:val="00AF4FC0"/>
    <w:rsid w:val="00AF69AB"/>
    <w:rsid w:val="00B0080B"/>
    <w:rsid w:val="00B065B4"/>
    <w:rsid w:val="00B06A99"/>
    <w:rsid w:val="00B078A4"/>
    <w:rsid w:val="00B11B6E"/>
    <w:rsid w:val="00B159DD"/>
    <w:rsid w:val="00B325EF"/>
    <w:rsid w:val="00B35903"/>
    <w:rsid w:val="00B374B9"/>
    <w:rsid w:val="00B41281"/>
    <w:rsid w:val="00B4169B"/>
    <w:rsid w:val="00B44C87"/>
    <w:rsid w:val="00B54E4D"/>
    <w:rsid w:val="00B60902"/>
    <w:rsid w:val="00B6110F"/>
    <w:rsid w:val="00B61B8E"/>
    <w:rsid w:val="00B62956"/>
    <w:rsid w:val="00B6420E"/>
    <w:rsid w:val="00B65A75"/>
    <w:rsid w:val="00B71AA0"/>
    <w:rsid w:val="00B814EF"/>
    <w:rsid w:val="00B86633"/>
    <w:rsid w:val="00BA1FD3"/>
    <w:rsid w:val="00BA29A1"/>
    <w:rsid w:val="00BA303D"/>
    <w:rsid w:val="00BA3231"/>
    <w:rsid w:val="00BA6B26"/>
    <w:rsid w:val="00BA7283"/>
    <w:rsid w:val="00BB00EE"/>
    <w:rsid w:val="00BB58A2"/>
    <w:rsid w:val="00BC487B"/>
    <w:rsid w:val="00BC6616"/>
    <w:rsid w:val="00BE3135"/>
    <w:rsid w:val="00BE7FB8"/>
    <w:rsid w:val="00BF1B8F"/>
    <w:rsid w:val="00BF4C8B"/>
    <w:rsid w:val="00BF54E9"/>
    <w:rsid w:val="00BF6105"/>
    <w:rsid w:val="00BF6936"/>
    <w:rsid w:val="00BF737E"/>
    <w:rsid w:val="00C154D2"/>
    <w:rsid w:val="00C238FB"/>
    <w:rsid w:val="00C23A15"/>
    <w:rsid w:val="00C24228"/>
    <w:rsid w:val="00C3761F"/>
    <w:rsid w:val="00C40F82"/>
    <w:rsid w:val="00C4230F"/>
    <w:rsid w:val="00C433D7"/>
    <w:rsid w:val="00C45923"/>
    <w:rsid w:val="00C51A0C"/>
    <w:rsid w:val="00C5231B"/>
    <w:rsid w:val="00C52E20"/>
    <w:rsid w:val="00C54A3A"/>
    <w:rsid w:val="00C60065"/>
    <w:rsid w:val="00C60E5B"/>
    <w:rsid w:val="00C614E7"/>
    <w:rsid w:val="00C64554"/>
    <w:rsid w:val="00C6506D"/>
    <w:rsid w:val="00C6573B"/>
    <w:rsid w:val="00C822AE"/>
    <w:rsid w:val="00C8260B"/>
    <w:rsid w:val="00C83FB4"/>
    <w:rsid w:val="00C85DD4"/>
    <w:rsid w:val="00C91F87"/>
    <w:rsid w:val="00CA1DE8"/>
    <w:rsid w:val="00CA2BFB"/>
    <w:rsid w:val="00CA79F5"/>
    <w:rsid w:val="00CB7F43"/>
    <w:rsid w:val="00CC2F5A"/>
    <w:rsid w:val="00CC4488"/>
    <w:rsid w:val="00CD0BED"/>
    <w:rsid w:val="00CD2B4F"/>
    <w:rsid w:val="00CD670E"/>
    <w:rsid w:val="00CE122E"/>
    <w:rsid w:val="00CE2C9B"/>
    <w:rsid w:val="00CE2E6A"/>
    <w:rsid w:val="00CF3887"/>
    <w:rsid w:val="00D0019A"/>
    <w:rsid w:val="00D004A8"/>
    <w:rsid w:val="00D118E8"/>
    <w:rsid w:val="00D12C2F"/>
    <w:rsid w:val="00D147D8"/>
    <w:rsid w:val="00D15685"/>
    <w:rsid w:val="00D237A1"/>
    <w:rsid w:val="00D2752B"/>
    <w:rsid w:val="00D369E7"/>
    <w:rsid w:val="00D3727F"/>
    <w:rsid w:val="00D37310"/>
    <w:rsid w:val="00D4114A"/>
    <w:rsid w:val="00D5227C"/>
    <w:rsid w:val="00D5360C"/>
    <w:rsid w:val="00D61A12"/>
    <w:rsid w:val="00D65299"/>
    <w:rsid w:val="00D67711"/>
    <w:rsid w:val="00D74860"/>
    <w:rsid w:val="00D91A8F"/>
    <w:rsid w:val="00DB6D7A"/>
    <w:rsid w:val="00DE058D"/>
    <w:rsid w:val="00DE2AFE"/>
    <w:rsid w:val="00DE5F2B"/>
    <w:rsid w:val="00DF00A6"/>
    <w:rsid w:val="00DF160F"/>
    <w:rsid w:val="00DF2807"/>
    <w:rsid w:val="00E01011"/>
    <w:rsid w:val="00E0143C"/>
    <w:rsid w:val="00E034F2"/>
    <w:rsid w:val="00E04299"/>
    <w:rsid w:val="00E04DE7"/>
    <w:rsid w:val="00E07A09"/>
    <w:rsid w:val="00E15CBD"/>
    <w:rsid w:val="00E22872"/>
    <w:rsid w:val="00E421C6"/>
    <w:rsid w:val="00E5195C"/>
    <w:rsid w:val="00E65AF3"/>
    <w:rsid w:val="00E76A1F"/>
    <w:rsid w:val="00E80A4F"/>
    <w:rsid w:val="00E842E2"/>
    <w:rsid w:val="00E84E00"/>
    <w:rsid w:val="00E90EAB"/>
    <w:rsid w:val="00E933DA"/>
    <w:rsid w:val="00EA3D1F"/>
    <w:rsid w:val="00EB1E4B"/>
    <w:rsid w:val="00EB762D"/>
    <w:rsid w:val="00EB7B54"/>
    <w:rsid w:val="00EC0BCC"/>
    <w:rsid w:val="00EC0FBD"/>
    <w:rsid w:val="00ED1DFB"/>
    <w:rsid w:val="00ED4D13"/>
    <w:rsid w:val="00EE2433"/>
    <w:rsid w:val="00EF061D"/>
    <w:rsid w:val="00EF494B"/>
    <w:rsid w:val="00EF6CAE"/>
    <w:rsid w:val="00F16B63"/>
    <w:rsid w:val="00F17FCF"/>
    <w:rsid w:val="00F21D59"/>
    <w:rsid w:val="00F25154"/>
    <w:rsid w:val="00F259DA"/>
    <w:rsid w:val="00F417D9"/>
    <w:rsid w:val="00F41D90"/>
    <w:rsid w:val="00F52FF4"/>
    <w:rsid w:val="00F61E30"/>
    <w:rsid w:val="00F64D49"/>
    <w:rsid w:val="00F83F03"/>
    <w:rsid w:val="00F853C9"/>
    <w:rsid w:val="00F90B88"/>
    <w:rsid w:val="00F95CD2"/>
    <w:rsid w:val="00FA0D42"/>
    <w:rsid w:val="00FA0E3C"/>
    <w:rsid w:val="00FA13EC"/>
    <w:rsid w:val="00FA7D0D"/>
    <w:rsid w:val="00FB7ABC"/>
    <w:rsid w:val="00FC021D"/>
    <w:rsid w:val="00FC1EBF"/>
    <w:rsid w:val="00FC3828"/>
    <w:rsid w:val="00FD4748"/>
    <w:rsid w:val="00FD7D48"/>
    <w:rsid w:val="00FE01D1"/>
    <w:rsid w:val="00FE5F97"/>
    <w:rsid w:val="00FF4D94"/>
    <w:rsid w:val="011845DD"/>
    <w:rsid w:val="01274F7A"/>
    <w:rsid w:val="01377604"/>
    <w:rsid w:val="01542777"/>
    <w:rsid w:val="01701931"/>
    <w:rsid w:val="017F69CD"/>
    <w:rsid w:val="019520B8"/>
    <w:rsid w:val="01992F9B"/>
    <w:rsid w:val="01E028ED"/>
    <w:rsid w:val="01E873AF"/>
    <w:rsid w:val="01EA3EF6"/>
    <w:rsid w:val="01EC6813"/>
    <w:rsid w:val="01F62160"/>
    <w:rsid w:val="01FE6A24"/>
    <w:rsid w:val="021760A6"/>
    <w:rsid w:val="02263860"/>
    <w:rsid w:val="02361868"/>
    <w:rsid w:val="023909F0"/>
    <w:rsid w:val="0246686F"/>
    <w:rsid w:val="025114B7"/>
    <w:rsid w:val="025F4BA4"/>
    <w:rsid w:val="02BE1744"/>
    <w:rsid w:val="02D115A0"/>
    <w:rsid w:val="02D61FA6"/>
    <w:rsid w:val="02D96FD6"/>
    <w:rsid w:val="02E73E4C"/>
    <w:rsid w:val="02EC11DB"/>
    <w:rsid w:val="02F83FB3"/>
    <w:rsid w:val="030E50B2"/>
    <w:rsid w:val="03184B9F"/>
    <w:rsid w:val="03351328"/>
    <w:rsid w:val="033C2926"/>
    <w:rsid w:val="034F0492"/>
    <w:rsid w:val="03582F0C"/>
    <w:rsid w:val="036066C6"/>
    <w:rsid w:val="036E2F34"/>
    <w:rsid w:val="03892A60"/>
    <w:rsid w:val="0391409A"/>
    <w:rsid w:val="039251A2"/>
    <w:rsid w:val="03B06AE2"/>
    <w:rsid w:val="03C168B5"/>
    <w:rsid w:val="03C26110"/>
    <w:rsid w:val="040121E6"/>
    <w:rsid w:val="04024768"/>
    <w:rsid w:val="04181259"/>
    <w:rsid w:val="04747ECC"/>
    <w:rsid w:val="0483580C"/>
    <w:rsid w:val="048817BD"/>
    <w:rsid w:val="04AF726E"/>
    <w:rsid w:val="04CD3F85"/>
    <w:rsid w:val="04D6676D"/>
    <w:rsid w:val="04E06D12"/>
    <w:rsid w:val="05134EBD"/>
    <w:rsid w:val="05322BA2"/>
    <w:rsid w:val="05405685"/>
    <w:rsid w:val="05531170"/>
    <w:rsid w:val="05605368"/>
    <w:rsid w:val="056469D1"/>
    <w:rsid w:val="05733491"/>
    <w:rsid w:val="0575366C"/>
    <w:rsid w:val="057D5362"/>
    <w:rsid w:val="05920C0F"/>
    <w:rsid w:val="05995A42"/>
    <w:rsid w:val="05AD00BF"/>
    <w:rsid w:val="05FD24CC"/>
    <w:rsid w:val="06206A54"/>
    <w:rsid w:val="06414021"/>
    <w:rsid w:val="06582E89"/>
    <w:rsid w:val="065F1133"/>
    <w:rsid w:val="0680202A"/>
    <w:rsid w:val="068E41FC"/>
    <w:rsid w:val="069109A1"/>
    <w:rsid w:val="06BC1B86"/>
    <w:rsid w:val="06C8426B"/>
    <w:rsid w:val="06DA3EBE"/>
    <w:rsid w:val="06F2739F"/>
    <w:rsid w:val="06FD580F"/>
    <w:rsid w:val="070E5FEF"/>
    <w:rsid w:val="071C0D73"/>
    <w:rsid w:val="07422136"/>
    <w:rsid w:val="074E7076"/>
    <w:rsid w:val="076165DC"/>
    <w:rsid w:val="076E10A1"/>
    <w:rsid w:val="07826711"/>
    <w:rsid w:val="07900BC6"/>
    <w:rsid w:val="07AB25C9"/>
    <w:rsid w:val="07B52660"/>
    <w:rsid w:val="07CB2ED5"/>
    <w:rsid w:val="081E26CD"/>
    <w:rsid w:val="08203D06"/>
    <w:rsid w:val="084F3EF0"/>
    <w:rsid w:val="08691703"/>
    <w:rsid w:val="08844E06"/>
    <w:rsid w:val="08B7279A"/>
    <w:rsid w:val="08E7351C"/>
    <w:rsid w:val="0941386C"/>
    <w:rsid w:val="09477041"/>
    <w:rsid w:val="094D6F79"/>
    <w:rsid w:val="095D4C52"/>
    <w:rsid w:val="097E1322"/>
    <w:rsid w:val="099A3BD8"/>
    <w:rsid w:val="09CE6A4C"/>
    <w:rsid w:val="09E217BE"/>
    <w:rsid w:val="09E92A38"/>
    <w:rsid w:val="09EA6460"/>
    <w:rsid w:val="09EE1B29"/>
    <w:rsid w:val="0A0579E4"/>
    <w:rsid w:val="0A0A2092"/>
    <w:rsid w:val="0A243B33"/>
    <w:rsid w:val="0A2821A0"/>
    <w:rsid w:val="0A401743"/>
    <w:rsid w:val="0A5339C0"/>
    <w:rsid w:val="0A555CB5"/>
    <w:rsid w:val="0A9E4B66"/>
    <w:rsid w:val="0AE1269A"/>
    <w:rsid w:val="0AF07C6F"/>
    <w:rsid w:val="0B041115"/>
    <w:rsid w:val="0B1F4CB2"/>
    <w:rsid w:val="0B246270"/>
    <w:rsid w:val="0B3530CF"/>
    <w:rsid w:val="0B476292"/>
    <w:rsid w:val="0B6E2235"/>
    <w:rsid w:val="0BA64416"/>
    <w:rsid w:val="0BC51FE5"/>
    <w:rsid w:val="0BD87FDE"/>
    <w:rsid w:val="0C050D04"/>
    <w:rsid w:val="0C135256"/>
    <w:rsid w:val="0C214244"/>
    <w:rsid w:val="0C336B34"/>
    <w:rsid w:val="0C445B13"/>
    <w:rsid w:val="0C5D6E5E"/>
    <w:rsid w:val="0C6D5727"/>
    <w:rsid w:val="0C73155F"/>
    <w:rsid w:val="0C935B4F"/>
    <w:rsid w:val="0CA466AE"/>
    <w:rsid w:val="0CC47865"/>
    <w:rsid w:val="0CDD151D"/>
    <w:rsid w:val="0D0D485C"/>
    <w:rsid w:val="0D21517A"/>
    <w:rsid w:val="0D4D4324"/>
    <w:rsid w:val="0D5104D8"/>
    <w:rsid w:val="0D650CDF"/>
    <w:rsid w:val="0DA60B8E"/>
    <w:rsid w:val="0DB95582"/>
    <w:rsid w:val="0DD62C95"/>
    <w:rsid w:val="0DFA3D9A"/>
    <w:rsid w:val="0E0A3882"/>
    <w:rsid w:val="0E2F4085"/>
    <w:rsid w:val="0E346CC1"/>
    <w:rsid w:val="0E375309"/>
    <w:rsid w:val="0E425631"/>
    <w:rsid w:val="0E4A443F"/>
    <w:rsid w:val="0E595EB3"/>
    <w:rsid w:val="0E675D14"/>
    <w:rsid w:val="0E7C6849"/>
    <w:rsid w:val="0EAF66EF"/>
    <w:rsid w:val="0ED96F9A"/>
    <w:rsid w:val="0F1D4CB4"/>
    <w:rsid w:val="0F2411CF"/>
    <w:rsid w:val="0F5F7B06"/>
    <w:rsid w:val="0F68200B"/>
    <w:rsid w:val="0F96581D"/>
    <w:rsid w:val="0F9B7250"/>
    <w:rsid w:val="0FA70074"/>
    <w:rsid w:val="0FF369EB"/>
    <w:rsid w:val="10130F0E"/>
    <w:rsid w:val="10250FE6"/>
    <w:rsid w:val="104A30F8"/>
    <w:rsid w:val="104D012A"/>
    <w:rsid w:val="1060643B"/>
    <w:rsid w:val="10705E10"/>
    <w:rsid w:val="10896AB7"/>
    <w:rsid w:val="108D7DAA"/>
    <w:rsid w:val="10A46FBD"/>
    <w:rsid w:val="10D44674"/>
    <w:rsid w:val="10DB506B"/>
    <w:rsid w:val="1115712C"/>
    <w:rsid w:val="11265A63"/>
    <w:rsid w:val="11332F25"/>
    <w:rsid w:val="11503A0F"/>
    <w:rsid w:val="1162682A"/>
    <w:rsid w:val="1167570F"/>
    <w:rsid w:val="117229A2"/>
    <w:rsid w:val="11AE2233"/>
    <w:rsid w:val="11D0674E"/>
    <w:rsid w:val="11E53E07"/>
    <w:rsid w:val="12103BCB"/>
    <w:rsid w:val="12264C12"/>
    <w:rsid w:val="122B1BDD"/>
    <w:rsid w:val="122C2764"/>
    <w:rsid w:val="12334703"/>
    <w:rsid w:val="12A44BA5"/>
    <w:rsid w:val="12B53FAF"/>
    <w:rsid w:val="12F55541"/>
    <w:rsid w:val="12FB5746"/>
    <w:rsid w:val="12FB7371"/>
    <w:rsid w:val="131A0AF3"/>
    <w:rsid w:val="131D2653"/>
    <w:rsid w:val="133229AA"/>
    <w:rsid w:val="134B6607"/>
    <w:rsid w:val="135D223F"/>
    <w:rsid w:val="1361087D"/>
    <w:rsid w:val="13B955F7"/>
    <w:rsid w:val="13BE2AB1"/>
    <w:rsid w:val="13D82A6E"/>
    <w:rsid w:val="13DA5F13"/>
    <w:rsid w:val="13ED5629"/>
    <w:rsid w:val="13FA085F"/>
    <w:rsid w:val="13FC6863"/>
    <w:rsid w:val="141911BD"/>
    <w:rsid w:val="14296D61"/>
    <w:rsid w:val="142F78B7"/>
    <w:rsid w:val="14305F8F"/>
    <w:rsid w:val="145406AF"/>
    <w:rsid w:val="145561B7"/>
    <w:rsid w:val="146751AD"/>
    <w:rsid w:val="147940BE"/>
    <w:rsid w:val="147E7A75"/>
    <w:rsid w:val="14845C67"/>
    <w:rsid w:val="149B0152"/>
    <w:rsid w:val="14AE7DBF"/>
    <w:rsid w:val="14DE4A2D"/>
    <w:rsid w:val="14DF0980"/>
    <w:rsid w:val="152B31B2"/>
    <w:rsid w:val="152F2C20"/>
    <w:rsid w:val="154E2480"/>
    <w:rsid w:val="154F0C14"/>
    <w:rsid w:val="155D3651"/>
    <w:rsid w:val="156B1B19"/>
    <w:rsid w:val="1574778A"/>
    <w:rsid w:val="15A85E0D"/>
    <w:rsid w:val="15BF19B8"/>
    <w:rsid w:val="15E56DFF"/>
    <w:rsid w:val="16012A73"/>
    <w:rsid w:val="160B3F2A"/>
    <w:rsid w:val="163F05DA"/>
    <w:rsid w:val="164A18BB"/>
    <w:rsid w:val="164D2323"/>
    <w:rsid w:val="168A2A57"/>
    <w:rsid w:val="16A82ED7"/>
    <w:rsid w:val="16A84438"/>
    <w:rsid w:val="16AB2C47"/>
    <w:rsid w:val="16B63D9F"/>
    <w:rsid w:val="16BF5BA0"/>
    <w:rsid w:val="16D743E5"/>
    <w:rsid w:val="16E8126D"/>
    <w:rsid w:val="16EC2872"/>
    <w:rsid w:val="170F68BA"/>
    <w:rsid w:val="172B08D8"/>
    <w:rsid w:val="17354D0B"/>
    <w:rsid w:val="173A4793"/>
    <w:rsid w:val="176A67FD"/>
    <w:rsid w:val="177A2644"/>
    <w:rsid w:val="17805575"/>
    <w:rsid w:val="17824C8A"/>
    <w:rsid w:val="17917D1F"/>
    <w:rsid w:val="17C836BD"/>
    <w:rsid w:val="17C86B7D"/>
    <w:rsid w:val="17C93FF4"/>
    <w:rsid w:val="17D53E05"/>
    <w:rsid w:val="17DC0A6D"/>
    <w:rsid w:val="17E07BD2"/>
    <w:rsid w:val="17F30A2A"/>
    <w:rsid w:val="17FD3F94"/>
    <w:rsid w:val="18181BF3"/>
    <w:rsid w:val="1838429B"/>
    <w:rsid w:val="1854669E"/>
    <w:rsid w:val="186D5B74"/>
    <w:rsid w:val="18826C1F"/>
    <w:rsid w:val="1894117F"/>
    <w:rsid w:val="18D26641"/>
    <w:rsid w:val="18F37F54"/>
    <w:rsid w:val="18F734A1"/>
    <w:rsid w:val="190C4BD0"/>
    <w:rsid w:val="196B1404"/>
    <w:rsid w:val="196B3148"/>
    <w:rsid w:val="19756FCB"/>
    <w:rsid w:val="197766B7"/>
    <w:rsid w:val="197C0843"/>
    <w:rsid w:val="19B4671B"/>
    <w:rsid w:val="19B845F3"/>
    <w:rsid w:val="19BD6A94"/>
    <w:rsid w:val="19C52222"/>
    <w:rsid w:val="19D15074"/>
    <w:rsid w:val="19FE255B"/>
    <w:rsid w:val="1A0610BD"/>
    <w:rsid w:val="1A3B7F30"/>
    <w:rsid w:val="1A4E5596"/>
    <w:rsid w:val="1A781C77"/>
    <w:rsid w:val="1A962727"/>
    <w:rsid w:val="1AA74BDF"/>
    <w:rsid w:val="1AA86F03"/>
    <w:rsid w:val="1AB25B02"/>
    <w:rsid w:val="1AB92152"/>
    <w:rsid w:val="1ABE3FAE"/>
    <w:rsid w:val="1AD220F8"/>
    <w:rsid w:val="1AE0382D"/>
    <w:rsid w:val="1AE84B46"/>
    <w:rsid w:val="1AE972BB"/>
    <w:rsid w:val="1B203D3B"/>
    <w:rsid w:val="1B21749D"/>
    <w:rsid w:val="1B2662B9"/>
    <w:rsid w:val="1B2904BC"/>
    <w:rsid w:val="1B2A6B2F"/>
    <w:rsid w:val="1B2A7952"/>
    <w:rsid w:val="1B5F13F9"/>
    <w:rsid w:val="1B992AFD"/>
    <w:rsid w:val="1BA10F6B"/>
    <w:rsid w:val="1BA554FC"/>
    <w:rsid w:val="1BA81EB0"/>
    <w:rsid w:val="1BB47FED"/>
    <w:rsid w:val="1BB75DE5"/>
    <w:rsid w:val="1BCA7947"/>
    <w:rsid w:val="1BDB49F5"/>
    <w:rsid w:val="1BE27EA8"/>
    <w:rsid w:val="1BF15F7E"/>
    <w:rsid w:val="1C113511"/>
    <w:rsid w:val="1C30323E"/>
    <w:rsid w:val="1C461754"/>
    <w:rsid w:val="1C4C6724"/>
    <w:rsid w:val="1C4E2264"/>
    <w:rsid w:val="1C5D267D"/>
    <w:rsid w:val="1C6345D4"/>
    <w:rsid w:val="1C757DBF"/>
    <w:rsid w:val="1C7E74E3"/>
    <w:rsid w:val="1C827B8D"/>
    <w:rsid w:val="1C9E2287"/>
    <w:rsid w:val="1CAD1843"/>
    <w:rsid w:val="1CB30CC3"/>
    <w:rsid w:val="1CC24CD4"/>
    <w:rsid w:val="1CC97B4F"/>
    <w:rsid w:val="1CCC3D2C"/>
    <w:rsid w:val="1CD27065"/>
    <w:rsid w:val="1CED68D3"/>
    <w:rsid w:val="1D245400"/>
    <w:rsid w:val="1D3D2EC2"/>
    <w:rsid w:val="1D3D74BA"/>
    <w:rsid w:val="1D4657E7"/>
    <w:rsid w:val="1D4902C9"/>
    <w:rsid w:val="1D7F3192"/>
    <w:rsid w:val="1DAE4144"/>
    <w:rsid w:val="1DB97D90"/>
    <w:rsid w:val="1DF25D7B"/>
    <w:rsid w:val="1DF61A03"/>
    <w:rsid w:val="1DF979DE"/>
    <w:rsid w:val="1E41507A"/>
    <w:rsid w:val="1E472E1A"/>
    <w:rsid w:val="1E6576B7"/>
    <w:rsid w:val="1E663D32"/>
    <w:rsid w:val="1E667887"/>
    <w:rsid w:val="1E68028D"/>
    <w:rsid w:val="1E8D545D"/>
    <w:rsid w:val="1EE44195"/>
    <w:rsid w:val="1EFB78DC"/>
    <w:rsid w:val="1F324ABA"/>
    <w:rsid w:val="1F3D1903"/>
    <w:rsid w:val="1F5244B8"/>
    <w:rsid w:val="1F584E03"/>
    <w:rsid w:val="1F6B359D"/>
    <w:rsid w:val="1F716DA0"/>
    <w:rsid w:val="1FC3405F"/>
    <w:rsid w:val="1FC41B2F"/>
    <w:rsid w:val="1FD91CD8"/>
    <w:rsid w:val="1FDC4F70"/>
    <w:rsid w:val="20251BD0"/>
    <w:rsid w:val="20480B9A"/>
    <w:rsid w:val="20525D07"/>
    <w:rsid w:val="2067532E"/>
    <w:rsid w:val="206A5441"/>
    <w:rsid w:val="206E7FD7"/>
    <w:rsid w:val="207330A9"/>
    <w:rsid w:val="20BA6AE7"/>
    <w:rsid w:val="20FA35AC"/>
    <w:rsid w:val="21061D5F"/>
    <w:rsid w:val="212A0275"/>
    <w:rsid w:val="21407882"/>
    <w:rsid w:val="21434A0D"/>
    <w:rsid w:val="219878CC"/>
    <w:rsid w:val="21B73E59"/>
    <w:rsid w:val="21B80141"/>
    <w:rsid w:val="21EC5349"/>
    <w:rsid w:val="220C5901"/>
    <w:rsid w:val="223A4D06"/>
    <w:rsid w:val="224D4D79"/>
    <w:rsid w:val="22524B97"/>
    <w:rsid w:val="22644DEF"/>
    <w:rsid w:val="22A84D41"/>
    <w:rsid w:val="22D12E66"/>
    <w:rsid w:val="22E900F5"/>
    <w:rsid w:val="22F029DD"/>
    <w:rsid w:val="22F51655"/>
    <w:rsid w:val="22FA06E8"/>
    <w:rsid w:val="23157720"/>
    <w:rsid w:val="232A2299"/>
    <w:rsid w:val="23372A0F"/>
    <w:rsid w:val="23401C6F"/>
    <w:rsid w:val="234E4E1A"/>
    <w:rsid w:val="234F54A4"/>
    <w:rsid w:val="235E2742"/>
    <w:rsid w:val="236C6F4C"/>
    <w:rsid w:val="23743F0B"/>
    <w:rsid w:val="237F6D9D"/>
    <w:rsid w:val="23816F0D"/>
    <w:rsid w:val="238A7A27"/>
    <w:rsid w:val="23B46D65"/>
    <w:rsid w:val="23BB022C"/>
    <w:rsid w:val="23C90C75"/>
    <w:rsid w:val="23E50817"/>
    <w:rsid w:val="23E543BE"/>
    <w:rsid w:val="23FF4A04"/>
    <w:rsid w:val="24162A09"/>
    <w:rsid w:val="24264DF5"/>
    <w:rsid w:val="242B6579"/>
    <w:rsid w:val="242C2EF7"/>
    <w:rsid w:val="24406388"/>
    <w:rsid w:val="24573ABF"/>
    <w:rsid w:val="24717B3D"/>
    <w:rsid w:val="247257E8"/>
    <w:rsid w:val="24A66BDF"/>
    <w:rsid w:val="24C76030"/>
    <w:rsid w:val="24EA2B40"/>
    <w:rsid w:val="24EE1375"/>
    <w:rsid w:val="24FC3464"/>
    <w:rsid w:val="2503568C"/>
    <w:rsid w:val="25045AD8"/>
    <w:rsid w:val="25066B74"/>
    <w:rsid w:val="2513249A"/>
    <w:rsid w:val="251A3548"/>
    <w:rsid w:val="252C124D"/>
    <w:rsid w:val="2536062A"/>
    <w:rsid w:val="253F44DC"/>
    <w:rsid w:val="254D0AAF"/>
    <w:rsid w:val="257245D8"/>
    <w:rsid w:val="25770F33"/>
    <w:rsid w:val="257D151E"/>
    <w:rsid w:val="25942D6C"/>
    <w:rsid w:val="259830B5"/>
    <w:rsid w:val="25C938F3"/>
    <w:rsid w:val="25D5496B"/>
    <w:rsid w:val="26021691"/>
    <w:rsid w:val="26030C9D"/>
    <w:rsid w:val="260A1252"/>
    <w:rsid w:val="260F518A"/>
    <w:rsid w:val="26250C31"/>
    <w:rsid w:val="264C40FC"/>
    <w:rsid w:val="266B6B5E"/>
    <w:rsid w:val="2680732A"/>
    <w:rsid w:val="269B4505"/>
    <w:rsid w:val="269F27B0"/>
    <w:rsid w:val="26AF60B8"/>
    <w:rsid w:val="26C62865"/>
    <w:rsid w:val="26CD33AD"/>
    <w:rsid w:val="26DA3AE3"/>
    <w:rsid w:val="26DD59CD"/>
    <w:rsid w:val="26ED6543"/>
    <w:rsid w:val="26F95CE1"/>
    <w:rsid w:val="26FC6037"/>
    <w:rsid w:val="27132A85"/>
    <w:rsid w:val="272A1EF1"/>
    <w:rsid w:val="27471809"/>
    <w:rsid w:val="274D603C"/>
    <w:rsid w:val="27502A55"/>
    <w:rsid w:val="275C0060"/>
    <w:rsid w:val="27735CCB"/>
    <w:rsid w:val="27790757"/>
    <w:rsid w:val="27977359"/>
    <w:rsid w:val="279E315E"/>
    <w:rsid w:val="27B8559A"/>
    <w:rsid w:val="27C250A5"/>
    <w:rsid w:val="280449F0"/>
    <w:rsid w:val="282344B3"/>
    <w:rsid w:val="282F1F0A"/>
    <w:rsid w:val="28490941"/>
    <w:rsid w:val="284C3F78"/>
    <w:rsid w:val="285D6956"/>
    <w:rsid w:val="28637CCA"/>
    <w:rsid w:val="2875050E"/>
    <w:rsid w:val="28A413FC"/>
    <w:rsid w:val="28C12EA4"/>
    <w:rsid w:val="28CB22E6"/>
    <w:rsid w:val="28CC78AA"/>
    <w:rsid w:val="28E04A1A"/>
    <w:rsid w:val="28E222AE"/>
    <w:rsid w:val="291672EF"/>
    <w:rsid w:val="292242D0"/>
    <w:rsid w:val="29252716"/>
    <w:rsid w:val="296F1663"/>
    <w:rsid w:val="29D47079"/>
    <w:rsid w:val="29D972B0"/>
    <w:rsid w:val="29E9533B"/>
    <w:rsid w:val="2A10073C"/>
    <w:rsid w:val="2A206C2A"/>
    <w:rsid w:val="2A274C0B"/>
    <w:rsid w:val="2A335A2E"/>
    <w:rsid w:val="2A4B431B"/>
    <w:rsid w:val="2A611D2A"/>
    <w:rsid w:val="2A6E6BF9"/>
    <w:rsid w:val="2A6F1036"/>
    <w:rsid w:val="2AA00DCC"/>
    <w:rsid w:val="2AA15442"/>
    <w:rsid w:val="2AA7779A"/>
    <w:rsid w:val="2ABD5C6B"/>
    <w:rsid w:val="2ABF5523"/>
    <w:rsid w:val="2ADD03BB"/>
    <w:rsid w:val="2AFE011E"/>
    <w:rsid w:val="2B0B1C99"/>
    <w:rsid w:val="2B1C2438"/>
    <w:rsid w:val="2B28098A"/>
    <w:rsid w:val="2B2B3D56"/>
    <w:rsid w:val="2B2E6680"/>
    <w:rsid w:val="2B397045"/>
    <w:rsid w:val="2B3B5DA1"/>
    <w:rsid w:val="2B483D14"/>
    <w:rsid w:val="2B523237"/>
    <w:rsid w:val="2B5B1682"/>
    <w:rsid w:val="2B6B3344"/>
    <w:rsid w:val="2B6C408F"/>
    <w:rsid w:val="2B72371E"/>
    <w:rsid w:val="2B725855"/>
    <w:rsid w:val="2BA17EB2"/>
    <w:rsid w:val="2BBF0080"/>
    <w:rsid w:val="2C0267C8"/>
    <w:rsid w:val="2C0C0591"/>
    <w:rsid w:val="2C1039E5"/>
    <w:rsid w:val="2C272291"/>
    <w:rsid w:val="2C272770"/>
    <w:rsid w:val="2C3A05DF"/>
    <w:rsid w:val="2C504639"/>
    <w:rsid w:val="2C513C19"/>
    <w:rsid w:val="2C563171"/>
    <w:rsid w:val="2C701392"/>
    <w:rsid w:val="2C705F20"/>
    <w:rsid w:val="2C707085"/>
    <w:rsid w:val="2C751AD7"/>
    <w:rsid w:val="2C7C7D49"/>
    <w:rsid w:val="2C937E77"/>
    <w:rsid w:val="2C965B2E"/>
    <w:rsid w:val="2C996EF4"/>
    <w:rsid w:val="2CA160CC"/>
    <w:rsid w:val="2CBC3835"/>
    <w:rsid w:val="2CBD5F03"/>
    <w:rsid w:val="2CC14E8F"/>
    <w:rsid w:val="2CCD43FD"/>
    <w:rsid w:val="2CCF0F92"/>
    <w:rsid w:val="2D061EFD"/>
    <w:rsid w:val="2D297AA6"/>
    <w:rsid w:val="2D404643"/>
    <w:rsid w:val="2D97688E"/>
    <w:rsid w:val="2DA345F0"/>
    <w:rsid w:val="2DC81B25"/>
    <w:rsid w:val="2DD40C7B"/>
    <w:rsid w:val="2DED4246"/>
    <w:rsid w:val="2E014EE3"/>
    <w:rsid w:val="2E395E6C"/>
    <w:rsid w:val="2E8501B3"/>
    <w:rsid w:val="2E85725B"/>
    <w:rsid w:val="2E903E1C"/>
    <w:rsid w:val="2EB255D0"/>
    <w:rsid w:val="2EBC31BB"/>
    <w:rsid w:val="2EE84692"/>
    <w:rsid w:val="2EF34D4C"/>
    <w:rsid w:val="2EF678DB"/>
    <w:rsid w:val="2EFF5D1D"/>
    <w:rsid w:val="2F164698"/>
    <w:rsid w:val="2F255B3E"/>
    <w:rsid w:val="2F4A7B85"/>
    <w:rsid w:val="2F4E7CEA"/>
    <w:rsid w:val="2F4F7838"/>
    <w:rsid w:val="2F565016"/>
    <w:rsid w:val="2F5729E1"/>
    <w:rsid w:val="2F865E07"/>
    <w:rsid w:val="2F9B4C67"/>
    <w:rsid w:val="2FAB1D0D"/>
    <w:rsid w:val="2FB6444A"/>
    <w:rsid w:val="2FB84089"/>
    <w:rsid w:val="2FD81BF9"/>
    <w:rsid w:val="2FDE51E1"/>
    <w:rsid w:val="2FE76D29"/>
    <w:rsid w:val="2FEF1349"/>
    <w:rsid w:val="30013124"/>
    <w:rsid w:val="300F7BC6"/>
    <w:rsid w:val="3013447F"/>
    <w:rsid w:val="301F6100"/>
    <w:rsid w:val="303077CA"/>
    <w:rsid w:val="30D91CE5"/>
    <w:rsid w:val="30DF7714"/>
    <w:rsid w:val="310459D4"/>
    <w:rsid w:val="3117039D"/>
    <w:rsid w:val="312A5A9C"/>
    <w:rsid w:val="31312D0D"/>
    <w:rsid w:val="31315540"/>
    <w:rsid w:val="313C7A20"/>
    <w:rsid w:val="313F43CC"/>
    <w:rsid w:val="31737C03"/>
    <w:rsid w:val="31860BFD"/>
    <w:rsid w:val="31CD76AD"/>
    <w:rsid w:val="31ED3247"/>
    <w:rsid w:val="320523BA"/>
    <w:rsid w:val="322B71DF"/>
    <w:rsid w:val="32555905"/>
    <w:rsid w:val="328C709B"/>
    <w:rsid w:val="32C31264"/>
    <w:rsid w:val="32D87B60"/>
    <w:rsid w:val="32D94C28"/>
    <w:rsid w:val="32DB70B1"/>
    <w:rsid w:val="32E94BD1"/>
    <w:rsid w:val="32ED1CC6"/>
    <w:rsid w:val="33164E2A"/>
    <w:rsid w:val="331B2B61"/>
    <w:rsid w:val="33C3455A"/>
    <w:rsid w:val="33FD46A3"/>
    <w:rsid w:val="344B674A"/>
    <w:rsid w:val="34530B15"/>
    <w:rsid w:val="346F32B5"/>
    <w:rsid w:val="349F2F66"/>
    <w:rsid w:val="34A51F4F"/>
    <w:rsid w:val="34AA79B7"/>
    <w:rsid w:val="34AE6C85"/>
    <w:rsid w:val="34AF7779"/>
    <w:rsid w:val="34B31059"/>
    <w:rsid w:val="34EE5322"/>
    <w:rsid w:val="34F61599"/>
    <w:rsid w:val="3503292A"/>
    <w:rsid w:val="350569CA"/>
    <w:rsid w:val="350815D8"/>
    <w:rsid w:val="350934D2"/>
    <w:rsid w:val="3514033D"/>
    <w:rsid w:val="35253C7E"/>
    <w:rsid w:val="35591CE5"/>
    <w:rsid w:val="359E6321"/>
    <w:rsid w:val="35AD5365"/>
    <w:rsid w:val="35C851C9"/>
    <w:rsid w:val="35D71599"/>
    <w:rsid w:val="35DD28D3"/>
    <w:rsid w:val="35E762E9"/>
    <w:rsid w:val="35FE13CF"/>
    <w:rsid w:val="36092C93"/>
    <w:rsid w:val="361749A5"/>
    <w:rsid w:val="362C4317"/>
    <w:rsid w:val="362C459C"/>
    <w:rsid w:val="36363D38"/>
    <w:rsid w:val="363E43C3"/>
    <w:rsid w:val="36530A48"/>
    <w:rsid w:val="365E43BC"/>
    <w:rsid w:val="36684205"/>
    <w:rsid w:val="366D6D42"/>
    <w:rsid w:val="366F1F2A"/>
    <w:rsid w:val="367D4713"/>
    <w:rsid w:val="36AA33EE"/>
    <w:rsid w:val="36B45DFE"/>
    <w:rsid w:val="36C9497B"/>
    <w:rsid w:val="36D77EC2"/>
    <w:rsid w:val="36E541F9"/>
    <w:rsid w:val="36F933A3"/>
    <w:rsid w:val="37247AF2"/>
    <w:rsid w:val="37473B26"/>
    <w:rsid w:val="376B1EC4"/>
    <w:rsid w:val="37757675"/>
    <w:rsid w:val="37774CDA"/>
    <w:rsid w:val="37837DA4"/>
    <w:rsid w:val="37926F02"/>
    <w:rsid w:val="37941362"/>
    <w:rsid w:val="37AE45FB"/>
    <w:rsid w:val="37C737E8"/>
    <w:rsid w:val="37D36AE8"/>
    <w:rsid w:val="37E85D26"/>
    <w:rsid w:val="38201DED"/>
    <w:rsid w:val="38365452"/>
    <w:rsid w:val="384A1691"/>
    <w:rsid w:val="385511BE"/>
    <w:rsid w:val="38813D78"/>
    <w:rsid w:val="38825858"/>
    <w:rsid w:val="3895791B"/>
    <w:rsid w:val="389A1B18"/>
    <w:rsid w:val="38AE03CA"/>
    <w:rsid w:val="38C00FE7"/>
    <w:rsid w:val="38C262CA"/>
    <w:rsid w:val="38C579B3"/>
    <w:rsid w:val="38C62D14"/>
    <w:rsid w:val="38CD6085"/>
    <w:rsid w:val="38ED7390"/>
    <w:rsid w:val="38EE1B16"/>
    <w:rsid w:val="38F367C9"/>
    <w:rsid w:val="38FA59DB"/>
    <w:rsid w:val="3936482D"/>
    <w:rsid w:val="395F22E2"/>
    <w:rsid w:val="39654764"/>
    <w:rsid w:val="39CC676E"/>
    <w:rsid w:val="39E95FA6"/>
    <w:rsid w:val="39ED0089"/>
    <w:rsid w:val="3A067C6C"/>
    <w:rsid w:val="3A097ACD"/>
    <w:rsid w:val="3A130033"/>
    <w:rsid w:val="3A5223AD"/>
    <w:rsid w:val="3A634036"/>
    <w:rsid w:val="3A7D6345"/>
    <w:rsid w:val="3A88592D"/>
    <w:rsid w:val="3A965683"/>
    <w:rsid w:val="3A9D7E2A"/>
    <w:rsid w:val="3AB44648"/>
    <w:rsid w:val="3AC000B9"/>
    <w:rsid w:val="3AF131B3"/>
    <w:rsid w:val="3B1168D4"/>
    <w:rsid w:val="3B3960FB"/>
    <w:rsid w:val="3B4B432A"/>
    <w:rsid w:val="3B620718"/>
    <w:rsid w:val="3B70321D"/>
    <w:rsid w:val="3B7A6BA8"/>
    <w:rsid w:val="3B8D2F2E"/>
    <w:rsid w:val="3B9E7B7B"/>
    <w:rsid w:val="3BAC4064"/>
    <w:rsid w:val="3BB273B8"/>
    <w:rsid w:val="3BCC6400"/>
    <w:rsid w:val="3BD71BEE"/>
    <w:rsid w:val="3BF10688"/>
    <w:rsid w:val="3BFA29E6"/>
    <w:rsid w:val="3C140399"/>
    <w:rsid w:val="3C1A7401"/>
    <w:rsid w:val="3C3B0FB9"/>
    <w:rsid w:val="3C4C7EB1"/>
    <w:rsid w:val="3C811DED"/>
    <w:rsid w:val="3C9901B4"/>
    <w:rsid w:val="3C9B55C5"/>
    <w:rsid w:val="3CE72AFD"/>
    <w:rsid w:val="3CFB2D48"/>
    <w:rsid w:val="3D026118"/>
    <w:rsid w:val="3D1803BF"/>
    <w:rsid w:val="3D200FE2"/>
    <w:rsid w:val="3D2726E0"/>
    <w:rsid w:val="3D366476"/>
    <w:rsid w:val="3D3D6A6B"/>
    <w:rsid w:val="3D6C44E2"/>
    <w:rsid w:val="3D6E513C"/>
    <w:rsid w:val="3D72096B"/>
    <w:rsid w:val="3D853535"/>
    <w:rsid w:val="3DAA6743"/>
    <w:rsid w:val="3DDB3C09"/>
    <w:rsid w:val="3E0275BA"/>
    <w:rsid w:val="3E10410B"/>
    <w:rsid w:val="3E1612BE"/>
    <w:rsid w:val="3E360E9A"/>
    <w:rsid w:val="3E4E5F4F"/>
    <w:rsid w:val="3E66341C"/>
    <w:rsid w:val="3E73024B"/>
    <w:rsid w:val="3E752F99"/>
    <w:rsid w:val="3E9C26B5"/>
    <w:rsid w:val="3EB90629"/>
    <w:rsid w:val="3EC859DF"/>
    <w:rsid w:val="3ECF5181"/>
    <w:rsid w:val="3EEC3355"/>
    <w:rsid w:val="3EEE3A4E"/>
    <w:rsid w:val="3F134057"/>
    <w:rsid w:val="3F204CDB"/>
    <w:rsid w:val="3F221DBB"/>
    <w:rsid w:val="3F287908"/>
    <w:rsid w:val="3F317BD5"/>
    <w:rsid w:val="3F6D489E"/>
    <w:rsid w:val="3F8A026C"/>
    <w:rsid w:val="3FA07642"/>
    <w:rsid w:val="3FAA722E"/>
    <w:rsid w:val="3FD03861"/>
    <w:rsid w:val="3FD95224"/>
    <w:rsid w:val="3FDE32A2"/>
    <w:rsid w:val="3FDF7A11"/>
    <w:rsid w:val="40387778"/>
    <w:rsid w:val="404E0D57"/>
    <w:rsid w:val="40526287"/>
    <w:rsid w:val="40714458"/>
    <w:rsid w:val="40785FCC"/>
    <w:rsid w:val="40AA72B0"/>
    <w:rsid w:val="40B6347A"/>
    <w:rsid w:val="40B64BFA"/>
    <w:rsid w:val="40B66F49"/>
    <w:rsid w:val="40C07B2F"/>
    <w:rsid w:val="40C44D55"/>
    <w:rsid w:val="40C75653"/>
    <w:rsid w:val="40D966B6"/>
    <w:rsid w:val="40DD799B"/>
    <w:rsid w:val="40EB223E"/>
    <w:rsid w:val="40F7222B"/>
    <w:rsid w:val="410C17B4"/>
    <w:rsid w:val="411C2206"/>
    <w:rsid w:val="41490C27"/>
    <w:rsid w:val="41821217"/>
    <w:rsid w:val="41956B12"/>
    <w:rsid w:val="419D6398"/>
    <w:rsid w:val="41B53A2C"/>
    <w:rsid w:val="41BB11FF"/>
    <w:rsid w:val="41BD7DD3"/>
    <w:rsid w:val="41FB7B2A"/>
    <w:rsid w:val="42015FEF"/>
    <w:rsid w:val="420837EF"/>
    <w:rsid w:val="421362A0"/>
    <w:rsid w:val="422260AE"/>
    <w:rsid w:val="423024A3"/>
    <w:rsid w:val="423A32EE"/>
    <w:rsid w:val="425B1F76"/>
    <w:rsid w:val="426B718E"/>
    <w:rsid w:val="427B6612"/>
    <w:rsid w:val="4285639C"/>
    <w:rsid w:val="429657C2"/>
    <w:rsid w:val="429F3652"/>
    <w:rsid w:val="42B82FD2"/>
    <w:rsid w:val="42C62353"/>
    <w:rsid w:val="42E06BAB"/>
    <w:rsid w:val="42F1705A"/>
    <w:rsid w:val="431464B0"/>
    <w:rsid w:val="431A0DAE"/>
    <w:rsid w:val="431A4083"/>
    <w:rsid w:val="433D2CDE"/>
    <w:rsid w:val="4357011C"/>
    <w:rsid w:val="436E5488"/>
    <w:rsid w:val="438253F4"/>
    <w:rsid w:val="43B55C3D"/>
    <w:rsid w:val="43D87764"/>
    <w:rsid w:val="43FA579A"/>
    <w:rsid w:val="441C7134"/>
    <w:rsid w:val="44600A9F"/>
    <w:rsid w:val="4493091A"/>
    <w:rsid w:val="44AB2A53"/>
    <w:rsid w:val="44B12EF4"/>
    <w:rsid w:val="44C64F95"/>
    <w:rsid w:val="44C71779"/>
    <w:rsid w:val="44CE3E16"/>
    <w:rsid w:val="44D8413F"/>
    <w:rsid w:val="44EC37FC"/>
    <w:rsid w:val="44EE6301"/>
    <w:rsid w:val="454F35E5"/>
    <w:rsid w:val="455A0693"/>
    <w:rsid w:val="45674802"/>
    <w:rsid w:val="45691C3D"/>
    <w:rsid w:val="459D51B8"/>
    <w:rsid w:val="45A665D0"/>
    <w:rsid w:val="45AF70C3"/>
    <w:rsid w:val="45E11A97"/>
    <w:rsid w:val="45ED3D3F"/>
    <w:rsid w:val="45F93A3F"/>
    <w:rsid w:val="46027FEA"/>
    <w:rsid w:val="46113746"/>
    <w:rsid w:val="46333369"/>
    <w:rsid w:val="463756BD"/>
    <w:rsid w:val="46412B17"/>
    <w:rsid w:val="465D33A4"/>
    <w:rsid w:val="466D7E95"/>
    <w:rsid w:val="466F48DB"/>
    <w:rsid w:val="46712CA2"/>
    <w:rsid w:val="46720B9B"/>
    <w:rsid w:val="46792F33"/>
    <w:rsid w:val="46811F0C"/>
    <w:rsid w:val="46BF5D25"/>
    <w:rsid w:val="46E524E8"/>
    <w:rsid w:val="47206D21"/>
    <w:rsid w:val="472706D7"/>
    <w:rsid w:val="472E372B"/>
    <w:rsid w:val="47377FAB"/>
    <w:rsid w:val="475217F6"/>
    <w:rsid w:val="476D0826"/>
    <w:rsid w:val="47703556"/>
    <w:rsid w:val="47834F4C"/>
    <w:rsid w:val="47AB6D1C"/>
    <w:rsid w:val="47B005D3"/>
    <w:rsid w:val="47C22040"/>
    <w:rsid w:val="47C832CF"/>
    <w:rsid w:val="47ED3821"/>
    <w:rsid w:val="47EF2D99"/>
    <w:rsid w:val="481B1123"/>
    <w:rsid w:val="481F22E3"/>
    <w:rsid w:val="4842254B"/>
    <w:rsid w:val="484D0CBB"/>
    <w:rsid w:val="484E79F6"/>
    <w:rsid w:val="484E7BC7"/>
    <w:rsid w:val="484F4B1D"/>
    <w:rsid w:val="4879128B"/>
    <w:rsid w:val="488C6C15"/>
    <w:rsid w:val="48975943"/>
    <w:rsid w:val="48A27DE1"/>
    <w:rsid w:val="48A6725C"/>
    <w:rsid w:val="48AE3C4C"/>
    <w:rsid w:val="48B2377A"/>
    <w:rsid w:val="48B920BD"/>
    <w:rsid w:val="48C3793A"/>
    <w:rsid w:val="48D77AC8"/>
    <w:rsid w:val="49024C5B"/>
    <w:rsid w:val="49034C06"/>
    <w:rsid w:val="491E0703"/>
    <w:rsid w:val="493615A9"/>
    <w:rsid w:val="495713A3"/>
    <w:rsid w:val="49583928"/>
    <w:rsid w:val="49706895"/>
    <w:rsid w:val="49731B31"/>
    <w:rsid w:val="49A82E22"/>
    <w:rsid w:val="49AD2E92"/>
    <w:rsid w:val="49CD16C3"/>
    <w:rsid w:val="49E76FCB"/>
    <w:rsid w:val="49E97713"/>
    <w:rsid w:val="49EF7ACC"/>
    <w:rsid w:val="4A195727"/>
    <w:rsid w:val="4A3B6364"/>
    <w:rsid w:val="4A7318B7"/>
    <w:rsid w:val="4A78346F"/>
    <w:rsid w:val="4AA66FF4"/>
    <w:rsid w:val="4ABD13BD"/>
    <w:rsid w:val="4AE31E9B"/>
    <w:rsid w:val="4B081580"/>
    <w:rsid w:val="4B1325CE"/>
    <w:rsid w:val="4B512541"/>
    <w:rsid w:val="4B8634B9"/>
    <w:rsid w:val="4B8A3CA0"/>
    <w:rsid w:val="4B9D01E0"/>
    <w:rsid w:val="4B9D351F"/>
    <w:rsid w:val="4BAB5F21"/>
    <w:rsid w:val="4BAF2E48"/>
    <w:rsid w:val="4BD67C99"/>
    <w:rsid w:val="4BDB7CE6"/>
    <w:rsid w:val="4BDC7701"/>
    <w:rsid w:val="4BE2627F"/>
    <w:rsid w:val="4BFD3E1F"/>
    <w:rsid w:val="4C2F6420"/>
    <w:rsid w:val="4C565EC1"/>
    <w:rsid w:val="4C5A672D"/>
    <w:rsid w:val="4C690900"/>
    <w:rsid w:val="4C6D1468"/>
    <w:rsid w:val="4C8F6863"/>
    <w:rsid w:val="4C9B66C4"/>
    <w:rsid w:val="4CC454EC"/>
    <w:rsid w:val="4CD677DD"/>
    <w:rsid w:val="4CDF0834"/>
    <w:rsid w:val="4CE8033E"/>
    <w:rsid w:val="4D027F5F"/>
    <w:rsid w:val="4D2854F9"/>
    <w:rsid w:val="4D296399"/>
    <w:rsid w:val="4D40643A"/>
    <w:rsid w:val="4D52166C"/>
    <w:rsid w:val="4D655A2A"/>
    <w:rsid w:val="4D69780F"/>
    <w:rsid w:val="4D6A088E"/>
    <w:rsid w:val="4D7745FA"/>
    <w:rsid w:val="4D7951CC"/>
    <w:rsid w:val="4DBF1848"/>
    <w:rsid w:val="4DC43846"/>
    <w:rsid w:val="4DC45400"/>
    <w:rsid w:val="4E031804"/>
    <w:rsid w:val="4E06647A"/>
    <w:rsid w:val="4E1A1683"/>
    <w:rsid w:val="4E1D200D"/>
    <w:rsid w:val="4E5D3AA1"/>
    <w:rsid w:val="4E5F40BC"/>
    <w:rsid w:val="4E6E1B77"/>
    <w:rsid w:val="4EA53875"/>
    <w:rsid w:val="4EE95585"/>
    <w:rsid w:val="4F2E0F32"/>
    <w:rsid w:val="4F306DA8"/>
    <w:rsid w:val="4F341EEB"/>
    <w:rsid w:val="4F397B3D"/>
    <w:rsid w:val="4F4B436B"/>
    <w:rsid w:val="4F646CA8"/>
    <w:rsid w:val="4F6850F7"/>
    <w:rsid w:val="4F6D7D99"/>
    <w:rsid w:val="4F9657CF"/>
    <w:rsid w:val="4FA11FC4"/>
    <w:rsid w:val="4FAB75A5"/>
    <w:rsid w:val="4FB1192B"/>
    <w:rsid w:val="4FDE4D3C"/>
    <w:rsid w:val="4FF25F84"/>
    <w:rsid w:val="4FFA6D45"/>
    <w:rsid w:val="501A0EBD"/>
    <w:rsid w:val="5028579C"/>
    <w:rsid w:val="505A0D12"/>
    <w:rsid w:val="505C4D79"/>
    <w:rsid w:val="50A91F6B"/>
    <w:rsid w:val="50E72D55"/>
    <w:rsid w:val="513F40E3"/>
    <w:rsid w:val="515A0823"/>
    <w:rsid w:val="51B43BB6"/>
    <w:rsid w:val="51D77AFD"/>
    <w:rsid w:val="51E2381C"/>
    <w:rsid w:val="51E447D5"/>
    <w:rsid w:val="521F4231"/>
    <w:rsid w:val="522F4824"/>
    <w:rsid w:val="52381F5C"/>
    <w:rsid w:val="526B109E"/>
    <w:rsid w:val="5271429D"/>
    <w:rsid w:val="52A220E4"/>
    <w:rsid w:val="52AA5285"/>
    <w:rsid w:val="52D06231"/>
    <w:rsid w:val="52E94D9B"/>
    <w:rsid w:val="52EC5EB4"/>
    <w:rsid w:val="52EF091B"/>
    <w:rsid w:val="52F14FAA"/>
    <w:rsid w:val="53552A93"/>
    <w:rsid w:val="536638C6"/>
    <w:rsid w:val="537A4D82"/>
    <w:rsid w:val="53D33F5C"/>
    <w:rsid w:val="53E33601"/>
    <w:rsid w:val="53EE2723"/>
    <w:rsid w:val="540A5FC2"/>
    <w:rsid w:val="543E0D7C"/>
    <w:rsid w:val="544254E5"/>
    <w:rsid w:val="544579C7"/>
    <w:rsid w:val="548448C2"/>
    <w:rsid w:val="548E62AE"/>
    <w:rsid w:val="54CF57EB"/>
    <w:rsid w:val="54DF3A5C"/>
    <w:rsid w:val="54E54D4E"/>
    <w:rsid w:val="54E77B05"/>
    <w:rsid w:val="54FE28D6"/>
    <w:rsid w:val="552950F8"/>
    <w:rsid w:val="55405FA8"/>
    <w:rsid w:val="55435B19"/>
    <w:rsid w:val="555176D0"/>
    <w:rsid w:val="555F1274"/>
    <w:rsid w:val="5560250A"/>
    <w:rsid w:val="55611D75"/>
    <w:rsid w:val="55963747"/>
    <w:rsid w:val="559E5378"/>
    <w:rsid w:val="55A51501"/>
    <w:rsid w:val="55B10895"/>
    <w:rsid w:val="55BC5022"/>
    <w:rsid w:val="55BF7505"/>
    <w:rsid w:val="55E3055E"/>
    <w:rsid w:val="55FA1202"/>
    <w:rsid w:val="560A6445"/>
    <w:rsid w:val="5615587C"/>
    <w:rsid w:val="561A22C2"/>
    <w:rsid w:val="562535AA"/>
    <w:rsid w:val="56297275"/>
    <w:rsid w:val="563B06EE"/>
    <w:rsid w:val="563B416E"/>
    <w:rsid w:val="564318F5"/>
    <w:rsid w:val="56513C1F"/>
    <w:rsid w:val="566C434D"/>
    <w:rsid w:val="566F0527"/>
    <w:rsid w:val="568E496E"/>
    <w:rsid w:val="56A13934"/>
    <w:rsid w:val="56B068A5"/>
    <w:rsid w:val="56BD4D6D"/>
    <w:rsid w:val="56C90882"/>
    <w:rsid w:val="570C04F9"/>
    <w:rsid w:val="571629E8"/>
    <w:rsid w:val="571F536B"/>
    <w:rsid w:val="572F4F4A"/>
    <w:rsid w:val="575A3606"/>
    <w:rsid w:val="57746C8E"/>
    <w:rsid w:val="57A16201"/>
    <w:rsid w:val="57B16F8B"/>
    <w:rsid w:val="58075D33"/>
    <w:rsid w:val="581B0FEB"/>
    <w:rsid w:val="58261180"/>
    <w:rsid w:val="58466B3D"/>
    <w:rsid w:val="585D5CD3"/>
    <w:rsid w:val="58620825"/>
    <w:rsid w:val="587358AA"/>
    <w:rsid w:val="58D41622"/>
    <w:rsid w:val="590328D3"/>
    <w:rsid w:val="592245C5"/>
    <w:rsid w:val="59330601"/>
    <w:rsid w:val="59407C1B"/>
    <w:rsid w:val="59472AA7"/>
    <w:rsid w:val="59671313"/>
    <w:rsid w:val="597B3D86"/>
    <w:rsid w:val="5983495A"/>
    <w:rsid w:val="59853841"/>
    <w:rsid w:val="59926AFC"/>
    <w:rsid w:val="59C02CFB"/>
    <w:rsid w:val="59DE72E3"/>
    <w:rsid w:val="5A2B3151"/>
    <w:rsid w:val="5A3E04AB"/>
    <w:rsid w:val="5A6E6B0D"/>
    <w:rsid w:val="5A8F6346"/>
    <w:rsid w:val="5AA773FA"/>
    <w:rsid w:val="5ABA5007"/>
    <w:rsid w:val="5AE60722"/>
    <w:rsid w:val="5AEF291D"/>
    <w:rsid w:val="5AF54E98"/>
    <w:rsid w:val="5B152B41"/>
    <w:rsid w:val="5B253BCF"/>
    <w:rsid w:val="5B556E55"/>
    <w:rsid w:val="5B754035"/>
    <w:rsid w:val="5B9221A1"/>
    <w:rsid w:val="5B966F33"/>
    <w:rsid w:val="5BA55FB3"/>
    <w:rsid w:val="5BAC1723"/>
    <w:rsid w:val="5BE426C3"/>
    <w:rsid w:val="5BE96CD0"/>
    <w:rsid w:val="5C0B5864"/>
    <w:rsid w:val="5C0C5ED1"/>
    <w:rsid w:val="5C0E6EB6"/>
    <w:rsid w:val="5C1633E9"/>
    <w:rsid w:val="5C26574C"/>
    <w:rsid w:val="5C547002"/>
    <w:rsid w:val="5C7B4183"/>
    <w:rsid w:val="5C7C5F17"/>
    <w:rsid w:val="5C851BD7"/>
    <w:rsid w:val="5C882CB6"/>
    <w:rsid w:val="5C95794C"/>
    <w:rsid w:val="5CA834EE"/>
    <w:rsid w:val="5CB10B2B"/>
    <w:rsid w:val="5CB24816"/>
    <w:rsid w:val="5CCA31E7"/>
    <w:rsid w:val="5CFD741E"/>
    <w:rsid w:val="5D123DDE"/>
    <w:rsid w:val="5D1A7073"/>
    <w:rsid w:val="5D1F6493"/>
    <w:rsid w:val="5DA43890"/>
    <w:rsid w:val="5DAA348E"/>
    <w:rsid w:val="5DAD65C4"/>
    <w:rsid w:val="5DCD0F46"/>
    <w:rsid w:val="5DF959BD"/>
    <w:rsid w:val="5E086966"/>
    <w:rsid w:val="5E1874F9"/>
    <w:rsid w:val="5E3F6B2C"/>
    <w:rsid w:val="5E572C0A"/>
    <w:rsid w:val="5E5F3A7D"/>
    <w:rsid w:val="5E666A6B"/>
    <w:rsid w:val="5E7A009C"/>
    <w:rsid w:val="5EA95F05"/>
    <w:rsid w:val="5EC522F6"/>
    <w:rsid w:val="5F021514"/>
    <w:rsid w:val="5F0249C1"/>
    <w:rsid w:val="5F0B3FD7"/>
    <w:rsid w:val="5F116BCC"/>
    <w:rsid w:val="5F1514A5"/>
    <w:rsid w:val="5F327FCF"/>
    <w:rsid w:val="5F341585"/>
    <w:rsid w:val="5F456193"/>
    <w:rsid w:val="5F5B1422"/>
    <w:rsid w:val="5F5C4CD6"/>
    <w:rsid w:val="5F7320BA"/>
    <w:rsid w:val="5F756B4A"/>
    <w:rsid w:val="5F80447A"/>
    <w:rsid w:val="5F9B40BE"/>
    <w:rsid w:val="5FB1014C"/>
    <w:rsid w:val="5FF80ACF"/>
    <w:rsid w:val="600415C1"/>
    <w:rsid w:val="60172F4B"/>
    <w:rsid w:val="602075AE"/>
    <w:rsid w:val="602E6E81"/>
    <w:rsid w:val="603064DF"/>
    <w:rsid w:val="60506F95"/>
    <w:rsid w:val="605E6935"/>
    <w:rsid w:val="606825C5"/>
    <w:rsid w:val="607440E2"/>
    <w:rsid w:val="609237C3"/>
    <w:rsid w:val="60A479A0"/>
    <w:rsid w:val="60A939FD"/>
    <w:rsid w:val="60B57077"/>
    <w:rsid w:val="60BB0D3E"/>
    <w:rsid w:val="60C37E8B"/>
    <w:rsid w:val="60D764AF"/>
    <w:rsid w:val="60EC29EE"/>
    <w:rsid w:val="60EF7F5B"/>
    <w:rsid w:val="61077776"/>
    <w:rsid w:val="612568DA"/>
    <w:rsid w:val="6128396E"/>
    <w:rsid w:val="61350236"/>
    <w:rsid w:val="61B362DD"/>
    <w:rsid w:val="61C474CC"/>
    <w:rsid w:val="61CA6021"/>
    <w:rsid w:val="61D0447D"/>
    <w:rsid w:val="61D17DA7"/>
    <w:rsid w:val="61DA3F76"/>
    <w:rsid w:val="61E968B2"/>
    <w:rsid w:val="61EA5EB6"/>
    <w:rsid w:val="6203119C"/>
    <w:rsid w:val="620A4004"/>
    <w:rsid w:val="621C28D3"/>
    <w:rsid w:val="625A4C73"/>
    <w:rsid w:val="625E1FC5"/>
    <w:rsid w:val="62675CDC"/>
    <w:rsid w:val="62940264"/>
    <w:rsid w:val="62992B30"/>
    <w:rsid w:val="62A25A89"/>
    <w:rsid w:val="62B5243F"/>
    <w:rsid w:val="62D74CE6"/>
    <w:rsid w:val="62E44491"/>
    <w:rsid w:val="62EC18CF"/>
    <w:rsid w:val="62F337BB"/>
    <w:rsid w:val="632245F1"/>
    <w:rsid w:val="633140A2"/>
    <w:rsid w:val="63346A85"/>
    <w:rsid w:val="633B2C32"/>
    <w:rsid w:val="6363065B"/>
    <w:rsid w:val="637767C1"/>
    <w:rsid w:val="63966566"/>
    <w:rsid w:val="639E75CE"/>
    <w:rsid w:val="63A9373D"/>
    <w:rsid w:val="640902CD"/>
    <w:rsid w:val="640A61B2"/>
    <w:rsid w:val="640B3E8B"/>
    <w:rsid w:val="641D4863"/>
    <w:rsid w:val="646D060C"/>
    <w:rsid w:val="64825F80"/>
    <w:rsid w:val="64962359"/>
    <w:rsid w:val="64A82C6B"/>
    <w:rsid w:val="64A902AF"/>
    <w:rsid w:val="64B2366A"/>
    <w:rsid w:val="64B8713D"/>
    <w:rsid w:val="64C230D7"/>
    <w:rsid w:val="64D538AE"/>
    <w:rsid w:val="64F560B0"/>
    <w:rsid w:val="64F91904"/>
    <w:rsid w:val="65016938"/>
    <w:rsid w:val="650E1C51"/>
    <w:rsid w:val="6572334A"/>
    <w:rsid w:val="65772FEF"/>
    <w:rsid w:val="657E5150"/>
    <w:rsid w:val="65881CA9"/>
    <w:rsid w:val="659E1C5C"/>
    <w:rsid w:val="65A26F0F"/>
    <w:rsid w:val="65A40977"/>
    <w:rsid w:val="65D76223"/>
    <w:rsid w:val="65EB5959"/>
    <w:rsid w:val="65EF7F14"/>
    <w:rsid w:val="65F7684C"/>
    <w:rsid w:val="65FB4A39"/>
    <w:rsid w:val="66017832"/>
    <w:rsid w:val="662A0690"/>
    <w:rsid w:val="663810B4"/>
    <w:rsid w:val="663A5A66"/>
    <w:rsid w:val="66754FCA"/>
    <w:rsid w:val="66974E1E"/>
    <w:rsid w:val="66A8440C"/>
    <w:rsid w:val="66C22E3C"/>
    <w:rsid w:val="66D85B53"/>
    <w:rsid w:val="66E4432A"/>
    <w:rsid w:val="66E54F25"/>
    <w:rsid w:val="66EA322E"/>
    <w:rsid w:val="67046BDB"/>
    <w:rsid w:val="67985997"/>
    <w:rsid w:val="67996F7A"/>
    <w:rsid w:val="67A347CD"/>
    <w:rsid w:val="67F1418F"/>
    <w:rsid w:val="67FF0354"/>
    <w:rsid w:val="680B37EB"/>
    <w:rsid w:val="681754DD"/>
    <w:rsid w:val="682C1A45"/>
    <w:rsid w:val="685E1FB3"/>
    <w:rsid w:val="686B5B50"/>
    <w:rsid w:val="687E00BD"/>
    <w:rsid w:val="68955AAC"/>
    <w:rsid w:val="68BB5720"/>
    <w:rsid w:val="68BD7A0E"/>
    <w:rsid w:val="68CF5653"/>
    <w:rsid w:val="68D848BC"/>
    <w:rsid w:val="68EB44BE"/>
    <w:rsid w:val="68F40FDF"/>
    <w:rsid w:val="68F951B4"/>
    <w:rsid w:val="69002052"/>
    <w:rsid w:val="69080E3C"/>
    <w:rsid w:val="69164A73"/>
    <w:rsid w:val="69426462"/>
    <w:rsid w:val="6962427C"/>
    <w:rsid w:val="69664C57"/>
    <w:rsid w:val="69A8311B"/>
    <w:rsid w:val="69AD6372"/>
    <w:rsid w:val="69F148BD"/>
    <w:rsid w:val="69F47CA2"/>
    <w:rsid w:val="6A000E3A"/>
    <w:rsid w:val="6A03101F"/>
    <w:rsid w:val="6A223B77"/>
    <w:rsid w:val="6A2C1F30"/>
    <w:rsid w:val="6A475F6C"/>
    <w:rsid w:val="6A593EC9"/>
    <w:rsid w:val="6A5E5597"/>
    <w:rsid w:val="6A835B27"/>
    <w:rsid w:val="6A940507"/>
    <w:rsid w:val="6A9536A0"/>
    <w:rsid w:val="6AA70735"/>
    <w:rsid w:val="6AF4162E"/>
    <w:rsid w:val="6AF538C6"/>
    <w:rsid w:val="6AFC1966"/>
    <w:rsid w:val="6AFE07AC"/>
    <w:rsid w:val="6B1017EE"/>
    <w:rsid w:val="6B3F77D9"/>
    <w:rsid w:val="6B4454FB"/>
    <w:rsid w:val="6B8417D2"/>
    <w:rsid w:val="6B867F93"/>
    <w:rsid w:val="6B932F91"/>
    <w:rsid w:val="6B9F0F1A"/>
    <w:rsid w:val="6BCB29A7"/>
    <w:rsid w:val="6BD40A71"/>
    <w:rsid w:val="6BD41C23"/>
    <w:rsid w:val="6BD468A3"/>
    <w:rsid w:val="6BE34EDB"/>
    <w:rsid w:val="6BEE6C3B"/>
    <w:rsid w:val="6BF30E84"/>
    <w:rsid w:val="6BF354C3"/>
    <w:rsid w:val="6C0550D4"/>
    <w:rsid w:val="6C0E10C9"/>
    <w:rsid w:val="6C1D4222"/>
    <w:rsid w:val="6C1F4F05"/>
    <w:rsid w:val="6C215954"/>
    <w:rsid w:val="6C21739F"/>
    <w:rsid w:val="6C242BA2"/>
    <w:rsid w:val="6C3F1D19"/>
    <w:rsid w:val="6C854C52"/>
    <w:rsid w:val="6CE20E02"/>
    <w:rsid w:val="6CE64FF6"/>
    <w:rsid w:val="6D005C19"/>
    <w:rsid w:val="6D243682"/>
    <w:rsid w:val="6D281278"/>
    <w:rsid w:val="6D563F28"/>
    <w:rsid w:val="6D616258"/>
    <w:rsid w:val="6D69382B"/>
    <w:rsid w:val="6D7201D0"/>
    <w:rsid w:val="6D784F78"/>
    <w:rsid w:val="6D976584"/>
    <w:rsid w:val="6DA51098"/>
    <w:rsid w:val="6DA95C63"/>
    <w:rsid w:val="6DB110A8"/>
    <w:rsid w:val="6DBE7865"/>
    <w:rsid w:val="6DC42548"/>
    <w:rsid w:val="6DC960ED"/>
    <w:rsid w:val="6DCB152E"/>
    <w:rsid w:val="6DF8687B"/>
    <w:rsid w:val="6E0265AB"/>
    <w:rsid w:val="6E072198"/>
    <w:rsid w:val="6E0D49C3"/>
    <w:rsid w:val="6E300773"/>
    <w:rsid w:val="6E5E2462"/>
    <w:rsid w:val="6E795990"/>
    <w:rsid w:val="6E87300D"/>
    <w:rsid w:val="6E8805C8"/>
    <w:rsid w:val="6E9B698B"/>
    <w:rsid w:val="6EA708FD"/>
    <w:rsid w:val="6EAB5EC7"/>
    <w:rsid w:val="6EAC4F23"/>
    <w:rsid w:val="6ED433C6"/>
    <w:rsid w:val="6ED81EFB"/>
    <w:rsid w:val="6EEB707C"/>
    <w:rsid w:val="6F201EFA"/>
    <w:rsid w:val="6F2F01C1"/>
    <w:rsid w:val="6F377E8B"/>
    <w:rsid w:val="6F3F0375"/>
    <w:rsid w:val="6F472590"/>
    <w:rsid w:val="6F525160"/>
    <w:rsid w:val="6F797571"/>
    <w:rsid w:val="6F814F6D"/>
    <w:rsid w:val="6F8761F8"/>
    <w:rsid w:val="6F986A3C"/>
    <w:rsid w:val="6F992CB0"/>
    <w:rsid w:val="6F9E01FA"/>
    <w:rsid w:val="6FAB09EA"/>
    <w:rsid w:val="6FAB5C82"/>
    <w:rsid w:val="6FB31FA9"/>
    <w:rsid w:val="6FCD21D7"/>
    <w:rsid w:val="6FCF56A0"/>
    <w:rsid w:val="6FE56C08"/>
    <w:rsid w:val="6FF6215B"/>
    <w:rsid w:val="700C758D"/>
    <w:rsid w:val="702302F0"/>
    <w:rsid w:val="70464518"/>
    <w:rsid w:val="7052083A"/>
    <w:rsid w:val="70702CE4"/>
    <w:rsid w:val="708C5FF2"/>
    <w:rsid w:val="7099603C"/>
    <w:rsid w:val="70AE10D5"/>
    <w:rsid w:val="70CD3813"/>
    <w:rsid w:val="70EB1572"/>
    <w:rsid w:val="710B5198"/>
    <w:rsid w:val="71150FBD"/>
    <w:rsid w:val="71204D18"/>
    <w:rsid w:val="71325EF2"/>
    <w:rsid w:val="71366B0F"/>
    <w:rsid w:val="716C0C9D"/>
    <w:rsid w:val="718A7B7D"/>
    <w:rsid w:val="719D3DE2"/>
    <w:rsid w:val="71AB34A8"/>
    <w:rsid w:val="71D9370D"/>
    <w:rsid w:val="71D9627F"/>
    <w:rsid w:val="71F73538"/>
    <w:rsid w:val="72146FD8"/>
    <w:rsid w:val="721E0456"/>
    <w:rsid w:val="72283194"/>
    <w:rsid w:val="723F5563"/>
    <w:rsid w:val="72464FDC"/>
    <w:rsid w:val="725202A9"/>
    <w:rsid w:val="72540C5E"/>
    <w:rsid w:val="72592736"/>
    <w:rsid w:val="726671F5"/>
    <w:rsid w:val="72692184"/>
    <w:rsid w:val="727B6882"/>
    <w:rsid w:val="72C271DC"/>
    <w:rsid w:val="72C91E20"/>
    <w:rsid w:val="72EC36F0"/>
    <w:rsid w:val="72F27F85"/>
    <w:rsid w:val="72FF6C71"/>
    <w:rsid w:val="730911F9"/>
    <w:rsid w:val="731D539B"/>
    <w:rsid w:val="733D2E4A"/>
    <w:rsid w:val="7346453C"/>
    <w:rsid w:val="735409BD"/>
    <w:rsid w:val="736067DD"/>
    <w:rsid w:val="736D479B"/>
    <w:rsid w:val="7381419D"/>
    <w:rsid w:val="73925333"/>
    <w:rsid w:val="739337C8"/>
    <w:rsid w:val="73A27D0D"/>
    <w:rsid w:val="73BA01F2"/>
    <w:rsid w:val="73C71027"/>
    <w:rsid w:val="73D87C47"/>
    <w:rsid w:val="73ED31D6"/>
    <w:rsid w:val="74234FCA"/>
    <w:rsid w:val="74245E67"/>
    <w:rsid w:val="742F3B71"/>
    <w:rsid w:val="74315ED0"/>
    <w:rsid w:val="744A5F2B"/>
    <w:rsid w:val="744C178D"/>
    <w:rsid w:val="746E5AE0"/>
    <w:rsid w:val="748C1B0F"/>
    <w:rsid w:val="74A474A3"/>
    <w:rsid w:val="74A512AE"/>
    <w:rsid w:val="74AF0BBB"/>
    <w:rsid w:val="74C01EF5"/>
    <w:rsid w:val="74E05BCC"/>
    <w:rsid w:val="74E63B40"/>
    <w:rsid w:val="74E91DD9"/>
    <w:rsid w:val="74EC0379"/>
    <w:rsid w:val="752018D3"/>
    <w:rsid w:val="75265158"/>
    <w:rsid w:val="752B1384"/>
    <w:rsid w:val="753613B4"/>
    <w:rsid w:val="7538705B"/>
    <w:rsid w:val="753901DA"/>
    <w:rsid w:val="75CD5CB1"/>
    <w:rsid w:val="75FE60AE"/>
    <w:rsid w:val="76044B8B"/>
    <w:rsid w:val="76061AEB"/>
    <w:rsid w:val="761B179C"/>
    <w:rsid w:val="762E77ED"/>
    <w:rsid w:val="76345A4F"/>
    <w:rsid w:val="76521FAC"/>
    <w:rsid w:val="765264E8"/>
    <w:rsid w:val="76582A0B"/>
    <w:rsid w:val="76671CAF"/>
    <w:rsid w:val="76782D04"/>
    <w:rsid w:val="76807EB3"/>
    <w:rsid w:val="769D7F6F"/>
    <w:rsid w:val="76A94C35"/>
    <w:rsid w:val="76CA7208"/>
    <w:rsid w:val="76CF4B8A"/>
    <w:rsid w:val="76D32187"/>
    <w:rsid w:val="76FA60F3"/>
    <w:rsid w:val="770D56AA"/>
    <w:rsid w:val="77192381"/>
    <w:rsid w:val="773F70C5"/>
    <w:rsid w:val="7749776A"/>
    <w:rsid w:val="77520D24"/>
    <w:rsid w:val="7755207A"/>
    <w:rsid w:val="77731896"/>
    <w:rsid w:val="778C53CD"/>
    <w:rsid w:val="77A6518B"/>
    <w:rsid w:val="77BB694A"/>
    <w:rsid w:val="77BF2FBA"/>
    <w:rsid w:val="77D412F6"/>
    <w:rsid w:val="77D949F0"/>
    <w:rsid w:val="77DF77C7"/>
    <w:rsid w:val="77F90E7A"/>
    <w:rsid w:val="78034F41"/>
    <w:rsid w:val="780A1AAC"/>
    <w:rsid w:val="78136335"/>
    <w:rsid w:val="785B6DB1"/>
    <w:rsid w:val="78697BFB"/>
    <w:rsid w:val="789042D8"/>
    <w:rsid w:val="78A23EBF"/>
    <w:rsid w:val="78BC765C"/>
    <w:rsid w:val="78D20E37"/>
    <w:rsid w:val="78E4031E"/>
    <w:rsid w:val="78F81B06"/>
    <w:rsid w:val="79126BD5"/>
    <w:rsid w:val="791E5404"/>
    <w:rsid w:val="79397E39"/>
    <w:rsid w:val="794D71A5"/>
    <w:rsid w:val="796147EF"/>
    <w:rsid w:val="796C4615"/>
    <w:rsid w:val="79760D11"/>
    <w:rsid w:val="797A60AC"/>
    <w:rsid w:val="79A64636"/>
    <w:rsid w:val="79A9361E"/>
    <w:rsid w:val="79B546D1"/>
    <w:rsid w:val="79ED0CDE"/>
    <w:rsid w:val="79F2197F"/>
    <w:rsid w:val="79F5475C"/>
    <w:rsid w:val="7A087C62"/>
    <w:rsid w:val="7A145757"/>
    <w:rsid w:val="7A323DFD"/>
    <w:rsid w:val="7A4D114A"/>
    <w:rsid w:val="7A5E7A5E"/>
    <w:rsid w:val="7A610D12"/>
    <w:rsid w:val="7A615C34"/>
    <w:rsid w:val="7A690258"/>
    <w:rsid w:val="7A8455FC"/>
    <w:rsid w:val="7A851F45"/>
    <w:rsid w:val="7A85462F"/>
    <w:rsid w:val="7ABE5E98"/>
    <w:rsid w:val="7ADC4815"/>
    <w:rsid w:val="7AE243E8"/>
    <w:rsid w:val="7AE7497B"/>
    <w:rsid w:val="7AEF5AE6"/>
    <w:rsid w:val="7AF33947"/>
    <w:rsid w:val="7B1C1245"/>
    <w:rsid w:val="7B2C24FB"/>
    <w:rsid w:val="7B2F2965"/>
    <w:rsid w:val="7B4927AB"/>
    <w:rsid w:val="7B6159F4"/>
    <w:rsid w:val="7B6A76ED"/>
    <w:rsid w:val="7B6E336A"/>
    <w:rsid w:val="7B7F7C92"/>
    <w:rsid w:val="7B8F5610"/>
    <w:rsid w:val="7B9E61F6"/>
    <w:rsid w:val="7BA67F1B"/>
    <w:rsid w:val="7BAD0575"/>
    <w:rsid w:val="7BAF20D2"/>
    <w:rsid w:val="7BBE4283"/>
    <w:rsid w:val="7BC3679A"/>
    <w:rsid w:val="7BC95B28"/>
    <w:rsid w:val="7BF06218"/>
    <w:rsid w:val="7C172A2E"/>
    <w:rsid w:val="7C2D6DC6"/>
    <w:rsid w:val="7C464467"/>
    <w:rsid w:val="7C496F70"/>
    <w:rsid w:val="7C500995"/>
    <w:rsid w:val="7C5B7E3B"/>
    <w:rsid w:val="7C5D53AE"/>
    <w:rsid w:val="7C653C0D"/>
    <w:rsid w:val="7C67210F"/>
    <w:rsid w:val="7C6A67CF"/>
    <w:rsid w:val="7CA531CC"/>
    <w:rsid w:val="7CB57BB8"/>
    <w:rsid w:val="7CCA035A"/>
    <w:rsid w:val="7CD911FE"/>
    <w:rsid w:val="7D1161D7"/>
    <w:rsid w:val="7D15002B"/>
    <w:rsid w:val="7D173F13"/>
    <w:rsid w:val="7D19056A"/>
    <w:rsid w:val="7D1E621F"/>
    <w:rsid w:val="7D325DE8"/>
    <w:rsid w:val="7D694FF4"/>
    <w:rsid w:val="7D85469F"/>
    <w:rsid w:val="7DB04331"/>
    <w:rsid w:val="7DB177AE"/>
    <w:rsid w:val="7DBA1BEC"/>
    <w:rsid w:val="7DBB1638"/>
    <w:rsid w:val="7DC41DC4"/>
    <w:rsid w:val="7DCA2BDD"/>
    <w:rsid w:val="7DE25B8C"/>
    <w:rsid w:val="7DF26A63"/>
    <w:rsid w:val="7E25084B"/>
    <w:rsid w:val="7E2F6733"/>
    <w:rsid w:val="7E431C21"/>
    <w:rsid w:val="7E5205D6"/>
    <w:rsid w:val="7E6B075B"/>
    <w:rsid w:val="7E7B5191"/>
    <w:rsid w:val="7E931D17"/>
    <w:rsid w:val="7EA27A33"/>
    <w:rsid w:val="7EED51D5"/>
    <w:rsid w:val="7EFC6E25"/>
    <w:rsid w:val="7F0C368D"/>
    <w:rsid w:val="7F2C1216"/>
    <w:rsid w:val="7F3D338A"/>
    <w:rsid w:val="7F4373C7"/>
    <w:rsid w:val="7F450DA2"/>
    <w:rsid w:val="7F560A2E"/>
    <w:rsid w:val="7F5872B4"/>
    <w:rsid w:val="7F845AC5"/>
    <w:rsid w:val="7F8F0927"/>
    <w:rsid w:val="7FAE2CAC"/>
    <w:rsid w:val="7FAE4F2B"/>
    <w:rsid w:val="7FC63655"/>
    <w:rsid w:val="7FD254CA"/>
    <w:rsid w:val="7FE2008E"/>
    <w:rsid w:val="7FE33B1C"/>
    <w:rsid w:val="7FEC62FF"/>
    <w:rsid w:val="7FED5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2pt" color="#446188"/>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8"/>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tabs>
        <w:tab w:val="left" w:pos="2210"/>
      </w:tabs>
      <w:wordWrap w:val="0"/>
      <w:overflowPunct w:val="0"/>
      <w:autoSpaceDE w:val="0"/>
      <w:autoSpaceDN w:val="0"/>
      <w:adjustRightInd w:val="0"/>
      <w:spacing w:line="360" w:lineRule="auto"/>
      <w:ind w:left="780" w:hanging="360"/>
      <w:jc w:val="left"/>
      <w:outlineLvl w:val="3"/>
    </w:pPr>
    <w:rPr>
      <w:rFonts w:ascii="宋体" w:hAnsi="MS Sans Serif"/>
      <w:b/>
      <w:kern w:val="0"/>
      <w:sz w:val="24"/>
      <w:szCs w:val="20"/>
    </w:rPr>
  </w:style>
  <w:style w:type="paragraph" w:styleId="7">
    <w:name w:val="heading 5"/>
    <w:basedOn w:val="1"/>
    <w:next w:val="1"/>
    <w:qFormat/>
    <w:uiPriority w:val="0"/>
    <w:pPr>
      <w:numPr>
        <w:ilvl w:val="4"/>
        <w:numId w:val="1"/>
      </w:numPr>
      <w:tabs>
        <w:tab w:val="left" w:pos="2210"/>
      </w:tabs>
      <w:outlineLvl w:val="4"/>
    </w:pPr>
    <w:rPr>
      <w:rFonts w:ascii="Cambria"/>
      <w:bCs/>
      <w:sz w:val="24"/>
      <w:szCs w:val="32"/>
    </w:rPr>
  </w:style>
  <w:style w:type="paragraph" w:styleId="8">
    <w:name w:val="heading 6"/>
    <w:basedOn w:val="7"/>
    <w:next w:val="1"/>
    <w:qFormat/>
    <w:uiPriority w:val="0"/>
    <w:pPr>
      <w:numPr>
        <w:ilvl w:val="5"/>
      </w:numPr>
      <w:outlineLvl w:val="5"/>
    </w:pPr>
    <w:rPr>
      <w:rFonts w:ascii="宋体"/>
      <w:bCs w:val="0"/>
      <w:szCs w:val="20"/>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49"/>
    <w:qFormat/>
    <w:uiPriority w:val="0"/>
    <w:pPr>
      <w:widowControl/>
      <w:spacing w:before="100" w:beforeAutospacing="1" w:after="100" w:afterAutospacing="1"/>
      <w:jc w:val="left"/>
    </w:pPr>
    <w:rPr>
      <w:rFonts w:ascii="宋体" w:hAnsi="宋体"/>
      <w:kern w:val="0"/>
      <w:sz w:val="24"/>
      <w:szCs w:val="20"/>
    </w:rPr>
  </w:style>
  <w:style w:type="paragraph" w:styleId="9">
    <w:name w:val="Document Map"/>
    <w:basedOn w:val="1"/>
    <w:qFormat/>
    <w:uiPriority w:val="0"/>
    <w:pPr>
      <w:shd w:val="clear" w:color="auto" w:fill="000080"/>
    </w:pPr>
  </w:style>
  <w:style w:type="paragraph" w:styleId="10">
    <w:name w:val="annotation text"/>
    <w:basedOn w:val="1"/>
    <w:link w:val="50"/>
    <w:qFormat/>
    <w:uiPriority w:val="0"/>
    <w:rPr>
      <w:szCs w:val="20"/>
    </w:rPr>
  </w:style>
  <w:style w:type="paragraph" w:styleId="11">
    <w:name w:val="Body Text"/>
    <w:basedOn w:val="1"/>
    <w:qFormat/>
    <w:uiPriority w:val="0"/>
    <w:pPr>
      <w:spacing w:after="120"/>
    </w:pPr>
  </w:style>
  <w:style w:type="paragraph" w:styleId="12">
    <w:name w:val="Body Text Indent"/>
    <w:basedOn w:val="1"/>
    <w:next w:val="1"/>
    <w:link w:val="51"/>
    <w:qFormat/>
    <w:uiPriority w:val="0"/>
    <w:pPr>
      <w:spacing w:line="500" w:lineRule="exact"/>
      <w:ind w:firstLine="640"/>
    </w:pPr>
    <w:rPr>
      <w:rFonts w:ascii="Batang" w:hAnsi="Batang" w:eastAsia="方正仿宋简体"/>
      <w:sz w:val="32"/>
      <w:szCs w:val="20"/>
    </w:rPr>
  </w:style>
  <w:style w:type="paragraph" w:styleId="13">
    <w:name w:val="toc 3"/>
    <w:basedOn w:val="1"/>
    <w:next w:val="1"/>
    <w:qFormat/>
    <w:uiPriority w:val="0"/>
    <w:pPr>
      <w:ind w:left="420"/>
      <w:jc w:val="left"/>
    </w:pPr>
    <w:rPr>
      <w:i/>
      <w:iCs/>
      <w:sz w:val="20"/>
      <w:szCs w:val="20"/>
    </w:rPr>
  </w:style>
  <w:style w:type="paragraph" w:styleId="14">
    <w:name w:val="Plain Text"/>
    <w:basedOn w:val="1"/>
    <w:next w:val="3"/>
    <w:link w:val="52"/>
    <w:qFormat/>
    <w:uiPriority w:val="0"/>
    <w:rPr>
      <w:rFonts w:ascii="宋体" w:hAnsi="Courier New"/>
      <w:szCs w:val="20"/>
    </w:rPr>
  </w:style>
  <w:style w:type="paragraph" w:styleId="15">
    <w:name w:val="Date"/>
    <w:basedOn w:val="1"/>
    <w:next w:val="1"/>
    <w:link w:val="53"/>
    <w:qFormat/>
    <w:uiPriority w:val="0"/>
    <w:pPr>
      <w:ind w:left="100" w:leftChars="2500"/>
    </w:pPr>
    <w:rPr>
      <w:sz w:val="24"/>
      <w:szCs w:val="20"/>
    </w:rPr>
  </w:style>
  <w:style w:type="paragraph" w:styleId="16">
    <w:name w:val="Body Text Indent 2"/>
    <w:basedOn w:val="1"/>
    <w:qFormat/>
    <w:uiPriority w:val="0"/>
    <w:pPr>
      <w:spacing w:line="440" w:lineRule="exact"/>
      <w:ind w:firstLine="560"/>
      <w:jc w:val="left"/>
    </w:pPr>
    <w:rPr>
      <w:rFonts w:ascii="Batang" w:hAnsi="Batang" w:eastAsia="方正仿宋简体"/>
      <w:sz w:val="28"/>
      <w:szCs w:val="20"/>
    </w:rPr>
  </w:style>
  <w:style w:type="paragraph" w:styleId="17">
    <w:name w:val="Balloon Text"/>
    <w:basedOn w:val="1"/>
    <w:link w:val="54"/>
    <w:qFormat/>
    <w:uiPriority w:val="0"/>
    <w:rPr>
      <w:sz w:val="18"/>
      <w:szCs w:val="20"/>
    </w:rPr>
  </w:style>
  <w:style w:type="paragraph" w:styleId="18">
    <w:name w:val="footer"/>
    <w:basedOn w:val="1"/>
    <w:link w:val="55"/>
    <w:qFormat/>
    <w:uiPriority w:val="99"/>
    <w:pPr>
      <w:tabs>
        <w:tab w:val="center" w:pos="4153"/>
        <w:tab w:val="right" w:pos="8306"/>
      </w:tabs>
      <w:snapToGrid w:val="0"/>
      <w:jc w:val="left"/>
    </w:pPr>
    <w:rPr>
      <w:sz w:val="18"/>
      <w:szCs w:val="20"/>
    </w:rPr>
  </w:style>
  <w:style w:type="paragraph" w:styleId="19">
    <w:name w:val="header"/>
    <w:basedOn w:val="1"/>
    <w:link w:val="56"/>
    <w:qFormat/>
    <w:uiPriority w:val="0"/>
    <w:pPr>
      <w:pBdr>
        <w:bottom w:val="single" w:color="auto" w:sz="6" w:space="1"/>
      </w:pBdr>
      <w:tabs>
        <w:tab w:val="center" w:pos="4153"/>
        <w:tab w:val="right" w:pos="8306"/>
      </w:tabs>
      <w:snapToGrid w:val="0"/>
      <w:jc w:val="center"/>
    </w:pPr>
    <w:rPr>
      <w:sz w:val="18"/>
      <w:szCs w:val="20"/>
    </w:rPr>
  </w:style>
  <w:style w:type="paragraph" w:styleId="20">
    <w:name w:val="toc 1"/>
    <w:basedOn w:val="1"/>
    <w:next w:val="1"/>
    <w:qFormat/>
    <w:uiPriority w:val="39"/>
    <w:pPr>
      <w:tabs>
        <w:tab w:val="right" w:leader="dot" w:pos="9060"/>
      </w:tabs>
      <w:spacing w:line="360" w:lineRule="auto"/>
    </w:pPr>
  </w:style>
  <w:style w:type="paragraph" w:styleId="21">
    <w:name w:val="toc 4"/>
    <w:basedOn w:val="1"/>
    <w:next w:val="1"/>
    <w:qFormat/>
    <w:uiPriority w:val="0"/>
    <w:pPr>
      <w:tabs>
        <w:tab w:val="right" w:leader="dot" w:pos="8948"/>
      </w:tabs>
      <w:snapToGrid w:val="0"/>
      <w:spacing w:line="360" w:lineRule="auto"/>
      <w:ind w:left="1260" w:leftChars="600"/>
    </w:pPr>
  </w:style>
  <w:style w:type="paragraph" w:styleId="22">
    <w:name w:val="Body Text Indent 3"/>
    <w:basedOn w:val="1"/>
    <w:qFormat/>
    <w:uiPriority w:val="0"/>
    <w:pPr>
      <w:spacing w:before="200"/>
      <w:ind w:left="632" w:leftChars="100" w:hanging="422" w:hangingChars="200"/>
    </w:pPr>
    <w:rPr>
      <w:b/>
      <w:bCs/>
    </w:rPr>
  </w:style>
  <w:style w:type="paragraph" w:styleId="23">
    <w:name w:val="toc 2"/>
    <w:basedOn w:val="1"/>
    <w:next w:val="1"/>
    <w:qFormat/>
    <w:uiPriority w:val="39"/>
    <w:pPr>
      <w:ind w:left="420" w:leftChars="200"/>
    </w:pPr>
  </w:style>
  <w:style w:type="paragraph" w:styleId="24">
    <w:name w:val="Body Text 2"/>
    <w:basedOn w:val="1"/>
    <w:qFormat/>
    <w:uiPriority w:val="0"/>
    <w:pPr>
      <w:spacing w:after="120" w:line="480" w:lineRule="auto"/>
    </w:pPr>
  </w:style>
  <w:style w:type="paragraph" w:styleId="2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6">
    <w:name w:val="Normal (Web)"/>
    <w:basedOn w:val="1"/>
    <w:qFormat/>
    <w:uiPriority w:val="99"/>
    <w:pPr>
      <w:spacing w:before="100" w:beforeAutospacing="1" w:after="100" w:afterAutospacing="1"/>
      <w:jc w:val="left"/>
    </w:pPr>
    <w:rPr>
      <w:kern w:val="0"/>
      <w:sz w:val="24"/>
    </w:rPr>
  </w:style>
  <w:style w:type="paragraph" w:styleId="27">
    <w:name w:val="Title"/>
    <w:basedOn w:val="1"/>
    <w:qFormat/>
    <w:uiPriority w:val="0"/>
    <w:pPr>
      <w:spacing w:before="240" w:after="60"/>
      <w:jc w:val="center"/>
      <w:outlineLvl w:val="0"/>
    </w:pPr>
    <w:rPr>
      <w:rFonts w:ascii="Arial" w:hAnsi="Arial" w:cs="Arial"/>
      <w:b/>
      <w:bCs/>
      <w:sz w:val="32"/>
      <w:szCs w:val="32"/>
    </w:rPr>
  </w:style>
  <w:style w:type="paragraph" w:styleId="28">
    <w:name w:val="annotation subject"/>
    <w:basedOn w:val="10"/>
    <w:next w:val="10"/>
    <w:link w:val="57"/>
    <w:qFormat/>
    <w:uiPriority w:val="0"/>
    <w:pPr>
      <w:jc w:val="left"/>
    </w:pPr>
  </w:style>
  <w:style w:type="paragraph" w:styleId="29">
    <w:name w:val="Body Text First Indent"/>
    <w:basedOn w:val="11"/>
    <w:qFormat/>
    <w:uiPriority w:val="0"/>
    <w:pPr>
      <w:ind w:firstLine="420" w:firstLineChars="100"/>
    </w:pPr>
  </w:style>
  <w:style w:type="table" w:styleId="31">
    <w:name w:val="Table Grid"/>
    <w:basedOn w:val="30"/>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3">
    <w:name w:val="Strong"/>
    <w:qFormat/>
    <w:uiPriority w:val="22"/>
    <w:rPr>
      <w:b/>
    </w:rPr>
  </w:style>
  <w:style w:type="character" w:styleId="34">
    <w:name w:val="page number"/>
    <w:qFormat/>
    <w:uiPriority w:val="0"/>
    <w:rPr>
      <w:rFonts w:cs="Times New Roman"/>
    </w:rPr>
  </w:style>
  <w:style w:type="character" w:styleId="35">
    <w:name w:val="FollowedHyperlink"/>
    <w:unhideWhenUsed/>
    <w:qFormat/>
    <w:uiPriority w:val="99"/>
    <w:rPr>
      <w:color w:val="000000"/>
      <w:u w:val="none"/>
    </w:rPr>
  </w:style>
  <w:style w:type="character" w:styleId="36">
    <w:name w:val="Emphasis"/>
    <w:qFormat/>
    <w:uiPriority w:val="0"/>
    <w:rPr>
      <w:i/>
    </w:rPr>
  </w:style>
  <w:style w:type="character" w:styleId="37">
    <w:name w:val="HTML Definition"/>
    <w:unhideWhenUsed/>
    <w:qFormat/>
    <w:uiPriority w:val="99"/>
  </w:style>
  <w:style w:type="character" w:styleId="38">
    <w:name w:val="HTML Typewriter"/>
    <w:unhideWhenUsed/>
    <w:qFormat/>
    <w:uiPriority w:val="99"/>
    <w:rPr>
      <w:rFonts w:ascii="monospace" w:hAnsi="monospace" w:eastAsia="monospace" w:cs="monospace"/>
      <w:sz w:val="20"/>
    </w:rPr>
  </w:style>
  <w:style w:type="character" w:styleId="39">
    <w:name w:val="HTML Acronym"/>
    <w:basedOn w:val="32"/>
    <w:unhideWhenUsed/>
    <w:qFormat/>
    <w:uiPriority w:val="99"/>
  </w:style>
  <w:style w:type="character" w:styleId="40">
    <w:name w:val="HTML Variable"/>
    <w:unhideWhenUsed/>
    <w:qFormat/>
    <w:uiPriority w:val="99"/>
  </w:style>
  <w:style w:type="character" w:styleId="41">
    <w:name w:val="Hyperlink"/>
    <w:qFormat/>
    <w:uiPriority w:val="99"/>
    <w:rPr>
      <w:color w:val="000000"/>
      <w:sz w:val="18"/>
      <w:u w:val="none"/>
    </w:rPr>
  </w:style>
  <w:style w:type="character" w:styleId="42">
    <w:name w:val="HTML Code"/>
    <w:unhideWhenUsed/>
    <w:qFormat/>
    <w:uiPriority w:val="99"/>
    <w:rPr>
      <w:rFonts w:hint="default" w:ascii="monospace" w:hAnsi="monospace" w:eastAsia="monospace" w:cs="monospace"/>
      <w:sz w:val="20"/>
    </w:rPr>
  </w:style>
  <w:style w:type="character" w:styleId="43">
    <w:name w:val="annotation reference"/>
    <w:qFormat/>
    <w:uiPriority w:val="0"/>
    <w:rPr>
      <w:sz w:val="21"/>
    </w:rPr>
  </w:style>
  <w:style w:type="character" w:styleId="44">
    <w:name w:val="HTML Cite"/>
    <w:unhideWhenUsed/>
    <w:qFormat/>
    <w:uiPriority w:val="99"/>
  </w:style>
  <w:style w:type="character" w:styleId="45">
    <w:name w:val="HTML Keyboard"/>
    <w:unhideWhenUsed/>
    <w:qFormat/>
    <w:uiPriority w:val="99"/>
    <w:rPr>
      <w:rFonts w:hint="default" w:ascii="monospace" w:hAnsi="monospace" w:eastAsia="monospace" w:cs="monospace"/>
      <w:vanish/>
      <w:sz w:val="16"/>
      <w:szCs w:val="0"/>
      <w:bdr w:val="single" w:color="auto" w:sz="2" w:space="0"/>
    </w:rPr>
  </w:style>
  <w:style w:type="character" w:styleId="46">
    <w:name w:val="HTML Sample"/>
    <w:unhideWhenUsed/>
    <w:qFormat/>
    <w:uiPriority w:val="99"/>
    <w:rPr>
      <w:rFonts w:hint="default" w:ascii="monospace" w:hAnsi="monospace" w:eastAsia="monospace" w:cs="monospace"/>
    </w:rPr>
  </w:style>
  <w:style w:type="paragraph" w:customStyle="1" w:styleId="4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8">
    <w:name w:val="标题 3 Char"/>
    <w:link w:val="5"/>
    <w:qFormat/>
    <w:uiPriority w:val="0"/>
    <w:rPr>
      <w:b/>
      <w:bCs/>
      <w:sz w:val="32"/>
      <w:szCs w:val="32"/>
    </w:rPr>
  </w:style>
  <w:style w:type="character" w:customStyle="1" w:styleId="49">
    <w:name w:val="正文缩进 Char"/>
    <w:link w:val="2"/>
    <w:qFormat/>
    <w:uiPriority w:val="0"/>
    <w:rPr>
      <w:rFonts w:ascii="宋体" w:hAnsi="宋体" w:eastAsia="宋体"/>
      <w:sz w:val="24"/>
      <w:lang w:val="en-US" w:eastAsia="zh-CN"/>
    </w:rPr>
  </w:style>
  <w:style w:type="character" w:customStyle="1" w:styleId="50">
    <w:name w:val="批注文字 Char"/>
    <w:link w:val="10"/>
    <w:qFormat/>
    <w:uiPriority w:val="0"/>
    <w:rPr>
      <w:kern w:val="2"/>
      <w:sz w:val="21"/>
    </w:rPr>
  </w:style>
  <w:style w:type="character" w:customStyle="1" w:styleId="51">
    <w:name w:val="正文文本缩进 Char"/>
    <w:link w:val="12"/>
    <w:qFormat/>
    <w:uiPriority w:val="0"/>
    <w:rPr>
      <w:rFonts w:ascii="Batang" w:hAnsi="Batang" w:eastAsia="方正仿宋简体"/>
      <w:kern w:val="2"/>
      <w:sz w:val="32"/>
    </w:rPr>
  </w:style>
  <w:style w:type="character" w:customStyle="1" w:styleId="52">
    <w:name w:val="纯文本 Char"/>
    <w:link w:val="14"/>
    <w:qFormat/>
    <w:uiPriority w:val="0"/>
    <w:rPr>
      <w:rFonts w:ascii="宋体" w:hAnsi="Courier New"/>
      <w:kern w:val="2"/>
      <w:sz w:val="21"/>
    </w:rPr>
  </w:style>
  <w:style w:type="character" w:customStyle="1" w:styleId="53">
    <w:name w:val="日期 Char"/>
    <w:link w:val="15"/>
    <w:qFormat/>
    <w:uiPriority w:val="0"/>
    <w:rPr>
      <w:kern w:val="2"/>
      <w:sz w:val="24"/>
    </w:rPr>
  </w:style>
  <w:style w:type="character" w:customStyle="1" w:styleId="54">
    <w:name w:val="批注框文本 Char"/>
    <w:link w:val="17"/>
    <w:qFormat/>
    <w:uiPriority w:val="0"/>
    <w:rPr>
      <w:kern w:val="2"/>
      <w:sz w:val="18"/>
    </w:rPr>
  </w:style>
  <w:style w:type="character" w:customStyle="1" w:styleId="55">
    <w:name w:val="页脚 Char"/>
    <w:link w:val="18"/>
    <w:qFormat/>
    <w:uiPriority w:val="99"/>
    <w:rPr>
      <w:rFonts w:eastAsia="宋体"/>
      <w:kern w:val="2"/>
      <w:sz w:val="18"/>
      <w:lang w:val="en-US" w:eastAsia="zh-CN"/>
    </w:rPr>
  </w:style>
  <w:style w:type="character" w:customStyle="1" w:styleId="56">
    <w:name w:val="页眉 Char"/>
    <w:link w:val="19"/>
    <w:qFormat/>
    <w:uiPriority w:val="0"/>
    <w:rPr>
      <w:kern w:val="2"/>
      <w:sz w:val="18"/>
    </w:rPr>
  </w:style>
  <w:style w:type="character" w:customStyle="1" w:styleId="57">
    <w:name w:val="批注主题 Char"/>
    <w:link w:val="28"/>
    <w:qFormat/>
    <w:uiPriority w:val="0"/>
    <w:rPr>
      <w:kern w:val="2"/>
      <w:sz w:val="21"/>
    </w:rPr>
  </w:style>
  <w:style w:type="character" w:customStyle="1" w:styleId="58">
    <w:name w:val="font71"/>
    <w:qFormat/>
    <w:uiPriority w:val="0"/>
    <w:rPr>
      <w:rFonts w:hint="eastAsia" w:ascii="宋体" w:hAnsi="宋体" w:eastAsia="宋体" w:cs="宋体"/>
      <w:b/>
      <w:color w:val="000000"/>
      <w:sz w:val="28"/>
      <w:szCs w:val="28"/>
      <w:u w:val="single"/>
    </w:rPr>
  </w:style>
  <w:style w:type="character" w:customStyle="1" w:styleId="59">
    <w:name w:val="访问过的超链接1"/>
    <w:qFormat/>
    <w:uiPriority w:val="0"/>
    <w:rPr>
      <w:color w:val="000000"/>
      <w:sz w:val="18"/>
      <w:u w:val="none"/>
    </w:rPr>
  </w:style>
  <w:style w:type="character" w:customStyle="1" w:styleId="60">
    <w:name w:val="current"/>
    <w:qFormat/>
    <w:uiPriority w:val="0"/>
    <w:rPr>
      <w:color w:val="FFFFFF"/>
      <w:shd w:val="clear" w:color="auto" w:fill="428BCA"/>
    </w:rPr>
  </w:style>
  <w:style w:type="character" w:customStyle="1" w:styleId="61">
    <w:name w:val="湖南标书5 Char Char"/>
    <w:link w:val="62"/>
    <w:qFormat/>
    <w:uiPriority w:val="0"/>
    <w:rPr>
      <w:rFonts w:ascii="仿宋" w:hAnsi="仿宋" w:eastAsia="仿宋"/>
      <w:b/>
      <w:sz w:val="24"/>
    </w:rPr>
  </w:style>
  <w:style w:type="paragraph" w:customStyle="1" w:styleId="62">
    <w:name w:val="湖南标书5"/>
    <w:basedOn w:val="1"/>
    <w:link w:val="61"/>
    <w:qFormat/>
    <w:uiPriority w:val="0"/>
    <w:pPr>
      <w:tabs>
        <w:tab w:val="left" w:pos="780"/>
      </w:tabs>
      <w:ind w:left="780" w:hanging="360"/>
    </w:pPr>
    <w:rPr>
      <w:rFonts w:ascii="仿宋" w:hAnsi="仿宋" w:eastAsia="仿宋"/>
      <w:b/>
      <w:kern w:val="0"/>
      <w:sz w:val="24"/>
      <w:szCs w:val="20"/>
    </w:rPr>
  </w:style>
  <w:style w:type="character" w:customStyle="1" w:styleId="63">
    <w:name w:val="font11"/>
    <w:qFormat/>
    <w:uiPriority w:val="0"/>
    <w:rPr>
      <w:rFonts w:hint="default" w:ascii="font-weight : 400" w:hAnsi="font-weight : 400" w:eastAsia="font-weight : 400" w:cs="font-weight : 400"/>
      <w:color w:val="000000"/>
      <w:sz w:val="21"/>
      <w:szCs w:val="21"/>
      <w:u w:val="none"/>
    </w:rPr>
  </w:style>
  <w:style w:type="character" w:customStyle="1" w:styleId="64">
    <w:name w:val="fontstyle01"/>
    <w:qFormat/>
    <w:uiPriority w:val="0"/>
    <w:rPr>
      <w:rFonts w:hint="eastAsia" w:ascii="宋体" w:hAnsi="宋体" w:eastAsia="宋体"/>
      <w:color w:val="000000"/>
      <w:sz w:val="22"/>
      <w:szCs w:val="22"/>
    </w:rPr>
  </w:style>
  <w:style w:type="character" w:customStyle="1" w:styleId="65">
    <w:name w:val="无间隔 Char"/>
    <w:link w:val="66"/>
    <w:qFormat/>
    <w:uiPriority w:val="0"/>
    <w:rPr>
      <w:sz w:val="22"/>
      <w:lang w:val="en-US" w:eastAsia="zh-CN" w:bidi="ar-SA"/>
    </w:rPr>
  </w:style>
  <w:style w:type="paragraph" w:customStyle="1" w:styleId="66">
    <w:name w:val="无间隔1"/>
    <w:link w:val="65"/>
    <w:qFormat/>
    <w:uiPriority w:val="0"/>
    <w:rPr>
      <w:rFonts w:ascii="Times New Roman" w:hAnsi="Times New Roman" w:eastAsia="宋体" w:cs="Times New Roman"/>
      <w:sz w:val="22"/>
      <w:lang w:val="en-US" w:eastAsia="zh-CN" w:bidi="ar-SA"/>
    </w:rPr>
  </w:style>
  <w:style w:type="character" w:customStyle="1" w:styleId="67">
    <w:name w:val="font31"/>
    <w:qFormat/>
    <w:uiPriority w:val="0"/>
    <w:rPr>
      <w:rFonts w:ascii="font-weight : 400" w:hAnsi="font-weight : 400" w:eastAsia="font-weight : 400" w:cs="font-weight : 400"/>
      <w:color w:val="FF0000"/>
      <w:sz w:val="21"/>
      <w:szCs w:val="21"/>
      <w:u w:val="none"/>
    </w:rPr>
  </w:style>
  <w:style w:type="character" w:customStyle="1" w:styleId="68">
    <w:name w:val="apple-converted-space"/>
    <w:qFormat/>
    <w:uiPriority w:val="0"/>
    <w:rPr>
      <w:rFonts w:cs="Times New Roman"/>
    </w:rPr>
  </w:style>
  <w:style w:type="character" w:customStyle="1" w:styleId="69">
    <w:name w:val="font91"/>
    <w:qFormat/>
    <w:uiPriority w:val="0"/>
    <w:rPr>
      <w:rFonts w:ascii="font-weight : 400" w:hAnsi="font-weight : 400" w:eastAsia="font-weight : 400" w:cs="font-weight : 400"/>
      <w:color w:val="FF0000"/>
      <w:sz w:val="24"/>
      <w:szCs w:val="24"/>
      <w:u w:val="none"/>
    </w:rPr>
  </w:style>
  <w:style w:type="character" w:customStyle="1" w:styleId="70">
    <w:name w:val="正文文本缩进 2 Char Char"/>
    <w:link w:val="71"/>
    <w:qFormat/>
    <w:uiPriority w:val="0"/>
    <w:rPr>
      <w:kern w:val="2"/>
      <w:sz w:val="24"/>
    </w:rPr>
  </w:style>
  <w:style w:type="paragraph" w:customStyle="1" w:styleId="71">
    <w:name w:val="正文文本缩进 21"/>
    <w:basedOn w:val="1"/>
    <w:link w:val="70"/>
    <w:qFormat/>
    <w:uiPriority w:val="0"/>
    <w:pPr>
      <w:spacing w:after="120" w:line="480" w:lineRule="auto"/>
      <w:ind w:left="420" w:leftChars="200"/>
    </w:pPr>
    <w:rPr>
      <w:sz w:val="24"/>
      <w:szCs w:val="20"/>
    </w:rPr>
  </w:style>
  <w:style w:type="character" w:customStyle="1" w:styleId="72">
    <w:name w:val="font51"/>
    <w:qFormat/>
    <w:uiPriority w:val="0"/>
    <w:rPr>
      <w:rFonts w:hint="eastAsia" w:ascii="宋体" w:hAnsi="宋体" w:eastAsia="宋体" w:cs="宋体"/>
      <w:color w:val="000000"/>
      <w:sz w:val="28"/>
      <w:szCs w:val="28"/>
      <w:u w:val="none"/>
    </w:rPr>
  </w:style>
  <w:style w:type="character" w:customStyle="1" w:styleId="73">
    <w:name w:val="case3"/>
    <w:qFormat/>
    <w:uiPriority w:val="0"/>
    <w:rPr>
      <w:rFonts w:cs="Times New Roman"/>
    </w:rPr>
  </w:style>
  <w:style w:type="character" w:customStyle="1" w:styleId="74">
    <w:name w:val="font41"/>
    <w:qFormat/>
    <w:uiPriority w:val="0"/>
    <w:rPr>
      <w:rFonts w:hint="eastAsia" w:ascii="宋体" w:hAnsi="宋体" w:eastAsia="宋体" w:cs="宋体"/>
      <w:b/>
      <w:color w:val="000000"/>
      <w:sz w:val="28"/>
      <w:szCs w:val="28"/>
      <w:u w:val="none"/>
    </w:rPr>
  </w:style>
  <w:style w:type="character" w:customStyle="1" w:styleId="75">
    <w:name w:val="pointer"/>
    <w:qFormat/>
    <w:uiPriority w:val="0"/>
    <w:rPr>
      <w:rFonts w:cs="Times New Roman"/>
    </w:rPr>
  </w:style>
  <w:style w:type="character" w:customStyle="1" w:styleId="76">
    <w:name w:val="15"/>
    <w:qFormat/>
    <w:uiPriority w:val="0"/>
    <w:rPr>
      <w:rFonts w:ascii="Verdana" w:hAnsi="Verdana" w:eastAsia="宋体"/>
      <w:b/>
      <w:sz w:val="24"/>
    </w:rPr>
  </w:style>
  <w:style w:type="character" w:customStyle="1" w:styleId="77">
    <w:name w:val="NormalCharacter"/>
    <w:qFormat/>
    <w:uiPriority w:val="0"/>
  </w:style>
  <w:style w:type="paragraph" w:customStyle="1" w:styleId="78">
    <w:name w:val="Char Char18"/>
    <w:basedOn w:val="1"/>
    <w:qFormat/>
    <w:uiPriority w:val="0"/>
    <w:pPr>
      <w:widowControl/>
      <w:spacing w:after="160" w:line="240" w:lineRule="exact"/>
      <w:jc w:val="left"/>
    </w:pPr>
  </w:style>
  <w:style w:type="paragraph" w:customStyle="1" w:styleId="79">
    <w:name w:val="_Style 7"/>
    <w:basedOn w:val="1"/>
    <w:qFormat/>
    <w:uiPriority w:val="0"/>
    <w:pPr>
      <w:ind w:left="432" w:hanging="432"/>
    </w:pPr>
  </w:style>
  <w:style w:type="paragraph" w:customStyle="1" w:styleId="80">
    <w:name w:val="Char"/>
    <w:basedOn w:val="1"/>
    <w:qFormat/>
    <w:uiPriority w:val="0"/>
    <w:pPr>
      <w:tabs>
        <w:tab w:val="right" w:pos="-2120"/>
      </w:tabs>
      <w:snapToGrid w:val="0"/>
    </w:pPr>
  </w:style>
  <w:style w:type="paragraph" w:customStyle="1" w:styleId="8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2">
    <w:name w:val="Char Char Char Char Char Char Char"/>
    <w:basedOn w:val="1"/>
    <w:qFormat/>
    <w:uiPriority w:val="0"/>
    <w:rPr>
      <w:szCs w:val="20"/>
    </w:rPr>
  </w:style>
  <w:style w:type="paragraph" w:customStyle="1" w:styleId="83">
    <w:name w:val="样式 首行缩进:  0.74 厘米 段后: 7.8 磅 行距: 多倍行距 1.15 字行"/>
    <w:basedOn w:val="1"/>
    <w:qFormat/>
    <w:uiPriority w:val="0"/>
    <w:pPr>
      <w:spacing w:after="156"/>
    </w:pPr>
    <w:rPr>
      <w:rFonts w:ascii="仿宋" w:hAnsi="仿宋" w:eastAsia="仿宋" w:cs="宋体"/>
      <w:sz w:val="32"/>
      <w:szCs w:val="32"/>
    </w:rPr>
  </w:style>
  <w:style w:type="paragraph" w:customStyle="1" w:styleId="84">
    <w:name w:val="默认 A"/>
    <w:qFormat/>
    <w:uiPriority w:val="0"/>
    <w:rPr>
      <w:rFonts w:ascii="Helvetica" w:hAnsi="Helvetica" w:eastAsia="Arial Unicode MS" w:cs="Arial Unicode MS"/>
      <w:color w:val="000000"/>
      <w:sz w:val="22"/>
      <w:szCs w:val="22"/>
      <w:lang w:val="de-DE" w:eastAsia="zh-CN" w:bidi="ar-SA"/>
    </w:rPr>
  </w:style>
  <w:style w:type="paragraph" w:customStyle="1" w:styleId="85">
    <w:name w:val="p0"/>
    <w:basedOn w:val="1"/>
    <w:qFormat/>
    <w:uiPriority w:val="0"/>
    <w:pPr>
      <w:widowControl/>
      <w:spacing w:before="100" w:beforeAutospacing="1" w:after="100" w:afterAutospacing="1" w:line="375" w:lineRule="atLeast"/>
      <w:ind w:firstLine="420"/>
      <w:jc w:val="left"/>
    </w:pPr>
    <w:rPr>
      <w:rFonts w:ascii="宋体" w:hAnsi="宋体" w:cs="宋体"/>
      <w:color w:val="333333"/>
      <w:kern w:val="0"/>
      <w:szCs w:val="21"/>
    </w:rPr>
  </w:style>
  <w:style w:type="paragraph" w:customStyle="1" w:styleId="86">
    <w:name w:val="列出段落1"/>
    <w:basedOn w:val="1"/>
    <w:qFormat/>
    <w:uiPriority w:val="0"/>
    <w:pPr>
      <w:ind w:firstLine="420" w:firstLineChars="200"/>
    </w:pPr>
  </w:style>
  <w:style w:type="paragraph" w:customStyle="1" w:styleId="87">
    <w:name w:val="正文格式"/>
    <w:basedOn w:val="1"/>
    <w:qFormat/>
    <w:uiPriority w:val="0"/>
    <w:pPr>
      <w:topLinePunct/>
      <w:ind w:firstLine="420" w:firstLineChars="200"/>
    </w:pPr>
    <w:rPr>
      <w:rFonts w:ascii="宋体" w:hAnsi="宋体"/>
      <w:bCs/>
      <w:szCs w:val="21"/>
    </w:rPr>
  </w:style>
  <w:style w:type="paragraph" w:customStyle="1" w:styleId="88">
    <w:name w:val="宋体5号字"/>
    <w:basedOn w:val="1"/>
    <w:qFormat/>
    <w:uiPriority w:val="0"/>
    <w:pPr>
      <w:widowControl/>
      <w:ind w:right="17" w:firstLine="482"/>
      <w:jc w:val="left"/>
    </w:pPr>
    <w:rPr>
      <w:rFonts w:ascii="宋体" w:hAnsi="宋体"/>
      <w:szCs w:val="21"/>
      <w:lang w:val="zh-CN"/>
    </w:rPr>
  </w:style>
  <w:style w:type="paragraph" w:customStyle="1" w:styleId="89">
    <w:name w:val="Table Paragraph"/>
    <w:basedOn w:val="1"/>
    <w:qFormat/>
    <w:uiPriority w:val="1"/>
    <w:rPr>
      <w:rFonts w:ascii="宋体" w:hAnsi="宋体" w:cs="宋体"/>
    </w:rPr>
  </w:style>
  <w:style w:type="paragraph" w:customStyle="1" w:styleId="90">
    <w:name w:val="样式 (符号) 宋体 小四 行距: 固定值 24 磅"/>
    <w:basedOn w:val="1"/>
    <w:qFormat/>
    <w:uiPriority w:val="0"/>
    <w:pPr>
      <w:spacing w:line="480" w:lineRule="exact"/>
      <w:ind w:firstLine="200" w:firstLineChars="200"/>
    </w:pPr>
    <w:rPr>
      <w:rFonts w:hAnsi="宋体" w:cs="宋体"/>
      <w:sz w:val="24"/>
      <w:szCs w:val="20"/>
    </w:rPr>
  </w:style>
  <w:style w:type="paragraph" w:customStyle="1" w:styleId="91">
    <w:name w:val="默认段落字体 Para Char Char Char Char Char Char Char"/>
    <w:basedOn w:val="1"/>
    <w:qFormat/>
    <w:uiPriority w:val="0"/>
    <w:rPr>
      <w:rFonts w:ascii="Tahoma" w:hAnsi="Tahoma"/>
      <w:sz w:val="24"/>
      <w:szCs w:val="20"/>
    </w:rPr>
  </w:style>
  <w:style w:type="paragraph" w:customStyle="1" w:styleId="92">
    <w:name w:val="5"/>
    <w:basedOn w:val="1"/>
    <w:next w:val="14"/>
    <w:qFormat/>
    <w:uiPriority w:val="0"/>
    <w:rPr>
      <w:rFonts w:ascii="宋体" w:hAnsi="Courier New" w:cs="Courier New"/>
      <w:szCs w:val="21"/>
    </w:rPr>
  </w:style>
  <w:style w:type="paragraph" w:customStyle="1" w:styleId="93">
    <w:name w:val="Char1"/>
    <w:basedOn w:val="1"/>
    <w:qFormat/>
    <w:uiPriority w:val="0"/>
    <w:pPr>
      <w:tabs>
        <w:tab w:val="left" w:pos="360"/>
      </w:tabs>
    </w:pPr>
    <w:rPr>
      <w:sz w:val="24"/>
    </w:rPr>
  </w:style>
  <w:style w:type="paragraph" w:customStyle="1" w:styleId="94">
    <w:name w:val="p18"/>
    <w:basedOn w:val="1"/>
    <w:qFormat/>
    <w:uiPriority w:val="0"/>
    <w:pPr>
      <w:widowControl/>
    </w:pPr>
    <w:rPr>
      <w:rFonts w:ascii="宋体" w:cs="宋体"/>
      <w:kern w:val="0"/>
      <w:sz w:val="20"/>
      <w:szCs w:val="21"/>
      <w:lang w:eastAsia="en-US"/>
    </w:rPr>
  </w:style>
  <w:style w:type="paragraph" w:customStyle="1" w:styleId="95">
    <w:name w:val="Char2 Char Char"/>
    <w:basedOn w:val="9"/>
    <w:qFormat/>
    <w:uiPriority w:val="0"/>
    <w:rPr>
      <w:rFonts w:ascii="Tahoma" w:hAnsi="Tahoma"/>
      <w:sz w:val="24"/>
    </w:rPr>
  </w:style>
  <w:style w:type="paragraph" w:styleId="96">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表1"/>
    <w:basedOn w:val="1"/>
    <w:qFormat/>
    <w:uiPriority w:val="0"/>
    <w:pPr>
      <w:adjustRightInd w:val="0"/>
      <w:snapToGrid w:val="0"/>
      <w:spacing w:line="360" w:lineRule="auto"/>
    </w:pPr>
    <w:rPr>
      <w:rFonts w:ascii="宋体" w:hAnsi="宋体"/>
    </w:rPr>
  </w:style>
  <w:style w:type="paragraph" w:customStyle="1" w:styleId="98">
    <w:name w:val="Char Char Char Char1"/>
    <w:basedOn w:val="1"/>
    <w:qFormat/>
    <w:uiPriority w:val="0"/>
    <w:rPr>
      <w:rFonts w:ascii="Tahoma" w:hAnsi="Tahoma"/>
      <w:sz w:val="24"/>
      <w:szCs w:val="20"/>
    </w:rPr>
  </w:style>
  <w:style w:type="paragraph" w:customStyle="1" w:styleId="99">
    <w:name w:val="列出段落3"/>
    <w:basedOn w:val="1"/>
    <w:qFormat/>
    <w:uiPriority w:val="99"/>
    <w:pPr>
      <w:ind w:firstLine="420" w:firstLineChars="200"/>
    </w:pPr>
    <w:rPr>
      <w:rFonts w:ascii="Calibri" w:hAnsi="Calibri"/>
      <w:szCs w:val="22"/>
    </w:rPr>
  </w:style>
  <w:style w:type="paragraph" w:styleId="100">
    <w:name w:val="List Paragraph"/>
    <w:basedOn w:val="1"/>
    <w:qFormat/>
    <w:uiPriority w:val="99"/>
    <w:pPr>
      <w:ind w:firstLine="420" w:firstLineChars="200"/>
    </w:pPr>
  </w:style>
  <w:style w:type="paragraph" w:customStyle="1" w:styleId="101">
    <w:name w:val="正文1"/>
    <w:basedOn w:val="1"/>
    <w:qFormat/>
    <w:uiPriority w:val="0"/>
    <w:pPr>
      <w:tabs>
        <w:tab w:val="left" w:pos="1080"/>
        <w:tab w:val="left" w:pos="1260"/>
        <w:tab w:val="left" w:pos="1620"/>
        <w:tab w:val="left" w:pos="1980"/>
        <w:tab w:val="left" w:pos="2160"/>
      </w:tabs>
      <w:spacing w:line="360" w:lineRule="auto"/>
      <w:ind w:left="5250"/>
      <w:jc w:val="left"/>
    </w:pPr>
    <w:rPr>
      <w:rFonts w:ascii="宋体" w:hAnsi="宋体"/>
      <w:bCs/>
      <w:color w:val="000000"/>
      <w:szCs w:val="21"/>
    </w:rPr>
  </w:style>
  <w:style w:type="paragraph" w:customStyle="1" w:styleId="102">
    <w:name w:val="1"/>
    <w:basedOn w:val="1"/>
    <w:next w:val="14"/>
    <w:qFormat/>
    <w:uiPriority w:val="0"/>
    <w:rPr>
      <w:rFonts w:ascii="宋体" w:hAnsi="Courier New"/>
      <w:szCs w:val="20"/>
    </w:rPr>
  </w:style>
  <w:style w:type="paragraph" w:customStyle="1" w:styleId="103">
    <w:name w:val="xl39"/>
    <w:basedOn w:val="1"/>
    <w:qFormat/>
    <w:uiPriority w:val="0"/>
    <w:pPr>
      <w:widowControl/>
      <w:spacing w:before="100" w:beforeAutospacing="1" w:after="100" w:afterAutospacing="1"/>
      <w:jc w:val="center"/>
    </w:pPr>
    <w:rPr>
      <w:kern w:val="0"/>
      <w:sz w:val="24"/>
    </w:rPr>
  </w:style>
  <w:style w:type="paragraph" w:customStyle="1" w:styleId="104">
    <w:name w:val="reader-word-layer reader-word-s1-7"/>
    <w:basedOn w:val="1"/>
    <w:qFormat/>
    <w:uiPriority w:val="0"/>
    <w:pPr>
      <w:widowControl/>
      <w:spacing w:before="100" w:beforeAutospacing="1" w:after="100" w:afterAutospacing="1"/>
      <w:jc w:val="left"/>
    </w:pPr>
    <w:rPr>
      <w:rFonts w:ascii="宋体" w:hAnsi="宋体" w:cs="宋体"/>
      <w:kern w:val="0"/>
      <w:sz w:val="24"/>
    </w:rPr>
  </w:style>
  <w:style w:type="paragraph" w:customStyle="1" w:styleId="105">
    <w:name w:val="修订1"/>
    <w:qFormat/>
    <w:uiPriority w:val="0"/>
    <w:rPr>
      <w:rFonts w:ascii="Times New Roman" w:hAnsi="Times New Roman" w:eastAsia="宋体" w:cs="Times New Roman"/>
      <w:kern w:val="2"/>
      <w:sz w:val="21"/>
      <w:szCs w:val="24"/>
      <w:lang w:val="en-US" w:eastAsia="zh-CN" w:bidi="ar-SA"/>
    </w:rPr>
  </w:style>
  <w:style w:type="paragraph" w:customStyle="1" w:styleId="106">
    <w:name w:val="Char Char Char Char"/>
    <w:basedOn w:val="1"/>
    <w:qFormat/>
    <w:uiPriority w:val="0"/>
    <w:rPr>
      <w:rFonts w:ascii="Tahoma" w:hAnsi="Tahoma"/>
      <w:sz w:val="24"/>
      <w:szCs w:val="20"/>
    </w:rPr>
  </w:style>
  <w:style w:type="paragraph" w:customStyle="1" w:styleId="107">
    <w:name w:val="正文 A"/>
    <w:qFormat/>
    <w:uiPriority w:val="0"/>
    <w:pPr>
      <w:shd w:val="clear" w:color="000000" w:fill="auto"/>
      <w:wordWrap w:val="0"/>
      <w:bidi/>
      <w:jc w:val="both"/>
    </w:pPr>
    <w:rPr>
      <w:rFonts w:ascii="Times New Roman" w:hAnsi="Times New Roman" w:eastAsia="Calibri" w:cs="Times New Roman"/>
      <w:color w:val="000000"/>
      <w:sz w:val="21"/>
      <w:szCs w:val="21"/>
      <w:vertAlign w:val="subscript"/>
      <w:lang w:val="en-US" w:eastAsia="zh-CN" w:bidi="ar-SA"/>
    </w:rPr>
  </w:style>
  <w:style w:type="paragraph" w:customStyle="1" w:styleId="108">
    <w:name w:val="Heading4"/>
    <w:basedOn w:val="1"/>
    <w:next w:val="1"/>
    <w:qFormat/>
    <w:uiPriority w:val="0"/>
    <w:pPr>
      <w:ind w:left="1232"/>
      <w:textAlignment w:val="baseline"/>
    </w:pPr>
    <w:rPr>
      <w:rFonts w:ascii="宋体" w:hAnsi="宋体" w:cs="宋体"/>
      <w:b/>
      <w:bCs/>
      <w:sz w:val="24"/>
      <w:lang w:val="zh-CN" w:bidi="zh-CN"/>
    </w:rPr>
  </w:style>
  <w:style w:type="paragraph" w:customStyle="1" w:styleId="109">
    <w:name w:val="列出段落11"/>
    <w:basedOn w:val="1"/>
    <w:qFormat/>
    <w:uiPriority w:val="0"/>
    <w:pPr>
      <w:ind w:firstLine="420" w:firstLineChars="200"/>
    </w:pPr>
  </w:style>
  <w:style w:type="paragraph" w:customStyle="1" w:styleId="110">
    <w:name w:val="PlainText"/>
    <w:basedOn w:val="1"/>
    <w:qFormat/>
    <w:uiPriority w:val="0"/>
    <w:rPr>
      <w:rFonts w:ascii="宋体" w:hAnsi="Courier New"/>
      <w:szCs w:val="21"/>
    </w:rPr>
  </w:style>
  <w:style w:type="paragraph" w:customStyle="1" w:styleId="111">
    <w:name w:val="_Style 2"/>
    <w:basedOn w:val="1"/>
    <w:qFormat/>
    <w:uiPriority w:val="34"/>
    <w:pPr>
      <w:ind w:firstLine="420" w:firstLineChars="200"/>
    </w:pPr>
    <w:rPr>
      <w:rFonts w:cs="宋体"/>
    </w:rPr>
  </w:style>
  <w:style w:type="paragraph" w:customStyle="1" w:styleId="112">
    <w:name w:val="标书－标题2"/>
    <w:basedOn w:val="4"/>
    <w:next w:val="1"/>
    <w:qFormat/>
    <w:uiPriority w:val="0"/>
    <w:pPr>
      <w:widowControl/>
      <w:numPr>
        <w:ilvl w:val="1"/>
        <w:numId w:val="2"/>
      </w:numPr>
      <w:spacing w:before="100" w:beforeAutospacing="1" w:after="100" w:afterAutospacing="1" w:line="240" w:lineRule="auto"/>
      <w:jc w:val="left"/>
    </w:pPr>
    <w:rPr>
      <w:rFonts w:hAnsi="Cambria"/>
      <w:bCs w:val="0"/>
      <w:iCs/>
      <w:kern w:val="0"/>
      <w:sz w:val="30"/>
      <w:lang w:val="zh-CN"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51</Pages>
  <Words>26094</Words>
  <Characters>27697</Characters>
  <Lines>236</Lines>
  <Paragraphs>66</Paragraphs>
  <TotalTime>13</TotalTime>
  <ScaleCrop>false</ScaleCrop>
  <LinksUpToDate>false</LinksUpToDate>
  <CharactersWithSpaces>29095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2021-11-16T03:34:00Z</dcterms:created>
  <dc:creator>ANXIN</dc:creator>
  <cp:lastModifiedBy>desire1410940337</cp:lastModifiedBy>
  <cp:lastPrinted>2018-11-01T00:41:00Z</cp:lastPrinted>
  <dcterms:modified xsi:type="dcterms:W3CDTF">2022-06-17T08:16:08Z</dcterms:modified>
  <dc:title>政府采购项目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027CCDFDD9AA405780CBE9A2AE4810C5</vt:lpwstr>
  </property>
</Properties>
</file>