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auto"/>
          <w:highlight w:val="none"/>
        </w:rPr>
      </w:pPr>
    </w:p>
    <w:p>
      <w:pPr>
        <w:jc w:val="center"/>
        <w:rPr>
          <w:color w:val="auto"/>
          <w:highlight w:val="none"/>
        </w:rPr>
      </w:pPr>
    </w:p>
    <w:p>
      <w:pPr>
        <w:jc w:val="center"/>
        <w:rPr>
          <w:color w:val="auto"/>
          <w:highlight w:val="none"/>
        </w:rPr>
      </w:pPr>
      <w:r>
        <w:rPr>
          <w:rFonts w:hint="eastAsia"/>
          <w:color w:val="auto"/>
          <w:highlight w:val="none"/>
        </w:rPr>
        <w:drawing>
          <wp:anchor distT="0" distB="0" distL="114300" distR="114300" simplePos="0" relativeHeight="251661312" behindDoc="0" locked="0" layoutInCell="1" allowOverlap="1">
            <wp:simplePos x="0" y="0"/>
            <wp:positionH relativeFrom="column">
              <wp:posOffset>223520</wp:posOffset>
            </wp:positionH>
            <wp:positionV relativeFrom="paragraph">
              <wp:posOffset>201930</wp:posOffset>
            </wp:positionV>
            <wp:extent cx="5644515" cy="1443355"/>
            <wp:effectExtent l="0" t="0" r="13335" b="4445"/>
            <wp:wrapNone/>
            <wp:docPr id="5" name="图片 2" descr="ba8b8434a1eccf8278aef83974b46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ba8b8434a1eccf8278aef83974b46cd"/>
                    <pic:cNvPicPr>
                      <a:picLocks noChangeAspect="1"/>
                    </pic:cNvPicPr>
                  </pic:nvPicPr>
                  <pic:blipFill>
                    <a:blip r:embed="rId7"/>
                    <a:stretch>
                      <a:fillRect/>
                    </a:stretch>
                  </pic:blipFill>
                  <pic:spPr>
                    <a:xfrm>
                      <a:off x="0" y="0"/>
                      <a:ext cx="5644515" cy="1443355"/>
                    </a:xfrm>
                    <a:prstGeom prst="rect">
                      <a:avLst/>
                    </a:prstGeom>
                    <a:noFill/>
                    <a:ln>
                      <a:noFill/>
                    </a:ln>
                  </pic:spPr>
                </pic:pic>
              </a:graphicData>
            </a:graphic>
          </wp:anchor>
        </w:drawing>
      </w:r>
    </w:p>
    <w:p>
      <w:pPr>
        <w:pStyle w:val="6"/>
        <w:outlineLvl w:val="9"/>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spacing w:before="120" w:beforeLines="50"/>
        <w:jc w:val="center"/>
        <w:rPr>
          <w:rFonts w:ascii="宋体" w:hAnsi="宋体"/>
          <w:b/>
          <w:color w:val="auto"/>
          <w:sz w:val="72"/>
          <w:szCs w:val="72"/>
          <w:highlight w:val="none"/>
        </w:rPr>
      </w:pPr>
    </w:p>
    <w:p>
      <w:pPr>
        <w:spacing w:before="120" w:beforeLines="50" w:line="800" w:lineRule="exact"/>
        <w:jc w:val="center"/>
        <w:rPr>
          <w:rFonts w:ascii="宋体" w:hAnsi="宋体"/>
          <w:b/>
          <w:color w:val="auto"/>
          <w:sz w:val="72"/>
          <w:szCs w:val="72"/>
          <w:highlight w:val="none"/>
        </w:rPr>
      </w:pPr>
      <w:r>
        <w:rPr>
          <w:rFonts w:hint="eastAsia" w:hAnsi="宋体" w:cs="宋体"/>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227330</wp:posOffset>
                </wp:positionH>
                <wp:positionV relativeFrom="paragraph">
                  <wp:posOffset>565785</wp:posOffset>
                </wp:positionV>
                <wp:extent cx="6105525" cy="28575"/>
                <wp:effectExtent l="0" t="31750" r="9525" b="34925"/>
                <wp:wrapNone/>
                <wp:docPr id="4" name="直接箭头连接符 4"/>
                <wp:cNvGraphicFramePr/>
                <a:graphic xmlns:a="http://schemas.openxmlformats.org/drawingml/2006/main">
                  <a:graphicData uri="http://schemas.microsoft.com/office/word/2010/wordprocessingShape">
                    <wps:wsp>
                      <wps:cNvCnPr/>
                      <wps:spPr>
                        <a:xfrm>
                          <a:off x="0" y="0"/>
                          <a:ext cx="6105525" cy="28575"/>
                        </a:xfrm>
                        <a:prstGeom prst="straightConnector1">
                          <a:avLst/>
                        </a:prstGeom>
                        <a:ln w="63500" cap="flat" cmpd="tri">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9pt;margin-top:44.55pt;height:2.25pt;width:480.75pt;z-index:251660288;mso-width-relative:page;mso-height-relative:page;" filled="f" stroked="t" coordsize="21600,21600" o:gfxdata="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9SRsc2AAA&#10;AAgBAAAPAAAAAAAAAAEAIAAAACIAAABkcnMvZG93bnJldi54bWxQSwECFAAUAAAACACHTuJAAO5b&#10;OuUBAACjAwAADgAAAAAAAAABACAAAAAnAQAAZHJzL2Uyb0RvYy54bWxQSwUGAAAAAAYABgBZAQAA&#10;fgUAAAAA&#10;">
                <v:fill on="f" focussize="0,0"/>
                <v:stroke weight="5pt" color="#000000" linestyle="thickBetweenThin" joinstyle="round"/>
                <v:imagedata o:title=""/>
                <o:lock v:ext="edit" aspectratio="f"/>
              </v:shape>
            </w:pict>
          </mc:Fallback>
        </mc:AlternateContent>
      </w:r>
    </w:p>
    <w:p>
      <w:pPr>
        <w:spacing w:before="120" w:beforeLines="50" w:line="800" w:lineRule="exact"/>
        <w:jc w:val="center"/>
        <w:rPr>
          <w:rFonts w:ascii="宋体" w:hAnsi="宋体"/>
          <w:b/>
          <w:color w:val="auto"/>
          <w:sz w:val="72"/>
          <w:szCs w:val="72"/>
          <w:highlight w:val="none"/>
        </w:rPr>
      </w:pPr>
    </w:p>
    <w:p>
      <w:pPr>
        <w:spacing w:before="120" w:beforeLines="50" w:line="800" w:lineRule="exact"/>
        <w:jc w:val="center"/>
        <w:rPr>
          <w:rFonts w:ascii="宋体" w:hAnsi="宋体"/>
          <w:b/>
          <w:color w:val="auto"/>
          <w:sz w:val="72"/>
          <w:szCs w:val="72"/>
          <w:highlight w:val="none"/>
        </w:rPr>
      </w:pPr>
      <w:r>
        <w:rPr>
          <w:rFonts w:hint="eastAsia" w:ascii="宋体" w:hAnsi="宋体"/>
          <w:b/>
          <w:color w:val="auto"/>
          <w:sz w:val="72"/>
          <w:szCs w:val="72"/>
          <w:highlight w:val="none"/>
        </w:rPr>
        <w:t>公开招标文件</w:t>
      </w:r>
    </w:p>
    <w:p>
      <w:pPr>
        <w:snapToGrid w:val="0"/>
        <w:spacing w:before="120" w:beforeLines="50" w:line="500" w:lineRule="exact"/>
        <w:rPr>
          <w:rFonts w:ascii="宋体" w:hAnsi="宋体"/>
          <w:color w:val="auto"/>
          <w:highlight w:val="none"/>
        </w:rPr>
      </w:pPr>
    </w:p>
    <w:p>
      <w:pPr>
        <w:snapToGrid w:val="0"/>
        <w:spacing w:before="120" w:beforeLines="50" w:line="500" w:lineRule="exact"/>
        <w:jc w:val="center"/>
        <w:rPr>
          <w:rFonts w:ascii="宋体" w:hAnsi="宋体" w:cs="Courier New"/>
          <w:b/>
          <w:bCs/>
          <w:color w:val="auto"/>
          <w:sz w:val="30"/>
          <w:szCs w:val="30"/>
          <w:highlight w:val="none"/>
        </w:rPr>
      </w:pPr>
    </w:p>
    <w:p>
      <w:pPr>
        <w:snapToGrid w:val="0"/>
        <w:spacing w:before="120" w:beforeLines="50" w:line="500" w:lineRule="exact"/>
        <w:ind w:left="1955" w:leftChars="837" w:hanging="197" w:hangingChars="70"/>
        <w:rPr>
          <w:rFonts w:ascii="宋体" w:hAnsi="宋体" w:cs="Courier New"/>
          <w:b/>
          <w:bCs/>
          <w:color w:val="auto"/>
          <w:sz w:val="28"/>
          <w:szCs w:val="28"/>
          <w:highlight w:val="none"/>
        </w:rPr>
      </w:pPr>
      <w:r>
        <w:rPr>
          <w:rFonts w:hint="eastAsia" w:ascii="宋体" w:hAnsi="宋体" w:cs="Courier New"/>
          <w:b/>
          <w:bCs/>
          <w:color w:val="auto"/>
          <w:sz w:val="28"/>
          <w:szCs w:val="28"/>
          <w:highlight w:val="none"/>
        </w:rPr>
        <w:t>项目名称：</w:t>
      </w:r>
      <w:r>
        <w:rPr>
          <w:rFonts w:hint="eastAsia" w:ascii="宋体" w:hAnsi="宋体" w:cs="仿宋_GB2312"/>
          <w:b/>
          <w:color w:val="auto"/>
          <w:sz w:val="28"/>
          <w:szCs w:val="28"/>
          <w:highlight w:val="none"/>
        </w:rPr>
        <w:t>2020年薄改与能力提升初中信息化设备项目</w:t>
      </w:r>
    </w:p>
    <w:p>
      <w:pPr>
        <w:pStyle w:val="25"/>
        <w:snapToGrid w:val="0"/>
        <w:spacing w:before="50" w:after="120" w:line="500" w:lineRule="exact"/>
        <w:ind w:left="1955" w:leftChars="837" w:hanging="197" w:hangingChars="70"/>
        <w:rPr>
          <w:rFonts w:hAnsi="宋体"/>
          <w:b/>
          <w:bCs/>
          <w:color w:val="auto"/>
          <w:sz w:val="28"/>
          <w:szCs w:val="28"/>
          <w:highlight w:val="none"/>
        </w:rPr>
      </w:pPr>
      <w:r>
        <w:rPr>
          <w:rFonts w:hint="eastAsia" w:hAnsi="宋体"/>
          <w:b/>
          <w:bCs/>
          <w:color w:val="auto"/>
          <w:sz w:val="28"/>
          <w:szCs w:val="28"/>
          <w:highlight w:val="none"/>
        </w:rPr>
        <w:t>项目编号：GGZC2020-G1-50068-GXBS</w:t>
      </w:r>
    </w:p>
    <w:p>
      <w:pPr>
        <w:snapToGrid w:val="0"/>
        <w:spacing w:before="120" w:beforeLines="50" w:line="500" w:lineRule="exact"/>
        <w:rPr>
          <w:rFonts w:ascii="宋体" w:hAnsi="宋体" w:cs="Courier New"/>
          <w:bCs/>
          <w:color w:val="auto"/>
          <w:szCs w:val="21"/>
          <w:highlight w:val="none"/>
        </w:rPr>
      </w:pPr>
    </w:p>
    <w:p>
      <w:pPr>
        <w:snapToGrid w:val="0"/>
        <w:spacing w:before="120" w:beforeLines="50" w:line="500" w:lineRule="exact"/>
        <w:rPr>
          <w:rFonts w:ascii="宋体" w:hAnsi="宋体" w:cs="Courier New"/>
          <w:bCs/>
          <w:color w:val="auto"/>
          <w:szCs w:val="21"/>
          <w:highlight w:val="none"/>
          <w:u w:val="single"/>
        </w:rPr>
      </w:pPr>
    </w:p>
    <w:p>
      <w:pPr>
        <w:pStyle w:val="6"/>
        <w:outlineLvl w:val="9"/>
        <w:rPr>
          <w:color w:val="auto"/>
          <w:highlight w:val="none"/>
        </w:rPr>
      </w:pPr>
    </w:p>
    <w:p>
      <w:pPr>
        <w:snapToGrid w:val="0"/>
        <w:spacing w:before="120" w:beforeLines="50" w:line="360" w:lineRule="auto"/>
        <w:ind w:firstLine="1687" w:firstLineChars="600"/>
        <w:rPr>
          <w:rFonts w:ascii="宋体" w:hAnsi="宋体" w:cs="Courier New"/>
          <w:bCs/>
          <w:color w:val="auto"/>
          <w:sz w:val="28"/>
          <w:szCs w:val="28"/>
          <w:highlight w:val="none"/>
          <w:u w:val="single"/>
        </w:rPr>
      </w:pPr>
      <w:r>
        <w:rPr>
          <w:rFonts w:hint="eastAsia" w:ascii="宋体" w:hAnsi="宋体" w:cs="Courier New"/>
          <w:b/>
          <w:bCs/>
          <w:color w:val="auto"/>
          <w:sz w:val="28"/>
          <w:szCs w:val="28"/>
          <w:highlight w:val="none"/>
        </w:rPr>
        <w:t>采 购 单 位：桂平市教育局</w:t>
      </w:r>
    </w:p>
    <w:p>
      <w:pPr>
        <w:snapToGrid w:val="0"/>
        <w:spacing w:before="120" w:beforeLines="50" w:line="360" w:lineRule="auto"/>
        <w:ind w:firstLine="1687" w:firstLineChars="600"/>
        <w:rPr>
          <w:rFonts w:ascii="宋体" w:hAnsi="宋体" w:cs="Courier New"/>
          <w:b/>
          <w:bCs/>
          <w:color w:val="auto"/>
          <w:sz w:val="28"/>
          <w:szCs w:val="28"/>
          <w:highlight w:val="none"/>
        </w:rPr>
      </w:pPr>
      <w:r>
        <w:rPr>
          <w:rFonts w:hint="eastAsia" w:ascii="宋体" w:hAnsi="宋体" w:cs="Courier New"/>
          <w:b/>
          <w:bCs/>
          <w:color w:val="auto"/>
          <w:sz w:val="28"/>
          <w:szCs w:val="28"/>
          <w:highlight w:val="none"/>
        </w:rPr>
        <w:t>采购代理机构：广西宝盛工程咨询有限公司</w:t>
      </w:r>
    </w:p>
    <w:p>
      <w:pPr>
        <w:snapToGrid w:val="0"/>
        <w:spacing w:before="120" w:beforeLines="50" w:line="500" w:lineRule="exact"/>
        <w:ind w:firstLine="3373" w:firstLineChars="1200"/>
        <w:rPr>
          <w:rFonts w:ascii="仿宋_GB2312" w:hAnsi="宋体" w:eastAsia="仿宋_GB2312" w:cs="Courier New"/>
          <w:b/>
          <w:bCs/>
          <w:color w:val="auto"/>
          <w:sz w:val="30"/>
          <w:szCs w:val="30"/>
          <w:highlight w:val="none"/>
        </w:rPr>
      </w:pPr>
      <w:r>
        <w:rPr>
          <w:rFonts w:hint="eastAsia" w:ascii="宋体" w:hAnsi="宋体" w:cs="Courier New"/>
          <w:b/>
          <w:bCs/>
          <w:color w:val="auto"/>
          <w:sz w:val="28"/>
          <w:szCs w:val="28"/>
          <w:highlight w:val="none"/>
        </w:rPr>
        <w:t>2020年</w:t>
      </w:r>
      <w:r>
        <w:rPr>
          <w:rFonts w:hint="eastAsia" w:ascii="宋体" w:hAnsi="宋体" w:cs="Courier New"/>
          <w:b/>
          <w:bCs/>
          <w:color w:val="auto"/>
          <w:sz w:val="28"/>
          <w:szCs w:val="28"/>
          <w:highlight w:val="none"/>
          <w:lang w:val="en-US" w:eastAsia="zh-CN"/>
        </w:rPr>
        <w:t>5</w:t>
      </w:r>
      <w:r>
        <w:rPr>
          <w:rFonts w:hint="eastAsia" w:ascii="宋体" w:hAnsi="宋体" w:cs="Courier New"/>
          <w:b/>
          <w:bCs/>
          <w:color w:val="auto"/>
          <w:sz w:val="28"/>
          <w:szCs w:val="28"/>
          <w:highlight w:val="none"/>
        </w:rPr>
        <w:t>月</w:t>
      </w:r>
    </w:p>
    <w:p>
      <w:pPr>
        <w:rPr>
          <w:color w:val="auto"/>
          <w:highlight w:val="none"/>
        </w:rPr>
      </w:pPr>
    </w:p>
    <w:p>
      <w:pPr>
        <w:pStyle w:val="25"/>
        <w:spacing w:before="120" w:after="120" w:line="360" w:lineRule="auto"/>
        <w:jc w:val="center"/>
        <w:rPr>
          <w:rFonts w:hAnsi="宋体"/>
          <w:color w:val="auto"/>
          <w:sz w:val="44"/>
          <w:szCs w:val="44"/>
          <w:highlight w:val="none"/>
        </w:rPr>
        <w:sectPr>
          <w:pgSz w:w="11906" w:h="16838"/>
          <w:pgMar w:top="1134" w:right="1287" w:bottom="1134" w:left="1304" w:header="720" w:footer="720" w:gutter="0"/>
          <w:pgNumType w:start="0"/>
          <w:cols w:space="720" w:num="1"/>
          <w:docGrid w:linePitch="312" w:charSpace="0"/>
        </w:sectPr>
      </w:pPr>
    </w:p>
    <w:sdt>
      <w:sdtPr>
        <w:rPr>
          <w:rFonts w:ascii="宋体" w:hAnsi="宋体" w:eastAsia="宋体" w:cs="Times New Roman"/>
          <w:color w:val="auto"/>
          <w:kern w:val="2"/>
          <w:sz w:val="21"/>
          <w:szCs w:val="24"/>
          <w:highlight w:val="none"/>
          <w:lang w:val="en-US" w:eastAsia="zh-CN" w:bidi="ar-SA"/>
        </w:rPr>
        <w:id w:val="147473623"/>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b/>
              <w:bCs/>
              <w:color w:val="auto"/>
              <w:sz w:val="56"/>
              <w:szCs w:val="96"/>
              <w:highlight w:val="none"/>
            </w:rPr>
            <w:t>目录</w:t>
          </w:r>
        </w:p>
        <w:p>
          <w:pPr>
            <w:pStyle w:val="144"/>
            <w:keepNext w:val="0"/>
            <w:keepLines w:val="0"/>
            <w:pageBreakBefore w:val="0"/>
            <w:tabs>
              <w:tab w:val="right" w:leader="dot" w:pos="9315"/>
            </w:tabs>
            <w:kinsoku/>
            <w:wordWrap/>
            <w:overflowPunct/>
            <w:topLinePunct w:val="0"/>
            <w:autoSpaceDE/>
            <w:autoSpaceDN/>
            <w:bidi w:val="0"/>
            <w:adjustRightInd/>
            <w:snapToGrid/>
            <w:spacing w:line="480" w:lineRule="auto"/>
            <w:textAlignment w:val="auto"/>
            <w:rPr>
              <w:rFonts w:ascii="宋体" w:hAnsi="宋体"/>
              <w:color w:val="auto"/>
              <w:sz w:val="30"/>
              <w:highlight w:val="none"/>
            </w:rPr>
          </w:pPr>
        </w:p>
        <w:p>
          <w:pPr>
            <w:pStyle w:val="144"/>
            <w:keepNext w:val="0"/>
            <w:keepLines w:val="0"/>
            <w:pageBreakBefore w:val="0"/>
            <w:tabs>
              <w:tab w:val="right" w:leader="dot" w:pos="9315"/>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ascii="宋体" w:hAnsi="宋体"/>
              <w:color w:val="auto"/>
              <w:sz w:val="30"/>
              <w:highlight w:val="none"/>
            </w:rPr>
            <w:fldChar w:fldCharType="begin"/>
          </w:r>
          <w:r>
            <w:rPr>
              <w:rFonts w:ascii="宋体" w:hAnsi="宋体"/>
              <w:color w:val="auto"/>
              <w:sz w:val="30"/>
              <w:highlight w:val="none"/>
            </w:rPr>
            <w:instrText xml:space="preserve">TOC \o "1-1" \h \u </w:instrText>
          </w:r>
          <w:r>
            <w:rPr>
              <w:rFonts w:ascii="宋体" w:hAnsi="宋体"/>
              <w:color w:val="auto"/>
              <w:sz w:val="30"/>
              <w:highlight w:val="none"/>
            </w:rPr>
            <w:fldChar w:fldCharType="separate"/>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_Toc21267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 xml:space="preserve">第一章 </w:t>
          </w:r>
          <w:r>
            <w:rPr>
              <w:rFonts w:hint="eastAsia" w:asciiTheme="minorEastAsia" w:hAnsi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公开招标公告</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_Toc21267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2</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pPr>
            <w:pStyle w:val="144"/>
            <w:keepNext w:val="0"/>
            <w:keepLines w:val="0"/>
            <w:pageBreakBefore w:val="0"/>
            <w:tabs>
              <w:tab w:val="right" w:leader="dot" w:pos="9315"/>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_Toc32204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第二章  货物采购需求</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_Toc32204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4</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pPr>
            <w:pStyle w:val="144"/>
            <w:keepNext w:val="0"/>
            <w:keepLines w:val="0"/>
            <w:pageBreakBefore w:val="0"/>
            <w:tabs>
              <w:tab w:val="right" w:leader="dot" w:pos="9315"/>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_Toc20535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第三章  投标人须知</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_Toc20535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30</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pPr>
            <w:pStyle w:val="144"/>
            <w:keepNext w:val="0"/>
            <w:keepLines w:val="0"/>
            <w:pageBreakBefore w:val="0"/>
            <w:tabs>
              <w:tab w:val="right" w:leader="dot" w:pos="9315"/>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_Toc1024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第四章  评标办法及评标标准</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_Toc1024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41</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pPr>
            <w:pStyle w:val="144"/>
            <w:keepNext w:val="0"/>
            <w:keepLines w:val="0"/>
            <w:pageBreakBefore w:val="0"/>
            <w:tabs>
              <w:tab w:val="right" w:leader="dot" w:pos="9315"/>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_Toc5574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 xml:space="preserve">第五章 </w:t>
          </w:r>
          <w:r>
            <w:rPr>
              <w:rFonts w:hint="eastAsia" w:asciiTheme="minorEastAsia" w:hAnsi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合同主要条款格式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_Toc5574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44</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pPr>
            <w:pStyle w:val="144"/>
            <w:keepNext w:val="0"/>
            <w:keepLines w:val="0"/>
            <w:pageBreakBefore w:val="0"/>
            <w:tabs>
              <w:tab w:val="right" w:leader="dot" w:pos="9315"/>
            </w:tabs>
            <w:kinsoku/>
            <w:wordWrap/>
            <w:overflowPunct/>
            <w:topLinePunct w:val="0"/>
            <w:autoSpaceDE/>
            <w:autoSpaceDN/>
            <w:bidi w:val="0"/>
            <w:adjustRightInd/>
            <w:snapToGrid/>
            <w:spacing w:line="480" w:lineRule="auto"/>
            <w:textAlignment w:val="auto"/>
            <w:rPr>
              <w:rFonts w:hint="eastAsia" w:ascii="黑体" w:hAnsi="黑体" w:eastAsia="黑体" w:cs="黑体"/>
              <w:color w:val="auto"/>
              <w:sz w:val="36"/>
              <w:szCs w:val="36"/>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_Toc28698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第六章　投标文件格式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PAGEREF _Toc28698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50</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pPr>
            <w:keepNext w:val="0"/>
            <w:keepLines w:val="0"/>
            <w:pageBreakBefore w:val="0"/>
            <w:kinsoku/>
            <w:wordWrap/>
            <w:overflowPunct/>
            <w:topLinePunct w:val="0"/>
            <w:autoSpaceDE/>
            <w:autoSpaceDN/>
            <w:bidi w:val="0"/>
            <w:adjustRightInd/>
            <w:snapToGrid/>
            <w:spacing w:before="120" w:beforeLines="50" w:line="480" w:lineRule="auto"/>
            <w:textAlignment w:val="auto"/>
            <w:rPr>
              <w:rFonts w:ascii="宋体" w:hAnsi="宋体"/>
              <w:color w:val="auto"/>
              <w:sz w:val="30"/>
              <w:highlight w:val="none"/>
            </w:rPr>
          </w:pPr>
          <w:r>
            <w:rPr>
              <w:rFonts w:ascii="宋体" w:hAnsi="宋体"/>
              <w:color w:val="auto"/>
              <w:highlight w:val="none"/>
            </w:rPr>
            <w:fldChar w:fldCharType="end"/>
          </w:r>
        </w:p>
      </w:sdtContent>
    </w:sdt>
    <w:p>
      <w:pPr>
        <w:spacing w:before="120" w:beforeLines="50" w:line="480" w:lineRule="exact"/>
        <w:rPr>
          <w:rFonts w:ascii="宋体" w:hAnsi="宋体"/>
          <w:color w:val="auto"/>
          <w:sz w:val="30"/>
          <w:highlight w:val="none"/>
        </w:rPr>
      </w:pPr>
    </w:p>
    <w:p>
      <w:pPr>
        <w:spacing w:before="120" w:beforeLines="50" w:line="480" w:lineRule="exact"/>
        <w:rPr>
          <w:rFonts w:ascii="宋体" w:hAnsi="宋体"/>
          <w:color w:val="auto"/>
          <w:sz w:val="30"/>
          <w:highlight w:val="none"/>
        </w:rPr>
      </w:pPr>
    </w:p>
    <w:p>
      <w:pPr>
        <w:spacing w:before="120" w:beforeLines="50" w:line="480" w:lineRule="exact"/>
        <w:rPr>
          <w:rFonts w:ascii="宋体" w:hAnsi="宋体"/>
          <w:color w:val="auto"/>
          <w:sz w:val="30"/>
          <w:highlight w:val="none"/>
        </w:rPr>
      </w:pPr>
    </w:p>
    <w:p>
      <w:pPr>
        <w:pStyle w:val="25"/>
        <w:snapToGrid w:val="0"/>
        <w:spacing w:before="120" w:after="120" w:line="360" w:lineRule="auto"/>
        <w:outlineLvl w:val="9"/>
        <w:rPr>
          <w:rFonts w:hAnsi="宋体"/>
          <w:b/>
          <w:color w:val="auto"/>
          <w:sz w:val="32"/>
          <w:szCs w:val="32"/>
          <w:highlight w:val="none"/>
        </w:rPr>
      </w:pPr>
      <w:bookmarkStart w:id="0" w:name="_Toc254970489"/>
      <w:bookmarkStart w:id="1" w:name="_Toc254970630"/>
    </w:p>
    <w:p>
      <w:pPr>
        <w:pStyle w:val="25"/>
        <w:snapToGrid w:val="0"/>
        <w:spacing w:before="120" w:after="120" w:line="360" w:lineRule="auto"/>
        <w:outlineLvl w:val="9"/>
        <w:rPr>
          <w:rFonts w:hAnsi="宋体"/>
          <w:b/>
          <w:color w:val="auto"/>
          <w:sz w:val="32"/>
          <w:szCs w:val="32"/>
          <w:highlight w:val="none"/>
        </w:rPr>
      </w:pPr>
    </w:p>
    <w:p>
      <w:pPr>
        <w:pStyle w:val="25"/>
        <w:snapToGrid w:val="0"/>
        <w:spacing w:before="120" w:after="120" w:line="360" w:lineRule="auto"/>
        <w:outlineLvl w:val="9"/>
        <w:rPr>
          <w:rFonts w:hAnsi="宋体"/>
          <w:b/>
          <w:color w:val="auto"/>
          <w:sz w:val="32"/>
          <w:szCs w:val="32"/>
          <w:highlight w:val="none"/>
        </w:rPr>
        <w:sectPr>
          <w:headerReference r:id="rId3" w:type="default"/>
          <w:footerReference r:id="rId4" w:type="default"/>
          <w:pgSz w:w="11906" w:h="16838"/>
          <w:pgMar w:top="1134" w:right="1287" w:bottom="1134" w:left="1304" w:header="720" w:footer="720" w:gutter="0"/>
          <w:pgNumType w:start="1"/>
          <w:cols w:space="720" w:num="1"/>
          <w:docGrid w:linePitch="312" w:charSpace="0"/>
        </w:sectPr>
      </w:pPr>
    </w:p>
    <w:p>
      <w:pPr>
        <w:pStyle w:val="3"/>
        <w:numPr>
          <w:ilvl w:val="0"/>
          <w:numId w:val="1"/>
        </w:numPr>
        <w:spacing w:line="600" w:lineRule="exact"/>
        <w:rPr>
          <w:color w:val="auto"/>
          <w:highlight w:val="none"/>
        </w:rPr>
      </w:pPr>
      <w:r>
        <w:rPr>
          <w:rFonts w:hint="eastAsia"/>
          <w:color w:val="auto"/>
          <w:highlight w:val="none"/>
        </w:rPr>
        <w:t xml:space="preserve"> </w:t>
      </w:r>
      <w:bookmarkEnd w:id="0"/>
      <w:bookmarkEnd w:id="1"/>
      <w:bookmarkStart w:id="2" w:name="_Toc19790_WPSOffice_Level1"/>
      <w:bookmarkStart w:id="3" w:name="_Toc21267"/>
      <w:r>
        <w:rPr>
          <w:rFonts w:hint="eastAsia"/>
          <w:color w:val="auto"/>
          <w:highlight w:val="none"/>
        </w:rPr>
        <w:t>公开招标公告</w:t>
      </w:r>
      <w:bookmarkEnd w:id="2"/>
      <w:bookmarkEnd w:id="3"/>
    </w:p>
    <w:p>
      <w:pPr>
        <w:snapToGrid w:val="0"/>
        <w:spacing w:line="560" w:lineRule="exact"/>
        <w:ind w:firstLine="602" w:firstLineChars="200"/>
        <w:jc w:val="center"/>
        <w:rPr>
          <w:rFonts w:ascii="宋体" w:hAnsi="宋体"/>
          <w:b/>
          <w:color w:val="auto"/>
          <w:kern w:val="0"/>
          <w:sz w:val="28"/>
          <w:szCs w:val="28"/>
          <w:highlight w:val="none"/>
        </w:rPr>
      </w:pPr>
      <w:r>
        <w:rPr>
          <w:rFonts w:hint="eastAsia" w:hAnsi="宋体" w:cs="Courier New"/>
          <w:b/>
          <w:color w:val="auto"/>
          <w:sz w:val="30"/>
          <w:szCs w:val="30"/>
          <w:highlight w:val="none"/>
        </w:rPr>
        <w:t>广西宝盛工程咨询有限公司</w:t>
      </w:r>
      <w:r>
        <w:rPr>
          <w:rFonts w:hint="eastAsia" w:ascii="宋体" w:hAnsi="宋体"/>
          <w:b/>
          <w:color w:val="auto"/>
          <w:kern w:val="0"/>
          <w:sz w:val="30"/>
          <w:szCs w:val="30"/>
          <w:highlight w:val="none"/>
        </w:rPr>
        <w:t>2020年薄改与能力提升初中信息化设备项目</w:t>
      </w:r>
      <w:r>
        <w:rPr>
          <w:rFonts w:hint="eastAsia" w:ascii="宋体" w:hAnsi="宋体"/>
          <w:b/>
          <w:color w:val="auto"/>
          <w:kern w:val="0"/>
          <w:sz w:val="28"/>
          <w:szCs w:val="28"/>
          <w:highlight w:val="none"/>
        </w:rPr>
        <w:t>（项目编号：GGZC2020-G1-50068-GXBS ）公开招标公告</w:t>
      </w:r>
    </w:p>
    <w:p>
      <w:pPr>
        <w:snapToGrid w:val="0"/>
        <w:spacing w:line="560" w:lineRule="exact"/>
        <w:ind w:firstLine="578" w:firstLineChars="274"/>
        <w:jc w:val="center"/>
        <w:rPr>
          <w:rFonts w:ascii="宋体" w:hAnsi="宋体"/>
          <w:b/>
          <w:color w:val="auto"/>
          <w:kern w:val="0"/>
          <w:szCs w:val="21"/>
          <w:highlight w:val="none"/>
        </w:rPr>
      </w:pPr>
    </w:p>
    <w:p>
      <w:pPr>
        <w:snapToGrid w:val="0"/>
        <w:spacing w:line="360" w:lineRule="auto"/>
        <w:ind w:firstLine="575" w:firstLineChars="274"/>
        <w:rPr>
          <w:rFonts w:ascii="宋体" w:hAnsi="宋体"/>
          <w:b/>
          <w:bCs/>
          <w:color w:val="auto"/>
          <w:kern w:val="0"/>
          <w:szCs w:val="21"/>
          <w:highlight w:val="none"/>
          <w:u w:val="single"/>
        </w:rPr>
      </w:pPr>
      <w:r>
        <w:rPr>
          <w:rFonts w:hint="eastAsia" w:ascii="宋体" w:hAnsi="宋体"/>
          <w:color w:val="auto"/>
          <w:kern w:val="0"/>
          <w:szCs w:val="21"/>
          <w:highlight w:val="none"/>
          <w:u w:val="single"/>
        </w:rPr>
        <w:t>广西宝盛工程咨询有限公司</w:t>
      </w:r>
      <w:r>
        <w:rPr>
          <w:rFonts w:hint="eastAsia" w:ascii="宋体" w:hAnsi="宋体"/>
          <w:color w:val="auto"/>
          <w:kern w:val="0"/>
          <w:szCs w:val="21"/>
          <w:highlight w:val="none"/>
        </w:rPr>
        <w:t>受</w:t>
      </w:r>
      <w:r>
        <w:rPr>
          <w:rFonts w:hint="eastAsia" w:ascii="宋体" w:hAnsi="宋体"/>
          <w:bCs/>
          <w:color w:val="auto"/>
          <w:kern w:val="0"/>
          <w:szCs w:val="21"/>
          <w:highlight w:val="none"/>
          <w:u w:val="single"/>
        </w:rPr>
        <w:t>桂平市教育局</w:t>
      </w:r>
      <w:r>
        <w:rPr>
          <w:rFonts w:hint="eastAsia" w:ascii="宋体" w:hAnsi="宋体"/>
          <w:color w:val="auto"/>
          <w:kern w:val="0"/>
          <w:szCs w:val="21"/>
          <w:highlight w:val="none"/>
        </w:rPr>
        <w:t>的委托，现对</w:t>
      </w:r>
      <w:r>
        <w:rPr>
          <w:rFonts w:hint="eastAsia" w:ascii="宋体" w:hAnsi="宋体"/>
          <w:color w:val="auto"/>
          <w:kern w:val="0"/>
          <w:szCs w:val="21"/>
          <w:highlight w:val="none"/>
          <w:u w:val="single"/>
        </w:rPr>
        <w:t>2020年薄改与能力提升初中信息化设备项目</w:t>
      </w:r>
      <w:r>
        <w:rPr>
          <w:rFonts w:hint="eastAsia" w:ascii="宋体" w:hAnsi="宋体"/>
          <w:color w:val="auto"/>
          <w:kern w:val="0"/>
          <w:szCs w:val="21"/>
          <w:highlight w:val="none"/>
        </w:rPr>
        <w:t>进行公开招标，项目资金来源为</w:t>
      </w:r>
      <w:r>
        <w:rPr>
          <w:rFonts w:hint="eastAsia" w:ascii="宋体" w:hAnsi="宋体"/>
          <w:color w:val="auto"/>
          <w:kern w:val="0"/>
          <w:szCs w:val="21"/>
          <w:highlight w:val="none"/>
          <w:u w:val="single"/>
        </w:rPr>
        <w:t xml:space="preserve"> 上级资金 </w:t>
      </w:r>
      <w:r>
        <w:rPr>
          <w:rFonts w:hint="eastAsia" w:ascii="宋体" w:hAnsi="宋体"/>
          <w:color w:val="auto"/>
          <w:kern w:val="0"/>
          <w:szCs w:val="21"/>
          <w:highlight w:val="none"/>
        </w:rPr>
        <w:t>，出资比例为</w:t>
      </w:r>
      <w:r>
        <w:rPr>
          <w:rFonts w:hint="eastAsia" w:ascii="宋体" w:hAnsi="宋体"/>
          <w:color w:val="auto"/>
          <w:kern w:val="0"/>
          <w:szCs w:val="21"/>
          <w:highlight w:val="none"/>
          <w:u w:val="single"/>
        </w:rPr>
        <w:t>100</w:t>
      </w:r>
      <w:r>
        <w:rPr>
          <w:rFonts w:hint="eastAsia" w:ascii="宋体" w:hAnsi="宋体"/>
          <w:color w:val="auto"/>
          <w:kern w:val="0"/>
          <w:szCs w:val="21"/>
          <w:highlight w:val="none"/>
        </w:rPr>
        <w:t>%，项目已具备招标条件。现将本次公开招标有关事项公告如下。</w:t>
      </w:r>
    </w:p>
    <w:p>
      <w:pPr>
        <w:numPr>
          <w:ilvl w:val="0"/>
          <w:numId w:val="2"/>
        </w:numPr>
        <w:snapToGrid w:val="0"/>
        <w:spacing w:line="360" w:lineRule="auto"/>
        <w:ind w:firstLine="578" w:firstLineChars="274"/>
        <w:rPr>
          <w:rFonts w:ascii="宋体" w:hAnsi="宋体"/>
          <w:bCs/>
          <w:color w:val="auto"/>
          <w:kern w:val="0"/>
          <w:szCs w:val="21"/>
          <w:highlight w:val="none"/>
          <w:u w:val="single"/>
        </w:rPr>
      </w:pPr>
      <w:r>
        <w:rPr>
          <w:rFonts w:hint="eastAsia" w:ascii="宋体" w:hAnsi="宋体"/>
          <w:b/>
          <w:color w:val="auto"/>
          <w:kern w:val="0"/>
          <w:szCs w:val="21"/>
          <w:highlight w:val="none"/>
        </w:rPr>
        <w:t>项目名称：</w:t>
      </w:r>
      <w:r>
        <w:rPr>
          <w:rFonts w:hint="eastAsia" w:ascii="宋体" w:hAnsi="宋体"/>
          <w:bCs/>
          <w:color w:val="auto"/>
          <w:kern w:val="0"/>
          <w:szCs w:val="21"/>
          <w:highlight w:val="none"/>
          <w:u w:val="single"/>
        </w:rPr>
        <w:t>2020年薄改与能力提升初中信息化设备项目</w:t>
      </w:r>
    </w:p>
    <w:p>
      <w:pPr>
        <w:numPr>
          <w:ilvl w:val="0"/>
          <w:numId w:val="2"/>
        </w:numPr>
        <w:snapToGrid w:val="0"/>
        <w:spacing w:line="360" w:lineRule="auto"/>
        <w:ind w:firstLine="578" w:firstLineChars="274"/>
        <w:rPr>
          <w:rFonts w:ascii="宋体" w:hAnsi="宋体"/>
          <w:bCs/>
          <w:color w:val="auto"/>
          <w:kern w:val="0"/>
          <w:szCs w:val="21"/>
          <w:highlight w:val="none"/>
          <w:u w:val="single"/>
        </w:rPr>
      </w:pPr>
      <w:r>
        <w:rPr>
          <w:rFonts w:hint="eastAsia" w:ascii="宋体" w:hAnsi="宋体"/>
          <w:b/>
          <w:color w:val="auto"/>
          <w:kern w:val="0"/>
          <w:szCs w:val="21"/>
          <w:highlight w:val="none"/>
        </w:rPr>
        <w:t>项目编号：</w:t>
      </w:r>
      <w:r>
        <w:rPr>
          <w:rFonts w:hint="eastAsia" w:ascii="宋体" w:hAnsi="宋体"/>
          <w:bCs/>
          <w:color w:val="auto"/>
          <w:kern w:val="0"/>
          <w:szCs w:val="21"/>
          <w:highlight w:val="none"/>
          <w:u w:val="single"/>
        </w:rPr>
        <w:t>GGZC2020-G1-50068-GXBS</w:t>
      </w:r>
    </w:p>
    <w:p>
      <w:pPr>
        <w:snapToGrid w:val="0"/>
        <w:spacing w:line="360" w:lineRule="auto"/>
        <w:ind w:firstLine="578" w:firstLineChars="274"/>
        <w:rPr>
          <w:rFonts w:ascii="宋体" w:hAnsi="宋体"/>
          <w:color w:val="auto"/>
          <w:kern w:val="0"/>
          <w:szCs w:val="21"/>
          <w:highlight w:val="none"/>
        </w:rPr>
      </w:pPr>
      <w:r>
        <w:rPr>
          <w:rFonts w:hint="eastAsia" w:ascii="宋体" w:hAnsi="宋体"/>
          <w:b/>
          <w:color w:val="auto"/>
          <w:kern w:val="0"/>
          <w:szCs w:val="21"/>
          <w:highlight w:val="none"/>
        </w:rPr>
        <w:t>三、项目内容：</w:t>
      </w:r>
      <w:r>
        <w:rPr>
          <w:rFonts w:hint="eastAsia" w:ascii="宋体" w:hAnsi="宋体"/>
          <w:bCs/>
          <w:color w:val="auto"/>
          <w:kern w:val="0"/>
          <w:szCs w:val="21"/>
          <w:highlight w:val="none"/>
          <w:u w:val="single"/>
        </w:rPr>
        <w:t>2020年薄改与能力提升初中信息化设备项目一批</w:t>
      </w:r>
      <w:r>
        <w:rPr>
          <w:rFonts w:hint="eastAsia" w:ascii="宋体" w:hAnsi="宋体"/>
          <w:bCs/>
          <w:color w:val="auto"/>
          <w:kern w:val="0"/>
          <w:szCs w:val="21"/>
          <w:highlight w:val="none"/>
        </w:rPr>
        <w:t>，A标段：安装至桂平市木乐镇第一初级中学等22间学校；B标段：安装至桂平市厚禄乡第二初级中学等18间学校。</w:t>
      </w:r>
      <w:r>
        <w:rPr>
          <w:rFonts w:hint="eastAsia" w:ascii="宋体" w:hAnsi="宋体"/>
          <w:b/>
          <w:color w:val="auto"/>
          <w:kern w:val="0"/>
          <w:szCs w:val="21"/>
          <w:highlight w:val="none"/>
        </w:rPr>
        <w:t xml:space="preserve"> </w:t>
      </w:r>
      <w:r>
        <w:rPr>
          <w:rFonts w:hint="eastAsia" w:ascii="宋体" w:hAnsi="宋体"/>
          <w:color w:val="auto"/>
          <w:kern w:val="0"/>
          <w:szCs w:val="21"/>
          <w:highlight w:val="none"/>
        </w:rPr>
        <w:t>如需进一步了解详细内容，详见招标文件。</w:t>
      </w:r>
    </w:p>
    <w:p>
      <w:pPr>
        <w:snapToGrid w:val="0"/>
        <w:spacing w:line="360" w:lineRule="auto"/>
        <w:ind w:firstLine="578" w:firstLineChars="274"/>
        <w:rPr>
          <w:rFonts w:ascii="宋体" w:hAnsi="宋体"/>
          <w:b/>
          <w:bCs/>
          <w:color w:val="auto"/>
          <w:kern w:val="0"/>
          <w:szCs w:val="21"/>
          <w:highlight w:val="none"/>
          <w:u w:val="single"/>
        </w:rPr>
      </w:pPr>
      <w:r>
        <w:rPr>
          <w:rFonts w:hint="eastAsia" w:ascii="宋体" w:hAnsi="宋体"/>
          <w:b/>
          <w:color w:val="auto"/>
          <w:kern w:val="0"/>
          <w:szCs w:val="21"/>
          <w:highlight w:val="none"/>
        </w:rPr>
        <w:t>四、预算金额（人民币）：</w:t>
      </w:r>
      <w:r>
        <w:rPr>
          <w:rFonts w:hint="eastAsia" w:ascii="宋体" w:hAnsi="宋体"/>
          <w:bCs/>
          <w:color w:val="auto"/>
          <w:kern w:val="0"/>
          <w:szCs w:val="21"/>
          <w:highlight w:val="none"/>
        </w:rPr>
        <w:t>总金额：肆佰陆拾捌万元整（￥4680000.00），A标段：贰佰肆拾陆万元整（￥2460000.00），B标段：贰佰贰拾贰万元整（￥2220000.00）</w:t>
      </w:r>
      <w:r>
        <w:rPr>
          <w:rFonts w:hint="eastAsia" w:ascii="宋体" w:hAnsi="宋体"/>
          <w:color w:val="auto"/>
          <w:kern w:val="0"/>
          <w:szCs w:val="21"/>
          <w:highlight w:val="none"/>
        </w:rPr>
        <w:t>。</w:t>
      </w:r>
    </w:p>
    <w:p>
      <w:pPr>
        <w:snapToGrid w:val="0"/>
        <w:spacing w:line="360" w:lineRule="auto"/>
        <w:ind w:firstLine="578" w:firstLineChars="274"/>
        <w:rPr>
          <w:rFonts w:ascii="宋体" w:hAnsi="宋体"/>
          <w:b/>
          <w:color w:val="auto"/>
          <w:kern w:val="0"/>
          <w:szCs w:val="21"/>
          <w:highlight w:val="none"/>
        </w:rPr>
      </w:pPr>
      <w:r>
        <w:rPr>
          <w:rFonts w:hint="eastAsia" w:ascii="宋体" w:hAnsi="宋体"/>
          <w:b/>
          <w:color w:val="auto"/>
          <w:kern w:val="0"/>
          <w:szCs w:val="21"/>
          <w:highlight w:val="none"/>
        </w:rPr>
        <w:t>五、本项目需要落实的相关政策：</w:t>
      </w:r>
    </w:p>
    <w:p>
      <w:pPr>
        <w:snapToGrid w:val="0"/>
        <w:spacing w:line="360" w:lineRule="auto"/>
        <w:ind w:firstLine="575" w:firstLineChars="274"/>
        <w:rPr>
          <w:rFonts w:ascii="宋体" w:hAnsi="宋体"/>
          <w:color w:val="auto"/>
          <w:kern w:val="0"/>
          <w:szCs w:val="21"/>
          <w:highlight w:val="none"/>
        </w:rPr>
      </w:pPr>
      <w:r>
        <w:rPr>
          <w:rFonts w:hint="eastAsia" w:ascii="宋体" w:hAnsi="宋体"/>
          <w:color w:val="auto"/>
          <w:kern w:val="0"/>
          <w:szCs w:val="21"/>
          <w:highlight w:val="none"/>
        </w:rPr>
        <w:t>1、《政府采购促进中小企业发展暂行办法》（财库[2011]181号）；</w:t>
      </w:r>
    </w:p>
    <w:p>
      <w:pPr>
        <w:snapToGrid w:val="0"/>
        <w:spacing w:line="360" w:lineRule="auto"/>
        <w:ind w:firstLine="575" w:firstLineChars="274"/>
        <w:rPr>
          <w:rFonts w:ascii="宋体" w:hAnsi="宋体"/>
          <w:color w:val="auto"/>
          <w:kern w:val="0"/>
          <w:szCs w:val="21"/>
          <w:highlight w:val="none"/>
        </w:rPr>
      </w:pPr>
      <w:r>
        <w:rPr>
          <w:rFonts w:hint="eastAsia" w:ascii="宋体" w:hAnsi="宋体"/>
          <w:color w:val="auto"/>
          <w:kern w:val="0"/>
          <w:szCs w:val="21"/>
          <w:highlight w:val="none"/>
        </w:rPr>
        <w:t>2、《财政部、司法部关于政府采购支持监狱企业发展有关问题的通知》（财库〔2014〕68号）；</w:t>
      </w:r>
    </w:p>
    <w:p>
      <w:pPr>
        <w:snapToGrid w:val="0"/>
        <w:spacing w:line="360" w:lineRule="auto"/>
        <w:ind w:firstLine="575" w:firstLineChars="274"/>
        <w:rPr>
          <w:rFonts w:ascii="宋体" w:hAnsi="宋体"/>
          <w:color w:val="auto"/>
          <w:kern w:val="0"/>
          <w:szCs w:val="21"/>
          <w:highlight w:val="none"/>
        </w:rPr>
      </w:pPr>
      <w:r>
        <w:rPr>
          <w:rFonts w:hint="eastAsia" w:ascii="宋体" w:hAnsi="宋体"/>
          <w:color w:val="auto"/>
          <w:kern w:val="0"/>
          <w:szCs w:val="21"/>
          <w:highlight w:val="none"/>
        </w:rPr>
        <w:t>3、《三部门联合发布关于促进残疾人就业政府采购政策的通知》（财库〔2017〕141号）；</w:t>
      </w:r>
    </w:p>
    <w:p>
      <w:pPr>
        <w:snapToGrid w:val="0"/>
        <w:spacing w:line="360" w:lineRule="auto"/>
        <w:ind w:firstLine="575" w:firstLineChars="274"/>
        <w:rPr>
          <w:rFonts w:ascii="宋体" w:hAnsi="宋体"/>
          <w:color w:val="auto"/>
          <w:kern w:val="0"/>
          <w:szCs w:val="21"/>
          <w:highlight w:val="none"/>
        </w:rPr>
      </w:pPr>
      <w:r>
        <w:rPr>
          <w:rFonts w:hint="eastAsia" w:ascii="宋体" w:hAnsi="宋体"/>
          <w:color w:val="auto"/>
          <w:kern w:val="0"/>
          <w:szCs w:val="21"/>
          <w:highlight w:val="none"/>
        </w:rPr>
        <w:t>4、财政部《关于印发环境标志产品政府采购品目清单的通知》（财库[2019]18号）；</w:t>
      </w:r>
    </w:p>
    <w:p>
      <w:pPr>
        <w:snapToGrid w:val="0"/>
        <w:spacing w:line="360" w:lineRule="auto"/>
        <w:ind w:firstLine="575" w:firstLineChars="274"/>
        <w:rPr>
          <w:rFonts w:ascii="宋体" w:hAnsi="宋体"/>
          <w:color w:val="auto"/>
          <w:kern w:val="0"/>
          <w:szCs w:val="21"/>
          <w:highlight w:val="none"/>
        </w:rPr>
      </w:pPr>
      <w:r>
        <w:rPr>
          <w:rFonts w:hint="eastAsia" w:ascii="宋体" w:hAnsi="宋体"/>
          <w:color w:val="auto"/>
          <w:kern w:val="0"/>
          <w:szCs w:val="21"/>
          <w:highlight w:val="none"/>
        </w:rPr>
        <w:t>5、财政部国家发展改革委《关于印发节能产品政府采购品目清单的通知》（财库[2019]19号）；</w:t>
      </w:r>
    </w:p>
    <w:p>
      <w:pPr>
        <w:snapToGrid w:val="0"/>
        <w:spacing w:line="360" w:lineRule="auto"/>
        <w:ind w:firstLine="575" w:firstLineChars="274"/>
        <w:rPr>
          <w:rFonts w:ascii="宋体" w:hAnsi="宋体"/>
          <w:color w:val="auto"/>
          <w:kern w:val="0"/>
          <w:szCs w:val="21"/>
          <w:highlight w:val="none"/>
        </w:rPr>
      </w:pPr>
      <w:r>
        <w:rPr>
          <w:rFonts w:hint="eastAsia" w:ascii="宋体" w:hAnsi="宋体"/>
          <w:color w:val="auto"/>
          <w:kern w:val="0"/>
          <w:szCs w:val="21"/>
          <w:highlight w:val="none"/>
        </w:rPr>
        <w:t>6、《关于我区政府采购支持监狱企业发展有关问题的通知》（桂财采[2015]24号）；</w:t>
      </w:r>
    </w:p>
    <w:p>
      <w:pPr>
        <w:snapToGrid w:val="0"/>
        <w:spacing w:line="360" w:lineRule="auto"/>
        <w:ind w:firstLine="575" w:firstLineChars="274"/>
        <w:rPr>
          <w:rFonts w:ascii="宋体" w:hAnsi="宋体"/>
          <w:color w:val="auto"/>
          <w:kern w:val="0"/>
          <w:szCs w:val="21"/>
          <w:highlight w:val="none"/>
        </w:rPr>
      </w:pPr>
      <w:r>
        <w:rPr>
          <w:rFonts w:hint="eastAsia" w:ascii="宋体" w:hAnsi="宋体"/>
          <w:color w:val="auto"/>
          <w:kern w:val="0"/>
          <w:szCs w:val="21"/>
          <w:highlight w:val="none"/>
        </w:rPr>
        <w:t>7、《招标采购促进广西工业产品产销对接实施细则》（桂政办发[2015]78号）等政府采购相关政策。</w:t>
      </w:r>
    </w:p>
    <w:p>
      <w:pPr>
        <w:snapToGrid w:val="0"/>
        <w:spacing w:line="360" w:lineRule="auto"/>
        <w:ind w:firstLine="578" w:firstLineChars="274"/>
        <w:rPr>
          <w:rFonts w:ascii="宋体" w:hAnsi="宋体"/>
          <w:b/>
          <w:color w:val="auto"/>
          <w:kern w:val="0"/>
          <w:szCs w:val="21"/>
          <w:highlight w:val="none"/>
        </w:rPr>
      </w:pPr>
      <w:r>
        <w:rPr>
          <w:rFonts w:hint="eastAsia" w:ascii="宋体" w:hAnsi="宋体"/>
          <w:b/>
          <w:color w:val="auto"/>
          <w:kern w:val="0"/>
          <w:szCs w:val="21"/>
          <w:highlight w:val="none"/>
        </w:rPr>
        <w:t>六、合格投标人的资格要求</w:t>
      </w:r>
    </w:p>
    <w:p>
      <w:pPr>
        <w:snapToGrid w:val="0"/>
        <w:spacing w:line="360" w:lineRule="auto"/>
        <w:ind w:firstLine="575" w:firstLineChars="274"/>
        <w:rPr>
          <w:rFonts w:ascii="宋体" w:hAnsi="宋体"/>
          <w:color w:val="auto"/>
          <w:kern w:val="0"/>
          <w:szCs w:val="21"/>
          <w:highlight w:val="none"/>
        </w:rPr>
      </w:pPr>
      <w:r>
        <w:rPr>
          <w:rFonts w:hint="eastAsia" w:ascii="宋体" w:hAnsi="宋体"/>
          <w:color w:val="auto"/>
          <w:kern w:val="0"/>
          <w:szCs w:val="21"/>
          <w:highlight w:val="none"/>
        </w:rPr>
        <w:t>1、要求符合《中华人民共和国政府采购法》第二十二条的规定;</w:t>
      </w:r>
    </w:p>
    <w:p>
      <w:pPr>
        <w:snapToGrid w:val="0"/>
        <w:spacing w:line="360" w:lineRule="auto"/>
        <w:ind w:firstLine="575" w:firstLineChars="274"/>
        <w:rPr>
          <w:rFonts w:ascii="宋体" w:hAnsi="宋体"/>
          <w:color w:val="auto"/>
          <w:kern w:val="0"/>
          <w:szCs w:val="21"/>
          <w:highlight w:val="none"/>
        </w:rPr>
      </w:pPr>
      <w:r>
        <w:rPr>
          <w:rFonts w:hint="eastAsia" w:ascii="宋体" w:hAnsi="宋体"/>
          <w:color w:val="auto"/>
          <w:kern w:val="0"/>
          <w:szCs w:val="21"/>
          <w:highlight w:val="none"/>
        </w:rPr>
        <w:t>2、国内注册（指按国家有关规定要求注册的），生产或经营本次采购货物，并在人员、设备、资金、 专业技术能力等方面具有相应的能力，且具备独立法人资格的供应商；</w:t>
      </w:r>
    </w:p>
    <w:p>
      <w:pPr>
        <w:snapToGrid w:val="0"/>
        <w:spacing w:line="360" w:lineRule="auto"/>
        <w:ind w:firstLine="575" w:firstLineChars="274"/>
        <w:rPr>
          <w:rFonts w:ascii="宋体" w:hAnsi="宋体"/>
          <w:bCs/>
          <w:color w:val="auto"/>
          <w:kern w:val="0"/>
          <w:szCs w:val="21"/>
          <w:highlight w:val="none"/>
        </w:rPr>
      </w:pPr>
      <w:r>
        <w:rPr>
          <w:rFonts w:hint="eastAsia" w:ascii="宋体" w:hAnsi="宋体"/>
          <w:bCs/>
          <w:color w:val="auto"/>
          <w:kern w:val="0"/>
          <w:szCs w:val="21"/>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auto"/>
        <w:ind w:firstLine="575" w:firstLineChars="274"/>
        <w:rPr>
          <w:rFonts w:ascii="宋体" w:hAnsi="宋体"/>
          <w:bCs/>
          <w:color w:val="auto"/>
          <w:kern w:val="0"/>
          <w:szCs w:val="21"/>
          <w:highlight w:val="none"/>
        </w:rPr>
      </w:pPr>
      <w:r>
        <w:rPr>
          <w:rFonts w:hint="eastAsia" w:ascii="宋体" w:hAnsi="宋体"/>
          <w:bCs/>
          <w:color w:val="auto"/>
          <w:kern w:val="0"/>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60" w:lineRule="auto"/>
        <w:ind w:firstLine="575" w:firstLineChars="274"/>
        <w:rPr>
          <w:rFonts w:ascii="宋体" w:hAnsi="宋体"/>
          <w:bCs/>
          <w:color w:val="auto"/>
          <w:kern w:val="0"/>
          <w:szCs w:val="21"/>
          <w:highlight w:val="none"/>
        </w:rPr>
      </w:pPr>
      <w:r>
        <w:rPr>
          <w:rFonts w:hint="eastAsia" w:ascii="宋体" w:hAnsi="宋体"/>
          <w:bCs/>
          <w:color w:val="auto"/>
          <w:kern w:val="0"/>
          <w:szCs w:val="21"/>
          <w:highlight w:val="none"/>
        </w:rPr>
        <w:t>5、</w:t>
      </w:r>
      <w:r>
        <w:rPr>
          <w:rFonts w:hint="eastAsia" w:ascii="宋体" w:hAnsi="宋体"/>
          <w:color w:val="auto"/>
          <w:kern w:val="0"/>
          <w:szCs w:val="21"/>
          <w:highlight w:val="none"/>
        </w:rPr>
        <w:t>本次公开招标</w:t>
      </w:r>
      <w:r>
        <w:rPr>
          <w:rFonts w:hint="eastAsia" w:ascii="宋体" w:hAnsi="宋体"/>
          <w:bCs/>
          <w:color w:val="auto"/>
          <w:kern w:val="0"/>
          <w:szCs w:val="21"/>
          <w:highlight w:val="none"/>
        </w:rPr>
        <w:t>不接受联合体投标，不允许分包。</w:t>
      </w:r>
    </w:p>
    <w:p>
      <w:pPr>
        <w:snapToGrid w:val="0"/>
        <w:spacing w:line="360" w:lineRule="auto"/>
        <w:ind w:firstLine="578" w:firstLineChars="274"/>
        <w:rPr>
          <w:rFonts w:ascii="宋体" w:hAnsi="宋体"/>
          <w:b/>
          <w:color w:val="auto"/>
          <w:kern w:val="0"/>
          <w:szCs w:val="21"/>
          <w:highlight w:val="none"/>
        </w:rPr>
      </w:pPr>
      <w:r>
        <w:rPr>
          <w:rFonts w:hint="eastAsia" w:ascii="宋体" w:hAnsi="宋体"/>
          <w:b/>
          <w:color w:val="auto"/>
          <w:kern w:val="0"/>
          <w:szCs w:val="21"/>
          <w:highlight w:val="none"/>
        </w:rPr>
        <w:t>七、招标文件的获取：</w:t>
      </w:r>
    </w:p>
    <w:p>
      <w:pPr>
        <w:pStyle w:val="147"/>
        <w:widowControl/>
        <w:spacing w:before="91" w:line="324" w:lineRule="auto"/>
        <w:ind w:firstLine="482"/>
        <w:rPr>
          <w:rFonts w:ascii="宋体" w:hAnsi="宋体"/>
          <w:color w:val="auto"/>
          <w:szCs w:val="21"/>
          <w:highlight w:val="none"/>
        </w:rPr>
      </w:pPr>
      <w:r>
        <w:rPr>
          <w:rStyle w:val="148"/>
          <w:rFonts w:hint="eastAsia" w:ascii="宋体" w:hAnsi="宋体"/>
          <w:color w:val="auto"/>
          <w:kern w:val="0"/>
          <w:szCs w:val="21"/>
          <w:highlight w:val="none"/>
        </w:rPr>
        <w:t>招标文件由潜在投标人在招标信息公告网站自行下载。潜在投标人在截标现场签到报名，便认定为本项目的报名人。投标人在签到报名后即可递交响应文件。</w:t>
      </w:r>
    </w:p>
    <w:p>
      <w:pPr>
        <w:snapToGrid w:val="0"/>
        <w:spacing w:line="360" w:lineRule="auto"/>
        <w:ind w:firstLine="578" w:firstLineChars="274"/>
        <w:rPr>
          <w:rFonts w:ascii="宋体" w:hAnsi="宋体"/>
          <w:color w:val="auto"/>
          <w:kern w:val="0"/>
          <w:szCs w:val="21"/>
          <w:highlight w:val="none"/>
        </w:rPr>
      </w:pPr>
      <w:r>
        <w:rPr>
          <w:rFonts w:hint="eastAsia" w:ascii="宋体" w:hAnsi="宋体"/>
          <w:b/>
          <w:color w:val="auto"/>
          <w:kern w:val="0"/>
          <w:szCs w:val="21"/>
          <w:highlight w:val="none"/>
        </w:rPr>
        <w:t>八、投标文件的递交：</w:t>
      </w:r>
      <w:r>
        <w:rPr>
          <w:rFonts w:hint="eastAsia" w:ascii="宋体" w:hAnsi="宋体"/>
          <w:color w:val="auto"/>
          <w:kern w:val="0"/>
          <w:szCs w:val="21"/>
          <w:highlight w:val="none"/>
        </w:rPr>
        <w:t>投标人应于</w:t>
      </w:r>
      <w:r>
        <w:rPr>
          <w:rFonts w:hint="eastAsia" w:ascii="宋体" w:hAnsi="宋体"/>
          <w:color w:val="auto"/>
          <w:kern w:val="0"/>
          <w:szCs w:val="21"/>
          <w:highlight w:val="none"/>
          <w:u w:val="single"/>
        </w:rPr>
        <w:t>2020</w:t>
      </w:r>
      <w:r>
        <w:rPr>
          <w:rFonts w:hint="eastAsia" w:ascii="宋体" w:hAnsi="宋体"/>
          <w:color w:val="auto"/>
          <w:kern w:val="0"/>
          <w:szCs w:val="21"/>
          <w:highlight w:val="none"/>
        </w:rPr>
        <w:t>年</w:t>
      </w:r>
      <w:r>
        <w:rPr>
          <w:rFonts w:hint="eastAsia" w:ascii="宋体" w:hAnsi="宋体"/>
          <w:color w:val="auto"/>
          <w:kern w:val="0"/>
          <w:szCs w:val="21"/>
          <w:highlight w:val="none"/>
          <w:u w:val="single"/>
          <w:lang w:val="en-US" w:eastAsia="zh-CN"/>
        </w:rPr>
        <w:t>6</w:t>
      </w:r>
      <w:r>
        <w:rPr>
          <w:rFonts w:hint="eastAsia" w:ascii="宋体" w:hAnsi="宋体"/>
          <w:color w:val="auto"/>
          <w:kern w:val="0"/>
          <w:szCs w:val="21"/>
          <w:highlight w:val="none"/>
        </w:rPr>
        <w:t>月</w:t>
      </w:r>
      <w:r>
        <w:rPr>
          <w:rFonts w:hint="eastAsia" w:ascii="宋体" w:hAnsi="宋体"/>
          <w:color w:val="auto"/>
          <w:kern w:val="0"/>
          <w:szCs w:val="21"/>
          <w:highlight w:val="none"/>
          <w:u w:val="single"/>
          <w:lang w:val="en-US" w:eastAsia="zh-CN"/>
        </w:rPr>
        <w:t>8</w:t>
      </w:r>
      <w:r>
        <w:rPr>
          <w:rFonts w:hint="eastAsia" w:ascii="宋体" w:hAnsi="宋体"/>
          <w:color w:val="auto"/>
          <w:kern w:val="0"/>
          <w:szCs w:val="21"/>
          <w:highlight w:val="none"/>
        </w:rPr>
        <w:t>日</w:t>
      </w:r>
      <w:r>
        <w:rPr>
          <w:rFonts w:hint="eastAsia" w:ascii="宋体" w:hAnsi="宋体"/>
          <w:color w:val="auto"/>
          <w:kern w:val="0"/>
          <w:szCs w:val="21"/>
          <w:highlight w:val="none"/>
          <w:lang w:eastAsia="zh-CN"/>
        </w:rPr>
        <w:t>9时</w:t>
      </w:r>
      <w:r>
        <w:rPr>
          <w:rFonts w:hint="eastAsia" w:ascii="宋体" w:hAnsi="宋体"/>
          <w:color w:val="auto"/>
          <w:kern w:val="0"/>
          <w:szCs w:val="21"/>
          <w:highlight w:val="none"/>
        </w:rPr>
        <w:t>30分前，将投标文件密封提交到桂平市政务服务中心新大楼五楼【桂江西路中段原国会大厦（桂平市公共资源交易中心）】开标厅，逾期送达的将予以拒收。</w:t>
      </w:r>
    </w:p>
    <w:p>
      <w:pPr>
        <w:snapToGrid w:val="0"/>
        <w:spacing w:line="360" w:lineRule="auto"/>
        <w:ind w:firstLine="578" w:firstLineChars="274"/>
        <w:rPr>
          <w:rFonts w:ascii="宋体" w:hAnsi="宋体"/>
          <w:b/>
          <w:color w:val="auto"/>
          <w:kern w:val="0"/>
          <w:szCs w:val="21"/>
          <w:highlight w:val="none"/>
        </w:rPr>
      </w:pPr>
      <w:r>
        <w:rPr>
          <w:rFonts w:hint="eastAsia" w:ascii="宋体" w:hAnsi="宋体"/>
          <w:b/>
          <w:color w:val="auto"/>
          <w:kern w:val="0"/>
          <w:szCs w:val="21"/>
          <w:highlight w:val="none"/>
        </w:rPr>
        <w:t>九、开标时间及地点:</w:t>
      </w:r>
    </w:p>
    <w:p>
      <w:pPr>
        <w:snapToGrid w:val="0"/>
        <w:spacing w:line="360" w:lineRule="auto"/>
        <w:ind w:firstLine="575" w:firstLineChars="274"/>
        <w:rPr>
          <w:rFonts w:ascii="宋体" w:hAnsi="宋体"/>
          <w:color w:val="auto"/>
          <w:kern w:val="0"/>
          <w:szCs w:val="21"/>
          <w:highlight w:val="none"/>
        </w:rPr>
      </w:pPr>
      <w:r>
        <w:rPr>
          <w:rFonts w:hint="eastAsia" w:ascii="宋体" w:hAnsi="宋体"/>
          <w:color w:val="auto"/>
          <w:kern w:val="0"/>
          <w:szCs w:val="21"/>
          <w:highlight w:val="none"/>
        </w:rPr>
        <w:t>本次招标将于</w:t>
      </w:r>
      <w:r>
        <w:rPr>
          <w:rFonts w:hint="eastAsia" w:ascii="宋体" w:hAnsi="宋体"/>
          <w:color w:val="auto"/>
          <w:kern w:val="0"/>
          <w:szCs w:val="21"/>
          <w:highlight w:val="none"/>
          <w:u w:val="single"/>
        </w:rPr>
        <w:t>2020</w:t>
      </w:r>
      <w:r>
        <w:rPr>
          <w:rFonts w:hint="eastAsia" w:ascii="宋体" w:hAnsi="宋体"/>
          <w:color w:val="auto"/>
          <w:kern w:val="0"/>
          <w:szCs w:val="21"/>
          <w:highlight w:val="none"/>
        </w:rPr>
        <w:t>年</w:t>
      </w:r>
      <w:r>
        <w:rPr>
          <w:rFonts w:hint="eastAsia" w:ascii="宋体" w:hAnsi="宋体"/>
          <w:color w:val="auto"/>
          <w:kern w:val="0"/>
          <w:szCs w:val="21"/>
          <w:highlight w:val="none"/>
          <w:u w:val="single"/>
          <w:lang w:val="en-US" w:eastAsia="zh-CN"/>
        </w:rPr>
        <w:t>6</w:t>
      </w:r>
      <w:r>
        <w:rPr>
          <w:rFonts w:hint="eastAsia" w:ascii="宋体" w:hAnsi="宋体"/>
          <w:color w:val="auto"/>
          <w:kern w:val="0"/>
          <w:szCs w:val="21"/>
          <w:highlight w:val="none"/>
        </w:rPr>
        <w:t>月</w:t>
      </w:r>
      <w:r>
        <w:rPr>
          <w:rFonts w:hint="eastAsia" w:ascii="宋体" w:hAnsi="宋体"/>
          <w:color w:val="auto"/>
          <w:kern w:val="0"/>
          <w:szCs w:val="21"/>
          <w:highlight w:val="none"/>
          <w:u w:val="single"/>
          <w:lang w:val="en-US" w:eastAsia="zh-CN"/>
        </w:rPr>
        <w:t>8</w:t>
      </w:r>
      <w:r>
        <w:rPr>
          <w:rFonts w:hint="eastAsia" w:ascii="宋体" w:hAnsi="宋体"/>
          <w:color w:val="auto"/>
          <w:kern w:val="0"/>
          <w:szCs w:val="21"/>
          <w:highlight w:val="none"/>
        </w:rPr>
        <w:t>日</w:t>
      </w:r>
      <w:r>
        <w:rPr>
          <w:rFonts w:hint="eastAsia" w:ascii="宋体" w:hAnsi="宋体"/>
          <w:color w:val="auto"/>
          <w:kern w:val="0"/>
          <w:szCs w:val="21"/>
          <w:highlight w:val="none"/>
          <w:lang w:eastAsia="zh-CN"/>
        </w:rPr>
        <w:t>9时</w:t>
      </w:r>
      <w:r>
        <w:rPr>
          <w:rFonts w:hint="eastAsia" w:ascii="宋体" w:hAnsi="宋体"/>
          <w:color w:val="auto"/>
          <w:kern w:val="0"/>
          <w:szCs w:val="21"/>
          <w:highlight w:val="none"/>
        </w:rPr>
        <w:t>30分整，在桂平市政务服务中心新大楼五楼【桂江西路中段原国会大厦（桂平市公共资源交易中心）】开标厅开标，投标人可以由法定代表人或委托代理人准时出席开标会议，</w:t>
      </w:r>
      <w:r>
        <w:rPr>
          <w:rFonts w:hint="eastAsia" w:ascii="宋体" w:hAnsi="宋体" w:cs="宋体"/>
          <w:color w:val="auto"/>
          <w:szCs w:val="21"/>
          <w:highlight w:val="none"/>
          <w:shd w:val="clear" w:color="auto" w:fill="FFFFFF"/>
        </w:rPr>
        <w:t>必须持以下证件（法定代表人凭身份证原件和复印件或委托代理人凭法人授权委托书原件、身份证原件和身份证复印件）、营业执照复印件</w:t>
      </w:r>
      <w:r>
        <w:rPr>
          <w:rFonts w:hint="eastAsia" w:ascii="宋体" w:hAnsi="宋体"/>
          <w:color w:val="auto"/>
          <w:szCs w:val="21"/>
          <w:highlight w:val="none"/>
        </w:rPr>
        <w:t>等（</w:t>
      </w:r>
      <w:r>
        <w:rPr>
          <w:rFonts w:hint="eastAsia" w:ascii="宋体" w:hAnsi="宋体" w:cs="宋体"/>
          <w:color w:val="auto"/>
          <w:szCs w:val="21"/>
          <w:highlight w:val="none"/>
          <w:shd w:val="clear" w:color="auto" w:fill="FFFFFF"/>
        </w:rPr>
        <w:t>复印件</w:t>
      </w:r>
      <w:r>
        <w:rPr>
          <w:rFonts w:hint="eastAsia" w:ascii="宋体" w:hAnsi="宋体"/>
          <w:color w:val="auto"/>
          <w:szCs w:val="21"/>
          <w:highlight w:val="none"/>
        </w:rPr>
        <w:t>加盖公章）</w:t>
      </w:r>
      <w:r>
        <w:rPr>
          <w:rFonts w:hint="eastAsia" w:ascii="宋体" w:hAnsi="宋体" w:cs="宋体"/>
          <w:color w:val="auto"/>
          <w:szCs w:val="21"/>
          <w:highlight w:val="none"/>
          <w:shd w:val="clear" w:color="auto" w:fill="FFFFFF"/>
        </w:rPr>
        <w:t>。</w:t>
      </w:r>
    </w:p>
    <w:p>
      <w:pPr>
        <w:spacing w:line="360" w:lineRule="auto"/>
        <w:ind w:firstLine="626" w:firstLineChars="297"/>
        <w:jc w:val="left"/>
        <w:rPr>
          <w:rFonts w:ascii="宋体" w:hAnsi="宋体"/>
          <w:b/>
          <w:color w:val="auto"/>
          <w:kern w:val="0"/>
          <w:szCs w:val="21"/>
          <w:highlight w:val="none"/>
        </w:rPr>
      </w:pPr>
      <w:r>
        <w:rPr>
          <w:rFonts w:hint="eastAsia" w:ascii="宋体" w:hAnsi="宋体"/>
          <w:b/>
          <w:color w:val="auto"/>
          <w:kern w:val="0"/>
          <w:szCs w:val="21"/>
          <w:highlight w:val="none"/>
        </w:rPr>
        <w:t>十、</w:t>
      </w:r>
      <w:r>
        <w:rPr>
          <w:rFonts w:hint="eastAsia" w:ascii="宋体" w:hAnsi="宋体"/>
          <w:b/>
          <w:color w:val="auto"/>
          <w:szCs w:val="21"/>
          <w:highlight w:val="none"/>
        </w:rPr>
        <w:t>发布公告的媒体</w:t>
      </w:r>
      <w:r>
        <w:rPr>
          <w:rFonts w:hint="eastAsia" w:ascii="宋体" w:hAnsi="宋体"/>
          <w:b/>
          <w:color w:val="auto"/>
          <w:kern w:val="0"/>
          <w:szCs w:val="21"/>
          <w:highlight w:val="none"/>
        </w:rPr>
        <w:t>：</w:t>
      </w:r>
    </w:p>
    <w:p>
      <w:pPr>
        <w:snapToGrid w:val="0"/>
        <w:spacing w:line="360" w:lineRule="auto"/>
        <w:ind w:firstLine="678" w:firstLineChars="323"/>
        <w:rPr>
          <w:rFonts w:hint="eastAsia" w:ascii="宋体" w:hAnsi="宋体" w:eastAsia="宋体"/>
          <w:bCs/>
          <w:color w:val="auto"/>
          <w:kern w:val="0"/>
          <w:szCs w:val="21"/>
          <w:highlight w:val="none"/>
          <w:lang w:eastAsia="zh-CN"/>
        </w:rPr>
      </w:pPr>
      <w:r>
        <w:rPr>
          <w:rFonts w:hint="eastAsia" w:ascii="宋体" w:hAnsi="宋体"/>
          <w:bCs/>
          <w:color w:val="auto"/>
          <w:kern w:val="0"/>
          <w:szCs w:val="21"/>
          <w:highlight w:val="none"/>
        </w:rPr>
        <w:t>http://www.ccgp.gov.cn/（中国政府采购网）、http://www.gxzfcg.gov.cn/ (广西壮族自治区政府采购网)、http://zfcg.czj.gxgg.gov.cn/（贵港市政府采购网）、http://ggggjy.gxgg.gov.cn:9005/(贵港市公共资源交易中心网）。</w:t>
      </w:r>
    </w:p>
    <w:p>
      <w:pPr>
        <w:snapToGrid w:val="0"/>
        <w:spacing w:line="360" w:lineRule="auto"/>
        <w:ind w:firstLine="681" w:firstLineChars="323"/>
        <w:rPr>
          <w:rFonts w:ascii="宋体" w:hAnsi="宋体"/>
          <w:b/>
          <w:color w:val="auto"/>
          <w:kern w:val="0"/>
          <w:szCs w:val="21"/>
          <w:highlight w:val="none"/>
        </w:rPr>
      </w:pPr>
      <w:r>
        <w:rPr>
          <w:rFonts w:hint="eastAsia" w:ascii="宋体" w:hAnsi="宋体"/>
          <w:b/>
          <w:color w:val="auto"/>
          <w:kern w:val="0"/>
          <w:szCs w:val="21"/>
          <w:highlight w:val="none"/>
        </w:rPr>
        <w:t>十一、联系事项：</w:t>
      </w:r>
    </w:p>
    <w:p>
      <w:pPr>
        <w:snapToGrid w:val="0"/>
        <w:spacing w:line="360" w:lineRule="auto"/>
        <w:ind w:firstLine="781" w:firstLineChars="372"/>
        <w:rPr>
          <w:rFonts w:ascii="宋体" w:hAnsi="宋体"/>
          <w:color w:val="auto"/>
          <w:kern w:val="0"/>
          <w:szCs w:val="21"/>
          <w:highlight w:val="none"/>
        </w:rPr>
      </w:pPr>
      <w:r>
        <w:rPr>
          <w:rFonts w:hint="eastAsia" w:ascii="宋体" w:hAnsi="宋体"/>
          <w:color w:val="auto"/>
          <w:kern w:val="0"/>
          <w:szCs w:val="21"/>
          <w:highlight w:val="none"/>
        </w:rPr>
        <w:t>1.招标人名称：</w:t>
      </w:r>
      <w:r>
        <w:rPr>
          <w:rFonts w:hint="eastAsia" w:ascii="宋体" w:hAnsi="宋体"/>
          <w:bCs/>
          <w:color w:val="auto"/>
          <w:kern w:val="0"/>
          <w:szCs w:val="21"/>
          <w:highlight w:val="none"/>
        </w:rPr>
        <w:t>桂平市教育局</w:t>
      </w:r>
    </w:p>
    <w:p>
      <w:pPr>
        <w:snapToGrid w:val="0"/>
        <w:spacing w:line="360" w:lineRule="auto"/>
        <w:ind w:firstLine="884" w:firstLineChars="421"/>
        <w:rPr>
          <w:rFonts w:hint="eastAsia" w:ascii="宋体" w:hAnsi="宋体" w:eastAsia="宋体"/>
          <w:bCs/>
          <w:color w:val="auto"/>
          <w:kern w:val="0"/>
          <w:szCs w:val="21"/>
          <w:highlight w:val="none"/>
          <w:lang w:eastAsia="zh-CN"/>
        </w:rPr>
      </w:pPr>
      <w:r>
        <w:rPr>
          <w:rFonts w:hint="eastAsia" w:ascii="宋体" w:hAnsi="宋体"/>
          <w:color w:val="auto"/>
          <w:kern w:val="0"/>
          <w:szCs w:val="21"/>
          <w:highlight w:val="none"/>
        </w:rPr>
        <w:t>地址：</w:t>
      </w:r>
      <w:r>
        <w:rPr>
          <w:rFonts w:hint="eastAsia" w:ascii="宋体" w:hAnsi="宋体"/>
          <w:color w:val="auto"/>
          <w:kern w:val="0"/>
          <w:szCs w:val="21"/>
          <w:highlight w:val="none"/>
          <w:lang w:eastAsia="zh-CN"/>
        </w:rPr>
        <w:t>桂平市县府街155号</w:t>
      </w:r>
    </w:p>
    <w:p>
      <w:pPr>
        <w:snapToGrid w:val="0"/>
        <w:spacing w:line="360" w:lineRule="auto"/>
        <w:ind w:firstLine="884" w:firstLineChars="421"/>
        <w:rPr>
          <w:rFonts w:ascii="宋体" w:hAnsi="宋体"/>
          <w:color w:val="auto"/>
          <w:kern w:val="0"/>
          <w:szCs w:val="21"/>
          <w:highlight w:val="none"/>
        </w:rPr>
      </w:pPr>
      <w:r>
        <w:rPr>
          <w:rFonts w:hint="eastAsia" w:ascii="宋体" w:hAnsi="宋体"/>
          <w:color w:val="auto"/>
          <w:kern w:val="0"/>
          <w:szCs w:val="21"/>
          <w:highlight w:val="none"/>
        </w:rPr>
        <w:t>联系人：</w:t>
      </w:r>
      <w:r>
        <w:rPr>
          <w:rFonts w:hint="eastAsia" w:ascii="宋体" w:hAnsi="宋体"/>
          <w:color w:val="auto"/>
          <w:kern w:val="0"/>
          <w:szCs w:val="21"/>
          <w:highlight w:val="none"/>
          <w:lang w:eastAsia="zh-CN"/>
        </w:rPr>
        <w:t>张辉</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联系电话：</w:t>
      </w:r>
      <w:r>
        <w:rPr>
          <w:rFonts w:hint="eastAsia" w:ascii="宋体" w:hAnsi="宋体"/>
          <w:color w:val="auto"/>
          <w:kern w:val="0"/>
          <w:szCs w:val="21"/>
          <w:highlight w:val="none"/>
        </w:rPr>
        <w:t>0775-</w:t>
      </w:r>
      <w:r>
        <w:rPr>
          <w:rFonts w:hint="eastAsia" w:ascii="宋体" w:hAnsi="宋体"/>
          <w:color w:val="auto"/>
          <w:kern w:val="0"/>
          <w:szCs w:val="21"/>
          <w:highlight w:val="none"/>
          <w:lang w:val="en-US" w:eastAsia="zh-CN"/>
        </w:rPr>
        <w:t>3384824</w:t>
      </w:r>
      <w:r>
        <w:rPr>
          <w:rFonts w:hint="eastAsia" w:ascii="宋体" w:hAnsi="宋体"/>
          <w:color w:val="auto"/>
          <w:kern w:val="0"/>
          <w:szCs w:val="21"/>
          <w:highlight w:val="none"/>
        </w:rPr>
        <w:t xml:space="preserve"> </w:t>
      </w:r>
    </w:p>
    <w:p>
      <w:pPr>
        <w:snapToGrid w:val="0"/>
        <w:spacing w:line="360" w:lineRule="auto"/>
        <w:ind w:firstLine="781" w:firstLineChars="372"/>
        <w:rPr>
          <w:rFonts w:ascii="宋体" w:hAnsi="宋体"/>
          <w:color w:val="auto"/>
          <w:kern w:val="0"/>
          <w:szCs w:val="21"/>
          <w:highlight w:val="none"/>
        </w:rPr>
      </w:pPr>
      <w:r>
        <w:rPr>
          <w:rFonts w:hint="eastAsia" w:ascii="宋体" w:hAnsi="宋体"/>
          <w:color w:val="auto"/>
          <w:kern w:val="0"/>
          <w:szCs w:val="21"/>
          <w:highlight w:val="none"/>
        </w:rPr>
        <w:t>2．招标代理机构：广西宝盛工程咨询有限公司</w:t>
      </w:r>
    </w:p>
    <w:p>
      <w:pPr>
        <w:snapToGrid w:val="0"/>
        <w:spacing w:line="360" w:lineRule="auto"/>
        <w:ind w:firstLine="884" w:firstLineChars="421"/>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地址：</w:t>
      </w:r>
      <w:r>
        <w:rPr>
          <w:rFonts w:hint="eastAsia" w:ascii="宋体" w:hAnsi="宋体"/>
          <w:color w:val="auto"/>
          <w:kern w:val="0"/>
          <w:szCs w:val="21"/>
          <w:highlight w:val="none"/>
          <w:lang w:eastAsia="zh-CN"/>
        </w:rPr>
        <w:t>贵港市城区荷城路维也纳酒店16楼19号</w:t>
      </w:r>
    </w:p>
    <w:p>
      <w:pPr>
        <w:snapToGrid w:val="0"/>
        <w:spacing w:line="360" w:lineRule="auto"/>
        <w:ind w:firstLine="884" w:firstLineChars="421"/>
        <w:rPr>
          <w:rFonts w:ascii="宋体" w:hAnsi="宋体"/>
          <w:color w:val="auto"/>
          <w:kern w:val="0"/>
          <w:szCs w:val="21"/>
          <w:highlight w:val="none"/>
        </w:rPr>
      </w:pPr>
      <w:r>
        <w:rPr>
          <w:rFonts w:hint="eastAsia" w:ascii="宋体" w:hAnsi="宋体"/>
          <w:color w:val="auto"/>
          <w:kern w:val="0"/>
          <w:szCs w:val="21"/>
          <w:highlight w:val="none"/>
        </w:rPr>
        <w:t xml:space="preserve">项目联系人：宋倩  联系电话：0775-4360008   </w:t>
      </w:r>
    </w:p>
    <w:p>
      <w:pPr>
        <w:snapToGrid w:val="0"/>
        <w:spacing w:line="360" w:lineRule="auto"/>
        <w:ind w:firstLine="840" w:firstLineChars="400"/>
        <w:rPr>
          <w:rFonts w:ascii="宋体" w:hAnsi="宋体"/>
          <w:color w:val="auto"/>
          <w:kern w:val="0"/>
          <w:szCs w:val="21"/>
          <w:highlight w:val="none"/>
        </w:rPr>
      </w:pPr>
      <w:r>
        <w:rPr>
          <w:rFonts w:hint="eastAsia" w:ascii="宋体" w:hAnsi="宋体"/>
          <w:color w:val="auto"/>
          <w:kern w:val="0"/>
          <w:szCs w:val="21"/>
          <w:highlight w:val="none"/>
        </w:rPr>
        <w:t>3．</w:t>
      </w:r>
      <w:r>
        <w:rPr>
          <w:rFonts w:hint="eastAsia"/>
          <w:color w:val="auto"/>
          <w:szCs w:val="21"/>
          <w:highlight w:val="none"/>
        </w:rPr>
        <w:t>监督部门：</w:t>
      </w:r>
      <w:r>
        <w:rPr>
          <w:rFonts w:hint="eastAsia"/>
          <w:color w:val="auto"/>
          <w:szCs w:val="21"/>
          <w:highlight w:val="none"/>
          <w:lang w:eastAsia="zh-CN"/>
        </w:rPr>
        <w:t>桂平市财政局政府采购监督管理股</w:t>
      </w:r>
      <w:r>
        <w:rPr>
          <w:rFonts w:hint="eastAsia"/>
          <w:color w:val="auto"/>
          <w:szCs w:val="21"/>
          <w:highlight w:val="none"/>
        </w:rPr>
        <w:t xml:space="preserve">        电话：0775-3380263</w:t>
      </w:r>
    </w:p>
    <w:p>
      <w:pPr>
        <w:snapToGrid w:val="0"/>
        <w:spacing w:line="460" w:lineRule="exact"/>
        <w:ind w:firstLine="575" w:firstLineChars="274"/>
        <w:rPr>
          <w:rFonts w:ascii="宋体" w:hAnsi="宋体"/>
          <w:color w:val="auto"/>
          <w:kern w:val="0"/>
          <w:szCs w:val="21"/>
          <w:highlight w:val="none"/>
        </w:rPr>
      </w:pPr>
    </w:p>
    <w:p>
      <w:pPr>
        <w:snapToGrid w:val="0"/>
        <w:spacing w:line="460" w:lineRule="exact"/>
        <w:ind w:firstLine="575" w:firstLineChars="274"/>
        <w:rPr>
          <w:rFonts w:ascii="宋体" w:hAnsi="宋体"/>
          <w:color w:val="auto"/>
          <w:kern w:val="0"/>
          <w:szCs w:val="21"/>
          <w:highlight w:val="none"/>
        </w:rPr>
      </w:pPr>
    </w:p>
    <w:p>
      <w:pPr>
        <w:autoSpaceDE w:val="0"/>
        <w:autoSpaceDN w:val="0"/>
        <w:adjustRightInd w:val="0"/>
        <w:spacing w:line="480" w:lineRule="exact"/>
        <w:ind w:left="238"/>
        <w:jc w:val="left"/>
        <w:rPr>
          <w:rFonts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lang w:val="zh-CN"/>
        </w:rPr>
        <w:t>广西宝盛工程咨询有限公司</w:t>
      </w:r>
    </w:p>
    <w:p>
      <w:pPr>
        <w:autoSpaceDE w:val="0"/>
        <w:autoSpaceDN w:val="0"/>
        <w:adjustRightInd w:val="0"/>
        <w:spacing w:line="480" w:lineRule="exact"/>
        <w:ind w:left="238"/>
        <w:jc w:val="center"/>
        <w:rPr>
          <w:color w:val="auto"/>
          <w:szCs w:val="21"/>
          <w:highlight w:val="none"/>
        </w:rPr>
      </w:pPr>
      <w:r>
        <w:rPr>
          <w:rFonts w:hint="eastAsia" w:cs="宋体"/>
          <w:color w:val="auto"/>
          <w:szCs w:val="21"/>
          <w:highlight w:val="none"/>
        </w:rPr>
        <w:t xml:space="preserve">                                            2020</w:t>
      </w:r>
      <w:r>
        <w:rPr>
          <w:rFonts w:hint="eastAsia" w:cs="宋体"/>
          <w:color w:val="auto"/>
          <w:szCs w:val="21"/>
          <w:highlight w:val="none"/>
          <w:lang w:val="zh-CN"/>
        </w:rPr>
        <w:t>年</w:t>
      </w:r>
      <w:r>
        <w:rPr>
          <w:rFonts w:hint="eastAsia" w:cs="宋体"/>
          <w:color w:val="auto"/>
          <w:szCs w:val="21"/>
          <w:highlight w:val="none"/>
          <w:lang w:val="en-US" w:eastAsia="zh-CN"/>
        </w:rPr>
        <w:t>5</w:t>
      </w:r>
      <w:r>
        <w:rPr>
          <w:rFonts w:hint="eastAsia" w:cs="宋体"/>
          <w:color w:val="auto"/>
          <w:szCs w:val="21"/>
          <w:highlight w:val="none"/>
          <w:lang w:val="zh-CN"/>
        </w:rPr>
        <w:t>月</w:t>
      </w:r>
      <w:r>
        <w:rPr>
          <w:rFonts w:hint="eastAsia" w:cs="宋体"/>
          <w:color w:val="auto"/>
          <w:szCs w:val="21"/>
          <w:highlight w:val="none"/>
          <w:lang w:val="en-US" w:eastAsia="zh-CN"/>
        </w:rPr>
        <w:t>18</w:t>
      </w:r>
      <w:r>
        <w:rPr>
          <w:rFonts w:hint="eastAsia" w:cs="宋体"/>
          <w:color w:val="auto"/>
          <w:szCs w:val="21"/>
          <w:highlight w:val="none"/>
          <w:lang w:val="zh-CN"/>
        </w:rPr>
        <w:t>日</w:t>
      </w:r>
    </w:p>
    <w:p>
      <w:pPr>
        <w:spacing w:line="360" w:lineRule="auto"/>
        <w:jc w:val="center"/>
        <w:rPr>
          <w:rStyle w:val="137"/>
          <w:color w:val="auto"/>
          <w:highlight w:val="none"/>
        </w:rPr>
      </w:pPr>
    </w:p>
    <w:p>
      <w:pPr>
        <w:spacing w:line="360" w:lineRule="auto"/>
        <w:jc w:val="center"/>
        <w:rPr>
          <w:rStyle w:val="137"/>
          <w:color w:val="auto"/>
          <w:highlight w:val="none"/>
        </w:rPr>
      </w:pPr>
    </w:p>
    <w:p>
      <w:pPr>
        <w:pStyle w:val="2"/>
        <w:rPr>
          <w:color w:val="auto"/>
          <w:highlight w:val="none"/>
        </w:rPr>
      </w:pPr>
    </w:p>
    <w:p>
      <w:pPr>
        <w:rPr>
          <w:color w:val="auto"/>
        </w:rPr>
      </w:pPr>
    </w:p>
    <w:p>
      <w:pPr>
        <w:pStyle w:val="2"/>
        <w:rPr>
          <w:color w:val="auto"/>
          <w:highlight w:val="none"/>
        </w:rPr>
      </w:pPr>
    </w:p>
    <w:p>
      <w:pPr>
        <w:pStyle w:val="6"/>
        <w:outlineLvl w:val="9"/>
        <w:rPr>
          <w:color w:val="auto"/>
          <w:highlight w:val="none"/>
        </w:rPr>
      </w:pPr>
    </w:p>
    <w:p>
      <w:pPr>
        <w:pStyle w:val="3"/>
        <w:spacing w:line="600" w:lineRule="exact"/>
        <w:rPr>
          <w:color w:val="auto"/>
          <w:highlight w:val="none"/>
        </w:rPr>
      </w:pPr>
      <w:bookmarkStart w:id="4" w:name="_Toc32204"/>
      <w:bookmarkStart w:id="5" w:name="_Toc32306_WPSOffice_Level1"/>
      <w:r>
        <w:rPr>
          <w:rFonts w:hint="eastAsia"/>
          <w:color w:val="auto"/>
          <w:highlight w:val="none"/>
        </w:rPr>
        <w:t>第</w:t>
      </w:r>
      <w:r>
        <w:rPr>
          <w:color w:val="auto"/>
          <w:highlight w:val="none"/>
        </w:rPr>
        <w:t xml:space="preserve">二章  </w:t>
      </w:r>
      <w:bookmarkStart w:id="6" w:name="_Toc78604604"/>
      <w:bookmarkStart w:id="7" w:name="_Toc96865207"/>
      <w:r>
        <w:rPr>
          <w:rFonts w:hint="eastAsia"/>
          <w:color w:val="auto"/>
          <w:highlight w:val="none"/>
        </w:rPr>
        <w:t>货物采购需求</w:t>
      </w:r>
      <w:bookmarkEnd w:id="4"/>
      <w:bookmarkEnd w:id="5"/>
    </w:p>
    <w:bookmarkEnd w:id="6"/>
    <w:bookmarkEnd w:id="7"/>
    <w:p>
      <w:pPr>
        <w:spacing w:line="400" w:lineRule="exact"/>
        <w:rPr>
          <w:rFonts w:ascii="宋体" w:hAnsi="宋体"/>
          <w:color w:val="auto"/>
          <w:highlight w:val="none"/>
        </w:rPr>
      </w:pPr>
      <w:bookmarkStart w:id="8" w:name="_Toc254970631"/>
      <w:bookmarkStart w:id="9" w:name="_Toc254970490"/>
      <w:r>
        <w:rPr>
          <w:rFonts w:hint="eastAsia" w:ascii="宋体" w:hAnsi="宋体"/>
          <w:color w:val="auto"/>
          <w:highlight w:val="none"/>
        </w:rPr>
        <w:t>说明：</w:t>
      </w:r>
    </w:p>
    <w:p>
      <w:pPr>
        <w:adjustRightInd w:val="0"/>
        <w:spacing w:line="400" w:lineRule="exact"/>
        <w:ind w:firstLine="431"/>
        <w:rPr>
          <w:rFonts w:ascii="宋体" w:hAnsi="宋体"/>
          <w:color w:val="auto"/>
          <w:highlight w:val="none"/>
        </w:rPr>
      </w:pPr>
      <w:r>
        <w:rPr>
          <w:rFonts w:hint="eastAsia" w:ascii="宋体" w:hAnsi="宋体"/>
          <w:color w:val="auto"/>
          <w:highlight w:val="none"/>
        </w:rPr>
        <w:t>一、</w:t>
      </w:r>
      <w:r>
        <w:rPr>
          <w:rFonts w:ascii="宋体" w:hAnsi="宋体"/>
          <w:color w:val="auto"/>
          <w:highlight w:val="none"/>
        </w:rPr>
        <w:t>本</w:t>
      </w:r>
      <w:r>
        <w:rPr>
          <w:rFonts w:hint="eastAsia" w:ascii="宋体" w:hAnsi="宋体"/>
          <w:color w:val="auto"/>
          <w:highlight w:val="none"/>
        </w:rPr>
        <w:t>采购需求</w:t>
      </w:r>
      <w:r>
        <w:rPr>
          <w:rFonts w:ascii="宋体" w:hAnsi="宋体"/>
          <w:color w:val="auto"/>
          <w:highlight w:val="none"/>
        </w:rPr>
        <w:t>一览表中</w:t>
      </w:r>
      <w:r>
        <w:rPr>
          <w:rFonts w:hint="eastAsia" w:ascii="宋体" w:hAnsi="宋体"/>
          <w:color w:val="auto"/>
          <w:highlight w:val="none"/>
        </w:rPr>
        <w:t>的品牌型号、技术参数及其性能（配置）仅起参考作用，投标人可选用其他品牌型号替代，但这些替代的品牌型号要实质上相当于或优于参考品牌型号及其技术参数性能（配置）要求。</w:t>
      </w:r>
    </w:p>
    <w:p>
      <w:pPr>
        <w:adjustRightInd w:val="0"/>
        <w:spacing w:line="400" w:lineRule="exact"/>
        <w:ind w:firstLine="431"/>
        <w:rPr>
          <w:rFonts w:ascii="宋体" w:hAnsi="宋体"/>
          <w:color w:val="auto"/>
          <w:highlight w:val="none"/>
        </w:rPr>
      </w:pPr>
      <w:r>
        <w:rPr>
          <w:rFonts w:hint="eastAsia" w:ascii="宋体" w:hAnsi="宋体"/>
          <w:color w:val="auto"/>
          <w:highlight w:val="none"/>
        </w:rPr>
        <w:t>二、</w:t>
      </w:r>
      <w:r>
        <w:rPr>
          <w:rFonts w:ascii="宋体" w:hAnsi="宋体"/>
          <w:color w:val="auto"/>
          <w:highlight w:val="none"/>
        </w:rPr>
        <w:t>本</w:t>
      </w:r>
      <w:r>
        <w:rPr>
          <w:rFonts w:hint="eastAsia" w:ascii="宋体" w:hAnsi="宋体"/>
          <w:color w:val="auto"/>
          <w:highlight w:val="none"/>
        </w:rPr>
        <w:t>采购需求</w:t>
      </w:r>
      <w:r>
        <w:rPr>
          <w:rFonts w:ascii="宋体" w:hAnsi="宋体"/>
          <w:color w:val="auto"/>
          <w:highlight w:val="none"/>
        </w:rPr>
        <w:t>一览表中</w:t>
      </w:r>
      <w:r>
        <w:rPr>
          <w:rFonts w:hint="eastAsia" w:ascii="宋体" w:hAnsi="宋体"/>
          <w:color w:val="auto"/>
          <w:highlight w:val="none"/>
        </w:rPr>
        <w:t>参考品牌型号及技术参数性能（配置）不明确或有误的，或投标人选用其他品牌型号替代的，请以详细、正确的品牌型号、技术参数性能（配置）同时填写投标报价明细表和技术响应表</w:t>
      </w:r>
      <w:r>
        <w:rPr>
          <w:rFonts w:ascii="宋体" w:hAnsi="宋体"/>
          <w:color w:val="auto"/>
          <w:highlight w:val="none"/>
        </w:rPr>
        <w:t>。</w:t>
      </w:r>
    </w:p>
    <w:p>
      <w:pPr>
        <w:adjustRightInd w:val="0"/>
        <w:spacing w:line="400" w:lineRule="exact"/>
        <w:ind w:firstLine="431"/>
        <w:rPr>
          <w:rFonts w:ascii="宋体" w:hAnsi="宋体"/>
          <w:color w:val="auto"/>
          <w:highlight w:val="none"/>
        </w:rPr>
      </w:pPr>
      <w:r>
        <w:rPr>
          <w:rFonts w:ascii="宋体" w:hAnsi="宋体"/>
          <w:color w:val="auto"/>
          <w:highlight w:val="none"/>
        </w:rPr>
        <w:t>三、凡在“技术参数及性能（配置）要求”中表述为“标配”或“标准配置”的设备，</w:t>
      </w:r>
      <w:r>
        <w:rPr>
          <w:rFonts w:hint="eastAsia" w:ascii="宋体" w:hAnsi="宋体"/>
          <w:color w:val="auto"/>
          <w:highlight w:val="none"/>
        </w:rPr>
        <w:t>投标人</w:t>
      </w:r>
      <w:r>
        <w:rPr>
          <w:rFonts w:ascii="宋体" w:hAnsi="宋体"/>
          <w:color w:val="auto"/>
          <w:highlight w:val="none"/>
        </w:rPr>
        <w:t>应在</w:t>
      </w:r>
      <w:r>
        <w:rPr>
          <w:rFonts w:hint="eastAsia" w:ascii="宋体" w:hAnsi="宋体"/>
          <w:color w:val="auto"/>
          <w:highlight w:val="none"/>
        </w:rPr>
        <w:t>投标</w:t>
      </w:r>
      <w:r>
        <w:rPr>
          <w:rFonts w:ascii="宋体" w:hAnsi="宋体"/>
          <w:color w:val="auto"/>
          <w:highlight w:val="none"/>
        </w:rPr>
        <w:t>报价表中将其标配参数详细列明，否则该</w:t>
      </w:r>
      <w:r>
        <w:rPr>
          <w:rFonts w:hint="eastAsia" w:ascii="宋体" w:hAnsi="宋体"/>
          <w:color w:val="auto"/>
          <w:highlight w:val="none"/>
        </w:rPr>
        <w:t>投标</w:t>
      </w:r>
      <w:r>
        <w:rPr>
          <w:rFonts w:ascii="宋体" w:hAnsi="宋体"/>
          <w:color w:val="auto"/>
          <w:highlight w:val="none"/>
        </w:rPr>
        <w:t>无效。</w:t>
      </w:r>
    </w:p>
    <w:p>
      <w:pPr>
        <w:adjustRightInd w:val="0"/>
        <w:spacing w:line="400" w:lineRule="exact"/>
        <w:ind w:firstLine="431"/>
        <w:rPr>
          <w:rFonts w:ascii="宋体" w:hAnsi="宋体"/>
          <w:color w:val="auto"/>
          <w:highlight w:val="none"/>
        </w:rPr>
      </w:pPr>
      <w:r>
        <w:rPr>
          <w:rFonts w:hint="eastAsia" w:ascii="宋体" w:hAnsi="宋体"/>
          <w:color w:val="auto"/>
          <w:highlight w:val="none"/>
        </w:rPr>
        <w:t>四、评标时，如评标委员会发现本一览表技术参数及性能（配置）要求中含有某一品牌特有的参数或限制性要求的，有权认定不作为主要技术参数及性能（配置）要求处理。</w:t>
      </w:r>
    </w:p>
    <w:p>
      <w:pPr>
        <w:adjustRightInd w:val="0"/>
        <w:spacing w:line="400" w:lineRule="exact"/>
        <w:ind w:firstLine="431"/>
        <w:rPr>
          <w:rFonts w:ascii="宋体" w:hAnsi="宋体"/>
          <w:color w:val="auto"/>
          <w:highlight w:val="none"/>
        </w:rPr>
      </w:pPr>
      <w:r>
        <w:rPr>
          <w:rFonts w:hint="eastAsia" w:ascii="宋体" w:hAnsi="宋体"/>
          <w:color w:val="auto"/>
          <w:highlight w:val="none"/>
        </w:rPr>
        <w:t>五、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adjustRightInd w:val="0"/>
        <w:spacing w:line="400" w:lineRule="exact"/>
        <w:ind w:firstLine="431"/>
        <w:rPr>
          <w:rFonts w:ascii="宋体" w:hAnsi="宋体"/>
          <w:color w:val="auto"/>
          <w:highlight w:val="none"/>
        </w:rPr>
      </w:pPr>
      <w:r>
        <w:rPr>
          <w:rFonts w:hint="eastAsia" w:ascii="宋体" w:hAnsi="宋体"/>
          <w:color w:val="auto"/>
          <w:highlight w:val="none"/>
          <w:lang w:eastAsia="zh-CN"/>
        </w:rPr>
        <w:t>六</w:t>
      </w:r>
      <w:r>
        <w:rPr>
          <w:rFonts w:hint="eastAsia" w:ascii="宋体" w:hAnsi="宋体"/>
          <w:color w:val="auto"/>
          <w:highlight w:val="none"/>
        </w:rPr>
        <w:t>、本一览表中参考品牌、型号及技术参数性能（配置）不明确或有误的，或投标人选用其他品牌型号替代的，须说明品牌型号和详细的技术参数性能（配置）同时填写投标明细表和技术响应表，打“★”项号的技术参数为重要技术参数，必须满足，（否则投标无效）。不打“★”项号的技术参数负偏离达3（含）项，视为无效标。</w:t>
      </w:r>
    </w:p>
    <w:p>
      <w:pPr>
        <w:pStyle w:val="6"/>
        <w:ind w:firstLine="420" w:firstLineChars="200"/>
        <w:rPr>
          <w:rFonts w:hAnsi="宋体"/>
          <w:color w:val="auto"/>
          <w:sz w:val="21"/>
          <w:szCs w:val="24"/>
          <w:highlight w:val="none"/>
        </w:rPr>
      </w:pPr>
      <w:r>
        <w:rPr>
          <w:rFonts w:hint="eastAsia" w:hAnsi="宋体"/>
          <w:color w:val="auto"/>
          <w:sz w:val="21"/>
          <w:szCs w:val="24"/>
          <w:highlight w:val="none"/>
          <w:lang w:eastAsia="zh-CN"/>
        </w:rPr>
        <w:t>七</w:t>
      </w:r>
      <w:r>
        <w:rPr>
          <w:rFonts w:hint="eastAsia" w:hAnsi="宋体"/>
          <w:color w:val="auto"/>
          <w:sz w:val="21"/>
          <w:szCs w:val="24"/>
          <w:highlight w:val="none"/>
        </w:rPr>
        <w:t>、货物采购需求一览如下表：</w:t>
      </w:r>
    </w:p>
    <w:p>
      <w:pPr>
        <w:rPr>
          <w:b/>
          <w:bCs/>
          <w:color w:val="auto"/>
          <w:highlight w:val="none"/>
        </w:rPr>
      </w:pPr>
    </w:p>
    <w:p>
      <w:pPr>
        <w:rPr>
          <w:color w:val="auto"/>
          <w:highlight w:val="none"/>
        </w:rPr>
      </w:pPr>
      <w:r>
        <w:rPr>
          <w:rFonts w:hint="eastAsia"/>
          <w:b/>
          <w:bCs/>
          <w:color w:val="auto"/>
          <w:highlight w:val="none"/>
        </w:rPr>
        <w:t>A标段：</w:t>
      </w:r>
    </w:p>
    <w:bookmarkEnd w:id="8"/>
    <w:bookmarkEnd w:id="9"/>
    <w:tbl>
      <w:tblPr>
        <w:tblStyle w:val="48"/>
        <w:tblpPr w:leftFromText="180" w:rightFromText="180" w:vertAnchor="text" w:horzAnchor="page" w:tblpX="1027" w:tblpY="374"/>
        <w:tblOverlap w:val="never"/>
        <w:tblW w:w="10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52"/>
        <w:gridCol w:w="6018"/>
        <w:gridCol w:w="698"/>
        <w:gridCol w:w="100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1252"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货物名称</w:t>
            </w:r>
          </w:p>
        </w:tc>
        <w:tc>
          <w:tcPr>
            <w:tcW w:w="6018" w:type="dxa"/>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技术参数</w:t>
            </w:r>
          </w:p>
        </w:tc>
        <w:tc>
          <w:tcPr>
            <w:tcW w:w="698"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单位</w:t>
            </w:r>
          </w:p>
        </w:tc>
        <w:tc>
          <w:tcPr>
            <w:tcW w:w="1003"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数量</w:t>
            </w:r>
          </w:p>
        </w:tc>
        <w:tc>
          <w:tcPr>
            <w:tcW w:w="851"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36"/>
              <w:numPr>
                <w:ilvl w:val="0"/>
                <w:numId w:val="3"/>
              </w:numPr>
              <w:ind w:firstLineChars="0"/>
              <w:jc w:val="center"/>
              <w:rPr>
                <w:rFonts w:asciiTheme="minorEastAsia" w:hAnsiTheme="minorEastAsia"/>
                <w:color w:val="auto"/>
                <w:szCs w:val="21"/>
                <w:highlight w:val="none"/>
              </w:rPr>
            </w:pPr>
          </w:p>
        </w:tc>
        <w:tc>
          <w:tcPr>
            <w:tcW w:w="1252" w:type="dxa"/>
            <w:vAlign w:val="center"/>
          </w:tcPr>
          <w:p>
            <w:pPr>
              <w:widowControl/>
              <w:spacing w:before="100" w:beforeAutospacing="1" w:after="100" w:afterAutospacing="1" w:line="360" w:lineRule="auto"/>
              <w:jc w:val="center"/>
              <w:rPr>
                <w:rFonts w:cs="宋体" w:asciiTheme="minorEastAsia" w:hAnsiTheme="minorEastAsia"/>
                <w:bCs/>
                <w:color w:val="auto"/>
                <w:kern w:val="0"/>
                <w:szCs w:val="21"/>
                <w:highlight w:val="none"/>
              </w:rPr>
            </w:pPr>
            <w:bookmarkStart w:id="10" w:name="_Hlk34044188"/>
            <w:r>
              <w:rPr>
                <w:rFonts w:hint="eastAsia" w:cs="宋体" w:asciiTheme="minorEastAsia" w:hAnsiTheme="minorEastAsia"/>
                <w:bCs/>
                <w:color w:val="auto"/>
                <w:kern w:val="0"/>
                <w:szCs w:val="21"/>
                <w:highlight w:val="none"/>
              </w:rPr>
              <w:t>交互智能平板教学系统</w:t>
            </w:r>
            <w:bookmarkEnd w:id="10"/>
          </w:p>
        </w:tc>
        <w:tc>
          <w:tcPr>
            <w:tcW w:w="6018" w:type="dxa"/>
          </w:tcPr>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一、整机设计</w:t>
            </w:r>
          </w:p>
          <w:p>
            <w:pPr>
              <w:rPr>
                <w:rFonts w:asciiTheme="minorEastAsia" w:hAnsiTheme="minorEastAsia"/>
                <w:color w:val="auto"/>
                <w:szCs w:val="21"/>
                <w:highlight w:val="none"/>
              </w:rPr>
            </w:pPr>
            <w:r>
              <w:rPr>
                <w:rFonts w:asciiTheme="minorEastAsia" w:hAnsiTheme="minorEastAsia"/>
                <w:color w:val="auto"/>
                <w:szCs w:val="21"/>
                <w:highlight w:val="none"/>
              </w:rPr>
              <w:t>1.外观要求</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w:t>
            </w:r>
            <w:r>
              <w:rPr>
                <w:rFonts w:hint="eastAsia" w:asciiTheme="minorEastAsia" w:hAnsiTheme="minorEastAsia"/>
                <w:color w:val="auto"/>
                <w:szCs w:val="21"/>
                <w:highlight w:val="none"/>
              </w:rPr>
              <w:t>整机屏幕采用≥82英寸 UHD超高清LED 液晶屏，显示比例16:9。</w:t>
            </w:r>
          </w:p>
          <w:p>
            <w:pPr>
              <w:rPr>
                <w:rFonts w:asciiTheme="minorEastAsia" w:hAnsiTheme="minorEastAsia"/>
                <w:color w:val="auto"/>
                <w:szCs w:val="21"/>
                <w:highlight w:val="none"/>
              </w:rPr>
            </w:pPr>
            <w:r>
              <w:rPr>
                <w:rFonts w:hint="eastAsia" w:asciiTheme="minorEastAsia" w:hAnsiTheme="minorEastAsia"/>
                <w:color w:val="auto"/>
                <w:szCs w:val="21"/>
                <w:highlight w:val="none"/>
              </w:rPr>
              <w:t>（2）整机采用全金属外壳一体设计，外部无任何可见内部功能模块连接线。</w:t>
            </w:r>
          </w:p>
          <w:p>
            <w:pPr>
              <w:rPr>
                <w:rFonts w:asciiTheme="minorEastAsia" w:hAnsiTheme="minorEastAsia"/>
                <w:color w:val="auto"/>
                <w:szCs w:val="21"/>
                <w:highlight w:val="none"/>
              </w:rPr>
            </w:pPr>
            <w:r>
              <w:rPr>
                <w:rFonts w:asciiTheme="minorEastAsia" w:hAnsiTheme="minorEastAsia"/>
                <w:color w:val="auto"/>
                <w:szCs w:val="21"/>
                <w:highlight w:val="none"/>
              </w:rPr>
              <w:t>2.屏幕性能</w:t>
            </w:r>
          </w:p>
          <w:p>
            <w:pPr>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）屏幕具备防眩光效果，采用钢化玻璃。</w:t>
            </w:r>
          </w:p>
          <w:p>
            <w:pPr>
              <w:rPr>
                <w:rFonts w:asciiTheme="minorEastAsia" w:hAnsiTheme="minorEastAsia"/>
                <w:color w:val="auto"/>
                <w:szCs w:val="21"/>
                <w:highlight w:val="none"/>
              </w:rPr>
            </w:pPr>
            <w:r>
              <w:rPr>
                <w:rFonts w:hint="eastAsia" w:asciiTheme="minorEastAsia" w:hAnsiTheme="minorEastAsia"/>
                <w:color w:val="auto"/>
                <w:szCs w:val="21"/>
                <w:highlight w:val="none"/>
              </w:rPr>
              <w:t>（2</w:t>
            </w:r>
            <w:r>
              <w:rPr>
                <w:rFonts w:asciiTheme="minorEastAsia" w:hAnsiTheme="minorEastAsia"/>
                <w:color w:val="auto"/>
                <w:szCs w:val="21"/>
                <w:highlight w:val="none"/>
              </w:rPr>
              <w:t>）屏幕显示灰度分辨等级≥128灰阶，保证画面显示效果细腻。</w:t>
            </w:r>
          </w:p>
          <w:p>
            <w:pPr>
              <w:rPr>
                <w:rFonts w:asciiTheme="minorEastAsia" w:hAnsiTheme="minorEastAsia"/>
                <w:color w:val="auto"/>
                <w:szCs w:val="21"/>
                <w:highlight w:val="none"/>
              </w:rPr>
            </w:pPr>
            <w:r>
              <w:rPr>
                <w:rFonts w:hint="eastAsia" w:asciiTheme="minorEastAsia" w:hAnsiTheme="minorEastAsia"/>
                <w:color w:val="auto"/>
                <w:szCs w:val="21"/>
                <w:highlight w:val="none"/>
              </w:rPr>
              <w:t>（3</w:t>
            </w:r>
            <w:r>
              <w:rPr>
                <w:rFonts w:asciiTheme="minorEastAsia" w:hAnsiTheme="minorEastAsia"/>
                <w:color w:val="auto"/>
                <w:szCs w:val="21"/>
                <w:highlight w:val="none"/>
              </w:rPr>
              <w:t>）屏幕图像分辨率</w:t>
            </w:r>
            <w:r>
              <w:rPr>
                <w:rFonts w:hint="eastAsia" w:asciiTheme="minorEastAsia" w:hAnsiTheme="minorEastAsia"/>
                <w:color w:val="auto"/>
                <w:szCs w:val="21"/>
                <w:highlight w:val="none"/>
              </w:rPr>
              <w:t>≥</w:t>
            </w:r>
            <w:r>
              <w:rPr>
                <w:rFonts w:asciiTheme="minorEastAsia" w:hAnsiTheme="minorEastAsia"/>
                <w:color w:val="auto"/>
                <w:szCs w:val="21"/>
                <w:highlight w:val="none"/>
              </w:rPr>
              <w:t>3840*2160。</w:t>
            </w:r>
          </w:p>
          <w:p>
            <w:pPr>
              <w:rPr>
                <w:rFonts w:asciiTheme="minorEastAsia" w:hAnsiTheme="minorEastAsia"/>
                <w:color w:val="auto"/>
                <w:szCs w:val="21"/>
                <w:highlight w:val="none"/>
              </w:rPr>
            </w:pPr>
            <w:r>
              <w:rPr>
                <w:rFonts w:asciiTheme="minorEastAsia" w:hAnsiTheme="minorEastAsia"/>
                <w:color w:val="auto"/>
                <w:szCs w:val="21"/>
                <w:highlight w:val="none"/>
              </w:rPr>
              <w:t>3.安全性能</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1）整机符合浪涌（冲击）抗扰度、静电放电抗扰度、射频电磁场辐射抗扰度、电快速瞬变脉冲群抗扰度、射频场感应的传导抗扰度等要求，确保整机使用安全。</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2）机身具备防盐雾锈蚀特性，且满足GB4943.1-2011标准中的防火要求。</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3）整机具备抗振动、防跌落特性，保证整机运输或使用过程中不易受损。</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4）整机在0℃—40℃环境下可正常工作，在-20℃—60℃的环境下可正常贮存且贮存后功能无损。</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二、整体功能</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1.整机前面板</w:t>
            </w:r>
            <w:r>
              <w:rPr>
                <w:rFonts w:hint="eastAsia" w:asciiTheme="minorEastAsia" w:hAnsiTheme="minorEastAsia"/>
                <w:color w:val="auto"/>
                <w:szCs w:val="21"/>
                <w:highlight w:val="none"/>
              </w:rPr>
              <w:t>便捷设计</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1）为保证操作便捷性，同一物理按键可完成安卓系统和电脑系统的节能息屏以及开关机操作。（投标文件中须提供国家认可的第三方检测机构出具的</w:t>
            </w:r>
            <w:r>
              <w:rPr>
                <w:rFonts w:hint="eastAsia" w:asciiTheme="minorEastAsia" w:hAnsiTheme="minorEastAsia"/>
                <w:color w:val="auto"/>
                <w:szCs w:val="21"/>
                <w:highlight w:val="none"/>
              </w:rPr>
              <w:t>智能电子产品一键式设计</w:t>
            </w:r>
            <w:r>
              <w:rPr>
                <w:rFonts w:asciiTheme="minorEastAsia" w:hAnsiTheme="minorEastAsia"/>
                <w:color w:val="auto"/>
                <w:szCs w:val="21"/>
                <w:highlight w:val="none"/>
              </w:rPr>
              <w:t>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2）为快捷调节课件显示效果，可直接通过前置物理按键一键快速调整课件画面比例，可对不同页面比例的PPT课件实现全屏展示。</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3）为增强设备安全性，防止无关人士操作，</w:t>
            </w:r>
            <w:r>
              <w:rPr>
                <w:rFonts w:hint="eastAsia" w:asciiTheme="minorEastAsia" w:hAnsiTheme="minorEastAsia"/>
                <w:color w:val="auto"/>
                <w:szCs w:val="21"/>
                <w:highlight w:val="none"/>
              </w:rPr>
              <w:t>支持锁定屏幕触摸和前置按键，</w:t>
            </w:r>
            <w:r>
              <w:rPr>
                <w:rFonts w:asciiTheme="minorEastAsia" w:hAnsiTheme="minorEastAsia"/>
                <w:color w:val="auto"/>
                <w:szCs w:val="21"/>
                <w:highlight w:val="none"/>
              </w:rPr>
              <w:t>可通过前置</w:t>
            </w:r>
            <w:r>
              <w:rPr>
                <w:rFonts w:hint="eastAsia" w:asciiTheme="minorEastAsia" w:hAnsiTheme="minorEastAsia"/>
                <w:color w:val="auto"/>
                <w:szCs w:val="21"/>
                <w:highlight w:val="none"/>
              </w:rPr>
              <w:t>实体</w:t>
            </w:r>
            <w:r>
              <w:rPr>
                <w:rFonts w:asciiTheme="minorEastAsia" w:hAnsiTheme="minorEastAsia"/>
                <w:color w:val="auto"/>
                <w:szCs w:val="21"/>
                <w:highlight w:val="none"/>
              </w:rPr>
              <w:t>按键以按键组合形式锁定/解锁设备。（投标文件中须提供国家认可的第三方检测机构出具的</w:t>
            </w:r>
            <w:r>
              <w:rPr>
                <w:rFonts w:hint="eastAsia" w:asciiTheme="minorEastAsia" w:hAnsiTheme="minorEastAsia"/>
                <w:color w:val="auto"/>
                <w:szCs w:val="21"/>
                <w:highlight w:val="none"/>
              </w:rPr>
              <w:t>锁定屏幕触摸和前置按键</w:t>
            </w:r>
            <w:r>
              <w:rPr>
                <w:rFonts w:asciiTheme="minorEastAsia" w:hAnsiTheme="minorEastAsia"/>
                <w:color w:val="auto"/>
                <w:szCs w:val="21"/>
                <w:highlight w:val="none"/>
              </w:rPr>
              <w:t>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支持通过前置物理按键一键启动录屏功能，可将屏幕中显示的课件、音频等内容与老师人声同步录制，方便制作教学视频。（投标文件中须提供国家认可的第三方检测机构出具的一键录屏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5）支持通过前置物理按键一键启动减滤蓝光功能，保护视觉健康。（投标文件中须提供国家认可的第三方检测机构出具的</w:t>
            </w:r>
            <w:r>
              <w:rPr>
                <w:rFonts w:hint="eastAsia" w:asciiTheme="minorEastAsia" w:hAnsiTheme="minorEastAsia"/>
                <w:color w:val="auto"/>
                <w:szCs w:val="21"/>
                <w:highlight w:val="none"/>
              </w:rPr>
              <w:t>减滤蓝光</w:t>
            </w:r>
            <w:r>
              <w:rPr>
                <w:rFonts w:asciiTheme="minorEastAsia" w:hAnsiTheme="minorEastAsia"/>
                <w:color w:val="auto"/>
                <w:szCs w:val="21"/>
                <w:highlight w:val="none"/>
              </w:rPr>
              <w:t>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2.整机前置接口</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1）前置USB3.0接口≥2路，满足用户使用需要。</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前置USB接口全部支持双系统读取，将U盘插入任意前置USB3.0接口，均能被Windows及Android系统识别，无需区分接口对应系统，减少误操作。（投标文件中须提供国家认可的第三方检测机构出具的此项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3.安全密钥功能</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1）支持智能U盘锁功能，整机可设置触摸及按键自动锁定，保证无关人士无法自由操作，需要使用时只需插入USB key即可解锁。（投标文件中须提供国家认可的第三方检测机构出具的智能U盘锁功能检测报告复印件）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2）Android支持屏幕密码锁功能，可锁定屏幕、按键，可自定义解锁密码。</w:t>
            </w:r>
          </w:p>
          <w:p>
            <w:pPr>
              <w:rPr>
                <w:rFonts w:asciiTheme="minorEastAsia" w:hAnsiTheme="minorEastAsia"/>
                <w:color w:val="auto"/>
                <w:szCs w:val="21"/>
                <w:highlight w:val="none"/>
              </w:rPr>
            </w:pPr>
            <w:r>
              <w:rPr>
                <w:rFonts w:asciiTheme="minorEastAsia" w:hAnsiTheme="minorEastAsia"/>
                <w:color w:val="auto"/>
                <w:szCs w:val="21"/>
                <w:highlight w:val="none"/>
              </w:rPr>
              <w:t>4.其他功能</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1）开机画面支持自定义（调试菜单），可设置为文字、图片。</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2）自动节能功能：当设备在五分钟内处于无信号接收状态时，将会自动关机，节省能耗。</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3）智能亮度调节：整机能感应并自动调节屏幕亮度来达到在不同光照环境下的不同亮度显示效果。</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4）触摸中控菜单：内置触摸中控菜单，将信号源通道切换、亮度对比度调节、声音图像调节等整合到同一菜单下，无须实体按键，在任意显示通道下均可通过手势在屏幕上调取该触摸菜单，方便快捷。</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5）通道信号源名称自定义：触摸中控菜单上的通道信号源名称支持自定义，方便老师识别。</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6）快速通道跳转：整机处于非内置PC通道下，在屏幕侧边可调出PC通道按钮，支持用户一键回到PC通道；同时支持用户自定义设置常用快捷通道，可从侧边栏一键进入该通道，提升老师教学效率。</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7）dbx音效：设备支持dbx音效，用户可在菜单中开启/关闭dbx-tv中总恒音、总绚音、总环音的功能。（投标文件中须提供国家认可的第三方检测机构出具的dbx-tv音效功能检测报告复印件）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8）互动课堂：整机处于任意通道下，可调用互动课堂功能，扫描二维码即可进入互动；教师可发起单选题、多选题、抢答题等，答题结束可查看答题结果；教师可开启弹幕互动功能，开启后即可通过移动终端发送信息至交互智能平板展示。（投标文件中须提供国家认可的第三方检测机构出具的互动课堂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9）任意通道画面放大：整机支持任意通道画面放大功能，可在整机任意通道下将画面冻结并双击画面任一部分进行放大，放大后的屏幕画面可进行任意拖拽。</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三、系统参数</w:t>
            </w:r>
          </w:p>
          <w:p>
            <w:pPr>
              <w:rPr>
                <w:rFonts w:asciiTheme="minorEastAsia" w:hAnsiTheme="minorEastAsia"/>
                <w:color w:val="auto"/>
                <w:szCs w:val="21"/>
                <w:highlight w:val="none"/>
              </w:rPr>
            </w:pPr>
            <w:r>
              <w:rPr>
                <w:rFonts w:asciiTheme="minorEastAsia" w:hAnsiTheme="minorEastAsia"/>
                <w:color w:val="auto"/>
                <w:szCs w:val="21"/>
                <w:highlight w:val="none"/>
              </w:rPr>
              <w:t>1.电视系统</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1）输入端子:≥1路VGA；≥1路Audio；≥1路AV；≥1路YPbPr；≥2路HDMI；≥1路TV RF；≥2路USB,其中≥1路可随通道自动切换，方便外接其他设备时在任意通道均可使用；≥1路Line in；≥1路RS232接口；≥1路RJ45。</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2）整机具备HDMI 2.0输入端口≥1路，保证可支持4K×2K信号输入。</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3）输出端子：≥1路耳机；≥1路同轴输出；≥1路Touch USB out。</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4）图像制式：PAL/SECAM/NTSC。</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5）喇叭输出功率：15瓦x2。</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6）内置非独立外扩展的拾音麦克风，拾音距离≥3米，方便录制老师人声；内置非独立外扩展的摄像头，像素≥500万，支持二维码扫码识别功能，帮助用户调用在线资源。（投标文件中须提供国家认可的第三方检测机构出具的</w:t>
            </w:r>
            <w:r>
              <w:rPr>
                <w:rFonts w:hint="eastAsia" w:asciiTheme="minorEastAsia" w:hAnsiTheme="minorEastAsia"/>
                <w:color w:val="auto"/>
                <w:szCs w:val="21"/>
                <w:highlight w:val="none"/>
              </w:rPr>
              <w:t>内置摄像头、内置麦克风</w:t>
            </w:r>
            <w:r>
              <w:rPr>
                <w:rFonts w:asciiTheme="minorEastAsia" w:hAnsiTheme="minorEastAsia"/>
                <w:color w:val="auto"/>
                <w:szCs w:val="21"/>
                <w:highlight w:val="none"/>
              </w:rPr>
              <w:t>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7）内置无线网卡：支持802.11 b/g/n。</w:t>
            </w:r>
          </w:p>
          <w:p>
            <w:pPr>
              <w:rPr>
                <w:rFonts w:asciiTheme="minorEastAsia" w:hAnsiTheme="minorEastAsia"/>
                <w:color w:val="auto"/>
                <w:szCs w:val="21"/>
                <w:highlight w:val="none"/>
              </w:rPr>
            </w:pPr>
            <w:r>
              <w:rPr>
                <w:rFonts w:asciiTheme="minorEastAsia" w:hAnsiTheme="minorEastAsia"/>
                <w:color w:val="auto"/>
                <w:szCs w:val="21"/>
                <w:highlight w:val="none"/>
              </w:rPr>
              <w:t>2.触摸系统</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1）采用红外触控技术，支持在Windows与安卓系统中进行十点触控及十点书写。</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2）书写方式：手指或笔触摸。</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3）定位分辨率：32767*32767。</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4）触摸精准性：整机屏幕触摸有效识别高度＜4.5mm,，即触摸物体距离玻璃外表面高度＜4.5mm时，触摸屏识别为点击操作，保证触摸精准。</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5）触摸屏具有防遮挡功能，触摸接收器在单点或多点遮挡后仍能正常书写，确保老师课堂操作的流畅性。为保证触摸书写流畅度，书写延迟时间＜90ms。</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6）触摸框免驱：支持Windows XP、Windows 7、Windows 8、Windows 8.1、Linux、Mac Os系统外置电脑操作系统接入时，无需安装触摸框驱动。</w:t>
            </w:r>
          </w:p>
          <w:p>
            <w:pPr>
              <w:rPr>
                <w:rFonts w:asciiTheme="minorEastAsia" w:hAnsiTheme="minorEastAsia"/>
                <w:color w:val="auto"/>
                <w:szCs w:val="21"/>
                <w:highlight w:val="none"/>
              </w:rPr>
            </w:pPr>
            <w:r>
              <w:rPr>
                <w:rFonts w:asciiTheme="minorEastAsia" w:hAnsiTheme="minorEastAsia"/>
                <w:color w:val="auto"/>
                <w:szCs w:val="21"/>
                <w:highlight w:val="none"/>
              </w:rPr>
              <w:t>3.嵌入式系统</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智能嵌入式系统版本不低于Android7.0，内存不低于2GB，存储空间不低于8GB。护眼系统：老师在嵌入式系统上使用白板软件时，整机根据用户书写操作智能调节屏幕亮度，在保护老师视力健康的同时保证显示效果。</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换色功能：老师在嵌入式系统白板软件选中笔迹或形状后，可选择不同颜色，对笔迹或形状进行换色，区别各类内容，突出重点。（投标文件中须提供国家认可的第三方检测机构出具的换色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3）无需借助PC，在嵌入式系统下，能对TV多媒体USB所读取到的课件文件进行自动归类，可快速分类查找office文档、多媒体、图片等文件，检索后可直接在界面中打开。</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无需借助PC，嵌入式系统支持超级计算器功能，可进行初级计算、方程（组）智能求解、自动求导求积分等操作；该计算器还可根据用户输入的函数，智能绘制函数图像，提升老师课堂效率。（投标文件中须提供国家认可的第三方检测机构出具的超级计算器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5）无需借助PC，整机可一键进行硬件自检，包括对触摸框、PC模块、光感系统等模块进行检测，并针对不同模块给出问题原因提示。</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6）在PC系统出现异常或需要清除PC数据时，可插入带激活文件的U盘，在嵌入式系统的设置界面中启动PC一键还原功能，将PC系统恢复至出厂状态。</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7）为保证授课正常，嵌入式系统内具备视频展台应用工具，可对摄像头内整个画面进行截图以及对所截取画面进行批注、旋转，支持二分屏或四分屏同时展示画面内容，可任意更换分屏幕画面内容。</w:t>
            </w:r>
          </w:p>
          <w:p>
            <w:pPr>
              <w:rPr>
                <w:rFonts w:asciiTheme="minorEastAsia" w:hAnsiTheme="minorEastAsia"/>
                <w:color w:val="auto"/>
                <w:szCs w:val="21"/>
                <w:highlight w:val="none"/>
              </w:rPr>
            </w:pPr>
            <w:r>
              <w:rPr>
                <w:rFonts w:asciiTheme="minorEastAsia" w:hAnsiTheme="minorEastAsia"/>
                <w:color w:val="auto"/>
                <w:szCs w:val="21"/>
                <w:highlight w:val="none"/>
              </w:rPr>
              <w:t>4.内置电脑系统</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1）采用模块化电脑方案，抽拉内置式，采用≥</w:t>
            </w:r>
            <w:r>
              <w:rPr>
                <w:rFonts w:hint="eastAsia" w:asciiTheme="minorEastAsia" w:hAnsiTheme="minorEastAsia"/>
                <w:color w:val="auto"/>
                <w:szCs w:val="21"/>
                <w:highlight w:val="none"/>
              </w:rPr>
              <w:t>120</w:t>
            </w:r>
            <w:r>
              <w:rPr>
                <w:rFonts w:asciiTheme="minorEastAsia" w:hAnsiTheme="minorEastAsia"/>
                <w:color w:val="auto"/>
                <w:szCs w:val="21"/>
                <w:highlight w:val="none"/>
              </w:rPr>
              <w:t>pin接口，实现无单独接线的插拔。采用按压式卡扣，无需工具即可快速拆卸电脑模块。</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2）内置正版Windows 10 64位中文专业版</w:t>
            </w:r>
            <w:r>
              <w:rPr>
                <w:rFonts w:hint="eastAsia" w:asciiTheme="minorEastAsia" w:hAnsiTheme="minorEastAsia"/>
                <w:color w:val="auto"/>
                <w:szCs w:val="21"/>
                <w:highlight w:val="none"/>
              </w:rPr>
              <w:t>。</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3）处理器：第八代Intel Core i</w:t>
            </w:r>
            <w:r>
              <w:rPr>
                <w:rFonts w:hint="eastAsia" w:asciiTheme="minorEastAsia" w:hAnsiTheme="minorEastAsia"/>
                <w:color w:val="auto"/>
                <w:szCs w:val="21"/>
                <w:highlight w:val="none"/>
              </w:rPr>
              <w:t>3</w:t>
            </w:r>
            <w:r>
              <w:rPr>
                <w:rFonts w:asciiTheme="minorEastAsia" w:hAnsiTheme="minorEastAsia"/>
                <w:color w:val="auto"/>
                <w:szCs w:val="21"/>
                <w:highlight w:val="none"/>
              </w:rPr>
              <w:t>或以上。</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4）内存：4G DDR4笔记本内存或以上。</w:t>
            </w:r>
          </w:p>
          <w:p>
            <w:pPr>
              <w:rPr>
                <w:rFonts w:hint="eastAsia" w:eastAsia="宋体" w:asciiTheme="minorEastAsia" w:hAnsiTheme="minorEastAsia"/>
                <w:color w:val="auto"/>
                <w:szCs w:val="21"/>
                <w:highlight w:val="none"/>
                <w:lang w:eastAsia="zh-CN"/>
              </w:rPr>
            </w:pPr>
            <w:r>
              <w:rPr>
                <w:rFonts w:hint="eastAsia" w:asciiTheme="minorEastAsia" w:hAnsiTheme="minorEastAsia"/>
                <w:color w:val="auto"/>
                <w:szCs w:val="21"/>
                <w:highlight w:val="none"/>
              </w:rPr>
              <w:t>（</w:t>
            </w:r>
            <w:r>
              <w:rPr>
                <w:rFonts w:asciiTheme="minorEastAsia" w:hAnsiTheme="minorEastAsia"/>
                <w:color w:val="auto"/>
                <w:szCs w:val="21"/>
                <w:highlight w:val="none"/>
              </w:rPr>
              <w:t>5）硬盘：</w:t>
            </w:r>
            <w:r>
              <w:rPr>
                <w:rFonts w:hint="eastAsia" w:asciiTheme="minorEastAsia" w:hAnsiTheme="minorEastAsia"/>
                <w:color w:val="auto"/>
                <w:szCs w:val="21"/>
                <w:highlight w:val="none"/>
                <w:lang w:eastAsia="zh-CN"/>
              </w:rPr>
              <w:t>256G或以上固态硬盘</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6）具有独立非外扩展的电脑USB接口：电脑USB接口≥4路，其中USB3.0接口≥2路。</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7）具有独立非外扩展的视频输出接口：≥1路HDMI ；≥1路DP。</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8）具有标准PC防盗锁孔，确保电脑模块安全防盗。</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9）内置网卡：支持10M/100M/1000M自适应。</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四、电子白板教学系统（一体化备授课软件）</w:t>
            </w:r>
          </w:p>
          <w:p>
            <w:pPr>
              <w:rPr>
                <w:rFonts w:asciiTheme="minorEastAsia" w:hAnsiTheme="minorEastAsia"/>
                <w:color w:val="auto"/>
                <w:szCs w:val="21"/>
                <w:highlight w:val="none"/>
              </w:rPr>
            </w:pPr>
            <w:r>
              <w:rPr>
                <w:rFonts w:asciiTheme="minorEastAsia" w:hAnsiTheme="minorEastAsia"/>
                <w:color w:val="auto"/>
                <w:szCs w:val="21"/>
                <w:highlight w:val="none"/>
              </w:rPr>
              <w:t>1.支持课件云存储，无需使用U盘等存储设备，老师只需联网登录即可获取云课件。</w:t>
            </w:r>
          </w:p>
          <w:p>
            <w:pPr>
              <w:rPr>
                <w:rFonts w:asciiTheme="minorEastAsia" w:hAnsiTheme="minorEastAsia"/>
                <w:color w:val="auto"/>
                <w:szCs w:val="21"/>
                <w:highlight w:val="none"/>
              </w:rPr>
            </w:pPr>
            <w:r>
              <w:rPr>
                <w:rFonts w:asciiTheme="minorEastAsia" w:hAnsiTheme="minorEastAsia"/>
                <w:color w:val="auto"/>
                <w:szCs w:val="21"/>
                <w:highlight w:val="none"/>
              </w:rPr>
              <w:t>2.支持课件云同步，课件上的所有修改、操作均可自动同步至云端，无需单独保存上传，确保多终端调用同个课件均为最新版本。</w:t>
            </w:r>
          </w:p>
          <w:p>
            <w:pPr>
              <w:rPr>
                <w:rFonts w:asciiTheme="minorEastAsia" w:hAnsiTheme="minorEastAsia"/>
                <w:color w:val="auto"/>
                <w:szCs w:val="21"/>
                <w:highlight w:val="none"/>
              </w:rPr>
            </w:pPr>
            <w:r>
              <w:rPr>
                <w:rFonts w:asciiTheme="minorEastAsia" w:hAnsiTheme="minorEastAsia"/>
                <w:color w:val="auto"/>
                <w:szCs w:val="21"/>
                <w:highlight w:val="none"/>
              </w:rPr>
              <w:t>3.支持一对多分享云课件，用户可在软件中通过生成课件链接/二维码，分享给其他用户，接收方可点击链接/扫描二维码，通过网页方式浏览课件并体验课件互动功能，方便快捷。同时接收方可在网页版课件页面点击课件下载，登陆软件即可获取课件。</w:t>
            </w:r>
          </w:p>
          <w:p>
            <w:pPr>
              <w:rPr>
                <w:rFonts w:asciiTheme="minorEastAsia" w:hAnsiTheme="minorEastAsia"/>
                <w:color w:val="auto"/>
                <w:szCs w:val="21"/>
                <w:highlight w:val="none"/>
              </w:rPr>
            </w:pPr>
            <w:r>
              <w:rPr>
                <w:rFonts w:asciiTheme="minorEastAsia" w:hAnsiTheme="minorEastAsia"/>
                <w:color w:val="auto"/>
                <w:szCs w:val="21"/>
                <w:highlight w:val="none"/>
              </w:rPr>
              <w:t>4.支持用户在软件中打开pptx格式文件，且用户可在软件中自由编辑原文件中的图片、文字、表格等元素，并支持修改原文件中的动画。方便老师利用软件互动功能在原有PPT基础上修改课件。</w:t>
            </w:r>
          </w:p>
          <w:p>
            <w:pPr>
              <w:rPr>
                <w:rFonts w:asciiTheme="minorEastAsia" w:hAnsiTheme="minorEastAsia"/>
                <w:color w:val="auto"/>
                <w:szCs w:val="21"/>
                <w:highlight w:val="none"/>
              </w:rPr>
            </w:pPr>
            <w:r>
              <w:rPr>
                <w:rFonts w:asciiTheme="minorEastAsia" w:hAnsiTheme="minorEastAsia"/>
                <w:color w:val="auto"/>
                <w:szCs w:val="21"/>
                <w:highlight w:val="none"/>
              </w:rPr>
              <w:t>5.课件背景：提供≥15种背景模板供老师选择，支持自定义背景。</w:t>
            </w:r>
          </w:p>
          <w:p>
            <w:pPr>
              <w:rPr>
                <w:rFonts w:asciiTheme="minorEastAsia" w:hAnsiTheme="minorEastAsia"/>
                <w:color w:val="auto"/>
                <w:szCs w:val="21"/>
                <w:highlight w:val="none"/>
              </w:rPr>
            </w:pPr>
            <w:r>
              <w:rPr>
                <w:rFonts w:asciiTheme="minorEastAsia" w:hAnsiTheme="minorEastAsia"/>
                <w:color w:val="auto"/>
                <w:szCs w:val="21"/>
                <w:highlight w:val="none"/>
              </w:rPr>
              <w:t>6.快捷抠图：无需借助专业图片处理软件，即可在白板软件中对导入的图片进行快捷抠图，处理后的图片主体边缘没有明显毛边，可导出保存成PNG格式。</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7.课堂活动：支持创建互动分类活动，自定义不同类别及对应的对象，类别和对象的样式、数量均可以自定义设置。将不同对象拖拽到不同类别容器中可进行自动识别，正确或错误都会分别进行相应提示。竞争模式下可记录不同操作者的动作和用时，并自动识别排名。白板软件提供≥10种活动模板，直接选择并输入相应内容即可轻松生成完整活动，提升课堂趣味性。</w:t>
            </w:r>
          </w:p>
          <w:p>
            <w:pPr>
              <w:rPr>
                <w:rFonts w:asciiTheme="minorEastAsia" w:hAnsiTheme="minorEastAsia"/>
                <w:color w:val="auto"/>
                <w:szCs w:val="21"/>
                <w:highlight w:val="none"/>
              </w:rPr>
            </w:pPr>
            <w:r>
              <w:rPr>
                <w:rFonts w:asciiTheme="minorEastAsia" w:hAnsiTheme="minorEastAsia"/>
                <w:color w:val="auto"/>
                <w:szCs w:val="21"/>
                <w:highlight w:val="none"/>
              </w:rPr>
              <w:t>8. 思维导图：提供思维导图、鱼骨图及组织结构图编辑功能，可轻松增删或拖拽编辑内容节点，并支持在节点上插入图片、音频、视频、网页链接、课件页面链接。支持思维导图逐级、逐个节点展开，并可任意缩放，满足不同演示需求。支持对思维导图任意相邻节点进行总结，方便老师知识点的总结呈现，同时在节点引出联系内容，方便知识点的关联和发散。</w:t>
            </w:r>
          </w:p>
          <w:p>
            <w:pPr>
              <w:rPr>
                <w:rFonts w:asciiTheme="minorEastAsia" w:hAnsiTheme="minorEastAsia"/>
                <w:color w:val="auto"/>
                <w:szCs w:val="21"/>
                <w:highlight w:val="none"/>
              </w:rPr>
            </w:pPr>
            <w:r>
              <w:rPr>
                <w:rFonts w:asciiTheme="minorEastAsia" w:hAnsiTheme="minorEastAsia"/>
                <w:color w:val="auto"/>
                <w:szCs w:val="21"/>
                <w:highlight w:val="none"/>
              </w:rPr>
              <w:t>9. 表格：</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1）支持对表格进行一键拖动。</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2）支持老师插入表格，并提供5种以上表格样式供老师选择。</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3）支持表格自适应，可一键将表格的行、列调整到最合适的大小。</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4）支持表格遮罩功能，可对表格中任意一格添加遮罩，在授课模式下通过点击可消除遮罩，方便老师设置互动活动。</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5）在授课模式下，支持表格克隆功能，可克隆出多个相同表格，方便老师请多位同学进行答题互动。</w:t>
            </w:r>
          </w:p>
          <w:p>
            <w:pPr>
              <w:rPr>
                <w:rFonts w:asciiTheme="minorEastAsia" w:hAnsiTheme="minorEastAsia"/>
                <w:color w:val="auto"/>
                <w:szCs w:val="21"/>
                <w:highlight w:val="none"/>
              </w:rPr>
            </w:pPr>
            <w:r>
              <w:rPr>
                <w:rFonts w:asciiTheme="minorEastAsia" w:hAnsiTheme="minorEastAsia"/>
                <w:color w:val="auto"/>
                <w:szCs w:val="21"/>
                <w:highlight w:val="none"/>
              </w:rPr>
              <w:t xml:space="preserve">10.页面备注：为便捷记录备授课思路，为后续研究查阅提供可靠参考，软件提供页面备注功能，能够单独为每页课件添加页面备注。 </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11.画板工具：支持美术画板工具，提供铅笔、毛笔、油画笔，可实现模拟调色盘功能，老师可自由选择不同颜色进行混合调色，搭配出任意色彩。</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12. 3D星球模型：提供3D立体星球模型，包括地球、太阳、火星、水星、木星、金星、土星、海王星、天王星，支持360°自由旋转、缩放展示。3D立体地球模型可清晰展现地球表面的六大板块、降水分布、气温分布、气候分布、人口分布、表层洋流、陆地自然带、海平面等压线等内容，且支持三维、二维切换展示，便于教学研究。</w:t>
            </w:r>
          </w:p>
          <w:p>
            <w:pPr>
              <w:rPr>
                <w:rFonts w:asciiTheme="minorEastAsia" w:hAnsiTheme="minorEastAsia"/>
                <w:color w:val="auto"/>
                <w:szCs w:val="21"/>
                <w:highlight w:val="none"/>
              </w:rPr>
            </w:pPr>
            <w:r>
              <w:rPr>
                <w:rFonts w:asciiTheme="minorEastAsia" w:hAnsiTheme="minorEastAsia"/>
                <w:color w:val="auto"/>
                <w:szCs w:val="21"/>
                <w:highlight w:val="none"/>
              </w:rPr>
              <w:t>13. 板中板：支持授课过程中调用板中板辅助教学，可进行批注、加页及背景色切换；板中板支持插入图片、音视频素材进行独立讲解，不影响课件主画面</w:t>
            </w:r>
          </w:p>
          <w:p>
            <w:pPr>
              <w:rPr>
                <w:rFonts w:asciiTheme="minorEastAsia" w:hAnsiTheme="minorEastAsia"/>
                <w:color w:val="auto"/>
                <w:szCs w:val="21"/>
                <w:highlight w:val="none"/>
              </w:rPr>
            </w:pPr>
            <w:r>
              <w:rPr>
                <w:rFonts w:asciiTheme="minorEastAsia" w:hAnsiTheme="minorEastAsia"/>
                <w:color w:val="auto"/>
                <w:szCs w:val="21"/>
                <w:highlight w:val="none"/>
              </w:rPr>
              <w:t>14. 立体几何：</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1）支持绘制立方体、圆柱体等立体几何图形。</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2）支持任意调节立体几何图形的尺寸，改变长宽高比例。</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3）支持沿任意方向旋转立体几何。</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4）支持为长方体6个面分别涂色，并且可通过任意旋转观察涂色与未涂色的表面。</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5）支持对立方体进行多种方式展开，并可对展开立方体平面图进行旋转操作。</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15.数学公式编辑器：支持中文、复杂数学公式输入，并且支持直接用键盘enter键换行，提供数学符号和模板总数≥40个，输出的公式内容支持不同颜色标记及二次编辑。</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16. 提供覆盖小学及初高中的古诗词、古文教学资源：包含原文、翻译、背景介绍、作者介绍、原文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自主创建的古诗词自动保存至云端供教学复用。备课时可对原文进行注释、标重点等操作；提供原文朗读音频，全部诗词、古文均配备专业朗读配音，朗读音频</w:t>
            </w:r>
            <w:r>
              <w:rPr>
                <w:rFonts w:hint="eastAsia" w:asciiTheme="minorEastAsia" w:hAnsiTheme="minorEastAsia"/>
                <w:color w:val="auto"/>
                <w:szCs w:val="21"/>
                <w:highlight w:val="none"/>
              </w:rPr>
              <w:t>支持关键帧打点标记。</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五、远程无线授课软件</w:t>
            </w:r>
          </w:p>
          <w:p>
            <w:pPr>
              <w:rPr>
                <w:rFonts w:asciiTheme="minorEastAsia" w:hAnsiTheme="minorEastAsia"/>
                <w:color w:val="auto"/>
                <w:szCs w:val="21"/>
                <w:highlight w:val="none"/>
              </w:rPr>
            </w:pPr>
            <w:r>
              <w:rPr>
                <w:rFonts w:asciiTheme="minorEastAsia" w:hAnsiTheme="minorEastAsia"/>
                <w:color w:val="auto"/>
                <w:szCs w:val="21"/>
                <w:highlight w:val="none"/>
              </w:rPr>
              <w:t>1. 支持Android 4.0及IOS 7.0以上版本系统。</w:t>
            </w:r>
          </w:p>
          <w:p>
            <w:pPr>
              <w:rPr>
                <w:rFonts w:asciiTheme="minorEastAsia" w:hAnsiTheme="minorEastAsia"/>
                <w:color w:val="auto"/>
                <w:szCs w:val="21"/>
                <w:highlight w:val="none"/>
              </w:rPr>
            </w:pPr>
            <w:r>
              <w:rPr>
                <w:rFonts w:asciiTheme="minorEastAsia" w:hAnsiTheme="minorEastAsia"/>
                <w:color w:val="auto"/>
                <w:szCs w:val="21"/>
                <w:highlight w:val="none"/>
              </w:rPr>
              <w:t>2. 支持手机投屏，可通过该软件将手机屏幕画面实时投影到大屏上。</w:t>
            </w:r>
          </w:p>
          <w:p>
            <w:pPr>
              <w:rPr>
                <w:rFonts w:asciiTheme="minorEastAsia" w:hAnsiTheme="minorEastAsia"/>
                <w:color w:val="auto"/>
                <w:szCs w:val="21"/>
                <w:highlight w:val="none"/>
              </w:rPr>
            </w:pPr>
            <w:r>
              <w:rPr>
                <w:rFonts w:asciiTheme="minorEastAsia" w:hAnsiTheme="minorEastAsia"/>
                <w:color w:val="auto"/>
                <w:szCs w:val="21"/>
                <w:highlight w:val="none"/>
              </w:rPr>
              <w:t>3. 支持MSOffice PPT远程同步，可通过移动端对智能平板上的PPT实现页面预览、远程翻页、双向批注等功能。</w:t>
            </w:r>
          </w:p>
          <w:p>
            <w:pPr>
              <w:rPr>
                <w:rFonts w:asciiTheme="minorEastAsia" w:hAnsiTheme="minorEastAsia"/>
                <w:color w:val="auto"/>
                <w:szCs w:val="21"/>
                <w:highlight w:val="none"/>
              </w:rPr>
            </w:pPr>
            <w:r>
              <w:rPr>
                <w:rFonts w:asciiTheme="minorEastAsia" w:hAnsiTheme="minorEastAsia"/>
                <w:color w:val="auto"/>
                <w:szCs w:val="21"/>
                <w:highlight w:val="none"/>
              </w:rPr>
              <w:t>4. 支持模拟电脑触摸板功能，能够对智能平板进行远程控制，支持鼠标左键/右键、双指滚轮，并有常用快捷键按键集成，如一键关闭窗口、一键切换窗口、一键回到桌面、一键打开键盘等。</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六、家校互通系统软件</w:t>
            </w:r>
          </w:p>
          <w:p>
            <w:pPr>
              <w:rPr>
                <w:rFonts w:asciiTheme="minorEastAsia" w:hAnsiTheme="minorEastAsia"/>
                <w:color w:val="auto"/>
                <w:szCs w:val="21"/>
                <w:highlight w:val="none"/>
              </w:rPr>
            </w:pPr>
            <w:r>
              <w:rPr>
                <w:rFonts w:asciiTheme="minorEastAsia" w:hAnsiTheme="minorEastAsia"/>
                <w:color w:val="auto"/>
                <w:szCs w:val="21"/>
                <w:highlight w:val="none"/>
              </w:rPr>
              <w:t>1.集成四大功能模块：学校管理中心、教师管理中心、课堂表现评价、家校互联互通，功能及操作均在同一软件平台同一账号体系实现。</w:t>
            </w:r>
          </w:p>
          <w:p>
            <w:pPr>
              <w:rPr>
                <w:rFonts w:asciiTheme="minorEastAsia" w:hAnsiTheme="minorEastAsia"/>
                <w:color w:val="auto"/>
                <w:szCs w:val="21"/>
                <w:highlight w:val="none"/>
              </w:rPr>
            </w:pPr>
            <w:r>
              <w:rPr>
                <w:rFonts w:asciiTheme="minorEastAsia" w:hAnsiTheme="minorEastAsia"/>
                <w:color w:val="auto"/>
                <w:szCs w:val="21"/>
                <w:highlight w:val="none"/>
              </w:rPr>
              <w:t>2.支持PC客户端、PC网页端、安卓手机端、苹果手机端登陆使用，且各个端的数据是互通的，方便教师随时随地对学生进行管理与评价。</w:t>
            </w:r>
          </w:p>
          <w:p>
            <w:pPr>
              <w:rPr>
                <w:rFonts w:asciiTheme="minorEastAsia" w:hAnsiTheme="minorEastAsia"/>
                <w:color w:val="auto"/>
                <w:szCs w:val="21"/>
                <w:highlight w:val="none"/>
              </w:rPr>
            </w:pPr>
            <w:r>
              <w:rPr>
                <w:rFonts w:asciiTheme="minorEastAsia" w:hAnsiTheme="minorEastAsia"/>
                <w:color w:val="auto"/>
                <w:szCs w:val="21"/>
                <w:highlight w:val="none"/>
              </w:rPr>
              <w:t>3.支持教师使用学生行为评价系统手机客户端，扫码登录学生行为评价系统PC客户端或PC网页端，减少教师登录操作。</w:t>
            </w:r>
          </w:p>
          <w:p>
            <w:pPr>
              <w:rPr>
                <w:rFonts w:asciiTheme="minorEastAsia" w:hAnsiTheme="minorEastAsia"/>
                <w:color w:val="auto"/>
                <w:szCs w:val="21"/>
                <w:highlight w:val="none"/>
              </w:rPr>
            </w:pPr>
            <w:r>
              <w:rPr>
                <w:rFonts w:asciiTheme="minorEastAsia" w:hAnsiTheme="minorEastAsia"/>
                <w:color w:val="auto"/>
                <w:szCs w:val="21"/>
                <w:highlight w:val="none"/>
              </w:rPr>
              <w:t>4.支持邀请家长入班，使家长可查看到自己子女的在校表现。</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5.教师可通过移动端、PC端及网页端对学生、小组及班级进行行为评价打分。</w:t>
            </w:r>
          </w:p>
          <w:p>
            <w:pPr>
              <w:rPr>
                <w:rFonts w:asciiTheme="minorEastAsia" w:hAnsiTheme="minorEastAsia"/>
                <w:color w:val="auto"/>
                <w:szCs w:val="21"/>
                <w:highlight w:val="none"/>
              </w:rPr>
            </w:pPr>
            <w:r>
              <w:rPr>
                <w:rFonts w:asciiTheme="minorEastAsia" w:hAnsiTheme="minorEastAsia"/>
                <w:color w:val="auto"/>
                <w:szCs w:val="21"/>
                <w:highlight w:val="none"/>
              </w:rPr>
              <w:t>6.软件预设的头像类型不少于9种，并支持教师自定义符合自身教学需求的学生头像。软件预设的评价类型不少于6种，并支持教师自定义符合自身教学需求的评价类型，可设置对应的图标、名称和分数。</w:t>
            </w:r>
          </w:p>
          <w:p>
            <w:pPr>
              <w:rPr>
                <w:rFonts w:asciiTheme="minorEastAsia" w:hAnsiTheme="minorEastAsia"/>
                <w:color w:val="auto"/>
                <w:szCs w:val="21"/>
                <w:highlight w:val="none"/>
              </w:rPr>
            </w:pPr>
            <w:r>
              <w:rPr>
                <w:rFonts w:asciiTheme="minorEastAsia" w:hAnsiTheme="minorEastAsia"/>
                <w:color w:val="auto"/>
                <w:szCs w:val="21"/>
                <w:highlight w:val="none"/>
              </w:rPr>
              <w:t>7.为提高课堂趣味性，软件支持随机抽选学生进行评价。</w:t>
            </w:r>
          </w:p>
          <w:p>
            <w:pPr>
              <w:rPr>
                <w:rFonts w:asciiTheme="minorEastAsia" w:hAnsiTheme="minorEastAsia"/>
                <w:color w:val="auto"/>
                <w:szCs w:val="21"/>
                <w:highlight w:val="none"/>
              </w:rPr>
            </w:pPr>
            <w:r>
              <w:rPr>
                <w:rFonts w:asciiTheme="minorEastAsia" w:hAnsiTheme="minorEastAsia"/>
                <w:color w:val="auto"/>
                <w:szCs w:val="21"/>
                <w:highlight w:val="none"/>
              </w:rPr>
              <w:t>8.支持考勤功能，可设置学生状态如出勤、迟到、缺勤、请假等。</w:t>
            </w:r>
          </w:p>
          <w:p>
            <w:pPr>
              <w:rPr>
                <w:rFonts w:asciiTheme="minorEastAsia" w:hAnsiTheme="minorEastAsia"/>
                <w:color w:val="auto"/>
                <w:szCs w:val="21"/>
                <w:highlight w:val="none"/>
              </w:rPr>
            </w:pPr>
            <w:r>
              <w:rPr>
                <w:rFonts w:asciiTheme="minorEastAsia" w:hAnsiTheme="minorEastAsia"/>
                <w:color w:val="auto"/>
                <w:szCs w:val="21"/>
                <w:highlight w:val="none"/>
              </w:rPr>
              <w:t>9.支持查看课堂表现评价统计报表，按饼状图形式展现学生课堂表现情况，支持查看班级或学生个人的评价情况，便于教师做统计分析。报表数据支持导出成excel文件。支持查看课堂考勤统计报表，可具体看到某一天的课程有几人未出勤，以及每个人的考勤状态。</w:t>
            </w:r>
          </w:p>
          <w:p>
            <w:pPr>
              <w:rPr>
                <w:rFonts w:asciiTheme="minorEastAsia" w:hAnsiTheme="minorEastAsia"/>
                <w:color w:val="auto"/>
                <w:szCs w:val="21"/>
                <w:highlight w:val="none"/>
              </w:rPr>
            </w:pPr>
            <w:r>
              <w:rPr>
                <w:rFonts w:asciiTheme="minorEastAsia" w:hAnsiTheme="minorEastAsia"/>
                <w:color w:val="auto"/>
                <w:szCs w:val="21"/>
                <w:highlight w:val="none"/>
              </w:rPr>
              <w:t>10.支持导出excel格式的班级学生表现分数，也可以导出pdf格式的每个学生的表现报告。</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七、其他要求</w:t>
            </w:r>
          </w:p>
          <w:p>
            <w:pPr>
              <w:rPr>
                <w:rFonts w:asciiTheme="minorEastAsia" w:hAnsiTheme="minorEastAsia"/>
                <w:color w:val="auto"/>
                <w:szCs w:val="21"/>
                <w:highlight w:val="none"/>
              </w:rPr>
            </w:pPr>
            <w:r>
              <w:rPr>
                <w:rFonts w:asciiTheme="minorEastAsia" w:hAnsiTheme="minorEastAsia"/>
                <w:color w:val="auto"/>
                <w:szCs w:val="21"/>
                <w:highlight w:val="none"/>
              </w:rPr>
              <w:t>1.为确保设备功能真实有效，正式供货时业主有权要求供应商提供与招标文件技术要求及功能符合的设备一套，根据招标文件进行所有性能参数的逐条核对，作为项目验收的依据。所提供设备若不符合招标要求，视为虚假应标并根据招标法及招标文件要求追究法律责任。</w:t>
            </w:r>
          </w:p>
          <w:p>
            <w:pPr>
              <w:rPr>
                <w:rFonts w:asciiTheme="minorEastAsia" w:hAnsiTheme="minorEastAsia"/>
                <w:color w:val="auto"/>
                <w:szCs w:val="21"/>
                <w:highlight w:val="none"/>
              </w:rPr>
            </w:pPr>
            <w:r>
              <w:rPr>
                <w:rFonts w:asciiTheme="minorEastAsia" w:hAnsiTheme="minorEastAsia"/>
                <w:color w:val="auto"/>
                <w:szCs w:val="21"/>
                <w:highlight w:val="none"/>
              </w:rPr>
              <w:t>2.为确保所供应货物为全新且含质保产品，正式供货时中标单位须提供制造商针对此项目的供货证明原件、售后服务承诺函原件，且均需加盖投标人公章。</w:t>
            </w:r>
          </w:p>
        </w:tc>
        <w:tc>
          <w:tcPr>
            <w:tcW w:w="698"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套</w:t>
            </w:r>
          </w:p>
        </w:tc>
        <w:tc>
          <w:tcPr>
            <w:tcW w:w="1003"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7</w:t>
            </w:r>
            <w:r>
              <w:rPr>
                <w:rFonts w:asciiTheme="minorEastAsia" w:hAnsiTheme="minorEastAsia"/>
                <w:color w:val="auto"/>
                <w:szCs w:val="21"/>
                <w:highlight w:val="none"/>
              </w:rPr>
              <w:t>8</w:t>
            </w:r>
          </w:p>
        </w:tc>
        <w:tc>
          <w:tcPr>
            <w:tcW w:w="851" w:type="dxa"/>
            <w:vAlign w:val="center"/>
          </w:tcPr>
          <w:p>
            <w:pPr>
              <w:jc w:val="center"/>
              <w:rPr>
                <w:rFonts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36"/>
              <w:numPr>
                <w:ilvl w:val="0"/>
                <w:numId w:val="3"/>
              </w:numPr>
              <w:ind w:firstLineChars="0"/>
              <w:jc w:val="center"/>
              <w:rPr>
                <w:rFonts w:asciiTheme="minorEastAsia" w:hAnsiTheme="minorEastAsia"/>
                <w:color w:val="auto"/>
                <w:szCs w:val="21"/>
                <w:highlight w:val="none"/>
              </w:rPr>
            </w:pPr>
          </w:p>
        </w:tc>
        <w:tc>
          <w:tcPr>
            <w:tcW w:w="1252" w:type="dxa"/>
            <w:vAlign w:val="center"/>
          </w:tcPr>
          <w:p>
            <w:pPr>
              <w:spacing w:line="360" w:lineRule="auto"/>
              <w:rPr>
                <w:rFonts w:cs="宋体" w:asciiTheme="minorEastAsia" w:hAnsiTheme="minorEastAsia"/>
                <w:bCs/>
                <w:color w:val="auto"/>
                <w:kern w:val="0"/>
                <w:szCs w:val="21"/>
                <w:highlight w:val="none"/>
              </w:rPr>
            </w:pPr>
            <w:r>
              <w:rPr>
                <w:rFonts w:hint="eastAsia" w:asciiTheme="minorEastAsia" w:hAnsiTheme="minorEastAsia"/>
                <w:color w:val="auto"/>
                <w:szCs w:val="21"/>
                <w:highlight w:val="none"/>
              </w:rPr>
              <w:t>视频展台</w:t>
            </w:r>
          </w:p>
        </w:tc>
        <w:tc>
          <w:tcPr>
            <w:tcW w:w="6018" w:type="dxa"/>
          </w:tcPr>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硬件功能：</w:t>
            </w:r>
          </w:p>
          <w:p>
            <w:pPr>
              <w:numPr>
                <w:ilvl w:val="0"/>
                <w:numId w:val="4"/>
              </w:numPr>
              <w:rPr>
                <w:rFonts w:asciiTheme="minorEastAsia" w:hAnsiTheme="minorEastAsia"/>
                <w:color w:val="auto"/>
                <w:szCs w:val="21"/>
                <w:highlight w:val="none"/>
              </w:rPr>
            </w:pPr>
            <w:r>
              <w:rPr>
                <w:rFonts w:asciiTheme="minorEastAsia" w:hAnsiTheme="minorEastAsia"/>
                <w:color w:val="auto"/>
                <w:szCs w:val="21"/>
                <w:highlight w:val="none"/>
              </w:rPr>
              <w:t>采用≥800万像素摄像头；采用 USB五伏电源直接供电，无需额外配置电源适配器，环保无辐射；箱内USB连线采用隐藏式设计，箱内无可见连线且USB口下出，有效防止积尘，且方便布线和返修。</w:t>
            </w:r>
          </w:p>
          <w:p>
            <w:pPr>
              <w:numPr>
                <w:ilvl w:val="0"/>
                <w:numId w:val="4"/>
              </w:numPr>
              <w:rPr>
                <w:rFonts w:asciiTheme="minorEastAsia" w:hAnsiTheme="minorEastAsia"/>
                <w:color w:val="auto"/>
                <w:szCs w:val="21"/>
                <w:highlight w:val="none"/>
              </w:rPr>
            </w:pPr>
            <w:r>
              <w:rPr>
                <w:rFonts w:asciiTheme="minorEastAsia" w:hAnsiTheme="minorEastAsia"/>
                <w:color w:val="auto"/>
                <w:szCs w:val="21"/>
                <w:highlight w:val="none"/>
              </w:rPr>
              <w:t>展示托板正上方具备LED补光灯，保证展示区域的亮度及展示效果，补光灯开关采用触摸按键设计</w:t>
            </w:r>
            <w:r>
              <w:rPr>
                <w:rFonts w:hint="eastAsia" w:asciiTheme="minorEastAsia" w:hAnsiTheme="minorEastAsia"/>
                <w:color w:val="auto"/>
                <w:szCs w:val="21"/>
                <w:highlight w:val="none"/>
              </w:rPr>
              <w:t>。</w:t>
            </w:r>
          </w:p>
          <w:p>
            <w:pPr>
              <w:numPr>
                <w:ilvl w:val="0"/>
                <w:numId w:val="4"/>
              </w:numPr>
              <w:rPr>
                <w:rFonts w:asciiTheme="minorEastAsia" w:hAnsiTheme="minorEastAsia"/>
                <w:color w:val="auto"/>
                <w:szCs w:val="21"/>
                <w:highlight w:val="none"/>
              </w:rPr>
            </w:pPr>
            <w:r>
              <w:rPr>
                <w:rFonts w:asciiTheme="minorEastAsia" w:hAnsiTheme="minorEastAsia"/>
                <w:color w:val="auto"/>
                <w:szCs w:val="21"/>
                <w:highlight w:val="none"/>
              </w:rPr>
              <w:t>A4大小拍摄幅面，1080P动态视频预览达到30帧/秒；托板及挂墙部分采用金属加强，托板可承重3kg，整机壁挂式安装。</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视频展台软件功能：</w:t>
            </w:r>
          </w:p>
          <w:p>
            <w:pPr>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.支持展台成像画面实时批注，预设多种笔划粗细及颜色供选择，且支持对展台成像画面联同批注内容进行同步缩放、移动。</w:t>
            </w:r>
          </w:p>
          <w:p>
            <w:pPr>
              <w:rPr>
                <w:rFonts w:asciiTheme="minorEastAsia" w:hAnsiTheme="minorEastAsia"/>
                <w:color w:val="auto"/>
                <w:szCs w:val="21"/>
                <w:highlight w:val="none"/>
              </w:rPr>
            </w:pPr>
            <w:r>
              <w:rPr>
                <w:rFonts w:hint="eastAsia" w:asciiTheme="minorEastAsia" w:hAnsiTheme="minorEastAsia"/>
                <w:color w:val="auto"/>
                <w:szCs w:val="21"/>
                <w:highlight w:val="none"/>
              </w:rPr>
              <w:t>2</w:t>
            </w:r>
            <w:r>
              <w:rPr>
                <w:rFonts w:asciiTheme="minorEastAsia" w:hAnsiTheme="minorEastAsia"/>
                <w:color w:val="auto"/>
                <w:szCs w:val="21"/>
                <w:highlight w:val="none"/>
              </w:rPr>
              <w:t>.同时可通过交互智能平板中的软件直接控制开关；带自动对焦摄像头。</w:t>
            </w:r>
          </w:p>
          <w:p>
            <w:pPr>
              <w:rPr>
                <w:rFonts w:asciiTheme="minorEastAsia" w:hAnsiTheme="minorEastAsia"/>
                <w:b/>
                <w:bCs/>
                <w:color w:val="auto"/>
                <w:szCs w:val="21"/>
                <w:highlight w:val="none"/>
              </w:rPr>
            </w:pPr>
            <w:r>
              <w:rPr>
                <w:rFonts w:hint="eastAsia" w:asciiTheme="minorEastAsia" w:hAnsiTheme="minorEastAsia"/>
                <w:color w:val="auto"/>
                <w:szCs w:val="21"/>
                <w:highlight w:val="none"/>
              </w:rPr>
              <w:t>★3</w:t>
            </w:r>
            <w:r>
              <w:rPr>
                <w:rFonts w:asciiTheme="minorEastAsia" w:hAnsiTheme="minorEastAsia"/>
                <w:color w:val="auto"/>
                <w:szCs w:val="21"/>
                <w:highlight w:val="none"/>
              </w:rPr>
              <w:t>.具有故障自动检测功能：在调用展台却无法出现镜头采集画面信号时，可自动出现检测链接，并给出导致性原因（如硬件连接、摄像头占用、配套软件版本等问题）。</w:t>
            </w:r>
          </w:p>
        </w:tc>
        <w:tc>
          <w:tcPr>
            <w:tcW w:w="698"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套</w:t>
            </w:r>
          </w:p>
        </w:tc>
        <w:tc>
          <w:tcPr>
            <w:tcW w:w="1003"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7</w:t>
            </w:r>
            <w:r>
              <w:rPr>
                <w:rFonts w:asciiTheme="minorEastAsia" w:hAnsiTheme="minorEastAsia"/>
                <w:color w:val="auto"/>
                <w:szCs w:val="21"/>
                <w:highlight w:val="none"/>
              </w:rPr>
              <w:t>8</w:t>
            </w:r>
          </w:p>
        </w:tc>
        <w:tc>
          <w:tcPr>
            <w:tcW w:w="851" w:type="dxa"/>
            <w:vAlign w:val="center"/>
          </w:tcPr>
          <w:p>
            <w:pPr>
              <w:jc w:val="center"/>
              <w:rPr>
                <w:rFonts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36"/>
              <w:numPr>
                <w:ilvl w:val="0"/>
                <w:numId w:val="3"/>
              </w:numPr>
              <w:ind w:firstLineChars="0"/>
              <w:jc w:val="center"/>
              <w:rPr>
                <w:rFonts w:asciiTheme="minorEastAsia" w:hAnsiTheme="minorEastAsia"/>
                <w:color w:val="auto"/>
                <w:szCs w:val="21"/>
                <w:highlight w:val="none"/>
              </w:rPr>
            </w:pPr>
          </w:p>
        </w:tc>
        <w:tc>
          <w:tcPr>
            <w:tcW w:w="1252" w:type="dxa"/>
            <w:vAlign w:val="center"/>
          </w:tcPr>
          <w:p>
            <w:pPr>
              <w:spacing w:line="360" w:lineRule="auto"/>
              <w:jc w:val="left"/>
              <w:rPr>
                <w:rFonts w:asciiTheme="minorEastAsia" w:hAnsiTheme="minorEastAsia"/>
                <w:color w:val="auto"/>
                <w:szCs w:val="21"/>
                <w:highlight w:val="none"/>
              </w:rPr>
            </w:pPr>
            <w:r>
              <w:rPr>
                <w:rFonts w:hint="eastAsia" w:asciiTheme="minorEastAsia" w:hAnsiTheme="minorEastAsia"/>
                <w:color w:val="auto"/>
                <w:szCs w:val="21"/>
                <w:highlight w:val="none"/>
              </w:rPr>
              <w:t>环保推拉黑板</w:t>
            </w:r>
          </w:p>
        </w:tc>
        <w:tc>
          <w:tcPr>
            <w:tcW w:w="6018" w:type="dxa"/>
          </w:tcPr>
          <w:p>
            <w:pPr>
              <w:rPr>
                <w:rFonts w:asciiTheme="minorEastAsia" w:hAnsiTheme="minorEastAsia"/>
                <w:color w:val="auto"/>
                <w:szCs w:val="21"/>
                <w:highlight w:val="none"/>
              </w:rPr>
            </w:pPr>
            <w:r>
              <w:rPr>
                <w:rFonts w:asciiTheme="minorEastAsia" w:hAnsiTheme="minorEastAsia"/>
                <w:color w:val="auto"/>
                <w:szCs w:val="21"/>
                <w:highlight w:val="none"/>
              </w:rPr>
              <w:t>1、</w:t>
            </w:r>
            <w:r>
              <w:rPr>
                <w:rFonts w:hint="eastAsia" w:asciiTheme="minorEastAsia" w:hAnsiTheme="minorEastAsia"/>
                <w:color w:val="auto"/>
                <w:szCs w:val="21"/>
                <w:highlight w:val="none"/>
              </w:rPr>
              <w:t>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w:t>
            </w:r>
          </w:p>
          <w:p>
            <w:pPr>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基本尺寸：≥4</w:t>
            </w:r>
            <w:r>
              <w:rPr>
                <w:rFonts w:asciiTheme="minorEastAsia" w:hAnsiTheme="minorEastAsia"/>
                <w:color w:val="auto"/>
                <w:szCs w:val="21"/>
                <w:highlight w:val="none"/>
              </w:rPr>
              <w:t>0</w:t>
            </w:r>
            <w:r>
              <w:rPr>
                <w:rFonts w:hint="eastAsia" w:asciiTheme="minorEastAsia" w:hAnsiTheme="minorEastAsia"/>
                <w:color w:val="auto"/>
                <w:szCs w:val="21"/>
                <w:highlight w:val="none"/>
              </w:rPr>
              <w:t>00mm×1</w:t>
            </w:r>
            <w:r>
              <w:rPr>
                <w:rFonts w:asciiTheme="minorEastAsia" w:hAnsiTheme="minorEastAsia"/>
                <w:color w:val="auto"/>
                <w:szCs w:val="21"/>
                <w:highlight w:val="none"/>
              </w:rPr>
              <w:t>305</w:t>
            </w:r>
            <w:r>
              <w:rPr>
                <w:rFonts w:hint="eastAsia" w:asciiTheme="minorEastAsia" w:hAnsiTheme="minorEastAsia"/>
                <w:color w:val="auto"/>
                <w:szCs w:val="21"/>
                <w:highlight w:val="none"/>
              </w:rPr>
              <w:t>mm，可根据所配电子产品适当调整，确保与电子产品的有效配套。</w:t>
            </w:r>
          </w:p>
          <w:p>
            <w:pPr>
              <w:rPr>
                <w:rFonts w:asciiTheme="minorEastAsia" w:hAnsiTheme="minorEastAsia"/>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书写板面：采用280℃高温烤漆板面，墨绿色、亚光，厚度≥0.32mm，漆膜硬度6H，粗糙度Ra1.6-3.2um，光泽度≤6﹪，没有明显眩光，板面表面附有一层透明保护膜，符合GB/T 28231-2011《书写板安全卫生要求》。</w:t>
            </w:r>
          </w:p>
          <w:p>
            <w:pPr>
              <w:rPr>
                <w:rFonts w:asciiTheme="minorEastAsia" w:hAnsiTheme="minorEastAsia"/>
                <w:color w:val="auto"/>
                <w:szCs w:val="21"/>
                <w:highlight w:val="none"/>
              </w:rPr>
            </w:pPr>
            <w:r>
              <w:rPr>
                <w:rFonts w:asciiTheme="minorEastAsia" w:hAnsiTheme="minorEastAsia"/>
                <w:color w:val="auto"/>
                <w:szCs w:val="21"/>
                <w:highlight w:val="none"/>
              </w:rPr>
              <w:t>4_</w:t>
            </w:r>
            <w:r>
              <w:rPr>
                <w:rFonts w:hint="eastAsia" w:asciiTheme="minorEastAsia" w:hAnsiTheme="minorEastAsia"/>
                <w:color w:val="auto"/>
                <w:szCs w:val="21"/>
                <w:highlight w:val="none"/>
              </w:rPr>
              <w:t>内芯材料：高强度、吸音、聚苯乙烯泡沫板，采用国际适用工艺，书写无吱咔声，改善书写手感。</w:t>
            </w:r>
          </w:p>
          <w:p>
            <w:pPr>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背板：采用优质防锈热镀锌钢板，厚度≥0.25mm，流水线一次成型，间隔80mm压有20mm凹槽加强筋,此技术为专利产品，确保均布承压不低于635N，凹槽造型美观、增加强度，更加耐用。</w:t>
            </w:r>
          </w:p>
          <w:p>
            <w:pPr>
              <w:rPr>
                <w:rFonts w:asciiTheme="minorEastAsia" w:hAnsiTheme="minorEastAsia"/>
                <w:color w:val="auto"/>
                <w:szCs w:val="21"/>
                <w:highlight w:val="none"/>
              </w:rPr>
            </w:pPr>
            <w:r>
              <w:rPr>
                <w:rFonts w:asciiTheme="minorEastAsia" w:hAnsiTheme="minorEastAsia"/>
                <w:color w:val="auto"/>
                <w:szCs w:val="21"/>
                <w:highlight w:val="none"/>
              </w:rPr>
              <w:t>6、</w:t>
            </w:r>
            <w:r>
              <w:rPr>
                <w:rFonts w:hint="eastAsia" w:asciiTheme="minorEastAsia" w:hAnsiTheme="minorEastAsia"/>
                <w:color w:val="auto"/>
                <w:szCs w:val="21"/>
                <w:highlight w:val="none"/>
              </w:rPr>
              <w:t>板面与衬板粘贴：采用环保型双组份聚氨酯胶水1:1配置，使用自动化覆板流水线作业，喷胶、压固、切割下料一次成型，确保粘接牢固板面平整。</w:t>
            </w:r>
          </w:p>
          <w:p>
            <w:pPr>
              <w:rPr>
                <w:rFonts w:asciiTheme="minorEastAsia" w:hAnsiTheme="minorEastAsia"/>
                <w:color w:val="auto"/>
                <w:szCs w:val="21"/>
                <w:highlight w:val="none"/>
              </w:rPr>
            </w:pPr>
            <w:r>
              <w:rPr>
                <w:rFonts w:asciiTheme="minorEastAsia" w:hAnsiTheme="minorEastAsia"/>
                <w:color w:val="auto"/>
                <w:szCs w:val="21"/>
                <w:highlight w:val="none"/>
              </w:rPr>
              <w:t>7、</w:t>
            </w:r>
            <w:r>
              <w:rPr>
                <w:rFonts w:hint="eastAsia" w:asciiTheme="minorEastAsia" w:hAnsiTheme="minorEastAsia"/>
                <w:color w:val="auto"/>
                <w:szCs w:val="21"/>
                <w:highlight w:val="none"/>
              </w:rPr>
              <w:t>边框：采用工业用高强度铝合金型材，电泳香槟色，模具挤压一次成型，上框规格57mm×100mm，左右框规格29mm×100mm，横（立）框采用双层加强结构，厚度≥15mm。</w:t>
            </w:r>
            <w:r>
              <w:rPr>
                <w:rFonts w:asciiTheme="minorEastAsia" w:hAnsiTheme="minorEastAsia"/>
                <w:color w:val="auto"/>
                <w:szCs w:val="21"/>
                <w:highlight w:val="none"/>
              </w:rPr>
              <w:t>轨道上置隐藏式平滑轮滑道，结构性解决滑轮受粉尘影响的情况，配有宽度≥30mm的粉尘槽，粉尘槽与滑动系统分离，与边框一次模具成形，防止粉尘垂直落地。</w:t>
            </w:r>
          </w:p>
          <w:p>
            <w:pPr>
              <w:rPr>
                <w:rFonts w:asciiTheme="minorEastAsia" w:hAnsiTheme="minorEastAsia"/>
                <w:color w:val="auto"/>
                <w:szCs w:val="21"/>
                <w:highlight w:val="none"/>
              </w:rPr>
            </w:pPr>
            <w:r>
              <w:rPr>
                <w:rFonts w:asciiTheme="minorEastAsia" w:hAnsiTheme="minorEastAsia"/>
                <w:color w:val="auto"/>
                <w:szCs w:val="21"/>
                <w:highlight w:val="none"/>
              </w:rPr>
              <w:t>8、</w:t>
            </w:r>
            <w:r>
              <w:rPr>
                <w:rFonts w:hint="eastAsia" w:asciiTheme="minorEastAsia" w:hAnsiTheme="minorEastAsia"/>
                <w:color w:val="auto"/>
                <w:szCs w:val="21"/>
                <w:highlight w:val="none"/>
              </w:rPr>
              <w:t>包角材料：采用抗老化高强度ABS工程塑料注塑成型。规格：100mm×29mm×29mm，采用双壁成腔流线型设计，≥R25mm的圆角，正面带黑板品牌LOGO标识，无尖角毛刺，符合JY0001-2003《教学仪器设备产品一般质量要求》。</w:t>
            </w:r>
          </w:p>
          <w:p>
            <w:pPr>
              <w:rPr>
                <w:rFonts w:asciiTheme="minorEastAsia" w:hAnsiTheme="minorEastAsia"/>
                <w:color w:val="auto"/>
                <w:szCs w:val="21"/>
                <w:highlight w:val="none"/>
              </w:rPr>
            </w:pPr>
            <w:r>
              <w:rPr>
                <w:rFonts w:asciiTheme="minorEastAsia" w:hAnsiTheme="minorEastAsia"/>
                <w:color w:val="auto"/>
                <w:szCs w:val="21"/>
                <w:highlight w:val="none"/>
              </w:rPr>
              <w:t>9、</w:t>
            </w:r>
            <w:r>
              <w:rPr>
                <w:rFonts w:hint="eastAsia" w:asciiTheme="minorEastAsia" w:hAnsiTheme="minorEastAsia"/>
                <w:color w:val="auto"/>
                <w:szCs w:val="21"/>
                <w:highlight w:val="none"/>
              </w:rPr>
              <w:t>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rPr>
                <w:rFonts w:asciiTheme="minorEastAsia" w:hAnsiTheme="minorEastAsia"/>
                <w:color w:val="auto"/>
                <w:szCs w:val="21"/>
                <w:highlight w:val="none"/>
              </w:rPr>
            </w:pPr>
            <w:r>
              <w:rPr>
                <w:rFonts w:asciiTheme="minorEastAsia" w:hAnsiTheme="minorEastAsia"/>
                <w:color w:val="auto"/>
                <w:szCs w:val="21"/>
                <w:highlight w:val="none"/>
              </w:rPr>
              <w:t>10、</w:t>
            </w:r>
            <w:r>
              <w:rPr>
                <w:rFonts w:hint="eastAsia" w:asciiTheme="minorEastAsia" w:hAnsiTheme="minorEastAsia"/>
                <w:color w:val="auto"/>
                <w:szCs w:val="21"/>
                <w:highlight w:val="none"/>
              </w:rPr>
              <w:t>除尘装置：外下框两侧各开一个直径25mm的圆孔，配置100*80mm的抽拉式粉尘盒，粉尘盒可拆卸清洁。</w:t>
            </w:r>
          </w:p>
          <w:p>
            <w:pPr>
              <w:rPr>
                <w:rFonts w:asciiTheme="minorEastAsia" w:hAnsiTheme="minorEastAsia"/>
                <w:color w:val="auto"/>
                <w:szCs w:val="21"/>
                <w:highlight w:val="none"/>
              </w:rPr>
            </w:pPr>
            <w:r>
              <w:rPr>
                <w:rFonts w:asciiTheme="minorEastAsia" w:hAnsiTheme="minorEastAsia"/>
                <w:color w:val="auto"/>
                <w:szCs w:val="21"/>
                <w:highlight w:val="none"/>
              </w:rPr>
              <w:t>11、</w:t>
            </w:r>
            <w:r>
              <w:rPr>
                <w:rFonts w:hint="eastAsia" w:asciiTheme="minorEastAsia" w:hAnsiTheme="minorEastAsia"/>
                <w:color w:val="auto"/>
                <w:szCs w:val="21"/>
                <w:highlight w:val="none"/>
              </w:rPr>
              <w:t>限位档：黑板边框内部两侧安装滑动板限位档，防止活动黑板开启时撞击立框。</w:t>
            </w:r>
          </w:p>
          <w:p>
            <w:pPr>
              <w:rPr>
                <w:rFonts w:asciiTheme="minorEastAsia" w:hAnsiTheme="minorEastAsia"/>
                <w:color w:val="auto"/>
                <w:szCs w:val="21"/>
                <w:highlight w:val="none"/>
              </w:rPr>
            </w:pPr>
            <w:r>
              <w:rPr>
                <w:rFonts w:asciiTheme="minorEastAsia" w:hAnsiTheme="minorEastAsia"/>
                <w:color w:val="auto"/>
                <w:szCs w:val="21"/>
                <w:highlight w:val="none"/>
              </w:rPr>
              <w:t>12、</w:t>
            </w:r>
            <w:r>
              <w:rPr>
                <w:rFonts w:hint="eastAsia" w:asciiTheme="minorEastAsia" w:hAnsiTheme="minorEastAsia"/>
                <w:color w:val="auto"/>
                <w:szCs w:val="21"/>
                <w:highlight w:val="none"/>
              </w:rPr>
              <w:t>易维护性：一体机上下配同色同质书写板，上下可根据一体机尺寸进行微调，两侧用H型边框与固定板配合，可自由拆装。使一体机不用拆整个黑板即可直接拆装维护，减少麻烦，延长使用寿命。</w:t>
            </w:r>
          </w:p>
          <w:p>
            <w:pPr>
              <w:rPr>
                <w:rFonts w:asciiTheme="minorEastAsia" w:hAnsiTheme="minorEastAsia"/>
                <w:color w:val="auto"/>
                <w:szCs w:val="21"/>
                <w:highlight w:val="none"/>
              </w:rPr>
            </w:pPr>
            <w:r>
              <w:rPr>
                <w:rFonts w:asciiTheme="minorEastAsia" w:hAnsiTheme="minorEastAsia"/>
                <w:color w:val="auto"/>
                <w:szCs w:val="21"/>
                <w:highlight w:val="none"/>
              </w:rPr>
              <w:t>13、</w:t>
            </w:r>
            <w:r>
              <w:rPr>
                <w:rFonts w:hint="eastAsia" w:asciiTheme="minorEastAsia" w:hAnsiTheme="minorEastAsia"/>
                <w:color w:val="auto"/>
                <w:szCs w:val="21"/>
                <w:highlight w:val="none"/>
              </w:rPr>
              <w:t>安全性：一把锁实现对滑动黑板的锁定，钥匙通用，方便实用。</w:t>
            </w:r>
          </w:p>
          <w:p>
            <w:pPr>
              <w:rPr>
                <w:rFonts w:asciiTheme="minorEastAsia" w:hAnsiTheme="minorEastAsia"/>
                <w:color w:val="auto"/>
                <w:szCs w:val="21"/>
                <w:highlight w:val="none"/>
              </w:rPr>
            </w:pPr>
            <w:r>
              <w:rPr>
                <w:rFonts w:asciiTheme="minorEastAsia" w:hAnsiTheme="minorEastAsia"/>
                <w:color w:val="auto"/>
                <w:szCs w:val="21"/>
                <w:highlight w:val="none"/>
              </w:rPr>
              <w:t>14、</w:t>
            </w:r>
            <w:r>
              <w:rPr>
                <w:rFonts w:hint="eastAsia" w:asciiTheme="minorEastAsia" w:hAnsiTheme="minorEastAsia"/>
                <w:color w:val="auto"/>
                <w:szCs w:val="21"/>
                <w:highlight w:val="none"/>
              </w:rPr>
              <w:t>安装：配装自制钢制安装件，规格95*50*60mm，隐形安装、没有外露的挂接件，符合GB 21027-2007《学生用品的安全通用要求》。</w:t>
            </w:r>
          </w:p>
          <w:p>
            <w:pPr>
              <w:widowControl/>
              <w:spacing w:before="100" w:beforeAutospacing="1" w:after="100" w:afterAutospacing="1" w:line="360" w:lineRule="auto"/>
              <w:jc w:val="left"/>
              <w:rPr>
                <w:rFonts w:asciiTheme="minorEastAsia" w:hAnsiTheme="minorEastAsia"/>
                <w:b/>
                <w:bCs/>
                <w:color w:val="auto"/>
                <w:szCs w:val="21"/>
                <w:highlight w:val="none"/>
              </w:rPr>
            </w:pPr>
            <w:r>
              <w:rPr>
                <w:rFonts w:asciiTheme="minorEastAsia" w:hAnsiTheme="minorEastAsia"/>
                <w:color w:val="auto"/>
                <w:szCs w:val="21"/>
                <w:highlight w:val="none"/>
              </w:rPr>
              <w:t>15</w:t>
            </w:r>
            <w:r>
              <w:rPr>
                <w:rFonts w:hint="eastAsia" w:asciiTheme="minorEastAsia" w:hAnsiTheme="minorEastAsia"/>
                <w:color w:val="auto"/>
                <w:szCs w:val="21"/>
                <w:highlight w:val="none"/>
              </w:rPr>
              <w:t>包装：采用环保型材料，符合国家产品包装要求，单套或双套纸箱独立包装，箱体印有制造商名称、LOGO标识、地址、服务热线等信息。</w:t>
            </w:r>
          </w:p>
        </w:tc>
        <w:tc>
          <w:tcPr>
            <w:tcW w:w="698"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套</w:t>
            </w:r>
          </w:p>
        </w:tc>
        <w:tc>
          <w:tcPr>
            <w:tcW w:w="1003"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7</w:t>
            </w:r>
            <w:r>
              <w:rPr>
                <w:rFonts w:asciiTheme="minorEastAsia" w:hAnsiTheme="minorEastAsia"/>
                <w:color w:val="auto"/>
                <w:szCs w:val="21"/>
                <w:highlight w:val="none"/>
              </w:rPr>
              <w:t>8</w:t>
            </w:r>
          </w:p>
        </w:tc>
        <w:tc>
          <w:tcPr>
            <w:tcW w:w="851" w:type="dxa"/>
            <w:vAlign w:val="center"/>
          </w:tcPr>
          <w:p>
            <w:pPr>
              <w:jc w:val="center"/>
              <w:rPr>
                <w:rFonts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36"/>
              <w:numPr>
                <w:ilvl w:val="0"/>
                <w:numId w:val="3"/>
              </w:numPr>
              <w:ind w:firstLineChars="0"/>
              <w:jc w:val="center"/>
              <w:rPr>
                <w:rFonts w:asciiTheme="minorEastAsia" w:hAnsiTheme="minorEastAsia"/>
                <w:color w:val="auto"/>
                <w:szCs w:val="21"/>
                <w:highlight w:val="none"/>
              </w:rPr>
            </w:pPr>
          </w:p>
        </w:tc>
        <w:tc>
          <w:tcPr>
            <w:tcW w:w="1252" w:type="dxa"/>
            <w:vAlign w:val="center"/>
          </w:tcPr>
          <w:p>
            <w:pPr>
              <w:jc w:val="center"/>
              <w:rPr>
                <w:rFonts w:asciiTheme="minorEastAsia" w:hAnsiTheme="minorEastAsia"/>
                <w:color w:val="auto"/>
                <w:szCs w:val="21"/>
                <w:highlight w:val="none"/>
              </w:rPr>
            </w:pPr>
            <w:bookmarkStart w:id="11" w:name="_Hlk34044326"/>
            <w:r>
              <w:rPr>
                <w:rFonts w:hint="eastAsia" w:asciiTheme="minorEastAsia" w:hAnsiTheme="minorEastAsia"/>
                <w:color w:val="auto"/>
                <w:szCs w:val="21"/>
                <w:highlight w:val="none"/>
              </w:rPr>
              <w:t>计算机</w:t>
            </w:r>
            <w:bookmarkEnd w:id="11"/>
          </w:p>
        </w:tc>
        <w:tc>
          <w:tcPr>
            <w:tcW w:w="6018" w:type="dxa"/>
            <w:vAlign w:val="center"/>
          </w:tcPr>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一、硬件部分：</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1、产品类型：商用分体台式电脑。</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★2、主板：≥Intel 300芯片组，接口≥8个USB接口，其中≥6个USB 3.0接口，且为方便教学使用需前置≥4个USB 3.0接口</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3、CPU：Intel酷睿I5-9500六核以上处理器，主频≥3.0G。</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4、内存：≥4G DDR4内存。</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5、硬盘：≥1TB SATA3 7200rpm 机械硬盘+128G SSD固态硬盘。</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6、显卡：集成显卡。</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7、声卡：集成5.1声道声卡，具有至少4个音频接口。</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8、网卡：集成10/100/1000M以太网卡。</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9、光驱：无光驱</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10、显示器：≥19.5寸LED显示器，显示器具有低蓝光功能，保护用眼安全，投标时提供省级以上检测机构出具的低蓝光检测证明。</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11、键盘、鼠标：防水抗菌键盘、抗菌鼠标。</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12、电源：≤180W节能电源</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★13、机箱：为满足客户灵活的使用场景，要求机箱必须为可立可卧式，配和电脑桌定制要求，机箱大小为≤11L； </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★14、安全性：具备智能USB屏蔽技术，可设置为仅识别键盘、鼠标而无法识别USB读取设备，有效防止U盘病毒入侵及数据非法拷贝，有效防止数据丢失；为保护使用师生的身体健康，</w:t>
            </w:r>
            <w:bookmarkStart w:id="12" w:name="_Hlk34044456"/>
            <w:r>
              <w:rPr>
                <w:rFonts w:hint="eastAsia" w:cs="宋体" w:asciiTheme="minorEastAsia" w:hAnsiTheme="minorEastAsia"/>
                <w:color w:val="auto"/>
                <w:szCs w:val="21"/>
                <w:highlight w:val="none"/>
              </w:rPr>
              <w:t>投标台式机产品噪声声压级不大于</w:t>
            </w:r>
            <w:r>
              <w:rPr>
                <w:rFonts w:hint="eastAsia" w:cs="宋体" w:asciiTheme="minorEastAsia" w:hAnsiTheme="minorEastAsia"/>
                <w:color w:val="auto"/>
                <w:szCs w:val="21"/>
                <w:highlight w:val="none"/>
                <w:lang w:eastAsia="zh-CN"/>
              </w:rPr>
              <w:t xml:space="preserve"> 11.5dB</w:t>
            </w:r>
            <w:r>
              <w:rPr>
                <w:rFonts w:hint="eastAsia" w:cs="宋体" w:asciiTheme="minorEastAsia" w:hAnsiTheme="minorEastAsia"/>
                <w:color w:val="auto"/>
                <w:szCs w:val="21"/>
                <w:highlight w:val="none"/>
              </w:rPr>
              <w:t>。</w:t>
            </w:r>
            <w:bookmarkEnd w:id="12"/>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二、软件部分：</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1、为满足教学要求，需配套主机同品牌教学云部署应用管理软件：</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（1）通过ADS虚拟化实现所有的计算机终端集中统一管理。</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（2）无需安装任何硬件，终端连上网络就可以启动进入各种Windows桌面云环境。</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（3）断网和服务端宕机，终端都可以使用，不影响正常上课教学。</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（4）不管客户端是关机或开机状态，系统都可以统一给所有客户端进行软件安装、删除等维护工作，并能不影响已经开机的客户端的正常使用，客户端开机或重启后就能使用新装软件和系统。</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★（5）镜像库中的分区镜像可由任何系统调用，支持同一分区镜像供多个系统使用，达到分区共享目的，无论系统镜像如何变化，数据镜像可保持一致。（投标时需提供功能演示截图）</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（6）服务端以扇区流的方式，将创建的虚拟硬盘模板真实的部署到客户端，实现与系统无关性，多个系统只需要一次部署就完成。</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2. 出厂预安装Windows操作系统，操作系统不接受开机二次安装，需体现在装箱清单内。</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三、质量及服务保证：</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1、原厂三年有限保修及上门服务（节假日不休）。</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2、原厂售后服务通过客户联络中心标准体系（CCCS）钻石五星级认证；</w:t>
            </w:r>
          </w:p>
        </w:tc>
        <w:tc>
          <w:tcPr>
            <w:tcW w:w="698"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台</w:t>
            </w:r>
          </w:p>
        </w:tc>
        <w:tc>
          <w:tcPr>
            <w:tcW w:w="1003"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57</w:t>
            </w:r>
          </w:p>
        </w:tc>
        <w:tc>
          <w:tcPr>
            <w:tcW w:w="851" w:type="dxa"/>
            <w:vAlign w:val="center"/>
          </w:tcPr>
          <w:p>
            <w:pPr>
              <w:jc w:val="center"/>
              <w:rPr>
                <w:rFonts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36"/>
              <w:numPr>
                <w:ilvl w:val="0"/>
                <w:numId w:val="3"/>
              </w:numPr>
              <w:ind w:firstLineChars="0"/>
              <w:jc w:val="center"/>
              <w:rPr>
                <w:rFonts w:asciiTheme="minorEastAsia" w:hAnsiTheme="minorEastAsia"/>
                <w:color w:val="auto"/>
                <w:szCs w:val="21"/>
                <w:highlight w:val="none"/>
              </w:rPr>
            </w:pPr>
          </w:p>
        </w:tc>
        <w:tc>
          <w:tcPr>
            <w:tcW w:w="1252"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交换机</w:t>
            </w:r>
          </w:p>
        </w:tc>
        <w:tc>
          <w:tcPr>
            <w:tcW w:w="6018" w:type="dxa"/>
          </w:tcPr>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★1、交换容量≥590Gbps；</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★2、线性转发速率≥220Mpps；</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★3、支持24个GE combo口+4个10GE光口；</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★4、提供不少于1个扩展插槽，支持扩展8个GE/10GE接口或者2个40GE口；</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★5、支持模块化电源，支持电源个数≥2，支持交流直流可混插，支持380V高压直流；</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6、支持创新性的M-button功能；</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7、支持横向虚拟化技术，将多台设备虚拟为一台；</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★8、支持64K MAC地址容量，支持MAC地址自动学习和老化，支持静态、动态MAC表项；</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9、支持4K VLAN、PVLAN、Voice VLAN、GVRP、灵活QinQ，支持10、基于端口/协议/IP子网的VLAN划分；</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11、支持ERPS等以太网环保护协议，切换时间＜50ms；</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12、支持基于二层ACL、扩展ACL（五元组）、混合ACL、自定义ACL；</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13、支持SP、WRR、SP+WRR、DWRR的队列调度机制；</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14、支持静态路由，RIPv1/v2，RIPng,OSPFv2/v3， ISIS，ISISv6, BGP4,BGP4+；</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15、支持ECMP；</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★16、支持MPLS二三层VPN，支持MCE；</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17、支持ND，支持IPv6 Ping、IPv6 Telnet，支持IPv6 ACL、MLD Snooping、DHCPv6 snooping；</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18、支持可控组播，CAC频道访问控制，支持 IGMPV1/V2V3、支持PIM-SM、PIM-DM、PIM-SSM协议；</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19、支持用户分级管理和口令保护，支持CPU防攻击CPU过载保护，支持端口隔离，支持MFF；</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20、支持动态ARP检测、802.1x、Radius认证、生成树根保护（Root Guard）、BPDU攻击保护；</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21、支持RIP/OSPF/BGP MD5密文检查；</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22、支持LACP、MC-LAG功能、以太网OAM功能；</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23、支持CLI，Telnet，SSH，支持SNMPv1/v2/v3；</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24、支持零部署，支持NTP、SYSLOG、RMON 功能；</w:t>
            </w:r>
          </w:p>
          <w:p>
            <w:pPr>
              <w:rPr>
                <w:rFonts w:asciiTheme="minorEastAsia" w:hAnsiTheme="minorEastAsia"/>
                <w:color w:val="auto"/>
                <w:szCs w:val="21"/>
                <w:highlight w:val="none"/>
              </w:rPr>
            </w:pPr>
            <w:r>
              <w:rPr>
                <w:rFonts w:hint="eastAsia" w:asciiTheme="minorEastAsia" w:hAnsiTheme="minorEastAsia"/>
                <w:color w:val="auto"/>
                <w:szCs w:val="21"/>
                <w:highlight w:val="none"/>
              </w:rPr>
              <w:t>★25、提供工信部入网证书；</w:t>
            </w:r>
          </w:p>
        </w:tc>
        <w:tc>
          <w:tcPr>
            <w:tcW w:w="698"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台</w:t>
            </w:r>
          </w:p>
        </w:tc>
        <w:tc>
          <w:tcPr>
            <w:tcW w:w="1003"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851" w:type="dxa"/>
            <w:vAlign w:val="center"/>
          </w:tcPr>
          <w:p>
            <w:pPr>
              <w:jc w:val="center"/>
              <w:rPr>
                <w:rFonts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36"/>
              <w:numPr>
                <w:ilvl w:val="0"/>
                <w:numId w:val="3"/>
              </w:numPr>
              <w:ind w:firstLineChars="0"/>
              <w:jc w:val="center"/>
              <w:rPr>
                <w:rFonts w:asciiTheme="minorEastAsia" w:hAnsiTheme="minorEastAsia"/>
                <w:color w:val="auto"/>
                <w:szCs w:val="21"/>
                <w:highlight w:val="none"/>
              </w:rPr>
            </w:pPr>
          </w:p>
        </w:tc>
        <w:tc>
          <w:tcPr>
            <w:tcW w:w="1252"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安装运输售后服务</w:t>
            </w:r>
          </w:p>
        </w:tc>
        <w:tc>
          <w:tcPr>
            <w:tcW w:w="6018"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含全套软硬件产品的配送，硬件和软件安装，调试，售后等服务。</w:t>
            </w:r>
          </w:p>
          <w:p>
            <w:pPr>
              <w:spacing w:line="276" w:lineRule="auto"/>
              <w:rPr>
                <w:rFonts w:asciiTheme="minorEastAsia" w:hAnsiTheme="minorEastAsia"/>
                <w:b/>
                <w:bCs/>
                <w:color w:val="auto"/>
                <w:szCs w:val="21"/>
                <w:highlight w:val="none"/>
              </w:rPr>
            </w:pPr>
            <w:r>
              <w:rPr>
                <w:rFonts w:hint="eastAsia" w:asciiTheme="minorEastAsia" w:hAnsiTheme="minorEastAsia"/>
                <w:color w:val="auto"/>
                <w:szCs w:val="21"/>
                <w:highlight w:val="none"/>
              </w:rPr>
              <w:t>投标人或委托服务商必须具备“设备报修服务平台”，平台服务必须达到如下功能：</w:t>
            </w:r>
          </w:p>
          <w:p>
            <w:pPr>
              <w:spacing w:line="276" w:lineRule="auto"/>
              <w:rPr>
                <w:rFonts w:cs="宋体" w:asciiTheme="minorEastAsia" w:hAnsiTheme="minorEastAsia"/>
                <w:b/>
                <w:bCs/>
                <w:color w:val="auto"/>
                <w:szCs w:val="21"/>
                <w:highlight w:val="none"/>
              </w:rPr>
            </w:pPr>
            <w:r>
              <w:rPr>
                <w:rFonts w:asciiTheme="minorEastAsia" w:hAnsiTheme="minorEastAsia"/>
                <w:b/>
                <w:bCs/>
                <w:color w:val="auto"/>
                <w:szCs w:val="21"/>
                <w:highlight w:val="none"/>
              </w:rPr>
              <w:t>1</w:t>
            </w:r>
            <w:r>
              <w:rPr>
                <w:rFonts w:hint="eastAsia" w:asciiTheme="minorEastAsia" w:hAnsiTheme="minorEastAsia"/>
                <w:b/>
                <w:bCs/>
                <w:color w:val="auto"/>
                <w:szCs w:val="21"/>
                <w:highlight w:val="none"/>
              </w:rPr>
              <w:t>、微信</w:t>
            </w:r>
            <w:r>
              <w:rPr>
                <w:rFonts w:hint="eastAsia" w:cs="宋体" w:asciiTheme="minorEastAsia" w:hAnsiTheme="minorEastAsia"/>
                <w:b/>
                <w:bCs/>
                <w:color w:val="auto"/>
                <w:szCs w:val="21"/>
                <w:highlight w:val="none"/>
              </w:rPr>
              <w:t>报</w:t>
            </w:r>
            <w:r>
              <w:rPr>
                <w:rFonts w:hint="eastAsia" w:cs="Yu Gothic" w:asciiTheme="minorEastAsia" w:hAnsiTheme="minorEastAsia"/>
                <w:b/>
                <w:bCs/>
                <w:color w:val="auto"/>
                <w:szCs w:val="21"/>
                <w:highlight w:val="none"/>
              </w:rPr>
              <w:t>修系</w:t>
            </w:r>
            <w:r>
              <w:rPr>
                <w:rFonts w:hint="eastAsia" w:cs="宋体" w:asciiTheme="minorEastAsia" w:hAnsiTheme="minorEastAsia"/>
                <w:b/>
                <w:bCs/>
                <w:color w:val="auto"/>
                <w:szCs w:val="21"/>
                <w:highlight w:val="none"/>
              </w:rPr>
              <w:t>统</w:t>
            </w:r>
          </w:p>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用微信</w:t>
            </w:r>
            <w:r>
              <w:rPr>
                <w:rFonts w:hint="eastAsia" w:cs="宋体" w:asciiTheme="minorEastAsia" w:hAnsiTheme="minorEastAsia"/>
                <w:color w:val="auto"/>
                <w:szCs w:val="21"/>
                <w:highlight w:val="none"/>
              </w:rPr>
              <w:t>扫</w:t>
            </w:r>
            <w:r>
              <w:rPr>
                <w:rFonts w:hint="eastAsia" w:cs="Yu Gothic" w:asciiTheme="minorEastAsia" w:hAnsiTheme="minorEastAsia"/>
                <w:color w:val="auto"/>
                <w:szCs w:val="21"/>
                <w:highlight w:val="none"/>
              </w:rPr>
              <w:t>描用</w:t>
            </w:r>
            <w:r>
              <w:rPr>
                <w:rFonts w:hint="eastAsia" w:cs="宋体" w:asciiTheme="minorEastAsia" w:hAnsiTheme="minorEastAsia"/>
                <w:color w:val="auto"/>
                <w:szCs w:val="21"/>
                <w:highlight w:val="none"/>
              </w:rPr>
              <w:t>户设备</w:t>
            </w:r>
            <w:r>
              <w:rPr>
                <w:rFonts w:hint="eastAsia" w:cs="Yu Gothic" w:asciiTheme="minorEastAsia" w:hAnsiTheme="minorEastAsia"/>
                <w:color w:val="auto"/>
                <w:szCs w:val="21"/>
                <w:highlight w:val="none"/>
              </w:rPr>
              <w:t>上</w:t>
            </w:r>
            <w:r>
              <w:rPr>
                <w:rFonts w:hint="eastAsia" w:cs="宋体" w:asciiTheme="minorEastAsia" w:hAnsiTheme="minorEastAsia"/>
                <w:color w:val="auto"/>
                <w:szCs w:val="21"/>
                <w:highlight w:val="none"/>
              </w:rPr>
              <w:t>贴</w:t>
            </w:r>
            <w:r>
              <w:rPr>
                <w:rFonts w:hint="eastAsia" w:cs="Yu Gothic" w:asciiTheme="minorEastAsia" w:hAnsiTheme="minorEastAsia"/>
                <w:color w:val="auto"/>
                <w:szCs w:val="21"/>
                <w:highlight w:val="none"/>
              </w:rPr>
              <w:t>的二</w:t>
            </w:r>
            <w:r>
              <w:rPr>
                <w:rFonts w:hint="eastAsia" w:cs="宋体" w:asciiTheme="minorEastAsia" w:hAnsiTheme="minorEastAsia"/>
                <w:color w:val="auto"/>
                <w:szCs w:val="21"/>
                <w:highlight w:val="none"/>
              </w:rPr>
              <w:t>维码</w:t>
            </w:r>
            <w:r>
              <w:rPr>
                <w:rFonts w:hint="eastAsia" w:cs="Yu Gothic" w:asciiTheme="minorEastAsia" w:hAnsiTheme="minorEastAsia"/>
                <w:color w:val="auto"/>
                <w:szCs w:val="21"/>
                <w:highlight w:val="none"/>
              </w:rPr>
              <w:t>，就可以立即</w:t>
            </w:r>
            <w:r>
              <w:rPr>
                <w:rFonts w:hint="eastAsia" w:cs="宋体" w:asciiTheme="minorEastAsia" w:hAnsiTheme="minorEastAsia"/>
                <w:color w:val="auto"/>
                <w:szCs w:val="21"/>
                <w:highlight w:val="none"/>
              </w:rPr>
              <w:t>显</w:t>
            </w:r>
            <w:r>
              <w:rPr>
                <w:rFonts w:hint="eastAsia" w:cs="Yu Gothic" w:asciiTheme="minorEastAsia" w:hAnsiTheme="minorEastAsia"/>
                <w:color w:val="auto"/>
                <w:szCs w:val="21"/>
                <w:highlight w:val="none"/>
              </w:rPr>
              <w:t>示</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的基本信息，填写故障信息</w:t>
            </w:r>
            <w:r>
              <w:rPr>
                <w:rFonts w:hint="eastAsia" w:cs="宋体" w:asciiTheme="minorEastAsia" w:hAnsiTheme="minorEastAsia"/>
                <w:color w:val="auto"/>
                <w:szCs w:val="21"/>
                <w:highlight w:val="none"/>
              </w:rPr>
              <w:t>进</w:t>
            </w:r>
            <w:r>
              <w:rPr>
                <w:rFonts w:hint="eastAsia" w:cs="Yu Gothic" w:asciiTheme="minorEastAsia" w:hAnsiTheme="minorEastAsia"/>
                <w:color w:val="auto"/>
                <w:szCs w:val="21"/>
                <w:highlight w:val="none"/>
              </w:rPr>
              <w:t>行售后服</w:t>
            </w:r>
            <w:r>
              <w:rPr>
                <w:rFonts w:hint="eastAsia" w:cs="宋体" w:asciiTheme="minorEastAsia" w:hAnsiTheme="minorEastAsia"/>
                <w:color w:val="auto"/>
                <w:szCs w:val="21"/>
                <w:highlight w:val="none"/>
              </w:rPr>
              <w:t>务报</w:t>
            </w:r>
            <w:r>
              <w:rPr>
                <w:rFonts w:hint="eastAsia" w:cs="Yu Gothic" w:asciiTheme="minorEastAsia" w:hAnsiTheme="minorEastAsia"/>
                <w:color w:val="auto"/>
                <w:szCs w:val="21"/>
                <w:highlight w:val="none"/>
              </w:rPr>
              <w:t>修。</w:t>
            </w:r>
            <w:r>
              <w:rPr>
                <w:rFonts w:hint="eastAsia" w:cs="宋体" w:asciiTheme="minorEastAsia" w:hAnsiTheme="minorEastAsia"/>
                <w:color w:val="auto"/>
                <w:szCs w:val="21"/>
                <w:highlight w:val="none"/>
              </w:rPr>
              <w:t>报</w:t>
            </w:r>
            <w:r>
              <w:rPr>
                <w:rFonts w:hint="eastAsia" w:cs="Yu Gothic" w:asciiTheme="minorEastAsia" w:hAnsiTheme="minorEastAsia"/>
                <w:color w:val="auto"/>
                <w:szCs w:val="21"/>
                <w:highlight w:val="none"/>
              </w:rPr>
              <w:t>修信息自</w:t>
            </w:r>
            <w:r>
              <w:rPr>
                <w:rFonts w:hint="eastAsia" w:cs="宋体" w:asciiTheme="minorEastAsia" w:hAnsiTheme="minorEastAsia"/>
                <w:color w:val="auto"/>
                <w:szCs w:val="21"/>
                <w:highlight w:val="none"/>
              </w:rPr>
              <w:t>动</w:t>
            </w:r>
            <w:r>
              <w:rPr>
                <w:rFonts w:hint="eastAsia" w:cs="Yu Gothic" w:asciiTheme="minorEastAsia" w:hAnsiTheme="minorEastAsia"/>
                <w:color w:val="auto"/>
                <w:szCs w:val="21"/>
                <w:highlight w:val="none"/>
              </w:rPr>
              <w:t>由云平台接收，自</w:t>
            </w:r>
            <w:r>
              <w:rPr>
                <w:rFonts w:hint="eastAsia" w:cs="宋体" w:asciiTheme="minorEastAsia" w:hAnsiTheme="minorEastAsia"/>
                <w:color w:val="auto"/>
                <w:szCs w:val="21"/>
                <w:highlight w:val="none"/>
              </w:rPr>
              <w:t>动</w:t>
            </w:r>
            <w:r>
              <w:rPr>
                <w:rFonts w:hint="eastAsia" w:cs="Yu Gothic" w:asciiTheme="minorEastAsia" w:hAnsiTheme="minorEastAsia"/>
                <w:color w:val="auto"/>
                <w:szCs w:val="21"/>
                <w:highlight w:val="none"/>
              </w:rPr>
              <w:t>生成售后服</w:t>
            </w:r>
            <w:r>
              <w:rPr>
                <w:rFonts w:hint="eastAsia" w:cs="宋体" w:asciiTheme="minorEastAsia" w:hAnsiTheme="minorEastAsia"/>
                <w:color w:val="auto"/>
                <w:szCs w:val="21"/>
                <w:highlight w:val="none"/>
              </w:rPr>
              <w:t>务维</w:t>
            </w:r>
            <w:r>
              <w:rPr>
                <w:rFonts w:hint="eastAsia" w:cs="Yu Gothic" w:asciiTheme="minorEastAsia" w:hAnsiTheme="minorEastAsia"/>
                <w:color w:val="auto"/>
                <w:szCs w:val="21"/>
                <w:highlight w:val="none"/>
              </w:rPr>
              <w:t>修工</w:t>
            </w:r>
            <w:r>
              <w:rPr>
                <w:rFonts w:hint="eastAsia" w:cs="宋体" w:asciiTheme="minorEastAsia" w:hAnsiTheme="minorEastAsia"/>
                <w:color w:val="auto"/>
                <w:szCs w:val="21"/>
                <w:highlight w:val="none"/>
              </w:rPr>
              <w:t>单</w:t>
            </w:r>
            <w:r>
              <w:rPr>
                <w:rFonts w:hint="eastAsia" w:cs="Yu Gothic" w:asciiTheme="minorEastAsia" w:hAnsiTheme="minorEastAsia"/>
                <w:color w:val="auto"/>
                <w:szCs w:val="21"/>
                <w:highlight w:val="none"/>
              </w:rPr>
              <w:t>，报修人可随时查看维修服务进度。</w:t>
            </w:r>
          </w:p>
          <w:p>
            <w:pPr>
              <w:spacing w:line="276" w:lineRule="auto"/>
              <w:rPr>
                <w:rFonts w:cs="宋体" w:asciiTheme="minorEastAsia" w:hAnsiTheme="minorEastAsia"/>
                <w:b/>
                <w:bCs/>
                <w:color w:val="auto"/>
                <w:szCs w:val="21"/>
                <w:highlight w:val="none"/>
              </w:rPr>
            </w:pPr>
            <w:r>
              <w:rPr>
                <w:rFonts w:asciiTheme="minorEastAsia" w:hAnsiTheme="minorEastAsia"/>
                <w:b/>
                <w:bCs/>
                <w:color w:val="auto"/>
                <w:szCs w:val="21"/>
                <w:highlight w:val="none"/>
              </w:rPr>
              <w:t>2</w:t>
            </w:r>
            <w:r>
              <w:rPr>
                <w:rFonts w:hint="eastAsia" w:asciiTheme="minorEastAsia" w:hAnsiTheme="minorEastAsia"/>
                <w:b/>
                <w:bCs/>
                <w:color w:val="auto"/>
                <w:szCs w:val="21"/>
                <w:highlight w:val="none"/>
              </w:rPr>
              <w:t>、工</w:t>
            </w:r>
            <w:r>
              <w:rPr>
                <w:rFonts w:hint="eastAsia" w:cs="宋体" w:asciiTheme="minorEastAsia" w:hAnsiTheme="minorEastAsia"/>
                <w:b/>
                <w:bCs/>
                <w:color w:val="auto"/>
                <w:szCs w:val="21"/>
                <w:highlight w:val="none"/>
              </w:rPr>
              <w:t>单</w:t>
            </w:r>
            <w:r>
              <w:rPr>
                <w:rFonts w:hint="eastAsia" w:cs="Yu Gothic" w:asciiTheme="minorEastAsia" w:hAnsiTheme="minorEastAsia"/>
                <w:b/>
                <w:bCs/>
                <w:color w:val="auto"/>
                <w:szCs w:val="21"/>
                <w:highlight w:val="none"/>
              </w:rPr>
              <w:t>派工系</w:t>
            </w:r>
            <w:r>
              <w:rPr>
                <w:rFonts w:hint="eastAsia" w:cs="宋体" w:asciiTheme="minorEastAsia" w:hAnsiTheme="minorEastAsia"/>
                <w:b/>
                <w:bCs/>
                <w:color w:val="auto"/>
                <w:szCs w:val="21"/>
                <w:highlight w:val="none"/>
              </w:rPr>
              <w:t>统</w:t>
            </w:r>
          </w:p>
          <w:p>
            <w:pPr>
              <w:spacing w:line="276" w:lineRule="auto"/>
              <w:rPr>
                <w:rFonts w:asciiTheme="minorEastAsia" w:hAnsiTheme="minorEastAsia"/>
                <w:color w:val="auto"/>
                <w:szCs w:val="21"/>
                <w:highlight w:val="none"/>
              </w:rPr>
            </w:pPr>
            <w:r>
              <w:rPr>
                <w:rFonts w:hint="eastAsia" w:cs="宋体" w:asciiTheme="minorEastAsia" w:hAnsiTheme="minorEastAsia"/>
                <w:color w:val="auto"/>
                <w:szCs w:val="21"/>
                <w:highlight w:val="none"/>
              </w:rPr>
              <w:t>实现对</w:t>
            </w:r>
            <w:r>
              <w:rPr>
                <w:rFonts w:hint="eastAsia" w:cs="Yu Gothic" w:asciiTheme="minorEastAsia" w:hAnsiTheme="minorEastAsia"/>
                <w:color w:val="auto"/>
                <w:szCs w:val="21"/>
                <w:highlight w:val="none"/>
              </w:rPr>
              <w:t>售后服</w:t>
            </w:r>
            <w:r>
              <w:rPr>
                <w:rFonts w:hint="eastAsia" w:cs="宋体" w:asciiTheme="minorEastAsia" w:hAnsiTheme="minorEastAsia"/>
                <w:color w:val="auto"/>
                <w:szCs w:val="21"/>
                <w:highlight w:val="none"/>
              </w:rPr>
              <w:t>务</w:t>
            </w:r>
            <w:r>
              <w:rPr>
                <w:rFonts w:hint="eastAsia" w:cs="Yu Gothic" w:asciiTheme="minorEastAsia" w:hAnsiTheme="minorEastAsia"/>
                <w:color w:val="auto"/>
                <w:szCs w:val="21"/>
                <w:highlight w:val="none"/>
              </w:rPr>
              <w:t>任</w:t>
            </w:r>
            <w:r>
              <w:rPr>
                <w:rFonts w:hint="eastAsia" w:cs="宋体" w:asciiTheme="minorEastAsia" w:hAnsiTheme="minorEastAsia"/>
                <w:color w:val="auto"/>
                <w:szCs w:val="21"/>
                <w:highlight w:val="none"/>
              </w:rPr>
              <w:t>务</w:t>
            </w:r>
            <w:r>
              <w:rPr>
                <w:rFonts w:hint="eastAsia" w:cs="Yu Gothic" w:asciiTheme="minorEastAsia" w:hAnsiTheme="minorEastAsia"/>
                <w:color w:val="auto"/>
                <w:szCs w:val="21"/>
                <w:highlight w:val="none"/>
              </w:rPr>
              <w:t>的全流程管理，包括：新增工</w:t>
            </w:r>
            <w:r>
              <w:rPr>
                <w:rFonts w:hint="eastAsia" w:cs="宋体" w:asciiTheme="minorEastAsia" w:hAnsiTheme="minorEastAsia"/>
                <w:color w:val="auto"/>
                <w:szCs w:val="21"/>
                <w:highlight w:val="none"/>
              </w:rPr>
              <w:t>单</w:t>
            </w:r>
            <w:r>
              <w:rPr>
                <w:rFonts w:hint="eastAsia" w:cs="Yu Gothic" w:asciiTheme="minorEastAsia" w:hAnsiTheme="minorEastAsia"/>
                <w:color w:val="auto"/>
                <w:szCs w:val="21"/>
                <w:highlight w:val="none"/>
              </w:rPr>
              <w:t>、派工、</w:t>
            </w:r>
            <w:r>
              <w:rPr>
                <w:rFonts w:hint="eastAsia" w:cs="宋体" w:asciiTheme="minorEastAsia" w:hAnsiTheme="minorEastAsia"/>
                <w:color w:val="auto"/>
                <w:szCs w:val="21"/>
                <w:highlight w:val="none"/>
              </w:rPr>
              <w:t>签</w:t>
            </w:r>
            <w:r>
              <w:rPr>
                <w:rFonts w:hint="eastAsia" w:cs="Yu Gothic" w:asciiTheme="minorEastAsia" w:hAnsiTheme="minorEastAsia"/>
                <w:color w:val="auto"/>
                <w:szCs w:val="21"/>
                <w:highlight w:val="none"/>
              </w:rPr>
              <w:t>收、</w:t>
            </w:r>
            <w:r>
              <w:rPr>
                <w:rFonts w:hint="eastAsia" w:cs="宋体" w:asciiTheme="minorEastAsia" w:hAnsiTheme="minorEastAsia"/>
                <w:color w:val="auto"/>
                <w:szCs w:val="21"/>
                <w:highlight w:val="none"/>
              </w:rPr>
              <w:t>现场签</w:t>
            </w:r>
            <w:r>
              <w:rPr>
                <w:rFonts w:hint="eastAsia" w:cs="Yu Gothic" w:asciiTheme="minorEastAsia" w:hAnsiTheme="minorEastAsia"/>
                <w:color w:val="auto"/>
                <w:szCs w:val="21"/>
                <w:highlight w:val="none"/>
              </w:rPr>
              <w:t>到、</w:t>
            </w:r>
            <w:r>
              <w:rPr>
                <w:rFonts w:hint="eastAsia" w:cs="宋体" w:asciiTheme="minorEastAsia" w:hAnsiTheme="minorEastAsia"/>
                <w:color w:val="auto"/>
                <w:szCs w:val="21"/>
                <w:highlight w:val="none"/>
              </w:rPr>
              <w:t>进</w:t>
            </w:r>
            <w:r>
              <w:rPr>
                <w:rFonts w:hint="eastAsia" w:cs="Yu Gothic" w:asciiTheme="minorEastAsia" w:hAnsiTheme="minorEastAsia"/>
                <w:color w:val="auto"/>
                <w:szCs w:val="21"/>
                <w:highlight w:val="none"/>
              </w:rPr>
              <w:t>程反</w:t>
            </w:r>
            <w:r>
              <w:rPr>
                <w:rFonts w:hint="eastAsia" w:cs="宋体" w:asciiTheme="minorEastAsia" w:hAnsiTheme="minorEastAsia"/>
                <w:color w:val="auto"/>
                <w:szCs w:val="21"/>
                <w:highlight w:val="none"/>
              </w:rPr>
              <w:t>馈</w:t>
            </w:r>
            <w:r>
              <w:rPr>
                <w:rFonts w:hint="eastAsia" w:cs="Yu Gothic" w:asciiTheme="minorEastAsia" w:hAnsiTheme="minorEastAsia"/>
                <w:color w:val="auto"/>
                <w:szCs w:val="21"/>
                <w:highlight w:val="none"/>
              </w:rPr>
              <w:t>、完工、</w:t>
            </w:r>
            <w:r>
              <w:rPr>
                <w:rFonts w:hint="eastAsia" w:asciiTheme="minorEastAsia" w:hAnsiTheme="minorEastAsia"/>
                <w:color w:val="auto"/>
                <w:szCs w:val="21"/>
                <w:highlight w:val="none"/>
              </w:rPr>
              <w:t>客</w:t>
            </w:r>
            <w:r>
              <w:rPr>
                <w:rFonts w:hint="eastAsia" w:cs="宋体" w:asciiTheme="minorEastAsia" w:hAnsiTheme="minorEastAsia"/>
                <w:color w:val="auto"/>
                <w:szCs w:val="21"/>
                <w:highlight w:val="none"/>
              </w:rPr>
              <w:t>户评</w:t>
            </w:r>
            <w:r>
              <w:rPr>
                <w:rFonts w:hint="eastAsia" w:cs="Yu Gothic" w:asciiTheme="minorEastAsia" w:hAnsiTheme="minorEastAsia"/>
                <w:color w:val="auto"/>
                <w:szCs w:val="21"/>
                <w:highlight w:val="none"/>
              </w:rPr>
              <w:t>价。</w:t>
            </w:r>
          </w:p>
          <w:p>
            <w:pPr>
              <w:spacing w:line="276" w:lineRule="auto"/>
              <w:rPr>
                <w:rFonts w:cs="宋体" w:asciiTheme="minorEastAsia" w:hAnsiTheme="minorEastAsia"/>
                <w:b/>
                <w:bCs/>
                <w:color w:val="auto"/>
                <w:szCs w:val="21"/>
                <w:highlight w:val="none"/>
              </w:rPr>
            </w:pPr>
            <w:r>
              <w:rPr>
                <w:rFonts w:asciiTheme="minorEastAsia" w:hAnsiTheme="minorEastAsia"/>
                <w:b/>
                <w:bCs/>
                <w:color w:val="auto"/>
                <w:szCs w:val="21"/>
                <w:highlight w:val="none"/>
              </w:rPr>
              <w:t>3</w:t>
            </w:r>
            <w:r>
              <w:rPr>
                <w:rFonts w:hint="eastAsia" w:asciiTheme="minorEastAsia" w:hAnsiTheme="minorEastAsia"/>
                <w:b/>
                <w:bCs/>
                <w:color w:val="auto"/>
                <w:szCs w:val="21"/>
                <w:highlight w:val="none"/>
              </w:rPr>
              <w:t>、定位</w:t>
            </w:r>
            <w:r>
              <w:rPr>
                <w:rFonts w:hint="eastAsia" w:cs="宋体" w:asciiTheme="minorEastAsia" w:hAnsiTheme="minorEastAsia"/>
                <w:b/>
                <w:bCs/>
                <w:color w:val="auto"/>
                <w:szCs w:val="21"/>
                <w:highlight w:val="none"/>
              </w:rPr>
              <w:t>签</w:t>
            </w:r>
            <w:r>
              <w:rPr>
                <w:rFonts w:hint="eastAsia" w:cs="Yu Gothic" w:asciiTheme="minorEastAsia" w:hAnsiTheme="minorEastAsia"/>
                <w:b/>
                <w:bCs/>
                <w:color w:val="auto"/>
                <w:szCs w:val="21"/>
                <w:highlight w:val="none"/>
              </w:rPr>
              <w:t>到系</w:t>
            </w:r>
            <w:r>
              <w:rPr>
                <w:rFonts w:hint="eastAsia" w:cs="宋体" w:asciiTheme="minorEastAsia" w:hAnsiTheme="minorEastAsia"/>
                <w:b/>
                <w:bCs/>
                <w:color w:val="auto"/>
                <w:szCs w:val="21"/>
                <w:highlight w:val="none"/>
              </w:rPr>
              <w:t>统</w:t>
            </w:r>
          </w:p>
          <w:p>
            <w:pPr>
              <w:spacing w:line="276" w:lineRule="auto"/>
              <w:rPr>
                <w:rFonts w:cs="Yu Gothic" w:asciiTheme="minorEastAsia" w:hAnsiTheme="minorEastAsia"/>
                <w:color w:val="auto"/>
                <w:szCs w:val="21"/>
                <w:highlight w:val="none"/>
              </w:rPr>
            </w:pPr>
            <w:r>
              <w:rPr>
                <w:rFonts w:hint="eastAsia" w:cs="宋体" w:asciiTheme="minorEastAsia" w:hAnsiTheme="minorEastAsia"/>
                <w:color w:val="auto"/>
                <w:szCs w:val="21"/>
                <w:highlight w:val="none"/>
              </w:rPr>
              <w:t>结</w:t>
            </w:r>
            <w:r>
              <w:rPr>
                <w:rFonts w:hint="eastAsia" w:cs="Yu Gothic" w:asciiTheme="minorEastAsia" w:hAnsiTheme="minorEastAsia"/>
                <w:color w:val="auto"/>
                <w:szCs w:val="21"/>
                <w:highlight w:val="none"/>
              </w:rPr>
              <w:t>合最新的移</w:t>
            </w:r>
            <w:r>
              <w:rPr>
                <w:rFonts w:hint="eastAsia" w:cs="宋体" w:asciiTheme="minorEastAsia" w:hAnsiTheme="minorEastAsia"/>
                <w:color w:val="auto"/>
                <w:szCs w:val="21"/>
                <w:highlight w:val="none"/>
              </w:rPr>
              <w:t>动</w:t>
            </w:r>
            <w:r>
              <w:rPr>
                <w:rFonts w:hint="eastAsia" w:cs="Yu Gothic" w:asciiTheme="minorEastAsia" w:hAnsiTheme="minorEastAsia"/>
                <w:color w:val="auto"/>
                <w:szCs w:val="21"/>
                <w:highlight w:val="none"/>
              </w:rPr>
              <w:t>互</w:t>
            </w:r>
            <w:r>
              <w:rPr>
                <w:rFonts w:hint="eastAsia" w:cs="宋体" w:asciiTheme="minorEastAsia" w:hAnsiTheme="minorEastAsia"/>
                <w:color w:val="auto"/>
                <w:szCs w:val="21"/>
                <w:highlight w:val="none"/>
              </w:rPr>
              <w:t>联</w:t>
            </w:r>
            <w:r>
              <w:rPr>
                <w:rFonts w:hint="eastAsia" w:cs="Yu Gothic" w:asciiTheme="minorEastAsia" w:hAnsiTheme="minorEastAsia"/>
                <w:color w:val="auto"/>
                <w:szCs w:val="21"/>
                <w:highlight w:val="none"/>
              </w:rPr>
              <w:t>网技</w:t>
            </w:r>
            <w:r>
              <w:rPr>
                <w:rFonts w:hint="eastAsia" w:cs="宋体" w:asciiTheme="minorEastAsia" w:hAnsiTheme="minorEastAsia"/>
                <w:color w:val="auto"/>
                <w:szCs w:val="21"/>
                <w:highlight w:val="none"/>
              </w:rPr>
              <w:t>术</w:t>
            </w:r>
            <w:r>
              <w:rPr>
                <w:rFonts w:hint="eastAsia" w:cs="Yu Gothic" w:asciiTheme="minorEastAsia" w:hAnsiTheme="minorEastAsia"/>
                <w:color w:val="auto"/>
                <w:szCs w:val="21"/>
                <w:highlight w:val="none"/>
              </w:rPr>
              <w:t>，通</w:t>
            </w:r>
            <w:r>
              <w:rPr>
                <w:rFonts w:hint="eastAsia" w:cs="宋体" w:asciiTheme="minorEastAsia" w:hAnsiTheme="minorEastAsia"/>
                <w:color w:val="auto"/>
                <w:szCs w:val="21"/>
                <w:highlight w:val="none"/>
              </w:rPr>
              <w:t>过</w:t>
            </w:r>
            <w:r>
              <w:rPr>
                <w:rFonts w:hint="eastAsia" w:cs="Yu Gothic" w:asciiTheme="minorEastAsia" w:hAnsiTheme="minorEastAsia"/>
                <w:color w:val="auto"/>
                <w:szCs w:val="21"/>
                <w:highlight w:val="none"/>
              </w:rPr>
              <w:t>手机精确定位人</w:t>
            </w:r>
            <w:r>
              <w:rPr>
                <w:rFonts w:hint="eastAsia" w:cs="宋体" w:asciiTheme="minorEastAsia" w:hAnsiTheme="minorEastAsia"/>
                <w:color w:val="auto"/>
                <w:szCs w:val="21"/>
                <w:highlight w:val="none"/>
              </w:rPr>
              <w:t>员</w:t>
            </w:r>
            <w:r>
              <w:rPr>
                <w:rFonts w:hint="eastAsia" w:cs="Yu Gothic" w:asciiTheme="minorEastAsia" w:hAnsiTheme="minorEastAsia"/>
                <w:color w:val="auto"/>
                <w:szCs w:val="21"/>
                <w:highlight w:val="none"/>
              </w:rPr>
              <w:t>位置，</w:t>
            </w:r>
            <w:r>
              <w:rPr>
                <w:rFonts w:hint="eastAsia" w:cs="宋体" w:asciiTheme="minorEastAsia" w:hAnsiTheme="minorEastAsia"/>
                <w:color w:val="auto"/>
                <w:szCs w:val="21"/>
                <w:highlight w:val="none"/>
              </w:rPr>
              <w:t>签</w:t>
            </w:r>
            <w:r>
              <w:rPr>
                <w:rFonts w:hint="eastAsia" w:cs="Yu Gothic" w:asciiTheme="minorEastAsia" w:hAnsiTheme="minorEastAsia"/>
                <w:color w:val="auto"/>
                <w:szCs w:val="21"/>
                <w:highlight w:val="none"/>
              </w:rPr>
              <w:t>到</w:t>
            </w:r>
            <w:r>
              <w:rPr>
                <w:rFonts w:hint="eastAsia" w:cs="宋体" w:asciiTheme="minorEastAsia" w:hAnsiTheme="minorEastAsia"/>
                <w:color w:val="auto"/>
                <w:szCs w:val="21"/>
                <w:highlight w:val="none"/>
              </w:rPr>
              <w:t>时</w:t>
            </w:r>
            <w:r>
              <w:rPr>
                <w:rFonts w:hint="eastAsia" w:cs="Yu Gothic" w:asciiTheme="minorEastAsia" w:hAnsiTheme="minorEastAsia"/>
                <w:color w:val="auto"/>
                <w:szCs w:val="21"/>
                <w:highlight w:val="none"/>
              </w:rPr>
              <w:t>自</w:t>
            </w:r>
            <w:r>
              <w:rPr>
                <w:rFonts w:hint="eastAsia" w:cs="宋体" w:asciiTheme="minorEastAsia" w:hAnsiTheme="minorEastAsia"/>
                <w:color w:val="auto"/>
                <w:szCs w:val="21"/>
                <w:highlight w:val="none"/>
              </w:rPr>
              <w:t>动</w:t>
            </w:r>
            <w:r>
              <w:rPr>
                <w:rFonts w:hint="eastAsia" w:cs="Yu Gothic" w:asciiTheme="minorEastAsia" w:hAnsiTheme="minorEastAsia"/>
                <w:color w:val="auto"/>
                <w:szCs w:val="21"/>
                <w:highlight w:val="none"/>
              </w:rPr>
              <w:t>在地</w:t>
            </w:r>
            <w:r>
              <w:rPr>
                <w:rFonts w:hint="eastAsia" w:cs="宋体" w:asciiTheme="minorEastAsia" w:hAnsiTheme="minorEastAsia"/>
                <w:color w:val="auto"/>
                <w:szCs w:val="21"/>
                <w:highlight w:val="none"/>
              </w:rPr>
              <w:t>图</w:t>
            </w:r>
            <w:r>
              <w:rPr>
                <w:rFonts w:hint="eastAsia" w:cs="Yu Gothic" w:asciiTheme="minorEastAsia" w:hAnsiTheme="minorEastAsia"/>
                <w:color w:val="auto"/>
                <w:szCs w:val="21"/>
                <w:highlight w:val="none"/>
              </w:rPr>
              <w:t>上</w:t>
            </w:r>
            <w:r>
              <w:rPr>
                <w:rFonts w:hint="eastAsia" w:cs="宋体" w:asciiTheme="minorEastAsia" w:hAnsiTheme="minorEastAsia"/>
                <w:color w:val="auto"/>
                <w:szCs w:val="21"/>
                <w:highlight w:val="none"/>
              </w:rPr>
              <w:t>标记</w:t>
            </w:r>
            <w:r>
              <w:rPr>
                <w:rFonts w:hint="eastAsia" w:cs="Yu Gothic" w:asciiTheme="minorEastAsia" w:hAnsiTheme="minorEastAsia"/>
                <w:color w:val="auto"/>
                <w:szCs w:val="21"/>
                <w:highlight w:val="none"/>
              </w:rPr>
              <w:t>，并</w:t>
            </w:r>
            <w:r>
              <w:rPr>
                <w:rFonts w:hint="eastAsia" w:cs="宋体" w:asciiTheme="minorEastAsia" w:hAnsiTheme="minorEastAsia"/>
                <w:color w:val="auto"/>
                <w:szCs w:val="21"/>
                <w:highlight w:val="none"/>
              </w:rPr>
              <w:t>实</w:t>
            </w:r>
            <w:r>
              <w:rPr>
                <w:rFonts w:hint="eastAsia" w:cs="Yu Gothic" w:asciiTheme="minorEastAsia" w:hAnsiTheme="minorEastAsia"/>
                <w:color w:val="auto"/>
                <w:szCs w:val="21"/>
                <w:highlight w:val="none"/>
              </w:rPr>
              <w:t>施</w:t>
            </w:r>
            <w:r>
              <w:rPr>
                <w:rFonts w:hint="eastAsia" w:cs="宋体" w:asciiTheme="minorEastAsia" w:hAnsiTheme="minorEastAsia"/>
                <w:color w:val="auto"/>
                <w:szCs w:val="21"/>
                <w:highlight w:val="none"/>
              </w:rPr>
              <w:t>获</w:t>
            </w:r>
            <w:r>
              <w:rPr>
                <w:rFonts w:hint="eastAsia" w:cs="Yu Gothic" w:asciiTheme="minorEastAsia" w:hAnsiTheme="minorEastAsia"/>
                <w:color w:val="auto"/>
                <w:szCs w:val="21"/>
                <w:highlight w:val="none"/>
              </w:rPr>
              <w:t>取中文地址，精</w:t>
            </w:r>
            <w:r>
              <w:rPr>
                <w:rFonts w:hint="eastAsia" w:asciiTheme="minorEastAsia" w:hAnsiTheme="minorEastAsia"/>
                <w:color w:val="auto"/>
                <w:szCs w:val="21"/>
                <w:highlight w:val="none"/>
              </w:rPr>
              <w:t>确</w:t>
            </w:r>
            <w:r>
              <w:rPr>
                <w:rFonts w:hint="eastAsia" w:cs="宋体" w:asciiTheme="minorEastAsia" w:hAnsiTheme="minorEastAsia"/>
                <w:color w:val="auto"/>
                <w:szCs w:val="21"/>
                <w:highlight w:val="none"/>
              </w:rPr>
              <w:t>记录签</w:t>
            </w:r>
            <w:r>
              <w:rPr>
                <w:rFonts w:hint="eastAsia" w:cs="Yu Gothic" w:asciiTheme="minorEastAsia" w:hAnsiTheme="minorEastAsia"/>
                <w:color w:val="auto"/>
                <w:szCs w:val="21"/>
                <w:highlight w:val="none"/>
              </w:rPr>
              <w:t>到</w:t>
            </w:r>
            <w:r>
              <w:rPr>
                <w:rFonts w:hint="eastAsia" w:cs="宋体" w:asciiTheme="minorEastAsia" w:hAnsiTheme="minorEastAsia"/>
                <w:color w:val="auto"/>
                <w:szCs w:val="21"/>
                <w:highlight w:val="none"/>
              </w:rPr>
              <w:t>时间</w:t>
            </w:r>
            <w:r>
              <w:rPr>
                <w:rFonts w:hint="eastAsia" w:cs="Yu Gothic" w:asciiTheme="minorEastAsia" w:hAnsiTheme="minorEastAsia"/>
                <w:color w:val="auto"/>
                <w:szCs w:val="21"/>
                <w:highlight w:val="none"/>
              </w:rPr>
              <w:t>，有效实时追踪服务人员服务进度。</w:t>
            </w:r>
          </w:p>
          <w:p>
            <w:pPr>
              <w:spacing w:line="276" w:lineRule="auto"/>
              <w:rPr>
                <w:rFonts w:asciiTheme="minorEastAsia" w:hAnsiTheme="minorEastAsia"/>
                <w:b/>
                <w:bCs/>
                <w:color w:val="auto"/>
                <w:szCs w:val="21"/>
                <w:highlight w:val="none"/>
              </w:rPr>
            </w:pPr>
            <w:r>
              <w:rPr>
                <w:rFonts w:asciiTheme="minorEastAsia" w:hAnsiTheme="minorEastAsia"/>
                <w:b/>
                <w:bCs/>
                <w:color w:val="auto"/>
                <w:szCs w:val="21"/>
                <w:highlight w:val="none"/>
              </w:rPr>
              <w:t>4</w:t>
            </w:r>
            <w:r>
              <w:rPr>
                <w:rFonts w:hint="eastAsia" w:asciiTheme="minorEastAsia" w:hAnsiTheme="minorEastAsia"/>
                <w:b/>
                <w:bCs/>
                <w:color w:val="auto"/>
                <w:szCs w:val="21"/>
                <w:highlight w:val="none"/>
              </w:rPr>
              <w:t>、</w:t>
            </w:r>
            <w:r>
              <w:rPr>
                <w:rFonts w:hint="eastAsia" w:cs="宋体" w:asciiTheme="minorEastAsia" w:hAnsiTheme="minorEastAsia"/>
                <w:b/>
                <w:bCs/>
                <w:color w:val="auto"/>
                <w:szCs w:val="21"/>
                <w:highlight w:val="none"/>
              </w:rPr>
              <w:t>预</w:t>
            </w:r>
            <w:r>
              <w:rPr>
                <w:rFonts w:hint="eastAsia" w:cs="Yu Gothic" w:asciiTheme="minorEastAsia" w:hAnsiTheme="minorEastAsia"/>
                <w:b/>
                <w:bCs/>
                <w:color w:val="auto"/>
                <w:szCs w:val="21"/>
                <w:highlight w:val="none"/>
              </w:rPr>
              <w:t>警管理系</w:t>
            </w:r>
            <w:r>
              <w:rPr>
                <w:rFonts w:hint="eastAsia" w:cs="宋体" w:asciiTheme="minorEastAsia" w:hAnsiTheme="minorEastAsia"/>
                <w:b/>
                <w:bCs/>
                <w:color w:val="auto"/>
                <w:szCs w:val="21"/>
                <w:highlight w:val="none"/>
              </w:rPr>
              <w:t>统</w:t>
            </w:r>
          </w:p>
          <w:p>
            <w:pPr>
              <w:spacing w:line="276" w:lineRule="auto"/>
              <w:rPr>
                <w:rFonts w:asciiTheme="minorEastAsia" w:hAnsiTheme="minorEastAsia"/>
                <w:color w:val="auto"/>
                <w:szCs w:val="21"/>
                <w:highlight w:val="none"/>
              </w:rPr>
            </w:pPr>
            <w:r>
              <w:rPr>
                <w:rFonts w:hint="eastAsia" w:cs="宋体" w:asciiTheme="minorEastAsia" w:hAnsiTheme="minorEastAsia"/>
                <w:color w:val="auto"/>
                <w:szCs w:val="21"/>
                <w:highlight w:val="none"/>
              </w:rPr>
              <w:t>该</w:t>
            </w:r>
            <w:r>
              <w:rPr>
                <w:rFonts w:hint="eastAsia" w:cs="Yu Gothic" w:asciiTheme="minorEastAsia" w:hAnsiTheme="minorEastAsia"/>
                <w:color w:val="auto"/>
                <w:szCs w:val="21"/>
                <w:highlight w:val="none"/>
              </w:rPr>
              <w:t>系</w:t>
            </w:r>
            <w:r>
              <w:rPr>
                <w:rFonts w:hint="eastAsia" w:cs="宋体" w:asciiTheme="minorEastAsia" w:hAnsiTheme="minorEastAsia"/>
                <w:color w:val="auto"/>
                <w:szCs w:val="21"/>
                <w:highlight w:val="none"/>
              </w:rPr>
              <w:t>统实现对</w:t>
            </w:r>
            <w:r>
              <w:rPr>
                <w:rFonts w:hint="eastAsia" w:cs="Yu Gothic" w:asciiTheme="minorEastAsia" w:hAnsiTheme="minorEastAsia"/>
                <w:color w:val="auto"/>
                <w:szCs w:val="21"/>
                <w:highlight w:val="none"/>
              </w:rPr>
              <w:t>售后服</w:t>
            </w:r>
            <w:r>
              <w:rPr>
                <w:rFonts w:hint="eastAsia" w:cs="宋体" w:asciiTheme="minorEastAsia" w:hAnsiTheme="minorEastAsia"/>
                <w:color w:val="auto"/>
                <w:szCs w:val="21"/>
                <w:highlight w:val="none"/>
              </w:rPr>
              <w:t>务过</w:t>
            </w:r>
            <w:r>
              <w:rPr>
                <w:rFonts w:hint="eastAsia" w:cs="Yu Gothic" w:asciiTheme="minorEastAsia" w:hAnsiTheme="minorEastAsia"/>
                <w:color w:val="auto"/>
                <w:szCs w:val="21"/>
                <w:highlight w:val="none"/>
              </w:rPr>
              <w:t>程中一些重要</w:t>
            </w:r>
            <w:r>
              <w:rPr>
                <w:rFonts w:hint="eastAsia" w:cs="宋体" w:asciiTheme="minorEastAsia" w:hAnsiTheme="minorEastAsia"/>
                <w:color w:val="auto"/>
                <w:szCs w:val="21"/>
                <w:highlight w:val="none"/>
              </w:rPr>
              <w:t>时间</w:t>
            </w:r>
            <w:r>
              <w:rPr>
                <w:rFonts w:hint="eastAsia" w:cs="Yu Gothic" w:asciiTheme="minorEastAsia" w:hAnsiTheme="minorEastAsia"/>
                <w:color w:val="auto"/>
                <w:szCs w:val="21"/>
                <w:highlight w:val="none"/>
              </w:rPr>
              <w:t>点的</w:t>
            </w:r>
            <w:r>
              <w:rPr>
                <w:rFonts w:hint="eastAsia" w:cs="宋体" w:asciiTheme="minorEastAsia" w:hAnsiTheme="minorEastAsia"/>
                <w:color w:val="auto"/>
                <w:szCs w:val="21"/>
                <w:highlight w:val="none"/>
              </w:rPr>
              <w:t>预</w:t>
            </w:r>
            <w:r>
              <w:rPr>
                <w:rFonts w:hint="eastAsia" w:cs="Yu Gothic" w:asciiTheme="minorEastAsia" w:hAnsiTheme="minorEastAsia"/>
                <w:color w:val="auto"/>
                <w:szCs w:val="21"/>
                <w:highlight w:val="none"/>
              </w:rPr>
              <w:t>警和提醒，例如</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保修期限的提醒、</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保养周期的提醒、</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巡</w:t>
            </w:r>
            <w:r>
              <w:rPr>
                <w:rFonts w:hint="eastAsia" w:cs="宋体" w:asciiTheme="minorEastAsia" w:hAnsiTheme="minorEastAsia"/>
                <w:color w:val="auto"/>
                <w:szCs w:val="21"/>
                <w:highlight w:val="none"/>
              </w:rPr>
              <w:t>检</w:t>
            </w:r>
            <w:r>
              <w:rPr>
                <w:rFonts w:hint="eastAsia" w:cs="Yu Gothic" w:asciiTheme="minorEastAsia" w:hAnsiTheme="minorEastAsia"/>
                <w:color w:val="auto"/>
                <w:szCs w:val="21"/>
                <w:highlight w:val="none"/>
              </w:rPr>
              <w:t>日期的</w:t>
            </w:r>
            <w:r>
              <w:rPr>
                <w:rFonts w:hint="eastAsia" w:cs="宋体" w:asciiTheme="minorEastAsia" w:hAnsiTheme="minorEastAsia"/>
                <w:color w:val="auto"/>
                <w:szCs w:val="21"/>
                <w:highlight w:val="none"/>
              </w:rPr>
              <w:t>预</w:t>
            </w:r>
            <w:r>
              <w:rPr>
                <w:rFonts w:hint="eastAsia" w:cs="Yu Gothic" w:asciiTheme="minorEastAsia" w:hAnsiTheme="minorEastAsia"/>
                <w:color w:val="auto"/>
                <w:szCs w:val="21"/>
                <w:highlight w:val="none"/>
              </w:rPr>
              <w:t>警等。</w:t>
            </w:r>
          </w:p>
          <w:p>
            <w:pPr>
              <w:spacing w:line="276" w:lineRule="auto"/>
              <w:rPr>
                <w:rFonts w:asciiTheme="minorEastAsia" w:hAnsiTheme="minorEastAsia"/>
                <w:b/>
                <w:bCs/>
                <w:color w:val="auto"/>
                <w:szCs w:val="21"/>
                <w:highlight w:val="none"/>
              </w:rPr>
            </w:pPr>
            <w:r>
              <w:rPr>
                <w:rFonts w:asciiTheme="minorEastAsia" w:hAnsiTheme="minorEastAsia"/>
                <w:b/>
                <w:bCs/>
                <w:color w:val="auto"/>
                <w:szCs w:val="21"/>
                <w:highlight w:val="none"/>
              </w:rPr>
              <w:t>5</w:t>
            </w:r>
            <w:r>
              <w:rPr>
                <w:rFonts w:hint="eastAsia" w:asciiTheme="minorEastAsia" w:hAnsiTheme="minorEastAsia"/>
                <w:b/>
                <w:bCs/>
                <w:color w:val="auto"/>
                <w:szCs w:val="21"/>
                <w:highlight w:val="none"/>
              </w:rPr>
              <w:t>、</w:t>
            </w:r>
            <w:r>
              <w:rPr>
                <w:rFonts w:hint="eastAsia" w:cs="宋体" w:asciiTheme="minorEastAsia" w:hAnsiTheme="minorEastAsia"/>
                <w:b/>
                <w:bCs/>
                <w:color w:val="auto"/>
                <w:szCs w:val="21"/>
                <w:highlight w:val="none"/>
              </w:rPr>
              <w:t>备</w:t>
            </w:r>
            <w:r>
              <w:rPr>
                <w:rFonts w:hint="eastAsia" w:cs="Yu Gothic" w:asciiTheme="minorEastAsia" w:hAnsiTheme="minorEastAsia"/>
                <w:b/>
                <w:bCs/>
                <w:color w:val="auto"/>
                <w:szCs w:val="21"/>
                <w:highlight w:val="none"/>
              </w:rPr>
              <w:t>件管理系</w:t>
            </w:r>
            <w:r>
              <w:rPr>
                <w:rFonts w:hint="eastAsia" w:cs="宋体" w:asciiTheme="minorEastAsia" w:hAnsiTheme="minorEastAsia"/>
                <w:b/>
                <w:bCs/>
                <w:color w:val="auto"/>
                <w:szCs w:val="21"/>
                <w:highlight w:val="none"/>
              </w:rPr>
              <w:t>统</w:t>
            </w:r>
          </w:p>
          <w:p>
            <w:pPr>
              <w:spacing w:line="276" w:lineRule="auto"/>
              <w:rPr>
                <w:rFonts w:cs="Yu Gothic" w:asciiTheme="minorEastAsia" w:hAnsiTheme="minorEastAsia"/>
                <w:color w:val="auto"/>
                <w:szCs w:val="21"/>
                <w:highlight w:val="none"/>
              </w:rPr>
            </w:pPr>
            <w:r>
              <w:rPr>
                <w:rFonts w:hint="eastAsia" w:cs="宋体" w:asciiTheme="minorEastAsia" w:hAnsiTheme="minorEastAsia"/>
                <w:color w:val="auto"/>
                <w:szCs w:val="21"/>
                <w:highlight w:val="none"/>
              </w:rPr>
              <w:t>该</w:t>
            </w:r>
            <w:r>
              <w:rPr>
                <w:rFonts w:hint="eastAsia" w:cs="Yu Gothic" w:asciiTheme="minorEastAsia" w:hAnsiTheme="minorEastAsia"/>
                <w:color w:val="auto"/>
                <w:szCs w:val="21"/>
                <w:highlight w:val="none"/>
              </w:rPr>
              <w:t>系</w:t>
            </w:r>
            <w:r>
              <w:rPr>
                <w:rFonts w:hint="eastAsia" w:cs="宋体" w:asciiTheme="minorEastAsia" w:hAnsiTheme="minorEastAsia"/>
                <w:color w:val="auto"/>
                <w:szCs w:val="21"/>
                <w:highlight w:val="none"/>
              </w:rPr>
              <w:t>统实现对备</w:t>
            </w:r>
            <w:r>
              <w:rPr>
                <w:rFonts w:hint="eastAsia" w:cs="Yu Gothic" w:asciiTheme="minorEastAsia" w:hAnsiTheme="minorEastAsia"/>
                <w:color w:val="auto"/>
                <w:szCs w:val="21"/>
                <w:highlight w:val="none"/>
              </w:rPr>
              <w:t>品</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件的管理，包括：</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件的分类、</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件档案、</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件的申</w:t>
            </w:r>
            <w:r>
              <w:rPr>
                <w:rFonts w:hint="eastAsia" w:cs="宋体" w:asciiTheme="minorEastAsia" w:hAnsiTheme="minorEastAsia"/>
                <w:color w:val="auto"/>
                <w:szCs w:val="21"/>
                <w:highlight w:val="none"/>
              </w:rPr>
              <w:t>请</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件的</w:t>
            </w:r>
            <w:r>
              <w:rPr>
                <w:rFonts w:hint="eastAsia" w:cs="宋体" w:asciiTheme="minorEastAsia" w:hAnsiTheme="minorEastAsia"/>
                <w:color w:val="auto"/>
                <w:szCs w:val="21"/>
                <w:highlight w:val="none"/>
              </w:rPr>
              <w:t>领</w:t>
            </w:r>
            <w:r>
              <w:rPr>
                <w:rFonts w:hint="eastAsia" w:cs="Yu Gothic" w:asciiTheme="minorEastAsia" w:hAnsiTheme="minorEastAsia"/>
                <w:color w:val="auto"/>
                <w:szCs w:val="21"/>
                <w:highlight w:val="none"/>
              </w:rPr>
              <w:t>用、</w:t>
            </w:r>
            <w:r>
              <w:rPr>
                <w:rFonts w:hint="eastAsia" w:cs="宋体" w:asciiTheme="minorEastAsia" w:hAnsiTheme="minorEastAsia"/>
                <w:color w:val="auto"/>
                <w:szCs w:val="21"/>
                <w:highlight w:val="none"/>
              </w:rPr>
              <w:t>备</w:t>
            </w:r>
            <w:r>
              <w:rPr>
                <w:rFonts w:hint="eastAsia" w:asciiTheme="minorEastAsia" w:hAnsiTheme="minorEastAsia"/>
                <w:color w:val="auto"/>
                <w:szCs w:val="21"/>
                <w:highlight w:val="none"/>
              </w:rPr>
              <w:t>件</w:t>
            </w:r>
            <w:r>
              <w:rPr>
                <w:rFonts w:hint="eastAsia" w:cs="宋体" w:asciiTheme="minorEastAsia" w:hAnsiTheme="minorEastAsia"/>
                <w:color w:val="auto"/>
                <w:szCs w:val="21"/>
                <w:highlight w:val="none"/>
              </w:rPr>
              <w:t>库</w:t>
            </w:r>
            <w:r>
              <w:rPr>
                <w:rFonts w:hint="eastAsia" w:cs="Yu Gothic" w:asciiTheme="minorEastAsia" w:hAnsiTheme="minorEastAsia"/>
                <w:color w:val="auto"/>
                <w:szCs w:val="21"/>
                <w:highlight w:val="none"/>
              </w:rPr>
              <w:t>存、</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件的</w:t>
            </w:r>
            <w:r>
              <w:rPr>
                <w:rFonts w:hint="eastAsia" w:cs="宋体" w:asciiTheme="minorEastAsia" w:hAnsiTheme="minorEastAsia"/>
                <w:color w:val="auto"/>
                <w:szCs w:val="21"/>
                <w:highlight w:val="none"/>
              </w:rPr>
              <w:t>统计</w:t>
            </w:r>
            <w:r>
              <w:rPr>
                <w:rFonts w:hint="eastAsia" w:cs="Yu Gothic" w:asciiTheme="minorEastAsia" w:hAnsiTheme="minorEastAsia"/>
                <w:color w:val="auto"/>
                <w:szCs w:val="21"/>
                <w:highlight w:val="none"/>
              </w:rPr>
              <w:t>，能够通</w:t>
            </w:r>
            <w:r>
              <w:rPr>
                <w:rFonts w:hint="eastAsia" w:cs="宋体" w:asciiTheme="minorEastAsia" w:hAnsiTheme="minorEastAsia"/>
                <w:color w:val="auto"/>
                <w:szCs w:val="21"/>
                <w:highlight w:val="none"/>
              </w:rPr>
              <w:t>过</w:t>
            </w:r>
            <w:r>
              <w:rPr>
                <w:rFonts w:hint="eastAsia" w:cs="Yu Gothic" w:asciiTheme="minorEastAsia" w:hAnsiTheme="minorEastAsia"/>
                <w:color w:val="auto"/>
                <w:szCs w:val="21"/>
                <w:highlight w:val="none"/>
              </w:rPr>
              <w:t>手机</w:t>
            </w:r>
            <w:r>
              <w:rPr>
                <w:rFonts w:hint="eastAsia" w:cs="宋体" w:asciiTheme="minorEastAsia" w:hAnsiTheme="minorEastAsia"/>
                <w:color w:val="auto"/>
                <w:szCs w:val="21"/>
                <w:highlight w:val="none"/>
              </w:rPr>
              <w:t>实时查询</w:t>
            </w:r>
            <w:r>
              <w:rPr>
                <w:rFonts w:hint="eastAsia" w:cs="Yu Gothic" w:asciiTheme="minorEastAsia" w:hAnsiTheme="minorEastAsia"/>
                <w:color w:val="auto"/>
                <w:szCs w:val="21"/>
                <w:highlight w:val="none"/>
              </w:rPr>
              <w:t>到</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件的</w:t>
            </w:r>
            <w:r>
              <w:rPr>
                <w:rFonts w:hint="eastAsia" w:cs="宋体" w:asciiTheme="minorEastAsia" w:hAnsiTheme="minorEastAsia"/>
                <w:color w:val="auto"/>
                <w:szCs w:val="21"/>
                <w:highlight w:val="none"/>
              </w:rPr>
              <w:t>库</w:t>
            </w:r>
            <w:r>
              <w:rPr>
                <w:rFonts w:hint="eastAsia" w:cs="Yu Gothic" w:asciiTheme="minorEastAsia" w:hAnsiTheme="minorEastAsia"/>
                <w:color w:val="auto"/>
                <w:szCs w:val="21"/>
                <w:highlight w:val="none"/>
              </w:rPr>
              <w:t>存数量等。</w:t>
            </w:r>
          </w:p>
          <w:p>
            <w:pPr>
              <w:spacing w:line="276" w:lineRule="auto"/>
              <w:rPr>
                <w:rFonts w:asciiTheme="minorEastAsia" w:hAnsiTheme="minorEastAsia"/>
                <w:b/>
                <w:bCs/>
                <w:color w:val="auto"/>
                <w:szCs w:val="21"/>
                <w:highlight w:val="none"/>
              </w:rPr>
            </w:pPr>
            <w:r>
              <w:rPr>
                <w:rFonts w:asciiTheme="minorEastAsia" w:hAnsiTheme="minorEastAsia"/>
                <w:b/>
                <w:bCs/>
                <w:color w:val="auto"/>
                <w:szCs w:val="21"/>
                <w:highlight w:val="none"/>
              </w:rPr>
              <w:t>6</w:t>
            </w:r>
            <w:r>
              <w:rPr>
                <w:rFonts w:hint="eastAsia" w:asciiTheme="minorEastAsia" w:hAnsiTheme="minorEastAsia"/>
                <w:b/>
                <w:bCs/>
                <w:color w:val="auto"/>
                <w:szCs w:val="21"/>
                <w:highlight w:val="none"/>
              </w:rPr>
              <w:t>、知</w:t>
            </w:r>
            <w:r>
              <w:rPr>
                <w:rFonts w:hint="eastAsia" w:cs="宋体" w:asciiTheme="minorEastAsia" w:hAnsiTheme="minorEastAsia"/>
                <w:b/>
                <w:bCs/>
                <w:color w:val="auto"/>
                <w:szCs w:val="21"/>
                <w:highlight w:val="none"/>
              </w:rPr>
              <w:t>识</w:t>
            </w:r>
            <w:r>
              <w:rPr>
                <w:rFonts w:hint="eastAsia" w:cs="Yu Gothic" w:asciiTheme="minorEastAsia" w:hAnsiTheme="minorEastAsia"/>
                <w:b/>
                <w:bCs/>
                <w:color w:val="auto"/>
                <w:szCs w:val="21"/>
                <w:highlight w:val="none"/>
              </w:rPr>
              <w:t>管理系</w:t>
            </w:r>
            <w:r>
              <w:rPr>
                <w:rFonts w:hint="eastAsia" w:cs="宋体" w:asciiTheme="minorEastAsia" w:hAnsiTheme="minorEastAsia"/>
                <w:b/>
                <w:bCs/>
                <w:color w:val="auto"/>
                <w:szCs w:val="21"/>
                <w:highlight w:val="none"/>
              </w:rPr>
              <w:t>统</w:t>
            </w:r>
          </w:p>
          <w:p>
            <w:pPr>
              <w:spacing w:line="276" w:lineRule="auto"/>
              <w:rPr>
                <w:rFonts w:cs="Yu Gothic" w:asciiTheme="minorEastAsia" w:hAnsiTheme="minorEastAsia"/>
                <w:color w:val="auto"/>
                <w:szCs w:val="21"/>
                <w:highlight w:val="none"/>
              </w:rPr>
            </w:pPr>
            <w:r>
              <w:rPr>
                <w:rFonts w:hint="eastAsia" w:cs="宋体" w:asciiTheme="minorEastAsia" w:hAnsiTheme="minorEastAsia"/>
                <w:color w:val="auto"/>
                <w:szCs w:val="21"/>
                <w:highlight w:val="none"/>
              </w:rPr>
              <w:t>该</w:t>
            </w:r>
            <w:r>
              <w:rPr>
                <w:rFonts w:hint="eastAsia" w:cs="Yu Gothic" w:asciiTheme="minorEastAsia" w:hAnsiTheme="minorEastAsia"/>
                <w:color w:val="auto"/>
                <w:szCs w:val="21"/>
                <w:highlight w:val="none"/>
              </w:rPr>
              <w:t>系</w:t>
            </w:r>
            <w:r>
              <w:rPr>
                <w:rFonts w:hint="eastAsia" w:cs="宋体" w:asciiTheme="minorEastAsia" w:hAnsiTheme="minorEastAsia"/>
                <w:color w:val="auto"/>
                <w:szCs w:val="21"/>
                <w:highlight w:val="none"/>
              </w:rPr>
              <w:t>统实现对</w:t>
            </w:r>
            <w:r>
              <w:rPr>
                <w:rFonts w:hint="eastAsia" w:cs="Yu Gothic" w:asciiTheme="minorEastAsia" w:hAnsiTheme="minorEastAsia"/>
                <w:color w:val="auto"/>
                <w:szCs w:val="21"/>
                <w:highlight w:val="none"/>
              </w:rPr>
              <w:t>售后服</w:t>
            </w:r>
            <w:r>
              <w:rPr>
                <w:rFonts w:hint="eastAsia" w:cs="宋体" w:asciiTheme="minorEastAsia" w:hAnsiTheme="minorEastAsia"/>
                <w:color w:val="auto"/>
                <w:szCs w:val="21"/>
                <w:highlight w:val="none"/>
              </w:rPr>
              <w:t>务业务</w:t>
            </w:r>
            <w:r>
              <w:rPr>
                <w:rFonts w:hint="eastAsia" w:cs="Yu Gothic" w:asciiTheme="minorEastAsia" w:hAnsiTheme="minorEastAsia"/>
                <w:color w:val="auto"/>
                <w:szCs w:val="21"/>
                <w:highlight w:val="none"/>
              </w:rPr>
              <w:t>的知</w:t>
            </w:r>
            <w:r>
              <w:rPr>
                <w:rFonts w:hint="eastAsia" w:cs="宋体" w:asciiTheme="minorEastAsia" w:hAnsiTheme="minorEastAsia"/>
                <w:color w:val="auto"/>
                <w:szCs w:val="21"/>
                <w:highlight w:val="none"/>
              </w:rPr>
              <w:t>识积</w:t>
            </w:r>
            <w:r>
              <w:rPr>
                <w:rFonts w:hint="eastAsia" w:cs="Yu Gothic" w:asciiTheme="minorEastAsia" w:hAnsiTheme="minorEastAsia"/>
                <w:color w:val="auto"/>
                <w:szCs w:val="21"/>
                <w:highlight w:val="none"/>
              </w:rPr>
              <w:t>累和知</w:t>
            </w:r>
            <w:r>
              <w:rPr>
                <w:rFonts w:hint="eastAsia" w:cs="宋体" w:asciiTheme="minorEastAsia" w:hAnsiTheme="minorEastAsia"/>
                <w:color w:val="auto"/>
                <w:szCs w:val="21"/>
                <w:highlight w:val="none"/>
              </w:rPr>
              <w:t>识</w:t>
            </w:r>
            <w:r>
              <w:rPr>
                <w:rFonts w:hint="eastAsia" w:cs="Yu Gothic" w:asciiTheme="minorEastAsia" w:hAnsiTheme="minorEastAsia"/>
                <w:color w:val="auto"/>
                <w:szCs w:val="21"/>
                <w:highlight w:val="none"/>
              </w:rPr>
              <w:t>管理，主要包括文件</w:t>
            </w:r>
            <w:r>
              <w:rPr>
                <w:rFonts w:hint="eastAsia" w:cs="宋体" w:asciiTheme="minorEastAsia" w:hAnsiTheme="minorEastAsia"/>
                <w:color w:val="auto"/>
                <w:szCs w:val="21"/>
                <w:highlight w:val="none"/>
              </w:rPr>
              <w:t>资</w:t>
            </w:r>
            <w:r>
              <w:rPr>
                <w:rFonts w:hint="eastAsia" w:cs="Yu Gothic" w:asciiTheme="minorEastAsia" w:hAnsiTheme="minorEastAsia"/>
                <w:color w:val="auto"/>
                <w:szCs w:val="21"/>
                <w:highlight w:val="none"/>
              </w:rPr>
              <w:t>料</w:t>
            </w:r>
            <w:r>
              <w:rPr>
                <w:rFonts w:hint="eastAsia" w:cs="宋体" w:asciiTheme="minorEastAsia" w:hAnsiTheme="minorEastAsia"/>
                <w:color w:val="auto"/>
                <w:szCs w:val="21"/>
                <w:highlight w:val="none"/>
              </w:rPr>
              <w:t>库</w:t>
            </w:r>
            <w:r>
              <w:rPr>
                <w:rFonts w:hint="eastAsia" w:cs="Yu Gothic" w:asciiTheme="minorEastAsia" w:hAnsiTheme="minorEastAsia"/>
                <w:color w:val="auto"/>
                <w:szCs w:val="21"/>
                <w:highlight w:val="none"/>
              </w:rPr>
              <w:t>的管理、故障</w:t>
            </w:r>
            <w:r>
              <w:rPr>
                <w:rFonts w:hint="eastAsia" w:cs="宋体" w:asciiTheme="minorEastAsia" w:hAnsiTheme="minorEastAsia"/>
                <w:color w:val="auto"/>
                <w:szCs w:val="21"/>
                <w:highlight w:val="none"/>
              </w:rPr>
              <w:t>库</w:t>
            </w:r>
            <w:r>
              <w:rPr>
                <w:rFonts w:hint="eastAsia" w:cs="Yu Gothic" w:asciiTheme="minorEastAsia" w:hAnsiTheme="minorEastAsia"/>
                <w:color w:val="auto"/>
                <w:szCs w:val="21"/>
                <w:highlight w:val="none"/>
              </w:rPr>
              <w:t>的管理等。</w:t>
            </w:r>
          </w:p>
          <w:p>
            <w:pPr>
              <w:spacing w:line="276" w:lineRule="auto"/>
              <w:rPr>
                <w:rFonts w:asciiTheme="minorEastAsia" w:hAnsiTheme="minorEastAsia"/>
                <w:b/>
                <w:bCs/>
                <w:color w:val="auto"/>
                <w:szCs w:val="21"/>
                <w:highlight w:val="none"/>
              </w:rPr>
            </w:pPr>
            <w:r>
              <w:rPr>
                <w:rFonts w:asciiTheme="minorEastAsia" w:hAnsiTheme="minorEastAsia"/>
                <w:b/>
                <w:bCs/>
                <w:color w:val="auto"/>
                <w:szCs w:val="21"/>
                <w:highlight w:val="none"/>
              </w:rPr>
              <w:t>7</w:t>
            </w:r>
            <w:r>
              <w:rPr>
                <w:rFonts w:hint="eastAsia" w:asciiTheme="minorEastAsia" w:hAnsiTheme="minorEastAsia"/>
                <w:b/>
                <w:bCs/>
                <w:color w:val="auto"/>
                <w:szCs w:val="21"/>
                <w:highlight w:val="none"/>
              </w:rPr>
              <w:t>、</w:t>
            </w:r>
            <w:r>
              <w:rPr>
                <w:rFonts w:hint="eastAsia" w:cs="宋体" w:asciiTheme="minorEastAsia" w:hAnsiTheme="minorEastAsia"/>
                <w:b/>
                <w:bCs/>
                <w:color w:val="auto"/>
                <w:szCs w:val="21"/>
                <w:highlight w:val="none"/>
              </w:rPr>
              <w:t>业务记录</w:t>
            </w:r>
            <w:r>
              <w:rPr>
                <w:rFonts w:hint="eastAsia" w:cs="Yu Gothic" w:asciiTheme="minorEastAsia" w:hAnsiTheme="minorEastAsia"/>
                <w:b/>
                <w:bCs/>
                <w:color w:val="auto"/>
                <w:szCs w:val="21"/>
                <w:highlight w:val="none"/>
              </w:rPr>
              <w:t>系</w:t>
            </w:r>
            <w:r>
              <w:rPr>
                <w:rFonts w:hint="eastAsia" w:cs="宋体" w:asciiTheme="minorEastAsia" w:hAnsiTheme="minorEastAsia"/>
                <w:b/>
                <w:bCs/>
                <w:color w:val="auto"/>
                <w:szCs w:val="21"/>
                <w:highlight w:val="none"/>
              </w:rPr>
              <w:t>统</w:t>
            </w:r>
          </w:p>
          <w:p>
            <w:pPr>
              <w:spacing w:line="276" w:lineRule="auto"/>
              <w:rPr>
                <w:rFonts w:asciiTheme="minorEastAsia" w:hAnsiTheme="minorEastAsia"/>
                <w:color w:val="auto"/>
                <w:szCs w:val="21"/>
                <w:highlight w:val="none"/>
              </w:rPr>
            </w:pPr>
            <w:r>
              <w:rPr>
                <w:rFonts w:hint="eastAsia" w:cs="宋体" w:asciiTheme="minorEastAsia" w:hAnsiTheme="minorEastAsia"/>
                <w:color w:val="auto"/>
                <w:szCs w:val="21"/>
                <w:highlight w:val="none"/>
              </w:rPr>
              <w:t>该</w:t>
            </w:r>
            <w:r>
              <w:rPr>
                <w:rFonts w:hint="eastAsia" w:cs="Yu Gothic" w:asciiTheme="minorEastAsia" w:hAnsiTheme="minorEastAsia"/>
                <w:color w:val="auto"/>
                <w:szCs w:val="21"/>
                <w:highlight w:val="none"/>
              </w:rPr>
              <w:t>子系</w:t>
            </w:r>
            <w:r>
              <w:rPr>
                <w:rFonts w:hint="eastAsia" w:cs="宋体" w:asciiTheme="minorEastAsia" w:hAnsiTheme="minorEastAsia"/>
                <w:color w:val="auto"/>
                <w:szCs w:val="21"/>
                <w:highlight w:val="none"/>
              </w:rPr>
              <w:t>统</w:t>
            </w:r>
            <w:r>
              <w:rPr>
                <w:rFonts w:hint="eastAsia" w:cs="Yu Gothic" w:asciiTheme="minorEastAsia" w:hAnsiTheme="minorEastAsia"/>
                <w:color w:val="auto"/>
                <w:szCs w:val="21"/>
                <w:highlight w:val="none"/>
              </w:rPr>
              <w:t>自</w:t>
            </w:r>
            <w:r>
              <w:rPr>
                <w:rFonts w:hint="eastAsia" w:cs="宋体" w:asciiTheme="minorEastAsia" w:hAnsiTheme="minorEastAsia"/>
                <w:color w:val="auto"/>
                <w:szCs w:val="21"/>
                <w:highlight w:val="none"/>
              </w:rPr>
              <w:t>动记录</w:t>
            </w:r>
            <w:r>
              <w:rPr>
                <w:rFonts w:hint="eastAsia" w:cs="Yu Gothic" w:asciiTheme="minorEastAsia" w:hAnsiTheme="minorEastAsia"/>
                <w:color w:val="auto"/>
                <w:szCs w:val="21"/>
                <w:highlight w:val="none"/>
              </w:rPr>
              <w:t>并</w:t>
            </w:r>
            <w:r>
              <w:rPr>
                <w:rFonts w:hint="eastAsia" w:cs="宋体" w:asciiTheme="minorEastAsia" w:hAnsiTheme="minorEastAsia"/>
                <w:color w:val="auto"/>
                <w:szCs w:val="21"/>
                <w:highlight w:val="none"/>
              </w:rPr>
              <w:t>归</w:t>
            </w:r>
            <w:r>
              <w:rPr>
                <w:rFonts w:hint="eastAsia" w:cs="Yu Gothic" w:asciiTheme="minorEastAsia" w:hAnsiTheme="minorEastAsia"/>
                <w:color w:val="auto"/>
                <w:szCs w:val="21"/>
                <w:highlight w:val="none"/>
              </w:rPr>
              <w:t>档所有的</w:t>
            </w:r>
            <w:r>
              <w:rPr>
                <w:rFonts w:hint="eastAsia" w:cs="宋体" w:asciiTheme="minorEastAsia" w:hAnsiTheme="minorEastAsia"/>
                <w:color w:val="auto"/>
                <w:szCs w:val="21"/>
                <w:highlight w:val="none"/>
              </w:rPr>
              <w:t>业务单</w:t>
            </w:r>
            <w:r>
              <w:rPr>
                <w:rFonts w:hint="eastAsia" w:cs="Yu Gothic" w:asciiTheme="minorEastAsia" w:hAnsiTheme="minorEastAsia"/>
                <w:color w:val="auto"/>
                <w:szCs w:val="21"/>
                <w:highlight w:val="none"/>
              </w:rPr>
              <w:t>据，包括：</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安装</w:t>
            </w:r>
            <w:r>
              <w:rPr>
                <w:rFonts w:hint="eastAsia" w:cs="宋体" w:asciiTheme="minorEastAsia" w:hAnsiTheme="minorEastAsia"/>
                <w:color w:val="auto"/>
                <w:szCs w:val="21"/>
                <w:highlight w:val="none"/>
              </w:rPr>
              <w:t>记录</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升</w:t>
            </w:r>
            <w:r>
              <w:rPr>
                <w:rFonts w:hint="eastAsia" w:cs="宋体" w:asciiTheme="minorEastAsia" w:hAnsiTheme="minorEastAsia"/>
                <w:color w:val="auto"/>
                <w:szCs w:val="21"/>
                <w:highlight w:val="none"/>
              </w:rPr>
              <w:t>级记录</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设备维</w:t>
            </w:r>
            <w:r>
              <w:rPr>
                <w:rFonts w:hint="eastAsia" w:cs="Yu Gothic" w:asciiTheme="minorEastAsia" w:hAnsiTheme="minorEastAsia"/>
                <w:color w:val="auto"/>
                <w:szCs w:val="21"/>
                <w:highlight w:val="none"/>
              </w:rPr>
              <w:t>修</w:t>
            </w:r>
            <w:r>
              <w:rPr>
                <w:rFonts w:hint="eastAsia" w:cs="宋体" w:asciiTheme="minorEastAsia" w:hAnsiTheme="minorEastAsia"/>
                <w:color w:val="auto"/>
                <w:szCs w:val="21"/>
                <w:highlight w:val="none"/>
              </w:rPr>
              <w:t>记录</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巡</w:t>
            </w:r>
            <w:r>
              <w:rPr>
                <w:rFonts w:hint="eastAsia" w:cs="宋体" w:asciiTheme="minorEastAsia" w:hAnsiTheme="minorEastAsia"/>
                <w:color w:val="auto"/>
                <w:szCs w:val="21"/>
                <w:highlight w:val="none"/>
              </w:rPr>
              <w:t>检记录</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保养</w:t>
            </w:r>
            <w:r>
              <w:rPr>
                <w:rFonts w:hint="eastAsia" w:cs="宋体" w:asciiTheme="minorEastAsia" w:hAnsiTheme="minorEastAsia"/>
                <w:color w:val="auto"/>
                <w:szCs w:val="21"/>
                <w:highlight w:val="none"/>
              </w:rPr>
              <w:t>记录</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设备检测记录</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培</w:t>
            </w:r>
            <w:r>
              <w:rPr>
                <w:rFonts w:hint="eastAsia" w:cs="宋体" w:asciiTheme="minorEastAsia" w:hAnsiTheme="minorEastAsia"/>
                <w:color w:val="auto"/>
                <w:szCs w:val="21"/>
                <w:highlight w:val="none"/>
              </w:rPr>
              <w:t>训记录</w:t>
            </w:r>
            <w:r>
              <w:rPr>
                <w:rFonts w:hint="eastAsia" w:cs="Yu Gothic" w:asciiTheme="minorEastAsia" w:hAnsiTheme="minorEastAsia"/>
                <w:color w:val="auto"/>
                <w:szCs w:val="21"/>
                <w:highlight w:val="none"/>
              </w:rPr>
              <w:t>、用</w:t>
            </w:r>
            <w:r>
              <w:rPr>
                <w:rFonts w:hint="eastAsia" w:cs="宋体" w:asciiTheme="minorEastAsia" w:hAnsiTheme="minorEastAsia"/>
                <w:color w:val="auto"/>
                <w:szCs w:val="21"/>
                <w:highlight w:val="none"/>
              </w:rPr>
              <w:t>户</w:t>
            </w:r>
            <w:r>
              <w:rPr>
                <w:rFonts w:hint="eastAsia" w:cs="Yu Gothic" w:asciiTheme="minorEastAsia" w:hAnsiTheme="minorEastAsia"/>
                <w:color w:val="auto"/>
                <w:szCs w:val="21"/>
                <w:highlight w:val="none"/>
              </w:rPr>
              <w:t>投</w:t>
            </w:r>
            <w:r>
              <w:rPr>
                <w:rFonts w:hint="eastAsia" w:cs="宋体" w:asciiTheme="minorEastAsia" w:hAnsiTheme="minorEastAsia"/>
                <w:color w:val="auto"/>
                <w:szCs w:val="21"/>
                <w:highlight w:val="none"/>
              </w:rPr>
              <w:t>诉记录</w:t>
            </w:r>
            <w:r>
              <w:rPr>
                <w:rFonts w:hint="eastAsia" w:cs="Yu Gothic" w:asciiTheme="minorEastAsia" w:hAnsiTheme="minorEastAsia"/>
                <w:color w:val="auto"/>
                <w:szCs w:val="21"/>
                <w:highlight w:val="none"/>
              </w:rPr>
              <w:t>等等。</w:t>
            </w:r>
          </w:p>
          <w:p>
            <w:pPr>
              <w:spacing w:line="276" w:lineRule="auto"/>
              <w:rPr>
                <w:rFonts w:asciiTheme="minorEastAsia" w:hAnsiTheme="minorEastAsia"/>
                <w:b/>
                <w:bCs/>
                <w:color w:val="auto"/>
                <w:szCs w:val="21"/>
                <w:highlight w:val="none"/>
              </w:rPr>
            </w:pPr>
            <w:r>
              <w:rPr>
                <w:rFonts w:asciiTheme="minorEastAsia" w:hAnsiTheme="minorEastAsia"/>
                <w:b/>
                <w:bCs/>
                <w:color w:val="auto"/>
                <w:szCs w:val="21"/>
                <w:highlight w:val="none"/>
              </w:rPr>
              <w:t>8</w:t>
            </w:r>
            <w:r>
              <w:rPr>
                <w:rFonts w:hint="eastAsia" w:asciiTheme="minorEastAsia" w:hAnsiTheme="minorEastAsia"/>
                <w:b/>
                <w:bCs/>
                <w:color w:val="auto"/>
                <w:szCs w:val="21"/>
                <w:highlight w:val="none"/>
              </w:rPr>
              <w:t>、</w:t>
            </w:r>
            <w:r>
              <w:rPr>
                <w:rFonts w:hint="eastAsia" w:cs="宋体" w:asciiTheme="minorEastAsia" w:hAnsiTheme="minorEastAsia"/>
                <w:b/>
                <w:bCs/>
                <w:color w:val="auto"/>
                <w:szCs w:val="21"/>
                <w:highlight w:val="none"/>
              </w:rPr>
              <w:t>统计</w:t>
            </w:r>
            <w:r>
              <w:rPr>
                <w:rFonts w:hint="eastAsia" w:cs="Yu Gothic" w:asciiTheme="minorEastAsia" w:hAnsiTheme="minorEastAsia"/>
                <w:b/>
                <w:bCs/>
                <w:color w:val="auto"/>
                <w:szCs w:val="21"/>
                <w:highlight w:val="none"/>
              </w:rPr>
              <w:t>分析系</w:t>
            </w:r>
            <w:r>
              <w:rPr>
                <w:rFonts w:hint="eastAsia" w:cs="宋体" w:asciiTheme="minorEastAsia" w:hAnsiTheme="minorEastAsia"/>
                <w:b/>
                <w:bCs/>
                <w:color w:val="auto"/>
                <w:szCs w:val="21"/>
                <w:highlight w:val="none"/>
              </w:rPr>
              <w:t>统</w:t>
            </w:r>
          </w:p>
          <w:p>
            <w:pPr>
              <w:spacing w:line="276" w:lineRule="auto"/>
              <w:rPr>
                <w:rFonts w:cs="Yu Gothic" w:asciiTheme="minorEastAsia" w:hAnsiTheme="minorEastAsia"/>
                <w:color w:val="auto"/>
                <w:szCs w:val="21"/>
                <w:highlight w:val="none"/>
              </w:rPr>
            </w:pPr>
            <w:r>
              <w:rPr>
                <w:rFonts w:hint="eastAsia" w:cs="宋体" w:asciiTheme="minorEastAsia" w:hAnsiTheme="minorEastAsia"/>
                <w:color w:val="auto"/>
                <w:szCs w:val="21"/>
                <w:highlight w:val="none"/>
              </w:rPr>
              <w:t>该</w:t>
            </w:r>
            <w:r>
              <w:rPr>
                <w:rFonts w:hint="eastAsia" w:cs="Yu Gothic" w:asciiTheme="minorEastAsia" w:hAnsiTheme="minorEastAsia"/>
                <w:color w:val="auto"/>
                <w:szCs w:val="21"/>
                <w:highlight w:val="none"/>
              </w:rPr>
              <w:t>系</w:t>
            </w:r>
            <w:r>
              <w:rPr>
                <w:rFonts w:hint="eastAsia" w:cs="宋体" w:asciiTheme="minorEastAsia" w:hAnsiTheme="minorEastAsia"/>
                <w:color w:val="auto"/>
                <w:szCs w:val="21"/>
                <w:highlight w:val="none"/>
              </w:rPr>
              <w:t>统实现对</w:t>
            </w:r>
            <w:r>
              <w:rPr>
                <w:rFonts w:hint="eastAsia" w:cs="Yu Gothic" w:asciiTheme="minorEastAsia" w:hAnsiTheme="minorEastAsia"/>
                <w:color w:val="auto"/>
                <w:szCs w:val="21"/>
                <w:highlight w:val="none"/>
              </w:rPr>
              <w:t>售后服</w:t>
            </w:r>
            <w:r>
              <w:rPr>
                <w:rFonts w:hint="eastAsia" w:cs="宋体" w:asciiTheme="minorEastAsia" w:hAnsiTheme="minorEastAsia"/>
                <w:color w:val="auto"/>
                <w:szCs w:val="21"/>
                <w:highlight w:val="none"/>
              </w:rPr>
              <w:t>务</w:t>
            </w:r>
            <w:r>
              <w:rPr>
                <w:rFonts w:hint="eastAsia" w:cs="Yu Gothic" w:asciiTheme="minorEastAsia" w:hAnsiTheme="minorEastAsia"/>
                <w:color w:val="auto"/>
                <w:szCs w:val="21"/>
                <w:highlight w:val="none"/>
              </w:rPr>
              <w:t>管理的工作</w:t>
            </w:r>
            <w:r>
              <w:rPr>
                <w:rFonts w:hint="eastAsia" w:cs="宋体" w:asciiTheme="minorEastAsia" w:hAnsiTheme="minorEastAsia"/>
                <w:color w:val="auto"/>
                <w:szCs w:val="21"/>
                <w:highlight w:val="none"/>
              </w:rPr>
              <w:t>统计</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录</w:t>
            </w:r>
            <w:r>
              <w:rPr>
                <w:rFonts w:hint="eastAsia" w:cs="Yu Gothic" w:asciiTheme="minorEastAsia" w:hAnsiTheme="minorEastAsia"/>
                <w:color w:val="auto"/>
                <w:szCs w:val="21"/>
                <w:highlight w:val="none"/>
              </w:rPr>
              <w:t>入工作量的</w:t>
            </w:r>
            <w:r>
              <w:rPr>
                <w:rFonts w:hint="eastAsia" w:cs="宋体" w:asciiTheme="minorEastAsia" w:hAnsiTheme="minorEastAsia"/>
                <w:color w:val="auto"/>
                <w:szCs w:val="21"/>
                <w:highlight w:val="none"/>
              </w:rPr>
              <w:t>统计</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设备维</w:t>
            </w:r>
            <w:r>
              <w:rPr>
                <w:rFonts w:hint="eastAsia" w:cs="Yu Gothic" w:asciiTheme="minorEastAsia" w:hAnsiTheme="minorEastAsia"/>
                <w:color w:val="auto"/>
                <w:szCs w:val="21"/>
                <w:highlight w:val="none"/>
              </w:rPr>
              <w:t>修情况</w:t>
            </w:r>
            <w:r>
              <w:rPr>
                <w:rFonts w:hint="eastAsia" w:cs="宋体" w:asciiTheme="minorEastAsia" w:hAnsiTheme="minorEastAsia"/>
                <w:color w:val="auto"/>
                <w:szCs w:val="21"/>
                <w:highlight w:val="none"/>
              </w:rPr>
              <w:t>统计</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费</w:t>
            </w:r>
            <w:r>
              <w:rPr>
                <w:rFonts w:hint="eastAsia" w:cs="Yu Gothic" w:asciiTheme="minorEastAsia" w:hAnsiTheme="minorEastAsia"/>
                <w:color w:val="auto"/>
                <w:szCs w:val="21"/>
                <w:highlight w:val="none"/>
              </w:rPr>
              <w:t>用情况</w:t>
            </w:r>
            <w:r>
              <w:rPr>
                <w:rFonts w:hint="eastAsia" w:cs="宋体" w:asciiTheme="minorEastAsia" w:hAnsiTheme="minorEastAsia"/>
                <w:color w:val="auto"/>
                <w:szCs w:val="21"/>
                <w:highlight w:val="none"/>
              </w:rPr>
              <w:t>统计</w:t>
            </w:r>
            <w:r>
              <w:rPr>
                <w:rFonts w:hint="eastAsia" w:cs="Yu Gothic" w:asciiTheme="minorEastAsia" w:hAnsiTheme="minorEastAsia"/>
                <w:color w:val="auto"/>
                <w:szCs w:val="21"/>
                <w:highlight w:val="none"/>
              </w:rPr>
              <w:t>等。</w:t>
            </w:r>
          </w:p>
          <w:p>
            <w:pPr>
              <w:spacing w:line="276" w:lineRule="auto"/>
              <w:rPr>
                <w:rFonts w:cs="Yu Gothic" w:asciiTheme="minorEastAsia" w:hAnsiTheme="minorEastAsia"/>
                <w:color w:val="auto"/>
                <w:szCs w:val="21"/>
                <w:highlight w:val="none"/>
              </w:rPr>
            </w:pPr>
            <w:r>
              <w:rPr>
                <w:rFonts w:hint="eastAsia" w:asciiTheme="minorEastAsia" w:hAnsiTheme="minorEastAsia"/>
                <w:bCs/>
                <w:color w:val="auto"/>
                <w:szCs w:val="21"/>
                <w:highlight w:val="none"/>
              </w:rPr>
              <w:t>★</w:t>
            </w:r>
            <w:r>
              <w:rPr>
                <w:rFonts w:hint="eastAsia" w:cs="Yu Gothic" w:asciiTheme="minorEastAsia" w:hAnsiTheme="minorEastAsia"/>
                <w:color w:val="auto"/>
                <w:szCs w:val="21"/>
                <w:highlight w:val="none"/>
              </w:rPr>
              <w:t>其它要求：</w:t>
            </w:r>
          </w:p>
          <w:p>
            <w:pPr>
              <w:spacing w:line="276" w:lineRule="auto"/>
              <w:rPr>
                <w:rFonts w:asciiTheme="minorEastAsia" w:hAnsiTheme="minorEastAsia"/>
                <w:bCs/>
                <w:color w:val="auto"/>
                <w:szCs w:val="21"/>
                <w:highlight w:val="none"/>
              </w:rPr>
            </w:pPr>
            <w:r>
              <w:rPr>
                <w:rFonts w:hint="eastAsia" w:cs="Yu Gothic" w:asciiTheme="minorEastAsia" w:hAnsiTheme="minorEastAsia"/>
                <w:color w:val="auto"/>
                <w:szCs w:val="21"/>
                <w:highlight w:val="none"/>
              </w:rPr>
              <w:t>1、为保证软件正版及后期免费升级，</w:t>
            </w:r>
            <w:r>
              <w:rPr>
                <w:rFonts w:hint="eastAsia" w:asciiTheme="minorEastAsia" w:hAnsiTheme="minorEastAsia"/>
                <w:bCs/>
                <w:color w:val="auto"/>
                <w:szCs w:val="21"/>
                <w:highlight w:val="none"/>
              </w:rPr>
              <w:t>提供国家版权局颁发的“设备报修服务平台”软件著作权（复印件，</w:t>
            </w:r>
            <w:r>
              <w:rPr>
                <w:rFonts w:hint="eastAsia" w:asciiTheme="minorEastAsia" w:hAnsiTheme="minorEastAsia"/>
                <w:bCs/>
                <w:color w:val="auto"/>
                <w:szCs w:val="21"/>
                <w:highlight w:val="none"/>
                <w:lang w:eastAsia="zh-CN"/>
              </w:rPr>
              <w:t>签订合同时需提供</w:t>
            </w:r>
            <w:r>
              <w:rPr>
                <w:rFonts w:hint="eastAsia" w:asciiTheme="minorEastAsia" w:hAnsiTheme="minorEastAsia"/>
                <w:bCs/>
                <w:color w:val="auto"/>
                <w:szCs w:val="21"/>
                <w:highlight w:val="none"/>
              </w:rPr>
              <w:t>原件</w:t>
            </w:r>
            <w:r>
              <w:rPr>
                <w:rFonts w:hint="eastAsia" w:asciiTheme="minorEastAsia" w:hAnsiTheme="minorEastAsia"/>
                <w:bCs/>
                <w:color w:val="auto"/>
                <w:szCs w:val="21"/>
                <w:highlight w:val="none"/>
                <w:lang w:eastAsia="zh-CN"/>
              </w:rPr>
              <w:t>核查</w:t>
            </w:r>
            <w:r>
              <w:rPr>
                <w:rFonts w:hint="eastAsia" w:asciiTheme="minorEastAsia" w:hAnsiTheme="minorEastAsia"/>
                <w:bCs/>
                <w:color w:val="auto"/>
                <w:szCs w:val="21"/>
                <w:highlight w:val="none"/>
              </w:rPr>
              <w:t>）。</w:t>
            </w:r>
          </w:p>
          <w:p>
            <w:pPr>
              <w:spacing w:line="276" w:lineRule="auto"/>
              <w:rPr>
                <w:rFonts w:asciiTheme="minorEastAsia" w:hAnsiTheme="minorEastAsia"/>
                <w:color w:val="auto"/>
                <w:szCs w:val="21"/>
                <w:highlight w:val="none"/>
              </w:rPr>
            </w:pPr>
            <w:r>
              <w:rPr>
                <w:rFonts w:hint="eastAsia" w:asciiTheme="minorEastAsia" w:hAnsiTheme="minorEastAsia"/>
                <w:bCs/>
                <w:color w:val="auto"/>
                <w:szCs w:val="21"/>
                <w:highlight w:val="none"/>
              </w:rPr>
              <w:t>2、签定合同前演示设备报修服务平台软件的所有功能，未完全满足功能要求的均视为虚假应标处理并根据政府采购法等相关法律法规要求追究法律责任。</w:t>
            </w:r>
          </w:p>
        </w:tc>
        <w:tc>
          <w:tcPr>
            <w:tcW w:w="698"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套</w:t>
            </w:r>
          </w:p>
        </w:tc>
        <w:tc>
          <w:tcPr>
            <w:tcW w:w="1003"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7</w:t>
            </w:r>
            <w:r>
              <w:rPr>
                <w:rFonts w:asciiTheme="minorEastAsia" w:hAnsiTheme="minorEastAsia"/>
                <w:color w:val="auto"/>
                <w:szCs w:val="21"/>
                <w:highlight w:val="none"/>
              </w:rPr>
              <w:t>8</w:t>
            </w:r>
          </w:p>
        </w:tc>
        <w:tc>
          <w:tcPr>
            <w:tcW w:w="851" w:type="dxa"/>
            <w:vAlign w:val="center"/>
          </w:tcPr>
          <w:p>
            <w:pPr>
              <w:jc w:val="center"/>
              <w:rPr>
                <w:rFonts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1" w:type="dxa"/>
            <w:gridSpan w:val="6"/>
            <w:vAlign w:val="center"/>
          </w:tcPr>
          <w:p>
            <w:pPr>
              <w:jc w:val="left"/>
              <w:rPr>
                <w:rFonts w:asciiTheme="minorEastAsia" w:hAnsiTheme="minorEastAsia"/>
                <w:color w:val="auto"/>
                <w:szCs w:val="21"/>
                <w:highlight w:val="none"/>
              </w:rPr>
            </w:pPr>
            <w:r>
              <w:rPr>
                <w:rFonts w:hint="eastAsia" w:asciiTheme="minorEastAsia" w:hAnsiTheme="minorEastAsia"/>
                <w:color w:val="auto"/>
                <w:szCs w:val="21"/>
                <w:highlight w:val="none"/>
              </w:rPr>
              <w:t>商务条款：</w:t>
            </w:r>
          </w:p>
          <w:p>
            <w:pPr>
              <w:pStyle w:val="146"/>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一、基本要求：</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、交付使用时间：签订合同之日起15个工作日内交货、安装调试完毕并交付使用。</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、交货地点：按照采购方指定地点。</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、质保期：按国家有关产品“三包”规定执行“三包”，除每项货物特别注明外，其余质保期不得少于一年。</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、付款方式：</w:t>
            </w:r>
            <w:r>
              <w:rPr>
                <w:rFonts w:hint="eastAsia" w:cs="宋体" w:asciiTheme="minorEastAsia" w:hAnsiTheme="minorEastAsia" w:eastAsiaTheme="minorEastAsia"/>
                <w:color w:val="auto"/>
                <w:szCs w:val="21"/>
                <w:highlight w:val="none"/>
              </w:rPr>
              <w:t>项目验收后</w:t>
            </w:r>
            <w:r>
              <w:rPr>
                <w:rFonts w:cs="宋体" w:asciiTheme="minorEastAsia" w:hAnsiTheme="minorEastAsia" w:eastAsiaTheme="minorEastAsia"/>
                <w:color w:val="auto"/>
                <w:szCs w:val="21"/>
                <w:highlight w:val="none"/>
              </w:rPr>
              <w:t>15</w:t>
            </w:r>
            <w:r>
              <w:rPr>
                <w:rFonts w:hint="eastAsia" w:cs="宋体" w:asciiTheme="minorEastAsia" w:hAnsiTheme="minorEastAsia" w:eastAsiaTheme="minorEastAsia"/>
                <w:color w:val="auto"/>
                <w:szCs w:val="21"/>
                <w:highlight w:val="none"/>
              </w:rPr>
              <w:t>天内支付</w:t>
            </w:r>
            <w:r>
              <w:rPr>
                <w:rFonts w:cs="宋体" w:asciiTheme="minorEastAsia" w:hAnsiTheme="minorEastAsia" w:eastAsiaTheme="minorEastAsia"/>
                <w:color w:val="auto"/>
                <w:szCs w:val="21"/>
                <w:highlight w:val="none"/>
              </w:rPr>
              <w:t>97%</w:t>
            </w:r>
            <w:r>
              <w:rPr>
                <w:rFonts w:hint="eastAsia" w:cs="宋体" w:asciiTheme="minorEastAsia" w:hAnsiTheme="minorEastAsia" w:eastAsiaTheme="minorEastAsia"/>
                <w:color w:val="auto"/>
                <w:szCs w:val="21"/>
                <w:highlight w:val="none"/>
              </w:rPr>
              <w:t>合同款；保质期达</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年后，</w:t>
            </w:r>
            <w:r>
              <w:rPr>
                <w:rFonts w:cs="宋体" w:asciiTheme="minorEastAsia" w:hAnsiTheme="minorEastAsia" w:eastAsiaTheme="minorEastAsia"/>
                <w:color w:val="auto"/>
                <w:szCs w:val="21"/>
                <w:highlight w:val="none"/>
              </w:rPr>
              <w:t>15</w:t>
            </w:r>
            <w:r>
              <w:rPr>
                <w:rFonts w:hint="eastAsia" w:cs="宋体" w:asciiTheme="minorEastAsia" w:hAnsiTheme="minorEastAsia" w:eastAsiaTheme="minorEastAsia"/>
                <w:color w:val="auto"/>
                <w:szCs w:val="21"/>
                <w:highlight w:val="none"/>
              </w:rPr>
              <w:t>天内支付剩余</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合同款。</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、故障响应：接到故障通知后，</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小时内做出响应，</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小时内到达现场提供服务。保修期内产品出现故障，成交供应商免费为采购人提供服务并承担一切费用，保修期外发生维修只收取材料成本费。</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、要求投标设备必须是全新的、满足本项目需求的原厂正品。</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、免费送货上门，免费现场安装调试至验收合格，免费对具体使用单位的操作人员进行技术培训，在安装调试过程也应让操作人员共同参与，现场培训。培训费用由成交人负担。</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、投标人报价必须充分考虑货物运输费、搬运费、临时放置仓库保管费、货物看守人员工资、押送人员工资及安装调试等一切费用。</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、以上配置参数要求为“必须”的或标注“★”的条款项为重要技术参数，投标人必须满足，否则投标无效。</w:t>
            </w:r>
          </w:p>
          <w:p>
            <w:pPr>
              <w:pStyle w:val="146"/>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10、本项目招标国内产品，不接受进口产品</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即通过中国海关报关验放进入中国境内且产自关境外的产品</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参与投标，如有此类产品参与投标的做无效标处理。</w:t>
            </w:r>
          </w:p>
          <w:p>
            <w:pPr>
              <w:pStyle w:val="146"/>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二、货物分发：</w:t>
            </w:r>
          </w:p>
          <w:p>
            <w:pPr>
              <w:pStyle w:val="146"/>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所有货物分发到学校前，必须经过教育局的初步抽查，通过电教站抽检合格后，方可往学校分发。如货不对版，成交供应商必须马上整改，如果拒不整改或整改不及时，教育局有权取消合同，并追究成交供应商的违约责任。</w:t>
            </w:r>
          </w:p>
          <w:p>
            <w:pPr>
              <w:pStyle w:val="146"/>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三、货物验收要求：</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货物接收全数检验。在教育局指导下，由学校（货物使用单位）按照合同、投标文件承诺、《采购文件》的技术要求和验货样品（如有）对成交货物的产品外观、规格、基本参数等基本项目进行全数检验（逐个产品检验），收货检验时发现质量不合格产品，成交标人须给予更换。货物接收检验后学校将验收情况的书面材料上报教育局。</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如无产品质量问题，且货物经产品质量监督检验和货物接收抽样检验合格，即得出产品验收检验合格结论，使用单位在填写《教学仪器设备产品验收单》后由成交供应商报教育局。如有产品质量问题，则由教育局按照《教学仪器设备产品质量检验程序》进行检验和收集有关信息材料并立即通知供应商协商处理。如不能及时处理，则按合同约定追究违约责任。</w:t>
            </w:r>
          </w:p>
          <w:p>
            <w:pPr>
              <w:jc w:val="left"/>
              <w:rPr>
                <w:rFonts w:asciiTheme="minorEastAsia" w:hAnsiTheme="minorEastAsia"/>
                <w:b/>
                <w:color w:val="auto"/>
                <w:szCs w:val="21"/>
                <w:highlight w:val="none"/>
              </w:rPr>
            </w:pPr>
            <w:r>
              <w:rPr>
                <w:rFonts w:hint="eastAsia" w:asciiTheme="minorEastAsia" w:hAnsiTheme="minorEastAsia"/>
                <w:b/>
                <w:color w:val="auto"/>
                <w:szCs w:val="21"/>
                <w:highlight w:val="none"/>
              </w:rPr>
              <w:t>四、核心产品：</w:t>
            </w:r>
            <w:r>
              <w:rPr>
                <w:rFonts w:hint="eastAsia" w:cs="宋体" w:asciiTheme="minorEastAsia" w:hAnsiTheme="minorEastAsia"/>
                <w:bCs/>
                <w:color w:val="auto"/>
                <w:kern w:val="0"/>
                <w:szCs w:val="21"/>
                <w:highlight w:val="none"/>
              </w:rPr>
              <w:t>交互智能平板教学系统</w:t>
            </w:r>
          </w:p>
        </w:tc>
      </w:tr>
    </w:tbl>
    <w:p>
      <w:pPr>
        <w:pStyle w:val="6"/>
        <w:ind w:firstLine="0"/>
        <w:outlineLvl w:val="9"/>
        <w:rPr>
          <w:rFonts w:hAnsi="宋体"/>
          <w:b/>
          <w:bCs/>
          <w:color w:val="auto"/>
          <w:szCs w:val="28"/>
          <w:highlight w:val="none"/>
        </w:rPr>
      </w:pPr>
    </w:p>
    <w:p>
      <w:pPr>
        <w:pStyle w:val="6"/>
        <w:ind w:firstLine="0"/>
        <w:outlineLvl w:val="9"/>
        <w:rPr>
          <w:rFonts w:hAnsi="宋体"/>
          <w:b/>
          <w:bCs/>
          <w:color w:val="auto"/>
          <w:szCs w:val="28"/>
          <w:highlight w:val="none"/>
        </w:rPr>
      </w:pPr>
    </w:p>
    <w:p>
      <w:pPr>
        <w:pStyle w:val="6"/>
        <w:ind w:firstLine="0"/>
        <w:rPr>
          <w:rFonts w:hAnsi="宋体"/>
          <w:b/>
          <w:bCs/>
          <w:color w:val="auto"/>
          <w:szCs w:val="28"/>
          <w:highlight w:val="none"/>
        </w:rPr>
      </w:pPr>
      <w:r>
        <w:rPr>
          <w:rFonts w:hint="eastAsia" w:hAnsi="宋体"/>
          <w:b/>
          <w:bCs/>
          <w:color w:val="auto"/>
          <w:szCs w:val="28"/>
          <w:highlight w:val="none"/>
        </w:rPr>
        <w:t>B标段</w:t>
      </w:r>
    </w:p>
    <w:tbl>
      <w:tblPr>
        <w:tblStyle w:val="48"/>
        <w:tblpPr w:leftFromText="180" w:rightFromText="180" w:vertAnchor="text" w:horzAnchor="page" w:tblpX="1027" w:tblpY="374"/>
        <w:tblOverlap w:val="never"/>
        <w:tblW w:w="10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52"/>
        <w:gridCol w:w="6018"/>
        <w:gridCol w:w="698"/>
        <w:gridCol w:w="100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1252"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货物名称</w:t>
            </w:r>
          </w:p>
        </w:tc>
        <w:tc>
          <w:tcPr>
            <w:tcW w:w="6018" w:type="dxa"/>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技术参数</w:t>
            </w:r>
          </w:p>
        </w:tc>
        <w:tc>
          <w:tcPr>
            <w:tcW w:w="698"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单位</w:t>
            </w:r>
          </w:p>
        </w:tc>
        <w:tc>
          <w:tcPr>
            <w:tcW w:w="1003"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数量</w:t>
            </w:r>
          </w:p>
        </w:tc>
        <w:tc>
          <w:tcPr>
            <w:tcW w:w="851" w:type="dxa"/>
            <w:vAlign w:val="center"/>
          </w:tcPr>
          <w:p>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36"/>
              <w:ind w:firstLine="0" w:firstLineChars="0"/>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1252" w:type="dxa"/>
            <w:vAlign w:val="center"/>
          </w:tcPr>
          <w:p>
            <w:pPr>
              <w:widowControl/>
              <w:spacing w:before="100" w:beforeAutospacing="1" w:after="100" w:afterAutospacing="1" w:line="360" w:lineRule="auto"/>
              <w:jc w:val="center"/>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交互智能平板教学系统</w:t>
            </w:r>
          </w:p>
        </w:tc>
        <w:tc>
          <w:tcPr>
            <w:tcW w:w="6018" w:type="dxa"/>
          </w:tcPr>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一、整机设计</w:t>
            </w:r>
          </w:p>
          <w:p>
            <w:pPr>
              <w:rPr>
                <w:rFonts w:asciiTheme="minorEastAsia" w:hAnsiTheme="minorEastAsia"/>
                <w:color w:val="auto"/>
                <w:szCs w:val="21"/>
                <w:highlight w:val="none"/>
              </w:rPr>
            </w:pPr>
            <w:r>
              <w:rPr>
                <w:rFonts w:asciiTheme="minorEastAsia" w:hAnsiTheme="minorEastAsia"/>
                <w:color w:val="auto"/>
                <w:szCs w:val="21"/>
                <w:highlight w:val="none"/>
              </w:rPr>
              <w:t>1.外观要求</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w:t>
            </w:r>
            <w:r>
              <w:rPr>
                <w:rFonts w:hint="eastAsia" w:asciiTheme="minorEastAsia" w:hAnsiTheme="minorEastAsia"/>
                <w:color w:val="auto"/>
                <w:szCs w:val="21"/>
                <w:highlight w:val="none"/>
              </w:rPr>
              <w:t>整机屏幕采用≥82英寸 UHD超高清LED 液晶屏，显示比例16:9。</w:t>
            </w:r>
          </w:p>
          <w:p>
            <w:pPr>
              <w:rPr>
                <w:rFonts w:asciiTheme="minorEastAsia" w:hAnsiTheme="minorEastAsia"/>
                <w:color w:val="auto"/>
                <w:szCs w:val="21"/>
                <w:highlight w:val="none"/>
              </w:rPr>
            </w:pPr>
            <w:r>
              <w:rPr>
                <w:rFonts w:hint="eastAsia" w:asciiTheme="minorEastAsia" w:hAnsiTheme="minorEastAsia"/>
                <w:color w:val="auto"/>
                <w:szCs w:val="21"/>
                <w:highlight w:val="none"/>
              </w:rPr>
              <w:t>（2）整机采用全金属外壳一体设计，外部无任何可见内部功能模块连接线。</w:t>
            </w:r>
          </w:p>
          <w:p>
            <w:pPr>
              <w:rPr>
                <w:rFonts w:asciiTheme="minorEastAsia" w:hAnsiTheme="minorEastAsia"/>
                <w:color w:val="auto"/>
                <w:szCs w:val="21"/>
                <w:highlight w:val="none"/>
              </w:rPr>
            </w:pPr>
            <w:r>
              <w:rPr>
                <w:rFonts w:asciiTheme="minorEastAsia" w:hAnsiTheme="minorEastAsia"/>
                <w:color w:val="auto"/>
                <w:szCs w:val="21"/>
                <w:highlight w:val="none"/>
              </w:rPr>
              <w:t>2.屏幕性能</w:t>
            </w:r>
          </w:p>
          <w:p>
            <w:pPr>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）屏幕具备防眩光效果，采用钢化玻璃。</w:t>
            </w:r>
          </w:p>
          <w:p>
            <w:pPr>
              <w:rPr>
                <w:rFonts w:asciiTheme="minorEastAsia" w:hAnsiTheme="minorEastAsia"/>
                <w:color w:val="auto"/>
                <w:szCs w:val="21"/>
                <w:highlight w:val="none"/>
              </w:rPr>
            </w:pPr>
            <w:r>
              <w:rPr>
                <w:rFonts w:hint="eastAsia" w:asciiTheme="minorEastAsia" w:hAnsiTheme="minorEastAsia"/>
                <w:color w:val="auto"/>
                <w:szCs w:val="21"/>
                <w:highlight w:val="none"/>
              </w:rPr>
              <w:t>（2</w:t>
            </w:r>
            <w:r>
              <w:rPr>
                <w:rFonts w:asciiTheme="minorEastAsia" w:hAnsiTheme="minorEastAsia"/>
                <w:color w:val="auto"/>
                <w:szCs w:val="21"/>
                <w:highlight w:val="none"/>
              </w:rPr>
              <w:t>）屏幕显示灰度分辨等级≥128灰阶，保证画面显示效果细腻。</w:t>
            </w:r>
          </w:p>
          <w:p>
            <w:pPr>
              <w:rPr>
                <w:rFonts w:asciiTheme="minorEastAsia" w:hAnsiTheme="minorEastAsia"/>
                <w:color w:val="auto"/>
                <w:szCs w:val="21"/>
                <w:highlight w:val="none"/>
              </w:rPr>
            </w:pPr>
            <w:r>
              <w:rPr>
                <w:rFonts w:hint="eastAsia" w:asciiTheme="minorEastAsia" w:hAnsiTheme="minorEastAsia"/>
                <w:color w:val="auto"/>
                <w:szCs w:val="21"/>
                <w:highlight w:val="none"/>
              </w:rPr>
              <w:t>（3</w:t>
            </w:r>
            <w:r>
              <w:rPr>
                <w:rFonts w:asciiTheme="minorEastAsia" w:hAnsiTheme="minorEastAsia"/>
                <w:color w:val="auto"/>
                <w:szCs w:val="21"/>
                <w:highlight w:val="none"/>
              </w:rPr>
              <w:t>）屏幕图像分辨率</w:t>
            </w:r>
            <w:r>
              <w:rPr>
                <w:rFonts w:hint="eastAsia" w:asciiTheme="minorEastAsia" w:hAnsiTheme="minorEastAsia"/>
                <w:color w:val="auto"/>
                <w:szCs w:val="21"/>
                <w:highlight w:val="none"/>
              </w:rPr>
              <w:t>≥</w:t>
            </w:r>
            <w:r>
              <w:rPr>
                <w:rFonts w:asciiTheme="minorEastAsia" w:hAnsiTheme="minorEastAsia"/>
                <w:color w:val="auto"/>
                <w:szCs w:val="21"/>
                <w:highlight w:val="none"/>
              </w:rPr>
              <w:t>3840*2160。</w:t>
            </w:r>
          </w:p>
          <w:p>
            <w:pPr>
              <w:rPr>
                <w:rFonts w:asciiTheme="minorEastAsia" w:hAnsiTheme="minorEastAsia"/>
                <w:color w:val="auto"/>
                <w:szCs w:val="21"/>
                <w:highlight w:val="none"/>
              </w:rPr>
            </w:pPr>
            <w:r>
              <w:rPr>
                <w:rFonts w:asciiTheme="minorEastAsia" w:hAnsiTheme="minorEastAsia"/>
                <w:color w:val="auto"/>
                <w:szCs w:val="21"/>
                <w:highlight w:val="none"/>
              </w:rPr>
              <w:t>3.安全性能</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1）整机符合浪涌（冲击）抗扰度、静电放电抗扰度、射频电磁场辐射抗扰度、电快速瞬变脉冲群抗扰度、射频场感应的传导抗扰度等要求，确保整机使用安全。</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2）机身具备防盐雾锈蚀特性，且满足GB4943.1-2011标准中的防火要求。</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3）整机具备抗振动、防跌落特性，保证整机运输或使用过程中不易受损。</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4）整机在0℃—40℃环境下可正常工作，在-20℃—60℃的环境下可正常贮存且贮存后功能无损。</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二、整体功能</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1.整机前面板</w:t>
            </w:r>
            <w:r>
              <w:rPr>
                <w:rFonts w:hint="eastAsia" w:asciiTheme="minorEastAsia" w:hAnsiTheme="minorEastAsia"/>
                <w:color w:val="auto"/>
                <w:szCs w:val="21"/>
                <w:highlight w:val="none"/>
              </w:rPr>
              <w:t>便捷设计</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1）为保证操作便捷性，同一物理按键可完成安卓系统和电脑系统的节能息屏以及开关机操作。（投标文件中须提供国家认可的第三方检测机构出具的</w:t>
            </w:r>
            <w:r>
              <w:rPr>
                <w:rFonts w:hint="eastAsia" w:asciiTheme="minorEastAsia" w:hAnsiTheme="minorEastAsia"/>
                <w:color w:val="auto"/>
                <w:szCs w:val="21"/>
                <w:highlight w:val="none"/>
              </w:rPr>
              <w:t>智能电子产品一键式设计</w:t>
            </w:r>
            <w:r>
              <w:rPr>
                <w:rFonts w:asciiTheme="minorEastAsia" w:hAnsiTheme="minorEastAsia"/>
                <w:color w:val="auto"/>
                <w:szCs w:val="21"/>
                <w:highlight w:val="none"/>
              </w:rPr>
              <w:t>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2）为快捷调节课件显示效果，可直接通过前置物理按键一键快速调整课件画面比例，可对不同页面比例的PPT课件实现全屏展示。</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3）为增强设备安全性，防止无关人士操作，</w:t>
            </w:r>
            <w:r>
              <w:rPr>
                <w:rFonts w:hint="eastAsia" w:asciiTheme="minorEastAsia" w:hAnsiTheme="minorEastAsia"/>
                <w:color w:val="auto"/>
                <w:szCs w:val="21"/>
                <w:highlight w:val="none"/>
              </w:rPr>
              <w:t>支持锁定屏幕触摸和前置按键，</w:t>
            </w:r>
            <w:r>
              <w:rPr>
                <w:rFonts w:asciiTheme="minorEastAsia" w:hAnsiTheme="minorEastAsia"/>
                <w:color w:val="auto"/>
                <w:szCs w:val="21"/>
                <w:highlight w:val="none"/>
              </w:rPr>
              <w:t>可通过前置</w:t>
            </w:r>
            <w:r>
              <w:rPr>
                <w:rFonts w:hint="eastAsia" w:asciiTheme="minorEastAsia" w:hAnsiTheme="minorEastAsia"/>
                <w:color w:val="auto"/>
                <w:szCs w:val="21"/>
                <w:highlight w:val="none"/>
              </w:rPr>
              <w:t>实体</w:t>
            </w:r>
            <w:r>
              <w:rPr>
                <w:rFonts w:asciiTheme="minorEastAsia" w:hAnsiTheme="minorEastAsia"/>
                <w:color w:val="auto"/>
                <w:szCs w:val="21"/>
                <w:highlight w:val="none"/>
              </w:rPr>
              <w:t>按键以按键组合形式锁定/解锁设备。（投标文件中须提供国家认可的第三方检测机构出具的</w:t>
            </w:r>
            <w:r>
              <w:rPr>
                <w:rFonts w:hint="eastAsia" w:asciiTheme="minorEastAsia" w:hAnsiTheme="minorEastAsia"/>
                <w:color w:val="auto"/>
                <w:szCs w:val="21"/>
                <w:highlight w:val="none"/>
              </w:rPr>
              <w:t>锁定屏幕触摸和前置按键</w:t>
            </w:r>
            <w:r>
              <w:rPr>
                <w:rFonts w:asciiTheme="minorEastAsia" w:hAnsiTheme="minorEastAsia"/>
                <w:color w:val="auto"/>
                <w:szCs w:val="21"/>
                <w:highlight w:val="none"/>
              </w:rPr>
              <w:t>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支持通过前置物理按键一键启动录屏功能，可将屏幕中显示的课件、音频等内容与老师人声同步录制，方便制作教学视频。（投标文件中须提供国家认可的第三方检测机构出具的一键录屏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5）支持通过前置物理按键一键启动减滤蓝光功能，保护视觉健康。（投标文件中须提供国家认可的第三方检测机构出具的</w:t>
            </w:r>
            <w:r>
              <w:rPr>
                <w:rFonts w:hint="eastAsia" w:asciiTheme="minorEastAsia" w:hAnsiTheme="minorEastAsia"/>
                <w:color w:val="auto"/>
                <w:szCs w:val="21"/>
                <w:highlight w:val="none"/>
              </w:rPr>
              <w:t>减滤蓝光</w:t>
            </w:r>
            <w:r>
              <w:rPr>
                <w:rFonts w:asciiTheme="minorEastAsia" w:hAnsiTheme="minorEastAsia"/>
                <w:color w:val="auto"/>
                <w:szCs w:val="21"/>
                <w:highlight w:val="none"/>
              </w:rPr>
              <w:t>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2.整机前置接口</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1）前置USB3.0接口≥2路，满足用户使用需要。</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前置USB接口全部支持双系统读取，将U盘插入任意前置USB3.0接口，均能被Windows及Android系统识别，无需区分接口对应系统，减少误操作。（投标文件中须提供国家认可的第三方检测机构出具的此项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3.安全密钥功能</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1）支持智能U盘锁功能，整机可设置触摸及按键自动锁定，保证无关人士无法自由操作，需要使用时只需插入USB key即可解锁。（投标文件中须提供国家认可的第三方检测机构出具的智能U盘锁功能检测报告复印件）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2）Android支持屏幕密码锁功能，可锁定屏幕、按键，可自定义解锁密码。</w:t>
            </w:r>
          </w:p>
          <w:p>
            <w:pPr>
              <w:rPr>
                <w:rFonts w:asciiTheme="minorEastAsia" w:hAnsiTheme="minorEastAsia"/>
                <w:color w:val="auto"/>
                <w:szCs w:val="21"/>
                <w:highlight w:val="none"/>
              </w:rPr>
            </w:pPr>
            <w:r>
              <w:rPr>
                <w:rFonts w:asciiTheme="minorEastAsia" w:hAnsiTheme="minorEastAsia"/>
                <w:color w:val="auto"/>
                <w:szCs w:val="21"/>
                <w:highlight w:val="none"/>
              </w:rPr>
              <w:t>4.其他功能</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1）开机画面支持自定义（调试菜单），可设置为文字、图片。</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2）自动节能功能：当设备在五分钟内处于无信号接收状态时，将会自动关机，节省能耗。</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3）智能亮度调节：整机能感应并自动调节屏幕亮度来达到在不同光照环境下的不同亮度显示效果。</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4）触摸中控菜单：内置触摸中控菜单，将信号源通道切换、亮度对比度调节、声音图像调节等整合到同一菜单下，无须实体按键，在任意显示通道下均可通过手势在屏幕上调取该触摸菜单，方便快捷。</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5）通道信号源名称自定义：触摸中控菜单上的通道信号源名称支持自定义，方便老师识别。</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6）快速通道跳转：整机处于非内置PC通道下，在屏幕侧边可调出PC通道按钮，支持用户一键回到PC通道；同时支持用户自定义设置常用快捷通道，可从侧边栏一键进入该通道，提升老师教学效率。</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7）dbx音效：设备支持dbx音效，用户可在菜单中开启/关闭dbx-tv中总恒音、总绚音、总环音的功能。（投标文件中须提供国家认可的第三方检测机构出具的dbx-tv音效功能检测报告复印件）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8）互动课堂：整机处于任意通道下，可调用互动课堂功能，扫描二维码即可进入互动；教师可发起单选题、多选题、抢答题等，答题结束可查看答题结果；教师可开启弹幕互动功能，开启后即可通过移动终端发送信息至交互智能平板展示。（投标文件中须提供国家认可的第三方检测机构出具的互动课堂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9）任意通道画面放大：整机支持任意通道画面放大功能，可在整机任意通道下将画面冻结并双击画面任一部分进行放大，放大后的屏幕画面可进行任意拖拽。</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三、系统参数</w:t>
            </w:r>
          </w:p>
          <w:p>
            <w:pPr>
              <w:rPr>
                <w:rFonts w:asciiTheme="minorEastAsia" w:hAnsiTheme="minorEastAsia"/>
                <w:color w:val="auto"/>
                <w:szCs w:val="21"/>
                <w:highlight w:val="none"/>
              </w:rPr>
            </w:pPr>
            <w:r>
              <w:rPr>
                <w:rFonts w:asciiTheme="minorEastAsia" w:hAnsiTheme="minorEastAsia"/>
                <w:color w:val="auto"/>
                <w:szCs w:val="21"/>
                <w:highlight w:val="none"/>
              </w:rPr>
              <w:t>1.电视系统</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1）输入端子:≥1路VGA；≥1路Audio；≥1路AV；≥1路YPbPr；≥2路HDMI；≥1路TV RF；≥2路USB,其中≥1路可随通道自动切换，方便外接其他设备时在任意通道均可使用；≥1路Line in；≥1路RS232接口；≥1路RJ45。</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2）整机具备HDMI 2.0输入端口≥1路，保证可支持4K×2K信号输入。</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3）输出端子：≥1路耳机；≥1路同轴输出；≥1路Touch USB out。</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4）图像制式：PAL/SECAM/NTSC。</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5）喇叭输出功率：15瓦x2。</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6）内置非独立外扩展的拾音麦克风，拾音距离≥3米，方便录制老师人声；内置非独立外扩展的摄像头，像素≥500万，支持二维码扫码识别功能，帮助用户调用在线资源。（投标文件中须提供国家认可的第三方检测机构出具的</w:t>
            </w:r>
            <w:r>
              <w:rPr>
                <w:rFonts w:hint="eastAsia" w:asciiTheme="minorEastAsia" w:hAnsiTheme="minorEastAsia"/>
                <w:color w:val="auto"/>
                <w:szCs w:val="21"/>
                <w:highlight w:val="none"/>
              </w:rPr>
              <w:t>内置摄像头、内置麦克风</w:t>
            </w:r>
            <w:r>
              <w:rPr>
                <w:rFonts w:asciiTheme="minorEastAsia" w:hAnsiTheme="minorEastAsia"/>
                <w:color w:val="auto"/>
                <w:szCs w:val="21"/>
                <w:highlight w:val="none"/>
              </w:rPr>
              <w:t>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7）内置无线网卡：支持802.11 b/g/n。</w:t>
            </w:r>
          </w:p>
          <w:p>
            <w:pPr>
              <w:rPr>
                <w:rFonts w:asciiTheme="minorEastAsia" w:hAnsiTheme="minorEastAsia"/>
                <w:color w:val="auto"/>
                <w:szCs w:val="21"/>
                <w:highlight w:val="none"/>
              </w:rPr>
            </w:pPr>
            <w:r>
              <w:rPr>
                <w:rFonts w:asciiTheme="minorEastAsia" w:hAnsiTheme="minorEastAsia"/>
                <w:color w:val="auto"/>
                <w:szCs w:val="21"/>
                <w:highlight w:val="none"/>
              </w:rPr>
              <w:t>2.触摸系统</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1）采用红外触控技术，支持在Windows与安卓系统中进行十点触控及十点书写。</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2）书写方式：手指或笔触摸。</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3）定位分辨率：32767*32767。</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4）触摸精准性：整机屏幕触摸有效识别高度＜4.5mm,，即触摸物体距离玻璃外表面高度＜4.5mm时，触摸屏识别为点击操作，保证触摸精准。</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5）触摸屏具有防遮挡功能，触摸接收器在单点或多点遮挡后仍能正常书写，确保老师课堂操作的流畅性。为保证触摸书写流畅度，书写延迟时间＜90ms。</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6）触摸框免驱：支持Windows XP、Windows 7、Windows 8、Windows 8.1、Linux、Mac Os系统外置电脑操作系统接入时，无需安装触摸框驱动。</w:t>
            </w:r>
          </w:p>
          <w:p>
            <w:pPr>
              <w:rPr>
                <w:rFonts w:asciiTheme="minorEastAsia" w:hAnsiTheme="minorEastAsia"/>
                <w:color w:val="auto"/>
                <w:szCs w:val="21"/>
                <w:highlight w:val="none"/>
              </w:rPr>
            </w:pPr>
            <w:r>
              <w:rPr>
                <w:rFonts w:asciiTheme="minorEastAsia" w:hAnsiTheme="minorEastAsia"/>
                <w:color w:val="auto"/>
                <w:szCs w:val="21"/>
                <w:highlight w:val="none"/>
              </w:rPr>
              <w:t>3.嵌入式系统</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智能嵌入式系统版本不低于Android7.0，内存不低于2GB，存储空间不低于8GB。护眼系统：老师在嵌入式系统上使用白板软件时，整机根据用户书写操作智能调节屏幕亮度，在保护老师视力健康的同时保证显示效果。</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换色功能：老师在嵌入式系统白板软件选中笔迹或形状后，可选择不同颜色，对笔迹或形状进行换色，区别各类内容，突出重点。（投标文件中须提供国家认可的第三方检测机构出具的换色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3）无需借助PC，在嵌入式系统下，能对TV多媒体USB所读取到的课件文件进行自动归类，可快速分类查找office文档、多媒体、图片等文件，检索后可直接在界面中打开。</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无需借助PC，嵌入式系统支持超级计算器功能，可进行初级计算、方程（组）智能求解、自动求导求积分等操作；该计算器还可根据用户输入的函数，智能绘制函数图像，提升老师课堂效率。（投标文件中须提供国家认可的第三方检测机构出具的超级计算器功能检测报告复印件）</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5）无需借助PC，整机可一键进行硬件自检，包括对触摸框、PC模块、光感系统等模块进行检测，并针对不同模块给出问题原因提示。</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6）在PC系统出现异常或需要清除PC数据时，可插入带激活文件的U盘，在嵌入式系统的设置界面中启动PC一键还原功能，将PC系统恢复至出厂状态。</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7）为保证授课正常，嵌入式系统内具备视频展台应用工具，可对摄像头内整个画面进行截图以及对所截取画面进行批注、旋转，支持二分屏或四分屏同时展示画面内容，可任意更换分屏幕画面内容。</w:t>
            </w:r>
          </w:p>
          <w:p>
            <w:pPr>
              <w:rPr>
                <w:rFonts w:asciiTheme="minorEastAsia" w:hAnsiTheme="minorEastAsia"/>
                <w:color w:val="auto"/>
                <w:szCs w:val="21"/>
                <w:highlight w:val="none"/>
              </w:rPr>
            </w:pPr>
            <w:r>
              <w:rPr>
                <w:rFonts w:asciiTheme="minorEastAsia" w:hAnsiTheme="minorEastAsia"/>
                <w:color w:val="auto"/>
                <w:szCs w:val="21"/>
                <w:highlight w:val="none"/>
              </w:rPr>
              <w:t>4.内置电脑系统</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1）采用模块化电脑方案，抽拉内置式，采用≥</w:t>
            </w:r>
            <w:r>
              <w:rPr>
                <w:rFonts w:hint="eastAsia" w:asciiTheme="minorEastAsia" w:hAnsiTheme="minorEastAsia"/>
                <w:color w:val="auto"/>
                <w:szCs w:val="21"/>
                <w:highlight w:val="none"/>
              </w:rPr>
              <w:t>120</w:t>
            </w:r>
            <w:r>
              <w:rPr>
                <w:rFonts w:asciiTheme="minorEastAsia" w:hAnsiTheme="minorEastAsia"/>
                <w:color w:val="auto"/>
                <w:szCs w:val="21"/>
                <w:highlight w:val="none"/>
              </w:rPr>
              <w:t>pin接口，实现无单独接线的插拔。采用按压式卡扣，无需工具即可快速拆卸电脑模块。</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2）内置正版Windows 10 64位中文专业版</w:t>
            </w:r>
            <w:r>
              <w:rPr>
                <w:rFonts w:hint="eastAsia" w:asciiTheme="minorEastAsia" w:hAnsiTheme="minorEastAsia"/>
                <w:color w:val="auto"/>
                <w:szCs w:val="21"/>
                <w:highlight w:val="none"/>
              </w:rPr>
              <w:t>。</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3）处理器：第八代Intel Core i</w:t>
            </w:r>
            <w:r>
              <w:rPr>
                <w:rFonts w:hint="eastAsia" w:asciiTheme="minorEastAsia" w:hAnsiTheme="minorEastAsia"/>
                <w:color w:val="auto"/>
                <w:szCs w:val="21"/>
                <w:highlight w:val="none"/>
              </w:rPr>
              <w:t>3</w:t>
            </w:r>
            <w:r>
              <w:rPr>
                <w:rFonts w:asciiTheme="minorEastAsia" w:hAnsiTheme="minorEastAsia"/>
                <w:color w:val="auto"/>
                <w:szCs w:val="21"/>
                <w:highlight w:val="none"/>
              </w:rPr>
              <w:t>或以上。</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4）内存：4G DDR4笔记本内存或以上。</w:t>
            </w:r>
          </w:p>
          <w:p>
            <w:pPr>
              <w:rPr>
                <w:rFonts w:hint="eastAsia" w:eastAsia="宋体" w:asciiTheme="minorEastAsia" w:hAnsiTheme="minorEastAsia"/>
                <w:color w:val="auto"/>
                <w:szCs w:val="21"/>
                <w:highlight w:val="none"/>
                <w:lang w:eastAsia="zh-CN"/>
              </w:rPr>
            </w:pPr>
            <w:r>
              <w:rPr>
                <w:rFonts w:hint="eastAsia" w:asciiTheme="minorEastAsia" w:hAnsiTheme="minorEastAsia"/>
                <w:color w:val="auto"/>
                <w:szCs w:val="21"/>
                <w:highlight w:val="none"/>
              </w:rPr>
              <w:t>（</w:t>
            </w:r>
            <w:r>
              <w:rPr>
                <w:rFonts w:asciiTheme="minorEastAsia" w:hAnsiTheme="minorEastAsia"/>
                <w:color w:val="auto"/>
                <w:szCs w:val="21"/>
                <w:highlight w:val="none"/>
              </w:rPr>
              <w:t>5）硬盘：</w:t>
            </w:r>
            <w:r>
              <w:rPr>
                <w:rFonts w:hint="eastAsia" w:asciiTheme="minorEastAsia" w:hAnsiTheme="minorEastAsia"/>
                <w:color w:val="auto"/>
                <w:szCs w:val="21"/>
                <w:highlight w:val="none"/>
                <w:lang w:eastAsia="zh-CN"/>
              </w:rPr>
              <w:t>256G或以上固态硬盘</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6）具有独立非外扩展的电脑USB接口：电脑USB接口≥4路，其中USB3.0接口≥2路。</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7）具有独立非外扩展的视频输出接口：≥1路HDMI ；≥1路DP。</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8）具有标准PC防盗锁孔，确保电脑模块安全防盗。</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9）内置网卡：支持10M/100M/1000M自适应。</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四、电子白板教学系统（一体化备授课软件）</w:t>
            </w:r>
          </w:p>
          <w:p>
            <w:pPr>
              <w:rPr>
                <w:rFonts w:asciiTheme="minorEastAsia" w:hAnsiTheme="minorEastAsia"/>
                <w:color w:val="auto"/>
                <w:szCs w:val="21"/>
                <w:highlight w:val="none"/>
              </w:rPr>
            </w:pPr>
            <w:r>
              <w:rPr>
                <w:rFonts w:asciiTheme="minorEastAsia" w:hAnsiTheme="minorEastAsia"/>
                <w:color w:val="auto"/>
                <w:szCs w:val="21"/>
                <w:highlight w:val="none"/>
              </w:rPr>
              <w:t>1.支持课件云存储，无需使用U盘等存储设备，老师只需联网登录即可获取云课件。</w:t>
            </w:r>
          </w:p>
          <w:p>
            <w:pPr>
              <w:rPr>
                <w:rFonts w:asciiTheme="minorEastAsia" w:hAnsiTheme="minorEastAsia"/>
                <w:color w:val="auto"/>
                <w:szCs w:val="21"/>
                <w:highlight w:val="none"/>
              </w:rPr>
            </w:pPr>
            <w:r>
              <w:rPr>
                <w:rFonts w:asciiTheme="minorEastAsia" w:hAnsiTheme="minorEastAsia"/>
                <w:color w:val="auto"/>
                <w:szCs w:val="21"/>
                <w:highlight w:val="none"/>
              </w:rPr>
              <w:t>2.支持课件云同步，课件上的所有修改、操作均可自动同步至云端，无需单独保存上传，确保多终端调用同个课件均为最新版本。</w:t>
            </w:r>
          </w:p>
          <w:p>
            <w:pPr>
              <w:rPr>
                <w:rFonts w:asciiTheme="minorEastAsia" w:hAnsiTheme="minorEastAsia"/>
                <w:color w:val="auto"/>
                <w:szCs w:val="21"/>
                <w:highlight w:val="none"/>
              </w:rPr>
            </w:pPr>
            <w:r>
              <w:rPr>
                <w:rFonts w:asciiTheme="minorEastAsia" w:hAnsiTheme="minorEastAsia"/>
                <w:color w:val="auto"/>
                <w:szCs w:val="21"/>
                <w:highlight w:val="none"/>
              </w:rPr>
              <w:t>3.支持一对多分享云课件，用户可在软件中通过生成课件链接/二维码，分享给其他用户，接收方可点击链接/扫描二维码，通过网页方式浏览课件并体验课件互动功能，方便快捷。同时接收方可在网页版课件页面点击课件下载，登陆软件即可获取课件。</w:t>
            </w:r>
          </w:p>
          <w:p>
            <w:pPr>
              <w:rPr>
                <w:rFonts w:asciiTheme="minorEastAsia" w:hAnsiTheme="minorEastAsia"/>
                <w:color w:val="auto"/>
                <w:szCs w:val="21"/>
                <w:highlight w:val="none"/>
              </w:rPr>
            </w:pPr>
            <w:r>
              <w:rPr>
                <w:rFonts w:asciiTheme="minorEastAsia" w:hAnsiTheme="minorEastAsia"/>
                <w:color w:val="auto"/>
                <w:szCs w:val="21"/>
                <w:highlight w:val="none"/>
              </w:rPr>
              <w:t>4.支持用户在软件中打开pptx格式文件，且用户可在软件中自由编辑原文件中的图片、文字、表格等元素，并支持修改原文件中的动画。方便老师利用软件互动功能在原有PPT基础上修改课件。</w:t>
            </w:r>
          </w:p>
          <w:p>
            <w:pPr>
              <w:rPr>
                <w:rFonts w:asciiTheme="minorEastAsia" w:hAnsiTheme="minorEastAsia"/>
                <w:color w:val="auto"/>
                <w:szCs w:val="21"/>
                <w:highlight w:val="none"/>
              </w:rPr>
            </w:pPr>
            <w:r>
              <w:rPr>
                <w:rFonts w:asciiTheme="minorEastAsia" w:hAnsiTheme="minorEastAsia"/>
                <w:color w:val="auto"/>
                <w:szCs w:val="21"/>
                <w:highlight w:val="none"/>
              </w:rPr>
              <w:t>5.课件背景：提供≥15种背景模板供老师选择，支持自定义背景。</w:t>
            </w:r>
          </w:p>
          <w:p>
            <w:pPr>
              <w:rPr>
                <w:rFonts w:asciiTheme="minorEastAsia" w:hAnsiTheme="minorEastAsia"/>
                <w:color w:val="auto"/>
                <w:szCs w:val="21"/>
                <w:highlight w:val="none"/>
              </w:rPr>
            </w:pPr>
            <w:r>
              <w:rPr>
                <w:rFonts w:asciiTheme="minorEastAsia" w:hAnsiTheme="minorEastAsia"/>
                <w:color w:val="auto"/>
                <w:szCs w:val="21"/>
                <w:highlight w:val="none"/>
              </w:rPr>
              <w:t>6.快捷抠图：无需借助专业图片处理软件，即可在白板软件中对导入的图片进行快捷抠图，处理后的图片主体边缘没有明显毛边，可导出保存成PNG格式。</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7.课堂活动：支持创建互动分类活动，自定义不同类别及对应的对象，类别和对象的样式、数量均可以自定义设置。将不同对象拖拽到不同类别容器中可进行自动识别，正确或错误都会分别进行相应提示。竞争模式下可记录不同操作者的动作和用时，并自动识别排名。白板软件提供≥10种活动模板，直接选择并输入相应内容即可轻松生成完整活动，提升课堂趣味性。</w:t>
            </w:r>
          </w:p>
          <w:p>
            <w:pPr>
              <w:rPr>
                <w:rFonts w:asciiTheme="minorEastAsia" w:hAnsiTheme="minorEastAsia"/>
                <w:color w:val="auto"/>
                <w:szCs w:val="21"/>
                <w:highlight w:val="none"/>
              </w:rPr>
            </w:pPr>
            <w:r>
              <w:rPr>
                <w:rFonts w:asciiTheme="minorEastAsia" w:hAnsiTheme="minorEastAsia"/>
                <w:color w:val="auto"/>
                <w:szCs w:val="21"/>
                <w:highlight w:val="none"/>
              </w:rPr>
              <w:t>8. 思维导图：提供思维导图、鱼骨图及组织结构图编辑功能，可轻松增删或拖拽编辑内容节点，并支持在节点上插入图片、音频、视频、网页链接、课件页面链接。支持思维导图逐级、逐个节点展开，并可任意缩放，满足不同演示需求。支持对思维导图任意相邻节点进行总结，方便老师知识点的总结呈现，同时在节点引出联系内容，方便知识点的关联和发散。</w:t>
            </w:r>
          </w:p>
          <w:p>
            <w:pPr>
              <w:rPr>
                <w:rFonts w:asciiTheme="minorEastAsia" w:hAnsiTheme="minorEastAsia"/>
                <w:color w:val="auto"/>
                <w:szCs w:val="21"/>
                <w:highlight w:val="none"/>
              </w:rPr>
            </w:pPr>
            <w:r>
              <w:rPr>
                <w:rFonts w:asciiTheme="minorEastAsia" w:hAnsiTheme="minorEastAsia"/>
                <w:color w:val="auto"/>
                <w:szCs w:val="21"/>
                <w:highlight w:val="none"/>
              </w:rPr>
              <w:t>9. 表格：</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1）支持对表格进行一键拖动。</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2）支持老师插入表格，并提供5种以上表格样式供老师选择。</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3）支持表格自适应，可一键将表格的行、列调整到最合适的大小。</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4）支持表格遮罩功能，可对表格中任意一格添加遮罩，在授课模式下通过点击可消除遮罩，方便老师设置互动活动。</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5）在授课模式下，支持表格克隆功能，可克隆出多个相同表格，方便老师请多位同学进行答题互动。</w:t>
            </w:r>
          </w:p>
          <w:p>
            <w:pPr>
              <w:rPr>
                <w:rFonts w:asciiTheme="minorEastAsia" w:hAnsiTheme="minorEastAsia"/>
                <w:color w:val="auto"/>
                <w:szCs w:val="21"/>
                <w:highlight w:val="none"/>
              </w:rPr>
            </w:pPr>
            <w:r>
              <w:rPr>
                <w:rFonts w:asciiTheme="minorEastAsia" w:hAnsiTheme="minorEastAsia"/>
                <w:color w:val="auto"/>
                <w:szCs w:val="21"/>
                <w:highlight w:val="none"/>
              </w:rPr>
              <w:t xml:space="preserve">10.页面备注：为便捷记录备授课思路，为后续研究查阅提供可靠参考，软件提供页面备注功能，能够单独为每页课件添加页面备注。 </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11.画板工具：支持美术画板工具，提供铅笔、毛笔、油画笔，可实现模拟调色盘功能，老师可自由选择不同颜色进行混合调色，搭配出任意色彩。</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12. 3D星球模型：提供3D立体星球模型，包括地球、太阳、火星、水星、木星、金星、土星、海王星、天王星，支持360°自由旋转、缩放展示。3D立体地球模型可清晰展现地球表面的六大板块、降水分布、气温分布、气候分布、人口分布、表层洋流、陆地自然带、海平面等压线等内容，且支持三维、二维切换展示，便于教学研究。</w:t>
            </w:r>
          </w:p>
          <w:p>
            <w:pPr>
              <w:rPr>
                <w:rFonts w:asciiTheme="minorEastAsia" w:hAnsiTheme="minorEastAsia"/>
                <w:color w:val="auto"/>
                <w:szCs w:val="21"/>
                <w:highlight w:val="none"/>
              </w:rPr>
            </w:pPr>
            <w:r>
              <w:rPr>
                <w:rFonts w:asciiTheme="minorEastAsia" w:hAnsiTheme="minorEastAsia"/>
                <w:color w:val="auto"/>
                <w:szCs w:val="21"/>
                <w:highlight w:val="none"/>
              </w:rPr>
              <w:t>13. 板中板：支持授课过程中调用板中板辅助教学，可进行批注、加页及背景色切换；板中板支持插入图片、音视频素材进行独立讲解，不影响课件主画面</w:t>
            </w:r>
          </w:p>
          <w:p>
            <w:pPr>
              <w:rPr>
                <w:rFonts w:asciiTheme="minorEastAsia" w:hAnsiTheme="minorEastAsia"/>
                <w:color w:val="auto"/>
                <w:szCs w:val="21"/>
                <w:highlight w:val="none"/>
              </w:rPr>
            </w:pPr>
            <w:r>
              <w:rPr>
                <w:rFonts w:asciiTheme="minorEastAsia" w:hAnsiTheme="minorEastAsia"/>
                <w:color w:val="auto"/>
                <w:szCs w:val="21"/>
                <w:highlight w:val="none"/>
              </w:rPr>
              <w:t>14. 立体几何：</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1）支持绘制立方体、圆柱体等立体几何图形。</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2）支持任意调节立体几何图形的尺寸，改变长宽高比例。</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3）支持沿任意方向旋转立体几何。</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4）支持为长方体6个面分别涂色，并且可通过任意旋转观察涂色与未涂色的表面。</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5）支持对立方体进行多种方式展开，并可对展开立方体平面图进行旋转操作。</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15.数学公式编辑器：支持中文、复杂数学公式输入，并且支持直接用键盘enter键换行，提供数学符号和模板总数≥40个，输出的公式内容支持不同颜色标记及二次编辑。</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16. 提供覆盖小学及初高中的古诗词、古文教学资源：包含原文、翻译、背景介绍、作者介绍、原文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自主创建的古诗词自动保存至云端供教学复用。备课时可对原文进行注释、标重点等操作；提供原文朗读音频，全部诗词、古文均配备专业朗读配音，朗读音频</w:t>
            </w:r>
            <w:r>
              <w:rPr>
                <w:rFonts w:hint="eastAsia" w:asciiTheme="minorEastAsia" w:hAnsiTheme="minorEastAsia"/>
                <w:color w:val="auto"/>
                <w:szCs w:val="21"/>
                <w:highlight w:val="none"/>
              </w:rPr>
              <w:t>支持关键帧打点标记。</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五、远程无线授课软件</w:t>
            </w:r>
          </w:p>
          <w:p>
            <w:pPr>
              <w:rPr>
                <w:rFonts w:asciiTheme="minorEastAsia" w:hAnsiTheme="minorEastAsia"/>
                <w:color w:val="auto"/>
                <w:szCs w:val="21"/>
                <w:highlight w:val="none"/>
              </w:rPr>
            </w:pPr>
            <w:r>
              <w:rPr>
                <w:rFonts w:asciiTheme="minorEastAsia" w:hAnsiTheme="minorEastAsia"/>
                <w:color w:val="auto"/>
                <w:szCs w:val="21"/>
                <w:highlight w:val="none"/>
              </w:rPr>
              <w:t>1. 支持Android 4.0及IOS 7.0以上版本系统。</w:t>
            </w:r>
          </w:p>
          <w:p>
            <w:pPr>
              <w:rPr>
                <w:rFonts w:asciiTheme="minorEastAsia" w:hAnsiTheme="minorEastAsia"/>
                <w:color w:val="auto"/>
                <w:szCs w:val="21"/>
                <w:highlight w:val="none"/>
              </w:rPr>
            </w:pPr>
            <w:r>
              <w:rPr>
                <w:rFonts w:asciiTheme="minorEastAsia" w:hAnsiTheme="minorEastAsia"/>
                <w:color w:val="auto"/>
                <w:szCs w:val="21"/>
                <w:highlight w:val="none"/>
              </w:rPr>
              <w:t>2. 支持手机投屏，可通过该软件将手机屏幕画面实时投影到大屏上。</w:t>
            </w:r>
          </w:p>
          <w:p>
            <w:pPr>
              <w:rPr>
                <w:rFonts w:asciiTheme="minorEastAsia" w:hAnsiTheme="minorEastAsia"/>
                <w:color w:val="auto"/>
                <w:szCs w:val="21"/>
                <w:highlight w:val="none"/>
              </w:rPr>
            </w:pPr>
            <w:r>
              <w:rPr>
                <w:rFonts w:asciiTheme="minorEastAsia" w:hAnsiTheme="minorEastAsia"/>
                <w:color w:val="auto"/>
                <w:szCs w:val="21"/>
                <w:highlight w:val="none"/>
              </w:rPr>
              <w:t>3. 支持MSOffice PPT远程同步，可通过移动端对智能平板上的PPT实现页面预览、远程翻页、双向批注等功能。</w:t>
            </w:r>
          </w:p>
          <w:p>
            <w:pPr>
              <w:rPr>
                <w:rFonts w:asciiTheme="minorEastAsia" w:hAnsiTheme="minorEastAsia"/>
                <w:color w:val="auto"/>
                <w:szCs w:val="21"/>
                <w:highlight w:val="none"/>
              </w:rPr>
            </w:pPr>
            <w:r>
              <w:rPr>
                <w:rFonts w:asciiTheme="minorEastAsia" w:hAnsiTheme="minorEastAsia"/>
                <w:color w:val="auto"/>
                <w:szCs w:val="21"/>
                <w:highlight w:val="none"/>
              </w:rPr>
              <w:t>4. 支持模拟电脑触摸板功能，能够对智能平板进行远程控制，支持鼠标左键/右键、双指滚轮，并有常用快捷键按键集成，如一键关闭窗口、一键切换窗口、一键回到桌面、一键打开键盘等。</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六、家校互通系统软件</w:t>
            </w:r>
          </w:p>
          <w:p>
            <w:pPr>
              <w:rPr>
                <w:rFonts w:asciiTheme="minorEastAsia" w:hAnsiTheme="minorEastAsia"/>
                <w:color w:val="auto"/>
                <w:szCs w:val="21"/>
                <w:highlight w:val="none"/>
              </w:rPr>
            </w:pPr>
            <w:r>
              <w:rPr>
                <w:rFonts w:asciiTheme="minorEastAsia" w:hAnsiTheme="minorEastAsia"/>
                <w:color w:val="auto"/>
                <w:szCs w:val="21"/>
                <w:highlight w:val="none"/>
              </w:rPr>
              <w:t>1.集成四大功能模块：学校管理中心、教师管理中心、课堂表现评价、家校互联互通，功能及操作均在同一软件平台同一账号体系实现。</w:t>
            </w:r>
          </w:p>
          <w:p>
            <w:pPr>
              <w:rPr>
                <w:rFonts w:asciiTheme="minorEastAsia" w:hAnsiTheme="minorEastAsia"/>
                <w:color w:val="auto"/>
                <w:szCs w:val="21"/>
                <w:highlight w:val="none"/>
              </w:rPr>
            </w:pPr>
            <w:r>
              <w:rPr>
                <w:rFonts w:asciiTheme="minorEastAsia" w:hAnsiTheme="minorEastAsia"/>
                <w:color w:val="auto"/>
                <w:szCs w:val="21"/>
                <w:highlight w:val="none"/>
              </w:rPr>
              <w:t>2.支持PC客户端、PC网页端、安卓手机端、苹果手机端登陆使用，且各个端的数据是互通的，方便教师随时随地对学生进行管理与评价。</w:t>
            </w:r>
          </w:p>
          <w:p>
            <w:pPr>
              <w:rPr>
                <w:rFonts w:asciiTheme="minorEastAsia" w:hAnsiTheme="minorEastAsia"/>
                <w:color w:val="auto"/>
                <w:szCs w:val="21"/>
                <w:highlight w:val="none"/>
              </w:rPr>
            </w:pPr>
            <w:r>
              <w:rPr>
                <w:rFonts w:asciiTheme="minorEastAsia" w:hAnsiTheme="minorEastAsia"/>
                <w:color w:val="auto"/>
                <w:szCs w:val="21"/>
                <w:highlight w:val="none"/>
              </w:rPr>
              <w:t>3.支持教师使用学生行为评价系统手机客户端，扫码登录学生行为评价系统PC客户端或PC网页端，减少教师登录操作。</w:t>
            </w:r>
          </w:p>
          <w:p>
            <w:pPr>
              <w:rPr>
                <w:rFonts w:asciiTheme="minorEastAsia" w:hAnsiTheme="minorEastAsia"/>
                <w:color w:val="auto"/>
                <w:szCs w:val="21"/>
                <w:highlight w:val="none"/>
              </w:rPr>
            </w:pPr>
            <w:r>
              <w:rPr>
                <w:rFonts w:asciiTheme="minorEastAsia" w:hAnsiTheme="minorEastAsia"/>
                <w:color w:val="auto"/>
                <w:szCs w:val="21"/>
                <w:highlight w:val="none"/>
              </w:rPr>
              <w:t>4.支持邀请家长入班，使家长可查看到自己子女的在校表现。</w:t>
            </w:r>
          </w:p>
          <w:p>
            <w:pPr>
              <w:rPr>
                <w:rFonts w:asciiTheme="minorEastAsia" w:hAnsiTheme="minorEastAsia"/>
                <w:color w:val="auto"/>
                <w:szCs w:val="21"/>
                <w:highlight w:val="none"/>
              </w:rPr>
            </w:pPr>
            <w:r>
              <w:rPr>
                <w:rFonts w:hint="eastAsia" w:asciiTheme="minorEastAsia" w:hAnsiTheme="minorEastAsia"/>
                <w:color w:val="auto"/>
                <w:szCs w:val="21"/>
                <w:highlight w:val="none"/>
              </w:rPr>
              <w:t>★</w:t>
            </w:r>
            <w:r>
              <w:rPr>
                <w:rFonts w:asciiTheme="minorEastAsia" w:hAnsiTheme="minorEastAsia"/>
                <w:color w:val="auto"/>
                <w:szCs w:val="21"/>
                <w:highlight w:val="none"/>
              </w:rPr>
              <w:t>5.教师可通过移动端、PC端及网页端对学生、小组及班级进行行为评价打分。</w:t>
            </w:r>
          </w:p>
          <w:p>
            <w:pPr>
              <w:rPr>
                <w:rFonts w:asciiTheme="minorEastAsia" w:hAnsiTheme="minorEastAsia"/>
                <w:color w:val="auto"/>
                <w:szCs w:val="21"/>
                <w:highlight w:val="none"/>
              </w:rPr>
            </w:pPr>
            <w:r>
              <w:rPr>
                <w:rFonts w:asciiTheme="minorEastAsia" w:hAnsiTheme="minorEastAsia"/>
                <w:color w:val="auto"/>
                <w:szCs w:val="21"/>
                <w:highlight w:val="none"/>
              </w:rPr>
              <w:t>6.软件预设的头像类型不少于9种，并支持教师自定义符合自身教学需求的学生头像。软件预设的评价类型不少于6种，并支持教师自定义符合自身教学需求的评价类型，可设置对应的图标、名称和分数。</w:t>
            </w:r>
          </w:p>
          <w:p>
            <w:pPr>
              <w:rPr>
                <w:rFonts w:asciiTheme="minorEastAsia" w:hAnsiTheme="minorEastAsia"/>
                <w:color w:val="auto"/>
                <w:szCs w:val="21"/>
                <w:highlight w:val="none"/>
              </w:rPr>
            </w:pPr>
            <w:r>
              <w:rPr>
                <w:rFonts w:asciiTheme="minorEastAsia" w:hAnsiTheme="minorEastAsia"/>
                <w:color w:val="auto"/>
                <w:szCs w:val="21"/>
                <w:highlight w:val="none"/>
              </w:rPr>
              <w:t>7.为提高课堂趣味性，软件支持随机抽选学生进行评价。</w:t>
            </w:r>
          </w:p>
          <w:p>
            <w:pPr>
              <w:rPr>
                <w:rFonts w:asciiTheme="minorEastAsia" w:hAnsiTheme="minorEastAsia"/>
                <w:color w:val="auto"/>
                <w:szCs w:val="21"/>
                <w:highlight w:val="none"/>
              </w:rPr>
            </w:pPr>
            <w:r>
              <w:rPr>
                <w:rFonts w:asciiTheme="minorEastAsia" w:hAnsiTheme="minorEastAsia"/>
                <w:color w:val="auto"/>
                <w:szCs w:val="21"/>
                <w:highlight w:val="none"/>
              </w:rPr>
              <w:t>8.支持考勤功能，可设置学生状态如出勤、迟到、缺勤、请假等。</w:t>
            </w:r>
          </w:p>
          <w:p>
            <w:pPr>
              <w:rPr>
                <w:rFonts w:asciiTheme="minorEastAsia" w:hAnsiTheme="minorEastAsia"/>
                <w:color w:val="auto"/>
                <w:szCs w:val="21"/>
                <w:highlight w:val="none"/>
              </w:rPr>
            </w:pPr>
            <w:r>
              <w:rPr>
                <w:rFonts w:asciiTheme="minorEastAsia" w:hAnsiTheme="minorEastAsia"/>
                <w:color w:val="auto"/>
                <w:szCs w:val="21"/>
                <w:highlight w:val="none"/>
              </w:rPr>
              <w:t>9.支持查看课堂表现评价统计报表，按饼状图形式展现学生课堂表现情况，支持查看班级或学生个人的评价情况，便于教师做统计分析。报表数据支持导出成excel文件。支持查看课堂考勤统计报表，可具体看到某一天的课程有几人未出勤，以及每个人的考勤状态。</w:t>
            </w:r>
          </w:p>
          <w:p>
            <w:pPr>
              <w:rPr>
                <w:rFonts w:asciiTheme="minorEastAsia" w:hAnsiTheme="minorEastAsia"/>
                <w:color w:val="auto"/>
                <w:szCs w:val="21"/>
                <w:highlight w:val="none"/>
              </w:rPr>
            </w:pPr>
            <w:r>
              <w:rPr>
                <w:rFonts w:asciiTheme="minorEastAsia" w:hAnsiTheme="minorEastAsia"/>
                <w:color w:val="auto"/>
                <w:szCs w:val="21"/>
                <w:highlight w:val="none"/>
              </w:rPr>
              <w:t>10.支持导出excel格式的班级学生表现分数，也可以导出pdf格式的每个学生的表现报告。</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七、其他要求</w:t>
            </w:r>
          </w:p>
          <w:p>
            <w:pPr>
              <w:rPr>
                <w:rFonts w:asciiTheme="minorEastAsia" w:hAnsiTheme="minorEastAsia"/>
                <w:color w:val="auto"/>
                <w:szCs w:val="21"/>
                <w:highlight w:val="none"/>
              </w:rPr>
            </w:pPr>
            <w:r>
              <w:rPr>
                <w:rFonts w:asciiTheme="minorEastAsia" w:hAnsiTheme="minorEastAsia"/>
                <w:color w:val="auto"/>
                <w:szCs w:val="21"/>
                <w:highlight w:val="none"/>
              </w:rPr>
              <w:t>1.为确保设备功能真实有效，正式供货时业主有权要求供应商提供与招标文件技术要求及功能符合的设备一套，根据招标文件进行所有性能参数的逐条核对，作为项目验收的依据。所提供设备若不符合招标要求，视为虚假应标并根据招标法及招标文件要求追究法律责任。</w:t>
            </w:r>
          </w:p>
          <w:p>
            <w:pPr>
              <w:rPr>
                <w:rFonts w:asciiTheme="minorEastAsia" w:hAnsiTheme="minorEastAsia"/>
                <w:color w:val="auto"/>
                <w:szCs w:val="21"/>
                <w:highlight w:val="none"/>
              </w:rPr>
            </w:pPr>
            <w:r>
              <w:rPr>
                <w:rFonts w:asciiTheme="minorEastAsia" w:hAnsiTheme="minorEastAsia"/>
                <w:color w:val="auto"/>
                <w:szCs w:val="21"/>
                <w:highlight w:val="none"/>
              </w:rPr>
              <w:t>2.为确保所供应货物为全新且含质保产品，正式供货时中标单位须提供制造商针对此项目的供货证明原件、售后服务承诺函原件，且均需加盖投标人公章。</w:t>
            </w:r>
          </w:p>
        </w:tc>
        <w:tc>
          <w:tcPr>
            <w:tcW w:w="698"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套</w:t>
            </w:r>
          </w:p>
        </w:tc>
        <w:tc>
          <w:tcPr>
            <w:tcW w:w="1003"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69</w:t>
            </w:r>
          </w:p>
        </w:tc>
        <w:tc>
          <w:tcPr>
            <w:tcW w:w="851" w:type="dxa"/>
            <w:vAlign w:val="center"/>
          </w:tcPr>
          <w:p>
            <w:pPr>
              <w:jc w:val="center"/>
              <w:rPr>
                <w:rFonts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36"/>
              <w:ind w:firstLine="0" w:firstLineChars="0"/>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1252" w:type="dxa"/>
            <w:vAlign w:val="center"/>
          </w:tcPr>
          <w:p>
            <w:pPr>
              <w:spacing w:line="360" w:lineRule="auto"/>
              <w:rPr>
                <w:rFonts w:cs="宋体" w:asciiTheme="minorEastAsia" w:hAnsiTheme="minorEastAsia"/>
                <w:bCs/>
                <w:color w:val="auto"/>
                <w:kern w:val="0"/>
                <w:szCs w:val="21"/>
                <w:highlight w:val="none"/>
              </w:rPr>
            </w:pPr>
            <w:r>
              <w:rPr>
                <w:rFonts w:hint="eastAsia" w:asciiTheme="minorEastAsia" w:hAnsiTheme="minorEastAsia"/>
                <w:color w:val="auto"/>
                <w:szCs w:val="21"/>
                <w:highlight w:val="none"/>
              </w:rPr>
              <w:t>视频展台</w:t>
            </w:r>
          </w:p>
        </w:tc>
        <w:tc>
          <w:tcPr>
            <w:tcW w:w="6018" w:type="dxa"/>
          </w:tcPr>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硬件功能：</w:t>
            </w:r>
          </w:p>
          <w:p>
            <w:pPr>
              <w:numPr>
                <w:ilvl w:val="0"/>
                <w:numId w:val="4"/>
              </w:numPr>
              <w:rPr>
                <w:rFonts w:asciiTheme="minorEastAsia" w:hAnsiTheme="minorEastAsia"/>
                <w:color w:val="auto"/>
                <w:szCs w:val="21"/>
                <w:highlight w:val="none"/>
              </w:rPr>
            </w:pPr>
            <w:r>
              <w:rPr>
                <w:rFonts w:asciiTheme="minorEastAsia" w:hAnsiTheme="minorEastAsia"/>
                <w:color w:val="auto"/>
                <w:szCs w:val="21"/>
                <w:highlight w:val="none"/>
              </w:rPr>
              <w:t>采用≥800万像素摄像头；采用 USB五伏电源直接供电，无需额外配置电源适配器，环保无辐射；箱内USB连线采用隐藏式设计，箱内无可见连线且USB口下出，有效防止积尘，且方便布线和返修。</w:t>
            </w:r>
          </w:p>
          <w:p>
            <w:pPr>
              <w:numPr>
                <w:ilvl w:val="0"/>
                <w:numId w:val="4"/>
              </w:numPr>
              <w:rPr>
                <w:rFonts w:asciiTheme="minorEastAsia" w:hAnsiTheme="minorEastAsia"/>
                <w:color w:val="auto"/>
                <w:szCs w:val="21"/>
                <w:highlight w:val="none"/>
              </w:rPr>
            </w:pPr>
            <w:r>
              <w:rPr>
                <w:rFonts w:asciiTheme="minorEastAsia" w:hAnsiTheme="minorEastAsia"/>
                <w:color w:val="auto"/>
                <w:szCs w:val="21"/>
                <w:highlight w:val="none"/>
              </w:rPr>
              <w:t>展示托板正上方具备LED补光灯，保证展示区域的亮度及展示效果，补光灯开关采用触摸按键设计</w:t>
            </w:r>
            <w:r>
              <w:rPr>
                <w:rFonts w:hint="eastAsia" w:asciiTheme="minorEastAsia" w:hAnsiTheme="minorEastAsia"/>
                <w:color w:val="auto"/>
                <w:szCs w:val="21"/>
                <w:highlight w:val="none"/>
              </w:rPr>
              <w:t>。</w:t>
            </w:r>
          </w:p>
          <w:p>
            <w:pPr>
              <w:numPr>
                <w:ilvl w:val="0"/>
                <w:numId w:val="4"/>
              </w:numPr>
              <w:rPr>
                <w:rFonts w:asciiTheme="minorEastAsia" w:hAnsiTheme="minorEastAsia"/>
                <w:color w:val="auto"/>
                <w:szCs w:val="21"/>
                <w:highlight w:val="none"/>
              </w:rPr>
            </w:pPr>
            <w:r>
              <w:rPr>
                <w:rFonts w:asciiTheme="minorEastAsia" w:hAnsiTheme="minorEastAsia"/>
                <w:color w:val="auto"/>
                <w:szCs w:val="21"/>
                <w:highlight w:val="none"/>
              </w:rPr>
              <w:t>A4大小拍摄幅面，1080P动态视频预览达到30帧/秒；托板及挂墙部分采用金属加强，托板可承重3kg，整机壁挂式安装。</w:t>
            </w:r>
          </w:p>
          <w:p>
            <w:pPr>
              <w:rPr>
                <w:rFonts w:asciiTheme="minorEastAsia" w:hAnsiTheme="minorEastAsia"/>
                <w:b/>
                <w:bCs/>
                <w:color w:val="auto"/>
                <w:szCs w:val="21"/>
                <w:highlight w:val="none"/>
              </w:rPr>
            </w:pPr>
            <w:r>
              <w:rPr>
                <w:rFonts w:hint="eastAsia" w:asciiTheme="minorEastAsia" w:hAnsiTheme="minorEastAsia"/>
                <w:b/>
                <w:bCs/>
                <w:color w:val="auto"/>
                <w:szCs w:val="21"/>
                <w:highlight w:val="none"/>
              </w:rPr>
              <w:t>视频展台软件功能：</w:t>
            </w:r>
          </w:p>
          <w:p>
            <w:pPr>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.支持展台成像画面实时批注，预设多种笔划粗细及颜色供选择，且支持对展台成像画面联同批注内容进行同步缩放、移动。</w:t>
            </w:r>
          </w:p>
          <w:p>
            <w:pPr>
              <w:rPr>
                <w:rFonts w:asciiTheme="minorEastAsia" w:hAnsiTheme="minorEastAsia"/>
                <w:color w:val="auto"/>
                <w:szCs w:val="21"/>
                <w:highlight w:val="none"/>
              </w:rPr>
            </w:pPr>
            <w:r>
              <w:rPr>
                <w:rFonts w:hint="eastAsia" w:asciiTheme="minorEastAsia" w:hAnsiTheme="minorEastAsia"/>
                <w:color w:val="auto"/>
                <w:szCs w:val="21"/>
                <w:highlight w:val="none"/>
              </w:rPr>
              <w:t>2</w:t>
            </w:r>
            <w:r>
              <w:rPr>
                <w:rFonts w:asciiTheme="minorEastAsia" w:hAnsiTheme="minorEastAsia"/>
                <w:color w:val="auto"/>
                <w:szCs w:val="21"/>
                <w:highlight w:val="none"/>
              </w:rPr>
              <w:t>.同时可通过交互智能平板中的软件直接控制开关；带自动对焦摄像头。</w:t>
            </w:r>
          </w:p>
          <w:p>
            <w:pPr>
              <w:rPr>
                <w:rFonts w:asciiTheme="minorEastAsia" w:hAnsiTheme="minorEastAsia"/>
                <w:b/>
                <w:bCs/>
                <w:color w:val="auto"/>
                <w:szCs w:val="21"/>
                <w:highlight w:val="none"/>
              </w:rPr>
            </w:pPr>
            <w:r>
              <w:rPr>
                <w:rFonts w:hint="eastAsia" w:asciiTheme="minorEastAsia" w:hAnsiTheme="minorEastAsia"/>
                <w:color w:val="auto"/>
                <w:szCs w:val="21"/>
                <w:highlight w:val="none"/>
              </w:rPr>
              <w:t>★3</w:t>
            </w:r>
            <w:r>
              <w:rPr>
                <w:rFonts w:asciiTheme="minorEastAsia" w:hAnsiTheme="minorEastAsia"/>
                <w:color w:val="auto"/>
                <w:szCs w:val="21"/>
                <w:highlight w:val="none"/>
              </w:rPr>
              <w:t>.具有故障自动检测功能：在调用展台却无法出现镜头采集画面信号时，可自动出现检测链接，并给出导致性原因（如硬件连接、摄像头占用、配套软件版本等问题）。</w:t>
            </w:r>
          </w:p>
        </w:tc>
        <w:tc>
          <w:tcPr>
            <w:tcW w:w="698"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套</w:t>
            </w:r>
          </w:p>
        </w:tc>
        <w:tc>
          <w:tcPr>
            <w:tcW w:w="1003"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69</w:t>
            </w:r>
          </w:p>
        </w:tc>
        <w:tc>
          <w:tcPr>
            <w:tcW w:w="851" w:type="dxa"/>
            <w:vAlign w:val="center"/>
          </w:tcPr>
          <w:p>
            <w:pPr>
              <w:jc w:val="center"/>
              <w:rPr>
                <w:rFonts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36"/>
              <w:ind w:firstLine="0" w:firstLineChars="0"/>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1252" w:type="dxa"/>
            <w:vAlign w:val="center"/>
          </w:tcPr>
          <w:p>
            <w:pPr>
              <w:spacing w:line="360" w:lineRule="auto"/>
              <w:jc w:val="left"/>
              <w:rPr>
                <w:rFonts w:asciiTheme="minorEastAsia" w:hAnsiTheme="minorEastAsia"/>
                <w:color w:val="auto"/>
                <w:szCs w:val="21"/>
                <w:highlight w:val="none"/>
              </w:rPr>
            </w:pPr>
            <w:r>
              <w:rPr>
                <w:rFonts w:hint="eastAsia" w:asciiTheme="minorEastAsia" w:hAnsiTheme="minorEastAsia"/>
                <w:color w:val="auto"/>
                <w:szCs w:val="21"/>
                <w:highlight w:val="none"/>
              </w:rPr>
              <w:t>环保推拉黑板</w:t>
            </w:r>
          </w:p>
        </w:tc>
        <w:tc>
          <w:tcPr>
            <w:tcW w:w="6018" w:type="dxa"/>
          </w:tcPr>
          <w:p>
            <w:pPr>
              <w:rPr>
                <w:rFonts w:asciiTheme="minorEastAsia" w:hAnsiTheme="minorEastAsia"/>
                <w:color w:val="auto"/>
                <w:szCs w:val="21"/>
                <w:highlight w:val="none"/>
              </w:rPr>
            </w:pPr>
            <w:r>
              <w:rPr>
                <w:rFonts w:asciiTheme="minorEastAsia" w:hAnsiTheme="minorEastAsia"/>
                <w:color w:val="auto"/>
                <w:szCs w:val="21"/>
                <w:highlight w:val="none"/>
              </w:rPr>
              <w:t>1、</w:t>
            </w:r>
            <w:r>
              <w:rPr>
                <w:rFonts w:hint="eastAsia" w:asciiTheme="minorEastAsia" w:hAnsiTheme="minorEastAsia"/>
                <w:color w:val="auto"/>
                <w:szCs w:val="21"/>
                <w:highlight w:val="none"/>
              </w:rPr>
              <w:t>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w:t>
            </w:r>
          </w:p>
          <w:p>
            <w:pPr>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基本尺寸：≥4</w:t>
            </w:r>
            <w:r>
              <w:rPr>
                <w:rFonts w:asciiTheme="minorEastAsia" w:hAnsiTheme="minorEastAsia"/>
                <w:color w:val="auto"/>
                <w:szCs w:val="21"/>
                <w:highlight w:val="none"/>
              </w:rPr>
              <w:t>0</w:t>
            </w:r>
            <w:r>
              <w:rPr>
                <w:rFonts w:hint="eastAsia" w:asciiTheme="minorEastAsia" w:hAnsiTheme="minorEastAsia"/>
                <w:color w:val="auto"/>
                <w:szCs w:val="21"/>
                <w:highlight w:val="none"/>
              </w:rPr>
              <w:t>00mm×1</w:t>
            </w:r>
            <w:r>
              <w:rPr>
                <w:rFonts w:asciiTheme="minorEastAsia" w:hAnsiTheme="minorEastAsia"/>
                <w:color w:val="auto"/>
                <w:szCs w:val="21"/>
                <w:highlight w:val="none"/>
              </w:rPr>
              <w:t>305</w:t>
            </w:r>
            <w:r>
              <w:rPr>
                <w:rFonts w:hint="eastAsia" w:asciiTheme="minorEastAsia" w:hAnsiTheme="minorEastAsia"/>
                <w:color w:val="auto"/>
                <w:szCs w:val="21"/>
                <w:highlight w:val="none"/>
              </w:rPr>
              <w:t>mm，可根据所配电子产品适当调整，确保与电子产品的有效配套。</w:t>
            </w:r>
          </w:p>
          <w:p>
            <w:pPr>
              <w:rPr>
                <w:rFonts w:asciiTheme="minorEastAsia" w:hAnsiTheme="minorEastAsia"/>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书写板面：采用280℃高温烤漆板面，墨绿色、亚光，厚度≥0.32mm，漆膜硬度6H，粗糙度Ra1.6-3.2um，光泽度≤6﹪，没有明显眩光，板面表面附有一层透明保护膜，符合GB/T 28231-2011《书写板安全卫生要求》。</w:t>
            </w:r>
          </w:p>
          <w:p>
            <w:pPr>
              <w:rPr>
                <w:rFonts w:asciiTheme="minorEastAsia" w:hAnsiTheme="minorEastAsia"/>
                <w:color w:val="auto"/>
                <w:szCs w:val="21"/>
                <w:highlight w:val="none"/>
              </w:rPr>
            </w:pPr>
            <w:r>
              <w:rPr>
                <w:rFonts w:asciiTheme="minorEastAsia" w:hAnsiTheme="minorEastAsia"/>
                <w:color w:val="auto"/>
                <w:szCs w:val="21"/>
                <w:highlight w:val="none"/>
              </w:rPr>
              <w:t>4_</w:t>
            </w:r>
            <w:r>
              <w:rPr>
                <w:rFonts w:hint="eastAsia" w:asciiTheme="minorEastAsia" w:hAnsiTheme="minorEastAsia"/>
                <w:color w:val="auto"/>
                <w:szCs w:val="21"/>
                <w:highlight w:val="none"/>
              </w:rPr>
              <w:t>内芯材料：高强度、吸音、聚苯乙烯泡沫板，采用国际适用工艺，书写无吱咔声，改善书写手感。</w:t>
            </w:r>
          </w:p>
          <w:p>
            <w:pPr>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背板：采用优质防锈热镀锌钢板，厚度≥0.25mm，流水线一次成型，间隔80mm压有20mm凹槽加强筋,此技术为专利产品，确保均布承压不低于635N，凹槽造型美观、增加强度，更加耐用。</w:t>
            </w:r>
          </w:p>
          <w:p>
            <w:pPr>
              <w:rPr>
                <w:rFonts w:asciiTheme="minorEastAsia" w:hAnsiTheme="minorEastAsia"/>
                <w:color w:val="auto"/>
                <w:szCs w:val="21"/>
                <w:highlight w:val="none"/>
              </w:rPr>
            </w:pPr>
            <w:r>
              <w:rPr>
                <w:rFonts w:asciiTheme="minorEastAsia" w:hAnsiTheme="minorEastAsia"/>
                <w:color w:val="auto"/>
                <w:szCs w:val="21"/>
                <w:highlight w:val="none"/>
              </w:rPr>
              <w:t>6、</w:t>
            </w:r>
            <w:r>
              <w:rPr>
                <w:rFonts w:hint="eastAsia" w:asciiTheme="minorEastAsia" w:hAnsiTheme="minorEastAsia"/>
                <w:color w:val="auto"/>
                <w:szCs w:val="21"/>
                <w:highlight w:val="none"/>
              </w:rPr>
              <w:t>板面与衬板粘贴：采用环保型双组份聚氨酯胶水1:1配置，使用自动化覆板流水线作业，喷胶、压固、切割下料一次成型，确保粘接牢固板面平整。</w:t>
            </w:r>
          </w:p>
          <w:p>
            <w:pPr>
              <w:rPr>
                <w:rFonts w:asciiTheme="minorEastAsia" w:hAnsiTheme="minorEastAsia"/>
                <w:color w:val="auto"/>
                <w:szCs w:val="21"/>
                <w:highlight w:val="none"/>
              </w:rPr>
            </w:pPr>
            <w:r>
              <w:rPr>
                <w:rFonts w:asciiTheme="minorEastAsia" w:hAnsiTheme="minorEastAsia"/>
                <w:color w:val="auto"/>
                <w:szCs w:val="21"/>
                <w:highlight w:val="none"/>
              </w:rPr>
              <w:t>7、</w:t>
            </w:r>
            <w:r>
              <w:rPr>
                <w:rFonts w:hint="eastAsia" w:asciiTheme="minorEastAsia" w:hAnsiTheme="minorEastAsia"/>
                <w:color w:val="auto"/>
                <w:szCs w:val="21"/>
                <w:highlight w:val="none"/>
              </w:rPr>
              <w:t>边框：采用工业用高强度铝合金型材，电泳香槟色，模具挤压一次成型，上框规格57mm×100mm，左右框规格29mm×100mm，横（立）框采用双层加强结构，厚度≥15mm。</w:t>
            </w:r>
            <w:r>
              <w:rPr>
                <w:rFonts w:asciiTheme="minorEastAsia" w:hAnsiTheme="minorEastAsia"/>
                <w:color w:val="auto"/>
                <w:szCs w:val="21"/>
                <w:highlight w:val="none"/>
              </w:rPr>
              <w:t>轨道上置隐藏式平滑轮滑道，结构性解决滑轮受粉尘影响的情况，配有宽度≥30mm的粉尘槽，粉尘槽与滑动系统分离，与边框一次模具成形，防止粉尘垂直落地。</w:t>
            </w:r>
          </w:p>
          <w:p>
            <w:pPr>
              <w:rPr>
                <w:rFonts w:asciiTheme="minorEastAsia" w:hAnsiTheme="minorEastAsia"/>
                <w:color w:val="auto"/>
                <w:szCs w:val="21"/>
                <w:highlight w:val="none"/>
              </w:rPr>
            </w:pPr>
            <w:r>
              <w:rPr>
                <w:rFonts w:asciiTheme="minorEastAsia" w:hAnsiTheme="minorEastAsia"/>
                <w:color w:val="auto"/>
                <w:szCs w:val="21"/>
                <w:highlight w:val="none"/>
              </w:rPr>
              <w:t>8、</w:t>
            </w:r>
            <w:r>
              <w:rPr>
                <w:rFonts w:hint="eastAsia" w:asciiTheme="minorEastAsia" w:hAnsiTheme="minorEastAsia"/>
                <w:color w:val="auto"/>
                <w:szCs w:val="21"/>
                <w:highlight w:val="none"/>
              </w:rPr>
              <w:t>包角材料：采用抗老化高强度ABS工程塑料注塑成型。规格：100mm×29mm×29mm，采用双壁成腔流线型设计，≥R25mm的圆角，正面带黑板品牌LOGO标识，无尖角毛刺，符合JY0001-2003《教学仪器设备产品一般质量要求》。</w:t>
            </w:r>
          </w:p>
          <w:p>
            <w:pPr>
              <w:rPr>
                <w:rFonts w:asciiTheme="minorEastAsia" w:hAnsiTheme="minorEastAsia"/>
                <w:color w:val="auto"/>
                <w:szCs w:val="21"/>
                <w:highlight w:val="none"/>
              </w:rPr>
            </w:pPr>
            <w:r>
              <w:rPr>
                <w:rFonts w:asciiTheme="minorEastAsia" w:hAnsiTheme="minorEastAsia"/>
                <w:color w:val="auto"/>
                <w:szCs w:val="21"/>
                <w:highlight w:val="none"/>
              </w:rPr>
              <w:t>9、</w:t>
            </w:r>
            <w:r>
              <w:rPr>
                <w:rFonts w:hint="eastAsia" w:asciiTheme="minorEastAsia" w:hAnsiTheme="minorEastAsia"/>
                <w:color w:val="auto"/>
                <w:szCs w:val="21"/>
                <w:highlight w:val="none"/>
              </w:rPr>
              <w:t>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rPr>
                <w:rFonts w:asciiTheme="minorEastAsia" w:hAnsiTheme="minorEastAsia"/>
                <w:color w:val="auto"/>
                <w:szCs w:val="21"/>
                <w:highlight w:val="none"/>
              </w:rPr>
            </w:pPr>
            <w:r>
              <w:rPr>
                <w:rFonts w:asciiTheme="minorEastAsia" w:hAnsiTheme="minorEastAsia"/>
                <w:color w:val="auto"/>
                <w:szCs w:val="21"/>
                <w:highlight w:val="none"/>
              </w:rPr>
              <w:t>10、</w:t>
            </w:r>
            <w:r>
              <w:rPr>
                <w:rFonts w:hint="eastAsia" w:asciiTheme="minorEastAsia" w:hAnsiTheme="minorEastAsia"/>
                <w:color w:val="auto"/>
                <w:szCs w:val="21"/>
                <w:highlight w:val="none"/>
              </w:rPr>
              <w:t>除尘装置：外下框两侧各开一个直径25mm的圆孔，配置100*80mm的抽拉式粉尘盒，粉尘盒可拆卸清洁。</w:t>
            </w:r>
          </w:p>
          <w:p>
            <w:pPr>
              <w:rPr>
                <w:rFonts w:asciiTheme="minorEastAsia" w:hAnsiTheme="minorEastAsia"/>
                <w:color w:val="auto"/>
                <w:szCs w:val="21"/>
                <w:highlight w:val="none"/>
              </w:rPr>
            </w:pPr>
            <w:r>
              <w:rPr>
                <w:rFonts w:asciiTheme="minorEastAsia" w:hAnsiTheme="minorEastAsia"/>
                <w:color w:val="auto"/>
                <w:szCs w:val="21"/>
                <w:highlight w:val="none"/>
              </w:rPr>
              <w:t>11、</w:t>
            </w:r>
            <w:r>
              <w:rPr>
                <w:rFonts w:hint="eastAsia" w:asciiTheme="minorEastAsia" w:hAnsiTheme="minorEastAsia"/>
                <w:color w:val="auto"/>
                <w:szCs w:val="21"/>
                <w:highlight w:val="none"/>
              </w:rPr>
              <w:t>限位档：黑板边框内部两侧安装滑动板限位档，防止活动黑板开启时撞击立框。</w:t>
            </w:r>
          </w:p>
          <w:p>
            <w:pPr>
              <w:rPr>
                <w:rFonts w:asciiTheme="minorEastAsia" w:hAnsiTheme="minorEastAsia"/>
                <w:color w:val="auto"/>
                <w:szCs w:val="21"/>
                <w:highlight w:val="none"/>
              </w:rPr>
            </w:pPr>
            <w:r>
              <w:rPr>
                <w:rFonts w:asciiTheme="minorEastAsia" w:hAnsiTheme="minorEastAsia"/>
                <w:color w:val="auto"/>
                <w:szCs w:val="21"/>
                <w:highlight w:val="none"/>
              </w:rPr>
              <w:t>12、</w:t>
            </w:r>
            <w:r>
              <w:rPr>
                <w:rFonts w:hint="eastAsia" w:asciiTheme="minorEastAsia" w:hAnsiTheme="minorEastAsia"/>
                <w:color w:val="auto"/>
                <w:szCs w:val="21"/>
                <w:highlight w:val="none"/>
              </w:rPr>
              <w:t>易维护性：一体机上下配同色同质书写板，上下可根据一体机尺寸进行微调，两侧用H型边框与固定板配合，可自由拆装。使一体机不用拆整个黑板即可直接拆装维护，减少麻烦，延长使用寿命。</w:t>
            </w:r>
          </w:p>
          <w:p>
            <w:pPr>
              <w:rPr>
                <w:rFonts w:asciiTheme="minorEastAsia" w:hAnsiTheme="minorEastAsia"/>
                <w:color w:val="auto"/>
                <w:szCs w:val="21"/>
                <w:highlight w:val="none"/>
              </w:rPr>
            </w:pPr>
            <w:r>
              <w:rPr>
                <w:rFonts w:asciiTheme="minorEastAsia" w:hAnsiTheme="minorEastAsia"/>
                <w:color w:val="auto"/>
                <w:szCs w:val="21"/>
                <w:highlight w:val="none"/>
              </w:rPr>
              <w:t>13、</w:t>
            </w:r>
            <w:r>
              <w:rPr>
                <w:rFonts w:hint="eastAsia" w:asciiTheme="minorEastAsia" w:hAnsiTheme="minorEastAsia"/>
                <w:color w:val="auto"/>
                <w:szCs w:val="21"/>
                <w:highlight w:val="none"/>
              </w:rPr>
              <w:t>安全性：一把锁实现对滑动黑板的锁定，钥匙通用，方便实用。</w:t>
            </w:r>
          </w:p>
          <w:p>
            <w:pPr>
              <w:rPr>
                <w:rFonts w:asciiTheme="minorEastAsia" w:hAnsiTheme="minorEastAsia"/>
                <w:color w:val="auto"/>
                <w:szCs w:val="21"/>
                <w:highlight w:val="none"/>
              </w:rPr>
            </w:pPr>
            <w:r>
              <w:rPr>
                <w:rFonts w:asciiTheme="minorEastAsia" w:hAnsiTheme="minorEastAsia"/>
                <w:color w:val="auto"/>
                <w:szCs w:val="21"/>
                <w:highlight w:val="none"/>
              </w:rPr>
              <w:t>14、</w:t>
            </w:r>
            <w:r>
              <w:rPr>
                <w:rFonts w:hint="eastAsia" w:asciiTheme="minorEastAsia" w:hAnsiTheme="minorEastAsia"/>
                <w:color w:val="auto"/>
                <w:szCs w:val="21"/>
                <w:highlight w:val="none"/>
              </w:rPr>
              <w:t>安装：配装自制钢制安装件，规格95*50*60mm，隐形安装、没有外露的挂接件，符合GB 21027-2007《学生用品的安全通用要求》。</w:t>
            </w:r>
          </w:p>
          <w:p>
            <w:pPr>
              <w:widowControl/>
              <w:spacing w:before="100" w:beforeAutospacing="1" w:after="100" w:afterAutospacing="1" w:line="360" w:lineRule="auto"/>
              <w:jc w:val="left"/>
              <w:rPr>
                <w:rFonts w:asciiTheme="minorEastAsia" w:hAnsiTheme="minorEastAsia"/>
                <w:b/>
                <w:bCs/>
                <w:color w:val="auto"/>
                <w:szCs w:val="21"/>
                <w:highlight w:val="none"/>
              </w:rPr>
            </w:pPr>
            <w:r>
              <w:rPr>
                <w:rFonts w:asciiTheme="minorEastAsia" w:hAnsiTheme="minorEastAsia"/>
                <w:color w:val="auto"/>
                <w:szCs w:val="21"/>
                <w:highlight w:val="none"/>
              </w:rPr>
              <w:t>15</w:t>
            </w:r>
            <w:r>
              <w:rPr>
                <w:rFonts w:hint="eastAsia" w:asciiTheme="minorEastAsia" w:hAnsiTheme="minorEastAsia"/>
                <w:color w:val="auto"/>
                <w:szCs w:val="21"/>
                <w:highlight w:val="none"/>
              </w:rPr>
              <w:t>包装：采用环保型材料，符合国家产品包装要求，单套或双套纸箱独立包装，箱体印有制造商名称、LOGO标识、地址、服务热线等信息。</w:t>
            </w:r>
          </w:p>
        </w:tc>
        <w:tc>
          <w:tcPr>
            <w:tcW w:w="698"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套</w:t>
            </w:r>
          </w:p>
        </w:tc>
        <w:tc>
          <w:tcPr>
            <w:tcW w:w="1003"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69</w:t>
            </w:r>
          </w:p>
        </w:tc>
        <w:tc>
          <w:tcPr>
            <w:tcW w:w="851" w:type="dxa"/>
            <w:vAlign w:val="center"/>
          </w:tcPr>
          <w:p>
            <w:pPr>
              <w:jc w:val="center"/>
              <w:rPr>
                <w:rFonts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36"/>
              <w:ind w:firstLine="0" w:firstLineChars="0"/>
              <w:rPr>
                <w:rFonts w:asciiTheme="minorEastAsia" w:hAnsiTheme="minorEastAsia"/>
                <w:color w:val="auto"/>
                <w:szCs w:val="21"/>
                <w:highlight w:val="none"/>
              </w:rPr>
            </w:pPr>
            <w:r>
              <w:rPr>
                <w:rFonts w:hint="eastAsia" w:asciiTheme="minorEastAsia" w:hAnsiTheme="minorEastAsia"/>
                <w:color w:val="auto"/>
                <w:szCs w:val="21"/>
                <w:highlight w:val="none"/>
              </w:rPr>
              <w:t>4</w:t>
            </w:r>
          </w:p>
        </w:tc>
        <w:tc>
          <w:tcPr>
            <w:tcW w:w="1252"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计算机</w:t>
            </w:r>
          </w:p>
        </w:tc>
        <w:tc>
          <w:tcPr>
            <w:tcW w:w="6018" w:type="dxa"/>
            <w:vAlign w:val="center"/>
          </w:tcPr>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一、硬件部分：</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1、产品类型：商用分体台式电脑。</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★2、主板：≥Intel 300芯片组，接口≥8个USB接口，其中≥6个USB 3.0接口，且为方便教学使用需前置≥4个USB 3.0接口</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3、CPU：Intel酷睿I5-9500六核以上处理器，主频≥3.0G。</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4、内存：≥4G DDR4内存。</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5、硬盘：≥1TB SATA3 7200rpm 机械硬盘+128G SSD固态硬盘。</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6、显卡：集成显卡。</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7、声卡：集成5.1声道声卡，具有至少4个音频接口。</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8、网卡：集成10/100/1000M以太网卡。</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9、光驱：无光驱</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10、显示器：≥19.5寸LED显示器，显示器具有低蓝光功能，保护用眼安全，投标时提供省级以上检测机构出具的低蓝光检测证明。</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11、键盘、鼠标：防水抗菌键盘、抗菌鼠标。</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12、电源：≤180W节能电源</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★13、机箱：为满足客户灵活的使用场景，要求机箱必须为可立可卧式，配和电脑桌定制要求，机箱大小为≤11L； </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14、安全性：具备智能USB屏蔽技术，可设置为仅识别键盘、鼠标而无法识别USB读取设备，有效防止U盘病毒入侵及数据非法拷贝，有效防止数据丢失；为保护使用师生的身体健康，投标台式机产品噪声声压级不大于</w:t>
            </w:r>
            <w:r>
              <w:rPr>
                <w:rFonts w:hint="eastAsia" w:cs="宋体" w:asciiTheme="minorEastAsia" w:hAnsiTheme="minorEastAsia"/>
                <w:color w:val="auto"/>
                <w:szCs w:val="21"/>
                <w:highlight w:val="none"/>
                <w:lang w:eastAsia="zh-CN"/>
              </w:rPr>
              <w:t xml:space="preserve"> 11.5dB</w:t>
            </w:r>
            <w:r>
              <w:rPr>
                <w:rFonts w:hint="eastAsia" w:cs="宋体" w:asciiTheme="minorEastAsia" w:hAnsiTheme="minorEastAsia"/>
                <w:color w:val="auto"/>
                <w:szCs w:val="21"/>
                <w:highlight w:val="none"/>
              </w:rPr>
              <w:t>。</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二、软件部分：</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1、为满足教学要求，需配套主机同品牌教学云部署应用管理软件：</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（1）通过ADS虚拟化实现所有的计算机终端集中统一管理。</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（2）无需安装任何硬件，终端连上网络就可以启动进入各种Windows桌面云环境。</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（3）断网和服务端宕机，终端都可以使用，不影响正常上课教学。</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（4）不管客户端是关机或开机状态，系统都可以统一给所有客户端进行软件安装、删除等维护工作，并能不影响已经开机的客户端的正常使用，客户端开机或重启后就能使用新装软件和系统。</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★（5）镜像库中的分区镜像可由任何系统调用，支持同一分区镜像供多个系统使用，达到分区共享目的，无论系统镜像如何变化，数据镜像可保持一致。（投标时需提供功能演示截图）</w:t>
            </w:r>
          </w:p>
          <w:p>
            <w:pPr>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（6）服务端以扇区流的方式，将创建的虚拟硬盘模板真实的部署到客户端，实现与系统无关性，多个系统只需要一次部署就完成。</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 出厂预安装Windows操作系统，操作系统不接受开机二次安装，需体现在装箱清单内。</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三、质量及服务保证：</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1、原厂三年有限保修及上门服务（节假日不休）。</w:t>
            </w:r>
          </w:p>
          <w:p>
            <w:pP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2、原厂售后服务通过客户联络中心标准体系（CCCS）钻石五星级认证；</w:t>
            </w:r>
          </w:p>
        </w:tc>
        <w:tc>
          <w:tcPr>
            <w:tcW w:w="698"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台</w:t>
            </w:r>
          </w:p>
        </w:tc>
        <w:tc>
          <w:tcPr>
            <w:tcW w:w="1003"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63</w:t>
            </w:r>
          </w:p>
        </w:tc>
        <w:tc>
          <w:tcPr>
            <w:tcW w:w="851" w:type="dxa"/>
            <w:vAlign w:val="center"/>
          </w:tcPr>
          <w:p>
            <w:pPr>
              <w:jc w:val="center"/>
              <w:rPr>
                <w:rFonts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36"/>
              <w:ind w:firstLine="0" w:firstLineChars="0"/>
              <w:rPr>
                <w:rFonts w:asciiTheme="minorEastAsia" w:hAnsiTheme="minorEastAsia"/>
                <w:color w:val="auto"/>
                <w:szCs w:val="21"/>
                <w:highlight w:val="none"/>
              </w:rPr>
            </w:pPr>
            <w:r>
              <w:rPr>
                <w:rFonts w:hint="eastAsia" w:asciiTheme="minorEastAsia" w:hAnsiTheme="minorEastAsia"/>
                <w:color w:val="auto"/>
                <w:szCs w:val="21"/>
                <w:highlight w:val="none"/>
              </w:rPr>
              <w:t>5</w:t>
            </w:r>
          </w:p>
        </w:tc>
        <w:tc>
          <w:tcPr>
            <w:tcW w:w="1252"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交换机</w:t>
            </w:r>
          </w:p>
        </w:tc>
        <w:tc>
          <w:tcPr>
            <w:tcW w:w="6018" w:type="dxa"/>
          </w:tcPr>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★1、交换容量≥590Gbps；</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★2、线性转发速率≥220Mpps；</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★3、支持24个GE combo口+4个10GE光口；</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★4、提供不少于1个扩展插槽，支持扩展8个GE/10GE接口或者2个40GE口；</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★5、支持模块化电源，支持电源个数≥2，支持交流直流可混插，支持380V高压直流；</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6、支持创新性的M-button功能；</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7、支持横向虚拟化技术，将多台设备虚拟为一台；</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★8、支持64K MAC地址容量，支持MAC地址自动学习和老化，支持静态、动态MAC表项；</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9、支持4K VLAN、PVLAN、Voice VLAN、GVRP、灵活QinQ，支持10、基于端口/协议/IP子网的VLAN划分；</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11、支持ERPS等以太网环保护协议，切换时间＜50ms；</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12、支持基于二层ACL、扩展ACL（五元组）、混合ACL、自定义ACL；</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13、支持SP、WRR、SP+WRR、DWRR的队列调度机制；</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14、支持静态路由，RIPv1/v2，RIPng,OSPFv2/v3， ISIS，ISISv6, BGP4,BGP4+；</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15、支持ECMP；</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★16、支持MPLS二三层VPN，支持MCE；</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17、支持ND，支持IPv6 Ping、IPv6 Telnet，支持IPv6 ACL、MLD Snooping、DHCPv6 snooping；</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18、支持可控组播，CAC频道访问控制，支持 IGMPV1/V2V3、支持PIM-SM、PIM-DM、PIM-SSM协议；</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19、支持用户分级管理和口令保护，支持CPU防攻击CPU过载保护，支持端口隔离，支持MFF；</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20、支持动态ARP检测、802.1x、Radius认证、生成树根保护（Root Guard）、BPDU攻击保护；</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21、支持RIP/OSPF/BGP MD5密文检查；</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22、支持LACP、MC-LAG功能、以太网OAM功能；</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23、支持CLI，Telnet，SSH，支持SNMPv1/v2/v3；</w:t>
            </w:r>
          </w:p>
          <w:p>
            <w:pPr>
              <w:rPr>
                <w:rFonts w:hint="eastAsia" w:asciiTheme="minorEastAsia" w:hAnsiTheme="minorEastAsia"/>
                <w:color w:val="auto"/>
                <w:szCs w:val="21"/>
                <w:highlight w:val="none"/>
              </w:rPr>
            </w:pPr>
            <w:r>
              <w:rPr>
                <w:rFonts w:hint="eastAsia" w:asciiTheme="minorEastAsia" w:hAnsiTheme="minorEastAsia"/>
                <w:color w:val="auto"/>
                <w:szCs w:val="21"/>
                <w:highlight w:val="none"/>
              </w:rPr>
              <w:t>24、支持零部署，支持NTP、SYSLOG、RMON 功能；</w:t>
            </w:r>
          </w:p>
          <w:p>
            <w:pPr>
              <w:rPr>
                <w:rFonts w:asciiTheme="minorEastAsia" w:hAnsiTheme="minorEastAsia"/>
                <w:color w:val="auto"/>
                <w:szCs w:val="21"/>
                <w:highlight w:val="none"/>
              </w:rPr>
            </w:pPr>
            <w:r>
              <w:rPr>
                <w:rFonts w:hint="eastAsia" w:asciiTheme="minorEastAsia" w:hAnsiTheme="minorEastAsia"/>
                <w:color w:val="auto"/>
                <w:szCs w:val="21"/>
                <w:highlight w:val="none"/>
              </w:rPr>
              <w:t>★25、提供工信部入网证书；</w:t>
            </w:r>
          </w:p>
        </w:tc>
        <w:tc>
          <w:tcPr>
            <w:tcW w:w="698"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台</w:t>
            </w:r>
          </w:p>
        </w:tc>
        <w:tc>
          <w:tcPr>
            <w:tcW w:w="1003"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851" w:type="dxa"/>
            <w:vAlign w:val="center"/>
          </w:tcPr>
          <w:p>
            <w:pPr>
              <w:jc w:val="center"/>
              <w:rPr>
                <w:rFonts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pStyle w:val="136"/>
              <w:ind w:firstLine="0" w:firstLineChars="0"/>
              <w:rPr>
                <w:rFonts w:asciiTheme="minorEastAsia" w:hAnsiTheme="minorEastAsia"/>
                <w:color w:val="auto"/>
                <w:szCs w:val="21"/>
                <w:highlight w:val="none"/>
              </w:rPr>
            </w:pPr>
            <w:r>
              <w:rPr>
                <w:rFonts w:hint="eastAsia" w:asciiTheme="minorEastAsia" w:hAnsiTheme="minorEastAsia"/>
                <w:color w:val="auto"/>
                <w:szCs w:val="21"/>
                <w:highlight w:val="none"/>
              </w:rPr>
              <w:t>6</w:t>
            </w:r>
          </w:p>
        </w:tc>
        <w:tc>
          <w:tcPr>
            <w:tcW w:w="1252"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安装运输售后服务</w:t>
            </w:r>
          </w:p>
        </w:tc>
        <w:tc>
          <w:tcPr>
            <w:tcW w:w="6018"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含全套软硬件产品的配送，硬件和软件安装，调试，售后等服务。</w:t>
            </w:r>
          </w:p>
          <w:p>
            <w:pPr>
              <w:spacing w:line="276" w:lineRule="auto"/>
              <w:rPr>
                <w:rFonts w:asciiTheme="minorEastAsia" w:hAnsiTheme="minorEastAsia"/>
                <w:b/>
                <w:bCs/>
                <w:color w:val="auto"/>
                <w:szCs w:val="21"/>
                <w:highlight w:val="none"/>
              </w:rPr>
            </w:pPr>
            <w:r>
              <w:rPr>
                <w:rFonts w:hint="eastAsia" w:asciiTheme="minorEastAsia" w:hAnsiTheme="minorEastAsia"/>
                <w:color w:val="auto"/>
                <w:szCs w:val="21"/>
                <w:highlight w:val="none"/>
              </w:rPr>
              <w:t>投标人或委托服务商必须具备“设备报修服务平台”，平台服务必须达到如下功能：</w:t>
            </w:r>
          </w:p>
          <w:p>
            <w:pPr>
              <w:spacing w:line="276" w:lineRule="auto"/>
              <w:rPr>
                <w:rFonts w:cs="宋体" w:asciiTheme="minorEastAsia" w:hAnsiTheme="minorEastAsia"/>
                <w:b/>
                <w:bCs/>
                <w:color w:val="auto"/>
                <w:szCs w:val="21"/>
                <w:highlight w:val="none"/>
              </w:rPr>
            </w:pPr>
            <w:r>
              <w:rPr>
                <w:rFonts w:asciiTheme="minorEastAsia" w:hAnsiTheme="minorEastAsia"/>
                <w:b/>
                <w:bCs/>
                <w:color w:val="auto"/>
                <w:szCs w:val="21"/>
                <w:highlight w:val="none"/>
              </w:rPr>
              <w:t>1</w:t>
            </w:r>
            <w:r>
              <w:rPr>
                <w:rFonts w:hint="eastAsia" w:asciiTheme="minorEastAsia" w:hAnsiTheme="minorEastAsia"/>
                <w:b/>
                <w:bCs/>
                <w:color w:val="auto"/>
                <w:szCs w:val="21"/>
                <w:highlight w:val="none"/>
              </w:rPr>
              <w:t>、微信</w:t>
            </w:r>
            <w:r>
              <w:rPr>
                <w:rFonts w:hint="eastAsia" w:cs="宋体" w:asciiTheme="minorEastAsia" w:hAnsiTheme="minorEastAsia"/>
                <w:b/>
                <w:bCs/>
                <w:color w:val="auto"/>
                <w:szCs w:val="21"/>
                <w:highlight w:val="none"/>
              </w:rPr>
              <w:t>报</w:t>
            </w:r>
            <w:r>
              <w:rPr>
                <w:rFonts w:hint="eastAsia" w:cs="Yu Gothic" w:asciiTheme="minorEastAsia" w:hAnsiTheme="minorEastAsia"/>
                <w:b/>
                <w:bCs/>
                <w:color w:val="auto"/>
                <w:szCs w:val="21"/>
                <w:highlight w:val="none"/>
              </w:rPr>
              <w:t>修系</w:t>
            </w:r>
            <w:r>
              <w:rPr>
                <w:rFonts w:hint="eastAsia" w:cs="宋体" w:asciiTheme="minorEastAsia" w:hAnsiTheme="minorEastAsia"/>
                <w:b/>
                <w:bCs/>
                <w:color w:val="auto"/>
                <w:szCs w:val="21"/>
                <w:highlight w:val="none"/>
              </w:rPr>
              <w:t>统</w:t>
            </w:r>
          </w:p>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用微信</w:t>
            </w:r>
            <w:r>
              <w:rPr>
                <w:rFonts w:hint="eastAsia" w:cs="宋体" w:asciiTheme="minorEastAsia" w:hAnsiTheme="minorEastAsia"/>
                <w:color w:val="auto"/>
                <w:szCs w:val="21"/>
                <w:highlight w:val="none"/>
              </w:rPr>
              <w:t>扫</w:t>
            </w:r>
            <w:r>
              <w:rPr>
                <w:rFonts w:hint="eastAsia" w:cs="Yu Gothic" w:asciiTheme="minorEastAsia" w:hAnsiTheme="minorEastAsia"/>
                <w:color w:val="auto"/>
                <w:szCs w:val="21"/>
                <w:highlight w:val="none"/>
              </w:rPr>
              <w:t>描用</w:t>
            </w:r>
            <w:r>
              <w:rPr>
                <w:rFonts w:hint="eastAsia" w:cs="宋体" w:asciiTheme="minorEastAsia" w:hAnsiTheme="minorEastAsia"/>
                <w:color w:val="auto"/>
                <w:szCs w:val="21"/>
                <w:highlight w:val="none"/>
              </w:rPr>
              <w:t>户设备</w:t>
            </w:r>
            <w:r>
              <w:rPr>
                <w:rFonts w:hint="eastAsia" w:cs="Yu Gothic" w:asciiTheme="minorEastAsia" w:hAnsiTheme="minorEastAsia"/>
                <w:color w:val="auto"/>
                <w:szCs w:val="21"/>
                <w:highlight w:val="none"/>
              </w:rPr>
              <w:t>上</w:t>
            </w:r>
            <w:r>
              <w:rPr>
                <w:rFonts w:hint="eastAsia" w:cs="宋体" w:asciiTheme="minorEastAsia" w:hAnsiTheme="minorEastAsia"/>
                <w:color w:val="auto"/>
                <w:szCs w:val="21"/>
                <w:highlight w:val="none"/>
              </w:rPr>
              <w:t>贴</w:t>
            </w:r>
            <w:r>
              <w:rPr>
                <w:rFonts w:hint="eastAsia" w:cs="Yu Gothic" w:asciiTheme="minorEastAsia" w:hAnsiTheme="minorEastAsia"/>
                <w:color w:val="auto"/>
                <w:szCs w:val="21"/>
                <w:highlight w:val="none"/>
              </w:rPr>
              <w:t>的二</w:t>
            </w:r>
            <w:r>
              <w:rPr>
                <w:rFonts w:hint="eastAsia" w:cs="宋体" w:asciiTheme="minorEastAsia" w:hAnsiTheme="minorEastAsia"/>
                <w:color w:val="auto"/>
                <w:szCs w:val="21"/>
                <w:highlight w:val="none"/>
              </w:rPr>
              <w:t>维码</w:t>
            </w:r>
            <w:r>
              <w:rPr>
                <w:rFonts w:hint="eastAsia" w:cs="Yu Gothic" w:asciiTheme="minorEastAsia" w:hAnsiTheme="minorEastAsia"/>
                <w:color w:val="auto"/>
                <w:szCs w:val="21"/>
                <w:highlight w:val="none"/>
              </w:rPr>
              <w:t>，就可以立即</w:t>
            </w:r>
            <w:r>
              <w:rPr>
                <w:rFonts w:hint="eastAsia" w:cs="宋体" w:asciiTheme="minorEastAsia" w:hAnsiTheme="minorEastAsia"/>
                <w:color w:val="auto"/>
                <w:szCs w:val="21"/>
                <w:highlight w:val="none"/>
              </w:rPr>
              <w:t>显</w:t>
            </w:r>
            <w:r>
              <w:rPr>
                <w:rFonts w:hint="eastAsia" w:cs="Yu Gothic" w:asciiTheme="minorEastAsia" w:hAnsiTheme="minorEastAsia"/>
                <w:color w:val="auto"/>
                <w:szCs w:val="21"/>
                <w:highlight w:val="none"/>
              </w:rPr>
              <w:t>示</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的基本信息，填写故障信息</w:t>
            </w:r>
            <w:r>
              <w:rPr>
                <w:rFonts w:hint="eastAsia" w:cs="宋体" w:asciiTheme="minorEastAsia" w:hAnsiTheme="minorEastAsia"/>
                <w:color w:val="auto"/>
                <w:szCs w:val="21"/>
                <w:highlight w:val="none"/>
              </w:rPr>
              <w:t>进</w:t>
            </w:r>
            <w:r>
              <w:rPr>
                <w:rFonts w:hint="eastAsia" w:cs="Yu Gothic" w:asciiTheme="minorEastAsia" w:hAnsiTheme="minorEastAsia"/>
                <w:color w:val="auto"/>
                <w:szCs w:val="21"/>
                <w:highlight w:val="none"/>
              </w:rPr>
              <w:t>行售后服</w:t>
            </w:r>
            <w:r>
              <w:rPr>
                <w:rFonts w:hint="eastAsia" w:cs="宋体" w:asciiTheme="minorEastAsia" w:hAnsiTheme="minorEastAsia"/>
                <w:color w:val="auto"/>
                <w:szCs w:val="21"/>
                <w:highlight w:val="none"/>
              </w:rPr>
              <w:t>务报</w:t>
            </w:r>
            <w:r>
              <w:rPr>
                <w:rFonts w:hint="eastAsia" w:cs="Yu Gothic" w:asciiTheme="minorEastAsia" w:hAnsiTheme="minorEastAsia"/>
                <w:color w:val="auto"/>
                <w:szCs w:val="21"/>
                <w:highlight w:val="none"/>
              </w:rPr>
              <w:t>修。</w:t>
            </w:r>
            <w:r>
              <w:rPr>
                <w:rFonts w:hint="eastAsia" w:cs="宋体" w:asciiTheme="minorEastAsia" w:hAnsiTheme="minorEastAsia"/>
                <w:color w:val="auto"/>
                <w:szCs w:val="21"/>
                <w:highlight w:val="none"/>
              </w:rPr>
              <w:t>报</w:t>
            </w:r>
            <w:r>
              <w:rPr>
                <w:rFonts w:hint="eastAsia" w:cs="Yu Gothic" w:asciiTheme="minorEastAsia" w:hAnsiTheme="minorEastAsia"/>
                <w:color w:val="auto"/>
                <w:szCs w:val="21"/>
                <w:highlight w:val="none"/>
              </w:rPr>
              <w:t>修信息自</w:t>
            </w:r>
            <w:r>
              <w:rPr>
                <w:rFonts w:hint="eastAsia" w:cs="宋体" w:asciiTheme="minorEastAsia" w:hAnsiTheme="minorEastAsia"/>
                <w:color w:val="auto"/>
                <w:szCs w:val="21"/>
                <w:highlight w:val="none"/>
              </w:rPr>
              <w:t>动</w:t>
            </w:r>
            <w:r>
              <w:rPr>
                <w:rFonts w:hint="eastAsia" w:cs="Yu Gothic" w:asciiTheme="minorEastAsia" w:hAnsiTheme="minorEastAsia"/>
                <w:color w:val="auto"/>
                <w:szCs w:val="21"/>
                <w:highlight w:val="none"/>
              </w:rPr>
              <w:t>由云平台接收，自</w:t>
            </w:r>
            <w:r>
              <w:rPr>
                <w:rFonts w:hint="eastAsia" w:cs="宋体" w:asciiTheme="minorEastAsia" w:hAnsiTheme="minorEastAsia"/>
                <w:color w:val="auto"/>
                <w:szCs w:val="21"/>
                <w:highlight w:val="none"/>
              </w:rPr>
              <w:t>动</w:t>
            </w:r>
            <w:r>
              <w:rPr>
                <w:rFonts w:hint="eastAsia" w:cs="Yu Gothic" w:asciiTheme="minorEastAsia" w:hAnsiTheme="minorEastAsia"/>
                <w:color w:val="auto"/>
                <w:szCs w:val="21"/>
                <w:highlight w:val="none"/>
              </w:rPr>
              <w:t>生成售后服</w:t>
            </w:r>
            <w:r>
              <w:rPr>
                <w:rFonts w:hint="eastAsia" w:cs="宋体" w:asciiTheme="minorEastAsia" w:hAnsiTheme="minorEastAsia"/>
                <w:color w:val="auto"/>
                <w:szCs w:val="21"/>
                <w:highlight w:val="none"/>
              </w:rPr>
              <w:t>务维</w:t>
            </w:r>
            <w:r>
              <w:rPr>
                <w:rFonts w:hint="eastAsia" w:cs="Yu Gothic" w:asciiTheme="minorEastAsia" w:hAnsiTheme="minorEastAsia"/>
                <w:color w:val="auto"/>
                <w:szCs w:val="21"/>
                <w:highlight w:val="none"/>
              </w:rPr>
              <w:t>修工</w:t>
            </w:r>
            <w:r>
              <w:rPr>
                <w:rFonts w:hint="eastAsia" w:cs="宋体" w:asciiTheme="minorEastAsia" w:hAnsiTheme="minorEastAsia"/>
                <w:color w:val="auto"/>
                <w:szCs w:val="21"/>
                <w:highlight w:val="none"/>
              </w:rPr>
              <w:t>单</w:t>
            </w:r>
            <w:r>
              <w:rPr>
                <w:rFonts w:hint="eastAsia" w:cs="Yu Gothic" w:asciiTheme="minorEastAsia" w:hAnsiTheme="minorEastAsia"/>
                <w:color w:val="auto"/>
                <w:szCs w:val="21"/>
                <w:highlight w:val="none"/>
              </w:rPr>
              <w:t>，报修人可随时查看维修服务进度。</w:t>
            </w:r>
          </w:p>
          <w:p>
            <w:pPr>
              <w:spacing w:line="276" w:lineRule="auto"/>
              <w:rPr>
                <w:rFonts w:cs="宋体" w:asciiTheme="minorEastAsia" w:hAnsiTheme="minorEastAsia"/>
                <w:b/>
                <w:bCs/>
                <w:color w:val="auto"/>
                <w:szCs w:val="21"/>
                <w:highlight w:val="none"/>
              </w:rPr>
            </w:pPr>
            <w:r>
              <w:rPr>
                <w:rFonts w:asciiTheme="minorEastAsia" w:hAnsiTheme="minorEastAsia"/>
                <w:b/>
                <w:bCs/>
                <w:color w:val="auto"/>
                <w:szCs w:val="21"/>
                <w:highlight w:val="none"/>
              </w:rPr>
              <w:t>2</w:t>
            </w:r>
            <w:r>
              <w:rPr>
                <w:rFonts w:hint="eastAsia" w:asciiTheme="minorEastAsia" w:hAnsiTheme="minorEastAsia"/>
                <w:b/>
                <w:bCs/>
                <w:color w:val="auto"/>
                <w:szCs w:val="21"/>
                <w:highlight w:val="none"/>
              </w:rPr>
              <w:t>、工</w:t>
            </w:r>
            <w:r>
              <w:rPr>
                <w:rFonts w:hint="eastAsia" w:cs="宋体" w:asciiTheme="minorEastAsia" w:hAnsiTheme="minorEastAsia"/>
                <w:b/>
                <w:bCs/>
                <w:color w:val="auto"/>
                <w:szCs w:val="21"/>
                <w:highlight w:val="none"/>
              </w:rPr>
              <w:t>单</w:t>
            </w:r>
            <w:r>
              <w:rPr>
                <w:rFonts w:hint="eastAsia" w:cs="Yu Gothic" w:asciiTheme="minorEastAsia" w:hAnsiTheme="minorEastAsia"/>
                <w:b/>
                <w:bCs/>
                <w:color w:val="auto"/>
                <w:szCs w:val="21"/>
                <w:highlight w:val="none"/>
              </w:rPr>
              <w:t>派工系</w:t>
            </w:r>
            <w:r>
              <w:rPr>
                <w:rFonts w:hint="eastAsia" w:cs="宋体" w:asciiTheme="minorEastAsia" w:hAnsiTheme="minorEastAsia"/>
                <w:b/>
                <w:bCs/>
                <w:color w:val="auto"/>
                <w:szCs w:val="21"/>
                <w:highlight w:val="none"/>
              </w:rPr>
              <w:t>统</w:t>
            </w:r>
          </w:p>
          <w:p>
            <w:pPr>
              <w:spacing w:line="276" w:lineRule="auto"/>
              <w:rPr>
                <w:rFonts w:asciiTheme="minorEastAsia" w:hAnsiTheme="minorEastAsia"/>
                <w:color w:val="auto"/>
                <w:szCs w:val="21"/>
                <w:highlight w:val="none"/>
              </w:rPr>
            </w:pPr>
            <w:r>
              <w:rPr>
                <w:rFonts w:hint="eastAsia" w:cs="宋体" w:asciiTheme="minorEastAsia" w:hAnsiTheme="minorEastAsia"/>
                <w:color w:val="auto"/>
                <w:szCs w:val="21"/>
                <w:highlight w:val="none"/>
              </w:rPr>
              <w:t>实现对</w:t>
            </w:r>
            <w:r>
              <w:rPr>
                <w:rFonts w:hint="eastAsia" w:cs="Yu Gothic" w:asciiTheme="minorEastAsia" w:hAnsiTheme="minorEastAsia"/>
                <w:color w:val="auto"/>
                <w:szCs w:val="21"/>
                <w:highlight w:val="none"/>
              </w:rPr>
              <w:t>售后服</w:t>
            </w:r>
            <w:r>
              <w:rPr>
                <w:rFonts w:hint="eastAsia" w:cs="宋体" w:asciiTheme="minorEastAsia" w:hAnsiTheme="minorEastAsia"/>
                <w:color w:val="auto"/>
                <w:szCs w:val="21"/>
                <w:highlight w:val="none"/>
              </w:rPr>
              <w:t>务</w:t>
            </w:r>
            <w:r>
              <w:rPr>
                <w:rFonts w:hint="eastAsia" w:cs="Yu Gothic" w:asciiTheme="minorEastAsia" w:hAnsiTheme="minorEastAsia"/>
                <w:color w:val="auto"/>
                <w:szCs w:val="21"/>
                <w:highlight w:val="none"/>
              </w:rPr>
              <w:t>任</w:t>
            </w:r>
            <w:r>
              <w:rPr>
                <w:rFonts w:hint="eastAsia" w:cs="宋体" w:asciiTheme="minorEastAsia" w:hAnsiTheme="minorEastAsia"/>
                <w:color w:val="auto"/>
                <w:szCs w:val="21"/>
                <w:highlight w:val="none"/>
              </w:rPr>
              <w:t>务</w:t>
            </w:r>
            <w:r>
              <w:rPr>
                <w:rFonts w:hint="eastAsia" w:cs="Yu Gothic" w:asciiTheme="minorEastAsia" w:hAnsiTheme="minorEastAsia"/>
                <w:color w:val="auto"/>
                <w:szCs w:val="21"/>
                <w:highlight w:val="none"/>
              </w:rPr>
              <w:t>的全流程管理，包括：新增工</w:t>
            </w:r>
            <w:r>
              <w:rPr>
                <w:rFonts w:hint="eastAsia" w:cs="宋体" w:asciiTheme="minorEastAsia" w:hAnsiTheme="minorEastAsia"/>
                <w:color w:val="auto"/>
                <w:szCs w:val="21"/>
                <w:highlight w:val="none"/>
              </w:rPr>
              <w:t>单</w:t>
            </w:r>
            <w:r>
              <w:rPr>
                <w:rFonts w:hint="eastAsia" w:cs="Yu Gothic" w:asciiTheme="minorEastAsia" w:hAnsiTheme="minorEastAsia"/>
                <w:color w:val="auto"/>
                <w:szCs w:val="21"/>
                <w:highlight w:val="none"/>
              </w:rPr>
              <w:t>、派工、</w:t>
            </w:r>
            <w:r>
              <w:rPr>
                <w:rFonts w:hint="eastAsia" w:cs="宋体" w:asciiTheme="minorEastAsia" w:hAnsiTheme="minorEastAsia"/>
                <w:color w:val="auto"/>
                <w:szCs w:val="21"/>
                <w:highlight w:val="none"/>
              </w:rPr>
              <w:t>签</w:t>
            </w:r>
            <w:r>
              <w:rPr>
                <w:rFonts w:hint="eastAsia" w:cs="Yu Gothic" w:asciiTheme="minorEastAsia" w:hAnsiTheme="minorEastAsia"/>
                <w:color w:val="auto"/>
                <w:szCs w:val="21"/>
                <w:highlight w:val="none"/>
              </w:rPr>
              <w:t>收、</w:t>
            </w:r>
            <w:r>
              <w:rPr>
                <w:rFonts w:hint="eastAsia" w:cs="宋体" w:asciiTheme="minorEastAsia" w:hAnsiTheme="minorEastAsia"/>
                <w:color w:val="auto"/>
                <w:szCs w:val="21"/>
                <w:highlight w:val="none"/>
              </w:rPr>
              <w:t>现场签</w:t>
            </w:r>
            <w:r>
              <w:rPr>
                <w:rFonts w:hint="eastAsia" w:cs="Yu Gothic" w:asciiTheme="minorEastAsia" w:hAnsiTheme="minorEastAsia"/>
                <w:color w:val="auto"/>
                <w:szCs w:val="21"/>
                <w:highlight w:val="none"/>
              </w:rPr>
              <w:t>到、</w:t>
            </w:r>
            <w:r>
              <w:rPr>
                <w:rFonts w:hint="eastAsia" w:cs="宋体" w:asciiTheme="minorEastAsia" w:hAnsiTheme="minorEastAsia"/>
                <w:color w:val="auto"/>
                <w:szCs w:val="21"/>
                <w:highlight w:val="none"/>
              </w:rPr>
              <w:t>进</w:t>
            </w:r>
            <w:r>
              <w:rPr>
                <w:rFonts w:hint="eastAsia" w:cs="Yu Gothic" w:asciiTheme="minorEastAsia" w:hAnsiTheme="minorEastAsia"/>
                <w:color w:val="auto"/>
                <w:szCs w:val="21"/>
                <w:highlight w:val="none"/>
              </w:rPr>
              <w:t>程反</w:t>
            </w:r>
            <w:r>
              <w:rPr>
                <w:rFonts w:hint="eastAsia" w:cs="宋体" w:asciiTheme="minorEastAsia" w:hAnsiTheme="minorEastAsia"/>
                <w:color w:val="auto"/>
                <w:szCs w:val="21"/>
                <w:highlight w:val="none"/>
              </w:rPr>
              <w:t>馈</w:t>
            </w:r>
            <w:r>
              <w:rPr>
                <w:rFonts w:hint="eastAsia" w:cs="Yu Gothic" w:asciiTheme="minorEastAsia" w:hAnsiTheme="minorEastAsia"/>
                <w:color w:val="auto"/>
                <w:szCs w:val="21"/>
                <w:highlight w:val="none"/>
              </w:rPr>
              <w:t>、完工、</w:t>
            </w:r>
            <w:r>
              <w:rPr>
                <w:rFonts w:hint="eastAsia" w:asciiTheme="minorEastAsia" w:hAnsiTheme="minorEastAsia"/>
                <w:color w:val="auto"/>
                <w:szCs w:val="21"/>
                <w:highlight w:val="none"/>
              </w:rPr>
              <w:t>客</w:t>
            </w:r>
            <w:r>
              <w:rPr>
                <w:rFonts w:hint="eastAsia" w:cs="宋体" w:asciiTheme="minorEastAsia" w:hAnsiTheme="minorEastAsia"/>
                <w:color w:val="auto"/>
                <w:szCs w:val="21"/>
                <w:highlight w:val="none"/>
              </w:rPr>
              <w:t>户评</w:t>
            </w:r>
            <w:r>
              <w:rPr>
                <w:rFonts w:hint="eastAsia" w:cs="Yu Gothic" w:asciiTheme="minorEastAsia" w:hAnsiTheme="minorEastAsia"/>
                <w:color w:val="auto"/>
                <w:szCs w:val="21"/>
                <w:highlight w:val="none"/>
              </w:rPr>
              <w:t>价。</w:t>
            </w:r>
          </w:p>
          <w:p>
            <w:pPr>
              <w:spacing w:line="276" w:lineRule="auto"/>
              <w:rPr>
                <w:rFonts w:cs="宋体" w:asciiTheme="minorEastAsia" w:hAnsiTheme="minorEastAsia"/>
                <w:b/>
                <w:bCs/>
                <w:color w:val="auto"/>
                <w:szCs w:val="21"/>
                <w:highlight w:val="none"/>
              </w:rPr>
            </w:pPr>
            <w:r>
              <w:rPr>
                <w:rFonts w:asciiTheme="minorEastAsia" w:hAnsiTheme="minorEastAsia"/>
                <w:b/>
                <w:bCs/>
                <w:color w:val="auto"/>
                <w:szCs w:val="21"/>
                <w:highlight w:val="none"/>
              </w:rPr>
              <w:t>3</w:t>
            </w:r>
            <w:r>
              <w:rPr>
                <w:rFonts w:hint="eastAsia" w:asciiTheme="minorEastAsia" w:hAnsiTheme="minorEastAsia"/>
                <w:b/>
                <w:bCs/>
                <w:color w:val="auto"/>
                <w:szCs w:val="21"/>
                <w:highlight w:val="none"/>
              </w:rPr>
              <w:t>、定位</w:t>
            </w:r>
            <w:r>
              <w:rPr>
                <w:rFonts w:hint="eastAsia" w:cs="宋体" w:asciiTheme="minorEastAsia" w:hAnsiTheme="minorEastAsia"/>
                <w:b/>
                <w:bCs/>
                <w:color w:val="auto"/>
                <w:szCs w:val="21"/>
                <w:highlight w:val="none"/>
              </w:rPr>
              <w:t>签</w:t>
            </w:r>
            <w:r>
              <w:rPr>
                <w:rFonts w:hint="eastAsia" w:cs="Yu Gothic" w:asciiTheme="minorEastAsia" w:hAnsiTheme="minorEastAsia"/>
                <w:b/>
                <w:bCs/>
                <w:color w:val="auto"/>
                <w:szCs w:val="21"/>
                <w:highlight w:val="none"/>
              </w:rPr>
              <w:t>到系</w:t>
            </w:r>
            <w:r>
              <w:rPr>
                <w:rFonts w:hint="eastAsia" w:cs="宋体" w:asciiTheme="minorEastAsia" w:hAnsiTheme="minorEastAsia"/>
                <w:b/>
                <w:bCs/>
                <w:color w:val="auto"/>
                <w:szCs w:val="21"/>
                <w:highlight w:val="none"/>
              </w:rPr>
              <w:t>统</w:t>
            </w:r>
          </w:p>
          <w:p>
            <w:pPr>
              <w:spacing w:line="276" w:lineRule="auto"/>
              <w:rPr>
                <w:rFonts w:cs="Yu Gothic" w:asciiTheme="minorEastAsia" w:hAnsiTheme="minorEastAsia"/>
                <w:color w:val="auto"/>
                <w:szCs w:val="21"/>
                <w:highlight w:val="none"/>
              </w:rPr>
            </w:pPr>
            <w:r>
              <w:rPr>
                <w:rFonts w:hint="eastAsia" w:cs="宋体" w:asciiTheme="minorEastAsia" w:hAnsiTheme="minorEastAsia"/>
                <w:color w:val="auto"/>
                <w:szCs w:val="21"/>
                <w:highlight w:val="none"/>
              </w:rPr>
              <w:t>结</w:t>
            </w:r>
            <w:r>
              <w:rPr>
                <w:rFonts w:hint="eastAsia" w:cs="Yu Gothic" w:asciiTheme="minorEastAsia" w:hAnsiTheme="minorEastAsia"/>
                <w:color w:val="auto"/>
                <w:szCs w:val="21"/>
                <w:highlight w:val="none"/>
              </w:rPr>
              <w:t>合最新的移</w:t>
            </w:r>
            <w:r>
              <w:rPr>
                <w:rFonts w:hint="eastAsia" w:cs="宋体" w:asciiTheme="minorEastAsia" w:hAnsiTheme="minorEastAsia"/>
                <w:color w:val="auto"/>
                <w:szCs w:val="21"/>
                <w:highlight w:val="none"/>
              </w:rPr>
              <w:t>动</w:t>
            </w:r>
            <w:r>
              <w:rPr>
                <w:rFonts w:hint="eastAsia" w:cs="Yu Gothic" w:asciiTheme="minorEastAsia" w:hAnsiTheme="minorEastAsia"/>
                <w:color w:val="auto"/>
                <w:szCs w:val="21"/>
                <w:highlight w:val="none"/>
              </w:rPr>
              <w:t>互</w:t>
            </w:r>
            <w:r>
              <w:rPr>
                <w:rFonts w:hint="eastAsia" w:cs="宋体" w:asciiTheme="minorEastAsia" w:hAnsiTheme="minorEastAsia"/>
                <w:color w:val="auto"/>
                <w:szCs w:val="21"/>
                <w:highlight w:val="none"/>
              </w:rPr>
              <w:t>联</w:t>
            </w:r>
            <w:r>
              <w:rPr>
                <w:rFonts w:hint="eastAsia" w:cs="Yu Gothic" w:asciiTheme="minorEastAsia" w:hAnsiTheme="minorEastAsia"/>
                <w:color w:val="auto"/>
                <w:szCs w:val="21"/>
                <w:highlight w:val="none"/>
              </w:rPr>
              <w:t>网技</w:t>
            </w:r>
            <w:r>
              <w:rPr>
                <w:rFonts w:hint="eastAsia" w:cs="宋体" w:asciiTheme="minorEastAsia" w:hAnsiTheme="minorEastAsia"/>
                <w:color w:val="auto"/>
                <w:szCs w:val="21"/>
                <w:highlight w:val="none"/>
              </w:rPr>
              <w:t>术</w:t>
            </w:r>
            <w:r>
              <w:rPr>
                <w:rFonts w:hint="eastAsia" w:cs="Yu Gothic" w:asciiTheme="minorEastAsia" w:hAnsiTheme="minorEastAsia"/>
                <w:color w:val="auto"/>
                <w:szCs w:val="21"/>
                <w:highlight w:val="none"/>
              </w:rPr>
              <w:t>，通</w:t>
            </w:r>
            <w:r>
              <w:rPr>
                <w:rFonts w:hint="eastAsia" w:cs="宋体" w:asciiTheme="minorEastAsia" w:hAnsiTheme="minorEastAsia"/>
                <w:color w:val="auto"/>
                <w:szCs w:val="21"/>
                <w:highlight w:val="none"/>
              </w:rPr>
              <w:t>过</w:t>
            </w:r>
            <w:r>
              <w:rPr>
                <w:rFonts w:hint="eastAsia" w:cs="Yu Gothic" w:asciiTheme="minorEastAsia" w:hAnsiTheme="minorEastAsia"/>
                <w:color w:val="auto"/>
                <w:szCs w:val="21"/>
                <w:highlight w:val="none"/>
              </w:rPr>
              <w:t>手机精确定位人</w:t>
            </w:r>
            <w:r>
              <w:rPr>
                <w:rFonts w:hint="eastAsia" w:cs="宋体" w:asciiTheme="minorEastAsia" w:hAnsiTheme="minorEastAsia"/>
                <w:color w:val="auto"/>
                <w:szCs w:val="21"/>
                <w:highlight w:val="none"/>
              </w:rPr>
              <w:t>员</w:t>
            </w:r>
            <w:r>
              <w:rPr>
                <w:rFonts w:hint="eastAsia" w:cs="Yu Gothic" w:asciiTheme="minorEastAsia" w:hAnsiTheme="minorEastAsia"/>
                <w:color w:val="auto"/>
                <w:szCs w:val="21"/>
                <w:highlight w:val="none"/>
              </w:rPr>
              <w:t>位置，</w:t>
            </w:r>
            <w:r>
              <w:rPr>
                <w:rFonts w:hint="eastAsia" w:cs="宋体" w:asciiTheme="minorEastAsia" w:hAnsiTheme="minorEastAsia"/>
                <w:color w:val="auto"/>
                <w:szCs w:val="21"/>
                <w:highlight w:val="none"/>
              </w:rPr>
              <w:t>签</w:t>
            </w:r>
            <w:r>
              <w:rPr>
                <w:rFonts w:hint="eastAsia" w:cs="Yu Gothic" w:asciiTheme="minorEastAsia" w:hAnsiTheme="minorEastAsia"/>
                <w:color w:val="auto"/>
                <w:szCs w:val="21"/>
                <w:highlight w:val="none"/>
              </w:rPr>
              <w:t>到</w:t>
            </w:r>
            <w:r>
              <w:rPr>
                <w:rFonts w:hint="eastAsia" w:cs="宋体" w:asciiTheme="minorEastAsia" w:hAnsiTheme="minorEastAsia"/>
                <w:color w:val="auto"/>
                <w:szCs w:val="21"/>
                <w:highlight w:val="none"/>
              </w:rPr>
              <w:t>时</w:t>
            </w:r>
            <w:r>
              <w:rPr>
                <w:rFonts w:hint="eastAsia" w:cs="Yu Gothic" w:asciiTheme="minorEastAsia" w:hAnsiTheme="minorEastAsia"/>
                <w:color w:val="auto"/>
                <w:szCs w:val="21"/>
                <w:highlight w:val="none"/>
              </w:rPr>
              <w:t>自</w:t>
            </w:r>
            <w:r>
              <w:rPr>
                <w:rFonts w:hint="eastAsia" w:cs="宋体" w:asciiTheme="minorEastAsia" w:hAnsiTheme="minorEastAsia"/>
                <w:color w:val="auto"/>
                <w:szCs w:val="21"/>
                <w:highlight w:val="none"/>
              </w:rPr>
              <w:t>动</w:t>
            </w:r>
            <w:r>
              <w:rPr>
                <w:rFonts w:hint="eastAsia" w:cs="Yu Gothic" w:asciiTheme="minorEastAsia" w:hAnsiTheme="minorEastAsia"/>
                <w:color w:val="auto"/>
                <w:szCs w:val="21"/>
                <w:highlight w:val="none"/>
              </w:rPr>
              <w:t>在地</w:t>
            </w:r>
            <w:r>
              <w:rPr>
                <w:rFonts w:hint="eastAsia" w:cs="宋体" w:asciiTheme="minorEastAsia" w:hAnsiTheme="minorEastAsia"/>
                <w:color w:val="auto"/>
                <w:szCs w:val="21"/>
                <w:highlight w:val="none"/>
              </w:rPr>
              <w:t>图</w:t>
            </w:r>
            <w:r>
              <w:rPr>
                <w:rFonts w:hint="eastAsia" w:cs="Yu Gothic" w:asciiTheme="minorEastAsia" w:hAnsiTheme="minorEastAsia"/>
                <w:color w:val="auto"/>
                <w:szCs w:val="21"/>
                <w:highlight w:val="none"/>
              </w:rPr>
              <w:t>上</w:t>
            </w:r>
            <w:r>
              <w:rPr>
                <w:rFonts w:hint="eastAsia" w:cs="宋体" w:asciiTheme="minorEastAsia" w:hAnsiTheme="minorEastAsia"/>
                <w:color w:val="auto"/>
                <w:szCs w:val="21"/>
                <w:highlight w:val="none"/>
              </w:rPr>
              <w:t>标记</w:t>
            </w:r>
            <w:r>
              <w:rPr>
                <w:rFonts w:hint="eastAsia" w:cs="Yu Gothic" w:asciiTheme="minorEastAsia" w:hAnsiTheme="minorEastAsia"/>
                <w:color w:val="auto"/>
                <w:szCs w:val="21"/>
                <w:highlight w:val="none"/>
              </w:rPr>
              <w:t>，并</w:t>
            </w:r>
            <w:r>
              <w:rPr>
                <w:rFonts w:hint="eastAsia" w:cs="宋体" w:asciiTheme="minorEastAsia" w:hAnsiTheme="minorEastAsia"/>
                <w:color w:val="auto"/>
                <w:szCs w:val="21"/>
                <w:highlight w:val="none"/>
              </w:rPr>
              <w:t>实</w:t>
            </w:r>
            <w:r>
              <w:rPr>
                <w:rFonts w:hint="eastAsia" w:cs="Yu Gothic" w:asciiTheme="minorEastAsia" w:hAnsiTheme="minorEastAsia"/>
                <w:color w:val="auto"/>
                <w:szCs w:val="21"/>
                <w:highlight w:val="none"/>
              </w:rPr>
              <w:t>施</w:t>
            </w:r>
            <w:r>
              <w:rPr>
                <w:rFonts w:hint="eastAsia" w:cs="宋体" w:asciiTheme="minorEastAsia" w:hAnsiTheme="minorEastAsia"/>
                <w:color w:val="auto"/>
                <w:szCs w:val="21"/>
                <w:highlight w:val="none"/>
              </w:rPr>
              <w:t>获</w:t>
            </w:r>
            <w:r>
              <w:rPr>
                <w:rFonts w:hint="eastAsia" w:cs="Yu Gothic" w:asciiTheme="minorEastAsia" w:hAnsiTheme="minorEastAsia"/>
                <w:color w:val="auto"/>
                <w:szCs w:val="21"/>
                <w:highlight w:val="none"/>
              </w:rPr>
              <w:t>取中文地址，精</w:t>
            </w:r>
            <w:r>
              <w:rPr>
                <w:rFonts w:hint="eastAsia" w:asciiTheme="minorEastAsia" w:hAnsiTheme="minorEastAsia"/>
                <w:color w:val="auto"/>
                <w:szCs w:val="21"/>
                <w:highlight w:val="none"/>
              </w:rPr>
              <w:t>确</w:t>
            </w:r>
            <w:r>
              <w:rPr>
                <w:rFonts w:hint="eastAsia" w:cs="宋体" w:asciiTheme="minorEastAsia" w:hAnsiTheme="minorEastAsia"/>
                <w:color w:val="auto"/>
                <w:szCs w:val="21"/>
                <w:highlight w:val="none"/>
              </w:rPr>
              <w:t>记录签</w:t>
            </w:r>
            <w:r>
              <w:rPr>
                <w:rFonts w:hint="eastAsia" w:cs="Yu Gothic" w:asciiTheme="minorEastAsia" w:hAnsiTheme="minorEastAsia"/>
                <w:color w:val="auto"/>
                <w:szCs w:val="21"/>
                <w:highlight w:val="none"/>
              </w:rPr>
              <w:t>到</w:t>
            </w:r>
            <w:r>
              <w:rPr>
                <w:rFonts w:hint="eastAsia" w:cs="宋体" w:asciiTheme="minorEastAsia" w:hAnsiTheme="minorEastAsia"/>
                <w:color w:val="auto"/>
                <w:szCs w:val="21"/>
                <w:highlight w:val="none"/>
              </w:rPr>
              <w:t>时间</w:t>
            </w:r>
            <w:r>
              <w:rPr>
                <w:rFonts w:hint="eastAsia" w:cs="Yu Gothic" w:asciiTheme="minorEastAsia" w:hAnsiTheme="minorEastAsia"/>
                <w:color w:val="auto"/>
                <w:szCs w:val="21"/>
                <w:highlight w:val="none"/>
              </w:rPr>
              <w:t>，有效实时追踪服务人员服务进度。</w:t>
            </w:r>
          </w:p>
          <w:p>
            <w:pPr>
              <w:spacing w:line="276" w:lineRule="auto"/>
              <w:rPr>
                <w:rFonts w:asciiTheme="minorEastAsia" w:hAnsiTheme="minorEastAsia"/>
                <w:b/>
                <w:bCs/>
                <w:color w:val="auto"/>
                <w:szCs w:val="21"/>
                <w:highlight w:val="none"/>
              </w:rPr>
            </w:pPr>
            <w:r>
              <w:rPr>
                <w:rFonts w:asciiTheme="minorEastAsia" w:hAnsiTheme="minorEastAsia"/>
                <w:b/>
                <w:bCs/>
                <w:color w:val="auto"/>
                <w:szCs w:val="21"/>
                <w:highlight w:val="none"/>
              </w:rPr>
              <w:t>4</w:t>
            </w:r>
            <w:r>
              <w:rPr>
                <w:rFonts w:hint="eastAsia" w:asciiTheme="minorEastAsia" w:hAnsiTheme="minorEastAsia"/>
                <w:b/>
                <w:bCs/>
                <w:color w:val="auto"/>
                <w:szCs w:val="21"/>
                <w:highlight w:val="none"/>
              </w:rPr>
              <w:t>、</w:t>
            </w:r>
            <w:r>
              <w:rPr>
                <w:rFonts w:hint="eastAsia" w:cs="宋体" w:asciiTheme="minorEastAsia" w:hAnsiTheme="minorEastAsia"/>
                <w:b/>
                <w:bCs/>
                <w:color w:val="auto"/>
                <w:szCs w:val="21"/>
                <w:highlight w:val="none"/>
              </w:rPr>
              <w:t>预</w:t>
            </w:r>
            <w:r>
              <w:rPr>
                <w:rFonts w:hint="eastAsia" w:cs="Yu Gothic" w:asciiTheme="minorEastAsia" w:hAnsiTheme="minorEastAsia"/>
                <w:b/>
                <w:bCs/>
                <w:color w:val="auto"/>
                <w:szCs w:val="21"/>
                <w:highlight w:val="none"/>
              </w:rPr>
              <w:t>警管理系</w:t>
            </w:r>
            <w:r>
              <w:rPr>
                <w:rFonts w:hint="eastAsia" w:cs="宋体" w:asciiTheme="minorEastAsia" w:hAnsiTheme="minorEastAsia"/>
                <w:b/>
                <w:bCs/>
                <w:color w:val="auto"/>
                <w:szCs w:val="21"/>
                <w:highlight w:val="none"/>
              </w:rPr>
              <w:t>统</w:t>
            </w:r>
          </w:p>
          <w:p>
            <w:pPr>
              <w:spacing w:line="276" w:lineRule="auto"/>
              <w:rPr>
                <w:rFonts w:asciiTheme="minorEastAsia" w:hAnsiTheme="minorEastAsia"/>
                <w:color w:val="auto"/>
                <w:szCs w:val="21"/>
                <w:highlight w:val="none"/>
              </w:rPr>
            </w:pPr>
            <w:r>
              <w:rPr>
                <w:rFonts w:hint="eastAsia" w:cs="宋体" w:asciiTheme="minorEastAsia" w:hAnsiTheme="minorEastAsia"/>
                <w:color w:val="auto"/>
                <w:szCs w:val="21"/>
                <w:highlight w:val="none"/>
              </w:rPr>
              <w:t>该</w:t>
            </w:r>
            <w:r>
              <w:rPr>
                <w:rFonts w:hint="eastAsia" w:cs="Yu Gothic" w:asciiTheme="minorEastAsia" w:hAnsiTheme="minorEastAsia"/>
                <w:color w:val="auto"/>
                <w:szCs w:val="21"/>
                <w:highlight w:val="none"/>
              </w:rPr>
              <w:t>系</w:t>
            </w:r>
            <w:r>
              <w:rPr>
                <w:rFonts w:hint="eastAsia" w:cs="宋体" w:asciiTheme="minorEastAsia" w:hAnsiTheme="minorEastAsia"/>
                <w:color w:val="auto"/>
                <w:szCs w:val="21"/>
                <w:highlight w:val="none"/>
              </w:rPr>
              <w:t>统实现对</w:t>
            </w:r>
            <w:r>
              <w:rPr>
                <w:rFonts w:hint="eastAsia" w:cs="Yu Gothic" w:asciiTheme="minorEastAsia" w:hAnsiTheme="minorEastAsia"/>
                <w:color w:val="auto"/>
                <w:szCs w:val="21"/>
                <w:highlight w:val="none"/>
              </w:rPr>
              <w:t>售后服</w:t>
            </w:r>
            <w:r>
              <w:rPr>
                <w:rFonts w:hint="eastAsia" w:cs="宋体" w:asciiTheme="minorEastAsia" w:hAnsiTheme="minorEastAsia"/>
                <w:color w:val="auto"/>
                <w:szCs w:val="21"/>
                <w:highlight w:val="none"/>
              </w:rPr>
              <w:t>务过</w:t>
            </w:r>
            <w:r>
              <w:rPr>
                <w:rFonts w:hint="eastAsia" w:cs="Yu Gothic" w:asciiTheme="minorEastAsia" w:hAnsiTheme="minorEastAsia"/>
                <w:color w:val="auto"/>
                <w:szCs w:val="21"/>
                <w:highlight w:val="none"/>
              </w:rPr>
              <w:t>程中一些重要</w:t>
            </w:r>
            <w:r>
              <w:rPr>
                <w:rFonts w:hint="eastAsia" w:cs="宋体" w:asciiTheme="minorEastAsia" w:hAnsiTheme="minorEastAsia"/>
                <w:color w:val="auto"/>
                <w:szCs w:val="21"/>
                <w:highlight w:val="none"/>
              </w:rPr>
              <w:t>时间</w:t>
            </w:r>
            <w:r>
              <w:rPr>
                <w:rFonts w:hint="eastAsia" w:cs="Yu Gothic" w:asciiTheme="minorEastAsia" w:hAnsiTheme="minorEastAsia"/>
                <w:color w:val="auto"/>
                <w:szCs w:val="21"/>
                <w:highlight w:val="none"/>
              </w:rPr>
              <w:t>点的</w:t>
            </w:r>
            <w:r>
              <w:rPr>
                <w:rFonts w:hint="eastAsia" w:cs="宋体" w:asciiTheme="minorEastAsia" w:hAnsiTheme="minorEastAsia"/>
                <w:color w:val="auto"/>
                <w:szCs w:val="21"/>
                <w:highlight w:val="none"/>
              </w:rPr>
              <w:t>预</w:t>
            </w:r>
            <w:r>
              <w:rPr>
                <w:rFonts w:hint="eastAsia" w:cs="Yu Gothic" w:asciiTheme="minorEastAsia" w:hAnsiTheme="minorEastAsia"/>
                <w:color w:val="auto"/>
                <w:szCs w:val="21"/>
                <w:highlight w:val="none"/>
              </w:rPr>
              <w:t>警和提醒，例如</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保修期限的提醒、</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保养周期的提醒、</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巡</w:t>
            </w:r>
            <w:r>
              <w:rPr>
                <w:rFonts w:hint="eastAsia" w:cs="宋体" w:asciiTheme="minorEastAsia" w:hAnsiTheme="minorEastAsia"/>
                <w:color w:val="auto"/>
                <w:szCs w:val="21"/>
                <w:highlight w:val="none"/>
              </w:rPr>
              <w:t>检</w:t>
            </w:r>
            <w:r>
              <w:rPr>
                <w:rFonts w:hint="eastAsia" w:cs="Yu Gothic" w:asciiTheme="minorEastAsia" w:hAnsiTheme="minorEastAsia"/>
                <w:color w:val="auto"/>
                <w:szCs w:val="21"/>
                <w:highlight w:val="none"/>
              </w:rPr>
              <w:t>日期的</w:t>
            </w:r>
            <w:r>
              <w:rPr>
                <w:rFonts w:hint="eastAsia" w:cs="宋体" w:asciiTheme="minorEastAsia" w:hAnsiTheme="minorEastAsia"/>
                <w:color w:val="auto"/>
                <w:szCs w:val="21"/>
                <w:highlight w:val="none"/>
              </w:rPr>
              <w:t>预</w:t>
            </w:r>
            <w:r>
              <w:rPr>
                <w:rFonts w:hint="eastAsia" w:cs="Yu Gothic" w:asciiTheme="minorEastAsia" w:hAnsiTheme="minorEastAsia"/>
                <w:color w:val="auto"/>
                <w:szCs w:val="21"/>
                <w:highlight w:val="none"/>
              </w:rPr>
              <w:t>警等。</w:t>
            </w:r>
          </w:p>
          <w:p>
            <w:pPr>
              <w:spacing w:line="276" w:lineRule="auto"/>
              <w:rPr>
                <w:rFonts w:asciiTheme="minorEastAsia" w:hAnsiTheme="minorEastAsia"/>
                <w:b/>
                <w:bCs/>
                <w:color w:val="auto"/>
                <w:szCs w:val="21"/>
                <w:highlight w:val="none"/>
              </w:rPr>
            </w:pPr>
            <w:r>
              <w:rPr>
                <w:rFonts w:asciiTheme="minorEastAsia" w:hAnsiTheme="minorEastAsia"/>
                <w:b/>
                <w:bCs/>
                <w:color w:val="auto"/>
                <w:szCs w:val="21"/>
                <w:highlight w:val="none"/>
              </w:rPr>
              <w:t>5</w:t>
            </w:r>
            <w:r>
              <w:rPr>
                <w:rFonts w:hint="eastAsia" w:asciiTheme="minorEastAsia" w:hAnsiTheme="minorEastAsia"/>
                <w:b/>
                <w:bCs/>
                <w:color w:val="auto"/>
                <w:szCs w:val="21"/>
                <w:highlight w:val="none"/>
              </w:rPr>
              <w:t>、</w:t>
            </w:r>
            <w:r>
              <w:rPr>
                <w:rFonts w:hint="eastAsia" w:cs="宋体" w:asciiTheme="minorEastAsia" w:hAnsiTheme="minorEastAsia"/>
                <w:b/>
                <w:bCs/>
                <w:color w:val="auto"/>
                <w:szCs w:val="21"/>
                <w:highlight w:val="none"/>
              </w:rPr>
              <w:t>备</w:t>
            </w:r>
            <w:r>
              <w:rPr>
                <w:rFonts w:hint="eastAsia" w:cs="Yu Gothic" w:asciiTheme="minorEastAsia" w:hAnsiTheme="minorEastAsia"/>
                <w:b/>
                <w:bCs/>
                <w:color w:val="auto"/>
                <w:szCs w:val="21"/>
                <w:highlight w:val="none"/>
              </w:rPr>
              <w:t>件管理系</w:t>
            </w:r>
            <w:r>
              <w:rPr>
                <w:rFonts w:hint="eastAsia" w:cs="宋体" w:asciiTheme="minorEastAsia" w:hAnsiTheme="minorEastAsia"/>
                <w:b/>
                <w:bCs/>
                <w:color w:val="auto"/>
                <w:szCs w:val="21"/>
                <w:highlight w:val="none"/>
              </w:rPr>
              <w:t>统</w:t>
            </w:r>
          </w:p>
          <w:p>
            <w:pPr>
              <w:spacing w:line="276" w:lineRule="auto"/>
              <w:rPr>
                <w:rFonts w:cs="Yu Gothic" w:asciiTheme="minorEastAsia" w:hAnsiTheme="minorEastAsia"/>
                <w:color w:val="auto"/>
                <w:szCs w:val="21"/>
                <w:highlight w:val="none"/>
              </w:rPr>
            </w:pPr>
            <w:r>
              <w:rPr>
                <w:rFonts w:hint="eastAsia" w:cs="宋体" w:asciiTheme="minorEastAsia" w:hAnsiTheme="minorEastAsia"/>
                <w:color w:val="auto"/>
                <w:szCs w:val="21"/>
                <w:highlight w:val="none"/>
              </w:rPr>
              <w:t>该</w:t>
            </w:r>
            <w:r>
              <w:rPr>
                <w:rFonts w:hint="eastAsia" w:cs="Yu Gothic" w:asciiTheme="minorEastAsia" w:hAnsiTheme="minorEastAsia"/>
                <w:color w:val="auto"/>
                <w:szCs w:val="21"/>
                <w:highlight w:val="none"/>
              </w:rPr>
              <w:t>系</w:t>
            </w:r>
            <w:r>
              <w:rPr>
                <w:rFonts w:hint="eastAsia" w:cs="宋体" w:asciiTheme="minorEastAsia" w:hAnsiTheme="minorEastAsia"/>
                <w:color w:val="auto"/>
                <w:szCs w:val="21"/>
                <w:highlight w:val="none"/>
              </w:rPr>
              <w:t>统实现对备</w:t>
            </w:r>
            <w:r>
              <w:rPr>
                <w:rFonts w:hint="eastAsia" w:cs="Yu Gothic" w:asciiTheme="minorEastAsia" w:hAnsiTheme="minorEastAsia"/>
                <w:color w:val="auto"/>
                <w:szCs w:val="21"/>
                <w:highlight w:val="none"/>
              </w:rPr>
              <w:t>品</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件的管理，包括：</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件的分类、</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件档案、</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件的申</w:t>
            </w:r>
            <w:r>
              <w:rPr>
                <w:rFonts w:hint="eastAsia" w:cs="宋体" w:asciiTheme="minorEastAsia" w:hAnsiTheme="minorEastAsia"/>
                <w:color w:val="auto"/>
                <w:szCs w:val="21"/>
                <w:highlight w:val="none"/>
              </w:rPr>
              <w:t>请</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件的</w:t>
            </w:r>
            <w:r>
              <w:rPr>
                <w:rFonts w:hint="eastAsia" w:cs="宋体" w:asciiTheme="minorEastAsia" w:hAnsiTheme="minorEastAsia"/>
                <w:color w:val="auto"/>
                <w:szCs w:val="21"/>
                <w:highlight w:val="none"/>
              </w:rPr>
              <w:t>领</w:t>
            </w:r>
            <w:r>
              <w:rPr>
                <w:rFonts w:hint="eastAsia" w:cs="Yu Gothic" w:asciiTheme="minorEastAsia" w:hAnsiTheme="minorEastAsia"/>
                <w:color w:val="auto"/>
                <w:szCs w:val="21"/>
                <w:highlight w:val="none"/>
              </w:rPr>
              <w:t>用、</w:t>
            </w:r>
            <w:r>
              <w:rPr>
                <w:rFonts w:hint="eastAsia" w:cs="宋体" w:asciiTheme="minorEastAsia" w:hAnsiTheme="minorEastAsia"/>
                <w:color w:val="auto"/>
                <w:szCs w:val="21"/>
                <w:highlight w:val="none"/>
              </w:rPr>
              <w:t>备</w:t>
            </w:r>
            <w:r>
              <w:rPr>
                <w:rFonts w:hint="eastAsia" w:asciiTheme="minorEastAsia" w:hAnsiTheme="minorEastAsia"/>
                <w:color w:val="auto"/>
                <w:szCs w:val="21"/>
                <w:highlight w:val="none"/>
              </w:rPr>
              <w:t>件</w:t>
            </w:r>
            <w:r>
              <w:rPr>
                <w:rFonts w:hint="eastAsia" w:cs="宋体" w:asciiTheme="minorEastAsia" w:hAnsiTheme="minorEastAsia"/>
                <w:color w:val="auto"/>
                <w:szCs w:val="21"/>
                <w:highlight w:val="none"/>
              </w:rPr>
              <w:t>库</w:t>
            </w:r>
            <w:r>
              <w:rPr>
                <w:rFonts w:hint="eastAsia" w:cs="Yu Gothic" w:asciiTheme="minorEastAsia" w:hAnsiTheme="minorEastAsia"/>
                <w:color w:val="auto"/>
                <w:szCs w:val="21"/>
                <w:highlight w:val="none"/>
              </w:rPr>
              <w:t>存、</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件的</w:t>
            </w:r>
            <w:r>
              <w:rPr>
                <w:rFonts w:hint="eastAsia" w:cs="宋体" w:asciiTheme="minorEastAsia" w:hAnsiTheme="minorEastAsia"/>
                <w:color w:val="auto"/>
                <w:szCs w:val="21"/>
                <w:highlight w:val="none"/>
              </w:rPr>
              <w:t>统计</w:t>
            </w:r>
            <w:r>
              <w:rPr>
                <w:rFonts w:hint="eastAsia" w:cs="Yu Gothic" w:asciiTheme="minorEastAsia" w:hAnsiTheme="minorEastAsia"/>
                <w:color w:val="auto"/>
                <w:szCs w:val="21"/>
                <w:highlight w:val="none"/>
              </w:rPr>
              <w:t>，能够通</w:t>
            </w:r>
            <w:r>
              <w:rPr>
                <w:rFonts w:hint="eastAsia" w:cs="宋体" w:asciiTheme="minorEastAsia" w:hAnsiTheme="minorEastAsia"/>
                <w:color w:val="auto"/>
                <w:szCs w:val="21"/>
                <w:highlight w:val="none"/>
              </w:rPr>
              <w:t>过</w:t>
            </w:r>
            <w:r>
              <w:rPr>
                <w:rFonts w:hint="eastAsia" w:cs="Yu Gothic" w:asciiTheme="minorEastAsia" w:hAnsiTheme="minorEastAsia"/>
                <w:color w:val="auto"/>
                <w:szCs w:val="21"/>
                <w:highlight w:val="none"/>
              </w:rPr>
              <w:t>手机</w:t>
            </w:r>
            <w:r>
              <w:rPr>
                <w:rFonts w:hint="eastAsia" w:cs="宋体" w:asciiTheme="minorEastAsia" w:hAnsiTheme="minorEastAsia"/>
                <w:color w:val="auto"/>
                <w:szCs w:val="21"/>
                <w:highlight w:val="none"/>
              </w:rPr>
              <w:t>实时查询</w:t>
            </w:r>
            <w:r>
              <w:rPr>
                <w:rFonts w:hint="eastAsia" w:cs="Yu Gothic" w:asciiTheme="minorEastAsia" w:hAnsiTheme="minorEastAsia"/>
                <w:color w:val="auto"/>
                <w:szCs w:val="21"/>
                <w:highlight w:val="none"/>
              </w:rPr>
              <w:t>到</w:t>
            </w:r>
            <w:r>
              <w:rPr>
                <w:rFonts w:hint="eastAsia" w:cs="宋体" w:asciiTheme="minorEastAsia" w:hAnsiTheme="minorEastAsia"/>
                <w:color w:val="auto"/>
                <w:szCs w:val="21"/>
                <w:highlight w:val="none"/>
              </w:rPr>
              <w:t>备</w:t>
            </w:r>
            <w:r>
              <w:rPr>
                <w:rFonts w:hint="eastAsia" w:cs="Yu Gothic" w:asciiTheme="minorEastAsia" w:hAnsiTheme="minorEastAsia"/>
                <w:color w:val="auto"/>
                <w:szCs w:val="21"/>
                <w:highlight w:val="none"/>
              </w:rPr>
              <w:t>件的</w:t>
            </w:r>
            <w:r>
              <w:rPr>
                <w:rFonts w:hint="eastAsia" w:cs="宋体" w:asciiTheme="minorEastAsia" w:hAnsiTheme="minorEastAsia"/>
                <w:color w:val="auto"/>
                <w:szCs w:val="21"/>
                <w:highlight w:val="none"/>
              </w:rPr>
              <w:t>库</w:t>
            </w:r>
            <w:r>
              <w:rPr>
                <w:rFonts w:hint="eastAsia" w:cs="Yu Gothic" w:asciiTheme="minorEastAsia" w:hAnsiTheme="minorEastAsia"/>
                <w:color w:val="auto"/>
                <w:szCs w:val="21"/>
                <w:highlight w:val="none"/>
              </w:rPr>
              <w:t>存数量等。</w:t>
            </w:r>
          </w:p>
          <w:p>
            <w:pPr>
              <w:spacing w:line="276" w:lineRule="auto"/>
              <w:rPr>
                <w:rFonts w:asciiTheme="minorEastAsia" w:hAnsiTheme="minorEastAsia"/>
                <w:b/>
                <w:bCs/>
                <w:color w:val="auto"/>
                <w:szCs w:val="21"/>
                <w:highlight w:val="none"/>
              </w:rPr>
            </w:pPr>
            <w:r>
              <w:rPr>
                <w:rFonts w:asciiTheme="minorEastAsia" w:hAnsiTheme="minorEastAsia"/>
                <w:b/>
                <w:bCs/>
                <w:color w:val="auto"/>
                <w:szCs w:val="21"/>
                <w:highlight w:val="none"/>
              </w:rPr>
              <w:t>6</w:t>
            </w:r>
            <w:r>
              <w:rPr>
                <w:rFonts w:hint="eastAsia" w:asciiTheme="minorEastAsia" w:hAnsiTheme="minorEastAsia"/>
                <w:b/>
                <w:bCs/>
                <w:color w:val="auto"/>
                <w:szCs w:val="21"/>
                <w:highlight w:val="none"/>
              </w:rPr>
              <w:t>、知</w:t>
            </w:r>
            <w:r>
              <w:rPr>
                <w:rFonts w:hint="eastAsia" w:cs="宋体" w:asciiTheme="minorEastAsia" w:hAnsiTheme="minorEastAsia"/>
                <w:b/>
                <w:bCs/>
                <w:color w:val="auto"/>
                <w:szCs w:val="21"/>
                <w:highlight w:val="none"/>
              </w:rPr>
              <w:t>识</w:t>
            </w:r>
            <w:r>
              <w:rPr>
                <w:rFonts w:hint="eastAsia" w:cs="Yu Gothic" w:asciiTheme="minorEastAsia" w:hAnsiTheme="minorEastAsia"/>
                <w:b/>
                <w:bCs/>
                <w:color w:val="auto"/>
                <w:szCs w:val="21"/>
                <w:highlight w:val="none"/>
              </w:rPr>
              <w:t>管理系</w:t>
            </w:r>
            <w:r>
              <w:rPr>
                <w:rFonts w:hint="eastAsia" w:cs="宋体" w:asciiTheme="minorEastAsia" w:hAnsiTheme="minorEastAsia"/>
                <w:b/>
                <w:bCs/>
                <w:color w:val="auto"/>
                <w:szCs w:val="21"/>
                <w:highlight w:val="none"/>
              </w:rPr>
              <w:t>统</w:t>
            </w:r>
          </w:p>
          <w:p>
            <w:pPr>
              <w:spacing w:line="276" w:lineRule="auto"/>
              <w:rPr>
                <w:rFonts w:cs="Yu Gothic" w:asciiTheme="minorEastAsia" w:hAnsiTheme="minorEastAsia"/>
                <w:color w:val="auto"/>
                <w:szCs w:val="21"/>
                <w:highlight w:val="none"/>
              </w:rPr>
            </w:pPr>
            <w:r>
              <w:rPr>
                <w:rFonts w:hint="eastAsia" w:cs="宋体" w:asciiTheme="minorEastAsia" w:hAnsiTheme="minorEastAsia"/>
                <w:color w:val="auto"/>
                <w:szCs w:val="21"/>
                <w:highlight w:val="none"/>
              </w:rPr>
              <w:t>该</w:t>
            </w:r>
            <w:r>
              <w:rPr>
                <w:rFonts w:hint="eastAsia" w:cs="Yu Gothic" w:asciiTheme="minorEastAsia" w:hAnsiTheme="minorEastAsia"/>
                <w:color w:val="auto"/>
                <w:szCs w:val="21"/>
                <w:highlight w:val="none"/>
              </w:rPr>
              <w:t>系</w:t>
            </w:r>
            <w:r>
              <w:rPr>
                <w:rFonts w:hint="eastAsia" w:cs="宋体" w:asciiTheme="minorEastAsia" w:hAnsiTheme="minorEastAsia"/>
                <w:color w:val="auto"/>
                <w:szCs w:val="21"/>
                <w:highlight w:val="none"/>
              </w:rPr>
              <w:t>统实现对</w:t>
            </w:r>
            <w:r>
              <w:rPr>
                <w:rFonts w:hint="eastAsia" w:cs="Yu Gothic" w:asciiTheme="minorEastAsia" w:hAnsiTheme="minorEastAsia"/>
                <w:color w:val="auto"/>
                <w:szCs w:val="21"/>
                <w:highlight w:val="none"/>
              </w:rPr>
              <w:t>售后服</w:t>
            </w:r>
            <w:r>
              <w:rPr>
                <w:rFonts w:hint="eastAsia" w:cs="宋体" w:asciiTheme="minorEastAsia" w:hAnsiTheme="minorEastAsia"/>
                <w:color w:val="auto"/>
                <w:szCs w:val="21"/>
                <w:highlight w:val="none"/>
              </w:rPr>
              <w:t>务业务</w:t>
            </w:r>
            <w:r>
              <w:rPr>
                <w:rFonts w:hint="eastAsia" w:cs="Yu Gothic" w:asciiTheme="minorEastAsia" w:hAnsiTheme="minorEastAsia"/>
                <w:color w:val="auto"/>
                <w:szCs w:val="21"/>
                <w:highlight w:val="none"/>
              </w:rPr>
              <w:t>的知</w:t>
            </w:r>
            <w:r>
              <w:rPr>
                <w:rFonts w:hint="eastAsia" w:cs="宋体" w:asciiTheme="minorEastAsia" w:hAnsiTheme="minorEastAsia"/>
                <w:color w:val="auto"/>
                <w:szCs w:val="21"/>
                <w:highlight w:val="none"/>
              </w:rPr>
              <w:t>识积</w:t>
            </w:r>
            <w:r>
              <w:rPr>
                <w:rFonts w:hint="eastAsia" w:cs="Yu Gothic" w:asciiTheme="minorEastAsia" w:hAnsiTheme="minorEastAsia"/>
                <w:color w:val="auto"/>
                <w:szCs w:val="21"/>
                <w:highlight w:val="none"/>
              </w:rPr>
              <w:t>累和知</w:t>
            </w:r>
            <w:r>
              <w:rPr>
                <w:rFonts w:hint="eastAsia" w:cs="宋体" w:asciiTheme="minorEastAsia" w:hAnsiTheme="minorEastAsia"/>
                <w:color w:val="auto"/>
                <w:szCs w:val="21"/>
                <w:highlight w:val="none"/>
              </w:rPr>
              <w:t>识</w:t>
            </w:r>
            <w:r>
              <w:rPr>
                <w:rFonts w:hint="eastAsia" w:cs="Yu Gothic" w:asciiTheme="minorEastAsia" w:hAnsiTheme="minorEastAsia"/>
                <w:color w:val="auto"/>
                <w:szCs w:val="21"/>
                <w:highlight w:val="none"/>
              </w:rPr>
              <w:t>管理，主要包括文件</w:t>
            </w:r>
            <w:r>
              <w:rPr>
                <w:rFonts w:hint="eastAsia" w:cs="宋体" w:asciiTheme="minorEastAsia" w:hAnsiTheme="minorEastAsia"/>
                <w:color w:val="auto"/>
                <w:szCs w:val="21"/>
                <w:highlight w:val="none"/>
              </w:rPr>
              <w:t>资</w:t>
            </w:r>
            <w:r>
              <w:rPr>
                <w:rFonts w:hint="eastAsia" w:cs="Yu Gothic" w:asciiTheme="minorEastAsia" w:hAnsiTheme="minorEastAsia"/>
                <w:color w:val="auto"/>
                <w:szCs w:val="21"/>
                <w:highlight w:val="none"/>
              </w:rPr>
              <w:t>料</w:t>
            </w:r>
            <w:r>
              <w:rPr>
                <w:rFonts w:hint="eastAsia" w:cs="宋体" w:asciiTheme="minorEastAsia" w:hAnsiTheme="minorEastAsia"/>
                <w:color w:val="auto"/>
                <w:szCs w:val="21"/>
                <w:highlight w:val="none"/>
              </w:rPr>
              <w:t>库</w:t>
            </w:r>
            <w:r>
              <w:rPr>
                <w:rFonts w:hint="eastAsia" w:cs="Yu Gothic" w:asciiTheme="minorEastAsia" w:hAnsiTheme="minorEastAsia"/>
                <w:color w:val="auto"/>
                <w:szCs w:val="21"/>
                <w:highlight w:val="none"/>
              </w:rPr>
              <w:t>的管理、故障</w:t>
            </w:r>
            <w:r>
              <w:rPr>
                <w:rFonts w:hint="eastAsia" w:cs="宋体" w:asciiTheme="minorEastAsia" w:hAnsiTheme="minorEastAsia"/>
                <w:color w:val="auto"/>
                <w:szCs w:val="21"/>
                <w:highlight w:val="none"/>
              </w:rPr>
              <w:t>库</w:t>
            </w:r>
            <w:r>
              <w:rPr>
                <w:rFonts w:hint="eastAsia" w:cs="Yu Gothic" w:asciiTheme="minorEastAsia" w:hAnsiTheme="minorEastAsia"/>
                <w:color w:val="auto"/>
                <w:szCs w:val="21"/>
                <w:highlight w:val="none"/>
              </w:rPr>
              <w:t>的管理等。</w:t>
            </w:r>
          </w:p>
          <w:p>
            <w:pPr>
              <w:spacing w:line="276" w:lineRule="auto"/>
              <w:rPr>
                <w:rFonts w:asciiTheme="minorEastAsia" w:hAnsiTheme="minorEastAsia"/>
                <w:b/>
                <w:bCs/>
                <w:color w:val="auto"/>
                <w:szCs w:val="21"/>
                <w:highlight w:val="none"/>
              </w:rPr>
            </w:pPr>
            <w:r>
              <w:rPr>
                <w:rFonts w:asciiTheme="minorEastAsia" w:hAnsiTheme="minorEastAsia"/>
                <w:b/>
                <w:bCs/>
                <w:color w:val="auto"/>
                <w:szCs w:val="21"/>
                <w:highlight w:val="none"/>
              </w:rPr>
              <w:t>7</w:t>
            </w:r>
            <w:r>
              <w:rPr>
                <w:rFonts w:hint="eastAsia" w:asciiTheme="minorEastAsia" w:hAnsiTheme="minorEastAsia"/>
                <w:b/>
                <w:bCs/>
                <w:color w:val="auto"/>
                <w:szCs w:val="21"/>
                <w:highlight w:val="none"/>
              </w:rPr>
              <w:t>、</w:t>
            </w:r>
            <w:r>
              <w:rPr>
                <w:rFonts w:hint="eastAsia" w:cs="宋体" w:asciiTheme="minorEastAsia" w:hAnsiTheme="minorEastAsia"/>
                <w:b/>
                <w:bCs/>
                <w:color w:val="auto"/>
                <w:szCs w:val="21"/>
                <w:highlight w:val="none"/>
              </w:rPr>
              <w:t>业务记录</w:t>
            </w:r>
            <w:r>
              <w:rPr>
                <w:rFonts w:hint="eastAsia" w:cs="Yu Gothic" w:asciiTheme="minorEastAsia" w:hAnsiTheme="minorEastAsia"/>
                <w:b/>
                <w:bCs/>
                <w:color w:val="auto"/>
                <w:szCs w:val="21"/>
                <w:highlight w:val="none"/>
              </w:rPr>
              <w:t>系</w:t>
            </w:r>
            <w:r>
              <w:rPr>
                <w:rFonts w:hint="eastAsia" w:cs="宋体" w:asciiTheme="minorEastAsia" w:hAnsiTheme="minorEastAsia"/>
                <w:b/>
                <w:bCs/>
                <w:color w:val="auto"/>
                <w:szCs w:val="21"/>
                <w:highlight w:val="none"/>
              </w:rPr>
              <w:t>统</w:t>
            </w:r>
          </w:p>
          <w:p>
            <w:pPr>
              <w:spacing w:line="276" w:lineRule="auto"/>
              <w:rPr>
                <w:rFonts w:asciiTheme="minorEastAsia" w:hAnsiTheme="minorEastAsia"/>
                <w:color w:val="auto"/>
                <w:szCs w:val="21"/>
                <w:highlight w:val="none"/>
              </w:rPr>
            </w:pPr>
            <w:r>
              <w:rPr>
                <w:rFonts w:hint="eastAsia" w:cs="宋体" w:asciiTheme="minorEastAsia" w:hAnsiTheme="minorEastAsia"/>
                <w:color w:val="auto"/>
                <w:szCs w:val="21"/>
                <w:highlight w:val="none"/>
              </w:rPr>
              <w:t>该</w:t>
            </w:r>
            <w:r>
              <w:rPr>
                <w:rFonts w:hint="eastAsia" w:cs="Yu Gothic" w:asciiTheme="minorEastAsia" w:hAnsiTheme="minorEastAsia"/>
                <w:color w:val="auto"/>
                <w:szCs w:val="21"/>
                <w:highlight w:val="none"/>
              </w:rPr>
              <w:t>子系</w:t>
            </w:r>
            <w:r>
              <w:rPr>
                <w:rFonts w:hint="eastAsia" w:cs="宋体" w:asciiTheme="minorEastAsia" w:hAnsiTheme="minorEastAsia"/>
                <w:color w:val="auto"/>
                <w:szCs w:val="21"/>
                <w:highlight w:val="none"/>
              </w:rPr>
              <w:t>统</w:t>
            </w:r>
            <w:r>
              <w:rPr>
                <w:rFonts w:hint="eastAsia" w:cs="Yu Gothic" w:asciiTheme="minorEastAsia" w:hAnsiTheme="minorEastAsia"/>
                <w:color w:val="auto"/>
                <w:szCs w:val="21"/>
                <w:highlight w:val="none"/>
              </w:rPr>
              <w:t>自</w:t>
            </w:r>
            <w:r>
              <w:rPr>
                <w:rFonts w:hint="eastAsia" w:cs="宋体" w:asciiTheme="minorEastAsia" w:hAnsiTheme="minorEastAsia"/>
                <w:color w:val="auto"/>
                <w:szCs w:val="21"/>
                <w:highlight w:val="none"/>
              </w:rPr>
              <w:t>动记录</w:t>
            </w:r>
            <w:r>
              <w:rPr>
                <w:rFonts w:hint="eastAsia" w:cs="Yu Gothic" w:asciiTheme="minorEastAsia" w:hAnsiTheme="minorEastAsia"/>
                <w:color w:val="auto"/>
                <w:szCs w:val="21"/>
                <w:highlight w:val="none"/>
              </w:rPr>
              <w:t>并</w:t>
            </w:r>
            <w:r>
              <w:rPr>
                <w:rFonts w:hint="eastAsia" w:cs="宋体" w:asciiTheme="minorEastAsia" w:hAnsiTheme="minorEastAsia"/>
                <w:color w:val="auto"/>
                <w:szCs w:val="21"/>
                <w:highlight w:val="none"/>
              </w:rPr>
              <w:t>归</w:t>
            </w:r>
            <w:r>
              <w:rPr>
                <w:rFonts w:hint="eastAsia" w:cs="Yu Gothic" w:asciiTheme="minorEastAsia" w:hAnsiTheme="minorEastAsia"/>
                <w:color w:val="auto"/>
                <w:szCs w:val="21"/>
                <w:highlight w:val="none"/>
              </w:rPr>
              <w:t>档所有的</w:t>
            </w:r>
            <w:r>
              <w:rPr>
                <w:rFonts w:hint="eastAsia" w:cs="宋体" w:asciiTheme="minorEastAsia" w:hAnsiTheme="minorEastAsia"/>
                <w:color w:val="auto"/>
                <w:szCs w:val="21"/>
                <w:highlight w:val="none"/>
              </w:rPr>
              <w:t>业务单</w:t>
            </w:r>
            <w:r>
              <w:rPr>
                <w:rFonts w:hint="eastAsia" w:cs="Yu Gothic" w:asciiTheme="minorEastAsia" w:hAnsiTheme="minorEastAsia"/>
                <w:color w:val="auto"/>
                <w:szCs w:val="21"/>
                <w:highlight w:val="none"/>
              </w:rPr>
              <w:t>据，包括：</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安装</w:t>
            </w:r>
            <w:r>
              <w:rPr>
                <w:rFonts w:hint="eastAsia" w:cs="宋体" w:asciiTheme="minorEastAsia" w:hAnsiTheme="minorEastAsia"/>
                <w:color w:val="auto"/>
                <w:szCs w:val="21"/>
                <w:highlight w:val="none"/>
              </w:rPr>
              <w:t>记录</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升</w:t>
            </w:r>
            <w:r>
              <w:rPr>
                <w:rFonts w:hint="eastAsia" w:cs="宋体" w:asciiTheme="minorEastAsia" w:hAnsiTheme="minorEastAsia"/>
                <w:color w:val="auto"/>
                <w:szCs w:val="21"/>
                <w:highlight w:val="none"/>
              </w:rPr>
              <w:t>级记录</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设备维</w:t>
            </w:r>
            <w:r>
              <w:rPr>
                <w:rFonts w:hint="eastAsia" w:cs="Yu Gothic" w:asciiTheme="minorEastAsia" w:hAnsiTheme="minorEastAsia"/>
                <w:color w:val="auto"/>
                <w:szCs w:val="21"/>
                <w:highlight w:val="none"/>
              </w:rPr>
              <w:t>修</w:t>
            </w:r>
            <w:r>
              <w:rPr>
                <w:rFonts w:hint="eastAsia" w:cs="宋体" w:asciiTheme="minorEastAsia" w:hAnsiTheme="minorEastAsia"/>
                <w:color w:val="auto"/>
                <w:szCs w:val="21"/>
                <w:highlight w:val="none"/>
              </w:rPr>
              <w:t>记录</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巡</w:t>
            </w:r>
            <w:r>
              <w:rPr>
                <w:rFonts w:hint="eastAsia" w:cs="宋体" w:asciiTheme="minorEastAsia" w:hAnsiTheme="minorEastAsia"/>
                <w:color w:val="auto"/>
                <w:szCs w:val="21"/>
                <w:highlight w:val="none"/>
              </w:rPr>
              <w:t>检记录</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保养</w:t>
            </w:r>
            <w:r>
              <w:rPr>
                <w:rFonts w:hint="eastAsia" w:cs="宋体" w:asciiTheme="minorEastAsia" w:hAnsiTheme="minorEastAsia"/>
                <w:color w:val="auto"/>
                <w:szCs w:val="21"/>
                <w:highlight w:val="none"/>
              </w:rPr>
              <w:t>记录</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设备检测记录</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w:t>
            </w:r>
            <w:r>
              <w:rPr>
                <w:rFonts w:hint="eastAsia" w:cs="Yu Gothic" w:asciiTheme="minorEastAsia" w:hAnsiTheme="minorEastAsia"/>
                <w:color w:val="auto"/>
                <w:szCs w:val="21"/>
                <w:highlight w:val="none"/>
              </w:rPr>
              <w:t>培</w:t>
            </w:r>
            <w:r>
              <w:rPr>
                <w:rFonts w:hint="eastAsia" w:cs="宋体" w:asciiTheme="minorEastAsia" w:hAnsiTheme="minorEastAsia"/>
                <w:color w:val="auto"/>
                <w:szCs w:val="21"/>
                <w:highlight w:val="none"/>
              </w:rPr>
              <w:t>训记录</w:t>
            </w:r>
            <w:r>
              <w:rPr>
                <w:rFonts w:hint="eastAsia" w:cs="Yu Gothic" w:asciiTheme="minorEastAsia" w:hAnsiTheme="minorEastAsia"/>
                <w:color w:val="auto"/>
                <w:szCs w:val="21"/>
                <w:highlight w:val="none"/>
              </w:rPr>
              <w:t>、用</w:t>
            </w:r>
            <w:r>
              <w:rPr>
                <w:rFonts w:hint="eastAsia" w:cs="宋体" w:asciiTheme="minorEastAsia" w:hAnsiTheme="minorEastAsia"/>
                <w:color w:val="auto"/>
                <w:szCs w:val="21"/>
                <w:highlight w:val="none"/>
              </w:rPr>
              <w:t>户</w:t>
            </w:r>
            <w:r>
              <w:rPr>
                <w:rFonts w:hint="eastAsia" w:cs="Yu Gothic" w:asciiTheme="minorEastAsia" w:hAnsiTheme="minorEastAsia"/>
                <w:color w:val="auto"/>
                <w:szCs w:val="21"/>
                <w:highlight w:val="none"/>
              </w:rPr>
              <w:t>投</w:t>
            </w:r>
            <w:r>
              <w:rPr>
                <w:rFonts w:hint="eastAsia" w:cs="宋体" w:asciiTheme="minorEastAsia" w:hAnsiTheme="minorEastAsia"/>
                <w:color w:val="auto"/>
                <w:szCs w:val="21"/>
                <w:highlight w:val="none"/>
              </w:rPr>
              <w:t>诉记录</w:t>
            </w:r>
            <w:r>
              <w:rPr>
                <w:rFonts w:hint="eastAsia" w:cs="Yu Gothic" w:asciiTheme="minorEastAsia" w:hAnsiTheme="minorEastAsia"/>
                <w:color w:val="auto"/>
                <w:szCs w:val="21"/>
                <w:highlight w:val="none"/>
              </w:rPr>
              <w:t>等等。</w:t>
            </w:r>
          </w:p>
          <w:p>
            <w:pPr>
              <w:spacing w:line="276" w:lineRule="auto"/>
              <w:rPr>
                <w:rFonts w:asciiTheme="minorEastAsia" w:hAnsiTheme="minorEastAsia"/>
                <w:b/>
                <w:bCs/>
                <w:color w:val="auto"/>
                <w:szCs w:val="21"/>
                <w:highlight w:val="none"/>
              </w:rPr>
            </w:pPr>
            <w:r>
              <w:rPr>
                <w:rFonts w:asciiTheme="minorEastAsia" w:hAnsiTheme="minorEastAsia"/>
                <w:b/>
                <w:bCs/>
                <w:color w:val="auto"/>
                <w:szCs w:val="21"/>
                <w:highlight w:val="none"/>
              </w:rPr>
              <w:t>8</w:t>
            </w:r>
            <w:r>
              <w:rPr>
                <w:rFonts w:hint="eastAsia" w:asciiTheme="minorEastAsia" w:hAnsiTheme="minorEastAsia"/>
                <w:b/>
                <w:bCs/>
                <w:color w:val="auto"/>
                <w:szCs w:val="21"/>
                <w:highlight w:val="none"/>
              </w:rPr>
              <w:t>、</w:t>
            </w:r>
            <w:r>
              <w:rPr>
                <w:rFonts w:hint="eastAsia" w:cs="宋体" w:asciiTheme="minorEastAsia" w:hAnsiTheme="minorEastAsia"/>
                <w:b/>
                <w:bCs/>
                <w:color w:val="auto"/>
                <w:szCs w:val="21"/>
                <w:highlight w:val="none"/>
              </w:rPr>
              <w:t>统计</w:t>
            </w:r>
            <w:r>
              <w:rPr>
                <w:rFonts w:hint="eastAsia" w:cs="Yu Gothic" w:asciiTheme="minorEastAsia" w:hAnsiTheme="minorEastAsia"/>
                <w:b/>
                <w:bCs/>
                <w:color w:val="auto"/>
                <w:szCs w:val="21"/>
                <w:highlight w:val="none"/>
              </w:rPr>
              <w:t>分析系</w:t>
            </w:r>
            <w:r>
              <w:rPr>
                <w:rFonts w:hint="eastAsia" w:cs="宋体" w:asciiTheme="minorEastAsia" w:hAnsiTheme="minorEastAsia"/>
                <w:b/>
                <w:bCs/>
                <w:color w:val="auto"/>
                <w:szCs w:val="21"/>
                <w:highlight w:val="none"/>
              </w:rPr>
              <w:t>统</w:t>
            </w:r>
          </w:p>
          <w:p>
            <w:pPr>
              <w:spacing w:line="276" w:lineRule="auto"/>
              <w:rPr>
                <w:rFonts w:cs="Yu Gothic" w:asciiTheme="minorEastAsia" w:hAnsiTheme="minorEastAsia"/>
                <w:color w:val="auto"/>
                <w:szCs w:val="21"/>
                <w:highlight w:val="none"/>
              </w:rPr>
            </w:pPr>
            <w:r>
              <w:rPr>
                <w:rFonts w:hint="eastAsia" w:cs="宋体" w:asciiTheme="minorEastAsia" w:hAnsiTheme="minorEastAsia"/>
                <w:color w:val="auto"/>
                <w:szCs w:val="21"/>
                <w:highlight w:val="none"/>
              </w:rPr>
              <w:t>该</w:t>
            </w:r>
            <w:r>
              <w:rPr>
                <w:rFonts w:hint="eastAsia" w:cs="Yu Gothic" w:asciiTheme="minorEastAsia" w:hAnsiTheme="minorEastAsia"/>
                <w:color w:val="auto"/>
                <w:szCs w:val="21"/>
                <w:highlight w:val="none"/>
              </w:rPr>
              <w:t>系</w:t>
            </w:r>
            <w:r>
              <w:rPr>
                <w:rFonts w:hint="eastAsia" w:cs="宋体" w:asciiTheme="minorEastAsia" w:hAnsiTheme="minorEastAsia"/>
                <w:color w:val="auto"/>
                <w:szCs w:val="21"/>
                <w:highlight w:val="none"/>
              </w:rPr>
              <w:t>统实现对</w:t>
            </w:r>
            <w:r>
              <w:rPr>
                <w:rFonts w:hint="eastAsia" w:cs="Yu Gothic" w:asciiTheme="minorEastAsia" w:hAnsiTheme="minorEastAsia"/>
                <w:color w:val="auto"/>
                <w:szCs w:val="21"/>
                <w:highlight w:val="none"/>
              </w:rPr>
              <w:t>售后服</w:t>
            </w:r>
            <w:r>
              <w:rPr>
                <w:rFonts w:hint="eastAsia" w:cs="宋体" w:asciiTheme="minorEastAsia" w:hAnsiTheme="minorEastAsia"/>
                <w:color w:val="auto"/>
                <w:szCs w:val="21"/>
                <w:highlight w:val="none"/>
              </w:rPr>
              <w:t>务</w:t>
            </w:r>
            <w:r>
              <w:rPr>
                <w:rFonts w:hint="eastAsia" w:cs="Yu Gothic" w:asciiTheme="minorEastAsia" w:hAnsiTheme="minorEastAsia"/>
                <w:color w:val="auto"/>
                <w:szCs w:val="21"/>
                <w:highlight w:val="none"/>
              </w:rPr>
              <w:t>管理的工作</w:t>
            </w:r>
            <w:r>
              <w:rPr>
                <w:rFonts w:hint="eastAsia" w:cs="宋体" w:asciiTheme="minorEastAsia" w:hAnsiTheme="minorEastAsia"/>
                <w:color w:val="auto"/>
                <w:szCs w:val="21"/>
                <w:highlight w:val="none"/>
              </w:rPr>
              <w:t>统计</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录</w:t>
            </w:r>
            <w:r>
              <w:rPr>
                <w:rFonts w:hint="eastAsia" w:cs="Yu Gothic" w:asciiTheme="minorEastAsia" w:hAnsiTheme="minorEastAsia"/>
                <w:color w:val="auto"/>
                <w:szCs w:val="21"/>
                <w:highlight w:val="none"/>
              </w:rPr>
              <w:t>入工作量的</w:t>
            </w:r>
            <w:r>
              <w:rPr>
                <w:rFonts w:hint="eastAsia" w:cs="宋体" w:asciiTheme="minorEastAsia" w:hAnsiTheme="minorEastAsia"/>
                <w:color w:val="auto"/>
                <w:szCs w:val="21"/>
                <w:highlight w:val="none"/>
              </w:rPr>
              <w:t>统计</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设备维</w:t>
            </w:r>
            <w:r>
              <w:rPr>
                <w:rFonts w:hint="eastAsia" w:cs="Yu Gothic" w:asciiTheme="minorEastAsia" w:hAnsiTheme="minorEastAsia"/>
                <w:color w:val="auto"/>
                <w:szCs w:val="21"/>
                <w:highlight w:val="none"/>
              </w:rPr>
              <w:t>修情况</w:t>
            </w:r>
            <w:r>
              <w:rPr>
                <w:rFonts w:hint="eastAsia" w:cs="宋体" w:asciiTheme="minorEastAsia" w:hAnsiTheme="minorEastAsia"/>
                <w:color w:val="auto"/>
                <w:szCs w:val="21"/>
                <w:highlight w:val="none"/>
              </w:rPr>
              <w:t>统计</w:t>
            </w:r>
            <w:r>
              <w:rPr>
                <w:rFonts w:hint="eastAsia" w:cs="Yu Gothic" w:asciiTheme="minorEastAsia" w:hAnsiTheme="minorEastAsia"/>
                <w:color w:val="auto"/>
                <w:szCs w:val="21"/>
                <w:highlight w:val="none"/>
              </w:rPr>
              <w:t>、</w:t>
            </w:r>
            <w:r>
              <w:rPr>
                <w:rFonts w:hint="eastAsia" w:cs="宋体" w:asciiTheme="minorEastAsia" w:hAnsiTheme="minorEastAsia"/>
                <w:color w:val="auto"/>
                <w:szCs w:val="21"/>
                <w:highlight w:val="none"/>
              </w:rPr>
              <w:t>费</w:t>
            </w:r>
            <w:r>
              <w:rPr>
                <w:rFonts w:hint="eastAsia" w:cs="Yu Gothic" w:asciiTheme="minorEastAsia" w:hAnsiTheme="minorEastAsia"/>
                <w:color w:val="auto"/>
                <w:szCs w:val="21"/>
                <w:highlight w:val="none"/>
              </w:rPr>
              <w:t>用情况</w:t>
            </w:r>
            <w:r>
              <w:rPr>
                <w:rFonts w:hint="eastAsia" w:cs="宋体" w:asciiTheme="minorEastAsia" w:hAnsiTheme="minorEastAsia"/>
                <w:color w:val="auto"/>
                <w:szCs w:val="21"/>
                <w:highlight w:val="none"/>
              </w:rPr>
              <w:t>统计</w:t>
            </w:r>
            <w:r>
              <w:rPr>
                <w:rFonts w:hint="eastAsia" w:cs="Yu Gothic" w:asciiTheme="minorEastAsia" w:hAnsiTheme="minorEastAsia"/>
                <w:color w:val="auto"/>
                <w:szCs w:val="21"/>
                <w:highlight w:val="none"/>
              </w:rPr>
              <w:t>等。</w:t>
            </w:r>
          </w:p>
          <w:p>
            <w:pPr>
              <w:spacing w:line="276" w:lineRule="auto"/>
              <w:rPr>
                <w:rFonts w:cs="Yu Gothic" w:asciiTheme="minorEastAsia" w:hAnsiTheme="minorEastAsia"/>
                <w:color w:val="auto"/>
                <w:szCs w:val="21"/>
                <w:highlight w:val="none"/>
              </w:rPr>
            </w:pPr>
            <w:r>
              <w:rPr>
                <w:rFonts w:hint="eastAsia" w:asciiTheme="minorEastAsia" w:hAnsiTheme="minorEastAsia"/>
                <w:bCs/>
                <w:color w:val="auto"/>
                <w:szCs w:val="21"/>
                <w:highlight w:val="none"/>
              </w:rPr>
              <w:t>★</w:t>
            </w:r>
            <w:r>
              <w:rPr>
                <w:rFonts w:hint="eastAsia" w:cs="Yu Gothic" w:asciiTheme="minorEastAsia" w:hAnsiTheme="minorEastAsia"/>
                <w:color w:val="auto"/>
                <w:szCs w:val="21"/>
                <w:highlight w:val="none"/>
              </w:rPr>
              <w:t>其它要求：</w:t>
            </w:r>
          </w:p>
          <w:p>
            <w:pPr>
              <w:spacing w:line="276" w:lineRule="auto"/>
              <w:rPr>
                <w:rFonts w:asciiTheme="minorEastAsia" w:hAnsiTheme="minorEastAsia"/>
                <w:bCs/>
                <w:color w:val="auto"/>
                <w:szCs w:val="21"/>
                <w:highlight w:val="none"/>
              </w:rPr>
            </w:pPr>
            <w:r>
              <w:rPr>
                <w:rFonts w:hint="eastAsia" w:cs="Yu Gothic" w:asciiTheme="minorEastAsia" w:hAnsiTheme="minorEastAsia"/>
                <w:color w:val="auto"/>
                <w:szCs w:val="21"/>
                <w:highlight w:val="none"/>
              </w:rPr>
              <w:t>1、为保证软件正版及后期免费升级，</w:t>
            </w:r>
            <w:r>
              <w:rPr>
                <w:rFonts w:hint="eastAsia" w:asciiTheme="minorEastAsia" w:hAnsiTheme="minorEastAsia"/>
                <w:bCs/>
                <w:color w:val="auto"/>
                <w:szCs w:val="21"/>
                <w:highlight w:val="none"/>
              </w:rPr>
              <w:t>提供国家版权局颁发的“设备报修服务平台”软件著作权（复印件，</w:t>
            </w:r>
            <w:r>
              <w:rPr>
                <w:rFonts w:hint="eastAsia" w:asciiTheme="minorEastAsia" w:hAnsiTheme="minorEastAsia"/>
                <w:bCs/>
                <w:color w:val="auto"/>
                <w:szCs w:val="21"/>
                <w:highlight w:val="none"/>
                <w:lang w:eastAsia="zh-CN"/>
              </w:rPr>
              <w:t>签订合同时需提供</w:t>
            </w:r>
            <w:r>
              <w:rPr>
                <w:rFonts w:hint="eastAsia" w:asciiTheme="minorEastAsia" w:hAnsiTheme="minorEastAsia"/>
                <w:bCs/>
                <w:color w:val="auto"/>
                <w:szCs w:val="21"/>
                <w:highlight w:val="none"/>
              </w:rPr>
              <w:t>原件</w:t>
            </w:r>
            <w:r>
              <w:rPr>
                <w:rFonts w:hint="eastAsia" w:asciiTheme="minorEastAsia" w:hAnsiTheme="minorEastAsia"/>
                <w:bCs/>
                <w:color w:val="auto"/>
                <w:szCs w:val="21"/>
                <w:highlight w:val="none"/>
                <w:lang w:eastAsia="zh-CN"/>
              </w:rPr>
              <w:t>核查</w:t>
            </w:r>
            <w:r>
              <w:rPr>
                <w:rFonts w:hint="eastAsia" w:asciiTheme="minorEastAsia" w:hAnsiTheme="minorEastAsia"/>
                <w:bCs/>
                <w:color w:val="auto"/>
                <w:szCs w:val="21"/>
                <w:highlight w:val="none"/>
              </w:rPr>
              <w:t>）。</w:t>
            </w:r>
          </w:p>
          <w:p>
            <w:pPr>
              <w:spacing w:line="276" w:lineRule="auto"/>
              <w:rPr>
                <w:rFonts w:asciiTheme="minorEastAsia" w:hAnsiTheme="minorEastAsia"/>
                <w:color w:val="auto"/>
                <w:szCs w:val="21"/>
                <w:highlight w:val="none"/>
              </w:rPr>
            </w:pPr>
            <w:r>
              <w:rPr>
                <w:rFonts w:hint="eastAsia" w:asciiTheme="minorEastAsia" w:hAnsiTheme="minorEastAsia"/>
                <w:bCs/>
                <w:color w:val="auto"/>
                <w:szCs w:val="21"/>
                <w:highlight w:val="none"/>
              </w:rPr>
              <w:t>2、签定合同前演示设备报修服务平台软件的所有功能，未完全满足功能要求的均视为虚假应标处理并根据政府采购法等相关法律法规要求追究法律责任。</w:t>
            </w:r>
          </w:p>
        </w:tc>
        <w:tc>
          <w:tcPr>
            <w:tcW w:w="698"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套</w:t>
            </w:r>
          </w:p>
        </w:tc>
        <w:tc>
          <w:tcPr>
            <w:tcW w:w="1003"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69</w:t>
            </w:r>
          </w:p>
        </w:tc>
        <w:tc>
          <w:tcPr>
            <w:tcW w:w="851" w:type="dxa"/>
            <w:vAlign w:val="center"/>
          </w:tcPr>
          <w:p>
            <w:pPr>
              <w:jc w:val="center"/>
              <w:rPr>
                <w:rFonts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1" w:type="dxa"/>
            <w:gridSpan w:val="6"/>
            <w:vAlign w:val="center"/>
          </w:tcPr>
          <w:p>
            <w:pPr>
              <w:jc w:val="left"/>
              <w:rPr>
                <w:rFonts w:asciiTheme="minorEastAsia" w:hAnsiTheme="minorEastAsia"/>
                <w:color w:val="auto"/>
                <w:szCs w:val="21"/>
                <w:highlight w:val="none"/>
              </w:rPr>
            </w:pPr>
            <w:r>
              <w:rPr>
                <w:rFonts w:hint="eastAsia" w:asciiTheme="minorEastAsia" w:hAnsiTheme="minorEastAsia"/>
                <w:color w:val="auto"/>
                <w:szCs w:val="21"/>
                <w:highlight w:val="none"/>
              </w:rPr>
              <w:t>商务条款：</w:t>
            </w:r>
          </w:p>
          <w:p>
            <w:pPr>
              <w:pStyle w:val="146"/>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一、基本要求：</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、交付使用时间：签订合同之日起15个工作日内交货、安装调试完毕并交付使用。</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、交货地点：按照采购方指定地点。</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、质保期：按国家有关产品“三包”规定执行“三包”，除每项货物特别注明外，其余质保期不得少于一年。</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、付款方式：</w:t>
            </w:r>
            <w:r>
              <w:rPr>
                <w:rFonts w:hint="eastAsia" w:cs="宋体" w:asciiTheme="minorEastAsia" w:hAnsiTheme="minorEastAsia" w:eastAsiaTheme="minorEastAsia"/>
                <w:color w:val="auto"/>
                <w:szCs w:val="21"/>
                <w:highlight w:val="none"/>
              </w:rPr>
              <w:t>项目验收后</w:t>
            </w:r>
            <w:r>
              <w:rPr>
                <w:rFonts w:cs="宋体" w:asciiTheme="minorEastAsia" w:hAnsiTheme="minorEastAsia" w:eastAsiaTheme="minorEastAsia"/>
                <w:color w:val="auto"/>
                <w:szCs w:val="21"/>
                <w:highlight w:val="none"/>
              </w:rPr>
              <w:t>15</w:t>
            </w:r>
            <w:r>
              <w:rPr>
                <w:rFonts w:hint="eastAsia" w:cs="宋体" w:asciiTheme="minorEastAsia" w:hAnsiTheme="minorEastAsia" w:eastAsiaTheme="minorEastAsia"/>
                <w:color w:val="auto"/>
                <w:szCs w:val="21"/>
                <w:highlight w:val="none"/>
              </w:rPr>
              <w:t>天内支付</w:t>
            </w:r>
            <w:r>
              <w:rPr>
                <w:rFonts w:cs="宋体" w:asciiTheme="minorEastAsia" w:hAnsiTheme="minorEastAsia" w:eastAsiaTheme="minorEastAsia"/>
                <w:color w:val="auto"/>
                <w:szCs w:val="21"/>
                <w:highlight w:val="none"/>
              </w:rPr>
              <w:t>97%</w:t>
            </w:r>
            <w:r>
              <w:rPr>
                <w:rFonts w:hint="eastAsia" w:cs="宋体" w:asciiTheme="minorEastAsia" w:hAnsiTheme="minorEastAsia" w:eastAsiaTheme="minorEastAsia"/>
                <w:color w:val="auto"/>
                <w:szCs w:val="21"/>
                <w:highlight w:val="none"/>
              </w:rPr>
              <w:t>合同款；保质期达</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年后，</w:t>
            </w:r>
            <w:r>
              <w:rPr>
                <w:rFonts w:cs="宋体" w:asciiTheme="minorEastAsia" w:hAnsiTheme="minorEastAsia" w:eastAsiaTheme="minorEastAsia"/>
                <w:color w:val="auto"/>
                <w:szCs w:val="21"/>
                <w:highlight w:val="none"/>
              </w:rPr>
              <w:t>15</w:t>
            </w:r>
            <w:r>
              <w:rPr>
                <w:rFonts w:hint="eastAsia" w:cs="宋体" w:asciiTheme="minorEastAsia" w:hAnsiTheme="minorEastAsia" w:eastAsiaTheme="minorEastAsia"/>
                <w:color w:val="auto"/>
                <w:szCs w:val="21"/>
                <w:highlight w:val="none"/>
              </w:rPr>
              <w:t>天内支付剩余</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合同款。</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、故障响应：接到故障通知后，</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小时内做出响应，</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小时内到达现场提供服务。保修期内产品出现故障，成交供应商免费为采购人提供服务并承担一切费用，保修期外发生维修只收取材料成本费。</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、要求投标设备必须是全新的、满足本项目需求的原厂正品。</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、免费送货上门，免费现场安装调试至验收合格，免费对具体使用单位的操作人员进行技术培训，在安装调试过程也应让操作人员共同参与，现场培训。培训费用由成交人负担。</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、投标人报价必须充分考虑货物运输费、搬运费、临时放置仓库保管费、货物看守人员工资、押送人员工资及安装调试等一切费用。</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、以上配置参数要求为“必须”的或标注“★”的条款项为重要技术参数，投标人必须满足，否则投标无效。</w:t>
            </w:r>
          </w:p>
          <w:p>
            <w:pPr>
              <w:pStyle w:val="146"/>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10、本项目招标国内产品，不接受进口产品</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即通过中国海关报关验放进入中国境内且产自关境外的产品</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参与投标，如有此类产品参与投标的做无效标处理。</w:t>
            </w:r>
          </w:p>
          <w:p>
            <w:pPr>
              <w:pStyle w:val="146"/>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二、货物分发：</w:t>
            </w:r>
          </w:p>
          <w:p>
            <w:pPr>
              <w:pStyle w:val="146"/>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所有货物分发到学校前，必须经过教育局的初步抽查，通过电教站抽检合格后，方可往学校分发。如货不对版，成交供应商必须马上整改，如果拒不整改或整改不及时，教育局有权取消合同，并追究成交供应商的违约责任。</w:t>
            </w:r>
          </w:p>
          <w:p>
            <w:pPr>
              <w:pStyle w:val="146"/>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三、货物验收要求：</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货物接收全数检验。在教育局指导下，由学校（货物使用单位）按照合同、投标文件承诺、《采购文件》的技术要求和验货样品（如有）对成交货物的产品外观、规格、基本参数等基本项目进行全数检验（逐个产品检验），收货检验时发现质量不合格产品，成交标人须给予更换。货物接收检验后学校将验收情况的书面材料上报教育局。</w:t>
            </w:r>
          </w:p>
          <w:p>
            <w:pPr>
              <w:pStyle w:val="146"/>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如无产品质量问题，且货物经产品质量监督检验和货物接收抽样检验合格，即得出产品验收检验合格结论，使用单位在填写《教学仪器设备产品验收单》后由成交供应商报教育局。如有产品质量问题，则由教育局按照《教学仪器设备产品质量检验程序》进行检验和收集有关信息材料并立即通知供应商协商处理。如不能及时处理，则按合同约定追究违约责任。</w:t>
            </w:r>
          </w:p>
          <w:p>
            <w:pPr>
              <w:jc w:val="left"/>
              <w:rPr>
                <w:rFonts w:asciiTheme="minorEastAsia" w:hAnsiTheme="minorEastAsia"/>
                <w:b/>
                <w:color w:val="auto"/>
                <w:szCs w:val="21"/>
                <w:highlight w:val="none"/>
              </w:rPr>
            </w:pPr>
            <w:r>
              <w:rPr>
                <w:rFonts w:hint="eastAsia" w:asciiTheme="minorEastAsia" w:hAnsiTheme="minorEastAsia"/>
                <w:b/>
                <w:color w:val="auto"/>
                <w:szCs w:val="21"/>
                <w:highlight w:val="none"/>
              </w:rPr>
              <w:t>四、核心产品：</w:t>
            </w:r>
            <w:r>
              <w:rPr>
                <w:rFonts w:hint="eastAsia" w:cs="宋体" w:asciiTheme="minorEastAsia" w:hAnsiTheme="minorEastAsia"/>
                <w:bCs/>
                <w:color w:val="auto"/>
                <w:kern w:val="0"/>
                <w:szCs w:val="21"/>
                <w:highlight w:val="none"/>
              </w:rPr>
              <w:t>交互智能平板教学系统</w:t>
            </w:r>
          </w:p>
        </w:tc>
      </w:tr>
    </w:tbl>
    <w:p>
      <w:pPr>
        <w:rPr>
          <w:color w:val="auto"/>
          <w:highlight w:val="none"/>
        </w:rPr>
      </w:pPr>
    </w:p>
    <w:p>
      <w:pPr>
        <w:rPr>
          <w:rFonts w:ascii="宋体" w:hAnsi="宋体"/>
          <w:b/>
          <w:bCs/>
          <w:color w:val="auto"/>
          <w:sz w:val="28"/>
          <w:szCs w:val="28"/>
          <w:highlight w:val="none"/>
        </w:rPr>
      </w:pPr>
    </w:p>
    <w:p>
      <w:pPr>
        <w:pStyle w:val="6"/>
        <w:outlineLvl w:val="9"/>
        <w:rPr>
          <w:rFonts w:hAnsi="宋体"/>
          <w:b/>
          <w:bCs/>
          <w:color w:val="auto"/>
          <w:szCs w:val="28"/>
          <w:highlight w:val="none"/>
        </w:rPr>
      </w:pPr>
    </w:p>
    <w:p>
      <w:pPr>
        <w:rPr>
          <w:rFonts w:ascii="宋体" w:hAnsi="宋体"/>
          <w:b/>
          <w:bCs/>
          <w:color w:val="auto"/>
          <w:sz w:val="28"/>
          <w:szCs w:val="28"/>
          <w:highlight w:val="none"/>
        </w:rPr>
      </w:pPr>
    </w:p>
    <w:p>
      <w:pPr>
        <w:pStyle w:val="2"/>
        <w:rPr>
          <w:color w:val="auto"/>
          <w:sz w:val="28"/>
          <w:szCs w:val="28"/>
          <w:highlight w:val="none"/>
        </w:rPr>
      </w:pPr>
    </w:p>
    <w:p>
      <w:pPr>
        <w:rPr>
          <w:rFonts w:ascii="宋体" w:hAnsi="宋体"/>
          <w:b/>
          <w:bCs/>
          <w:color w:val="auto"/>
          <w:sz w:val="28"/>
          <w:szCs w:val="28"/>
          <w:highlight w:val="none"/>
        </w:rPr>
      </w:pPr>
    </w:p>
    <w:p>
      <w:pPr>
        <w:pStyle w:val="2"/>
        <w:rPr>
          <w:color w:val="auto"/>
          <w:sz w:val="28"/>
          <w:szCs w:val="28"/>
          <w:highlight w:val="none"/>
        </w:rPr>
      </w:pPr>
    </w:p>
    <w:p>
      <w:pPr>
        <w:rPr>
          <w:rFonts w:ascii="宋体" w:hAnsi="宋体"/>
          <w:b/>
          <w:bCs/>
          <w:color w:val="auto"/>
          <w:sz w:val="28"/>
          <w:szCs w:val="28"/>
          <w:highlight w:val="none"/>
        </w:rPr>
      </w:pPr>
    </w:p>
    <w:p>
      <w:pPr>
        <w:pStyle w:val="2"/>
        <w:rPr>
          <w:color w:val="auto"/>
          <w:sz w:val="28"/>
          <w:szCs w:val="28"/>
          <w:highlight w:val="none"/>
        </w:rPr>
      </w:pPr>
    </w:p>
    <w:p>
      <w:pPr>
        <w:rPr>
          <w:rFonts w:ascii="宋体" w:hAnsi="宋体"/>
          <w:b/>
          <w:bCs/>
          <w:color w:val="auto"/>
          <w:sz w:val="28"/>
          <w:szCs w:val="28"/>
          <w:highlight w:val="none"/>
        </w:rPr>
      </w:pPr>
    </w:p>
    <w:p>
      <w:pPr>
        <w:pStyle w:val="2"/>
        <w:rPr>
          <w:color w:val="auto"/>
          <w:sz w:val="28"/>
          <w:szCs w:val="28"/>
          <w:highlight w:val="none"/>
        </w:rPr>
      </w:pPr>
    </w:p>
    <w:p>
      <w:pPr>
        <w:rPr>
          <w:rFonts w:ascii="宋体" w:hAnsi="宋体"/>
          <w:b/>
          <w:bCs/>
          <w:color w:val="auto"/>
          <w:sz w:val="28"/>
          <w:szCs w:val="28"/>
          <w:highlight w:val="none"/>
        </w:rPr>
      </w:pPr>
    </w:p>
    <w:p>
      <w:pPr>
        <w:pStyle w:val="2"/>
        <w:rPr>
          <w:color w:val="auto"/>
          <w:sz w:val="28"/>
          <w:szCs w:val="28"/>
          <w:highlight w:val="none"/>
        </w:rPr>
      </w:pPr>
    </w:p>
    <w:p>
      <w:pPr>
        <w:rPr>
          <w:rFonts w:ascii="宋体" w:hAnsi="宋体"/>
          <w:b/>
          <w:bCs/>
          <w:color w:val="auto"/>
          <w:sz w:val="28"/>
          <w:szCs w:val="28"/>
          <w:highlight w:val="none"/>
        </w:rPr>
      </w:pPr>
    </w:p>
    <w:p>
      <w:pPr>
        <w:pStyle w:val="2"/>
        <w:rPr>
          <w:color w:val="auto"/>
          <w:sz w:val="28"/>
          <w:szCs w:val="28"/>
          <w:highlight w:val="none"/>
        </w:rPr>
      </w:pPr>
    </w:p>
    <w:p>
      <w:pPr>
        <w:rPr>
          <w:rFonts w:ascii="宋体" w:hAnsi="宋体"/>
          <w:b/>
          <w:bCs/>
          <w:color w:val="auto"/>
          <w:sz w:val="28"/>
          <w:szCs w:val="28"/>
          <w:highlight w:val="none"/>
        </w:rPr>
      </w:pPr>
    </w:p>
    <w:p>
      <w:pPr>
        <w:pStyle w:val="2"/>
        <w:rPr>
          <w:color w:val="auto"/>
          <w:sz w:val="28"/>
          <w:szCs w:val="28"/>
          <w:highlight w:val="none"/>
        </w:rPr>
      </w:pPr>
    </w:p>
    <w:p>
      <w:pPr>
        <w:rPr>
          <w:rFonts w:ascii="宋体" w:hAnsi="宋体"/>
          <w:b/>
          <w:bCs/>
          <w:color w:val="auto"/>
          <w:sz w:val="28"/>
          <w:szCs w:val="28"/>
          <w:highlight w:val="none"/>
        </w:rPr>
      </w:pPr>
    </w:p>
    <w:p>
      <w:pPr>
        <w:pStyle w:val="2"/>
        <w:rPr>
          <w:color w:val="auto"/>
          <w:sz w:val="28"/>
          <w:szCs w:val="28"/>
          <w:highlight w:val="none"/>
        </w:rPr>
      </w:pPr>
    </w:p>
    <w:p>
      <w:pPr>
        <w:rPr>
          <w:rFonts w:ascii="宋体" w:hAnsi="宋体"/>
          <w:b/>
          <w:bCs/>
          <w:color w:val="auto"/>
          <w:sz w:val="28"/>
          <w:szCs w:val="28"/>
          <w:highlight w:val="none"/>
        </w:rPr>
      </w:pPr>
    </w:p>
    <w:p>
      <w:pPr>
        <w:pStyle w:val="2"/>
        <w:rPr>
          <w:color w:val="auto"/>
          <w:sz w:val="28"/>
          <w:szCs w:val="28"/>
          <w:highlight w:val="none"/>
        </w:rPr>
      </w:pPr>
    </w:p>
    <w:p>
      <w:pPr>
        <w:rPr>
          <w:rFonts w:ascii="宋体" w:hAnsi="宋体"/>
          <w:b/>
          <w:bCs/>
          <w:color w:val="auto"/>
          <w:sz w:val="28"/>
          <w:szCs w:val="28"/>
          <w:highlight w:val="none"/>
        </w:rPr>
      </w:pPr>
    </w:p>
    <w:p>
      <w:pPr>
        <w:pStyle w:val="2"/>
        <w:rPr>
          <w:rFonts w:ascii="宋体" w:hAnsi="宋体"/>
          <w:b/>
          <w:bCs/>
          <w:color w:val="auto"/>
          <w:sz w:val="28"/>
          <w:szCs w:val="28"/>
          <w:highlight w:val="none"/>
        </w:rPr>
      </w:pPr>
    </w:p>
    <w:p>
      <w:pPr>
        <w:rPr>
          <w:rFonts w:ascii="宋体" w:hAnsi="宋体"/>
          <w:b/>
          <w:bCs/>
          <w:color w:val="auto"/>
          <w:sz w:val="28"/>
          <w:szCs w:val="28"/>
          <w:highlight w:val="none"/>
        </w:rPr>
      </w:pPr>
    </w:p>
    <w:p>
      <w:pPr>
        <w:pStyle w:val="2"/>
        <w:rPr>
          <w:rFonts w:ascii="宋体" w:hAnsi="宋体"/>
          <w:b/>
          <w:bCs/>
          <w:color w:val="auto"/>
          <w:sz w:val="28"/>
          <w:szCs w:val="28"/>
          <w:highlight w:val="none"/>
        </w:rPr>
      </w:pPr>
    </w:p>
    <w:p>
      <w:pPr>
        <w:rPr>
          <w:rFonts w:ascii="宋体" w:hAnsi="宋体"/>
          <w:b/>
          <w:bCs/>
          <w:color w:val="auto"/>
          <w:sz w:val="28"/>
          <w:szCs w:val="28"/>
          <w:highlight w:val="none"/>
        </w:rPr>
      </w:pPr>
    </w:p>
    <w:p>
      <w:pPr>
        <w:pStyle w:val="2"/>
        <w:rPr>
          <w:rFonts w:ascii="宋体" w:hAnsi="宋体"/>
          <w:b/>
          <w:bCs/>
          <w:color w:val="auto"/>
          <w:sz w:val="28"/>
          <w:szCs w:val="28"/>
          <w:highlight w:val="none"/>
        </w:rPr>
      </w:pPr>
    </w:p>
    <w:p>
      <w:pPr>
        <w:rPr>
          <w:rFonts w:ascii="宋体" w:hAnsi="宋体"/>
          <w:b/>
          <w:bCs/>
          <w:color w:val="auto"/>
          <w:sz w:val="28"/>
          <w:szCs w:val="28"/>
          <w:highlight w:val="none"/>
        </w:rPr>
      </w:pPr>
    </w:p>
    <w:p>
      <w:pPr>
        <w:pStyle w:val="2"/>
        <w:rPr>
          <w:color w:val="auto"/>
        </w:rPr>
      </w:pPr>
    </w:p>
    <w:p>
      <w:pPr>
        <w:rPr>
          <w:color w:val="auto"/>
          <w:highlight w:val="none"/>
        </w:rPr>
      </w:pPr>
    </w:p>
    <w:p>
      <w:pPr>
        <w:pStyle w:val="2"/>
        <w:rPr>
          <w:color w:val="auto"/>
          <w:sz w:val="28"/>
          <w:szCs w:val="28"/>
          <w:highlight w:val="none"/>
        </w:rPr>
      </w:pPr>
    </w:p>
    <w:p>
      <w:pPr>
        <w:rPr>
          <w:rFonts w:ascii="宋体" w:hAnsi="宋体"/>
          <w:b/>
          <w:bCs/>
          <w:color w:val="auto"/>
          <w:sz w:val="28"/>
          <w:szCs w:val="28"/>
          <w:highlight w:val="none"/>
        </w:rPr>
      </w:pPr>
    </w:p>
    <w:p>
      <w:pPr>
        <w:pStyle w:val="3"/>
        <w:spacing w:line="600" w:lineRule="exact"/>
        <w:rPr>
          <w:color w:val="auto"/>
          <w:highlight w:val="none"/>
        </w:rPr>
      </w:pPr>
      <w:bookmarkStart w:id="13" w:name="_Toc20535"/>
      <w:bookmarkStart w:id="14" w:name="_Toc2795_WPSOffice_Level1"/>
      <w:r>
        <w:rPr>
          <w:rFonts w:hint="eastAsia"/>
          <w:color w:val="auto"/>
          <w:highlight w:val="none"/>
        </w:rPr>
        <w:t>第三章  投标人须知</w:t>
      </w:r>
      <w:bookmarkEnd w:id="13"/>
      <w:bookmarkEnd w:id="14"/>
    </w:p>
    <w:p>
      <w:pPr>
        <w:snapToGrid w:val="0"/>
        <w:spacing w:line="400" w:lineRule="exact"/>
        <w:jc w:val="center"/>
        <w:rPr>
          <w:rFonts w:ascii="宋体" w:hAnsi="宋体"/>
          <w:b/>
          <w:color w:val="auto"/>
          <w:sz w:val="28"/>
          <w:szCs w:val="28"/>
          <w:highlight w:val="none"/>
        </w:rPr>
      </w:pPr>
      <w:bookmarkStart w:id="15" w:name="_Toc254970667"/>
      <w:bookmarkStart w:id="16" w:name="_Toc254970526"/>
      <w:r>
        <w:rPr>
          <w:rFonts w:hint="eastAsia" w:ascii="宋体" w:hAnsi="宋体"/>
          <w:b/>
          <w:color w:val="auto"/>
          <w:sz w:val="28"/>
          <w:szCs w:val="28"/>
          <w:highlight w:val="none"/>
        </w:rPr>
        <w:t>前附表</w:t>
      </w:r>
      <w:bookmarkEnd w:id="15"/>
      <w:bookmarkEnd w:id="16"/>
    </w:p>
    <w:tbl>
      <w:tblPr>
        <w:tblStyle w:val="47"/>
        <w:tblW w:w="103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9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1"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6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6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项目名称：2020年薄改与能力提升初中信息化设备项目</w:t>
            </w:r>
            <w:r>
              <w:rPr>
                <w:rFonts w:hint="eastAsia" w:ascii="宋体" w:hAnsi="宋体" w:cs="宋体"/>
                <w:bCs/>
                <w:color w:val="auto"/>
                <w:szCs w:val="21"/>
                <w:highlight w:val="none"/>
              </w:rPr>
              <w:t>（项目编号：GGZC2020-G1-50068-GXBS）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6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采购预算价（人民币）：总金额：肆佰陆拾捌万元整（￥4680000.00），A标段：贰佰肆拾陆万元整（￥2460000.00），B标段：贰佰贰拾贰万元整（￥2220000.00）。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96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答疑与澄清：投标人如认为招标文件表述不清晰、存在歧视性、排他性或者其他违法内容的，应当于收到采购文件之日或者采购文件公告期限届满之日起7个工作日内，以书面形式要求招标采购单位作出书面解释、澄清或者向招标采购单位提出书面质疑；答疑内容是招标文件的组成部份；招标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6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投标文件组成：投标文件正本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份；副本</w:t>
            </w:r>
            <w:r>
              <w:rPr>
                <w:rFonts w:hint="eastAsia" w:ascii="宋体" w:hAnsi="宋体" w:cs="宋体"/>
                <w:color w:val="auto"/>
                <w:szCs w:val="21"/>
                <w:highlight w:val="none"/>
                <w:u w:val="single"/>
              </w:rPr>
              <w:t xml:space="preserve"> 4 </w:t>
            </w:r>
            <w:r>
              <w:rPr>
                <w:rFonts w:hint="eastAsia" w:ascii="宋体" w:hAnsi="宋体" w:cs="宋体"/>
                <w:color w:val="auto"/>
                <w:szCs w:val="21"/>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6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投标截止时间及地点：投标人应于2020年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w:t>
            </w:r>
            <w:r>
              <w:rPr>
                <w:rFonts w:hint="eastAsia" w:ascii="宋体" w:hAnsi="宋体" w:cs="宋体"/>
                <w:color w:val="auto"/>
                <w:szCs w:val="21"/>
                <w:highlight w:val="none"/>
                <w:lang w:eastAsia="zh-CN"/>
              </w:rPr>
              <w:t>9时</w:t>
            </w:r>
            <w:r>
              <w:rPr>
                <w:rFonts w:hint="eastAsia" w:ascii="宋体" w:hAnsi="宋体" w:cs="宋体"/>
                <w:color w:val="auto"/>
                <w:szCs w:val="21"/>
                <w:highlight w:val="none"/>
              </w:rPr>
              <w:t>30分前将投标文件密封送交到桂平市政务服务中心新大楼五楼【桂江西路中段原国会大厦（桂平市公共资源交易中心）】开标厅，逾期送达或未密封将予以拒收（或作无效投标文件处理）。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6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开标时间及地点：本次招标将于2020年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w:t>
            </w:r>
            <w:r>
              <w:rPr>
                <w:rFonts w:hint="eastAsia" w:ascii="宋体" w:hAnsi="宋体" w:cs="宋体"/>
                <w:color w:val="auto"/>
                <w:szCs w:val="21"/>
                <w:highlight w:val="none"/>
                <w:lang w:eastAsia="zh-CN"/>
              </w:rPr>
              <w:t>9时</w:t>
            </w:r>
            <w:r>
              <w:rPr>
                <w:rFonts w:hint="eastAsia" w:ascii="宋体" w:hAnsi="宋体" w:cs="宋体"/>
                <w:color w:val="auto"/>
                <w:szCs w:val="21"/>
                <w:highlight w:val="none"/>
              </w:rPr>
              <w:t>30分在</w:t>
            </w:r>
            <w:r>
              <w:rPr>
                <w:rStyle w:val="148"/>
                <w:rFonts w:hint="eastAsia" w:ascii="宋体" w:hAnsi="宋体"/>
                <w:color w:val="auto"/>
                <w:kern w:val="0"/>
                <w:szCs w:val="21"/>
                <w:highlight w:val="none"/>
              </w:rPr>
              <w:t>桂平市政务服务中心新大楼五楼【桂江西路中段原国会大厦（桂平市公共资源交易中心）】</w:t>
            </w:r>
            <w:r>
              <w:rPr>
                <w:rFonts w:hint="eastAsia" w:ascii="宋体" w:hAnsi="宋体" w:cs="宋体"/>
                <w:color w:val="auto"/>
                <w:szCs w:val="21"/>
                <w:highlight w:val="none"/>
              </w:rPr>
              <w:t>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96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评标办法及评标标准：综合评分法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96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ottom"/>
              <w:rPr>
                <w:rFonts w:ascii="宋体" w:hAnsi="宋体" w:cs="宋体"/>
                <w:color w:val="auto"/>
                <w:szCs w:val="21"/>
                <w:highlight w:val="none"/>
              </w:rPr>
            </w:pPr>
            <w:r>
              <w:rPr>
                <w:rFonts w:hint="eastAsia" w:ascii="宋体" w:hAnsi="宋体" w:cs="宋体"/>
                <w:color w:val="auto"/>
                <w:szCs w:val="21"/>
                <w:highlight w:val="none"/>
              </w:rPr>
              <w:t>中标公告及中标通知书：采购代理机构在采购人依法确认中标人后5个工作日内发布中标公告和中标通知书，中标公告发布于</w:t>
            </w:r>
            <w:r>
              <w:rPr>
                <w:rFonts w:hint="eastAsia" w:ascii="宋体" w:hAnsi="宋体" w:cs="宋体"/>
                <w:color w:val="auto"/>
                <w:szCs w:val="21"/>
                <w:highlight w:val="none"/>
                <w:u w:val="single"/>
              </w:rPr>
              <w:t>招标文件指定媒体。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96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签订合同时间：中标（成交）通知书发出后 5 个工作日内。中标（成交）供应商在取得中标、 成交通知书后 10 日内登录“政采云”平台（www.zcy.gov.cn）完成供应商注册，并在供应商完成注册工作后 2 个工作日内上传采购合同。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96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color w:val="auto"/>
                <w:highlight w:val="none"/>
              </w:rPr>
            </w:pPr>
            <w:r>
              <w:rPr>
                <w:rFonts w:hint="eastAsia" w:ascii="宋体" w:hAnsi="宋体" w:cs="宋体"/>
                <w:color w:val="auto"/>
                <w:szCs w:val="21"/>
                <w:highlight w:val="none"/>
              </w:rPr>
              <w:t xml:space="preserve">采购资金来源：上级资金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96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付款方式：</w:t>
            </w:r>
            <w:r>
              <w:rPr>
                <w:rFonts w:hint="eastAsia" w:cs="宋体" w:asciiTheme="minorEastAsia" w:hAnsiTheme="minorEastAsia" w:eastAsiaTheme="minorEastAsia"/>
                <w:color w:val="auto"/>
                <w:szCs w:val="21"/>
                <w:highlight w:val="none"/>
              </w:rPr>
              <w:t>项目验收后</w:t>
            </w:r>
            <w:r>
              <w:rPr>
                <w:rFonts w:cs="宋体" w:asciiTheme="minorEastAsia" w:hAnsiTheme="minorEastAsia" w:eastAsiaTheme="minorEastAsia"/>
                <w:color w:val="auto"/>
                <w:szCs w:val="21"/>
                <w:highlight w:val="none"/>
              </w:rPr>
              <w:t>15</w:t>
            </w:r>
            <w:r>
              <w:rPr>
                <w:rFonts w:hint="eastAsia" w:cs="宋体" w:asciiTheme="minorEastAsia" w:hAnsiTheme="minorEastAsia" w:eastAsiaTheme="minorEastAsia"/>
                <w:color w:val="auto"/>
                <w:szCs w:val="21"/>
                <w:highlight w:val="none"/>
              </w:rPr>
              <w:t>天内支付</w:t>
            </w:r>
            <w:r>
              <w:rPr>
                <w:rFonts w:cs="宋体" w:asciiTheme="minorEastAsia" w:hAnsiTheme="minorEastAsia" w:eastAsiaTheme="minorEastAsia"/>
                <w:color w:val="auto"/>
                <w:szCs w:val="21"/>
                <w:highlight w:val="none"/>
              </w:rPr>
              <w:t>97%</w:t>
            </w:r>
            <w:r>
              <w:rPr>
                <w:rFonts w:hint="eastAsia" w:cs="宋体" w:asciiTheme="minorEastAsia" w:hAnsiTheme="minorEastAsia" w:eastAsiaTheme="minorEastAsia"/>
                <w:color w:val="auto"/>
                <w:szCs w:val="21"/>
                <w:highlight w:val="none"/>
              </w:rPr>
              <w:t>合同款；保质期达</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年后，</w:t>
            </w:r>
            <w:r>
              <w:rPr>
                <w:rFonts w:cs="宋体" w:asciiTheme="minorEastAsia" w:hAnsiTheme="minorEastAsia" w:eastAsiaTheme="minorEastAsia"/>
                <w:color w:val="auto"/>
                <w:szCs w:val="21"/>
                <w:highlight w:val="none"/>
              </w:rPr>
              <w:t>15</w:t>
            </w:r>
            <w:r>
              <w:rPr>
                <w:rFonts w:hint="eastAsia" w:cs="宋体" w:asciiTheme="minorEastAsia" w:hAnsiTheme="minorEastAsia" w:eastAsiaTheme="minorEastAsia"/>
                <w:color w:val="auto"/>
                <w:szCs w:val="21"/>
                <w:highlight w:val="none"/>
              </w:rPr>
              <w:t>天内支付剩余</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96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投标文件有效期：</w:t>
            </w:r>
            <w:r>
              <w:rPr>
                <w:rFonts w:hint="eastAsia" w:ascii="宋体" w:hAnsi="宋体" w:cs="宋体"/>
                <w:color w:val="auto"/>
                <w:szCs w:val="21"/>
                <w:highlight w:val="none"/>
                <w:u w:val="single"/>
              </w:rPr>
              <w:t>90</w:t>
            </w:r>
            <w:r>
              <w:rPr>
                <w:rFonts w:hint="eastAsia" w:ascii="宋体" w:hAnsi="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96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解释：本招标文件的解释权属于招标单位。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96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
                <w:color w:val="auto"/>
                <w:szCs w:val="21"/>
                <w:highlight w:val="none"/>
              </w:rPr>
              <w:t>招标代理服务费：</w:t>
            </w:r>
            <w:r>
              <w:rPr>
                <w:rFonts w:hint="eastAsia" w:ascii="宋体" w:hAnsi="宋体" w:cs="宋体"/>
                <w:bCs/>
                <w:color w:val="auto"/>
                <w:szCs w:val="21"/>
                <w:highlight w:val="none"/>
              </w:rPr>
              <w:t>本项目招标代理服务费金额为（人民币）：A标段：人民币叁万壹仟零陆拾元整（</w:t>
            </w:r>
            <w:r>
              <w:rPr>
                <w:rFonts w:hint="eastAsia" w:ascii="宋体" w:hAnsi="宋体" w:cs="宋体"/>
                <w:color w:val="auto"/>
                <w:szCs w:val="21"/>
                <w:highlight w:val="none"/>
              </w:rPr>
              <w:t>￥</w:t>
            </w:r>
            <w:r>
              <w:rPr>
                <w:rFonts w:hint="eastAsia" w:ascii="宋体" w:hAnsi="宋体" w:cs="宋体"/>
                <w:bCs/>
                <w:color w:val="auto"/>
                <w:szCs w:val="21"/>
                <w:highlight w:val="none"/>
              </w:rPr>
              <w:t>31060.00）；B标段：人民币贰万柒仟贰佰壹拾元整（</w:t>
            </w:r>
            <w:r>
              <w:rPr>
                <w:rFonts w:hint="eastAsia" w:ascii="宋体" w:hAnsi="宋体" w:cs="宋体"/>
                <w:color w:val="auto"/>
                <w:szCs w:val="21"/>
                <w:highlight w:val="none"/>
              </w:rPr>
              <w:t>￥</w:t>
            </w:r>
            <w:r>
              <w:rPr>
                <w:rFonts w:hint="eastAsia" w:ascii="宋体" w:hAnsi="宋体" w:cs="宋体"/>
                <w:bCs/>
                <w:color w:val="auto"/>
                <w:szCs w:val="21"/>
                <w:highlight w:val="none"/>
              </w:rPr>
              <w:t>27210.00），由中标人领取中标通知书前，向招标代理机构一次付清采购代理服务费。</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招标代理服务费缴纳账户：</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开户名称：广西宝盛工程咨询有限公司</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开户银行：中国工商银行股份有限公司贵港市荷城支行</w:t>
            </w:r>
          </w:p>
          <w:p>
            <w:pPr>
              <w:spacing w:line="360" w:lineRule="auto"/>
              <w:rPr>
                <w:rFonts w:ascii="宋体" w:hAnsi="宋体" w:cs="宋体"/>
                <w:color w:val="auto"/>
                <w:szCs w:val="21"/>
                <w:highlight w:val="none"/>
              </w:rPr>
            </w:pPr>
            <w:r>
              <w:rPr>
                <w:rFonts w:hint="eastAsia" w:ascii="宋体" w:hAnsi="宋体" w:cs="宋体"/>
                <w:bCs/>
                <w:color w:val="auto"/>
                <w:szCs w:val="21"/>
                <w:highlight w:val="none"/>
              </w:rPr>
              <w:t>银行账号： 2116710809100102991。</w:t>
            </w:r>
          </w:p>
        </w:tc>
      </w:tr>
    </w:tbl>
    <w:p>
      <w:pPr>
        <w:pStyle w:val="25"/>
        <w:snapToGrid w:val="0"/>
        <w:spacing w:before="120" w:after="120" w:line="440" w:lineRule="exact"/>
        <w:jc w:val="center"/>
        <w:rPr>
          <w:rFonts w:hAnsi="宋体"/>
          <w:b/>
          <w:color w:val="auto"/>
          <w:sz w:val="32"/>
          <w:szCs w:val="32"/>
          <w:highlight w:val="none"/>
        </w:rPr>
      </w:pPr>
      <w:r>
        <w:rPr>
          <w:rFonts w:hint="eastAsia" w:hAnsi="宋体"/>
          <w:b/>
          <w:color w:val="auto"/>
          <w:sz w:val="32"/>
          <w:szCs w:val="32"/>
          <w:highlight w:val="none"/>
        </w:rPr>
        <w:br w:type="page"/>
      </w:r>
    </w:p>
    <w:p>
      <w:pPr>
        <w:pStyle w:val="25"/>
        <w:snapToGrid w:val="0"/>
        <w:spacing w:before="120" w:after="120" w:line="440" w:lineRule="exact"/>
        <w:jc w:val="center"/>
        <w:rPr>
          <w:rFonts w:hAnsi="宋体"/>
          <w:b/>
          <w:color w:val="auto"/>
          <w:sz w:val="32"/>
          <w:szCs w:val="32"/>
          <w:highlight w:val="none"/>
        </w:rPr>
      </w:pPr>
      <w:r>
        <w:rPr>
          <w:rFonts w:hint="eastAsia" w:hAnsi="宋体"/>
          <w:b/>
          <w:color w:val="auto"/>
          <w:sz w:val="32"/>
          <w:szCs w:val="32"/>
          <w:highlight w:val="none"/>
        </w:rPr>
        <w:t>投标人须知</w:t>
      </w:r>
    </w:p>
    <w:p>
      <w:pPr>
        <w:pStyle w:val="25"/>
        <w:snapToGrid w:val="0"/>
        <w:spacing w:line="440" w:lineRule="exact"/>
        <w:outlineLvl w:val="0"/>
        <w:rPr>
          <w:rFonts w:hAnsi="宋体"/>
          <w:color w:val="auto"/>
          <w:highlight w:val="none"/>
        </w:rPr>
      </w:pPr>
      <w:bookmarkStart w:id="17" w:name="_Toc3297"/>
      <w:r>
        <w:rPr>
          <w:rFonts w:hint="eastAsia" w:hAnsi="宋体"/>
          <w:b/>
          <w:color w:val="auto"/>
          <w:szCs w:val="21"/>
          <w:highlight w:val="none"/>
        </w:rPr>
        <w:t>一、总  则</w:t>
      </w:r>
      <w:bookmarkEnd w:id="17"/>
      <w:bookmarkStart w:id="18" w:name="_Toc254970527"/>
      <w:bookmarkStart w:id="19" w:name="_Toc254970668"/>
    </w:p>
    <w:p>
      <w:pPr>
        <w:snapToGrid w:val="0"/>
        <w:spacing w:before="120" w:beforeLines="50" w:line="440" w:lineRule="exact"/>
        <w:ind w:firstLine="310" w:firstLineChars="147"/>
        <w:jc w:val="left"/>
        <w:outlineLvl w:val="1"/>
        <w:rPr>
          <w:rFonts w:ascii="宋体" w:hAnsi="宋体"/>
          <w:b/>
          <w:color w:val="auto"/>
          <w:szCs w:val="21"/>
          <w:highlight w:val="none"/>
        </w:rPr>
      </w:pPr>
      <w:r>
        <w:rPr>
          <w:rFonts w:hint="eastAsia" w:ascii="宋体" w:hAnsi="宋体"/>
          <w:b/>
          <w:color w:val="auto"/>
          <w:szCs w:val="21"/>
          <w:highlight w:val="none"/>
        </w:rPr>
        <w:t>（一） 适用范围</w:t>
      </w:r>
      <w:bookmarkEnd w:id="18"/>
      <w:bookmarkEnd w:id="19"/>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bCs/>
          <w:color w:val="auto"/>
          <w:szCs w:val="21"/>
          <w:highlight w:val="none"/>
          <w:u w:val="single"/>
        </w:rPr>
        <w:t>2020年薄改与能力提升初中信息化设备项目（GGZC2020-G1-50068-GXBS）</w:t>
      </w:r>
      <w:r>
        <w:rPr>
          <w:rFonts w:hint="eastAsia" w:ascii="宋体" w:hAnsi="宋体"/>
          <w:bCs/>
          <w:color w:val="auto"/>
          <w:szCs w:val="21"/>
          <w:highlight w:val="none"/>
        </w:rPr>
        <w:t>项目</w:t>
      </w:r>
      <w:r>
        <w:rPr>
          <w:rFonts w:hint="eastAsia" w:ascii="宋体" w:hAnsi="宋体"/>
          <w:color w:val="auto"/>
          <w:szCs w:val="21"/>
          <w:highlight w:val="none"/>
        </w:rPr>
        <w:t>招标、投标、评标、定标、验收、合同履约、付款等行为（法律、法规另有规定的，从其规定）。</w:t>
      </w:r>
    </w:p>
    <w:p>
      <w:pPr>
        <w:snapToGrid w:val="0"/>
        <w:spacing w:before="120" w:beforeLines="50" w:line="440" w:lineRule="exact"/>
        <w:ind w:firstLine="310" w:firstLineChars="147"/>
        <w:jc w:val="left"/>
        <w:outlineLvl w:val="1"/>
        <w:rPr>
          <w:rFonts w:ascii="宋体" w:hAnsi="宋体"/>
          <w:b/>
          <w:color w:val="auto"/>
          <w:szCs w:val="21"/>
          <w:highlight w:val="none"/>
        </w:rPr>
      </w:pPr>
      <w:bookmarkStart w:id="20" w:name="_Toc254970669"/>
      <w:bookmarkStart w:id="21" w:name="_Toc254970528"/>
      <w:r>
        <w:rPr>
          <w:rFonts w:hint="eastAsia" w:ascii="宋体" w:hAnsi="宋体"/>
          <w:b/>
          <w:color w:val="auto"/>
          <w:szCs w:val="21"/>
          <w:highlight w:val="none"/>
        </w:rPr>
        <w:t>（二）定义</w:t>
      </w:r>
      <w:bookmarkEnd w:id="20"/>
      <w:bookmarkEnd w:id="21"/>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1、招标单位系指组织本次招标的采购人及采购代理机构。</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2、“投标人”系指向招标方提交投标文件的单位。</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3、“项目”系指投标人按招标文件规定向采购人提供的产品和服务。</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4、“书面形式”包括信函、传真、电报等。</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5、“▲”系指实质性要求条款。</w:t>
      </w:r>
    </w:p>
    <w:p>
      <w:pPr>
        <w:snapToGrid w:val="0"/>
        <w:spacing w:before="120" w:beforeLines="50" w:line="440" w:lineRule="exact"/>
        <w:ind w:firstLine="413" w:firstLineChars="196"/>
        <w:jc w:val="left"/>
        <w:outlineLvl w:val="1"/>
        <w:rPr>
          <w:rFonts w:ascii="宋体" w:hAnsi="宋体"/>
          <w:b/>
          <w:color w:val="auto"/>
          <w:szCs w:val="21"/>
          <w:highlight w:val="none"/>
        </w:rPr>
      </w:pPr>
      <w:bookmarkStart w:id="22" w:name="_Toc254970529"/>
      <w:bookmarkStart w:id="23" w:name="_Toc254970670"/>
      <w:r>
        <w:rPr>
          <w:rFonts w:hint="eastAsia" w:ascii="宋体" w:hAnsi="宋体"/>
          <w:b/>
          <w:color w:val="auto"/>
          <w:szCs w:val="21"/>
          <w:highlight w:val="none"/>
        </w:rPr>
        <w:t>（三）招标方式</w:t>
      </w:r>
      <w:bookmarkEnd w:id="22"/>
      <w:bookmarkEnd w:id="23"/>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公开招标方式。</w:t>
      </w:r>
    </w:p>
    <w:p>
      <w:pPr>
        <w:snapToGrid w:val="0"/>
        <w:spacing w:before="120" w:beforeLines="50" w:line="440" w:lineRule="exact"/>
        <w:ind w:firstLine="413" w:firstLineChars="196"/>
        <w:jc w:val="left"/>
        <w:outlineLvl w:val="1"/>
        <w:rPr>
          <w:rFonts w:ascii="宋体" w:hAnsi="宋体"/>
          <w:b/>
          <w:color w:val="auto"/>
          <w:szCs w:val="21"/>
          <w:highlight w:val="none"/>
        </w:rPr>
      </w:pPr>
      <w:bookmarkStart w:id="24" w:name="_Toc254970530"/>
      <w:bookmarkStart w:id="25" w:name="_Toc254970671"/>
      <w:r>
        <w:rPr>
          <w:rFonts w:hint="eastAsia" w:ascii="宋体" w:hAnsi="宋体"/>
          <w:b/>
          <w:color w:val="auto"/>
          <w:szCs w:val="21"/>
          <w:highlight w:val="none"/>
        </w:rPr>
        <w:t>（四）投标委托</w:t>
      </w:r>
      <w:bookmarkEnd w:id="24"/>
      <w:bookmarkEnd w:id="25"/>
    </w:p>
    <w:p>
      <w:pPr>
        <w:pStyle w:val="21"/>
        <w:snapToGrid w:val="0"/>
        <w:spacing w:line="440" w:lineRule="exact"/>
        <w:ind w:firstLine="404" w:firstLineChars="200"/>
        <w:jc w:val="left"/>
        <w:rPr>
          <w:rFonts w:hAnsi="宋体"/>
          <w:color w:val="auto"/>
          <w:sz w:val="21"/>
          <w:szCs w:val="21"/>
          <w:highlight w:val="none"/>
        </w:rPr>
      </w:pPr>
      <w:r>
        <w:rPr>
          <w:rFonts w:hint="eastAsia" w:hAnsi="宋体"/>
          <w:color w:val="auto"/>
          <w:sz w:val="21"/>
          <w:szCs w:val="21"/>
          <w:highlight w:val="none"/>
        </w:rPr>
        <w:t>投标人代表须携带有效身份证件。如投标人代表不是法定代表人，须有法定代表人出具的授权委托书（正本用原件，副本用复印件，格式见第</w:t>
      </w:r>
      <w:r>
        <w:rPr>
          <w:rFonts w:hint="eastAsia" w:hAnsi="宋体"/>
          <w:color w:val="auto"/>
          <w:sz w:val="21"/>
          <w:szCs w:val="21"/>
          <w:highlight w:val="none"/>
          <w:lang w:eastAsia="zh-CN"/>
        </w:rPr>
        <w:t>六章</w:t>
      </w:r>
      <w:r>
        <w:rPr>
          <w:rFonts w:hint="eastAsia" w:hAnsi="宋体"/>
          <w:color w:val="auto"/>
          <w:sz w:val="21"/>
          <w:szCs w:val="21"/>
          <w:highlight w:val="none"/>
        </w:rPr>
        <w:t>）。</w:t>
      </w:r>
    </w:p>
    <w:p>
      <w:pPr>
        <w:snapToGrid w:val="0"/>
        <w:spacing w:before="120" w:beforeLines="50" w:line="440" w:lineRule="exact"/>
        <w:ind w:firstLine="413" w:firstLineChars="196"/>
        <w:jc w:val="left"/>
        <w:outlineLvl w:val="1"/>
        <w:rPr>
          <w:rFonts w:ascii="宋体" w:hAnsi="宋体"/>
          <w:b/>
          <w:color w:val="auto"/>
          <w:szCs w:val="21"/>
          <w:highlight w:val="none"/>
        </w:rPr>
      </w:pPr>
      <w:bookmarkStart w:id="26" w:name="_Toc254970672"/>
      <w:bookmarkStart w:id="27" w:name="_Toc254970531"/>
      <w:r>
        <w:rPr>
          <w:rFonts w:hint="eastAsia" w:ascii="宋体" w:hAnsi="宋体"/>
          <w:b/>
          <w:color w:val="auto"/>
          <w:szCs w:val="21"/>
          <w:highlight w:val="none"/>
        </w:rPr>
        <w:t>（五）投标费用</w:t>
      </w:r>
      <w:bookmarkEnd w:id="26"/>
      <w:bookmarkEnd w:id="27"/>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numPr>
          <w:ilvl w:val="0"/>
          <w:numId w:val="5"/>
        </w:numPr>
        <w:snapToGrid w:val="0"/>
        <w:spacing w:before="120" w:beforeLines="50" w:line="44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联合体投标</w:t>
      </w:r>
    </w:p>
    <w:p>
      <w:pPr>
        <w:pStyle w:val="25"/>
        <w:spacing w:line="420" w:lineRule="exact"/>
        <w:ind w:firstLine="420"/>
        <w:rPr>
          <w:rFonts w:hAnsi="宋体"/>
          <w:color w:val="auto"/>
          <w:highlight w:val="none"/>
        </w:rPr>
      </w:pPr>
      <w:r>
        <w:rPr>
          <w:rFonts w:hint="eastAsia" w:hAnsi="宋体"/>
          <w:color w:val="auto"/>
          <w:highlight w:val="none"/>
        </w:rPr>
        <w:t>本项目不接受联合体投标。</w:t>
      </w:r>
    </w:p>
    <w:p>
      <w:pPr>
        <w:pStyle w:val="25"/>
        <w:spacing w:line="420" w:lineRule="exact"/>
        <w:ind w:firstLine="420"/>
        <w:rPr>
          <w:rFonts w:hAnsi="宋体" w:cs="宋体"/>
          <w:b/>
          <w:color w:val="auto"/>
          <w:kern w:val="0"/>
          <w:szCs w:val="21"/>
          <w:highlight w:val="none"/>
        </w:rPr>
      </w:pPr>
      <w:r>
        <w:rPr>
          <w:rFonts w:hint="eastAsia" w:hAnsi="宋体"/>
          <w:b/>
          <w:color w:val="auto"/>
          <w:szCs w:val="21"/>
          <w:highlight w:val="none"/>
        </w:rPr>
        <w:t>（七）</w:t>
      </w:r>
      <w:r>
        <w:rPr>
          <w:rFonts w:hint="eastAsia" w:hAnsi="宋体" w:cs="宋体"/>
          <w:b/>
          <w:color w:val="auto"/>
          <w:kern w:val="0"/>
          <w:szCs w:val="21"/>
          <w:highlight w:val="none"/>
        </w:rPr>
        <w:t>转包与分包</w:t>
      </w:r>
    </w:p>
    <w:p>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snapToGrid w:val="0"/>
        <w:spacing w:line="44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rPr>
        <w:t>2.本项目不可以分包。</w:t>
      </w:r>
    </w:p>
    <w:p>
      <w:pPr>
        <w:snapToGrid w:val="0"/>
        <w:spacing w:before="120" w:beforeLines="50" w:line="440" w:lineRule="exact"/>
        <w:ind w:firstLine="413" w:firstLineChars="196"/>
        <w:jc w:val="left"/>
        <w:outlineLvl w:val="1"/>
        <w:rPr>
          <w:rFonts w:ascii="宋体" w:hAnsi="宋体"/>
          <w:b/>
          <w:color w:val="auto"/>
          <w:szCs w:val="21"/>
          <w:highlight w:val="none"/>
        </w:rPr>
      </w:pPr>
      <w:bookmarkStart w:id="28" w:name="_Toc254970673"/>
      <w:bookmarkStart w:id="29" w:name="_Toc254970532"/>
      <w:r>
        <w:rPr>
          <w:rFonts w:hint="eastAsia" w:ascii="宋体" w:hAnsi="宋体"/>
          <w:b/>
          <w:color w:val="auto"/>
          <w:szCs w:val="21"/>
          <w:highlight w:val="none"/>
        </w:rPr>
        <w:t>（八）特别说明：</w:t>
      </w:r>
      <w:bookmarkEnd w:id="28"/>
      <w:bookmarkEnd w:id="29"/>
    </w:p>
    <w:p>
      <w:pPr>
        <w:widowControl/>
        <w:spacing w:line="440" w:lineRule="exact"/>
        <w:ind w:firstLine="525" w:firstLineChars="250"/>
        <w:jc w:val="left"/>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rPr>
        <w:t>多家供应商参加投标，如其中两家或两家以上供应商的法定代表人为同一人或相互之间存在投资关系且达到控股的，应当按一个供应商认定。评审时，取其中通过资格审查后的报价最低一家为有效供应商；当报价相同时，则以技术标最优一家为有效供应商；均相同时，由评标委员会集体决定。</w:t>
      </w:r>
    </w:p>
    <w:p>
      <w:pPr>
        <w:widowControl/>
        <w:spacing w:line="440" w:lineRule="exact"/>
        <w:ind w:firstLine="210" w:firstLineChars="100"/>
        <w:jc w:val="left"/>
        <w:rPr>
          <w:rFonts w:ascii="宋体" w:hAnsi="宋体"/>
          <w:color w:val="auto"/>
          <w:highlight w:val="none"/>
        </w:rPr>
      </w:pPr>
      <w:r>
        <w:rPr>
          <w:rFonts w:hint="eastAsia" w:ascii="宋体" w:hAnsi="宋体" w:cs="宋体"/>
          <w:color w:val="auto"/>
          <w:kern w:val="0"/>
          <w:szCs w:val="21"/>
          <w:highlight w:val="none"/>
        </w:rPr>
        <w:t xml:space="preserve">  </w:t>
      </w:r>
      <w:r>
        <w:rPr>
          <w:rFonts w:hint="eastAsia" w:ascii="宋体" w:hAnsi="宋体"/>
          <w:color w:val="auto"/>
          <w:highlight w:val="none"/>
        </w:rPr>
        <w:t>▲2.投标人投标所使用的资格、信誉、荣誉、业绩与企业认证必须为本法人所拥有。</w:t>
      </w:r>
    </w:p>
    <w:p>
      <w:pPr>
        <w:pStyle w:val="25"/>
        <w:snapToGrid w:val="0"/>
        <w:spacing w:line="440" w:lineRule="exact"/>
        <w:ind w:left="2" w:leftChars="1" w:firstLine="420" w:firstLineChars="200"/>
        <w:rPr>
          <w:rFonts w:hAnsi="宋体"/>
          <w:color w:val="auto"/>
          <w:szCs w:val="21"/>
          <w:highlight w:val="none"/>
        </w:rPr>
      </w:pPr>
      <w:r>
        <w:rPr>
          <w:rFonts w:hint="eastAsia" w:hAnsi="宋体"/>
          <w:color w:val="auto"/>
          <w:szCs w:val="21"/>
          <w:highlight w:val="none"/>
        </w:rPr>
        <w:t>▲3.投标人应仔细阅读招标文件的所有内容，按照招标文件的要求提交投标文件，并对所提供的全部资料的真实性承担法律责任。</w:t>
      </w:r>
    </w:p>
    <w:p>
      <w:pPr>
        <w:pStyle w:val="25"/>
        <w:snapToGrid w:val="0"/>
        <w:spacing w:line="440" w:lineRule="exact"/>
        <w:ind w:left="2" w:leftChars="1" w:firstLine="420" w:firstLineChars="200"/>
        <w:rPr>
          <w:rFonts w:hAnsi="宋体"/>
          <w:color w:val="auto"/>
          <w:szCs w:val="21"/>
          <w:highlight w:val="none"/>
        </w:rPr>
      </w:pPr>
      <w:r>
        <w:rPr>
          <w:rFonts w:hint="eastAsia" w:hAnsi="宋体"/>
          <w:color w:val="auto"/>
          <w:szCs w:val="21"/>
          <w:highlight w:val="none"/>
        </w:rPr>
        <w:t>▲4.投标人在投标活动中提供任何虚假材料，其投标无效，并报监管部门查处；中标后发现的，取消中标人资格并报政府采购监督管理部门处理。</w:t>
      </w:r>
    </w:p>
    <w:p>
      <w:pPr>
        <w:pStyle w:val="25"/>
        <w:snapToGrid w:val="0"/>
        <w:spacing w:line="440" w:lineRule="exact"/>
        <w:ind w:left="2" w:leftChars="1" w:firstLine="420" w:firstLineChars="200"/>
        <w:rPr>
          <w:rFonts w:hAnsi="宋体"/>
          <w:color w:val="auto"/>
          <w:szCs w:val="21"/>
          <w:highlight w:val="none"/>
        </w:rPr>
      </w:pPr>
      <w:r>
        <w:rPr>
          <w:rFonts w:hint="eastAsia" w:hAnsi="宋体"/>
          <w:color w:val="auto"/>
          <w:szCs w:val="21"/>
          <w:highlight w:val="none"/>
        </w:rPr>
        <w:t>▲5.每个投标公司至多只能中1个标段。</w:t>
      </w:r>
    </w:p>
    <w:p>
      <w:pPr>
        <w:pStyle w:val="25"/>
        <w:snapToGrid w:val="0"/>
        <w:spacing w:line="440" w:lineRule="exact"/>
        <w:ind w:firstLine="413" w:firstLineChars="196"/>
        <w:outlineLvl w:val="1"/>
        <w:rPr>
          <w:rFonts w:hAnsi="宋体"/>
          <w:b/>
          <w:bCs/>
          <w:color w:val="auto"/>
          <w:szCs w:val="21"/>
          <w:highlight w:val="none"/>
        </w:rPr>
      </w:pPr>
      <w:bookmarkStart w:id="30" w:name="_Toc254970674"/>
      <w:bookmarkStart w:id="31" w:name="_Toc254970533"/>
      <w:r>
        <w:rPr>
          <w:rFonts w:hint="eastAsia" w:hAnsi="宋体"/>
          <w:b/>
          <w:bCs/>
          <w:color w:val="auto"/>
          <w:szCs w:val="21"/>
          <w:highlight w:val="none"/>
        </w:rPr>
        <w:t>（九）质疑和投诉</w:t>
      </w:r>
      <w:bookmarkEnd w:id="30"/>
      <w:bookmarkEnd w:id="31"/>
    </w:p>
    <w:p>
      <w:pPr>
        <w:pStyle w:val="25"/>
        <w:snapToGrid w:val="0"/>
        <w:spacing w:line="400" w:lineRule="exact"/>
        <w:ind w:firstLine="420" w:firstLineChars="200"/>
        <w:rPr>
          <w:rFonts w:hAnsi="宋体"/>
          <w:bCs/>
          <w:color w:val="auto"/>
          <w:highlight w:val="none"/>
        </w:rPr>
      </w:pPr>
      <w:bookmarkStart w:id="32" w:name="_Toc254970675"/>
      <w:bookmarkStart w:id="33" w:name="_Toc254970534"/>
      <w:r>
        <w:rPr>
          <w:rFonts w:hint="eastAsia" w:hAnsi="宋体"/>
          <w:bCs/>
          <w:color w:val="auto"/>
          <w:highlight w:val="none"/>
        </w:rPr>
        <w:t>1.投标人认为招标文件、招标过程或中标结果使自己的合法权益受到损害的，应当在知道或者应知其权益受到损害之日起七个工作日内，以书面形式向采购人、采购代理机构提出质疑。供应商应知其权益受到损害之日具体计算时间如下：</w:t>
      </w:r>
    </w:p>
    <w:p>
      <w:pPr>
        <w:pStyle w:val="25"/>
        <w:snapToGrid w:val="0"/>
        <w:spacing w:line="400" w:lineRule="exact"/>
        <w:ind w:firstLine="420" w:firstLineChars="200"/>
        <w:rPr>
          <w:rFonts w:hAnsi="宋体"/>
          <w:color w:val="auto"/>
          <w:highlight w:val="none"/>
        </w:rPr>
      </w:pPr>
      <w:r>
        <w:rPr>
          <w:rFonts w:hint="eastAsia" w:hAnsi="宋体"/>
          <w:color w:val="auto"/>
          <w:highlight w:val="none"/>
        </w:rPr>
        <w:t>（一）对可以质疑的采购文件提出质疑的，为收到采购文件之日或者采购文件公告期限届满之日；</w:t>
      </w:r>
    </w:p>
    <w:p>
      <w:pPr>
        <w:pStyle w:val="25"/>
        <w:snapToGrid w:val="0"/>
        <w:spacing w:line="400" w:lineRule="exact"/>
        <w:ind w:firstLine="420" w:firstLineChars="200"/>
        <w:rPr>
          <w:rFonts w:hAnsi="宋体"/>
          <w:color w:val="auto"/>
          <w:highlight w:val="none"/>
        </w:rPr>
      </w:pPr>
      <w:r>
        <w:rPr>
          <w:rFonts w:hint="eastAsia" w:hAnsi="宋体"/>
          <w:color w:val="auto"/>
          <w:highlight w:val="none"/>
        </w:rPr>
        <w:t>（二）对采购过程提出质疑的，为各采购程序环节结束之日；</w:t>
      </w:r>
    </w:p>
    <w:p>
      <w:pPr>
        <w:pStyle w:val="25"/>
        <w:snapToGrid w:val="0"/>
        <w:spacing w:line="400" w:lineRule="exact"/>
        <w:ind w:firstLine="420" w:firstLineChars="200"/>
        <w:rPr>
          <w:rFonts w:hAnsi="宋体"/>
          <w:color w:val="auto"/>
          <w:highlight w:val="none"/>
        </w:rPr>
      </w:pPr>
      <w:r>
        <w:rPr>
          <w:rFonts w:hint="eastAsia" w:hAnsi="宋体"/>
          <w:color w:val="auto"/>
          <w:highlight w:val="none"/>
        </w:rPr>
        <w:t>（三）对中标或者成交结果提出质疑的，为中标或者成交结果公告期限届满之日。</w:t>
      </w:r>
    </w:p>
    <w:p>
      <w:pPr>
        <w:pStyle w:val="25"/>
        <w:snapToGrid w:val="0"/>
        <w:spacing w:line="400" w:lineRule="exact"/>
        <w:ind w:firstLine="420" w:firstLineChars="200"/>
        <w:rPr>
          <w:rFonts w:hAnsi="宋体"/>
          <w:bCs/>
          <w:color w:val="auto"/>
          <w:highlight w:val="none"/>
        </w:rPr>
      </w:pPr>
      <w:r>
        <w:rPr>
          <w:rFonts w:hint="eastAsia" w:hAnsi="宋体"/>
          <w:color w:val="auto"/>
          <w:highlight w:val="none"/>
        </w:rPr>
        <w:t>投标人对招标采购单位的质疑答复不满意或者招标采购单位未在规定时间内作出答复的，可以在答复期满后十五个工作日内向同级采购监管部门投诉。</w:t>
      </w:r>
    </w:p>
    <w:p>
      <w:pPr>
        <w:pStyle w:val="25"/>
        <w:numPr>
          <w:ilvl w:val="0"/>
          <w:numId w:val="6"/>
        </w:numPr>
        <w:snapToGrid w:val="0"/>
        <w:spacing w:line="400" w:lineRule="exact"/>
        <w:ind w:firstLine="420" w:firstLineChars="200"/>
        <w:rPr>
          <w:rFonts w:hAnsi="宋体"/>
          <w:bCs/>
          <w:color w:val="auto"/>
          <w:highlight w:val="none"/>
        </w:rPr>
      </w:pPr>
      <w:r>
        <w:rPr>
          <w:rFonts w:hint="eastAsia" w:hAnsi="宋体"/>
          <w:bCs/>
          <w:color w:val="auto"/>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400" w:lineRule="exact"/>
        <w:ind w:firstLine="420" w:firstLineChars="200"/>
        <w:rPr>
          <w:rFonts w:ascii="宋体" w:hAnsi="宋体"/>
          <w:bCs/>
          <w:color w:val="auto"/>
          <w:highlight w:val="none"/>
        </w:rPr>
      </w:pPr>
      <w:r>
        <w:rPr>
          <w:rFonts w:hint="eastAsia" w:ascii="宋体" w:hAnsi="宋体"/>
          <w:color w:val="auto"/>
          <w:szCs w:val="21"/>
          <w:highlight w:val="none"/>
        </w:rPr>
        <w:t>3、如不按规定质疑的，视为无效质疑，不予受理。属于虚假、恶意质疑，招标人或招标人委托的招标代理机构将驳回质疑，并向有关监督管理部门报告将其列入不良行为记录名单。</w:t>
      </w:r>
    </w:p>
    <w:p>
      <w:pPr>
        <w:pStyle w:val="25"/>
        <w:snapToGrid w:val="0"/>
        <w:spacing w:line="440" w:lineRule="exact"/>
        <w:outlineLvl w:val="0"/>
        <w:rPr>
          <w:rFonts w:hAnsi="宋体"/>
          <w:b/>
          <w:color w:val="auto"/>
          <w:szCs w:val="21"/>
          <w:highlight w:val="none"/>
        </w:rPr>
      </w:pPr>
      <w:bookmarkStart w:id="34" w:name="_Toc30738"/>
      <w:r>
        <w:rPr>
          <w:rFonts w:hint="eastAsia" w:hAnsi="宋体"/>
          <w:b/>
          <w:color w:val="auto"/>
          <w:szCs w:val="21"/>
          <w:highlight w:val="none"/>
        </w:rPr>
        <w:t>二、招标文件</w:t>
      </w:r>
      <w:bookmarkEnd w:id="32"/>
      <w:bookmarkEnd w:id="33"/>
      <w:bookmarkEnd w:id="34"/>
    </w:p>
    <w:p>
      <w:pPr>
        <w:snapToGrid w:val="0"/>
        <w:spacing w:line="44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（一）招标文件的构成。本招标文件由以下</w:t>
      </w:r>
      <w:r>
        <w:rPr>
          <w:rFonts w:hint="eastAsia" w:ascii="宋体" w:hAnsi="宋体"/>
          <w:b/>
          <w:color w:val="auto"/>
          <w:szCs w:val="21"/>
          <w:highlight w:val="none"/>
          <w:lang w:eastAsia="zh-CN"/>
        </w:rPr>
        <w:t>部分</w:t>
      </w:r>
      <w:r>
        <w:rPr>
          <w:rFonts w:hint="eastAsia" w:ascii="宋体" w:hAnsi="宋体"/>
          <w:b/>
          <w:color w:val="auto"/>
          <w:szCs w:val="21"/>
          <w:highlight w:val="none"/>
        </w:rPr>
        <w:t>组成：</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1.公开招标公告；</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货物采购需求</w:t>
      </w:r>
      <w:r>
        <w:rPr>
          <w:rFonts w:hint="eastAsia" w:ascii="宋体" w:hAnsi="宋体"/>
          <w:color w:val="auto"/>
          <w:szCs w:val="21"/>
          <w:highlight w:val="none"/>
        </w:rPr>
        <w:t>；</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3.投标人须知；</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4.评标办法及评标标准；</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5.合同主要条款格式；</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6.投标文件格式。</w:t>
      </w:r>
    </w:p>
    <w:p>
      <w:pPr>
        <w:snapToGrid w:val="0"/>
        <w:spacing w:before="120" w:beforeLines="50" w:line="44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（二）投标人的风险</w:t>
      </w:r>
    </w:p>
    <w:p>
      <w:pPr>
        <w:pStyle w:val="34"/>
        <w:spacing w:line="440" w:lineRule="exact"/>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投标人没有按照招标文件要求提供全部资料，或者投标人没有对招标文件在各方面作出实质性响应是投标人的风险，并可能导致其投标被拒绝。</w:t>
      </w:r>
    </w:p>
    <w:p>
      <w:pPr>
        <w:pStyle w:val="14"/>
        <w:snapToGrid w:val="0"/>
        <w:spacing w:before="120" w:beforeLines="50" w:line="440" w:lineRule="exact"/>
        <w:ind w:left="0" w:firstLine="310" w:firstLineChars="147"/>
        <w:rPr>
          <w:rFonts w:ascii="宋体" w:hAnsi="宋体"/>
          <w:b/>
          <w:color w:val="auto"/>
          <w:szCs w:val="21"/>
          <w:highlight w:val="none"/>
        </w:rPr>
      </w:pPr>
      <w:r>
        <w:rPr>
          <w:rFonts w:hint="eastAsia" w:ascii="宋体" w:hAnsi="宋体"/>
          <w:b/>
          <w:color w:val="auto"/>
          <w:szCs w:val="21"/>
          <w:highlight w:val="none"/>
        </w:rPr>
        <w:t xml:space="preserve">（三）招标文件的澄清与修改 </w:t>
      </w:r>
    </w:p>
    <w:p>
      <w:pPr>
        <w:pStyle w:val="25"/>
        <w:snapToGrid w:val="0"/>
        <w:spacing w:line="440" w:lineRule="exact"/>
        <w:ind w:firstLine="424" w:firstLineChars="202"/>
        <w:rPr>
          <w:rFonts w:hAnsi="宋体"/>
          <w:color w:val="auto"/>
          <w:szCs w:val="21"/>
          <w:highlight w:val="none"/>
        </w:rPr>
      </w:pPr>
      <w:r>
        <w:rPr>
          <w:rFonts w:hint="eastAsia" w:hAnsi="宋体"/>
          <w:color w:val="auto"/>
          <w:szCs w:val="21"/>
          <w:highlight w:val="none"/>
        </w:rPr>
        <w:t>1.投标人如认为招标文件表述不清晰、存在歧视性、排他性或者其他违法内容的，应当于</w:t>
      </w:r>
      <w:r>
        <w:rPr>
          <w:rFonts w:hint="eastAsia" w:hAnsi="宋体"/>
          <w:color w:val="auto"/>
          <w:highlight w:val="none"/>
        </w:rPr>
        <w:t>收到采购文件之日或者采购文件公告期限届满之日起7个工作日内</w:t>
      </w:r>
      <w:r>
        <w:rPr>
          <w:rFonts w:hint="eastAsia" w:hAnsi="宋体"/>
          <w:color w:val="auto"/>
          <w:szCs w:val="21"/>
          <w:highlight w:val="none"/>
        </w:rPr>
        <w:t>，以书面形式要求招标采购单位作出书面解释、澄清或者向招标采购单位提出书面质疑；</w:t>
      </w:r>
      <w:r>
        <w:rPr>
          <w:rFonts w:hint="eastAsia" w:hAnsi="宋体"/>
          <w:bCs/>
          <w:color w:val="auto"/>
          <w:szCs w:val="21"/>
          <w:highlight w:val="none"/>
        </w:rPr>
        <w:t>否则视为认可有关条款</w:t>
      </w:r>
      <w:r>
        <w:rPr>
          <w:rFonts w:hint="eastAsia" w:hAnsi="宋体"/>
          <w:color w:val="auto"/>
          <w:szCs w:val="21"/>
          <w:highlight w:val="none"/>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3.招标文件澄清、答复、修改、补充的内容为招标文件的组成部分。当招标文件与招标文件的答复、澄清、修改、补充通知就同一内容的表述不一致时，以最后发出的书面文件为准。</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4.招标文件的澄清、答复、修改或补充都应该通过本采购代理机构以法定形式发布，采购人非通过本机构，不得擅自澄清、答复、修改或补充招标文件。</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25"/>
        <w:snapToGrid w:val="0"/>
        <w:spacing w:line="440" w:lineRule="exact"/>
        <w:ind w:firstLine="413" w:firstLineChars="196"/>
        <w:outlineLvl w:val="1"/>
        <w:rPr>
          <w:rFonts w:hAnsi="宋体"/>
          <w:b/>
          <w:color w:val="auto"/>
          <w:szCs w:val="21"/>
          <w:highlight w:val="none"/>
        </w:rPr>
      </w:pPr>
      <w:bookmarkStart w:id="35" w:name="_Toc254970676"/>
      <w:bookmarkStart w:id="36" w:name="_Toc254970535"/>
      <w:r>
        <w:rPr>
          <w:rFonts w:hint="eastAsia" w:hAnsi="宋体"/>
          <w:b/>
          <w:color w:val="auto"/>
          <w:szCs w:val="21"/>
          <w:highlight w:val="none"/>
        </w:rPr>
        <w:t>三、投标文件的编制</w:t>
      </w:r>
      <w:bookmarkEnd w:id="35"/>
      <w:bookmarkEnd w:id="36"/>
    </w:p>
    <w:p>
      <w:pPr>
        <w:snapToGrid w:val="0"/>
        <w:spacing w:line="440" w:lineRule="exact"/>
        <w:ind w:firstLine="207" w:firstLineChars="98"/>
        <w:jc w:val="left"/>
        <w:outlineLvl w:val="0"/>
        <w:rPr>
          <w:rFonts w:ascii="宋体" w:hAnsi="宋体"/>
          <w:b/>
          <w:color w:val="auto"/>
          <w:szCs w:val="21"/>
          <w:highlight w:val="none"/>
        </w:rPr>
      </w:pPr>
      <w:bookmarkStart w:id="37" w:name="_Toc254970677"/>
      <w:bookmarkStart w:id="38" w:name="_Toc254970536"/>
      <w:bookmarkStart w:id="39" w:name="_Toc23582"/>
      <w:r>
        <w:rPr>
          <w:rFonts w:hint="eastAsia" w:ascii="宋体" w:hAnsi="宋体"/>
          <w:b/>
          <w:color w:val="auto"/>
          <w:szCs w:val="21"/>
          <w:highlight w:val="none"/>
        </w:rPr>
        <w:t>（一）投标文件的组成</w:t>
      </w:r>
      <w:bookmarkEnd w:id="37"/>
      <w:bookmarkEnd w:id="38"/>
      <w:bookmarkEnd w:id="39"/>
    </w:p>
    <w:p>
      <w:pPr>
        <w:snapToGrid w:val="0"/>
        <w:spacing w:line="480" w:lineRule="exact"/>
        <w:ind w:firstLine="422" w:firstLineChars="200"/>
        <w:jc w:val="left"/>
        <w:rPr>
          <w:rFonts w:ascii="宋体" w:hAnsi="宋体" w:cs="Courier New"/>
          <w:b/>
          <w:color w:val="auto"/>
          <w:szCs w:val="21"/>
          <w:highlight w:val="none"/>
        </w:rPr>
      </w:pPr>
      <w:bookmarkStart w:id="40" w:name="_Toc254970678"/>
      <w:bookmarkStart w:id="41" w:name="_Toc254970537"/>
      <w:r>
        <w:rPr>
          <w:rFonts w:hint="eastAsia" w:ascii="宋体" w:hAnsi="宋体" w:cs="Courier New"/>
          <w:b/>
          <w:color w:val="auto"/>
          <w:szCs w:val="21"/>
          <w:highlight w:val="none"/>
        </w:rPr>
        <w:t>投标文件由正本1份、副本4份组成；（包括资格及商务文件、技术文件、投标报价文件三部分组成）。招标文件要求提供的各种复印件，须加盖投标人单位公章，否则其无效（含正、副本，正本与副本不一致的，以正本为准）。招标文件要求“必须提供”的证明等材料，投标人必须全部提供，缺一不可，否则投标无效。</w:t>
      </w:r>
    </w:p>
    <w:p>
      <w:pPr>
        <w:snapToGrid w:val="0"/>
        <w:spacing w:before="120" w:beforeLines="50" w:line="44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1. 资格及商务文件</w:t>
      </w:r>
    </w:p>
    <w:p>
      <w:pPr>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▲（1）投标声明书 (格式见附件) ；</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▲（2）法定代表人授权委托书和委托代理人正反面身份证复印件（委托代理时需要提供）(格式见附件)；</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▲（3）法定代表人正反面身份证复印件；</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▲（4）有效的营业执照副本复印件</w:t>
      </w:r>
      <w:r>
        <w:rPr>
          <w:rFonts w:ascii="宋体" w:hAnsi="宋体"/>
          <w:color w:val="auto"/>
          <w:szCs w:val="21"/>
          <w:highlight w:val="none"/>
        </w:rPr>
        <w:t>（</w:t>
      </w:r>
      <w:bookmarkStart w:id="42" w:name="OLE_LINK14"/>
      <w:r>
        <w:rPr>
          <w:rFonts w:hint="eastAsia" w:ascii="宋体" w:hAnsi="宋体"/>
          <w:color w:val="auto"/>
          <w:szCs w:val="21"/>
          <w:highlight w:val="none"/>
        </w:rPr>
        <w:t>必须提供</w:t>
      </w:r>
      <w:bookmarkEnd w:id="42"/>
      <w:r>
        <w:rPr>
          <w:rFonts w:ascii="宋体" w:hAnsi="宋体"/>
          <w:color w:val="auto"/>
          <w:szCs w:val="21"/>
          <w:highlight w:val="none"/>
        </w:rPr>
        <w:t>）</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color w:val="auto"/>
          <w:highlight w:val="none"/>
        </w:rPr>
        <w:t>投标人2019年财务报表复印件,如为新成立的投标人请按实际情况提供；</w:t>
      </w:r>
      <w:r>
        <w:rPr>
          <w:rFonts w:hint="eastAsia"/>
          <w:b/>
          <w:bCs/>
          <w:color w:val="auto"/>
          <w:highlight w:val="none"/>
        </w:rPr>
        <w:t>（</w:t>
      </w:r>
      <w:r>
        <w:rPr>
          <w:rFonts w:hint="eastAsia" w:ascii="宋体" w:hAnsi="宋体"/>
          <w:b/>
          <w:bCs/>
          <w:color w:val="auto"/>
          <w:szCs w:val="21"/>
          <w:highlight w:val="none"/>
        </w:rPr>
        <w:t>必须提供</w:t>
      </w:r>
      <w:r>
        <w:rPr>
          <w:rFonts w:hint="eastAsia" w:ascii="宋体" w:hAnsi="宋体"/>
          <w:b/>
          <w:bCs/>
          <w:color w:val="auto"/>
          <w:szCs w:val="21"/>
          <w:highlight w:val="none"/>
          <w:lang w:eastAsia="zh-CN"/>
        </w:rPr>
        <w:t>，</w:t>
      </w:r>
      <w:r>
        <w:rPr>
          <w:rFonts w:hint="eastAsia" w:hAnsi="宋体"/>
          <w:b/>
          <w:bCs/>
          <w:color w:val="auto"/>
          <w:highlight w:val="none"/>
        </w:rPr>
        <w:t>否则投标无效</w:t>
      </w:r>
      <w:r>
        <w:rPr>
          <w:rFonts w:hint="eastAsia"/>
          <w:b/>
          <w:bCs/>
          <w:color w:val="auto"/>
          <w:highlight w:val="none"/>
        </w:rPr>
        <w:t>）</w:t>
      </w:r>
    </w:p>
    <w:p>
      <w:pPr>
        <w:snapToGrid w:val="0"/>
        <w:spacing w:line="440" w:lineRule="exact"/>
        <w:ind w:firstLine="411" w:firstLineChars="196"/>
        <w:jc w:val="left"/>
        <w:rPr>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color w:val="auto"/>
          <w:highlight w:val="none"/>
        </w:rPr>
        <w:t>投标截止之日前半年内投标单位连续三个月的依法缴纳社保费的缴费凭证（复印件，格式自拟）；无缴费记录的，应提供由投标单位所在地社保部门出具的《依法缴纳或依法免缴社保费证明》（</w:t>
      </w:r>
      <w:r>
        <w:rPr>
          <w:rFonts w:hint="eastAsia" w:hAnsi="宋体"/>
          <w:b/>
          <w:bCs/>
          <w:color w:val="auto"/>
          <w:highlight w:val="none"/>
        </w:rPr>
        <w:t>必须提供，否则投标无效</w:t>
      </w:r>
      <w:r>
        <w:rPr>
          <w:rFonts w:hint="eastAsia"/>
          <w:color w:val="auto"/>
          <w:highlight w:val="none"/>
        </w:rPr>
        <w:t>）。</w:t>
      </w:r>
    </w:p>
    <w:p>
      <w:pPr>
        <w:snapToGrid w:val="0"/>
        <w:spacing w:line="440" w:lineRule="exact"/>
        <w:ind w:firstLine="411" w:firstLineChars="196"/>
        <w:jc w:val="left"/>
        <w:rPr>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color w:val="auto"/>
          <w:highlight w:val="none"/>
        </w:rPr>
        <w:t>投标人</w:t>
      </w:r>
      <w:r>
        <w:rPr>
          <w:rFonts w:hint="eastAsia" w:hAnsi="宋体" w:cs="宋体"/>
          <w:color w:val="auto"/>
          <w:highlight w:val="none"/>
        </w:rPr>
        <w:t>截标时间前半年连续三个月或以上</w:t>
      </w:r>
      <w:r>
        <w:rPr>
          <w:rFonts w:hint="eastAsia"/>
          <w:color w:val="auto"/>
          <w:highlight w:val="none"/>
        </w:rPr>
        <w:t>依法纳税的缴纳税费凭证复印件</w:t>
      </w:r>
      <w:r>
        <w:rPr>
          <w:rFonts w:hint="eastAsia" w:hAnsi="宋体"/>
          <w:b/>
          <w:bCs/>
          <w:color w:val="auto"/>
          <w:highlight w:val="none"/>
        </w:rPr>
        <w:t>（必须提供，否则投标无效）</w:t>
      </w:r>
      <w:r>
        <w:rPr>
          <w:rFonts w:hint="eastAsia"/>
          <w:color w:val="auto"/>
          <w:highlight w:val="none"/>
        </w:rPr>
        <w:t>；</w:t>
      </w:r>
    </w:p>
    <w:p>
      <w:pPr>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）商务响应表（格式见附件）；</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）无重大违法记录声明书（格式见附件）</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r>
        <w:rPr>
          <w:rFonts w:hint="eastAsia" w:ascii="宋体" w:hAnsi="宋体"/>
          <w:color w:val="auto"/>
          <w:szCs w:val="21"/>
          <w:highlight w:val="none"/>
        </w:rPr>
        <w:t>；</w:t>
      </w:r>
    </w:p>
    <w:p>
      <w:pPr>
        <w:snapToGrid w:val="0"/>
        <w:spacing w:line="398"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可作为</w:t>
      </w:r>
      <w:r>
        <w:rPr>
          <w:rFonts w:hint="eastAsia" w:ascii="宋体" w:hAnsi="宋体"/>
          <w:b/>
          <w:bCs/>
          <w:color w:val="auto"/>
          <w:szCs w:val="21"/>
          <w:highlight w:val="none"/>
        </w:rPr>
        <w:t>投标人资信评分的资质证明材料</w:t>
      </w:r>
      <w:r>
        <w:rPr>
          <w:rFonts w:hint="eastAsia" w:ascii="宋体" w:hAnsi="宋体"/>
          <w:color w:val="auto"/>
          <w:szCs w:val="21"/>
          <w:highlight w:val="none"/>
        </w:rPr>
        <w:t>（可选）：</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）投标人的类似成功案例的业绩证明文件（投标人同类项目的</w:t>
      </w:r>
      <w:r>
        <w:rPr>
          <w:rFonts w:hint="eastAsia" w:ascii="宋体" w:hAnsi="宋体"/>
          <w:b/>
          <w:color w:val="auto"/>
          <w:szCs w:val="21"/>
          <w:highlight w:val="none"/>
        </w:rPr>
        <w:t>中标通知书或合同</w:t>
      </w:r>
      <w:r>
        <w:rPr>
          <w:rFonts w:hint="eastAsia" w:ascii="宋体" w:hAnsi="宋体"/>
          <w:color w:val="auto"/>
          <w:szCs w:val="21"/>
          <w:highlight w:val="none"/>
        </w:rPr>
        <w:t>）；</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）节能环保等可予评分优惠的资质证书或文件；</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）投标人质量管理和环境认证体系等方面的资质证书或文件；</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）投标人认为可以证明其能力或业绩的其它材料。</w:t>
      </w:r>
    </w:p>
    <w:p>
      <w:pPr>
        <w:snapToGrid w:val="0"/>
        <w:spacing w:line="440" w:lineRule="exact"/>
        <w:ind w:firstLine="413" w:firstLineChars="196"/>
        <w:jc w:val="left"/>
        <w:rPr>
          <w:rFonts w:ascii="宋体" w:hAnsi="宋体"/>
          <w:b/>
          <w:bCs/>
          <w:color w:val="auto"/>
          <w:szCs w:val="21"/>
          <w:highlight w:val="none"/>
        </w:rPr>
      </w:pPr>
      <w:r>
        <w:rPr>
          <w:rFonts w:hint="eastAsia" w:ascii="宋体" w:hAnsi="宋体"/>
          <w:b/>
          <w:bCs/>
          <w:color w:val="auto"/>
          <w:szCs w:val="21"/>
          <w:highlight w:val="none"/>
        </w:rPr>
        <w:t>2.技术文件</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（1）对本项目系统总体要求的理解，包括：功能说明、性能指标及设备选型说明；</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（2）投标人拥有主要装备和检测设施的情况和现状；</w:t>
      </w:r>
    </w:p>
    <w:p>
      <w:pPr>
        <w:snapToGrid w:val="0"/>
        <w:spacing w:line="398" w:lineRule="exact"/>
        <w:ind w:firstLine="420" w:firstLineChars="200"/>
        <w:jc w:val="left"/>
        <w:rPr>
          <w:rFonts w:ascii="宋体" w:hAnsi="宋体"/>
          <w:b/>
          <w:bCs/>
          <w:color w:val="auto"/>
          <w:szCs w:val="21"/>
          <w:highlight w:val="none"/>
        </w:rPr>
      </w:pPr>
      <w:r>
        <w:rPr>
          <w:rFonts w:hint="eastAsia" w:ascii="宋体" w:hAnsi="宋体"/>
          <w:b w:val="0"/>
          <w:bCs w:val="0"/>
          <w:color w:val="auto"/>
          <w:szCs w:val="21"/>
          <w:highlight w:val="none"/>
        </w:rPr>
        <w:t>（3）</w:t>
      </w:r>
      <w:r>
        <w:rPr>
          <w:rFonts w:hint="eastAsia" w:ascii="宋体" w:hAnsi="宋体"/>
          <w:color w:val="auto"/>
          <w:szCs w:val="21"/>
          <w:highlight w:val="none"/>
          <w:lang w:eastAsia="zh-CN"/>
        </w:rPr>
        <w:t>货物采购需求</w:t>
      </w:r>
      <w:r>
        <w:rPr>
          <w:rFonts w:hint="eastAsia" w:ascii="宋体" w:hAnsi="宋体"/>
          <w:color w:val="auto"/>
          <w:szCs w:val="21"/>
          <w:highlight w:val="none"/>
        </w:rPr>
        <w:t>中要求响应或必须提供的材料；</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▲（4）设备配置清单（均不含报价）；</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▲（5）技术响应表；</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▲（6）投标人的服务承诺书</w:t>
      </w:r>
      <w:r>
        <w:rPr>
          <w:rFonts w:hint="eastAsia" w:ascii="宋体" w:hAnsi="宋体"/>
          <w:b/>
          <w:color w:val="auto"/>
          <w:szCs w:val="21"/>
          <w:highlight w:val="none"/>
        </w:rPr>
        <w:t>（含交付使用期、售后维保、技术服务、技术培训、服务承诺的内容和措施等，格式自拟；必须提供）</w:t>
      </w:r>
      <w:r>
        <w:rPr>
          <w:rFonts w:hint="eastAsia" w:ascii="宋体" w:hAnsi="宋体"/>
          <w:color w:val="auto"/>
          <w:szCs w:val="21"/>
          <w:highlight w:val="none"/>
        </w:rPr>
        <w:t>；</w:t>
      </w:r>
    </w:p>
    <w:p>
      <w:pPr>
        <w:snapToGrid w:val="0"/>
        <w:spacing w:line="44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3. 报价文件</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▲（1）投标函（格式见附件）；</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▲（2）开标一览表（单独封装，格式见附件）；</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▲（3）投标报价明细表（格式见附件）；</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tabs>
          <w:tab w:val="left" w:pos="3870"/>
          <w:tab w:val="left" w:pos="4085"/>
        </w:tabs>
        <w:snapToGrid w:val="0"/>
        <w:spacing w:line="440" w:lineRule="exact"/>
        <w:ind w:firstLine="630" w:firstLineChars="300"/>
        <w:jc w:val="left"/>
        <w:rPr>
          <w:rFonts w:ascii="宋体" w:hAnsi="宋体"/>
          <w:color w:val="auto"/>
          <w:szCs w:val="21"/>
          <w:highlight w:val="none"/>
        </w:rPr>
      </w:pPr>
      <w:r>
        <w:rPr>
          <w:rFonts w:hint="eastAsia" w:ascii="宋体" w:hAnsi="宋体"/>
          <w:color w:val="auto"/>
          <w:szCs w:val="21"/>
          <w:highlight w:val="none"/>
        </w:rPr>
        <w:t>（4）投标人针对报价需要说明的其他文件和说明（格式自拟）；</w:t>
      </w:r>
    </w:p>
    <w:p>
      <w:pPr>
        <w:tabs>
          <w:tab w:val="left" w:pos="3870"/>
          <w:tab w:val="left" w:pos="4085"/>
        </w:tabs>
        <w:snapToGrid w:val="0"/>
        <w:spacing w:line="440" w:lineRule="exact"/>
        <w:ind w:firstLine="630" w:firstLineChars="300"/>
        <w:jc w:val="left"/>
        <w:rPr>
          <w:rFonts w:ascii="宋体" w:hAnsi="宋体"/>
          <w:color w:val="auto"/>
          <w:szCs w:val="21"/>
          <w:highlight w:val="none"/>
        </w:rPr>
      </w:pPr>
      <w:r>
        <w:rPr>
          <w:rFonts w:hint="eastAsia" w:ascii="宋体" w:hAnsi="宋体"/>
          <w:color w:val="auto"/>
          <w:szCs w:val="21"/>
          <w:highlight w:val="none"/>
        </w:rPr>
        <w:t>（5）中小企业声明函。</w:t>
      </w:r>
    </w:p>
    <w:p>
      <w:pPr>
        <w:snapToGrid w:val="0"/>
        <w:spacing w:line="440" w:lineRule="exact"/>
        <w:ind w:left="420"/>
        <w:jc w:val="left"/>
        <w:rPr>
          <w:rFonts w:hint="eastAsia" w:ascii="宋体" w:hAnsi="宋体" w:eastAsia="宋体"/>
          <w:b/>
          <w:color w:val="auto"/>
          <w:szCs w:val="21"/>
          <w:highlight w:val="none"/>
          <w:lang w:eastAsia="zh-CN"/>
        </w:rPr>
      </w:pPr>
      <w:r>
        <w:rPr>
          <w:rFonts w:hint="eastAsia" w:ascii="宋体" w:hAnsi="宋体"/>
          <w:color w:val="auto"/>
          <w:szCs w:val="21"/>
          <w:highlight w:val="none"/>
        </w:rPr>
        <w:t>▲</w:t>
      </w:r>
      <w:r>
        <w:rPr>
          <w:rFonts w:hint="eastAsia" w:ascii="宋体" w:hAnsi="宋体"/>
          <w:b/>
          <w:color w:val="auto"/>
          <w:szCs w:val="21"/>
          <w:highlight w:val="none"/>
        </w:rPr>
        <w:t>注：法定代表人授权委托书、投标声明书、投标函、开标一览表必须由法定代表人或授权代表</w:t>
      </w:r>
      <w:r>
        <w:rPr>
          <w:rFonts w:hint="eastAsia" w:ascii="宋体" w:hAnsi="宋体"/>
          <w:b/>
          <w:color w:val="auto"/>
          <w:szCs w:val="21"/>
          <w:highlight w:val="none"/>
          <w:lang w:eastAsia="zh-CN"/>
        </w:rPr>
        <w:t>逐页</w:t>
      </w:r>
      <w:r>
        <w:rPr>
          <w:rFonts w:hint="eastAsia" w:ascii="宋体" w:hAnsi="宋体"/>
          <w:b/>
          <w:color w:val="auto"/>
          <w:szCs w:val="21"/>
          <w:highlight w:val="none"/>
        </w:rPr>
        <w:t>签名并加盖单位公章</w:t>
      </w:r>
      <w:r>
        <w:rPr>
          <w:rFonts w:hint="eastAsia" w:ascii="宋体" w:hAnsi="宋体"/>
          <w:b/>
          <w:color w:val="auto"/>
          <w:szCs w:val="21"/>
          <w:highlight w:val="none"/>
          <w:lang w:eastAsia="zh-CN"/>
        </w:rPr>
        <w:t>。</w:t>
      </w:r>
    </w:p>
    <w:p>
      <w:pPr>
        <w:snapToGrid w:val="0"/>
        <w:spacing w:line="440" w:lineRule="exact"/>
        <w:ind w:firstLine="413" w:firstLineChars="196"/>
        <w:jc w:val="left"/>
        <w:outlineLvl w:val="0"/>
        <w:rPr>
          <w:rFonts w:ascii="宋体" w:hAnsi="宋体"/>
          <w:b/>
          <w:color w:val="auto"/>
          <w:szCs w:val="21"/>
          <w:highlight w:val="none"/>
        </w:rPr>
      </w:pPr>
      <w:bookmarkStart w:id="43" w:name="_Toc25487"/>
      <w:r>
        <w:rPr>
          <w:rFonts w:hint="eastAsia" w:ascii="宋体" w:hAnsi="宋体"/>
          <w:b/>
          <w:color w:val="auto"/>
          <w:szCs w:val="21"/>
          <w:highlight w:val="none"/>
        </w:rPr>
        <w:t>（二）投标文件的语言及计量</w:t>
      </w:r>
      <w:bookmarkEnd w:id="40"/>
      <w:bookmarkEnd w:id="41"/>
      <w:bookmarkEnd w:id="43"/>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40" w:lineRule="exact"/>
        <w:ind w:firstLine="413" w:firstLineChars="196"/>
        <w:jc w:val="left"/>
        <w:outlineLvl w:val="0"/>
        <w:rPr>
          <w:rFonts w:ascii="宋体" w:hAnsi="宋体"/>
          <w:b/>
          <w:color w:val="auto"/>
          <w:szCs w:val="21"/>
          <w:highlight w:val="none"/>
        </w:rPr>
      </w:pPr>
      <w:bookmarkStart w:id="44" w:name="_Toc254970538"/>
      <w:bookmarkStart w:id="45" w:name="_Toc254970679"/>
      <w:bookmarkStart w:id="46" w:name="_Toc1327"/>
      <w:r>
        <w:rPr>
          <w:rFonts w:hint="eastAsia" w:ascii="宋体" w:hAnsi="宋体"/>
          <w:b/>
          <w:color w:val="auto"/>
          <w:szCs w:val="21"/>
          <w:highlight w:val="none"/>
        </w:rPr>
        <w:t>（三）投标报价</w:t>
      </w:r>
      <w:bookmarkEnd w:id="44"/>
      <w:bookmarkEnd w:id="45"/>
      <w:bookmarkEnd w:id="46"/>
    </w:p>
    <w:p>
      <w:pPr>
        <w:pStyle w:val="25"/>
        <w:snapToGrid w:val="0"/>
        <w:spacing w:line="440" w:lineRule="exact"/>
        <w:ind w:firstLine="420" w:firstLineChars="200"/>
        <w:jc w:val="left"/>
        <w:rPr>
          <w:rFonts w:hAnsi="宋体"/>
          <w:color w:val="auto"/>
          <w:szCs w:val="21"/>
          <w:highlight w:val="none"/>
        </w:rPr>
      </w:pPr>
      <w:r>
        <w:rPr>
          <w:rFonts w:hint="eastAsia" w:hAnsi="宋体"/>
          <w:color w:val="auto"/>
          <w:szCs w:val="21"/>
          <w:highlight w:val="none"/>
        </w:rPr>
        <w:t>1、投标报价应按招标文件中相关附表格式填写。</w:t>
      </w:r>
    </w:p>
    <w:p>
      <w:pPr>
        <w:spacing w:line="380" w:lineRule="exact"/>
        <w:ind w:firstLine="409" w:firstLineChars="195"/>
        <w:rPr>
          <w:rFonts w:ascii="宋体" w:hAnsi="宋体"/>
          <w:color w:val="auto"/>
          <w:szCs w:val="21"/>
          <w:highlight w:val="none"/>
        </w:rPr>
      </w:pPr>
      <w:r>
        <w:rPr>
          <w:rFonts w:hint="eastAsia" w:ascii="宋体" w:hAnsi="宋体"/>
          <w:color w:val="auto"/>
          <w:szCs w:val="21"/>
          <w:highlight w:val="none"/>
        </w:rPr>
        <w:t>2、投标报价是履行合同的最终价格，采用投标价格</w:t>
      </w:r>
      <w:r>
        <w:rPr>
          <w:rFonts w:hint="eastAsia" w:ascii="宋体" w:hAnsi="宋体"/>
          <w:bCs/>
          <w:color w:val="auto"/>
          <w:szCs w:val="21"/>
          <w:highlight w:val="none"/>
        </w:rPr>
        <w:t>为</w:t>
      </w:r>
      <w:r>
        <w:rPr>
          <w:rFonts w:hint="eastAsia" w:ascii="宋体" w:hAnsi="宋体"/>
          <w:b/>
          <w:bCs/>
          <w:color w:val="auto"/>
          <w:highlight w:val="none"/>
          <w:u w:val="single"/>
        </w:rPr>
        <w:t>固定价格，总价包干</w:t>
      </w:r>
      <w:r>
        <w:rPr>
          <w:rFonts w:hint="eastAsia" w:ascii="宋体" w:hAnsi="宋体"/>
          <w:color w:val="auto"/>
          <w:szCs w:val="21"/>
          <w:highlight w:val="none"/>
        </w:rPr>
        <w:t>，合同单价在合同实施期间不因市场价格变化因素而变动。投标人在报价时应考虑各方面因素、各种风险和自己的承受能力。本项目设有上限价，如果投标人的投标报价超出招标人设定的上限价作无效标处理。</w:t>
      </w:r>
      <w:r>
        <w:rPr>
          <w:rFonts w:hint="eastAsia" w:ascii="宋体" w:hAnsi="宋体"/>
          <w:b/>
          <w:color w:val="auto"/>
          <w:szCs w:val="21"/>
          <w:highlight w:val="none"/>
        </w:rPr>
        <w:t>经评标委员会审核严重不平衡的报价将不予接受</w:t>
      </w:r>
      <w:r>
        <w:rPr>
          <w:rFonts w:hint="eastAsia" w:ascii="宋体" w:hAnsi="宋体"/>
          <w:color w:val="auto"/>
          <w:szCs w:val="21"/>
          <w:highlight w:val="none"/>
        </w:rPr>
        <w:t>。</w:t>
      </w:r>
    </w:p>
    <w:p>
      <w:pPr>
        <w:tabs>
          <w:tab w:val="left" w:pos="52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14"/>
        <w:numPr>
          <w:ilvl w:val="0"/>
          <w:numId w:val="7"/>
        </w:numPr>
        <w:snapToGrid w:val="0"/>
        <w:spacing w:before="120" w:beforeLines="50" w:line="440" w:lineRule="exact"/>
        <w:rPr>
          <w:rFonts w:ascii="宋体" w:hAnsi="宋体"/>
          <w:b/>
          <w:color w:val="auto"/>
          <w:szCs w:val="21"/>
          <w:highlight w:val="none"/>
        </w:rPr>
      </w:pPr>
      <w:r>
        <w:rPr>
          <w:rFonts w:hint="eastAsia" w:ascii="宋体" w:hAnsi="宋体"/>
          <w:b/>
          <w:color w:val="auto"/>
          <w:szCs w:val="21"/>
          <w:highlight w:val="none"/>
        </w:rPr>
        <w:t>投标文件的有效期</w:t>
      </w:r>
    </w:p>
    <w:p>
      <w:pPr>
        <w:pStyle w:val="14"/>
        <w:snapToGrid w:val="0"/>
        <w:spacing w:before="120" w:beforeLines="50" w:line="440" w:lineRule="exact"/>
        <w:ind w:left="310" w:firstLine="0"/>
        <w:rPr>
          <w:rFonts w:ascii="宋体" w:hAnsi="宋体"/>
          <w:color w:val="auto"/>
          <w:szCs w:val="21"/>
          <w:highlight w:val="none"/>
        </w:rPr>
      </w:pPr>
      <w:r>
        <w:rPr>
          <w:rFonts w:hint="eastAsia" w:ascii="宋体" w:hAnsi="宋体"/>
          <w:color w:val="auto"/>
          <w:szCs w:val="21"/>
          <w:highlight w:val="none"/>
        </w:rPr>
        <w:t>▲1、自投标截止日起</w:t>
      </w:r>
      <w:r>
        <w:rPr>
          <w:rFonts w:hint="eastAsia" w:ascii="宋体" w:hAnsi="宋体"/>
          <w:color w:val="auto"/>
          <w:szCs w:val="21"/>
          <w:highlight w:val="none"/>
          <w:u w:val="single"/>
        </w:rPr>
        <w:t>90</w:t>
      </w:r>
      <w:r>
        <w:rPr>
          <w:rFonts w:hint="eastAsia" w:ascii="宋体" w:hAnsi="宋体"/>
          <w:color w:val="auto"/>
          <w:szCs w:val="21"/>
          <w:highlight w:val="none"/>
        </w:rPr>
        <w:t>天投标文件应保持有效。有效期不足的投标文件将被拒绝。</w:t>
      </w:r>
    </w:p>
    <w:p>
      <w:pPr>
        <w:pStyle w:val="14"/>
        <w:snapToGrid w:val="0"/>
        <w:spacing w:before="120" w:beforeLines="50" w:line="440" w:lineRule="exact"/>
        <w:ind w:left="310" w:firstLine="210" w:firstLineChars="100"/>
        <w:rPr>
          <w:rFonts w:ascii="宋体" w:hAnsi="宋体"/>
          <w:b/>
          <w:color w:val="auto"/>
          <w:szCs w:val="21"/>
          <w:highlight w:val="none"/>
        </w:rPr>
      </w:pPr>
      <w:r>
        <w:rPr>
          <w:rFonts w:hint="eastAsia" w:ascii="宋体" w:hAnsi="宋体"/>
          <w:color w:val="auto"/>
          <w:szCs w:val="21"/>
          <w:highlight w:val="none"/>
        </w:rPr>
        <w:t>2、在特殊情况下，招标人可与投标人协商延长投标书的有效期，这种要求和答复均以书面形式进行。</w:t>
      </w:r>
      <w:bookmarkStart w:id="47" w:name="_Toc254970681"/>
      <w:bookmarkStart w:id="48" w:name="_Toc254970540"/>
    </w:p>
    <w:p>
      <w:pPr>
        <w:pStyle w:val="14"/>
        <w:snapToGrid w:val="0"/>
        <w:spacing w:line="440" w:lineRule="exact"/>
        <w:ind w:left="525" w:leftChars="250" w:firstLine="0"/>
        <w:rPr>
          <w:rFonts w:ascii="宋体" w:hAnsi="宋体"/>
          <w:b/>
          <w:color w:val="auto"/>
          <w:szCs w:val="21"/>
          <w:highlight w:val="none"/>
        </w:rPr>
      </w:pPr>
      <w:r>
        <w:rPr>
          <w:rFonts w:hint="eastAsia" w:ascii="宋体" w:hAnsi="宋体"/>
          <w:color w:val="auto"/>
          <w:szCs w:val="21"/>
          <w:highlight w:val="none"/>
        </w:rPr>
        <w:t>3、中标人的投标文件自开标之日起至合同履行完毕止均应保持有效。</w:t>
      </w:r>
      <w:bookmarkEnd w:id="47"/>
      <w:bookmarkEnd w:id="48"/>
    </w:p>
    <w:p>
      <w:pPr>
        <w:snapToGrid w:val="0"/>
        <w:spacing w:before="120" w:beforeLines="50" w:line="440" w:lineRule="exact"/>
        <w:ind w:firstLine="413" w:firstLineChars="196"/>
        <w:jc w:val="left"/>
        <w:outlineLvl w:val="0"/>
        <w:rPr>
          <w:rFonts w:ascii="宋体" w:hAnsi="宋体"/>
          <w:b/>
          <w:color w:val="auto"/>
          <w:szCs w:val="21"/>
          <w:highlight w:val="none"/>
        </w:rPr>
      </w:pPr>
      <w:bookmarkStart w:id="49" w:name="_Toc254970542"/>
      <w:bookmarkStart w:id="50" w:name="_Toc254970683"/>
      <w:bookmarkStart w:id="51" w:name="_Toc16491"/>
      <w:r>
        <w:rPr>
          <w:rFonts w:hint="eastAsia" w:ascii="宋体" w:hAnsi="宋体"/>
          <w:b/>
          <w:color w:val="auto"/>
          <w:szCs w:val="21"/>
          <w:highlight w:val="none"/>
        </w:rPr>
        <w:t>（五）投标文件的签署和份数</w:t>
      </w:r>
      <w:bookmarkEnd w:id="49"/>
      <w:bookmarkEnd w:id="50"/>
      <w:bookmarkEnd w:id="51"/>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2、投标人将资格及商务文件、技术文件按顺序装订成一本投标文件，报价文件单独装订成册，正本1份，副本</w:t>
      </w:r>
      <w:r>
        <w:rPr>
          <w:rFonts w:hint="eastAsia" w:ascii="宋体" w:hAnsi="宋体"/>
          <w:color w:val="auto"/>
          <w:szCs w:val="21"/>
          <w:highlight w:val="none"/>
          <w:u w:val="single"/>
        </w:rPr>
        <w:t>4</w:t>
      </w:r>
      <w:r>
        <w:rPr>
          <w:rFonts w:hint="eastAsia" w:ascii="宋体" w:hAnsi="宋体"/>
          <w:color w:val="auto"/>
          <w:szCs w:val="21"/>
          <w:highlight w:val="none"/>
        </w:rPr>
        <w:t>份。投标文件的封面应注明“正本”、“副本”字样。活页装订的投标文件将被拒绝。</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3、投标文件的正本需打印或用不褪色的墨水填写，投标文件正本除本《投标人须知》中规定的可提供复印件外均须提供原件。副本为正本的复印件。</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4、投标文件须由投标人在规定位置盖章并由法定代表人或法定代表人的授权委托人签署，投标人应写全称。</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5、投标文件不得涂改，若有修改错漏处，须加盖单位公章或者法定代表人或授权委托人签字或盖章。投标文件因字迹潦草或表达不清所引起的后果由投标人负责。</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6、投标报价明细表如有跨页，每页必须有</w:t>
      </w:r>
      <w:r>
        <w:rPr>
          <w:rFonts w:hint="eastAsia" w:ascii="宋体" w:hAnsi="宋体"/>
          <w:color w:val="auto"/>
          <w:szCs w:val="20"/>
          <w:highlight w:val="none"/>
        </w:rPr>
        <w:t>法定代表人或委托代理人签字并加盖投标人盖章，否则投标无效。</w:t>
      </w:r>
    </w:p>
    <w:p>
      <w:pPr>
        <w:snapToGrid w:val="0"/>
        <w:spacing w:before="120" w:beforeLines="50" w:line="440" w:lineRule="exact"/>
        <w:ind w:firstLine="310" w:firstLineChars="147"/>
        <w:jc w:val="left"/>
        <w:rPr>
          <w:rFonts w:ascii="宋体" w:hAnsi="宋体"/>
          <w:b/>
          <w:color w:val="auto"/>
          <w:szCs w:val="21"/>
          <w:highlight w:val="none"/>
        </w:rPr>
      </w:pPr>
      <w:r>
        <w:rPr>
          <w:rFonts w:hint="eastAsia" w:ascii="宋体" w:hAnsi="宋体"/>
          <w:b/>
          <w:color w:val="auto"/>
          <w:szCs w:val="21"/>
          <w:highlight w:val="none"/>
        </w:rPr>
        <w:t>（六）投标文件的包装、递交、修改和撤回</w:t>
      </w:r>
    </w:p>
    <w:p>
      <w:pPr>
        <w:snapToGrid w:val="0"/>
        <w:spacing w:line="440" w:lineRule="exact"/>
        <w:ind w:firstLine="420" w:firstLineChars="200"/>
        <w:jc w:val="left"/>
        <w:rPr>
          <w:rFonts w:ascii="宋体" w:hAnsi="宋体"/>
          <w:color w:val="auto"/>
          <w:szCs w:val="21"/>
          <w:highlight w:val="none"/>
        </w:rPr>
      </w:pPr>
      <w:bookmarkStart w:id="52" w:name="_Toc254970684"/>
      <w:bookmarkStart w:id="53" w:name="_Toc254970543"/>
      <w:r>
        <w:rPr>
          <w:rFonts w:hint="eastAsia" w:ascii="宋体" w:hAnsi="宋体"/>
          <w:color w:val="auto"/>
          <w:szCs w:val="21"/>
          <w:highlight w:val="none"/>
        </w:rPr>
        <w:t>1、投标文件的正副本全部密封在一个包封的投标文件袋（盒、箱），封口处必须盖密封章后加盖投标人单位公章或密封章或法定代表人（或委托代理人）签字均可。投标文件的的投标文件袋（盒、箱）的封面上应注明投标人名称、投标人地址、项目名称、项目编号、标项（如有）及“在  年  月  日  时  分之前不得启封”字样，并加盖投标人</w:t>
      </w:r>
      <w:r>
        <w:rPr>
          <w:rFonts w:hint="eastAsia" w:ascii="宋体" w:hAnsi="宋体"/>
          <w:color w:val="auto"/>
          <w:szCs w:val="21"/>
          <w:highlight w:val="none"/>
          <w:lang w:eastAsia="zh-CN"/>
        </w:rPr>
        <w:t>单位</w:t>
      </w:r>
      <w:r>
        <w:rPr>
          <w:rFonts w:hint="eastAsia" w:ascii="宋体" w:hAnsi="宋体"/>
          <w:color w:val="auto"/>
          <w:szCs w:val="21"/>
          <w:highlight w:val="none"/>
        </w:rPr>
        <w:t>公章。</w:t>
      </w:r>
      <w:bookmarkStart w:id="142" w:name="_GoBack"/>
      <w:bookmarkEnd w:id="142"/>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before="120" w:beforeLines="50" w:line="440" w:lineRule="exact"/>
        <w:ind w:firstLine="411" w:firstLineChars="196"/>
        <w:rPr>
          <w:rFonts w:ascii="宋体" w:hAnsi="宋体"/>
          <w:color w:val="auto"/>
          <w:szCs w:val="21"/>
          <w:highlight w:val="none"/>
        </w:rPr>
      </w:pPr>
      <w:r>
        <w:rPr>
          <w:rFonts w:hint="eastAsia" w:ascii="宋体" w:hAnsi="宋体"/>
          <w:color w:val="auto"/>
          <w:szCs w:val="21"/>
          <w:highlight w:val="none"/>
        </w:rPr>
        <w:t>3、未按规定密封或标记的投标文件将被拒绝，由此造成投标文件被误投、拒收或提前拆封的风险由投标人承担。</w:t>
      </w:r>
    </w:p>
    <w:p>
      <w:pPr>
        <w:snapToGrid w:val="0"/>
        <w:spacing w:before="120" w:beforeLines="50" w:line="440" w:lineRule="exact"/>
        <w:ind w:firstLine="413" w:firstLineChars="196"/>
        <w:outlineLvl w:val="2"/>
        <w:rPr>
          <w:rFonts w:ascii="宋体" w:hAnsi="宋体"/>
          <w:b/>
          <w:color w:val="auto"/>
          <w:szCs w:val="21"/>
          <w:highlight w:val="none"/>
        </w:rPr>
      </w:pPr>
      <w:r>
        <w:rPr>
          <w:rFonts w:hint="eastAsia" w:ascii="宋体" w:hAnsi="宋体"/>
          <w:b/>
          <w:color w:val="auto"/>
          <w:szCs w:val="21"/>
          <w:highlight w:val="none"/>
        </w:rPr>
        <w:t>（七）投标无效的情形</w:t>
      </w:r>
      <w:bookmarkEnd w:id="52"/>
      <w:bookmarkEnd w:id="53"/>
    </w:p>
    <w:p>
      <w:pPr>
        <w:snapToGri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实质上没有响应招标文件要求的投标将被视为无效投标。投标人不得通过修正或撤消不合要求的偏离或保留从而使其投标成为实质上响应的投标。</w:t>
      </w:r>
    </w:p>
    <w:p>
      <w:pPr>
        <w:snapToGrid w:val="0"/>
        <w:spacing w:line="440" w:lineRule="exact"/>
        <w:ind w:firstLine="413" w:firstLineChars="196"/>
        <w:rPr>
          <w:rFonts w:hAnsi="宋体"/>
          <w:b/>
          <w:color w:val="auto"/>
          <w:szCs w:val="21"/>
          <w:highlight w:val="none"/>
        </w:rPr>
      </w:pPr>
      <w:r>
        <w:rPr>
          <w:rFonts w:hint="eastAsia" w:ascii="宋体" w:hAnsi="宋体"/>
          <w:b/>
          <w:bCs/>
          <w:color w:val="auto"/>
          <w:szCs w:val="21"/>
          <w:highlight w:val="none"/>
        </w:rPr>
        <w:t>1、</w:t>
      </w:r>
      <w:r>
        <w:rPr>
          <w:rFonts w:hint="eastAsia" w:hAnsi="宋体"/>
          <w:b/>
          <w:color w:val="auto"/>
          <w:szCs w:val="21"/>
          <w:highlight w:val="none"/>
        </w:rPr>
        <w:t>招标文件未按照规定装订或密封的，或开标会上检查资料不完善的，其投标文件将被视为无效。</w:t>
      </w:r>
    </w:p>
    <w:p>
      <w:pPr>
        <w:snapToGrid w:val="0"/>
        <w:spacing w:line="44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2、在符合性审查和</w:t>
      </w:r>
      <w:r>
        <w:rPr>
          <w:rFonts w:hint="eastAsia" w:ascii="宋体" w:hAnsi="宋体" w:cs="Courier New"/>
          <w:b/>
          <w:bCs/>
          <w:color w:val="auto"/>
          <w:szCs w:val="21"/>
          <w:highlight w:val="none"/>
        </w:rPr>
        <w:t>资格性审查时</w:t>
      </w:r>
      <w:r>
        <w:rPr>
          <w:rFonts w:hint="eastAsia" w:ascii="宋体" w:hAnsi="宋体"/>
          <w:b/>
          <w:bCs/>
          <w:color w:val="auto"/>
          <w:szCs w:val="21"/>
          <w:highlight w:val="none"/>
        </w:rPr>
        <w:t>，如发现下列情形之一的，投标文件将被视为无效：</w:t>
      </w:r>
    </w:p>
    <w:p>
      <w:pPr>
        <w:snapToGrid w:val="0"/>
        <w:spacing w:line="440" w:lineRule="exact"/>
        <w:ind w:firstLine="411" w:firstLineChars="196"/>
        <w:rPr>
          <w:rFonts w:ascii="宋体" w:hAnsi="宋体" w:cs="仿宋_GB2312"/>
          <w:color w:val="auto"/>
          <w:szCs w:val="21"/>
          <w:highlight w:val="none"/>
        </w:rPr>
      </w:pPr>
      <w:r>
        <w:rPr>
          <w:rFonts w:hint="eastAsia" w:ascii="宋体" w:hAnsi="宋体" w:cs="仿宋_GB2312"/>
          <w:color w:val="auto"/>
          <w:szCs w:val="21"/>
          <w:highlight w:val="none"/>
        </w:rPr>
        <w:t>（1）超越了按照法律法规规定必须获得行政许可或者行政审批的经营范围的；</w:t>
      </w:r>
    </w:p>
    <w:p>
      <w:pPr>
        <w:snapToGrid w:val="0"/>
        <w:spacing w:line="440" w:lineRule="exact"/>
        <w:ind w:firstLine="411" w:firstLineChars="196"/>
        <w:rPr>
          <w:rFonts w:ascii="宋体" w:hAnsi="宋体" w:cs="仿宋_GB2312"/>
          <w:color w:val="auto"/>
          <w:szCs w:val="21"/>
          <w:highlight w:val="none"/>
        </w:rPr>
      </w:pPr>
      <w:r>
        <w:rPr>
          <w:rFonts w:hint="eastAsia" w:ascii="宋体" w:hAnsi="宋体" w:cs="仿宋_GB2312"/>
          <w:color w:val="auto"/>
          <w:szCs w:val="21"/>
          <w:highlight w:val="none"/>
        </w:rPr>
        <w:t>（2）资格证明文件不全的，或者不符合招标文件标明的资格要求的</w:t>
      </w:r>
    </w:p>
    <w:p>
      <w:pPr>
        <w:snapToGrid w:val="0"/>
        <w:spacing w:line="440" w:lineRule="exact"/>
        <w:ind w:firstLine="411" w:firstLineChars="196"/>
        <w:rPr>
          <w:rFonts w:ascii="宋体" w:hAnsi="宋体" w:cs="仿宋_GB2312"/>
          <w:color w:val="auto"/>
          <w:szCs w:val="21"/>
          <w:highlight w:val="none"/>
        </w:rPr>
      </w:pPr>
      <w:r>
        <w:rPr>
          <w:rFonts w:hint="eastAsia" w:ascii="宋体" w:hAnsi="宋体" w:cs="仿宋_GB2312"/>
          <w:color w:val="auto"/>
          <w:szCs w:val="21"/>
          <w:highlight w:val="none"/>
        </w:rPr>
        <w:t>（3）投标文件无法定代表人签字，或未提供法定代表人授权委托书、投标声明书或者填写项目不齐全的；</w:t>
      </w:r>
    </w:p>
    <w:p>
      <w:pPr>
        <w:snapToGrid w:val="0"/>
        <w:spacing w:line="440" w:lineRule="exact"/>
        <w:ind w:firstLine="411" w:firstLineChars="196"/>
        <w:rPr>
          <w:rFonts w:ascii="宋体" w:hAnsi="宋体" w:cs="仿宋_GB2312"/>
          <w:color w:val="auto"/>
          <w:szCs w:val="21"/>
          <w:highlight w:val="none"/>
        </w:rPr>
      </w:pPr>
      <w:r>
        <w:rPr>
          <w:rFonts w:hint="eastAsia" w:ascii="宋体" w:hAnsi="宋体" w:cs="仿宋_GB2312"/>
          <w:color w:val="auto"/>
          <w:szCs w:val="21"/>
          <w:highlight w:val="none"/>
        </w:rPr>
        <w:t xml:space="preserve">（4）投标代表人未能出具身份证明或与法定代表人授权委托人身份不符的； </w:t>
      </w:r>
    </w:p>
    <w:p>
      <w:pPr>
        <w:pStyle w:val="21"/>
        <w:snapToGrid w:val="0"/>
        <w:spacing w:line="440" w:lineRule="exact"/>
        <w:ind w:firstLine="411" w:firstLineChars="196"/>
        <w:rPr>
          <w:rFonts w:hAnsi="宋体" w:cs="仿宋_GB2312"/>
          <w:color w:val="auto"/>
          <w:spacing w:val="0"/>
          <w:sz w:val="21"/>
          <w:szCs w:val="21"/>
          <w:highlight w:val="none"/>
        </w:rPr>
      </w:pPr>
      <w:r>
        <w:rPr>
          <w:rFonts w:hint="eastAsia" w:hAnsi="宋体" w:cs="仿宋_GB2312"/>
          <w:color w:val="auto"/>
          <w:spacing w:val="0"/>
          <w:sz w:val="21"/>
          <w:szCs w:val="21"/>
          <w:highlight w:val="none"/>
        </w:rPr>
        <w:t>（5）项目不齐全或者内容虚假的；</w:t>
      </w:r>
    </w:p>
    <w:p>
      <w:pPr>
        <w:pStyle w:val="21"/>
        <w:snapToGrid w:val="0"/>
        <w:spacing w:line="440" w:lineRule="exact"/>
        <w:ind w:firstLine="411" w:firstLineChars="196"/>
        <w:rPr>
          <w:rFonts w:hAnsi="宋体" w:cs="仿宋_GB2312"/>
          <w:color w:val="auto"/>
          <w:spacing w:val="0"/>
          <w:sz w:val="21"/>
          <w:szCs w:val="21"/>
          <w:highlight w:val="none"/>
        </w:rPr>
      </w:pPr>
      <w:r>
        <w:rPr>
          <w:rFonts w:hint="eastAsia" w:hAnsi="宋体" w:cs="仿宋_GB2312"/>
          <w:color w:val="auto"/>
          <w:spacing w:val="0"/>
          <w:sz w:val="21"/>
          <w:szCs w:val="21"/>
          <w:highlight w:val="none"/>
        </w:rPr>
        <w:t>（6）投标文件的实质性内容未使用中文表述、意思表述不明确、前后矛盾或者使用计量单位不符合招标文件要求的；</w:t>
      </w:r>
    </w:p>
    <w:p>
      <w:pPr>
        <w:pStyle w:val="21"/>
        <w:snapToGrid w:val="0"/>
        <w:spacing w:line="440" w:lineRule="exact"/>
        <w:ind w:firstLine="411" w:firstLineChars="196"/>
        <w:rPr>
          <w:rFonts w:hAnsi="宋体" w:cs="仿宋_GB2312"/>
          <w:color w:val="auto"/>
          <w:spacing w:val="0"/>
          <w:sz w:val="21"/>
          <w:szCs w:val="21"/>
          <w:highlight w:val="none"/>
        </w:rPr>
      </w:pPr>
      <w:r>
        <w:rPr>
          <w:rFonts w:hint="eastAsia" w:hAnsi="宋体" w:cs="仿宋_GB2312"/>
          <w:color w:val="auto"/>
          <w:spacing w:val="0"/>
          <w:sz w:val="21"/>
          <w:szCs w:val="21"/>
          <w:highlight w:val="none"/>
        </w:rPr>
        <w:t>（7）投标有效期、交付使用时间、质保期等商务条款不能满足招标文件要求的；</w:t>
      </w:r>
    </w:p>
    <w:p>
      <w:pPr>
        <w:pStyle w:val="21"/>
        <w:snapToGrid w:val="0"/>
        <w:spacing w:line="440" w:lineRule="exact"/>
        <w:ind w:firstLine="411" w:firstLineChars="196"/>
        <w:rPr>
          <w:rFonts w:hAnsi="宋体"/>
          <w:color w:val="auto"/>
          <w:sz w:val="21"/>
          <w:szCs w:val="21"/>
          <w:highlight w:val="none"/>
        </w:rPr>
      </w:pPr>
      <w:r>
        <w:rPr>
          <w:rFonts w:hint="eastAsia" w:hAnsi="宋体" w:cs="仿宋_GB2312"/>
          <w:color w:val="auto"/>
          <w:spacing w:val="0"/>
          <w:sz w:val="21"/>
          <w:szCs w:val="21"/>
          <w:highlight w:val="none"/>
        </w:rPr>
        <w:t>（8）未</w:t>
      </w:r>
      <w:r>
        <w:rPr>
          <w:rFonts w:hint="eastAsia" w:hAnsi="宋体"/>
          <w:color w:val="auto"/>
          <w:sz w:val="21"/>
          <w:szCs w:val="21"/>
          <w:highlight w:val="none"/>
        </w:rPr>
        <w:t>实质性响应招标文件要求或者投标文件有采购人不能接受的附加条件的；</w:t>
      </w:r>
    </w:p>
    <w:p>
      <w:pPr>
        <w:pStyle w:val="21"/>
        <w:snapToGrid w:val="0"/>
        <w:spacing w:line="440" w:lineRule="exact"/>
        <w:ind w:firstLine="398" w:firstLineChars="196"/>
        <w:rPr>
          <w:rFonts w:hAnsi="宋体"/>
          <w:b/>
          <w:bCs/>
          <w:color w:val="auto"/>
          <w:sz w:val="21"/>
          <w:szCs w:val="21"/>
          <w:highlight w:val="none"/>
        </w:rPr>
      </w:pPr>
      <w:r>
        <w:rPr>
          <w:rFonts w:hint="eastAsia" w:hAnsi="宋体"/>
          <w:b/>
          <w:bCs/>
          <w:color w:val="auto"/>
          <w:sz w:val="21"/>
          <w:szCs w:val="21"/>
          <w:highlight w:val="none"/>
        </w:rPr>
        <w:t>2、在技术评审时，如发现下列情形之一的，投标文件将被视为无效：</w:t>
      </w:r>
    </w:p>
    <w:p>
      <w:pPr>
        <w:pStyle w:val="21"/>
        <w:snapToGrid w:val="0"/>
        <w:spacing w:line="440" w:lineRule="exact"/>
        <w:ind w:firstLine="395" w:firstLineChars="196"/>
        <w:rPr>
          <w:rFonts w:hAnsi="宋体"/>
          <w:color w:val="auto"/>
          <w:sz w:val="21"/>
          <w:szCs w:val="21"/>
          <w:highlight w:val="none"/>
        </w:rPr>
      </w:pPr>
      <w:r>
        <w:rPr>
          <w:rFonts w:hint="eastAsia" w:hAnsi="宋体"/>
          <w:color w:val="auto"/>
          <w:sz w:val="21"/>
          <w:szCs w:val="21"/>
          <w:highlight w:val="none"/>
        </w:rPr>
        <w:t>（1）未提供</w:t>
      </w:r>
      <w:r>
        <w:rPr>
          <w:rFonts w:hint="eastAsia" w:hAnsi="宋体"/>
          <w:bCs/>
          <w:color w:val="auto"/>
          <w:sz w:val="21"/>
          <w:szCs w:val="21"/>
          <w:highlight w:val="none"/>
        </w:rPr>
        <w:t>服务实施方案</w:t>
      </w:r>
      <w:r>
        <w:rPr>
          <w:rFonts w:hint="eastAsia" w:hAnsi="宋体"/>
          <w:color w:val="auto"/>
          <w:sz w:val="21"/>
          <w:szCs w:val="21"/>
          <w:highlight w:val="none"/>
        </w:rPr>
        <w:t>或其方案不切实可行的；</w:t>
      </w:r>
    </w:p>
    <w:p>
      <w:pPr>
        <w:pStyle w:val="21"/>
        <w:snapToGrid w:val="0"/>
        <w:spacing w:line="440" w:lineRule="exact"/>
        <w:ind w:firstLine="0"/>
        <w:rPr>
          <w:rFonts w:hAnsi="宋体"/>
          <w:color w:val="auto"/>
          <w:sz w:val="21"/>
          <w:szCs w:val="21"/>
          <w:highlight w:val="none"/>
        </w:rPr>
      </w:pPr>
      <w:r>
        <w:rPr>
          <w:rFonts w:hint="eastAsia" w:hAnsi="宋体"/>
          <w:color w:val="auto"/>
          <w:sz w:val="21"/>
          <w:szCs w:val="21"/>
          <w:highlight w:val="none"/>
        </w:rPr>
        <w:t xml:space="preserve">    （</w:t>
      </w:r>
      <w:r>
        <w:rPr>
          <w:rFonts w:hAnsi="宋体"/>
          <w:color w:val="auto"/>
          <w:sz w:val="21"/>
          <w:szCs w:val="21"/>
          <w:highlight w:val="none"/>
        </w:rPr>
        <w:t>2</w:t>
      </w:r>
      <w:r>
        <w:rPr>
          <w:rFonts w:hint="eastAsia" w:hAnsi="宋体"/>
          <w:color w:val="auto"/>
          <w:sz w:val="21"/>
          <w:szCs w:val="21"/>
          <w:highlight w:val="none"/>
        </w:rPr>
        <w:t>）投标技术方案不明确，存在一个或一个以上备选（替代）投标方案的；</w:t>
      </w:r>
    </w:p>
    <w:p>
      <w:pPr>
        <w:pStyle w:val="21"/>
        <w:snapToGrid w:val="0"/>
        <w:spacing w:line="440" w:lineRule="exact"/>
        <w:ind w:firstLine="404" w:firstLineChars="20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）投标供应商的投标文件（技术文件）的文字表述内容相同连续20行以上或者差错相同2处以上的均作无效处理。</w:t>
      </w:r>
    </w:p>
    <w:p>
      <w:pPr>
        <w:pStyle w:val="21"/>
        <w:snapToGrid w:val="0"/>
        <w:spacing w:line="440" w:lineRule="exact"/>
        <w:ind w:firstLine="404" w:firstLineChars="20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4</w:t>
      </w:r>
      <w:r>
        <w:rPr>
          <w:rFonts w:hint="eastAsia" w:hAnsi="宋体"/>
          <w:color w:val="auto"/>
          <w:sz w:val="21"/>
          <w:szCs w:val="21"/>
          <w:highlight w:val="none"/>
        </w:rPr>
        <w:t>）每个货物允许偏离的技术、性能指标或者辅助功能项目发生负偏离超过</w:t>
      </w:r>
      <w:r>
        <w:rPr>
          <w:rFonts w:hint="eastAsia" w:hAnsi="宋体"/>
          <w:color w:val="auto"/>
          <w:sz w:val="21"/>
          <w:szCs w:val="21"/>
          <w:highlight w:val="none"/>
          <w:u w:val="single"/>
        </w:rPr>
        <w:t>1</w:t>
      </w:r>
      <w:r>
        <w:rPr>
          <w:rFonts w:hint="eastAsia" w:hAnsi="宋体"/>
          <w:color w:val="auto"/>
          <w:sz w:val="21"/>
          <w:szCs w:val="21"/>
          <w:highlight w:val="none"/>
        </w:rPr>
        <w:t>项及以上的；</w:t>
      </w:r>
    </w:p>
    <w:p>
      <w:pPr>
        <w:pStyle w:val="21"/>
        <w:snapToGrid w:val="0"/>
        <w:spacing w:line="440" w:lineRule="exact"/>
        <w:ind w:firstLine="398" w:firstLineChars="196"/>
        <w:rPr>
          <w:rFonts w:hAnsi="宋体"/>
          <w:b/>
          <w:bCs/>
          <w:color w:val="auto"/>
          <w:sz w:val="21"/>
          <w:szCs w:val="21"/>
          <w:highlight w:val="none"/>
        </w:rPr>
      </w:pPr>
      <w:r>
        <w:rPr>
          <w:rFonts w:hint="eastAsia" w:hAnsi="宋体"/>
          <w:b/>
          <w:bCs/>
          <w:color w:val="auto"/>
          <w:sz w:val="21"/>
          <w:szCs w:val="21"/>
          <w:highlight w:val="none"/>
        </w:rPr>
        <w:t>3、在报价评审时，如发现下列情形之一的，投标文件将被视为无效：</w:t>
      </w:r>
    </w:p>
    <w:p>
      <w:pPr>
        <w:pStyle w:val="21"/>
        <w:snapToGrid w:val="0"/>
        <w:spacing w:line="440" w:lineRule="exact"/>
        <w:ind w:firstLine="398" w:firstLineChars="196"/>
        <w:rPr>
          <w:rFonts w:hAnsi="宋体"/>
          <w:color w:val="auto"/>
          <w:sz w:val="21"/>
          <w:szCs w:val="21"/>
          <w:highlight w:val="none"/>
        </w:rPr>
      </w:pPr>
      <w:r>
        <w:rPr>
          <w:rFonts w:hint="eastAsia" w:hAnsi="宋体"/>
          <w:b/>
          <w:color w:val="auto"/>
          <w:sz w:val="21"/>
          <w:szCs w:val="21"/>
          <w:highlight w:val="none"/>
        </w:rPr>
        <w:t>（</w:t>
      </w:r>
      <w:r>
        <w:rPr>
          <w:rFonts w:hint="eastAsia" w:hAnsi="宋体"/>
          <w:color w:val="auto"/>
          <w:sz w:val="21"/>
          <w:szCs w:val="21"/>
          <w:highlight w:val="none"/>
        </w:rPr>
        <w:t>1）未采用人民币报价或者未按照招标文件标明的币种报价的；</w:t>
      </w:r>
    </w:p>
    <w:p>
      <w:pPr>
        <w:pStyle w:val="21"/>
        <w:snapToGrid w:val="0"/>
        <w:spacing w:line="440" w:lineRule="exact"/>
        <w:ind w:firstLine="395" w:firstLineChars="196"/>
        <w:rPr>
          <w:rFonts w:hAnsi="宋体"/>
          <w:color w:val="auto"/>
          <w:sz w:val="21"/>
          <w:szCs w:val="21"/>
          <w:highlight w:val="none"/>
        </w:rPr>
      </w:pPr>
      <w:r>
        <w:rPr>
          <w:rFonts w:hint="eastAsia" w:hAnsi="宋体"/>
          <w:color w:val="auto"/>
          <w:sz w:val="21"/>
          <w:szCs w:val="21"/>
          <w:highlight w:val="none"/>
        </w:rPr>
        <w:t>（2）报价不符合招标文件要求，或者超出</w:t>
      </w:r>
      <w:bookmarkStart w:id="54" w:name="OLE_LINK2"/>
      <w:r>
        <w:rPr>
          <w:rFonts w:hint="eastAsia" w:hAnsi="宋体"/>
          <w:color w:val="auto"/>
          <w:sz w:val="21"/>
          <w:szCs w:val="21"/>
          <w:highlight w:val="none"/>
        </w:rPr>
        <w:t>采购预算</w:t>
      </w:r>
      <w:bookmarkEnd w:id="54"/>
      <w:r>
        <w:rPr>
          <w:rFonts w:hint="eastAsia" w:hAnsi="宋体"/>
          <w:color w:val="auto"/>
          <w:sz w:val="21"/>
          <w:szCs w:val="21"/>
          <w:highlight w:val="none"/>
        </w:rPr>
        <w:t>金额，采购人不能支付的；</w:t>
      </w:r>
    </w:p>
    <w:p>
      <w:pPr>
        <w:pStyle w:val="21"/>
        <w:snapToGrid w:val="0"/>
        <w:spacing w:line="440" w:lineRule="exact"/>
        <w:ind w:firstLine="404" w:firstLineChars="200"/>
        <w:rPr>
          <w:rFonts w:hAnsi="宋体"/>
          <w:color w:val="auto"/>
          <w:sz w:val="21"/>
          <w:szCs w:val="21"/>
          <w:highlight w:val="none"/>
        </w:rPr>
      </w:pPr>
      <w:r>
        <w:rPr>
          <w:rFonts w:hint="eastAsia" w:hAnsi="宋体"/>
          <w:color w:val="auto"/>
          <w:sz w:val="21"/>
          <w:szCs w:val="21"/>
          <w:highlight w:val="none"/>
        </w:rPr>
        <w:t>（3）投标报价具有选择性，或者开标价格与投标文件承诺的优惠（折扣）价格不一致的；</w:t>
      </w:r>
    </w:p>
    <w:p>
      <w:pPr>
        <w:pStyle w:val="21"/>
        <w:snapToGrid w:val="0"/>
        <w:spacing w:line="440" w:lineRule="exact"/>
        <w:ind w:firstLine="404" w:firstLineChars="200"/>
        <w:rPr>
          <w:rFonts w:hAnsi="宋体"/>
          <w:color w:val="auto"/>
          <w:sz w:val="21"/>
          <w:szCs w:val="21"/>
          <w:highlight w:val="none"/>
        </w:rPr>
      </w:pPr>
      <w:r>
        <w:rPr>
          <w:rFonts w:hint="eastAsia" w:hAnsi="宋体"/>
          <w:color w:val="auto"/>
          <w:sz w:val="21"/>
          <w:szCs w:val="21"/>
          <w:highlight w:val="none"/>
        </w:rPr>
        <w:t>（4）经评标委员会审核为严重不平衡、不合理报价的。</w:t>
      </w:r>
    </w:p>
    <w:p>
      <w:pPr>
        <w:pStyle w:val="21"/>
        <w:snapToGrid w:val="0"/>
        <w:spacing w:line="440" w:lineRule="exact"/>
        <w:ind w:firstLine="398" w:firstLineChars="196"/>
        <w:outlineLvl w:val="1"/>
        <w:rPr>
          <w:rFonts w:hAnsi="宋体"/>
          <w:b/>
          <w:snapToGrid w:val="0"/>
          <w:color w:val="auto"/>
          <w:sz w:val="21"/>
          <w:szCs w:val="21"/>
          <w:highlight w:val="none"/>
        </w:rPr>
      </w:pPr>
      <w:bookmarkStart w:id="55" w:name="_Toc254970544"/>
      <w:bookmarkStart w:id="56" w:name="_Toc254970685"/>
      <w:r>
        <w:rPr>
          <w:rFonts w:hint="eastAsia" w:hAnsi="宋体"/>
          <w:b/>
          <w:color w:val="auto"/>
          <w:sz w:val="21"/>
          <w:szCs w:val="21"/>
          <w:highlight w:val="none"/>
        </w:rPr>
        <w:t>四、开标</w:t>
      </w:r>
      <w:bookmarkEnd w:id="55"/>
      <w:bookmarkEnd w:id="56"/>
    </w:p>
    <w:p>
      <w:pPr>
        <w:pStyle w:val="25"/>
        <w:snapToGrid w:val="0"/>
        <w:spacing w:line="440" w:lineRule="exact"/>
        <w:ind w:firstLine="413" w:firstLineChars="196"/>
        <w:rPr>
          <w:rFonts w:hAnsi="宋体"/>
          <w:b/>
          <w:color w:val="auto"/>
          <w:szCs w:val="21"/>
          <w:highlight w:val="none"/>
        </w:rPr>
      </w:pPr>
      <w:r>
        <w:rPr>
          <w:rFonts w:hint="eastAsia" w:hAnsi="宋体"/>
          <w:b/>
          <w:color w:val="auto"/>
          <w:szCs w:val="21"/>
          <w:highlight w:val="none"/>
        </w:rPr>
        <w:t>（一）开标准备</w:t>
      </w:r>
    </w:p>
    <w:p>
      <w:pPr>
        <w:snapToGrid w:val="0"/>
        <w:spacing w:line="400" w:lineRule="exact"/>
        <w:rPr>
          <w:rFonts w:ascii="宋体" w:hAnsi="宋体"/>
          <w:color w:val="auto"/>
          <w:kern w:val="0"/>
          <w:szCs w:val="21"/>
          <w:highlight w:val="none"/>
        </w:rPr>
      </w:pPr>
      <w:r>
        <w:rPr>
          <w:rFonts w:ascii="宋体" w:hAnsi="宋体" w:cs="Courier New"/>
          <w:color w:val="auto"/>
          <w:spacing w:val="2"/>
          <w:highlight w:val="none"/>
        </w:rPr>
        <w:t xml:space="preserve"> </w:t>
      </w:r>
      <w:r>
        <w:rPr>
          <w:rFonts w:hint="eastAsia" w:ascii="宋体" w:hAnsi="宋体" w:cs="Courier New"/>
          <w:color w:val="auto"/>
          <w:spacing w:val="2"/>
          <w:highlight w:val="none"/>
        </w:rPr>
        <w:t>招标人将于招标文件规定的开标时间在</w:t>
      </w:r>
      <w:r>
        <w:rPr>
          <w:rFonts w:hint="eastAsia" w:ascii="宋体" w:hAnsi="宋体" w:cs="Courier New"/>
          <w:color w:val="auto"/>
          <w:spacing w:val="2"/>
          <w:highlight w:val="none"/>
          <w:u w:val="single"/>
        </w:rPr>
        <w:t>桂平市政务服务中心新大楼五楼【桂江西路中段原国会大厦（桂平市公共资源交易中心）】</w:t>
      </w:r>
      <w:r>
        <w:rPr>
          <w:rFonts w:hint="eastAsia" w:ascii="宋体" w:hAnsi="宋体" w:cs="Courier New"/>
          <w:color w:val="auto"/>
          <w:spacing w:val="2"/>
          <w:highlight w:val="none"/>
        </w:rPr>
        <w:t>开标，</w:t>
      </w:r>
      <w:r>
        <w:rPr>
          <w:rFonts w:hint="eastAsia" w:ascii="宋体" w:hAnsi="宋体"/>
          <w:color w:val="auto"/>
          <w:kern w:val="0"/>
          <w:szCs w:val="21"/>
          <w:highlight w:val="none"/>
        </w:rPr>
        <w:t>参加开标会的法定代表人或委托代理人必须持以下证件：</w:t>
      </w:r>
      <w:r>
        <w:rPr>
          <w:rFonts w:hint="eastAsia" w:ascii="宋体" w:hAnsi="宋体" w:cs="宋体"/>
          <w:color w:val="auto"/>
          <w:szCs w:val="21"/>
          <w:highlight w:val="none"/>
        </w:rPr>
        <w:t>投标供应商的法定代表人或被授权人必须持证件[</w:t>
      </w:r>
      <w:r>
        <w:rPr>
          <w:rFonts w:hint="eastAsia" w:ascii="宋体" w:hAnsi="宋体" w:cs="宋体"/>
          <w:color w:val="auto"/>
          <w:szCs w:val="21"/>
          <w:highlight w:val="none"/>
          <w:u w:val="single"/>
        </w:rPr>
        <w:t>法定代表人出席</w:t>
      </w:r>
      <w:r>
        <w:rPr>
          <w:rFonts w:hint="eastAsia" w:ascii="宋体" w:hAnsi="宋体" w:cs="宋体"/>
          <w:color w:val="auto"/>
          <w:szCs w:val="21"/>
          <w:highlight w:val="none"/>
        </w:rPr>
        <w:t>须携带法人代表身份证原件、有效的营业执照复印件（加盖公章）；</w:t>
      </w:r>
      <w:r>
        <w:rPr>
          <w:rFonts w:hint="eastAsia" w:ascii="宋体" w:hAnsi="宋体" w:cs="宋体"/>
          <w:color w:val="auto"/>
          <w:szCs w:val="21"/>
          <w:highlight w:val="none"/>
          <w:u w:val="single"/>
        </w:rPr>
        <w:t>被授权人出席</w:t>
      </w:r>
      <w:r>
        <w:rPr>
          <w:rFonts w:hint="eastAsia" w:ascii="宋体" w:hAnsi="宋体" w:cs="宋体"/>
          <w:color w:val="auto"/>
          <w:szCs w:val="21"/>
          <w:highlight w:val="none"/>
        </w:rPr>
        <w:t>须携带授权委托书原件及代理人身份证原件、有效的营业执照副本复印件（加盖公章）</w:t>
      </w:r>
      <w:r>
        <w:rPr>
          <w:rFonts w:hint="eastAsia" w:ascii="宋体" w:hAnsi="宋体" w:cs="宋体"/>
          <w:color w:val="auto"/>
          <w:kern w:val="0"/>
          <w:highlight w:val="none"/>
        </w:rPr>
        <w:t>]</w:t>
      </w:r>
      <w:r>
        <w:rPr>
          <w:rFonts w:hint="eastAsia" w:ascii="宋体" w:hAnsi="宋体" w:cs="宋体"/>
          <w:color w:val="auto"/>
          <w:szCs w:val="21"/>
          <w:highlight w:val="none"/>
        </w:rPr>
        <w:t>，</w:t>
      </w:r>
      <w:r>
        <w:rPr>
          <w:rFonts w:hint="eastAsia" w:ascii="宋体" w:hAnsi="宋体" w:cs="宋体"/>
          <w:color w:val="auto"/>
          <w:kern w:val="0"/>
          <w:highlight w:val="none"/>
        </w:rPr>
        <w:t>准时出席。</w:t>
      </w:r>
      <w:r>
        <w:rPr>
          <w:rFonts w:hint="eastAsia" w:ascii="宋体" w:hAnsi="宋体"/>
          <w:color w:val="auto"/>
          <w:kern w:val="0"/>
          <w:szCs w:val="21"/>
          <w:highlight w:val="none"/>
        </w:rPr>
        <w:t>如不按上述规定提交开标会检查的证件资料，投标文件将被拒收。由此带来的后果由投标人自行负责。</w:t>
      </w:r>
    </w:p>
    <w:p>
      <w:pPr>
        <w:pStyle w:val="25"/>
        <w:snapToGrid w:val="0"/>
        <w:spacing w:line="440" w:lineRule="exact"/>
        <w:ind w:firstLine="413" w:firstLineChars="196"/>
        <w:rPr>
          <w:rFonts w:hAnsi="宋体"/>
          <w:b/>
          <w:color w:val="auto"/>
          <w:szCs w:val="21"/>
          <w:highlight w:val="none"/>
        </w:rPr>
      </w:pPr>
      <w:r>
        <w:rPr>
          <w:rFonts w:hint="eastAsia" w:hAnsi="宋体"/>
          <w:b/>
          <w:color w:val="auto"/>
          <w:szCs w:val="21"/>
          <w:highlight w:val="none"/>
        </w:rPr>
        <w:t>（二） 开标程序：</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1、开标会由采购代理机构主持，主持人宣布开标会议开始；</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 xml:space="preserve">2、主持人介绍参加开标会的人员名单； </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3、主持人宣布评标期间的有关事项；告知应当回避的情形，提请有关人员回避。</w:t>
      </w:r>
    </w:p>
    <w:p>
      <w:pPr>
        <w:spacing w:line="420" w:lineRule="exact"/>
        <w:ind w:leftChars="-6" w:hanging="12" w:hangingChars="6"/>
        <w:rPr>
          <w:rFonts w:ascii="宋体" w:hAnsi="宋体"/>
          <w:b/>
          <w:color w:val="auto"/>
          <w:szCs w:val="21"/>
          <w:highlight w:val="none"/>
        </w:rPr>
      </w:pPr>
      <w:r>
        <w:rPr>
          <w:rFonts w:hint="eastAsia" w:ascii="宋体" w:hAnsi="宋体" w:cs="Courier New"/>
          <w:bCs/>
          <w:color w:val="auto"/>
          <w:spacing w:val="2"/>
          <w:highlight w:val="none"/>
        </w:rPr>
        <w:t xml:space="preserve">    5、招标人或招标代理机构代表和监标人员一同检验参加开标会的各投标人法定代表人或其授权代理人的资格证件。参加开标会的法定代表人或委托代理人的开标资料证件。</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6、投标人代表或者招标单位委托的公证机构检查投标文件密封的完整性并签字确认；</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7、按各投标人提交投标文件时间的先后顺序或随机顺序打开资信/商务文件、技术文件外包装，清点投标文件正本、副本数量；</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8、唱标；</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9、采购代理机构做开标记录， 投标人代表对开标记录进行当场校核及勘误，并签字确认；同时由记录人、采购人代表当场签字确认。投标人代表未到场签字确认或者拒绝签字确认的，不影响评标过程。</w:t>
      </w:r>
    </w:p>
    <w:p>
      <w:pPr>
        <w:pStyle w:val="25"/>
        <w:snapToGrid w:val="0"/>
        <w:spacing w:line="440" w:lineRule="exact"/>
        <w:ind w:left="689" w:leftChars="228" w:hanging="210" w:hangingChars="100"/>
        <w:rPr>
          <w:rFonts w:hAnsi="宋体"/>
          <w:color w:val="auto"/>
          <w:szCs w:val="21"/>
          <w:highlight w:val="none"/>
        </w:rPr>
      </w:pPr>
      <w:r>
        <w:rPr>
          <w:rFonts w:hint="eastAsia" w:hAnsi="宋体"/>
          <w:color w:val="auto"/>
          <w:szCs w:val="21"/>
          <w:highlight w:val="none"/>
        </w:rPr>
        <w:t>10、开标会议结束。</w:t>
      </w:r>
    </w:p>
    <w:p>
      <w:pPr>
        <w:pStyle w:val="25"/>
        <w:snapToGrid w:val="0"/>
        <w:spacing w:line="440" w:lineRule="exact"/>
        <w:ind w:left="772" w:leftChars="267" w:hanging="211" w:hangingChars="100"/>
        <w:outlineLvl w:val="1"/>
        <w:rPr>
          <w:rFonts w:hAnsi="宋体"/>
          <w:b/>
          <w:color w:val="auto"/>
          <w:szCs w:val="21"/>
          <w:highlight w:val="none"/>
        </w:rPr>
      </w:pPr>
      <w:bookmarkStart w:id="57" w:name="_Toc254970545"/>
      <w:bookmarkStart w:id="58" w:name="_Toc254970686"/>
      <w:r>
        <w:rPr>
          <w:rFonts w:hint="eastAsia" w:hAnsi="宋体"/>
          <w:b/>
          <w:color w:val="auto"/>
          <w:szCs w:val="21"/>
          <w:highlight w:val="none"/>
        </w:rPr>
        <w:t>五、评标</w:t>
      </w:r>
      <w:bookmarkEnd w:id="57"/>
      <w:bookmarkEnd w:id="58"/>
    </w:p>
    <w:p>
      <w:pPr>
        <w:pStyle w:val="25"/>
        <w:snapToGrid w:val="0"/>
        <w:spacing w:line="440" w:lineRule="exact"/>
        <w:ind w:left="690" w:leftChars="228" w:hanging="211" w:hangingChars="100"/>
        <w:rPr>
          <w:rFonts w:hAnsi="宋体"/>
          <w:b/>
          <w:color w:val="auto"/>
          <w:szCs w:val="21"/>
          <w:highlight w:val="none"/>
        </w:rPr>
      </w:pPr>
      <w:r>
        <w:rPr>
          <w:rFonts w:hint="eastAsia" w:hAnsi="宋体"/>
          <w:b/>
          <w:color w:val="auto"/>
          <w:szCs w:val="21"/>
          <w:highlight w:val="none"/>
        </w:rPr>
        <w:t>（一）组建评标委员会</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本项目评标委员会由政府采购评审专家及采购人代表共</w:t>
      </w:r>
      <w:r>
        <w:rPr>
          <w:rFonts w:hint="eastAsia" w:hAnsi="宋体"/>
          <w:color w:val="auto"/>
          <w:szCs w:val="21"/>
          <w:highlight w:val="none"/>
          <w:u w:val="single"/>
        </w:rPr>
        <w:t>5</w:t>
      </w:r>
      <w:r>
        <w:rPr>
          <w:rFonts w:hint="eastAsia" w:hAnsi="宋体"/>
          <w:color w:val="auto"/>
          <w:szCs w:val="21"/>
          <w:highlight w:val="none"/>
        </w:rPr>
        <w:t>人组成。</w:t>
      </w:r>
    </w:p>
    <w:p>
      <w:pPr>
        <w:pStyle w:val="25"/>
        <w:snapToGrid w:val="0"/>
        <w:spacing w:line="440" w:lineRule="exact"/>
        <w:ind w:left="690" w:leftChars="228" w:hanging="211" w:hangingChars="100"/>
        <w:rPr>
          <w:rFonts w:hAnsi="宋体"/>
          <w:b/>
          <w:color w:val="auto"/>
          <w:szCs w:val="21"/>
          <w:highlight w:val="none"/>
        </w:rPr>
      </w:pPr>
      <w:r>
        <w:rPr>
          <w:rFonts w:hint="eastAsia" w:hAnsi="宋体"/>
          <w:b/>
          <w:color w:val="auto"/>
          <w:szCs w:val="21"/>
          <w:highlight w:val="none"/>
        </w:rPr>
        <w:t>（二）评标的方式</w:t>
      </w:r>
    </w:p>
    <w:p>
      <w:pPr>
        <w:pStyle w:val="25"/>
        <w:snapToGrid w:val="0"/>
        <w:spacing w:line="440" w:lineRule="exact"/>
        <w:ind w:left="689" w:leftChars="228" w:hanging="210" w:hangingChars="100"/>
        <w:rPr>
          <w:rFonts w:hAnsi="宋体"/>
          <w:color w:val="auto"/>
          <w:szCs w:val="21"/>
          <w:highlight w:val="none"/>
        </w:rPr>
      </w:pPr>
      <w:r>
        <w:rPr>
          <w:rFonts w:hint="eastAsia" w:hAnsi="宋体"/>
          <w:color w:val="auto"/>
          <w:szCs w:val="21"/>
          <w:highlight w:val="none"/>
        </w:rPr>
        <w:t>本项目采用不公开方式评标，评标的依据为招标文件和投标文件。</w:t>
      </w:r>
    </w:p>
    <w:p>
      <w:pPr>
        <w:pStyle w:val="25"/>
        <w:snapToGrid w:val="0"/>
        <w:spacing w:line="440" w:lineRule="exact"/>
        <w:ind w:left="690" w:leftChars="228" w:hanging="211" w:hangingChars="100"/>
        <w:rPr>
          <w:rFonts w:hAnsi="宋体"/>
          <w:b/>
          <w:color w:val="auto"/>
          <w:szCs w:val="21"/>
          <w:highlight w:val="none"/>
        </w:rPr>
      </w:pPr>
      <w:r>
        <w:rPr>
          <w:rFonts w:hint="eastAsia" w:hAnsi="宋体"/>
          <w:b/>
          <w:color w:val="auto"/>
          <w:szCs w:val="21"/>
          <w:highlight w:val="none"/>
        </w:rPr>
        <w:t>（三）</w:t>
      </w:r>
      <w:r>
        <w:rPr>
          <w:rFonts w:hint="eastAsia" w:hAnsi="宋体"/>
          <w:b/>
          <w:bCs/>
          <w:color w:val="auto"/>
          <w:szCs w:val="21"/>
          <w:highlight w:val="none"/>
        </w:rPr>
        <w:t>评标程序</w:t>
      </w:r>
    </w:p>
    <w:p>
      <w:pPr>
        <w:snapToGrid w:val="0"/>
        <w:spacing w:line="44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1.形式审查</w:t>
      </w:r>
    </w:p>
    <w:p>
      <w:pPr>
        <w:snapToGrid w:val="0"/>
        <w:spacing w:line="440" w:lineRule="exact"/>
        <w:ind w:firstLine="420" w:firstLineChars="200"/>
        <w:rPr>
          <w:rFonts w:ascii="宋体" w:hAnsi="宋体"/>
          <w:b/>
          <w:color w:val="auto"/>
          <w:szCs w:val="21"/>
          <w:highlight w:val="none"/>
        </w:rPr>
      </w:pPr>
      <w:r>
        <w:rPr>
          <w:rFonts w:hint="eastAsia" w:ascii="宋体" w:hAnsi="宋体"/>
          <w:color w:val="auto"/>
          <w:szCs w:val="21"/>
          <w:highlight w:val="none"/>
        </w:rPr>
        <w:t>采购人代表和采购代理机构工作人员协助评标委员会对投标人的资格和投标文件的完整性、合法性等进行审查。</w:t>
      </w:r>
    </w:p>
    <w:p>
      <w:pPr>
        <w:snapToGrid w:val="0"/>
        <w:spacing w:line="44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2.实质审查与比较</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（1）评标委员会审查投标文件的实质性内容是否符合招标文件的实质性要求。</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（2）评标委员会将根据投标人的投标文件进行审查、核对，如有疑问，将对投标人进行询标，投标人要向评标委员会澄清有关问题，并最终以书面形式进行答复。</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投标人代表未到场或者拒绝澄清或者澄清的内容改变了投标文件的实质性内容的，评标委员会有权视该投标文件无效。</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（4）采购代理机构工作人员协助评标委员会根据本项目的评标标准计算各投标人的商务报价得分。</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（5）评标委员会完成评标后，评委对各部分得分汇总，计算出本项目最终得分、性价比、评标价等。评标委员会按评标原则推荐中标候选人同时起草评标报告。</w:t>
      </w:r>
    </w:p>
    <w:p>
      <w:pPr>
        <w:snapToGrid w:val="0"/>
        <w:spacing w:line="440" w:lineRule="exact"/>
        <w:ind w:firstLine="422" w:firstLineChars="200"/>
        <w:rPr>
          <w:rFonts w:ascii="宋体" w:hAnsi="宋体"/>
          <w:b/>
          <w:color w:val="auto"/>
          <w:szCs w:val="21"/>
          <w:highlight w:val="none"/>
        </w:rPr>
      </w:pPr>
      <w:r>
        <w:rPr>
          <w:rFonts w:hint="eastAsia" w:ascii="宋体" w:hAnsi="宋体"/>
          <w:b/>
          <w:bCs/>
          <w:color w:val="auto"/>
          <w:szCs w:val="21"/>
          <w:highlight w:val="none"/>
        </w:rPr>
        <w:t>（四）澄</w:t>
      </w:r>
      <w:r>
        <w:rPr>
          <w:rFonts w:hint="eastAsia" w:ascii="宋体" w:hAnsi="宋体"/>
          <w:b/>
          <w:color w:val="auto"/>
          <w:szCs w:val="21"/>
          <w:highlight w:val="none"/>
        </w:rPr>
        <w:t>清问题的形式</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5"/>
        <w:snapToGrid w:val="0"/>
        <w:spacing w:line="440" w:lineRule="exact"/>
        <w:ind w:left="689" w:leftChars="228" w:hanging="210" w:hangingChars="100"/>
        <w:rPr>
          <w:rFonts w:hAnsi="宋体"/>
          <w:b/>
          <w:color w:val="auto"/>
          <w:szCs w:val="21"/>
          <w:highlight w:val="none"/>
        </w:rPr>
      </w:pPr>
      <w:r>
        <w:rPr>
          <w:rFonts w:hint="eastAsia" w:hAnsi="宋体"/>
          <w:color w:val="auto"/>
          <w:szCs w:val="21"/>
          <w:highlight w:val="none"/>
        </w:rPr>
        <w:t>（五）</w:t>
      </w:r>
      <w:r>
        <w:rPr>
          <w:rFonts w:hint="eastAsia" w:hAnsi="宋体"/>
          <w:b/>
          <w:color w:val="auto"/>
          <w:szCs w:val="21"/>
          <w:highlight w:val="none"/>
        </w:rPr>
        <w:t>错误修正</w:t>
      </w:r>
    </w:p>
    <w:p>
      <w:pPr>
        <w:pStyle w:val="25"/>
        <w:snapToGrid w:val="0"/>
        <w:spacing w:line="440" w:lineRule="exact"/>
        <w:ind w:left="689" w:leftChars="228" w:hanging="210" w:hangingChars="100"/>
        <w:rPr>
          <w:rFonts w:hAnsi="宋体"/>
          <w:color w:val="auto"/>
          <w:szCs w:val="21"/>
          <w:highlight w:val="none"/>
        </w:rPr>
      </w:pPr>
      <w:r>
        <w:rPr>
          <w:rFonts w:hint="eastAsia" w:hAnsi="宋体"/>
          <w:color w:val="auto"/>
          <w:szCs w:val="21"/>
          <w:highlight w:val="none"/>
        </w:rPr>
        <w:t>投标文件如果出现计算或表达上的错误，修正错误的原则如下：</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1.投标文件的大写金额和小写金额不一致的，以大写金额为准；</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2.总价金额与按单价汇总金额不一致的，以单价金额计算结果为准；</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3.对不同文字文本投标文件的解释发生异议的，以中文文本为准。</w:t>
      </w:r>
    </w:p>
    <w:p>
      <w:pPr>
        <w:pStyle w:val="25"/>
        <w:snapToGrid w:val="0"/>
        <w:spacing w:line="440" w:lineRule="exact"/>
        <w:ind w:firstLine="422" w:firstLineChars="200"/>
        <w:rPr>
          <w:rFonts w:hAnsi="宋体"/>
          <w:b/>
          <w:bCs/>
          <w:color w:val="auto"/>
          <w:szCs w:val="21"/>
          <w:highlight w:val="none"/>
        </w:rPr>
      </w:pPr>
      <w:r>
        <w:rPr>
          <w:rFonts w:hint="eastAsia" w:hAnsi="宋体"/>
          <w:b/>
          <w:bCs/>
          <w:color w:val="auto"/>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5"/>
        <w:tabs>
          <w:tab w:val="left" w:pos="630"/>
        </w:tabs>
        <w:snapToGrid w:val="0"/>
        <w:spacing w:line="440" w:lineRule="exact"/>
        <w:ind w:firstLine="413" w:firstLineChars="196"/>
        <w:rPr>
          <w:rFonts w:hAnsi="宋体"/>
          <w:b/>
          <w:color w:val="auto"/>
          <w:szCs w:val="21"/>
          <w:highlight w:val="none"/>
        </w:rPr>
      </w:pPr>
      <w:r>
        <w:rPr>
          <w:rFonts w:hint="eastAsia" w:hAnsi="宋体"/>
          <w:b/>
          <w:color w:val="auto"/>
          <w:szCs w:val="21"/>
          <w:highlight w:val="none"/>
        </w:rPr>
        <w:t>（六）评标原则和评标办法</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2.评标办法。本项目评标办法是</w:t>
      </w:r>
      <w:r>
        <w:rPr>
          <w:rFonts w:hint="eastAsia" w:hAnsi="宋体"/>
          <w:color w:val="auto"/>
          <w:szCs w:val="21"/>
          <w:highlight w:val="none"/>
          <w:u w:val="single"/>
        </w:rPr>
        <w:t>综合评分法</w:t>
      </w:r>
      <w:r>
        <w:rPr>
          <w:rFonts w:hint="eastAsia" w:hAnsi="宋体"/>
          <w:color w:val="auto"/>
          <w:szCs w:val="21"/>
          <w:highlight w:val="none"/>
        </w:rPr>
        <w:t>，具体评标内容及评标标准等详见《第四章：评标办法及评标标准》。</w:t>
      </w:r>
    </w:p>
    <w:p>
      <w:pPr>
        <w:pStyle w:val="25"/>
        <w:snapToGrid w:val="0"/>
        <w:spacing w:line="440" w:lineRule="exact"/>
        <w:ind w:firstLine="413" w:firstLineChars="196"/>
        <w:rPr>
          <w:rFonts w:hAnsi="宋体"/>
          <w:b/>
          <w:color w:val="auto"/>
          <w:szCs w:val="21"/>
          <w:highlight w:val="none"/>
        </w:rPr>
      </w:pPr>
      <w:r>
        <w:rPr>
          <w:rFonts w:hint="eastAsia" w:hAnsi="宋体"/>
          <w:b/>
          <w:color w:val="auto"/>
          <w:szCs w:val="21"/>
          <w:highlight w:val="none"/>
        </w:rPr>
        <w:t>（七）评标过程的监控</w:t>
      </w:r>
    </w:p>
    <w:p>
      <w:pPr>
        <w:pStyle w:val="25"/>
        <w:snapToGrid w:val="0"/>
        <w:spacing w:line="440" w:lineRule="exact"/>
        <w:ind w:firstLine="420" w:firstLineChars="200"/>
        <w:rPr>
          <w:rFonts w:hAnsi="宋体"/>
          <w:color w:val="auto"/>
          <w:szCs w:val="21"/>
          <w:highlight w:val="none"/>
        </w:rPr>
      </w:pPr>
      <w:r>
        <w:rPr>
          <w:rFonts w:hint="eastAsia" w:hAnsi="宋体"/>
          <w:color w:val="auto"/>
          <w:szCs w:val="21"/>
          <w:highlight w:val="none"/>
        </w:rPr>
        <w:t>本项目评标过程实行全程录音、录像监控，投标人在评标过程中所进行的试图影响评标结果的不公正活动，可能导致其投标被拒绝。</w:t>
      </w:r>
    </w:p>
    <w:p>
      <w:pPr>
        <w:pStyle w:val="25"/>
        <w:snapToGrid w:val="0"/>
        <w:spacing w:line="440" w:lineRule="exact"/>
        <w:ind w:firstLine="413" w:firstLineChars="196"/>
        <w:outlineLvl w:val="1"/>
        <w:rPr>
          <w:rFonts w:hAnsi="宋体"/>
          <w:b/>
          <w:color w:val="auto"/>
          <w:szCs w:val="21"/>
          <w:highlight w:val="none"/>
        </w:rPr>
      </w:pPr>
      <w:bookmarkStart w:id="59" w:name="_Toc254970546"/>
      <w:bookmarkStart w:id="60" w:name="_Toc254970687"/>
      <w:r>
        <w:rPr>
          <w:rFonts w:hint="eastAsia" w:hAnsi="宋体"/>
          <w:b/>
          <w:color w:val="auto"/>
          <w:szCs w:val="21"/>
          <w:highlight w:val="none"/>
        </w:rPr>
        <w:t>六、评标结果</w:t>
      </w:r>
      <w:bookmarkEnd w:id="59"/>
      <w:bookmarkEnd w:id="60"/>
    </w:p>
    <w:p>
      <w:pPr>
        <w:pStyle w:val="25"/>
        <w:spacing w:line="440" w:lineRule="exact"/>
        <w:ind w:firstLine="420"/>
        <w:rPr>
          <w:rFonts w:hAnsi="宋体"/>
          <w:color w:val="auto"/>
          <w:szCs w:val="21"/>
          <w:highlight w:val="none"/>
        </w:rPr>
      </w:pPr>
      <w:r>
        <w:rPr>
          <w:rFonts w:hint="eastAsia" w:hAnsi="宋体"/>
          <w:b/>
          <w:bCs/>
          <w:color w:val="auto"/>
          <w:szCs w:val="21"/>
          <w:highlight w:val="none"/>
        </w:rPr>
        <w:t>（一）</w:t>
      </w:r>
      <w:r>
        <w:rPr>
          <w:rFonts w:hint="eastAsia" w:hAnsi="宋体"/>
          <w:color w:val="auto"/>
          <w:szCs w:val="21"/>
          <w:highlight w:val="none"/>
        </w:rPr>
        <w:t>采购代理机构将在评标结束后五个工作日内将评标报告送采购人，采购人在五个工作日内按照评标报告中推荐的中标候选供应商顺序确定中标供应商。采购人也可以事先授权评标委员会直接确定中标供应商。</w:t>
      </w:r>
    </w:p>
    <w:p>
      <w:pPr>
        <w:pStyle w:val="25"/>
        <w:spacing w:line="440" w:lineRule="exact"/>
        <w:ind w:firstLine="420"/>
        <w:rPr>
          <w:rFonts w:hAnsi="宋体"/>
          <w:color w:val="auto"/>
          <w:szCs w:val="21"/>
          <w:highlight w:val="none"/>
        </w:rPr>
      </w:pPr>
      <w:r>
        <w:rPr>
          <w:rFonts w:hint="eastAsia" w:hAnsi="宋体"/>
          <w:color w:val="auto"/>
          <w:szCs w:val="21"/>
          <w:highlight w:val="none"/>
        </w:rPr>
        <w:t>（二）中标供应商确定后，采购代理机构在中国政府采购网、广西壮族自治区政府采购网、贵港市政府采购网</w:t>
      </w:r>
      <w:r>
        <w:rPr>
          <w:rFonts w:hint="eastAsia" w:hAnsi="宋体"/>
          <w:color w:val="auto"/>
          <w:szCs w:val="21"/>
          <w:highlight w:val="none"/>
          <w:lang w:val="en-US" w:eastAsia="zh-CN"/>
        </w:rPr>
        <w:t>和</w:t>
      </w:r>
      <w:r>
        <w:rPr>
          <w:rFonts w:hint="eastAsia" w:ascii="宋体" w:hAnsi="宋体"/>
          <w:bCs/>
          <w:color w:val="auto"/>
          <w:kern w:val="0"/>
          <w:szCs w:val="21"/>
          <w:highlight w:val="none"/>
        </w:rPr>
        <w:t>贵港市公共资源交易中心网</w:t>
      </w:r>
      <w:r>
        <w:rPr>
          <w:rFonts w:hint="eastAsia" w:hAnsi="宋体"/>
          <w:color w:val="auto"/>
          <w:szCs w:val="21"/>
          <w:highlight w:val="none"/>
        </w:rPr>
        <w:t>发布中标公告，公示期为1个工作日。</w:t>
      </w:r>
    </w:p>
    <w:p>
      <w:pPr>
        <w:pStyle w:val="25"/>
        <w:spacing w:line="440" w:lineRule="exact"/>
        <w:ind w:firstLine="420"/>
        <w:rPr>
          <w:rFonts w:hAnsi="宋体"/>
          <w:color w:val="auto"/>
          <w:szCs w:val="21"/>
          <w:highlight w:val="none"/>
        </w:rPr>
      </w:pPr>
      <w:r>
        <w:rPr>
          <w:rFonts w:hint="eastAsia" w:hAnsi="宋体"/>
          <w:color w:val="auto"/>
          <w:szCs w:val="21"/>
          <w:highlight w:val="none"/>
        </w:rPr>
        <w:t>（三）在发布中标公告的同时，采购代理机构向中标供应商发出中标通知书。</w:t>
      </w:r>
    </w:p>
    <w:p>
      <w:pPr>
        <w:pStyle w:val="25"/>
        <w:spacing w:line="440" w:lineRule="exact"/>
        <w:ind w:firstLine="420" w:firstLineChars="200"/>
        <w:rPr>
          <w:rFonts w:hAnsi="宋体"/>
          <w:bCs/>
          <w:color w:val="auto"/>
          <w:szCs w:val="21"/>
          <w:highlight w:val="none"/>
        </w:rPr>
      </w:pPr>
      <w:r>
        <w:rPr>
          <w:rFonts w:hint="eastAsia" w:hAnsi="宋体"/>
          <w:color w:val="auto"/>
          <w:szCs w:val="21"/>
          <w:highlight w:val="none"/>
        </w:rPr>
        <w:t>（四）</w:t>
      </w:r>
      <w:r>
        <w:rPr>
          <w:rFonts w:hint="eastAsia" w:hAnsi="宋体"/>
          <w:bCs/>
          <w:color w:val="auto"/>
          <w:szCs w:val="21"/>
          <w:highlight w:val="none"/>
        </w:rPr>
        <w:t>投标人认为招标文件、招标过程和中标结果使自己的权益受到损害的，可以在知道或者应知其权益受到损害之日起七个工作日内，以书面形式向采购代理机构提出质疑，并及时索要书面回执。</w:t>
      </w:r>
    </w:p>
    <w:p>
      <w:pPr>
        <w:pStyle w:val="25"/>
        <w:spacing w:line="440" w:lineRule="exact"/>
        <w:ind w:firstLine="420"/>
        <w:rPr>
          <w:rFonts w:hAnsi="宋体"/>
          <w:color w:val="auto"/>
          <w:szCs w:val="21"/>
          <w:highlight w:val="none"/>
        </w:rPr>
      </w:pPr>
      <w:r>
        <w:rPr>
          <w:rFonts w:hint="eastAsia" w:hAnsi="宋体"/>
          <w:color w:val="auto"/>
          <w:szCs w:val="21"/>
          <w:highlight w:val="none"/>
        </w:rPr>
        <w:t>（五）</w:t>
      </w:r>
      <w:r>
        <w:rPr>
          <w:rFonts w:hint="eastAsia" w:hAnsi="宋体"/>
          <w:bCs/>
          <w:color w:val="auto"/>
          <w:szCs w:val="21"/>
          <w:highlight w:val="none"/>
        </w:rPr>
        <w:t>采购代理机构应当按照有关规定就采购人委托授权范围内的事项在收到投标人的书面质疑后七个工作日内做出答复，但答复的内容不得涉及商业秘密。</w:t>
      </w:r>
    </w:p>
    <w:p>
      <w:pPr>
        <w:pStyle w:val="25"/>
        <w:spacing w:line="440" w:lineRule="exact"/>
        <w:ind w:firstLine="420"/>
        <w:rPr>
          <w:rFonts w:hAnsi="宋体"/>
          <w:color w:val="auto"/>
          <w:szCs w:val="21"/>
          <w:highlight w:val="none"/>
        </w:rPr>
      </w:pPr>
      <w:r>
        <w:rPr>
          <w:rFonts w:hint="eastAsia" w:hAnsi="宋体"/>
          <w:color w:val="auto"/>
          <w:szCs w:val="21"/>
          <w:highlight w:val="none"/>
        </w:rPr>
        <w:t>（六）采购代理机构无义务向未中标的供应商解释未中标原因和退还投标文件。</w:t>
      </w:r>
    </w:p>
    <w:p>
      <w:pPr>
        <w:pStyle w:val="25"/>
        <w:spacing w:line="440" w:lineRule="exact"/>
        <w:rPr>
          <w:rFonts w:hAnsi="宋体"/>
          <w:b/>
          <w:color w:val="auto"/>
          <w:szCs w:val="21"/>
          <w:highlight w:val="none"/>
        </w:rPr>
      </w:pPr>
      <w:r>
        <w:rPr>
          <w:rFonts w:hint="eastAsia" w:hAnsi="宋体"/>
          <w:b/>
          <w:color w:val="auto"/>
          <w:szCs w:val="21"/>
          <w:highlight w:val="none"/>
        </w:rPr>
        <w:t>七 、签订合同</w:t>
      </w:r>
    </w:p>
    <w:p>
      <w:pPr>
        <w:pStyle w:val="25"/>
        <w:spacing w:line="440" w:lineRule="exact"/>
        <w:rPr>
          <w:rFonts w:hAnsi="宋体"/>
          <w:b/>
          <w:color w:val="auto"/>
          <w:szCs w:val="21"/>
          <w:highlight w:val="none"/>
        </w:rPr>
      </w:pPr>
      <w:r>
        <w:rPr>
          <w:rFonts w:hint="eastAsia" w:hAnsi="宋体"/>
          <w:b/>
          <w:color w:val="auto"/>
          <w:szCs w:val="21"/>
          <w:highlight w:val="none"/>
        </w:rPr>
        <w:t>（一）合同授予标准</w:t>
      </w:r>
    </w:p>
    <w:p>
      <w:pPr>
        <w:pStyle w:val="25"/>
        <w:spacing w:line="440" w:lineRule="exact"/>
        <w:ind w:firstLine="420"/>
        <w:rPr>
          <w:rFonts w:hAnsi="宋体"/>
          <w:color w:val="auto"/>
          <w:szCs w:val="21"/>
          <w:highlight w:val="none"/>
        </w:rPr>
      </w:pPr>
      <w:r>
        <w:rPr>
          <w:rFonts w:hint="eastAsia" w:hAnsi="宋体"/>
          <w:color w:val="auto"/>
          <w:szCs w:val="21"/>
          <w:highlight w:val="none"/>
        </w:rPr>
        <w:t>合同将授予被确定实质上响应招标文件要求，具备履行合同能力，综合评分排名第一的投标人。</w:t>
      </w:r>
    </w:p>
    <w:p>
      <w:pPr>
        <w:pStyle w:val="25"/>
        <w:spacing w:line="440" w:lineRule="exact"/>
        <w:rPr>
          <w:rFonts w:hAnsi="宋体"/>
          <w:color w:val="auto"/>
          <w:szCs w:val="21"/>
          <w:highlight w:val="none"/>
        </w:rPr>
      </w:pPr>
      <w:r>
        <w:rPr>
          <w:rFonts w:hint="eastAsia" w:hAnsi="宋体"/>
          <w:b/>
          <w:color w:val="auto"/>
          <w:szCs w:val="21"/>
          <w:highlight w:val="none"/>
        </w:rPr>
        <w:t>（二）签订合同</w:t>
      </w:r>
    </w:p>
    <w:p>
      <w:pPr>
        <w:pStyle w:val="25"/>
        <w:spacing w:line="440" w:lineRule="exact"/>
        <w:ind w:firstLine="420"/>
        <w:rPr>
          <w:rFonts w:hAnsi="宋体"/>
          <w:color w:val="auto"/>
          <w:szCs w:val="21"/>
          <w:highlight w:val="none"/>
        </w:rPr>
      </w:pPr>
      <w:r>
        <w:rPr>
          <w:rFonts w:hint="eastAsia" w:hAnsi="宋体"/>
          <w:color w:val="auto"/>
          <w:szCs w:val="21"/>
          <w:highlight w:val="none"/>
        </w:rPr>
        <w:t>（1）投标人接到中标通知书后，应按中标通知书规定的时间、地点与招标采购使用单位签订合同。</w:t>
      </w:r>
    </w:p>
    <w:p>
      <w:pPr>
        <w:pStyle w:val="25"/>
        <w:spacing w:line="440" w:lineRule="exact"/>
        <w:ind w:firstLine="420" w:firstLineChars="200"/>
        <w:outlineLvl w:val="0"/>
        <w:rPr>
          <w:rFonts w:hAnsi="宋体"/>
          <w:color w:val="auto"/>
          <w:szCs w:val="21"/>
          <w:highlight w:val="none"/>
        </w:rPr>
      </w:pPr>
      <w:bookmarkStart w:id="61" w:name="_Toc5776"/>
      <w:r>
        <w:rPr>
          <w:rFonts w:hint="eastAsia" w:hAnsi="宋体"/>
          <w:color w:val="auto"/>
          <w:szCs w:val="21"/>
          <w:highlight w:val="none"/>
        </w:rPr>
        <w:t>（2）中标供应商因不可抗力或者自身原因不能履行采购合同的，采购人可以确定招标采购使用单位与中标供应商之后排名第一的中标候选供应商签订采购合同，以此类推。</w:t>
      </w:r>
      <w:bookmarkEnd w:id="61"/>
    </w:p>
    <w:p>
      <w:pPr>
        <w:pStyle w:val="25"/>
        <w:snapToGrid w:val="0"/>
        <w:spacing w:before="120" w:after="120" w:line="360" w:lineRule="auto"/>
        <w:jc w:val="center"/>
        <w:outlineLvl w:val="9"/>
        <w:rPr>
          <w:rFonts w:hAnsi="宋体"/>
          <w:b/>
          <w:color w:val="auto"/>
          <w:sz w:val="32"/>
          <w:szCs w:val="32"/>
          <w:highlight w:val="none"/>
        </w:rPr>
      </w:pPr>
      <w:bookmarkStart w:id="62" w:name="_Toc254970689"/>
      <w:bookmarkStart w:id="63" w:name="_Toc254970548"/>
      <w:r>
        <w:rPr>
          <w:rFonts w:hint="eastAsia" w:hAnsi="宋体"/>
          <w:b/>
          <w:color w:val="auto"/>
          <w:sz w:val="32"/>
          <w:szCs w:val="32"/>
          <w:highlight w:val="none"/>
        </w:rPr>
        <w:br w:type="page"/>
      </w:r>
    </w:p>
    <w:p>
      <w:pPr>
        <w:pStyle w:val="3"/>
        <w:spacing w:line="600" w:lineRule="exact"/>
        <w:rPr>
          <w:color w:val="auto"/>
          <w:highlight w:val="none"/>
        </w:rPr>
      </w:pPr>
      <w:bookmarkStart w:id="64" w:name="_Toc24017_WPSOffice_Level1"/>
      <w:bookmarkStart w:id="65" w:name="_Toc1024"/>
      <w:r>
        <w:rPr>
          <w:rFonts w:hint="eastAsia"/>
          <w:color w:val="auto"/>
          <w:highlight w:val="none"/>
        </w:rPr>
        <w:t>第四章  评标办法及评标标准</w:t>
      </w:r>
      <w:bookmarkEnd w:id="62"/>
      <w:bookmarkEnd w:id="63"/>
      <w:bookmarkEnd w:id="64"/>
      <w:bookmarkEnd w:id="65"/>
    </w:p>
    <w:p>
      <w:pPr>
        <w:spacing w:line="360" w:lineRule="auto"/>
        <w:rPr>
          <w:rFonts w:ascii="宋体" w:hAnsi="宋体" w:cs="宋体"/>
          <w:b/>
          <w:color w:val="auto"/>
          <w:highlight w:val="none"/>
        </w:rPr>
      </w:pPr>
      <w:bookmarkStart w:id="66" w:name="_Toc254970549"/>
      <w:bookmarkStart w:id="67" w:name="_Toc254970690"/>
    </w:p>
    <w:p>
      <w:pPr>
        <w:spacing w:line="360" w:lineRule="auto"/>
        <w:rPr>
          <w:rFonts w:ascii="宋体" w:cs="宋体"/>
          <w:b/>
          <w:color w:val="auto"/>
          <w:highlight w:val="none"/>
        </w:rPr>
      </w:pPr>
      <w:r>
        <w:rPr>
          <w:rFonts w:hint="eastAsia" w:ascii="宋体" w:hAnsi="宋体" w:cs="宋体"/>
          <w:b/>
          <w:color w:val="auto"/>
          <w:highlight w:val="none"/>
        </w:rPr>
        <w:t>一、评标原则</w:t>
      </w:r>
    </w:p>
    <w:p>
      <w:pPr>
        <w:spacing w:line="360" w:lineRule="auto"/>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评委构成：本项目的评标委员会由采购人代表和有关技术、经济等方面的专家组成，成员人数应当为五人以上（含五人）的单数。其中，技术、经济等方面的专家不得少于成员总数的三分之二。</w:t>
      </w:r>
    </w:p>
    <w:p>
      <w:pPr>
        <w:spacing w:line="360" w:lineRule="auto"/>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二</w:t>
      </w:r>
      <w:r>
        <w:rPr>
          <w:rFonts w:ascii="宋体" w:hAnsi="宋体" w:cs="宋体"/>
          <w:color w:val="auto"/>
          <w:highlight w:val="none"/>
        </w:rPr>
        <w:t>)</w:t>
      </w:r>
      <w:r>
        <w:rPr>
          <w:rFonts w:hint="eastAsia" w:ascii="宋体" w:hAnsi="宋体" w:cs="宋体"/>
          <w:color w:val="auto"/>
          <w:highlight w:val="none"/>
        </w:rPr>
        <w:t>评标依据：评委将以招投标文件为评标依据，对投标人的投标报价、技术性能、项目实施方案、售后服务、信誉与业绩、政策功能等六方面内容按百分制打分。</w:t>
      </w:r>
    </w:p>
    <w:p>
      <w:pPr>
        <w:spacing w:line="360" w:lineRule="auto"/>
        <w:rPr>
          <w:rFonts w:ascii="宋体" w:cs="宋体"/>
          <w:color w:val="auto"/>
          <w:highlight w:val="none"/>
        </w:rPr>
      </w:pPr>
      <w:r>
        <w:rPr>
          <w:rFonts w:hint="eastAsia" w:ascii="宋体" w:hAnsi="宋体" w:cs="宋体"/>
          <w:color w:val="auto"/>
          <w:highlight w:val="none"/>
        </w:rPr>
        <w:t>二、评标方法</w:t>
      </w:r>
    </w:p>
    <w:p>
      <w:pPr>
        <w:spacing w:line="360" w:lineRule="auto"/>
        <w:rPr>
          <w:rFonts w:ascii="宋体" w:cs="宋体"/>
          <w:color w:val="auto"/>
          <w:highlight w:val="none"/>
        </w:rPr>
      </w:pPr>
      <w:r>
        <w:rPr>
          <w:rFonts w:hint="eastAsia" w:ascii="宋体" w:hAnsi="宋体" w:cs="宋体"/>
          <w:color w:val="auto"/>
          <w:highlight w:val="none"/>
        </w:rPr>
        <w:t>（一）对进入详评的，采用百分制综合评分法。</w:t>
      </w:r>
    </w:p>
    <w:p>
      <w:pPr>
        <w:spacing w:line="360" w:lineRule="auto"/>
        <w:rPr>
          <w:rFonts w:ascii="宋体" w:cs="宋体"/>
          <w:color w:val="auto"/>
          <w:highlight w:val="none"/>
        </w:rPr>
      </w:pPr>
      <w:r>
        <w:rPr>
          <w:rFonts w:hint="eastAsia" w:ascii="宋体" w:hAnsi="宋体" w:cs="宋体"/>
          <w:color w:val="auto"/>
          <w:highlight w:val="none"/>
        </w:rPr>
        <w:t>（二）计分办法（按四舍五入取至百分位）：</w:t>
      </w:r>
    </w:p>
    <w:p>
      <w:pPr>
        <w:spacing w:line="360" w:lineRule="auto"/>
        <w:rPr>
          <w:rFonts w:ascii="宋体" w:cs="宋体"/>
          <w:b/>
          <w:bCs/>
          <w:color w:val="auto"/>
          <w:highlight w:val="none"/>
        </w:rPr>
      </w:pPr>
      <w:r>
        <w:rPr>
          <w:rFonts w:ascii="宋体" w:hAnsi="宋体" w:cs="宋体"/>
          <w:b/>
          <w:bCs/>
          <w:color w:val="auto"/>
          <w:highlight w:val="none"/>
        </w:rPr>
        <w:t>1</w:t>
      </w:r>
      <w:r>
        <w:rPr>
          <w:rFonts w:hint="eastAsia" w:ascii="宋体" w:hAnsi="宋体" w:cs="宋体"/>
          <w:b/>
          <w:bCs/>
          <w:color w:val="auto"/>
          <w:highlight w:val="none"/>
        </w:rPr>
        <w:t>、价格分……………………………………………………………………………………………………</w:t>
      </w:r>
      <w:r>
        <w:rPr>
          <w:rFonts w:ascii="宋体" w:hAnsi="宋体" w:cs="宋体"/>
          <w:b/>
          <w:bCs/>
          <w:color w:val="auto"/>
          <w:highlight w:val="none"/>
        </w:rPr>
        <w:t>3</w:t>
      </w:r>
      <w:r>
        <w:rPr>
          <w:rFonts w:ascii="宋体" w:cs="宋体"/>
          <w:b/>
          <w:bCs/>
          <w:color w:val="auto"/>
          <w:highlight w:val="none"/>
        </w:rPr>
        <w:t>0</w:t>
      </w:r>
      <w:r>
        <w:rPr>
          <w:rFonts w:hint="eastAsia" w:ascii="宋体" w:hAnsi="宋体" w:cs="宋体"/>
          <w:b/>
          <w:bCs/>
          <w:color w:val="auto"/>
          <w:highlight w:val="none"/>
        </w:rPr>
        <w:t>分</w:t>
      </w:r>
    </w:p>
    <w:p>
      <w:pPr>
        <w:spacing w:line="360" w:lineRule="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）评标价为投标人的投标报价进行政策性扣除后的价格，评标价只是作为评标时使用。最终中标人的中标金额＝投标报价。</w:t>
      </w:r>
    </w:p>
    <w:p>
      <w:pPr>
        <w:spacing w:line="360" w:lineRule="auto"/>
        <w:ind w:firstLine="210" w:firstLineChars="10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r>
        <w:rPr>
          <w:rFonts w:hint="eastAsia" w:ascii="宋体" w:hAnsi="宋体"/>
          <w:color w:val="auto"/>
          <w:highlight w:val="none"/>
        </w:rPr>
        <w:t>按照《政府采购促进中小企业发展暂行办法》（财库</w:t>
      </w:r>
      <w:r>
        <w:rPr>
          <w:rFonts w:ascii="宋体" w:hAnsi="宋体"/>
          <w:color w:val="auto"/>
          <w:highlight w:val="none"/>
        </w:rPr>
        <w:t>[2011]181</w:t>
      </w:r>
      <w:r>
        <w:rPr>
          <w:rFonts w:hint="eastAsia" w:ascii="宋体" w:hAnsi="宋体"/>
          <w:color w:val="auto"/>
          <w:highlight w:val="none"/>
        </w:rPr>
        <w:t>号）之规定，投标人为小型和微型企业，并在其投标文件中提供《中小企业声明函》或者相关职能部门出具的证明材料，对其投标价格给予</w:t>
      </w:r>
      <w:r>
        <w:rPr>
          <w:rFonts w:ascii="宋体" w:hAnsi="宋体"/>
          <w:color w:val="auto"/>
          <w:highlight w:val="none"/>
        </w:rPr>
        <w:t>6%</w:t>
      </w:r>
      <w:r>
        <w:rPr>
          <w:rFonts w:hint="eastAsia" w:ascii="宋体" w:hAnsi="宋体"/>
          <w:color w:val="auto"/>
          <w:highlight w:val="none"/>
        </w:rPr>
        <w:t>的扣除。</w:t>
      </w:r>
    </w:p>
    <w:p>
      <w:pPr>
        <w:spacing w:line="360" w:lineRule="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）按照《财政部、司法部关于政府采购支持监狱企业发展有关问题的通知》（财库〔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68</w:t>
      </w:r>
      <w:r>
        <w:rPr>
          <w:rFonts w:hint="eastAsia" w:ascii="宋体" w:hAnsi="宋体" w:cs="宋体"/>
          <w:color w:val="auto"/>
          <w:highlight w:val="none"/>
        </w:rPr>
        <w:t>号）的规定，监狱企业视同小型、微型企业，享受预留份额、评审中价格扣除等政府采购政策。监狱企业参加政府采购活动时，应当提供由省级以上监狱管理局、戒毒管理局</w:t>
      </w:r>
      <w:r>
        <w:rPr>
          <w:rFonts w:ascii="宋体" w:hAnsi="宋体" w:cs="宋体"/>
          <w:color w:val="auto"/>
          <w:highlight w:val="none"/>
        </w:rPr>
        <w:t>(</w:t>
      </w:r>
      <w:r>
        <w:rPr>
          <w:rFonts w:hint="eastAsia" w:ascii="宋体" w:hAnsi="宋体" w:cs="宋体"/>
          <w:color w:val="auto"/>
          <w:highlight w:val="none"/>
        </w:rPr>
        <w:t>含新疆生产建设兵团</w:t>
      </w:r>
      <w:r>
        <w:rPr>
          <w:rFonts w:ascii="宋体" w:hAnsi="宋体" w:cs="宋体"/>
          <w:color w:val="auto"/>
          <w:highlight w:val="none"/>
        </w:rPr>
        <w:t>)</w:t>
      </w:r>
      <w:r>
        <w:rPr>
          <w:rFonts w:hint="eastAsia" w:ascii="宋体" w:hAnsi="宋体" w:cs="宋体"/>
          <w:color w:val="auto"/>
          <w:highlight w:val="none"/>
        </w:rPr>
        <w:t>出具的属于监狱企业的证明文件。</w:t>
      </w:r>
    </w:p>
    <w:p>
      <w:pPr>
        <w:spacing w:line="360" w:lineRule="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）按照《关于促进残疾人就业政府采购政策的通知》（财库〔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）政策性扣除计算方法</w:t>
      </w:r>
    </w:p>
    <w:p>
      <w:pPr>
        <w:spacing w:line="360" w:lineRule="auto"/>
        <w:rPr>
          <w:rFonts w:ascii="宋体" w:cs="宋体"/>
          <w:color w:val="auto"/>
          <w:highlight w:val="none"/>
        </w:rPr>
      </w:pPr>
      <w:r>
        <w:rPr>
          <w:rFonts w:hint="eastAsia" w:ascii="宋体" w:hAnsi="宋体" w:cs="宋体"/>
          <w:color w:val="auto"/>
          <w:highlight w:val="none"/>
        </w:rPr>
        <w:t>投标人所投标产品被认定为监狱企业或残疾人福利性单位或小型和微型企业产品的，该产品投标报价给予</w:t>
      </w:r>
      <w:r>
        <w:rPr>
          <w:rFonts w:ascii="宋体" w:hAnsi="宋体" w:cs="宋体"/>
          <w:color w:val="auto"/>
          <w:highlight w:val="none"/>
        </w:rPr>
        <w:t>6%</w:t>
      </w:r>
      <w:r>
        <w:rPr>
          <w:rFonts w:hint="eastAsia" w:ascii="宋体" w:hAnsi="宋体" w:cs="宋体"/>
          <w:color w:val="auto"/>
          <w:highlight w:val="none"/>
        </w:rPr>
        <w:t>的扣除，扣除后的价格为评标报价，即该产品的评标报价</w:t>
      </w:r>
      <w:r>
        <w:rPr>
          <w:rFonts w:ascii="宋体" w:hAnsi="宋体" w:cs="宋体"/>
          <w:color w:val="auto"/>
          <w:highlight w:val="none"/>
        </w:rPr>
        <w:t>=</w:t>
      </w:r>
      <w:r>
        <w:rPr>
          <w:rFonts w:hint="eastAsia" w:ascii="宋体" w:hAnsi="宋体" w:cs="宋体"/>
          <w:color w:val="auto"/>
          <w:highlight w:val="none"/>
        </w:rPr>
        <w:t>该产品的投标价×（</w:t>
      </w:r>
      <w:r>
        <w:rPr>
          <w:rFonts w:ascii="宋体" w:hAnsi="宋体" w:cs="宋体"/>
          <w:color w:val="auto"/>
          <w:highlight w:val="none"/>
        </w:rPr>
        <w:t>1-6%</w:t>
      </w:r>
      <w:r>
        <w:rPr>
          <w:rFonts w:hint="eastAsia" w:ascii="宋体" w:hAnsi="宋体" w:cs="宋体"/>
          <w:color w:val="auto"/>
          <w:highlight w:val="none"/>
        </w:rPr>
        <w:t>）；大中型企业和其他自然人、法人或者其他组织与小型、微型企业组成联合体投标，且联合体协议中约定小型、微型企业的协议合同金额占到联合体协议合同总金额</w:t>
      </w:r>
      <w:r>
        <w:rPr>
          <w:rFonts w:ascii="宋体" w:hAnsi="宋体" w:cs="宋体"/>
          <w:color w:val="auto"/>
          <w:highlight w:val="none"/>
        </w:rPr>
        <w:t>30%</w:t>
      </w:r>
      <w:r>
        <w:rPr>
          <w:rFonts w:hint="eastAsia" w:ascii="宋体" w:hAnsi="宋体" w:cs="宋体"/>
          <w:color w:val="auto"/>
          <w:highlight w:val="none"/>
        </w:rPr>
        <w:t>以上的，联合体投标价给予</w:t>
      </w:r>
      <w:r>
        <w:rPr>
          <w:rFonts w:ascii="宋体" w:hAnsi="宋体" w:cs="宋体"/>
          <w:color w:val="auto"/>
          <w:highlight w:val="none"/>
        </w:rPr>
        <w:t>2%</w:t>
      </w:r>
      <w:r>
        <w:rPr>
          <w:rFonts w:hint="eastAsia" w:ascii="宋体" w:hAnsi="宋体" w:cs="宋体"/>
          <w:color w:val="auto"/>
          <w:highlight w:val="none"/>
        </w:rPr>
        <w:t>的扣除，扣除后的价格为评标价，即评标报价</w:t>
      </w:r>
      <w:r>
        <w:rPr>
          <w:rFonts w:ascii="宋体" w:hAnsi="宋体" w:cs="宋体"/>
          <w:color w:val="auto"/>
          <w:highlight w:val="none"/>
        </w:rPr>
        <w:t>=</w:t>
      </w:r>
      <w:r>
        <w:rPr>
          <w:rFonts w:hint="eastAsia" w:ascii="宋体" w:hAnsi="宋体" w:cs="宋体"/>
          <w:color w:val="auto"/>
          <w:highlight w:val="none"/>
        </w:rPr>
        <w:t>投标价×（</w:t>
      </w:r>
      <w:r>
        <w:rPr>
          <w:rFonts w:ascii="宋体" w:hAnsi="宋体" w:cs="宋体"/>
          <w:color w:val="auto"/>
          <w:highlight w:val="none"/>
        </w:rPr>
        <w:t>1-2%</w:t>
      </w:r>
      <w:r>
        <w:rPr>
          <w:rFonts w:hint="eastAsia" w:ascii="宋体" w:hAnsi="宋体" w:cs="宋体"/>
          <w:color w:val="auto"/>
          <w:highlight w:val="none"/>
        </w:rPr>
        <w:t>）；除上述情况外，评标报价</w:t>
      </w:r>
      <w:r>
        <w:rPr>
          <w:rFonts w:ascii="宋体" w:hAnsi="宋体" w:cs="宋体"/>
          <w:color w:val="auto"/>
          <w:highlight w:val="none"/>
        </w:rPr>
        <w:t>=</w:t>
      </w:r>
      <w:r>
        <w:rPr>
          <w:rFonts w:hint="eastAsia" w:ascii="宋体" w:hAnsi="宋体" w:cs="宋体"/>
          <w:color w:val="auto"/>
          <w:highlight w:val="none"/>
        </w:rPr>
        <w:t>投标价。</w:t>
      </w:r>
    </w:p>
    <w:p>
      <w:pPr>
        <w:spacing w:line="360" w:lineRule="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）以进入综合评分环节的最低的评标报价为基准价，基准价报价得分为</w:t>
      </w:r>
      <w:r>
        <w:rPr>
          <w:rFonts w:ascii="宋体" w:hAnsi="宋体" w:cs="宋体"/>
          <w:color w:val="auto"/>
          <w:highlight w:val="none"/>
        </w:rPr>
        <w:t>3</w:t>
      </w:r>
      <w:r>
        <w:rPr>
          <w:rFonts w:ascii="宋体" w:cs="宋体"/>
          <w:color w:val="auto"/>
          <w:highlight w:val="none"/>
        </w:rPr>
        <w:t>0</w:t>
      </w:r>
      <w:r>
        <w:rPr>
          <w:rFonts w:hint="eastAsia" w:ascii="宋体" w:hAnsi="宋体" w:cs="宋体"/>
          <w:color w:val="auto"/>
          <w:highlight w:val="none"/>
        </w:rPr>
        <w:t>分。</w:t>
      </w:r>
    </w:p>
    <w:p>
      <w:pPr>
        <w:spacing w:line="360" w:lineRule="auto"/>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）价格分计算公式：</w:t>
      </w:r>
    </w:p>
    <w:p>
      <w:pPr>
        <w:spacing w:line="360" w:lineRule="auto"/>
        <w:ind w:firstLine="210" w:firstLineChars="100"/>
        <w:rPr>
          <w:rFonts w:ascii="宋体" w:cs="宋体"/>
          <w:color w:val="auto"/>
          <w:highlight w:val="none"/>
        </w:rPr>
      </w:pPr>
      <w:r>
        <w:rPr>
          <w:rFonts w:hint="eastAsia" w:ascii="宋体" w:hAnsi="宋体" w:cs="宋体"/>
          <w:color w:val="auto"/>
          <w:highlight w:val="none"/>
        </w:rPr>
        <w:t>某投标人价格分</w:t>
      </w:r>
      <w:r>
        <w:rPr>
          <w:rFonts w:ascii="宋体" w:hAnsi="宋体" w:cs="宋体"/>
          <w:color w:val="auto"/>
          <w:highlight w:val="none"/>
        </w:rPr>
        <w:t>=</w:t>
      </w:r>
      <w:r>
        <w:rPr>
          <w:rFonts w:hint="eastAsia" w:ascii="宋体" w:hAnsi="宋体" w:cs="宋体"/>
          <w:color w:val="auto"/>
          <w:highlight w:val="none"/>
        </w:rPr>
        <w:t>基准价</w:t>
      </w:r>
      <w:r>
        <w:rPr>
          <w:rFonts w:ascii="宋体" w:hAnsi="宋体" w:cs="宋体"/>
          <w:color w:val="auto"/>
          <w:highlight w:val="none"/>
        </w:rPr>
        <w:t>/</w:t>
      </w:r>
      <w:r>
        <w:rPr>
          <w:rFonts w:hint="eastAsia" w:ascii="宋体" w:hAnsi="宋体" w:cs="宋体"/>
          <w:color w:val="auto"/>
          <w:highlight w:val="none"/>
        </w:rPr>
        <w:t>某投标人评标报价金额×</w:t>
      </w:r>
      <w:r>
        <w:rPr>
          <w:rFonts w:ascii="宋体" w:hAnsi="宋体" w:cs="宋体"/>
          <w:color w:val="auto"/>
          <w:highlight w:val="none"/>
        </w:rPr>
        <w:t>3</w:t>
      </w:r>
      <w:r>
        <w:rPr>
          <w:rFonts w:ascii="宋体" w:cs="宋体"/>
          <w:color w:val="auto"/>
          <w:highlight w:val="none"/>
        </w:rPr>
        <w:t>0</w:t>
      </w:r>
      <w:r>
        <w:rPr>
          <w:rFonts w:hint="eastAsia" w:ascii="宋体" w:hAnsi="宋体" w:cs="宋体"/>
          <w:color w:val="auto"/>
          <w:highlight w:val="none"/>
        </w:rPr>
        <w:t>分</w:t>
      </w:r>
    </w:p>
    <w:p>
      <w:pPr>
        <w:spacing w:line="360" w:lineRule="auto"/>
        <w:rPr>
          <w:rFonts w:ascii="宋体" w:hAns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、技术性能分…………………………………………………………………………………满分21分</w:t>
      </w:r>
    </w:p>
    <w:p>
      <w:pPr>
        <w:spacing w:line="360" w:lineRule="auto"/>
        <w:ind w:left="141" w:leftChars="67" w:right="141" w:rightChars="67" w:firstLine="420"/>
        <w:rPr>
          <w:rFonts w:ascii="宋体"/>
          <w:b/>
          <w:color w:val="auto"/>
          <w:szCs w:val="20"/>
          <w:highlight w:val="none"/>
        </w:rPr>
      </w:pPr>
      <w:r>
        <w:rPr>
          <w:rFonts w:hint="eastAsia" w:ascii="宋体" w:cs="Calibri"/>
          <w:b/>
          <w:color w:val="auto"/>
          <w:szCs w:val="20"/>
          <w:highlight w:val="none"/>
        </w:rPr>
        <w:t>①</w:t>
      </w:r>
      <w:r>
        <w:rPr>
          <w:rFonts w:hint="eastAsia" w:ascii="宋体" w:hAnsi="宋体"/>
          <w:b/>
          <w:color w:val="auto"/>
          <w:szCs w:val="20"/>
          <w:highlight w:val="none"/>
        </w:rPr>
        <w:t>货物性能基本分（满分</w:t>
      </w:r>
      <w:r>
        <w:rPr>
          <w:rFonts w:ascii="宋体" w:hAnsi="宋体"/>
          <w:b/>
          <w:color w:val="auto"/>
          <w:szCs w:val="20"/>
          <w:highlight w:val="none"/>
        </w:rPr>
        <w:t>3</w:t>
      </w:r>
      <w:r>
        <w:rPr>
          <w:rFonts w:hint="eastAsia" w:ascii="宋体" w:hAnsi="宋体"/>
          <w:b/>
          <w:color w:val="auto"/>
          <w:szCs w:val="20"/>
          <w:highlight w:val="none"/>
        </w:rPr>
        <w:t>分）</w:t>
      </w:r>
    </w:p>
    <w:p>
      <w:pPr>
        <w:spacing w:line="360" w:lineRule="auto"/>
        <w:ind w:left="141" w:leftChars="67" w:right="141" w:rightChars="67" w:firstLine="420"/>
        <w:rPr>
          <w:rFonts w:ascii="宋体"/>
          <w:color w:val="auto"/>
          <w:szCs w:val="20"/>
          <w:highlight w:val="none"/>
        </w:rPr>
      </w:pPr>
      <w:r>
        <w:rPr>
          <w:rFonts w:hint="eastAsia" w:ascii="宋体" w:hAnsi="宋体"/>
          <w:color w:val="auto"/>
          <w:szCs w:val="20"/>
          <w:highlight w:val="none"/>
        </w:rPr>
        <w:t>非“★”项功能参数，每存在一项负偏离的扣</w:t>
      </w:r>
      <w:r>
        <w:rPr>
          <w:rFonts w:ascii="宋体" w:hAnsi="宋体"/>
          <w:color w:val="auto"/>
          <w:szCs w:val="20"/>
          <w:highlight w:val="none"/>
        </w:rPr>
        <w:t>1</w:t>
      </w:r>
      <w:r>
        <w:rPr>
          <w:rFonts w:hint="eastAsia" w:ascii="宋体" w:hAnsi="宋体"/>
          <w:color w:val="auto"/>
          <w:szCs w:val="20"/>
          <w:highlight w:val="none"/>
        </w:rPr>
        <w:t>分，扣完为止，完全满足得</w:t>
      </w:r>
      <w:r>
        <w:rPr>
          <w:rFonts w:ascii="宋体" w:hAnsi="宋体"/>
          <w:color w:val="auto"/>
          <w:szCs w:val="20"/>
          <w:highlight w:val="none"/>
        </w:rPr>
        <w:t>3</w:t>
      </w:r>
      <w:r>
        <w:rPr>
          <w:rFonts w:hint="eastAsia" w:ascii="宋体" w:hAnsi="宋体"/>
          <w:color w:val="auto"/>
          <w:szCs w:val="20"/>
          <w:highlight w:val="none"/>
        </w:rPr>
        <w:t>分。</w:t>
      </w:r>
    </w:p>
    <w:p>
      <w:pPr>
        <w:spacing w:line="360" w:lineRule="auto"/>
        <w:ind w:left="141" w:leftChars="67" w:right="141" w:rightChars="67" w:firstLine="422" w:firstLineChars="200"/>
        <w:rPr>
          <w:rFonts w:ascii="宋体"/>
          <w:b/>
          <w:color w:val="auto"/>
          <w:szCs w:val="20"/>
          <w:highlight w:val="none"/>
        </w:rPr>
      </w:pPr>
      <w:r>
        <w:rPr>
          <w:rFonts w:hint="eastAsia" w:ascii="宋体" w:cs="Calibri"/>
          <w:b/>
          <w:color w:val="auto"/>
          <w:szCs w:val="20"/>
          <w:highlight w:val="none"/>
        </w:rPr>
        <w:t>②</w:t>
      </w:r>
      <w:r>
        <w:rPr>
          <w:rFonts w:hint="eastAsia" w:ascii="宋体" w:hAnsi="宋体"/>
          <w:b/>
          <w:color w:val="auto"/>
          <w:szCs w:val="20"/>
          <w:highlight w:val="none"/>
        </w:rPr>
        <w:t>货物性能偏离分（满分12分）</w:t>
      </w:r>
    </w:p>
    <w:p>
      <w:pPr>
        <w:pStyle w:val="25"/>
        <w:spacing w:line="360" w:lineRule="auto"/>
        <w:ind w:firstLine="420" w:firstLineChars="200"/>
        <w:rPr>
          <w:rFonts w:hAnsi="宋体"/>
          <w:i/>
          <w:color w:val="auto"/>
          <w:highlight w:val="none"/>
        </w:rPr>
      </w:pPr>
      <w:r>
        <w:rPr>
          <w:rFonts w:hint="eastAsia" w:hAnsi="宋体"/>
          <w:color w:val="auto"/>
          <w:highlight w:val="none"/>
        </w:rPr>
        <w:t>根据各投标人的产品技术参数、性能指标及配置，由评委在打分前集体讨论确定各投标人所属；根据各投标人的产品技术参数、性能指标及配置，由评委在打分前集体讨论确定各投标人所属档次，并由评委在各档次内独立打分。【注：带“★”号的主要技术参数优于采购文件要求的，投标人需在投标文件中提供对应的证明材料（如产品功能检测报告、功能截图等），否则不予认可。】</w:t>
      </w:r>
    </w:p>
    <w:p>
      <w:pPr>
        <w:spacing w:line="360" w:lineRule="auto"/>
        <w:ind w:left="141" w:leftChars="67" w:right="141" w:rightChars="67" w:firstLine="420"/>
        <w:rPr>
          <w:rFonts w:ascii="宋体"/>
          <w:color w:val="auto"/>
          <w:szCs w:val="20"/>
          <w:highlight w:val="none"/>
        </w:rPr>
      </w:pPr>
      <w:r>
        <w:rPr>
          <w:rFonts w:hint="eastAsia" w:ascii="宋体" w:hAnsi="宋体"/>
          <w:color w:val="auto"/>
          <w:szCs w:val="20"/>
          <w:highlight w:val="none"/>
        </w:rPr>
        <w:t>一档（</w:t>
      </w:r>
      <w:r>
        <w:rPr>
          <w:rFonts w:ascii="宋体" w:hAnsi="宋体"/>
          <w:color w:val="auto"/>
          <w:szCs w:val="20"/>
          <w:highlight w:val="none"/>
        </w:rPr>
        <w:t>0.1</w:t>
      </w:r>
      <w:r>
        <w:rPr>
          <w:rFonts w:hint="eastAsia" w:ascii="宋体" w:hAnsi="宋体"/>
          <w:color w:val="auto"/>
          <w:szCs w:val="20"/>
          <w:highlight w:val="none"/>
        </w:rPr>
        <w:t>～4</w:t>
      </w:r>
      <w:r>
        <w:rPr>
          <w:rFonts w:ascii="宋体" w:hAnsi="宋体"/>
          <w:color w:val="auto"/>
          <w:szCs w:val="20"/>
          <w:highlight w:val="none"/>
        </w:rPr>
        <w:t>.0</w:t>
      </w:r>
      <w:r>
        <w:rPr>
          <w:rFonts w:hint="eastAsia" w:ascii="宋体" w:hAnsi="宋体"/>
          <w:color w:val="auto"/>
          <w:szCs w:val="20"/>
          <w:highlight w:val="none"/>
        </w:rPr>
        <w:t>分）：技术参数满足采购文件要求，且主要技术参数有</w:t>
      </w:r>
      <w:r>
        <w:rPr>
          <w:rFonts w:ascii="宋体" w:hAnsi="宋体"/>
          <w:color w:val="auto"/>
          <w:szCs w:val="20"/>
          <w:highlight w:val="none"/>
        </w:rPr>
        <w:t>1</w:t>
      </w:r>
      <w:r>
        <w:rPr>
          <w:rFonts w:hint="eastAsia" w:ascii="宋体" w:hAnsi="宋体"/>
          <w:color w:val="auto"/>
          <w:szCs w:val="20"/>
          <w:highlight w:val="none"/>
        </w:rPr>
        <w:t>项优于采购文件要求，其他技术参数至少</w:t>
      </w:r>
      <w:r>
        <w:rPr>
          <w:rFonts w:ascii="宋体" w:hAnsi="宋体"/>
          <w:color w:val="auto"/>
          <w:szCs w:val="20"/>
          <w:highlight w:val="none"/>
        </w:rPr>
        <w:t>1</w:t>
      </w:r>
      <w:r>
        <w:rPr>
          <w:rFonts w:hint="eastAsia" w:ascii="宋体" w:hAnsi="宋体"/>
          <w:color w:val="auto"/>
          <w:szCs w:val="20"/>
          <w:highlight w:val="none"/>
        </w:rPr>
        <w:t>项优于采购文件要求，且获得评委组一致认可的。</w:t>
      </w:r>
    </w:p>
    <w:p>
      <w:pPr>
        <w:spacing w:line="360" w:lineRule="auto"/>
        <w:ind w:left="141" w:leftChars="67" w:right="141" w:rightChars="67" w:firstLine="420"/>
        <w:rPr>
          <w:rFonts w:ascii="宋体"/>
          <w:color w:val="auto"/>
          <w:szCs w:val="20"/>
          <w:highlight w:val="none"/>
        </w:rPr>
      </w:pPr>
      <w:r>
        <w:rPr>
          <w:rFonts w:hint="eastAsia" w:ascii="宋体" w:hAnsi="宋体"/>
          <w:color w:val="auto"/>
          <w:szCs w:val="20"/>
          <w:highlight w:val="none"/>
        </w:rPr>
        <w:t>二档（4</w:t>
      </w:r>
      <w:r>
        <w:rPr>
          <w:rFonts w:ascii="宋体" w:hAnsi="宋体"/>
          <w:color w:val="auto"/>
          <w:szCs w:val="20"/>
          <w:highlight w:val="none"/>
        </w:rPr>
        <w:t>.1</w:t>
      </w:r>
      <w:r>
        <w:rPr>
          <w:rFonts w:hint="eastAsia" w:ascii="宋体" w:hAnsi="宋体"/>
          <w:color w:val="auto"/>
          <w:szCs w:val="20"/>
          <w:highlight w:val="none"/>
        </w:rPr>
        <w:t>～8</w:t>
      </w:r>
      <w:r>
        <w:rPr>
          <w:rFonts w:ascii="宋体" w:hAnsi="宋体"/>
          <w:color w:val="auto"/>
          <w:szCs w:val="20"/>
          <w:highlight w:val="none"/>
        </w:rPr>
        <w:t>.0</w:t>
      </w:r>
      <w:r>
        <w:rPr>
          <w:rFonts w:hint="eastAsia" w:ascii="宋体" w:hAnsi="宋体"/>
          <w:color w:val="auto"/>
          <w:szCs w:val="20"/>
          <w:highlight w:val="none"/>
        </w:rPr>
        <w:t>分）：技术参数满足采购文件要求，且主要技术参数有</w:t>
      </w:r>
      <w:r>
        <w:rPr>
          <w:rFonts w:ascii="宋体" w:hAnsi="宋体"/>
          <w:color w:val="auto"/>
          <w:szCs w:val="20"/>
          <w:highlight w:val="none"/>
        </w:rPr>
        <w:t>2</w:t>
      </w:r>
      <w:r>
        <w:rPr>
          <w:rFonts w:hint="eastAsia" w:ascii="宋体" w:hAnsi="宋体"/>
          <w:color w:val="auto"/>
          <w:szCs w:val="20"/>
          <w:highlight w:val="none"/>
        </w:rPr>
        <w:t>项优于采购文件要求，其他技术参数至少</w:t>
      </w:r>
      <w:r>
        <w:rPr>
          <w:rFonts w:ascii="宋体" w:hAnsi="宋体"/>
          <w:color w:val="auto"/>
          <w:szCs w:val="20"/>
          <w:highlight w:val="none"/>
        </w:rPr>
        <w:t>2</w:t>
      </w:r>
      <w:r>
        <w:rPr>
          <w:rFonts w:hint="eastAsia" w:ascii="宋体" w:hAnsi="宋体"/>
          <w:color w:val="auto"/>
          <w:szCs w:val="20"/>
          <w:highlight w:val="none"/>
        </w:rPr>
        <w:t>项优于采购文件要求，且获得评委组一致认可的。</w:t>
      </w:r>
    </w:p>
    <w:p>
      <w:pPr>
        <w:spacing w:line="360" w:lineRule="auto"/>
        <w:ind w:left="141" w:leftChars="67" w:right="141" w:rightChars="67" w:firstLine="420"/>
        <w:rPr>
          <w:rFonts w:ascii="宋体"/>
          <w:color w:val="auto"/>
          <w:szCs w:val="20"/>
          <w:highlight w:val="none"/>
        </w:rPr>
      </w:pPr>
      <w:r>
        <w:rPr>
          <w:rFonts w:hint="eastAsia" w:ascii="宋体" w:hAnsi="宋体"/>
          <w:color w:val="auto"/>
          <w:szCs w:val="20"/>
          <w:highlight w:val="none"/>
        </w:rPr>
        <w:t>三档（8</w:t>
      </w:r>
      <w:r>
        <w:rPr>
          <w:rFonts w:ascii="宋体" w:hAnsi="宋体"/>
          <w:color w:val="auto"/>
          <w:szCs w:val="20"/>
          <w:highlight w:val="none"/>
        </w:rPr>
        <w:t>.1</w:t>
      </w:r>
      <w:r>
        <w:rPr>
          <w:rFonts w:hint="eastAsia" w:ascii="宋体" w:hAnsi="宋体"/>
          <w:color w:val="auto"/>
          <w:szCs w:val="20"/>
          <w:highlight w:val="none"/>
        </w:rPr>
        <w:t>～12</w:t>
      </w:r>
      <w:r>
        <w:rPr>
          <w:rFonts w:ascii="宋体" w:hAnsi="宋体"/>
          <w:color w:val="auto"/>
          <w:szCs w:val="20"/>
          <w:highlight w:val="none"/>
        </w:rPr>
        <w:t>.0</w:t>
      </w:r>
      <w:r>
        <w:rPr>
          <w:rFonts w:hint="eastAsia" w:ascii="宋体" w:hAnsi="宋体"/>
          <w:color w:val="auto"/>
          <w:szCs w:val="20"/>
          <w:highlight w:val="none"/>
        </w:rPr>
        <w:t>分）：技术参数满足采购文件要求，主要技术参数有至少</w:t>
      </w:r>
      <w:r>
        <w:rPr>
          <w:rFonts w:ascii="宋体" w:hAnsi="宋体"/>
          <w:color w:val="auto"/>
          <w:szCs w:val="20"/>
          <w:highlight w:val="none"/>
        </w:rPr>
        <w:t>3</w:t>
      </w:r>
      <w:r>
        <w:rPr>
          <w:rFonts w:hint="eastAsia" w:ascii="宋体" w:hAnsi="宋体"/>
          <w:color w:val="auto"/>
          <w:szCs w:val="20"/>
          <w:highlight w:val="none"/>
        </w:rPr>
        <w:t>项优于采购文件要求，其他技术参数至少</w:t>
      </w:r>
      <w:r>
        <w:rPr>
          <w:rFonts w:ascii="宋体" w:hAnsi="宋体"/>
          <w:color w:val="auto"/>
          <w:szCs w:val="20"/>
          <w:highlight w:val="none"/>
        </w:rPr>
        <w:t>3</w:t>
      </w:r>
      <w:r>
        <w:rPr>
          <w:rFonts w:hint="eastAsia" w:ascii="宋体" w:hAnsi="宋体"/>
          <w:color w:val="auto"/>
          <w:szCs w:val="20"/>
          <w:highlight w:val="none"/>
        </w:rPr>
        <w:t>项优于采购文件要求，且获得评委组一致认可的。</w:t>
      </w:r>
    </w:p>
    <w:p>
      <w:pPr>
        <w:spacing w:line="360" w:lineRule="auto"/>
        <w:ind w:left="141" w:leftChars="67" w:right="141" w:rightChars="67" w:firstLine="420"/>
        <w:rPr>
          <w:rFonts w:ascii="宋体"/>
          <w:b/>
          <w:color w:val="auto"/>
          <w:szCs w:val="20"/>
          <w:highlight w:val="none"/>
        </w:rPr>
      </w:pPr>
      <w:r>
        <w:rPr>
          <w:rFonts w:hint="eastAsia" w:ascii="宋体" w:cs="Calibri"/>
          <w:b/>
          <w:color w:val="auto"/>
          <w:szCs w:val="20"/>
          <w:highlight w:val="none"/>
        </w:rPr>
        <w:t>③</w:t>
      </w:r>
      <w:r>
        <w:rPr>
          <w:rFonts w:hint="eastAsia" w:ascii="宋体" w:hAnsi="宋体" w:cs="Calibri"/>
          <w:b/>
          <w:color w:val="auto"/>
          <w:szCs w:val="20"/>
          <w:highlight w:val="none"/>
        </w:rPr>
        <w:t>货物</w:t>
      </w:r>
      <w:r>
        <w:rPr>
          <w:rFonts w:hint="eastAsia" w:ascii="宋体" w:hAnsi="宋体"/>
          <w:b/>
          <w:color w:val="auto"/>
          <w:szCs w:val="20"/>
          <w:highlight w:val="none"/>
        </w:rPr>
        <w:t>安全性能分（满分</w:t>
      </w:r>
      <w:r>
        <w:rPr>
          <w:rFonts w:ascii="宋体" w:hAnsi="宋体"/>
          <w:b/>
          <w:color w:val="auto"/>
          <w:szCs w:val="20"/>
          <w:highlight w:val="none"/>
        </w:rPr>
        <w:t>6</w:t>
      </w:r>
      <w:r>
        <w:rPr>
          <w:rFonts w:hint="eastAsia" w:ascii="宋体" w:hAnsi="宋体"/>
          <w:b/>
          <w:color w:val="auto"/>
          <w:szCs w:val="20"/>
          <w:highlight w:val="none"/>
        </w:rPr>
        <w:t>分）</w:t>
      </w:r>
    </w:p>
    <w:p>
      <w:pPr>
        <w:spacing w:line="360" w:lineRule="auto"/>
        <w:ind w:left="141" w:leftChars="67" w:right="141" w:rightChars="67" w:firstLine="420"/>
        <w:rPr>
          <w:rFonts w:ascii="宋体"/>
          <w:color w:val="auto"/>
          <w:szCs w:val="20"/>
          <w:highlight w:val="none"/>
        </w:rPr>
      </w:pPr>
      <w:r>
        <w:rPr>
          <w:rFonts w:ascii="宋体" w:hAnsi="宋体"/>
          <w:color w:val="auto"/>
          <w:szCs w:val="20"/>
          <w:highlight w:val="none"/>
        </w:rPr>
        <w:t>A.</w:t>
      </w:r>
      <w:r>
        <w:rPr>
          <w:rFonts w:hint="eastAsia" w:ascii="宋体" w:hAnsi="宋体"/>
          <w:color w:val="auto"/>
          <w:szCs w:val="20"/>
          <w:highlight w:val="none"/>
        </w:rPr>
        <w:t>所投</w:t>
      </w:r>
      <w:r>
        <w:rPr>
          <w:rFonts w:hint="eastAsia" w:ascii="宋体" w:hAnsi="宋体" w:cs="宋体"/>
          <w:bCs/>
          <w:color w:val="auto"/>
          <w:kern w:val="0"/>
          <w:szCs w:val="21"/>
          <w:highlight w:val="none"/>
        </w:rPr>
        <w:t>交互智能平板</w:t>
      </w:r>
      <w:r>
        <w:rPr>
          <w:rFonts w:hint="eastAsia" w:ascii="宋体" w:hAnsi="宋体"/>
          <w:color w:val="auto"/>
          <w:szCs w:val="20"/>
          <w:highlight w:val="none"/>
        </w:rPr>
        <w:t>整机在雷雨复杂天气中仍可安全使用：整机符合浪涌（冲击）抗扰度、静电放电抗扰度、射频电磁场辐射抗扰度、电快速瞬变脉冲群抗扰度、射频场感应的传导抗扰度的要求。完全满足并提供相应安全性能的检测（检验）报告复印件，得</w:t>
      </w:r>
      <w:r>
        <w:rPr>
          <w:rFonts w:ascii="宋体" w:hAnsi="宋体"/>
          <w:color w:val="auto"/>
          <w:szCs w:val="20"/>
          <w:highlight w:val="none"/>
        </w:rPr>
        <w:t>2</w:t>
      </w:r>
      <w:r>
        <w:rPr>
          <w:rFonts w:hint="eastAsia" w:ascii="宋体" w:hAnsi="宋体"/>
          <w:color w:val="auto"/>
          <w:szCs w:val="20"/>
          <w:highlight w:val="none"/>
        </w:rPr>
        <w:t>分，否则不得分。</w:t>
      </w:r>
    </w:p>
    <w:p>
      <w:pPr>
        <w:spacing w:line="360" w:lineRule="auto"/>
        <w:ind w:left="141" w:leftChars="67" w:right="141" w:rightChars="67" w:firstLine="420"/>
        <w:rPr>
          <w:rFonts w:ascii="宋体"/>
          <w:color w:val="auto"/>
          <w:szCs w:val="20"/>
          <w:highlight w:val="none"/>
        </w:rPr>
      </w:pPr>
      <w:r>
        <w:rPr>
          <w:rFonts w:ascii="宋体" w:hAnsi="宋体"/>
          <w:color w:val="auto"/>
          <w:szCs w:val="20"/>
          <w:highlight w:val="none"/>
        </w:rPr>
        <w:t>B.</w:t>
      </w:r>
      <w:r>
        <w:rPr>
          <w:rFonts w:hint="eastAsia" w:ascii="宋体" w:hAnsi="宋体"/>
          <w:color w:val="auto"/>
          <w:szCs w:val="20"/>
          <w:highlight w:val="none"/>
        </w:rPr>
        <w:t>所投</w:t>
      </w:r>
      <w:r>
        <w:rPr>
          <w:rFonts w:hint="eastAsia" w:ascii="宋体" w:hAnsi="宋体" w:cs="宋体"/>
          <w:bCs/>
          <w:color w:val="auto"/>
          <w:kern w:val="0"/>
          <w:szCs w:val="21"/>
          <w:highlight w:val="none"/>
        </w:rPr>
        <w:t>交互智能平板</w:t>
      </w:r>
      <w:r>
        <w:rPr>
          <w:rFonts w:hint="eastAsia" w:ascii="宋体" w:hAnsi="宋体"/>
          <w:color w:val="auto"/>
          <w:szCs w:val="20"/>
          <w:highlight w:val="none"/>
        </w:rPr>
        <w:t>整机在高低温环境、盐雾环境和复杂运输情况中的稳定性，且机身具备防盐雾锈蚀特性，可在潮湿天气中正常使用。完全满足并提供高低温实验、盐雾实验的检测（检验）报告复印件，得</w:t>
      </w:r>
      <w:r>
        <w:rPr>
          <w:rFonts w:ascii="宋体" w:hAnsi="宋体"/>
          <w:color w:val="auto"/>
          <w:szCs w:val="20"/>
          <w:highlight w:val="none"/>
        </w:rPr>
        <w:t>2</w:t>
      </w:r>
      <w:r>
        <w:rPr>
          <w:rFonts w:hint="eastAsia" w:ascii="宋体" w:hAnsi="宋体"/>
          <w:color w:val="auto"/>
          <w:szCs w:val="20"/>
          <w:highlight w:val="none"/>
        </w:rPr>
        <w:t>分，否则不得分。</w:t>
      </w:r>
    </w:p>
    <w:p>
      <w:pPr>
        <w:spacing w:line="360" w:lineRule="auto"/>
        <w:ind w:left="141" w:leftChars="67" w:right="141" w:rightChars="67" w:firstLine="420"/>
        <w:rPr>
          <w:rFonts w:ascii="宋体"/>
          <w:color w:val="auto"/>
          <w:szCs w:val="20"/>
          <w:highlight w:val="none"/>
        </w:rPr>
      </w:pPr>
      <w:r>
        <w:rPr>
          <w:rFonts w:ascii="宋体" w:hAnsi="宋体"/>
          <w:color w:val="auto"/>
          <w:szCs w:val="20"/>
          <w:highlight w:val="none"/>
        </w:rPr>
        <w:t>C.</w:t>
      </w:r>
      <w:r>
        <w:rPr>
          <w:rFonts w:hint="eastAsia" w:ascii="宋体" w:hAnsi="宋体"/>
          <w:color w:val="auto"/>
          <w:szCs w:val="20"/>
          <w:highlight w:val="none"/>
        </w:rPr>
        <w:t>所投</w:t>
      </w:r>
      <w:r>
        <w:rPr>
          <w:rFonts w:hint="eastAsia" w:ascii="宋体" w:hAnsi="宋体" w:cs="宋体"/>
          <w:bCs/>
          <w:color w:val="auto"/>
          <w:kern w:val="0"/>
          <w:szCs w:val="21"/>
          <w:highlight w:val="none"/>
        </w:rPr>
        <w:t>交互智能平板</w:t>
      </w:r>
      <w:r>
        <w:rPr>
          <w:rFonts w:hint="eastAsia" w:ascii="宋体" w:hAnsi="宋体"/>
          <w:color w:val="auto"/>
          <w:szCs w:val="20"/>
          <w:highlight w:val="none"/>
        </w:rPr>
        <w:t>整机具备抗振动、防跌落特性，保证整机运输或使用过程中不易受损。完全满足并提供运输包装跌落的检测（检验）报告复印件，得</w:t>
      </w:r>
      <w:r>
        <w:rPr>
          <w:rFonts w:ascii="宋体" w:hAnsi="宋体"/>
          <w:color w:val="auto"/>
          <w:szCs w:val="20"/>
          <w:highlight w:val="none"/>
        </w:rPr>
        <w:t>2</w:t>
      </w:r>
      <w:r>
        <w:rPr>
          <w:rFonts w:hint="eastAsia" w:ascii="宋体" w:hAnsi="宋体"/>
          <w:color w:val="auto"/>
          <w:szCs w:val="20"/>
          <w:highlight w:val="none"/>
        </w:rPr>
        <w:t>分，否则不得分。</w:t>
      </w:r>
    </w:p>
    <w:p>
      <w:pPr>
        <w:spacing w:line="360" w:lineRule="auto"/>
        <w:rPr>
          <w:rFonts w:ascii="宋体" w:cs="宋体"/>
          <w:b/>
          <w:bCs/>
          <w:color w:val="auto"/>
          <w:highlight w:val="none"/>
        </w:rPr>
      </w:pPr>
      <w:r>
        <w:rPr>
          <w:rFonts w:ascii="宋体" w:hAnsi="宋体" w:cs="宋体"/>
          <w:b/>
          <w:bCs/>
          <w:color w:val="auto"/>
          <w:highlight w:val="none"/>
        </w:rPr>
        <w:t>3</w:t>
      </w:r>
      <w:r>
        <w:rPr>
          <w:rFonts w:hint="eastAsia" w:ascii="宋体" w:hAnsi="宋体" w:cs="宋体"/>
          <w:b/>
          <w:bCs/>
          <w:color w:val="auto"/>
          <w:highlight w:val="none"/>
        </w:rPr>
        <w:t>、项目实施方案分…………………………………………………………………………………………</w:t>
      </w:r>
      <w:r>
        <w:rPr>
          <w:rFonts w:ascii="宋体" w:hAnsi="宋体" w:cs="宋体"/>
          <w:b/>
          <w:bCs/>
          <w:color w:val="auto"/>
          <w:highlight w:val="none"/>
        </w:rPr>
        <w:t>17</w:t>
      </w:r>
      <w:r>
        <w:rPr>
          <w:rFonts w:hint="eastAsia" w:ascii="宋体" w:hAnsi="宋体" w:cs="宋体"/>
          <w:b/>
          <w:bCs/>
          <w:color w:val="auto"/>
          <w:highlight w:val="none"/>
        </w:rPr>
        <w:t>分</w:t>
      </w:r>
    </w:p>
    <w:p>
      <w:pPr>
        <w:spacing w:line="360" w:lineRule="auto"/>
        <w:ind w:firstLine="420" w:firstLineChars="200"/>
        <w:rPr>
          <w:rFonts w:ascii="宋体" w:cs="宋体"/>
          <w:color w:val="auto"/>
          <w:highlight w:val="none"/>
        </w:rPr>
      </w:pPr>
      <w:r>
        <w:rPr>
          <w:rFonts w:hint="eastAsia" w:ascii="宋体" w:hAnsi="宋体" w:cs="宋体"/>
          <w:color w:val="auto"/>
          <w:highlight w:val="none"/>
        </w:rPr>
        <w:t>由评标委员会根据投标文件提供的项目实施方案（包括项目整体方案、技术方案、项目管理机构、实施人员队伍及技术水平、物流管理、施工培训和协调、项目实施质量、进度和风险控制、项目合同和信息管理控制等）独立打分，不提供项目实施方案的，该项为</w:t>
      </w:r>
      <w:r>
        <w:rPr>
          <w:rFonts w:ascii="宋体" w:cs="宋体"/>
          <w:color w:val="auto"/>
          <w:highlight w:val="none"/>
        </w:rPr>
        <w:t>0</w:t>
      </w:r>
      <w:r>
        <w:rPr>
          <w:rFonts w:hint="eastAsia" w:ascii="宋体" w:hAnsi="宋体" w:cs="宋体"/>
          <w:color w:val="auto"/>
          <w:highlight w:val="none"/>
        </w:rPr>
        <w:t>分。满分</w:t>
      </w:r>
      <w:r>
        <w:rPr>
          <w:rFonts w:ascii="宋体" w:hAnsi="宋体" w:cs="宋体"/>
          <w:color w:val="auto"/>
          <w:highlight w:val="none"/>
        </w:rPr>
        <w:t>17</w:t>
      </w:r>
      <w:r>
        <w:rPr>
          <w:rFonts w:hint="eastAsia" w:ascii="宋体" w:hAnsi="宋体" w:cs="宋体"/>
          <w:color w:val="auto"/>
          <w:highlight w:val="none"/>
        </w:rPr>
        <w:t>分。</w:t>
      </w:r>
    </w:p>
    <w:p>
      <w:pPr>
        <w:spacing w:line="360" w:lineRule="auto"/>
        <w:ind w:firstLine="315" w:firstLineChars="150"/>
        <w:rPr>
          <w:rFonts w:ascii="宋体" w:cs="宋体"/>
          <w:color w:val="auto"/>
          <w:highlight w:val="none"/>
        </w:rPr>
      </w:pPr>
      <w:r>
        <w:rPr>
          <w:rFonts w:hint="eastAsia" w:ascii="宋体" w:hAnsi="宋体" w:cs="宋体"/>
          <w:color w:val="auto"/>
          <w:highlight w:val="none"/>
        </w:rPr>
        <w:t>一档（</w:t>
      </w:r>
      <w:r>
        <w:rPr>
          <w:rFonts w:ascii="宋体" w:cs="宋体"/>
          <w:color w:val="auto"/>
          <w:highlight w:val="none"/>
        </w:rPr>
        <w:t>0</w:t>
      </w: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分）：对项目总体有认识，有一定的措施但部分不具体；安装段划分较合理，符合规范要求；投入计划与进度计划呼应，总体布置基本合理，基本满足招标需要。</w:t>
      </w:r>
    </w:p>
    <w:p>
      <w:pPr>
        <w:spacing w:line="360" w:lineRule="auto"/>
        <w:ind w:firstLine="315" w:firstLineChars="150"/>
        <w:rPr>
          <w:rFonts w:ascii="宋体" w:cs="宋体"/>
          <w:color w:val="auto"/>
          <w:highlight w:val="none"/>
        </w:rPr>
      </w:pPr>
      <w:r>
        <w:rPr>
          <w:rFonts w:hint="eastAsia" w:ascii="宋体" w:hAnsi="宋体" w:cs="宋体"/>
          <w:color w:val="auto"/>
          <w:highlight w:val="none"/>
        </w:rPr>
        <w:t>二档（</w:t>
      </w:r>
      <w:r>
        <w:rPr>
          <w:rFonts w:ascii="宋体" w:hAnsi="宋体" w:cs="宋体"/>
          <w:color w:val="auto"/>
          <w:highlight w:val="none"/>
        </w:rPr>
        <w:t>5.1</w:t>
      </w:r>
      <w:r>
        <w:rPr>
          <w:rFonts w:hint="eastAsia" w:ascii="宋体" w:hAnsi="宋体" w:cs="宋体"/>
          <w:color w:val="auto"/>
          <w:highlight w:val="none"/>
        </w:rPr>
        <w:t>～</w:t>
      </w:r>
      <w:r>
        <w:rPr>
          <w:rFonts w:ascii="宋体" w:hAnsi="宋体" w:cs="宋体"/>
          <w:color w:val="auto"/>
          <w:highlight w:val="none"/>
        </w:rPr>
        <w:t>11</w:t>
      </w:r>
      <w:r>
        <w:rPr>
          <w:rFonts w:hint="eastAsia" w:ascii="宋体" w:hAnsi="宋体" w:cs="宋体"/>
          <w:color w:val="auto"/>
          <w:highlight w:val="none"/>
        </w:rPr>
        <w:t>分）：对项目总体有一定认识，表述较清晰、完整，措施具体有效；安装段划分呼应总体表述，划分清晰，符合规范要求；投入计划与进度计划呼应，总体布置合理，满足招标需要。</w:t>
      </w:r>
    </w:p>
    <w:p>
      <w:pPr>
        <w:spacing w:line="360" w:lineRule="auto"/>
        <w:ind w:firstLine="315" w:firstLineChars="150"/>
        <w:rPr>
          <w:rFonts w:ascii="宋体" w:cs="宋体"/>
          <w:color w:val="auto"/>
          <w:highlight w:val="none"/>
        </w:rPr>
      </w:pPr>
      <w:r>
        <w:rPr>
          <w:rFonts w:hint="eastAsia" w:ascii="宋体" w:hAnsi="宋体" w:cs="宋体"/>
          <w:color w:val="auto"/>
          <w:highlight w:val="none"/>
        </w:rPr>
        <w:t>三档（</w:t>
      </w:r>
      <w:r>
        <w:rPr>
          <w:rFonts w:ascii="宋体" w:hAnsi="宋体" w:cs="宋体"/>
          <w:color w:val="auto"/>
          <w:highlight w:val="none"/>
        </w:rPr>
        <w:t>11.1</w:t>
      </w:r>
      <w:r>
        <w:rPr>
          <w:rFonts w:hint="eastAsia" w:ascii="宋体" w:hAnsi="宋体" w:cs="宋体"/>
          <w:color w:val="auto"/>
          <w:highlight w:val="none"/>
        </w:rPr>
        <w:t>～</w:t>
      </w:r>
      <w:r>
        <w:rPr>
          <w:rFonts w:ascii="宋体" w:hAnsi="宋体" w:cs="宋体"/>
          <w:color w:val="auto"/>
          <w:highlight w:val="none"/>
        </w:rPr>
        <w:t>17</w:t>
      </w:r>
      <w:r>
        <w:rPr>
          <w:rFonts w:hint="eastAsia" w:ascii="宋体" w:hAnsi="宋体" w:cs="宋体"/>
          <w:color w:val="auto"/>
          <w:highlight w:val="none"/>
        </w:rPr>
        <w:t>分）：对项目总体有深刻认识，表述清晰、完整、严谨、合理，措施先进、具体、有效、成熟；安装段划分呼应总体表述，划分清晰、合理，符合规范要求；投入计划与进度计划呼应，总体布置有针对性、合理，完全满足招标需要。</w:t>
      </w:r>
    </w:p>
    <w:p>
      <w:pPr>
        <w:spacing w:line="360" w:lineRule="auto"/>
        <w:rPr>
          <w:rFonts w:ascii="宋体" w:cs="宋体"/>
          <w:b/>
          <w:bCs/>
          <w:color w:val="auto"/>
          <w:highlight w:val="none"/>
        </w:rPr>
      </w:pPr>
      <w:r>
        <w:rPr>
          <w:rFonts w:hint="eastAsia" w:ascii="宋体" w:hAnsi="宋体" w:cs="宋体"/>
          <w:b/>
          <w:bCs/>
          <w:color w:val="auto"/>
          <w:highlight w:val="none"/>
        </w:rPr>
        <w:t>4、售后服务分………………………………………………………………………………………………</w:t>
      </w:r>
      <w:r>
        <w:rPr>
          <w:rFonts w:ascii="宋体" w:hAnsi="宋体" w:cs="宋体"/>
          <w:b/>
          <w:bCs/>
          <w:color w:val="auto"/>
          <w:highlight w:val="none"/>
        </w:rPr>
        <w:t>20</w:t>
      </w:r>
      <w:r>
        <w:rPr>
          <w:rFonts w:hint="eastAsia" w:ascii="宋体" w:hAnsi="宋体" w:cs="宋体"/>
          <w:b/>
          <w:bCs/>
          <w:color w:val="auto"/>
          <w:highlight w:val="none"/>
        </w:rPr>
        <w:t>分</w:t>
      </w:r>
    </w:p>
    <w:p>
      <w:pPr>
        <w:spacing w:line="360" w:lineRule="auto"/>
        <w:ind w:left="141" w:leftChars="67" w:right="141" w:rightChars="67" w:firstLine="420" w:firstLineChars="200"/>
        <w:rPr>
          <w:rFonts w:ascii="宋体"/>
          <w:bCs/>
          <w:color w:val="auto"/>
          <w:szCs w:val="20"/>
          <w:highlight w:val="none"/>
        </w:rPr>
      </w:pPr>
      <w:r>
        <w:rPr>
          <w:rFonts w:hint="eastAsia" w:ascii="宋体" w:hAnsi="宋体"/>
          <w:bCs/>
          <w:color w:val="auto"/>
          <w:szCs w:val="20"/>
          <w:highlight w:val="none"/>
        </w:rPr>
        <w:t>（</w:t>
      </w:r>
      <w:r>
        <w:rPr>
          <w:rFonts w:ascii="宋体" w:hAnsi="宋体"/>
          <w:bCs/>
          <w:color w:val="auto"/>
          <w:szCs w:val="20"/>
          <w:highlight w:val="none"/>
        </w:rPr>
        <w:t>1</w:t>
      </w:r>
      <w:r>
        <w:rPr>
          <w:rFonts w:hint="eastAsia" w:ascii="宋体" w:hAnsi="宋体"/>
          <w:bCs/>
          <w:color w:val="auto"/>
          <w:szCs w:val="20"/>
          <w:highlight w:val="none"/>
        </w:rPr>
        <w:t>）由评标委员会根据投标文件中售后服务承诺书内容的完整性、可行性、到达故障现场时间、故障出现解决方案、定期维护（注明时间）、免费技术培训方案、保修期外维修方案、本地化售后服务措施、其他优惠措施、安装要求及方案等方面，集体讨论后综合评定其档次并在相应等级内独立打分。</w:t>
      </w:r>
    </w:p>
    <w:p>
      <w:pPr>
        <w:spacing w:line="360" w:lineRule="auto"/>
        <w:ind w:left="141" w:leftChars="67" w:right="141" w:rightChars="67" w:firstLine="420" w:firstLineChars="200"/>
        <w:rPr>
          <w:rFonts w:ascii="宋体"/>
          <w:bCs/>
          <w:color w:val="auto"/>
          <w:szCs w:val="20"/>
          <w:highlight w:val="none"/>
        </w:rPr>
      </w:pPr>
      <w:r>
        <w:rPr>
          <w:rFonts w:hint="eastAsia" w:ascii="宋体" w:hAnsi="宋体"/>
          <w:bCs/>
          <w:color w:val="auto"/>
          <w:szCs w:val="20"/>
          <w:highlight w:val="none"/>
        </w:rPr>
        <w:t>一档（</w:t>
      </w:r>
      <w:r>
        <w:rPr>
          <w:rFonts w:ascii="宋体" w:hAnsi="宋体"/>
          <w:bCs/>
          <w:color w:val="auto"/>
          <w:szCs w:val="20"/>
          <w:highlight w:val="none"/>
        </w:rPr>
        <w:t>0.1</w:t>
      </w:r>
      <w:r>
        <w:rPr>
          <w:rFonts w:hint="eastAsia" w:ascii="宋体" w:hAnsi="宋体"/>
          <w:bCs/>
          <w:color w:val="auto"/>
          <w:szCs w:val="20"/>
          <w:highlight w:val="none"/>
        </w:rPr>
        <w:t>～</w:t>
      </w:r>
      <w:r>
        <w:rPr>
          <w:rFonts w:hint="eastAsia" w:ascii="宋体" w:hAnsi="宋体"/>
          <w:bCs/>
          <w:color w:val="auto"/>
          <w:szCs w:val="20"/>
          <w:highlight w:val="none"/>
          <w:lang w:val="en-US" w:eastAsia="zh-CN"/>
        </w:rPr>
        <w:t>6</w:t>
      </w:r>
      <w:r>
        <w:rPr>
          <w:rFonts w:hint="eastAsia" w:ascii="宋体" w:hAnsi="宋体"/>
          <w:bCs/>
          <w:color w:val="auto"/>
          <w:szCs w:val="20"/>
          <w:highlight w:val="none"/>
        </w:rPr>
        <w:t>分）：投标人所提供的项目服务方案，方案包含有项目售后维护和应急保障方案，且方案可行</w:t>
      </w:r>
      <w:r>
        <w:rPr>
          <w:rFonts w:hint="eastAsia" w:ascii="宋体" w:hAnsi="宋体"/>
          <w:bCs/>
          <w:color w:val="auto"/>
          <w:szCs w:val="20"/>
          <w:highlight w:val="none"/>
          <w:lang w:eastAsia="zh-CN"/>
        </w:rPr>
        <w:t>，</w:t>
      </w:r>
      <w:r>
        <w:rPr>
          <w:rFonts w:hint="eastAsia" w:hAnsi="宋体"/>
          <w:color w:val="auto"/>
          <w:highlight w:val="none"/>
        </w:rPr>
        <w:t>到达故障现场时间仅满足招标文件要求</w:t>
      </w:r>
      <w:r>
        <w:rPr>
          <w:rFonts w:hint="eastAsia" w:ascii="宋体" w:hAnsi="宋体"/>
          <w:bCs/>
          <w:color w:val="auto"/>
          <w:szCs w:val="20"/>
          <w:highlight w:val="none"/>
        </w:rPr>
        <w:t>。</w:t>
      </w:r>
    </w:p>
    <w:p>
      <w:pPr>
        <w:spacing w:line="360" w:lineRule="auto"/>
        <w:ind w:left="141" w:leftChars="67" w:right="141" w:rightChars="67" w:firstLine="420" w:firstLineChars="200"/>
        <w:rPr>
          <w:rFonts w:ascii="宋体"/>
          <w:bCs/>
          <w:color w:val="auto"/>
          <w:szCs w:val="20"/>
          <w:highlight w:val="none"/>
        </w:rPr>
      </w:pPr>
      <w:r>
        <w:rPr>
          <w:rFonts w:hint="eastAsia" w:ascii="宋体" w:hAnsi="宋体"/>
          <w:bCs/>
          <w:color w:val="auto"/>
          <w:szCs w:val="20"/>
          <w:highlight w:val="none"/>
        </w:rPr>
        <w:t>二挡（</w:t>
      </w:r>
      <w:r>
        <w:rPr>
          <w:rFonts w:hint="eastAsia" w:ascii="宋体" w:hAnsi="宋体"/>
          <w:bCs/>
          <w:color w:val="auto"/>
          <w:szCs w:val="20"/>
          <w:highlight w:val="none"/>
          <w:lang w:val="en-US" w:eastAsia="zh-CN"/>
        </w:rPr>
        <w:t>6</w:t>
      </w:r>
      <w:r>
        <w:rPr>
          <w:rFonts w:ascii="宋体" w:hAnsi="宋体"/>
          <w:bCs/>
          <w:color w:val="auto"/>
          <w:szCs w:val="20"/>
          <w:highlight w:val="none"/>
        </w:rPr>
        <w:t>.1</w:t>
      </w:r>
      <w:r>
        <w:rPr>
          <w:rFonts w:hint="eastAsia" w:ascii="宋体" w:hAnsi="宋体"/>
          <w:bCs/>
          <w:color w:val="auto"/>
          <w:szCs w:val="20"/>
          <w:highlight w:val="none"/>
        </w:rPr>
        <w:t>～</w:t>
      </w:r>
      <w:r>
        <w:rPr>
          <w:rFonts w:ascii="宋体" w:hAnsi="宋体"/>
          <w:bCs/>
          <w:color w:val="auto"/>
          <w:szCs w:val="20"/>
          <w:highlight w:val="none"/>
        </w:rPr>
        <w:t>11</w:t>
      </w:r>
      <w:r>
        <w:rPr>
          <w:rFonts w:hint="eastAsia" w:ascii="宋体" w:hAnsi="宋体"/>
          <w:bCs/>
          <w:color w:val="auto"/>
          <w:szCs w:val="20"/>
          <w:highlight w:val="none"/>
        </w:rPr>
        <w:t>分）：投标人所提供的项目服务方案，方案包含有项目售后维护、应急保障方案等，且描述了项目售后维护和应急保障方案的方法以及实现方式，方案可行较详细</w:t>
      </w:r>
      <w:r>
        <w:rPr>
          <w:rFonts w:hint="eastAsia" w:ascii="宋体" w:hAnsi="宋体"/>
          <w:bCs/>
          <w:color w:val="auto"/>
          <w:szCs w:val="20"/>
          <w:highlight w:val="none"/>
          <w:lang w:eastAsia="zh-CN"/>
        </w:rPr>
        <w:t>，同时到达故障现场时间优于招标文件要求</w:t>
      </w:r>
      <w:r>
        <w:rPr>
          <w:rFonts w:hint="eastAsia" w:ascii="宋体" w:hAnsi="宋体"/>
          <w:bCs/>
          <w:color w:val="auto"/>
          <w:szCs w:val="20"/>
          <w:highlight w:val="none"/>
        </w:rPr>
        <w:t>。</w:t>
      </w:r>
    </w:p>
    <w:p>
      <w:pPr>
        <w:spacing w:line="360" w:lineRule="auto"/>
        <w:ind w:left="141" w:leftChars="67" w:right="141" w:rightChars="67" w:firstLine="420" w:firstLineChars="200"/>
        <w:rPr>
          <w:rFonts w:ascii="宋体"/>
          <w:color w:val="auto"/>
          <w:szCs w:val="20"/>
          <w:highlight w:val="none"/>
        </w:rPr>
      </w:pPr>
      <w:r>
        <w:rPr>
          <w:rFonts w:hint="eastAsia" w:ascii="宋体" w:hAnsi="宋体"/>
          <w:bCs/>
          <w:color w:val="auto"/>
          <w:szCs w:val="20"/>
          <w:highlight w:val="none"/>
        </w:rPr>
        <w:t>三挡（</w:t>
      </w:r>
      <w:r>
        <w:rPr>
          <w:rFonts w:ascii="宋体" w:hAnsi="宋体"/>
          <w:bCs/>
          <w:color w:val="auto"/>
          <w:szCs w:val="20"/>
          <w:highlight w:val="none"/>
        </w:rPr>
        <w:t>1</w:t>
      </w:r>
      <w:r>
        <w:rPr>
          <w:rFonts w:hint="eastAsia" w:ascii="宋体" w:hAnsi="宋体"/>
          <w:bCs/>
          <w:color w:val="auto"/>
          <w:szCs w:val="20"/>
          <w:highlight w:val="none"/>
          <w:lang w:val="en-US" w:eastAsia="zh-CN"/>
        </w:rPr>
        <w:t>2</w:t>
      </w:r>
      <w:r>
        <w:rPr>
          <w:rFonts w:ascii="宋体" w:hAnsi="宋体"/>
          <w:bCs/>
          <w:color w:val="auto"/>
          <w:szCs w:val="20"/>
          <w:highlight w:val="none"/>
        </w:rPr>
        <w:t>.1</w:t>
      </w:r>
      <w:r>
        <w:rPr>
          <w:rFonts w:hint="eastAsia" w:ascii="宋体" w:hAnsi="宋体"/>
          <w:bCs/>
          <w:color w:val="auto"/>
          <w:szCs w:val="20"/>
          <w:highlight w:val="none"/>
        </w:rPr>
        <w:t>～</w:t>
      </w:r>
      <w:r>
        <w:rPr>
          <w:rFonts w:hint="eastAsia" w:ascii="宋体" w:hAnsi="宋体"/>
          <w:bCs/>
          <w:color w:val="auto"/>
          <w:szCs w:val="20"/>
          <w:highlight w:val="none"/>
          <w:lang w:val="en-US" w:eastAsia="zh-CN"/>
        </w:rPr>
        <w:t>20</w:t>
      </w:r>
      <w:r>
        <w:rPr>
          <w:rFonts w:hint="eastAsia" w:ascii="宋体" w:hAnsi="宋体"/>
          <w:bCs/>
          <w:color w:val="auto"/>
          <w:szCs w:val="20"/>
          <w:highlight w:val="none"/>
        </w:rPr>
        <w:t>分）：投标人所提供的项目服务方案，方案包含有项目售后维护、应急保障方案且描述了项目售后维护和应急保障方案的方法以及实现方式，</w:t>
      </w:r>
      <w:r>
        <w:rPr>
          <w:rFonts w:hint="eastAsia" w:ascii="宋体" w:hAnsi="宋体"/>
          <w:color w:val="auto"/>
          <w:szCs w:val="21"/>
          <w:highlight w:val="none"/>
        </w:rPr>
        <w:t>承诺有本地化售后服务</w:t>
      </w:r>
      <w:r>
        <w:rPr>
          <w:rFonts w:hint="eastAsia" w:ascii="宋体" w:hAnsi="宋体"/>
          <w:bCs/>
          <w:color w:val="auto"/>
          <w:szCs w:val="20"/>
          <w:highlight w:val="none"/>
        </w:rPr>
        <w:t>和保障措施考虑周全完整详细，</w:t>
      </w:r>
      <w:r>
        <w:rPr>
          <w:rFonts w:hint="eastAsia" w:ascii="宋体" w:hAnsi="宋体"/>
          <w:bCs/>
          <w:color w:val="auto"/>
          <w:szCs w:val="20"/>
          <w:highlight w:val="none"/>
          <w:lang w:eastAsia="zh-CN"/>
        </w:rPr>
        <w:t>到达故障现场时间能做到</w:t>
      </w:r>
      <w:r>
        <w:rPr>
          <w:rFonts w:hint="eastAsia" w:ascii="宋体" w:hAnsi="宋体"/>
          <w:color w:val="auto"/>
          <w:szCs w:val="21"/>
          <w:highlight w:val="none"/>
        </w:rPr>
        <w:t>1小时内响应，4小时内上门服务</w:t>
      </w:r>
      <w:r>
        <w:rPr>
          <w:rFonts w:hint="eastAsia" w:ascii="宋体" w:hAnsi="宋体"/>
          <w:bCs/>
          <w:color w:val="auto"/>
          <w:szCs w:val="20"/>
          <w:highlight w:val="none"/>
        </w:rPr>
        <w:t>，有工程师长驻项目所在地，能提供《系统运维工程师》证书复印件。</w:t>
      </w:r>
    </w:p>
    <w:p>
      <w:pPr>
        <w:spacing w:line="360" w:lineRule="auto"/>
        <w:rPr>
          <w:rFonts w:ascii="宋体" w:cs="宋体"/>
          <w:color w:val="auto"/>
          <w:highlight w:val="none"/>
        </w:rPr>
      </w:pPr>
      <w:r>
        <w:rPr>
          <w:rFonts w:hint="eastAsia" w:ascii="宋体" w:hAnsi="宋体" w:cs="宋体"/>
          <w:b/>
          <w:bCs/>
          <w:color w:val="auto"/>
          <w:highlight w:val="none"/>
        </w:rPr>
        <w:t>5、信誉与业绩分………………………………………………………………………………………………</w:t>
      </w:r>
      <w:r>
        <w:rPr>
          <w:rFonts w:ascii="宋体" w:hAnsi="宋体" w:cs="宋体"/>
          <w:b/>
          <w:bCs/>
          <w:color w:val="auto"/>
          <w:highlight w:val="none"/>
        </w:rPr>
        <w:t>10</w:t>
      </w:r>
      <w:r>
        <w:rPr>
          <w:rFonts w:hint="eastAsia" w:ascii="宋体" w:hAnsi="宋体" w:cs="宋体"/>
          <w:b/>
          <w:bCs/>
          <w:color w:val="auto"/>
          <w:highlight w:val="none"/>
        </w:rPr>
        <w:t>分</w:t>
      </w:r>
    </w:p>
    <w:p>
      <w:pPr>
        <w:spacing w:line="360" w:lineRule="auto"/>
        <w:ind w:left="141" w:leftChars="67" w:right="141" w:rightChars="67"/>
        <w:jc w:val="left"/>
        <w:rPr>
          <w:rFonts w:ascii="宋体"/>
          <w:bCs/>
          <w:color w:val="auto"/>
          <w:szCs w:val="20"/>
          <w:highlight w:val="none"/>
        </w:rPr>
      </w:pPr>
      <w:r>
        <w:rPr>
          <w:rFonts w:hint="eastAsia" w:ascii="宋体" w:hAnsi="宋体"/>
          <w:bCs/>
          <w:color w:val="auto"/>
          <w:szCs w:val="20"/>
          <w:highlight w:val="none"/>
        </w:rPr>
        <w:t>（</w:t>
      </w:r>
      <w:r>
        <w:rPr>
          <w:rFonts w:ascii="宋体" w:hAnsi="宋体"/>
          <w:bCs/>
          <w:color w:val="auto"/>
          <w:szCs w:val="20"/>
          <w:highlight w:val="none"/>
        </w:rPr>
        <w:t>1</w:t>
      </w:r>
      <w:r>
        <w:rPr>
          <w:rFonts w:hint="eastAsia" w:ascii="宋体" w:hAnsi="宋体"/>
          <w:bCs/>
          <w:color w:val="auto"/>
          <w:szCs w:val="20"/>
          <w:highlight w:val="none"/>
        </w:rPr>
        <w:t>）为确保所投“</w:t>
      </w:r>
      <w:r>
        <w:rPr>
          <w:rFonts w:hint="eastAsia" w:ascii="宋体" w:hAnsi="宋体" w:cs="宋体"/>
          <w:bCs/>
          <w:color w:val="auto"/>
          <w:kern w:val="0"/>
          <w:szCs w:val="21"/>
          <w:highlight w:val="none"/>
        </w:rPr>
        <w:t>交互智能平板</w:t>
      </w:r>
      <w:r>
        <w:rPr>
          <w:rFonts w:hint="eastAsia" w:ascii="宋体" w:hAnsi="宋体"/>
          <w:bCs/>
          <w:color w:val="auto"/>
          <w:szCs w:val="20"/>
          <w:highlight w:val="none"/>
        </w:rPr>
        <w:t>”音效满足英语听力、音乐课等方面使用需求，生产厂商提供</w:t>
      </w:r>
      <w:r>
        <w:rPr>
          <w:rFonts w:ascii="宋体" w:hAnsi="宋体"/>
          <w:color w:val="auto"/>
          <w:szCs w:val="20"/>
          <w:highlight w:val="none"/>
        </w:rPr>
        <w:t>dbx-tv</w:t>
      </w:r>
      <w:r>
        <w:rPr>
          <w:rFonts w:hint="eastAsia" w:ascii="宋体" w:hAnsi="宋体"/>
          <w:color w:val="auto"/>
          <w:szCs w:val="20"/>
          <w:highlight w:val="none"/>
        </w:rPr>
        <w:t>颁布的总音频增强技术许可证证书复印件，得</w:t>
      </w:r>
      <w:r>
        <w:rPr>
          <w:rFonts w:hint="eastAsia" w:ascii="宋体" w:hAnsi="宋体"/>
          <w:bCs/>
          <w:color w:val="auto"/>
          <w:szCs w:val="20"/>
          <w:highlight w:val="none"/>
        </w:rPr>
        <w:t>分</w:t>
      </w:r>
      <w:r>
        <w:rPr>
          <w:rFonts w:ascii="宋体" w:hAnsi="宋体"/>
          <w:bCs/>
          <w:color w:val="auto"/>
          <w:szCs w:val="20"/>
          <w:highlight w:val="none"/>
        </w:rPr>
        <w:t>2</w:t>
      </w:r>
      <w:r>
        <w:rPr>
          <w:rFonts w:hint="eastAsia" w:ascii="宋体" w:hAnsi="宋体"/>
          <w:bCs/>
          <w:color w:val="auto"/>
          <w:szCs w:val="20"/>
          <w:highlight w:val="none"/>
        </w:rPr>
        <w:t>分，否则不得分；</w:t>
      </w:r>
    </w:p>
    <w:p>
      <w:pPr>
        <w:spacing w:line="360" w:lineRule="auto"/>
        <w:ind w:left="141" w:leftChars="67" w:right="141" w:rightChars="67"/>
        <w:jc w:val="left"/>
        <w:rPr>
          <w:rFonts w:ascii="宋体"/>
          <w:bCs/>
          <w:color w:val="auto"/>
          <w:szCs w:val="20"/>
          <w:highlight w:val="none"/>
        </w:rPr>
      </w:pPr>
      <w:r>
        <w:rPr>
          <w:rFonts w:hint="eastAsia" w:ascii="宋体" w:hAnsi="宋体"/>
          <w:bCs/>
          <w:color w:val="auto"/>
          <w:szCs w:val="20"/>
          <w:highlight w:val="none"/>
        </w:rPr>
        <w:t>（</w:t>
      </w:r>
      <w:r>
        <w:rPr>
          <w:rFonts w:ascii="宋体" w:hAnsi="宋体"/>
          <w:bCs/>
          <w:color w:val="auto"/>
          <w:szCs w:val="20"/>
          <w:highlight w:val="none"/>
        </w:rPr>
        <w:t>2</w:t>
      </w:r>
      <w:r>
        <w:rPr>
          <w:rFonts w:hint="eastAsia" w:ascii="宋体" w:hAnsi="宋体"/>
          <w:bCs/>
          <w:color w:val="auto"/>
          <w:szCs w:val="20"/>
          <w:highlight w:val="none"/>
        </w:rPr>
        <w:t>）所投“</w:t>
      </w:r>
      <w:r>
        <w:rPr>
          <w:rFonts w:hint="eastAsia" w:ascii="宋体" w:hAnsi="宋体" w:cs="宋体"/>
          <w:bCs/>
          <w:color w:val="auto"/>
          <w:kern w:val="0"/>
          <w:szCs w:val="21"/>
          <w:highlight w:val="none"/>
        </w:rPr>
        <w:t>交互智能平板</w:t>
      </w:r>
      <w:r>
        <w:rPr>
          <w:rFonts w:hint="eastAsia" w:ascii="宋体" w:hAnsi="宋体"/>
          <w:bCs/>
          <w:color w:val="auto"/>
          <w:szCs w:val="20"/>
          <w:highlight w:val="none"/>
        </w:rPr>
        <w:t>”生产厂商获得知识产权管理体系认证</w:t>
      </w:r>
      <w:r>
        <w:rPr>
          <w:rFonts w:ascii="宋体" w:hAnsi="宋体"/>
          <w:bCs/>
          <w:color w:val="auto"/>
          <w:szCs w:val="20"/>
          <w:highlight w:val="none"/>
        </w:rPr>
        <w:t>GB/T 29490-2013</w:t>
      </w:r>
      <w:r>
        <w:rPr>
          <w:rFonts w:hint="eastAsia" w:ascii="宋体" w:hAnsi="宋体"/>
          <w:bCs/>
          <w:color w:val="auto"/>
          <w:szCs w:val="20"/>
          <w:highlight w:val="none"/>
        </w:rPr>
        <w:t>认证，提供相关的证明材料复印件，满足得</w:t>
      </w:r>
      <w:r>
        <w:rPr>
          <w:rFonts w:ascii="宋体" w:hAnsi="宋体"/>
          <w:bCs/>
          <w:color w:val="auto"/>
          <w:szCs w:val="20"/>
          <w:highlight w:val="none"/>
        </w:rPr>
        <w:t>2</w:t>
      </w:r>
      <w:r>
        <w:rPr>
          <w:rFonts w:hint="eastAsia" w:ascii="宋体" w:hAnsi="宋体"/>
          <w:bCs/>
          <w:color w:val="auto"/>
          <w:szCs w:val="20"/>
          <w:highlight w:val="none"/>
        </w:rPr>
        <w:t>分，否则不得分；</w:t>
      </w:r>
    </w:p>
    <w:p>
      <w:pPr>
        <w:spacing w:line="360" w:lineRule="auto"/>
        <w:ind w:left="141" w:leftChars="67" w:right="141" w:rightChars="67"/>
        <w:jc w:val="left"/>
        <w:rPr>
          <w:rFonts w:ascii="宋体"/>
          <w:bCs/>
          <w:color w:val="auto"/>
          <w:szCs w:val="20"/>
          <w:highlight w:val="none"/>
        </w:rPr>
      </w:pPr>
      <w:r>
        <w:rPr>
          <w:rFonts w:hint="eastAsia" w:ascii="宋体" w:hAnsi="宋体"/>
          <w:bCs/>
          <w:color w:val="auto"/>
          <w:szCs w:val="20"/>
          <w:highlight w:val="none"/>
        </w:rPr>
        <w:t>（</w:t>
      </w:r>
      <w:r>
        <w:rPr>
          <w:rFonts w:ascii="宋体" w:hAnsi="宋体"/>
          <w:bCs/>
          <w:color w:val="auto"/>
          <w:szCs w:val="20"/>
          <w:highlight w:val="none"/>
        </w:rPr>
        <w:t>3</w:t>
      </w:r>
      <w:r>
        <w:rPr>
          <w:rFonts w:hint="eastAsia" w:ascii="宋体" w:hAnsi="宋体"/>
          <w:bCs/>
          <w:color w:val="auto"/>
          <w:szCs w:val="20"/>
          <w:highlight w:val="none"/>
        </w:rPr>
        <w:t>）响应环境保护政策，所投“</w:t>
      </w:r>
      <w:r>
        <w:rPr>
          <w:rFonts w:hint="eastAsia" w:ascii="宋体" w:hAnsi="宋体" w:cs="宋体"/>
          <w:bCs/>
          <w:color w:val="auto"/>
          <w:kern w:val="0"/>
          <w:szCs w:val="21"/>
          <w:highlight w:val="none"/>
        </w:rPr>
        <w:t>交互智能平板</w:t>
      </w:r>
      <w:r>
        <w:rPr>
          <w:rFonts w:hint="eastAsia" w:ascii="宋体" w:hAnsi="宋体"/>
          <w:bCs/>
          <w:color w:val="auto"/>
          <w:szCs w:val="20"/>
          <w:highlight w:val="none"/>
        </w:rPr>
        <w:t>”生产厂商提供</w:t>
      </w:r>
      <w:r>
        <w:rPr>
          <w:rFonts w:ascii="宋体" w:hAnsi="宋体"/>
          <w:bCs/>
          <w:color w:val="auto"/>
          <w:szCs w:val="20"/>
          <w:highlight w:val="none"/>
        </w:rPr>
        <w:t>ISO14064</w:t>
      </w:r>
      <w:r>
        <w:rPr>
          <w:rFonts w:hint="eastAsia" w:ascii="宋体" w:hAnsi="宋体"/>
          <w:bCs/>
          <w:color w:val="auto"/>
          <w:szCs w:val="20"/>
          <w:highlight w:val="none"/>
        </w:rPr>
        <w:t>温室气体核查认证证书复印件得</w:t>
      </w:r>
      <w:r>
        <w:rPr>
          <w:rFonts w:ascii="宋体" w:hAnsi="宋体"/>
          <w:bCs/>
          <w:color w:val="auto"/>
          <w:szCs w:val="20"/>
          <w:highlight w:val="none"/>
        </w:rPr>
        <w:t>1</w:t>
      </w:r>
      <w:r>
        <w:rPr>
          <w:rFonts w:hint="eastAsia" w:ascii="宋体" w:hAnsi="宋体"/>
          <w:bCs/>
          <w:color w:val="auto"/>
          <w:szCs w:val="20"/>
          <w:highlight w:val="none"/>
        </w:rPr>
        <w:t>分，否则不得分；</w:t>
      </w:r>
    </w:p>
    <w:p>
      <w:pPr>
        <w:spacing w:line="360" w:lineRule="auto"/>
        <w:ind w:left="141" w:leftChars="67" w:right="141" w:rightChars="67"/>
        <w:jc w:val="left"/>
        <w:rPr>
          <w:rFonts w:ascii="宋体"/>
          <w:color w:val="auto"/>
          <w:highlight w:val="none"/>
        </w:rPr>
      </w:pPr>
      <w:r>
        <w:rPr>
          <w:rFonts w:hint="eastAsia" w:ascii="宋体" w:hAnsi="宋体"/>
          <w:bCs/>
          <w:color w:val="auto"/>
          <w:szCs w:val="20"/>
          <w:highlight w:val="none"/>
        </w:rPr>
        <w:t>（</w:t>
      </w:r>
      <w:r>
        <w:rPr>
          <w:rFonts w:ascii="宋体" w:hAnsi="宋体"/>
          <w:bCs/>
          <w:color w:val="auto"/>
          <w:szCs w:val="20"/>
          <w:highlight w:val="none"/>
        </w:rPr>
        <w:t>4</w:t>
      </w:r>
      <w:r>
        <w:rPr>
          <w:rFonts w:hint="eastAsia" w:ascii="宋体" w:hAnsi="宋体"/>
          <w:bCs/>
          <w:color w:val="auto"/>
          <w:szCs w:val="20"/>
          <w:highlight w:val="none"/>
        </w:rPr>
        <w:t>）所投“</w:t>
      </w:r>
      <w:r>
        <w:rPr>
          <w:rFonts w:hint="eastAsia" w:ascii="宋体" w:hAnsi="宋体" w:cs="宋体"/>
          <w:bCs/>
          <w:color w:val="auto"/>
          <w:kern w:val="0"/>
          <w:szCs w:val="21"/>
          <w:highlight w:val="none"/>
        </w:rPr>
        <w:t>交互智能平板</w:t>
      </w:r>
      <w:r>
        <w:rPr>
          <w:rFonts w:hint="eastAsia" w:ascii="宋体" w:hAnsi="宋体"/>
          <w:bCs/>
          <w:color w:val="auto"/>
          <w:szCs w:val="20"/>
          <w:highlight w:val="none"/>
        </w:rPr>
        <w:t>”生产厂商具有</w:t>
      </w:r>
      <w:r>
        <w:rPr>
          <w:rFonts w:ascii="宋体" w:hAnsi="宋体"/>
          <w:bCs/>
          <w:color w:val="auto"/>
          <w:szCs w:val="20"/>
          <w:highlight w:val="none"/>
        </w:rPr>
        <w:t>ISO/IEC27001</w:t>
      </w:r>
      <w:r>
        <w:rPr>
          <w:rFonts w:hint="eastAsia" w:ascii="宋体" w:hAnsi="宋体"/>
          <w:bCs/>
          <w:color w:val="auto"/>
          <w:szCs w:val="20"/>
          <w:highlight w:val="none"/>
        </w:rPr>
        <w:t>信息安全管理体系认证证书，并提供证书复印件，得</w:t>
      </w:r>
      <w:r>
        <w:rPr>
          <w:rFonts w:ascii="宋体" w:hAnsi="宋体"/>
          <w:bCs/>
          <w:color w:val="auto"/>
          <w:szCs w:val="20"/>
          <w:highlight w:val="none"/>
        </w:rPr>
        <w:t>1</w:t>
      </w:r>
      <w:r>
        <w:rPr>
          <w:rFonts w:hint="eastAsia" w:ascii="宋体" w:hAnsi="宋体"/>
          <w:bCs/>
          <w:color w:val="auto"/>
          <w:szCs w:val="20"/>
          <w:highlight w:val="none"/>
        </w:rPr>
        <w:t>分，否则不得分；</w:t>
      </w:r>
    </w:p>
    <w:p>
      <w:pPr>
        <w:spacing w:line="360" w:lineRule="auto"/>
        <w:ind w:left="141" w:leftChars="67" w:right="141" w:rightChars="67"/>
        <w:rPr>
          <w:rFonts w:ascii="宋体"/>
          <w:bCs/>
          <w:color w:val="auto"/>
          <w:szCs w:val="20"/>
          <w:highlight w:val="none"/>
        </w:rPr>
      </w:pPr>
      <w:r>
        <w:rPr>
          <w:rFonts w:hint="eastAsia" w:ascii="宋体" w:hAnsi="宋体"/>
          <w:bCs/>
          <w:color w:val="auto"/>
          <w:szCs w:val="20"/>
          <w:highlight w:val="none"/>
        </w:rPr>
        <w:t>（</w:t>
      </w:r>
      <w:r>
        <w:rPr>
          <w:rFonts w:ascii="宋体" w:hAnsi="宋体"/>
          <w:bCs/>
          <w:color w:val="auto"/>
          <w:szCs w:val="20"/>
          <w:highlight w:val="none"/>
        </w:rPr>
        <w:t>5</w:t>
      </w:r>
      <w:r>
        <w:rPr>
          <w:rFonts w:hint="eastAsia" w:ascii="宋体" w:hAnsi="宋体"/>
          <w:bCs/>
          <w:color w:val="auto"/>
          <w:szCs w:val="20"/>
          <w:highlight w:val="none"/>
        </w:rPr>
        <w:t>）所投“</w:t>
      </w:r>
      <w:r>
        <w:rPr>
          <w:rFonts w:hint="eastAsia" w:ascii="宋体" w:hAnsi="宋体" w:cs="宋体"/>
          <w:bCs/>
          <w:color w:val="auto"/>
          <w:kern w:val="0"/>
          <w:szCs w:val="21"/>
          <w:highlight w:val="none"/>
        </w:rPr>
        <w:t>交互智能平板</w:t>
      </w:r>
      <w:r>
        <w:rPr>
          <w:rFonts w:hint="eastAsia" w:ascii="宋体" w:hAnsi="宋体"/>
          <w:bCs/>
          <w:color w:val="auto"/>
          <w:szCs w:val="20"/>
          <w:highlight w:val="none"/>
        </w:rPr>
        <w:t>”生产厂家符合</w:t>
      </w:r>
      <w:r>
        <w:rPr>
          <w:rFonts w:ascii="宋体" w:hAnsi="宋体"/>
          <w:bCs/>
          <w:color w:val="auto"/>
          <w:szCs w:val="20"/>
          <w:highlight w:val="none"/>
        </w:rPr>
        <w:t>GB/T 27922-2011</w:t>
      </w:r>
      <w:r>
        <w:rPr>
          <w:rFonts w:hint="eastAsia" w:ascii="宋体" w:hAnsi="宋体"/>
          <w:bCs/>
          <w:color w:val="auto"/>
          <w:szCs w:val="20"/>
          <w:highlight w:val="none"/>
        </w:rPr>
        <w:t>售后服务评价体系标准，获得五星级售后服务认证，提供相关证明材料得</w:t>
      </w:r>
      <w:r>
        <w:rPr>
          <w:rFonts w:ascii="宋体" w:hAnsi="宋体"/>
          <w:bCs/>
          <w:color w:val="auto"/>
          <w:szCs w:val="20"/>
          <w:highlight w:val="none"/>
        </w:rPr>
        <w:t>1</w:t>
      </w:r>
      <w:r>
        <w:rPr>
          <w:rFonts w:hint="eastAsia" w:ascii="宋体" w:hAnsi="宋体"/>
          <w:bCs/>
          <w:color w:val="auto"/>
          <w:szCs w:val="20"/>
          <w:highlight w:val="none"/>
        </w:rPr>
        <w:t>分，否则不得分。</w:t>
      </w:r>
    </w:p>
    <w:p>
      <w:pPr>
        <w:spacing w:line="360" w:lineRule="auto"/>
        <w:ind w:left="141" w:leftChars="67" w:right="141" w:rightChars="67"/>
        <w:jc w:val="left"/>
        <w:rPr>
          <w:rFonts w:ascii="宋体"/>
          <w:bCs/>
          <w:color w:val="auto"/>
          <w:szCs w:val="20"/>
          <w:highlight w:val="none"/>
        </w:rPr>
      </w:pPr>
      <w:r>
        <w:rPr>
          <w:rFonts w:hint="eastAsia" w:ascii="宋体" w:hAnsi="宋体"/>
          <w:bCs/>
          <w:color w:val="auto"/>
          <w:szCs w:val="20"/>
          <w:highlight w:val="none"/>
        </w:rPr>
        <w:t>（</w:t>
      </w:r>
      <w:r>
        <w:rPr>
          <w:rFonts w:ascii="宋体" w:hAnsi="宋体"/>
          <w:bCs/>
          <w:color w:val="auto"/>
          <w:szCs w:val="20"/>
          <w:highlight w:val="none"/>
        </w:rPr>
        <w:t>6</w:t>
      </w:r>
      <w:r>
        <w:rPr>
          <w:rFonts w:hint="eastAsia" w:ascii="宋体" w:hAnsi="宋体"/>
          <w:bCs/>
          <w:color w:val="auto"/>
          <w:szCs w:val="20"/>
          <w:highlight w:val="none"/>
        </w:rPr>
        <w:t>）所投“</w:t>
      </w:r>
      <w:r>
        <w:rPr>
          <w:rFonts w:hint="eastAsia" w:ascii="宋体" w:hAnsi="宋体" w:cs="宋体"/>
          <w:bCs/>
          <w:color w:val="auto"/>
          <w:kern w:val="0"/>
          <w:szCs w:val="21"/>
          <w:highlight w:val="none"/>
        </w:rPr>
        <w:t>交互智能平板</w:t>
      </w:r>
      <w:r>
        <w:rPr>
          <w:rFonts w:hint="eastAsia" w:ascii="宋体" w:hAnsi="宋体"/>
          <w:bCs/>
          <w:color w:val="auto"/>
          <w:szCs w:val="20"/>
          <w:highlight w:val="none"/>
        </w:rPr>
        <w:t>”生产厂家提供</w:t>
      </w:r>
      <w:r>
        <w:rPr>
          <w:rFonts w:ascii="宋体" w:hAnsi="宋体"/>
          <w:bCs/>
          <w:color w:val="auto"/>
          <w:szCs w:val="20"/>
          <w:highlight w:val="none"/>
        </w:rPr>
        <w:t xml:space="preserve"> CMMI </w:t>
      </w:r>
      <w:r>
        <w:rPr>
          <w:rFonts w:hint="eastAsia" w:ascii="宋体" w:hAnsi="宋体"/>
          <w:bCs/>
          <w:color w:val="auto"/>
          <w:szCs w:val="20"/>
          <w:highlight w:val="none"/>
        </w:rPr>
        <w:t>软件能力成熟度模型集成三级证书复印件得</w:t>
      </w:r>
      <w:r>
        <w:rPr>
          <w:rFonts w:ascii="宋体" w:hAnsi="宋体"/>
          <w:bCs/>
          <w:color w:val="auto"/>
          <w:szCs w:val="20"/>
          <w:highlight w:val="none"/>
        </w:rPr>
        <w:t>2</w:t>
      </w:r>
      <w:r>
        <w:rPr>
          <w:rFonts w:hint="eastAsia" w:ascii="宋体" w:hAnsi="宋体"/>
          <w:bCs/>
          <w:color w:val="auto"/>
          <w:szCs w:val="20"/>
          <w:highlight w:val="none"/>
        </w:rPr>
        <w:t>分，否则不得分。</w:t>
      </w:r>
    </w:p>
    <w:p>
      <w:pPr>
        <w:spacing w:line="360" w:lineRule="auto"/>
        <w:ind w:left="141" w:leftChars="67" w:right="141" w:rightChars="67"/>
        <w:jc w:val="left"/>
        <w:rPr>
          <w:rFonts w:ascii="宋体"/>
          <w:bCs/>
          <w:color w:val="auto"/>
          <w:szCs w:val="20"/>
          <w:highlight w:val="none"/>
        </w:rPr>
      </w:pPr>
      <w:r>
        <w:rPr>
          <w:rFonts w:hint="eastAsia" w:ascii="宋体" w:hAnsi="宋体"/>
          <w:bCs/>
          <w:color w:val="auto"/>
          <w:szCs w:val="20"/>
          <w:highlight w:val="none"/>
        </w:rPr>
        <w:t>（</w:t>
      </w:r>
      <w:r>
        <w:rPr>
          <w:rFonts w:ascii="宋体" w:hAnsi="宋体"/>
          <w:bCs/>
          <w:color w:val="auto"/>
          <w:szCs w:val="20"/>
          <w:highlight w:val="none"/>
        </w:rPr>
        <w:t>7</w:t>
      </w:r>
      <w:r>
        <w:rPr>
          <w:rFonts w:hint="eastAsia" w:ascii="宋体" w:hAnsi="宋体"/>
          <w:bCs/>
          <w:color w:val="auto"/>
          <w:szCs w:val="20"/>
          <w:highlight w:val="none"/>
        </w:rPr>
        <w:t>）投标人自</w:t>
      </w:r>
      <w:r>
        <w:rPr>
          <w:rFonts w:ascii="宋体" w:hAnsi="宋体"/>
          <w:bCs/>
          <w:color w:val="auto"/>
          <w:szCs w:val="20"/>
          <w:highlight w:val="none"/>
        </w:rPr>
        <w:t>2015</w:t>
      </w:r>
      <w:r>
        <w:rPr>
          <w:rFonts w:hint="eastAsia" w:ascii="宋体" w:hAnsi="宋体"/>
          <w:bCs/>
          <w:color w:val="auto"/>
          <w:szCs w:val="20"/>
          <w:highlight w:val="none"/>
        </w:rPr>
        <w:t>年以来完成类似项目业绩的（投标文件中提供相关合同关键页或中标通知书复印件），每有一项得</w:t>
      </w:r>
      <w:r>
        <w:rPr>
          <w:rFonts w:ascii="宋体" w:hAnsi="宋体"/>
          <w:bCs/>
          <w:color w:val="auto"/>
          <w:szCs w:val="20"/>
          <w:highlight w:val="none"/>
        </w:rPr>
        <w:t>0.5</w:t>
      </w:r>
      <w:r>
        <w:rPr>
          <w:rFonts w:hint="eastAsia" w:ascii="宋体" w:hAnsi="宋体"/>
          <w:bCs/>
          <w:color w:val="auto"/>
          <w:szCs w:val="20"/>
          <w:highlight w:val="none"/>
        </w:rPr>
        <w:t>分，满分</w:t>
      </w:r>
      <w:r>
        <w:rPr>
          <w:rFonts w:ascii="宋体" w:hAnsi="宋体"/>
          <w:bCs/>
          <w:color w:val="auto"/>
          <w:szCs w:val="20"/>
          <w:highlight w:val="none"/>
        </w:rPr>
        <w:t>1</w:t>
      </w:r>
      <w:r>
        <w:rPr>
          <w:rFonts w:hint="eastAsia" w:ascii="宋体" w:hAnsi="宋体"/>
          <w:bCs/>
          <w:color w:val="auto"/>
          <w:szCs w:val="20"/>
          <w:highlight w:val="none"/>
        </w:rPr>
        <w:t>分。</w:t>
      </w:r>
    </w:p>
    <w:p>
      <w:pPr>
        <w:spacing w:line="360" w:lineRule="auto"/>
        <w:rPr>
          <w:rFonts w:ascii="宋体" w:cs="宋体"/>
          <w:b/>
          <w:bCs/>
          <w:color w:val="auto"/>
          <w:highlight w:val="none"/>
        </w:rPr>
      </w:pPr>
      <w:r>
        <w:rPr>
          <w:rFonts w:hint="eastAsia" w:ascii="宋体" w:hAnsi="宋体" w:cs="宋体"/>
          <w:b/>
          <w:bCs/>
          <w:color w:val="auto"/>
          <w:highlight w:val="none"/>
        </w:rPr>
        <w:t>6、政策功能分（节能、环保、区内产品等）………………………………………………………………</w:t>
      </w:r>
      <w:r>
        <w:rPr>
          <w:rFonts w:ascii="宋体" w:hAnsi="宋体" w:cs="宋体"/>
          <w:b/>
          <w:bCs/>
          <w:color w:val="auto"/>
          <w:highlight w:val="none"/>
        </w:rPr>
        <w:t>2</w:t>
      </w:r>
      <w:r>
        <w:rPr>
          <w:rFonts w:hint="eastAsia" w:ascii="宋体" w:hAnsi="宋体" w:cs="宋体"/>
          <w:b/>
          <w:bCs/>
          <w:color w:val="auto"/>
          <w:highlight w:val="none"/>
        </w:rPr>
        <w:t>分</w:t>
      </w:r>
    </w:p>
    <w:p>
      <w:pPr>
        <w:spacing w:line="360" w:lineRule="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w:t>
      </w:r>
      <w:r>
        <w:rPr>
          <w:rFonts w:hint="eastAsia" w:ascii="Calibri" w:hAnsi="宋体"/>
          <w:color w:val="auto"/>
          <w:highlight w:val="none"/>
        </w:rPr>
        <w:t>投标产品有国家节能产品认证证书，或投标产品列入“环境标志产品政府采购清单”</w:t>
      </w:r>
      <w:r>
        <w:rPr>
          <w:rFonts w:hint="eastAsia" w:ascii="Calibri" w:hAnsi="宋体"/>
          <w:bCs/>
          <w:color w:val="auto"/>
          <w:szCs w:val="21"/>
          <w:highlight w:val="none"/>
        </w:rPr>
        <w:t>的</w:t>
      </w:r>
      <w:r>
        <w:rPr>
          <w:rFonts w:hint="eastAsia" w:hAnsi="宋体"/>
          <w:bCs/>
          <w:color w:val="auto"/>
          <w:szCs w:val="21"/>
          <w:highlight w:val="none"/>
        </w:rPr>
        <w:t>，得1</w:t>
      </w:r>
      <w:r>
        <w:rPr>
          <w:rFonts w:hint="eastAsia" w:ascii="宋体" w:hAnsi="宋体" w:cs="宋体"/>
          <w:color w:val="auto"/>
          <w:highlight w:val="none"/>
        </w:rPr>
        <w:t>分；</w:t>
      </w:r>
    </w:p>
    <w:p>
      <w:pPr>
        <w:spacing w:line="360" w:lineRule="auto"/>
        <w:rPr>
          <w:rFonts w:ascii="宋体" w:hAnsi="宋体" w:cs="宋体"/>
          <w:color w:val="auto"/>
          <w:highlight w:val="none"/>
        </w:rPr>
      </w:pPr>
      <w:r>
        <w:rPr>
          <w:rFonts w:hint="eastAsia" w:ascii="宋体" w:hAnsi="宋体" w:cs="宋体"/>
          <w:color w:val="auto"/>
          <w:highlight w:val="none"/>
        </w:rPr>
        <w:t>（2）认定为使用广西工业产品</w:t>
      </w:r>
      <w:r>
        <w:rPr>
          <w:rFonts w:ascii="宋体" w:hAnsi="宋体" w:cs="宋体"/>
          <w:color w:val="auto"/>
          <w:highlight w:val="none"/>
        </w:rPr>
        <w:t>80%</w:t>
      </w:r>
      <w:r>
        <w:rPr>
          <w:rFonts w:hint="eastAsia" w:ascii="宋体" w:hAnsi="宋体" w:cs="宋体"/>
          <w:color w:val="auto"/>
          <w:highlight w:val="none"/>
        </w:rPr>
        <w:t>以上的得</w:t>
      </w:r>
      <w:r>
        <w:rPr>
          <w:rFonts w:ascii="宋体" w:hAnsi="宋体" w:cs="宋体"/>
          <w:color w:val="auto"/>
          <w:highlight w:val="none"/>
        </w:rPr>
        <w:t>1</w:t>
      </w:r>
      <w:r>
        <w:rPr>
          <w:rFonts w:hint="eastAsia" w:ascii="宋体" w:hAnsi="宋体" w:cs="宋体"/>
          <w:color w:val="auto"/>
          <w:highlight w:val="none"/>
        </w:rPr>
        <w:t>分。</w:t>
      </w:r>
    </w:p>
    <w:p>
      <w:pPr>
        <w:spacing w:line="360" w:lineRule="auto"/>
        <w:rPr>
          <w:rFonts w:ascii="宋体" w:cs="宋体"/>
          <w:color w:val="auto"/>
          <w:highlight w:val="none"/>
        </w:rPr>
      </w:pPr>
      <w:r>
        <w:rPr>
          <w:rFonts w:hint="eastAsia" w:ascii="宋体" w:hAnsi="宋体" w:cs="宋体"/>
          <w:color w:val="auto"/>
          <w:highlight w:val="none"/>
        </w:rPr>
        <w:t>备注：根据《广西壮族自治区人民政府办公厅关于印发招标采购促进广西工业产品产销对接实施细则的通知》（桂政办发【</w:t>
      </w:r>
      <w:r>
        <w:rPr>
          <w:rFonts w:ascii="宋体" w:hAnsi="宋体" w:cs="宋体"/>
          <w:color w:val="auto"/>
          <w:highlight w:val="none"/>
        </w:rPr>
        <w:t>2015</w:t>
      </w:r>
      <w:r>
        <w:rPr>
          <w:rFonts w:hint="eastAsia" w:ascii="宋体" w:hAnsi="宋体" w:cs="宋体"/>
          <w:color w:val="auto"/>
          <w:highlight w:val="none"/>
        </w:rPr>
        <w:t>】</w:t>
      </w:r>
      <w:r>
        <w:rPr>
          <w:rFonts w:ascii="宋体" w:hAnsi="宋体" w:cs="宋体"/>
          <w:color w:val="auto"/>
          <w:highlight w:val="none"/>
        </w:rPr>
        <w:t>78</w:t>
      </w:r>
      <w:r>
        <w:rPr>
          <w:rFonts w:hint="eastAsia" w:ascii="宋体" w:hAnsi="宋体" w:cs="宋体"/>
          <w:color w:val="auto"/>
          <w:highlight w:val="none"/>
        </w:rPr>
        <w:t>号）的规定，“广西工业产品”是指广西境内生产的工业产品，具体以生产企业的工商营业执照注册所在地为准。“使用广西工业产品</w:t>
      </w:r>
      <w:r>
        <w:rPr>
          <w:rFonts w:ascii="宋体" w:hAnsi="宋体" w:cs="宋体"/>
          <w:color w:val="auto"/>
          <w:highlight w:val="none"/>
        </w:rPr>
        <w:t>80%</w:t>
      </w:r>
      <w:r>
        <w:rPr>
          <w:rFonts w:hint="eastAsia" w:ascii="宋体" w:hAnsi="宋体" w:cs="宋体"/>
          <w:color w:val="auto"/>
          <w:highlight w:val="none"/>
        </w:rPr>
        <w:t>以上”是指参加政府采购项目或招标项目时供货范围中采用广西工业产品的金额占本次招标总金额的</w:t>
      </w:r>
      <w:r>
        <w:rPr>
          <w:rFonts w:ascii="宋体" w:hAnsi="宋体" w:cs="宋体"/>
          <w:color w:val="auto"/>
          <w:highlight w:val="none"/>
        </w:rPr>
        <w:t>80%</w:t>
      </w:r>
      <w:r>
        <w:rPr>
          <w:rFonts w:hint="eastAsia" w:ascii="宋体" w:hAnsi="宋体" w:cs="宋体"/>
          <w:color w:val="auto"/>
          <w:highlight w:val="none"/>
        </w:rPr>
        <w:t>以上（含）。</w:t>
      </w:r>
    </w:p>
    <w:p>
      <w:pPr>
        <w:spacing w:line="360" w:lineRule="auto"/>
        <w:rPr>
          <w:rFonts w:ascii="宋体" w:cs="宋体"/>
          <w:color w:val="auto"/>
          <w:highlight w:val="none"/>
        </w:rPr>
      </w:pPr>
      <w:r>
        <w:rPr>
          <w:rFonts w:hint="eastAsia" w:ascii="宋体" w:hAnsi="宋体" w:cs="宋体"/>
          <w:color w:val="auto"/>
          <w:highlight w:val="none"/>
        </w:rPr>
        <w:t>（三）综合得分</w:t>
      </w:r>
      <w:r>
        <w:rPr>
          <w:rFonts w:ascii="宋体" w:hAnsi="宋体" w:cs="宋体"/>
          <w:color w:val="auto"/>
          <w:highlight w:val="none"/>
        </w:rPr>
        <w:t>=1+2+3+4+5+6</w:t>
      </w:r>
      <w:r>
        <w:rPr>
          <w:rFonts w:hint="eastAsia" w:ascii="宋体" w:hAnsi="宋体" w:cs="宋体"/>
          <w:color w:val="auto"/>
          <w:highlight w:val="none"/>
        </w:rPr>
        <w:t>。</w:t>
      </w:r>
    </w:p>
    <w:p>
      <w:pPr>
        <w:spacing w:line="360" w:lineRule="auto"/>
        <w:rPr>
          <w:rFonts w:ascii="宋体" w:cs="宋体"/>
          <w:b/>
          <w:bCs/>
          <w:color w:val="auto"/>
          <w:highlight w:val="none"/>
        </w:rPr>
      </w:pPr>
      <w:r>
        <w:rPr>
          <w:rFonts w:hint="eastAsia" w:ascii="宋体" w:hAnsi="宋体" w:cs="宋体"/>
          <w:b/>
          <w:bCs/>
          <w:color w:val="auto"/>
          <w:highlight w:val="none"/>
        </w:rPr>
        <w:t>三、中标候选人推荐原则</w:t>
      </w:r>
    </w:p>
    <w:p>
      <w:pPr>
        <w:spacing w:line="360" w:lineRule="auto"/>
        <w:ind w:firstLine="420" w:firstLineChars="200"/>
        <w:rPr>
          <w:rFonts w:ascii="宋体" w:cs="宋体"/>
          <w:color w:val="auto"/>
          <w:highlight w:val="none"/>
        </w:rPr>
      </w:pPr>
      <w:r>
        <w:rPr>
          <w:rFonts w:hint="eastAsia" w:ascii="宋体" w:hAnsi="宋体" w:cs="宋体"/>
          <w:color w:val="auto"/>
          <w:highlight w:val="none"/>
        </w:rPr>
        <w:t>评标委员会将根据得分由高到低排列次序（得分相同时，以投标报价由低到高顺序排列；得分相同且投标报价相同的，按技术指标优劣顺序排列）并推荐三名中标候选供应商。招标采购单位应当确定评标委员会推荐排名第一的中标候选人为中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w:t>
      </w:r>
    </w:p>
    <w:p>
      <w:pPr>
        <w:rPr>
          <w:rFonts w:asciiTheme="minorEastAsia" w:hAnsiTheme="minorEastAsia"/>
          <w:color w:val="auto"/>
          <w:highlight w:val="none"/>
        </w:rPr>
      </w:pPr>
      <w:r>
        <w:rPr>
          <w:rFonts w:hint="eastAsia" w:ascii="宋体" w:hAnsi="宋体" w:cs="宋体"/>
          <w:color w:val="auto"/>
          <w:highlight w:val="none"/>
        </w:rPr>
        <w:t>注：如招标文件存在《广西壮族自治区政府采购当事人行为规则》下列的情形，评标委员会不得作为评审依据：招标代理机构不得在采购文件中列入限制、排斥潜在供应商的商务、技术条款；不得为迎合采购人列入单一品牌的规格技术标准及其他有违公平竞争的条款；不得以不合理的注册资本金、销售业绩及资格条件等条款对潜在供应商实行歧视或差别待遇。</w:t>
      </w:r>
    </w:p>
    <w:p>
      <w:pPr>
        <w:rPr>
          <w:rFonts w:asciiTheme="minorEastAsia" w:hAnsiTheme="minorEastAsia"/>
          <w:color w:val="auto"/>
          <w:highlight w:val="none"/>
        </w:rPr>
        <w:sectPr>
          <w:footerReference r:id="rId5" w:type="default"/>
          <w:pgSz w:w="11906" w:h="16838"/>
          <w:pgMar w:top="1000" w:right="1000" w:bottom="1000" w:left="1000" w:header="720" w:footer="720" w:gutter="0"/>
          <w:cols w:space="0" w:num="1"/>
          <w:docGrid w:linePitch="312" w:charSpace="0"/>
        </w:sectPr>
      </w:pPr>
    </w:p>
    <w:p>
      <w:pPr>
        <w:pStyle w:val="2"/>
        <w:rPr>
          <w:color w:val="auto"/>
          <w:highlight w:val="none"/>
        </w:rPr>
      </w:pPr>
    </w:p>
    <w:p>
      <w:pPr>
        <w:widowControl/>
        <w:jc w:val="left"/>
        <w:rPr>
          <w:rFonts w:ascii="宋体" w:hAnsi="宋体"/>
          <w:b/>
          <w:color w:val="auto"/>
          <w:sz w:val="28"/>
          <w:szCs w:val="28"/>
          <w:highlight w:val="none"/>
        </w:rPr>
      </w:pPr>
    </w:p>
    <w:bookmarkEnd w:id="66"/>
    <w:bookmarkEnd w:id="67"/>
    <w:p>
      <w:pPr>
        <w:pStyle w:val="3"/>
        <w:numPr>
          <w:ilvl w:val="0"/>
          <w:numId w:val="8"/>
        </w:numPr>
        <w:spacing w:line="600" w:lineRule="exact"/>
        <w:rPr>
          <w:color w:val="auto"/>
          <w:highlight w:val="none"/>
        </w:rPr>
      </w:pPr>
      <w:bookmarkStart w:id="68" w:name="_Toc25562_WPSOffice_Level1"/>
      <w:bookmarkStart w:id="69" w:name="_Toc5574"/>
      <w:r>
        <w:rPr>
          <w:rFonts w:hint="eastAsia"/>
          <w:color w:val="auto"/>
          <w:highlight w:val="none"/>
        </w:rPr>
        <w:t>合同主要条款格式</w:t>
      </w:r>
      <w:bookmarkEnd w:id="68"/>
      <w:bookmarkEnd w:id="69"/>
      <w:r>
        <w:rPr>
          <w:rFonts w:hint="eastAsia"/>
          <w:color w:val="auto"/>
          <w:highlight w:val="none"/>
        </w:rPr>
        <w:t xml:space="preserve"> </w:t>
      </w:r>
    </w:p>
    <w:p>
      <w:pPr>
        <w:pStyle w:val="25"/>
        <w:snapToGrid w:val="0"/>
        <w:spacing w:before="120" w:after="120"/>
        <w:outlineLvl w:val="0"/>
        <w:rPr>
          <w:rFonts w:hAnsi="宋体"/>
          <w:b/>
          <w:color w:val="auto"/>
          <w:sz w:val="32"/>
          <w:szCs w:val="32"/>
          <w:highlight w:val="none"/>
        </w:rPr>
      </w:pPr>
      <w:bookmarkStart w:id="70" w:name="_Toc5414"/>
      <w:r>
        <w:rPr>
          <w:rFonts w:hint="eastAsia" w:hAnsi="宋体"/>
          <w:b/>
          <w:color w:val="auto"/>
          <w:sz w:val="32"/>
          <w:szCs w:val="32"/>
          <w:highlight w:val="none"/>
        </w:rPr>
        <w:t>（仅供参考，具体以实际签订内容为准，但不得偏离实质性内容）</w:t>
      </w:r>
      <w:bookmarkEnd w:id="70"/>
      <w:r>
        <w:rPr>
          <w:rFonts w:hint="eastAsia" w:hAnsi="宋体"/>
          <w:b/>
          <w:color w:val="auto"/>
          <w:sz w:val="32"/>
          <w:szCs w:val="32"/>
          <w:highlight w:val="none"/>
        </w:rPr>
        <w:t xml:space="preserve">                         </w:t>
      </w:r>
    </w:p>
    <w:p>
      <w:pPr>
        <w:snapToGrid w:val="0"/>
        <w:spacing w:line="400" w:lineRule="exact"/>
        <w:ind w:right="480"/>
        <w:rPr>
          <w:rFonts w:ascii="宋体" w:hAnsi="宋体"/>
          <w:color w:val="auto"/>
          <w:highlight w:val="none"/>
          <w:u w:val="single"/>
        </w:rPr>
      </w:pPr>
      <w:r>
        <w:rPr>
          <w:rFonts w:hint="eastAsia" w:ascii="宋体" w:hAnsi="宋体"/>
          <w:color w:val="auto"/>
          <w:highlight w:val="none"/>
        </w:rPr>
        <w:t>合同编号：</w:t>
      </w:r>
    </w:p>
    <w:p>
      <w:pPr>
        <w:snapToGrid w:val="0"/>
        <w:spacing w:line="400" w:lineRule="exact"/>
        <w:rPr>
          <w:rFonts w:ascii="宋体" w:hAnsi="宋体"/>
          <w:color w:val="auto"/>
          <w:highlight w:val="none"/>
          <w:u w:val="single"/>
        </w:rPr>
      </w:pPr>
      <w:r>
        <w:rPr>
          <w:rFonts w:hint="eastAsia" w:ascii="宋体" w:hAnsi="宋体"/>
          <w:color w:val="auto"/>
          <w:highlight w:val="none"/>
        </w:rPr>
        <w:t>招标编号：</w:t>
      </w:r>
    </w:p>
    <w:p>
      <w:pPr>
        <w:snapToGrid w:val="0"/>
        <w:spacing w:line="400" w:lineRule="exact"/>
        <w:rPr>
          <w:rFonts w:ascii="宋体" w:hAnsi="宋体"/>
          <w:color w:val="auto"/>
          <w:highlight w:val="none"/>
        </w:rPr>
      </w:pPr>
    </w:p>
    <w:p>
      <w:pPr>
        <w:snapToGrid w:val="0"/>
        <w:spacing w:line="400" w:lineRule="exact"/>
        <w:rPr>
          <w:rFonts w:ascii="宋体" w:hAnsi="宋体"/>
          <w:color w:val="auto"/>
          <w:highlight w:val="none"/>
        </w:rPr>
      </w:pPr>
      <w:r>
        <w:rPr>
          <w:rFonts w:hint="eastAsia" w:ascii="宋体" w:hAnsi="宋体"/>
          <w:color w:val="auto"/>
          <w:highlight w:val="none"/>
        </w:rPr>
        <w:t>采购单位（甲方）</w:t>
      </w:r>
      <w:r>
        <w:rPr>
          <w:rFonts w:hint="eastAsia" w:ascii="宋体" w:hAnsi="宋体"/>
          <w:color w:val="auto"/>
          <w:highlight w:val="none"/>
          <w:u w:val="single"/>
        </w:rPr>
        <w:t xml:space="preserve">桂平市教育局 </w:t>
      </w:r>
    </w:p>
    <w:p>
      <w:pPr>
        <w:snapToGrid w:val="0"/>
        <w:spacing w:line="400" w:lineRule="exact"/>
        <w:rPr>
          <w:rFonts w:ascii="宋体" w:hAnsi="宋体"/>
          <w:color w:val="auto"/>
          <w:highlight w:val="none"/>
        </w:rPr>
      </w:pPr>
      <w:r>
        <w:rPr>
          <w:rFonts w:hint="eastAsia" w:ascii="宋体" w:hAnsi="宋体"/>
          <w:color w:val="auto"/>
          <w:highlight w:val="none"/>
        </w:rPr>
        <w:t>供 货 商（乙方）法定代表人：</w:t>
      </w:r>
    </w:p>
    <w:p>
      <w:pPr>
        <w:snapToGrid w:val="0"/>
        <w:spacing w:line="400" w:lineRule="exact"/>
        <w:rPr>
          <w:rFonts w:ascii="宋体" w:hAnsi="宋体"/>
          <w:color w:val="auto"/>
          <w:highlight w:val="none"/>
          <w:u w:val="single"/>
        </w:rPr>
      </w:pPr>
      <w:r>
        <w:rPr>
          <w:rFonts w:hint="eastAsia" w:ascii="宋体" w:hAnsi="宋体"/>
          <w:color w:val="auto"/>
          <w:highlight w:val="none"/>
        </w:rPr>
        <w:t xml:space="preserve">签 订 地 点  </w:t>
      </w:r>
      <w:r>
        <w:rPr>
          <w:rFonts w:hint="eastAsia" w:ascii="宋体" w:hAnsi="宋体"/>
          <w:color w:val="auto"/>
          <w:highlight w:val="none"/>
          <w:u w:val="single"/>
        </w:rPr>
        <w:t xml:space="preserve">   贵港市            </w:t>
      </w:r>
    </w:p>
    <w:p>
      <w:pPr>
        <w:snapToGrid w:val="0"/>
        <w:spacing w:line="400" w:lineRule="exact"/>
        <w:rPr>
          <w:rFonts w:ascii="宋体" w:hAnsi="宋体"/>
          <w:color w:val="auto"/>
          <w:highlight w:val="none"/>
          <w:u w:val="single"/>
        </w:rPr>
      </w:pPr>
      <w:r>
        <w:rPr>
          <w:rFonts w:hint="eastAsia" w:ascii="宋体" w:hAnsi="宋体"/>
          <w:color w:val="auto"/>
          <w:highlight w:val="none"/>
        </w:rPr>
        <w:t>签 订 时 间</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根据《中华人民共和国政府采购法》、《中华人民共和国合同法》等法律、法规规定，甲乙双方就有关货物采购事宜，签订本合同。</w:t>
      </w:r>
    </w:p>
    <w:p>
      <w:pPr>
        <w:snapToGrid w:val="0"/>
        <w:spacing w:line="400" w:lineRule="exact"/>
        <w:ind w:firstLine="422" w:firstLineChars="200"/>
        <w:rPr>
          <w:rFonts w:ascii="宋体" w:hAnsi="宋体"/>
          <w:b/>
          <w:color w:val="auto"/>
          <w:highlight w:val="none"/>
        </w:rPr>
      </w:pPr>
      <w:r>
        <w:rPr>
          <w:rFonts w:hint="eastAsia" w:ascii="宋体" w:hAnsi="宋体"/>
          <w:b/>
          <w:color w:val="auto"/>
          <w:highlight w:val="none"/>
        </w:rPr>
        <w:t>第一条　合同标的</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1、供货一览表</w:t>
      </w:r>
    </w:p>
    <w:tbl>
      <w:tblPr>
        <w:tblStyle w:val="47"/>
        <w:tblW w:w="954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00"/>
        <w:gridCol w:w="1160"/>
        <w:gridCol w:w="1282"/>
        <w:gridCol w:w="1281"/>
        <w:gridCol w:w="532"/>
        <w:gridCol w:w="787"/>
        <w:gridCol w:w="128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33" w:type="dxa"/>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序号</w:t>
            </w:r>
          </w:p>
        </w:tc>
        <w:tc>
          <w:tcPr>
            <w:tcW w:w="1400" w:type="dxa"/>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产品</w:t>
            </w:r>
          </w:p>
          <w:p>
            <w:pPr>
              <w:snapToGrid w:val="0"/>
              <w:spacing w:line="400" w:lineRule="exact"/>
              <w:jc w:val="center"/>
              <w:rPr>
                <w:rFonts w:ascii="宋体" w:hAnsi="宋体"/>
                <w:color w:val="auto"/>
                <w:highlight w:val="none"/>
              </w:rPr>
            </w:pPr>
            <w:r>
              <w:rPr>
                <w:rFonts w:hint="eastAsia" w:ascii="宋体" w:hAnsi="宋体"/>
                <w:color w:val="auto"/>
                <w:highlight w:val="none"/>
              </w:rPr>
              <w:t>名称</w:t>
            </w:r>
          </w:p>
        </w:tc>
        <w:tc>
          <w:tcPr>
            <w:tcW w:w="1160" w:type="dxa"/>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设备品牌</w:t>
            </w:r>
          </w:p>
        </w:tc>
        <w:tc>
          <w:tcPr>
            <w:tcW w:w="1282" w:type="dxa"/>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规格</w:t>
            </w:r>
          </w:p>
          <w:p>
            <w:pPr>
              <w:snapToGrid w:val="0"/>
              <w:spacing w:line="400" w:lineRule="exact"/>
              <w:jc w:val="center"/>
              <w:rPr>
                <w:rFonts w:ascii="宋体" w:hAnsi="宋体"/>
                <w:color w:val="auto"/>
                <w:highlight w:val="none"/>
              </w:rPr>
            </w:pPr>
            <w:r>
              <w:rPr>
                <w:rFonts w:hint="eastAsia" w:ascii="宋体" w:hAnsi="宋体"/>
                <w:color w:val="auto"/>
                <w:highlight w:val="none"/>
              </w:rPr>
              <w:t>型号</w:t>
            </w:r>
          </w:p>
        </w:tc>
        <w:tc>
          <w:tcPr>
            <w:tcW w:w="1281" w:type="dxa"/>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生产</w:t>
            </w:r>
          </w:p>
          <w:p>
            <w:pPr>
              <w:snapToGrid w:val="0"/>
              <w:spacing w:line="400" w:lineRule="exact"/>
              <w:jc w:val="center"/>
              <w:rPr>
                <w:rFonts w:ascii="宋体" w:hAnsi="宋体"/>
                <w:color w:val="auto"/>
                <w:highlight w:val="none"/>
              </w:rPr>
            </w:pPr>
            <w:r>
              <w:rPr>
                <w:rFonts w:hint="eastAsia" w:ascii="宋体" w:hAnsi="宋体"/>
                <w:color w:val="auto"/>
                <w:highlight w:val="none"/>
              </w:rPr>
              <w:t>厂家及国别</w:t>
            </w:r>
          </w:p>
        </w:tc>
        <w:tc>
          <w:tcPr>
            <w:tcW w:w="532" w:type="dxa"/>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数  量</w:t>
            </w:r>
          </w:p>
        </w:tc>
        <w:tc>
          <w:tcPr>
            <w:tcW w:w="787" w:type="dxa"/>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单位</w:t>
            </w:r>
          </w:p>
        </w:tc>
        <w:tc>
          <w:tcPr>
            <w:tcW w:w="1287" w:type="dxa"/>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单  价</w:t>
            </w:r>
          </w:p>
          <w:p>
            <w:pPr>
              <w:snapToGrid w:val="0"/>
              <w:spacing w:line="400" w:lineRule="exact"/>
              <w:jc w:val="center"/>
              <w:rPr>
                <w:rFonts w:ascii="宋体" w:hAnsi="宋体"/>
                <w:color w:val="auto"/>
                <w:highlight w:val="none"/>
              </w:rPr>
            </w:pPr>
            <w:r>
              <w:rPr>
                <w:rFonts w:hint="eastAsia" w:ascii="宋体" w:hAnsi="宋体"/>
                <w:color w:val="auto"/>
                <w:highlight w:val="none"/>
              </w:rPr>
              <w:t>（元）</w:t>
            </w:r>
          </w:p>
        </w:tc>
        <w:tc>
          <w:tcPr>
            <w:tcW w:w="1287" w:type="dxa"/>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金  额</w:t>
            </w:r>
          </w:p>
          <w:p>
            <w:pPr>
              <w:snapToGrid w:val="0"/>
              <w:spacing w:line="400" w:lineRule="exact"/>
              <w:jc w:val="center"/>
              <w:rPr>
                <w:rFonts w:ascii="宋体" w:hAnsi="宋体"/>
                <w:color w:val="auto"/>
                <w:highlight w:val="none"/>
              </w:rPr>
            </w:pPr>
            <w:r>
              <w:rPr>
                <w:rFonts w:hint="eastAsia" w:ascii="宋体" w:hAnsi="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33" w:type="dxa"/>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1</w:t>
            </w:r>
          </w:p>
        </w:tc>
        <w:tc>
          <w:tcPr>
            <w:tcW w:w="1400" w:type="dxa"/>
            <w:vAlign w:val="center"/>
          </w:tcPr>
          <w:p>
            <w:pPr>
              <w:snapToGrid w:val="0"/>
              <w:spacing w:line="400" w:lineRule="exact"/>
              <w:jc w:val="center"/>
              <w:rPr>
                <w:rFonts w:ascii="宋体" w:hAnsi="宋体"/>
                <w:color w:val="auto"/>
                <w:highlight w:val="none"/>
              </w:rPr>
            </w:pPr>
          </w:p>
        </w:tc>
        <w:tc>
          <w:tcPr>
            <w:tcW w:w="1160" w:type="dxa"/>
            <w:vAlign w:val="center"/>
          </w:tcPr>
          <w:p>
            <w:pPr>
              <w:snapToGrid w:val="0"/>
              <w:spacing w:line="400" w:lineRule="exact"/>
              <w:jc w:val="center"/>
              <w:rPr>
                <w:rFonts w:ascii="宋体" w:hAnsi="宋体"/>
                <w:color w:val="auto"/>
                <w:highlight w:val="none"/>
              </w:rPr>
            </w:pPr>
          </w:p>
        </w:tc>
        <w:tc>
          <w:tcPr>
            <w:tcW w:w="1282" w:type="dxa"/>
            <w:vAlign w:val="center"/>
          </w:tcPr>
          <w:p>
            <w:pPr>
              <w:snapToGrid w:val="0"/>
              <w:spacing w:line="400" w:lineRule="exact"/>
              <w:jc w:val="center"/>
              <w:rPr>
                <w:rFonts w:ascii="宋体" w:hAnsi="宋体"/>
                <w:color w:val="auto"/>
                <w:highlight w:val="none"/>
              </w:rPr>
            </w:pPr>
          </w:p>
        </w:tc>
        <w:tc>
          <w:tcPr>
            <w:tcW w:w="1281" w:type="dxa"/>
          </w:tcPr>
          <w:p>
            <w:pPr>
              <w:snapToGrid w:val="0"/>
              <w:spacing w:line="400" w:lineRule="exact"/>
              <w:jc w:val="center"/>
              <w:rPr>
                <w:rFonts w:ascii="宋体" w:hAnsi="宋体"/>
                <w:color w:val="auto"/>
                <w:highlight w:val="none"/>
              </w:rPr>
            </w:pPr>
          </w:p>
        </w:tc>
        <w:tc>
          <w:tcPr>
            <w:tcW w:w="532" w:type="dxa"/>
          </w:tcPr>
          <w:p>
            <w:pPr>
              <w:snapToGrid w:val="0"/>
              <w:spacing w:line="400" w:lineRule="exact"/>
              <w:jc w:val="center"/>
              <w:rPr>
                <w:rFonts w:ascii="宋体" w:hAnsi="宋体"/>
                <w:color w:val="auto"/>
                <w:highlight w:val="none"/>
              </w:rPr>
            </w:pPr>
          </w:p>
        </w:tc>
        <w:tc>
          <w:tcPr>
            <w:tcW w:w="787" w:type="dxa"/>
          </w:tcPr>
          <w:p>
            <w:pPr>
              <w:snapToGrid w:val="0"/>
              <w:spacing w:line="400" w:lineRule="exact"/>
              <w:jc w:val="center"/>
              <w:rPr>
                <w:rFonts w:ascii="宋体" w:hAnsi="宋体"/>
                <w:color w:val="auto"/>
                <w:highlight w:val="none"/>
              </w:rPr>
            </w:pPr>
          </w:p>
        </w:tc>
        <w:tc>
          <w:tcPr>
            <w:tcW w:w="1287" w:type="dxa"/>
            <w:vAlign w:val="center"/>
          </w:tcPr>
          <w:p>
            <w:pPr>
              <w:snapToGrid w:val="0"/>
              <w:spacing w:line="400" w:lineRule="exact"/>
              <w:jc w:val="center"/>
              <w:rPr>
                <w:rFonts w:ascii="宋体" w:hAnsi="宋体"/>
                <w:color w:val="auto"/>
                <w:highlight w:val="none"/>
              </w:rPr>
            </w:pPr>
          </w:p>
        </w:tc>
        <w:tc>
          <w:tcPr>
            <w:tcW w:w="1287" w:type="dxa"/>
            <w:vAlign w:val="center"/>
          </w:tcPr>
          <w:p>
            <w:pPr>
              <w:snapToGrid w:val="0"/>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33" w:type="dxa"/>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2</w:t>
            </w:r>
          </w:p>
        </w:tc>
        <w:tc>
          <w:tcPr>
            <w:tcW w:w="1400" w:type="dxa"/>
            <w:vAlign w:val="center"/>
          </w:tcPr>
          <w:p>
            <w:pPr>
              <w:snapToGrid w:val="0"/>
              <w:spacing w:line="400" w:lineRule="exact"/>
              <w:jc w:val="center"/>
              <w:rPr>
                <w:rFonts w:ascii="宋体" w:hAnsi="宋体"/>
                <w:color w:val="auto"/>
                <w:highlight w:val="none"/>
              </w:rPr>
            </w:pPr>
          </w:p>
        </w:tc>
        <w:tc>
          <w:tcPr>
            <w:tcW w:w="1160" w:type="dxa"/>
            <w:vAlign w:val="center"/>
          </w:tcPr>
          <w:p>
            <w:pPr>
              <w:snapToGrid w:val="0"/>
              <w:spacing w:line="400" w:lineRule="exact"/>
              <w:jc w:val="center"/>
              <w:rPr>
                <w:rFonts w:ascii="宋体" w:hAnsi="宋体"/>
                <w:color w:val="auto"/>
                <w:highlight w:val="none"/>
              </w:rPr>
            </w:pPr>
          </w:p>
        </w:tc>
        <w:tc>
          <w:tcPr>
            <w:tcW w:w="1282" w:type="dxa"/>
            <w:vAlign w:val="center"/>
          </w:tcPr>
          <w:p>
            <w:pPr>
              <w:snapToGrid w:val="0"/>
              <w:spacing w:line="400" w:lineRule="exact"/>
              <w:jc w:val="center"/>
              <w:rPr>
                <w:rFonts w:ascii="宋体" w:hAnsi="宋体"/>
                <w:color w:val="auto"/>
                <w:highlight w:val="none"/>
              </w:rPr>
            </w:pPr>
          </w:p>
        </w:tc>
        <w:tc>
          <w:tcPr>
            <w:tcW w:w="1281" w:type="dxa"/>
          </w:tcPr>
          <w:p>
            <w:pPr>
              <w:snapToGrid w:val="0"/>
              <w:spacing w:line="400" w:lineRule="exact"/>
              <w:jc w:val="center"/>
              <w:rPr>
                <w:rFonts w:ascii="宋体" w:hAnsi="宋体"/>
                <w:color w:val="auto"/>
                <w:highlight w:val="none"/>
              </w:rPr>
            </w:pPr>
          </w:p>
        </w:tc>
        <w:tc>
          <w:tcPr>
            <w:tcW w:w="532" w:type="dxa"/>
          </w:tcPr>
          <w:p>
            <w:pPr>
              <w:snapToGrid w:val="0"/>
              <w:spacing w:line="400" w:lineRule="exact"/>
              <w:jc w:val="center"/>
              <w:rPr>
                <w:rFonts w:ascii="宋体" w:hAnsi="宋体"/>
                <w:color w:val="auto"/>
                <w:highlight w:val="none"/>
              </w:rPr>
            </w:pPr>
          </w:p>
        </w:tc>
        <w:tc>
          <w:tcPr>
            <w:tcW w:w="787" w:type="dxa"/>
          </w:tcPr>
          <w:p>
            <w:pPr>
              <w:snapToGrid w:val="0"/>
              <w:spacing w:line="400" w:lineRule="exact"/>
              <w:jc w:val="center"/>
              <w:rPr>
                <w:rFonts w:ascii="宋体" w:hAnsi="宋体"/>
                <w:color w:val="auto"/>
                <w:highlight w:val="none"/>
              </w:rPr>
            </w:pPr>
          </w:p>
        </w:tc>
        <w:tc>
          <w:tcPr>
            <w:tcW w:w="1287" w:type="dxa"/>
            <w:vAlign w:val="center"/>
          </w:tcPr>
          <w:p>
            <w:pPr>
              <w:snapToGrid w:val="0"/>
              <w:spacing w:line="400" w:lineRule="exact"/>
              <w:jc w:val="center"/>
              <w:rPr>
                <w:rFonts w:ascii="宋体" w:hAnsi="宋体"/>
                <w:color w:val="auto"/>
                <w:highlight w:val="none"/>
              </w:rPr>
            </w:pPr>
          </w:p>
        </w:tc>
        <w:tc>
          <w:tcPr>
            <w:tcW w:w="1287" w:type="dxa"/>
            <w:vAlign w:val="center"/>
          </w:tcPr>
          <w:p>
            <w:pPr>
              <w:snapToGrid w:val="0"/>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33" w:type="dxa"/>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3</w:t>
            </w:r>
          </w:p>
        </w:tc>
        <w:tc>
          <w:tcPr>
            <w:tcW w:w="1400" w:type="dxa"/>
            <w:vAlign w:val="center"/>
          </w:tcPr>
          <w:p>
            <w:pPr>
              <w:snapToGrid w:val="0"/>
              <w:spacing w:line="400" w:lineRule="exact"/>
              <w:jc w:val="center"/>
              <w:rPr>
                <w:rFonts w:ascii="宋体" w:hAnsi="宋体"/>
                <w:color w:val="auto"/>
                <w:highlight w:val="none"/>
              </w:rPr>
            </w:pPr>
          </w:p>
        </w:tc>
        <w:tc>
          <w:tcPr>
            <w:tcW w:w="1160" w:type="dxa"/>
            <w:vAlign w:val="center"/>
          </w:tcPr>
          <w:p>
            <w:pPr>
              <w:snapToGrid w:val="0"/>
              <w:spacing w:line="400" w:lineRule="exact"/>
              <w:jc w:val="center"/>
              <w:rPr>
                <w:rFonts w:ascii="宋体" w:hAnsi="宋体"/>
                <w:color w:val="auto"/>
                <w:highlight w:val="none"/>
              </w:rPr>
            </w:pPr>
          </w:p>
        </w:tc>
        <w:tc>
          <w:tcPr>
            <w:tcW w:w="1282" w:type="dxa"/>
            <w:vAlign w:val="center"/>
          </w:tcPr>
          <w:p>
            <w:pPr>
              <w:snapToGrid w:val="0"/>
              <w:spacing w:line="400" w:lineRule="exact"/>
              <w:jc w:val="center"/>
              <w:rPr>
                <w:rFonts w:ascii="宋体" w:hAnsi="宋体"/>
                <w:color w:val="auto"/>
                <w:highlight w:val="none"/>
              </w:rPr>
            </w:pPr>
          </w:p>
        </w:tc>
        <w:tc>
          <w:tcPr>
            <w:tcW w:w="1281" w:type="dxa"/>
          </w:tcPr>
          <w:p>
            <w:pPr>
              <w:snapToGrid w:val="0"/>
              <w:spacing w:line="400" w:lineRule="exact"/>
              <w:jc w:val="center"/>
              <w:rPr>
                <w:rFonts w:ascii="宋体" w:hAnsi="宋体"/>
                <w:color w:val="auto"/>
                <w:highlight w:val="none"/>
              </w:rPr>
            </w:pPr>
          </w:p>
        </w:tc>
        <w:tc>
          <w:tcPr>
            <w:tcW w:w="532" w:type="dxa"/>
          </w:tcPr>
          <w:p>
            <w:pPr>
              <w:snapToGrid w:val="0"/>
              <w:spacing w:line="400" w:lineRule="exact"/>
              <w:jc w:val="center"/>
              <w:rPr>
                <w:rFonts w:ascii="宋体" w:hAnsi="宋体"/>
                <w:color w:val="auto"/>
                <w:highlight w:val="none"/>
              </w:rPr>
            </w:pPr>
          </w:p>
        </w:tc>
        <w:tc>
          <w:tcPr>
            <w:tcW w:w="787" w:type="dxa"/>
          </w:tcPr>
          <w:p>
            <w:pPr>
              <w:snapToGrid w:val="0"/>
              <w:spacing w:line="400" w:lineRule="exact"/>
              <w:jc w:val="center"/>
              <w:rPr>
                <w:rFonts w:ascii="宋体" w:hAnsi="宋体"/>
                <w:color w:val="auto"/>
                <w:highlight w:val="none"/>
              </w:rPr>
            </w:pPr>
          </w:p>
        </w:tc>
        <w:tc>
          <w:tcPr>
            <w:tcW w:w="1287" w:type="dxa"/>
            <w:vAlign w:val="center"/>
          </w:tcPr>
          <w:p>
            <w:pPr>
              <w:snapToGrid w:val="0"/>
              <w:spacing w:line="400" w:lineRule="exact"/>
              <w:jc w:val="center"/>
              <w:rPr>
                <w:rFonts w:ascii="宋体" w:hAnsi="宋体"/>
                <w:color w:val="auto"/>
                <w:highlight w:val="none"/>
              </w:rPr>
            </w:pPr>
          </w:p>
        </w:tc>
        <w:tc>
          <w:tcPr>
            <w:tcW w:w="1287" w:type="dxa"/>
            <w:vAlign w:val="center"/>
          </w:tcPr>
          <w:p>
            <w:pPr>
              <w:snapToGrid w:val="0"/>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549" w:type="dxa"/>
            <w:gridSpan w:val="9"/>
            <w:vAlign w:val="center"/>
          </w:tcPr>
          <w:p>
            <w:pPr>
              <w:snapToGrid w:val="0"/>
              <w:spacing w:line="400" w:lineRule="exact"/>
              <w:rPr>
                <w:rFonts w:ascii="宋体" w:hAnsi="宋体"/>
                <w:color w:val="auto"/>
                <w:highlight w:val="none"/>
              </w:rPr>
            </w:pPr>
            <w:r>
              <w:rPr>
                <w:rFonts w:hint="eastAsia" w:ascii="宋体" w:hAnsi="宋体"/>
                <w:color w:val="auto"/>
                <w:highlight w:val="none"/>
              </w:rPr>
              <w:t xml:space="preserve">人民币合计金额（大写）                          （小写）                 </w:t>
            </w:r>
          </w:p>
        </w:tc>
      </w:tr>
    </w:tbl>
    <w:p>
      <w:pPr>
        <w:snapToGrid w:val="0"/>
        <w:spacing w:line="400" w:lineRule="exact"/>
        <w:ind w:right="420" w:firstLine="420" w:firstLineChars="200"/>
        <w:rPr>
          <w:rFonts w:ascii="宋体" w:hAnsi="宋体"/>
          <w:color w:val="auto"/>
          <w:highlight w:val="none"/>
        </w:rPr>
      </w:pPr>
      <w:r>
        <w:rPr>
          <w:rFonts w:hint="eastAsia" w:ascii="宋体" w:hAnsi="宋体"/>
          <w:color w:val="auto"/>
          <w:highlight w:val="none"/>
        </w:rPr>
        <w:t>2、合同合计金额包括货物价款，备件、专用工具、安装、调试、检验、技术培训及技术资料和包装、运输等全部费用。如招投标文件对其另有规定的，从其规定。</w:t>
      </w:r>
    </w:p>
    <w:p>
      <w:pPr>
        <w:snapToGrid w:val="0"/>
        <w:spacing w:line="400" w:lineRule="exact"/>
        <w:ind w:firstLine="422" w:firstLineChars="200"/>
        <w:rPr>
          <w:rFonts w:ascii="宋体" w:hAnsi="宋体"/>
          <w:color w:val="auto"/>
          <w:highlight w:val="none"/>
        </w:rPr>
      </w:pPr>
      <w:r>
        <w:rPr>
          <w:rFonts w:hint="eastAsia" w:ascii="宋体" w:hAnsi="宋体"/>
          <w:b/>
          <w:color w:val="auto"/>
          <w:highlight w:val="none"/>
        </w:rPr>
        <w:t>第二条　质量保证</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1、乙方所提供的货物型号、技术规格、技术参数等质量必须与招投标文件和承诺相一致。乙方提供的自主创新产品、节能和环保产品必须是列入政府采购清单的产品。</w:t>
      </w:r>
    </w:p>
    <w:p>
      <w:pPr>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rPr>
        <w:t>2、乙方所提供的货物必须是全新、未使用的原装产品，且在正常安装、使用和保养条件下，其使用寿命期内各项指标均达到质量要求。</w:t>
      </w:r>
    </w:p>
    <w:p>
      <w:pPr>
        <w:snapToGrid w:val="0"/>
        <w:spacing w:line="400" w:lineRule="exact"/>
        <w:ind w:firstLine="422" w:firstLineChars="200"/>
        <w:rPr>
          <w:rFonts w:ascii="宋体" w:hAnsi="宋体"/>
          <w:color w:val="auto"/>
          <w:highlight w:val="none"/>
        </w:rPr>
      </w:pPr>
      <w:r>
        <w:rPr>
          <w:rFonts w:hint="eastAsia" w:ascii="宋体" w:hAnsi="宋体"/>
          <w:b/>
          <w:color w:val="auto"/>
          <w:highlight w:val="none"/>
        </w:rPr>
        <w:t>第三条　权利保证</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乙方所提供货物在使用时不得侵犯任何第三方的专利权、商标权、工业设计权或其他权利。</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乙方所交付的货物必须具有完全的所有权，不得有抵押、质押、查封等产权瑕疵。</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乙方应按招标文件规定的时间向甲方提供使用货物的有关技术资料。</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未经甲方事先书面同意，乙方不得将由甲方提供的有关合同或任何合同条文、规格、计划、图纸、样品或资料提供给除履行本合同以外的任何其他人。即使向履行本合同有关的人员提供，也应注意保密并限于履行合同的必需范围。</w:t>
      </w:r>
    </w:p>
    <w:p>
      <w:pPr>
        <w:snapToGrid w:val="0"/>
        <w:spacing w:line="400" w:lineRule="exact"/>
        <w:ind w:firstLine="422" w:firstLineChars="200"/>
        <w:rPr>
          <w:rFonts w:ascii="宋体" w:hAnsi="宋体"/>
          <w:b/>
          <w:color w:val="auto"/>
          <w:highlight w:val="none"/>
        </w:rPr>
      </w:pPr>
      <w:r>
        <w:rPr>
          <w:rFonts w:hint="eastAsia" w:ascii="宋体" w:hAnsi="宋体"/>
          <w:b/>
          <w:color w:val="auto"/>
          <w:highlight w:val="none"/>
        </w:rPr>
        <w:t>第四条　包装和运输</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1、乙方提供的货物均应按招投标文件要求的包装材料、包装标准、包装方式进行包装，每一包装单元内应附详细的装箱单和质量合格证。</w:t>
      </w:r>
    </w:p>
    <w:p>
      <w:pPr>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rPr>
        <w:t>2、乙方负责货物运输，货物运输合理损耗及计算方法：</w:t>
      </w:r>
      <w:r>
        <w:rPr>
          <w:rFonts w:hint="eastAsia" w:ascii="宋体" w:hAnsi="宋体"/>
          <w:color w:val="auto"/>
          <w:highlight w:val="none"/>
          <w:u w:val="single"/>
        </w:rPr>
        <w:t xml:space="preserve">   由乙方负责 。</w:t>
      </w:r>
    </w:p>
    <w:p>
      <w:pPr>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rPr>
        <w:t xml:space="preserve">3、货物的运输方式： </w:t>
      </w:r>
      <w:r>
        <w:rPr>
          <w:rFonts w:hint="eastAsia" w:ascii="宋体" w:hAnsi="宋体"/>
          <w:color w:val="auto"/>
          <w:highlight w:val="none"/>
          <w:u w:val="single"/>
        </w:rPr>
        <w:t xml:space="preserve">      由乙方自定       。</w:t>
      </w:r>
    </w:p>
    <w:p>
      <w:pPr>
        <w:snapToGrid w:val="0"/>
        <w:spacing w:line="400" w:lineRule="exact"/>
        <w:ind w:firstLine="422" w:firstLineChars="200"/>
        <w:rPr>
          <w:rFonts w:ascii="宋体" w:hAnsi="宋体"/>
          <w:color w:val="auto"/>
          <w:highlight w:val="none"/>
        </w:rPr>
      </w:pPr>
      <w:r>
        <w:rPr>
          <w:rFonts w:hint="eastAsia" w:ascii="宋体" w:hAnsi="宋体"/>
          <w:b/>
          <w:color w:val="auto"/>
          <w:highlight w:val="none"/>
        </w:rPr>
        <w:t>第五条　交付和验收</w:t>
      </w:r>
    </w:p>
    <w:p>
      <w:pPr>
        <w:spacing w:line="400" w:lineRule="exact"/>
        <w:ind w:firstLine="420" w:firstLineChars="200"/>
        <w:rPr>
          <w:rFonts w:ascii="宋体" w:hAnsi="宋体"/>
          <w:color w:val="auto"/>
          <w:highlight w:val="none"/>
        </w:rPr>
      </w:pPr>
      <w:r>
        <w:rPr>
          <w:rFonts w:hint="eastAsia" w:ascii="宋体" w:hAnsi="宋体"/>
          <w:color w:val="auto"/>
          <w:highlight w:val="none"/>
        </w:rPr>
        <w:t>1、交付使用时间：</w:t>
      </w:r>
      <w:r>
        <w:rPr>
          <w:rFonts w:hint="eastAsia" w:ascii="宋体" w:hAnsi="宋体"/>
          <w:color w:val="auto"/>
          <w:highlight w:val="none"/>
          <w:u w:val="single"/>
        </w:rPr>
        <w:t xml:space="preserve">                              </w:t>
      </w:r>
      <w:r>
        <w:rPr>
          <w:rFonts w:hint="eastAsia" w:ascii="宋体" w:hAnsi="宋体"/>
          <w:b/>
          <w:color w:val="auto"/>
          <w:szCs w:val="21"/>
          <w:highlight w:val="none"/>
        </w:rPr>
        <w:t>；</w:t>
      </w:r>
      <w:r>
        <w:rPr>
          <w:rFonts w:hint="eastAsia" w:ascii="宋体" w:hAnsi="宋体"/>
          <w:color w:val="auto"/>
          <w:highlight w:val="none"/>
        </w:rPr>
        <w:t>地点：</w:t>
      </w:r>
      <w:r>
        <w:rPr>
          <w:rFonts w:hint="eastAsia" w:ascii="宋体" w:hAnsi="宋体"/>
          <w:color w:val="auto"/>
          <w:highlight w:val="none"/>
          <w:u w:val="single"/>
        </w:rPr>
        <w:t xml:space="preserve">   由甲方指定   </w:t>
      </w:r>
      <w:r>
        <w:rPr>
          <w:rFonts w:hint="eastAsia" w:ascii="宋体" w:hAnsi="宋体"/>
          <w:color w:val="auto"/>
          <w:highlight w:val="none"/>
        </w:rPr>
        <w:t>。</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2、乙方提供不符合招投标文件和本合同规定的货物，甲方有权拒绝接受。</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3、乙方应将所提供货物的装箱清单、用户手册、原厂保修卡、随机资料、工具和备品、备件等交付给甲方，如有缺失应及时补齐，否则视为逾期交货。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4、甲方在到货后即首先对货物外观、数量进行初步验收，安装、调试完后10个工作日内进行最终验收。</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5、在验收过程中发现乙方有违约问题，甲方有权暂缓资金结算，待违约问题解决后，方可办理资金结算事宜，资金结算期自违约问题解决之日起从新计算。</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6、甲方对验收有异议的，在验收后5个工作日内以书面形式向乙方提出，乙方应自收到甲方书面异议后7日内及时予以解决。</w:t>
      </w:r>
    </w:p>
    <w:p>
      <w:pPr>
        <w:snapToGrid w:val="0"/>
        <w:spacing w:line="400" w:lineRule="exact"/>
        <w:ind w:firstLine="422" w:firstLineChars="200"/>
        <w:rPr>
          <w:rFonts w:ascii="宋体" w:hAnsi="宋体"/>
          <w:b/>
          <w:color w:val="auto"/>
          <w:highlight w:val="none"/>
        </w:rPr>
      </w:pPr>
      <w:r>
        <w:rPr>
          <w:rFonts w:hint="eastAsia" w:ascii="宋体" w:hAnsi="宋体"/>
          <w:b/>
          <w:color w:val="auto"/>
          <w:highlight w:val="none"/>
        </w:rPr>
        <w:t>第六条　安装、调试和培训</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1、甲方应为乙方的安装、调试提供必要的如场地、电源、水源等条件。</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2、乙方在安装、调试后应给甲方30日的产品使用适应期，在此期间乙方应加大对乙方人员的培训，如因乙方培训不到位，甲方在使用产品因不适应造成产品损坏的，按产品“三包”处理。</w:t>
      </w:r>
    </w:p>
    <w:p>
      <w:pPr>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rPr>
        <w:t>3、乙方负责甲方有关人员的培训。培训时间、地点：</w:t>
      </w:r>
      <w:r>
        <w:rPr>
          <w:rFonts w:hint="eastAsia" w:ascii="宋体" w:hAnsi="宋体"/>
          <w:color w:val="auto"/>
          <w:highlight w:val="none"/>
          <w:u w:val="single"/>
        </w:rPr>
        <w:t xml:space="preserve">    由甲方指定       。</w:t>
      </w:r>
    </w:p>
    <w:p>
      <w:pPr>
        <w:snapToGrid w:val="0"/>
        <w:spacing w:line="400" w:lineRule="exact"/>
        <w:ind w:firstLine="422" w:firstLineChars="200"/>
        <w:rPr>
          <w:rFonts w:ascii="宋体" w:hAnsi="宋体"/>
          <w:b/>
          <w:color w:val="auto"/>
          <w:highlight w:val="none"/>
        </w:rPr>
      </w:pPr>
      <w:r>
        <w:rPr>
          <w:rFonts w:hint="eastAsia" w:ascii="宋体" w:hAnsi="宋体"/>
          <w:b/>
          <w:color w:val="auto"/>
          <w:highlight w:val="none"/>
        </w:rPr>
        <w:t>第七条  售后服务、保修期</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1、乙方应按照国家有关法律法规和“三包”规定以及招投标文件和本合同所附的《服务承诺》，为甲方提供售后服务。</w:t>
      </w:r>
    </w:p>
    <w:p>
      <w:pPr>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rPr>
        <w:t>2、货物保修期；</w:t>
      </w:r>
      <w:r>
        <w:rPr>
          <w:rFonts w:hint="eastAsia" w:hAnsi="宋体"/>
          <w:color w:val="auto"/>
          <w:highlight w:val="none"/>
          <w:u w:val="single"/>
        </w:rPr>
        <w:t>免费保修期为    年，超过保修期的机器设备，终生维修，维修时只收部件成本费</w:t>
      </w:r>
      <w:r>
        <w:rPr>
          <w:rFonts w:hint="eastAsia" w:ascii="宋体" w:hAnsi="宋体"/>
          <w:color w:val="auto"/>
          <w:highlight w:val="none"/>
          <w:u w:val="single"/>
        </w:rPr>
        <w:t>。</w:t>
      </w:r>
    </w:p>
    <w:p>
      <w:pPr>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rPr>
        <w:t>3、乙方提供的服务承诺和售后服务及保修期责任等其它具体约定事项。（见合同附件）</w:t>
      </w:r>
    </w:p>
    <w:p>
      <w:pPr>
        <w:snapToGrid w:val="0"/>
        <w:spacing w:line="400" w:lineRule="exact"/>
        <w:ind w:firstLine="422" w:firstLineChars="200"/>
        <w:rPr>
          <w:rFonts w:ascii="宋体" w:hAnsi="宋体"/>
          <w:color w:val="auto"/>
          <w:highlight w:val="none"/>
        </w:rPr>
      </w:pPr>
      <w:r>
        <w:rPr>
          <w:rFonts w:hint="eastAsia" w:ascii="宋体" w:hAnsi="宋体"/>
          <w:b/>
          <w:color w:val="auto"/>
          <w:highlight w:val="none"/>
        </w:rPr>
        <w:t>第八条　付款方式</w:t>
      </w:r>
    </w:p>
    <w:p>
      <w:pPr>
        <w:snapToGrid w:val="0"/>
        <w:spacing w:line="400" w:lineRule="exact"/>
        <w:ind w:firstLine="420" w:firstLineChars="200"/>
        <w:rPr>
          <w:rFonts w:ascii="宋体" w:hAnsi="宋体"/>
          <w:bCs/>
          <w:color w:val="auto"/>
          <w:highlight w:val="none"/>
        </w:rPr>
      </w:pPr>
      <w:r>
        <w:rPr>
          <w:rFonts w:hint="eastAsia" w:ascii="宋体" w:hAnsi="宋体"/>
          <w:bCs/>
          <w:color w:val="auto"/>
          <w:highlight w:val="none"/>
        </w:rPr>
        <w:t>项目验收后15天内支付97%合同款；保质期达1年后，15天内支付剩余3%合同款。</w:t>
      </w:r>
    </w:p>
    <w:p>
      <w:pPr>
        <w:snapToGrid w:val="0"/>
        <w:spacing w:line="400" w:lineRule="exact"/>
        <w:ind w:firstLine="422" w:firstLineChars="200"/>
        <w:rPr>
          <w:rFonts w:ascii="宋体" w:hAnsi="宋体"/>
          <w:b/>
          <w:color w:val="auto"/>
          <w:highlight w:val="none"/>
        </w:rPr>
      </w:pPr>
      <w:r>
        <w:rPr>
          <w:rFonts w:hint="eastAsia" w:ascii="宋体" w:hAnsi="宋体"/>
          <w:b/>
          <w:color w:val="auto"/>
          <w:highlight w:val="none"/>
        </w:rPr>
        <w:t>第九条 税费</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本合同执行中相关的一切税费均由乙方负担。</w:t>
      </w:r>
    </w:p>
    <w:p>
      <w:pPr>
        <w:snapToGrid w:val="0"/>
        <w:spacing w:line="400" w:lineRule="exact"/>
        <w:ind w:firstLine="422" w:firstLineChars="200"/>
        <w:rPr>
          <w:rFonts w:ascii="宋体" w:hAnsi="宋体"/>
          <w:b/>
          <w:color w:val="auto"/>
          <w:highlight w:val="none"/>
        </w:rPr>
      </w:pPr>
      <w:r>
        <w:rPr>
          <w:rFonts w:hint="eastAsia" w:ascii="宋体" w:hAnsi="宋体"/>
          <w:b/>
          <w:color w:val="auto"/>
          <w:highlight w:val="none"/>
        </w:rPr>
        <w:t>第十条 质量及售后服务</w:t>
      </w:r>
    </w:p>
    <w:p>
      <w:pPr>
        <w:pStyle w:val="25"/>
        <w:snapToGrid w:val="0"/>
        <w:spacing w:before="120" w:after="120" w:line="400" w:lineRule="exact"/>
        <w:ind w:firstLine="420" w:firstLineChars="200"/>
        <w:rPr>
          <w:rFonts w:hAnsi="宋体"/>
          <w:color w:val="auto"/>
          <w:highlight w:val="none"/>
        </w:rPr>
      </w:pPr>
      <w:r>
        <w:rPr>
          <w:rFonts w:hint="eastAsia" w:hAnsi="宋体"/>
          <w:color w:val="auto"/>
          <w:highlight w:val="none"/>
        </w:rPr>
        <w:t>1. 乙方应按招标文件规定的货物性能、技术要求、质量标准向甲方提供未经使用的全新产品。不符合要求的由乙方承担更换所发生的全部费用。</w:t>
      </w:r>
    </w:p>
    <w:p>
      <w:pPr>
        <w:pStyle w:val="25"/>
        <w:snapToGrid w:val="0"/>
        <w:spacing w:before="120" w:after="120" w:line="400" w:lineRule="exact"/>
        <w:rPr>
          <w:rFonts w:hAnsi="宋体"/>
          <w:color w:val="auto"/>
          <w:highlight w:val="none"/>
        </w:rPr>
      </w:pPr>
      <w:r>
        <w:rPr>
          <w:rFonts w:hint="eastAsia" w:hAnsi="宋体"/>
          <w:color w:val="auto"/>
          <w:highlight w:val="none"/>
        </w:rPr>
        <w:t xml:space="preserve">    2. 在质保期内，乙方应对货物出现的质量及安全问题负责处理解决并承担一切费用。</w:t>
      </w:r>
    </w:p>
    <w:p>
      <w:pPr>
        <w:pStyle w:val="25"/>
        <w:snapToGrid w:val="0"/>
        <w:spacing w:before="120" w:after="120" w:line="400" w:lineRule="exact"/>
        <w:ind w:firstLine="420" w:firstLineChars="200"/>
        <w:rPr>
          <w:rFonts w:hAnsi="宋体"/>
          <w:color w:val="auto"/>
          <w:highlight w:val="none"/>
        </w:rPr>
      </w:pPr>
      <w:r>
        <w:rPr>
          <w:rFonts w:hint="eastAsia" w:hAnsi="宋体"/>
          <w:color w:val="auto"/>
          <w:highlight w:val="none"/>
        </w:rPr>
        <w:t>3.上述的货物质保期为</w:t>
      </w:r>
      <w:r>
        <w:rPr>
          <w:rFonts w:hint="eastAsia" w:hAnsi="宋体"/>
          <w:color w:val="auto"/>
          <w:highlight w:val="none"/>
          <w:u w:val="single"/>
        </w:rPr>
        <w:t xml:space="preserve">  </w:t>
      </w:r>
      <w:r>
        <w:rPr>
          <w:rFonts w:hint="eastAsia" w:hAnsi="宋体"/>
          <w:color w:val="auto"/>
          <w:highlight w:val="none"/>
        </w:rPr>
        <w:t>年，因人为因素出现的故障不在免费保修范围内。</w:t>
      </w:r>
      <w:r>
        <w:rPr>
          <w:rFonts w:hint="eastAsia" w:hAnsi="宋体"/>
          <w:color w:val="auto"/>
          <w:szCs w:val="21"/>
          <w:highlight w:val="none"/>
        </w:rPr>
        <w:t>质保期内免费维修及更换配件，终身维修（质保期外只收取配件费，差旅费由厂家或甲方负责）。</w:t>
      </w:r>
    </w:p>
    <w:p>
      <w:pPr>
        <w:pStyle w:val="25"/>
        <w:snapToGrid w:val="0"/>
        <w:spacing w:before="120" w:after="120" w:line="400" w:lineRule="exact"/>
        <w:ind w:firstLine="413" w:firstLineChars="196"/>
        <w:rPr>
          <w:rFonts w:hAnsi="宋体"/>
          <w:b/>
          <w:color w:val="auto"/>
          <w:highlight w:val="none"/>
        </w:rPr>
      </w:pPr>
      <w:r>
        <w:rPr>
          <w:rFonts w:hint="eastAsia" w:hAnsi="宋体"/>
          <w:b/>
          <w:color w:val="auto"/>
          <w:highlight w:val="none"/>
        </w:rPr>
        <w:t>第十一条 调试和验收</w:t>
      </w:r>
    </w:p>
    <w:p>
      <w:pPr>
        <w:pStyle w:val="25"/>
        <w:snapToGrid w:val="0"/>
        <w:spacing w:before="120" w:after="120" w:line="400" w:lineRule="exact"/>
        <w:ind w:firstLine="420" w:firstLineChars="200"/>
        <w:jc w:val="left"/>
        <w:rPr>
          <w:rFonts w:hAnsi="宋体"/>
          <w:color w:val="auto"/>
          <w:highlight w:val="none"/>
        </w:rPr>
      </w:pPr>
      <w:r>
        <w:rPr>
          <w:rFonts w:hint="eastAsia" w:hAnsi="宋体"/>
          <w:color w:val="auto"/>
          <w:highlight w:val="none"/>
        </w:rPr>
        <w:t>1. 甲方对乙方提交的货物（安装、调试完毕）依据招标文件上的技术规格要求和国家有关质量标准进行现场初步验收。</w:t>
      </w:r>
    </w:p>
    <w:p>
      <w:pPr>
        <w:pStyle w:val="25"/>
        <w:snapToGrid w:val="0"/>
        <w:spacing w:before="120" w:after="120" w:line="400" w:lineRule="exact"/>
        <w:ind w:firstLine="420" w:firstLineChars="200"/>
        <w:rPr>
          <w:rFonts w:hAnsi="宋体"/>
          <w:color w:val="auto"/>
          <w:highlight w:val="none"/>
        </w:rPr>
      </w:pPr>
      <w:r>
        <w:rPr>
          <w:rFonts w:hint="eastAsia" w:hAnsi="宋体"/>
          <w:color w:val="auto"/>
          <w:highlight w:val="none"/>
        </w:rPr>
        <w:t>2. 乙方交货前应对产品作出全面检查和对验收文件进行整理，并列出清单，作为收货验收和使用的技术条件依据，检验的结果应随货物交甲方。</w:t>
      </w:r>
    </w:p>
    <w:p>
      <w:pPr>
        <w:pStyle w:val="25"/>
        <w:snapToGrid w:val="0"/>
        <w:spacing w:before="120" w:after="120" w:line="400" w:lineRule="exact"/>
        <w:ind w:firstLine="420" w:firstLineChars="200"/>
        <w:rPr>
          <w:rFonts w:hAnsi="宋体"/>
          <w:color w:val="auto"/>
          <w:highlight w:val="none"/>
          <w:u w:val="single"/>
        </w:rPr>
      </w:pPr>
      <w:r>
        <w:rPr>
          <w:rFonts w:hint="eastAsia" w:hAnsi="宋体"/>
          <w:color w:val="auto"/>
          <w:highlight w:val="none"/>
        </w:rPr>
        <w:t>3.乙方提供的货物在使用前进行调试，乙方需安排技术人员参加，并负责安装、调试、培训甲方的使用操作人员，协助甲方调试，调试的产品符合技术要求的，甲方才做最终验收。</w:t>
      </w:r>
    </w:p>
    <w:p>
      <w:pPr>
        <w:pStyle w:val="25"/>
        <w:snapToGrid w:val="0"/>
        <w:spacing w:before="120" w:after="120" w:line="400" w:lineRule="exact"/>
        <w:ind w:firstLine="420" w:firstLineChars="200"/>
        <w:rPr>
          <w:rFonts w:hAnsi="宋体"/>
          <w:color w:val="auto"/>
          <w:highlight w:val="none"/>
        </w:rPr>
      </w:pPr>
      <w:r>
        <w:rPr>
          <w:rFonts w:hint="eastAsia" w:hAnsi="宋体"/>
          <w:color w:val="auto"/>
          <w:highlight w:val="none"/>
        </w:rPr>
        <w:t>4. 对技术复杂的货物，甲方可以邀请国家认可的专业检测机构参与初步验收和最终验收，并由该机构出具质量检测报告，该检测报告认定的结论可以作为甲方最终验收是否合格的依据，检测所产生的费用由乙方负责。乙方对该检测报告有异议的，由双方另聘请有资质的鉴定机构从新检测鉴定。</w:t>
      </w:r>
    </w:p>
    <w:p>
      <w:pPr>
        <w:pStyle w:val="25"/>
        <w:snapToGrid w:val="0"/>
        <w:spacing w:before="120" w:after="120" w:line="400" w:lineRule="exact"/>
        <w:ind w:firstLine="420" w:firstLineChars="200"/>
        <w:rPr>
          <w:rFonts w:hAnsi="宋体"/>
          <w:color w:val="auto"/>
          <w:highlight w:val="none"/>
        </w:rPr>
      </w:pPr>
      <w:r>
        <w:rPr>
          <w:rFonts w:hint="eastAsia" w:hAnsi="宋体"/>
          <w:color w:val="auto"/>
          <w:highlight w:val="none"/>
        </w:rPr>
        <w:t>5. 验收时乙方必须在现场，验收完毕后由甲乙双方作出验收结果报告；邀请国家认可的专业检测机构参与验收的，验收结果报告在该机构出具质量检测报告后三日内由甲乙双方作出。验收费用由乙方承担。</w:t>
      </w:r>
    </w:p>
    <w:p>
      <w:pPr>
        <w:pStyle w:val="25"/>
        <w:snapToGrid w:val="0"/>
        <w:spacing w:before="120" w:after="120" w:line="400" w:lineRule="exact"/>
        <w:ind w:firstLine="413" w:firstLineChars="196"/>
        <w:rPr>
          <w:rFonts w:hAnsi="宋体"/>
          <w:b/>
          <w:color w:val="auto"/>
          <w:highlight w:val="none"/>
        </w:rPr>
      </w:pPr>
      <w:r>
        <w:rPr>
          <w:rFonts w:hint="eastAsia" w:hAnsi="宋体"/>
          <w:b/>
          <w:color w:val="auto"/>
          <w:highlight w:val="none"/>
        </w:rPr>
        <w:t>第十二条、货物包装、发运及运输</w:t>
      </w:r>
    </w:p>
    <w:p>
      <w:pPr>
        <w:pStyle w:val="25"/>
        <w:snapToGrid w:val="0"/>
        <w:spacing w:before="120" w:after="120" w:line="400" w:lineRule="exact"/>
        <w:ind w:firstLine="359" w:firstLineChars="171"/>
        <w:rPr>
          <w:rFonts w:hAnsi="宋体"/>
          <w:color w:val="auto"/>
          <w:highlight w:val="none"/>
        </w:rPr>
      </w:pPr>
      <w:r>
        <w:rPr>
          <w:rFonts w:hint="eastAsia" w:hAnsi="宋体"/>
          <w:color w:val="auto"/>
          <w:highlight w:val="none"/>
        </w:rPr>
        <w:t>1. 乙方应在货物发运前对其进行满足运输距离、防潮、防震、防锈和防破损装卸等要求包装，以保证货物安全运达甲方指定地点。</w:t>
      </w:r>
    </w:p>
    <w:p>
      <w:pPr>
        <w:pStyle w:val="25"/>
        <w:snapToGrid w:val="0"/>
        <w:spacing w:before="120" w:after="120" w:line="400" w:lineRule="exact"/>
        <w:ind w:left="420" w:leftChars="200"/>
        <w:rPr>
          <w:rFonts w:hAnsi="宋体"/>
          <w:color w:val="auto"/>
          <w:highlight w:val="none"/>
        </w:rPr>
      </w:pPr>
      <w:r>
        <w:rPr>
          <w:rFonts w:hint="eastAsia" w:hAnsi="宋体"/>
          <w:color w:val="auto"/>
          <w:highlight w:val="none"/>
        </w:rPr>
        <w:t>2. 使用说明书、质量检验证明书、随配附件和工具以及清单一并附于货物内。</w:t>
      </w:r>
    </w:p>
    <w:p>
      <w:pPr>
        <w:pStyle w:val="25"/>
        <w:snapToGrid w:val="0"/>
        <w:spacing w:before="120" w:after="120" w:line="400" w:lineRule="exact"/>
        <w:ind w:left="420" w:leftChars="200"/>
        <w:rPr>
          <w:rFonts w:hAnsi="宋体"/>
          <w:color w:val="auto"/>
          <w:highlight w:val="none"/>
        </w:rPr>
      </w:pPr>
      <w:r>
        <w:rPr>
          <w:rFonts w:hint="eastAsia" w:hAnsi="宋体"/>
          <w:color w:val="auto"/>
          <w:highlight w:val="none"/>
        </w:rPr>
        <w:t>3. 乙方在货物发运手续办理完毕后24小时内或货到甲方48小时前通知甲方，以便甲方有充足的时间接货。</w:t>
      </w:r>
    </w:p>
    <w:p>
      <w:pPr>
        <w:pStyle w:val="25"/>
        <w:snapToGrid w:val="0"/>
        <w:spacing w:before="120" w:after="120" w:line="400" w:lineRule="exact"/>
        <w:ind w:left="420" w:leftChars="200"/>
        <w:rPr>
          <w:rFonts w:hAnsi="宋体"/>
          <w:color w:val="auto"/>
          <w:highlight w:val="none"/>
        </w:rPr>
      </w:pPr>
      <w:r>
        <w:rPr>
          <w:rFonts w:hint="eastAsia" w:hAnsi="宋体"/>
          <w:color w:val="auto"/>
          <w:highlight w:val="none"/>
        </w:rPr>
        <w:t>4. 货物在交付甲方前发生的风险均由乙方承担。</w:t>
      </w:r>
    </w:p>
    <w:p>
      <w:pPr>
        <w:pStyle w:val="25"/>
        <w:snapToGrid w:val="0"/>
        <w:spacing w:line="400" w:lineRule="exact"/>
        <w:ind w:right="26" w:firstLine="420" w:firstLineChars="200"/>
        <w:rPr>
          <w:rFonts w:hAnsi="宋体"/>
          <w:color w:val="auto"/>
          <w:spacing w:val="-8"/>
          <w:highlight w:val="none"/>
        </w:rPr>
      </w:pPr>
      <w:r>
        <w:rPr>
          <w:rFonts w:hint="eastAsia" w:hAnsi="宋体"/>
          <w:color w:val="auto"/>
          <w:highlight w:val="none"/>
        </w:rPr>
        <w:t>5. 货</w:t>
      </w:r>
      <w:r>
        <w:rPr>
          <w:rFonts w:hint="eastAsia" w:hAnsi="宋体"/>
          <w:color w:val="auto"/>
          <w:spacing w:val="-8"/>
          <w:highlight w:val="none"/>
        </w:rPr>
        <w:t>物在规定的交付期限内由乙方送达甲方指定的地点并由甲方人员初步验收完毕视为交付。</w:t>
      </w:r>
    </w:p>
    <w:p>
      <w:pPr>
        <w:snapToGrid w:val="0"/>
        <w:spacing w:line="400" w:lineRule="exact"/>
        <w:ind w:firstLine="422" w:firstLineChars="200"/>
        <w:rPr>
          <w:rFonts w:ascii="宋体" w:hAnsi="宋体"/>
          <w:b/>
          <w:color w:val="auto"/>
          <w:highlight w:val="none"/>
        </w:rPr>
      </w:pPr>
      <w:r>
        <w:rPr>
          <w:rFonts w:hint="eastAsia" w:ascii="宋体" w:hAnsi="宋体"/>
          <w:b/>
          <w:color w:val="auto"/>
          <w:highlight w:val="none"/>
        </w:rPr>
        <w:t>第十三条　违约责任</w:t>
      </w:r>
    </w:p>
    <w:p>
      <w:pPr>
        <w:snapToGrid w:val="0"/>
        <w:spacing w:line="400" w:lineRule="exact"/>
        <w:ind w:firstLine="525" w:firstLineChars="250"/>
        <w:rPr>
          <w:rFonts w:ascii="宋体" w:hAnsi="宋体"/>
          <w:color w:val="auto"/>
          <w:highlight w:val="none"/>
        </w:rPr>
      </w:pPr>
      <w:r>
        <w:rPr>
          <w:rFonts w:hint="eastAsia" w:ascii="宋体" w:hAnsi="宋体"/>
          <w:color w:val="auto"/>
          <w:highlight w:val="none"/>
        </w:rPr>
        <w:t xml:space="preserve">1、乙方所提供的货物规格、技术标准、材料等不符合标准的，甲方可不予接收或者甲方同意先行接收但对货物提出异议的，乙方应在约定交付的时间内更换符合标准的产品，乙方未能在约定交付的时间内更换符合标准的产品的，甲方可解除合同，乙方应按照违约合同总额 5%向甲方支付违约金，同时按照质量不合格货物价款的合计金额赔偿甲方经济损失。                                       </w:t>
      </w:r>
    </w:p>
    <w:p>
      <w:pPr>
        <w:snapToGrid w:val="0"/>
        <w:spacing w:line="400" w:lineRule="exact"/>
        <w:ind w:firstLine="472" w:firstLineChars="225"/>
        <w:rPr>
          <w:rFonts w:ascii="宋体" w:hAnsi="宋体"/>
          <w:color w:val="auto"/>
          <w:highlight w:val="none"/>
        </w:rPr>
      </w:pPr>
      <w:r>
        <w:rPr>
          <w:rFonts w:hint="eastAsia" w:ascii="宋体" w:hAnsi="宋体"/>
          <w:color w:val="auto"/>
          <w:highlight w:val="none"/>
        </w:rPr>
        <w:t>2、乙方提供的货物侵犯了第三方权益而引起的任何纠纷或诉讼，均由乙方负责交涉或应诉，造成甲方由此纠纷而产生的责任、损失、费用由乙方全部承担。</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 xml:space="preserve">3、因包装、运输引起的货物损坏，按质量不合格处理，由乙方在合同约定的时间内予以从新更换，乙方未能在约定交付的时间内更换的，甲方可解除合同，乙方应按照违约合同总额 5%向甲方支付违约金，同时按照质量不合格货物价款的合计金额赔偿甲方经济损失。                             </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4、甲方无故延期验收、乙方逾期交货的，无过错方可解除合同，违约方每日向对方支付违约货款额3‰违约金，但违约金累计金额不得超过合同总额5%。</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5、乙方未按本合同和投标文件中规定的服务承诺提供售后服务，甲方要求乙方提供售后服务，经甲方二次书面通知或者乙方累计二次以上不提供或者延期提供售后服务的，甲方可自行聘请其他公司提供服务并由乙方承担相关费用，同时乙方应按本合同合同总额 5%向甲方支付违约金。</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6、乙方提供的货物在质量保证期内，因设计、工艺或材料的缺陷和其它质量原因造成的问题，由乙方负责赔偿，甲方不再退还质量保证金。</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7、其它违约行为由违约方按违约合同总额5%支付违约金，造成损失的由违约方赔偿经济损失。</w:t>
      </w:r>
    </w:p>
    <w:p>
      <w:pPr>
        <w:pStyle w:val="25"/>
        <w:snapToGrid w:val="0"/>
        <w:spacing w:before="120" w:after="120" w:line="400" w:lineRule="exact"/>
        <w:ind w:firstLine="413" w:firstLineChars="196"/>
        <w:rPr>
          <w:rFonts w:hAnsi="宋体"/>
          <w:b/>
          <w:color w:val="auto"/>
          <w:highlight w:val="none"/>
        </w:rPr>
      </w:pPr>
      <w:r>
        <w:rPr>
          <w:rFonts w:hint="eastAsia" w:hAnsi="宋体"/>
          <w:b/>
          <w:color w:val="auto"/>
          <w:highlight w:val="none"/>
        </w:rPr>
        <w:t>第十四条、不可抗力事件处理</w:t>
      </w:r>
    </w:p>
    <w:p>
      <w:pPr>
        <w:pStyle w:val="25"/>
        <w:snapToGrid w:val="0"/>
        <w:spacing w:before="120" w:after="120" w:line="400" w:lineRule="exact"/>
        <w:ind w:firstLine="420" w:firstLineChars="200"/>
        <w:rPr>
          <w:rFonts w:hAnsi="宋体"/>
          <w:color w:val="auto"/>
          <w:highlight w:val="none"/>
        </w:rPr>
      </w:pPr>
      <w:r>
        <w:rPr>
          <w:rFonts w:hint="eastAsia" w:hAnsi="宋体"/>
          <w:color w:val="auto"/>
          <w:highlight w:val="none"/>
        </w:rPr>
        <w:t>1. 在合同有效期内，任何一方因不可抗力导致合同无法履行，则合同履行期可延长，其延长期与不可抗力影响期相同。</w:t>
      </w:r>
    </w:p>
    <w:p>
      <w:pPr>
        <w:pStyle w:val="25"/>
        <w:snapToGrid w:val="0"/>
        <w:spacing w:before="120" w:after="120" w:line="400" w:lineRule="exact"/>
        <w:ind w:firstLine="420" w:firstLineChars="200"/>
        <w:rPr>
          <w:rFonts w:hAnsi="宋体"/>
          <w:color w:val="auto"/>
          <w:highlight w:val="none"/>
        </w:rPr>
      </w:pPr>
      <w:r>
        <w:rPr>
          <w:rFonts w:hint="eastAsia" w:hAnsi="宋体"/>
          <w:color w:val="auto"/>
          <w:highlight w:val="none"/>
        </w:rPr>
        <w:t>2. 不可抗力事件发生后，应立即电话或书面通知对方。</w:t>
      </w:r>
    </w:p>
    <w:p>
      <w:pPr>
        <w:pStyle w:val="25"/>
        <w:snapToGrid w:val="0"/>
        <w:spacing w:before="120" w:after="120" w:line="400" w:lineRule="exact"/>
        <w:ind w:firstLine="420" w:firstLineChars="200"/>
        <w:rPr>
          <w:rFonts w:hAnsi="宋体"/>
          <w:color w:val="auto"/>
          <w:highlight w:val="none"/>
        </w:rPr>
      </w:pPr>
      <w:r>
        <w:rPr>
          <w:rFonts w:hint="eastAsia" w:hAnsi="宋体"/>
          <w:color w:val="auto"/>
          <w:highlight w:val="none"/>
        </w:rPr>
        <w:t>3. 不可抗力事件延续120天以上，双方可通过友好协商，确定是否继续履行合同。</w:t>
      </w:r>
    </w:p>
    <w:p>
      <w:pPr>
        <w:snapToGrid w:val="0"/>
        <w:spacing w:line="400" w:lineRule="exact"/>
        <w:ind w:firstLine="422" w:firstLineChars="200"/>
        <w:rPr>
          <w:rFonts w:ascii="宋体" w:hAnsi="宋体"/>
          <w:color w:val="auto"/>
          <w:highlight w:val="none"/>
        </w:rPr>
      </w:pPr>
      <w:r>
        <w:rPr>
          <w:rFonts w:hint="eastAsia" w:ascii="宋体" w:hAnsi="宋体"/>
          <w:b/>
          <w:color w:val="auto"/>
          <w:highlight w:val="none"/>
        </w:rPr>
        <w:t>第十五条  合同争议解决</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1、因货物质量问题发生争议的，应聘请国家认可的质量检测机构对货物质量进行鉴定。货物符合标准的，鉴定费由甲方承担；货物不符合标准的，鉴定费由乙方承担，并按照违约责任处理。</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2、因履行本合同引起的或与本合同有关的争议，甲乙双方应首先通过友好协商解决，协商一致的可以签订补充协议；如果协商不能解决，应向甲方所在地人民法院提起诉讼。</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3、诉讼期间，本合同继续履行。</w:t>
      </w:r>
    </w:p>
    <w:p>
      <w:pPr>
        <w:pStyle w:val="25"/>
        <w:snapToGrid w:val="0"/>
        <w:spacing w:before="120" w:after="120" w:line="400" w:lineRule="exact"/>
        <w:ind w:left="561" w:leftChars="267"/>
        <w:rPr>
          <w:rFonts w:hAnsi="宋体"/>
          <w:b/>
          <w:color w:val="auto"/>
          <w:highlight w:val="none"/>
        </w:rPr>
      </w:pPr>
      <w:r>
        <w:rPr>
          <w:rFonts w:hint="eastAsia" w:hAnsi="宋体"/>
          <w:vanish/>
          <w:color w:val="auto"/>
          <w:highlight w:val="none"/>
        </w:rPr>
        <w:br w:type="textWrapping"/>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vanish/>
          <w:color w:val="auto"/>
          <w:highlight w:val="none"/>
        </w:rPr>
        <w:pgNum/>
      </w:r>
      <w:r>
        <w:rPr>
          <w:rFonts w:hint="eastAsia" w:hAnsi="宋体"/>
          <w:b/>
          <w:color w:val="auto"/>
          <w:highlight w:val="none"/>
        </w:rPr>
        <w:t>第十六条、合同生效及其它</w:t>
      </w:r>
    </w:p>
    <w:p>
      <w:pPr>
        <w:pStyle w:val="25"/>
        <w:snapToGrid w:val="0"/>
        <w:spacing w:before="120" w:after="120" w:line="400" w:lineRule="exact"/>
        <w:ind w:firstLine="420" w:firstLineChars="200"/>
        <w:rPr>
          <w:rFonts w:hAnsi="宋体"/>
          <w:color w:val="auto"/>
          <w:highlight w:val="none"/>
        </w:rPr>
      </w:pPr>
      <w:r>
        <w:rPr>
          <w:rFonts w:hint="eastAsia" w:hAnsi="宋体"/>
          <w:color w:val="auto"/>
          <w:highlight w:val="none"/>
        </w:rPr>
        <w:t>1、合同经双方法定代表人或法定代表人授权的代表签字并加盖法人公章后生效。被委托人必须提供相应的身份证明文件复印件和加盖法人印章的授权委托书。</w:t>
      </w:r>
    </w:p>
    <w:p>
      <w:pPr>
        <w:pStyle w:val="25"/>
        <w:snapToGrid w:val="0"/>
        <w:spacing w:before="120" w:after="120" w:line="400" w:lineRule="exact"/>
        <w:ind w:firstLine="556" w:firstLineChars="265"/>
        <w:rPr>
          <w:rFonts w:hAnsi="宋体"/>
          <w:color w:val="auto"/>
          <w:highlight w:val="none"/>
        </w:rPr>
      </w:pPr>
      <w:r>
        <w:rPr>
          <w:rFonts w:hint="eastAsia" w:hAnsi="宋体"/>
          <w:color w:val="auto"/>
          <w:highlight w:val="none"/>
        </w:rPr>
        <w:t>2．合同执行中涉及采购资金和采购内容修改或补充的，须经财政部门审批，并签书面补充协议报财政部门备案，方可作为主合同不可分割的一部分。</w:t>
      </w:r>
    </w:p>
    <w:p>
      <w:pPr>
        <w:pStyle w:val="25"/>
        <w:snapToGrid w:val="0"/>
        <w:spacing w:before="120" w:after="120" w:line="400" w:lineRule="exact"/>
        <w:ind w:left="561" w:leftChars="267"/>
        <w:rPr>
          <w:rFonts w:hAnsi="宋体"/>
          <w:color w:val="auto"/>
          <w:highlight w:val="none"/>
        </w:rPr>
      </w:pPr>
      <w:r>
        <w:rPr>
          <w:rFonts w:hint="eastAsia" w:hAnsi="宋体"/>
          <w:color w:val="auto"/>
          <w:highlight w:val="none"/>
        </w:rPr>
        <w:t>3．本合同未尽事宜，遵照《中华人民共和国合同法》有关规定执行。</w:t>
      </w:r>
    </w:p>
    <w:p>
      <w:pPr>
        <w:snapToGrid w:val="0"/>
        <w:spacing w:line="400" w:lineRule="exact"/>
        <w:ind w:firstLine="422" w:firstLineChars="200"/>
        <w:rPr>
          <w:rFonts w:ascii="宋体" w:hAnsi="宋体"/>
          <w:b/>
          <w:color w:val="auto"/>
          <w:highlight w:val="none"/>
        </w:rPr>
      </w:pPr>
      <w:r>
        <w:rPr>
          <w:rFonts w:hint="eastAsia" w:ascii="宋体" w:hAnsi="宋体"/>
          <w:b/>
          <w:color w:val="auto"/>
          <w:highlight w:val="none"/>
        </w:rPr>
        <w:t>第十七条　合同的变更、终止与转让</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1、除《中华人民共和国政府采购法》第50条规定的情形外，本合同一经签订，甲乙双方不得擅自变更、中止或终止。</w:t>
      </w:r>
    </w:p>
    <w:p>
      <w:pPr>
        <w:pStyle w:val="25"/>
        <w:snapToGrid w:val="0"/>
        <w:spacing w:before="120" w:after="120" w:line="400" w:lineRule="exact"/>
        <w:ind w:firstLine="411" w:firstLineChars="196"/>
        <w:rPr>
          <w:rFonts w:hAnsi="宋体"/>
          <w:color w:val="auto"/>
          <w:highlight w:val="none"/>
        </w:rPr>
      </w:pPr>
      <w:r>
        <w:rPr>
          <w:rFonts w:hint="eastAsia" w:hAnsi="宋体"/>
          <w:color w:val="auto"/>
          <w:highlight w:val="none"/>
        </w:rPr>
        <w:t>2、乙方不得擅自转让其应履行的合同义务（无进口资格的供应商委托进口货物除外）。</w:t>
      </w:r>
    </w:p>
    <w:p>
      <w:pPr>
        <w:snapToGrid w:val="0"/>
        <w:spacing w:line="400" w:lineRule="exact"/>
        <w:ind w:firstLine="422" w:firstLineChars="200"/>
        <w:rPr>
          <w:rFonts w:ascii="宋体" w:hAnsi="宋体"/>
          <w:b/>
          <w:color w:val="auto"/>
          <w:highlight w:val="none"/>
        </w:rPr>
      </w:pPr>
      <w:r>
        <w:rPr>
          <w:rFonts w:hint="eastAsia" w:ascii="宋体" w:hAnsi="宋体"/>
          <w:b/>
          <w:color w:val="auto"/>
          <w:highlight w:val="none"/>
        </w:rPr>
        <w:t>第十八条　签订本合同所依据的文件</w:t>
      </w:r>
    </w:p>
    <w:p>
      <w:pPr>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rPr>
        <w:t>1、政府采购招标文件；2、乙方提供的投标文件；3、投标承诺书；4、中标或成交通知书。</w:t>
      </w:r>
    </w:p>
    <w:p>
      <w:pPr>
        <w:snapToGrid w:val="0"/>
        <w:spacing w:line="400" w:lineRule="exact"/>
        <w:ind w:firstLine="422" w:firstLineChars="200"/>
        <w:rPr>
          <w:rFonts w:ascii="宋体" w:hAnsi="宋体"/>
          <w:color w:val="auto"/>
          <w:highlight w:val="none"/>
        </w:rPr>
      </w:pPr>
      <w:r>
        <w:rPr>
          <w:rFonts w:hint="eastAsia" w:ascii="宋体" w:hAnsi="宋体"/>
          <w:b/>
          <w:color w:val="auto"/>
          <w:highlight w:val="none"/>
        </w:rPr>
        <w:t>第十九条　</w:t>
      </w:r>
      <w:r>
        <w:rPr>
          <w:rFonts w:hint="eastAsia" w:ascii="宋体" w:hAnsi="宋体"/>
          <w:color w:val="auto"/>
          <w:highlight w:val="none"/>
        </w:rPr>
        <w:t>本合同一式七份，具有同等法律效力，财政部门（政府采购监管部门）、采购代理机构、甲方执三份、乙执二份。</w:t>
      </w:r>
    </w:p>
    <w:p>
      <w:pPr>
        <w:snapToGrid w:val="0"/>
        <w:spacing w:line="400" w:lineRule="exact"/>
        <w:ind w:firstLine="420" w:firstLineChars="200"/>
        <w:rPr>
          <w:rFonts w:ascii="宋体" w:hAnsi="宋体"/>
          <w:color w:val="auto"/>
          <w:highlight w:val="none"/>
        </w:rPr>
      </w:pPr>
      <w:r>
        <w:rPr>
          <w:rFonts w:hint="eastAsia" w:ascii="宋体" w:hAnsi="宋体"/>
          <w:color w:val="auto"/>
          <w:highlight w:val="none"/>
        </w:rPr>
        <w:t>本合同甲乙双方签字盖章后生效，自签订之日起七个工作日内，采购人或采购代理机构应当将合同副本报同级财政部门备案。</w:t>
      </w:r>
    </w:p>
    <w:tbl>
      <w:tblPr>
        <w:tblStyle w:val="47"/>
        <w:tblW w:w="903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 xml:space="preserve">甲方（章）           </w:t>
            </w:r>
          </w:p>
          <w:p>
            <w:pPr>
              <w:snapToGrid w:val="0"/>
              <w:spacing w:line="400" w:lineRule="exact"/>
              <w:rPr>
                <w:rFonts w:ascii="宋体" w:hAnsi="宋体"/>
                <w:color w:val="auto"/>
                <w:highlight w:val="none"/>
              </w:rPr>
            </w:pPr>
          </w:p>
          <w:p>
            <w:pPr>
              <w:snapToGrid w:val="0"/>
              <w:spacing w:line="400" w:lineRule="exact"/>
              <w:rPr>
                <w:rFonts w:ascii="宋体" w:hAnsi="宋体"/>
                <w:color w:val="auto"/>
                <w:highlight w:val="none"/>
              </w:rPr>
            </w:pPr>
          </w:p>
          <w:p>
            <w:pPr>
              <w:snapToGrid w:val="0"/>
              <w:spacing w:line="400" w:lineRule="exact"/>
              <w:ind w:firstLine="945" w:firstLineChars="450"/>
              <w:jc w:val="right"/>
              <w:rPr>
                <w:rFonts w:ascii="宋体" w:hAnsi="宋体"/>
                <w:color w:val="auto"/>
                <w:highlight w:val="none"/>
              </w:rPr>
            </w:pPr>
            <w:r>
              <w:rPr>
                <w:rFonts w:hint="eastAsia" w:ascii="宋体" w:hAnsi="宋体"/>
                <w:color w:val="auto"/>
                <w:highlight w:val="none"/>
              </w:rPr>
              <w:t>年   月   日</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 xml:space="preserve">乙方（章）              </w:t>
            </w:r>
          </w:p>
          <w:p>
            <w:pPr>
              <w:snapToGrid w:val="0"/>
              <w:spacing w:line="400" w:lineRule="exact"/>
              <w:rPr>
                <w:rFonts w:ascii="宋体" w:hAnsi="宋体"/>
                <w:color w:val="auto"/>
                <w:highlight w:val="none"/>
              </w:rPr>
            </w:pPr>
          </w:p>
          <w:p>
            <w:pPr>
              <w:snapToGrid w:val="0"/>
              <w:spacing w:line="400" w:lineRule="exact"/>
              <w:rPr>
                <w:rFonts w:ascii="宋体" w:hAnsi="宋体"/>
                <w:color w:val="auto"/>
                <w:highlight w:val="none"/>
              </w:rPr>
            </w:pPr>
          </w:p>
          <w:p>
            <w:pPr>
              <w:snapToGrid w:val="0"/>
              <w:spacing w:line="400" w:lineRule="exact"/>
              <w:jc w:val="right"/>
              <w:rPr>
                <w:rFonts w:ascii="宋体" w:hAnsi="宋体"/>
                <w:color w:val="auto"/>
                <w:highlight w:val="none"/>
              </w:rPr>
            </w:pPr>
            <w:r>
              <w:rPr>
                <w:rFonts w:hint="eastAsia" w:ascii="宋体" w:hAnsi="宋体"/>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单位地址：</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法定代表人：</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委托代理人：                 年  月  日</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委托代理人：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电话：</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电子邮箱：</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 xml:space="preserve">开户银行： </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账号：</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邮政编码：</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033" w:type="dxa"/>
            <w:gridSpan w:val="2"/>
            <w:vAlign w:val="center"/>
          </w:tcPr>
          <w:p>
            <w:pPr>
              <w:snapToGrid w:val="0"/>
              <w:spacing w:line="400" w:lineRule="exact"/>
              <w:rPr>
                <w:rFonts w:ascii="宋体" w:hAnsi="宋体"/>
                <w:color w:val="auto"/>
                <w:highlight w:val="none"/>
              </w:rPr>
            </w:pPr>
            <w:r>
              <w:rPr>
                <w:rFonts w:hint="eastAsia" w:ascii="宋体" w:hAnsi="宋体"/>
                <w:color w:val="auto"/>
                <w:highlight w:val="none"/>
              </w:rPr>
              <w:t>经办人：</w:t>
            </w:r>
          </w:p>
          <w:p>
            <w:pPr>
              <w:snapToGrid w:val="0"/>
              <w:spacing w:line="400" w:lineRule="exact"/>
              <w:rPr>
                <w:rFonts w:ascii="宋体" w:hAnsi="宋体"/>
                <w:color w:val="auto"/>
                <w:highlight w:val="none"/>
              </w:rPr>
            </w:pPr>
          </w:p>
          <w:p>
            <w:pPr>
              <w:snapToGrid w:val="0"/>
              <w:spacing w:line="400" w:lineRule="exact"/>
              <w:rPr>
                <w:rFonts w:ascii="宋体" w:hAnsi="宋体"/>
                <w:color w:val="auto"/>
                <w:highlight w:val="none"/>
              </w:rPr>
            </w:pPr>
          </w:p>
        </w:tc>
      </w:tr>
    </w:tbl>
    <w:p>
      <w:pPr>
        <w:snapToGrid w:val="0"/>
        <w:spacing w:line="400" w:lineRule="exact"/>
        <w:jc w:val="center"/>
        <w:rPr>
          <w:rFonts w:ascii="宋体" w:hAnsi="宋体"/>
          <w:b/>
          <w:color w:val="auto"/>
          <w:sz w:val="36"/>
          <w:szCs w:val="36"/>
          <w:highlight w:val="none"/>
        </w:rPr>
      </w:pPr>
      <w:r>
        <w:rPr>
          <w:rFonts w:ascii="宋体" w:hAnsi="宋体"/>
          <w:color w:val="auto"/>
          <w:szCs w:val="21"/>
          <w:highlight w:val="none"/>
        </w:rPr>
        <w:br w:type="page"/>
      </w:r>
      <w:r>
        <w:rPr>
          <w:rFonts w:hint="eastAsia" w:ascii="宋体" w:hAnsi="宋体"/>
          <w:b/>
          <w:color w:val="auto"/>
          <w:sz w:val="36"/>
          <w:szCs w:val="36"/>
          <w:highlight w:val="none"/>
        </w:rPr>
        <w:t>合 同 附 件</w:t>
      </w:r>
    </w:p>
    <w:p>
      <w:pPr>
        <w:snapToGrid w:val="0"/>
        <w:spacing w:line="400" w:lineRule="exact"/>
        <w:rPr>
          <w:rFonts w:ascii="宋体" w:hAnsi="宋体"/>
          <w:color w:val="auto"/>
          <w:szCs w:val="21"/>
          <w:highlight w:val="none"/>
        </w:rPr>
      </w:pPr>
    </w:p>
    <w:tbl>
      <w:tblPr>
        <w:tblStyle w:val="4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spacing w:line="400" w:lineRule="exact"/>
              <w:rPr>
                <w:rFonts w:ascii="宋体" w:hAnsi="宋体"/>
                <w:snapToGrid w:val="0"/>
                <w:color w:val="auto"/>
                <w:kern w:val="0"/>
                <w:szCs w:val="21"/>
                <w:highlight w:val="none"/>
              </w:rPr>
            </w:pPr>
          </w:p>
          <w:p>
            <w:pPr>
              <w:snapToGrid w:val="0"/>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spacing w:line="400" w:lineRule="exact"/>
              <w:rPr>
                <w:rFonts w:ascii="宋体" w:hAnsi="宋体"/>
                <w:snapToGrid w:val="0"/>
                <w:color w:val="auto"/>
                <w:kern w:val="0"/>
                <w:szCs w:val="21"/>
                <w:highlight w:val="none"/>
              </w:rPr>
            </w:pPr>
          </w:p>
          <w:p>
            <w:pPr>
              <w:snapToGrid w:val="0"/>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spacing w:line="400" w:lineRule="exact"/>
              <w:rPr>
                <w:rFonts w:ascii="宋体" w:hAnsi="宋体"/>
                <w:snapToGrid w:val="0"/>
                <w:color w:val="auto"/>
                <w:kern w:val="0"/>
                <w:szCs w:val="21"/>
                <w:highlight w:val="none"/>
              </w:rPr>
            </w:pPr>
          </w:p>
          <w:p>
            <w:pPr>
              <w:pStyle w:val="25"/>
              <w:snapToGrid w:val="0"/>
              <w:spacing w:before="120" w:after="120" w:line="400" w:lineRule="exact"/>
              <w:ind w:firstLine="420" w:firstLineChars="200"/>
              <w:rPr>
                <w:rFonts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spacing w:line="400" w:lineRule="exact"/>
              <w:rPr>
                <w:rFonts w:ascii="宋体" w:hAnsi="宋体"/>
                <w:snapToGrid w:val="0"/>
                <w:color w:val="auto"/>
                <w:kern w:val="0"/>
                <w:szCs w:val="21"/>
                <w:highlight w:val="none"/>
              </w:rPr>
            </w:pPr>
          </w:p>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15" w:type="dxa"/>
            <w:vAlign w:val="center"/>
          </w:tcPr>
          <w:p>
            <w:pPr>
              <w:spacing w:line="400" w:lineRule="exact"/>
              <w:ind w:firstLine="482"/>
              <w:rPr>
                <w:rFonts w:ascii="宋体" w:hAnsi="宋体"/>
                <w:color w:val="auto"/>
                <w:szCs w:val="21"/>
                <w:highlight w:val="none"/>
              </w:rPr>
            </w:pPr>
            <w:r>
              <w:rPr>
                <w:rFonts w:hint="eastAsia" w:ascii="宋体" w:hAnsi="宋体"/>
                <w:color w:val="auto"/>
                <w:szCs w:val="21"/>
                <w:highlight w:val="none"/>
              </w:rPr>
              <w:t>甲方（章）</w:t>
            </w:r>
          </w:p>
          <w:p>
            <w:pPr>
              <w:spacing w:line="400" w:lineRule="exact"/>
              <w:ind w:firstLine="482"/>
              <w:rPr>
                <w:rFonts w:ascii="宋体" w:hAnsi="宋体"/>
                <w:color w:val="auto"/>
                <w:szCs w:val="21"/>
                <w:highlight w:val="none"/>
              </w:rPr>
            </w:pPr>
          </w:p>
          <w:p>
            <w:pPr>
              <w:spacing w:line="400" w:lineRule="exact"/>
              <w:ind w:firstLine="482"/>
              <w:rPr>
                <w:rFonts w:ascii="宋体" w:hAnsi="宋体"/>
                <w:color w:val="auto"/>
                <w:szCs w:val="21"/>
                <w:highlight w:val="none"/>
              </w:rPr>
            </w:pPr>
          </w:p>
          <w:p>
            <w:pPr>
              <w:spacing w:line="400" w:lineRule="exact"/>
              <w:ind w:firstLine="482"/>
              <w:rPr>
                <w:rFonts w:ascii="宋体" w:hAnsi="宋体"/>
                <w:color w:val="auto"/>
                <w:szCs w:val="21"/>
                <w:highlight w:val="none"/>
              </w:rPr>
            </w:pPr>
          </w:p>
          <w:p>
            <w:pPr>
              <w:spacing w:line="400" w:lineRule="exact"/>
              <w:ind w:firstLine="482"/>
              <w:rPr>
                <w:rFonts w:ascii="宋体" w:hAnsi="宋体"/>
                <w:color w:val="auto"/>
                <w:szCs w:val="21"/>
                <w:highlight w:val="none"/>
              </w:rPr>
            </w:pPr>
          </w:p>
          <w:p>
            <w:pPr>
              <w:spacing w:line="400" w:lineRule="exact"/>
              <w:ind w:firstLine="482"/>
              <w:rPr>
                <w:rFonts w:ascii="宋体" w:hAnsi="宋体"/>
                <w:color w:val="auto"/>
                <w:szCs w:val="21"/>
                <w:highlight w:val="none"/>
              </w:rPr>
            </w:pPr>
          </w:p>
          <w:p>
            <w:pPr>
              <w:spacing w:line="400" w:lineRule="exact"/>
              <w:ind w:firstLine="482"/>
              <w:rPr>
                <w:rFonts w:ascii="宋体" w:hAnsi="宋体"/>
                <w:color w:val="auto"/>
                <w:szCs w:val="21"/>
                <w:highlight w:val="none"/>
              </w:rPr>
            </w:pPr>
          </w:p>
          <w:p>
            <w:pPr>
              <w:spacing w:line="400" w:lineRule="exact"/>
              <w:ind w:firstLine="482"/>
              <w:rPr>
                <w:rFonts w:ascii="宋体" w:hAnsi="宋体"/>
                <w:color w:val="auto"/>
                <w:szCs w:val="21"/>
                <w:highlight w:val="none"/>
              </w:rPr>
            </w:pPr>
            <w:r>
              <w:rPr>
                <w:rFonts w:hint="eastAsia" w:ascii="宋体" w:hAnsi="宋体"/>
                <w:color w:val="auto"/>
                <w:szCs w:val="21"/>
                <w:highlight w:val="none"/>
              </w:rPr>
              <w:t xml:space="preserve">                 年   月   日 </w:t>
            </w:r>
          </w:p>
        </w:tc>
        <w:tc>
          <w:tcPr>
            <w:tcW w:w="4725" w:type="dxa"/>
            <w:vAlign w:val="center"/>
          </w:tcPr>
          <w:p>
            <w:pPr>
              <w:spacing w:line="400" w:lineRule="exact"/>
              <w:ind w:firstLine="482"/>
              <w:rPr>
                <w:rFonts w:ascii="宋体" w:hAnsi="宋体"/>
                <w:color w:val="auto"/>
                <w:szCs w:val="21"/>
                <w:highlight w:val="none"/>
              </w:rPr>
            </w:pPr>
            <w:r>
              <w:rPr>
                <w:rFonts w:hint="eastAsia" w:ascii="宋体" w:hAnsi="宋体"/>
                <w:color w:val="auto"/>
                <w:szCs w:val="21"/>
                <w:highlight w:val="none"/>
              </w:rPr>
              <w:t>乙方（章）</w:t>
            </w:r>
          </w:p>
          <w:p>
            <w:pPr>
              <w:spacing w:line="400" w:lineRule="exact"/>
              <w:ind w:firstLine="482"/>
              <w:rPr>
                <w:rFonts w:ascii="宋体" w:hAnsi="宋体"/>
                <w:color w:val="auto"/>
                <w:szCs w:val="21"/>
                <w:highlight w:val="none"/>
              </w:rPr>
            </w:pPr>
          </w:p>
          <w:p>
            <w:pPr>
              <w:spacing w:line="400" w:lineRule="exact"/>
              <w:ind w:firstLine="482"/>
              <w:rPr>
                <w:rFonts w:ascii="宋体" w:hAnsi="宋体"/>
                <w:color w:val="auto"/>
                <w:szCs w:val="21"/>
                <w:highlight w:val="none"/>
              </w:rPr>
            </w:pPr>
          </w:p>
          <w:p>
            <w:pPr>
              <w:spacing w:line="400" w:lineRule="exact"/>
              <w:ind w:firstLine="482"/>
              <w:rPr>
                <w:rFonts w:ascii="宋体" w:hAnsi="宋体"/>
                <w:color w:val="auto"/>
                <w:szCs w:val="21"/>
                <w:highlight w:val="none"/>
              </w:rPr>
            </w:pPr>
          </w:p>
          <w:p>
            <w:pPr>
              <w:spacing w:line="400" w:lineRule="exact"/>
              <w:ind w:firstLine="482"/>
              <w:rPr>
                <w:rFonts w:ascii="宋体" w:hAnsi="宋体"/>
                <w:color w:val="auto"/>
                <w:szCs w:val="21"/>
                <w:highlight w:val="none"/>
              </w:rPr>
            </w:pPr>
          </w:p>
          <w:p>
            <w:pPr>
              <w:spacing w:line="400" w:lineRule="exact"/>
              <w:ind w:firstLine="482"/>
              <w:rPr>
                <w:rFonts w:ascii="宋体" w:hAnsi="宋体"/>
                <w:color w:val="auto"/>
                <w:szCs w:val="21"/>
                <w:highlight w:val="none"/>
              </w:rPr>
            </w:pPr>
          </w:p>
          <w:p>
            <w:pPr>
              <w:spacing w:line="400" w:lineRule="exact"/>
              <w:ind w:firstLine="482"/>
              <w:rPr>
                <w:rFonts w:ascii="宋体" w:hAnsi="宋体"/>
                <w:color w:val="auto"/>
                <w:szCs w:val="21"/>
                <w:highlight w:val="none"/>
              </w:rPr>
            </w:pPr>
          </w:p>
          <w:p>
            <w:pPr>
              <w:spacing w:line="400" w:lineRule="exact"/>
              <w:ind w:firstLine="482"/>
              <w:rPr>
                <w:rFonts w:ascii="宋体" w:hAnsi="宋体"/>
                <w:color w:val="auto"/>
                <w:szCs w:val="21"/>
                <w:highlight w:val="none"/>
              </w:rPr>
            </w:pPr>
            <w:r>
              <w:rPr>
                <w:rFonts w:hint="eastAsia" w:ascii="宋体" w:hAnsi="宋体"/>
                <w:color w:val="auto"/>
                <w:szCs w:val="21"/>
                <w:highlight w:val="none"/>
              </w:rPr>
              <w:t xml:space="preserve">                年   月   日</w:t>
            </w:r>
          </w:p>
        </w:tc>
      </w:tr>
    </w:tbl>
    <w:p>
      <w:pPr>
        <w:snapToGrid w:val="0"/>
        <w:spacing w:line="400" w:lineRule="exact"/>
        <w:rPr>
          <w:rFonts w:ascii="宋体" w:hAnsi="宋体"/>
          <w:color w:val="auto"/>
          <w:szCs w:val="21"/>
          <w:highlight w:val="none"/>
        </w:rPr>
      </w:pPr>
    </w:p>
    <w:p>
      <w:pPr>
        <w:snapToGrid w:val="0"/>
        <w:spacing w:line="400" w:lineRule="exact"/>
        <w:rPr>
          <w:rFonts w:ascii="宋体" w:hAnsi="宋体"/>
          <w:color w:val="auto"/>
          <w:szCs w:val="21"/>
          <w:highlight w:val="none"/>
        </w:rPr>
      </w:pPr>
      <w:r>
        <w:rPr>
          <w:rFonts w:hint="eastAsia" w:ascii="宋体" w:hAnsi="宋体"/>
          <w:color w:val="auto"/>
          <w:szCs w:val="21"/>
          <w:highlight w:val="none"/>
        </w:rPr>
        <w:t>注：售后服务事项填不下时可另加附页</w:t>
      </w:r>
    </w:p>
    <w:p>
      <w:pPr>
        <w:pStyle w:val="25"/>
        <w:snapToGrid w:val="0"/>
        <w:spacing w:before="120" w:after="120"/>
        <w:outlineLvl w:val="9"/>
        <w:rPr>
          <w:rFonts w:hAnsi="宋体"/>
          <w:b/>
          <w:color w:val="auto"/>
          <w:sz w:val="32"/>
          <w:szCs w:val="32"/>
          <w:highlight w:val="none"/>
        </w:rPr>
      </w:pPr>
    </w:p>
    <w:p>
      <w:pPr>
        <w:pStyle w:val="3"/>
        <w:spacing w:line="600" w:lineRule="exact"/>
        <w:rPr>
          <w:color w:val="auto"/>
          <w:highlight w:val="none"/>
        </w:rPr>
      </w:pPr>
      <w:bookmarkStart w:id="71" w:name="_Toc432155780"/>
      <w:bookmarkStart w:id="72" w:name="_Toc28698"/>
      <w:bookmarkStart w:id="73" w:name="_Toc23903"/>
      <w:bookmarkStart w:id="74" w:name="_Toc13355"/>
      <w:bookmarkStart w:id="75" w:name="_Toc12511"/>
      <w:bookmarkStart w:id="76" w:name="_Toc22463_WPSOffice_Level1"/>
      <w:r>
        <w:rPr>
          <w:rFonts w:hint="eastAsia"/>
          <w:color w:val="auto"/>
          <w:highlight w:val="none"/>
        </w:rPr>
        <w:t>第六章　投标文件格式</w:t>
      </w:r>
      <w:bookmarkEnd w:id="71"/>
      <w:bookmarkEnd w:id="72"/>
      <w:bookmarkEnd w:id="73"/>
      <w:bookmarkEnd w:id="74"/>
      <w:bookmarkEnd w:id="75"/>
      <w:bookmarkEnd w:id="76"/>
    </w:p>
    <w:p>
      <w:pPr>
        <w:pStyle w:val="25"/>
        <w:snapToGrid w:val="0"/>
        <w:spacing w:before="120" w:after="120"/>
        <w:outlineLvl w:val="9"/>
        <w:rPr>
          <w:rFonts w:hAnsi="宋体"/>
          <w:b/>
          <w:color w:val="auto"/>
          <w:highlight w:val="none"/>
        </w:rPr>
      </w:pPr>
    </w:p>
    <w:p>
      <w:pPr>
        <w:pStyle w:val="25"/>
        <w:snapToGrid w:val="0"/>
        <w:spacing w:before="120" w:after="120"/>
        <w:rPr>
          <w:rFonts w:hAnsi="宋体"/>
          <w:b/>
          <w:color w:val="auto"/>
          <w:highlight w:val="none"/>
        </w:rPr>
      </w:pPr>
      <w:r>
        <w:rPr>
          <w:rFonts w:hint="eastAsia" w:hAnsi="宋体"/>
          <w:b/>
          <w:color w:val="auto"/>
          <w:highlight w:val="none"/>
        </w:rPr>
        <w:t>一、投标文件外层包装封面及投标文件外封面格式</w:t>
      </w:r>
    </w:p>
    <w:p>
      <w:pPr>
        <w:pStyle w:val="25"/>
        <w:snapToGrid w:val="0"/>
        <w:spacing w:before="120" w:after="120"/>
        <w:rPr>
          <w:rFonts w:hAnsi="宋体"/>
          <w:b/>
          <w:color w:val="auto"/>
          <w:highlight w:val="none"/>
        </w:rPr>
      </w:pPr>
      <w:r>
        <w:rPr>
          <w:rFonts w:hint="eastAsia" w:hAnsi="宋体"/>
          <w:b/>
          <w:color w:val="auto"/>
          <w:highlight w:val="none"/>
        </w:rPr>
        <w:t>1.1 所有投标文件的外包装封面格式：</w:t>
      </w:r>
    </w:p>
    <w:p>
      <w:pPr>
        <w:snapToGrid w:val="0"/>
        <w:spacing w:before="120" w:beforeLines="50" w:after="50"/>
        <w:rPr>
          <w:rFonts w:ascii="宋体" w:hAnsi="宋体"/>
          <w:color w:val="auto"/>
          <w:szCs w:val="21"/>
          <w:highlight w:val="none"/>
        </w:rPr>
      </w:pPr>
    </w:p>
    <w:p>
      <w:pPr>
        <w:snapToGrid w:val="0"/>
        <w:spacing w:before="120" w:beforeLines="50" w:after="50"/>
        <w:jc w:val="center"/>
        <w:rPr>
          <w:rFonts w:ascii="宋体" w:hAnsi="宋体"/>
          <w:bCs/>
          <w:color w:val="auto"/>
          <w:sz w:val="24"/>
          <w:szCs w:val="20"/>
          <w:highlight w:val="none"/>
        </w:rPr>
      </w:pPr>
    </w:p>
    <w:p>
      <w:pPr>
        <w:snapToGrid w:val="0"/>
        <w:spacing w:before="120" w:beforeLines="50" w:after="50" w:line="600" w:lineRule="exact"/>
        <w:jc w:val="center"/>
        <w:rPr>
          <w:rFonts w:ascii="宋体" w:hAnsi="宋体"/>
          <w:b/>
          <w:bCs/>
          <w:color w:val="auto"/>
          <w:sz w:val="52"/>
          <w:szCs w:val="52"/>
          <w:highlight w:val="none"/>
        </w:rPr>
      </w:pPr>
      <w:r>
        <w:rPr>
          <w:rFonts w:hint="eastAsia" w:ascii="宋体" w:hAnsi="宋体"/>
          <w:b/>
          <w:bCs/>
          <w:color w:val="auto"/>
          <w:sz w:val="52"/>
          <w:szCs w:val="52"/>
          <w:highlight w:val="none"/>
        </w:rPr>
        <w:t>投 标 文 件</w:t>
      </w:r>
    </w:p>
    <w:p>
      <w:pPr>
        <w:snapToGrid w:val="0"/>
        <w:spacing w:before="120" w:beforeLines="50" w:after="50" w:line="360" w:lineRule="auto"/>
        <w:rPr>
          <w:rFonts w:ascii="宋体" w:hAnsi="宋体"/>
          <w:bCs/>
          <w:color w:val="auto"/>
          <w:sz w:val="24"/>
          <w:szCs w:val="20"/>
          <w:highlight w:val="none"/>
        </w:rPr>
      </w:pPr>
    </w:p>
    <w:p>
      <w:pPr>
        <w:snapToGrid w:val="0"/>
        <w:spacing w:before="120" w:beforeLines="50" w:after="50" w:line="360" w:lineRule="auto"/>
        <w:ind w:firstLine="943" w:firstLineChars="393"/>
        <w:rPr>
          <w:rFonts w:ascii="宋体" w:hAnsi="宋体"/>
          <w:bCs/>
          <w:color w:val="auto"/>
          <w:sz w:val="24"/>
          <w:szCs w:val="20"/>
          <w:highlight w:val="none"/>
        </w:rPr>
      </w:pPr>
      <w:r>
        <w:rPr>
          <w:rFonts w:hint="eastAsia" w:ascii="宋体" w:hAnsi="宋体"/>
          <w:bCs/>
          <w:color w:val="auto"/>
          <w:sz w:val="24"/>
          <w:highlight w:val="none"/>
        </w:rPr>
        <w:t>项目名称：</w:t>
      </w:r>
    </w:p>
    <w:p>
      <w:pPr>
        <w:snapToGrid w:val="0"/>
        <w:spacing w:before="120" w:beforeLines="50" w:after="50" w:line="360" w:lineRule="auto"/>
        <w:ind w:firstLine="943" w:firstLineChars="393"/>
        <w:rPr>
          <w:rFonts w:ascii="宋体" w:hAnsi="宋体"/>
          <w:bCs/>
          <w:color w:val="auto"/>
          <w:sz w:val="24"/>
          <w:highlight w:val="none"/>
        </w:rPr>
      </w:pPr>
    </w:p>
    <w:p>
      <w:pPr>
        <w:snapToGrid w:val="0"/>
        <w:spacing w:before="120" w:beforeLines="50" w:after="50" w:line="360" w:lineRule="auto"/>
        <w:ind w:firstLine="943" w:firstLineChars="393"/>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360" w:lineRule="auto"/>
        <w:ind w:firstLine="943" w:firstLineChars="393"/>
        <w:rPr>
          <w:rFonts w:ascii="宋体" w:hAnsi="宋体"/>
          <w:bCs/>
          <w:color w:val="auto"/>
          <w:sz w:val="24"/>
          <w:highlight w:val="none"/>
        </w:rPr>
      </w:pPr>
    </w:p>
    <w:p>
      <w:pPr>
        <w:snapToGrid w:val="0"/>
        <w:spacing w:before="120" w:beforeLines="50" w:after="50" w:line="360" w:lineRule="auto"/>
        <w:ind w:firstLine="943" w:firstLineChars="393"/>
        <w:rPr>
          <w:rFonts w:ascii="宋体" w:hAnsi="宋体"/>
          <w:bCs/>
          <w:color w:val="auto"/>
          <w:sz w:val="24"/>
          <w:highlight w:val="none"/>
        </w:rPr>
      </w:pPr>
      <w:r>
        <w:rPr>
          <w:rFonts w:hint="eastAsia" w:ascii="宋体" w:hAnsi="宋体"/>
          <w:bCs/>
          <w:color w:val="auto"/>
          <w:sz w:val="24"/>
          <w:highlight w:val="none"/>
        </w:rPr>
        <w:t>投标人名称：</w:t>
      </w:r>
    </w:p>
    <w:p>
      <w:pPr>
        <w:pStyle w:val="10"/>
        <w:snapToGrid w:val="0"/>
        <w:spacing w:before="50" w:after="50" w:line="360" w:lineRule="auto"/>
        <w:ind w:firstLine="960" w:firstLineChars="400"/>
        <w:rPr>
          <w:rFonts w:ascii="宋体" w:hAnsi="宋体"/>
          <w:bCs/>
          <w:color w:val="auto"/>
          <w:sz w:val="24"/>
          <w:highlight w:val="none"/>
        </w:rPr>
      </w:pPr>
    </w:p>
    <w:p>
      <w:pPr>
        <w:pStyle w:val="10"/>
        <w:snapToGrid w:val="0"/>
        <w:spacing w:before="50" w:after="50" w:line="360" w:lineRule="auto"/>
        <w:ind w:firstLine="960" w:firstLineChars="400"/>
        <w:rPr>
          <w:rFonts w:ascii="宋体" w:hAnsi="宋体"/>
          <w:bCs/>
          <w:color w:val="auto"/>
          <w:sz w:val="24"/>
          <w:highlight w:val="none"/>
        </w:rPr>
      </w:pPr>
      <w:r>
        <w:rPr>
          <w:rFonts w:hint="eastAsia" w:ascii="宋体" w:hAnsi="宋体"/>
          <w:bCs/>
          <w:color w:val="auto"/>
          <w:sz w:val="24"/>
          <w:highlight w:val="none"/>
        </w:rPr>
        <w:t>投标文件名称：资格/商务文件、技术文件、报价文件、开标一览表</w:t>
      </w:r>
    </w:p>
    <w:p>
      <w:pPr>
        <w:pStyle w:val="10"/>
        <w:snapToGrid w:val="0"/>
        <w:spacing w:before="50" w:after="50" w:line="360" w:lineRule="auto"/>
        <w:ind w:firstLine="960" w:firstLineChars="400"/>
        <w:rPr>
          <w:rFonts w:ascii="宋体" w:hAnsi="宋体"/>
          <w:bCs/>
          <w:color w:val="auto"/>
          <w:sz w:val="24"/>
          <w:highlight w:val="none"/>
        </w:rPr>
      </w:pPr>
    </w:p>
    <w:p>
      <w:pPr>
        <w:pStyle w:val="10"/>
        <w:snapToGrid w:val="0"/>
        <w:spacing w:before="50" w:after="50" w:line="360" w:lineRule="auto"/>
        <w:ind w:firstLine="960" w:firstLineChars="400"/>
        <w:rPr>
          <w:rFonts w:ascii="宋体" w:hAnsi="宋体"/>
          <w:bCs/>
          <w:color w:val="auto"/>
          <w:sz w:val="24"/>
          <w:highlight w:val="none"/>
        </w:rPr>
      </w:pPr>
      <w:r>
        <w:rPr>
          <w:rFonts w:hint="eastAsia" w:ascii="宋体" w:hAnsi="宋体"/>
          <w:bCs/>
          <w:color w:val="auto"/>
          <w:sz w:val="24"/>
          <w:highlight w:val="none"/>
        </w:rPr>
        <w:t>投标人地址：</w:t>
      </w:r>
    </w:p>
    <w:p>
      <w:pPr>
        <w:pStyle w:val="10"/>
        <w:snapToGrid w:val="0"/>
        <w:spacing w:before="50" w:after="50" w:line="360" w:lineRule="auto"/>
        <w:ind w:firstLine="960" w:firstLineChars="400"/>
        <w:rPr>
          <w:rFonts w:ascii="宋体" w:hAnsi="宋体"/>
          <w:bCs/>
          <w:color w:val="auto"/>
          <w:sz w:val="24"/>
          <w:highlight w:val="none"/>
        </w:rPr>
      </w:pPr>
    </w:p>
    <w:p>
      <w:pPr>
        <w:pStyle w:val="10"/>
        <w:snapToGrid w:val="0"/>
        <w:spacing w:before="50" w:after="50" w:line="360" w:lineRule="auto"/>
        <w:ind w:firstLine="964" w:firstLineChars="400"/>
        <w:jc w:val="center"/>
        <w:rPr>
          <w:rFonts w:ascii="宋体" w:hAnsi="宋体"/>
          <w:b/>
          <w:bCs/>
          <w:color w:val="auto"/>
          <w:sz w:val="24"/>
          <w:highlight w:val="none"/>
        </w:rPr>
      </w:pPr>
      <w:r>
        <w:rPr>
          <w:rFonts w:hint="eastAsia" w:ascii="宋体" w:hAnsi="宋体"/>
          <w:b/>
          <w:bCs/>
          <w:color w:val="auto"/>
          <w:sz w:val="24"/>
          <w:highlight w:val="none"/>
        </w:rPr>
        <w:t>开 标 时 启 封</w:t>
      </w:r>
    </w:p>
    <w:p>
      <w:pPr>
        <w:snapToGrid w:val="0"/>
        <w:spacing w:before="120" w:beforeLines="50" w:after="50" w:line="360" w:lineRule="auto"/>
        <w:ind w:firstLine="4080" w:firstLineChars="1700"/>
        <w:rPr>
          <w:rFonts w:ascii="宋体" w:hAnsi="宋体"/>
          <w:bCs/>
          <w:color w:val="auto"/>
          <w:sz w:val="24"/>
          <w:szCs w:val="20"/>
          <w:highlight w:val="none"/>
        </w:rPr>
      </w:pPr>
    </w:p>
    <w:p>
      <w:pPr>
        <w:snapToGrid w:val="0"/>
        <w:spacing w:before="120" w:beforeLines="50" w:after="50" w:line="360" w:lineRule="auto"/>
        <w:ind w:firstLine="645"/>
        <w:jc w:val="center"/>
        <w:rPr>
          <w:rFonts w:ascii="宋体" w:hAnsi="宋体"/>
          <w:bCs/>
          <w:color w:val="auto"/>
          <w:sz w:val="24"/>
          <w:highlight w:val="none"/>
        </w:rPr>
      </w:pPr>
      <w:r>
        <w:rPr>
          <w:rFonts w:hint="eastAsia" w:ascii="宋体" w:hAnsi="宋体"/>
          <w:bCs/>
          <w:color w:val="auto"/>
          <w:sz w:val="24"/>
          <w:highlight w:val="none"/>
        </w:rPr>
        <w:t xml:space="preserve">                        年    月   日</w:t>
      </w:r>
    </w:p>
    <w:p>
      <w:pPr>
        <w:rPr>
          <w:rFonts w:hAnsi="宋体"/>
          <w:b/>
          <w:color w:val="auto"/>
          <w:highlight w:val="none"/>
        </w:rPr>
      </w:pPr>
      <w:r>
        <w:rPr>
          <w:rFonts w:hint="eastAsia"/>
          <w:color w:val="auto"/>
          <w:highlight w:val="none"/>
        </w:rPr>
        <w:br w:type="page"/>
      </w:r>
      <w:r>
        <w:rPr>
          <w:rFonts w:hint="eastAsia" w:hAnsi="宋体"/>
          <w:b/>
          <w:color w:val="auto"/>
          <w:highlight w:val="none"/>
        </w:rPr>
        <w:t>1.2投标文件外封面格式：</w:t>
      </w:r>
    </w:p>
    <w:p>
      <w:pPr>
        <w:rPr>
          <w:rFonts w:ascii="宋体" w:hAnsi="宋体"/>
          <w:color w:val="auto"/>
          <w:szCs w:val="21"/>
          <w:highlight w:val="none"/>
        </w:rPr>
      </w:pPr>
    </w:p>
    <w:p>
      <w:pPr>
        <w:snapToGrid w:val="0"/>
        <w:spacing w:before="120" w:beforeLines="50" w:after="50" w:line="360" w:lineRule="auto"/>
        <w:ind w:right="630"/>
        <w:jc w:val="right"/>
        <w:rPr>
          <w:rFonts w:ascii="宋体" w:hAnsi="宋体"/>
          <w:color w:val="auto"/>
          <w:sz w:val="24"/>
          <w:szCs w:val="20"/>
          <w:highlight w:val="none"/>
        </w:rPr>
      </w:pPr>
      <w:r>
        <w:rPr>
          <w:rFonts w:hint="eastAsia" w:ascii="宋体" w:hAnsi="宋体"/>
          <w:bCs/>
          <w:color w:val="auto"/>
          <w:highlight w:val="none"/>
        </w:rPr>
        <w:t>正本/或副本</w:t>
      </w:r>
    </w:p>
    <w:p>
      <w:pPr>
        <w:snapToGrid w:val="0"/>
        <w:spacing w:before="120" w:beforeLines="50" w:after="50" w:line="600" w:lineRule="exact"/>
        <w:jc w:val="center"/>
        <w:rPr>
          <w:rFonts w:ascii="宋体" w:hAnsi="宋体"/>
          <w:bCs/>
          <w:color w:val="auto"/>
          <w:sz w:val="24"/>
          <w:szCs w:val="20"/>
          <w:highlight w:val="none"/>
        </w:rPr>
      </w:pPr>
    </w:p>
    <w:p>
      <w:pPr>
        <w:snapToGrid w:val="0"/>
        <w:spacing w:before="120" w:beforeLines="50" w:after="50" w:line="600" w:lineRule="exact"/>
        <w:jc w:val="center"/>
        <w:rPr>
          <w:rFonts w:ascii="宋体" w:hAnsi="宋体"/>
          <w:b/>
          <w:bCs/>
          <w:color w:val="auto"/>
          <w:sz w:val="52"/>
          <w:szCs w:val="52"/>
          <w:highlight w:val="none"/>
        </w:rPr>
      </w:pPr>
      <w:r>
        <w:rPr>
          <w:rFonts w:hint="eastAsia" w:ascii="宋体" w:hAnsi="宋体"/>
          <w:b/>
          <w:bCs/>
          <w:color w:val="auto"/>
          <w:sz w:val="52"/>
          <w:szCs w:val="52"/>
          <w:highlight w:val="none"/>
        </w:rPr>
        <w:t>投 标 文 件</w:t>
      </w:r>
    </w:p>
    <w:p>
      <w:pPr>
        <w:snapToGrid w:val="0"/>
        <w:spacing w:before="120" w:beforeLines="50" w:after="50" w:line="360" w:lineRule="auto"/>
        <w:rPr>
          <w:rFonts w:ascii="宋体" w:hAnsi="宋体"/>
          <w:bCs/>
          <w:color w:val="auto"/>
          <w:sz w:val="24"/>
          <w:szCs w:val="20"/>
          <w:highlight w:val="none"/>
        </w:rPr>
      </w:pPr>
    </w:p>
    <w:p>
      <w:pPr>
        <w:snapToGrid w:val="0"/>
        <w:spacing w:before="120" w:beforeLines="50" w:after="50" w:line="360" w:lineRule="auto"/>
        <w:ind w:firstLine="943" w:firstLineChars="393"/>
        <w:rPr>
          <w:rFonts w:ascii="宋体" w:hAnsi="宋体"/>
          <w:bCs/>
          <w:color w:val="auto"/>
          <w:sz w:val="24"/>
          <w:szCs w:val="20"/>
          <w:highlight w:val="none"/>
        </w:rPr>
      </w:pPr>
      <w:r>
        <w:rPr>
          <w:rFonts w:hint="eastAsia" w:ascii="宋体" w:hAnsi="宋体"/>
          <w:bCs/>
          <w:color w:val="auto"/>
          <w:sz w:val="24"/>
          <w:highlight w:val="none"/>
        </w:rPr>
        <w:t>项目名称：</w:t>
      </w:r>
    </w:p>
    <w:p>
      <w:pPr>
        <w:snapToGrid w:val="0"/>
        <w:spacing w:before="120" w:beforeLines="50" w:after="50" w:line="360" w:lineRule="auto"/>
        <w:ind w:firstLine="943" w:firstLineChars="393"/>
        <w:rPr>
          <w:rFonts w:ascii="宋体" w:hAnsi="宋体"/>
          <w:bCs/>
          <w:color w:val="auto"/>
          <w:sz w:val="24"/>
          <w:highlight w:val="none"/>
        </w:rPr>
      </w:pPr>
    </w:p>
    <w:p>
      <w:pPr>
        <w:snapToGrid w:val="0"/>
        <w:spacing w:before="120" w:beforeLines="50" w:after="50" w:line="360" w:lineRule="auto"/>
        <w:ind w:firstLine="943" w:firstLineChars="393"/>
        <w:rPr>
          <w:rFonts w:ascii="宋体" w:hAnsi="宋体"/>
          <w:bCs/>
          <w:color w:val="auto"/>
          <w:sz w:val="24"/>
          <w:szCs w:val="20"/>
          <w:highlight w:val="none"/>
        </w:rPr>
      </w:pPr>
      <w:r>
        <w:rPr>
          <w:rFonts w:hint="eastAsia" w:ascii="宋体" w:hAnsi="宋体"/>
          <w:bCs/>
          <w:color w:val="auto"/>
          <w:sz w:val="24"/>
          <w:highlight w:val="none"/>
        </w:rPr>
        <w:t xml:space="preserve">项目编号： </w:t>
      </w:r>
    </w:p>
    <w:p>
      <w:pPr>
        <w:snapToGrid w:val="0"/>
        <w:spacing w:before="120" w:beforeLines="50" w:after="50" w:line="360" w:lineRule="auto"/>
        <w:ind w:firstLine="480" w:firstLineChars="200"/>
        <w:rPr>
          <w:rFonts w:ascii="宋体" w:hAnsi="宋体"/>
          <w:bCs/>
          <w:color w:val="auto"/>
          <w:sz w:val="24"/>
          <w:highlight w:val="none"/>
        </w:rPr>
      </w:pPr>
    </w:p>
    <w:p>
      <w:pPr>
        <w:pStyle w:val="10"/>
        <w:snapToGrid w:val="0"/>
        <w:spacing w:before="50" w:after="50" w:line="360" w:lineRule="auto"/>
        <w:ind w:firstLine="960" w:firstLineChars="400"/>
        <w:rPr>
          <w:rFonts w:ascii="宋体" w:hAnsi="宋体"/>
          <w:bCs/>
          <w:color w:val="auto"/>
          <w:sz w:val="24"/>
          <w:highlight w:val="none"/>
        </w:rPr>
      </w:pPr>
    </w:p>
    <w:p>
      <w:pPr>
        <w:pStyle w:val="10"/>
        <w:snapToGrid w:val="0"/>
        <w:spacing w:before="50" w:after="50" w:line="360" w:lineRule="auto"/>
        <w:ind w:firstLine="960" w:firstLineChars="400"/>
        <w:rPr>
          <w:rFonts w:ascii="宋体" w:hAnsi="宋体"/>
          <w:bCs/>
          <w:color w:val="auto"/>
          <w:sz w:val="24"/>
          <w:highlight w:val="none"/>
        </w:rPr>
      </w:pPr>
      <w:r>
        <w:rPr>
          <w:rFonts w:hint="eastAsia" w:ascii="宋体" w:hAnsi="宋体"/>
          <w:bCs/>
          <w:color w:val="auto"/>
          <w:sz w:val="24"/>
          <w:highlight w:val="none"/>
        </w:rPr>
        <w:t>投标人名称：</w:t>
      </w:r>
    </w:p>
    <w:p>
      <w:pPr>
        <w:pStyle w:val="10"/>
        <w:snapToGrid w:val="0"/>
        <w:spacing w:before="50" w:after="50" w:line="360" w:lineRule="auto"/>
        <w:ind w:firstLine="960" w:firstLineChars="400"/>
        <w:rPr>
          <w:rFonts w:ascii="宋体" w:hAnsi="宋体"/>
          <w:bCs/>
          <w:color w:val="auto"/>
          <w:sz w:val="24"/>
          <w:highlight w:val="none"/>
        </w:rPr>
      </w:pPr>
    </w:p>
    <w:p>
      <w:pPr>
        <w:pStyle w:val="10"/>
        <w:snapToGrid w:val="0"/>
        <w:spacing w:before="50" w:after="50" w:line="360" w:lineRule="auto"/>
        <w:ind w:firstLine="960" w:firstLineChars="400"/>
        <w:rPr>
          <w:rFonts w:ascii="宋体" w:hAnsi="宋体"/>
          <w:bCs/>
          <w:color w:val="auto"/>
          <w:sz w:val="24"/>
          <w:highlight w:val="none"/>
        </w:rPr>
      </w:pPr>
    </w:p>
    <w:p>
      <w:pPr>
        <w:pStyle w:val="10"/>
        <w:snapToGrid w:val="0"/>
        <w:spacing w:before="50" w:after="50" w:line="360" w:lineRule="auto"/>
        <w:ind w:firstLine="960" w:firstLineChars="400"/>
        <w:rPr>
          <w:rFonts w:ascii="宋体" w:hAnsi="宋体"/>
          <w:bCs/>
          <w:color w:val="auto"/>
          <w:sz w:val="24"/>
          <w:highlight w:val="none"/>
        </w:rPr>
      </w:pPr>
      <w:r>
        <w:rPr>
          <w:rFonts w:hint="eastAsia" w:ascii="宋体" w:hAnsi="宋体"/>
          <w:bCs/>
          <w:color w:val="auto"/>
          <w:sz w:val="24"/>
          <w:highlight w:val="none"/>
        </w:rPr>
        <w:t>投标文件名称：资信/商务文件、技术文件、报价文件</w:t>
      </w:r>
    </w:p>
    <w:p>
      <w:pPr>
        <w:pStyle w:val="10"/>
        <w:snapToGrid w:val="0"/>
        <w:spacing w:before="50" w:after="50" w:line="360" w:lineRule="auto"/>
        <w:ind w:firstLine="960" w:firstLineChars="400"/>
        <w:rPr>
          <w:rFonts w:ascii="宋体" w:hAnsi="宋体"/>
          <w:bCs/>
          <w:color w:val="auto"/>
          <w:sz w:val="24"/>
          <w:highlight w:val="none"/>
        </w:rPr>
      </w:pPr>
    </w:p>
    <w:p>
      <w:pPr>
        <w:pStyle w:val="10"/>
        <w:snapToGrid w:val="0"/>
        <w:spacing w:before="50" w:after="50" w:line="360" w:lineRule="auto"/>
        <w:ind w:firstLine="960" w:firstLineChars="400"/>
        <w:rPr>
          <w:rFonts w:ascii="宋体" w:hAnsi="宋体"/>
          <w:bCs/>
          <w:color w:val="auto"/>
          <w:sz w:val="24"/>
          <w:highlight w:val="none"/>
        </w:rPr>
      </w:pPr>
    </w:p>
    <w:p>
      <w:pPr>
        <w:pStyle w:val="10"/>
        <w:snapToGrid w:val="0"/>
        <w:spacing w:before="50" w:after="50" w:line="360" w:lineRule="auto"/>
        <w:ind w:firstLine="960" w:firstLineChars="400"/>
        <w:rPr>
          <w:rFonts w:ascii="宋体" w:hAnsi="宋体"/>
          <w:bCs/>
          <w:color w:val="auto"/>
          <w:sz w:val="24"/>
          <w:highlight w:val="none"/>
        </w:rPr>
      </w:pPr>
      <w:r>
        <w:rPr>
          <w:rFonts w:hint="eastAsia" w:ascii="宋体" w:hAnsi="宋体"/>
          <w:bCs/>
          <w:color w:val="auto"/>
          <w:sz w:val="24"/>
          <w:highlight w:val="none"/>
        </w:rPr>
        <w:t>投标人地址：</w:t>
      </w:r>
    </w:p>
    <w:p>
      <w:pPr>
        <w:pStyle w:val="10"/>
        <w:snapToGrid w:val="0"/>
        <w:spacing w:before="50" w:after="50" w:line="360" w:lineRule="auto"/>
        <w:ind w:firstLine="960" w:firstLineChars="400"/>
        <w:rPr>
          <w:rFonts w:ascii="宋体" w:hAnsi="宋体"/>
          <w:bCs/>
          <w:color w:val="auto"/>
          <w:sz w:val="24"/>
          <w:highlight w:val="none"/>
        </w:rPr>
      </w:pPr>
    </w:p>
    <w:p>
      <w:pPr>
        <w:pStyle w:val="10"/>
        <w:snapToGrid w:val="0"/>
        <w:spacing w:before="50" w:after="50" w:line="360" w:lineRule="auto"/>
        <w:ind w:firstLine="1205" w:firstLineChars="400"/>
        <w:jc w:val="center"/>
        <w:rPr>
          <w:rFonts w:ascii="宋体" w:hAnsi="宋体"/>
          <w:b/>
          <w:bCs/>
          <w:color w:val="auto"/>
          <w:sz w:val="30"/>
          <w:szCs w:val="30"/>
          <w:highlight w:val="none"/>
        </w:rPr>
      </w:pPr>
      <w:r>
        <w:rPr>
          <w:rFonts w:hint="eastAsia" w:ascii="宋体" w:hAnsi="宋体"/>
          <w:b/>
          <w:bCs/>
          <w:color w:val="auto"/>
          <w:sz w:val="30"/>
          <w:szCs w:val="30"/>
          <w:highlight w:val="none"/>
        </w:rPr>
        <w:t>开 标 时 启 封</w:t>
      </w:r>
    </w:p>
    <w:p>
      <w:pPr>
        <w:pStyle w:val="10"/>
        <w:snapToGrid w:val="0"/>
        <w:spacing w:before="50" w:after="50" w:line="360" w:lineRule="auto"/>
        <w:ind w:firstLine="960" w:firstLineChars="400"/>
        <w:rPr>
          <w:rFonts w:ascii="宋体" w:hAnsi="宋体"/>
          <w:bCs/>
          <w:color w:val="auto"/>
          <w:sz w:val="24"/>
          <w:highlight w:val="none"/>
        </w:rPr>
      </w:pPr>
    </w:p>
    <w:p>
      <w:pPr>
        <w:snapToGrid w:val="0"/>
        <w:spacing w:before="120" w:beforeLines="50" w:after="50" w:line="360" w:lineRule="auto"/>
        <w:ind w:firstLine="4080" w:firstLineChars="1700"/>
        <w:rPr>
          <w:rFonts w:ascii="宋体" w:hAnsi="宋体"/>
          <w:bCs/>
          <w:color w:val="auto"/>
          <w:sz w:val="24"/>
          <w:szCs w:val="20"/>
          <w:highlight w:val="none"/>
        </w:rPr>
      </w:pPr>
    </w:p>
    <w:p>
      <w:pPr>
        <w:snapToGrid w:val="0"/>
        <w:spacing w:before="120" w:beforeLines="50" w:after="50" w:line="360" w:lineRule="auto"/>
        <w:ind w:firstLine="645"/>
        <w:jc w:val="center"/>
        <w:outlineLvl w:val="0"/>
        <w:rPr>
          <w:rFonts w:ascii="宋体" w:hAnsi="宋体"/>
          <w:bCs/>
          <w:color w:val="auto"/>
          <w:sz w:val="24"/>
          <w:highlight w:val="none"/>
        </w:rPr>
      </w:pPr>
      <w:r>
        <w:rPr>
          <w:rFonts w:hint="eastAsia" w:ascii="宋体" w:hAnsi="宋体"/>
          <w:bCs/>
          <w:color w:val="auto"/>
          <w:sz w:val="24"/>
          <w:highlight w:val="none"/>
        </w:rPr>
        <w:t xml:space="preserve">                        </w:t>
      </w:r>
      <w:bookmarkStart w:id="77" w:name="_Toc22611_WPSOffice_Level1"/>
      <w:bookmarkStart w:id="78" w:name="_Toc11892"/>
      <w:bookmarkStart w:id="79" w:name="_Toc4184_WPSOffice_Level1"/>
      <w:bookmarkStart w:id="80" w:name="_Toc9089_WPSOffice_Level1"/>
      <w:bookmarkStart w:id="81" w:name="_Toc22412_WPSOffice_Level1"/>
      <w:r>
        <w:rPr>
          <w:rFonts w:hint="eastAsia" w:ascii="宋体" w:hAnsi="宋体"/>
          <w:bCs/>
          <w:color w:val="auto"/>
          <w:sz w:val="24"/>
          <w:highlight w:val="none"/>
        </w:rPr>
        <w:t>年    月   日</w:t>
      </w:r>
      <w:bookmarkEnd w:id="77"/>
      <w:bookmarkEnd w:id="78"/>
      <w:bookmarkEnd w:id="79"/>
      <w:bookmarkEnd w:id="80"/>
      <w:bookmarkEnd w:id="81"/>
    </w:p>
    <w:p>
      <w:pPr>
        <w:snapToGrid w:val="0"/>
        <w:spacing w:before="120" w:beforeLines="50" w:after="50"/>
        <w:rPr>
          <w:rFonts w:ascii="宋体" w:hAnsi="宋体"/>
          <w:b/>
          <w:bCs/>
          <w:color w:val="auto"/>
          <w:szCs w:val="21"/>
          <w:highlight w:val="none"/>
        </w:rPr>
      </w:pPr>
    </w:p>
    <w:p>
      <w:pPr>
        <w:snapToGrid w:val="0"/>
        <w:spacing w:before="120" w:beforeLines="50" w:after="50"/>
        <w:rPr>
          <w:rFonts w:ascii="宋体" w:hAnsi="宋体"/>
          <w:b/>
          <w:bCs/>
          <w:color w:val="auto"/>
          <w:szCs w:val="21"/>
          <w:highlight w:val="none"/>
        </w:rPr>
      </w:pPr>
    </w:p>
    <w:p>
      <w:pPr>
        <w:snapToGrid w:val="0"/>
        <w:spacing w:before="120" w:beforeLines="50" w:after="50"/>
        <w:rPr>
          <w:rFonts w:ascii="宋体" w:hAnsi="宋体"/>
          <w:b/>
          <w:bCs/>
          <w:color w:val="auto"/>
          <w:szCs w:val="21"/>
          <w:highlight w:val="none"/>
        </w:rPr>
      </w:pPr>
    </w:p>
    <w:p>
      <w:pPr>
        <w:snapToGrid w:val="0"/>
        <w:spacing w:before="120" w:beforeLines="50" w:after="50"/>
        <w:rPr>
          <w:rFonts w:ascii="宋体" w:hAnsi="宋体"/>
          <w:b/>
          <w:bCs/>
          <w:color w:val="auto"/>
          <w:szCs w:val="21"/>
          <w:highlight w:val="none"/>
        </w:rPr>
      </w:pPr>
    </w:p>
    <w:p>
      <w:pPr>
        <w:snapToGrid w:val="0"/>
        <w:spacing w:before="120" w:beforeLines="50" w:after="50"/>
        <w:rPr>
          <w:rFonts w:ascii="宋体" w:hAnsi="宋体"/>
          <w:b/>
          <w:bCs/>
          <w:color w:val="auto"/>
          <w:szCs w:val="21"/>
          <w:highlight w:val="none"/>
        </w:rPr>
      </w:pPr>
    </w:p>
    <w:p>
      <w:pPr>
        <w:outlineLvl w:val="0"/>
        <w:rPr>
          <w:b/>
          <w:bCs/>
          <w:color w:val="auto"/>
          <w:highlight w:val="none"/>
        </w:rPr>
      </w:pPr>
      <w:bookmarkStart w:id="82" w:name="_Toc13945"/>
      <w:bookmarkStart w:id="83" w:name="_Toc23959_WPSOffice_Level1"/>
      <w:bookmarkStart w:id="84" w:name="_Toc28808_WPSOffice_Level1"/>
      <w:bookmarkStart w:id="85" w:name="_Toc24702_WPSOffice_Level1"/>
      <w:bookmarkStart w:id="86" w:name="_Toc15002_WPSOffice_Level1"/>
      <w:r>
        <w:rPr>
          <w:rFonts w:hint="eastAsia"/>
          <w:b/>
          <w:bCs/>
          <w:color w:val="auto"/>
          <w:highlight w:val="none"/>
        </w:rPr>
        <w:t>二、资格/商务文件格式</w:t>
      </w:r>
      <w:bookmarkEnd w:id="82"/>
      <w:bookmarkEnd w:id="83"/>
      <w:bookmarkEnd w:id="84"/>
      <w:bookmarkEnd w:id="85"/>
      <w:bookmarkEnd w:id="86"/>
    </w:p>
    <w:p>
      <w:pPr>
        <w:snapToGrid w:val="0"/>
        <w:spacing w:before="50" w:after="50"/>
        <w:rPr>
          <w:rFonts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b/>
          <w:bCs/>
          <w:color w:val="auto"/>
          <w:szCs w:val="21"/>
          <w:highlight w:val="none"/>
        </w:rPr>
        <w:t>资格/商务文件目录</w:t>
      </w:r>
    </w:p>
    <w:p>
      <w:pPr>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▲（1）投标声明书 (格式见附件) ；</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▲（2）法定代表人授权委托书和委托代理人正反面身份证复印件（委托代理时需要提供）(格式见附件)；</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▲（3）法定代表人正反面身份证复印件；</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▲（4）有效的营业执照副本复印件</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color w:val="auto"/>
          <w:highlight w:val="none"/>
        </w:rPr>
        <w:t>投标人2019年财务报表复印件,如为新成立的投标人请按实际情况提供；</w:t>
      </w:r>
      <w:r>
        <w:rPr>
          <w:rFonts w:hint="eastAsia"/>
          <w:b/>
          <w:bCs/>
          <w:color w:val="auto"/>
          <w:highlight w:val="none"/>
        </w:rPr>
        <w:t>（</w:t>
      </w:r>
      <w:r>
        <w:rPr>
          <w:rFonts w:hint="eastAsia" w:ascii="宋体" w:hAnsi="宋体"/>
          <w:b/>
          <w:bCs/>
          <w:color w:val="auto"/>
          <w:szCs w:val="21"/>
          <w:highlight w:val="none"/>
        </w:rPr>
        <w:t>必须提供</w:t>
      </w:r>
      <w:r>
        <w:rPr>
          <w:rFonts w:hint="eastAsia" w:ascii="宋体" w:hAnsi="宋体"/>
          <w:b/>
          <w:bCs/>
          <w:color w:val="auto"/>
          <w:szCs w:val="21"/>
          <w:highlight w:val="none"/>
          <w:lang w:eastAsia="zh-CN"/>
        </w:rPr>
        <w:t>，</w:t>
      </w:r>
      <w:r>
        <w:rPr>
          <w:rFonts w:hint="eastAsia" w:hAnsi="宋体"/>
          <w:b/>
          <w:bCs/>
          <w:color w:val="auto"/>
          <w:highlight w:val="none"/>
        </w:rPr>
        <w:t>否则投标无效</w:t>
      </w:r>
      <w:r>
        <w:rPr>
          <w:rFonts w:hint="eastAsia"/>
          <w:b/>
          <w:bCs/>
          <w:color w:val="auto"/>
          <w:highlight w:val="none"/>
        </w:rPr>
        <w:t>）</w:t>
      </w:r>
    </w:p>
    <w:p>
      <w:pPr>
        <w:snapToGrid w:val="0"/>
        <w:spacing w:line="440" w:lineRule="exact"/>
        <w:ind w:firstLine="411" w:firstLineChars="196"/>
        <w:jc w:val="left"/>
        <w:rPr>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color w:val="auto"/>
          <w:highlight w:val="none"/>
        </w:rPr>
        <w:t>投标截止之日前半年内投标单位连续三个月的依法缴纳社保费的缴费凭证（复印件，格式自拟）；无缴费记录的，应提供由投标单位所在地社保部门出具的《依法缴纳或依法免缴社保费证明》（</w:t>
      </w:r>
      <w:r>
        <w:rPr>
          <w:rFonts w:hint="eastAsia" w:hAnsi="宋体"/>
          <w:b/>
          <w:bCs/>
          <w:color w:val="auto"/>
          <w:highlight w:val="none"/>
        </w:rPr>
        <w:t>必须提供，否则投标无效</w:t>
      </w:r>
      <w:r>
        <w:rPr>
          <w:rFonts w:hint="eastAsia"/>
          <w:color w:val="auto"/>
          <w:highlight w:val="none"/>
        </w:rPr>
        <w:t>）。</w:t>
      </w:r>
    </w:p>
    <w:p>
      <w:pPr>
        <w:snapToGrid w:val="0"/>
        <w:spacing w:line="440" w:lineRule="exact"/>
        <w:ind w:firstLine="411" w:firstLineChars="196"/>
        <w:jc w:val="left"/>
        <w:rPr>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color w:val="auto"/>
          <w:highlight w:val="none"/>
        </w:rPr>
        <w:t>投标人</w:t>
      </w:r>
      <w:r>
        <w:rPr>
          <w:rFonts w:hint="eastAsia" w:hAnsi="宋体" w:cs="宋体"/>
          <w:color w:val="auto"/>
          <w:highlight w:val="none"/>
        </w:rPr>
        <w:t>截标时间前半年连续三个月或以上</w:t>
      </w:r>
      <w:r>
        <w:rPr>
          <w:rFonts w:hint="eastAsia"/>
          <w:color w:val="auto"/>
          <w:highlight w:val="none"/>
        </w:rPr>
        <w:t>依法纳税的缴纳税费凭证复印件</w:t>
      </w:r>
      <w:r>
        <w:rPr>
          <w:rFonts w:hint="eastAsia" w:hAnsi="宋体"/>
          <w:b/>
          <w:bCs/>
          <w:color w:val="auto"/>
          <w:highlight w:val="none"/>
        </w:rPr>
        <w:t>（必须提供，否则投标无效）</w:t>
      </w:r>
      <w:r>
        <w:rPr>
          <w:rFonts w:hint="eastAsia"/>
          <w:color w:val="auto"/>
          <w:highlight w:val="none"/>
        </w:rPr>
        <w:t>；</w:t>
      </w:r>
    </w:p>
    <w:p>
      <w:pPr>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）商务响应表（格式见附件）；</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）无重大违法记录声明书（格式见附件）</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r>
        <w:rPr>
          <w:rFonts w:hint="eastAsia" w:ascii="宋体" w:hAnsi="宋体"/>
          <w:color w:val="auto"/>
          <w:szCs w:val="21"/>
          <w:highlight w:val="none"/>
        </w:rPr>
        <w:t>；</w:t>
      </w:r>
    </w:p>
    <w:p>
      <w:pPr>
        <w:snapToGrid w:val="0"/>
        <w:spacing w:line="398"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可作为</w:t>
      </w:r>
      <w:r>
        <w:rPr>
          <w:rFonts w:hint="eastAsia" w:ascii="宋体" w:hAnsi="宋体"/>
          <w:b/>
          <w:bCs/>
          <w:color w:val="auto"/>
          <w:szCs w:val="21"/>
          <w:highlight w:val="none"/>
        </w:rPr>
        <w:t>投标人资信评分的资质证明材料</w:t>
      </w:r>
      <w:r>
        <w:rPr>
          <w:rFonts w:hint="eastAsia" w:ascii="宋体" w:hAnsi="宋体"/>
          <w:color w:val="auto"/>
          <w:szCs w:val="21"/>
          <w:highlight w:val="none"/>
        </w:rPr>
        <w:t>（可选）：</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）投标人的类似成功案例的业绩证明文件（投标人同类项目的</w:t>
      </w:r>
      <w:r>
        <w:rPr>
          <w:rFonts w:hint="eastAsia" w:ascii="宋体" w:hAnsi="宋体"/>
          <w:b/>
          <w:color w:val="auto"/>
          <w:szCs w:val="21"/>
          <w:highlight w:val="none"/>
        </w:rPr>
        <w:t>中标通知书或合同</w:t>
      </w:r>
      <w:r>
        <w:rPr>
          <w:rFonts w:hint="eastAsia" w:ascii="宋体" w:hAnsi="宋体"/>
          <w:color w:val="auto"/>
          <w:szCs w:val="21"/>
          <w:highlight w:val="none"/>
        </w:rPr>
        <w:t>）；</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）节能环保等可予评分优惠的资质证书或文件；</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）投标人质量管理和环境认证体系等方面的资质证书或文件；</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）投标人认为可以证明其能力或业绩的其它材料。</w:t>
      </w:r>
    </w:p>
    <w:p>
      <w:pPr>
        <w:snapToGrid w:val="0"/>
        <w:spacing w:line="440" w:lineRule="exact"/>
        <w:ind w:left="420"/>
        <w:jc w:val="left"/>
        <w:rPr>
          <w:rFonts w:ascii="宋体" w:hAnsi="宋体"/>
          <w:b/>
          <w:color w:val="auto"/>
          <w:szCs w:val="21"/>
          <w:highlight w:val="none"/>
        </w:rPr>
      </w:pPr>
    </w:p>
    <w:p>
      <w:pPr>
        <w:pStyle w:val="2"/>
        <w:rPr>
          <w:rFonts w:ascii="宋体" w:hAnsi="宋体"/>
          <w:b/>
          <w:color w:val="auto"/>
          <w:szCs w:val="21"/>
          <w:highlight w:val="none"/>
        </w:rPr>
      </w:pPr>
    </w:p>
    <w:p>
      <w:pPr>
        <w:rPr>
          <w:color w:val="auto"/>
        </w:rPr>
      </w:pPr>
    </w:p>
    <w:p>
      <w:pPr>
        <w:snapToGrid w:val="0"/>
        <w:spacing w:before="50" w:after="120" w:afterLines="50" w:line="400" w:lineRule="exact"/>
        <w:jc w:val="left"/>
        <w:rPr>
          <w:rFonts w:ascii="宋体" w:hAnsi="宋体"/>
          <w:color w:val="auto"/>
          <w:szCs w:val="21"/>
          <w:highlight w:val="none"/>
        </w:rPr>
      </w:pPr>
    </w:p>
    <w:p>
      <w:pPr>
        <w:snapToGrid w:val="0"/>
        <w:spacing w:before="50" w:after="120" w:afterLines="50" w:line="400" w:lineRule="exact"/>
        <w:jc w:val="left"/>
        <w:rPr>
          <w:rFonts w:ascii="宋体" w:hAnsi="宋体"/>
          <w:color w:val="auto"/>
          <w:szCs w:val="21"/>
          <w:highlight w:val="none"/>
        </w:rPr>
      </w:pPr>
    </w:p>
    <w:p>
      <w:pPr>
        <w:pStyle w:val="6"/>
        <w:outlineLvl w:val="9"/>
        <w:rPr>
          <w:rFonts w:hAnsi="宋体"/>
          <w:color w:val="auto"/>
          <w:szCs w:val="21"/>
          <w:highlight w:val="none"/>
        </w:rPr>
      </w:pPr>
    </w:p>
    <w:p>
      <w:pPr>
        <w:rPr>
          <w:rFonts w:ascii="宋体" w:hAnsi="宋体"/>
          <w:color w:val="auto"/>
          <w:szCs w:val="21"/>
          <w:highlight w:val="none"/>
        </w:rPr>
      </w:pPr>
    </w:p>
    <w:p>
      <w:pPr>
        <w:pStyle w:val="6"/>
        <w:outlineLvl w:val="9"/>
        <w:rPr>
          <w:rFonts w:hAnsi="宋体"/>
          <w:color w:val="auto"/>
          <w:szCs w:val="21"/>
          <w:highlight w:val="none"/>
        </w:rPr>
      </w:pPr>
    </w:p>
    <w:p>
      <w:pPr>
        <w:rPr>
          <w:rFonts w:ascii="宋体" w:hAnsi="宋体"/>
          <w:color w:val="auto"/>
          <w:szCs w:val="21"/>
          <w:highlight w:val="none"/>
        </w:rPr>
      </w:pPr>
    </w:p>
    <w:p>
      <w:pPr>
        <w:pStyle w:val="2"/>
        <w:rPr>
          <w:color w:val="auto"/>
        </w:rPr>
      </w:pPr>
    </w:p>
    <w:p>
      <w:pPr>
        <w:pStyle w:val="6"/>
        <w:outlineLvl w:val="9"/>
        <w:rPr>
          <w:color w:val="auto"/>
          <w:highlight w:val="none"/>
        </w:rPr>
      </w:pPr>
    </w:p>
    <w:p>
      <w:pPr>
        <w:rPr>
          <w:color w:val="auto"/>
        </w:rPr>
      </w:pPr>
    </w:p>
    <w:p>
      <w:pPr>
        <w:rPr>
          <w:b/>
          <w:bCs/>
          <w:color w:val="auto"/>
          <w:highlight w:val="none"/>
        </w:rPr>
      </w:pPr>
    </w:p>
    <w:p>
      <w:pPr>
        <w:rPr>
          <w:b/>
          <w:bCs/>
          <w:color w:val="auto"/>
          <w:highlight w:val="none"/>
        </w:rPr>
      </w:pPr>
      <w:r>
        <w:rPr>
          <w:rFonts w:hint="eastAsia"/>
          <w:b/>
          <w:bCs/>
          <w:color w:val="auto"/>
          <w:highlight w:val="none"/>
        </w:rPr>
        <w:t>1.投标声明书格式：</w:t>
      </w:r>
    </w:p>
    <w:p>
      <w:pPr>
        <w:snapToGrid w:val="0"/>
        <w:spacing w:before="120" w:beforeLines="50" w:after="50"/>
        <w:jc w:val="center"/>
        <w:rPr>
          <w:rFonts w:ascii="宋体" w:hAnsi="宋体"/>
          <w:b/>
          <w:color w:val="auto"/>
          <w:szCs w:val="21"/>
          <w:highlight w:val="none"/>
        </w:rPr>
      </w:pPr>
      <w:r>
        <w:rPr>
          <w:rFonts w:hint="eastAsia" w:ascii="宋体" w:hAnsi="宋体"/>
          <w:b/>
          <w:color w:val="auto"/>
          <w:szCs w:val="21"/>
          <w:highlight w:val="none"/>
        </w:rPr>
        <w:t>投标声明书</w:t>
      </w:r>
    </w:p>
    <w:p>
      <w:pPr>
        <w:snapToGrid w:val="0"/>
        <w:spacing w:before="120" w:beforeLines="50" w:after="50"/>
        <w:jc w:val="center"/>
        <w:rPr>
          <w:rFonts w:ascii="宋体" w:hAnsi="宋体"/>
          <w:color w:val="auto"/>
          <w:szCs w:val="21"/>
          <w:highlight w:val="none"/>
        </w:rPr>
      </w:pPr>
    </w:p>
    <w:p>
      <w:pPr>
        <w:snapToGrid w:val="0"/>
        <w:spacing w:before="120" w:beforeLines="50" w:after="50"/>
        <w:rPr>
          <w:rFonts w:ascii="宋体" w:hAnsi="宋体"/>
          <w:color w:val="auto"/>
          <w:szCs w:val="21"/>
          <w:highlight w:val="none"/>
        </w:rPr>
      </w:pPr>
      <w:r>
        <w:rPr>
          <w:rFonts w:hint="eastAsia" w:ascii="宋体" w:hAnsi="宋体"/>
          <w:color w:val="auto"/>
          <w:szCs w:val="21"/>
          <w:highlight w:val="none"/>
        </w:rPr>
        <w:t>致：（招标采购单位名称）：</w:t>
      </w:r>
    </w:p>
    <w:p>
      <w:pPr>
        <w:snapToGrid w:val="0"/>
        <w:spacing w:before="120" w:beforeLines="50" w:after="50"/>
        <w:ind w:firstLine="630" w:firstLineChars="300"/>
        <w:jc w:val="left"/>
        <w:rPr>
          <w:rFonts w:ascii="宋体" w:hAnsi="宋体"/>
          <w:color w:val="auto"/>
          <w:szCs w:val="21"/>
          <w:highlight w:val="none"/>
        </w:rPr>
      </w:pPr>
      <w:r>
        <w:rPr>
          <w:rFonts w:hint="eastAsia" w:ascii="宋体" w:hAnsi="宋体"/>
          <w:color w:val="auto"/>
          <w:szCs w:val="21"/>
          <w:highlight w:val="none"/>
        </w:rPr>
        <w:t>（投标人名称）系中华人民共和国合法企业，经营地址。</w:t>
      </w:r>
    </w:p>
    <w:p>
      <w:pPr>
        <w:snapToGrid w:val="0"/>
        <w:spacing w:before="120" w:beforeLines="50" w:after="50"/>
        <w:ind w:firstLine="645"/>
        <w:rPr>
          <w:rFonts w:ascii="宋体" w:hAnsi="宋体"/>
          <w:color w:val="auto"/>
          <w:szCs w:val="21"/>
          <w:highlight w:val="none"/>
        </w:rPr>
      </w:pPr>
      <w:r>
        <w:rPr>
          <w:rFonts w:hint="eastAsia" w:ascii="宋体" w:hAnsi="宋体"/>
          <w:color w:val="auto"/>
          <w:szCs w:val="21"/>
          <w:highlight w:val="none"/>
        </w:rPr>
        <w:t>我（姓名）系（投标人名称）的法定代表人，我方愿意参加贵方组织的项目的投标，为便于贵方公正、择优地确定中标人及其投标产品和服务，我方就本次投标有关事项郑重声明如下：</w:t>
      </w:r>
    </w:p>
    <w:p>
      <w:pPr>
        <w:snapToGrid w:val="0"/>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before="120" w:beforeLines="50"/>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before="120" w:beforeLines="50"/>
        <w:ind w:firstLine="420" w:firstLineChars="200"/>
        <w:rPr>
          <w:rFonts w:ascii="宋体" w:hAnsi="宋体"/>
          <w:color w:val="auto"/>
          <w:szCs w:val="21"/>
          <w:highlight w:val="none"/>
        </w:rPr>
      </w:pPr>
      <w:r>
        <w:rPr>
          <w:rFonts w:hint="eastAsia" w:ascii="宋体" w:hAnsi="宋体"/>
          <w:color w:val="auto"/>
          <w:szCs w:val="21"/>
          <w:highlight w:val="none"/>
        </w:rPr>
        <w:t>3.我方此次向贵方提供的产品名称为：；该产品我方有现货可供，并已于年月生产完工或向</w:t>
      </w:r>
      <w:r>
        <w:rPr>
          <w:rFonts w:hint="eastAsia" w:ascii="宋体" w:hAnsi="宋体"/>
          <w:color w:val="auto"/>
          <w:szCs w:val="21"/>
          <w:highlight w:val="none"/>
          <w:u w:val="single"/>
        </w:rPr>
        <w:t xml:space="preserve">　　              </w:t>
      </w:r>
      <w:r>
        <w:rPr>
          <w:rFonts w:hint="eastAsia" w:ascii="宋体" w:hAnsi="宋体"/>
          <w:color w:val="auto"/>
          <w:szCs w:val="21"/>
          <w:highlight w:val="none"/>
        </w:rPr>
        <w:t>（原厂商名称）购进［</w:t>
      </w:r>
      <w:r>
        <w:rPr>
          <w:rFonts w:hint="eastAsia" w:ascii="宋体" w:hAnsi="宋体"/>
          <w:b/>
          <w:bCs/>
          <w:color w:val="auto"/>
          <w:szCs w:val="21"/>
          <w:highlight w:val="none"/>
        </w:rPr>
        <w:t>或</w:t>
      </w:r>
      <w:r>
        <w:rPr>
          <w:rFonts w:hint="eastAsia" w:ascii="宋体" w:hAnsi="宋体"/>
          <w:color w:val="auto"/>
          <w:szCs w:val="21"/>
          <w:highlight w:val="none"/>
        </w:rPr>
        <w:t>需在中标后向订购］。</w:t>
      </w:r>
    </w:p>
    <w:p>
      <w:pPr>
        <w:snapToGrid w:val="0"/>
        <w:spacing w:before="120" w:beforeLines="50"/>
        <w:ind w:firstLine="420" w:firstLineChars="200"/>
        <w:rPr>
          <w:rFonts w:ascii="宋体" w:hAnsi="宋体"/>
          <w:color w:val="auto"/>
          <w:szCs w:val="21"/>
          <w:highlight w:val="none"/>
        </w:rPr>
      </w:pPr>
      <w:r>
        <w:rPr>
          <w:rFonts w:hint="eastAsia" w:ascii="宋体" w:hAnsi="宋体"/>
          <w:color w:val="auto"/>
          <w:szCs w:val="21"/>
          <w:highlight w:val="none"/>
        </w:rPr>
        <w:t>4.我方诚意提请贵方关注：近期有关该产品的生产、供货、售后服务以及性能等方面的重大决策和事项有：</w:t>
      </w:r>
    </w:p>
    <w:p>
      <w:pPr>
        <w:snapToGrid w:val="0"/>
        <w:spacing w:before="120" w:beforeLines="50"/>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pPr>
        <w:snapToGrid w:val="0"/>
        <w:spacing w:before="120" w:beforeLines="50"/>
        <w:ind w:firstLine="420" w:firstLineChars="200"/>
        <w:rPr>
          <w:rFonts w:ascii="宋体" w:hAnsi="宋体"/>
          <w:color w:val="auto"/>
          <w:szCs w:val="21"/>
          <w:highlight w:val="none"/>
        </w:rPr>
      </w:pPr>
      <w:r>
        <w:rPr>
          <w:rFonts w:hint="eastAsia" w:ascii="宋体" w:hAnsi="宋体"/>
          <w:color w:val="auto"/>
          <w:szCs w:val="21"/>
          <w:highlight w:val="none"/>
          <w:u w:val="single"/>
        </w:rPr>
        <w:t>　　　　　　　　　　　　　　　　　　　　　　　　　　　</w:t>
      </w:r>
    </w:p>
    <w:p>
      <w:pPr>
        <w:pStyle w:val="21"/>
        <w:snapToGrid w:val="0"/>
        <w:spacing w:line="360" w:lineRule="exact"/>
        <w:ind w:firstLine="404" w:firstLineChars="200"/>
        <w:rPr>
          <w:rFonts w:hAnsi="宋体"/>
          <w:color w:val="auto"/>
          <w:sz w:val="21"/>
          <w:szCs w:val="21"/>
          <w:highlight w:val="none"/>
        </w:rPr>
      </w:pPr>
      <w:r>
        <w:rPr>
          <w:rFonts w:hint="eastAsia" w:hAnsi="宋体"/>
          <w:color w:val="auto"/>
          <w:sz w:val="21"/>
          <w:szCs w:val="21"/>
          <w:highlight w:val="none"/>
        </w:rPr>
        <w:t>5.我方及由本人担任法定代表人的其他机构最近三年内被通报或者被处罚的违法行为有：</w:t>
      </w:r>
    </w:p>
    <w:p>
      <w:pPr>
        <w:snapToGrid w:val="0"/>
        <w:spacing w:before="120" w:beforeLines="50"/>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pPr>
        <w:snapToGrid w:val="0"/>
        <w:spacing w:before="120" w:beforeLines="50"/>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pPr>
        <w:snapToGrid w:val="0"/>
        <w:ind w:firstLine="420" w:firstLineChars="200"/>
        <w:rPr>
          <w:rFonts w:ascii="宋体" w:hAnsi="宋体"/>
          <w:color w:val="auto"/>
          <w:szCs w:val="21"/>
          <w:highlight w:val="none"/>
        </w:rPr>
      </w:pPr>
      <w:r>
        <w:rPr>
          <w:rFonts w:hint="eastAsia" w:ascii="宋体" w:hAnsi="宋体"/>
          <w:color w:val="auto"/>
          <w:szCs w:val="21"/>
          <w:highlight w:val="none"/>
        </w:rPr>
        <w:t>6.以上事项如有虚假或隐瞒，我方愿意承担一切后果，并不再寻求任何旨在减轻或免除法律责任的辩解。</w:t>
      </w:r>
    </w:p>
    <w:p>
      <w:pPr>
        <w:snapToGrid w:val="0"/>
        <w:spacing w:before="120" w:beforeLines="50"/>
        <w:jc w:val="left"/>
        <w:rPr>
          <w:rFonts w:ascii="宋体" w:hAnsi="宋体"/>
          <w:color w:val="auto"/>
          <w:szCs w:val="21"/>
          <w:highlight w:val="none"/>
          <w:u w:val="single"/>
        </w:rPr>
      </w:pPr>
      <w:r>
        <w:rPr>
          <w:rFonts w:hint="eastAsia" w:ascii="宋体" w:hAnsi="宋体"/>
          <w:color w:val="auto"/>
          <w:szCs w:val="21"/>
          <w:highlight w:val="none"/>
        </w:rPr>
        <w:t>法定代表人签字：</w:t>
      </w:r>
    </w:p>
    <w:p>
      <w:pPr>
        <w:snapToGrid w:val="0"/>
        <w:spacing w:before="120" w:beforeLines="50" w:after="50"/>
        <w:jc w:val="left"/>
        <w:rPr>
          <w:rFonts w:ascii="宋体" w:hAnsi="宋体"/>
          <w:color w:val="auto"/>
          <w:szCs w:val="21"/>
          <w:highlight w:val="none"/>
        </w:rPr>
      </w:pPr>
      <w:r>
        <w:rPr>
          <w:rFonts w:hint="eastAsia" w:ascii="宋体" w:hAnsi="宋体"/>
          <w:color w:val="auto"/>
          <w:szCs w:val="21"/>
          <w:highlight w:val="none"/>
        </w:rPr>
        <w:t>投标人公章：</w:t>
      </w:r>
    </w:p>
    <w:p>
      <w:pPr>
        <w:snapToGrid w:val="0"/>
        <w:spacing w:before="120" w:beforeLines="50" w:after="50"/>
        <w:jc w:val="left"/>
        <w:rPr>
          <w:rFonts w:ascii="宋体" w:hAnsi="宋体"/>
          <w:color w:val="auto"/>
          <w:szCs w:val="21"/>
          <w:highlight w:val="none"/>
        </w:rPr>
      </w:pPr>
      <w:r>
        <w:rPr>
          <w:rFonts w:hint="eastAsia" w:ascii="宋体" w:hAnsi="宋体"/>
          <w:color w:val="auto"/>
          <w:szCs w:val="21"/>
          <w:highlight w:val="none"/>
        </w:rPr>
        <w:t xml:space="preserve"> 年    月    日</w:t>
      </w:r>
    </w:p>
    <w:p>
      <w:pPr>
        <w:pStyle w:val="6"/>
        <w:outlineLvl w:val="9"/>
        <w:rPr>
          <w:rFonts w:hAnsi="宋体"/>
          <w:color w:val="auto"/>
          <w:szCs w:val="21"/>
          <w:highlight w:val="none"/>
        </w:rPr>
      </w:pPr>
    </w:p>
    <w:p>
      <w:pPr>
        <w:rPr>
          <w:rFonts w:ascii="宋体" w:hAnsi="宋体"/>
          <w:color w:val="auto"/>
          <w:szCs w:val="21"/>
          <w:highlight w:val="none"/>
        </w:rPr>
      </w:pPr>
    </w:p>
    <w:p>
      <w:pPr>
        <w:pStyle w:val="6"/>
        <w:outlineLvl w:val="9"/>
        <w:rPr>
          <w:rFonts w:hAnsi="宋体"/>
          <w:color w:val="auto"/>
          <w:szCs w:val="21"/>
          <w:highlight w:val="none"/>
        </w:rPr>
      </w:pPr>
    </w:p>
    <w:p>
      <w:pPr>
        <w:rPr>
          <w:rFonts w:ascii="宋体" w:hAnsi="宋体"/>
          <w:color w:val="auto"/>
          <w:szCs w:val="21"/>
          <w:highlight w:val="none"/>
        </w:rPr>
      </w:pPr>
    </w:p>
    <w:p>
      <w:pPr>
        <w:pStyle w:val="6"/>
        <w:outlineLvl w:val="9"/>
        <w:rPr>
          <w:rFonts w:hAnsi="宋体"/>
          <w:color w:val="auto"/>
          <w:szCs w:val="21"/>
          <w:highlight w:val="none"/>
        </w:rPr>
      </w:pPr>
    </w:p>
    <w:p>
      <w:pPr>
        <w:rPr>
          <w:rFonts w:ascii="宋体" w:hAnsi="宋体"/>
          <w:color w:val="auto"/>
          <w:szCs w:val="21"/>
          <w:highlight w:val="none"/>
        </w:rPr>
      </w:pPr>
    </w:p>
    <w:p>
      <w:pPr>
        <w:pStyle w:val="6"/>
        <w:outlineLvl w:val="9"/>
        <w:rPr>
          <w:rFonts w:hAnsi="宋体"/>
          <w:color w:val="auto"/>
          <w:szCs w:val="21"/>
          <w:highlight w:val="none"/>
        </w:rPr>
      </w:pPr>
    </w:p>
    <w:p>
      <w:pPr>
        <w:rPr>
          <w:rFonts w:ascii="宋体" w:hAnsi="宋体"/>
          <w:color w:val="auto"/>
          <w:szCs w:val="21"/>
          <w:highlight w:val="none"/>
        </w:rPr>
      </w:pPr>
    </w:p>
    <w:p>
      <w:pPr>
        <w:pStyle w:val="6"/>
        <w:outlineLvl w:val="9"/>
        <w:rPr>
          <w:rFonts w:hAnsi="宋体"/>
          <w:color w:val="auto"/>
          <w:szCs w:val="21"/>
          <w:highlight w:val="none"/>
        </w:rPr>
      </w:pPr>
    </w:p>
    <w:p>
      <w:pPr>
        <w:rPr>
          <w:color w:val="auto"/>
          <w:highlight w:val="none"/>
        </w:rPr>
      </w:pPr>
    </w:p>
    <w:p>
      <w:pPr>
        <w:snapToGrid w:val="0"/>
        <w:spacing w:before="50" w:after="120" w:afterLines="50" w:line="440" w:lineRule="exact"/>
        <w:jc w:val="left"/>
        <w:rPr>
          <w:rFonts w:ascii="宋体" w:hAnsi="宋体"/>
          <w:b/>
          <w:color w:val="auto"/>
          <w:szCs w:val="21"/>
          <w:highlight w:val="none"/>
        </w:rPr>
      </w:pPr>
    </w:p>
    <w:p>
      <w:pPr>
        <w:snapToGrid w:val="0"/>
        <w:spacing w:before="50" w:after="120" w:afterLines="50" w:line="440" w:lineRule="exact"/>
        <w:jc w:val="left"/>
        <w:rPr>
          <w:rFonts w:ascii="宋体" w:hAnsi="宋体"/>
          <w:b/>
          <w:color w:val="auto"/>
          <w:szCs w:val="21"/>
          <w:highlight w:val="none"/>
        </w:rPr>
      </w:pPr>
      <w:r>
        <w:rPr>
          <w:rFonts w:hint="eastAsia" w:ascii="宋体" w:hAnsi="宋体"/>
          <w:b/>
          <w:color w:val="auto"/>
          <w:szCs w:val="21"/>
          <w:highlight w:val="none"/>
        </w:rPr>
        <w:t>2.法定代表人授权委托书和委托代理人正反面身份证复印件（委托代理时需要提供）(格式)：</w:t>
      </w:r>
    </w:p>
    <w:p>
      <w:pPr>
        <w:snapToGrid w:val="0"/>
        <w:spacing w:before="120" w:beforeLines="50" w:after="50" w:line="440" w:lineRule="exact"/>
        <w:jc w:val="center"/>
        <w:rPr>
          <w:rFonts w:ascii="宋体" w:hAnsi="宋体"/>
          <w:b/>
          <w:color w:val="auto"/>
          <w:szCs w:val="21"/>
          <w:highlight w:val="none"/>
        </w:rPr>
      </w:pPr>
      <w:r>
        <w:rPr>
          <w:rFonts w:hint="eastAsia" w:ascii="宋体" w:hAnsi="宋体"/>
          <w:b/>
          <w:color w:val="auto"/>
          <w:szCs w:val="21"/>
          <w:highlight w:val="none"/>
        </w:rPr>
        <w:t>法定代表人授权委托书</w:t>
      </w:r>
    </w:p>
    <w:p>
      <w:pPr>
        <w:snapToGrid w:val="0"/>
        <w:spacing w:before="120" w:beforeLines="50" w:after="50" w:line="440" w:lineRule="exact"/>
        <w:rPr>
          <w:rFonts w:ascii="宋体" w:hAnsi="宋体"/>
          <w:bCs/>
          <w:color w:val="auto"/>
          <w:szCs w:val="21"/>
          <w:highlight w:val="none"/>
        </w:rPr>
      </w:pPr>
    </w:p>
    <w:p>
      <w:pPr>
        <w:snapToGrid w:val="0"/>
        <w:spacing w:before="120" w:beforeLines="50" w:after="50" w:line="440" w:lineRule="exact"/>
        <w:rPr>
          <w:rFonts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（招标采购单位名称）：</w:t>
      </w:r>
    </w:p>
    <w:p>
      <w:pPr>
        <w:snapToGrid w:val="0"/>
        <w:spacing w:before="120" w:beforeLines="50" w:after="50" w:line="440" w:lineRule="exact"/>
        <w:ind w:firstLine="630" w:firstLineChars="300"/>
        <w:rPr>
          <w:rFonts w:ascii="宋体" w:hAnsi="宋体"/>
          <w:color w:val="auto"/>
          <w:szCs w:val="21"/>
          <w:highlight w:val="none"/>
        </w:rPr>
      </w:pPr>
      <w:r>
        <w:rPr>
          <w:rFonts w:hint="eastAsia" w:ascii="宋体" w:hAnsi="宋体"/>
          <w:color w:val="auto"/>
          <w:szCs w:val="21"/>
          <w:highlight w:val="none"/>
        </w:rPr>
        <w:t>我（姓名）系（投标人名称）的法定代表人，现授权委托本单位在职职工 （姓名）以我方的名义参加项目的投标活动，并代表我方全权办理针对上述项目的投标、开标、评标、签约等具体事务和签署相关文件。</w:t>
      </w:r>
    </w:p>
    <w:p>
      <w:pPr>
        <w:snapToGrid w:val="0"/>
        <w:spacing w:before="120" w:beforeLines="50" w:after="50" w:line="440" w:lineRule="exact"/>
        <w:rPr>
          <w:rFonts w:ascii="宋体" w:hAnsi="宋体"/>
          <w:color w:val="auto"/>
          <w:szCs w:val="21"/>
          <w:highlight w:val="none"/>
        </w:rPr>
      </w:pPr>
      <w:r>
        <w:rPr>
          <w:rFonts w:hint="eastAsia" w:ascii="宋体" w:hAnsi="宋体"/>
          <w:color w:val="auto"/>
          <w:szCs w:val="21"/>
          <w:highlight w:val="none"/>
        </w:rPr>
        <w:t xml:space="preserve">    我方对被授权人的签名事项负全部责任。</w:t>
      </w:r>
    </w:p>
    <w:p>
      <w:pPr>
        <w:snapToGrid w:val="0"/>
        <w:spacing w:before="120" w:beforeLines="50" w:after="50" w:line="440" w:lineRule="exact"/>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20" w:beforeLines="50" w:after="50" w:line="440" w:lineRule="exact"/>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20" w:beforeLines="50" w:after="50" w:line="440" w:lineRule="exact"/>
        <w:rPr>
          <w:rFonts w:ascii="宋体" w:hAnsi="宋体"/>
          <w:color w:val="auto"/>
          <w:szCs w:val="21"/>
          <w:highlight w:val="none"/>
        </w:rPr>
      </w:pPr>
    </w:p>
    <w:p>
      <w:pPr>
        <w:snapToGrid w:val="0"/>
        <w:spacing w:before="120" w:beforeLines="50" w:after="50" w:line="440" w:lineRule="exact"/>
        <w:rPr>
          <w:rFonts w:ascii="宋体" w:hAnsi="宋体"/>
          <w:color w:val="auto"/>
          <w:szCs w:val="21"/>
          <w:highlight w:val="none"/>
          <w:u w:val="single"/>
        </w:rPr>
      </w:pPr>
      <w:r>
        <w:rPr>
          <w:rFonts w:hint="eastAsia" w:ascii="宋体" w:hAnsi="宋体"/>
          <w:color w:val="auto"/>
          <w:szCs w:val="21"/>
          <w:highlight w:val="none"/>
        </w:rPr>
        <w:t>被授权人签名：                 法定代表人签名：</w:t>
      </w:r>
    </w:p>
    <w:p>
      <w:pPr>
        <w:snapToGrid w:val="0"/>
        <w:spacing w:before="120" w:beforeLines="50" w:after="50" w:line="440" w:lineRule="exact"/>
        <w:rPr>
          <w:rFonts w:ascii="宋体" w:hAnsi="宋体"/>
          <w:color w:val="auto"/>
          <w:szCs w:val="21"/>
          <w:highlight w:val="none"/>
        </w:rPr>
      </w:pPr>
      <w:r>
        <w:rPr>
          <w:rFonts w:hint="eastAsia" w:ascii="宋体" w:hAnsi="宋体"/>
          <w:color w:val="auto"/>
          <w:szCs w:val="21"/>
          <w:highlight w:val="none"/>
        </w:rPr>
        <w:t>所在部门职务：                          职务：</w:t>
      </w:r>
    </w:p>
    <w:p>
      <w:pPr>
        <w:snapToGrid w:val="0"/>
        <w:spacing w:before="120" w:beforeLines="50" w:after="50" w:line="440" w:lineRule="exact"/>
        <w:rPr>
          <w:rFonts w:ascii="宋体" w:hAnsi="宋体"/>
          <w:color w:val="auto"/>
          <w:szCs w:val="21"/>
          <w:highlight w:val="none"/>
        </w:rPr>
      </w:pPr>
      <w:r>
        <w:rPr>
          <w:rFonts w:hint="eastAsia" w:ascii="宋体" w:hAnsi="宋体"/>
          <w:color w:val="auto"/>
          <w:szCs w:val="21"/>
          <w:highlight w:val="none"/>
        </w:rPr>
        <w:t>被授权人身份证号码：</w:t>
      </w:r>
    </w:p>
    <w:p>
      <w:pPr>
        <w:snapToGrid w:val="0"/>
        <w:spacing w:before="120" w:beforeLines="50" w:after="50" w:line="440" w:lineRule="exact"/>
        <w:rPr>
          <w:rFonts w:ascii="宋体" w:hAnsi="宋体"/>
          <w:color w:val="auto"/>
          <w:szCs w:val="21"/>
          <w:highlight w:val="none"/>
        </w:rPr>
      </w:pPr>
    </w:p>
    <w:p>
      <w:pPr>
        <w:snapToGrid w:val="0"/>
        <w:spacing w:before="120" w:beforeLines="50" w:after="50" w:line="440" w:lineRule="exact"/>
        <w:rPr>
          <w:rFonts w:ascii="宋体" w:hAnsi="宋体"/>
          <w:color w:val="auto"/>
          <w:szCs w:val="21"/>
          <w:highlight w:val="none"/>
        </w:rPr>
      </w:pPr>
    </w:p>
    <w:p>
      <w:pPr>
        <w:snapToGrid w:val="0"/>
        <w:spacing w:before="120" w:beforeLines="50" w:after="50" w:line="440" w:lineRule="exact"/>
        <w:ind w:firstLine="4620" w:firstLineChars="2200"/>
        <w:rPr>
          <w:rFonts w:ascii="宋体" w:hAnsi="宋体"/>
          <w:color w:val="auto"/>
          <w:szCs w:val="21"/>
          <w:highlight w:val="none"/>
        </w:rPr>
      </w:pPr>
      <w:r>
        <w:rPr>
          <w:rFonts w:hint="eastAsia" w:ascii="宋体" w:hAnsi="宋体"/>
          <w:color w:val="auto"/>
          <w:szCs w:val="21"/>
          <w:highlight w:val="none"/>
        </w:rPr>
        <w:t xml:space="preserve">  投标人公章：</w:t>
      </w:r>
    </w:p>
    <w:p>
      <w:pPr>
        <w:snapToGrid w:val="0"/>
        <w:spacing w:before="120" w:beforeLines="50" w:after="50" w:line="440" w:lineRule="exact"/>
        <w:jc w:val="center"/>
        <w:rPr>
          <w:rFonts w:ascii="宋体" w:hAnsi="宋体"/>
          <w:color w:val="auto"/>
          <w:szCs w:val="21"/>
          <w:highlight w:val="none"/>
        </w:rPr>
      </w:pPr>
      <w:r>
        <w:rPr>
          <w:rFonts w:hint="eastAsia" w:ascii="宋体" w:hAnsi="宋体"/>
          <w:color w:val="auto"/>
          <w:szCs w:val="21"/>
          <w:highlight w:val="none"/>
        </w:rPr>
        <w:t xml:space="preserve">                                        年    月    日</w:t>
      </w:r>
    </w:p>
    <w:p>
      <w:pPr>
        <w:snapToGrid w:val="0"/>
        <w:spacing w:before="120" w:beforeLines="50" w:after="50" w:line="440" w:lineRule="exact"/>
        <w:rPr>
          <w:rFonts w:ascii="宋体" w:hAnsi="宋体"/>
          <w:color w:val="auto"/>
          <w:szCs w:val="21"/>
          <w:highlight w:val="none"/>
        </w:rPr>
      </w:pPr>
    </w:p>
    <w:p>
      <w:pPr>
        <w:snapToGrid w:val="0"/>
        <w:spacing w:before="120" w:beforeLines="50" w:after="50" w:line="440" w:lineRule="exact"/>
        <w:rPr>
          <w:rFonts w:ascii="宋体" w:hAnsi="宋体"/>
          <w:color w:val="auto"/>
          <w:szCs w:val="21"/>
          <w:highlight w:val="none"/>
        </w:rPr>
      </w:pPr>
    </w:p>
    <w:p>
      <w:pPr>
        <w:rPr>
          <w:b/>
          <w:bCs/>
          <w:color w:val="auto"/>
          <w:highlight w:val="none"/>
        </w:rPr>
      </w:pPr>
      <w:r>
        <w:rPr>
          <w:rFonts w:hint="eastAsia"/>
          <w:b/>
          <w:bCs/>
          <w:color w:val="auto"/>
          <w:highlight w:val="none"/>
        </w:rPr>
        <w:t>附：委托代理人正反面身份证复印件。</w:t>
      </w:r>
    </w:p>
    <w:p>
      <w:pPr>
        <w:snapToGrid w:val="0"/>
        <w:spacing w:before="120" w:beforeLines="50" w:after="50" w:line="440" w:lineRule="exact"/>
        <w:rPr>
          <w:rFonts w:ascii="宋体" w:hAnsi="宋体"/>
          <w:b/>
          <w:color w:val="auto"/>
          <w:szCs w:val="21"/>
          <w:highlight w:val="none"/>
        </w:rPr>
      </w:pPr>
    </w:p>
    <w:p>
      <w:pPr>
        <w:snapToGrid w:val="0"/>
        <w:spacing w:before="120" w:beforeLines="50" w:after="50" w:line="440" w:lineRule="exact"/>
        <w:rPr>
          <w:rFonts w:ascii="宋体" w:hAnsi="宋体"/>
          <w:color w:val="auto"/>
          <w:szCs w:val="21"/>
          <w:highlight w:val="none"/>
        </w:rPr>
      </w:pPr>
    </w:p>
    <w:p>
      <w:pPr>
        <w:snapToGrid w:val="0"/>
        <w:spacing w:before="120" w:beforeLines="50" w:after="50" w:line="440" w:lineRule="exact"/>
        <w:rPr>
          <w:rFonts w:ascii="宋体" w:hAnsi="宋体"/>
          <w:color w:val="auto"/>
          <w:szCs w:val="21"/>
          <w:highlight w:val="none"/>
        </w:rPr>
      </w:pPr>
    </w:p>
    <w:p>
      <w:pPr>
        <w:pStyle w:val="6"/>
        <w:outlineLvl w:val="9"/>
        <w:rPr>
          <w:rFonts w:hAnsi="宋体"/>
          <w:color w:val="auto"/>
          <w:szCs w:val="21"/>
          <w:highlight w:val="none"/>
        </w:rPr>
      </w:pPr>
    </w:p>
    <w:p>
      <w:pPr>
        <w:rPr>
          <w:rFonts w:ascii="宋体" w:hAnsi="宋体"/>
          <w:color w:val="auto"/>
          <w:szCs w:val="21"/>
          <w:highlight w:val="none"/>
        </w:rPr>
      </w:pPr>
    </w:p>
    <w:p>
      <w:pPr>
        <w:pStyle w:val="6"/>
        <w:outlineLvl w:val="9"/>
        <w:rPr>
          <w:rFonts w:hAnsi="宋体"/>
          <w:color w:val="auto"/>
          <w:szCs w:val="21"/>
          <w:highlight w:val="none"/>
        </w:rPr>
      </w:pPr>
    </w:p>
    <w:p>
      <w:pPr>
        <w:rPr>
          <w:rFonts w:ascii="宋体" w:hAnsi="宋体"/>
          <w:color w:val="auto"/>
          <w:szCs w:val="21"/>
          <w:highlight w:val="none"/>
        </w:rPr>
      </w:pPr>
    </w:p>
    <w:p>
      <w:pPr>
        <w:pStyle w:val="6"/>
        <w:outlineLvl w:val="9"/>
        <w:rPr>
          <w:color w:val="auto"/>
          <w:highlight w:val="none"/>
        </w:rPr>
      </w:pPr>
    </w:p>
    <w:p>
      <w:pPr>
        <w:snapToGrid w:val="0"/>
        <w:spacing w:before="120" w:beforeLines="50" w:after="50" w:line="440" w:lineRule="exact"/>
        <w:rPr>
          <w:rFonts w:ascii="宋体" w:hAnsi="宋体"/>
          <w:b/>
          <w:color w:val="auto"/>
          <w:szCs w:val="21"/>
          <w:highlight w:val="none"/>
        </w:rPr>
      </w:pPr>
      <w:r>
        <w:rPr>
          <w:rFonts w:hint="eastAsia" w:ascii="宋体" w:hAnsi="宋体"/>
          <w:b/>
          <w:color w:val="auto"/>
          <w:szCs w:val="21"/>
          <w:highlight w:val="none"/>
        </w:rPr>
        <w:t>3.法定代表人正反面身份证复印件</w:t>
      </w:r>
    </w:p>
    <w:p>
      <w:pPr>
        <w:snapToGrid w:val="0"/>
        <w:rPr>
          <w:rFonts w:ascii="宋体" w:hAnsi="宋体"/>
          <w:b/>
          <w:color w:val="auto"/>
          <w:szCs w:val="21"/>
          <w:highlight w:val="none"/>
        </w:rPr>
      </w:pPr>
    </w:p>
    <w:p>
      <w:pPr>
        <w:snapToGrid w:val="0"/>
        <w:rPr>
          <w:rFonts w:ascii="宋体" w:hAnsi="宋体"/>
          <w:b/>
          <w:color w:val="auto"/>
          <w:szCs w:val="21"/>
          <w:highlight w:val="none"/>
        </w:rPr>
      </w:pPr>
    </w:p>
    <w:p>
      <w:pPr>
        <w:snapToGrid w:val="0"/>
        <w:spacing w:line="440" w:lineRule="exact"/>
        <w:rPr>
          <w:rFonts w:ascii="宋体" w:hAnsi="宋体"/>
          <w:b/>
          <w:color w:val="auto"/>
          <w:szCs w:val="21"/>
          <w:highlight w:val="none"/>
        </w:rPr>
      </w:pPr>
      <w:r>
        <w:rPr>
          <w:rFonts w:hint="eastAsia" w:ascii="宋体" w:hAnsi="宋体"/>
          <w:b/>
          <w:color w:val="auto"/>
          <w:szCs w:val="21"/>
          <w:highlight w:val="none"/>
        </w:rPr>
        <w:t>4.有效的营业执照副本复印件</w:t>
      </w:r>
    </w:p>
    <w:p>
      <w:pPr>
        <w:snapToGrid w:val="0"/>
        <w:spacing w:before="50"/>
        <w:jc w:val="left"/>
        <w:rPr>
          <w:rFonts w:ascii="宋体" w:hAnsi="宋体"/>
          <w:b/>
          <w:color w:val="auto"/>
          <w:szCs w:val="21"/>
          <w:highlight w:val="none"/>
        </w:rPr>
      </w:pPr>
    </w:p>
    <w:p>
      <w:pPr>
        <w:snapToGrid w:val="0"/>
        <w:spacing w:before="50"/>
        <w:jc w:val="left"/>
        <w:rPr>
          <w:rFonts w:ascii="宋体" w:hAnsi="宋体"/>
          <w:b/>
          <w:color w:val="auto"/>
          <w:szCs w:val="21"/>
          <w:highlight w:val="none"/>
        </w:rPr>
      </w:pPr>
    </w:p>
    <w:p>
      <w:pPr>
        <w:snapToGrid w:val="0"/>
        <w:spacing w:before="50"/>
        <w:jc w:val="left"/>
        <w:rPr>
          <w:rFonts w:ascii="宋体" w:hAnsi="宋体"/>
          <w:b/>
          <w:color w:val="auto"/>
          <w:szCs w:val="21"/>
          <w:highlight w:val="none"/>
        </w:rPr>
      </w:pPr>
      <w:r>
        <w:rPr>
          <w:rFonts w:hint="eastAsia" w:ascii="宋体" w:hAnsi="宋体"/>
          <w:b/>
          <w:color w:val="auto"/>
          <w:szCs w:val="21"/>
          <w:highlight w:val="none"/>
          <w:lang w:val="en-US" w:eastAsia="zh-CN"/>
        </w:rPr>
        <w:t>5</w:t>
      </w:r>
      <w:r>
        <w:rPr>
          <w:rFonts w:hint="eastAsia" w:ascii="宋体" w:hAnsi="宋体"/>
          <w:b/>
          <w:color w:val="auto"/>
          <w:szCs w:val="21"/>
          <w:highlight w:val="none"/>
        </w:rPr>
        <w:t>.投标人2019年财务报表复印件,如为新成立的投标人请按实际情况提供。（必须提供，否则投标无效）</w:t>
      </w:r>
    </w:p>
    <w:p>
      <w:pPr>
        <w:snapToGrid w:val="0"/>
        <w:spacing w:before="50"/>
        <w:jc w:val="left"/>
        <w:rPr>
          <w:rFonts w:ascii="宋体" w:hAnsi="宋体"/>
          <w:b/>
          <w:color w:val="auto"/>
          <w:szCs w:val="21"/>
          <w:highlight w:val="none"/>
        </w:rPr>
      </w:pPr>
    </w:p>
    <w:p>
      <w:pPr>
        <w:snapToGrid w:val="0"/>
        <w:spacing w:before="50"/>
        <w:jc w:val="left"/>
        <w:rPr>
          <w:rFonts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.投标人截标时间前半年连续三个月或以上的依法缴纳在册正式员工的社保证明复印件（必须提供，否则投标无效）；</w:t>
      </w:r>
    </w:p>
    <w:p>
      <w:pPr>
        <w:snapToGrid w:val="0"/>
        <w:spacing w:before="50"/>
        <w:jc w:val="left"/>
        <w:rPr>
          <w:rFonts w:ascii="宋体" w:hAnsi="宋体"/>
          <w:b/>
          <w:color w:val="auto"/>
          <w:szCs w:val="21"/>
          <w:highlight w:val="none"/>
        </w:rPr>
      </w:pPr>
    </w:p>
    <w:p>
      <w:pPr>
        <w:snapToGrid w:val="0"/>
        <w:spacing w:before="50"/>
        <w:jc w:val="left"/>
        <w:rPr>
          <w:rFonts w:ascii="宋体" w:hAnsi="宋体"/>
          <w:b/>
          <w:color w:val="auto"/>
          <w:szCs w:val="21"/>
          <w:highlight w:val="none"/>
        </w:rPr>
      </w:pPr>
      <w:r>
        <w:rPr>
          <w:rFonts w:hint="eastAsia" w:ascii="宋体" w:hAnsi="宋体"/>
          <w:b/>
          <w:color w:val="auto"/>
          <w:szCs w:val="21"/>
          <w:highlight w:val="none"/>
          <w:lang w:val="en-US" w:eastAsia="zh-CN"/>
        </w:rPr>
        <w:t>7</w:t>
      </w:r>
      <w:r>
        <w:rPr>
          <w:rFonts w:hint="eastAsia" w:ascii="宋体" w:hAnsi="宋体"/>
          <w:b/>
          <w:color w:val="auto"/>
          <w:szCs w:val="21"/>
          <w:highlight w:val="none"/>
        </w:rPr>
        <w:t>.投标人截标时间前半年连续三个月或以上依法纳税的缴纳税费凭证复印件（必须提供，否则投标无效）；</w:t>
      </w:r>
    </w:p>
    <w:p>
      <w:pPr>
        <w:snapToGrid w:val="0"/>
        <w:spacing w:before="50"/>
        <w:jc w:val="left"/>
        <w:rPr>
          <w:rFonts w:ascii="宋体" w:hAnsi="宋体"/>
          <w:b/>
          <w:color w:val="auto"/>
          <w:szCs w:val="21"/>
          <w:highlight w:val="none"/>
        </w:rPr>
      </w:pPr>
    </w:p>
    <w:p>
      <w:pPr>
        <w:snapToGrid w:val="0"/>
        <w:spacing w:before="50"/>
        <w:jc w:val="left"/>
        <w:rPr>
          <w:rFonts w:ascii="宋体" w:hAnsi="宋体"/>
          <w:b/>
          <w:color w:val="auto"/>
          <w:szCs w:val="21"/>
          <w:highlight w:val="none"/>
        </w:rPr>
      </w:pPr>
    </w:p>
    <w:p>
      <w:pPr>
        <w:snapToGrid w:val="0"/>
        <w:spacing w:before="50"/>
        <w:jc w:val="left"/>
        <w:rPr>
          <w:rFonts w:ascii="宋体" w:hAnsi="宋体"/>
          <w:b/>
          <w:color w:val="auto"/>
          <w:szCs w:val="21"/>
          <w:highlight w:val="none"/>
        </w:rPr>
      </w:pPr>
      <w:r>
        <w:rPr>
          <w:rFonts w:hint="eastAsia" w:ascii="宋体" w:hAnsi="宋体"/>
          <w:b/>
          <w:color w:val="auto"/>
          <w:szCs w:val="21"/>
          <w:highlight w:val="none"/>
          <w:lang w:val="en-US" w:eastAsia="zh-CN"/>
        </w:rPr>
        <w:t>8</w:t>
      </w:r>
      <w:r>
        <w:rPr>
          <w:rFonts w:hint="eastAsia" w:ascii="宋体" w:hAnsi="宋体"/>
          <w:b/>
          <w:color w:val="auto"/>
          <w:szCs w:val="21"/>
          <w:highlight w:val="none"/>
        </w:rPr>
        <w:t>.商务响应表（格式见附件）；（必须提供）</w:t>
      </w:r>
    </w:p>
    <w:p>
      <w:pPr>
        <w:snapToGrid w:val="0"/>
        <w:spacing w:before="50"/>
        <w:jc w:val="left"/>
        <w:rPr>
          <w:rFonts w:ascii="宋体" w:hAnsi="宋体"/>
          <w:b/>
          <w:color w:val="auto"/>
          <w:szCs w:val="21"/>
          <w:highlight w:val="none"/>
        </w:rPr>
      </w:pPr>
    </w:p>
    <w:tbl>
      <w:tblPr>
        <w:tblStyle w:val="47"/>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r>
              <w:rPr>
                <w:rFonts w:hint="eastAsia" w:ascii="宋体" w:hAnsi="宋体"/>
                <w:color w:val="auto"/>
                <w:szCs w:val="21"/>
                <w:highlight w:val="none"/>
              </w:rPr>
              <w:t>项目</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r>
              <w:rPr>
                <w:rFonts w:hint="eastAsia" w:ascii="宋体" w:hAnsi="宋体"/>
                <w:color w:val="auto"/>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r>
              <w:rPr>
                <w:rFonts w:hint="eastAsia" w:ascii="宋体" w:hAnsi="宋体"/>
                <w:color w:val="auto"/>
                <w:szCs w:val="21"/>
                <w:highlight w:val="none"/>
              </w:rPr>
              <w:t>是否响应</w:t>
            </w: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r>
              <w:rPr>
                <w:rFonts w:hint="eastAsia" w:ascii="宋体" w:hAnsi="宋体"/>
                <w:color w:val="auto"/>
                <w:szCs w:val="21"/>
                <w:highlight w:val="none"/>
              </w:rPr>
              <w:t>质保期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r>
              <w:rPr>
                <w:rFonts w:hint="eastAsia" w:ascii="宋体" w:hAnsi="宋体"/>
                <w:color w:val="auto"/>
                <w:szCs w:val="21"/>
                <w:highlight w:val="none"/>
              </w:rPr>
              <w:t>售后服务要求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r>
              <w:rPr>
                <w:rFonts w:hint="eastAsia" w:ascii="宋体" w:hAnsi="宋体"/>
                <w:color w:val="auto"/>
                <w:szCs w:val="21"/>
                <w:highlight w:val="none"/>
              </w:rPr>
              <w:t>交付使用时间及地点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color w:val="auto"/>
                <w:szCs w:val="21"/>
                <w:highlight w:val="none"/>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r>
              <w:rPr>
                <w:rFonts w:hint="eastAsia" w:ascii="宋体" w:hAnsi="宋体"/>
                <w:color w:val="auto"/>
                <w:szCs w:val="21"/>
                <w:highlight w:val="none"/>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r>
              <w:rPr>
                <w:rFonts w:hint="eastAsia" w:ascii="宋体" w:hAnsi="宋体"/>
                <w:color w:val="auto"/>
                <w:szCs w:val="21"/>
                <w:highlight w:val="none"/>
              </w:rPr>
              <w:t>备品备件及耗材等要求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Cs w:val="21"/>
                <w:highlight w:val="none"/>
              </w:rPr>
            </w:pPr>
          </w:p>
        </w:tc>
      </w:tr>
    </w:tbl>
    <w:p>
      <w:pPr>
        <w:snapToGrid w:val="0"/>
        <w:spacing w:before="50"/>
        <w:jc w:val="left"/>
        <w:rPr>
          <w:rFonts w:ascii="宋体" w:hAnsi="宋体"/>
          <w:b/>
          <w:color w:val="auto"/>
          <w:szCs w:val="21"/>
          <w:highlight w:val="none"/>
        </w:rPr>
      </w:pPr>
    </w:p>
    <w:p>
      <w:pPr>
        <w:snapToGrid w:val="0"/>
        <w:spacing w:before="50"/>
        <w:jc w:val="left"/>
        <w:rPr>
          <w:rFonts w:ascii="宋体" w:hAnsi="宋体"/>
          <w:b/>
          <w:color w:val="auto"/>
          <w:szCs w:val="21"/>
          <w:highlight w:val="none"/>
        </w:rPr>
      </w:pPr>
    </w:p>
    <w:p>
      <w:pPr>
        <w:snapToGrid w:val="0"/>
        <w:spacing w:before="50" w:after="50" w:line="320" w:lineRule="exact"/>
        <w:ind w:left="-2" w:leftChars="-1" w:right="-817" w:rightChars="-389"/>
        <w:rPr>
          <w:rFonts w:ascii="宋体" w:hAnsi="宋体"/>
          <w:color w:val="auto"/>
          <w:szCs w:val="21"/>
          <w:highlight w:val="none"/>
          <w:u w:val="single"/>
        </w:rPr>
      </w:pPr>
      <w:r>
        <w:rPr>
          <w:rFonts w:hint="eastAsia" w:ascii="宋体" w:hAnsi="宋体"/>
          <w:color w:val="auto"/>
          <w:szCs w:val="21"/>
          <w:highlight w:val="none"/>
        </w:rPr>
        <w:t xml:space="preserve">法定代表人或授权委托代理人（签字）： </w:t>
      </w:r>
    </w:p>
    <w:p>
      <w:pPr>
        <w:snapToGrid w:val="0"/>
        <w:spacing w:before="50" w:after="50"/>
        <w:ind w:right="-817" w:rightChars="-389"/>
        <w:rPr>
          <w:rFonts w:ascii="宋体" w:hAnsi="宋体"/>
          <w:color w:val="auto"/>
          <w:szCs w:val="21"/>
          <w:highlight w:val="none"/>
          <w:u w:val="single"/>
        </w:rPr>
      </w:pPr>
      <w:r>
        <w:rPr>
          <w:rFonts w:hint="eastAsia" w:ascii="宋体" w:hAnsi="宋体"/>
          <w:color w:val="auto"/>
          <w:szCs w:val="21"/>
          <w:highlight w:val="none"/>
        </w:rPr>
        <w:t>投标人名称（公章）：</w:t>
      </w:r>
    </w:p>
    <w:p>
      <w:pPr>
        <w:snapToGrid w:val="0"/>
        <w:spacing w:before="50"/>
        <w:jc w:val="left"/>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年   月   日</w:t>
      </w:r>
    </w:p>
    <w:p>
      <w:pPr>
        <w:snapToGrid w:val="0"/>
        <w:spacing w:before="50"/>
        <w:jc w:val="left"/>
        <w:rPr>
          <w:rFonts w:hint="eastAsia" w:ascii="宋体" w:hAnsi="宋体"/>
          <w:b/>
          <w:color w:val="auto"/>
          <w:szCs w:val="21"/>
          <w:highlight w:val="none"/>
          <w:lang w:val="en-US" w:eastAsia="zh-CN"/>
        </w:rPr>
      </w:pPr>
    </w:p>
    <w:p>
      <w:pPr>
        <w:snapToGrid w:val="0"/>
        <w:spacing w:before="50"/>
        <w:jc w:val="left"/>
        <w:rPr>
          <w:rFonts w:hint="eastAsia" w:ascii="宋体" w:hAnsi="宋体"/>
          <w:b/>
          <w:color w:val="auto"/>
          <w:szCs w:val="21"/>
          <w:highlight w:val="none"/>
          <w:lang w:val="en-US" w:eastAsia="zh-CN"/>
        </w:rPr>
      </w:pPr>
    </w:p>
    <w:p>
      <w:pPr>
        <w:snapToGrid w:val="0"/>
        <w:spacing w:before="50"/>
        <w:jc w:val="left"/>
        <w:rPr>
          <w:rFonts w:ascii="宋体" w:hAnsi="宋体"/>
          <w:b/>
          <w:color w:val="auto"/>
          <w:szCs w:val="21"/>
          <w:highlight w:val="none"/>
        </w:rPr>
      </w:pPr>
      <w:r>
        <w:rPr>
          <w:rFonts w:hint="eastAsia" w:ascii="宋体" w:hAnsi="宋体"/>
          <w:b/>
          <w:color w:val="auto"/>
          <w:szCs w:val="21"/>
          <w:highlight w:val="none"/>
          <w:lang w:val="en-US" w:eastAsia="zh-CN"/>
        </w:rPr>
        <w:t>9</w:t>
      </w:r>
      <w:r>
        <w:rPr>
          <w:rFonts w:hint="eastAsia" w:ascii="宋体" w:hAnsi="宋体"/>
          <w:b/>
          <w:color w:val="auto"/>
          <w:szCs w:val="21"/>
          <w:highlight w:val="none"/>
        </w:rPr>
        <w:t>.无重大违法记录声明书（格式见附件）；</w:t>
      </w: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r>
        <w:rPr>
          <w:rFonts w:hint="eastAsia"/>
          <w:b/>
          <w:color w:val="auto"/>
          <w:sz w:val="28"/>
          <w:szCs w:val="28"/>
          <w:highlight w:val="none"/>
        </w:rPr>
        <w:t>无重大违法记录声明书</w:t>
      </w:r>
    </w:p>
    <w:p>
      <w:pPr>
        <w:jc w:val="center"/>
        <w:rPr>
          <w:b/>
          <w:color w:val="auto"/>
          <w:sz w:val="44"/>
          <w:szCs w:val="4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广西宝盛工程咨询有限公司：</w:t>
      </w:r>
    </w:p>
    <w:p>
      <w:pPr>
        <w:pStyle w:val="15"/>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highlight w:val="none"/>
        </w:rPr>
        <w:t>我公司参加贵公司组织项</w:t>
      </w:r>
      <w:r>
        <w:rPr>
          <w:rFonts w:hint="eastAsia" w:ascii="宋体" w:hAnsi="宋体" w:eastAsia="宋体" w:cs="宋体"/>
          <w:color w:val="auto"/>
          <w:sz w:val="24"/>
          <w:szCs w:val="24"/>
          <w:highlight w:val="none"/>
        </w:rPr>
        <w:t>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pPr>
        <w:pStyle w:val="15"/>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360" w:lineRule="auto"/>
        <w:ind w:firstLine="470" w:firstLineChars="196"/>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p>
    <w:p>
      <w:pPr>
        <w:pStyle w:val="25"/>
        <w:spacing w:line="300" w:lineRule="auto"/>
        <w:rPr>
          <w:rFonts w:hAnsi="宋体" w:cs="宋体"/>
          <w:color w:val="auto"/>
          <w:sz w:val="24"/>
          <w:szCs w:val="24"/>
          <w:highlight w:val="none"/>
        </w:rPr>
      </w:pPr>
    </w:p>
    <w:p>
      <w:pPr>
        <w:pStyle w:val="15"/>
        <w:snapToGrid w:val="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投标单位全称（盖公章）：</w:t>
      </w:r>
    </w:p>
    <w:p>
      <w:pPr>
        <w:pStyle w:val="25"/>
        <w:jc w:val="right"/>
        <w:rPr>
          <w:rFonts w:hAnsi="宋体" w:cs="宋体"/>
          <w:color w:val="auto"/>
          <w:sz w:val="24"/>
          <w:szCs w:val="24"/>
          <w:highlight w:val="none"/>
        </w:rPr>
      </w:pPr>
    </w:p>
    <w:p>
      <w:pPr>
        <w:pStyle w:val="15"/>
        <w:snapToGrid w:val="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w:t>
      </w:r>
    </w:p>
    <w:p>
      <w:pPr>
        <w:pStyle w:val="25"/>
        <w:ind w:left="5250"/>
        <w:jc w:val="center"/>
        <w:rPr>
          <w:rFonts w:hAnsi="宋体" w:cs="宋体"/>
          <w:color w:val="auto"/>
          <w:sz w:val="24"/>
          <w:szCs w:val="24"/>
          <w:highlight w:val="none"/>
        </w:rPr>
      </w:pPr>
    </w:p>
    <w:p>
      <w:pPr>
        <w:snapToGrid w:val="0"/>
        <w:spacing w:before="50"/>
        <w:jc w:val="right"/>
        <w:rPr>
          <w:rFonts w:ascii="宋体" w:hAnsi="宋体" w:cs="宋体"/>
          <w:color w:val="auto"/>
          <w:sz w:val="24"/>
          <w:highlight w:val="none"/>
        </w:rPr>
      </w:pPr>
      <w:r>
        <w:rPr>
          <w:rFonts w:hint="eastAsia" w:ascii="宋体" w:hAnsi="宋体" w:cs="宋体"/>
          <w:color w:val="auto"/>
          <w:sz w:val="24"/>
          <w:highlight w:val="none"/>
        </w:rPr>
        <w:t xml:space="preserve">                     日期：</w:t>
      </w:r>
    </w:p>
    <w:p>
      <w:pPr>
        <w:snapToGrid w:val="0"/>
        <w:spacing w:before="50"/>
        <w:jc w:val="right"/>
        <w:rPr>
          <w:rFonts w:ascii="宋体" w:hAnsi="宋体" w:cs="宋体"/>
          <w:color w:val="auto"/>
          <w:sz w:val="24"/>
          <w:highlight w:val="none"/>
        </w:rPr>
      </w:pPr>
    </w:p>
    <w:p>
      <w:pPr>
        <w:snapToGrid w:val="0"/>
        <w:spacing w:before="50"/>
        <w:jc w:val="right"/>
        <w:rPr>
          <w:rFonts w:ascii="宋体" w:hAnsi="宋体" w:cs="宋体"/>
          <w:color w:val="auto"/>
          <w:sz w:val="24"/>
          <w:highlight w:val="none"/>
        </w:rPr>
      </w:pPr>
    </w:p>
    <w:p>
      <w:pPr>
        <w:snapToGrid w:val="0"/>
        <w:spacing w:before="50"/>
        <w:jc w:val="right"/>
        <w:rPr>
          <w:rFonts w:ascii="宋体" w:hAnsi="宋体" w:cs="宋体"/>
          <w:color w:val="auto"/>
          <w:sz w:val="24"/>
          <w:highlight w:val="none"/>
        </w:rPr>
      </w:pPr>
    </w:p>
    <w:p>
      <w:pPr>
        <w:snapToGrid w:val="0"/>
        <w:spacing w:before="50"/>
        <w:jc w:val="right"/>
        <w:rPr>
          <w:rFonts w:ascii="宋体" w:hAnsi="宋体" w:cs="宋体"/>
          <w:color w:val="auto"/>
          <w:sz w:val="24"/>
          <w:highlight w:val="none"/>
        </w:rPr>
      </w:pPr>
    </w:p>
    <w:p>
      <w:pPr>
        <w:snapToGrid w:val="0"/>
        <w:spacing w:before="50"/>
        <w:jc w:val="left"/>
        <w:rPr>
          <w:rFonts w:ascii="宋体" w:hAnsi="宋体"/>
          <w:b/>
          <w:color w:val="auto"/>
          <w:szCs w:val="21"/>
          <w:highlight w:val="none"/>
        </w:rPr>
      </w:pPr>
    </w:p>
    <w:p>
      <w:pPr>
        <w:snapToGrid w:val="0"/>
        <w:spacing w:before="50"/>
        <w:jc w:val="left"/>
        <w:rPr>
          <w:rFonts w:ascii="宋体" w:hAnsi="宋体"/>
          <w:b/>
          <w:color w:val="auto"/>
          <w:szCs w:val="21"/>
          <w:highlight w:val="none"/>
        </w:rPr>
      </w:pPr>
    </w:p>
    <w:p>
      <w:pPr>
        <w:snapToGrid w:val="0"/>
        <w:spacing w:before="50"/>
        <w:jc w:val="left"/>
        <w:rPr>
          <w:rFonts w:ascii="宋体" w:hAnsi="宋体"/>
          <w:b/>
          <w:color w:val="auto"/>
          <w:szCs w:val="21"/>
          <w:highlight w:val="none"/>
        </w:rPr>
      </w:pPr>
    </w:p>
    <w:p>
      <w:pPr>
        <w:pStyle w:val="6"/>
        <w:outlineLvl w:val="9"/>
        <w:rPr>
          <w:rFonts w:hAnsi="宋体"/>
          <w:b/>
          <w:color w:val="auto"/>
          <w:szCs w:val="21"/>
          <w:highlight w:val="none"/>
        </w:rPr>
      </w:pPr>
    </w:p>
    <w:p>
      <w:pPr>
        <w:rPr>
          <w:rFonts w:ascii="宋体" w:hAnsi="宋体"/>
          <w:b/>
          <w:color w:val="auto"/>
          <w:szCs w:val="21"/>
          <w:highlight w:val="none"/>
        </w:rPr>
      </w:pPr>
    </w:p>
    <w:p>
      <w:pPr>
        <w:pStyle w:val="6"/>
        <w:outlineLvl w:val="9"/>
        <w:rPr>
          <w:rFonts w:hAnsi="宋体"/>
          <w:b/>
          <w:color w:val="auto"/>
          <w:szCs w:val="21"/>
          <w:highlight w:val="none"/>
        </w:rPr>
      </w:pPr>
    </w:p>
    <w:p>
      <w:pPr>
        <w:rPr>
          <w:rFonts w:ascii="宋体" w:hAnsi="宋体"/>
          <w:b/>
          <w:color w:val="auto"/>
          <w:szCs w:val="21"/>
          <w:highlight w:val="none"/>
        </w:rPr>
      </w:pPr>
    </w:p>
    <w:p>
      <w:pPr>
        <w:pStyle w:val="6"/>
        <w:outlineLvl w:val="9"/>
        <w:rPr>
          <w:rFonts w:hAnsi="宋体"/>
          <w:b/>
          <w:color w:val="auto"/>
          <w:szCs w:val="21"/>
          <w:highlight w:val="none"/>
        </w:rPr>
      </w:pPr>
    </w:p>
    <w:p>
      <w:pPr>
        <w:rPr>
          <w:rFonts w:ascii="宋体" w:hAnsi="宋体"/>
          <w:b/>
          <w:color w:val="auto"/>
          <w:szCs w:val="21"/>
          <w:highlight w:val="none"/>
        </w:rPr>
      </w:pPr>
    </w:p>
    <w:p>
      <w:pPr>
        <w:pStyle w:val="6"/>
        <w:outlineLvl w:val="9"/>
        <w:rPr>
          <w:rFonts w:hAnsi="宋体"/>
          <w:b/>
          <w:color w:val="auto"/>
          <w:szCs w:val="21"/>
          <w:highlight w:val="none"/>
        </w:rPr>
      </w:pPr>
    </w:p>
    <w:p>
      <w:pPr>
        <w:rPr>
          <w:color w:val="auto"/>
          <w:highlight w:val="none"/>
        </w:rPr>
      </w:pPr>
    </w:p>
    <w:p>
      <w:pPr>
        <w:snapToGrid w:val="0"/>
        <w:spacing w:before="50"/>
        <w:jc w:val="left"/>
        <w:rPr>
          <w:rFonts w:ascii="宋体" w:hAnsi="宋体"/>
          <w:b/>
          <w:color w:val="auto"/>
          <w:szCs w:val="21"/>
          <w:highlight w:val="none"/>
        </w:rPr>
      </w:pPr>
    </w:p>
    <w:p>
      <w:pPr>
        <w:snapToGrid w:val="0"/>
        <w:spacing w:before="50"/>
        <w:jc w:val="left"/>
        <w:rPr>
          <w:rFonts w:ascii="宋体" w:hAnsi="宋体"/>
          <w:b/>
          <w:bCs/>
          <w:color w:val="auto"/>
          <w:szCs w:val="21"/>
          <w:highlight w:val="none"/>
        </w:rPr>
      </w:pPr>
      <w:r>
        <w:rPr>
          <w:rFonts w:hint="eastAsia" w:ascii="宋体" w:hAnsi="宋体"/>
          <w:b/>
          <w:color w:val="auto"/>
          <w:szCs w:val="21"/>
          <w:highlight w:val="none"/>
        </w:rPr>
        <w:t>11.</w:t>
      </w:r>
      <w:r>
        <w:rPr>
          <w:rFonts w:hint="eastAsia" w:ascii="宋体" w:hAnsi="宋体"/>
          <w:b/>
          <w:bCs/>
          <w:color w:val="auto"/>
          <w:szCs w:val="21"/>
          <w:highlight w:val="none"/>
        </w:rPr>
        <w:t>投标人的类似成功案例的业绩证明文件（投标人同类项目的中标通知书或合同）；</w:t>
      </w:r>
    </w:p>
    <w:p>
      <w:pPr>
        <w:snapToGrid w:val="0"/>
        <w:spacing w:line="398" w:lineRule="exact"/>
        <w:ind w:firstLine="420" w:firstLineChars="200"/>
        <w:jc w:val="left"/>
        <w:rPr>
          <w:rFonts w:ascii="宋体" w:hAnsi="宋体"/>
          <w:color w:val="auto"/>
          <w:szCs w:val="21"/>
          <w:highlight w:val="none"/>
        </w:rPr>
      </w:pPr>
    </w:p>
    <w:tbl>
      <w:tblPr>
        <w:tblStyle w:val="47"/>
        <w:tblW w:w="8331" w:type="dxa"/>
        <w:tblInd w:w="1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3"/>
        <w:gridCol w:w="2196"/>
        <w:gridCol w:w="1917"/>
        <w:gridCol w:w="2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18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采购单位名称</w:t>
            </w:r>
          </w:p>
        </w:tc>
        <w:tc>
          <w:tcPr>
            <w:tcW w:w="219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设备或项目名称</w:t>
            </w:r>
          </w:p>
        </w:tc>
        <w:tc>
          <w:tcPr>
            <w:tcW w:w="191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采购</w:t>
            </w:r>
          </w:p>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数量</w:t>
            </w:r>
          </w:p>
        </w:tc>
        <w:tc>
          <w:tcPr>
            <w:tcW w:w="238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合同</w:t>
            </w:r>
          </w:p>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金额</w:t>
            </w:r>
          </w:p>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3" w:hRule="atLeast"/>
        </w:trPr>
        <w:tc>
          <w:tcPr>
            <w:tcW w:w="1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21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1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2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szCs w:val="20"/>
                <w:highlight w:val="none"/>
              </w:rPr>
            </w:pPr>
          </w:p>
        </w:tc>
        <w:tc>
          <w:tcPr>
            <w:tcW w:w="219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szCs w:val="20"/>
                <w:highlight w:val="none"/>
              </w:rPr>
            </w:pPr>
          </w:p>
        </w:tc>
        <w:tc>
          <w:tcPr>
            <w:tcW w:w="191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szCs w:val="20"/>
                <w:highlight w:val="none"/>
              </w:rPr>
            </w:pPr>
          </w:p>
        </w:tc>
        <w:tc>
          <w:tcPr>
            <w:tcW w:w="238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8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91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8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91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8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91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8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91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r>
    </w:tbl>
    <w:p>
      <w:pPr>
        <w:snapToGrid w:val="0"/>
        <w:spacing w:line="398" w:lineRule="exact"/>
        <w:ind w:firstLine="420" w:firstLineChars="200"/>
        <w:jc w:val="left"/>
        <w:rPr>
          <w:rFonts w:ascii="宋体" w:hAnsi="宋体"/>
          <w:color w:val="auto"/>
          <w:szCs w:val="21"/>
          <w:highlight w:val="none"/>
        </w:rPr>
      </w:pPr>
    </w:p>
    <w:p>
      <w:pPr>
        <w:pStyle w:val="15"/>
        <w:snapToGrid w:val="0"/>
        <w:rPr>
          <w:rFonts w:ascii="宋体" w:hAnsi="宋体" w:eastAsia="宋体"/>
          <w:color w:val="auto"/>
          <w:sz w:val="21"/>
          <w:szCs w:val="21"/>
          <w:highlight w:val="none"/>
        </w:rPr>
      </w:pPr>
      <w:r>
        <w:rPr>
          <w:rFonts w:hint="eastAsia" w:ascii="宋体" w:hAnsi="宋体" w:eastAsia="宋体"/>
          <w:color w:val="auto"/>
          <w:sz w:val="21"/>
          <w:szCs w:val="21"/>
          <w:highlight w:val="none"/>
        </w:rPr>
        <w:t>注：本表可制成横表</w:t>
      </w:r>
    </w:p>
    <w:p>
      <w:pPr>
        <w:pStyle w:val="15"/>
        <w:snapToGrid w:val="0"/>
        <w:rPr>
          <w:rFonts w:ascii="宋体" w:hAnsi="宋体" w:eastAsia="宋体"/>
          <w:color w:val="auto"/>
          <w:sz w:val="21"/>
          <w:szCs w:val="21"/>
          <w:highlight w:val="none"/>
        </w:rPr>
      </w:pPr>
    </w:p>
    <w:p>
      <w:pPr>
        <w:snapToGrid w:val="0"/>
        <w:spacing w:before="50" w:after="50" w:line="320" w:lineRule="exact"/>
        <w:ind w:left="-2" w:leftChars="-1" w:right="-817" w:rightChars="-389"/>
        <w:rPr>
          <w:rFonts w:ascii="宋体" w:hAnsi="宋体"/>
          <w:color w:val="auto"/>
          <w:szCs w:val="21"/>
          <w:highlight w:val="none"/>
          <w:u w:val="single"/>
        </w:rPr>
      </w:pPr>
      <w:r>
        <w:rPr>
          <w:rFonts w:hint="eastAsia" w:ascii="宋体" w:hAnsi="宋体"/>
          <w:color w:val="auto"/>
          <w:szCs w:val="21"/>
          <w:highlight w:val="none"/>
        </w:rPr>
        <w:t xml:space="preserve">法定代表人或授权委托代理人（签字）： </w:t>
      </w:r>
    </w:p>
    <w:p>
      <w:pPr>
        <w:snapToGrid w:val="0"/>
        <w:spacing w:before="50" w:after="50"/>
        <w:ind w:right="-817" w:rightChars="-389"/>
        <w:rPr>
          <w:rFonts w:ascii="宋体" w:hAnsi="宋体"/>
          <w:color w:val="auto"/>
          <w:szCs w:val="21"/>
          <w:highlight w:val="none"/>
          <w:u w:val="single"/>
        </w:rPr>
      </w:pPr>
      <w:r>
        <w:rPr>
          <w:rFonts w:hint="eastAsia" w:ascii="宋体" w:hAnsi="宋体"/>
          <w:color w:val="auto"/>
          <w:szCs w:val="21"/>
          <w:highlight w:val="none"/>
        </w:rPr>
        <w:t>投标人名称（公章）：</w:t>
      </w:r>
    </w:p>
    <w:p>
      <w:pPr>
        <w:snapToGrid w:val="0"/>
        <w:spacing w:before="50" w:after="50"/>
        <w:ind w:right="-817" w:rightChars="-389"/>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年   月   日</w:t>
      </w:r>
    </w:p>
    <w:p>
      <w:pPr>
        <w:snapToGrid w:val="0"/>
        <w:spacing w:line="398" w:lineRule="exact"/>
        <w:ind w:firstLine="420" w:firstLineChars="200"/>
        <w:jc w:val="left"/>
        <w:rPr>
          <w:rFonts w:ascii="宋体" w:hAnsi="宋体"/>
          <w:color w:val="auto"/>
          <w:szCs w:val="21"/>
          <w:highlight w:val="none"/>
        </w:rPr>
      </w:pPr>
    </w:p>
    <w:p>
      <w:pPr>
        <w:snapToGrid w:val="0"/>
        <w:spacing w:line="398" w:lineRule="exact"/>
        <w:ind w:firstLine="420" w:firstLineChars="200"/>
        <w:jc w:val="left"/>
        <w:rPr>
          <w:rFonts w:ascii="宋体" w:hAnsi="宋体"/>
          <w:color w:val="auto"/>
          <w:szCs w:val="21"/>
          <w:highlight w:val="none"/>
        </w:rPr>
      </w:pPr>
    </w:p>
    <w:p>
      <w:pPr>
        <w:snapToGrid w:val="0"/>
        <w:spacing w:line="398" w:lineRule="exact"/>
        <w:ind w:firstLine="420" w:firstLineChars="200"/>
        <w:jc w:val="left"/>
        <w:rPr>
          <w:rFonts w:ascii="宋体" w:hAnsi="宋体"/>
          <w:color w:val="auto"/>
          <w:szCs w:val="21"/>
          <w:highlight w:val="none"/>
        </w:rPr>
      </w:pPr>
    </w:p>
    <w:p>
      <w:pPr>
        <w:snapToGrid w:val="0"/>
        <w:spacing w:before="50" w:after="50" w:line="440" w:lineRule="exact"/>
        <w:jc w:val="left"/>
        <w:rPr>
          <w:rFonts w:ascii="宋体" w:hAnsi="宋体"/>
          <w:color w:val="auto"/>
          <w:sz w:val="24"/>
          <w:highlight w:val="none"/>
        </w:rPr>
      </w:pPr>
      <w:r>
        <w:rPr>
          <w:rFonts w:hint="eastAsia" w:ascii="宋体" w:hAnsi="宋体"/>
          <w:b/>
          <w:color w:val="auto"/>
          <w:szCs w:val="21"/>
          <w:highlight w:val="none"/>
        </w:rPr>
        <w:br w:type="page"/>
      </w:r>
    </w:p>
    <w:p>
      <w:pPr>
        <w:snapToGrid w:val="0"/>
        <w:spacing w:line="398" w:lineRule="exact"/>
        <w:ind w:firstLine="422" w:firstLineChars="200"/>
        <w:jc w:val="left"/>
        <w:rPr>
          <w:rFonts w:ascii="宋体" w:hAnsi="宋体"/>
          <w:b/>
          <w:bCs/>
          <w:color w:val="auto"/>
          <w:szCs w:val="21"/>
          <w:highlight w:val="none"/>
        </w:rPr>
      </w:pPr>
    </w:p>
    <w:p>
      <w:pPr>
        <w:snapToGrid w:val="0"/>
        <w:spacing w:line="398" w:lineRule="exact"/>
        <w:jc w:val="left"/>
        <w:rPr>
          <w:rFonts w:ascii="宋体" w:hAnsi="宋体"/>
          <w:b/>
          <w:bCs/>
          <w:color w:val="auto"/>
          <w:szCs w:val="21"/>
          <w:highlight w:val="none"/>
        </w:rPr>
      </w:pPr>
      <w:r>
        <w:rPr>
          <w:rFonts w:hint="eastAsia" w:ascii="宋体" w:hAnsi="宋体"/>
          <w:b/>
          <w:bCs/>
          <w:color w:val="auto"/>
          <w:szCs w:val="21"/>
          <w:highlight w:val="none"/>
        </w:rPr>
        <w:t>1</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.投标人质量管理和环境认证体系等方面的资质证书或文件</w:t>
      </w:r>
    </w:p>
    <w:p>
      <w:pPr>
        <w:pStyle w:val="6"/>
        <w:ind w:firstLine="0"/>
        <w:outlineLvl w:val="9"/>
        <w:rPr>
          <w:color w:val="auto"/>
          <w:highlight w:val="none"/>
        </w:rPr>
      </w:pPr>
    </w:p>
    <w:p>
      <w:pPr>
        <w:rPr>
          <w:color w:val="auto"/>
          <w:highlight w:val="none"/>
        </w:rPr>
      </w:pPr>
    </w:p>
    <w:p>
      <w:pPr>
        <w:pStyle w:val="6"/>
        <w:outlineLvl w:val="9"/>
        <w:rPr>
          <w:color w:val="auto"/>
          <w:highlight w:val="none"/>
        </w:rPr>
      </w:pPr>
    </w:p>
    <w:p>
      <w:pPr>
        <w:rPr>
          <w:color w:val="auto"/>
          <w:highlight w:val="none"/>
        </w:rPr>
      </w:pPr>
    </w:p>
    <w:p>
      <w:pPr>
        <w:snapToGrid w:val="0"/>
        <w:spacing w:line="398" w:lineRule="exact"/>
        <w:jc w:val="left"/>
        <w:rPr>
          <w:rFonts w:ascii="宋体" w:hAnsi="宋体"/>
          <w:b/>
          <w:bCs/>
          <w:color w:val="auto"/>
          <w:szCs w:val="21"/>
          <w:highlight w:val="none"/>
        </w:rPr>
      </w:pPr>
      <w:r>
        <w:rPr>
          <w:rFonts w:hint="eastAsia" w:ascii="宋体" w:hAnsi="宋体"/>
          <w:b/>
          <w:bCs/>
          <w:color w:val="auto"/>
          <w:szCs w:val="21"/>
          <w:highlight w:val="none"/>
        </w:rPr>
        <w:t>1</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.投标人认为可以证明其能力或业绩的其它材料。</w:t>
      </w:r>
    </w:p>
    <w:p>
      <w:pPr>
        <w:snapToGrid w:val="0"/>
        <w:spacing w:before="50" w:after="50" w:line="440" w:lineRule="exact"/>
        <w:jc w:val="left"/>
        <w:rPr>
          <w:rFonts w:ascii="宋体" w:hAnsi="宋体"/>
          <w:color w:val="auto"/>
          <w:szCs w:val="21"/>
          <w:highlight w:val="none"/>
        </w:rPr>
      </w:pPr>
    </w:p>
    <w:p>
      <w:pPr>
        <w:snapToGrid w:val="0"/>
        <w:spacing w:before="120" w:beforeLines="50" w:after="50"/>
        <w:outlineLvl w:val="0"/>
        <w:rPr>
          <w:rFonts w:ascii="宋体" w:hAnsi="宋体"/>
          <w:color w:val="auto"/>
          <w:szCs w:val="21"/>
          <w:highlight w:val="none"/>
        </w:rPr>
      </w:pPr>
      <w:r>
        <w:rPr>
          <w:rFonts w:ascii="宋体" w:hAnsi="宋体"/>
          <w:b/>
          <w:bCs/>
          <w:color w:val="auto"/>
          <w:szCs w:val="21"/>
          <w:highlight w:val="none"/>
        </w:rPr>
        <w:br w:type="page"/>
      </w:r>
      <w:bookmarkStart w:id="87" w:name="_Toc23601_WPSOffice_Level1"/>
      <w:bookmarkStart w:id="88" w:name="_Toc6320_WPSOffice_Level1"/>
      <w:bookmarkStart w:id="89" w:name="_Toc19695_WPSOffice_Level1"/>
      <w:bookmarkStart w:id="90" w:name="_Toc801"/>
      <w:bookmarkStart w:id="91" w:name="_Toc27098_WPSOffice_Level1"/>
      <w:r>
        <w:rPr>
          <w:rFonts w:hint="eastAsia" w:ascii="宋体" w:hAnsi="宋体"/>
          <w:b/>
          <w:bCs/>
          <w:color w:val="auto"/>
          <w:szCs w:val="21"/>
          <w:highlight w:val="none"/>
        </w:rPr>
        <w:t>三、技术文件目录</w:t>
      </w:r>
      <w:bookmarkEnd w:id="87"/>
      <w:bookmarkEnd w:id="88"/>
      <w:bookmarkEnd w:id="89"/>
      <w:bookmarkEnd w:id="90"/>
      <w:bookmarkEnd w:id="91"/>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（1）对本项目系统总体要求的理解，包括：功能说明、性能指标及设备选型说明；</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（2）投标人拥有主要装备和检测设施的情况和现状；</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货物采购需求</w:t>
      </w:r>
      <w:r>
        <w:rPr>
          <w:rFonts w:hint="eastAsia" w:ascii="宋体" w:hAnsi="宋体"/>
          <w:color w:val="auto"/>
          <w:szCs w:val="21"/>
          <w:highlight w:val="none"/>
        </w:rPr>
        <w:t>中要求响应或必须提供的材料；</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（4）设备配置清单（均不含报价）；</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（5）技术响应表；</w:t>
      </w:r>
      <w:r>
        <w:rPr>
          <w:rFonts w:ascii="宋体" w:hAnsi="宋体"/>
          <w:color w:val="auto"/>
          <w:szCs w:val="21"/>
          <w:highlight w:val="none"/>
        </w:rPr>
        <w:t>（</w:t>
      </w:r>
      <w:r>
        <w:rPr>
          <w:rFonts w:hint="eastAsia" w:ascii="宋体" w:hAnsi="宋体"/>
          <w:color w:val="auto"/>
          <w:szCs w:val="21"/>
          <w:highlight w:val="none"/>
        </w:rPr>
        <w:t>必须提供</w:t>
      </w:r>
      <w:r>
        <w:rPr>
          <w:rFonts w:ascii="宋体" w:hAnsi="宋体"/>
          <w:color w:val="auto"/>
          <w:szCs w:val="21"/>
          <w:highlight w:val="none"/>
        </w:rPr>
        <w:t>）</w:t>
      </w:r>
    </w:p>
    <w:p>
      <w:pPr>
        <w:snapToGrid w:val="0"/>
        <w:spacing w:line="398"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（6）投标人的服务承诺书</w:t>
      </w:r>
      <w:r>
        <w:rPr>
          <w:rFonts w:hint="eastAsia" w:ascii="宋体" w:hAnsi="宋体"/>
          <w:b/>
          <w:color w:val="auto"/>
          <w:szCs w:val="21"/>
          <w:highlight w:val="none"/>
        </w:rPr>
        <w:t>（含交付使用期、售后维保、技术服务、技术培训、服务承诺的内容和措施等，格式自拟；必须提供）</w:t>
      </w:r>
      <w:r>
        <w:rPr>
          <w:rFonts w:hint="eastAsia" w:ascii="宋体" w:hAnsi="宋体"/>
          <w:color w:val="auto"/>
          <w:szCs w:val="21"/>
          <w:highlight w:val="none"/>
        </w:rPr>
        <w:t>；</w:t>
      </w: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hint="eastAsia" w:ascii="宋体" w:hAnsi="宋体"/>
          <w:b/>
          <w:color w:val="auto"/>
          <w:szCs w:val="21"/>
          <w:highlight w:val="none"/>
        </w:rPr>
      </w:pPr>
    </w:p>
    <w:p>
      <w:pPr>
        <w:snapToGrid w:val="0"/>
        <w:spacing w:line="398" w:lineRule="exact"/>
        <w:jc w:val="left"/>
        <w:rPr>
          <w:rFonts w:ascii="宋体" w:hAnsi="宋体"/>
          <w:b/>
          <w:color w:val="auto"/>
          <w:szCs w:val="21"/>
          <w:highlight w:val="none"/>
        </w:rPr>
      </w:pPr>
      <w:r>
        <w:rPr>
          <w:rFonts w:hint="eastAsia" w:ascii="宋体" w:hAnsi="宋体"/>
          <w:b/>
          <w:color w:val="auto"/>
          <w:szCs w:val="21"/>
          <w:highlight w:val="none"/>
        </w:rPr>
        <w:t>1.对本项目系统总体要求的理解，包括：功能说明、性能指标及设备选型说明；</w:t>
      </w:r>
    </w:p>
    <w:p>
      <w:pPr>
        <w:snapToGrid w:val="0"/>
        <w:spacing w:before="50" w:after="120" w:afterLines="50"/>
        <w:jc w:val="left"/>
        <w:rPr>
          <w:rFonts w:ascii="宋体" w:hAnsi="宋体"/>
          <w:b/>
          <w:color w:val="auto"/>
          <w:szCs w:val="21"/>
          <w:highlight w:val="none"/>
        </w:rPr>
      </w:pPr>
    </w:p>
    <w:p>
      <w:pPr>
        <w:snapToGrid w:val="0"/>
        <w:spacing w:before="50" w:after="120" w:afterLines="50"/>
        <w:jc w:val="left"/>
        <w:rPr>
          <w:rFonts w:ascii="宋体" w:hAnsi="宋体"/>
          <w:b/>
          <w:color w:val="auto"/>
          <w:szCs w:val="21"/>
          <w:highlight w:val="none"/>
        </w:rPr>
      </w:pPr>
    </w:p>
    <w:p>
      <w:pPr>
        <w:snapToGrid w:val="0"/>
        <w:spacing w:before="50" w:after="120" w:afterLines="50"/>
        <w:jc w:val="left"/>
        <w:rPr>
          <w:rFonts w:ascii="宋体" w:hAnsi="宋体"/>
          <w:b/>
          <w:color w:val="auto"/>
          <w:szCs w:val="21"/>
          <w:highlight w:val="none"/>
        </w:rPr>
      </w:pPr>
    </w:p>
    <w:p>
      <w:pPr>
        <w:snapToGrid w:val="0"/>
        <w:spacing w:before="50" w:after="120" w:afterLines="50"/>
        <w:jc w:val="left"/>
        <w:rPr>
          <w:rFonts w:ascii="宋体" w:hAnsi="宋体"/>
          <w:b/>
          <w:color w:val="auto"/>
          <w:szCs w:val="21"/>
          <w:highlight w:val="none"/>
        </w:rPr>
      </w:pPr>
      <w:r>
        <w:rPr>
          <w:rFonts w:hint="eastAsia" w:ascii="宋体" w:hAnsi="宋体"/>
          <w:b/>
          <w:color w:val="auto"/>
          <w:szCs w:val="21"/>
          <w:highlight w:val="none"/>
        </w:rPr>
        <w:t>2. 投标人</w:t>
      </w:r>
      <w:r>
        <w:rPr>
          <w:rFonts w:hint="eastAsia" w:hAnsi="宋体"/>
          <w:b/>
          <w:color w:val="auto"/>
          <w:highlight w:val="none"/>
        </w:rPr>
        <w:t>所投产品企业</w:t>
      </w:r>
      <w:r>
        <w:rPr>
          <w:rFonts w:hint="eastAsia" w:ascii="宋体" w:hAnsi="宋体"/>
          <w:b/>
          <w:color w:val="auto"/>
          <w:szCs w:val="21"/>
          <w:highlight w:val="none"/>
        </w:rPr>
        <w:t>拥有主要装备和检测设施的情况和现状；</w:t>
      </w:r>
    </w:p>
    <w:p>
      <w:pPr>
        <w:snapToGrid w:val="0"/>
        <w:spacing w:before="50" w:after="120" w:afterLines="50"/>
        <w:jc w:val="left"/>
        <w:rPr>
          <w:rFonts w:ascii="宋体" w:hAnsi="宋体"/>
          <w:b/>
          <w:color w:val="auto"/>
          <w:szCs w:val="21"/>
          <w:highlight w:val="none"/>
        </w:rPr>
      </w:pPr>
    </w:p>
    <w:p>
      <w:pPr>
        <w:snapToGrid w:val="0"/>
        <w:spacing w:before="50" w:after="120" w:afterLines="50"/>
        <w:jc w:val="left"/>
        <w:rPr>
          <w:rFonts w:ascii="宋体" w:hAnsi="宋体"/>
          <w:b/>
          <w:color w:val="auto"/>
          <w:szCs w:val="21"/>
          <w:highlight w:val="none"/>
        </w:rPr>
      </w:pPr>
    </w:p>
    <w:p>
      <w:pPr>
        <w:snapToGrid w:val="0"/>
        <w:spacing w:before="50" w:after="120" w:afterLines="50"/>
        <w:jc w:val="left"/>
        <w:rPr>
          <w:rFonts w:ascii="宋体" w:hAnsi="宋体"/>
          <w:b/>
          <w:color w:val="auto"/>
          <w:szCs w:val="21"/>
          <w:highlight w:val="none"/>
        </w:rPr>
      </w:pPr>
    </w:p>
    <w:p>
      <w:pPr>
        <w:snapToGrid w:val="0"/>
        <w:spacing w:before="50" w:after="120" w:afterLines="50"/>
        <w:jc w:val="left"/>
        <w:rPr>
          <w:rFonts w:ascii="宋体" w:hAns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eastAsia="zh-CN"/>
        </w:rPr>
        <w:t>货物采购需求</w:t>
      </w:r>
      <w:r>
        <w:rPr>
          <w:rFonts w:hint="eastAsia" w:ascii="宋体" w:hAnsi="宋体"/>
          <w:b/>
          <w:color w:val="auto"/>
          <w:szCs w:val="21"/>
          <w:highlight w:val="none"/>
        </w:rPr>
        <w:t>中要求响应或必须提供的材料；</w:t>
      </w:r>
    </w:p>
    <w:p>
      <w:pPr>
        <w:snapToGrid w:val="0"/>
        <w:spacing w:before="50" w:after="120" w:afterLines="50"/>
        <w:jc w:val="left"/>
        <w:rPr>
          <w:rFonts w:ascii="宋体" w:hAnsi="宋体"/>
          <w:b/>
          <w:color w:val="auto"/>
          <w:szCs w:val="21"/>
          <w:highlight w:val="none"/>
        </w:rPr>
      </w:pPr>
    </w:p>
    <w:p>
      <w:pPr>
        <w:snapToGrid w:val="0"/>
        <w:spacing w:before="50" w:after="120" w:afterLines="50"/>
        <w:jc w:val="left"/>
        <w:rPr>
          <w:rFonts w:ascii="宋体" w:hAnsi="宋体"/>
          <w:b/>
          <w:color w:val="auto"/>
          <w:szCs w:val="21"/>
          <w:highlight w:val="none"/>
        </w:rPr>
      </w:pPr>
    </w:p>
    <w:p>
      <w:pPr>
        <w:snapToGrid w:val="0"/>
        <w:spacing w:before="50" w:after="120" w:afterLines="50"/>
        <w:jc w:val="left"/>
        <w:rPr>
          <w:rFonts w:ascii="宋体" w:hAnsi="宋体"/>
          <w:b/>
          <w:color w:val="auto"/>
          <w:szCs w:val="21"/>
          <w:highlight w:val="none"/>
        </w:rPr>
      </w:pPr>
    </w:p>
    <w:p>
      <w:pPr>
        <w:snapToGrid w:val="0"/>
        <w:spacing w:before="50" w:after="120" w:afterLines="50"/>
        <w:jc w:val="left"/>
        <w:rPr>
          <w:rFonts w:ascii="宋体" w:hAnsi="宋体"/>
          <w:b/>
          <w:color w:val="auto"/>
          <w:szCs w:val="21"/>
          <w:highlight w:val="none"/>
        </w:rPr>
      </w:pPr>
      <w:r>
        <w:rPr>
          <w:rFonts w:hint="eastAsia" w:ascii="宋体" w:hAnsi="宋体"/>
          <w:b/>
          <w:color w:val="auto"/>
          <w:szCs w:val="21"/>
          <w:highlight w:val="none"/>
        </w:rPr>
        <w:t>4.设备配置清单（格式自拟）</w:t>
      </w:r>
    </w:p>
    <w:tbl>
      <w:tblPr>
        <w:tblStyle w:val="47"/>
        <w:tblW w:w="88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3"/>
        <w:gridCol w:w="1681"/>
        <w:gridCol w:w="1274"/>
        <w:gridCol w:w="1450"/>
        <w:gridCol w:w="944"/>
        <w:gridCol w:w="944"/>
        <w:gridCol w:w="16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设备名称</w:t>
            </w:r>
          </w:p>
        </w:tc>
        <w:tc>
          <w:tcPr>
            <w:tcW w:w="1274" w:type="dxa"/>
            <w:tcBorders>
              <w:top w:val="single" w:color="auto" w:sz="4" w:space="0"/>
              <w:left w:val="single" w:color="auto" w:sz="4" w:space="0"/>
              <w:bottom w:val="single" w:color="auto" w:sz="4" w:space="0"/>
              <w:right w:val="single" w:color="auto" w:sz="4" w:space="0"/>
            </w:tcBorders>
            <w:vAlign w:val="center"/>
          </w:tcPr>
          <w:p>
            <w:pPr>
              <w:pStyle w:val="73"/>
              <w:rPr>
                <w:rFonts w:ascii="宋体" w:eastAsia="宋体"/>
                <w:color w:val="auto"/>
                <w:highlight w:val="none"/>
              </w:rPr>
            </w:pPr>
            <w:r>
              <w:rPr>
                <w:rFonts w:hint="eastAsia" w:ascii="宋体" w:eastAsia="宋体"/>
                <w:b w:val="0"/>
                <w:color w:val="auto"/>
                <w:sz w:val="21"/>
                <w:szCs w:val="21"/>
                <w:highlight w:val="none"/>
              </w:rPr>
              <w:t>品  牌、</w:t>
            </w:r>
          </w:p>
          <w:p>
            <w:pPr>
              <w:tabs>
                <w:tab w:val="left" w:pos="1418"/>
              </w:tabs>
              <w:snapToGrid w:val="0"/>
              <w:spacing w:before="50" w:after="50" w:line="260" w:lineRule="exact"/>
              <w:jc w:val="center"/>
              <w:rPr>
                <w:rFonts w:ascii="宋体" w:hAnsi="宋体"/>
                <w:color w:val="auto"/>
                <w:szCs w:val="21"/>
                <w:highlight w:val="none"/>
              </w:rPr>
            </w:pPr>
            <w:r>
              <w:rPr>
                <w:rFonts w:hint="eastAsia" w:ascii="宋体" w:hAnsi="宋体"/>
                <w:color w:val="auto"/>
                <w:szCs w:val="21"/>
                <w:highlight w:val="none"/>
              </w:rPr>
              <w:t>规格型号、生产厂家</w:t>
            </w:r>
          </w:p>
        </w:tc>
        <w:tc>
          <w:tcPr>
            <w:tcW w:w="14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color w:val="auto"/>
                <w:szCs w:val="21"/>
                <w:highlight w:val="none"/>
              </w:rPr>
            </w:pPr>
            <w:r>
              <w:rPr>
                <w:rFonts w:hint="eastAsia" w:ascii="宋体" w:hAnsi="宋体"/>
                <w:color w:val="auto"/>
                <w:szCs w:val="21"/>
                <w:highlight w:val="none"/>
              </w:rPr>
              <w:t>技术参数</w:t>
            </w:r>
          </w:p>
        </w:tc>
        <w:tc>
          <w:tcPr>
            <w:tcW w:w="9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单位</w:t>
            </w:r>
          </w:p>
        </w:tc>
        <w:tc>
          <w:tcPr>
            <w:tcW w:w="9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数量</w:t>
            </w:r>
          </w:p>
        </w:tc>
        <w:tc>
          <w:tcPr>
            <w:tcW w:w="16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p>
        </w:tc>
      </w:tr>
    </w:tbl>
    <w:p>
      <w:pPr>
        <w:snapToGrid w:val="0"/>
        <w:spacing w:before="50" w:after="50" w:line="320" w:lineRule="exact"/>
        <w:ind w:left="-2" w:leftChars="-1" w:right="-817" w:rightChars="-389"/>
        <w:rPr>
          <w:rFonts w:ascii="宋体" w:hAnsi="宋体"/>
          <w:color w:val="auto"/>
          <w:szCs w:val="21"/>
          <w:highlight w:val="none"/>
        </w:rPr>
      </w:pPr>
    </w:p>
    <w:p>
      <w:pPr>
        <w:snapToGrid w:val="0"/>
        <w:spacing w:before="50" w:after="50" w:line="320" w:lineRule="exact"/>
        <w:ind w:left="-2" w:leftChars="-1" w:right="-817" w:rightChars="-389"/>
        <w:rPr>
          <w:rFonts w:ascii="宋体" w:hAnsi="宋体"/>
          <w:color w:val="auto"/>
          <w:szCs w:val="21"/>
          <w:highlight w:val="none"/>
          <w:u w:val="single"/>
        </w:rPr>
      </w:pPr>
      <w:r>
        <w:rPr>
          <w:rFonts w:hint="eastAsia" w:ascii="宋体" w:hAnsi="宋体"/>
          <w:color w:val="auto"/>
          <w:szCs w:val="21"/>
          <w:highlight w:val="none"/>
        </w:rPr>
        <w:t xml:space="preserve">法定代表人或授权委托代理人（签字）： </w:t>
      </w:r>
    </w:p>
    <w:p>
      <w:pPr>
        <w:snapToGrid w:val="0"/>
        <w:spacing w:before="50" w:after="50"/>
        <w:ind w:right="-817" w:rightChars="-389"/>
        <w:rPr>
          <w:rFonts w:ascii="宋体" w:hAnsi="宋体"/>
          <w:color w:val="auto"/>
          <w:szCs w:val="21"/>
          <w:highlight w:val="none"/>
          <w:u w:val="single"/>
        </w:rPr>
      </w:pPr>
      <w:r>
        <w:rPr>
          <w:rFonts w:hint="eastAsia" w:ascii="宋体" w:hAnsi="宋体"/>
          <w:color w:val="auto"/>
          <w:szCs w:val="21"/>
          <w:highlight w:val="none"/>
        </w:rPr>
        <w:t>投标人名称（公章）：</w:t>
      </w:r>
    </w:p>
    <w:p>
      <w:pPr>
        <w:snapToGrid w:val="0"/>
        <w:spacing w:before="50" w:after="50"/>
        <w:ind w:right="-817" w:rightChars="-389"/>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年   月   日</w:t>
      </w:r>
    </w:p>
    <w:p>
      <w:pPr>
        <w:snapToGrid w:val="0"/>
        <w:spacing w:before="50" w:after="120" w:afterLines="50"/>
        <w:jc w:val="left"/>
        <w:rPr>
          <w:rFonts w:ascii="宋体" w:hAnsi="宋体"/>
          <w:color w:val="auto"/>
          <w:szCs w:val="21"/>
          <w:highlight w:val="none"/>
        </w:rPr>
      </w:pPr>
    </w:p>
    <w:p>
      <w:pPr>
        <w:pStyle w:val="6"/>
        <w:outlineLvl w:val="9"/>
        <w:rPr>
          <w:rFonts w:hAnsi="宋体"/>
          <w:color w:val="auto"/>
          <w:szCs w:val="21"/>
          <w:highlight w:val="none"/>
        </w:rPr>
      </w:pPr>
    </w:p>
    <w:p>
      <w:pPr>
        <w:rPr>
          <w:color w:val="auto"/>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framePr w:hSpace="180" w:wrap="around" w:vAnchor="text" w:hAnchor="page" w:x="930" w:y="1"/>
        <w:numPr>
          <w:ilvl w:val="0"/>
          <w:numId w:val="9"/>
        </w:numPr>
        <w:snapToGrid w:val="0"/>
        <w:spacing w:before="50" w:after="120" w:afterLines="50"/>
        <w:jc w:val="left"/>
        <w:rPr>
          <w:rFonts w:hint="eastAsia" w:ascii="宋体" w:hAnsi="宋体"/>
          <w:b/>
          <w:color w:val="auto"/>
          <w:szCs w:val="21"/>
          <w:highlight w:val="none"/>
        </w:rPr>
      </w:pPr>
      <w:r>
        <w:rPr>
          <w:rFonts w:hint="eastAsia" w:ascii="宋体" w:hAnsi="宋体"/>
          <w:b/>
          <w:color w:val="auto"/>
          <w:szCs w:val="21"/>
          <w:highlight w:val="none"/>
        </w:rPr>
        <w:t>技术响应表格式：</w:t>
      </w:r>
    </w:p>
    <w:p>
      <w:pPr>
        <w:pStyle w:val="2"/>
        <w:framePr w:hSpace="180" w:wrap="around" w:vAnchor="text" w:hAnchor="page" w:x="930" w:y="1"/>
        <w:numPr>
          <w:ilvl w:val="0"/>
          <w:numId w:val="0"/>
        </w:numPr>
        <w:rPr>
          <w:color w:val="auto"/>
        </w:rPr>
      </w:pPr>
    </w:p>
    <w:tbl>
      <w:tblPr>
        <w:tblStyle w:val="47"/>
        <w:tblpPr w:leftFromText="180" w:rightFromText="180" w:vertAnchor="text" w:horzAnchor="page" w:tblpX="1080" w:tblpY="625"/>
        <w:tblOverlap w:val="never"/>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81"/>
        <w:gridCol w:w="3386"/>
        <w:gridCol w:w="297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5" w:type="dxa"/>
          </w:tcPr>
          <w:p>
            <w:pPr>
              <w:pStyle w:val="25"/>
              <w:spacing w:before="240"/>
              <w:jc w:val="center"/>
              <w:rPr>
                <w:bCs/>
                <w:color w:val="auto"/>
                <w:highlight w:val="none"/>
              </w:rPr>
            </w:pPr>
            <w:r>
              <w:rPr>
                <w:rFonts w:hint="eastAsia"/>
                <w:bCs/>
                <w:color w:val="auto"/>
                <w:highlight w:val="none"/>
              </w:rPr>
              <w:t>项号</w:t>
            </w:r>
          </w:p>
        </w:tc>
        <w:tc>
          <w:tcPr>
            <w:tcW w:w="1181" w:type="dxa"/>
          </w:tcPr>
          <w:p>
            <w:pPr>
              <w:pStyle w:val="25"/>
              <w:spacing w:before="240"/>
              <w:jc w:val="center"/>
              <w:rPr>
                <w:bCs/>
                <w:color w:val="auto"/>
                <w:highlight w:val="none"/>
              </w:rPr>
            </w:pPr>
            <w:r>
              <w:rPr>
                <w:rFonts w:hint="eastAsia"/>
                <w:bCs/>
                <w:color w:val="auto"/>
                <w:highlight w:val="none"/>
              </w:rPr>
              <w:t>货物名称</w:t>
            </w:r>
          </w:p>
        </w:tc>
        <w:tc>
          <w:tcPr>
            <w:tcW w:w="3386" w:type="dxa"/>
          </w:tcPr>
          <w:p>
            <w:pPr>
              <w:pStyle w:val="25"/>
              <w:spacing w:before="240"/>
              <w:jc w:val="center"/>
              <w:rPr>
                <w:b/>
                <w:color w:val="auto"/>
                <w:sz w:val="32"/>
                <w:highlight w:val="none"/>
              </w:rPr>
            </w:pPr>
            <w:r>
              <w:rPr>
                <w:rFonts w:hint="eastAsia"/>
                <w:bCs/>
                <w:color w:val="auto"/>
                <w:highlight w:val="none"/>
              </w:rPr>
              <w:t>招标要求</w:t>
            </w:r>
          </w:p>
        </w:tc>
        <w:tc>
          <w:tcPr>
            <w:tcW w:w="2973" w:type="dxa"/>
          </w:tcPr>
          <w:p>
            <w:pPr>
              <w:pStyle w:val="25"/>
              <w:spacing w:before="240"/>
              <w:jc w:val="center"/>
              <w:rPr>
                <w:b/>
                <w:color w:val="auto"/>
                <w:sz w:val="32"/>
                <w:highlight w:val="none"/>
              </w:rPr>
            </w:pPr>
            <w:r>
              <w:rPr>
                <w:rFonts w:hint="eastAsia"/>
                <w:bCs/>
                <w:color w:val="auto"/>
                <w:highlight w:val="none"/>
              </w:rPr>
              <w:t>投标技术规格</w:t>
            </w:r>
          </w:p>
        </w:tc>
        <w:tc>
          <w:tcPr>
            <w:tcW w:w="1437" w:type="dxa"/>
          </w:tcPr>
          <w:p>
            <w:pPr>
              <w:pStyle w:val="25"/>
              <w:spacing w:before="240"/>
              <w:jc w:val="center"/>
              <w:rPr>
                <w:bCs/>
                <w:color w:val="auto"/>
                <w:highlight w:val="none"/>
              </w:rPr>
            </w:pPr>
            <w:r>
              <w:rPr>
                <w:rFonts w:hint="eastAsia"/>
                <w:bCs/>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5" w:type="dxa"/>
          </w:tcPr>
          <w:p>
            <w:pPr>
              <w:pStyle w:val="25"/>
              <w:spacing w:before="240" w:line="300" w:lineRule="exact"/>
              <w:jc w:val="center"/>
              <w:rPr>
                <w:color w:val="auto"/>
                <w:szCs w:val="21"/>
                <w:highlight w:val="none"/>
              </w:rPr>
            </w:pPr>
            <w:r>
              <w:rPr>
                <w:rFonts w:hint="eastAsia"/>
                <w:color w:val="auto"/>
                <w:szCs w:val="21"/>
                <w:highlight w:val="none"/>
              </w:rPr>
              <w:t>1</w:t>
            </w:r>
          </w:p>
        </w:tc>
        <w:tc>
          <w:tcPr>
            <w:tcW w:w="1181" w:type="dxa"/>
          </w:tcPr>
          <w:p>
            <w:pPr>
              <w:pStyle w:val="25"/>
              <w:spacing w:before="240" w:line="300" w:lineRule="exact"/>
              <w:rPr>
                <w:color w:val="auto"/>
                <w:sz w:val="32"/>
                <w:highlight w:val="none"/>
              </w:rPr>
            </w:pPr>
          </w:p>
        </w:tc>
        <w:tc>
          <w:tcPr>
            <w:tcW w:w="3386" w:type="dxa"/>
          </w:tcPr>
          <w:p>
            <w:pPr>
              <w:pStyle w:val="25"/>
              <w:spacing w:before="240" w:line="300" w:lineRule="exact"/>
              <w:jc w:val="center"/>
              <w:rPr>
                <w:b/>
                <w:color w:val="auto"/>
                <w:sz w:val="32"/>
                <w:highlight w:val="none"/>
              </w:rPr>
            </w:pPr>
          </w:p>
        </w:tc>
        <w:tc>
          <w:tcPr>
            <w:tcW w:w="2973" w:type="dxa"/>
          </w:tcPr>
          <w:p>
            <w:pPr>
              <w:pStyle w:val="25"/>
              <w:spacing w:before="240" w:line="300" w:lineRule="exact"/>
              <w:jc w:val="center"/>
              <w:rPr>
                <w:b/>
                <w:color w:val="auto"/>
                <w:sz w:val="32"/>
                <w:highlight w:val="none"/>
              </w:rPr>
            </w:pPr>
          </w:p>
        </w:tc>
        <w:tc>
          <w:tcPr>
            <w:tcW w:w="1437" w:type="dxa"/>
          </w:tcPr>
          <w:p>
            <w:pPr>
              <w:pStyle w:val="25"/>
              <w:spacing w:before="240" w:line="300" w:lineRule="exact"/>
              <w:jc w:val="center"/>
              <w:rPr>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5" w:type="dxa"/>
          </w:tcPr>
          <w:p>
            <w:pPr>
              <w:pStyle w:val="25"/>
              <w:spacing w:before="240" w:line="300" w:lineRule="exact"/>
              <w:jc w:val="center"/>
              <w:rPr>
                <w:color w:val="auto"/>
                <w:szCs w:val="21"/>
                <w:highlight w:val="none"/>
              </w:rPr>
            </w:pPr>
            <w:r>
              <w:rPr>
                <w:rFonts w:hint="eastAsia"/>
                <w:color w:val="auto"/>
                <w:szCs w:val="21"/>
                <w:highlight w:val="none"/>
              </w:rPr>
              <w:t>2</w:t>
            </w:r>
          </w:p>
        </w:tc>
        <w:tc>
          <w:tcPr>
            <w:tcW w:w="1181" w:type="dxa"/>
          </w:tcPr>
          <w:p>
            <w:pPr>
              <w:pStyle w:val="25"/>
              <w:spacing w:before="240" w:line="300" w:lineRule="exact"/>
              <w:rPr>
                <w:color w:val="auto"/>
                <w:sz w:val="32"/>
                <w:highlight w:val="none"/>
              </w:rPr>
            </w:pPr>
          </w:p>
        </w:tc>
        <w:tc>
          <w:tcPr>
            <w:tcW w:w="3386" w:type="dxa"/>
          </w:tcPr>
          <w:p>
            <w:pPr>
              <w:pStyle w:val="25"/>
              <w:spacing w:before="240" w:line="300" w:lineRule="exact"/>
              <w:jc w:val="center"/>
              <w:rPr>
                <w:b/>
                <w:color w:val="auto"/>
                <w:sz w:val="32"/>
                <w:highlight w:val="none"/>
              </w:rPr>
            </w:pPr>
          </w:p>
        </w:tc>
        <w:tc>
          <w:tcPr>
            <w:tcW w:w="2973" w:type="dxa"/>
          </w:tcPr>
          <w:p>
            <w:pPr>
              <w:pStyle w:val="25"/>
              <w:spacing w:before="240" w:line="300" w:lineRule="exact"/>
              <w:jc w:val="center"/>
              <w:rPr>
                <w:b/>
                <w:color w:val="auto"/>
                <w:sz w:val="32"/>
                <w:highlight w:val="none"/>
              </w:rPr>
            </w:pPr>
          </w:p>
        </w:tc>
        <w:tc>
          <w:tcPr>
            <w:tcW w:w="1437" w:type="dxa"/>
          </w:tcPr>
          <w:p>
            <w:pPr>
              <w:pStyle w:val="25"/>
              <w:spacing w:before="240" w:line="300" w:lineRule="exact"/>
              <w:jc w:val="center"/>
              <w:rPr>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5" w:type="dxa"/>
          </w:tcPr>
          <w:p>
            <w:pPr>
              <w:pStyle w:val="25"/>
              <w:spacing w:before="240" w:line="300" w:lineRule="exact"/>
              <w:jc w:val="center"/>
              <w:rPr>
                <w:color w:val="auto"/>
                <w:szCs w:val="21"/>
                <w:highlight w:val="none"/>
              </w:rPr>
            </w:pPr>
            <w:r>
              <w:rPr>
                <w:rFonts w:hint="eastAsia"/>
                <w:color w:val="auto"/>
                <w:szCs w:val="21"/>
                <w:highlight w:val="none"/>
              </w:rPr>
              <w:t>3</w:t>
            </w:r>
          </w:p>
        </w:tc>
        <w:tc>
          <w:tcPr>
            <w:tcW w:w="1181" w:type="dxa"/>
          </w:tcPr>
          <w:p>
            <w:pPr>
              <w:pStyle w:val="25"/>
              <w:spacing w:before="240" w:line="300" w:lineRule="exact"/>
              <w:rPr>
                <w:color w:val="auto"/>
                <w:sz w:val="32"/>
                <w:highlight w:val="none"/>
              </w:rPr>
            </w:pPr>
          </w:p>
        </w:tc>
        <w:tc>
          <w:tcPr>
            <w:tcW w:w="3386" w:type="dxa"/>
          </w:tcPr>
          <w:p>
            <w:pPr>
              <w:pStyle w:val="25"/>
              <w:spacing w:before="240" w:line="300" w:lineRule="exact"/>
              <w:jc w:val="center"/>
              <w:rPr>
                <w:b/>
                <w:color w:val="auto"/>
                <w:sz w:val="32"/>
                <w:highlight w:val="none"/>
              </w:rPr>
            </w:pPr>
          </w:p>
        </w:tc>
        <w:tc>
          <w:tcPr>
            <w:tcW w:w="2973" w:type="dxa"/>
          </w:tcPr>
          <w:p>
            <w:pPr>
              <w:pStyle w:val="25"/>
              <w:spacing w:before="240" w:line="300" w:lineRule="exact"/>
              <w:jc w:val="center"/>
              <w:rPr>
                <w:b/>
                <w:color w:val="auto"/>
                <w:sz w:val="32"/>
                <w:highlight w:val="none"/>
              </w:rPr>
            </w:pPr>
          </w:p>
        </w:tc>
        <w:tc>
          <w:tcPr>
            <w:tcW w:w="1437" w:type="dxa"/>
          </w:tcPr>
          <w:p>
            <w:pPr>
              <w:pStyle w:val="25"/>
              <w:spacing w:before="240" w:line="300" w:lineRule="exact"/>
              <w:jc w:val="center"/>
              <w:rPr>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5" w:type="dxa"/>
          </w:tcPr>
          <w:p>
            <w:pPr>
              <w:pStyle w:val="25"/>
              <w:spacing w:before="240" w:line="300" w:lineRule="exact"/>
              <w:jc w:val="center"/>
              <w:rPr>
                <w:color w:val="auto"/>
                <w:szCs w:val="21"/>
                <w:highlight w:val="none"/>
              </w:rPr>
            </w:pPr>
            <w:r>
              <w:rPr>
                <w:rFonts w:hint="eastAsia"/>
                <w:color w:val="auto"/>
                <w:szCs w:val="21"/>
                <w:highlight w:val="none"/>
              </w:rPr>
              <w:t>4</w:t>
            </w:r>
          </w:p>
        </w:tc>
        <w:tc>
          <w:tcPr>
            <w:tcW w:w="1181" w:type="dxa"/>
          </w:tcPr>
          <w:p>
            <w:pPr>
              <w:pStyle w:val="25"/>
              <w:spacing w:before="240" w:line="300" w:lineRule="exact"/>
              <w:rPr>
                <w:color w:val="auto"/>
                <w:sz w:val="32"/>
                <w:highlight w:val="none"/>
              </w:rPr>
            </w:pPr>
          </w:p>
        </w:tc>
        <w:tc>
          <w:tcPr>
            <w:tcW w:w="3386" w:type="dxa"/>
          </w:tcPr>
          <w:p>
            <w:pPr>
              <w:pStyle w:val="25"/>
              <w:spacing w:before="240" w:line="300" w:lineRule="exact"/>
              <w:jc w:val="center"/>
              <w:rPr>
                <w:b/>
                <w:color w:val="auto"/>
                <w:sz w:val="32"/>
                <w:highlight w:val="none"/>
              </w:rPr>
            </w:pPr>
          </w:p>
        </w:tc>
        <w:tc>
          <w:tcPr>
            <w:tcW w:w="2973" w:type="dxa"/>
          </w:tcPr>
          <w:p>
            <w:pPr>
              <w:pStyle w:val="25"/>
              <w:spacing w:before="240" w:line="300" w:lineRule="exact"/>
              <w:jc w:val="center"/>
              <w:rPr>
                <w:b/>
                <w:color w:val="auto"/>
                <w:sz w:val="32"/>
                <w:highlight w:val="none"/>
              </w:rPr>
            </w:pPr>
          </w:p>
        </w:tc>
        <w:tc>
          <w:tcPr>
            <w:tcW w:w="1437" w:type="dxa"/>
          </w:tcPr>
          <w:p>
            <w:pPr>
              <w:pStyle w:val="25"/>
              <w:spacing w:before="240" w:line="300" w:lineRule="exact"/>
              <w:jc w:val="center"/>
              <w:rPr>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5" w:type="dxa"/>
          </w:tcPr>
          <w:p>
            <w:pPr>
              <w:pStyle w:val="25"/>
              <w:spacing w:before="240" w:line="300" w:lineRule="exact"/>
              <w:jc w:val="center"/>
              <w:rPr>
                <w:color w:val="auto"/>
                <w:szCs w:val="21"/>
                <w:highlight w:val="none"/>
              </w:rPr>
            </w:pPr>
            <w:r>
              <w:rPr>
                <w:rFonts w:hint="eastAsia"/>
                <w:color w:val="auto"/>
                <w:szCs w:val="21"/>
                <w:highlight w:val="none"/>
              </w:rPr>
              <w:t>5</w:t>
            </w:r>
          </w:p>
        </w:tc>
        <w:tc>
          <w:tcPr>
            <w:tcW w:w="1181" w:type="dxa"/>
          </w:tcPr>
          <w:p>
            <w:pPr>
              <w:pStyle w:val="25"/>
              <w:spacing w:before="240" w:line="300" w:lineRule="exact"/>
              <w:rPr>
                <w:color w:val="auto"/>
                <w:sz w:val="32"/>
                <w:highlight w:val="none"/>
              </w:rPr>
            </w:pPr>
          </w:p>
        </w:tc>
        <w:tc>
          <w:tcPr>
            <w:tcW w:w="3386" w:type="dxa"/>
          </w:tcPr>
          <w:p>
            <w:pPr>
              <w:pStyle w:val="25"/>
              <w:spacing w:before="240" w:line="300" w:lineRule="exact"/>
              <w:jc w:val="center"/>
              <w:rPr>
                <w:b/>
                <w:color w:val="auto"/>
                <w:sz w:val="32"/>
                <w:highlight w:val="none"/>
              </w:rPr>
            </w:pPr>
          </w:p>
        </w:tc>
        <w:tc>
          <w:tcPr>
            <w:tcW w:w="2973" w:type="dxa"/>
          </w:tcPr>
          <w:p>
            <w:pPr>
              <w:pStyle w:val="25"/>
              <w:spacing w:before="240" w:line="300" w:lineRule="exact"/>
              <w:jc w:val="center"/>
              <w:rPr>
                <w:b/>
                <w:color w:val="auto"/>
                <w:sz w:val="32"/>
                <w:highlight w:val="none"/>
              </w:rPr>
            </w:pPr>
          </w:p>
        </w:tc>
        <w:tc>
          <w:tcPr>
            <w:tcW w:w="1437" w:type="dxa"/>
          </w:tcPr>
          <w:p>
            <w:pPr>
              <w:pStyle w:val="25"/>
              <w:spacing w:before="240" w:line="300" w:lineRule="exact"/>
              <w:jc w:val="center"/>
              <w:rPr>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5" w:type="dxa"/>
          </w:tcPr>
          <w:p>
            <w:pPr>
              <w:pStyle w:val="25"/>
              <w:spacing w:before="240" w:line="300" w:lineRule="exact"/>
              <w:jc w:val="center"/>
              <w:rPr>
                <w:color w:val="auto"/>
                <w:szCs w:val="21"/>
                <w:highlight w:val="none"/>
              </w:rPr>
            </w:pPr>
            <w:r>
              <w:rPr>
                <w:rFonts w:hint="eastAsia"/>
                <w:color w:val="auto"/>
                <w:szCs w:val="21"/>
                <w:highlight w:val="none"/>
              </w:rPr>
              <w:t>6</w:t>
            </w:r>
          </w:p>
        </w:tc>
        <w:tc>
          <w:tcPr>
            <w:tcW w:w="1181" w:type="dxa"/>
          </w:tcPr>
          <w:p>
            <w:pPr>
              <w:pStyle w:val="25"/>
              <w:spacing w:before="240" w:line="300" w:lineRule="exact"/>
              <w:rPr>
                <w:color w:val="auto"/>
                <w:sz w:val="32"/>
                <w:highlight w:val="none"/>
              </w:rPr>
            </w:pPr>
          </w:p>
        </w:tc>
        <w:tc>
          <w:tcPr>
            <w:tcW w:w="3386" w:type="dxa"/>
          </w:tcPr>
          <w:p>
            <w:pPr>
              <w:pStyle w:val="25"/>
              <w:spacing w:before="240" w:line="300" w:lineRule="exact"/>
              <w:jc w:val="center"/>
              <w:rPr>
                <w:b/>
                <w:color w:val="auto"/>
                <w:sz w:val="32"/>
                <w:highlight w:val="none"/>
              </w:rPr>
            </w:pPr>
          </w:p>
        </w:tc>
        <w:tc>
          <w:tcPr>
            <w:tcW w:w="2973" w:type="dxa"/>
          </w:tcPr>
          <w:p>
            <w:pPr>
              <w:pStyle w:val="25"/>
              <w:spacing w:before="240" w:line="300" w:lineRule="exact"/>
              <w:jc w:val="center"/>
              <w:rPr>
                <w:b/>
                <w:color w:val="auto"/>
                <w:sz w:val="32"/>
                <w:highlight w:val="none"/>
              </w:rPr>
            </w:pPr>
          </w:p>
        </w:tc>
        <w:tc>
          <w:tcPr>
            <w:tcW w:w="1437" w:type="dxa"/>
          </w:tcPr>
          <w:p>
            <w:pPr>
              <w:pStyle w:val="25"/>
              <w:spacing w:before="240" w:line="300" w:lineRule="exact"/>
              <w:jc w:val="center"/>
              <w:rPr>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5" w:type="dxa"/>
          </w:tcPr>
          <w:p>
            <w:pPr>
              <w:pStyle w:val="25"/>
              <w:spacing w:before="240" w:line="300" w:lineRule="exact"/>
              <w:jc w:val="center"/>
              <w:rPr>
                <w:color w:val="auto"/>
                <w:szCs w:val="21"/>
                <w:highlight w:val="none"/>
              </w:rPr>
            </w:pPr>
            <w:r>
              <w:rPr>
                <w:rFonts w:hint="eastAsia"/>
                <w:color w:val="auto"/>
                <w:szCs w:val="21"/>
                <w:highlight w:val="none"/>
              </w:rPr>
              <w:t>7</w:t>
            </w:r>
          </w:p>
        </w:tc>
        <w:tc>
          <w:tcPr>
            <w:tcW w:w="1181" w:type="dxa"/>
          </w:tcPr>
          <w:p>
            <w:pPr>
              <w:pStyle w:val="25"/>
              <w:spacing w:before="240" w:line="300" w:lineRule="exact"/>
              <w:rPr>
                <w:color w:val="auto"/>
                <w:sz w:val="32"/>
                <w:highlight w:val="none"/>
              </w:rPr>
            </w:pPr>
          </w:p>
        </w:tc>
        <w:tc>
          <w:tcPr>
            <w:tcW w:w="3386" w:type="dxa"/>
          </w:tcPr>
          <w:p>
            <w:pPr>
              <w:pStyle w:val="25"/>
              <w:spacing w:before="240" w:line="300" w:lineRule="exact"/>
              <w:jc w:val="center"/>
              <w:rPr>
                <w:b/>
                <w:color w:val="auto"/>
                <w:sz w:val="32"/>
                <w:highlight w:val="none"/>
              </w:rPr>
            </w:pPr>
          </w:p>
        </w:tc>
        <w:tc>
          <w:tcPr>
            <w:tcW w:w="2973" w:type="dxa"/>
          </w:tcPr>
          <w:p>
            <w:pPr>
              <w:pStyle w:val="25"/>
              <w:spacing w:before="240" w:line="300" w:lineRule="exact"/>
              <w:jc w:val="center"/>
              <w:rPr>
                <w:b/>
                <w:color w:val="auto"/>
                <w:sz w:val="32"/>
                <w:highlight w:val="none"/>
              </w:rPr>
            </w:pPr>
          </w:p>
        </w:tc>
        <w:tc>
          <w:tcPr>
            <w:tcW w:w="1437" w:type="dxa"/>
          </w:tcPr>
          <w:p>
            <w:pPr>
              <w:pStyle w:val="25"/>
              <w:spacing w:before="240" w:line="300" w:lineRule="exact"/>
              <w:jc w:val="center"/>
              <w:rPr>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5" w:type="dxa"/>
          </w:tcPr>
          <w:p>
            <w:pPr>
              <w:pStyle w:val="25"/>
              <w:spacing w:before="240" w:line="300" w:lineRule="exact"/>
              <w:jc w:val="center"/>
              <w:rPr>
                <w:color w:val="auto"/>
                <w:szCs w:val="21"/>
                <w:highlight w:val="none"/>
              </w:rPr>
            </w:pPr>
            <w:r>
              <w:rPr>
                <w:rFonts w:hint="eastAsia"/>
                <w:color w:val="auto"/>
                <w:szCs w:val="21"/>
                <w:highlight w:val="none"/>
              </w:rPr>
              <w:t>8</w:t>
            </w:r>
          </w:p>
        </w:tc>
        <w:tc>
          <w:tcPr>
            <w:tcW w:w="1181" w:type="dxa"/>
          </w:tcPr>
          <w:p>
            <w:pPr>
              <w:pStyle w:val="25"/>
              <w:spacing w:before="240" w:line="300" w:lineRule="exact"/>
              <w:rPr>
                <w:color w:val="auto"/>
                <w:sz w:val="32"/>
                <w:highlight w:val="none"/>
              </w:rPr>
            </w:pPr>
          </w:p>
        </w:tc>
        <w:tc>
          <w:tcPr>
            <w:tcW w:w="3386" w:type="dxa"/>
          </w:tcPr>
          <w:p>
            <w:pPr>
              <w:pStyle w:val="25"/>
              <w:spacing w:before="240" w:line="300" w:lineRule="exact"/>
              <w:jc w:val="center"/>
              <w:rPr>
                <w:b/>
                <w:color w:val="auto"/>
                <w:sz w:val="32"/>
                <w:highlight w:val="none"/>
              </w:rPr>
            </w:pPr>
          </w:p>
        </w:tc>
        <w:tc>
          <w:tcPr>
            <w:tcW w:w="2973" w:type="dxa"/>
          </w:tcPr>
          <w:p>
            <w:pPr>
              <w:pStyle w:val="25"/>
              <w:spacing w:before="240" w:line="300" w:lineRule="exact"/>
              <w:jc w:val="center"/>
              <w:rPr>
                <w:b/>
                <w:color w:val="auto"/>
                <w:sz w:val="32"/>
                <w:highlight w:val="none"/>
              </w:rPr>
            </w:pPr>
          </w:p>
        </w:tc>
        <w:tc>
          <w:tcPr>
            <w:tcW w:w="1437" w:type="dxa"/>
          </w:tcPr>
          <w:p>
            <w:pPr>
              <w:pStyle w:val="25"/>
              <w:spacing w:before="240" w:line="300" w:lineRule="exact"/>
              <w:jc w:val="center"/>
              <w:rPr>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5" w:type="dxa"/>
          </w:tcPr>
          <w:p>
            <w:pPr>
              <w:pStyle w:val="25"/>
              <w:spacing w:before="240" w:line="300" w:lineRule="exact"/>
              <w:jc w:val="center"/>
              <w:rPr>
                <w:color w:val="auto"/>
                <w:szCs w:val="21"/>
                <w:highlight w:val="none"/>
              </w:rPr>
            </w:pPr>
            <w:r>
              <w:rPr>
                <w:rFonts w:hint="eastAsia"/>
                <w:color w:val="auto"/>
                <w:szCs w:val="21"/>
                <w:highlight w:val="none"/>
              </w:rPr>
              <w:t>9</w:t>
            </w:r>
          </w:p>
        </w:tc>
        <w:tc>
          <w:tcPr>
            <w:tcW w:w="1181" w:type="dxa"/>
          </w:tcPr>
          <w:p>
            <w:pPr>
              <w:pStyle w:val="25"/>
              <w:spacing w:before="240" w:line="300" w:lineRule="exact"/>
              <w:rPr>
                <w:color w:val="auto"/>
                <w:sz w:val="32"/>
                <w:highlight w:val="none"/>
              </w:rPr>
            </w:pPr>
          </w:p>
        </w:tc>
        <w:tc>
          <w:tcPr>
            <w:tcW w:w="3386" w:type="dxa"/>
          </w:tcPr>
          <w:p>
            <w:pPr>
              <w:pStyle w:val="25"/>
              <w:spacing w:before="240" w:line="300" w:lineRule="exact"/>
              <w:jc w:val="center"/>
              <w:rPr>
                <w:b/>
                <w:color w:val="auto"/>
                <w:sz w:val="32"/>
                <w:highlight w:val="none"/>
              </w:rPr>
            </w:pPr>
          </w:p>
        </w:tc>
        <w:tc>
          <w:tcPr>
            <w:tcW w:w="2973" w:type="dxa"/>
          </w:tcPr>
          <w:p>
            <w:pPr>
              <w:pStyle w:val="25"/>
              <w:spacing w:before="240" w:line="300" w:lineRule="exact"/>
              <w:jc w:val="center"/>
              <w:rPr>
                <w:b/>
                <w:color w:val="auto"/>
                <w:sz w:val="32"/>
                <w:highlight w:val="none"/>
              </w:rPr>
            </w:pPr>
          </w:p>
        </w:tc>
        <w:tc>
          <w:tcPr>
            <w:tcW w:w="1437" w:type="dxa"/>
          </w:tcPr>
          <w:p>
            <w:pPr>
              <w:pStyle w:val="25"/>
              <w:spacing w:before="240" w:line="300" w:lineRule="exact"/>
              <w:jc w:val="center"/>
              <w:rPr>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5" w:type="dxa"/>
          </w:tcPr>
          <w:p>
            <w:pPr>
              <w:pStyle w:val="25"/>
              <w:spacing w:before="240" w:line="300" w:lineRule="exact"/>
              <w:jc w:val="center"/>
              <w:rPr>
                <w:color w:val="auto"/>
                <w:szCs w:val="21"/>
                <w:highlight w:val="none"/>
              </w:rPr>
            </w:pPr>
            <w:r>
              <w:rPr>
                <w:rFonts w:hint="eastAsia"/>
                <w:color w:val="auto"/>
                <w:szCs w:val="21"/>
                <w:highlight w:val="none"/>
              </w:rPr>
              <w:t>10</w:t>
            </w:r>
          </w:p>
        </w:tc>
        <w:tc>
          <w:tcPr>
            <w:tcW w:w="1181" w:type="dxa"/>
          </w:tcPr>
          <w:p>
            <w:pPr>
              <w:pStyle w:val="25"/>
              <w:spacing w:before="240" w:line="300" w:lineRule="exact"/>
              <w:rPr>
                <w:color w:val="auto"/>
                <w:sz w:val="32"/>
                <w:highlight w:val="none"/>
              </w:rPr>
            </w:pPr>
          </w:p>
        </w:tc>
        <w:tc>
          <w:tcPr>
            <w:tcW w:w="3386" w:type="dxa"/>
          </w:tcPr>
          <w:p>
            <w:pPr>
              <w:pStyle w:val="25"/>
              <w:spacing w:before="240" w:line="300" w:lineRule="exact"/>
              <w:jc w:val="center"/>
              <w:rPr>
                <w:b/>
                <w:color w:val="auto"/>
                <w:sz w:val="32"/>
                <w:highlight w:val="none"/>
              </w:rPr>
            </w:pPr>
          </w:p>
        </w:tc>
        <w:tc>
          <w:tcPr>
            <w:tcW w:w="2973" w:type="dxa"/>
          </w:tcPr>
          <w:p>
            <w:pPr>
              <w:pStyle w:val="25"/>
              <w:spacing w:before="240" w:line="300" w:lineRule="exact"/>
              <w:jc w:val="center"/>
              <w:rPr>
                <w:b/>
                <w:color w:val="auto"/>
                <w:sz w:val="32"/>
                <w:highlight w:val="none"/>
              </w:rPr>
            </w:pPr>
          </w:p>
        </w:tc>
        <w:tc>
          <w:tcPr>
            <w:tcW w:w="1437" w:type="dxa"/>
          </w:tcPr>
          <w:p>
            <w:pPr>
              <w:pStyle w:val="25"/>
              <w:spacing w:before="240" w:line="300" w:lineRule="exact"/>
              <w:jc w:val="center"/>
              <w:rPr>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5" w:type="dxa"/>
            <w:vAlign w:val="center"/>
          </w:tcPr>
          <w:p>
            <w:pPr>
              <w:pStyle w:val="25"/>
              <w:spacing w:before="240" w:line="300" w:lineRule="exact"/>
              <w:ind w:firstLine="643"/>
              <w:jc w:val="center"/>
              <w:rPr>
                <w:b/>
                <w:color w:val="auto"/>
                <w:szCs w:val="21"/>
                <w:highlight w:val="none"/>
              </w:rPr>
            </w:pPr>
            <w:r>
              <w:rPr>
                <w:b/>
                <w:color w:val="auto"/>
                <w:sz w:val="32"/>
                <w:highlight w:val="none"/>
              </w:rPr>
              <w:t>……</w:t>
            </w:r>
          </w:p>
        </w:tc>
        <w:tc>
          <w:tcPr>
            <w:tcW w:w="1181" w:type="dxa"/>
            <w:vAlign w:val="center"/>
          </w:tcPr>
          <w:p>
            <w:pPr>
              <w:pStyle w:val="25"/>
              <w:spacing w:before="240" w:line="300" w:lineRule="exact"/>
              <w:jc w:val="center"/>
              <w:rPr>
                <w:b/>
                <w:color w:val="auto"/>
                <w:sz w:val="32"/>
                <w:highlight w:val="none"/>
              </w:rPr>
            </w:pPr>
            <w:r>
              <w:rPr>
                <w:b/>
                <w:color w:val="auto"/>
                <w:sz w:val="32"/>
                <w:highlight w:val="none"/>
              </w:rPr>
              <w:t>……</w:t>
            </w:r>
          </w:p>
        </w:tc>
        <w:tc>
          <w:tcPr>
            <w:tcW w:w="3386" w:type="dxa"/>
            <w:vAlign w:val="center"/>
          </w:tcPr>
          <w:p>
            <w:pPr>
              <w:pStyle w:val="25"/>
              <w:spacing w:before="240" w:line="300" w:lineRule="exact"/>
              <w:jc w:val="center"/>
              <w:rPr>
                <w:b/>
                <w:color w:val="auto"/>
                <w:sz w:val="32"/>
                <w:highlight w:val="none"/>
              </w:rPr>
            </w:pPr>
            <w:r>
              <w:rPr>
                <w:b/>
                <w:color w:val="auto"/>
                <w:sz w:val="32"/>
                <w:highlight w:val="none"/>
              </w:rPr>
              <w:t>……</w:t>
            </w:r>
          </w:p>
        </w:tc>
        <w:tc>
          <w:tcPr>
            <w:tcW w:w="2973" w:type="dxa"/>
            <w:vAlign w:val="center"/>
          </w:tcPr>
          <w:p>
            <w:pPr>
              <w:pStyle w:val="25"/>
              <w:spacing w:before="240" w:line="300" w:lineRule="exact"/>
              <w:jc w:val="center"/>
              <w:rPr>
                <w:b/>
                <w:color w:val="auto"/>
                <w:sz w:val="32"/>
                <w:highlight w:val="none"/>
              </w:rPr>
            </w:pPr>
            <w:r>
              <w:rPr>
                <w:b/>
                <w:color w:val="auto"/>
                <w:sz w:val="32"/>
                <w:highlight w:val="none"/>
              </w:rPr>
              <w:t>……</w:t>
            </w:r>
          </w:p>
        </w:tc>
        <w:tc>
          <w:tcPr>
            <w:tcW w:w="1437" w:type="dxa"/>
            <w:vAlign w:val="center"/>
          </w:tcPr>
          <w:p>
            <w:pPr>
              <w:pStyle w:val="25"/>
              <w:spacing w:before="240" w:line="300" w:lineRule="exact"/>
              <w:jc w:val="center"/>
              <w:rPr>
                <w:b/>
                <w:color w:val="auto"/>
                <w:sz w:val="32"/>
                <w:highlight w:val="none"/>
              </w:rPr>
            </w:pPr>
            <w:r>
              <w:rPr>
                <w:b/>
                <w:color w:val="auto"/>
                <w:sz w:val="32"/>
                <w:highlight w:val="none"/>
              </w:rPr>
              <w:t>……</w:t>
            </w:r>
          </w:p>
        </w:tc>
      </w:tr>
    </w:tbl>
    <w:p>
      <w:pPr>
        <w:pStyle w:val="19"/>
        <w:rPr>
          <w:rFonts w:ascii="宋体" w:hAnsi="宋体"/>
          <w:color w:val="auto"/>
          <w:spacing w:val="20"/>
          <w:sz w:val="21"/>
          <w:szCs w:val="21"/>
          <w:highlight w:val="none"/>
        </w:rPr>
      </w:pPr>
      <w:r>
        <w:rPr>
          <w:rFonts w:hint="eastAsia" w:ascii="宋体" w:hAnsi="宋体"/>
          <w:color w:val="auto"/>
          <w:sz w:val="21"/>
          <w:szCs w:val="21"/>
          <w:highlight w:val="none"/>
        </w:rPr>
        <w:t>注：投标人应根据投标设备的性能指标、对照招标文件要求在“偏离情况”栏注明“正偏离”、“负偏离”或“无偏离”。（正偏离视为优于招标要求）</w:t>
      </w:r>
    </w:p>
    <w:p>
      <w:pPr>
        <w:snapToGrid w:val="0"/>
        <w:spacing w:before="50" w:after="50" w:line="320" w:lineRule="exact"/>
        <w:ind w:left="-2" w:leftChars="-1" w:right="-817" w:rightChars="-389"/>
        <w:rPr>
          <w:rFonts w:ascii="宋体" w:hAnsi="宋体"/>
          <w:color w:val="auto"/>
          <w:szCs w:val="21"/>
          <w:highlight w:val="none"/>
          <w:u w:val="single"/>
        </w:rPr>
      </w:pPr>
      <w:r>
        <w:rPr>
          <w:rFonts w:hint="eastAsia" w:ascii="宋体" w:hAnsi="宋体"/>
          <w:color w:val="auto"/>
          <w:szCs w:val="21"/>
          <w:highlight w:val="none"/>
        </w:rPr>
        <w:t xml:space="preserve">法定代表人或授权委托代理人（签字）： </w:t>
      </w:r>
    </w:p>
    <w:p>
      <w:pPr>
        <w:snapToGrid w:val="0"/>
        <w:spacing w:before="50" w:after="50"/>
        <w:ind w:right="-817" w:rightChars="-389"/>
        <w:rPr>
          <w:rFonts w:ascii="宋体" w:hAnsi="宋体"/>
          <w:color w:val="auto"/>
          <w:szCs w:val="21"/>
          <w:highlight w:val="none"/>
          <w:u w:val="single"/>
        </w:rPr>
      </w:pPr>
      <w:r>
        <w:rPr>
          <w:rFonts w:hint="eastAsia" w:ascii="宋体" w:hAnsi="宋体"/>
          <w:color w:val="auto"/>
          <w:szCs w:val="21"/>
          <w:highlight w:val="none"/>
        </w:rPr>
        <w:t>投标人名称（公章）：</w:t>
      </w:r>
    </w:p>
    <w:p>
      <w:pPr>
        <w:snapToGrid w:val="0"/>
        <w:spacing w:before="50" w:after="50"/>
        <w:ind w:right="-817" w:rightChars="-389"/>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年   月   日</w:t>
      </w:r>
    </w:p>
    <w:p>
      <w:pPr>
        <w:snapToGrid w:val="0"/>
        <w:spacing w:before="50" w:after="50"/>
        <w:ind w:right="-817" w:rightChars="-389"/>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color w:val="auto"/>
          <w:szCs w:val="21"/>
          <w:highlight w:val="none"/>
        </w:rPr>
      </w:pPr>
    </w:p>
    <w:p>
      <w:pPr>
        <w:snapToGrid w:val="0"/>
        <w:spacing w:before="50" w:after="120" w:afterLines="50"/>
        <w:jc w:val="left"/>
        <w:rPr>
          <w:rFonts w:ascii="宋体" w:hAnsi="宋体"/>
          <w:b/>
          <w:color w:val="auto"/>
          <w:szCs w:val="21"/>
          <w:highlight w:val="none"/>
        </w:rPr>
      </w:pPr>
    </w:p>
    <w:p>
      <w:pPr>
        <w:snapToGrid w:val="0"/>
        <w:spacing w:before="50" w:after="120" w:afterLines="50"/>
        <w:jc w:val="left"/>
        <w:rPr>
          <w:rFonts w:ascii="宋体" w:hAnsi="宋体"/>
          <w:b/>
          <w:color w:val="auto"/>
          <w:szCs w:val="21"/>
          <w:highlight w:val="none"/>
        </w:rPr>
      </w:pPr>
      <w:r>
        <w:rPr>
          <w:rFonts w:hint="eastAsia" w:ascii="宋体" w:hAnsi="宋体"/>
          <w:b/>
          <w:color w:val="auto"/>
          <w:szCs w:val="21"/>
          <w:highlight w:val="none"/>
        </w:rPr>
        <w:t>（6）投标人的服务承诺书（含交付使用期、售后维保、技术服务、技术培训、服务承诺的内容和措施等，格式自拟；必须提供）；</w:t>
      </w:r>
    </w:p>
    <w:p>
      <w:pPr>
        <w:snapToGrid w:val="0"/>
        <w:spacing w:before="120" w:beforeLines="50" w:after="50" w:line="400" w:lineRule="exact"/>
        <w:jc w:val="center"/>
        <w:rPr>
          <w:rFonts w:ascii="宋体" w:hAnsi="宋体"/>
          <w:b/>
          <w:color w:val="auto"/>
          <w:szCs w:val="21"/>
          <w:highlight w:val="none"/>
        </w:rPr>
      </w:pPr>
    </w:p>
    <w:p>
      <w:pPr>
        <w:snapToGrid w:val="0"/>
        <w:spacing w:before="120" w:beforeLines="50" w:after="50" w:line="400" w:lineRule="exact"/>
        <w:jc w:val="center"/>
        <w:rPr>
          <w:rFonts w:ascii="宋体" w:hAnsi="宋体"/>
          <w:b/>
          <w:color w:val="auto"/>
          <w:szCs w:val="21"/>
          <w:highlight w:val="none"/>
        </w:rPr>
      </w:pPr>
    </w:p>
    <w:p>
      <w:pPr>
        <w:snapToGrid w:val="0"/>
        <w:spacing w:before="120" w:beforeLines="50" w:after="50" w:line="400" w:lineRule="exact"/>
        <w:jc w:val="center"/>
        <w:rPr>
          <w:rFonts w:ascii="宋体" w:hAnsi="宋体"/>
          <w:b/>
          <w:color w:val="auto"/>
          <w:szCs w:val="21"/>
          <w:highlight w:val="none"/>
        </w:rPr>
      </w:pPr>
    </w:p>
    <w:p>
      <w:pPr>
        <w:snapToGrid w:val="0"/>
        <w:spacing w:before="120" w:beforeLines="50" w:after="50"/>
        <w:outlineLvl w:val="0"/>
        <w:rPr>
          <w:rFonts w:ascii="宋体" w:hAnsi="宋体"/>
          <w:b/>
          <w:bCs/>
          <w:color w:val="auto"/>
          <w:szCs w:val="21"/>
          <w:highlight w:val="none"/>
        </w:rPr>
      </w:pPr>
      <w:r>
        <w:rPr>
          <w:rFonts w:ascii="宋体" w:hAnsi="宋体"/>
          <w:b/>
          <w:color w:val="auto"/>
          <w:szCs w:val="21"/>
          <w:highlight w:val="none"/>
        </w:rPr>
        <w:br w:type="page"/>
      </w:r>
      <w:bookmarkStart w:id="92" w:name="_Toc12415_WPSOffice_Level1"/>
      <w:bookmarkStart w:id="93" w:name="_Toc29417_WPSOffice_Level1"/>
      <w:bookmarkStart w:id="94" w:name="_Toc2819_WPSOffice_Level1"/>
      <w:bookmarkStart w:id="95" w:name="_Toc9522"/>
      <w:bookmarkStart w:id="96" w:name="_Toc1182_WPSOffice_Level1"/>
      <w:r>
        <w:rPr>
          <w:rFonts w:hint="eastAsia" w:ascii="宋体" w:hAnsi="宋体"/>
          <w:b/>
          <w:bCs/>
          <w:color w:val="auto"/>
          <w:szCs w:val="21"/>
          <w:highlight w:val="none"/>
        </w:rPr>
        <w:t>四、报价文件格式</w:t>
      </w:r>
      <w:bookmarkEnd w:id="92"/>
      <w:bookmarkEnd w:id="93"/>
      <w:bookmarkEnd w:id="94"/>
      <w:bookmarkEnd w:id="95"/>
      <w:bookmarkEnd w:id="96"/>
    </w:p>
    <w:p>
      <w:pPr>
        <w:snapToGrid w:val="0"/>
        <w:spacing w:before="50" w:after="50"/>
        <w:rPr>
          <w:rFonts w:ascii="宋体" w:hAnsi="宋体"/>
          <w:b/>
          <w:color w:val="auto"/>
          <w:szCs w:val="21"/>
          <w:highlight w:val="none"/>
        </w:rPr>
      </w:pPr>
      <w:r>
        <w:rPr>
          <w:rFonts w:hint="eastAsia" w:ascii="宋体" w:hAnsi="宋体"/>
          <w:b/>
          <w:color w:val="auto"/>
          <w:szCs w:val="21"/>
          <w:highlight w:val="none"/>
        </w:rPr>
        <w:t xml:space="preserve">报价文件内封面格式： </w:t>
      </w:r>
    </w:p>
    <w:p>
      <w:pPr>
        <w:snapToGrid w:val="0"/>
        <w:spacing w:before="120" w:beforeLines="50" w:after="50" w:line="440" w:lineRule="exact"/>
        <w:jc w:val="center"/>
        <w:rPr>
          <w:rFonts w:ascii="宋体" w:hAnsi="宋体"/>
          <w:color w:val="auto"/>
          <w:sz w:val="24"/>
          <w:highlight w:val="none"/>
        </w:rPr>
      </w:pPr>
    </w:p>
    <w:p>
      <w:pPr>
        <w:snapToGrid w:val="0"/>
        <w:spacing w:before="120" w:beforeLines="50" w:after="50" w:line="440" w:lineRule="exact"/>
        <w:jc w:val="center"/>
        <w:rPr>
          <w:rFonts w:ascii="宋体" w:hAnsi="宋体"/>
          <w:color w:val="auto"/>
          <w:sz w:val="36"/>
          <w:szCs w:val="36"/>
          <w:highlight w:val="none"/>
        </w:rPr>
      </w:pPr>
    </w:p>
    <w:p>
      <w:pPr>
        <w:snapToGrid w:val="0"/>
        <w:spacing w:before="120" w:beforeLines="50" w:after="50" w:line="440" w:lineRule="exact"/>
        <w:jc w:val="center"/>
        <w:rPr>
          <w:rFonts w:ascii="宋体" w:hAnsi="宋体"/>
          <w:color w:val="auto"/>
          <w:sz w:val="36"/>
          <w:szCs w:val="36"/>
          <w:highlight w:val="none"/>
        </w:rPr>
      </w:pPr>
    </w:p>
    <w:p>
      <w:pPr>
        <w:snapToGrid w:val="0"/>
        <w:spacing w:before="120" w:beforeLines="50" w:after="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 价 文 件</w:t>
      </w:r>
    </w:p>
    <w:p>
      <w:pPr>
        <w:snapToGrid w:val="0"/>
        <w:spacing w:before="120" w:beforeLines="50" w:after="50" w:line="440" w:lineRule="exact"/>
        <w:rPr>
          <w:rFonts w:ascii="宋体" w:hAnsi="宋体"/>
          <w:bCs/>
          <w:color w:val="auto"/>
          <w:sz w:val="24"/>
          <w:highlight w:val="none"/>
        </w:rPr>
      </w:pPr>
    </w:p>
    <w:p>
      <w:pPr>
        <w:snapToGrid w:val="0"/>
        <w:spacing w:before="120" w:beforeLines="50" w:after="50" w:line="440" w:lineRule="exact"/>
        <w:ind w:firstLine="720" w:firstLineChars="30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40" w:lineRule="exact"/>
        <w:ind w:firstLine="720" w:firstLineChars="30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40" w:lineRule="exact"/>
        <w:ind w:firstLine="720" w:firstLineChars="30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40" w:lineRule="exact"/>
        <w:ind w:firstLine="720" w:firstLineChars="300"/>
        <w:rPr>
          <w:rFonts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line="440" w:lineRule="exact"/>
        <w:ind w:firstLine="720" w:firstLineChars="300"/>
        <w:jc w:val="center"/>
        <w:outlineLvl w:val="0"/>
        <w:rPr>
          <w:rFonts w:ascii="宋体" w:hAnsi="宋体"/>
          <w:bCs/>
          <w:color w:val="auto"/>
          <w:sz w:val="24"/>
          <w:highlight w:val="none"/>
        </w:rPr>
      </w:pPr>
      <w:bookmarkStart w:id="97" w:name="_Toc4285_WPSOffice_Level1"/>
      <w:bookmarkStart w:id="98" w:name="_Toc25974_WPSOffice_Level1"/>
      <w:bookmarkStart w:id="99" w:name="_Toc14571_WPSOffice_Level1"/>
      <w:bookmarkStart w:id="100" w:name="_Toc17493"/>
      <w:bookmarkStart w:id="101" w:name="_Toc11036_WPSOffice_Level1"/>
      <w:r>
        <w:rPr>
          <w:rFonts w:hint="eastAsia" w:ascii="宋体" w:hAnsi="宋体"/>
          <w:bCs/>
          <w:color w:val="auto"/>
          <w:sz w:val="24"/>
          <w:highlight w:val="none"/>
        </w:rPr>
        <w:t>开 标 时 启 封</w:t>
      </w:r>
      <w:bookmarkEnd w:id="97"/>
      <w:bookmarkEnd w:id="98"/>
      <w:bookmarkEnd w:id="99"/>
      <w:bookmarkEnd w:id="100"/>
      <w:bookmarkEnd w:id="101"/>
    </w:p>
    <w:p>
      <w:pPr>
        <w:pStyle w:val="10"/>
        <w:snapToGrid w:val="0"/>
        <w:spacing w:before="50" w:after="50" w:line="440" w:lineRule="exact"/>
        <w:ind w:firstLine="998" w:firstLineChars="416"/>
        <w:rPr>
          <w:rFonts w:ascii="宋体" w:hAnsi="宋体"/>
          <w:color w:val="auto"/>
          <w:sz w:val="24"/>
          <w:highlight w:val="none"/>
        </w:rPr>
      </w:pPr>
    </w:p>
    <w:p>
      <w:pPr>
        <w:snapToGrid w:val="0"/>
        <w:spacing w:before="120" w:beforeLines="50" w:after="50" w:line="440" w:lineRule="exact"/>
        <w:ind w:firstLine="645"/>
        <w:jc w:val="center"/>
        <w:outlineLvl w:val="0"/>
        <w:rPr>
          <w:rFonts w:ascii="宋体" w:hAnsi="宋体"/>
          <w:color w:val="auto"/>
          <w:sz w:val="24"/>
          <w:highlight w:val="none"/>
        </w:rPr>
      </w:pPr>
      <w:r>
        <w:rPr>
          <w:rFonts w:hint="eastAsia" w:ascii="宋体" w:hAnsi="宋体"/>
          <w:color w:val="auto"/>
          <w:sz w:val="24"/>
          <w:highlight w:val="none"/>
        </w:rPr>
        <w:t xml:space="preserve">                        </w:t>
      </w:r>
      <w:bookmarkStart w:id="102" w:name="_Toc21483_WPSOffice_Level1"/>
      <w:bookmarkStart w:id="103" w:name="_Toc28277_WPSOffice_Level1"/>
      <w:bookmarkStart w:id="104" w:name="_Toc16026"/>
      <w:bookmarkStart w:id="105" w:name="_Toc32725_WPSOffice_Level1"/>
      <w:bookmarkStart w:id="106" w:name="_Toc28178_WPSOffice_Level1"/>
      <w:r>
        <w:rPr>
          <w:rFonts w:hint="eastAsia" w:ascii="宋体" w:hAnsi="宋体"/>
          <w:color w:val="auto"/>
          <w:sz w:val="24"/>
          <w:highlight w:val="none"/>
        </w:rPr>
        <w:t>年  月  日</w:t>
      </w:r>
      <w:bookmarkEnd w:id="102"/>
      <w:bookmarkEnd w:id="103"/>
      <w:bookmarkEnd w:id="104"/>
      <w:bookmarkEnd w:id="105"/>
      <w:bookmarkEnd w:id="106"/>
    </w:p>
    <w:p>
      <w:pPr>
        <w:snapToGrid w:val="0"/>
        <w:spacing w:before="120" w:beforeLines="50" w:after="50" w:line="360" w:lineRule="auto"/>
        <w:rPr>
          <w:rFonts w:ascii="宋体" w:hAnsi="宋体"/>
          <w:color w:val="auto"/>
          <w:sz w:val="24"/>
          <w:szCs w:val="20"/>
          <w:highlight w:val="none"/>
        </w:rPr>
      </w:pPr>
    </w:p>
    <w:p>
      <w:pPr>
        <w:snapToGrid w:val="0"/>
        <w:spacing w:before="120" w:beforeLines="50" w:after="50" w:line="360" w:lineRule="auto"/>
        <w:jc w:val="center"/>
        <w:rPr>
          <w:rFonts w:ascii="宋体" w:hAnsi="宋体"/>
          <w:b/>
          <w:bCs/>
          <w:color w:val="auto"/>
          <w:sz w:val="28"/>
          <w:szCs w:val="28"/>
          <w:highlight w:val="none"/>
        </w:rPr>
      </w:pPr>
    </w:p>
    <w:p>
      <w:pPr>
        <w:snapToGrid w:val="0"/>
        <w:spacing w:before="120" w:beforeLines="50" w:after="50" w:line="360" w:lineRule="auto"/>
        <w:jc w:val="center"/>
        <w:rPr>
          <w:rFonts w:ascii="宋体" w:hAnsi="宋体"/>
          <w:b/>
          <w:bCs/>
          <w:color w:val="auto"/>
          <w:sz w:val="28"/>
          <w:szCs w:val="28"/>
          <w:highlight w:val="none"/>
        </w:rPr>
      </w:pPr>
    </w:p>
    <w:p>
      <w:pPr>
        <w:snapToGrid w:val="0"/>
        <w:spacing w:before="120" w:beforeLines="50" w:after="50" w:line="360" w:lineRule="auto"/>
        <w:jc w:val="center"/>
        <w:rPr>
          <w:rFonts w:ascii="宋体" w:hAnsi="宋体"/>
          <w:b/>
          <w:bCs/>
          <w:color w:val="auto"/>
          <w:sz w:val="28"/>
          <w:szCs w:val="28"/>
          <w:highlight w:val="none"/>
        </w:rPr>
      </w:pPr>
    </w:p>
    <w:p>
      <w:pPr>
        <w:snapToGrid w:val="0"/>
        <w:spacing w:before="120" w:beforeLines="50" w:after="50" w:line="360" w:lineRule="auto"/>
        <w:jc w:val="center"/>
        <w:rPr>
          <w:rFonts w:ascii="宋体" w:hAnsi="宋体"/>
          <w:b/>
          <w:bCs/>
          <w:color w:val="auto"/>
          <w:sz w:val="28"/>
          <w:szCs w:val="28"/>
          <w:highlight w:val="none"/>
        </w:rPr>
      </w:pPr>
    </w:p>
    <w:p>
      <w:pPr>
        <w:snapToGrid w:val="0"/>
        <w:spacing w:before="120" w:beforeLines="50" w:after="50" w:line="360" w:lineRule="auto"/>
        <w:jc w:val="center"/>
        <w:rPr>
          <w:rFonts w:ascii="宋体" w:hAnsi="宋体"/>
          <w:b/>
          <w:bCs/>
          <w:color w:val="auto"/>
          <w:sz w:val="28"/>
          <w:szCs w:val="28"/>
          <w:highlight w:val="none"/>
        </w:rPr>
      </w:pPr>
    </w:p>
    <w:p>
      <w:pPr>
        <w:snapToGrid w:val="0"/>
        <w:spacing w:before="120" w:beforeLines="50" w:after="50" w:line="360" w:lineRule="auto"/>
        <w:jc w:val="center"/>
        <w:rPr>
          <w:rFonts w:ascii="宋体" w:hAnsi="宋体"/>
          <w:b/>
          <w:bCs/>
          <w:color w:val="auto"/>
          <w:sz w:val="28"/>
          <w:szCs w:val="28"/>
          <w:highlight w:val="none"/>
        </w:rPr>
      </w:pPr>
    </w:p>
    <w:p>
      <w:pPr>
        <w:snapToGrid w:val="0"/>
        <w:spacing w:before="120" w:beforeLines="50" w:after="50" w:line="360" w:lineRule="auto"/>
        <w:jc w:val="center"/>
        <w:rPr>
          <w:rFonts w:ascii="宋体" w:hAnsi="宋体"/>
          <w:b/>
          <w:bCs/>
          <w:color w:val="auto"/>
          <w:sz w:val="28"/>
          <w:szCs w:val="28"/>
          <w:highlight w:val="none"/>
        </w:rPr>
      </w:pPr>
    </w:p>
    <w:p>
      <w:pPr>
        <w:snapToGrid w:val="0"/>
        <w:spacing w:before="120" w:beforeLines="50" w:after="50" w:line="360" w:lineRule="auto"/>
        <w:rPr>
          <w:rFonts w:ascii="宋体" w:hAnsi="宋体"/>
          <w:b/>
          <w:bCs/>
          <w:color w:val="auto"/>
          <w:sz w:val="28"/>
          <w:szCs w:val="28"/>
          <w:highlight w:val="none"/>
        </w:rPr>
      </w:pPr>
    </w:p>
    <w:p>
      <w:pPr>
        <w:snapToGrid w:val="0"/>
        <w:spacing w:before="120" w:beforeLines="50" w:after="50" w:line="360" w:lineRule="auto"/>
        <w:jc w:val="center"/>
        <w:rPr>
          <w:rFonts w:ascii="宋体" w:hAnsi="宋体"/>
          <w:b/>
          <w:bCs/>
          <w:color w:val="auto"/>
          <w:sz w:val="28"/>
          <w:szCs w:val="28"/>
          <w:highlight w:val="none"/>
        </w:rPr>
      </w:pPr>
    </w:p>
    <w:p>
      <w:pPr>
        <w:pStyle w:val="6"/>
        <w:outlineLvl w:val="9"/>
        <w:rPr>
          <w:rFonts w:hAnsi="宋体"/>
          <w:b/>
          <w:bCs/>
          <w:color w:val="auto"/>
          <w:szCs w:val="28"/>
          <w:highlight w:val="none"/>
        </w:rPr>
      </w:pPr>
    </w:p>
    <w:p>
      <w:pPr>
        <w:rPr>
          <w:color w:val="auto"/>
          <w:highlight w:val="none"/>
        </w:rPr>
      </w:pPr>
    </w:p>
    <w:p>
      <w:pPr>
        <w:snapToGrid w:val="0"/>
        <w:spacing w:line="440" w:lineRule="exact"/>
        <w:ind w:firstLine="620" w:firstLineChars="294"/>
        <w:jc w:val="left"/>
        <w:rPr>
          <w:rFonts w:ascii="宋体" w:hAnsi="宋体"/>
          <w:b/>
          <w:color w:val="auto"/>
          <w:szCs w:val="21"/>
          <w:highlight w:val="none"/>
        </w:rPr>
      </w:pPr>
      <w:r>
        <w:rPr>
          <w:rFonts w:hint="eastAsia" w:ascii="宋体" w:hAnsi="宋体"/>
          <w:b/>
          <w:color w:val="auto"/>
          <w:szCs w:val="21"/>
          <w:highlight w:val="none"/>
        </w:rPr>
        <w:t>目录</w:t>
      </w:r>
    </w:p>
    <w:p>
      <w:pPr>
        <w:tabs>
          <w:tab w:val="left" w:pos="3870"/>
          <w:tab w:val="left" w:pos="4085"/>
        </w:tabs>
        <w:snapToGrid w:val="0"/>
        <w:spacing w:line="440" w:lineRule="exact"/>
        <w:ind w:firstLine="420" w:firstLineChars="200"/>
        <w:jc w:val="left"/>
        <w:outlineLvl w:val="0"/>
        <w:rPr>
          <w:rFonts w:ascii="宋体" w:hAnsi="宋体"/>
          <w:color w:val="auto"/>
          <w:szCs w:val="21"/>
          <w:highlight w:val="none"/>
        </w:rPr>
      </w:pPr>
      <w:bookmarkStart w:id="107" w:name="_Toc4244_WPSOffice_Level1"/>
      <w:bookmarkStart w:id="108" w:name="_Toc21524_WPSOffice_Level1"/>
      <w:bookmarkStart w:id="109" w:name="_Toc27017_WPSOffice_Level1"/>
      <w:bookmarkStart w:id="110" w:name="_Toc20913"/>
      <w:bookmarkStart w:id="111" w:name="_Toc29327_WPSOffice_Level1"/>
      <w:r>
        <w:rPr>
          <w:rFonts w:hint="eastAsia" w:ascii="宋体" w:hAnsi="宋体"/>
          <w:color w:val="auto"/>
          <w:szCs w:val="21"/>
          <w:highlight w:val="none"/>
        </w:rPr>
        <w:t>（1）投标函（格式见附件）；</w:t>
      </w:r>
      <w:bookmarkEnd w:id="107"/>
      <w:bookmarkEnd w:id="108"/>
      <w:bookmarkEnd w:id="109"/>
      <w:bookmarkEnd w:id="110"/>
      <w:bookmarkEnd w:id="111"/>
      <w:r>
        <w:rPr>
          <w:rFonts w:hint="eastAsia" w:ascii="宋体" w:hAnsi="宋体"/>
          <w:color w:val="auto"/>
          <w:szCs w:val="21"/>
          <w:highlight w:val="none"/>
        </w:rPr>
        <w:t xml:space="preserve"> </w:t>
      </w:r>
    </w:p>
    <w:p>
      <w:pPr>
        <w:tabs>
          <w:tab w:val="left" w:pos="3870"/>
          <w:tab w:val="left" w:pos="4085"/>
        </w:tabs>
        <w:snapToGrid w:val="0"/>
        <w:spacing w:line="440" w:lineRule="exact"/>
        <w:ind w:firstLine="420" w:firstLineChars="200"/>
        <w:jc w:val="left"/>
        <w:outlineLvl w:val="0"/>
        <w:rPr>
          <w:rFonts w:ascii="宋体" w:hAnsi="宋体"/>
          <w:color w:val="auto"/>
          <w:szCs w:val="21"/>
          <w:highlight w:val="none"/>
        </w:rPr>
      </w:pPr>
      <w:bookmarkStart w:id="112" w:name="_Toc21454_WPSOffice_Level1"/>
      <w:bookmarkStart w:id="113" w:name="_Toc22495_WPSOffice_Level1"/>
      <w:bookmarkStart w:id="114" w:name="_Toc14308"/>
      <w:bookmarkStart w:id="115" w:name="_Toc22484_WPSOffice_Level1"/>
      <w:bookmarkStart w:id="116" w:name="_Toc29549_WPSOffice_Level1"/>
      <w:r>
        <w:rPr>
          <w:rFonts w:hint="eastAsia" w:ascii="宋体" w:hAnsi="宋体"/>
          <w:color w:val="auto"/>
          <w:szCs w:val="21"/>
          <w:highlight w:val="none"/>
        </w:rPr>
        <w:t>（2）开标一览表（单独封装，格式见附件）；</w:t>
      </w:r>
      <w:bookmarkEnd w:id="112"/>
      <w:bookmarkEnd w:id="113"/>
      <w:bookmarkEnd w:id="114"/>
      <w:bookmarkEnd w:id="115"/>
      <w:bookmarkEnd w:id="116"/>
    </w:p>
    <w:p>
      <w:pPr>
        <w:tabs>
          <w:tab w:val="left" w:pos="3870"/>
          <w:tab w:val="left" w:pos="4085"/>
        </w:tabs>
        <w:snapToGrid w:val="0"/>
        <w:spacing w:line="440" w:lineRule="exact"/>
        <w:ind w:firstLine="420" w:firstLineChars="200"/>
        <w:jc w:val="left"/>
        <w:outlineLvl w:val="0"/>
        <w:rPr>
          <w:rFonts w:ascii="宋体" w:hAnsi="宋体"/>
          <w:color w:val="auto"/>
          <w:szCs w:val="21"/>
          <w:highlight w:val="none"/>
        </w:rPr>
      </w:pPr>
      <w:bookmarkStart w:id="117" w:name="_Toc19303_WPSOffice_Level1"/>
      <w:bookmarkStart w:id="118" w:name="_Toc14000_WPSOffice_Level1"/>
      <w:bookmarkStart w:id="119" w:name="_Toc30543"/>
      <w:bookmarkStart w:id="120" w:name="_Toc32487_WPSOffice_Level1"/>
      <w:bookmarkStart w:id="121" w:name="_Toc15895_WPSOffice_Level1"/>
      <w:r>
        <w:rPr>
          <w:rFonts w:hint="eastAsia" w:ascii="宋体" w:hAnsi="宋体"/>
          <w:color w:val="auto"/>
          <w:szCs w:val="21"/>
          <w:highlight w:val="none"/>
        </w:rPr>
        <w:t>（3）投标报价明细表（格式见附件）；</w:t>
      </w:r>
      <w:bookmarkEnd w:id="117"/>
      <w:bookmarkEnd w:id="118"/>
      <w:bookmarkEnd w:id="119"/>
      <w:bookmarkEnd w:id="120"/>
      <w:bookmarkEnd w:id="121"/>
    </w:p>
    <w:p>
      <w:pPr>
        <w:tabs>
          <w:tab w:val="left" w:pos="3870"/>
          <w:tab w:val="left" w:pos="4085"/>
        </w:tabs>
        <w:snapToGrid w:val="0"/>
        <w:spacing w:line="440" w:lineRule="exact"/>
        <w:ind w:firstLine="420" w:firstLineChars="200"/>
        <w:jc w:val="left"/>
        <w:outlineLvl w:val="0"/>
        <w:rPr>
          <w:rFonts w:ascii="宋体" w:hAnsi="宋体"/>
          <w:color w:val="auto"/>
          <w:szCs w:val="21"/>
          <w:highlight w:val="none"/>
        </w:rPr>
      </w:pPr>
      <w:bookmarkStart w:id="122" w:name="_Toc5781_WPSOffice_Level1"/>
      <w:bookmarkStart w:id="123" w:name="_Toc24106_WPSOffice_Level1"/>
      <w:bookmarkStart w:id="124" w:name="_Toc16871_WPSOffice_Level1"/>
      <w:bookmarkStart w:id="125" w:name="_Toc2922_WPSOffice_Level1"/>
      <w:bookmarkStart w:id="126" w:name="_Toc12723"/>
      <w:r>
        <w:rPr>
          <w:rFonts w:hint="eastAsia" w:ascii="宋体" w:hAnsi="宋体"/>
          <w:color w:val="auto"/>
          <w:szCs w:val="21"/>
          <w:highlight w:val="none"/>
        </w:rPr>
        <w:t>（4）投标人针对报价需要说明的其他文件和说明（格式自拟）。</w:t>
      </w:r>
      <w:bookmarkEnd w:id="122"/>
      <w:bookmarkEnd w:id="123"/>
      <w:bookmarkEnd w:id="124"/>
      <w:bookmarkEnd w:id="125"/>
      <w:bookmarkEnd w:id="126"/>
    </w:p>
    <w:p>
      <w:pPr>
        <w:tabs>
          <w:tab w:val="left" w:pos="3870"/>
          <w:tab w:val="left" w:pos="4085"/>
        </w:tabs>
        <w:snapToGrid w:val="0"/>
        <w:spacing w:line="440" w:lineRule="exact"/>
        <w:ind w:firstLine="420" w:firstLineChars="200"/>
        <w:jc w:val="left"/>
        <w:outlineLvl w:val="0"/>
        <w:rPr>
          <w:rFonts w:ascii="宋体" w:hAnsi="宋体"/>
          <w:color w:val="auto"/>
          <w:szCs w:val="21"/>
          <w:highlight w:val="none"/>
        </w:rPr>
      </w:pPr>
      <w:bookmarkStart w:id="127" w:name="_Toc24481_WPSOffice_Level1"/>
      <w:bookmarkStart w:id="128" w:name="_Toc18095_WPSOffice_Level1"/>
      <w:bookmarkStart w:id="129" w:name="_Toc31198_WPSOffice_Level1"/>
      <w:bookmarkStart w:id="130" w:name="_Toc13354_WPSOffice_Level1"/>
      <w:bookmarkStart w:id="131" w:name="_Toc27788"/>
      <w:r>
        <w:rPr>
          <w:rFonts w:hint="eastAsia" w:ascii="宋体" w:hAnsi="宋体"/>
          <w:color w:val="auto"/>
          <w:szCs w:val="21"/>
          <w:highlight w:val="none"/>
        </w:rPr>
        <w:t>（5）中小企业声明函。</w:t>
      </w:r>
      <w:bookmarkEnd w:id="127"/>
      <w:bookmarkEnd w:id="128"/>
      <w:bookmarkEnd w:id="129"/>
      <w:bookmarkEnd w:id="130"/>
      <w:bookmarkEnd w:id="131"/>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p>
    <w:p>
      <w:pPr>
        <w:snapToGrid w:val="0"/>
        <w:spacing w:before="120" w:beforeLines="50" w:after="50" w:line="400" w:lineRule="exact"/>
        <w:rPr>
          <w:rFonts w:ascii="宋体" w:hAnsi="宋体"/>
          <w:b/>
          <w:color w:val="auto"/>
          <w:szCs w:val="21"/>
          <w:highlight w:val="none"/>
        </w:rPr>
      </w:pPr>
      <w:r>
        <w:rPr>
          <w:rFonts w:ascii="宋体" w:hAnsi="宋体"/>
          <w:b/>
          <w:color w:val="auto"/>
          <w:szCs w:val="21"/>
          <w:highlight w:val="none"/>
        </w:rPr>
        <w:br w:type="page"/>
      </w:r>
      <w:bookmarkStart w:id="132" w:name="_Toc26477_WPSOffice_Level1"/>
      <w:bookmarkStart w:id="133" w:name="_Toc19648_WPSOffice_Level1"/>
      <w:r>
        <w:rPr>
          <w:rFonts w:hint="eastAsia" w:ascii="宋体" w:hAnsi="宋体"/>
          <w:b/>
          <w:color w:val="auto"/>
          <w:szCs w:val="21"/>
          <w:highlight w:val="none"/>
        </w:rPr>
        <w:t>1.投标函格式：</w:t>
      </w:r>
      <w:bookmarkEnd w:id="132"/>
      <w:bookmarkEnd w:id="133"/>
    </w:p>
    <w:p>
      <w:pPr>
        <w:snapToGrid w:val="0"/>
        <w:spacing w:before="120" w:beforeLines="50" w:after="50" w:line="460" w:lineRule="exact"/>
        <w:jc w:val="center"/>
        <w:rPr>
          <w:rFonts w:ascii="宋体" w:hAnsi="宋体"/>
          <w:b/>
          <w:color w:val="auto"/>
          <w:szCs w:val="21"/>
          <w:highlight w:val="none"/>
        </w:rPr>
      </w:pPr>
      <w:r>
        <w:rPr>
          <w:rFonts w:hint="eastAsia" w:ascii="宋体" w:hAnsi="宋体"/>
          <w:b/>
          <w:color w:val="auto"/>
          <w:szCs w:val="21"/>
          <w:highlight w:val="none"/>
        </w:rPr>
        <w:t>投 标 函</w:t>
      </w:r>
    </w:p>
    <w:p>
      <w:pPr>
        <w:snapToGrid w:val="0"/>
        <w:spacing w:before="120" w:beforeLines="50" w:after="50" w:line="460" w:lineRule="exact"/>
        <w:jc w:val="center"/>
        <w:rPr>
          <w:rFonts w:ascii="宋体" w:hAnsi="宋体"/>
          <w:b/>
          <w:color w:val="auto"/>
          <w:szCs w:val="21"/>
          <w:highlight w:val="none"/>
        </w:rPr>
      </w:pPr>
    </w:p>
    <w:p>
      <w:pPr>
        <w:snapToGrid w:val="0"/>
        <w:spacing w:line="460" w:lineRule="exact"/>
        <w:rPr>
          <w:rFonts w:ascii="宋体" w:hAnsi="宋体"/>
          <w:color w:val="auto"/>
          <w:szCs w:val="21"/>
          <w:highlight w:val="none"/>
        </w:rPr>
      </w:pPr>
      <w:r>
        <w:rPr>
          <w:rFonts w:hint="eastAsia" w:ascii="宋体" w:hAnsi="宋体"/>
          <w:color w:val="auto"/>
          <w:szCs w:val="21"/>
          <w:highlight w:val="none"/>
        </w:rPr>
        <w:t>致：（招标采购单位名称）：</w:t>
      </w:r>
    </w:p>
    <w:p>
      <w:pPr>
        <w:snapToGrid w:val="0"/>
        <w:spacing w:line="460" w:lineRule="exact"/>
        <w:ind w:firstLine="480"/>
        <w:rPr>
          <w:rFonts w:ascii="宋体" w:hAnsi="宋体"/>
          <w:color w:val="auto"/>
          <w:szCs w:val="21"/>
          <w:highlight w:val="none"/>
        </w:rPr>
      </w:pPr>
      <w:r>
        <w:rPr>
          <w:rFonts w:hint="eastAsia" w:ascii="宋体" w:hAnsi="宋体"/>
          <w:color w:val="auto"/>
          <w:szCs w:val="21"/>
          <w:highlight w:val="none"/>
        </w:rPr>
        <w:t>根据贵方为项目的招标公告/投标邀请书（项目编号：），签字代表（全名）经正式授权并代表投标人（投标人名称）提交资信/商务文件、技术文件、报价文件正本各一份、副本份。</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3.本投标有效期自开标日起 ______个</w:t>
      </w:r>
      <w:r>
        <w:rPr>
          <w:rFonts w:hint="eastAsia" w:ascii="宋体" w:hAnsi="宋体"/>
          <w:color w:val="auto"/>
          <w:szCs w:val="21"/>
          <w:highlight w:val="none"/>
          <w:lang w:eastAsia="zh-CN"/>
        </w:rPr>
        <w:t>日历日</w:t>
      </w:r>
      <w:r>
        <w:rPr>
          <w:rFonts w:hint="eastAsia" w:ascii="宋体" w:hAnsi="宋体"/>
          <w:color w:val="auto"/>
          <w:szCs w:val="21"/>
          <w:highlight w:val="none"/>
        </w:rPr>
        <w:t>。</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5.投标人同意按照贵方要求提供与投标有关的一切数据或资料。</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460" w:lineRule="exact"/>
        <w:rPr>
          <w:rFonts w:ascii="宋体" w:hAnsi="宋体"/>
          <w:color w:val="auto"/>
          <w:szCs w:val="21"/>
          <w:highlight w:val="none"/>
        </w:rPr>
      </w:pPr>
      <w:r>
        <w:rPr>
          <w:rFonts w:hint="eastAsia" w:ascii="宋体" w:hAnsi="宋体"/>
          <w:color w:val="auto"/>
          <w:szCs w:val="21"/>
          <w:highlight w:val="none"/>
        </w:rPr>
        <w:t>地址：邮编：  电话：</w:t>
      </w:r>
    </w:p>
    <w:p>
      <w:pPr>
        <w:snapToGrid w:val="0"/>
        <w:spacing w:line="460" w:lineRule="exact"/>
        <w:rPr>
          <w:rFonts w:ascii="宋体" w:hAnsi="宋体"/>
          <w:color w:val="auto"/>
          <w:szCs w:val="21"/>
          <w:highlight w:val="none"/>
        </w:rPr>
      </w:pPr>
      <w:r>
        <w:rPr>
          <w:rFonts w:hint="eastAsia" w:ascii="宋体" w:hAnsi="宋体"/>
          <w:color w:val="auto"/>
          <w:szCs w:val="21"/>
          <w:highlight w:val="none"/>
        </w:rPr>
        <w:t>传真：  投标人代表姓名  职务：</w:t>
      </w:r>
    </w:p>
    <w:p>
      <w:pPr>
        <w:snapToGrid w:val="0"/>
        <w:spacing w:line="460" w:lineRule="exact"/>
        <w:rPr>
          <w:rFonts w:ascii="宋体" w:hAnsi="宋体"/>
          <w:color w:val="auto"/>
          <w:szCs w:val="21"/>
          <w:highlight w:val="none"/>
        </w:rPr>
      </w:pPr>
      <w:r>
        <w:rPr>
          <w:rFonts w:hint="eastAsia" w:ascii="宋体" w:hAnsi="宋体"/>
          <w:color w:val="auto"/>
          <w:szCs w:val="21"/>
          <w:highlight w:val="none"/>
        </w:rPr>
        <w:t>投标人名称(公章)：</w:t>
      </w:r>
    </w:p>
    <w:p>
      <w:pPr>
        <w:snapToGrid w:val="0"/>
        <w:spacing w:line="460" w:lineRule="exact"/>
        <w:rPr>
          <w:rFonts w:ascii="宋体" w:hAnsi="宋体"/>
          <w:color w:val="auto"/>
          <w:szCs w:val="21"/>
          <w:highlight w:val="none"/>
        </w:rPr>
      </w:pPr>
      <w:r>
        <w:rPr>
          <w:rFonts w:hint="eastAsia" w:ascii="宋体" w:hAnsi="宋体"/>
          <w:color w:val="auto"/>
          <w:szCs w:val="21"/>
          <w:highlight w:val="none"/>
        </w:rPr>
        <w:t>开户银行：   银行帐号：</w:t>
      </w:r>
    </w:p>
    <w:p>
      <w:pPr>
        <w:snapToGrid w:val="0"/>
        <w:spacing w:before="50" w:after="50" w:line="320" w:lineRule="exact"/>
        <w:ind w:left="-2" w:leftChars="-1" w:right="-817" w:rightChars="-389"/>
        <w:rPr>
          <w:rFonts w:ascii="宋体" w:hAnsi="宋体"/>
          <w:color w:val="auto"/>
          <w:szCs w:val="21"/>
          <w:highlight w:val="none"/>
          <w:u w:val="single"/>
        </w:rPr>
      </w:pPr>
      <w:r>
        <w:rPr>
          <w:rFonts w:hint="eastAsia" w:ascii="宋体" w:hAnsi="宋体"/>
          <w:color w:val="auto"/>
          <w:szCs w:val="21"/>
          <w:highlight w:val="none"/>
        </w:rPr>
        <w:t xml:space="preserve">法定代表人或授权委托代理人（签字）： </w:t>
      </w:r>
    </w:p>
    <w:p>
      <w:pPr>
        <w:snapToGrid w:val="0"/>
        <w:spacing w:line="460" w:lineRule="exact"/>
        <w:rPr>
          <w:rFonts w:ascii="宋体" w:hAnsi="宋体"/>
          <w:color w:val="auto"/>
          <w:szCs w:val="21"/>
          <w:highlight w:val="none"/>
        </w:rPr>
      </w:pPr>
      <w:r>
        <w:rPr>
          <w:rFonts w:hint="eastAsia" w:ascii="宋体" w:hAnsi="宋体"/>
          <w:color w:val="auto"/>
          <w:szCs w:val="21"/>
          <w:highlight w:val="none"/>
        </w:rPr>
        <w:t>日 期：年月日</w:t>
      </w:r>
    </w:p>
    <w:p>
      <w:pPr>
        <w:pStyle w:val="25"/>
        <w:snapToGrid w:val="0"/>
        <w:spacing w:before="295" w:after="295" w:line="400" w:lineRule="exact"/>
        <w:rPr>
          <w:rFonts w:hAnsi="宋体"/>
          <w:color w:val="auto"/>
          <w:szCs w:val="21"/>
          <w:highlight w:val="none"/>
        </w:rPr>
      </w:pPr>
    </w:p>
    <w:p>
      <w:pPr>
        <w:pStyle w:val="25"/>
        <w:snapToGrid w:val="0"/>
        <w:spacing w:before="295" w:after="295" w:line="400" w:lineRule="exact"/>
        <w:rPr>
          <w:rFonts w:hAnsi="宋体"/>
          <w:color w:val="auto"/>
          <w:szCs w:val="21"/>
          <w:highlight w:val="none"/>
        </w:rPr>
      </w:pPr>
    </w:p>
    <w:p>
      <w:pPr>
        <w:pStyle w:val="25"/>
        <w:snapToGrid w:val="0"/>
        <w:spacing w:before="295" w:after="295" w:line="400" w:lineRule="exact"/>
        <w:rPr>
          <w:rFonts w:hAnsi="宋体"/>
          <w:color w:val="auto"/>
          <w:szCs w:val="21"/>
          <w:highlight w:val="none"/>
        </w:rPr>
      </w:pPr>
    </w:p>
    <w:p>
      <w:pPr>
        <w:pStyle w:val="25"/>
        <w:snapToGrid w:val="0"/>
        <w:spacing w:before="295" w:after="295" w:line="400" w:lineRule="exact"/>
        <w:rPr>
          <w:rFonts w:hAnsi="宋体"/>
          <w:color w:val="auto"/>
          <w:szCs w:val="21"/>
          <w:highlight w:val="none"/>
        </w:rPr>
      </w:pPr>
    </w:p>
    <w:p>
      <w:pPr>
        <w:pStyle w:val="25"/>
        <w:snapToGrid w:val="0"/>
        <w:spacing w:before="295" w:after="295" w:line="400" w:lineRule="exact"/>
        <w:rPr>
          <w:rFonts w:hAnsi="宋体"/>
          <w:color w:val="auto"/>
          <w:szCs w:val="21"/>
          <w:highlight w:val="none"/>
        </w:rPr>
      </w:pPr>
    </w:p>
    <w:p>
      <w:pPr>
        <w:pStyle w:val="25"/>
        <w:snapToGrid w:val="0"/>
        <w:spacing w:before="295" w:after="295" w:line="400" w:lineRule="exact"/>
        <w:rPr>
          <w:rFonts w:hAnsi="宋体"/>
          <w:color w:val="auto"/>
          <w:szCs w:val="21"/>
          <w:highlight w:val="none"/>
        </w:rPr>
      </w:pPr>
    </w:p>
    <w:p>
      <w:pPr>
        <w:snapToGrid w:val="0"/>
        <w:spacing w:before="50" w:after="50"/>
        <w:rPr>
          <w:rFonts w:ascii="宋体" w:hAnsi="宋体"/>
          <w:b/>
          <w:color w:val="auto"/>
          <w:szCs w:val="21"/>
          <w:highlight w:val="none"/>
        </w:rPr>
      </w:pPr>
      <w:bookmarkStart w:id="134" w:name="_Toc4460_WPSOffice_Level1"/>
      <w:bookmarkStart w:id="135" w:name="_Toc16166_WPSOffice_Level1"/>
      <w:r>
        <w:rPr>
          <w:rFonts w:hint="eastAsia" w:ascii="宋体" w:hAnsi="宋体"/>
          <w:b/>
          <w:color w:val="auto"/>
          <w:szCs w:val="21"/>
          <w:highlight w:val="none"/>
        </w:rPr>
        <w:t>2.开标一览表</w:t>
      </w:r>
      <w:bookmarkEnd w:id="134"/>
      <w:bookmarkEnd w:id="135"/>
    </w:p>
    <w:p>
      <w:pPr>
        <w:snapToGrid w:val="0"/>
        <w:spacing w:before="50" w:after="50"/>
        <w:jc w:val="center"/>
        <w:rPr>
          <w:rFonts w:ascii="宋体" w:hAnsi="宋体"/>
          <w:b/>
          <w:color w:val="auto"/>
          <w:sz w:val="28"/>
          <w:szCs w:val="28"/>
          <w:highlight w:val="none"/>
        </w:rPr>
      </w:pPr>
      <w:r>
        <w:rPr>
          <w:rFonts w:hint="eastAsia" w:ascii="宋体" w:hAnsi="宋体"/>
          <w:b/>
          <w:color w:val="auto"/>
          <w:sz w:val="28"/>
          <w:szCs w:val="28"/>
          <w:highlight w:val="none"/>
        </w:rPr>
        <w:t>开标一览表</w:t>
      </w:r>
    </w:p>
    <w:p>
      <w:pPr>
        <w:snapToGrid w:val="0"/>
        <w:spacing w:before="50" w:after="50"/>
        <w:rPr>
          <w:rFonts w:ascii="宋体" w:hAnsi="宋体"/>
          <w:b/>
          <w:color w:val="auto"/>
          <w:sz w:val="28"/>
          <w:szCs w:val="28"/>
          <w:highlight w:val="none"/>
        </w:rPr>
      </w:pPr>
      <w:r>
        <w:rPr>
          <w:rFonts w:hint="eastAsia" w:ascii="宋体" w:hAnsi="宋体"/>
          <w:color w:val="auto"/>
          <w:szCs w:val="21"/>
          <w:highlight w:val="none"/>
        </w:rPr>
        <w:t>标段：</w:t>
      </w:r>
    </w:p>
    <w:p>
      <w:pPr>
        <w:snapToGrid w:val="0"/>
        <w:spacing w:before="50" w:after="50"/>
        <w:rPr>
          <w:rFonts w:ascii="宋体" w:hAnsi="宋体"/>
          <w:color w:val="auto"/>
          <w:szCs w:val="21"/>
          <w:highlight w:val="none"/>
          <w:u w:val="single"/>
        </w:rPr>
      </w:pPr>
      <w:r>
        <w:rPr>
          <w:rFonts w:hint="eastAsia" w:ascii="宋体" w:hAnsi="宋体"/>
          <w:color w:val="auto"/>
          <w:szCs w:val="21"/>
          <w:highlight w:val="none"/>
        </w:rPr>
        <w:t>招标编号：</w:t>
      </w:r>
    </w:p>
    <w:p>
      <w:pPr>
        <w:snapToGrid w:val="0"/>
        <w:spacing w:before="50" w:after="50"/>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highlight w:val="none"/>
        </w:rPr>
        <w:t>金额单位：人民币（元）</w:t>
      </w:r>
    </w:p>
    <w:tbl>
      <w:tblPr>
        <w:tblStyle w:val="47"/>
        <w:tblW w:w="95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836"/>
        <w:gridCol w:w="871"/>
        <w:gridCol w:w="696"/>
        <w:gridCol w:w="1740"/>
        <w:gridCol w:w="1386"/>
        <w:gridCol w:w="1205"/>
        <w:gridCol w:w="10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05" w:type="dxa"/>
            <w:vAlign w:val="center"/>
          </w:tcPr>
          <w:p>
            <w:pPr>
              <w:adjustRightInd w:val="0"/>
              <w:snapToGrid w:val="0"/>
              <w:spacing w:line="300" w:lineRule="auto"/>
              <w:ind w:left="-88" w:leftChars="-42"/>
              <w:jc w:val="center"/>
              <w:rPr>
                <w:rFonts w:ascii="宋体" w:hAnsi="宋体"/>
                <w:b/>
                <w:color w:val="auto"/>
                <w:szCs w:val="21"/>
                <w:highlight w:val="none"/>
              </w:rPr>
            </w:pPr>
            <w:r>
              <w:rPr>
                <w:rFonts w:hint="eastAsia" w:ascii="宋体" w:hAnsi="宋体"/>
                <w:b/>
                <w:color w:val="auto"/>
                <w:szCs w:val="21"/>
                <w:highlight w:val="none"/>
              </w:rPr>
              <w:t>序号</w:t>
            </w:r>
          </w:p>
        </w:tc>
        <w:tc>
          <w:tcPr>
            <w:tcW w:w="1836" w:type="dxa"/>
            <w:vAlign w:val="center"/>
          </w:tcPr>
          <w:p>
            <w:pPr>
              <w:adjustRightInd w:val="0"/>
              <w:snapToGrid w:val="0"/>
              <w:spacing w:line="300" w:lineRule="auto"/>
              <w:ind w:left="-88" w:leftChars="-42"/>
              <w:jc w:val="center"/>
              <w:rPr>
                <w:rFonts w:ascii="宋体" w:hAnsi="宋体"/>
                <w:b/>
                <w:color w:val="auto"/>
                <w:szCs w:val="21"/>
                <w:highlight w:val="none"/>
              </w:rPr>
            </w:pPr>
            <w:r>
              <w:rPr>
                <w:rFonts w:hint="eastAsia" w:ascii="宋体" w:hAnsi="宋体"/>
                <w:b/>
                <w:color w:val="auto"/>
                <w:szCs w:val="21"/>
                <w:highlight w:val="none"/>
              </w:rPr>
              <w:t>货物名称</w:t>
            </w:r>
          </w:p>
        </w:tc>
        <w:tc>
          <w:tcPr>
            <w:tcW w:w="871" w:type="dxa"/>
            <w:vAlign w:val="center"/>
          </w:tcPr>
          <w:p>
            <w:pPr>
              <w:adjustRightInd w:val="0"/>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数量</w:t>
            </w:r>
          </w:p>
        </w:tc>
        <w:tc>
          <w:tcPr>
            <w:tcW w:w="696" w:type="dxa"/>
            <w:vAlign w:val="center"/>
          </w:tcPr>
          <w:p>
            <w:pPr>
              <w:adjustRightInd w:val="0"/>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产地</w:t>
            </w:r>
          </w:p>
        </w:tc>
        <w:tc>
          <w:tcPr>
            <w:tcW w:w="1740" w:type="dxa"/>
            <w:vAlign w:val="center"/>
          </w:tcPr>
          <w:p>
            <w:pPr>
              <w:adjustRightInd w:val="0"/>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品牌及厂家</w:t>
            </w:r>
          </w:p>
        </w:tc>
        <w:tc>
          <w:tcPr>
            <w:tcW w:w="1386" w:type="dxa"/>
            <w:vAlign w:val="center"/>
          </w:tcPr>
          <w:p>
            <w:pPr>
              <w:adjustRightInd w:val="0"/>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规格型号</w:t>
            </w:r>
          </w:p>
        </w:tc>
        <w:tc>
          <w:tcPr>
            <w:tcW w:w="1205" w:type="dxa"/>
            <w:vAlign w:val="center"/>
          </w:tcPr>
          <w:p>
            <w:pPr>
              <w:adjustRightInd w:val="0"/>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单价</w:t>
            </w:r>
          </w:p>
        </w:tc>
        <w:tc>
          <w:tcPr>
            <w:tcW w:w="1092" w:type="dxa"/>
            <w:vAlign w:val="center"/>
          </w:tcPr>
          <w:p>
            <w:pPr>
              <w:adjustRightInd w:val="0"/>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05" w:type="dxa"/>
            <w:vAlign w:val="center"/>
          </w:tcPr>
          <w:p>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1</w:t>
            </w:r>
          </w:p>
        </w:tc>
        <w:tc>
          <w:tcPr>
            <w:tcW w:w="1836" w:type="dxa"/>
            <w:vAlign w:val="center"/>
          </w:tcPr>
          <w:p>
            <w:pPr>
              <w:adjustRightInd w:val="0"/>
              <w:snapToGrid w:val="0"/>
              <w:spacing w:line="300" w:lineRule="auto"/>
              <w:ind w:left="-88" w:leftChars="-42"/>
              <w:jc w:val="center"/>
              <w:rPr>
                <w:rFonts w:ascii="宋体" w:hAnsi="宋体"/>
                <w:color w:val="auto"/>
                <w:szCs w:val="21"/>
                <w:highlight w:val="none"/>
              </w:rPr>
            </w:pPr>
          </w:p>
        </w:tc>
        <w:tc>
          <w:tcPr>
            <w:tcW w:w="871" w:type="dxa"/>
            <w:vAlign w:val="center"/>
          </w:tcPr>
          <w:p>
            <w:pPr>
              <w:adjustRightInd w:val="0"/>
              <w:snapToGrid w:val="0"/>
              <w:spacing w:line="300" w:lineRule="auto"/>
              <w:jc w:val="center"/>
              <w:rPr>
                <w:rFonts w:ascii="宋体" w:hAnsi="宋体"/>
                <w:color w:val="auto"/>
                <w:szCs w:val="21"/>
                <w:highlight w:val="none"/>
              </w:rPr>
            </w:pPr>
          </w:p>
        </w:tc>
        <w:tc>
          <w:tcPr>
            <w:tcW w:w="696" w:type="dxa"/>
            <w:vAlign w:val="center"/>
          </w:tcPr>
          <w:p>
            <w:pPr>
              <w:adjustRightInd w:val="0"/>
              <w:snapToGrid w:val="0"/>
              <w:spacing w:line="300" w:lineRule="auto"/>
              <w:jc w:val="center"/>
              <w:rPr>
                <w:rFonts w:ascii="宋体" w:hAnsi="宋体"/>
                <w:color w:val="auto"/>
                <w:szCs w:val="21"/>
                <w:highlight w:val="none"/>
              </w:rPr>
            </w:pPr>
          </w:p>
        </w:tc>
        <w:tc>
          <w:tcPr>
            <w:tcW w:w="1740" w:type="dxa"/>
            <w:vAlign w:val="center"/>
          </w:tcPr>
          <w:p>
            <w:pPr>
              <w:adjustRightInd w:val="0"/>
              <w:snapToGrid w:val="0"/>
              <w:spacing w:line="300" w:lineRule="auto"/>
              <w:jc w:val="center"/>
              <w:rPr>
                <w:rFonts w:ascii="宋体" w:hAnsi="宋体"/>
                <w:color w:val="auto"/>
                <w:szCs w:val="21"/>
                <w:highlight w:val="none"/>
              </w:rPr>
            </w:pPr>
          </w:p>
        </w:tc>
        <w:tc>
          <w:tcPr>
            <w:tcW w:w="1386" w:type="dxa"/>
            <w:vAlign w:val="center"/>
          </w:tcPr>
          <w:p>
            <w:pPr>
              <w:adjustRightInd w:val="0"/>
              <w:snapToGrid w:val="0"/>
              <w:spacing w:line="300" w:lineRule="auto"/>
              <w:jc w:val="center"/>
              <w:rPr>
                <w:rFonts w:ascii="宋体" w:hAnsi="宋体"/>
                <w:color w:val="auto"/>
                <w:szCs w:val="21"/>
                <w:highlight w:val="none"/>
              </w:rPr>
            </w:pPr>
          </w:p>
        </w:tc>
        <w:tc>
          <w:tcPr>
            <w:tcW w:w="1205" w:type="dxa"/>
            <w:vAlign w:val="center"/>
          </w:tcPr>
          <w:p>
            <w:pPr>
              <w:adjustRightInd w:val="0"/>
              <w:snapToGrid w:val="0"/>
              <w:spacing w:line="300" w:lineRule="auto"/>
              <w:jc w:val="center"/>
              <w:rPr>
                <w:rFonts w:ascii="宋体" w:hAnsi="宋体"/>
                <w:color w:val="auto"/>
                <w:szCs w:val="21"/>
                <w:highlight w:val="none"/>
              </w:rPr>
            </w:pPr>
          </w:p>
        </w:tc>
        <w:tc>
          <w:tcPr>
            <w:tcW w:w="1092" w:type="dxa"/>
            <w:vAlign w:val="center"/>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05" w:type="dxa"/>
            <w:vAlign w:val="center"/>
          </w:tcPr>
          <w:p>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2</w:t>
            </w:r>
          </w:p>
        </w:tc>
        <w:tc>
          <w:tcPr>
            <w:tcW w:w="1836" w:type="dxa"/>
            <w:vAlign w:val="center"/>
          </w:tcPr>
          <w:p>
            <w:pPr>
              <w:adjustRightInd w:val="0"/>
              <w:snapToGrid w:val="0"/>
              <w:spacing w:line="300" w:lineRule="auto"/>
              <w:ind w:left="-88" w:leftChars="-42"/>
              <w:jc w:val="center"/>
              <w:rPr>
                <w:rFonts w:ascii="宋体" w:hAnsi="宋体"/>
                <w:color w:val="auto"/>
                <w:szCs w:val="21"/>
                <w:highlight w:val="none"/>
              </w:rPr>
            </w:pPr>
          </w:p>
        </w:tc>
        <w:tc>
          <w:tcPr>
            <w:tcW w:w="871" w:type="dxa"/>
            <w:vAlign w:val="center"/>
          </w:tcPr>
          <w:p>
            <w:pPr>
              <w:adjustRightInd w:val="0"/>
              <w:snapToGrid w:val="0"/>
              <w:spacing w:line="300" w:lineRule="auto"/>
              <w:jc w:val="center"/>
              <w:rPr>
                <w:rFonts w:ascii="宋体" w:hAnsi="宋体"/>
                <w:color w:val="auto"/>
                <w:szCs w:val="21"/>
                <w:highlight w:val="none"/>
              </w:rPr>
            </w:pPr>
          </w:p>
        </w:tc>
        <w:tc>
          <w:tcPr>
            <w:tcW w:w="696" w:type="dxa"/>
            <w:vAlign w:val="center"/>
          </w:tcPr>
          <w:p>
            <w:pPr>
              <w:adjustRightInd w:val="0"/>
              <w:snapToGrid w:val="0"/>
              <w:spacing w:line="300" w:lineRule="auto"/>
              <w:jc w:val="center"/>
              <w:rPr>
                <w:rFonts w:ascii="宋体" w:hAnsi="宋体"/>
                <w:color w:val="auto"/>
                <w:szCs w:val="21"/>
                <w:highlight w:val="none"/>
              </w:rPr>
            </w:pPr>
          </w:p>
        </w:tc>
        <w:tc>
          <w:tcPr>
            <w:tcW w:w="1740" w:type="dxa"/>
            <w:vAlign w:val="center"/>
          </w:tcPr>
          <w:p>
            <w:pPr>
              <w:adjustRightInd w:val="0"/>
              <w:snapToGrid w:val="0"/>
              <w:spacing w:line="300" w:lineRule="auto"/>
              <w:jc w:val="center"/>
              <w:rPr>
                <w:rFonts w:ascii="宋体" w:hAnsi="宋体"/>
                <w:color w:val="auto"/>
                <w:szCs w:val="21"/>
                <w:highlight w:val="none"/>
              </w:rPr>
            </w:pPr>
          </w:p>
        </w:tc>
        <w:tc>
          <w:tcPr>
            <w:tcW w:w="1386" w:type="dxa"/>
            <w:vAlign w:val="center"/>
          </w:tcPr>
          <w:p>
            <w:pPr>
              <w:adjustRightInd w:val="0"/>
              <w:snapToGrid w:val="0"/>
              <w:spacing w:line="300" w:lineRule="auto"/>
              <w:jc w:val="center"/>
              <w:rPr>
                <w:rFonts w:ascii="宋体" w:hAnsi="宋体"/>
                <w:color w:val="auto"/>
                <w:szCs w:val="21"/>
                <w:highlight w:val="none"/>
              </w:rPr>
            </w:pPr>
          </w:p>
        </w:tc>
        <w:tc>
          <w:tcPr>
            <w:tcW w:w="1205" w:type="dxa"/>
            <w:vAlign w:val="center"/>
          </w:tcPr>
          <w:p>
            <w:pPr>
              <w:adjustRightInd w:val="0"/>
              <w:snapToGrid w:val="0"/>
              <w:spacing w:line="300" w:lineRule="auto"/>
              <w:jc w:val="center"/>
              <w:rPr>
                <w:rFonts w:ascii="宋体" w:hAnsi="宋体"/>
                <w:color w:val="auto"/>
                <w:szCs w:val="21"/>
                <w:highlight w:val="none"/>
              </w:rPr>
            </w:pPr>
          </w:p>
        </w:tc>
        <w:tc>
          <w:tcPr>
            <w:tcW w:w="1092" w:type="dxa"/>
            <w:vAlign w:val="center"/>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05" w:type="dxa"/>
            <w:vAlign w:val="center"/>
          </w:tcPr>
          <w:p>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3</w:t>
            </w:r>
          </w:p>
        </w:tc>
        <w:tc>
          <w:tcPr>
            <w:tcW w:w="1836" w:type="dxa"/>
            <w:vAlign w:val="center"/>
          </w:tcPr>
          <w:p>
            <w:pPr>
              <w:adjustRightInd w:val="0"/>
              <w:snapToGrid w:val="0"/>
              <w:spacing w:line="300" w:lineRule="auto"/>
              <w:ind w:left="-88" w:leftChars="-42"/>
              <w:jc w:val="center"/>
              <w:rPr>
                <w:rFonts w:ascii="宋体" w:hAnsi="宋体"/>
                <w:color w:val="auto"/>
                <w:szCs w:val="21"/>
                <w:highlight w:val="none"/>
              </w:rPr>
            </w:pPr>
          </w:p>
        </w:tc>
        <w:tc>
          <w:tcPr>
            <w:tcW w:w="871" w:type="dxa"/>
            <w:vAlign w:val="center"/>
          </w:tcPr>
          <w:p>
            <w:pPr>
              <w:adjustRightInd w:val="0"/>
              <w:snapToGrid w:val="0"/>
              <w:spacing w:line="300" w:lineRule="auto"/>
              <w:jc w:val="center"/>
              <w:rPr>
                <w:rFonts w:ascii="宋体" w:hAnsi="宋体"/>
                <w:color w:val="auto"/>
                <w:szCs w:val="21"/>
                <w:highlight w:val="none"/>
              </w:rPr>
            </w:pPr>
          </w:p>
        </w:tc>
        <w:tc>
          <w:tcPr>
            <w:tcW w:w="696" w:type="dxa"/>
            <w:vAlign w:val="center"/>
          </w:tcPr>
          <w:p>
            <w:pPr>
              <w:adjustRightInd w:val="0"/>
              <w:snapToGrid w:val="0"/>
              <w:spacing w:line="300" w:lineRule="auto"/>
              <w:jc w:val="center"/>
              <w:rPr>
                <w:rFonts w:ascii="宋体" w:hAnsi="宋体"/>
                <w:color w:val="auto"/>
                <w:szCs w:val="21"/>
                <w:highlight w:val="none"/>
              </w:rPr>
            </w:pPr>
          </w:p>
        </w:tc>
        <w:tc>
          <w:tcPr>
            <w:tcW w:w="1740" w:type="dxa"/>
            <w:vAlign w:val="center"/>
          </w:tcPr>
          <w:p>
            <w:pPr>
              <w:adjustRightInd w:val="0"/>
              <w:snapToGrid w:val="0"/>
              <w:spacing w:line="300" w:lineRule="auto"/>
              <w:jc w:val="center"/>
              <w:rPr>
                <w:rFonts w:ascii="宋体" w:hAnsi="宋体"/>
                <w:color w:val="auto"/>
                <w:szCs w:val="21"/>
                <w:highlight w:val="none"/>
              </w:rPr>
            </w:pPr>
          </w:p>
        </w:tc>
        <w:tc>
          <w:tcPr>
            <w:tcW w:w="1386" w:type="dxa"/>
            <w:vAlign w:val="center"/>
          </w:tcPr>
          <w:p>
            <w:pPr>
              <w:adjustRightInd w:val="0"/>
              <w:snapToGrid w:val="0"/>
              <w:spacing w:line="300" w:lineRule="auto"/>
              <w:jc w:val="center"/>
              <w:rPr>
                <w:rFonts w:ascii="宋体" w:hAnsi="宋体"/>
                <w:color w:val="auto"/>
                <w:szCs w:val="21"/>
                <w:highlight w:val="none"/>
              </w:rPr>
            </w:pPr>
          </w:p>
        </w:tc>
        <w:tc>
          <w:tcPr>
            <w:tcW w:w="1205" w:type="dxa"/>
            <w:vAlign w:val="center"/>
          </w:tcPr>
          <w:p>
            <w:pPr>
              <w:adjustRightInd w:val="0"/>
              <w:snapToGrid w:val="0"/>
              <w:spacing w:line="300" w:lineRule="auto"/>
              <w:jc w:val="center"/>
              <w:rPr>
                <w:rFonts w:ascii="宋体" w:hAnsi="宋体"/>
                <w:color w:val="auto"/>
                <w:szCs w:val="21"/>
                <w:highlight w:val="none"/>
              </w:rPr>
            </w:pPr>
          </w:p>
        </w:tc>
        <w:tc>
          <w:tcPr>
            <w:tcW w:w="1092" w:type="dxa"/>
            <w:vAlign w:val="center"/>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9531" w:type="dxa"/>
            <w:gridSpan w:val="8"/>
            <w:vAlign w:val="center"/>
          </w:tcPr>
          <w:p>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合计金额大写：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9531" w:type="dxa"/>
            <w:gridSpan w:val="8"/>
            <w:vAlign w:val="center"/>
          </w:tcPr>
          <w:p>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交货期：</w:t>
            </w:r>
          </w:p>
        </w:tc>
      </w:tr>
    </w:tbl>
    <w:p>
      <w:pPr>
        <w:snapToGrid w:val="0"/>
        <w:spacing w:before="50" w:after="50"/>
        <w:rPr>
          <w:rFonts w:ascii="宋体" w:hAnsi="宋体"/>
          <w:color w:val="auto"/>
          <w:szCs w:val="21"/>
          <w:highlight w:val="none"/>
        </w:rPr>
      </w:pPr>
    </w:p>
    <w:p>
      <w:pPr>
        <w:snapToGrid w:val="0"/>
        <w:spacing w:before="50" w:after="50" w:line="360" w:lineRule="auto"/>
        <w:jc w:val="left"/>
        <w:rPr>
          <w:rFonts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1、报价一经涂改，应在涂改处加盖单位公章或者由法定代表人或授权委托人签字或盖章，否则其投标作无效标处理。</w:t>
      </w:r>
    </w:p>
    <w:p>
      <w:pPr>
        <w:snapToGrid w:val="0"/>
        <w:spacing w:before="50" w:after="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2、投标费用包括项目实施所需的人工费、服务费、运输费、装卸费、指导安装调试费、购买及制作标书费、税费及其他一切费用。</w:t>
      </w:r>
    </w:p>
    <w:p>
      <w:pPr>
        <w:snapToGrid w:val="0"/>
        <w:spacing w:before="50" w:after="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3、以上报价应与“</w:t>
      </w:r>
      <w:r>
        <w:rPr>
          <w:rFonts w:hint="eastAsia" w:ascii="宋体" w:hAnsi="宋体"/>
          <w:bCs/>
          <w:color w:val="auto"/>
          <w:szCs w:val="21"/>
          <w:highlight w:val="none"/>
        </w:rPr>
        <w:t>投标报价明细表</w:t>
      </w:r>
      <w:r>
        <w:rPr>
          <w:rFonts w:hint="eastAsia" w:ascii="宋体" w:hAnsi="宋体"/>
          <w:color w:val="auto"/>
          <w:szCs w:val="21"/>
          <w:highlight w:val="none"/>
        </w:rPr>
        <w:t>”中的“投标总价”相一致。</w:t>
      </w:r>
    </w:p>
    <w:p>
      <w:pPr>
        <w:snapToGrid w:val="0"/>
        <w:spacing w:before="50" w:after="50" w:line="360" w:lineRule="auto"/>
        <w:ind w:firstLine="420" w:firstLineChars="200"/>
        <w:rPr>
          <w:rFonts w:ascii="宋体" w:hAnsi="宋体"/>
          <w:color w:val="auto"/>
          <w:szCs w:val="21"/>
          <w:highlight w:val="none"/>
        </w:rPr>
      </w:pPr>
      <w:r>
        <w:rPr>
          <w:rFonts w:hint="eastAsia" w:ascii="宋体" w:hAnsi="宋体"/>
          <w:color w:val="auto"/>
          <w:szCs w:val="21"/>
          <w:highlight w:val="none"/>
        </w:rPr>
        <w:t>4、此表请单独装信封放入投标文件袋，信封封面请注明投标人名称、投标人地址、投标文件名称、项目名称、项目编号及“开标时启封”字样。</w:t>
      </w:r>
    </w:p>
    <w:p>
      <w:pPr>
        <w:snapToGrid w:val="0"/>
        <w:spacing w:before="50" w:after="50" w:line="360" w:lineRule="auto"/>
        <w:ind w:firstLine="420" w:firstLineChars="200"/>
        <w:rPr>
          <w:rFonts w:ascii="宋体" w:hAnsi="宋体"/>
          <w:color w:val="auto"/>
          <w:szCs w:val="21"/>
          <w:highlight w:val="none"/>
        </w:rPr>
      </w:pPr>
      <w:r>
        <w:rPr>
          <w:rFonts w:hint="eastAsia" w:ascii="宋体" w:hAnsi="宋体"/>
          <w:color w:val="auto"/>
          <w:szCs w:val="21"/>
          <w:highlight w:val="none"/>
        </w:rPr>
        <w:t>5、此表若由多页构成，则需由法定代表人逐页签字并加盖公章，否则其投标作无效标处理。</w:t>
      </w:r>
    </w:p>
    <w:p>
      <w:pPr>
        <w:snapToGrid w:val="0"/>
        <w:spacing w:before="50" w:after="50" w:line="360" w:lineRule="auto"/>
        <w:ind w:firstLine="420" w:firstLineChars="200"/>
        <w:rPr>
          <w:rFonts w:ascii="宋体" w:hAnsi="宋体"/>
          <w:color w:val="auto"/>
          <w:szCs w:val="21"/>
          <w:highlight w:val="none"/>
        </w:rPr>
      </w:pPr>
    </w:p>
    <w:p>
      <w:pPr>
        <w:rPr>
          <w:rFonts w:ascii="宋体" w:hAnsi="宋体"/>
          <w:color w:val="auto"/>
          <w:szCs w:val="20"/>
          <w:highlight w:val="none"/>
        </w:rPr>
      </w:pPr>
      <w:r>
        <w:rPr>
          <w:rFonts w:hint="eastAsia" w:ascii="宋体" w:hAnsi="宋体"/>
          <w:color w:val="auto"/>
          <w:szCs w:val="20"/>
          <w:highlight w:val="none"/>
        </w:rPr>
        <w:t>投标人（盖单位公章）</w:t>
      </w:r>
    </w:p>
    <w:p>
      <w:pPr>
        <w:rPr>
          <w:rFonts w:ascii="宋体" w:hAnsi="宋体"/>
          <w:color w:val="auto"/>
          <w:szCs w:val="20"/>
          <w:highlight w:val="none"/>
        </w:rPr>
      </w:pPr>
    </w:p>
    <w:p>
      <w:pPr>
        <w:rPr>
          <w:rFonts w:ascii="宋体" w:hAnsi="宋体"/>
          <w:color w:val="auto"/>
          <w:szCs w:val="20"/>
          <w:highlight w:val="none"/>
          <w:u w:val="single"/>
        </w:rPr>
      </w:pPr>
      <w:r>
        <w:rPr>
          <w:rFonts w:hint="eastAsia" w:ascii="宋体" w:hAnsi="宋体"/>
          <w:color w:val="auto"/>
          <w:szCs w:val="20"/>
          <w:highlight w:val="none"/>
        </w:rPr>
        <w:t>法定代表人或委托代理人（签字）：</w:t>
      </w:r>
    </w:p>
    <w:p>
      <w:pPr>
        <w:snapToGrid w:val="0"/>
        <w:spacing w:before="295" w:after="295"/>
        <w:rPr>
          <w:rFonts w:ascii="宋体" w:hAnsi="宋体"/>
          <w:color w:val="auto"/>
          <w:szCs w:val="20"/>
          <w:highlight w:val="none"/>
        </w:rPr>
      </w:pPr>
      <w:r>
        <w:rPr>
          <w:rFonts w:hint="eastAsia" w:ascii="宋体" w:hAnsi="宋体"/>
          <w:color w:val="auto"/>
          <w:spacing w:val="20"/>
          <w:szCs w:val="21"/>
          <w:highlight w:val="none"/>
        </w:rPr>
        <w:t>日   期：</w:t>
      </w: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pStyle w:val="6"/>
        <w:outlineLvl w:val="9"/>
        <w:rPr>
          <w:color w:val="auto"/>
          <w:highlight w:val="none"/>
        </w:rPr>
      </w:pP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Cs w:val="21"/>
          <w:highlight w:val="none"/>
        </w:rPr>
      </w:pPr>
      <w:bookmarkStart w:id="136" w:name="_Toc28565_WPSOffice_Level1"/>
      <w:bookmarkStart w:id="137" w:name="_Toc12492_WPSOffice_Level1"/>
      <w:r>
        <w:rPr>
          <w:rFonts w:hint="eastAsia" w:ascii="宋体" w:hAnsi="宋体"/>
          <w:b/>
          <w:color w:val="auto"/>
          <w:szCs w:val="21"/>
          <w:highlight w:val="none"/>
        </w:rPr>
        <w:t>3.投标报价明细表：</w:t>
      </w:r>
      <w:bookmarkEnd w:id="136"/>
      <w:bookmarkEnd w:id="137"/>
      <w:r>
        <w:rPr>
          <w:rFonts w:hint="eastAsia" w:ascii="宋体" w:hAnsi="宋体"/>
          <w:b/>
          <w:color w:val="auto"/>
          <w:szCs w:val="21"/>
          <w:highlight w:val="none"/>
        </w:rPr>
        <w:t xml:space="preserve">       </w:t>
      </w:r>
    </w:p>
    <w:p>
      <w:pPr>
        <w:pStyle w:val="25"/>
        <w:snapToGrid w:val="0"/>
        <w:spacing w:before="295" w:after="295"/>
        <w:jc w:val="center"/>
        <w:rPr>
          <w:rFonts w:hAnsi="宋体"/>
          <w:b/>
          <w:color w:val="auto"/>
          <w:highlight w:val="none"/>
        </w:rPr>
      </w:pPr>
      <w:r>
        <w:rPr>
          <w:rFonts w:hint="eastAsia" w:hAnsi="宋体"/>
          <w:b/>
          <w:color w:val="auto"/>
          <w:highlight w:val="none"/>
        </w:rPr>
        <w:t>投标报价明细表</w:t>
      </w:r>
    </w:p>
    <w:p>
      <w:pPr>
        <w:snapToGrid w:val="0"/>
        <w:spacing w:before="50" w:after="50"/>
        <w:jc w:val="left"/>
        <w:rPr>
          <w:rFonts w:hAnsi="宋体"/>
          <w:color w:val="auto"/>
          <w:highlight w:val="none"/>
        </w:rPr>
      </w:pPr>
      <w:r>
        <w:rPr>
          <w:rFonts w:hint="eastAsia" w:ascii="宋体" w:hAnsi="宋体"/>
          <w:color w:val="auto"/>
          <w:szCs w:val="21"/>
          <w:highlight w:val="none"/>
        </w:rPr>
        <w:t>标段：</w:t>
      </w:r>
      <w:r>
        <w:rPr>
          <w:rFonts w:hint="eastAsia" w:hAnsi="宋体"/>
          <w:color w:val="auto"/>
          <w:highlight w:val="none"/>
        </w:rPr>
        <w:t>金额单位：人民币（元）</w:t>
      </w:r>
    </w:p>
    <w:tbl>
      <w:tblPr>
        <w:tblStyle w:val="47"/>
        <w:tblW w:w="972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770"/>
        <w:gridCol w:w="1650"/>
        <w:gridCol w:w="925"/>
        <w:gridCol w:w="695"/>
        <w:gridCol w:w="90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Cs w:val="21"/>
                <w:highlight w:val="none"/>
              </w:rPr>
            </w:pPr>
            <w:r>
              <w:rPr>
                <w:rFonts w:hint="eastAsia" w:ascii="宋体" w:hAnsi="宋体"/>
                <w:color w:val="auto"/>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zCs w:val="21"/>
                <w:highlight w:val="none"/>
              </w:rPr>
            </w:pPr>
            <w:r>
              <w:rPr>
                <w:rFonts w:hint="eastAsia" w:ascii="宋体" w:hAnsi="宋体"/>
                <w:color w:val="auto"/>
                <w:szCs w:val="21"/>
                <w:highlight w:val="none"/>
              </w:rPr>
              <w:t>设备名称</w:t>
            </w:r>
          </w:p>
        </w:tc>
        <w:tc>
          <w:tcPr>
            <w:tcW w:w="1770" w:type="dxa"/>
            <w:tcBorders>
              <w:top w:val="single" w:color="auto" w:sz="4" w:space="0"/>
              <w:left w:val="single" w:color="auto" w:sz="4" w:space="0"/>
              <w:bottom w:val="single" w:color="auto" w:sz="4" w:space="0"/>
              <w:right w:val="single" w:color="auto" w:sz="4" w:space="0"/>
            </w:tcBorders>
            <w:vAlign w:val="center"/>
          </w:tcPr>
          <w:p>
            <w:pPr>
              <w:pStyle w:val="73"/>
              <w:rPr>
                <w:rFonts w:ascii="宋体" w:eastAsia="宋体"/>
                <w:color w:val="auto"/>
                <w:highlight w:val="none"/>
              </w:rPr>
            </w:pPr>
            <w:r>
              <w:rPr>
                <w:rFonts w:hint="eastAsia" w:ascii="宋体" w:eastAsia="宋体"/>
                <w:b w:val="0"/>
                <w:color w:val="auto"/>
                <w:sz w:val="21"/>
                <w:szCs w:val="21"/>
                <w:highlight w:val="none"/>
              </w:rPr>
              <w:t>品  牌、</w:t>
            </w:r>
          </w:p>
          <w:p>
            <w:pPr>
              <w:tabs>
                <w:tab w:val="left" w:pos="1418"/>
              </w:tabs>
              <w:snapToGrid w:val="0"/>
              <w:spacing w:before="50" w:after="50" w:line="260" w:lineRule="exact"/>
              <w:jc w:val="center"/>
              <w:rPr>
                <w:rFonts w:ascii="宋体" w:hAnsi="宋体"/>
                <w:color w:val="auto"/>
                <w:szCs w:val="21"/>
                <w:highlight w:val="none"/>
              </w:rPr>
            </w:pPr>
            <w:r>
              <w:rPr>
                <w:rFonts w:hint="eastAsia" w:ascii="宋体" w:hAnsi="宋体"/>
                <w:color w:val="auto"/>
                <w:szCs w:val="21"/>
                <w:highlight w:val="none"/>
              </w:rPr>
              <w:t>规格型号、生产厂家</w:t>
            </w:r>
          </w:p>
        </w:tc>
        <w:tc>
          <w:tcPr>
            <w:tcW w:w="16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color w:val="auto"/>
                <w:szCs w:val="21"/>
                <w:highlight w:val="none"/>
              </w:rPr>
            </w:pPr>
            <w:r>
              <w:rPr>
                <w:rFonts w:hint="eastAsia" w:ascii="宋体" w:hAnsi="宋体"/>
                <w:color w:val="auto"/>
                <w:szCs w:val="21"/>
                <w:highlight w:val="none"/>
              </w:rPr>
              <w:t>技术参数</w:t>
            </w: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zCs w:val="21"/>
                <w:highlight w:val="none"/>
              </w:rPr>
            </w:pPr>
            <w:r>
              <w:rPr>
                <w:rFonts w:hint="eastAsia" w:ascii="宋体" w:hAnsi="宋体"/>
                <w:color w:val="auto"/>
                <w:szCs w:val="21"/>
                <w:highlight w:val="none"/>
              </w:rPr>
              <w:t>单位</w:t>
            </w:r>
          </w:p>
        </w:tc>
        <w:tc>
          <w:tcPr>
            <w:tcW w:w="6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zCs w:val="21"/>
                <w:highlight w:val="none"/>
              </w:rPr>
            </w:pPr>
            <w:r>
              <w:rPr>
                <w:rFonts w:hint="eastAsia" w:ascii="宋体" w:hAnsi="宋体"/>
                <w:color w:val="auto"/>
                <w:szCs w:val="21"/>
                <w:highlight w:val="none"/>
              </w:rPr>
              <w:t>数量</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zCs w:val="21"/>
                <w:highlight w:val="none"/>
              </w:rPr>
            </w:pPr>
            <w:r>
              <w:rPr>
                <w:rFonts w:hint="eastAsia" w:ascii="宋体" w:hAnsi="宋体"/>
                <w:color w:val="auto"/>
                <w:szCs w:val="21"/>
                <w:highlight w:val="none"/>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zCs w:val="21"/>
                <w:highlight w:val="none"/>
              </w:rPr>
            </w:pPr>
            <w:r>
              <w:rPr>
                <w:rFonts w:hint="eastAsia" w:ascii="宋体" w:hAnsi="宋体"/>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5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9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6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5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9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6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r>
              <w:rPr>
                <w:rFonts w:hint="eastAsia" w:ascii="宋体" w:hAnsi="宋体"/>
                <w:color w:val="auto"/>
                <w:spacing w:val="20"/>
                <w:szCs w:val="21"/>
                <w:highlight w:val="none"/>
              </w:rPr>
              <w:t>……</w:t>
            </w:r>
          </w:p>
        </w:tc>
        <w:tc>
          <w:tcPr>
            <w:tcW w:w="17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5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9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6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r>
              <w:rPr>
                <w:rFonts w:hint="eastAsia" w:ascii="宋体" w:hAnsi="宋体"/>
                <w:color w:val="auto"/>
                <w:spacing w:val="20"/>
                <w:szCs w:val="21"/>
                <w:highlight w:val="none"/>
              </w:rPr>
              <w:t>专用耗材</w:t>
            </w:r>
          </w:p>
        </w:tc>
        <w:tc>
          <w:tcPr>
            <w:tcW w:w="17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5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9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6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00"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rFonts w:ascii="宋体" w:hAnsi="宋体"/>
                <w:color w:val="auto"/>
                <w:spacing w:val="20"/>
                <w:szCs w:val="21"/>
                <w:highlight w:val="none"/>
              </w:rPr>
            </w:pPr>
            <w:r>
              <w:rPr>
                <w:rFonts w:hint="eastAsia" w:ascii="宋体" w:hAnsi="宋体"/>
                <w:color w:val="auto"/>
                <w:spacing w:val="20"/>
                <w:szCs w:val="21"/>
                <w:highlight w:val="none"/>
              </w:rPr>
              <w:t>投 标 总  价</w:t>
            </w: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20"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rFonts w:ascii="宋体" w:hAnsi="宋体"/>
                <w:color w:val="auto"/>
                <w:spacing w:val="20"/>
                <w:szCs w:val="21"/>
                <w:highlight w:val="none"/>
              </w:rPr>
            </w:pPr>
            <w:r>
              <w:rPr>
                <w:rFonts w:hint="eastAsia" w:ascii="宋体" w:hAnsi="宋体"/>
                <w:color w:val="auto"/>
                <w:spacing w:val="20"/>
                <w:szCs w:val="21"/>
                <w:highlight w:val="none"/>
              </w:rPr>
              <w:t>交货期：</w:t>
            </w:r>
          </w:p>
        </w:tc>
      </w:tr>
    </w:tbl>
    <w:p>
      <w:pPr>
        <w:pStyle w:val="25"/>
        <w:snapToGrid w:val="0"/>
        <w:spacing w:before="295" w:after="295"/>
        <w:rPr>
          <w:rFonts w:hAnsi="宋体"/>
          <w:color w:val="auto"/>
          <w:highlight w:val="none"/>
        </w:rPr>
      </w:pPr>
    </w:p>
    <w:p>
      <w:pPr>
        <w:spacing w:line="500" w:lineRule="exact"/>
        <w:ind w:right="-267" w:firstLine="4138" w:firstLineChars="2090"/>
        <w:rPr>
          <w:rFonts w:ascii="宋体"/>
          <w:color w:val="auto"/>
          <w:spacing w:val="-6"/>
          <w:szCs w:val="21"/>
          <w:highlight w:val="none"/>
        </w:rPr>
      </w:pPr>
    </w:p>
    <w:p>
      <w:pPr>
        <w:tabs>
          <w:tab w:val="left" w:pos="1418"/>
        </w:tabs>
        <w:snapToGrid w:val="0"/>
        <w:spacing w:before="50" w:after="50"/>
        <w:ind w:left="1418" w:hanging="567"/>
        <w:jc w:val="center"/>
        <w:rPr>
          <w:rFonts w:ascii="宋体" w:hAnsi="宋体"/>
          <w:color w:val="auto"/>
          <w:spacing w:val="20"/>
          <w:szCs w:val="21"/>
          <w:highlight w:val="none"/>
          <w:u w:val="single"/>
        </w:rPr>
      </w:pPr>
    </w:p>
    <w:p>
      <w:pPr>
        <w:rPr>
          <w:rFonts w:ascii="宋体" w:hAnsi="宋体"/>
          <w:color w:val="auto"/>
          <w:szCs w:val="20"/>
          <w:highlight w:val="none"/>
        </w:rPr>
      </w:pPr>
      <w:r>
        <w:rPr>
          <w:rFonts w:hint="eastAsia" w:ascii="宋体" w:hAnsi="宋体"/>
          <w:color w:val="auto"/>
          <w:szCs w:val="20"/>
          <w:highlight w:val="none"/>
        </w:rPr>
        <w:t>投标人（盖单位公章）</w:t>
      </w:r>
    </w:p>
    <w:p>
      <w:pPr>
        <w:rPr>
          <w:rFonts w:ascii="宋体" w:hAnsi="宋体"/>
          <w:color w:val="auto"/>
          <w:szCs w:val="20"/>
          <w:highlight w:val="none"/>
        </w:rPr>
      </w:pPr>
    </w:p>
    <w:p>
      <w:pPr>
        <w:rPr>
          <w:rFonts w:ascii="宋体" w:hAnsi="宋体"/>
          <w:color w:val="auto"/>
          <w:szCs w:val="20"/>
          <w:highlight w:val="none"/>
          <w:u w:val="single"/>
        </w:rPr>
      </w:pPr>
      <w:r>
        <w:rPr>
          <w:rFonts w:hint="eastAsia" w:ascii="宋体" w:hAnsi="宋体"/>
          <w:color w:val="auto"/>
          <w:szCs w:val="20"/>
          <w:highlight w:val="none"/>
        </w:rPr>
        <w:t>法定代表人或委托代理人（签字）：</w:t>
      </w:r>
    </w:p>
    <w:p>
      <w:pPr>
        <w:snapToGrid w:val="0"/>
        <w:spacing w:before="295" w:after="295"/>
        <w:rPr>
          <w:rFonts w:ascii="宋体" w:hAnsi="宋体"/>
          <w:color w:val="auto"/>
          <w:szCs w:val="20"/>
          <w:highlight w:val="none"/>
        </w:rPr>
      </w:pPr>
      <w:r>
        <w:rPr>
          <w:rFonts w:hint="eastAsia" w:ascii="宋体" w:hAnsi="宋体"/>
          <w:color w:val="auto"/>
          <w:spacing w:val="20"/>
          <w:szCs w:val="21"/>
          <w:highlight w:val="none"/>
        </w:rPr>
        <w:t>日   期：</w:t>
      </w:r>
    </w:p>
    <w:p>
      <w:pPr>
        <w:snapToGrid w:val="0"/>
        <w:spacing w:before="50" w:after="50" w:line="300" w:lineRule="exact"/>
        <w:ind w:left="-2" w:leftChars="-1" w:right="-817" w:rightChars="-389"/>
        <w:rPr>
          <w:color w:val="auto"/>
          <w:highlight w:val="none"/>
        </w:rPr>
      </w:pPr>
      <w:r>
        <w:rPr>
          <w:color w:val="auto"/>
          <w:highlight w:val="none"/>
        </w:rPr>
        <w:br w:type="page"/>
      </w:r>
      <w:bookmarkStart w:id="138" w:name="_Toc110_WPSOffice_Level1"/>
      <w:bookmarkStart w:id="139" w:name="_Toc26792_WPSOffice_Level1"/>
      <w:r>
        <w:rPr>
          <w:rFonts w:hint="eastAsia" w:ascii="宋体" w:hAnsi="宋体"/>
          <w:b/>
          <w:color w:val="auto"/>
          <w:szCs w:val="21"/>
          <w:highlight w:val="none"/>
        </w:rPr>
        <w:t>4.投标人针对报价需要说明的其他文件和说明（格式自拟，可选）</w:t>
      </w:r>
      <w:bookmarkEnd w:id="138"/>
      <w:bookmarkEnd w:id="139"/>
    </w:p>
    <w:p>
      <w:pPr>
        <w:snapToGrid w:val="0"/>
        <w:spacing w:before="50" w:after="50" w:line="440" w:lineRule="exact"/>
        <w:jc w:val="center"/>
        <w:rPr>
          <w:rFonts w:hAnsi="宋体"/>
          <w:color w:val="auto"/>
          <w:szCs w:val="21"/>
          <w:highlight w:val="none"/>
        </w:rPr>
      </w:pPr>
    </w:p>
    <w:p>
      <w:pPr>
        <w:snapToGrid w:val="0"/>
        <w:spacing w:before="50" w:after="50" w:line="440" w:lineRule="exact"/>
        <w:jc w:val="center"/>
        <w:rPr>
          <w:rFonts w:hAnsi="宋体"/>
          <w:color w:val="auto"/>
          <w:szCs w:val="21"/>
          <w:highlight w:val="none"/>
        </w:rPr>
      </w:pPr>
    </w:p>
    <w:p>
      <w:pPr>
        <w:snapToGrid w:val="0"/>
        <w:spacing w:before="50" w:after="50" w:line="440" w:lineRule="exact"/>
        <w:jc w:val="center"/>
        <w:rPr>
          <w:rFonts w:hAnsi="宋体"/>
          <w:color w:val="auto"/>
          <w:szCs w:val="21"/>
          <w:highlight w:val="none"/>
        </w:rPr>
      </w:pPr>
    </w:p>
    <w:p>
      <w:pPr>
        <w:snapToGrid w:val="0"/>
        <w:spacing w:before="50" w:after="50" w:line="440" w:lineRule="exact"/>
        <w:jc w:val="center"/>
        <w:rPr>
          <w:rFonts w:hAnsi="宋体"/>
          <w:color w:val="auto"/>
          <w:szCs w:val="21"/>
          <w:highlight w:val="none"/>
        </w:rPr>
      </w:pPr>
    </w:p>
    <w:p>
      <w:pPr>
        <w:snapToGrid w:val="0"/>
        <w:spacing w:before="50" w:after="50" w:line="440" w:lineRule="exact"/>
        <w:rPr>
          <w:rFonts w:ascii="宋体" w:hAnsi="宋体"/>
          <w:b/>
          <w:color w:val="auto"/>
          <w:szCs w:val="21"/>
          <w:highlight w:val="none"/>
        </w:rPr>
      </w:pPr>
      <w:bookmarkStart w:id="140" w:name="_Toc2749_WPSOffice_Level1"/>
      <w:bookmarkStart w:id="141" w:name="_Toc26228_WPSOffice_Level1"/>
      <w:r>
        <w:rPr>
          <w:rFonts w:hint="eastAsia" w:ascii="宋体" w:hAnsi="宋体"/>
          <w:b/>
          <w:color w:val="auto"/>
          <w:szCs w:val="21"/>
          <w:highlight w:val="none"/>
        </w:rPr>
        <w:t>5.中小企业声明函</w:t>
      </w:r>
      <w:bookmarkEnd w:id="140"/>
      <w:bookmarkEnd w:id="141"/>
    </w:p>
    <w:p>
      <w:pPr>
        <w:snapToGrid w:val="0"/>
        <w:spacing w:before="50" w:after="50" w:line="440" w:lineRule="exact"/>
        <w:jc w:val="center"/>
        <w:rPr>
          <w:rFonts w:ascii="宋体" w:hAnsi="宋体"/>
          <w:b/>
          <w:color w:val="auto"/>
          <w:sz w:val="32"/>
          <w:szCs w:val="32"/>
          <w:highlight w:val="none"/>
        </w:rPr>
      </w:pPr>
      <w:r>
        <w:rPr>
          <w:rFonts w:hint="eastAsia" w:ascii="宋体" w:hAnsi="宋体"/>
          <w:b/>
          <w:color w:val="auto"/>
          <w:sz w:val="32"/>
          <w:szCs w:val="32"/>
          <w:highlight w:val="none"/>
        </w:rPr>
        <w:t>中小企业声明函</w:t>
      </w:r>
    </w:p>
    <w:p>
      <w:pPr>
        <w:pStyle w:val="41"/>
        <w:spacing w:line="311" w:lineRule="atLeast"/>
        <w:rPr>
          <w:color w:val="auto"/>
          <w:kern w:val="2"/>
          <w:sz w:val="21"/>
          <w:szCs w:val="21"/>
          <w:highlight w:val="none"/>
        </w:rPr>
      </w:pPr>
      <w:r>
        <w:rPr>
          <w:rFonts w:hint="eastAsia"/>
          <w:color w:val="auto"/>
          <w:kern w:val="2"/>
          <w:sz w:val="21"/>
          <w:szCs w:val="21"/>
          <w:highlight w:val="none"/>
        </w:rPr>
        <w:t>　　本公司郑重声明，根据《政府采购促进中小企业发展暂行办法》（财库[2011]181号）的规定，本公司为______（请填写：中型、小型、微型）企业。即，本公司同时满足以下条件：</w:t>
      </w:r>
      <w:r>
        <w:rPr>
          <w:rFonts w:hint="eastAsia"/>
          <w:color w:val="auto"/>
          <w:kern w:val="2"/>
          <w:sz w:val="21"/>
          <w:szCs w:val="21"/>
          <w:highlight w:val="none"/>
        </w:rPr>
        <w:br w:type="textWrapping"/>
      </w:r>
      <w:r>
        <w:rPr>
          <w:rFonts w:hint="eastAsia"/>
          <w:color w:val="auto"/>
          <w:kern w:val="2"/>
          <w:sz w:val="21"/>
          <w:szCs w:val="21"/>
          <w:highlight w:val="none"/>
        </w:rPr>
        <w:br w:type="textWrapping"/>
      </w:r>
      <w:r>
        <w:rPr>
          <w:rFonts w:hint="eastAsia"/>
          <w:color w:val="auto"/>
          <w:kern w:val="2"/>
          <w:sz w:val="21"/>
          <w:szCs w:val="21"/>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hint="eastAsia"/>
          <w:color w:val="auto"/>
          <w:kern w:val="2"/>
          <w:sz w:val="21"/>
          <w:szCs w:val="21"/>
          <w:highlight w:val="none"/>
        </w:rPr>
        <w:br w:type="textWrapping"/>
      </w:r>
      <w:r>
        <w:rPr>
          <w:rFonts w:hint="eastAsia"/>
          <w:color w:val="auto"/>
          <w:kern w:val="2"/>
          <w:sz w:val="21"/>
          <w:szCs w:val="21"/>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color w:val="auto"/>
          <w:kern w:val="2"/>
          <w:sz w:val="21"/>
          <w:szCs w:val="21"/>
          <w:highlight w:val="none"/>
        </w:rPr>
        <w:br w:type="textWrapping"/>
      </w:r>
      <w:r>
        <w:rPr>
          <w:rFonts w:hint="eastAsia"/>
          <w:color w:val="auto"/>
          <w:kern w:val="2"/>
          <w:sz w:val="21"/>
          <w:szCs w:val="21"/>
          <w:highlight w:val="none"/>
        </w:rPr>
        <w:t>　　本公司对上述声明的真实性负责。如有虚假，将依法承担相应责任。</w:t>
      </w:r>
    </w:p>
    <w:p>
      <w:pPr>
        <w:pStyle w:val="41"/>
        <w:spacing w:line="311" w:lineRule="atLeast"/>
        <w:ind w:right="420"/>
        <w:jc w:val="center"/>
        <w:rPr>
          <w:color w:val="auto"/>
          <w:highlight w:val="none"/>
          <w:lang w:val="en-GB"/>
        </w:rPr>
      </w:pPr>
      <w:r>
        <w:rPr>
          <w:rFonts w:hint="eastAsia"/>
          <w:color w:val="auto"/>
          <w:kern w:val="2"/>
          <w:sz w:val="21"/>
          <w:szCs w:val="21"/>
          <w:highlight w:val="none"/>
        </w:rPr>
        <w:t xml:space="preserve">                                       企业名称（盖章）：　</w:t>
      </w:r>
      <w:r>
        <w:rPr>
          <w:rFonts w:hint="eastAsia"/>
          <w:color w:val="auto"/>
          <w:kern w:val="2"/>
          <w:sz w:val="21"/>
          <w:szCs w:val="21"/>
          <w:highlight w:val="none"/>
        </w:rPr>
        <w:br w:type="textWrapping"/>
      </w:r>
      <w:r>
        <w:rPr>
          <w:rFonts w:hint="eastAsia"/>
          <w:color w:val="auto"/>
          <w:kern w:val="2"/>
          <w:sz w:val="21"/>
          <w:szCs w:val="21"/>
          <w:highlight w:val="none"/>
        </w:rPr>
        <w:t xml:space="preserve">                                      日　      　期</w:t>
      </w:r>
    </w:p>
    <w:sectPr>
      <w:pgSz w:w="11906" w:h="16838"/>
      <w:pgMar w:top="1000" w:right="1000" w:bottom="1000" w:left="1000"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宋体-18030">
    <w:altName w:val="宋体"/>
    <w:panose1 w:val="00000000000000000000"/>
    <w:charset w:val="7A"/>
    <w:family w:val="modern"/>
    <w:pitch w:val="default"/>
    <w:sig w:usb0="00000000" w:usb1="00000000" w:usb2="000A005E" w:usb3="00000000" w:csb0="00040001" w:csb1="00000000"/>
  </w:font>
  <w:font w:name="Arial Narrow">
    <w:panose1 w:val="020B0606020202030204"/>
    <w:charset w:val="00"/>
    <w:family w:val="swiss"/>
    <w:pitch w:val="default"/>
    <w:sig w:usb0="00000287" w:usb1="00000800" w:usb2="00000000" w:usb3="00000000" w:csb0="2000009F" w:csb1="DFD70000"/>
  </w:font>
  <w:font w:name="Yu Gothic">
    <w:altName w:val="Meiryo UI"/>
    <w:panose1 w:val="020B0400000000000000"/>
    <w:charset w:val="80"/>
    <w:family w:val="swiss"/>
    <w:pitch w:val="default"/>
    <w:sig w:usb0="00000000" w:usb1="00000000" w:usb2="00000016" w:usb3="00000000" w:csb0="2002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fill on="f" focussize="0,0"/>
              <v:stroke on="f" weight="0.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95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ascii="宋体" w:hAnsi="宋体" w:cs="宋体"/>
        <w:bCs/>
      </w:rPr>
    </w:pPr>
    <w:r>
      <w:rPr>
        <w:rFonts w:hint="eastAsia"/>
        <w:color w:val="000000"/>
      </w:rPr>
      <w:t xml:space="preserve">                                                     </w:t>
    </w:r>
    <w:r>
      <w:rPr>
        <w:rFonts w:hint="eastAsia" w:ascii="宋体" w:hAnsi="宋体" w:cs="宋体"/>
        <w:bCs/>
      </w:rPr>
      <w:t>2020年薄改与能力提升初中信息化设备项目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05C82"/>
    <w:multiLevelType w:val="singleLevel"/>
    <w:tmpl w:val="B3105C82"/>
    <w:lvl w:ilvl="0" w:tentative="0">
      <w:start w:val="1"/>
      <w:numFmt w:val="decimal"/>
      <w:lvlText w:val="%1."/>
      <w:lvlJc w:val="left"/>
      <w:pPr>
        <w:tabs>
          <w:tab w:val="left" w:pos="312"/>
        </w:tabs>
      </w:pPr>
    </w:lvl>
  </w:abstractNum>
  <w:abstractNum w:abstractNumId="1">
    <w:nsid w:val="D3F65C9C"/>
    <w:multiLevelType w:val="singleLevel"/>
    <w:tmpl w:val="D3F65C9C"/>
    <w:lvl w:ilvl="0" w:tentative="0">
      <w:start w:val="5"/>
      <w:numFmt w:val="decimal"/>
      <w:lvlText w:val="%1."/>
      <w:lvlJc w:val="left"/>
      <w:pPr>
        <w:tabs>
          <w:tab w:val="left" w:pos="312"/>
        </w:tabs>
      </w:pPr>
    </w:lvl>
  </w:abstractNum>
  <w:abstractNum w:abstractNumId="2">
    <w:nsid w:val="EE8ADBBA"/>
    <w:multiLevelType w:val="singleLevel"/>
    <w:tmpl w:val="EE8ADBBA"/>
    <w:lvl w:ilvl="0" w:tentative="0">
      <w:start w:val="1"/>
      <w:numFmt w:val="chineseCounting"/>
      <w:suff w:val="nothing"/>
      <w:lvlText w:val="%1、"/>
      <w:lvlJc w:val="left"/>
      <w:rPr>
        <w:rFonts w:hint="eastAsia"/>
      </w:rPr>
    </w:lvl>
  </w:abstractNum>
  <w:abstractNum w:abstractNumId="3">
    <w:nsid w:val="00000009"/>
    <w:multiLevelType w:val="singleLevel"/>
    <w:tmpl w:val="00000009"/>
    <w:lvl w:ilvl="0" w:tentative="0">
      <w:start w:val="6"/>
      <w:numFmt w:val="chineseCounting"/>
      <w:suff w:val="nothing"/>
      <w:lvlText w:val="（%1）"/>
      <w:lvlJc w:val="left"/>
    </w:lvl>
  </w:abstractNum>
  <w:abstractNum w:abstractNumId="4">
    <w:nsid w:val="0000000C"/>
    <w:multiLevelType w:val="multilevel"/>
    <w:tmpl w:val="0000000C"/>
    <w:lvl w:ilvl="0" w:tentative="0">
      <w:start w:val="4"/>
      <w:numFmt w:val="japaneseCounting"/>
      <w:lvlText w:val="（%1）"/>
      <w:lvlJc w:val="left"/>
      <w:pPr>
        <w:tabs>
          <w:tab w:val="left" w:pos="1030"/>
        </w:tabs>
        <w:ind w:left="1030" w:hanging="720"/>
      </w:pPr>
      <w:rPr>
        <w:rFonts w:hint="default"/>
      </w:rPr>
    </w:lvl>
    <w:lvl w:ilvl="1" w:tentative="0">
      <w:start w:val="1"/>
      <w:numFmt w:val="lowerLetter"/>
      <w:lvlText w:val="%2)"/>
      <w:lvlJc w:val="left"/>
      <w:pPr>
        <w:tabs>
          <w:tab w:val="left" w:pos="1150"/>
        </w:tabs>
        <w:ind w:left="1150" w:hanging="420"/>
      </w:pPr>
    </w:lvl>
    <w:lvl w:ilvl="2" w:tentative="0">
      <w:start w:val="1"/>
      <w:numFmt w:val="lowerRoman"/>
      <w:lvlText w:val="%3."/>
      <w:lvlJc w:val="right"/>
      <w:pPr>
        <w:tabs>
          <w:tab w:val="left" w:pos="1570"/>
        </w:tabs>
        <w:ind w:left="1570" w:hanging="420"/>
      </w:pPr>
    </w:lvl>
    <w:lvl w:ilvl="3" w:tentative="0">
      <w:start w:val="1"/>
      <w:numFmt w:val="decimal"/>
      <w:lvlText w:val="%4."/>
      <w:lvlJc w:val="left"/>
      <w:pPr>
        <w:tabs>
          <w:tab w:val="left" w:pos="1990"/>
        </w:tabs>
        <w:ind w:left="1990" w:hanging="420"/>
      </w:pPr>
    </w:lvl>
    <w:lvl w:ilvl="4" w:tentative="0">
      <w:start w:val="1"/>
      <w:numFmt w:val="lowerLetter"/>
      <w:lvlText w:val="%5)"/>
      <w:lvlJc w:val="left"/>
      <w:pPr>
        <w:tabs>
          <w:tab w:val="left" w:pos="2410"/>
        </w:tabs>
        <w:ind w:left="2410" w:hanging="420"/>
      </w:pPr>
    </w:lvl>
    <w:lvl w:ilvl="5" w:tentative="0">
      <w:start w:val="1"/>
      <w:numFmt w:val="lowerRoman"/>
      <w:lvlText w:val="%6."/>
      <w:lvlJc w:val="right"/>
      <w:pPr>
        <w:tabs>
          <w:tab w:val="left" w:pos="2830"/>
        </w:tabs>
        <w:ind w:left="2830" w:hanging="420"/>
      </w:pPr>
    </w:lvl>
    <w:lvl w:ilvl="6" w:tentative="0">
      <w:start w:val="1"/>
      <w:numFmt w:val="decimal"/>
      <w:lvlText w:val="%7."/>
      <w:lvlJc w:val="left"/>
      <w:pPr>
        <w:tabs>
          <w:tab w:val="left" w:pos="3250"/>
        </w:tabs>
        <w:ind w:left="3250" w:hanging="420"/>
      </w:pPr>
    </w:lvl>
    <w:lvl w:ilvl="7" w:tentative="0">
      <w:start w:val="1"/>
      <w:numFmt w:val="lowerLetter"/>
      <w:lvlText w:val="%8)"/>
      <w:lvlJc w:val="left"/>
      <w:pPr>
        <w:tabs>
          <w:tab w:val="left" w:pos="3670"/>
        </w:tabs>
        <w:ind w:left="3670" w:hanging="420"/>
      </w:pPr>
    </w:lvl>
    <w:lvl w:ilvl="8" w:tentative="0">
      <w:start w:val="1"/>
      <w:numFmt w:val="lowerRoman"/>
      <w:lvlText w:val="%9."/>
      <w:lvlJc w:val="right"/>
      <w:pPr>
        <w:tabs>
          <w:tab w:val="left" w:pos="4090"/>
        </w:tabs>
        <w:ind w:left="4090" w:hanging="420"/>
      </w:pPr>
    </w:lvl>
  </w:abstractNum>
  <w:abstractNum w:abstractNumId="5">
    <w:nsid w:val="09A64438"/>
    <w:multiLevelType w:val="multilevel"/>
    <w:tmpl w:val="09A644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EEDE23"/>
    <w:multiLevelType w:val="singleLevel"/>
    <w:tmpl w:val="54EEDE23"/>
    <w:lvl w:ilvl="0" w:tentative="0">
      <w:start w:val="5"/>
      <w:numFmt w:val="chineseCounting"/>
      <w:suff w:val="space"/>
      <w:lvlText w:val="第%1章"/>
      <w:lvlJc w:val="left"/>
    </w:lvl>
  </w:abstractNum>
  <w:abstractNum w:abstractNumId="7">
    <w:nsid w:val="5536839A"/>
    <w:multiLevelType w:val="singleLevel"/>
    <w:tmpl w:val="5536839A"/>
    <w:lvl w:ilvl="0" w:tentative="0">
      <w:start w:val="2"/>
      <w:numFmt w:val="decimal"/>
      <w:suff w:val="nothing"/>
      <w:lvlText w:val="%1."/>
      <w:lvlJc w:val="left"/>
    </w:lvl>
  </w:abstractNum>
  <w:abstractNum w:abstractNumId="8">
    <w:nsid w:val="5A03B6C7"/>
    <w:multiLevelType w:val="singleLevel"/>
    <w:tmpl w:val="5A03B6C7"/>
    <w:lvl w:ilvl="0" w:tentative="0">
      <w:start w:val="1"/>
      <w:numFmt w:val="chineseCounting"/>
      <w:suff w:val="space"/>
      <w:lvlText w:val="第%1章"/>
      <w:lvlJc w:val="left"/>
    </w:lvl>
  </w:abstractNum>
  <w:num w:numId="1">
    <w:abstractNumId w:val="8"/>
  </w:num>
  <w:num w:numId="2">
    <w:abstractNumId w:val="2"/>
  </w:num>
  <w:num w:numId="3">
    <w:abstractNumId w:val="5"/>
  </w:num>
  <w:num w:numId="4">
    <w:abstractNumId w:val="0"/>
  </w:num>
  <w:num w:numId="5">
    <w:abstractNumId w:val="3"/>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020"/>
    <w:rsid w:val="00006626"/>
    <w:rsid w:val="00007906"/>
    <w:rsid w:val="0001184E"/>
    <w:rsid w:val="00011B69"/>
    <w:rsid w:val="00015C35"/>
    <w:rsid w:val="00026FED"/>
    <w:rsid w:val="000274E7"/>
    <w:rsid w:val="0003750F"/>
    <w:rsid w:val="00037D26"/>
    <w:rsid w:val="00037F81"/>
    <w:rsid w:val="00041A96"/>
    <w:rsid w:val="00043638"/>
    <w:rsid w:val="000441A3"/>
    <w:rsid w:val="0005282D"/>
    <w:rsid w:val="00054488"/>
    <w:rsid w:val="0006049D"/>
    <w:rsid w:val="00062CB6"/>
    <w:rsid w:val="000709B4"/>
    <w:rsid w:val="00070AE8"/>
    <w:rsid w:val="00076513"/>
    <w:rsid w:val="00077E1C"/>
    <w:rsid w:val="000806F8"/>
    <w:rsid w:val="00080FB0"/>
    <w:rsid w:val="00084B38"/>
    <w:rsid w:val="00085A6D"/>
    <w:rsid w:val="00097A1E"/>
    <w:rsid w:val="000A0B70"/>
    <w:rsid w:val="000A1FA1"/>
    <w:rsid w:val="000B416C"/>
    <w:rsid w:val="000B617D"/>
    <w:rsid w:val="000B7D30"/>
    <w:rsid w:val="000C4FAC"/>
    <w:rsid w:val="000D12A0"/>
    <w:rsid w:val="000D4740"/>
    <w:rsid w:val="000E0424"/>
    <w:rsid w:val="000E2E64"/>
    <w:rsid w:val="000E3992"/>
    <w:rsid w:val="000E4AD6"/>
    <w:rsid w:val="000F78EF"/>
    <w:rsid w:val="00100770"/>
    <w:rsid w:val="00106E50"/>
    <w:rsid w:val="001075EE"/>
    <w:rsid w:val="00113715"/>
    <w:rsid w:val="00117EC3"/>
    <w:rsid w:val="00122908"/>
    <w:rsid w:val="001370B6"/>
    <w:rsid w:val="00137C1A"/>
    <w:rsid w:val="00155FE2"/>
    <w:rsid w:val="001568F1"/>
    <w:rsid w:val="00160AFD"/>
    <w:rsid w:val="00162B09"/>
    <w:rsid w:val="0016449B"/>
    <w:rsid w:val="001667AA"/>
    <w:rsid w:val="001724B0"/>
    <w:rsid w:val="00172A27"/>
    <w:rsid w:val="00173E0A"/>
    <w:rsid w:val="0018220A"/>
    <w:rsid w:val="00183740"/>
    <w:rsid w:val="001A0207"/>
    <w:rsid w:val="001B5083"/>
    <w:rsid w:val="001C294A"/>
    <w:rsid w:val="001D30A1"/>
    <w:rsid w:val="001D3B05"/>
    <w:rsid w:val="001D5D1E"/>
    <w:rsid w:val="001D5EAE"/>
    <w:rsid w:val="001E14BA"/>
    <w:rsid w:val="001E5474"/>
    <w:rsid w:val="001F4682"/>
    <w:rsid w:val="001F5108"/>
    <w:rsid w:val="001F7E05"/>
    <w:rsid w:val="002121B8"/>
    <w:rsid w:val="00222570"/>
    <w:rsid w:val="00222887"/>
    <w:rsid w:val="002231DA"/>
    <w:rsid w:val="00224E53"/>
    <w:rsid w:val="00230D6B"/>
    <w:rsid w:val="00231773"/>
    <w:rsid w:val="0024154D"/>
    <w:rsid w:val="002457E1"/>
    <w:rsid w:val="00255714"/>
    <w:rsid w:val="00260589"/>
    <w:rsid w:val="00264004"/>
    <w:rsid w:val="00267DC8"/>
    <w:rsid w:val="00270DA8"/>
    <w:rsid w:val="00272BD8"/>
    <w:rsid w:val="00272CDB"/>
    <w:rsid w:val="00280C25"/>
    <w:rsid w:val="00281B7B"/>
    <w:rsid w:val="00282D80"/>
    <w:rsid w:val="00292FEC"/>
    <w:rsid w:val="0029570E"/>
    <w:rsid w:val="002A1659"/>
    <w:rsid w:val="002A54D6"/>
    <w:rsid w:val="002A725C"/>
    <w:rsid w:val="002B1340"/>
    <w:rsid w:val="002B326E"/>
    <w:rsid w:val="002B6452"/>
    <w:rsid w:val="002B766A"/>
    <w:rsid w:val="002C46D7"/>
    <w:rsid w:val="002F2730"/>
    <w:rsid w:val="00304620"/>
    <w:rsid w:val="00313A97"/>
    <w:rsid w:val="003140A3"/>
    <w:rsid w:val="003216DE"/>
    <w:rsid w:val="0032518A"/>
    <w:rsid w:val="0032716F"/>
    <w:rsid w:val="00331F65"/>
    <w:rsid w:val="00332B58"/>
    <w:rsid w:val="00335B44"/>
    <w:rsid w:val="003369C5"/>
    <w:rsid w:val="0034330F"/>
    <w:rsid w:val="00347B52"/>
    <w:rsid w:val="00347F05"/>
    <w:rsid w:val="00353502"/>
    <w:rsid w:val="00354975"/>
    <w:rsid w:val="00362FA6"/>
    <w:rsid w:val="00364A92"/>
    <w:rsid w:val="00364FF4"/>
    <w:rsid w:val="003652BA"/>
    <w:rsid w:val="00370E36"/>
    <w:rsid w:val="00382547"/>
    <w:rsid w:val="00386860"/>
    <w:rsid w:val="00390794"/>
    <w:rsid w:val="00391F4F"/>
    <w:rsid w:val="003A69CB"/>
    <w:rsid w:val="003A781B"/>
    <w:rsid w:val="003B2403"/>
    <w:rsid w:val="003B6E7F"/>
    <w:rsid w:val="003C155C"/>
    <w:rsid w:val="003C585F"/>
    <w:rsid w:val="003E2DD9"/>
    <w:rsid w:val="003E7E60"/>
    <w:rsid w:val="004076F4"/>
    <w:rsid w:val="00410DE3"/>
    <w:rsid w:val="004201AB"/>
    <w:rsid w:val="004205A6"/>
    <w:rsid w:val="00424B7D"/>
    <w:rsid w:val="004254CA"/>
    <w:rsid w:val="0042689E"/>
    <w:rsid w:val="00430FFA"/>
    <w:rsid w:val="00431402"/>
    <w:rsid w:val="00452915"/>
    <w:rsid w:val="00452D42"/>
    <w:rsid w:val="00453E0E"/>
    <w:rsid w:val="0045706A"/>
    <w:rsid w:val="004570AB"/>
    <w:rsid w:val="004641A0"/>
    <w:rsid w:val="00466F87"/>
    <w:rsid w:val="004741D0"/>
    <w:rsid w:val="00474E0C"/>
    <w:rsid w:val="00481184"/>
    <w:rsid w:val="00481D68"/>
    <w:rsid w:val="00484703"/>
    <w:rsid w:val="004863B8"/>
    <w:rsid w:val="00492537"/>
    <w:rsid w:val="004946A4"/>
    <w:rsid w:val="00495210"/>
    <w:rsid w:val="004A2B32"/>
    <w:rsid w:val="004A4152"/>
    <w:rsid w:val="004A604A"/>
    <w:rsid w:val="004B1026"/>
    <w:rsid w:val="004B54AB"/>
    <w:rsid w:val="004B5CC7"/>
    <w:rsid w:val="004C30E5"/>
    <w:rsid w:val="004C3475"/>
    <w:rsid w:val="004D2A71"/>
    <w:rsid w:val="004D2B06"/>
    <w:rsid w:val="004D3D8A"/>
    <w:rsid w:val="004D7B45"/>
    <w:rsid w:val="004E1CA5"/>
    <w:rsid w:val="004E565B"/>
    <w:rsid w:val="004E7911"/>
    <w:rsid w:val="004F3046"/>
    <w:rsid w:val="004F63CE"/>
    <w:rsid w:val="004F6ED4"/>
    <w:rsid w:val="00500DB4"/>
    <w:rsid w:val="005019EB"/>
    <w:rsid w:val="00505DAA"/>
    <w:rsid w:val="005148E3"/>
    <w:rsid w:val="005150EC"/>
    <w:rsid w:val="00515EF5"/>
    <w:rsid w:val="00517A13"/>
    <w:rsid w:val="0052161B"/>
    <w:rsid w:val="00521D0C"/>
    <w:rsid w:val="005226A5"/>
    <w:rsid w:val="00526822"/>
    <w:rsid w:val="005322EF"/>
    <w:rsid w:val="00535E82"/>
    <w:rsid w:val="0053761C"/>
    <w:rsid w:val="00544CE9"/>
    <w:rsid w:val="00545FDD"/>
    <w:rsid w:val="00551CF0"/>
    <w:rsid w:val="00555541"/>
    <w:rsid w:val="00555B36"/>
    <w:rsid w:val="00560156"/>
    <w:rsid w:val="005673F6"/>
    <w:rsid w:val="00570D85"/>
    <w:rsid w:val="00571D32"/>
    <w:rsid w:val="00572311"/>
    <w:rsid w:val="00573B3C"/>
    <w:rsid w:val="005755BD"/>
    <w:rsid w:val="00576B95"/>
    <w:rsid w:val="00581440"/>
    <w:rsid w:val="0058353D"/>
    <w:rsid w:val="00583D81"/>
    <w:rsid w:val="00593382"/>
    <w:rsid w:val="00597756"/>
    <w:rsid w:val="005B41D6"/>
    <w:rsid w:val="005B4B1E"/>
    <w:rsid w:val="005B7477"/>
    <w:rsid w:val="005D1AEE"/>
    <w:rsid w:val="005D5755"/>
    <w:rsid w:val="005E15F1"/>
    <w:rsid w:val="005E1BA2"/>
    <w:rsid w:val="005E2681"/>
    <w:rsid w:val="005F2C07"/>
    <w:rsid w:val="00600D75"/>
    <w:rsid w:val="00601AB7"/>
    <w:rsid w:val="0060330F"/>
    <w:rsid w:val="0060665E"/>
    <w:rsid w:val="00606D19"/>
    <w:rsid w:val="00607AA9"/>
    <w:rsid w:val="00610F17"/>
    <w:rsid w:val="00616569"/>
    <w:rsid w:val="00620A2A"/>
    <w:rsid w:val="00625404"/>
    <w:rsid w:val="006369D4"/>
    <w:rsid w:val="00636DA4"/>
    <w:rsid w:val="0064276C"/>
    <w:rsid w:val="00643DE3"/>
    <w:rsid w:val="006513B7"/>
    <w:rsid w:val="0065176F"/>
    <w:rsid w:val="00662BD5"/>
    <w:rsid w:val="00664258"/>
    <w:rsid w:val="0067408F"/>
    <w:rsid w:val="00683D8D"/>
    <w:rsid w:val="00685598"/>
    <w:rsid w:val="0068560C"/>
    <w:rsid w:val="006879CD"/>
    <w:rsid w:val="0069363D"/>
    <w:rsid w:val="006A48F1"/>
    <w:rsid w:val="006C33C2"/>
    <w:rsid w:val="006C3C94"/>
    <w:rsid w:val="006C6B44"/>
    <w:rsid w:val="006C7C78"/>
    <w:rsid w:val="006D2FC0"/>
    <w:rsid w:val="006D43EA"/>
    <w:rsid w:val="006D5D1B"/>
    <w:rsid w:val="006E22FB"/>
    <w:rsid w:val="006E52D6"/>
    <w:rsid w:val="006E622F"/>
    <w:rsid w:val="006E7331"/>
    <w:rsid w:val="006E7C3C"/>
    <w:rsid w:val="006F27A8"/>
    <w:rsid w:val="006F49D5"/>
    <w:rsid w:val="0071010B"/>
    <w:rsid w:val="00712E3E"/>
    <w:rsid w:val="00715763"/>
    <w:rsid w:val="00715DB8"/>
    <w:rsid w:val="00716623"/>
    <w:rsid w:val="0071730C"/>
    <w:rsid w:val="00722AD7"/>
    <w:rsid w:val="00723DED"/>
    <w:rsid w:val="00725B3D"/>
    <w:rsid w:val="0073620A"/>
    <w:rsid w:val="00736EF3"/>
    <w:rsid w:val="00740B09"/>
    <w:rsid w:val="00744523"/>
    <w:rsid w:val="00751A99"/>
    <w:rsid w:val="00752F80"/>
    <w:rsid w:val="00754061"/>
    <w:rsid w:val="00761492"/>
    <w:rsid w:val="0076290A"/>
    <w:rsid w:val="00764232"/>
    <w:rsid w:val="00765B8F"/>
    <w:rsid w:val="0076663B"/>
    <w:rsid w:val="007703E9"/>
    <w:rsid w:val="007728D2"/>
    <w:rsid w:val="00785223"/>
    <w:rsid w:val="00791D4C"/>
    <w:rsid w:val="00793C68"/>
    <w:rsid w:val="00795084"/>
    <w:rsid w:val="007953CB"/>
    <w:rsid w:val="007A1D33"/>
    <w:rsid w:val="007A6068"/>
    <w:rsid w:val="007A702E"/>
    <w:rsid w:val="007B1743"/>
    <w:rsid w:val="007B68EF"/>
    <w:rsid w:val="007C05A6"/>
    <w:rsid w:val="007C232D"/>
    <w:rsid w:val="007C4121"/>
    <w:rsid w:val="007C4B54"/>
    <w:rsid w:val="007D4532"/>
    <w:rsid w:val="007D4E64"/>
    <w:rsid w:val="007E2E9E"/>
    <w:rsid w:val="007E32A7"/>
    <w:rsid w:val="007F31F3"/>
    <w:rsid w:val="007F3652"/>
    <w:rsid w:val="007F5ED6"/>
    <w:rsid w:val="007F632F"/>
    <w:rsid w:val="008143FE"/>
    <w:rsid w:val="00817259"/>
    <w:rsid w:val="00821BFA"/>
    <w:rsid w:val="00836446"/>
    <w:rsid w:val="008377A6"/>
    <w:rsid w:val="0085360D"/>
    <w:rsid w:val="00854934"/>
    <w:rsid w:val="00855114"/>
    <w:rsid w:val="00860E2F"/>
    <w:rsid w:val="00872BB8"/>
    <w:rsid w:val="0087432D"/>
    <w:rsid w:val="00877D2F"/>
    <w:rsid w:val="00892FC8"/>
    <w:rsid w:val="008979B5"/>
    <w:rsid w:val="008A710C"/>
    <w:rsid w:val="008B1783"/>
    <w:rsid w:val="008B4270"/>
    <w:rsid w:val="008C2233"/>
    <w:rsid w:val="008C649B"/>
    <w:rsid w:val="008C6EB1"/>
    <w:rsid w:val="008C7528"/>
    <w:rsid w:val="008D3975"/>
    <w:rsid w:val="008E3CAF"/>
    <w:rsid w:val="008E4867"/>
    <w:rsid w:val="008E7E7D"/>
    <w:rsid w:val="008F12FD"/>
    <w:rsid w:val="008F1E95"/>
    <w:rsid w:val="00900F0F"/>
    <w:rsid w:val="009024EF"/>
    <w:rsid w:val="009038EA"/>
    <w:rsid w:val="009171C8"/>
    <w:rsid w:val="009222D3"/>
    <w:rsid w:val="00923083"/>
    <w:rsid w:val="00925032"/>
    <w:rsid w:val="00930BAF"/>
    <w:rsid w:val="00932ACF"/>
    <w:rsid w:val="00932AEC"/>
    <w:rsid w:val="00940EEE"/>
    <w:rsid w:val="00950411"/>
    <w:rsid w:val="00953F56"/>
    <w:rsid w:val="00963C01"/>
    <w:rsid w:val="00967CD4"/>
    <w:rsid w:val="00970B39"/>
    <w:rsid w:val="009749A4"/>
    <w:rsid w:val="009821C7"/>
    <w:rsid w:val="009908C5"/>
    <w:rsid w:val="00991303"/>
    <w:rsid w:val="00994F33"/>
    <w:rsid w:val="009A5DBD"/>
    <w:rsid w:val="009A72C0"/>
    <w:rsid w:val="009B2D05"/>
    <w:rsid w:val="009B6A6A"/>
    <w:rsid w:val="009C4652"/>
    <w:rsid w:val="009C6B78"/>
    <w:rsid w:val="009C788A"/>
    <w:rsid w:val="009D6529"/>
    <w:rsid w:val="009D6F9B"/>
    <w:rsid w:val="009E0CC3"/>
    <w:rsid w:val="009E140B"/>
    <w:rsid w:val="009E3607"/>
    <w:rsid w:val="009E3E95"/>
    <w:rsid w:val="009E6687"/>
    <w:rsid w:val="009E6F54"/>
    <w:rsid w:val="009F1D5C"/>
    <w:rsid w:val="009F3642"/>
    <w:rsid w:val="009F467A"/>
    <w:rsid w:val="00A055CD"/>
    <w:rsid w:val="00A145E1"/>
    <w:rsid w:val="00A21709"/>
    <w:rsid w:val="00A232AD"/>
    <w:rsid w:val="00A32558"/>
    <w:rsid w:val="00A41DB9"/>
    <w:rsid w:val="00A475FF"/>
    <w:rsid w:val="00A51010"/>
    <w:rsid w:val="00A56BB3"/>
    <w:rsid w:val="00A61000"/>
    <w:rsid w:val="00A6448C"/>
    <w:rsid w:val="00A64F20"/>
    <w:rsid w:val="00A675ED"/>
    <w:rsid w:val="00A70776"/>
    <w:rsid w:val="00A70FBF"/>
    <w:rsid w:val="00A92295"/>
    <w:rsid w:val="00A94CDD"/>
    <w:rsid w:val="00AA2D06"/>
    <w:rsid w:val="00AA4793"/>
    <w:rsid w:val="00AA6223"/>
    <w:rsid w:val="00AA66E9"/>
    <w:rsid w:val="00AC3717"/>
    <w:rsid w:val="00AC54D6"/>
    <w:rsid w:val="00AD120B"/>
    <w:rsid w:val="00AD256C"/>
    <w:rsid w:val="00AD5514"/>
    <w:rsid w:val="00AE25A5"/>
    <w:rsid w:val="00AE383C"/>
    <w:rsid w:val="00AF00CF"/>
    <w:rsid w:val="00AF3147"/>
    <w:rsid w:val="00B147F3"/>
    <w:rsid w:val="00B1605B"/>
    <w:rsid w:val="00B23B78"/>
    <w:rsid w:val="00B2496F"/>
    <w:rsid w:val="00B32C92"/>
    <w:rsid w:val="00B456BD"/>
    <w:rsid w:val="00B45D5D"/>
    <w:rsid w:val="00B51D05"/>
    <w:rsid w:val="00B52BAB"/>
    <w:rsid w:val="00B67CF7"/>
    <w:rsid w:val="00B75761"/>
    <w:rsid w:val="00B80E71"/>
    <w:rsid w:val="00B857C6"/>
    <w:rsid w:val="00B9424F"/>
    <w:rsid w:val="00B963A3"/>
    <w:rsid w:val="00B97437"/>
    <w:rsid w:val="00BA0252"/>
    <w:rsid w:val="00BA1CF9"/>
    <w:rsid w:val="00BA545E"/>
    <w:rsid w:val="00BA6A1F"/>
    <w:rsid w:val="00BA6C08"/>
    <w:rsid w:val="00BB078D"/>
    <w:rsid w:val="00BB3541"/>
    <w:rsid w:val="00BB44B0"/>
    <w:rsid w:val="00BB5199"/>
    <w:rsid w:val="00BB5CF0"/>
    <w:rsid w:val="00BB7435"/>
    <w:rsid w:val="00BD195B"/>
    <w:rsid w:val="00BE3B4F"/>
    <w:rsid w:val="00BF0818"/>
    <w:rsid w:val="00BF6812"/>
    <w:rsid w:val="00C03A9E"/>
    <w:rsid w:val="00C03EF6"/>
    <w:rsid w:val="00C10D9B"/>
    <w:rsid w:val="00C32F8B"/>
    <w:rsid w:val="00C36818"/>
    <w:rsid w:val="00C77E52"/>
    <w:rsid w:val="00C81F22"/>
    <w:rsid w:val="00C8532D"/>
    <w:rsid w:val="00C91D22"/>
    <w:rsid w:val="00C96F8B"/>
    <w:rsid w:val="00CA0F9B"/>
    <w:rsid w:val="00CA1AF7"/>
    <w:rsid w:val="00CB3E3B"/>
    <w:rsid w:val="00CB7D0F"/>
    <w:rsid w:val="00CC5C9E"/>
    <w:rsid w:val="00CE0240"/>
    <w:rsid w:val="00CE1DCE"/>
    <w:rsid w:val="00CE37F3"/>
    <w:rsid w:val="00CE663C"/>
    <w:rsid w:val="00CF1602"/>
    <w:rsid w:val="00CF3FC1"/>
    <w:rsid w:val="00D01907"/>
    <w:rsid w:val="00D01F97"/>
    <w:rsid w:val="00D02E50"/>
    <w:rsid w:val="00D13D6B"/>
    <w:rsid w:val="00D304C5"/>
    <w:rsid w:val="00D33945"/>
    <w:rsid w:val="00D3681A"/>
    <w:rsid w:val="00D372E7"/>
    <w:rsid w:val="00D37403"/>
    <w:rsid w:val="00D40531"/>
    <w:rsid w:val="00D4062F"/>
    <w:rsid w:val="00D41645"/>
    <w:rsid w:val="00D4251A"/>
    <w:rsid w:val="00D42FEA"/>
    <w:rsid w:val="00D47457"/>
    <w:rsid w:val="00D55743"/>
    <w:rsid w:val="00D578F1"/>
    <w:rsid w:val="00D61F00"/>
    <w:rsid w:val="00D679CE"/>
    <w:rsid w:val="00D7007A"/>
    <w:rsid w:val="00D708FA"/>
    <w:rsid w:val="00D719B7"/>
    <w:rsid w:val="00D74456"/>
    <w:rsid w:val="00D7553A"/>
    <w:rsid w:val="00D81F18"/>
    <w:rsid w:val="00D91004"/>
    <w:rsid w:val="00D93FE5"/>
    <w:rsid w:val="00D979B9"/>
    <w:rsid w:val="00DA01F6"/>
    <w:rsid w:val="00DA2454"/>
    <w:rsid w:val="00DB0D71"/>
    <w:rsid w:val="00DB3AD1"/>
    <w:rsid w:val="00DB4C3F"/>
    <w:rsid w:val="00DC6F9C"/>
    <w:rsid w:val="00DD21E6"/>
    <w:rsid w:val="00DD47A7"/>
    <w:rsid w:val="00DE2721"/>
    <w:rsid w:val="00DE3F33"/>
    <w:rsid w:val="00DE458A"/>
    <w:rsid w:val="00DE5EE3"/>
    <w:rsid w:val="00DE7129"/>
    <w:rsid w:val="00DF4F58"/>
    <w:rsid w:val="00DF505C"/>
    <w:rsid w:val="00DF6FC1"/>
    <w:rsid w:val="00E02634"/>
    <w:rsid w:val="00E07587"/>
    <w:rsid w:val="00E168C9"/>
    <w:rsid w:val="00E201D9"/>
    <w:rsid w:val="00E21E51"/>
    <w:rsid w:val="00E229AB"/>
    <w:rsid w:val="00E27F69"/>
    <w:rsid w:val="00E30AB9"/>
    <w:rsid w:val="00E425DC"/>
    <w:rsid w:val="00E47E89"/>
    <w:rsid w:val="00E53131"/>
    <w:rsid w:val="00E5741A"/>
    <w:rsid w:val="00E638CC"/>
    <w:rsid w:val="00E65C94"/>
    <w:rsid w:val="00E70D0B"/>
    <w:rsid w:val="00E71C01"/>
    <w:rsid w:val="00E72853"/>
    <w:rsid w:val="00E80B21"/>
    <w:rsid w:val="00E93632"/>
    <w:rsid w:val="00E97C1B"/>
    <w:rsid w:val="00EA13B2"/>
    <w:rsid w:val="00EA1D6C"/>
    <w:rsid w:val="00EA681C"/>
    <w:rsid w:val="00EB0BAC"/>
    <w:rsid w:val="00EC1811"/>
    <w:rsid w:val="00EC4406"/>
    <w:rsid w:val="00EC68E5"/>
    <w:rsid w:val="00ED0585"/>
    <w:rsid w:val="00ED0BA1"/>
    <w:rsid w:val="00ED25A1"/>
    <w:rsid w:val="00ED607C"/>
    <w:rsid w:val="00EE26D6"/>
    <w:rsid w:val="00EE31FE"/>
    <w:rsid w:val="00EF580D"/>
    <w:rsid w:val="00F112D6"/>
    <w:rsid w:val="00F130A1"/>
    <w:rsid w:val="00F2618E"/>
    <w:rsid w:val="00F3029B"/>
    <w:rsid w:val="00F31FAB"/>
    <w:rsid w:val="00F3597D"/>
    <w:rsid w:val="00F3770F"/>
    <w:rsid w:val="00F4556B"/>
    <w:rsid w:val="00F53F05"/>
    <w:rsid w:val="00F5537F"/>
    <w:rsid w:val="00F5539C"/>
    <w:rsid w:val="00F57972"/>
    <w:rsid w:val="00F675F2"/>
    <w:rsid w:val="00F80CC7"/>
    <w:rsid w:val="00F85210"/>
    <w:rsid w:val="00F85BA1"/>
    <w:rsid w:val="00F90103"/>
    <w:rsid w:val="00F95A0C"/>
    <w:rsid w:val="00F9689D"/>
    <w:rsid w:val="00FA21AF"/>
    <w:rsid w:val="00FA5A47"/>
    <w:rsid w:val="00FB2860"/>
    <w:rsid w:val="00FC0007"/>
    <w:rsid w:val="00FC06FB"/>
    <w:rsid w:val="00FC1F12"/>
    <w:rsid w:val="00FC26BD"/>
    <w:rsid w:val="00FC7602"/>
    <w:rsid w:val="00FD0D80"/>
    <w:rsid w:val="00FF46DB"/>
    <w:rsid w:val="00FF555A"/>
    <w:rsid w:val="01156DB3"/>
    <w:rsid w:val="014113A7"/>
    <w:rsid w:val="0153571D"/>
    <w:rsid w:val="01891193"/>
    <w:rsid w:val="019506DA"/>
    <w:rsid w:val="01A76686"/>
    <w:rsid w:val="01B93F9F"/>
    <w:rsid w:val="01CC73C0"/>
    <w:rsid w:val="01DF6A7B"/>
    <w:rsid w:val="01FA2351"/>
    <w:rsid w:val="02135103"/>
    <w:rsid w:val="022A270C"/>
    <w:rsid w:val="022F47E9"/>
    <w:rsid w:val="023006A7"/>
    <w:rsid w:val="024702CC"/>
    <w:rsid w:val="02474A49"/>
    <w:rsid w:val="024B4425"/>
    <w:rsid w:val="024E11EA"/>
    <w:rsid w:val="025167E7"/>
    <w:rsid w:val="02527336"/>
    <w:rsid w:val="02556845"/>
    <w:rsid w:val="025E7273"/>
    <w:rsid w:val="02623074"/>
    <w:rsid w:val="02D95BBB"/>
    <w:rsid w:val="02F04CE7"/>
    <w:rsid w:val="02F30531"/>
    <w:rsid w:val="03004A28"/>
    <w:rsid w:val="03140DEE"/>
    <w:rsid w:val="033109C1"/>
    <w:rsid w:val="03466706"/>
    <w:rsid w:val="03867E4F"/>
    <w:rsid w:val="03B927AF"/>
    <w:rsid w:val="03C018A2"/>
    <w:rsid w:val="03C14F98"/>
    <w:rsid w:val="03C4342B"/>
    <w:rsid w:val="03D222FB"/>
    <w:rsid w:val="03D43687"/>
    <w:rsid w:val="04072778"/>
    <w:rsid w:val="041B5041"/>
    <w:rsid w:val="049F3638"/>
    <w:rsid w:val="04BF44D7"/>
    <w:rsid w:val="04DE1551"/>
    <w:rsid w:val="05041030"/>
    <w:rsid w:val="052959DC"/>
    <w:rsid w:val="05781A96"/>
    <w:rsid w:val="058674AD"/>
    <w:rsid w:val="05952F37"/>
    <w:rsid w:val="05BB3177"/>
    <w:rsid w:val="05EC3946"/>
    <w:rsid w:val="05EE5060"/>
    <w:rsid w:val="05F81957"/>
    <w:rsid w:val="0638072D"/>
    <w:rsid w:val="06C45AEF"/>
    <w:rsid w:val="06C6499D"/>
    <w:rsid w:val="06C71111"/>
    <w:rsid w:val="06C737CC"/>
    <w:rsid w:val="06DC3A84"/>
    <w:rsid w:val="070372FD"/>
    <w:rsid w:val="0725083A"/>
    <w:rsid w:val="073577D4"/>
    <w:rsid w:val="0742313E"/>
    <w:rsid w:val="075A4AD4"/>
    <w:rsid w:val="075B2888"/>
    <w:rsid w:val="077623D6"/>
    <w:rsid w:val="078C4DBF"/>
    <w:rsid w:val="07AF214A"/>
    <w:rsid w:val="07F25321"/>
    <w:rsid w:val="080C13C2"/>
    <w:rsid w:val="083167B4"/>
    <w:rsid w:val="084E3BE1"/>
    <w:rsid w:val="086F2ADE"/>
    <w:rsid w:val="08791E9B"/>
    <w:rsid w:val="08AE2D93"/>
    <w:rsid w:val="08C9201F"/>
    <w:rsid w:val="08EF7436"/>
    <w:rsid w:val="09137E8C"/>
    <w:rsid w:val="0926356E"/>
    <w:rsid w:val="094443D7"/>
    <w:rsid w:val="09960283"/>
    <w:rsid w:val="09CC0284"/>
    <w:rsid w:val="09D11BE6"/>
    <w:rsid w:val="09DC27F4"/>
    <w:rsid w:val="0A2552B4"/>
    <w:rsid w:val="0A7B19BD"/>
    <w:rsid w:val="0A8267D1"/>
    <w:rsid w:val="0A8C26DA"/>
    <w:rsid w:val="0AAB6ADD"/>
    <w:rsid w:val="0AF01802"/>
    <w:rsid w:val="0AF01F8A"/>
    <w:rsid w:val="0B037A03"/>
    <w:rsid w:val="0B45671C"/>
    <w:rsid w:val="0B6039B7"/>
    <w:rsid w:val="0B806C8E"/>
    <w:rsid w:val="0B8A00DC"/>
    <w:rsid w:val="0B9152CF"/>
    <w:rsid w:val="0B9766C4"/>
    <w:rsid w:val="0BAD5C13"/>
    <w:rsid w:val="0BAE03DE"/>
    <w:rsid w:val="0BB71C5E"/>
    <w:rsid w:val="0BDC7EAB"/>
    <w:rsid w:val="0C002A91"/>
    <w:rsid w:val="0C03168D"/>
    <w:rsid w:val="0C033089"/>
    <w:rsid w:val="0C113E40"/>
    <w:rsid w:val="0C392E05"/>
    <w:rsid w:val="0C4C26BB"/>
    <w:rsid w:val="0C4F583E"/>
    <w:rsid w:val="0C507FD4"/>
    <w:rsid w:val="0C825322"/>
    <w:rsid w:val="0C89471E"/>
    <w:rsid w:val="0CB0316F"/>
    <w:rsid w:val="0D072FA1"/>
    <w:rsid w:val="0DC675D7"/>
    <w:rsid w:val="0DDF5105"/>
    <w:rsid w:val="0DFE732D"/>
    <w:rsid w:val="0E461968"/>
    <w:rsid w:val="0E523904"/>
    <w:rsid w:val="0E52758D"/>
    <w:rsid w:val="0E722040"/>
    <w:rsid w:val="0E8E2CA6"/>
    <w:rsid w:val="0E9D23C7"/>
    <w:rsid w:val="0F397321"/>
    <w:rsid w:val="0F61774B"/>
    <w:rsid w:val="0F886EF8"/>
    <w:rsid w:val="0F946D49"/>
    <w:rsid w:val="0FA3070A"/>
    <w:rsid w:val="0FAB3042"/>
    <w:rsid w:val="0FAF0D49"/>
    <w:rsid w:val="0FCD5006"/>
    <w:rsid w:val="0FE20F9D"/>
    <w:rsid w:val="10122839"/>
    <w:rsid w:val="105F06F2"/>
    <w:rsid w:val="10647935"/>
    <w:rsid w:val="10E63F43"/>
    <w:rsid w:val="10F646AA"/>
    <w:rsid w:val="10F80D2E"/>
    <w:rsid w:val="11235688"/>
    <w:rsid w:val="118C69BC"/>
    <w:rsid w:val="11974267"/>
    <w:rsid w:val="11C259C5"/>
    <w:rsid w:val="11D10EA0"/>
    <w:rsid w:val="11D80E50"/>
    <w:rsid w:val="11DB6B5A"/>
    <w:rsid w:val="11DC6D79"/>
    <w:rsid w:val="12317569"/>
    <w:rsid w:val="12662ABE"/>
    <w:rsid w:val="12867C6B"/>
    <w:rsid w:val="12B503E3"/>
    <w:rsid w:val="12DB59F8"/>
    <w:rsid w:val="12E41605"/>
    <w:rsid w:val="12F12F9A"/>
    <w:rsid w:val="12FB4A33"/>
    <w:rsid w:val="130D4582"/>
    <w:rsid w:val="13292762"/>
    <w:rsid w:val="13FF061E"/>
    <w:rsid w:val="140B0167"/>
    <w:rsid w:val="14256DDB"/>
    <w:rsid w:val="142B2BA6"/>
    <w:rsid w:val="142D0FBD"/>
    <w:rsid w:val="144846D5"/>
    <w:rsid w:val="146C3610"/>
    <w:rsid w:val="149A511D"/>
    <w:rsid w:val="14CC7928"/>
    <w:rsid w:val="14F42048"/>
    <w:rsid w:val="15160423"/>
    <w:rsid w:val="15696B57"/>
    <w:rsid w:val="156B6EB0"/>
    <w:rsid w:val="158F345F"/>
    <w:rsid w:val="15F659DC"/>
    <w:rsid w:val="161A14CD"/>
    <w:rsid w:val="1631450D"/>
    <w:rsid w:val="16857503"/>
    <w:rsid w:val="16D74ECF"/>
    <w:rsid w:val="1715352A"/>
    <w:rsid w:val="173139C9"/>
    <w:rsid w:val="17417B36"/>
    <w:rsid w:val="176A3656"/>
    <w:rsid w:val="179964F8"/>
    <w:rsid w:val="17AA26C5"/>
    <w:rsid w:val="17C934CF"/>
    <w:rsid w:val="17F026D4"/>
    <w:rsid w:val="17FB0AEC"/>
    <w:rsid w:val="182B6909"/>
    <w:rsid w:val="1839378D"/>
    <w:rsid w:val="183E3197"/>
    <w:rsid w:val="18854A4A"/>
    <w:rsid w:val="18CD5675"/>
    <w:rsid w:val="196D1144"/>
    <w:rsid w:val="199A0D0F"/>
    <w:rsid w:val="1A097FF5"/>
    <w:rsid w:val="1A36290B"/>
    <w:rsid w:val="1A6B2BD6"/>
    <w:rsid w:val="1A9346FF"/>
    <w:rsid w:val="1A96572E"/>
    <w:rsid w:val="1AFB5453"/>
    <w:rsid w:val="1B604DF7"/>
    <w:rsid w:val="1B6B3188"/>
    <w:rsid w:val="1B764D9C"/>
    <w:rsid w:val="1BAC5276"/>
    <w:rsid w:val="1BB34C01"/>
    <w:rsid w:val="1BC04601"/>
    <w:rsid w:val="1C274BC0"/>
    <w:rsid w:val="1C8A35E0"/>
    <w:rsid w:val="1D053BDE"/>
    <w:rsid w:val="1D5747A6"/>
    <w:rsid w:val="1D627412"/>
    <w:rsid w:val="1D7C38A4"/>
    <w:rsid w:val="1DD97EF1"/>
    <w:rsid w:val="1DE7131E"/>
    <w:rsid w:val="1DF63B37"/>
    <w:rsid w:val="1E257332"/>
    <w:rsid w:val="1E387E23"/>
    <w:rsid w:val="1E4B3150"/>
    <w:rsid w:val="1E5B5D28"/>
    <w:rsid w:val="1E674194"/>
    <w:rsid w:val="1E7957DA"/>
    <w:rsid w:val="1E933B06"/>
    <w:rsid w:val="1EF35270"/>
    <w:rsid w:val="1EFB3644"/>
    <w:rsid w:val="1F45678D"/>
    <w:rsid w:val="1F4F287C"/>
    <w:rsid w:val="1F653FE0"/>
    <w:rsid w:val="1FA926D1"/>
    <w:rsid w:val="204C5C36"/>
    <w:rsid w:val="209476A4"/>
    <w:rsid w:val="20967B79"/>
    <w:rsid w:val="20B775A5"/>
    <w:rsid w:val="20EE07DE"/>
    <w:rsid w:val="20FD4727"/>
    <w:rsid w:val="2104652A"/>
    <w:rsid w:val="21557F73"/>
    <w:rsid w:val="215A5B5A"/>
    <w:rsid w:val="218016D7"/>
    <w:rsid w:val="218152B1"/>
    <w:rsid w:val="21AF7189"/>
    <w:rsid w:val="21E914AE"/>
    <w:rsid w:val="21EE028F"/>
    <w:rsid w:val="2218218D"/>
    <w:rsid w:val="223B63D4"/>
    <w:rsid w:val="22411799"/>
    <w:rsid w:val="22587D84"/>
    <w:rsid w:val="227F6529"/>
    <w:rsid w:val="22854DC4"/>
    <w:rsid w:val="22C57576"/>
    <w:rsid w:val="22CD1478"/>
    <w:rsid w:val="23015B17"/>
    <w:rsid w:val="232A6370"/>
    <w:rsid w:val="23953EC7"/>
    <w:rsid w:val="23BA71AA"/>
    <w:rsid w:val="23E262B1"/>
    <w:rsid w:val="23EC6DC9"/>
    <w:rsid w:val="2422552F"/>
    <w:rsid w:val="243C6989"/>
    <w:rsid w:val="24487A32"/>
    <w:rsid w:val="246E286E"/>
    <w:rsid w:val="24A63930"/>
    <w:rsid w:val="24A94E1A"/>
    <w:rsid w:val="24F315B7"/>
    <w:rsid w:val="25536753"/>
    <w:rsid w:val="256F1F3B"/>
    <w:rsid w:val="25722403"/>
    <w:rsid w:val="25AF0B26"/>
    <w:rsid w:val="25B76FF0"/>
    <w:rsid w:val="25BB57B6"/>
    <w:rsid w:val="25FD09B4"/>
    <w:rsid w:val="26256DA0"/>
    <w:rsid w:val="264D3500"/>
    <w:rsid w:val="2655556B"/>
    <w:rsid w:val="26621687"/>
    <w:rsid w:val="267B6EEE"/>
    <w:rsid w:val="269B0ED6"/>
    <w:rsid w:val="269F5F11"/>
    <w:rsid w:val="26F206FB"/>
    <w:rsid w:val="270A5318"/>
    <w:rsid w:val="27156F2D"/>
    <w:rsid w:val="271C7F76"/>
    <w:rsid w:val="274F6E4D"/>
    <w:rsid w:val="278D432F"/>
    <w:rsid w:val="27BB28BC"/>
    <w:rsid w:val="27EB13B4"/>
    <w:rsid w:val="281938DB"/>
    <w:rsid w:val="28343B01"/>
    <w:rsid w:val="283855ED"/>
    <w:rsid w:val="285A1EE2"/>
    <w:rsid w:val="288C3296"/>
    <w:rsid w:val="28925819"/>
    <w:rsid w:val="28AE449A"/>
    <w:rsid w:val="28B121D1"/>
    <w:rsid w:val="28B4181B"/>
    <w:rsid w:val="28BA4260"/>
    <w:rsid w:val="28C46921"/>
    <w:rsid w:val="28D64B69"/>
    <w:rsid w:val="2907735C"/>
    <w:rsid w:val="291F3F2E"/>
    <w:rsid w:val="295E5AC1"/>
    <w:rsid w:val="29857AE4"/>
    <w:rsid w:val="29895406"/>
    <w:rsid w:val="29922EF7"/>
    <w:rsid w:val="29CD39E6"/>
    <w:rsid w:val="2A1D0D2D"/>
    <w:rsid w:val="2A1D3D7A"/>
    <w:rsid w:val="2A4B6205"/>
    <w:rsid w:val="2A506916"/>
    <w:rsid w:val="2A593E07"/>
    <w:rsid w:val="2A5A1807"/>
    <w:rsid w:val="2A8A1A57"/>
    <w:rsid w:val="2ABE278D"/>
    <w:rsid w:val="2AF04C7E"/>
    <w:rsid w:val="2B7319D4"/>
    <w:rsid w:val="2B741FD5"/>
    <w:rsid w:val="2B8F7142"/>
    <w:rsid w:val="2BA1639F"/>
    <w:rsid w:val="2C257DF0"/>
    <w:rsid w:val="2C5B79F3"/>
    <w:rsid w:val="2D2F2FAF"/>
    <w:rsid w:val="2D4C7871"/>
    <w:rsid w:val="2D66449D"/>
    <w:rsid w:val="2D892955"/>
    <w:rsid w:val="2D8B62FF"/>
    <w:rsid w:val="2D8E7EA4"/>
    <w:rsid w:val="2DCE3DB0"/>
    <w:rsid w:val="2E0F2094"/>
    <w:rsid w:val="2E32187F"/>
    <w:rsid w:val="2E4514EE"/>
    <w:rsid w:val="2E721C0B"/>
    <w:rsid w:val="2E832640"/>
    <w:rsid w:val="2E8E24BF"/>
    <w:rsid w:val="2EC147FA"/>
    <w:rsid w:val="2F0D6CBD"/>
    <w:rsid w:val="2F2D0876"/>
    <w:rsid w:val="2F6A6C53"/>
    <w:rsid w:val="2F93383C"/>
    <w:rsid w:val="2FA3052E"/>
    <w:rsid w:val="2FCD5AAF"/>
    <w:rsid w:val="2FE66980"/>
    <w:rsid w:val="30051231"/>
    <w:rsid w:val="30176275"/>
    <w:rsid w:val="307649DA"/>
    <w:rsid w:val="30876F7F"/>
    <w:rsid w:val="309F1C15"/>
    <w:rsid w:val="31030890"/>
    <w:rsid w:val="310B4584"/>
    <w:rsid w:val="319847F2"/>
    <w:rsid w:val="319D2DC0"/>
    <w:rsid w:val="31A6509D"/>
    <w:rsid w:val="31D27D93"/>
    <w:rsid w:val="31E52231"/>
    <w:rsid w:val="321543DB"/>
    <w:rsid w:val="32190EBE"/>
    <w:rsid w:val="322B2D9C"/>
    <w:rsid w:val="327354FE"/>
    <w:rsid w:val="32963595"/>
    <w:rsid w:val="32A63AE9"/>
    <w:rsid w:val="32FF07A6"/>
    <w:rsid w:val="33344DC5"/>
    <w:rsid w:val="3343121A"/>
    <w:rsid w:val="334854D0"/>
    <w:rsid w:val="334A7D22"/>
    <w:rsid w:val="33AE2F42"/>
    <w:rsid w:val="33BF02F5"/>
    <w:rsid w:val="33C95646"/>
    <w:rsid w:val="33D72119"/>
    <w:rsid w:val="33F8545A"/>
    <w:rsid w:val="342A79A4"/>
    <w:rsid w:val="348F514A"/>
    <w:rsid w:val="349E6317"/>
    <w:rsid w:val="34A30568"/>
    <w:rsid w:val="34AA3776"/>
    <w:rsid w:val="34B32BA5"/>
    <w:rsid w:val="34CD576C"/>
    <w:rsid w:val="34DF294B"/>
    <w:rsid w:val="350D030F"/>
    <w:rsid w:val="352765C3"/>
    <w:rsid w:val="357A63A3"/>
    <w:rsid w:val="35E07149"/>
    <w:rsid w:val="35F21AD4"/>
    <w:rsid w:val="360B5109"/>
    <w:rsid w:val="36277323"/>
    <w:rsid w:val="364E654B"/>
    <w:rsid w:val="368F06C4"/>
    <w:rsid w:val="36DF0CCA"/>
    <w:rsid w:val="36E04FFE"/>
    <w:rsid w:val="37B317A7"/>
    <w:rsid w:val="37B557DB"/>
    <w:rsid w:val="37DA3340"/>
    <w:rsid w:val="380565DA"/>
    <w:rsid w:val="38620416"/>
    <w:rsid w:val="387A6008"/>
    <w:rsid w:val="38AF4F60"/>
    <w:rsid w:val="38D14AC1"/>
    <w:rsid w:val="38E31861"/>
    <w:rsid w:val="38EC4EE1"/>
    <w:rsid w:val="390313FD"/>
    <w:rsid w:val="39996DB1"/>
    <w:rsid w:val="39BB7346"/>
    <w:rsid w:val="39BE38E5"/>
    <w:rsid w:val="39C76B3C"/>
    <w:rsid w:val="39D64BDE"/>
    <w:rsid w:val="39E9721E"/>
    <w:rsid w:val="3A160959"/>
    <w:rsid w:val="3A21357B"/>
    <w:rsid w:val="3A2F770E"/>
    <w:rsid w:val="3A324C6A"/>
    <w:rsid w:val="3A623B27"/>
    <w:rsid w:val="3A7929F4"/>
    <w:rsid w:val="3AEF12B6"/>
    <w:rsid w:val="3AF20376"/>
    <w:rsid w:val="3AF6384B"/>
    <w:rsid w:val="3B387B37"/>
    <w:rsid w:val="3B4D55BA"/>
    <w:rsid w:val="3B7706C3"/>
    <w:rsid w:val="3BCC0D2F"/>
    <w:rsid w:val="3BD47509"/>
    <w:rsid w:val="3BE24B0C"/>
    <w:rsid w:val="3BFD5DBC"/>
    <w:rsid w:val="3C111A19"/>
    <w:rsid w:val="3C221971"/>
    <w:rsid w:val="3C2B62F6"/>
    <w:rsid w:val="3C5B7242"/>
    <w:rsid w:val="3C9A6ABF"/>
    <w:rsid w:val="3CAD0F23"/>
    <w:rsid w:val="3D52013F"/>
    <w:rsid w:val="3D896471"/>
    <w:rsid w:val="3DF32DC3"/>
    <w:rsid w:val="3E1E5090"/>
    <w:rsid w:val="3E2D5A1E"/>
    <w:rsid w:val="3E6D3572"/>
    <w:rsid w:val="3EC12548"/>
    <w:rsid w:val="3F256C1F"/>
    <w:rsid w:val="3F27003F"/>
    <w:rsid w:val="3F701716"/>
    <w:rsid w:val="3FB72BDB"/>
    <w:rsid w:val="3FCD4CB7"/>
    <w:rsid w:val="3FF03EE2"/>
    <w:rsid w:val="3FF57D65"/>
    <w:rsid w:val="402F4F94"/>
    <w:rsid w:val="40437E38"/>
    <w:rsid w:val="404C5C33"/>
    <w:rsid w:val="404C72E2"/>
    <w:rsid w:val="407166ED"/>
    <w:rsid w:val="409C5885"/>
    <w:rsid w:val="40CE74D1"/>
    <w:rsid w:val="40D8649F"/>
    <w:rsid w:val="414548A4"/>
    <w:rsid w:val="41596CF5"/>
    <w:rsid w:val="415C62EB"/>
    <w:rsid w:val="41683DBC"/>
    <w:rsid w:val="41943F81"/>
    <w:rsid w:val="41BD2804"/>
    <w:rsid w:val="41D81E3E"/>
    <w:rsid w:val="423C656C"/>
    <w:rsid w:val="426519C7"/>
    <w:rsid w:val="427D26F5"/>
    <w:rsid w:val="42BE0C08"/>
    <w:rsid w:val="42C63AE2"/>
    <w:rsid w:val="42CB1574"/>
    <w:rsid w:val="430B4322"/>
    <w:rsid w:val="4332726E"/>
    <w:rsid w:val="436315AE"/>
    <w:rsid w:val="437C1F45"/>
    <w:rsid w:val="4382697A"/>
    <w:rsid w:val="43A632A0"/>
    <w:rsid w:val="43B01A10"/>
    <w:rsid w:val="43BC218C"/>
    <w:rsid w:val="43BE6232"/>
    <w:rsid w:val="43E10347"/>
    <w:rsid w:val="43F125AF"/>
    <w:rsid w:val="44153089"/>
    <w:rsid w:val="4435148B"/>
    <w:rsid w:val="44583C54"/>
    <w:rsid w:val="446866CB"/>
    <w:rsid w:val="447D1711"/>
    <w:rsid w:val="44E04F0D"/>
    <w:rsid w:val="44E52014"/>
    <w:rsid w:val="450042C0"/>
    <w:rsid w:val="4501269C"/>
    <w:rsid w:val="453076A9"/>
    <w:rsid w:val="4541015D"/>
    <w:rsid w:val="45535F6A"/>
    <w:rsid w:val="457B760B"/>
    <w:rsid w:val="45845B9E"/>
    <w:rsid w:val="459D5443"/>
    <w:rsid w:val="45DE1F7C"/>
    <w:rsid w:val="45FA4F68"/>
    <w:rsid w:val="460A6928"/>
    <w:rsid w:val="462226A7"/>
    <w:rsid w:val="462C3A2D"/>
    <w:rsid w:val="463963A7"/>
    <w:rsid w:val="46521F6A"/>
    <w:rsid w:val="469D2D89"/>
    <w:rsid w:val="4735264E"/>
    <w:rsid w:val="47515D8E"/>
    <w:rsid w:val="4761188A"/>
    <w:rsid w:val="477C011B"/>
    <w:rsid w:val="478D6A74"/>
    <w:rsid w:val="47954DA6"/>
    <w:rsid w:val="47E556FD"/>
    <w:rsid w:val="480745B8"/>
    <w:rsid w:val="48110EEE"/>
    <w:rsid w:val="481E6E5E"/>
    <w:rsid w:val="48455BD5"/>
    <w:rsid w:val="485453E6"/>
    <w:rsid w:val="48956008"/>
    <w:rsid w:val="489A4E2B"/>
    <w:rsid w:val="48B91DA2"/>
    <w:rsid w:val="48C2408E"/>
    <w:rsid w:val="48CA4127"/>
    <w:rsid w:val="48D5301F"/>
    <w:rsid w:val="48DF1E38"/>
    <w:rsid w:val="48EE03F2"/>
    <w:rsid w:val="48F30006"/>
    <w:rsid w:val="48FB3BCB"/>
    <w:rsid w:val="49015AB6"/>
    <w:rsid w:val="490D333C"/>
    <w:rsid w:val="490F6E20"/>
    <w:rsid w:val="491C2FDD"/>
    <w:rsid w:val="49383A30"/>
    <w:rsid w:val="494D25E7"/>
    <w:rsid w:val="4979560B"/>
    <w:rsid w:val="49877032"/>
    <w:rsid w:val="4997184B"/>
    <w:rsid w:val="49AA4F02"/>
    <w:rsid w:val="49AB1100"/>
    <w:rsid w:val="49CC2CE1"/>
    <w:rsid w:val="49EF45D3"/>
    <w:rsid w:val="4A015E37"/>
    <w:rsid w:val="4A150DE9"/>
    <w:rsid w:val="4A2A0933"/>
    <w:rsid w:val="4A610501"/>
    <w:rsid w:val="4A6428A0"/>
    <w:rsid w:val="4A6F6EFD"/>
    <w:rsid w:val="4A7143C9"/>
    <w:rsid w:val="4A9171C9"/>
    <w:rsid w:val="4AC36821"/>
    <w:rsid w:val="4ADF1452"/>
    <w:rsid w:val="4AE338C9"/>
    <w:rsid w:val="4AE64829"/>
    <w:rsid w:val="4B5A142E"/>
    <w:rsid w:val="4B5B6E9C"/>
    <w:rsid w:val="4B6A678D"/>
    <w:rsid w:val="4B7C127F"/>
    <w:rsid w:val="4B871230"/>
    <w:rsid w:val="4B8D2A9C"/>
    <w:rsid w:val="4B952EB5"/>
    <w:rsid w:val="4BBA244A"/>
    <w:rsid w:val="4BC630B2"/>
    <w:rsid w:val="4BD7721C"/>
    <w:rsid w:val="4BF722AF"/>
    <w:rsid w:val="4C045760"/>
    <w:rsid w:val="4C1737A8"/>
    <w:rsid w:val="4C275942"/>
    <w:rsid w:val="4C3C2E05"/>
    <w:rsid w:val="4D001537"/>
    <w:rsid w:val="4D006704"/>
    <w:rsid w:val="4D5D4CE0"/>
    <w:rsid w:val="4D5D5CCA"/>
    <w:rsid w:val="4D935553"/>
    <w:rsid w:val="4D9E38E4"/>
    <w:rsid w:val="4DA236B5"/>
    <w:rsid w:val="4DC03689"/>
    <w:rsid w:val="4DDA27CF"/>
    <w:rsid w:val="4E727C0E"/>
    <w:rsid w:val="4E730444"/>
    <w:rsid w:val="4EA31B27"/>
    <w:rsid w:val="4EB16461"/>
    <w:rsid w:val="4F527A23"/>
    <w:rsid w:val="4F6C0025"/>
    <w:rsid w:val="4F7C2E75"/>
    <w:rsid w:val="4F8F2DB4"/>
    <w:rsid w:val="4FCD5EA5"/>
    <w:rsid w:val="4FE8397B"/>
    <w:rsid w:val="5074515D"/>
    <w:rsid w:val="50760E84"/>
    <w:rsid w:val="50A0250F"/>
    <w:rsid w:val="50D51A1A"/>
    <w:rsid w:val="50F62B4F"/>
    <w:rsid w:val="50FA595D"/>
    <w:rsid w:val="5119199D"/>
    <w:rsid w:val="51435FCD"/>
    <w:rsid w:val="51826FDD"/>
    <w:rsid w:val="51A853D2"/>
    <w:rsid w:val="51B92C8B"/>
    <w:rsid w:val="51C265E1"/>
    <w:rsid w:val="51D61C53"/>
    <w:rsid w:val="51E536FE"/>
    <w:rsid w:val="51E84C98"/>
    <w:rsid w:val="51E93BF8"/>
    <w:rsid w:val="51F11680"/>
    <w:rsid w:val="51F45B5E"/>
    <w:rsid w:val="51FC1C0F"/>
    <w:rsid w:val="521F0A60"/>
    <w:rsid w:val="52241ACF"/>
    <w:rsid w:val="522A2568"/>
    <w:rsid w:val="527A2626"/>
    <w:rsid w:val="52A670F0"/>
    <w:rsid w:val="52B941C6"/>
    <w:rsid w:val="52F643C0"/>
    <w:rsid w:val="530911AF"/>
    <w:rsid w:val="53546780"/>
    <w:rsid w:val="535A61B5"/>
    <w:rsid w:val="537202E8"/>
    <w:rsid w:val="53D64D18"/>
    <w:rsid w:val="53F61554"/>
    <w:rsid w:val="54171005"/>
    <w:rsid w:val="543B6BFB"/>
    <w:rsid w:val="54423533"/>
    <w:rsid w:val="546E07E5"/>
    <w:rsid w:val="546E671C"/>
    <w:rsid w:val="548E44C7"/>
    <w:rsid w:val="548F3247"/>
    <w:rsid w:val="5490618F"/>
    <w:rsid w:val="54C16CDA"/>
    <w:rsid w:val="54FF5684"/>
    <w:rsid w:val="55107BBE"/>
    <w:rsid w:val="552D32DE"/>
    <w:rsid w:val="554D197A"/>
    <w:rsid w:val="55710354"/>
    <w:rsid w:val="55901BAB"/>
    <w:rsid w:val="55B1100E"/>
    <w:rsid w:val="56446983"/>
    <w:rsid w:val="565B7F3A"/>
    <w:rsid w:val="568217F0"/>
    <w:rsid w:val="56864602"/>
    <w:rsid w:val="56912A17"/>
    <w:rsid w:val="56B87608"/>
    <w:rsid w:val="56C86370"/>
    <w:rsid w:val="56CE550C"/>
    <w:rsid w:val="570A74F3"/>
    <w:rsid w:val="573E3DB0"/>
    <w:rsid w:val="57730E98"/>
    <w:rsid w:val="57BE4844"/>
    <w:rsid w:val="5844533C"/>
    <w:rsid w:val="58542098"/>
    <w:rsid w:val="5863030F"/>
    <w:rsid w:val="587E2D72"/>
    <w:rsid w:val="58CF0CC3"/>
    <w:rsid w:val="58D7284D"/>
    <w:rsid w:val="5908689F"/>
    <w:rsid w:val="59151BD7"/>
    <w:rsid w:val="592616D2"/>
    <w:rsid w:val="59384E70"/>
    <w:rsid w:val="594F5FA8"/>
    <w:rsid w:val="59582824"/>
    <w:rsid w:val="59720063"/>
    <w:rsid w:val="59751EFC"/>
    <w:rsid w:val="59E04386"/>
    <w:rsid w:val="59F7258B"/>
    <w:rsid w:val="59FF35B4"/>
    <w:rsid w:val="5A1910BA"/>
    <w:rsid w:val="5A227E52"/>
    <w:rsid w:val="5A326D1E"/>
    <w:rsid w:val="5A36150F"/>
    <w:rsid w:val="5A754D91"/>
    <w:rsid w:val="5A9F1F2C"/>
    <w:rsid w:val="5AFA4046"/>
    <w:rsid w:val="5B053295"/>
    <w:rsid w:val="5B5A5DEF"/>
    <w:rsid w:val="5B7F450D"/>
    <w:rsid w:val="5B8A1D28"/>
    <w:rsid w:val="5BAA1C06"/>
    <w:rsid w:val="5BB40501"/>
    <w:rsid w:val="5BC45FD2"/>
    <w:rsid w:val="5C1A7463"/>
    <w:rsid w:val="5C2526F9"/>
    <w:rsid w:val="5C306FA8"/>
    <w:rsid w:val="5C3C5351"/>
    <w:rsid w:val="5C451133"/>
    <w:rsid w:val="5C7502CA"/>
    <w:rsid w:val="5C786A6F"/>
    <w:rsid w:val="5CA01798"/>
    <w:rsid w:val="5CB12A67"/>
    <w:rsid w:val="5CF61337"/>
    <w:rsid w:val="5D10108B"/>
    <w:rsid w:val="5D11517A"/>
    <w:rsid w:val="5D122F42"/>
    <w:rsid w:val="5D262020"/>
    <w:rsid w:val="5DB63D00"/>
    <w:rsid w:val="5DBB20D6"/>
    <w:rsid w:val="5DF76D86"/>
    <w:rsid w:val="5E163FB7"/>
    <w:rsid w:val="5E306CB4"/>
    <w:rsid w:val="5E645EEA"/>
    <w:rsid w:val="5E714C2A"/>
    <w:rsid w:val="5EAA4F2B"/>
    <w:rsid w:val="5EF87001"/>
    <w:rsid w:val="5F0B2CFC"/>
    <w:rsid w:val="5F326CF7"/>
    <w:rsid w:val="5F332948"/>
    <w:rsid w:val="5F507C97"/>
    <w:rsid w:val="5F6E6B68"/>
    <w:rsid w:val="5F9408B9"/>
    <w:rsid w:val="5FFD1096"/>
    <w:rsid w:val="600E5BF9"/>
    <w:rsid w:val="601D05BB"/>
    <w:rsid w:val="60A838D5"/>
    <w:rsid w:val="60AD5CAC"/>
    <w:rsid w:val="60EF22DE"/>
    <w:rsid w:val="60F21BCD"/>
    <w:rsid w:val="615D47CA"/>
    <w:rsid w:val="616531E7"/>
    <w:rsid w:val="61787398"/>
    <w:rsid w:val="617A11B9"/>
    <w:rsid w:val="61AB2EA1"/>
    <w:rsid w:val="620D6B6D"/>
    <w:rsid w:val="622034DD"/>
    <w:rsid w:val="62315098"/>
    <w:rsid w:val="62357D8E"/>
    <w:rsid w:val="6241074F"/>
    <w:rsid w:val="625B7004"/>
    <w:rsid w:val="626415F2"/>
    <w:rsid w:val="627B391D"/>
    <w:rsid w:val="628D5AEF"/>
    <w:rsid w:val="62A56CE9"/>
    <w:rsid w:val="62A82E8C"/>
    <w:rsid w:val="62AD5BB2"/>
    <w:rsid w:val="62B527FD"/>
    <w:rsid w:val="62BC7C0A"/>
    <w:rsid w:val="62C83425"/>
    <w:rsid w:val="62E34099"/>
    <w:rsid w:val="62EC5F7A"/>
    <w:rsid w:val="630362D8"/>
    <w:rsid w:val="631437C1"/>
    <w:rsid w:val="63432E3D"/>
    <w:rsid w:val="63453343"/>
    <w:rsid w:val="63743D19"/>
    <w:rsid w:val="64145DA3"/>
    <w:rsid w:val="642B28E6"/>
    <w:rsid w:val="644C4E9D"/>
    <w:rsid w:val="64620077"/>
    <w:rsid w:val="64AC4EB7"/>
    <w:rsid w:val="64C81B92"/>
    <w:rsid w:val="64D64FA1"/>
    <w:rsid w:val="6500668C"/>
    <w:rsid w:val="6521420E"/>
    <w:rsid w:val="655A57D0"/>
    <w:rsid w:val="655D77A4"/>
    <w:rsid w:val="657D3011"/>
    <w:rsid w:val="65840E3D"/>
    <w:rsid w:val="65BE2FB0"/>
    <w:rsid w:val="65C85272"/>
    <w:rsid w:val="65DA33AA"/>
    <w:rsid w:val="660776F2"/>
    <w:rsid w:val="666E5121"/>
    <w:rsid w:val="6681306B"/>
    <w:rsid w:val="66AA09B8"/>
    <w:rsid w:val="66F5712B"/>
    <w:rsid w:val="67256B9B"/>
    <w:rsid w:val="673D5BED"/>
    <w:rsid w:val="674A10E1"/>
    <w:rsid w:val="67860E67"/>
    <w:rsid w:val="68075994"/>
    <w:rsid w:val="682F5A84"/>
    <w:rsid w:val="683B76A7"/>
    <w:rsid w:val="6850014F"/>
    <w:rsid w:val="68525177"/>
    <w:rsid w:val="68584EF3"/>
    <w:rsid w:val="68627F12"/>
    <w:rsid w:val="68696EDC"/>
    <w:rsid w:val="68916D9B"/>
    <w:rsid w:val="68A320D3"/>
    <w:rsid w:val="68E92CAD"/>
    <w:rsid w:val="691E6690"/>
    <w:rsid w:val="694734E2"/>
    <w:rsid w:val="6958612B"/>
    <w:rsid w:val="6959079B"/>
    <w:rsid w:val="69B30178"/>
    <w:rsid w:val="69EF0C6E"/>
    <w:rsid w:val="6A316758"/>
    <w:rsid w:val="6A493D06"/>
    <w:rsid w:val="6A625E1E"/>
    <w:rsid w:val="6A6D2E29"/>
    <w:rsid w:val="6A7A3325"/>
    <w:rsid w:val="6AB815F0"/>
    <w:rsid w:val="6ABF73B0"/>
    <w:rsid w:val="6B223724"/>
    <w:rsid w:val="6B3E1679"/>
    <w:rsid w:val="6B7C2DC1"/>
    <w:rsid w:val="6B7D5F17"/>
    <w:rsid w:val="6B845E74"/>
    <w:rsid w:val="6BD23585"/>
    <w:rsid w:val="6BE544D2"/>
    <w:rsid w:val="6BEC0082"/>
    <w:rsid w:val="6C105A58"/>
    <w:rsid w:val="6C144793"/>
    <w:rsid w:val="6C325AA3"/>
    <w:rsid w:val="6C4139C5"/>
    <w:rsid w:val="6C511182"/>
    <w:rsid w:val="6C5131EF"/>
    <w:rsid w:val="6C5517C0"/>
    <w:rsid w:val="6C954CA6"/>
    <w:rsid w:val="6CEF2939"/>
    <w:rsid w:val="6D2D1800"/>
    <w:rsid w:val="6D49436A"/>
    <w:rsid w:val="6DB90A38"/>
    <w:rsid w:val="6DE36EA3"/>
    <w:rsid w:val="6DF8337A"/>
    <w:rsid w:val="6E03170B"/>
    <w:rsid w:val="6E514A14"/>
    <w:rsid w:val="6E79786C"/>
    <w:rsid w:val="6E7D7E23"/>
    <w:rsid w:val="6ECB4786"/>
    <w:rsid w:val="6ED63979"/>
    <w:rsid w:val="6F073538"/>
    <w:rsid w:val="6F150436"/>
    <w:rsid w:val="6F6F05F4"/>
    <w:rsid w:val="6FEB702D"/>
    <w:rsid w:val="70022E98"/>
    <w:rsid w:val="70042B0A"/>
    <w:rsid w:val="700A52BA"/>
    <w:rsid w:val="70370521"/>
    <w:rsid w:val="704F1EA0"/>
    <w:rsid w:val="70652661"/>
    <w:rsid w:val="709E529E"/>
    <w:rsid w:val="70C87F3E"/>
    <w:rsid w:val="70DF208F"/>
    <w:rsid w:val="711F72D7"/>
    <w:rsid w:val="716021FE"/>
    <w:rsid w:val="7168575C"/>
    <w:rsid w:val="7175698A"/>
    <w:rsid w:val="71811C38"/>
    <w:rsid w:val="718D3DCA"/>
    <w:rsid w:val="71962E69"/>
    <w:rsid w:val="71E13073"/>
    <w:rsid w:val="71E91DE5"/>
    <w:rsid w:val="71F40874"/>
    <w:rsid w:val="71FC747A"/>
    <w:rsid w:val="72502958"/>
    <w:rsid w:val="727A6BD4"/>
    <w:rsid w:val="728C2FA9"/>
    <w:rsid w:val="72C05D0A"/>
    <w:rsid w:val="72CD79F3"/>
    <w:rsid w:val="72D211C7"/>
    <w:rsid w:val="72DE2883"/>
    <w:rsid w:val="72F8122F"/>
    <w:rsid w:val="730251EE"/>
    <w:rsid w:val="730C4391"/>
    <w:rsid w:val="73400F27"/>
    <w:rsid w:val="73581F42"/>
    <w:rsid w:val="7392155C"/>
    <w:rsid w:val="73AF7859"/>
    <w:rsid w:val="73B14439"/>
    <w:rsid w:val="73D31E97"/>
    <w:rsid w:val="7408287A"/>
    <w:rsid w:val="740E0CDD"/>
    <w:rsid w:val="74507D33"/>
    <w:rsid w:val="74602F39"/>
    <w:rsid w:val="746A093F"/>
    <w:rsid w:val="747D370B"/>
    <w:rsid w:val="747D4778"/>
    <w:rsid w:val="748D33A7"/>
    <w:rsid w:val="74CE210F"/>
    <w:rsid w:val="74FA3E77"/>
    <w:rsid w:val="75832423"/>
    <w:rsid w:val="759A4DE5"/>
    <w:rsid w:val="760C4BA0"/>
    <w:rsid w:val="76375E44"/>
    <w:rsid w:val="765A0A6B"/>
    <w:rsid w:val="765F559C"/>
    <w:rsid w:val="76716C4B"/>
    <w:rsid w:val="76A766DD"/>
    <w:rsid w:val="77194292"/>
    <w:rsid w:val="774574B4"/>
    <w:rsid w:val="774A08DB"/>
    <w:rsid w:val="77534D09"/>
    <w:rsid w:val="776104EE"/>
    <w:rsid w:val="77D74194"/>
    <w:rsid w:val="77DC6E50"/>
    <w:rsid w:val="78236D84"/>
    <w:rsid w:val="786C2085"/>
    <w:rsid w:val="78A51A60"/>
    <w:rsid w:val="78BB6EBF"/>
    <w:rsid w:val="78E0535F"/>
    <w:rsid w:val="79510D69"/>
    <w:rsid w:val="796E3276"/>
    <w:rsid w:val="797047F9"/>
    <w:rsid w:val="79971B8C"/>
    <w:rsid w:val="79A60095"/>
    <w:rsid w:val="79AE6F33"/>
    <w:rsid w:val="79CB6040"/>
    <w:rsid w:val="79D83D6B"/>
    <w:rsid w:val="79E14685"/>
    <w:rsid w:val="79EC7793"/>
    <w:rsid w:val="79F474F3"/>
    <w:rsid w:val="79FA3A50"/>
    <w:rsid w:val="7A177B99"/>
    <w:rsid w:val="7A2B1CD5"/>
    <w:rsid w:val="7A6413DB"/>
    <w:rsid w:val="7A704682"/>
    <w:rsid w:val="7A9E11E3"/>
    <w:rsid w:val="7AC22EBC"/>
    <w:rsid w:val="7AC55D77"/>
    <w:rsid w:val="7ADD4DDD"/>
    <w:rsid w:val="7B676F41"/>
    <w:rsid w:val="7B680E81"/>
    <w:rsid w:val="7BAB407F"/>
    <w:rsid w:val="7BB42002"/>
    <w:rsid w:val="7BDD197F"/>
    <w:rsid w:val="7BEE73E5"/>
    <w:rsid w:val="7C645CC9"/>
    <w:rsid w:val="7C685329"/>
    <w:rsid w:val="7C882F74"/>
    <w:rsid w:val="7C89629A"/>
    <w:rsid w:val="7C896437"/>
    <w:rsid w:val="7CE12918"/>
    <w:rsid w:val="7D033419"/>
    <w:rsid w:val="7D08766D"/>
    <w:rsid w:val="7D1C7999"/>
    <w:rsid w:val="7D4B6B6D"/>
    <w:rsid w:val="7DA51D7F"/>
    <w:rsid w:val="7DB00264"/>
    <w:rsid w:val="7E3822B0"/>
    <w:rsid w:val="7E6150E3"/>
    <w:rsid w:val="7E6B3474"/>
    <w:rsid w:val="7E8212A7"/>
    <w:rsid w:val="7E8C502E"/>
    <w:rsid w:val="7E947EBC"/>
    <w:rsid w:val="7ED12C56"/>
    <w:rsid w:val="7ED266C6"/>
    <w:rsid w:val="7EE87D8E"/>
    <w:rsid w:val="7F007821"/>
    <w:rsid w:val="7F13561D"/>
    <w:rsid w:val="7F392656"/>
    <w:rsid w:val="7F5A33BC"/>
    <w:rsid w:val="7F81063D"/>
    <w:rsid w:val="7FC6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7"/>
    <w:qFormat/>
    <w:uiPriority w:val="0"/>
    <w:pPr>
      <w:keepNext/>
      <w:keepLines/>
      <w:spacing w:line="576" w:lineRule="auto"/>
      <w:jc w:val="center"/>
      <w:outlineLvl w:val="0"/>
    </w:pPr>
    <w:rPr>
      <w:b/>
      <w:bCs/>
      <w:kern w:val="44"/>
      <w:sz w:val="44"/>
      <w:szCs w:val="44"/>
    </w:rPr>
  </w:style>
  <w:style w:type="paragraph" w:styleId="4">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qFormat/>
    <w:uiPriority w:val="0"/>
    <w:pPr>
      <w:autoSpaceDE w:val="0"/>
      <w:autoSpaceDN w:val="0"/>
      <w:adjustRightInd w:val="0"/>
      <w:spacing w:before="142" w:line="320" w:lineRule="exact"/>
      <w:ind w:left="-4" w:firstLine="2"/>
      <w:jc w:val="center"/>
      <w:outlineLvl w:val="2"/>
    </w:pPr>
    <w:rPr>
      <w:rFonts w:ascii="宋体" w:hAnsi="宋体"/>
      <w:b/>
      <w:color w:val="000000"/>
      <w:kern w:val="0"/>
      <w:szCs w:val="20"/>
      <w:lang w:val="en-GB"/>
    </w:rPr>
  </w:style>
  <w:style w:type="paragraph" w:styleId="6">
    <w:name w:val="heading 4"/>
    <w:basedOn w:val="1"/>
    <w:next w:val="1"/>
    <w:qFormat/>
    <w:uiPriority w:val="0"/>
    <w:pPr>
      <w:ind w:firstLine="680"/>
      <w:outlineLvl w:val="3"/>
    </w:pPr>
    <w:rPr>
      <w:rFonts w:ascii="宋体"/>
      <w:sz w:val="28"/>
      <w:szCs w:val="20"/>
    </w:rPr>
  </w:style>
  <w:style w:type="paragraph" w:styleId="7">
    <w:name w:val="heading 5"/>
    <w:basedOn w:val="1"/>
    <w:next w:val="1"/>
    <w:qFormat/>
    <w:uiPriority w:val="0"/>
    <w:pPr>
      <w:spacing w:before="120"/>
      <w:ind w:firstLine="540"/>
      <w:outlineLvl w:val="4"/>
    </w:pPr>
    <w:rPr>
      <w:rFonts w:ascii="宋体"/>
      <w:b/>
      <w:sz w:val="28"/>
      <w:szCs w:val="20"/>
    </w:rPr>
  </w:style>
  <w:style w:type="paragraph" w:styleId="8">
    <w:name w:val="heading 6"/>
    <w:basedOn w:val="1"/>
    <w:next w:val="1"/>
    <w:qFormat/>
    <w:uiPriority w:val="0"/>
    <w:pPr>
      <w:ind w:firstLine="680"/>
      <w:outlineLvl w:val="5"/>
    </w:pPr>
    <w:rPr>
      <w:sz w:val="28"/>
      <w:szCs w:val="20"/>
    </w:rPr>
  </w:style>
  <w:style w:type="paragraph" w:styleId="9">
    <w:name w:val="heading 7"/>
    <w:basedOn w:val="1"/>
    <w:next w:val="10"/>
    <w:qFormat/>
    <w:uiPriority w:val="0"/>
    <w:pPr>
      <w:keepNext/>
      <w:keepLines/>
      <w:spacing w:line="317" w:lineRule="auto"/>
      <w:outlineLvl w:val="6"/>
    </w:pPr>
    <w:rPr>
      <w:b/>
      <w:sz w:val="24"/>
    </w:rPr>
  </w:style>
  <w:style w:type="paragraph" w:styleId="11">
    <w:name w:val="heading 8"/>
    <w:basedOn w:val="1"/>
    <w:next w:val="10"/>
    <w:qFormat/>
    <w:uiPriority w:val="0"/>
    <w:pPr>
      <w:keepNext/>
      <w:keepLines/>
      <w:spacing w:line="317" w:lineRule="auto"/>
      <w:outlineLvl w:val="7"/>
    </w:pPr>
    <w:rPr>
      <w:rFonts w:ascii="Arial" w:hAnsi="Arial" w:eastAsia="黑体"/>
      <w:sz w:val="24"/>
    </w:rPr>
  </w:style>
  <w:style w:type="paragraph" w:styleId="12">
    <w:name w:val="heading 9"/>
    <w:basedOn w:val="1"/>
    <w:next w:val="10"/>
    <w:qFormat/>
    <w:uiPriority w:val="0"/>
    <w:pPr>
      <w:keepNext/>
      <w:keepLines/>
      <w:spacing w:line="317"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ind w:left="1232"/>
      <w:textAlignment w:val="baseline"/>
    </w:pPr>
    <w:rPr>
      <w:rFonts w:ascii="宋体" w:hAnsi="宋体" w:cs="宋体"/>
      <w:b/>
      <w:bCs/>
      <w:sz w:val="24"/>
      <w:lang w:val="zh-CN" w:bidi="zh-CN"/>
    </w:rPr>
  </w:style>
  <w:style w:type="paragraph" w:styleId="10">
    <w:name w:val="Normal Indent"/>
    <w:basedOn w:val="1"/>
    <w:qFormat/>
    <w:uiPriority w:val="0"/>
    <w:pPr>
      <w:ind w:firstLine="420" w:firstLineChars="200"/>
    </w:pPr>
  </w:style>
  <w:style w:type="paragraph" w:styleId="13">
    <w:name w:val="List 3"/>
    <w:basedOn w:val="1"/>
    <w:qFormat/>
    <w:uiPriority w:val="0"/>
    <w:pPr>
      <w:ind w:left="100" w:leftChars="400" w:hanging="200" w:hangingChars="200"/>
    </w:pPr>
  </w:style>
  <w:style w:type="paragraph" w:styleId="14">
    <w:name w:val="List Number"/>
    <w:basedOn w:val="1"/>
    <w:qFormat/>
    <w:uiPriority w:val="0"/>
    <w:pPr>
      <w:tabs>
        <w:tab w:val="left" w:pos="1080"/>
      </w:tabs>
      <w:ind w:left="1080" w:hanging="360"/>
    </w:p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139"/>
    <w:qFormat/>
    <w:uiPriority w:val="99"/>
    <w:pPr>
      <w:jc w:val="left"/>
    </w:pPr>
  </w:style>
  <w:style w:type="paragraph" w:styleId="18">
    <w:name w:val="Salutation"/>
    <w:basedOn w:val="1"/>
    <w:next w:val="1"/>
    <w:qFormat/>
    <w:uiPriority w:val="0"/>
    <w:pPr>
      <w:widowControl/>
      <w:ind w:right="-1090" w:firstLine="285"/>
    </w:pPr>
    <w:rPr>
      <w:rFonts w:ascii="Garamond" w:hAnsi="Garamond"/>
      <w:kern w:val="18"/>
      <w:szCs w:val="20"/>
    </w:rPr>
  </w:style>
  <w:style w:type="paragraph" w:styleId="19">
    <w:name w:val="Body Text 3"/>
    <w:basedOn w:val="1"/>
    <w:qFormat/>
    <w:uiPriority w:val="0"/>
    <w:pPr>
      <w:spacing w:line="500" w:lineRule="exact"/>
    </w:pPr>
    <w:rPr>
      <w:b/>
      <w:bCs/>
      <w:sz w:val="24"/>
    </w:rPr>
  </w:style>
  <w:style w:type="paragraph" w:styleId="20">
    <w:name w:val="Body Text"/>
    <w:basedOn w:val="1"/>
    <w:link w:val="109"/>
    <w:qFormat/>
    <w:uiPriority w:val="0"/>
    <w:pPr>
      <w:adjustRightInd w:val="0"/>
      <w:snapToGrid w:val="0"/>
      <w:spacing w:line="240" w:lineRule="atLeast"/>
      <w:jc w:val="center"/>
    </w:pPr>
    <w:rPr>
      <w:rFonts w:ascii="宋体" w:hAnsi="宋体"/>
      <w:color w:val="FF00FF"/>
      <w:szCs w:val="21"/>
    </w:rPr>
  </w:style>
  <w:style w:type="paragraph" w:styleId="21">
    <w:name w:val="Body Text Indent"/>
    <w:basedOn w:val="1"/>
    <w:qFormat/>
    <w:uiPriority w:val="0"/>
    <w:pPr>
      <w:spacing w:line="200" w:lineRule="exact"/>
      <w:ind w:firstLine="301"/>
    </w:pPr>
    <w:rPr>
      <w:rFonts w:ascii="宋体" w:hAnsi="Courier New"/>
      <w:spacing w:val="-4"/>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Plain Text"/>
    <w:basedOn w:val="1"/>
    <w:link w:val="112"/>
    <w:qFormat/>
    <w:uiPriority w:val="0"/>
    <w:rPr>
      <w:rFonts w:ascii="宋体" w:hAnsi="Courier New"/>
      <w:szCs w:val="20"/>
    </w:rPr>
  </w:style>
  <w:style w:type="paragraph" w:styleId="26">
    <w:name w:val="Date"/>
    <w:basedOn w:val="1"/>
    <w:next w:val="1"/>
    <w:link w:val="119"/>
    <w:qFormat/>
    <w:uiPriority w:val="0"/>
    <w:pPr>
      <w:ind w:left="100" w:leftChars="2500"/>
    </w:pPr>
    <w:rPr>
      <w:rFonts w:ascii="Tahoma" w:hAnsi="Tahoma"/>
      <w:spacing w:val="30"/>
      <w:sz w:val="28"/>
    </w:rPr>
  </w:style>
  <w:style w:type="paragraph" w:styleId="27">
    <w:name w:val="Body Text Indent 2"/>
    <w:basedOn w:val="1"/>
    <w:qFormat/>
    <w:uiPriority w:val="0"/>
    <w:pPr>
      <w:spacing w:line="400" w:lineRule="exact"/>
      <w:ind w:left="75"/>
    </w:pPr>
    <w:rPr>
      <w:rFonts w:ascii="宋体" w:hAnsi="宋体"/>
    </w:rPr>
  </w:style>
  <w:style w:type="paragraph" w:styleId="28">
    <w:name w:val="Balloon Text"/>
    <w:basedOn w:val="1"/>
    <w:qFormat/>
    <w:uiPriority w:val="0"/>
    <w:rPr>
      <w:sz w:val="18"/>
      <w:szCs w:val="18"/>
    </w:rPr>
  </w:style>
  <w:style w:type="paragraph" w:styleId="29">
    <w:name w:val="footer"/>
    <w:basedOn w:val="1"/>
    <w:link w:val="123"/>
    <w:qFormat/>
    <w:uiPriority w:val="99"/>
    <w:pPr>
      <w:tabs>
        <w:tab w:val="center" w:pos="4153"/>
        <w:tab w:val="right" w:pos="8306"/>
      </w:tabs>
      <w:snapToGrid w:val="0"/>
      <w:jc w:val="left"/>
    </w:pPr>
    <w:rPr>
      <w:rFonts w:ascii="宋体" w:hAnsi="Courier New"/>
      <w:sz w:val="18"/>
      <w:szCs w:val="20"/>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right" w:leader="dot" w:pos="9628"/>
      </w:tabs>
    </w:pPr>
    <w:rPr>
      <w:rFonts w:ascii="Calibri Light" w:hAnsi="Calibri Light"/>
      <w:b/>
      <w:color w:val="000000"/>
      <w:sz w:val="32"/>
      <w:szCs w:val="32"/>
    </w:rPr>
  </w:style>
  <w:style w:type="paragraph" w:styleId="32">
    <w:name w:val="List"/>
    <w:basedOn w:val="1"/>
    <w:qFormat/>
    <w:uiPriority w:val="0"/>
    <w:pPr>
      <w:ind w:left="200" w:hanging="200" w:hangingChars="200"/>
    </w:pPr>
  </w:style>
  <w:style w:type="paragraph" w:styleId="33">
    <w:name w:val="List 5"/>
    <w:basedOn w:val="1"/>
    <w:qFormat/>
    <w:uiPriority w:val="0"/>
    <w:pPr>
      <w:ind w:left="2100" w:hanging="420"/>
    </w:pPr>
    <w:rPr>
      <w:szCs w:val="20"/>
    </w:rPr>
  </w:style>
  <w:style w:type="paragraph" w:styleId="34">
    <w:name w:val="Body Text Indent 3"/>
    <w:basedOn w:val="1"/>
    <w:qFormat/>
    <w:uiPriority w:val="0"/>
    <w:pPr>
      <w:ind w:left="420" w:leftChars="200"/>
    </w:pPr>
    <w:rPr>
      <w:sz w:val="16"/>
      <w:szCs w:val="16"/>
    </w:rPr>
  </w:style>
  <w:style w:type="paragraph" w:styleId="35">
    <w:name w:val="index 9"/>
    <w:basedOn w:val="1"/>
    <w:next w:val="1"/>
    <w:qFormat/>
    <w:uiPriority w:val="0"/>
    <w:pPr>
      <w:ind w:left="1600" w:leftChars="1600"/>
    </w:pPr>
  </w:style>
  <w:style w:type="paragraph" w:styleId="36">
    <w:name w:val="toc 2"/>
    <w:basedOn w:val="1"/>
    <w:next w:val="1"/>
    <w:qFormat/>
    <w:uiPriority w:val="0"/>
    <w:pPr>
      <w:tabs>
        <w:tab w:val="right" w:leader="dot" w:pos="9061"/>
      </w:tabs>
      <w:ind w:left="300" w:leftChars="143"/>
      <w:jc w:val="center"/>
    </w:pPr>
    <w:rPr>
      <w:rFonts w:ascii="宋体" w:hAnsi="宋体"/>
      <w:b/>
      <w:smallCaps/>
      <w:color w:val="000000"/>
      <w:kern w:val="0"/>
      <w:sz w:val="24"/>
    </w:rPr>
  </w:style>
  <w:style w:type="paragraph" w:styleId="37">
    <w:name w:val="Body Text 2"/>
    <w:basedOn w:val="1"/>
    <w:qFormat/>
    <w:uiPriority w:val="0"/>
    <w:pPr>
      <w:spacing w:line="320" w:lineRule="exact"/>
    </w:pPr>
    <w:rPr>
      <w:rFonts w:ascii="宋体" w:hAnsi="宋体"/>
      <w:b/>
      <w:bCs/>
      <w:szCs w:val="21"/>
    </w:rPr>
  </w:style>
  <w:style w:type="paragraph" w:styleId="38">
    <w:name w:val="List 4"/>
    <w:basedOn w:val="1"/>
    <w:qFormat/>
    <w:uiPriority w:val="0"/>
    <w:pPr>
      <w:ind w:left="100" w:leftChars="600" w:hanging="200" w:hangingChars="200"/>
    </w:pPr>
  </w:style>
  <w:style w:type="paragraph" w:styleId="39">
    <w:name w:val="List Continue 2"/>
    <w:basedOn w:val="1"/>
    <w:qFormat/>
    <w:uiPriority w:val="0"/>
    <w:pPr>
      <w:ind w:left="840" w:leftChars="400"/>
    </w:p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1">
    <w:name w:val="Normal (Web)"/>
    <w:basedOn w:val="1"/>
    <w:qFormat/>
    <w:uiPriority w:val="0"/>
    <w:pPr>
      <w:widowControl/>
      <w:spacing w:beforeAutospacing="1" w:afterAutospacing="1"/>
      <w:jc w:val="left"/>
    </w:pPr>
    <w:rPr>
      <w:rFonts w:ascii="宋体" w:hAnsi="宋体"/>
      <w:color w:val="000000"/>
      <w:kern w:val="0"/>
      <w:sz w:val="24"/>
    </w:rPr>
  </w:style>
  <w:style w:type="paragraph" w:styleId="42">
    <w:name w:val="index 1"/>
    <w:basedOn w:val="1"/>
    <w:next w:val="1"/>
    <w:qFormat/>
    <w:uiPriority w:val="0"/>
    <w:pPr>
      <w:spacing w:line="400" w:lineRule="exact"/>
      <w:ind w:firstLine="420" w:firstLineChars="200"/>
    </w:pPr>
    <w:rPr>
      <w:rFonts w:ascii="宋体" w:hAnsi="Courier New"/>
      <w:b/>
      <w:szCs w:val="20"/>
    </w:rPr>
  </w:style>
  <w:style w:type="paragraph" w:styleId="43">
    <w:name w:val="Title"/>
    <w:basedOn w:val="1"/>
    <w:qFormat/>
    <w:uiPriority w:val="10"/>
    <w:pPr>
      <w:spacing w:before="240" w:after="60"/>
      <w:jc w:val="center"/>
      <w:outlineLvl w:val="0"/>
    </w:pPr>
    <w:rPr>
      <w:rFonts w:ascii="Cambria" w:hAnsi="Cambria"/>
      <w:b/>
      <w:bCs/>
      <w:sz w:val="32"/>
      <w:szCs w:val="32"/>
    </w:rPr>
  </w:style>
  <w:style w:type="paragraph" w:styleId="44">
    <w:name w:val="annotation subject"/>
    <w:basedOn w:val="17"/>
    <w:next w:val="17"/>
    <w:link w:val="140"/>
    <w:qFormat/>
    <w:uiPriority w:val="0"/>
    <w:rPr>
      <w:b/>
      <w:bCs/>
    </w:rPr>
  </w:style>
  <w:style w:type="paragraph" w:styleId="45">
    <w:name w:val="Body Text First Indent"/>
    <w:basedOn w:val="20"/>
    <w:qFormat/>
    <w:uiPriority w:val="0"/>
    <w:pPr>
      <w:adjustRightInd/>
      <w:snapToGrid/>
      <w:spacing w:line="240" w:lineRule="auto"/>
      <w:ind w:firstLine="420" w:firstLineChars="100"/>
      <w:jc w:val="both"/>
    </w:pPr>
    <w:rPr>
      <w:rFonts w:ascii="Times New Roman" w:hAnsi="Times New Roman"/>
      <w:color w:val="auto"/>
      <w:szCs w:val="24"/>
    </w:rPr>
  </w:style>
  <w:style w:type="paragraph" w:styleId="46">
    <w:name w:val="Body Text First Indent 2"/>
    <w:basedOn w:val="21"/>
    <w:qFormat/>
    <w:uiPriority w:val="0"/>
    <w:pPr>
      <w:spacing w:line="240" w:lineRule="auto"/>
      <w:ind w:left="420" w:leftChars="200" w:firstLine="420" w:firstLineChars="200"/>
    </w:pPr>
    <w:rPr>
      <w:rFonts w:ascii="Times New Roman" w:hAnsi="Times New Roman"/>
      <w:spacing w:val="0"/>
      <w:sz w:val="21"/>
      <w:szCs w:val="24"/>
    </w:rPr>
  </w:style>
  <w:style w:type="table" w:styleId="48">
    <w:name w:val="Table Grid"/>
    <w:basedOn w:val="4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rFonts w:ascii="Tahoma" w:hAnsi="Tahoma"/>
      <w:b/>
      <w:bCs/>
      <w:sz w:val="24"/>
      <w:szCs w:val="24"/>
    </w:rPr>
  </w:style>
  <w:style w:type="character" w:styleId="51">
    <w:name w:val="page number"/>
    <w:basedOn w:val="49"/>
    <w:qFormat/>
    <w:uiPriority w:val="0"/>
  </w:style>
  <w:style w:type="character" w:styleId="52">
    <w:name w:val="FollowedHyperlink"/>
    <w:qFormat/>
    <w:uiPriority w:val="0"/>
    <w:rPr>
      <w:rFonts w:ascii="Tahoma" w:hAnsi="Tahoma"/>
      <w:color w:val="800080"/>
      <w:sz w:val="24"/>
      <w:szCs w:val="24"/>
      <w:u w:val="single"/>
    </w:rPr>
  </w:style>
  <w:style w:type="character" w:styleId="53">
    <w:name w:val="Emphasis"/>
    <w:qFormat/>
    <w:uiPriority w:val="0"/>
    <w:rPr>
      <w:rFonts w:ascii="Tahoma" w:hAnsi="Tahoma"/>
      <w:i/>
      <w:iCs/>
      <w:sz w:val="24"/>
      <w:szCs w:val="24"/>
    </w:rPr>
  </w:style>
  <w:style w:type="character" w:styleId="54">
    <w:name w:val="Hyperlink"/>
    <w:qFormat/>
    <w:uiPriority w:val="0"/>
    <w:rPr>
      <w:rFonts w:ascii="Tahoma" w:hAnsi="Tahoma"/>
      <w:color w:val="0000FF"/>
      <w:sz w:val="24"/>
      <w:szCs w:val="24"/>
      <w:u w:val="single"/>
    </w:rPr>
  </w:style>
  <w:style w:type="character" w:styleId="55">
    <w:name w:val="annotation reference"/>
    <w:basedOn w:val="49"/>
    <w:qFormat/>
    <w:uiPriority w:val="99"/>
    <w:rPr>
      <w:sz w:val="21"/>
      <w:szCs w:val="21"/>
    </w:rPr>
  </w:style>
  <w:style w:type="paragraph" w:customStyle="1" w:styleId="56">
    <w:name w:val="默认段落字体 Para Char"/>
    <w:basedOn w:val="1"/>
    <w:qFormat/>
    <w:uiPriority w:val="0"/>
    <w:pPr>
      <w:adjustRightInd w:val="0"/>
      <w:spacing w:line="360" w:lineRule="auto"/>
    </w:pPr>
    <w:rPr>
      <w:kern w:val="0"/>
      <w:sz w:val="24"/>
      <w:szCs w:val="20"/>
    </w:rPr>
  </w:style>
  <w:style w:type="paragraph" w:customStyle="1" w:styleId="57">
    <w:name w:val="缺省文本"/>
    <w:basedOn w:val="1"/>
    <w:qFormat/>
    <w:uiPriority w:val="0"/>
    <w:pPr>
      <w:autoSpaceDE w:val="0"/>
      <w:autoSpaceDN w:val="0"/>
      <w:adjustRightInd w:val="0"/>
      <w:spacing w:line="360" w:lineRule="auto"/>
      <w:jc w:val="left"/>
    </w:pPr>
    <w:rPr>
      <w:kern w:val="0"/>
      <w:sz w:val="24"/>
      <w:szCs w:val="20"/>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customStyle="1" w:styleId="59">
    <w:name w:val="_Style 9"/>
    <w:basedOn w:val="1"/>
    <w:qFormat/>
    <w:uiPriority w:val="0"/>
    <w:rPr>
      <w:rFonts w:ascii="Tahoma" w:hAnsi="Tahoma"/>
      <w:sz w:val="24"/>
    </w:rPr>
  </w:style>
  <w:style w:type="paragraph" w:customStyle="1" w:styleId="60">
    <w:name w:val="列出段落1"/>
    <w:basedOn w:val="1"/>
    <w:qFormat/>
    <w:uiPriority w:val="0"/>
    <w:pPr>
      <w:ind w:firstLine="420" w:firstLineChars="200"/>
    </w:pPr>
    <w:rPr>
      <w:sz w:val="18"/>
      <w:szCs w:val="22"/>
    </w:rPr>
  </w:style>
  <w:style w:type="paragraph" w:customStyle="1" w:styleId="61">
    <w:name w:val="默认段落字体 Para Char Char Char Char Char Char Char Char Char1 Char Char Char Char"/>
    <w:basedOn w:val="1"/>
    <w:qFormat/>
    <w:uiPriority w:val="0"/>
    <w:rPr>
      <w:rFonts w:ascii="Tahoma" w:hAnsi="Tahoma"/>
      <w:sz w:val="24"/>
      <w:szCs w:val="20"/>
    </w:rPr>
  </w:style>
  <w:style w:type="paragraph" w:customStyle="1" w:styleId="62">
    <w:name w:val="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63">
    <w:name w:val="Char1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4">
    <w:name w:val="Char2"/>
    <w:basedOn w:val="1"/>
    <w:qFormat/>
    <w:uiPriority w:val="0"/>
    <w:pPr>
      <w:widowControl/>
      <w:spacing w:line="240" w:lineRule="exact"/>
      <w:jc w:val="left"/>
    </w:pPr>
    <w:rPr>
      <w:rFonts w:ascii="Verdana" w:hAnsi="Verdana"/>
      <w:kern w:val="0"/>
      <w:szCs w:val="20"/>
      <w:lang w:eastAsia="en-US"/>
    </w:rPr>
  </w:style>
  <w:style w:type="paragraph" w:customStyle="1" w:styleId="65">
    <w:name w:val="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66">
    <w:name w:val="样式 标题 3 + (中文) 黑体 小四 非加粗 段前: 7.8 磅 段后: 0 磅 行距: 固定值 20 磅"/>
    <w:basedOn w:val="5"/>
    <w:qFormat/>
    <w:uiPriority w:val="0"/>
    <w:pPr>
      <w:keepNext/>
      <w:keepLines/>
      <w:autoSpaceDE/>
      <w:autoSpaceDN/>
      <w:adjustRightInd/>
      <w:spacing w:line="400" w:lineRule="exact"/>
      <w:jc w:val="both"/>
    </w:pPr>
    <w:rPr>
      <w:rFonts w:ascii="Times New Roman" w:hAnsi="Times New Roman" w:eastAsia="黑体" w:cs="宋体"/>
      <w:b w:val="0"/>
      <w:color w:val="auto"/>
      <w:kern w:val="2"/>
      <w:sz w:val="24"/>
      <w:lang w:val="en-US"/>
    </w:rPr>
  </w:style>
  <w:style w:type="paragraph" w:customStyle="1" w:styleId="67">
    <w:name w:val="a9"/>
    <w:basedOn w:val="1"/>
    <w:qFormat/>
    <w:uiPriority w:val="0"/>
    <w:pPr>
      <w:widowControl/>
      <w:spacing w:beforeAutospacing="1" w:afterAutospacing="1"/>
      <w:jc w:val="left"/>
    </w:pPr>
    <w:rPr>
      <w:rFonts w:ascii="宋体" w:hAnsi="宋体" w:cs="宋体"/>
      <w:kern w:val="0"/>
      <w:sz w:val="24"/>
    </w:rPr>
  </w:style>
  <w:style w:type="paragraph" w:customStyle="1" w:styleId="68">
    <w:name w:val="样式1"/>
    <w:basedOn w:val="1"/>
    <w:qFormat/>
    <w:uiPriority w:val="0"/>
    <w:pPr>
      <w:spacing w:line="300" w:lineRule="auto"/>
    </w:pPr>
    <w:rPr>
      <w:rFonts w:ascii="宋体" w:hAnsi="宋体"/>
      <w:b/>
      <w:sz w:val="24"/>
      <w:szCs w:val="20"/>
    </w:rPr>
  </w:style>
  <w:style w:type="paragraph" w:customStyle="1" w:styleId="69">
    <w:name w:val="_Style 61"/>
    <w:basedOn w:val="1"/>
    <w:qFormat/>
    <w:uiPriority w:val="0"/>
    <w:pPr>
      <w:ind w:firstLine="420" w:firstLineChars="200"/>
    </w:pPr>
    <w:rPr>
      <w:rFonts w:ascii="Calibri" w:hAnsi="Calibri"/>
      <w:szCs w:val="22"/>
    </w:rPr>
  </w:style>
  <w:style w:type="paragraph" w:customStyle="1" w:styleId="70">
    <w:name w:val="p20"/>
    <w:basedOn w:val="1"/>
    <w:qFormat/>
    <w:uiPriority w:val="0"/>
    <w:rPr>
      <w:rFonts w:hint="eastAsia" w:ascii="宋体" w:hAnsi="宋体" w:cs="宋体"/>
      <w:kern w:val="0"/>
      <w:szCs w:val="21"/>
    </w:rPr>
  </w:style>
  <w:style w:type="paragraph" w:customStyle="1" w:styleId="71">
    <w:name w:val="次小点说明 Char"/>
    <w:basedOn w:val="10"/>
    <w:qFormat/>
    <w:uiPriority w:val="0"/>
    <w:pPr>
      <w:ind w:firstLine="0" w:firstLineChars="0"/>
    </w:pPr>
    <w:rPr>
      <w:sz w:val="24"/>
    </w:rPr>
  </w:style>
  <w:style w:type="paragraph" w:customStyle="1" w:styleId="72">
    <w:name w:val="p19"/>
    <w:basedOn w:val="1"/>
    <w:qFormat/>
    <w:uiPriority w:val="0"/>
    <w:pPr>
      <w:ind w:firstLine="420"/>
    </w:pPr>
    <w:rPr>
      <w:kern w:val="0"/>
      <w:szCs w:val="21"/>
    </w:rPr>
  </w:style>
  <w:style w:type="paragraph" w:customStyle="1" w:styleId="73">
    <w:name w:val="表内文字"/>
    <w:basedOn w:val="1"/>
    <w:qFormat/>
    <w:uiPriority w:val="0"/>
    <w:pPr>
      <w:snapToGrid w:val="0"/>
      <w:jc w:val="center"/>
    </w:pPr>
    <w:rPr>
      <w:rFonts w:ascii="仿宋_GB2312" w:hAnsi="宋体" w:eastAsia="仿宋_GB2312"/>
      <w:b/>
      <w:color w:val="000000"/>
      <w:sz w:val="32"/>
      <w:szCs w:val="32"/>
    </w:rPr>
  </w:style>
  <w:style w:type="paragraph" w:customStyle="1" w:styleId="74">
    <w:name w:val="样式"/>
    <w:link w:val="118"/>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Char1 Char Char Char"/>
    <w:basedOn w:val="1"/>
    <w:qFormat/>
    <w:uiPriority w:val="0"/>
  </w:style>
  <w:style w:type="paragraph" w:customStyle="1" w:styleId="76">
    <w:name w:val="Char Char Char Char Char Char Char Char Char Char Char Char Char Char Char Char"/>
    <w:basedOn w:val="1"/>
    <w:qFormat/>
    <w:uiPriority w:val="0"/>
    <w:pPr>
      <w:tabs>
        <w:tab w:val="left" w:pos="360"/>
      </w:tabs>
      <w:adjustRightInd w:val="0"/>
      <w:spacing w:line="360" w:lineRule="auto"/>
      <w:ind w:firstLine="360" w:firstLineChars="150"/>
      <w:textAlignment w:val="baseline"/>
    </w:pPr>
    <w:rPr>
      <w:rFonts w:ascii="宋体" w:hAnsi="宋体"/>
      <w:color w:val="000000"/>
      <w:kern w:val="0"/>
      <w:sz w:val="24"/>
      <w:szCs w:val="20"/>
    </w:rPr>
  </w:style>
  <w:style w:type="paragraph" w:customStyle="1" w:styleId="77">
    <w:name w:val="Char Char Char Char Char Char Char"/>
    <w:basedOn w:val="1"/>
    <w:qFormat/>
    <w:uiPriority w:val="0"/>
  </w:style>
  <w:style w:type="paragraph" w:customStyle="1" w:styleId="78">
    <w:name w:val="_Style 11"/>
    <w:basedOn w:val="1"/>
    <w:qFormat/>
    <w:uiPriority w:val="0"/>
    <w:rPr>
      <w:rFonts w:ascii="Tahoma" w:hAnsi="Tahoma"/>
      <w:sz w:val="24"/>
    </w:rPr>
  </w:style>
  <w:style w:type="paragraph" w:customStyle="1" w:styleId="79">
    <w:name w:val="Char1"/>
    <w:basedOn w:val="1"/>
    <w:qFormat/>
    <w:uiPriority w:val="0"/>
    <w:rPr>
      <w:szCs w:val="21"/>
    </w:rPr>
  </w:style>
  <w:style w:type="paragraph" w:customStyle="1" w:styleId="80">
    <w:name w:val="xl21"/>
    <w:basedOn w:val="1"/>
    <w:qFormat/>
    <w:uiPriority w:val="0"/>
    <w:pPr>
      <w:widowControl/>
      <w:spacing w:beforeAutospacing="1" w:afterAutospacing="1"/>
      <w:jc w:val="center"/>
    </w:pPr>
    <w:rPr>
      <w:rFonts w:ascii="宋体" w:hAnsi="宋体"/>
      <w:b/>
      <w:bCs/>
      <w:kern w:val="0"/>
      <w:sz w:val="28"/>
      <w:szCs w:val="28"/>
    </w:rPr>
  </w:style>
  <w:style w:type="paragraph" w:customStyle="1" w:styleId="81">
    <w:name w:val="p0"/>
    <w:basedOn w:val="1"/>
    <w:qFormat/>
    <w:uiPriority w:val="0"/>
    <w:pPr>
      <w:widowControl/>
    </w:pPr>
    <w:rPr>
      <w:kern w:val="0"/>
      <w:szCs w:val="21"/>
    </w:rPr>
  </w:style>
  <w:style w:type="paragraph" w:customStyle="1" w:styleId="82">
    <w:name w:val="Char Char Char Char Char Char1 Char"/>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Char"/>
    <w:basedOn w:val="1"/>
    <w:qFormat/>
    <w:uiPriority w:val="0"/>
    <w:pPr>
      <w:tabs>
        <w:tab w:val="left" w:pos="360"/>
      </w:tabs>
      <w:ind w:left="252" w:hanging="252" w:hangingChars="140"/>
    </w:pPr>
    <w:rPr>
      <w:rFonts w:ascii="宋体"/>
      <w:sz w:val="18"/>
      <w:szCs w:val="18"/>
    </w:rPr>
  </w:style>
  <w:style w:type="paragraph" w:customStyle="1" w:styleId="85">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86">
    <w:name w:val="p18"/>
    <w:basedOn w:val="1"/>
    <w:qFormat/>
    <w:uiPriority w:val="0"/>
    <w:pPr>
      <w:spacing w:line="280" w:lineRule="atLeast"/>
      <w:ind w:left="420"/>
      <w:jc w:val="left"/>
    </w:pPr>
    <w:rPr>
      <w:rFonts w:hint="eastAsia" w:ascii="宋体" w:hAnsi="宋体" w:cs="宋体"/>
      <w:spacing w:val="20"/>
      <w:kern w:val="0"/>
      <w:szCs w:val="21"/>
    </w:rPr>
  </w:style>
  <w:style w:type="paragraph" w:customStyle="1" w:styleId="87">
    <w:name w:val="2ji"/>
    <w:basedOn w:val="4"/>
    <w:qFormat/>
    <w:uiPriority w:val="0"/>
    <w:pPr>
      <w:adjustRightInd w:val="0"/>
      <w:spacing w:line="360" w:lineRule="auto"/>
      <w:textAlignment w:val="baseline"/>
    </w:pPr>
    <w:rPr>
      <w:rFonts w:ascii="宋体" w:hAnsi="宋体" w:eastAsia="宋体"/>
      <w:kern w:val="0"/>
      <w:sz w:val="21"/>
      <w:szCs w:val="21"/>
    </w:rPr>
  </w:style>
  <w:style w:type="paragraph" w:customStyle="1" w:styleId="88">
    <w:name w:val="正文段"/>
    <w:basedOn w:val="1"/>
    <w:qFormat/>
    <w:uiPriority w:val="0"/>
    <w:pPr>
      <w:widowControl/>
      <w:snapToGrid w:val="0"/>
      <w:spacing w:afterLines="50"/>
      <w:ind w:firstLine="200" w:firstLineChars="200"/>
    </w:pPr>
    <w:rPr>
      <w:kern w:val="0"/>
      <w:sz w:val="24"/>
      <w:szCs w:val="20"/>
    </w:rPr>
  </w:style>
  <w:style w:type="paragraph" w:customStyle="1" w:styleId="8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1"/>
    <w:basedOn w:val="1"/>
    <w:next w:val="25"/>
    <w:qFormat/>
    <w:uiPriority w:val="0"/>
    <w:rPr>
      <w:rFonts w:ascii="宋体" w:hAnsi="Courier New"/>
      <w:szCs w:val="20"/>
    </w:rPr>
  </w:style>
  <w:style w:type="paragraph" w:customStyle="1" w:styleId="91">
    <w:name w:val="p16"/>
    <w:basedOn w:val="1"/>
    <w:qFormat/>
    <w:uiPriority w:val="0"/>
    <w:pPr>
      <w:spacing w:line="360" w:lineRule="auto"/>
      <w:ind w:left="142"/>
    </w:pPr>
    <w:rPr>
      <w:rFonts w:hint="eastAsia" w:ascii="宋体" w:hAnsi="宋体" w:cs="宋体"/>
      <w:b/>
      <w:smallCaps/>
      <w:color w:val="000000"/>
      <w:spacing w:val="20"/>
      <w:kern w:val="0"/>
      <w:sz w:val="24"/>
    </w:rPr>
  </w:style>
  <w:style w:type="paragraph" w:customStyle="1" w:styleId="92">
    <w:name w:val="Char Char Char"/>
    <w:basedOn w:val="1"/>
    <w:qFormat/>
    <w:uiPriority w:val="0"/>
    <w:rPr>
      <w:rFonts w:ascii="Tahoma" w:hAnsi="Tahoma"/>
      <w:sz w:val="24"/>
      <w:szCs w:val="20"/>
    </w:rPr>
  </w:style>
  <w:style w:type="paragraph" w:customStyle="1" w:styleId="93">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94">
    <w:name w:val="Char3"/>
    <w:basedOn w:val="1"/>
    <w:qFormat/>
    <w:uiPriority w:val="0"/>
    <w:pPr>
      <w:snapToGrid w:val="0"/>
      <w:jc w:val="center"/>
      <w:outlineLvl w:val="0"/>
    </w:pPr>
    <w:rPr>
      <w:rFonts w:ascii="宋体" w:hAnsi="宋体"/>
      <w:szCs w:val="21"/>
    </w:rPr>
  </w:style>
  <w:style w:type="paragraph" w:customStyle="1" w:styleId="95">
    <w:name w:val="444"/>
    <w:basedOn w:val="1"/>
    <w:qFormat/>
    <w:uiPriority w:val="0"/>
    <w:pPr>
      <w:adjustRightInd w:val="0"/>
      <w:spacing w:line="312" w:lineRule="atLeast"/>
      <w:jc w:val="center"/>
      <w:textAlignment w:val="baseline"/>
    </w:pPr>
    <w:rPr>
      <w:b/>
      <w:kern w:val="0"/>
      <w:sz w:val="36"/>
      <w:szCs w:val="36"/>
    </w:rPr>
  </w:style>
  <w:style w:type="paragraph" w:customStyle="1" w:styleId="96">
    <w:name w:val="Char Char Char Char Char Char Char1"/>
    <w:basedOn w:val="1"/>
    <w:qFormat/>
    <w:uiPriority w:val="0"/>
    <w:pPr>
      <w:widowControl/>
      <w:jc w:val="left"/>
    </w:pPr>
    <w:rPr>
      <w:rFonts w:ascii="Tahoma" w:hAnsi="Tahoma"/>
      <w:sz w:val="24"/>
    </w:rPr>
  </w:style>
  <w:style w:type="paragraph" w:customStyle="1" w:styleId="97">
    <w:name w:val="表格"/>
    <w:basedOn w:val="1"/>
    <w:qFormat/>
    <w:uiPriority w:val="0"/>
    <w:pPr>
      <w:spacing w:line="400" w:lineRule="exact"/>
    </w:pPr>
    <w:rPr>
      <w:sz w:val="24"/>
    </w:rPr>
  </w:style>
  <w:style w:type="paragraph" w:customStyle="1" w:styleId="98">
    <w:name w:val="xl26"/>
    <w:basedOn w:val="1"/>
    <w:qFormat/>
    <w:uiPriority w:val="0"/>
    <w:pPr>
      <w:widowControl/>
      <w:pBdr>
        <w:left w:val="single" w:color="auto" w:sz="4" w:space="0"/>
        <w:bottom w:val="single" w:color="auto" w:sz="4" w:space="0"/>
        <w:right w:val="single" w:color="auto" w:sz="4" w:space="0"/>
      </w:pBdr>
      <w:spacing w:beforeAutospacing="1" w:afterAutospacing="1"/>
    </w:pPr>
    <w:rPr>
      <w:kern w:val="0"/>
      <w:szCs w:val="21"/>
    </w:rPr>
  </w:style>
  <w:style w:type="paragraph" w:customStyle="1" w:styleId="99">
    <w:name w:val="正文首行缩进两字符"/>
    <w:basedOn w:val="1"/>
    <w:qFormat/>
    <w:uiPriority w:val="0"/>
    <w:pPr>
      <w:spacing w:line="360" w:lineRule="auto"/>
      <w:ind w:firstLine="200" w:firstLineChars="200"/>
    </w:pPr>
  </w:style>
  <w:style w:type="paragraph" w:customStyle="1" w:styleId="100">
    <w:name w:val="1ji"/>
    <w:basedOn w:val="3"/>
    <w:link w:val="131"/>
    <w:qFormat/>
    <w:uiPriority w:val="0"/>
    <w:pPr>
      <w:keepLines w:val="0"/>
      <w:widowControl/>
      <w:spacing w:line="240" w:lineRule="auto"/>
    </w:pPr>
    <w:rPr>
      <w:rFonts w:ascii="宋体" w:hAnsi="宋体"/>
      <w:sz w:val="36"/>
    </w:rPr>
  </w:style>
  <w:style w:type="paragraph" w:customStyle="1" w:styleId="101">
    <w:name w:val="图"/>
    <w:basedOn w:val="1"/>
    <w:qFormat/>
    <w:uiPriority w:val="0"/>
    <w:pPr>
      <w:keepNext/>
      <w:adjustRightInd w:val="0"/>
      <w:snapToGrid w:val="0"/>
      <w:spacing w:line="300" w:lineRule="auto"/>
      <w:jc w:val="center"/>
    </w:pPr>
    <w:rPr>
      <w:spacing w:val="20"/>
      <w:kern w:val="0"/>
      <w:sz w:val="24"/>
      <w:szCs w:val="20"/>
    </w:rPr>
  </w:style>
  <w:style w:type="paragraph" w:customStyle="1" w:styleId="102">
    <w:name w:val="2-2ji"/>
    <w:basedOn w:val="4"/>
    <w:qFormat/>
    <w:uiPriority w:val="0"/>
    <w:pPr>
      <w:adjustRightInd w:val="0"/>
      <w:spacing w:line="360" w:lineRule="auto"/>
      <w:jc w:val="center"/>
      <w:textAlignment w:val="baseline"/>
    </w:pPr>
    <w:rPr>
      <w:rFonts w:ascii="宋体" w:hAnsi="宋体" w:eastAsia="宋体"/>
      <w:bCs w:val="0"/>
      <w:kern w:val="0"/>
      <w:sz w:val="36"/>
    </w:rPr>
  </w:style>
  <w:style w:type="paragraph" w:customStyle="1" w:styleId="10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04">
    <w:name w:val="_Style 20"/>
    <w:basedOn w:val="16"/>
    <w:qFormat/>
    <w:uiPriority w:val="0"/>
    <w:rPr>
      <w:rFonts w:ascii="Tahoma" w:hAnsi="Tahoma"/>
      <w:sz w:val="24"/>
    </w:rPr>
  </w:style>
  <w:style w:type="character" w:customStyle="1" w:styleId="105">
    <w:name w:val="10"/>
    <w:qFormat/>
    <w:uiPriority w:val="0"/>
    <w:rPr>
      <w:rFonts w:hint="default" w:ascii="Times New Roman" w:hAnsi="Times New Roman" w:cs="Times New Roman"/>
      <w:sz w:val="24"/>
      <w:szCs w:val="24"/>
    </w:rPr>
  </w:style>
  <w:style w:type="character" w:customStyle="1" w:styleId="106">
    <w:name w:val="font11"/>
    <w:qFormat/>
    <w:uiPriority w:val="0"/>
    <w:rPr>
      <w:rFonts w:hint="eastAsia" w:ascii="宋体" w:hAnsi="宋体" w:eastAsia="宋体" w:cs="宋体"/>
      <w:color w:val="000000"/>
      <w:sz w:val="20"/>
      <w:szCs w:val="20"/>
    </w:rPr>
  </w:style>
  <w:style w:type="character" w:customStyle="1" w:styleId="107">
    <w:name w:val="text11"/>
    <w:qFormat/>
    <w:uiPriority w:val="0"/>
    <w:rPr>
      <w:rFonts w:hint="default" w:ascii="Verdana" w:hAnsi="Verdana"/>
      <w:color w:val="4E4E4E"/>
      <w:sz w:val="18"/>
      <w:szCs w:val="18"/>
    </w:rPr>
  </w:style>
  <w:style w:type="character" w:customStyle="1" w:styleId="108">
    <w:name w:val="页眉 Char Char"/>
    <w:qFormat/>
    <w:uiPriority w:val="0"/>
    <w:rPr>
      <w:rFonts w:ascii="Tahoma" w:hAnsi="Tahoma"/>
      <w:sz w:val="18"/>
      <w:szCs w:val="18"/>
    </w:rPr>
  </w:style>
  <w:style w:type="character" w:customStyle="1" w:styleId="109">
    <w:name w:val="正文文本 Char"/>
    <w:link w:val="20"/>
    <w:qFormat/>
    <w:uiPriority w:val="0"/>
    <w:rPr>
      <w:rFonts w:ascii="宋体" w:hAnsi="宋体"/>
      <w:color w:val="FF00FF"/>
      <w:kern w:val="2"/>
      <w:sz w:val="21"/>
      <w:szCs w:val="21"/>
    </w:rPr>
  </w:style>
  <w:style w:type="character" w:customStyle="1" w:styleId="110">
    <w:name w:val="graytext1"/>
    <w:qFormat/>
    <w:uiPriority w:val="0"/>
    <w:rPr>
      <w:rFonts w:ascii="Tahoma" w:hAnsi="Tahoma"/>
      <w:color w:val="666666"/>
      <w:sz w:val="24"/>
      <w:szCs w:val="24"/>
    </w:rPr>
  </w:style>
  <w:style w:type="character" w:customStyle="1" w:styleId="111">
    <w:name w:val="062"/>
    <w:qFormat/>
    <w:uiPriority w:val="0"/>
    <w:rPr>
      <w:rFonts w:ascii="宋体" w:hAnsi="宋体"/>
      <w:b/>
      <w:bCs/>
      <w:sz w:val="32"/>
      <w:szCs w:val="24"/>
    </w:rPr>
  </w:style>
  <w:style w:type="character" w:customStyle="1" w:styleId="112">
    <w:name w:val="纯文本 Char"/>
    <w:link w:val="25"/>
    <w:qFormat/>
    <w:uiPriority w:val="0"/>
    <w:rPr>
      <w:rFonts w:ascii="宋体" w:hAnsi="Courier New"/>
      <w:kern w:val="2"/>
      <w:sz w:val="21"/>
    </w:rPr>
  </w:style>
  <w:style w:type="character" w:customStyle="1" w:styleId="113">
    <w:name w:val="1051"/>
    <w:qFormat/>
    <w:uiPriority w:val="0"/>
    <w:rPr>
      <w:rFonts w:ascii="Tahoma" w:hAnsi="Tahoma"/>
      <w:sz w:val="21"/>
      <w:szCs w:val="21"/>
    </w:rPr>
  </w:style>
  <w:style w:type="character" w:customStyle="1" w:styleId="114">
    <w:name w:val="gray12"/>
    <w:basedOn w:val="49"/>
    <w:qFormat/>
    <w:uiPriority w:val="0"/>
  </w:style>
  <w:style w:type="character" w:customStyle="1" w:styleId="115">
    <w:name w:val="small"/>
    <w:basedOn w:val="49"/>
    <w:qFormat/>
    <w:uiPriority w:val="0"/>
  </w:style>
  <w:style w:type="character" w:customStyle="1" w:styleId="116">
    <w:name w:val="style81"/>
    <w:qFormat/>
    <w:uiPriority w:val="0"/>
    <w:rPr>
      <w:rFonts w:ascii="Tahoma" w:hAnsi="Tahoma"/>
      <w:sz w:val="21"/>
      <w:szCs w:val="21"/>
    </w:rPr>
  </w:style>
  <w:style w:type="character" w:customStyle="1" w:styleId="117">
    <w:name w:val="15"/>
    <w:qFormat/>
    <w:uiPriority w:val="0"/>
    <w:rPr>
      <w:rFonts w:hint="default" w:ascii="Times New Roman" w:hAnsi="Times New Roman" w:cs="Times New Roman"/>
      <w:sz w:val="24"/>
      <w:szCs w:val="24"/>
    </w:rPr>
  </w:style>
  <w:style w:type="character" w:customStyle="1" w:styleId="118">
    <w:name w:val="样式 Char"/>
    <w:link w:val="74"/>
    <w:qFormat/>
    <w:uiPriority w:val="0"/>
    <w:rPr>
      <w:rFonts w:ascii="宋体" w:hAnsi="宋体" w:cs="宋体"/>
      <w:sz w:val="24"/>
      <w:szCs w:val="24"/>
      <w:lang w:val="en-US" w:eastAsia="zh-CN" w:bidi="ar-SA"/>
    </w:rPr>
  </w:style>
  <w:style w:type="character" w:customStyle="1" w:styleId="119">
    <w:name w:val="日期 Char"/>
    <w:link w:val="26"/>
    <w:qFormat/>
    <w:uiPriority w:val="0"/>
    <w:rPr>
      <w:rFonts w:ascii="Tahoma" w:hAnsi="Tahoma" w:eastAsia="宋体"/>
      <w:spacing w:val="30"/>
      <w:kern w:val="2"/>
      <w:sz w:val="28"/>
      <w:szCs w:val="24"/>
      <w:lang w:val="en-US" w:eastAsia="zh-CN" w:bidi="ar-SA"/>
    </w:rPr>
  </w:style>
  <w:style w:type="character" w:customStyle="1" w:styleId="120">
    <w:name w:val="white"/>
    <w:basedOn w:val="49"/>
    <w:qFormat/>
    <w:uiPriority w:val="0"/>
  </w:style>
  <w:style w:type="character" w:customStyle="1" w:styleId="121">
    <w:name w:val="case31"/>
    <w:qFormat/>
    <w:uiPriority w:val="0"/>
    <w:rPr>
      <w:rFonts w:hint="default" w:ascii="_x000B__x000C_" w:hAnsi="_x000B__x000C_"/>
      <w:sz w:val="21"/>
      <w:szCs w:val="21"/>
    </w:rPr>
  </w:style>
  <w:style w:type="character" w:customStyle="1" w:styleId="122">
    <w:name w:val="mark"/>
    <w:basedOn w:val="49"/>
    <w:qFormat/>
    <w:uiPriority w:val="0"/>
  </w:style>
  <w:style w:type="character" w:customStyle="1" w:styleId="123">
    <w:name w:val="页脚 Char"/>
    <w:link w:val="29"/>
    <w:qFormat/>
    <w:uiPriority w:val="99"/>
    <w:rPr>
      <w:rFonts w:ascii="宋体" w:hAnsi="Courier New"/>
      <w:kern w:val="2"/>
      <w:sz w:val="18"/>
    </w:rPr>
  </w:style>
  <w:style w:type="character" w:customStyle="1" w:styleId="124">
    <w:name w:val="ca-21"/>
    <w:qFormat/>
    <w:uiPriority w:val="0"/>
    <w:rPr>
      <w:rFonts w:hint="eastAsia" w:ascii="宋体-18030" w:hAnsi="宋体-18030" w:eastAsia="宋体-18030" w:cs="宋体-18030"/>
      <w:sz w:val="24"/>
      <w:szCs w:val="24"/>
    </w:rPr>
  </w:style>
  <w:style w:type="character" w:customStyle="1" w:styleId="125">
    <w:name w:val="search_content1"/>
    <w:qFormat/>
    <w:uiPriority w:val="0"/>
    <w:rPr>
      <w:rFonts w:ascii="Tahoma" w:hAnsi="Tahoma"/>
      <w:sz w:val="20"/>
      <w:szCs w:val="20"/>
    </w:rPr>
  </w:style>
  <w:style w:type="character" w:customStyle="1" w:styleId="126">
    <w:name w:val="ca-11"/>
    <w:qFormat/>
    <w:uiPriority w:val="0"/>
    <w:rPr>
      <w:rFonts w:hint="eastAsia" w:ascii="宋体" w:hAnsi="宋体" w:eastAsia="宋体"/>
      <w:sz w:val="24"/>
      <w:szCs w:val="24"/>
    </w:rPr>
  </w:style>
  <w:style w:type="character" w:customStyle="1" w:styleId="127">
    <w:name w:val="纯文本 Char1"/>
    <w:qFormat/>
    <w:uiPriority w:val="0"/>
    <w:rPr>
      <w:rFonts w:ascii="宋体" w:hAnsi="Courier New" w:eastAsia="宋体"/>
      <w:kern w:val="2"/>
      <w:sz w:val="21"/>
      <w:szCs w:val="24"/>
      <w:lang w:val="en-US" w:eastAsia="zh-CN" w:bidi="ar-SA"/>
    </w:rPr>
  </w:style>
  <w:style w:type="character" w:customStyle="1" w:styleId="128">
    <w:name w:val="font01"/>
    <w:qFormat/>
    <w:uiPriority w:val="0"/>
    <w:rPr>
      <w:rFonts w:hint="default" w:ascii="Arial" w:hAnsi="Arial" w:cs="Arial"/>
      <w:color w:val="000000"/>
      <w:sz w:val="24"/>
      <w:szCs w:val="24"/>
      <w:u w:val="none"/>
    </w:rPr>
  </w:style>
  <w:style w:type="character" w:customStyle="1" w:styleId="129">
    <w:name w:val="页脚 Char Char"/>
    <w:qFormat/>
    <w:uiPriority w:val="0"/>
    <w:rPr>
      <w:rFonts w:ascii="Tahoma" w:hAnsi="Tahoma"/>
      <w:sz w:val="18"/>
      <w:szCs w:val="18"/>
    </w:rPr>
  </w:style>
  <w:style w:type="character" w:customStyle="1" w:styleId="130">
    <w:name w:val="style11"/>
    <w:qFormat/>
    <w:uiPriority w:val="0"/>
    <w:rPr>
      <w:rFonts w:hint="default" w:ascii="Arial" w:hAnsi="Arial" w:cs="Arial"/>
      <w:sz w:val="24"/>
      <w:szCs w:val="24"/>
    </w:rPr>
  </w:style>
  <w:style w:type="character" w:customStyle="1" w:styleId="131">
    <w:name w:val="1ji Char Char"/>
    <w:link w:val="100"/>
    <w:qFormat/>
    <w:uiPriority w:val="0"/>
    <w:rPr>
      <w:rFonts w:ascii="宋体" w:hAnsi="宋体" w:eastAsia="宋体"/>
      <w:b/>
      <w:bCs/>
      <w:kern w:val="44"/>
      <w:sz w:val="36"/>
      <w:szCs w:val="44"/>
      <w:lang w:val="en-US" w:eastAsia="zh-CN" w:bidi="ar-SA"/>
    </w:rPr>
  </w:style>
  <w:style w:type="character" w:customStyle="1" w:styleId="132">
    <w:name w:val="font21"/>
    <w:qFormat/>
    <w:uiPriority w:val="0"/>
    <w:rPr>
      <w:rFonts w:hint="eastAsia" w:ascii="宋体" w:hAnsi="宋体" w:eastAsia="宋体"/>
      <w:color w:val="000000"/>
      <w:sz w:val="24"/>
      <w:szCs w:val="24"/>
      <w:u w:val="none"/>
    </w:rPr>
  </w:style>
  <w:style w:type="character" w:customStyle="1" w:styleId="133">
    <w:name w:val="批注框文本 Char Char"/>
    <w:qFormat/>
    <w:uiPriority w:val="0"/>
    <w:rPr>
      <w:rFonts w:ascii="Tahoma" w:hAnsi="Tahoma"/>
      <w:sz w:val="18"/>
      <w:szCs w:val="18"/>
    </w:rPr>
  </w:style>
  <w:style w:type="paragraph" w:customStyle="1" w:styleId="134">
    <w:name w:val="列出段落21"/>
    <w:basedOn w:val="1"/>
    <w:qFormat/>
    <w:uiPriority w:val="99"/>
    <w:pPr>
      <w:ind w:firstLine="420" w:firstLineChars="200"/>
    </w:pPr>
  </w:style>
  <w:style w:type="paragraph" w:customStyle="1" w:styleId="135">
    <w:name w:val="潘"/>
    <w:basedOn w:val="1"/>
    <w:qFormat/>
    <w:uiPriority w:val="0"/>
    <w:pPr>
      <w:spacing w:line="240" w:lineRule="atLeast"/>
    </w:pPr>
    <w:rPr>
      <w:rFonts w:ascii="Arial" w:hAnsi="Arial" w:cs="Arial"/>
      <w:b/>
      <w:bCs/>
      <w:szCs w:val="21"/>
    </w:rPr>
  </w:style>
  <w:style w:type="paragraph" w:styleId="136">
    <w:name w:val="List Paragraph"/>
    <w:basedOn w:val="1"/>
    <w:qFormat/>
    <w:uiPriority w:val="34"/>
    <w:pPr>
      <w:ind w:firstLine="420" w:firstLineChars="200"/>
    </w:pPr>
    <w:rPr>
      <w:rFonts w:ascii="Calibri" w:hAnsi="Calibri"/>
    </w:rPr>
  </w:style>
  <w:style w:type="character" w:customStyle="1" w:styleId="137">
    <w:name w:val="标题 1 Char"/>
    <w:link w:val="3"/>
    <w:qFormat/>
    <w:uiPriority w:val="0"/>
    <w:rPr>
      <w:b/>
      <w:bCs/>
      <w:kern w:val="44"/>
      <w:sz w:val="44"/>
      <w:szCs w:val="44"/>
    </w:rPr>
  </w:style>
  <w:style w:type="paragraph" w:customStyle="1" w:styleId="138">
    <w:name w:val="正文(首行缩进)"/>
    <w:basedOn w:val="1"/>
    <w:qFormat/>
    <w:uiPriority w:val="0"/>
    <w:pPr>
      <w:spacing w:line="360" w:lineRule="auto"/>
      <w:ind w:firstLine="200"/>
    </w:pPr>
    <w:rPr>
      <w:rFonts w:ascii="Arial Narrow" w:hAnsi="Arial Narrow"/>
      <w:sz w:val="24"/>
    </w:rPr>
  </w:style>
  <w:style w:type="character" w:customStyle="1" w:styleId="139">
    <w:name w:val="批注文字 Char"/>
    <w:basedOn w:val="49"/>
    <w:link w:val="17"/>
    <w:qFormat/>
    <w:uiPriority w:val="99"/>
    <w:rPr>
      <w:rFonts w:ascii="Times New Roman" w:hAnsi="Times New Roman" w:eastAsia="宋体" w:cs="Times New Roman"/>
      <w:kern w:val="2"/>
      <w:sz w:val="21"/>
      <w:szCs w:val="24"/>
    </w:rPr>
  </w:style>
  <w:style w:type="character" w:customStyle="1" w:styleId="140">
    <w:name w:val="批注主题 Char"/>
    <w:basedOn w:val="139"/>
    <w:link w:val="44"/>
    <w:qFormat/>
    <w:uiPriority w:val="0"/>
    <w:rPr>
      <w:rFonts w:ascii="Times New Roman" w:hAnsi="Times New Roman" w:eastAsia="宋体" w:cs="Times New Roman"/>
      <w:b/>
      <w:bCs/>
      <w:kern w:val="2"/>
      <w:sz w:val="21"/>
      <w:szCs w:val="24"/>
    </w:rPr>
  </w:style>
  <w:style w:type="character" w:customStyle="1" w:styleId="141">
    <w:name w:val="纯文本 字符1"/>
    <w:qFormat/>
    <w:uiPriority w:val="0"/>
    <w:rPr>
      <w:rFonts w:ascii="宋体" w:hAnsi="Courier New" w:eastAsia="宋体"/>
    </w:rPr>
  </w:style>
  <w:style w:type="paragraph" w:customStyle="1" w:styleId="142">
    <w:name w:val="Table Paragraph"/>
    <w:basedOn w:val="1"/>
    <w:qFormat/>
    <w:uiPriority w:val="1"/>
    <w:rPr>
      <w:rFonts w:ascii="宋体" w:hAnsi="宋体" w:cs="宋体"/>
      <w:lang w:val="zh-CN" w:bidi="zh-CN"/>
    </w:rPr>
  </w:style>
  <w:style w:type="character" w:customStyle="1" w:styleId="143">
    <w:name w:val="font121"/>
    <w:basedOn w:val="49"/>
    <w:qFormat/>
    <w:uiPriority w:val="0"/>
    <w:rPr>
      <w:rFonts w:hint="eastAsia" w:ascii="宋体" w:hAnsi="宋体" w:eastAsia="宋体" w:cs="宋体"/>
      <w:color w:val="000000"/>
      <w:sz w:val="20"/>
      <w:szCs w:val="20"/>
      <w:u w:val="none"/>
    </w:rPr>
  </w:style>
  <w:style w:type="paragraph" w:customStyle="1" w:styleId="144">
    <w:name w:val="WPSOffice手动目录 1"/>
    <w:qFormat/>
    <w:uiPriority w:val="0"/>
    <w:rPr>
      <w:rFonts w:asciiTheme="minorHAnsi" w:hAnsiTheme="minorHAnsi" w:eastAsiaTheme="minorEastAsia" w:cstheme="minorBidi"/>
      <w:lang w:val="en-US" w:eastAsia="zh-CN" w:bidi="ar-SA"/>
    </w:rPr>
  </w:style>
  <w:style w:type="paragraph" w:customStyle="1" w:styleId="145">
    <w:name w:val="章标题"/>
    <w:next w:val="1"/>
    <w:qFormat/>
    <w:uiPriority w:val="0"/>
    <w:pPr>
      <w:tabs>
        <w:tab w:val="left" w:pos="1410"/>
      </w:tabs>
      <w:spacing w:beforeLines="50" w:afterLines="50"/>
      <w:ind w:left="1410" w:hanging="720"/>
      <w:jc w:val="both"/>
      <w:outlineLvl w:val="1"/>
    </w:pPr>
    <w:rPr>
      <w:rFonts w:ascii="黑体" w:hAnsi="Times New Roman" w:eastAsia="黑体" w:cs="Times New Roman"/>
      <w:sz w:val="21"/>
      <w:lang w:val="en-US" w:eastAsia="zh-CN" w:bidi="ar-SA"/>
    </w:rPr>
  </w:style>
  <w:style w:type="paragraph" w:customStyle="1" w:styleId="146">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147">
    <w:name w:val="BodyText"/>
    <w:basedOn w:val="1"/>
    <w:qFormat/>
    <w:uiPriority w:val="0"/>
    <w:pPr>
      <w:spacing w:line="380" w:lineRule="exact"/>
      <w:textAlignment w:val="baseline"/>
    </w:pPr>
    <w:rPr>
      <w:kern w:val="0"/>
      <w:sz w:val="24"/>
    </w:rPr>
  </w:style>
  <w:style w:type="character" w:customStyle="1" w:styleId="148">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xp</Company>
  <Pages>68</Pages>
  <Words>7378</Words>
  <Characters>42061</Characters>
  <Lines>350</Lines>
  <Paragraphs>98</Paragraphs>
  <TotalTime>52</TotalTime>
  <ScaleCrop>false</ScaleCrop>
  <LinksUpToDate>false</LinksUpToDate>
  <CharactersWithSpaces>49341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2020-05-04T09:59:00Z</dcterms:created>
  <dc:creator>weimei ge</dc:creator>
  <cp:lastModifiedBy>窗边的小豆豆</cp:lastModifiedBy>
  <cp:lastPrinted>2018-07-03T08:51:00Z</cp:lastPrinted>
  <dcterms:modified xsi:type="dcterms:W3CDTF">2020-05-18T09:22:59Z</dcterms:modified>
  <dc:title>鑫磐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