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宋体"/>
          <w:color w:val="auto"/>
          <w:sz w:val="32"/>
          <w:szCs w:val="32"/>
          <w:highlight w:val="none"/>
        </w:rPr>
      </w:pPr>
      <w:r>
        <w:rPr>
          <w:rFonts w:hint="eastAsia"/>
          <w:color w:val="auto"/>
          <w:highlight w:val="none"/>
        </w:rPr>
        <w:drawing>
          <wp:anchor distT="0" distB="0" distL="114300" distR="114300" simplePos="0" relativeHeight="251660288" behindDoc="0" locked="0" layoutInCell="1" allowOverlap="1">
            <wp:simplePos x="0" y="0"/>
            <wp:positionH relativeFrom="column">
              <wp:posOffset>79375</wp:posOffset>
            </wp:positionH>
            <wp:positionV relativeFrom="paragraph">
              <wp:posOffset>12065</wp:posOffset>
            </wp:positionV>
            <wp:extent cx="5644515" cy="1856740"/>
            <wp:effectExtent l="0" t="0" r="13335" b="10160"/>
            <wp:wrapNone/>
            <wp:docPr id="7" name="图片 5" descr="ba8b8434a1eccf8278aef83974b46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ba8b8434a1eccf8278aef83974b46cd"/>
                    <pic:cNvPicPr>
                      <a:picLocks noChangeAspect="1"/>
                    </pic:cNvPicPr>
                  </pic:nvPicPr>
                  <pic:blipFill>
                    <a:blip r:embed="rId9"/>
                    <a:stretch>
                      <a:fillRect/>
                    </a:stretch>
                  </pic:blipFill>
                  <pic:spPr>
                    <a:xfrm>
                      <a:off x="0" y="0"/>
                      <a:ext cx="5644515" cy="1856740"/>
                    </a:xfrm>
                    <a:prstGeom prst="rect">
                      <a:avLst/>
                    </a:prstGeom>
                    <a:noFill/>
                    <a:ln>
                      <a:noFill/>
                    </a:ln>
                  </pic:spPr>
                </pic:pic>
              </a:graphicData>
            </a:graphic>
          </wp:anchor>
        </w:drawing>
      </w:r>
    </w:p>
    <w:p>
      <w:pPr>
        <w:spacing w:line="600" w:lineRule="exact"/>
        <w:jc w:val="center"/>
        <w:rPr>
          <w:rFonts w:ascii="宋体" w:hAnsi="宋体" w:cs="宋体"/>
          <w:color w:val="auto"/>
          <w:sz w:val="32"/>
          <w:szCs w:val="32"/>
          <w:highlight w:val="none"/>
        </w:rPr>
      </w:pPr>
    </w:p>
    <w:p>
      <w:pPr>
        <w:spacing w:before="120" w:beforeLines="50"/>
        <w:jc w:val="center"/>
        <w:rPr>
          <w:rFonts w:ascii="宋体" w:hAnsi="宋体" w:cs="宋体"/>
          <w:b/>
          <w:color w:val="auto"/>
          <w:sz w:val="48"/>
          <w:szCs w:val="48"/>
          <w:highlight w:val="none"/>
        </w:rPr>
      </w:pPr>
    </w:p>
    <w:p>
      <w:pPr>
        <w:spacing w:before="120" w:beforeLines="50"/>
        <w:jc w:val="center"/>
        <w:rPr>
          <w:rFonts w:ascii="宋体" w:hAnsi="宋体" w:cs="宋体"/>
          <w:b/>
          <w:color w:val="auto"/>
          <w:sz w:val="48"/>
          <w:szCs w:val="48"/>
          <w:highlight w:val="none"/>
        </w:rPr>
      </w:pPr>
    </w:p>
    <w:p>
      <w:pPr>
        <w:spacing w:before="120" w:beforeLines="50" w:line="1000" w:lineRule="exact"/>
        <w:jc w:val="center"/>
        <w:rPr>
          <w:rFonts w:ascii="宋体" w:hAnsi="宋体" w:cs="宋体"/>
          <w:color w:val="auto"/>
          <w:sz w:val="72"/>
          <w:szCs w:val="72"/>
          <w:highlight w:val="none"/>
        </w:rPr>
      </w:pPr>
      <w:r>
        <w:rPr>
          <w:rFonts w:hAnsi="宋体" w:cs="宋体"/>
          <w:color w:val="auto"/>
          <w:sz w:val="28"/>
          <w:highlight w:val="none"/>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625475</wp:posOffset>
                </wp:positionV>
                <wp:extent cx="6105525" cy="28575"/>
                <wp:effectExtent l="0" t="31750" r="9525" b="34925"/>
                <wp:wrapNone/>
                <wp:docPr id="4" name="直接箭头连接符 4"/>
                <wp:cNvGraphicFramePr/>
                <a:graphic xmlns:a="http://schemas.openxmlformats.org/drawingml/2006/main">
                  <a:graphicData uri="http://schemas.microsoft.com/office/word/2010/wordprocessingShape">
                    <wps:wsp>
                      <wps:cNvCnPr/>
                      <wps:spPr>
                        <a:xfrm>
                          <a:off x="0" y="0"/>
                          <a:ext cx="6105525" cy="28575"/>
                        </a:xfrm>
                        <a:prstGeom prst="straightConnector1">
                          <a:avLst/>
                        </a:prstGeom>
                        <a:ln w="63500" cap="flat" cmpd="tri">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pt;margin-top:49.25pt;height:2.25pt;width:480.75pt;z-index:251658240;mso-width-relative:page;mso-height-relative:page;" filled="f" stroked="t" coordsize="21600,21600" o:gfxdata="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&#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L313zYAAAACgEAAA8AAAAAAAAAAQAgAAAAIgAAAGRy&#10;cy9kb3ducmV2LnhtbFBLAQIUABQAAAAIAIdO4kAObpYHBQIAAP8DAAAOAAAAAAAAAAEAIAAAACcB&#10;AABkcnMvZTJvRG9jLnhtbFBLBQYAAAAABgAGAFkBAACeBQAAAAA=&#10;">
                <v:fill on="f" focussize="0,0"/>
                <v:stroke weight="5pt" color="#000000" linestyle="thickBetweenThin" joinstyle="round"/>
                <v:imagedata o:title=""/>
                <o:lock v:ext="edit" aspectratio="f"/>
              </v:shape>
            </w:pict>
          </mc:Fallback>
        </mc:AlternateContent>
      </w:r>
    </w:p>
    <w:p>
      <w:pPr>
        <w:spacing w:before="120" w:beforeLines="50" w:line="1000" w:lineRule="exact"/>
        <w:jc w:val="center"/>
        <w:rPr>
          <w:rFonts w:ascii="宋体" w:hAnsi="宋体" w:cs="宋体"/>
          <w:color w:val="auto"/>
          <w:sz w:val="72"/>
          <w:szCs w:val="72"/>
          <w:highlight w:val="none"/>
        </w:rPr>
      </w:pPr>
    </w:p>
    <w:p>
      <w:pPr>
        <w:spacing w:before="120" w:beforeLines="50" w:line="1000" w:lineRule="exact"/>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竞争性谈判采购文件</w:t>
      </w:r>
    </w:p>
    <w:p>
      <w:pPr>
        <w:snapToGrid w:val="0"/>
        <w:spacing w:before="120" w:beforeLines="50" w:line="360" w:lineRule="auto"/>
        <w:rPr>
          <w:rFonts w:ascii="宋体" w:hAnsi="宋体" w:cs="宋体"/>
          <w:color w:val="auto"/>
          <w:sz w:val="30"/>
          <w:szCs w:val="72"/>
          <w:highlight w:val="none"/>
        </w:rPr>
      </w:pPr>
    </w:p>
    <w:p>
      <w:pPr>
        <w:snapToGrid w:val="0"/>
        <w:spacing w:before="120" w:beforeLines="50" w:line="360" w:lineRule="auto"/>
        <w:rPr>
          <w:rFonts w:ascii="宋体" w:hAnsi="宋体" w:cs="宋体"/>
          <w:color w:val="auto"/>
          <w:sz w:val="30"/>
          <w:szCs w:val="72"/>
          <w:highlight w:val="none"/>
        </w:rPr>
      </w:pPr>
    </w:p>
    <w:p>
      <w:pPr>
        <w:pStyle w:val="20"/>
        <w:snapToGrid w:val="0"/>
        <w:spacing w:before="120" w:after="120" w:line="360" w:lineRule="auto"/>
        <w:ind w:firstLine="1145" w:firstLineChars="400"/>
        <w:rPr>
          <w:rFonts w:hAnsi="宋体" w:cs="宋体"/>
          <w:color w:val="auto"/>
          <w:sz w:val="30"/>
          <w:szCs w:val="72"/>
          <w:highlight w:val="none"/>
        </w:rPr>
      </w:pPr>
      <w:r>
        <w:rPr>
          <w:rFonts w:hint="eastAsia" w:hAnsi="宋体" w:cs="宋体"/>
          <w:b/>
          <w:bCs/>
          <w:color w:val="auto"/>
          <w:w w:val="95"/>
          <w:sz w:val="30"/>
          <w:szCs w:val="30"/>
          <w:highlight w:val="none"/>
        </w:rPr>
        <w:t>项目名称：桂平市人民医院传染病防控队伍建设申购医用类物资</w:t>
      </w:r>
    </w:p>
    <w:p>
      <w:pPr>
        <w:pStyle w:val="20"/>
        <w:snapToGrid w:val="0"/>
        <w:spacing w:before="120" w:after="120" w:line="360" w:lineRule="auto"/>
        <w:ind w:firstLine="1193" w:firstLineChars="396"/>
        <w:rPr>
          <w:rFonts w:hAnsi="宋体" w:cs="宋体"/>
          <w:b/>
          <w:bCs/>
          <w:color w:val="auto"/>
          <w:sz w:val="30"/>
          <w:szCs w:val="30"/>
          <w:highlight w:val="none"/>
        </w:rPr>
      </w:pPr>
      <w:r>
        <w:rPr>
          <w:rFonts w:hint="eastAsia" w:hAnsi="宋体" w:cs="宋体"/>
          <w:b/>
          <w:bCs/>
          <w:color w:val="auto"/>
          <w:sz w:val="30"/>
          <w:szCs w:val="30"/>
          <w:highlight w:val="none"/>
        </w:rPr>
        <w:t>项目编号：GGZC2020-C1-50351-GXBS</w:t>
      </w:r>
    </w:p>
    <w:p>
      <w:pPr>
        <w:pStyle w:val="20"/>
        <w:snapToGrid w:val="0"/>
        <w:spacing w:before="120" w:after="120" w:line="360" w:lineRule="auto"/>
        <w:rPr>
          <w:rFonts w:hAnsi="宋体" w:cs="宋体"/>
          <w:b/>
          <w:bCs/>
          <w:color w:val="auto"/>
          <w:w w:val="95"/>
          <w:sz w:val="30"/>
          <w:szCs w:val="30"/>
          <w:highlight w:val="none"/>
        </w:rPr>
      </w:pPr>
    </w:p>
    <w:p>
      <w:pPr>
        <w:pStyle w:val="20"/>
        <w:snapToGrid w:val="0"/>
        <w:spacing w:before="120" w:after="120" w:line="360" w:lineRule="auto"/>
        <w:rPr>
          <w:rFonts w:hAnsi="宋体" w:cs="宋体"/>
          <w:b/>
          <w:bCs/>
          <w:color w:val="auto"/>
          <w:w w:val="95"/>
          <w:sz w:val="30"/>
          <w:szCs w:val="30"/>
          <w:highlight w:val="none"/>
        </w:rPr>
      </w:pPr>
    </w:p>
    <w:p>
      <w:pPr>
        <w:pStyle w:val="20"/>
        <w:snapToGrid w:val="0"/>
        <w:spacing w:before="120" w:after="120" w:line="360" w:lineRule="auto"/>
        <w:ind w:firstLine="1271" w:firstLineChars="444"/>
        <w:rPr>
          <w:rFonts w:hAnsi="宋体" w:cs="宋体"/>
          <w:b/>
          <w:bCs/>
          <w:color w:val="auto"/>
          <w:w w:val="95"/>
          <w:sz w:val="30"/>
          <w:szCs w:val="30"/>
          <w:highlight w:val="none"/>
        </w:rPr>
      </w:pPr>
      <w:r>
        <w:rPr>
          <w:rFonts w:hint="eastAsia" w:hAnsi="宋体" w:cs="宋体"/>
          <w:b/>
          <w:bCs/>
          <w:color w:val="auto"/>
          <w:w w:val="95"/>
          <w:sz w:val="30"/>
          <w:szCs w:val="30"/>
          <w:highlight w:val="none"/>
        </w:rPr>
        <w:t>采 购 人： 桂平市人民医院</w:t>
      </w:r>
    </w:p>
    <w:p>
      <w:pPr>
        <w:pStyle w:val="20"/>
        <w:snapToGrid w:val="0"/>
        <w:spacing w:before="120" w:after="120" w:line="360" w:lineRule="auto"/>
        <w:ind w:firstLine="1268" w:firstLineChars="443"/>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采购代理机构：广西宝盛工程咨询有限公司</w:t>
      </w:r>
    </w:p>
    <w:p>
      <w:pPr>
        <w:pStyle w:val="20"/>
        <w:snapToGrid w:val="0"/>
        <w:spacing w:before="120" w:after="120" w:line="360" w:lineRule="auto"/>
        <w:jc w:val="center"/>
        <w:rPr>
          <w:rFonts w:hAnsi="宋体" w:cs="宋体"/>
          <w:b/>
          <w:bCs/>
          <w:color w:val="auto"/>
          <w:w w:val="95"/>
          <w:sz w:val="30"/>
          <w:szCs w:val="30"/>
          <w:highlight w:val="none"/>
        </w:rPr>
      </w:pPr>
      <w:r>
        <w:rPr>
          <w:rFonts w:hint="eastAsia" w:hAnsi="宋体" w:cs="宋体"/>
          <w:b/>
          <w:bCs/>
          <w:color w:val="auto"/>
          <w:w w:val="95"/>
          <w:sz w:val="30"/>
          <w:szCs w:val="30"/>
          <w:highlight w:val="none"/>
        </w:rPr>
        <w:t>2020年</w:t>
      </w:r>
      <w:r>
        <w:rPr>
          <w:rFonts w:hAnsi="宋体" w:cs="宋体"/>
          <w:b/>
          <w:bCs/>
          <w:color w:val="auto"/>
          <w:w w:val="95"/>
          <w:sz w:val="30"/>
          <w:szCs w:val="30"/>
          <w:highlight w:val="none"/>
        </w:rPr>
        <w:t>12</w:t>
      </w:r>
      <w:r>
        <w:rPr>
          <w:rFonts w:hint="eastAsia" w:hAnsi="宋体" w:cs="宋体"/>
          <w:b/>
          <w:bCs/>
          <w:color w:val="auto"/>
          <w:w w:val="95"/>
          <w:sz w:val="30"/>
          <w:szCs w:val="30"/>
          <w:highlight w:val="none"/>
        </w:rPr>
        <w:t>月</w:t>
      </w:r>
    </w:p>
    <w:p>
      <w:pPr>
        <w:pStyle w:val="20"/>
        <w:spacing w:before="120" w:after="120" w:line="360" w:lineRule="auto"/>
        <w:jc w:val="center"/>
        <w:rPr>
          <w:rFonts w:hAnsi="宋体" w:cs="宋体"/>
          <w:color w:val="auto"/>
          <w:sz w:val="32"/>
          <w:szCs w:val="32"/>
          <w:highlight w:val="none"/>
        </w:rPr>
        <w:sectPr>
          <w:headerReference r:id="rId3" w:type="default"/>
          <w:headerReference r:id="rId4" w:type="even"/>
          <w:footerReference r:id="rId5" w:type="even"/>
          <w:pgSz w:w="11906" w:h="16838"/>
          <w:pgMar w:top="1418" w:right="1418" w:bottom="1418" w:left="1418" w:header="851" w:footer="992" w:gutter="0"/>
          <w:pgNumType w:start="0"/>
          <w:cols w:space="720" w:num="1"/>
          <w:titlePg/>
          <w:docGrid w:linePitch="312" w:charSpace="0"/>
        </w:sectPr>
      </w:pPr>
    </w:p>
    <w:p>
      <w:pPr>
        <w:pStyle w:val="20"/>
        <w:snapToGrid w:val="0"/>
        <w:spacing w:line="360" w:lineRule="auto"/>
        <w:jc w:val="center"/>
        <w:rPr>
          <w:rFonts w:hAnsi="宋体"/>
          <w:b/>
          <w:color w:val="auto"/>
          <w:sz w:val="44"/>
          <w:szCs w:val="44"/>
          <w:highlight w:val="none"/>
        </w:rPr>
      </w:pPr>
    </w:p>
    <w:sdt>
      <w:sdtPr>
        <w:rPr>
          <w:b/>
          <w:bCs/>
          <w:color w:val="auto"/>
          <w:sz w:val="48"/>
          <w:szCs w:val="48"/>
          <w:highlight w:val="none"/>
          <w:lang w:val="zh-CN"/>
        </w:rPr>
        <w:id w:val="-2023776000"/>
        <w:docPartObj>
          <w:docPartGallery w:val="Table of Contents"/>
          <w:docPartUnique/>
        </w:docPartObj>
      </w:sdtPr>
      <w:sdtEndPr>
        <w:rPr>
          <w:b/>
          <w:bCs/>
          <w:color w:val="auto"/>
          <w:sz w:val="21"/>
          <w:szCs w:val="24"/>
          <w:highlight w:val="none"/>
          <w:lang w:val="zh-CN"/>
        </w:rPr>
      </w:sdtEndPr>
      <w:sdtContent>
        <w:p>
          <w:pPr>
            <w:spacing w:line="240" w:lineRule="auto"/>
            <w:jc w:val="center"/>
            <w:rPr>
              <w:rFonts w:ascii="宋体" w:hAnsi="宋体" w:cs="宋体"/>
              <w:color w:val="auto"/>
              <w:sz w:val="30"/>
              <w:szCs w:val="30"/>
              <w:highlight w:val="none"/>
            </w:rPr>
          </w:pPr>
          <w:r>
            <w:rPr>
              <w:rFonts w:hint="eastAsia" w:ascii="宋体" w:hAnsi="宋体" w:cs="宋体"/>
              <w:color w:val="auto"/>
              <w:sz w:val="44"/>
              <w:szCs w:val="44"/>
              <w:highlight w:val="none"/>
            </w:rPr>
            <w:t>目录</w:t>
          </w:r>
        </w:p>
        <w:p>
          <w:pPr>
            <w:pStyle w:val="25"/>
            <w:tabs>
              <w:tab w:val="right" w:leader="dot" w:pos="9298"/>
            </w:tabs>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TOC \o "1-3" \h \z \u </w:instrText>
          </w:r>
          <w:r>
            <w:rPr>
              <w:rFonts w:hint="eastAsia" w:ascii="宋体" w:hAnsi="宋体" w:eastAsia="宋体" w:cs="宋体"/>
              <w:color w:val="auto"/>
              <w:sz w:val="30"/>
              <w:szCs w:val="30"/>
              <w:highlight w:val="none"/>
            </w:rPr>
            <w:fldChar w:fldCharType="separate"/>
          </w:r>
          <w:r>
            <w:rPr>
              <w:color w:val="auto"/>
              <w:highlight w:val="none"/>
            </w:rPr>
            <w:fldChar w:fldCharType="begin"/>
          </w:r>
          <w:r>
            <w:rPr>
              <w:color w:val="auto"/>
              <w:highlight w:val="none"/>
            </w:rPr>
            <w:instrText xml:space="preserve"> HYPERLINK \l "_Toc9904" </w:instrText>
          </w:r>
          <w:r>
            <w:rPr>
              <w:color w:val="auto"/>
              <w:highlight w:val="none"/>
            </w:rPr>
            <w:fldChar w:fldCharType="separate"/>
          </w:r>
          <w:r>
            <w:rPr>
              <w:rFonts w:hint="eastAsia" w:ascii="宋体" w:hAnsi="宋体" w:eastAsia="宋体" w:cs="宋体"/>
              <w:color w:val="auto"/>
              <w:sz w:val="30"/>
              <w:szCs w:val="30"/>
              <w:highlight w:val="none"/>
            </w:rPr>
            <w:t>第一章 竞争性谈判公告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_Toc9904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5"/>
            <w:tabs>
              <w:tab w:val="right" w:leader="dot" w:pos="9298"/>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"_Toc1829" </w:instrText>
          </w:r>
          <w:r>
            <w:rPr>
              <w:color w:val="auto"/>
              <w:highlight w:val="none"/>
            </w:rPr>
            <w:fldChar w:fldCharType="separate"/>
          </w:r>
          <w:r>
            <w:rPr>
              <w:rFonts w:hint="eastAsia" w:ascii="宋体" w:hAnsi="宋体" w:eastAsia="宋体" w:cs="宋体"/>
              <w:color w:val="auto"/>
              <w:sz w:val="30"/>
              <w:szCs w:val="30"/>
              <w:highlight w:val="none"/>
            </w:rPr>
            <w:t>第二章谈判须知及前附表</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_Toc1829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5"/>
            <w:tabs>
              <w:tab w:val="right" w:leader="dot" w:pos="9298"/>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"_Toc29894" </w:instrText>
          </w:r>
          <w:r>
            <w:rPr>
              <w:color w:val="auto"/>
              <w:highlight w:val="none"/>
            </w:rPr>
            <w:fldChar w:fldCharType="separate"/>
          </w:r>
          <w:r>
            <w:rPr>
              <w:rFonts w:hint="eastAsia" w:ascii="宋体" w:hAnsi="宋体" w:eastAsia="宋体" w:cs="宋体"/>
              <w:color w:val="auto"/>
              <w:sz w:val="30"/>
              <w:szCs w:val="30"/>
              <w:highlight w:val="none"/>
            </w:rPr>
            <w:t>第三章评审方法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_Toc29894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18</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5"/>
            <w:tabs>
              <w:tab w:val="right" w:leader="dot" w:pos="9298"/>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"_Toc13777" </w:instrText>
          </w:r>
          <w:r>
            <w:rPr>
              <w:color w:val="auto"/>
              <w:highlight w:val="none"/>
            </w:rPr>
            <w:fldChar w:fldCharType="separate"/>
          </w:r>
          <w:r>
            <w:rPr>
              <w:rFonts w:hint="eastAsia" w:ascii="宋体" w:hAnsi="宋体" w:eastAsia="宋体" w:cs="宋体"/>
              <w:color w:val="auto"/>
              <w:sz w:val="30"/>
              <w:szCs w:val="30"/>
              <w:highlight w:val="none"/>
            </w:rPr>
            <w:t>第四章采购项目需求表</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_Toc13777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5"/>
            <w:tabs>
              <w:tab w:val="right" w:leader="dot" w:pos="9298"/>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"_Toc28697" </w:instrText>
          </w:r>
          <w:r>
            <w:rPr>
              <w:color w:val="auto"/>
              <w:highlight w:val="none"/>
            </w:rPr>
            <w:fldChar w:fldCharType="separate"/>
          </w:r>
          <w:r>
            <w:rPr>
              <w:rFonts w:hint="eastAsia" w:ascii="宋体" w:hAnsi="宋体" w:eastAsia="宋体" w:cs="宋体"/>
              <w:color w:val="auto"/>
              <w:sz w:val="30"/>
              <w:szCs w:val="30"/>
              <w:highlight w:val="none"/>
            </w:rPr>
            <w:t>第五章合同条款及格式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_Toc28697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5"/>
            <w:tabs>
              <w:tab w:val="right" w:leader="dot" w:pos="9298"/>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"_Toc14200" </w:instrText>
          </w:r>
          <w:r>
            <w:rPr>
              <w:color w:val="auto"/>
              <w:highlight w:val="none"/>
            </w:rPr>
            <w:fldChar w:fldCharType="separate"/>
          </w:r>
          <w:r>
            <w:rPr>
              <w:rFonts w:hint="eastAsia" w:ascii="宋体" w:hAnsi="宋体" w:eastAsia="宋体" w:cs="宋体"/>
              <w:color w:val="auto"/>
              <w:sz w:val="30"/>
              <w:szCs w:val="30"/>
              <w:highlight w:val="none"/>
            </w:rPr>
            <w:t>第六章谈判响应文件基本格式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_Toc14200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39</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rPr>
              <w:color w:val="auto"/>
              <w:highlight w:val="none"/>
            </w:rPr>
          </w:pPr>
          <w:r>
            <w:rPr>
              <w:rFonts w:hint="eastAsia" w:ascii="宋体" w:hAnsi="宋体" w:cs="宋体"/>
              <w:color w:val="auto"/>
              <w:sz w:val="30"/>
              <w:szCs w:val="30"/>
              <w:highlight w:val="none"/>
              <w:lang w:val="zh-CN"/>
            </w:rPr>
            <w:fldChar w:fldCharType="end"/>
          </w:r>
        </w:p>
      </w:sdtContent>
    </w:sdt>
    <w:p>
      <w:pPr>
        <w:pStyle w:val="20"/>
        <w:ind w:left="412" w:leftChars="196"/>
        <w:rPr>
          <w:rFonts w:hAnsi="宋体"/>
          <w:b/>
          <w:color w:val="auto"/>
          <w:sz w:val="32"/>
          <w:szCs w:val="32"/>
          <w:highlight w:val="none"/>
        </w:rPr>
      </w:pPr>
    </w:p>
    <w:p>
      <w:pPr>
        <w:pStyle w:val="3"/>
        <w:numPr>
          <w:ilvl w:val="0"/>
          <w:numId w:val="3"/>
        </w:numPr>
        <w:spacing w:line="240" w:lineRule="atLeast"/>
        <w:jc w:val="center"/>
        <w:rPr>
          <w:color w:val="auto"/>
          <w:sz w:val="13"/>
          <w:szCs w:val="13"/>
          <w:highlight w:val="none"/>
        </w:rPr>
      </w:pPr>
      <w:r>
        <w:rPr>
          <w:color w:val="auto"/>
          <w:highlight w:val="none"/>
        </w:rPr>
        <w:br w:type="page"/>
      </w:r>
      <w:bookmarkStart w:id="0" w:name="_Toc9904"/>
      <w:r>
        <w:rPr>
          <w:rFonts w:hint="eastAsia"/>
          <w:color w:val="auto"/>
          <w:sz w:val="36"/>
          <w:szCs w:val="36"/>
          <w:highlight w:val="none"/>
        </w:rPr>
        <w:t>竞争性谈判公告</w:t>
      </w:r>
      <w:bookmarkEnd w:id="0"/>
    </w:p>
    <w:p>
      <w:pPr>
        <w:rPr>
          <w:color w:val="auto"/>
          <w:highlight w:val="none"/>
        </w:rPr>
      </w:pPr>
    </w:p>
    <w:p>
      <w:pPr>
        <w:spacing w:line="400" w:lineRule="exact"/>
        <w:jc w:val="center"/>
        <w:rPr>
          <w:rFonts w:ascii="宋体" w:hAnsi="宋体"/>
          <w:b/>
          <w:color w:val="auto"/>
          <w:sz w:val="32"/>
          <w:szCs w:val="32"/>
          <w:highlight w:val="none"/>
        </w:rPr>
      </w:pPr>
      <w:bookmarkStart w:id="84" w:name="_GoBack"/>
      <w:r>
        <w:rPr>
          <w:rFonts w:hint="eastAsia" w:ascii="宋体" w:hAnsi="宋体"/>
          <w:b/>
          <w:color w:val="auto"/>
          <w:sz w:val="32"/>
          <w:szCs w:val="32"/>
          <w:highlight w:val="none"/>
        </w:rPr>
        <w:t>广西宝盛工程咨询有限公司关于桂平市人民医院传染病防控队伍建设申购医用类物资（项目编号：GGZC2020-C1-50351-GXBS）竞争性谈判</w:t>
      </w:r>
      <w:bookmarkEnd w:id="84"/>
      <w:r>
        <w:rPr>
          <w:rFonts w:hint="eastAsia" w:ascii="宋体" w:hAnsi="宋体"/>
          <w:b/>
          <w:color w:val="auto"/>
          <w:sz w:val="32"/>
          <w:szCs w:val="32"/>
          <w:highlight w:val="none"/>
        </w:rPr>
        <w:t>公告</w:t>
      </w:r>
    </w:p>
    <w:p>
      <w:pPr>
        <w:rPr>
          <w:color w:val="auto"/>
          <w:highlight w:val="none"/>
        </w:rPr>
      </w:pP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s="仿宋"/>
          <w:color w:val="auto"/>
          <w:sz w:val="28"/>
          <w:szCs w:val="28"/>
          <w:highlight w:val="none"/>
        </w:rPr>
        <w:t>项目概况</w:t>
      </w:r>
    </w:p>
    <w:p>
      <w:pPr>
        <w:pBdr>
          <w:top w:val="single" w:color="auto" w:sz="4" w:space="1"/>
          <w:left w:val="single" w:color="auto" w:sz="4" w:space="4"/>
          <w:bottom w:val="single" w:color="auto" w:sz="4" w:space="1"/>
          <w:right w:val="single" w:color="auto" w:sz="4" w:space="4"/>
        </w:pBdr>
        <w:ind w:firstLine="560" w:firstLineChars="200"/>
        <w:rPr>
          <w:color w:val="auto"/>
          <w:highlight w:val="none"/>
        </w:rPr>
      </w:pP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桂平市人民医院传染病防控队伍建设申购医用类物资</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采购项目的潜在供应商应在</w:t>
      </w:r>
      <w:r>
        <w:rPr>
          <w:rFonts w:hint="eastAsia" w:ascii="仿宋" w:hAnsi="仿宋" w:eastAsia="仿宋" w:cs="仿宋"/>
          <w:color w:val="auto"/>
          <w:sz w:val="28"/>
          <w:szCs w:val="28"/>
          <w:highlight w:val="none"/>
          <w:u w:val="single"/>
        </w:rPr>
        <w:t>政采云平台免费</w:t>
      </w:r>
      <w:r>
        <w:rPr>
          <w:rFonts w:hint="eastAsia" w:ascii="仿宋" w:hAnsi="仿宋" w:eastAsia="仿宋" w:cs="仿宋"/>
          <w:color w:val="auto"/>
          <w:sz w:val="28"/>
          <w:szCs w:val="28"/>
          <w:highlight w:val="none"/>
        </w:rPr>
        <w:t>获取采购文件，并于</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2020年12月14日下午15点 30分</w:t>
      </w:r>
      <w:r>
        <w:rPr>
          <w:rFonts w:hint="eastAsia" w:ascii="仿宋" w:hAnsi="仿宋" w:eastAsia="仿宋" w:cs="仿宋"/>
          <w:color w:val="auto"/>
          <w:sz w:val="28"/>
          <w:szCs w:val="28"/>
          <w:highlight w:val="none"/>
        </w:rPr>
        <w:t>（北京时间）前提交响应文件。</w:t>
      </w:r>
    </w:p>
    <w:p>
      <w:pPr>
        <w:pStyle w:val="4"/>
        <w:spacing w:line="360" w:lineRule="auto"/>
        <w:rPr>
          <w:rFonts w:ascii="黑体"/>
          <w:b w:val="0"/>
          <w:bCs w:val="0"/>
          <w:color w:val="auto"/>
          <w:sz w:val="28"/>
          <w:szCs w:val="28"/>
          <w:highlight w:val="none"/>
        </w:rPr>
      </w:pPr>
      <w:bookmarkStart w:id="1" w:name="_Toc28359012"/>
      <w:bookmarkStart w:id="2" w:name="_Toc35393798"/>
      <w:bookmarkStart w:id="3" w:name="_Toc35393629"/>
      <w:bookmarkStart w:id="4" w:name="_Toc28359089"/>
      <w:r>
        <w:rPr>
          <w:rFonts w:hint="eastAsia" w:ascii="黑体" w:hAnsi="黑体" w:cs="黑体"/>
          <w:b w:val="0"/>
          <w:bCs w:val="0"/>
          <w:color w:val="auto"/>
          <w:sz w:val="28"/>
          <w:szCs w:val="28"/>
          <w:highlight w:val="none"/>
        </w:rPr>
        <w:t>一、项目基本情况</w:t>
      </w:r>
      <w:bookmarkEnd w:id="1"/>
      <w:bookmarkEnd w:id="2"/>
      <w:bookmarkEnd w:id="3"/>
      <w:bookmarkEnd w:id="4"/>
    </w:p>
    <w:p>
      <w:pPr>
        <w:ind w:firstLine="560" w:firstLineChars="200"/>
        <w:rPr>
          <w:rFonts w:ascii="仿宋" w:hAnsi="仿宋" w:eastAsia="仿宋"/>
          <w:color w:val="auto"/>
          <w:sz w:val="28"/>
          <w:szCs w:val="28"/>
          <w:highlight w:val="none"/>
        </w:rPr>
      </w:pPr>
      <w:r>
        <w:rPr>
          <w:rFonts w:hint="eastAsia" w:ascii="仿宋" w:hAnsi="仿宋" w:eastAsia="仿宋" w:cs="仿宋"/>
          <w:color w:val="auto"/>
          <w:sz w:val="28"/>
          <w:szCs w:val="28"/>
          <w:highlight w:val="none"/>
        </w:rPr>
        <w:t>项目编号：GGZC2020-C1-50351-GXBS</w:t>
      </w:r>
    </w:p>
    <w:p>
      <w:pPr>
        <w:ind w:firstLine="560" w:firstLineChars="200"/>
        <w:rPr>
          <w:rFonts w:ascii="仿宋" w:hAnsi="仿宋" w:eastAsia="仿宋"/>
          <w:color w:val="auto"/>
          <w:sz w:val="28"/>
          <w:szCs w:val="28"/>
          <w:highlight w:val="none"/>
          <w:u w:val="single"/>
        </w:rPr>
      </w:pPr>
      <w:r>
        <w:rPr>
          <w:rFonts w:hint="eastAsia" w:ascii="仿宋" w:hAnsi="仿宋" w:eastAsia="仿宋" w:cs="仿宋"/>
          <w:color w:val="auto"/>
          <w:sz w:val="28"/>
          <w:szCs w:val="28"/>
          <w:highlight w:val="none"/>
        </w:rPr>
        <w:t>项目名称：桂平市人民医院传染病防控队伍建设申购医用类物资</w:t>
      </w:r>
    </w:p>
    <w:p>
      <w:pPr>
        <w:ind w:firstLine="560" w:firstLineChars="200"/>
        <w:rPr>
          <w:rFonts w:ascii="仿宋" w:hAnsi="仿宋" w:eastAsia="仿宋"/>
          <w:color w:val="auto"/>
          <w:sz w:val="28"/>
          <w:szCs w:val="28"/>
          <w:highlight w:val="none"/>
        </w:rPr>
      </w:pPr>
      <w:r>
        <w:rPr>
          <w:rFonts w:hint="eastAsia" w:ascii="仿宋" w:hAnsi="仿宋" w:eastAsia="仿宋" w:cs="仿宋"/>
          <w:color w:val="auto"/>
          <w:sz w:val="28"/>
          <w:szCs w:val="28"/>
          <w:highlight w:val="none"/>
        </w:rPr>
        <w:t>采购方式：</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rPr>
        <w:t>竞争性谈判</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□竞争性磋商</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□询价</w:t>
      </w:r>
    </w:p>
    <w:p>
      <w:pPr>
        <w:ind w:firstLine="560" w:firstLineChars="200"/>
        <w:rPr>
          <w:rFonts w:ascii="仿宋" w:hAnsi="仿宋" w:eastAsia="仿宋"/>
          <w:color w:val="auto"/>
          <w:sz w:val="28"/>
          <w:szCs w:val="28"/>
          <w:highlight w:val="none"/>
        </w:rPr>
      </w:pPr>
      <w:r>
        <w:rPr>
          <w:rFonts w:hint="eastAsia" w:ascii="仿宋" w:hAnsi="仿宋" w:eastAsia="仿宋" w:cs="仿宋"/>
          <w:color w:val="auto"/>
          <w:sz w:val="28"/>
          <w:szCs w:val="28"/>
          <w:highlight w:val="none"/>
        </w:rPr>
        <w:t>预算金额：人民币壹佰壹拾叁万陆仟陆佰玖拾伍元陆角肆分（</w:t>
      </w:r>
      <w:r>
        <w:rPr>
          <w:rFonts w:ascii="Calibri" w:hAnsi="Calibri" w:eastAsia="仿宋" w:cs="Calibri"/>
          <w:color w:val="auto"/>
          <w:sz w:val="28"/>
          <w:szCs w:val="28"/>
          <w:highlight w:val="none"/>
        </w:rPr>
        <w:t>¥</w:t>
      </w:r>
      <w:r>
        <w:rPr>
          <w:rFonts w:hint="eastAsia" w:ascii="仿宋" w:hAnsi="仿宋" w:eastAsia="仿宋" w:cs="仿宋"/>
          <w:color w:val="auto"/>
          <w:sz w:val="28"/>
          <w:szCs w:val="28"/>
          <w:highlight w:val="none"/>
        </w:rPr>
        <w:t>1136695.64）</w:t>
      </w:r>
    </w:p>
    <w:p>
      <w:pPr>
        <w:ind w:firstLine="560" w:firstLineChars="200"/>
        <w:rPr>
          <w:rFonts w:ascii="仿宋" w:hAnsi="仿宋" w:eastAsia="仿宋"/>
          <w:color w:val="auto"/>
          <w:sz w:val="28"/>
          <w:szCs w:val="28"/>
          <w:highlight w:val="none"/>
        </w:rPr>
      </w:pPr>
      <w:r>
        <w:rPr>
          <w:rFonts w:hint="eastAsia" w:ascii="仿宋" w:hAnsi="仿宋" w:eastAsia="仿宋" w:cs="仿宋"/>
          <w:color w:val="auto"/>
          <w:sz w:val="28"/>
          <w:szCs w:val="28"/>
          <w:highlight w:val="none"/>
        </w:rPr>
        <w:t>最高限价：无</w:t>
      </w:r>
    </w:p>
    <w:p>
      <w:pPr>
        <w:ind w:firstLine="560" w:firstLineChars="200"/>
        <w:rPr>
          <w:rFonts w:ascii="仿宋" w:hAnsi="仿宋" w:eastAsia="仿宋"/>
          <w:color w:val="auto"/>
          <w:sz w:val="28"/>
          <w:szCs w:val="28"/>
          <w:highlight w:val="none"/>
          <w:u w:val="single"/>
        </w:rPr>
      </w:pPr>
      <w:r>
        <w:rPr>
          <w:rFonts w:hint="eastAsia" w:ascii="仿宋" w:hAnsi="仿宋" w:eastAsia="仿宋" w:cs="仿宋"/>
          <w:color w:val="auto"/>
          <w:sz w:val="28"/>
          <w:szCs w:val="28"/>
          <w:highlight w:val="none"/>
        </w:rPr>
        <w:t>采购需求：桂平市人民医院传染病防控队伍建设申购医用类物资一批，如需进一步了解详细内容，详见竞争性谈判采购文件。</w:t>
      </w: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合同履行期限：自合同签订之日起</w:t>
      </w: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天内完成全部货物供货、技术培训并交付使用。</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s="仿宋"/>
          <w:color w:val="auto"/>
          <w:sz w:val="28"/>
          <w:szCs w:val="28"/>
          <w:highlight w:val="none"/>
        </w:rPr>
        <w:t>本项目不接受联合体。</w:t>
      </w:r>
    </w:p>
    <w:p>
      <w:pPr>
        <w:pStyle w:val="4"/>
        <w:spacing w:line="360" w:lineRule="auto"/>
        <w:rPr>
          <w:rFonts w:ascii="黑体"/>
          <w:b w:val="0"/>
          <w:bCs w:val="0"/>
          <w:color w:val="auto"/>
          <w:sz w:val="28"/>
          <w:szCs w:val="28"/>
          <w:highlight w:val="none"/>
        </w:rPr>
      </w:pPr>
      <w:bookmarkStart w:id="5" w:name="_Toc28359013"/>
      <w:bookmarkStart w:id="6" w:name="_Toc35393799"/>
      <w:bookmarkStart w:id="7" w:name="_Toc28359090"/>
      <w:bookmarkStart w:id="8" w:name="_Toc35393630"/>
      <w:r>
        <w:rPr>
          <w:rFonts w:hint="eastAsia" w:ascii="黑体" w:hAnsi="黑体" w:cs="黑体"/>
          <w:b w:val="0"/>
          <w:bCs w:val="0"/>
          <w:color w:val="auto"/>
          <w:sz w:val="28"/>
          <w:szCs w:val="28"/>
          <w:highlight w:val="none"/>
        </w:rPr>
        <w:t>二、申请人的资格要求：</w:t>
      </w:r>
      <w:bookmarkEnd w:id="5"/>
      <w:bookmarkEnd w:id="6"/>
      <w:bookmarkEnd w:id="7"/>
      <w:bookmarkEnd w:id="8"/>
    </w:p>
    <w:p>
      <w:pPr>
        <w:spacing w:line="360" w:lineRule="auto"/>
        <w:ind w:firstLine="560" w:firstLineChars="200"/>
        <w:rPr>
          <w:rFonts w:ascii="仿宋" w:hAnsi="仿宋" w:eastAsia="仿宋" w:cs="仿宋"/>
          <w:color w:val="auto"/>
          <w:sz w:val="28"/>
          <w:szCs w:val="28"/>
          <w:highlight w:val="none"/>
        </w:rPr>
      </w:pPr>
      <w:bookmarkStart w:id="9" w:name="_Toc28359091"/>
      <w:bookmarkStart w:id="10" w:name="_Toc28359014"/>
      <w:r>
        <w:rPr>
          <w:rFonts w:hint="eastAsia" w:ascii="仿宋" w:hAnsi="仿宋" w:eastAsia="仿宋" w:cs="仿宋"/>
          <w:color w:val="auto"/>
          <w:sz w:val="28"/>
          <w:szCs w:val="28"/>
          <w:highlight w:val="none"/>
        </w:rPr>
        <w:t>1.符合《中华人民共和国政府采购法》第二十二条规定；</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2.国内注册（指按国家有关规定要求注册的）依法能提供本次采购货物，具有法人资格的供应商；</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3.对在“信用中国”网站(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仿宋" w:hAnsi="仿宋" w:eastAsia="仿宋" w:cs="仿宋"/>
          <w:color w:val="auto"/>
          <w:sz w:val="28"/>
          <w:szCs w:val="28"/>
          <w:highlight w:val="none"/>
        </w:rPr>
        <w:t>www.creditchina.gov.cn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)、中国政府采购网(www.ccgp.gov.cn)等渠道列入失信被执行人、重大税收违法案件当事人名单、政府采购严重违法失信行为记录名单的供应商，不得参与本项目政府采购活动；</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单位负责人为同一人或者存在直接控股、管理关系的不同供应商，不得参加本项目同一标段下的政府采购活动。除单一来源采购项目外，为采购项目提供整体设计、规范编制或者项目管理、监理、检测等服务的供应商，不得再参加该采购项目的其他采购活动；</w:t>
      </w:r>
    </w:p>
    <w:p>
      <w:pPr>
        <w:spacing w:line="360" w:lineRule="auto"/>
        <w:ind w:firstLine="560" w:firstLineChars="200"/>
        <w:rPr>
          <w:rFonts w:ascii="仿宋" w:hAnsi="仿宋" w:eastAsia="仿宋" w:cs="仿宋"/>
          <w:i/>
          <w:iCs/>
          <w:color w:val="auto"/>
          <w:sz w:val="28"/>
          <w:szCs w:val="28"/>
          <w:highlight w:val="none"/>
          <w:u w:val="single"/>
        </w:rPr>
      </w:pPr>
      <w:r>
        <w:rPr>
          <w:rFonts w:hint="eastAsia" w:ascii="仿宋" w:hAnsi="仿宋" w:eastAsia="仿宋" w:cs="仿宋"/>
          <w:color w:val="auto"/>
          <w:sz w:val="28"/>
          <w:szCs w:val="28"/>
          <w:highlight w:val="none"/>
        </w:rPr>
        <w:t>5.本项目不接受联合体竞标。</w:t>
      </w:r>
    </w:p>
    <w:p>
      <w:pPr>
        <w:pStyle w:val="4"/>
        <w:spacing w:line="360" w:lineRule="auto"/>
        <w:rPr>
          <w:rFonts w:ascii="黑体"/>
          <w:b w:val="0"/>
          <w:bCs w:val="0"/>
          <w:color w:val="auto"/>
          <w:sz w:val="28"/>
          <w:szCs w:val="28"/>
          <w:highlight w:val="none"/>
        </w:rPr>
      </w:pPr>
      <w:bookmarkStart w:id="11" w:name="_Toc35393631"/>
      <w:bookmarkStart w:id="12" w:name="_Toc35393800"/>
      <w:r>
        <w:rPr>
          <w:rFonts w:hint="eastAsia" w:ascii="黑体" w:hAnsi="黑体" w:cs="黑体"/>
          <w:b w:val="0"/>
          <w:bCs w:val="0"/>
          <w:color w:val="auto"/>
          <w:sz w:val="28"/>
          <w:szCs w:val="28"/>
          <w:highlight w:val="none"/>
        </w:rPr>
        <w:t>三、获取采购文件</w:t>
      </w:r>
      <w:bookmarkEnd w:id="9"/>
      <w:bookmarkEnd w:id="10"/>
      <w:bookmarkEnd w:id="11"/>
      <w:bookmarkEnd w:id="12"/>
    </w:p>
    <w:p>
      <w:pPr>
        <w:spacing w:line="360" w:lineRule="auto"/>
        <w:ind w:firstLine="540"/>
        <w:rPr>
          <w:rFonts w:ascii="仿宋" w:hAnsi="仿宋" w:eastAsia="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u w:val="single"/>
        </w:rPr>
        <w:t>　2020年12月9日</w:t>
      </w:r>
      <w:r>
        <w:rPr>
          <w:rFonts w:hint="eastAsia" w:ascii="仿宋" w:hAnsi="仿宋" w:eastAsia="仿宋" w:cs="仿宋"/>
          <w:color w:val="auto"/>
          <w:sz w:val="28"/>
          <w:szCs w:val="28"/>
          <w:highlight w:val="none"/>
        </w:rPr>
        <w:t>至</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2020年12月14日下午15点 30分</w:t>
      </w:r>
    </w:p>
    <w:p>
      <w:pPr>
        <w:spacing w:line="360" w:lineRule="auto"/>
        <w:ind w:firstLine="540"/>
        <w:rPr>
          <w:rFonts w:ascii="仿宋" w:hAnsi="仿宋" w:eastAsia="仿宋"/>
          <w:color w:val="auto"/>
          <w:sz w:val="28"/>
          <w:szCs w:val="28"/>
          <w:highlight w:val="none"/>
          <w:u w:val="single"/>
        </w:rPr>
      </w:pPr>
      <w:r>
        <w:rPr>
          <w:rFonts w:hint="eastAsia" w:ascii="仿宋" w:hAnsi="仿宋" w:eastAsia="仿宋" w:cs="仿宋"/>
          <w:color w:val="auto"/>
          <w:sz w:val="28"/>
          <w:szCs w:val="28"/>
          <w:highlight w:val="none"/>
        </w:rPr>
        <w:t>地点：http://zfcg.czj.gxgg.gov.cn（贵港市政府采购网）</w:t>
      </w:r>
    </w:p>
    <w:p>
      <w:pPr>
        <w:spacing w:line="360" w:lineRule="auto"/>
        <w:ind w:firstLine="540"/>
        <w:rPr>
          <w:rFonts w:ascii="仿宋" w:hAnsi="仿宋" w:eastAsia="仿宋"/>
          <w:color w:val="auto"/>
          <w:sz w:val="28"/>
          <w:szCs w:val="28"/>
          <w:highlight w:val="none"/>
          <w:u w:val="single"/>
        </w:rPr>
      </w:pPr>
      <w:r>
        <w:rPr>
          <w:rFonts w:hint="eastAsia" w:ascii="仿宋" w:hAnsi="仿宋" w:eastAsia="仿宋" w:cs="仿宋"/>
          <w:color w:val="auto"/>
          <w:sz w:val="28"/>
          <w:szCs w:val="28"/>
          <w:highlight w:val="none"/>
        </w:rPr>
        <w:t>方式：供应商通过贵港市政府采购网“供应商注册入口”完成账号注册后，登录政采云平台“项目采购—获取采购文件”模块自行下载采购文件；潜在竞标人在截标现场签到报名，便认定为本项目的报名人。竞标人在签到后即可递交竞标文件。</w:t>
      </w:r>
    </w:p>
    <w:p>
      <w:pPr>
        <w:spacing w:line="360" w:lineRule="auto"/>
        <w:ind w:firstLine="540"/>
        <w:rPr>
          <w:rFonts w:ascii="仿宋" w:hAnsi="仿宋" w:eastAsia="仿宋"/>
          <w:color w:val="auto"/>
          <w:sz w:val="28"/>
          <w:szCs w:val="28"/>
          <w:highlight w:val="none"/>
        </w:rPr>
      </w:pPr>
      <w:r>
        <w:rPr>
          <w:rFonts w:hint="eastAsia" w:ascii="仿宋" w:hAnsi="仿宋" w:eastAsia="仿宋" w:cs="仿宋"/>
          <w:color w:val="auto"/>
          <w:sz w:val="28"/>
          <w:szCs w:val="28"/>
          <w:highlight w:val="none"/>
        </w:rPr>
        <w:t>售价：每本0元</w:t>
      </w:r>
    </w:p>
    <w:p>
      <w:pPr>
        <w:pStyle w:val="4"/>
        <w:spacing w:line="360" w:lineRule="auto"/>
        <w:rPr>
          <w:rFonts w:ascii="黑体"/>
          <w:b w:val="0"/>
          <w:bCs w:val="0"/>
          <w:color w:val="auto"/>
          <w:sz w:val="28"/>
          <w:szCs w:val="28"/>
          <w:highlight w:val="none"/>
        </w:rPr>
      </w:pPr>
      <w:bookmarkStart w:id="13" w:name="_Toc35393632"/>
      <w:bookmarkStart w:id="14" w:name="_Toc28359015"/>
      <w:bookmarkStart w:id="15" w:name="_Toc35393801"/>
      <w:bookmarkStart w:id="16" w:name="_Toc28359092"/>
      <w:r>
        <w:rPr>
          <w:rFonts w:hint="eastAsia" w:ascii="黑体" w:hAnsi="黑体" w:cs="黑体"/>
          <w:b w:val="0"/>
          <w:bCs w:val="0"/>
          <w:color w:val="auto"/>
          <w:sz w:val="28"/>
          <w:szCs w:val="28"/>
          <w:highlight w:val="none"/>
        </w:rPr>
        <w:t>四、响应文件提交</w:t>
      </w:r>
      <w:bookmarkEnd w:id="13"/>
      <w:bookmarkEnd w:id="14"/>
      <w:bookmarkEnd w:id="15"/>
      <w:bookmarkEnd w:id="16"/>
    </w:p>
    <w:p>
      <w:pPr>
        <w:ind w:firstLine="560" w:firstLineChars="200"/>
        <w:rPr>
          <w:rFonts w:ascii="仿宋" w:hAnsi="仿宋" w:eastAsia="仿宋"/>
          <w:color w:val="auto"/>
          <w:sz w:val="28"/>
          <w:szCs w:val="28"/>
          <w:highlight w:val="none"/>
          <w:u w:val="single"/>
        </w:rPr>
      </w:pPr>
      <w:r>
        <w:rPr>
          <w:rFonts w:hint="eastAsia" w:ascii="仿宋" w:hAnsi="仿宋" w:eastAsia="仿宋" w:cs="仿宋"/>
          <w:color w:val="auto"/>
          <w:sz w:val="28"/>
          <w:szCs w:val="28"/>
          <w:highlight w:val="none"/>
        </w:rPr>
        <w:t>截止时间：</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2020年12月14日下午15点 30分</w:t>
      </w:r>
      <w:r>
        <w:rPr>
          <w:rFonts w:hint="eastAsia" w:ascii="仿宋" w:hAnsi="仿宋" w:eastAsia="仿宋" w:cs="仿宋"/>
          <w:color w:val="auto"/>
          <w:sz w:val="28"/>
          <w:szCs w:val="28"/>
          <w:highlight w:val="none"/>
        </w:rPr>
        <w:t>（北京时间）</w:t>
      </w: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地点：</w:t>
      </w:r>
      <w:bookmarkStart w:id="17" w:name="_Toc28359093"/>
      <w:bookmarkStart w:id="18" w:name="_Toc35393633"/>
      <w:bookmarkStart w:id="19" w:name="_Toc35393802"/>
      <w:bookmarkStart w:id="20" w:name="_Toc28359016"/>
      <w:r>
        <w:rPr>
          <w:rFonts w:hint="eastAsia" w:ascii="仿宋" w:hAnsi="仿宋" w:eastAsia="仿宋" w:cs="仿宋"/>
          <w:color w:val="auto"/>
          <w:sz w:val="28"/>
          <w:szCs w:val="28"/>
          <w:highlight w:val="none"/>
        </w:rPr>
        <w:t>桂平市政务服务中心新大楼五楼【桂江西路中段原国会大厦（桂平市公共资源交易中心）】。</w:t>
      </w:r>
    </w:p>
    <w:p>
      <w:pPr>
        <w:rPr>
          <w:rFonts w:ascii="黑体" w:hAnsi="黑体" w:eastAsia="黑体" w:cs="黑体"/>
          <w:color w:val="auto"/>
          <w:sz w:val="28"/>
          <w:szCs w:val="28"/>
          <w:highlight w:val="none"/>
        </w:rPr>
      </w:pPr>
    </w:p>
    <w:p>
      <w:pP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五、开启</w:t>
      </w:r>
      <w:bookmarkEnd w:id="17"/>
      <w:bookmarkEnd w:id="18"/>
      <w:bookmarkEnd w:id="19"/>
      <w:bookmarkEnd w:id="20"/>
    </w:p>
    <w:p>
      <w:pPr>
        <w:ind w:firstLine="560" w:firstLineChars="200"/>
        <w:rPr>
          <w:rFonts w:ascii="仿宋" w:hAnsi="仿宋" w:eastAsia="仿宋"/>
          <w:color w:val="auto"/>
          <w:sz w:val="28"/>
          <w:szCs w:val="28"/>
          <w:highlight w:val="none"/>
          <w:u w:val="single"/>
        </w:rPr>
      </w:pPr>
      <w:r>
        <w:rPr>
          <w:rFonts w:hint="eastAsia" w:ascii="仿宋" w:hAnsi="仿宋" w:eastAsia="仿宋" w:cs="仿宋"/>
          <w:color w:val="auto"/>
          <w:sz w:val="28"/>
          <w:szCs w:val="28"/>
          <w:highlight w:val="none"/>
        </w:rPr>
        <w:t>时间：</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2020年12月14日下午15点 30分</w:t>
      </w:r>
      <w:r>
        <w:rPr>
          <w:rFonts w:hint="eastAsia" w:ascii="仿宋" w:hAnsi="仿宋" w:eastAsia="仿宋" w:cs="仿宋"/>
          <w:color w:val="auto"/>
          <w:sz w:val="28"/>
          <w:szCs w:val="28"/>
          <w:highlight w:val="none"/>
        </w:rPr>
        <w:t>（北京时间）</w:t>
      </w:r>
    </w:p>
    <w:p>
      <w:pPr>
        <w:ind w:firstLine="560" w:firstLineChars="200"/>
        <w:rPr>
          <w:rFonts w:ascii="仿宋" w:hAnsi="仿宋" w:eastAsia="仿宋"/>
          <w:color w:val="auto"/>
          <w:sz w:val="28"/>
          <w:szCs w:val="28"/>
          <w:highlight w:val="none"/>
          <w:u w:val="single"/>
        </w:rPr>
      </w:pPr>
      <w:r>
        <w:rPr>
          <w:rFonts w:hint="eastAsia" w:ascii="仿宋" w:hAnsi="仿宋" w:eastAsia="仿宋" w:cs="仿宋"/>
          <w:color w:val="auto"/>
          <w:sz w:val="28"/>
          <w:szCs w:val="28"/>
          <w:highlight w:val="none"/>
        </w:rPr>
        <w:t>地点：桂平市政务服务中心新大楼五楼【桂江西路中段原国会大厦（桂平市公共资源交易中心）】</w:t>
      </w:r>
    </w:p>
    <w:p>
      <w:pPr>
        <w:pStyle w:val="4"/>
        <w:spacing w:line="360" w:lineRule="auto"/>
        <w:rPr>
          <w:rFonts w:ascii="黑体"/>
          <w:b w:val="0"/>
          <w:bCs w:val="0"/>
          <w:color w:val="auto"/>
          <w:sz w:val="28"/>
          <w:szCs w:val="28"/>
          <w:highlight w:val="none"/>
        </w:rPr>
      </w:pPr>
      <w:bookmarkStart w:id="21" w:name="_Toc35393803"/>
      <w:bookmarkStart w:id="22" w:name="_Toc28359017"/>
      <w:bookmarkStart w:id="23" w:name="_Toc28359094"/>
      <w:bookmarkStart w:id="24" w:name="_Toc35393634"/>
      <w:r>
        <w:rPr>
          <w:rFonts w:hint="eastAsia" w:ascii="黑体" w:hAnsi="黑体" w:cs="黑体"/>
          <w:b w:val="0"/>
          <w:bCs w:val="0"/>
          <w:color w:val="auto"/>
          <w:sz w:val="28"/>
          <w:szCs w:val="28"/>
          <w:highlight w:val="none"/>
        </w:rPr>
        <w:t>六、公告期限</w:t>
      </w:r>
      <w:bookmarkEnd w:id="21"/>
      <w:bookmarkEnd w:id="22"/>
      <w:bookmarkEnd w:id="23"/>
      <w:bookmarkEnd w:id="24"/>
    </w:p>
    <w:p>
      <w:pPr>
        <w:ind w:firstLine="560" w:firstLineChars="200"/>
        <w:rPr>
          <w:rFonts w:ascii="仿宋" w:hAnsi="仿宋" w:eastAsia="仿宋"/>
          <w:color w:val="auto"/>
          <w:kern w:val="0"/>
          <w:sz w:val="28"/>
          <w:szCs w:val="28"/>
          <w:highlight w:val="none"/>
        </w:rPr>
      </w:pPr>
      <w:r>
        <w:rPr>
          <w:rFonts w:hint="eastAsia" w:ascii="仿宋" w:hAnsi="仿宋" w:eastAsia="仿宋" w:cs="仿宋"/>
          <w:color w:val="auto"/>
          <w:kern w:val="0"/>
          <w:sz w:val="28"/>
          <w:szCs w:val="28"/>
          <w:highlight w:val="none"/>
        </w:rPr>
        <w:t>自本公告发布之日起</w:t>
      </w:r>
      <w:r>
        <w:rPr>
          <w:rFonts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rPr>
        <w:t>个工作日。</w:t>
      </w:r>
    </w:p>
    <w:p>
      <w:pPr>
        <w:pStyle w:val="4"/>
        <w:spacing w:line="360" w:lineRule="auto"/>
        <w:rPr>
          <w:rFonts w:ascii="黑体"/>
          <w:b w:val="0"/>
          <w:bCs w:val="0"/>
          <w:color w:val="auto"/>
          <w:sz w:val="28"/>
          <w:szCs w:val="28"/>
          <w:highlight w:val="none"/>
        </w:rPr>
      </w:pPr>
      <w:bookmarkStart w:id="25" w:name="_Toc35393804"/>
      <w:bookmarkStart w:id="26" w:name="_Toc35393635"/>
      <w:r>
        <w:rPr>
          <w:rFonts w:hint="eastAsia" w:ascii="黑体" w:hAnsi="黑体" w:cs="黑体"/>
          <w:b w:val="0"/>
          <w:bCs w:val="0"/>
          <w:color w:val="auto"/>
          <w:sz w:val="28"/>
          <w:szCs w:val="28"/>
          <w:highlight w:val="none"/>
        </w:rPr>
        <w:t>七、其他补充事宜</w:t>
      </w:r>
      <w:bookmarkEnd w:id="25"/>
      <w:bookmarkEnd w:id="26"/>
    </w:p>
    <w:p>
      <w:pPr>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1.本项目需要落实的政府采购政策：</w:t>
      </w:r>
    </w:p>
    <w:p>
      <w:pPr>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（1）《政府采购促进中小企业发展暂行办法》（财库[2011]181 号）；</w:t>
      </w:r>
    </w:p>
    <w:p>
      <w:pPr>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（2）《财政部、司法部关于政府采购支持监狱企业发展有关问题的通知》（财库〔2014〕68号）；</w:t>
      </w:r>
    </w:p>
    <w:p>
      <w:pPr>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（3）《财政部民政部中国残疾人联合会关于促进残疾人就业政府采购政策的通知》（财库〔2017〕141号）；</w:t>
      </w:r>
    </w:p>
    <w:p>
      <w:pPr>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（4）财政部发展改革委生态环境部市场监管总局关于调整优化节能产品、环境标志产品政府采购执行机制的通知（财库〔2019〕9号）；</w:t>
      </w:r>
    </w:p>
    <w:p>
      <w:pPr>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（5）财政部发展改革委关于印发节能产品政府采购品目清单的通知（财库〔2019〕19号）等政府采购相关政策。</w:t>
      </w:r>
    </w:p>
    <w:p>
      <w:pPr>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2.本次采购公告同时在中国政府采购网（www.ccgp.gov.cn）、广西壮族自治区政府采购网（www.gxzfcg.gov.cn）、贵港市政府采购网（http://zfcg.ggcz.gov.cn）、贵港市公共资源交易中心网（http://ggggjy.gxgg.gov.cn:9005/）上发布。</w:t>
      </w:r>
    </w:p>
    <w:p>
      <w:pPr>
        <w:pStyle w:val="4"/>
        <w:spacing w:line="360" w:lineRule="auto"/>
        <w:rPr>
          <w:rFonts w:ascii="黑体"/>
          <w:b w:val="0"/>
          <w:bCs w:val="0"/>
          <w:color w:val="auto"/>
          <w:sz w:val="28"/>
          <w:szCs w:val="28"/>
          <w:highlight w:val="none"/>
        </w:rPr>
      </w:pPr>
      <w:bookmarkStart w:id="27" w:name="_Toc28359095"/>
      <w:bookmarkStart w:id="28" w:name="_Toc35393805"/>
      <w:bookmarkStart w:id="29" w:name="_Toc28359018"/>
      <w:bookmarkStart w:id="30" w:name="_Toc35393636"/>
      <w:r>
        <w:rPr>
          <w:rFonts w:hint="eastAsia" w:ascii="黑体" w:hAnsi="黑体" w:cs="黑体"/>
          <w:b w:val="0"/>
          <w:bCs w:val="0"/>
          <w:color w:val="auto"/>
          <w:sz w:val="28"/>
          <w:szCs w:val="28"/>
          <w:highlight w:val="none"/>
        </w:rPr>
        <w:t>八、凡对本次采购提出询问，请按以下方式联系。</w:t>
      </w:r>
      <w:bookmarkEnd w:id="27"/>
      <w:bookmarkEnd w:id="28"/>
      <w:bookmarkEnd w:id="29"/>
      <w:bookmarkEnd w:id="30"/>
    </w:p>
    <w:p>
      <w:pPr>
        <w:pStyle w:val="4"/>
        <w:spacing w:line="360" w:lineRule="auto"/>
        <w:ind w:firstLine="840" w:firstLineChars="300"/>
        <w:rPr>
          <w:rFonts w:ascii="仿宋" w:hAnsi="仿宋" w:eastAsia="仿宋"/>
          <w:b w:val="0"/>
          <w:bCs w:val="0"/>
          <w:color w:val="auto"/>
          <w:sz w:val="28"/>
          <w:szCs w:val="28"/>
          <w:highlight w:val="none"/>
        </w:rPr>
      </w:pPr>
      <w:bookmarkStart w:id="31" w:name="_Toc35393806"/>
      <w:bookmarkStart w:id="32" w:name="_Toc28359019"/>
      <w:bookmarkStart w:id="33" w:name="_Toc28359096"/>
      <w:bookmarkStart w:id="34" w:name="_Toc35393637"/>
      <w:r>
        <w:rPr>
          <w:rFonts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rPr>
        <w:t>采购人信息</w:t>
      </w:r>
      <w:bookmarkEnd w:id="31"/>
      <w:bookmarkEnd w:id="32"/>
      <w:bookmarkEnd w:id="33"/>
      <w:bookmarkEnd w:id="34"/>
    </w:p>
    <w:p>
      <w:pPr>
        <w:spacing w:line="360" w:lineRule="auto"/>
        <w:ind w:left="1129" w:leftChars="371" w:hanging="350" w:hangingChars="125"/>
        <w:jc w:val="left"/>
        <w:rPr>
          <w:rFonts w:ascii="仿宋" w:hAnsi="仿宋" w:eastAsia="仿宋"/>
          <w:color w:val="auto"/>
          <w:sz w:val="28"/>
          <w:szCs w:val="28"/>
          <w:highlight w:val="none"/>
        </w:rPr>
      </w:pPr>
      <w:r>
        <w:rPr>
          <w:rFonts w:hint="eastAsia" w:ascii="仿宋" w:hAnsi="仿宋" w:eastAsia="仿宋" w:cs="仿宋"/>
          <w:color w:val="auto"/>
          <w:sz w:val="28"/>
          <w:szCs w:val="28"/>
          <w:highlight w:val="none"/>
        </w:rPr>
        <w:t>名</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称：</w:t>
      </w:r>
      <w:r>
        <w:rPr>
          <w:rFonts w:hint="eastAsia" w:ascii="仿宋" w:hAnsi="仿宋" w:eastAsia="仿宋" w:cs="仿宋"/>
          <w:color w:val="auto"/>
          <w:sz w:val="28"/>
          <w:szCs w:val="28"/>
          <w:highlight w:val="none"/>
          <w:u w:val="single"/>
        </w:rPr>
        <w:t>　桂平市人民医院　</w:t>
      </w:r>
    </w:p>
    <w:p>
      <w:pPr>
        <w:spacing w:line="360" w:lineRule="auto"/>
        <w:ind w:left="1129" w:leftChars="371" w:hanging="350" w:hangingChars="125"/>
        <w:jc w:val="left"/>
        <w:rPr>
          <w:rFonts w:ascii="仿宋" w:hAnsi="仿宋" w:eastAsia="仿宋"/>
          <w:color w:val="auto"/>
          <w:sz w:val="28"/>
          <w:szCs w:val="28"/>
          <w:highlight w:val="none"/>
        </w:rPr>
      </w:pPr>
      <w:r>
        <w:rPr>
          <w:rFonts w:hint="eastAsia" w:ascii="仿宋" w:hAnsi="仿宋" w:eastAsia="仿宋" w:cs="仿宋"/>
          <w:color w:val="auto"/>
          <w:sz w:val="28"/>
          <w:szCs w:val="28"/>
          <w:highlight w:val="none"/>
        </w:rPr>
        <w:t>地</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址：</w:t>
      </w:r>
      <w:r>
        <w:rPr>
          <w:rFonts w:hint="eastAsia" w:ascii="仿宋" w:hAnsi="仿宋" w:eastAsia="仿宋" w:cs="仿宋"/>
          <w:color w:val="auto"/>
          <w:sz w:val="28"/>
          <w:szCs w:val="28"/>
          <w:highlight w:val="none"/>
          <w:u w:val="single"/>
        </w:rPr>
        <w:t>　广西桂平市人民西路7号　</w:t>
      </w:r>
    </w:p>
    <w:p>
      <w:pPr>
        <w:spacing w:line="360" w:lineRule="auto"/>
        <w:ind w:left="1129" w:leftChars="371" w:hanging="350" w:hangingChars="125"/>
        <w:jc w:val="left"/>
        <w:rPr>
          <w:rFonts w:ascii="仿宋" w:hAnsi="仿宋" w:eastAsia="仿宋"/>
          <w:color w:val="auto"/>
          <w:sz w:val="28"/>
          <w:szCs w:val="28"/>
          <w:highlight w:val="non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rPr>
        <w:t xml:space="preserve">　13036857560  </w:t>
      </w:r>
    </w:p>
    <w:p>
      <w:pPr>
        <w:spacing w:line="360" w:lineRule="auto"/>
        <w:ind w:left="1129" w:leftChars="371" w:hanging="350" w:hangingChars="125"/>
        <w:jc w:val="left"/>
        <w:rPr>
          <w:rFonts w:ascii="仿宋" w:hAnsi="仿宋" w:eastAsia="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采购代理机构信息</w:t>
      </w:r>
    </w:p>
    <w:p>
      <w:pPr>
        <w:spacing w:line="360" w:lineRule="auto"/>
        <w:ind w:firstLine="840" w:firstLineChars="300"/>
        <w:rPr>
          <w:rFonts w:ascii="仿宋" w:hAnsi="仿宋" w:eastAsia="仿宋"/>
          <w:color w:val="auto"/>
          <w:sz w:val="28"/>
          <w:szCs w:val="28"/>
          <w:highlight w:val="none"/>
        </w:rPr>
      </w:pPr>
      <w:r>
        <w:rPr>
          <w:rFonts w:hint="eastAsia" w:ascii="仿宋" w:hAnsi="仿宋" w:eastAsia="仿宋" w:cs="仿宋"/>
          <w:color w:val="auto"/>
          <w:sz w:val="28"/>
          <w:szCs w:val="28"/>
          <w:highlight w:val="none"/>
        </w:rPr>
        <w:t>名</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称：</w:t>
      </w:r>
      <w:r>
        <w:rPr>
          <w:rFonts w:hint="eastAsia" w:ascii="仿宋" w:hAnsi="仿宋" w:eastAsia="仿宋" w:cs="仿宋"/>
          <w:color w:val="auto"/>
          <w:sz w:val="28"/>
          <w:szCs w:val="28"/>
          <w:highlight w:val="none"/>
          <w:u w:val="single"/>
        </w:rPr>
        <w:t>　广西宝盛工程咨询有限公司　</w:t>
      </w:r>
    </w:p>
    <w:p>
      <w:pPr>
        <w:spacing w:line="360" w:lineRule="auto"/>
        <w:ind w:firstLine="840" w:firstLineChars="300"/>
        <w:rPr>
          <w:rFonts w:ascii="仿宋" w:hAnsi="仿宋" w:eastAsia="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　贵港市港北区中央花园2楼201　</w:t>
      </w:r>
    </w:p>
    <w:p>
      <w:pPr>
        <w:spacing w:line="360" w:lineRule="auto"/>
        <w:ind w:firstLine="840" w:firstLineChars="300"/>
        <w:rPr>
          <w:rFonts w:ascii="仿宋" w:hAnsi="仿宋" w:eastAsia="仿宋"/>
          <w:color w:val="auto"/>
          <w:sz w:val="28"/>
          <w:szCs w:val="28"/>
          <w:highlight w:val="none"/>
        </w:rPr>
      </w:pPr>
      <w:r>
        <w:rPr>
          <w:rFonts w:hint="eastAsia" w:ascii="仿宋" w:hAnsi="仿宋" w:eastAsia="仿宋" w:cs="仿宋"/>
          <w:color w:val="auto"/>
          <w:sz w:val="28"/>
          <w:szCs w:val="28"/>
          <w:highlight w:val="none"/>
        </w:rPr>
        <w:t>联系方式：</w:t>
      </w:r>
      <w:bookmarkStart w:id="35" w:name="_Toc28359010"/>
      <w:bookmarkStart w:id="36" w:name="_Toc28359087"/>
      <w:r>
        <w:rPr>
          <w:rFonts w:hint="eastAsia" w:ascii="仿宋" w:hAnsi="仿宋" w:eastAsia="仿宋" w:cs="仿宋"/>
          <w:color w:val="auto"/>
          <w:sz w:val="28"/>
          <w:szCs w:val="28"/>
          <w:highlight w:val="none"/>
          <w:u w:val="single"/>
        </w:rPr>
        <w:t>　0775-4360008　</w:t>
      </w:r>
    </w:p>
    <w:p>
      <w:pPr>
        <w:spacing w:line="360" w:lineRule="auto"/>
        <w:ind w:firstLine="840" w:firstLineChars="300"/>
        <w:rPr>
          <w:rFonts w:ascii="仿宋" w:hAnsi="仿宋" w:eastAsia="仿宋"/>
          <w:color w:val="auto"/>
          <w:sz w:val="28"/>
          <w:szCs w:val="28"/>
          <w:highlight w:val="none"/>
          <w:u w:val="singl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项目联系方式</w:t>
      </w:r>
      <w:bookmarkEnd w:id="35"/>
      <w:bookmarkEnd w:id="36"/>
    </w:p>
    <w:p>
      <w:pPr>
        <w:pStyle w:val="20"/>
        <w:spacing w:line="360" w:lineRule="auto"/>
        <w:ind w:firstLine="840" w:firstLineChars="300"/>
        <w:rPr>
          <w:rFonts w:ascii="仿宋" w:hAnsi="仿宋" w:eastAsia="仿宋"/>
          <w:color w:val="auto"/>
          <w:sz w:val="28"/>
          <w:szCs w:val="28"/>
          <w:highlight w:val="none"/>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single"/>
        </w:rPr>
        <w:t xml:space="preserve">  宋工  </w:t>
      </w:r>
    </w:p>
    <w:p>
      <w:pPr>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rPr>
        <w:t>　0775-4360008　</w:t>
      </w:r>
    </w:p>
    <w:p>
      <w:pPr>
        <w:ind w:firstLine="5320" w:firstLineChars="19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广西宝盛工程咨询有限公司</w:t>
      </w:r>
    </w:p>
    <w:p>
      <w:pPr>
        <w:ind w:firstLine="5880" w:firstLineChars="2100"/>
        <w:jc w:val="center"/>
        <w:rPr>
          <w:color w:val="auto"/>
          <w:sz w:val="36"/>
          <w:szCs w:val="36"/>
          <w:highlight w:val="none"/>
        </w:rPr>
      </w:pPr>
      <w:r>
        <w:rPr>
          <w:rFonts w:hint="eastAsia" w:ascii="仿宋" w:hAnsi="仿宋" w:eastAsia="仿宋" w:cs="仿宋"/>
          <w:color w:val="auto"/>
          <w:sz w:val="28"/>
          <w:szCs w:val="28"/>
          <w:highlight w:val="none"/>
        </w:rPr>
        <w:t>2020年12月8日</w:t>
      </w:r>
      <w:r>
        <w:rPr>
          <w:color w:val="auto"/>
          <w:highlight w:val="none"/>
        </w:rPr>
        <w:br w:type="page"/>
      </w:r>
      <w:bookmarkStart w:id="37" w:name="_Toc1829"/>
      <w:r>
        <w:rPr>
          <w:rFonts w:hint="eastAsia"/>
          <w:color w:val="auto"/>
          <w:sz w:val="36"/>
          <w:szCs w:val="36"/>
          <w:highlight w:val="none"/>
        </w:rPr>
        <w:t>第二章谈判须知及前附表</w:t>
      </w:r>
      <w:bookmarkEnd w:id="37"/>
    </w:p>
    <w:p>
      <w:pPr>
        <w:jc w:val="center"/>
        <w:rPr>
          <w:rFonts w:ascii="宋体" w:hAnsi="宋体"/>
          <w:b/>
          <w:color w:val="auto"/>
          <w:sz w:val="30"/>
          <w:szCs w:val="30"/>
          <w:highlight w:val="none"/>
        </w:rPr>
      </w:pPr>
      <w:r>
        <w:rPr>
          <w:rFonts w:hint="eastAsia" w:ascii="宋体" w:hAnsi="宋体"/>
          <w:b/>
          <w:color w:val="auto"/>
          <w:sz w:val="30"/>
          <w:szCs w:val="30"/>
          <w:highlight w:val="none"/>
        </w:rPr>
        <w:t>谈判须知前附表</w:t>
      </w:r>
    </w:p>
    <w:tbl>
      <w:tblPr>
        <w:tblStyle w:val="35"/>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45"/>
        <w:gridCol w:w="7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Pr>
          <w:p>
            <w:pPr>
              <w:jc w:val="center"/>
              <w:rPr>
                <w:rFonts w:ascii="宋体" w:hAnsi="宋体"/>
                <w:color w:val="auto"/>
                <w:szCs w:val="21"/>
                <w:highlight w:val="none"/>
              </w:rPr>
            </w:pPr>
            <w:r>
              <w:rPr>
                <w:rFonts w:hint="eastAsia" w:ascii="宋体" w:hAnsi="宋体"/>
                <w:color w:val="auto"/>
                <w:szCs w:val="21"/>
                <w:highlight w:val="none"/>
              </w:rPr>
              <w:t>序号</w:t>
            </w:r>
          </w:p>
        </w:tc>
        <w:tc>
          <w:tcPr>
            <w:tcW w:w="945" w:type="dxa"/>
          </w:tcPr>
          <w:p>
            <w:pPr>
              <w:jc w:val="center"/>
              <w:rPr>
                <w:rFonts w:ascii="宋体" w:hAnsi="宋体"/>
                <w:color w:val="auto"/>
                <w:szCs w:val="21"/>
                <w:highlight w:val="none"/>
              </w:rPr>
            </w:pPr>
            <w:r>
              <w:rPr>
                <w:rFonts w:hint="eastAsia" w:ascii="宋体" w:hAnsi="宋体"/>
                <w:color w:val="auto"/>
                <w:szCs w:val="21"/>
                <w:highlight w:val="none"/>
              </w:rPr>
              <w:t>条款号</w:t>
            </w:r>
          </w:p>
        </w:tc>
        <w:tc>
          <w:tcPr>
            <w:tcW w:w="7390" w:type="dxa"/>
          </w:tcPr>
          <w:p>
            <w:pPr>
              <w:jc w:val="center"/>
              <w:rPr>
                <w:rFonts w:ascii="宋体" w:hAnsi="宋体"/>
                <w:color w:val="auto"/>
                <w:szCs w:val="21"/>
                <w:highlight w:val="none"/>
              </w:rPr>
            </w:pPr>
            <w:r>
              <w:rPr>
                <w:rFonts w:hint="eastAsia" w:ascii="宋体" w:hAnsi="宋体"/>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94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1.1</w:t>
            </w:r>
          </w:p>
        </w:tc>
        <w:tc>
          <w:tcPr>
            <w:tcW w:w="7390"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bCs/>
                <w:color w:val="auto"/>
                <w:szCs w:val="21"/>
                <w:highlight w:val="none"/>
              </w:rPr>
              <w:t>桂平市人民医院传染病防控队伍建设申购医用类物资</w:t>
            </w:r>
          </w:p>
          <w:p>
            <w:pPr>
              <w:spacing w:line="400" w:lineRule="exact"/>
              <w:rPr>
                <w:rFonts w:ascii="宋体" w:hAnsi="宋体"/>
                <w:color w:val="auto"/>
                <w:szCs w:val="21"/>
                <w:highlight w:val="none"/>
                <w:u w:val="single"/>
              </w:rPr>
            </w:pPr>
            <w:r>
              <w:rPr>
                <w:rFonts w:hint="eastAsia" w:ascii="宋体" w:hAnsi="宋体"/>
                <w:color w:val="auto"/>
                <w:szCs w:val="21"/>
                <w:highlight w:val="none"/>
              </w:rPr>
              <w:t>项目编号：GGZC2020-C1-50351-GXBS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94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3.1</w:t>
            </w:r>
          </w:p>
        </w:tc>
        <w:tc>
          <w:tcPr>
            <w:tcW w:w="7390"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供应商资格要求：</w:t>
            </w:r>
          </w:p>
          <w:p>
            <w:pPr>
              <w:snapToGrid w:val="0"/>
              <w:spacing w:line="400" w:lineRule="exact"/>
              <w:rPr>
                <w:rFonts w:ascii="宋体" w:hAnsi="宋体" w:cs="Arial"/>
                <w:color w:val="auto"/>
                <w:szCs w:val="21"/>
                <w:highlight w:val="none"/>
              </w:rPr>
            </w:pPr>
            <w:r>
              <w:rPr>
                <w:rFonts w:hint="eastAsia" w:ascii="宋体" w:hAnsi="宋体"/>
                <w:color w:val="auto"/>
                <w:szCs w:val="21"/>
                <w:highlight w:val="none"/>
              </w:rPr>
              <w:t>1.</w:t>
            </w:r>
            <w:r>
              <w:rPr>
                <w:rFonts w:hint="eastAsia" w:ascii="宋体" w:hAnsi="宋体" w:cs="Arial"/>
                <w:color w:val="auto"/>
                <w:szCs w:val="21"/>
                <w:highlight w:val="none"/>
              </w:rPr>
              <w:t>符合《中华人民共和国政府采购法》第二十二条规定；</w:t>
            </w:r>
          </w:p>
          <w:p>
            <w:pPr>
              <w:snapToGrid w:val="0"/>
              <w:spacing w:line="400" w:lineRule="exact"/>
              <w:rPr>
                <w:rFonts w:ascii="宋体" w:hAnsi="宋体" w:cs="Arial"/>
                <w:color w:val="auto"/>
                <w:szCs w:val="21"/>
                <w:highlight w:val="none"/>
              </w:rPr>
            </w:pPr>
            <w:r>
              <w:rPr>
                <w:rFonts w:hint="eastAsia" w:ascii="宋体" w:hAnsi="宋体" w:cs="Arial"/>
                <w:color w:val="auto"/>
                <w:szCs w:val="21"/>
                <w:highlight w:val="none"/>
              </w:rPr>
              <w:t>2.国内注册（指按国家有关规定要求注册的）依法能提供本次采购货物，具有法人资格的供应商；</w:t>
            </w:r>
          </w:p>
          <w:p>
            <w:pPr>
              <w:snapToGrid w:val="0"/>
              <w:spacing w:line="400" w:lineRule="exact"/>
              <w:rPr>
                <w:rFonts w:ascii="宋体" w:hAnsi="宋体" w:cs="Arial"/>
                <w:color w:val="auto"/>
                <w:szCs w:val="21"/>
                <w:highlight w:val="none"/>
              </w:rPr>
            </w:pPr>
            <w:r>
              <w:rPr>
                <w:rFonts w:hint="eastAsia" w:ascii="宋体" w:hAnsi="宋体" w:cs="Arial"/>
                <w:color w:val="auto"/>
                <w:szCs w:val="21"/>
                <w:highlight w:val="none"/>
              </w:rPr>
              <w:t>3.对在“信用中国”网站(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46"/>
                <w:rFonts w:hint="eastAsia" w:ascii="宋体" w:hAnsi="宋体" w:cs="Arial"/>
                <w:color w:val="auto"/>
                <w:szCs w:val="21"/>
                <w:highlight w:val="none"/>
              </w:rPr>
              <w:t>www.creditchina.gov.cn</w:t>
            </w:r>
            <w:r>
              <w:rPr>
                <w:rStyle w:val="46"/>
                <w:rFonts w:hint="eastAsia" w:ascii="宋体" w:hAnsi="宋体" w:cs="Arial"/>
                <w:color w:val="auto"/>
                <w:szCs w:val="21"/>
                <w:highlight w:val="none"/>
              </w:rPr>
              <w:fldChar w:fldCharType="end"/>
            </w:r>
            <w:r>
              <w:rPr>
                <w:rFonts w:hint="eastAsia" w:ascii="宋体" w:hAnsi="宋体" w:cs="Arial"/>
                <w:color w:val="auto"/>
                <w:szCs w:val="21"/>
                <w:highlight w:val="none"/>
              </w:rPr>
              <w:t>)、中国政府采购网(www.ccgp.gov.cn)等渠道列入失信被执行人、重大税收违法案件当事人名单、政府采购严重违法失信行为记录名单的供应商，不得参与本项目政府采购活动；</w:t>
            </w:r>
          </w:p>
          <w:p>
            <w:pPr>
              <w:snapToGrid w:val="0"/>
              <w:spacing w:line="400" w:lineRule="exact"/>
              <w:rPr>
                <w:rFonts w:ascii="宋体" w:hAnsi="宋体" w:cs="Arial"/>
                <w:color w:val="auto"/>
                <w:szCs w:val="21"/>
                <w:highlight w:val="none"/>
              </w:rPr>
            </w:pPr>
            <w:r>
              <w:rPr>
                <w:rFonts w:hint="eastAsia" w:ascii="宋体" w:hAnsi="宋体" w:cs="Arial"/>
                <w:color w:val="auto"/>
                <w:szCs w:val="21"/>
                <w:highlight w:val="none"/>
              </w:rPr>
              <w:t>4.单位负责人为同一人或者存在直接控股、管理关系的不同供应商，不得参加本项目同一标段下的政府采购活动。除单一来源采购项目外，为采购项目提供整体设计、规范编制或者项目管理、监理、检测等服务的供应商，不得再参加该采购项目的其他采购活动。</w:t>
            </w:r>
          </w:p>
          <w:p>
            <w:pPr>
              <w:snapToGrid w:val="0"/>
              <w:spacing w:line="400" w:lineRule="exact"/>
              <w:rPr>
                <w:color w:val="auto"/>
                <w:szCs w:val="21"/>
                <w:highlight w:val="none"/>
              </w:rPr>
            </w:pPr>
            <w:r>
              <w:rPr>
                <w:rFonts w:hint="eastAsia" w:ascii="宋体" w:hAnsi="宋体" w:cs="Arial"/>
                <w:color w:val="auto"/>
                <w:szCs w:val="21"/>
                <w:highlight w:val="none"/>
              </w:rPr>
              <w:t>5.本项目不接受联合体竞标</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26"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94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10.1</w:t>
            </w:r>
          </w:p>
        </w:tc>
        <w:tc>
          <w:tcPr>
            <w:tcW w:w="7390"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响应文件有效期：响应文件递交截止日起60天。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6"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94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11.4</w:t>
            </w:r>
          </w:p>
        </w:tc>
        <w:tc>
          <w:tcPr>
            <w:tcW w:w="7390"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首次响应文件份数：</w:t>
            </w:r>
            <w:r>
              <w:rPr>
                <w:rFonts w:hint="eastAsia" w:ascii="宋体" w:hAnsi="宋体"/>
                <w:b/>
                <w:color w:val="auto"/>
                <w:szCs w:val="21"/>
                <w:highlight w:val="none"/>
              </w:rPr>
              <w:t>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94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12.4</w:t>
            </w:r>
          </w:p>
        </w:tc>
        <w:tc>
          <w:tcPr>
            <w:tcW w:w="7390" w:type="dxa"/>
            <w:vAlign w:val="center"/>
          </w:tcPr>
          <w:p>
            <w:pPr>
              <w:pStyle w:val="20"/>
              <w:spacing w:line="420" w:lineRule="exact"/>
              <w:rPr>
                <w:rFonts w:hAnsi="宋体"/>
                <w:color w:val="auto"/>
                <w:szCs w:val="21"/>
                <w:highlight w:val="none"/>
              </w:rPr>
            </w:pPr>
            <w:r>
              <w:rPr>
                <w:rFonts w:hint="eastAsia" w:hAnsi="宋体"/>
                <w:color w:val="auto"/>
                <w:szCs w:val="21"/>
                <w:highlight w:val="none"/>
              </w:rPr>
              <w:t>竞标报价：</w:t>
            </w:r>
            <w:r>
              <w:rPr>
                <w:rFonts w:hint="eastAsia" w:hAnsi="宋体"/>
                <w:bCs/>
                <w:color w:val="auto"/>
                <w:szCs w:val="21"/>
                <w:highlight w:val="none"/>
              </w:rPr>
              <w:t>供应商须就《采购项目需求</w:t>
            </w:r>
            <w:r>
              <w:rPr>
                <w:rFonts w:hAnsi="宋体"/>
                <w:bCs/>
                <w:color w:val="auto"/>
                <w:szCs w:val="21"/>
                <w:highlight w:val="none"/>
              </w:rPr>
              <w:t>表</w:t>
            </w:r>
            <w:r>
              <w:rPr>
                <w:rFonts w:hint="eastAsia" w:hAnsi="宋体"/>
                <w:bCs/>
                <w:color w:val="auto"/>
                <w:szCs w:val="21"/>
                <w:highlight w:val="none"/>
              </w:rPr>
              <w:t>》中所有货物内容作完整唯一报价。</w:t>
            </w:r>
          </w:p>
          <w:p>
            <w:pPr>
              <w:pStyle w:val="20"/>
              <w:spacing w:line="420" w:lineRule="exact"/>
              <w:rPr>
                <w:rFonts w:hAnsi="宋体"/>
                <w:color w:val="auto"/>
                <w:szCs w:val="21"/>
                <w:highlight w:val="none"/>
              </w:rPr>
            </w:pPr>
            <w:r>
              <w:rPr>
                <w:rFonts w:hint="eastAsia" w:hAnsi="宋体"/>
                <w:color w:val="auto"/>
                <w:szCs w:val="21"/>
                <w:highlight w:val="none"/>
              </w:rPr>
              <w:t>采购预算：人民币壹佰壹拾叁万陆仟陆佰玖拾伍元陆角肆分（¥1136695.64）。供应商最终报价超出采购预算的，竞标无效。</w:t>
            </w:r>
          </w:p>
          <w:p>
            <w:pPr>
              <w:pStyle w:val="20"/>
              <w:spacing w:line="420" w:lineRule="exact"/>
              <w:rPr>
                <w:rFonts w:hAnsi="宋体"/>
                <w:color w:val="auto"/>
                <w:szCs w:val="21"/>
                <w:highlight w:val="none"/>
              </w:rPr>
            </w:pPr>
            <w:r>
              <w:rPr>
                <w:rFonts w:hint="eastAsia" w:hAnsi="宋体"/>
                <w:color w:val="auto"/>
                <w:szCs w:val="21"/>
                <w:highlight w:val="none"/>
              </w:rPr>
              <w:t>资</w:t>
            </w:r>
            <w:r>
              <w:rPr>
                <w:rFonts w:hAnsi="宋体"/>
                <w:color w:val="auto"/>
                <w:szCs w:val="21"/>
                <w:highlight w:val="none"/>
              </w:rPr>
              <w:t>金</w:t>
            </w:r>
            <w:r>
              <w:rPr>
                <w:rFonts w:hint="eastAsia" w:hAnsi="宋体"/>
                <w:color w:val="auto"/>
                <w:szCs w:val="21"/>
                <w:highlight w:val="none"/>
              </w:rPr>
              <w:t>来</w:t>
            </w:r>
            <w:r>
              <w:rPr>
                <w:rFonts w:hAnsi="宋体"/>
                <w:color w:val="auto"/>
                <w:szCs w:val="21"/>
                <w:highlight w:val="none"/>
              </w:rPr>
              <w:t>源：</w:t>
            </w:r>
            <w:r>
              <w:rPr>
                <w:rFonts w:hint="eastAsia" w:hAnsi="宋体"/>
                <w:color w:val="auto"/>
                <w:szCs w:val="21"/>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726"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94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16.1</w:t>
            </w:r>
          </w:p>
        </w:tc>
        <w:tc>
          <w:tcPr>
            <w:tcW w:w="7390" w:type="dxa"/>
            <w:vAlign w:val="center"/>
          </w:tcPr>
          <w:p>
            <w:pPr>
              <w:pStyle w:val="20"/>
              <w:spacing w:line="400" w:lineRule="exact"/>
              <w:rPr>
                <w:rFonts w:hAnsi="宋体"/>
                <w:color w:val="auto"/>
                <w:szCs w:val="21"/>
                <w:highlight w:val="none"/>
              </w:rPr>
            </w:pPr>
            <w:r>
              <w:rPr>
                <w:rFonts w:hint="eastAsia" w:hAnsi="宋体"/>
                <w:color w:val="auto"/>
                <w:szCs w:val="21"/>
                <w:highlight w:val="none"/>
              </w:rPr>
              <w:t>首次响应文件递交截止时间：2020年12月14日下午15点 30分；</w:t>
            </w:r>
          </w:p>
          <w:p>
            <w:pPr>
              <w:pStyle w:val="20"/>
              <w:spacing w:line="400" w:lineRule="exact"/>
              <w:rPr>
                <w:rFonts w:hAnsi="宋体" w:cs="宋体"/>
                <w:color w:val="auto"/>
                <w:szCs w:val="21"/>
                <w:highlight w:val="none"/>
                <w:shd w:val="clear" w:color="auto" w:fill="FFFFFF"/>
              </w:rPr>
            </w:pPr>
            <w:r>
              <w:rPr>
                <w:rFonts w:hint="eastAsia" w:hAnsi="宋体"/>
                <w:color w:val="auto"/>
                <w:szCs w:val="21"/>
                <w:highlight w:val="none"/>
              </w:rPr>
              <w:t>地址：桂平市政务服务中心新大楼五楼【桂江西路中段原国会大厦（桂平市公共资源交易中心）】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26"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94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7.1</w:t>
            </w:r>
          </w:p>
        </w:tc>
        <w:tc>
          <w:tcPr>
            <w:tcW w:w="7390"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谈判时间：2020年12月14日下午15点 30分截标后（具体时间由采购代理机构另行通知）；</w:t>
            </w:r>
          </w:p>
          <w:p>
            <w:pPr>
              <w:spacing w:line="400" w:lineRule="exact"/>
              <w:rPr>
                <w:rFonts w:ascii="宋体" w:hAnsi="宋体"/>
                <w:color w:val="auto"/>
                <w:szCs w:val="21"/>
                <w:highlight w:val="none"/>
              </w:rPr>
            </w:pPr>
            <w:r>
              <w:rPr>
                <w:rFonts w:hint="eastAsia" w:ascii="宋体" w:hAnsi="宋体"/>
                <w:color w:val="auto"/>
                <w:szCs w:val="21"/>
                <w:highlight w:val="none"/>
              </w:rPr>
              <w:t>谈判地点：桂平市政务服务中心新大楼五楼【桂江西路中段原国会大厦（桂平市公共资源交易中心）】</w:t>
            </w:r>
            <w:r>
              <w:rPr>
                <w:rFonts w:hint="eastAsia" w:ascii="宋体" w:hAnsi="宋体" w:cs="宋体"/>
                <w:color w:val="auto"/>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26"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94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8.1</w:t>
            </w:r>
          </w:p>
        </w:tc>
        <w:tc>
          <w:tcPr>
            <w:tcW w:w="7390" w:type="dxa"/>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szCs w:val="21"/>
                <w:highlight w:val="none"/>
              </w:rPr>
              <w:t>付款方式：</w:t>
            </w:r>
            <w:r>
              <w:rPr>
                <w:rFonts w:hint="eastAsia" w:ascii="宋体" w:hAnsi="宋体" w:cs="宋体"/>
                <w:color w:val="auto"/>
                <w:kern w:val="0"/>
                <w:sz w:val="20"/>
                <w:szCs w:val="20"/>
                <w:highlight w:val="none"/>
                <w:lang w:bidi="ar"/>
              </w:rPr>
              <w:t>1、货物安装调式正常运行后，经最终验收合格，凭中标人提交付款申请书、开具的合同金额财务发票及货物验收证明书，招标人在收到以上材料后3个工作日内向中标人支付95%的合同货款；</w:t>
            </w:r>
          </w:p>
          <w:p>
            <w:pPr>
              <w:widowControl/>
              <w:jc w:val="left"/>
              <w:textAlignment w:val="center"/>
              <w:rPr>
                <w:rFonts w:ascii="宋体" w:hAnsi="宋体"/>
                <w:color w:val="auto"/>
                <w:szCs w:val="21"/>
                <w:highlight w:val="none"/>
              </w:rPr>
            </w:pPr>
            <w:r>
              <w:rPr>
                <w:rFonts w:hint="eastAsia" w:ascii="宋体" w:hAnsi="宋体" w:cs="宋体"/>
                <w:color w:val="auto"/>
                <w:kern w:val="0"/>
                <w:sz w:val="20"/>
                <w:szCs w:val="20"/>
                <w:highlight w:val="none"/>
                <w:lang w:bidi="ar"/>
              </w:rPr>
              <w:t>2、另5%合同货款作为质量保证金，在质保期壹年内若中标人完全履行了质量保证义务，且没有任何未解决的质量问题,质量保证金在验收合格一年后30个工作日内由招标人一次性付清（无息）。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26"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94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9.1</w:t>
            </w:r>
          </w:p>
        </w:tc>
        <w:tc>
          <w:tcPr>
            <w:tcW w:w="7390"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代理服务费</w:t>
            </w:r>
            <w:r>
              <w:rPr>
                <w:rFonts w:hint="eastAsia" w:hAnsi="宋体"/>
                <w:color w:val="auto"/>
                <w:szCs w:val="21"/>
                <w:highlight w:val="none"/>
              </w:rPr>
              <w:t>按发改价格〔2015〕299号文执行，代理服务费</w:t>
            </w:r>
            <w:r>
              <w:rPr>
                <w:rFonts w:ascii="宋体" w:hAnsi="宋体" w:cs="宋体"/>
                <w:bCs/>
                <w:color w:val="auto"/>
                <w:kern w:val="0"/>
                <w:szCs w:val="21"/>
                <w:highlight w:val="none"/>
              </w:rPr>
              <w:t>金额</w:t>
            </w:r>
            <w:r>
              <w:rPr>
                <w:rFonts w:hint="eastAsia" w:ascii="宋体" w:hAnsi="宋体" w:cs="宋体"/>
                <w:bCs/>
                <w:color w:val="auto"/>
                <w:kern w:val="0"/>
                <w:szCs w:val="21"/>
                <w:highlight w:val="none"/>
              </w:rPr>
              <w:t>为（人民币）：人民币壹万陆仟伍佰零肆元整（￥16504.00），由成交人向采购代理机构支付，</w:t>
            </w:r>
            <w:r>
              <w:rPr>
                <w:rFonts w:hint="eastAsia" w:ascii="宋体" w:hAnsi="宋体"/>
                <w:color w:val="auto"/>
                <w:szCs w:val="21"/>
                <w:highlight w:val="none"/>
              </w:rPr>
              <w:t>发出成交通知书前，成交人向广西宝盛工程咨询有限公司一次性付清代理服务费。</w:t>
            </w:r>
          </w:p>
          <w:p>
            <w:pPr>
              <w:spacing w:line="360" w:lineRule="exact"/>
              <w:rPr>
                <w:rFonts w:hAnsi="宋体"/>
                <w:b/>
                <w:color w:val="auto"/>
                <w:szCs w:val="21"/>
                <w:highlight w:val="none"/>
              </w:rPr>
            </w:pPr>
            <w:r>
              <w:rPr>
                <w:rFonts w:hint="eastAsia" w:hAnsi="宋体"/>
                <w:b/>
                <w:color w:val="auto"/>
                <w:szCs w:val="21"/>
                <w:highlight w:val="none"/>
              </w:rPr>
              <w:t>招标代理服务费缴纳账户：</w:t>
            </w:r>
          </w:p>
          <w:p>
            <w:pPr>
              <w:pStyle w:val="17"/>
              <w:rPr>
                <w:rFonts w:hAnsi="宋体"/>
                <w:color w:val="auto"/>
                <w:kern w:val="2"/>
                <w:sz w:val="21"/>
                <w:szCs w:val="21"/>
                <w:highlight w:val="none"/>
              </w:rPr>
            </w:pPr>
            <w:r>
              <w:rPr>
                <w:rFonts w:hint="eastAsia" w:hAnsi="宋体" w:cs="宋体"/>
                <w:bCs/>
                <w:color w:val="auto"/>
                <w:sz w:val="21"/>
                <w:szCs w:val="21"/>
                <w:highlight w:val="none"/>
              </w:rPr>
              <w:t>开</w:t>
            </w:r>
            <w:r>
              <w:rPr>
                <w:rFonts w:hint="eastAsia" w:hAnsi="宋体"/>
                <w:color w:val="auto"/>
                <w:kern w:val="2"/>
                <w:sz w:val="21"/>
                <w:szCs w:val="21"/>
                <w:highlight w:val="none"/>
              </w:rPr>
              <w:t>户名称：广西宝盛工程咨询有限公司</w:t>
            </w:r>
            <w:r>
              <w:rPr>
                <w:rFonts w:hint="eastAsia" w:hAnsi="宋体"/>
                <w:color w:val="auto"/>
                <w:kern w:val="2"/>
                <w:sz w:val="21"/>
                <w:szCs w:val="21"/>
                <w:highlight w:val="none"/>
              </w:rPr>
              <w:br w:type="textWrapping"/>
            </w:r>
            <w:r>
              <w:rPr>
                <w:rFonts w:hint="eastAsia" w:hAnsi="宋体"/>
                <w:color w:val="auto"/>
                <w:kern w:val="2"/>
                <w:sz w:val="21"/>
                <w:szCs w:val="21"/>
                <w:highlight w:val="none"/>
              </w:rPr>
              <w:t>开户银行：中国工商银行股份有限公司贵港市荷城支行</w:t>
            </w:r>
          </w:p>
          <w:p>
            <w:pPr>
              <w:pStyle w:val="17"/>
              <w:rPr>
                <w:color w:val="auto"/>
                <w:highlight w:val="none"/>
              </w:rPr>
            </w:pPr>
            <w:r>
              <w:rPr>
                <w:rFonts w:hint="eastAsia" w:hAnsi="宋体"/>
                <w:color w:val="auto"/>
                <w:kern w:val="2"/>
                <w:sz w:val="21"/>
                <w:szCs w:val="21"/>
                <w:highlight w:val="none"/>
              </w:rPr>
              <w:t>银行账号： 2116710809100102991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726"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94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10.1</w:t>
            </w:r>
          </w:p>
        </w:tc>
        <w:tc>
          <w:tcPr>
            <w:tcW w:w="7390"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1.本谈判文件中描述供应商的“公章”是指根据我国对公章的管理规定，用供应商法定主体行为名称制作的印章，除本谈判文件有特殊规定外，供应商的财务章、部门章、分公司章、工会章、合同章、投标专用章、业务专用章等其它形式印章均不能代替公章。</w:t>
            </w:r>
          </w:p>
          <w:p>
            <w:pPr>
              <w:spacing w:line="400" w:lineRule="exact"/>
              <w:rPr>
                <w:rFonts w:ascii="宋体" w:hAnsi="宋体"/>
                <w:color w:val="auto"/>
                <w:szCs w:val="21"/>
                <w:highlight w:val="none"/>
              </w:rPr>
            </w:pPr>
            <w:r>
              <w:rPr>
                <w:rFonts w:hint="eastAsia" w:ascii="宋体" w:hAnsi="宋体"/>
                <w:color w:val="auto"/>
                <w:szCs w:val="21"/>
                <w:highlight w:val="none"/>
              </w:rPr>
              <w:t>2.本谈判文件中描述供应商的“签字”是指供应商的法定代表人或被授权人亲自在谈判文件规定签署处亲笔写上个人的名字的行为，私章、签字章、印鉴、影印等其它形式均不能代替亲笔签字。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726"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11</w:t>
            </w:r>
          </w:p>
        </w:tc>
        <w:tc>
          <w:tcPr>
            <w:tcW w:w="94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11.1</w:t>
            </w:r>
          </w:p>
        </w:tc>
        <w:tc>
          <w:tcPr>
            <w:tcW w:w="7390"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 xml:space="preserve">政府采购合同公告。 </w:t>
            </w:r>
          </w:p>
          <w:p>
            <w:pPr>
              <w:spacing w:line="400" w:lineRule="exact"/>
              <w:rPr>
                <w:rFonts w:ascii="宋体" w:hAnsi="宋体"/>
                <w:color w:val="auto"/>
                <w:szCs w:val="21"/>
                <w:highlight w:val="none"/>
              </w:rPr>
            </w:pPr>
            <w:r>
              <w:rPr>
                <w:rFonts w:hint="eastAsia" w:ascii="宋体" w:hAnsi="宋体"/>
                <w:color w:val="auto"/>
                <w:szCs w:val="21"/>
                <w:highlight w:val="none"/>
              </w:rPr>
              <w:t xml:space="preserve">根据《中华人民共和国政府采购法实施条例》第五十条规定，采购人应当自政 </w:t>
            </w:r>
          </w:p>
          <w:p>
            <w:pPr>
              <w:spacing w:line="400" w:lineRule="exact"/>
              <w:rPr>
                <w:rFonts w:ascii="宋体" w:hAnsi="宋体"/>
                <w:color w:val="auto"/>
                <w:szCs w:val="21"/>
                <w:highlight w:val="none"/>
              </w:rPr>
            </w:pPr>
            <w:r>
              <w:rPr>
                <w:rFonts w:hint="eastAsia" w:ascii="宋体" w:hAnsi="宋体"/>
                <w:color w:val="auto"/>
                <w:szCs w:val="21"/>
                <w:highlight w:val="none"/>
              </w:rPr>
              <w:t>府采购合同签订之日起2个工作日内，将政府采购合同在省级以上人民政府财政部门 指定的媒体上公告，但政府采购合同中涉及国家秘密、商业秘密的内容除外。</w:t>
            </w:r>
          </w:p>
        </w:tc>
      </w:tr>
    </w:tbl>
    <w:p>
      <w:pPr>
        <w:spacing w:line="400" w:lineRule="exact"/>
        <w:jc w:val="center"/>
        <w:rPr>
          <w:rFonts w:ascii="宋体" w:hAnsi="宋体"/>
          <w:b/>
          <w:color w:val="auto"/>
          <w:sz w:val="30"/>
          <w:szCs w:val="30"/>
          <w:highlight w:val="none"/>
        </w:rPr>
      </w:pPr>
      <w:r>
        <w:rPr>
          <w:rFonts w:ascii="宋体" w:hAnsi="宋体"/>
          <w:b/>
          <w:color w:val="auto"/>
          <w:sz w:val="30"/>
          <w:szCs w:val="30"/>
          <w:highlight w:val="none"/>
        </w:rPr>
        <w:br w:type="page"/>
      </w:r>
      <w:r>
        <w:rPr>
          <w:rFonts w:hint="eastAsia" w:ascii="宋体" w:hAnsi="宋体"/>
          <w:b/>
          <w:color w:val="auto"/>
          <w:sz w:val="30"/>
          <w:szCs w:val="30"/>
          <w:highlight w:val="none"/>
        </w:rPr>
        <w:t>谈判须知</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一、总　则</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1.适用范围</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 本文件仅适用于本文件中所叙述的货物、服务类政府采购项目。</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2.定义</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2.1“采购人”是指：依法进行政府采购的国家机关、事业单位、团体组织。</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2.2“采购代理机构”是指：根据采购人的委托办理采购事宜的机构，本项目的采购代理机构为广西宝盛工程咨询有限公司。</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2.3“供应商”是指购买了竞争性谈判采购文件，响应本文件要求，参加谈判的法人、其他组织或者自然人。如果该供应商在本次谈判中成交，即成为“成交供应商”。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2.4“货物”是指各种形态和种类的物品，包括原材料、燃料、设备、产品等。</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2.5“服务”是指除货物和工程以外的其他政府采购对象。</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2.6“响应文件”是指：供应商根据本文件要求，编制包含报价、技术和服务等所有内容的文件。</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3.供应商的资格条件</w:t>
      </w:r>
    </w:p>
    <w:p>
      <w:pPr>
        <w:spacing w:line="400" w:lineRule="exact"/>
        <w:ind w:firstLine="420" w:firstLineChars="200"/>
        <w:rPr>
          <w:rFonts w:ascii="宋体" w:hAnsi="宋体" w:cs="Arial"/>
          <w:color w:val="auto"/>
          <w:szCs w:val="21"/>
          <w:highlight w:val="none"/>
        </w:rPr>
      </w:pPr>
      <w:r>
        <w:rPr>
          <w:rFonts w:hint="eastAsia" w:ascii="宋体" w:hAnsi="宋体"/>
          <w:color w:val="auto"/>
          <w:szCs w:val="21"/>
          <w:highlight w:val="none"/>
        </w:rPr>
        <w:t>3.1</w:t>
      </w:r>
      <w:r>
        <w:rPr>
          <w:rFonts w:hint="eastAsia" w:ascii="宋体" w:hAnsi="宋体" w:cs="Arial"/>
          <w:color w:val="auto"/>
          <w:szCs w:val="21"/>
          <w:highlight w:val="none"/>
        </w:rPr>
        <w:t>参加本项目的供应商必须满足符合《中华人民共和国政府采购法》第二十二条规定。</w:t>
      </w:r>
    </w:p>
    <w:p>
      <w:pPr>
        <w:spacing w:line="4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 xml:space="preserve">3.2参加本项目的供应商应满足的其它特定资格条件：具体见“谈判须知前附表”要求。 </w:t>
      </w:r>
    </w:p>
    <w:p>
      <w:pPr>
        <w:spacing w:line="4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3.3谈判须知前附表规定接受联合体竞标的，两个以上供应商可以组成一个竞标联合体，以一个供应商的身份共同参加竞标。以联合体形式参加竞标的，联合体各方均应当符合《中华人民共和国政府采购法》第二十二条规定；</w:t>
      </w:r>
      <w:r>
        <w:rPr>
          <w:rFonts w:hint="eastAsia" w:hAnsi="宋体"/>
          <w:color w:val="auto"/>
          <w:highlight w:val="none"/>
        </w:rPr>
        <w:t>本项目有特殊要求规定供应商特定资格条件的，联合体各方中至少应当有一方符合谈判文件规定的特定资格条件</w:t>
      </w:r>
      <w:r>
        <w:rPr>
          <w:rFonts w:hint="eastAsia" w:ascii="宋体" w:hAnsi="宋体" w:cs="Arial"/>
          <w:color w:val="auto"/>
          <w:szCs w:val="21"/>
          <w:highlight w:val="none"/>
        </w:rPr>
        <w:t>。联合体各方应签订共同竞标协议，明确联合体各方承担的工作和相应的责任，并将共同竞标协议连同响应文件一并提交。由同一专业的单位组成的联合体，按照资质等级较低的单位确定资质等级。联合体各方不得再以自己名义单独或组成新的联合体参加同一项目同一分标竞标，否则与之相关的响应文件作废。联合体的业绩和信誉按联合体主体方（或牵头方）计算。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联合体协议书格式见第六章附件。</w:t>
      </w:r>
    </w:p>
    <w:p>
      <w:pPr>
        <w:spacing w:line="400" w:lineRule="exact"/>
        <w:ind w:firstLine="420" w:firstLineChars="200"/>
        <w:rPr>
          <w:rFonts w:ascii="宋体" w:hAnsi="宋体"/>
          <w:color w:val="auto"/>
          <w:szCs w:val="21"/>
          <w:highlight w:val="none"/>
          <w:u w:val="single"/>
        </w:rPr>
      </w:pPr>
      <w:r>
        <w:rPr>
          <w:rFonts w:hint="eastAsia" w:ascii="宋体" w:hAnsi="宋体" w:cs="Arial"/>
          <w:color w:val="auto"/>
          <w:szCs w:val="21"/>
          <w:highlight w:val="none"/>
        </w:rPr>
        <w:t>谈判须知前附表规定不接受联合体竞标的，本须知所有相关联合体要求及格式文件均不适用。供应商以联合体形式参加竞标的，竞标无效。</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4. 谈判费用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4.1</w:t>
      </w:r>
      <w:r>
        <w:rPr>
          <w:rFonts w:hint="eastAsia" w:ascii="宋体" w:hAnsi="宋体" w:cs="Arial"/>
          <w:color w:val="auto"/>
          <w:szCs w:val="21"/>
          <w:highlight w:val="none"/>
        </w:rPr>
        <w:t>供应商</w:t>
      </w:r>
      <w:r>
        <w:rPr>
          <w:rFonts w:hint="eastAsia" w:ascii="宋体" w:hAnsi="宋体"/>
          <w:color w:val="auto"/>
          <w:szCs w:val="21"/>
          <w:highlight w:val="none"/>
        </w:rPr>
        <w:t>应自行承担所有与编写和提交响应文件有关的费用，不论谈判结果如何，采购人和采购代理机构在任何情况下无义务和责任承担此类费用。</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二、竞争性谈判采购文件</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5.竞争性谈判采购文件的组成</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5.1本竞争性谈判采购文件包括六个章节，各章的内容如下：</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第一章  竞争性谈判公告</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第二章  谈判须知及前附表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第三章  评审方法</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第四章  采购项目技术规格.参数及要求</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第五章  合同条款及格式</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第六章  响应文件基本格式</w:t>
      </w:r>
    </w:p>
    <w:p>
      <w:pPr>
        <w:pStyle w:val="20"/>
        <w:ind w:firstLine="464" w:firstLineChars="221"/>
        <w:rPr>
          <w:rFonts w:hAnsi="宋体"/>
          <w:color w:val="auto"/>
          <w:szCs w:val="21"/>
          <w:highlight w:val="none"/>
        </w:rPr>
      </w:pPr>
      <w:r>
        <w:rPr>
          <w:rFonts w:hint="eastAsia" w:hAnsi="宋体"/>
          <w:color w:val="auto"/>
          <w:szCs w:val="21"/>
          <w:highlight w:val="none"/>
        </w:rPr>
        <w:t>5.2根据本章第6.1项的规定对竞争性谈判采购文件所做的澄清、修改，构成竞争性谈判采购文件的组成部分。当竞争性谈判采购文件与竞争性谈判采购文件的澄清和修改就同一内容的表述不一致时，以最后发出的书面文件为准。</w:t>
      </w:r>
    </w:p>
    <w:p>
      <w:pPr>
        <w:pStyle w:val="20"/>
        <w:ind w:firstLine="466" w:firstLineChars="221"/>
        <w:rPr>
          <w:rFonts w:hAnsi="宋体"/>
          <w:b/>
          <w:bCs/>
          <w:color w:val="auto"/>
          <w:szCs w:val="21"/>
          <w:highlight w:val="none"/>
        </w:rPr>
      </w:pPr>
      <w:r>
        <w:rPr>
          <w:rFonts w:hint="eastAsia" w:hAnsi="宋体"/>
          <w:b/>
          <w:bCs/>
          <w:color w:val="auto"/>
          <w:szCs w:val="21"/>
          <w:highlight w:val="none"/>
        </w:rPr>
        <w:t>6. 竞争性谈判采购文件的澄清和修改</w:t>
      </w:r>
    </w:p>
    <w:p>
      <w:pPr>
        <w:pStyle w:val="20"/>
        <w:ind w:left="2" w:leftChars="1" w:firstLine="470" w:firstLineChars="224"/>
        <w:rPr>
          <w:color w:val="auto"/>
          <w:szCs w:val="21"/>
          <w:highlight w:val="none"/>
        </w:rPr>
      </w:pPr>
      <w:r>
        <w:rPr>
          <w:rFonts w:hint="eastAsia" w:hAnsi="宋体"/>
          <w:color w:val="auto"/>
          <w:szCs w:val="21"/>
          <w:highlight w:val="none"/>
        </w:rPr>
        <w:t>6.1采购人或采购代理机构</w:t>
      </w:r>
      <w:r>
        <w:rPr>
          <w:rFonts w:hint="eastAsia"/>
          <w:color w:val="auto"/>
          <w:szCs w:val="21"/>
          <w:highlight w:val="none"/>
        </w:rPr>
        <w:t>对已发出的竞争性谈判采购文件进行必要澄清或修改的，应当在提交首次响应文件截止之日三个工作日前，以书面形式通知所有竞争性谈判采购文件收受人，不足三个工作日的，应当顺延提交响应文件截止之日；同时，采购代理机构在</w:t>
      </w:r>
      <w:r>
        <w:rPr>
          <w:rFonts w:hint="eastAsia" w:hAnsi="宋体"/>
          <w:color w:val="auto"/>
          <w:szCs w:val="21"/>
          <w:highlight w:val="none"/>
        </w:rPr>
        <w:t>竞争性谈判公告的发布媒体</w:t>
      </w:r>
      <w:r>
        <w:rPr>
          <w:rFonts w:hint="eastAsia"/>
          <w:color w:val="auto"/>
          <w:szCs w:val="21"/>
          <w:highlight w:val="none"/>
        </w:rPr>
        <w:t>上发布更正公告。</w:t>
      </w:r>
    </w:p>
    <w:p>
      <w:pPr>
        <w:pStyle w:val="20"/>
        <w:ind w:left="2" w:leftChars="1" w:firstLine="470" w:firstLineChars="224"/>
        <w:rPr>
          <w:color w:val="auto"/>
          <w:szCs w:val="21"/>
          <w:highlight w:val="none"/>
        </w:rPr>
      </w:pPr>
      <w:r>
        <w:rPr>
          <w:rFonts w:hint="eastAsia"/>
          <w:color w:val="auto"/>
          <w:szCs w:val="21"/>
          <w:highlight w:val="none"/>
        </w:rPr>
        <w:t>6.2采购人和采购代理机构可以视采购具体情况，延长首次响应文件递交截止时间，但应当在递交首次响应文件截止之日三个工作日前，将变更时间书面通知所有竞争性谈判采购文件收受人，不足三个工作日的，应当顺延递交首次响应文件截止之日。同时，采购代理机构在</w:t>
      </w:r>
      <w:r>
        <w:rPr>
          <w:rFonts w:hint="eastAsia" w:hAnsi="宋体"/>
          <w:color w:val="auto"/>
          <w:szCs w:val="21"/>
          <w:highlight w:val="none"/>
        </w:rPr>
        <w:t>竞争性谈判公告的发布媒体</w:t>
      </w:r>
      <w:r>
        <w:rPr>
          <w:rFonts w:hint="eastAsia"/>
          <w:color w:val="auto"/>
          <w:szCs w:val="21"/>
          <w:highlight w:val="none"/>
        </w:rPr>
        <w:t>上发布更正公告。</w:t>
      </w:r>
    </w:p>
    <w:p>
      <w:pPr>
        <w:pStyle w:val="20"/>
        <w:ind w:left="2" w:leftChars="1" w:firstLine="470" w:firstLineChars="224"/>
        <w:rPr>
          <w:rFonts w:hAnsi="宋体"/>
          <w:b/>
          <w:color w:val="auto"/>
          <w:szCs w:val="21"/>
          <w:highlight w:val="none"/>
        </w:rPr>
      </w:pPr>
      <w:r>
        <w:rPr>
          <w:rFonts w:hint="eastAsia"/>
          <w:color w:val="auto"/>
          <w:szCs w:val="21"/>
          <w:highlight w:val="none"/>
        </w:rPr>
        <w:t>三、</w:t>
      </w:r>
      <w:r>
        <w:rPr>
          <w:rFonts w:hint="eastAsia" w:hAnsi="宋体"/>
          <w:b/>
          <w:color w:val="auto"/>
          <w:szCs w:val="21"/>
          <w:highlight w:val="none"/>
        </w:rPr>
        <w:t>首次响应文件</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7. 首次响应文件编制基本要求</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7.1</w:t>
      </w:r>
      <w:r>
        <w:rPr>
          <w:rFonts w:hint="eastAsia" w:ascii="宋体" w:hAnsi="宋体" w:cs="Arial"/>
          <w:color w:val="auto"/>
          <w:szCs w:val="21"/>
          <w:highlight w:val="none"/>
        </w:rPr>
        <w:t>供应商</w:t>
      </w:r>
      <w:r>
        <w:rPr>
          <w:rFonts w:hint="eastAsia" w:ascii="宋体" w:hAnsi="宋体"/>
          <w:color w:val="auto"/>
          <w:szCs w:val="21"/>
          <w:highlight w:val="none"/>
        </w:rPr>
        <w:t>应仔细阅读竞争性谈判采购文件，在充分了解本</w:t>
      </w:r>
      <w:r>
        <w:rPr>
          <w:rFonts w:ascii="宋体" w:hAnsi="宋体"/>
          <w:color w:val="auto"/>
          <w:szCs w:val="21"/>
          <w:highlight w:val="none"/>
        </w:rPr>
        <w:t>项目采购</w:t>
      </w:r>
      <w:r>
        <w:rPr>
          <w:rFonts w:hint="eastAsia" w:ascii="宋体" w:hAnsi="宋体"/>
          <w:color w:val="auto"/>
          <w:szCs w:val="21"/>
          <w:highlight w:val="none"/>
        </w:rPr>
        <w:t>文</w:t>
      </w:r>
      <w:r>
        <w:rPr>
          <w:rFonts w:ascii="宋体" w:hAnsi="宋体"/>
          <w:color w:val="auto"/>
          <w:szCs w:val="21"/>
          <w:highlight w:val="none"/>
        </w:rPr>
        <w:t>件要求提供的资料及</w:t>
      </w:r>
      <w:r>
        <w:rPr>
          <w:rFonts w:hint="eastAsia" w:ascii="宋体" w:hAnsi="宋体"/>
          <w:color w:val="auto"/>
          <w:szCs w:val="21"/>
          <w:highlight w:val="none"/>
        </w:rPr>
        <w:t>采购的内容、服务要求和商务条款以及实质性要求和条件后，按</w:t>
      </w:r>
      <w:r>
        <w:rPr>
          <w:rFonts w:ascii="宋体" w:hAnsi="宋体"/>
          <w:color w:val="auto"/>
          <w:szCs w:val="21"/>
          <w:highlight w:val="none"/>
        </w:rPr>
        <w:t>采购文件要求</w:t>
      </w:r>
      <w:r>
        <w:rPr>
          <w:rFonts w:hint="eastAsia" w:ascii="宋体" w:hAnsi="宋体"/>
          <w:color w:val="auto"/>
          <w:szCs w:val="21"/>
          <w:highlight w:val="none"/>
        </w:rPr>
        <w:t>编写首次响应文件。如</w:t>
      </w:r>
      <w:r>
        <w:rPr>
          <w:rFonts w:ascii="宋体" w:hAnsi="宋体"/>
          <w:color w:val="auto"/>
          <w:szCs w:val="21"/>
          <w:highlight w:val="none"/>
        </w:rPr>
        <w:t>不按要求编</w:t>
      </w:r>
      <w:r>
        <w:rPr>
          <w:rFonts w:hint="eastAsia" w:ascii="宋体" w:hAnsi="宋体"/>
          <w:color w:val="auto"/>
          <w:szCs w:val="21"/>
          <w:highlight w:val="none"/>
        </w:rPr>
        <w:t>写</w:t>
      </w:r>
      <w:r>
        <w:rPr>
          <w:rFonts w:ascii="宋体" w:hAnsi="宋体"/>
          <w:color w:val="auto"/>
          <w:szCs w:val="21"/>
          <w:highlight w:val="none"/>
        </w:rPr>
        <w:t>及提供相应的资料将视为</w:t>
      </w:r>
      <w:r>
        <w:rPr>
          <w:rFonts w:hint="eastAsia" w:ascii="宋体" w:hAnsi="宋体"/>
          <w:color w:val="auto"/>
          <w:szCs w:val="21"/>
          <w:highlight w:val="none"/>
        </w:rPr>
        <w:t>不</w:t>
      </w:r>
      <w:r>
        <w:rPr>
          <w:rFonts w:ascii="宋体" w:hAnsi="宋体"/>
          <w:color w:val="auto"/>
          <w:szCs w:val="21"/>
          <w:highlight w:val="none"/>
        </w:rPr>
        <w:t>响应竞争性谈</w:t>
      </w:r>
      <w:r>
        <w:rPr>
          <w:rFonts w:hint="eastAsia" w:ascii="宋体" w:hAnsi="宋体"/>
          <w:color w:val="auto"/>
          <w:szCs w:val="21"/>
          <w:highlight w:val="none"/>
        </w:rPr>
        <w:t>判</w:t>
      </w:r>
      <w:r>
        <w:rPr>
          <w:rFonts w:ascii="宋体" w:hAnsi="宋体"/>
          <w:color w:val="auto"/>
          <w:szCs w:val="21"/>
          <w:highlight w:val="none"/>
        </w:rPr>
        <w:t>采购文件</w:t>
      </w:r>
      <w:r>
        <w:rPr>
          <w:rFonts w:hint="eastAsia" w:ascii="宋体" w:hAnsi="宋体"/>
          <w:color w:val="auto"/>
          <w:szCs w:val="21"/>
          <w:highlight w:val="none"/>
        </w:rPr>
        <w:t>实</w:t>
      </w:r>
      <w:r>
        <w:rPr>
          <w:rFonts w:ascii="宋体" w:hAnsi="宋体"/>
          <w:color w:val="auto"/>
          <w:szCs w:val="21"/>
          <w:highlight w:val="none"/>
        </w:rPr>
        <w:t>质要</w:t>
      </w:r>
      <w:r>
        <w:rPr>
          <w:rFonts w:hint="eastAsia" w:ascii="宋体" w:hAnsi="宋体"/>
          <w:color w:val="auto"/>
          <w:szCs w:val="21"/>
          <w:highlight w:val="none"/>
        </w:rPr>
        <w:t>要</w:t>
      </w:r>
      <w:r>
        <w:rPr>
          <w:rFonts w:ascii="宋体" w:hAnsi="宋体"/>
          <w:color w:val="auto"/>
          <w:szCs w:val="21"/>
          <w:highlight w:val="none"/>
        </w:rPr>
        <w:t>求。</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7.2对竞争性谈判采购文件的实质性要求和条件作出响应是指</w:t>
      </w:r>
      <w:r>
        <w:rPr>
          <w:rFonts w:hint="eastAsia" w:ascii="宋体" w:hAnsi="宋体" w:cs="Arial"/>
          <w:color w:val="auto"/>
          <w:szCs w:val="21"/>
          <w:highlight w:val="none"/>
        </w:rPr>
        <w:t>供应商</w:t>
      </w:r>
      <w:r>
        <w:rPr>
          <w:rFonts w:hint="eastAsia" w:ascii="宋体" w:hAnsi="宋体"/>
          <w:color w:val="auto"/>
          <w:szCs w:val="21"/>
          <w:highlight w:val="none"/>
        </w:rPr>
        <w:t>必须对竞争性谈判采购文件中要求</w:t>
      </w:r>
      <w:r>
        <w:rPr>
          <w:rFonts w:ascii="宋体" w:hAnsi="宋体"/>
          <w:color w:val="auto"/>
          <w:szCs w:val="21"/>
          <w:highlight w:val="none"/>
        </w:rPr>
        <w:t>提供的资料</w:t>
      </w:r>
      <w:r>
        <w:rPr>
          <w:rFonts w:hint="eastAsia" w:ascii="宋体" w:hAnsi="宋体"/>
          <w:color w:val="auto"/>
          <w:szCs w:val="21"/>
          <w:highlight w:val="none"/>
        </w:rPr>
        <w:t>、</w:t>
      </w:r>
      <w:r>
        <w:rPr>
          <w:rFonts w:ascii="宋体" w:hAnsi="宋体"/>
          <w:color w:val="auto"/>
          <w:szCs w:val="21"/>
          <w:highlight w:val="none"/>
        </w:rPr>
        <w:t>标</w:t>
      </w:r>
      <w:r>
        <w:rPr>
          <w:rFonts w:hint="eastAsia" w:ascii="宋体" w:hAnsi="宋体"/>
          <w:color w:val="auto"/>
          <w:szCs w:val="21"/>
          <w:highlight w:val="none"/>
        </w:rPr>
        <w:t>注为实质性要求和条件的服务要求、商务条款及其它内容作出满足或者优于原要求和条件的承诺，必要时提供证明材料及采</w:t>
      </w:r>
      <w:r>
        <w:rPr>
          <w:rFonts w:ascii="宋体" w:hAnsi="宋体"/>
          <w:color w:val="auto"/>
          <w:szCs w:val="21"/>
          <w:highlight w:val="none"/>
        </w:rPr>
        <w:t>购文件要求的其他内容</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7.3</w:t>
      </w:r>
      <w:r>
        <w:rPr>
          <w:rFonts w:hint="eastAsia" w:ascii="宋体" w:hAnsi="宋体" w:cs="Arial"/>
          <w:color w:val="auto"/>
          <w:szCs w:val="21"/>
          <w:highlight w:val="none"/>
        </w:rPr>
        <w:t>供应商</w:t>
      </w:r>
      <w:r>
        <w:rPr>
          <w:rFonts w:hint="eastAsia" w:ascii="宋体" w:hAnsi="宋体"/>
          <w:color w:val="auto"/>
          <w:szCs w:val="21"/>
          <w:highlight w:val="none"/>
        </w:rPr>
        <w:t>提交的首次响应文件以及</w:t>
      </w:r>
      <w:r>
        <w:rPr>
          <w:rFonts w:hint="eastAsia" w:ascii="宋体" w:hAnsi="宋体" w:cs="Arial"/>
          <w:color w:val="auto"/>
          <w:szCs w:val="21"/>
          <w:highlight w:val="none"/>
        </w:rPr>
        <w:t>供应商</w:t>
      </w:r>
      <w:r>
        <w:rPr>
          <w:rFonts w:hint="eastAsia" w:ascii="宋体" w:hAnsi="宋体"/>
          <w:color w:val="auto"/>
          <w:szCs w:val="21"/>
          <w:highlight w:val="none"/>
        </w:rPr>
        <w:t>与</w:t>
      </w:r>
      <w:r>
        <w:rPr>
          <w:rFonts w:hint="eastAsia"/>
          <w:color w:val="auto"/>
          <w:szCs w:val="21"/>
          <w:highlight w:val="none"/>
        </w:rPr>
        <w:t>采购代理机构</w:t>
      </w:r>
      <w:r>
        <w:rPr>
          <w:rFonts w:hint="eastAsia" w:ascii="宋体" w:hAnsi="宋体"/>
          <w:color w:val="auto"/>
          <w:szCs w:val="21"/>
          <w:highlight w:val="none"/>
        </w:rPr>
        <w:t>和采购人就有关谈判的所有来往函电均应使用中文。</w:t>
      </w:r>
      <w:r>
        <w:rPr>
          <w:rFonts w:hint="eastAsia" w:ascii="宋体" w:hAnsi="宋体" w:cs="Arial"/>
          <w:color w:val="auto"/>
          <w:szCs w:val="21"/>
          <w:highlight w:val="none"/>
        </w:rPr>
        <w:t>供应商</w:t>
      </w:r>
      <w:r>
        <w:rPr>
          <w:rFonts w:hint="eastAsia" w:ascii="宋体" w:hAnsi="宋体"/>
          <w:color w:val="auto"/>
          <w:szCs w:val="21"/>
          <w:highlight w:val="none"/>
        </w:rPr>
        <w:t>提交的支持文件和印刷的文献可以使用别的语言，但其相应内容必须附有中文翻译文本，在解释响应文件时以翻译文本为主。</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7.4第六章“响应文件基本格式”中规定了响应文件格式的，应按相应格式要求编写。</w:t>
      </w:r>
    </w:p>
    <w:p>
      <w:pPr>
        <w:pStyle w:val="20"/>
        <w:ind w:left="2" w:firstLine="418"/>
        <w:rPr>
          <w:rFonts w:hAnsi="宋体"/>
          <w:color w:val="auto"/>
          <w:szCs w:val="21"/>
          <w:highlight w:val="none"/>
        </w:rPr>
      </w:pPr>
      <w:r>
        <w:rPr>
          <w:rFonts w:hint="eastAsia" w:hAnsi="宋体"/>
          <w:color w:val="auto"/>
          <w:szCs w:val="21"/>
          <w:highlight w:val="none"/>
        </w:rPr>
        <w:t>7.5响应文件应编制目录，且页码清晰准确。响应文件装订应牢固、不易拆散和换页，不得采用活页装订。</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8. 首次响应文件的组成</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8.1首次响应文件应分为价格文件、资格和商务、技术文件三个部分。</w:t>
      </w:r>
      <w:r>
        <w:rPr>
          <w:rFonts w:hint="eastAsia" w:ascii="宋体" w:hAnsi="宋体"/>
          <w:b/>
          <w:color w:val="auto"/>
          <w:szCs w:val="21"/>
          <w:highlight w:val="none"/>
        </w:rPr>
        <w:t>属于必须提供的文件，如未提供或提供的文件无效，其响应文件按无效处理。</w:t>
      </w:r>
      <w:r>
        <w:rPr>
          <w:rFonts w:hint="eastAsia" w:ascii="宋体" w:hAnsi="宋体"/>
          <w:color w:val="auto"/>
          <w:szCs w:val="21"/>
          <w:highlight w:val="none"/>
        </w:rPr>
        <w:t>应递交的有关文件如未特别注明为原件的，可提交复印件。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8.1.1价格文件</w:t>
      </w:r>
    </w:p>
    <w:p>
      <w:pPr>
        <w:spacing w:line="400" w:lineRule="exact"/>
        <w:ind w:firstLine="422" w:firstLineChars="201"/>
        <w:rPr>
          <w:rFonts w:ascii="宋体" w:hAnsi="宋体"/>
          <w:b/>
          <w:color w:val="auto"/>
          <w:szCs w:val="21"/>
          <w:highlight w:val="none"/>
        </w:rPr>
      </w:pPr>
      <w:r>
        <w:rPr>
          <w:rFonts w:hint="eastAsia" w:ascii="宋体" w:hAnsi="宋体"/>
          <w:color w:val="auto"/>
          <w:szCs w:val="21"/>
          <w:highlight w:val="none"/>
        </w:rPr>
        <w:t>8</w:t>
      </w:r>
      <w:r>
        <w:rPr>
          <w:rFonts w:ascii="宋体" w:hAnsi="宋体"/>
          <w:color w:val="auto"/>
          <w:szCs w:val="21"/>
          <w:highlight w:val="none"/>
        </w:rPr>
        <w:t>.1.1.1</w:t>
      </w:r>
      <w:r>
        <w:rPr>
          <w:rFonts w:hint="eastAsia" w:ascii="宋体" w:hAnsi="宋体"/>
          <w:color w:val="auto"/>
          <w:szCs w:val="21"/>
          <w:highlight w:val="none"/>
        </w:rPr>
        <w:t>谈判书（格式见第六章）；</w:t>
      </w:r>
      <w:r>
        <w:rPr>
          <w:rFonts w:hint="eastAsia" w:ascii="宋体" w:hAnsi="宋体"/>
          <w:b/>
          <w:color w:val="auto"/>
          <w:szCs w:val="21"/>
          <w:highlight w:val="none"/>
        </w:rPr>
        <w:t>（必须提供）</w:t>
      </w:r>
    </w:p>
    <w:p>
      <w:pPr>
        <w:spacing w:line="400" w:lineRule="exact"/>
        <w:ind w:firstLine="422" w:firstLineChars="201"/>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.1.1.2</w:t>
      </w:r>
      <w:r>
        <w:rPr>
          <w:rFonts w:hint="eastAsia" w:ascii="宋体" w:hAnsi="宋体"/>
          <w:color w:val="auto"/>
          <w:szCs w:val="21"/>
          <w:highlight w:val="none"/>
        </w:rPr>
        <w:t>谈判报价表（格式见第六章）；</w:t>
      </w:r>
      <w:r>
        <w:rPr>
          <w:rFonts w:hint="eastAsia" w:ascii="宋体" w:hAnsi="宋体"/>
          <w:b/>
          <w:color w:val="auto"/>
          <w:szCs w:val="21"/>
          <w:highlight w:val="none"/>
        </w:rPr>
        <w:t>（必须提供）</w:t>
      </w:r>
    </w:p>
    <w:p>
      <w:pPr>
        <w:spacing w:line="400" w:lineRule="exact"/>
        <w:ind w:firstLine="422" w:firstLineChars="201"/>
        <w:rPr>
          <w:rFonts w:ascii="宋体" w:hAnsi="宋体"/>
          <w:b/>
          <w:color w:val="auto"/>
          <w:szCs w:val="21"/>
          <w:highlight w:val="none"/>
        </w:rPr>
      </w:pPr>
      <w:r>
        <w:rPr>
          <w:rFonts w:hint="eastAsia" w:ascii="宋体" w:hAnsi="宋体"/>
          <w:color w:val="auto"/>
          <w:szCs w:val="21"/>
          <w:highlight w:val="none"/>
        </w:rPr>
        <w:t>8</w:t>
      </w:r>
      <w:r>
        <w:rPr>
          <w:rFonts w:ascii="宋体" w:hAnsi="宋体"/>
          <w:color w:val="auto"/>
          <w:szCs w:val="21"/>
          <w:highlight w:val="none"/>
        </w:rPr>
        <w:t>.1.1.3</w:t>
      </w:r>
      <w:r>
        <w:rPr>
          <w:rFonts w:hint="eastAsia" w:ascii="宋体" w:hAnsi="宋体"/>
          <w:color w:val="auto"/>
          <w:szCs w:val="21"/>
          <w:highlight w:val="none"/>
        </w:rPr>
        <w:t>供应商符合中小企业划型标准的，按《政府采购促进中小企业发展暂行办法》（财库〔2011〕181号）要求，提供中小</w:t>
      </w:r>
      <w:r>
        <w:rPr>
          <w:rFonts w:ascii="宋体" w:hAnsi="宋体"/>
          <w:color w:val="auto"/>
          <w:szCs w:val="21"/>
          <w:highlight w:val="none"/>
        </w:rPr>
        <w:t>企业声明函</w:t>
      </w:r>
      <w:r>
        <w:rPr>
          <w:rFonts w:hint="eastAsia" w:ascii="宋体" w:hAnsi="宋体"/>
          <w:color w:val="auto"/>
          <w:szCs w:val="21"/>
          <w:highlight w:val="none"/>
        </w:rPr>
        <w:t>；（格式见第六章）；</w:t>
      </w:r>
    </w:p>
    <w:p>
      <w:pPr>
        <w:spacing w:line="400" w:lineRule="exact"/>
        <w:ind w:firstLine="422" w:firstLineChars="201"/>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.1.1.4</w:t>
      </w:r>
      <w:r>
        <w:rPr>
          <w:rFonts w:hint="eastAsia" w:ascii="宋体" w:hAnsi="宋体"/>
          <w:color w:val="auto"/>
          <w:szCs w:val="21"/>
          <w:highlight w:val="none"/>
        </w:rPr>
        <w:t>供应商属于</w:t>
      </w:r>
      <w:r>
        <w:rPr>
          <w:rFonts w:hint="eastAsia" w:hAnsi="宋体" w:cs="宋体"/>
          <w:color w:val="auto"/>
          <w:szCs w:val="21"/>
          <w:highlight w:val="none"/>
        </w:rPr>
        <w:t>监</w:t>
      </w:r>
      <w:r>
        <w:rPr>
          <w:rFonts w:hint="eastAsia" w:hAnsi="宋体"/>
          <w:color w:val="auto"/>
          <w:szCs w:val="21"/>
          <w:highlight w:val="none"/>
        </w:rPr>
        <w:t>狱企业的，应提供由省级以上监狱管理局.戒毒管理局（含新疆生产建设兵团）出具的属于监狱企业的证明文件；</w:t>
      </w:r>
    </w:p>
    <w:p>
      <w:pPr>
        <w:spacing w:line="400" w:lineRule="exact"/>
        <w:ind w:firstLine="422" w:firstLineChars="201"/>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.1.1.5</w:t>
      </w:r>
      <w:r>
        <w:rPr>
          <w:rFonts w:hint="eastAsia" w:ascii="宋体" w:hAnsi="宋体"/>
          <w:color w:val="auto"/>
          <w:szCs w:val="21"/>
          <w:highlight w:val="none"/>
        </w:rPr>
        <w:t>供应商属于残疾人福利性单位，按《三部门联合发布关于促进残疾人就业政府采购政策的通知》（财库〔2017〕141号）要求，提供《残疾人福利性单位声明函》；（格式见第六章）；</w:t>
      </w:r>
    </w:p>
    <w:p>
      <w:pPr>
        <w:spacing w:line="400" w:lineRule="exact"/>
        <w:ind w:firstLine="422" w:firstLineChars="201"/>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.1.</w:t>
      </w:r>
      <w:r>
        <w:rPr>
          <w:rFonts w:hint="eastAsia" w:ascii="宋体" w:hAnsi="宋体"/>
          <w:color w:val="auto"/>
          <w:szCs w:val="21"/>
          <w:highlight w:val="none"/>
        </w:rPr>
        <w:t>1.6供应商针对报价需要说明的其他文件和说明（格式自拟）；</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8.1.2 资格和商务文件</w:t>
      </w:r>
    </w:p>
    <w:p>
      <w:pPr>
        <w:spacing w:line="400" w:lineRule="exact"/>
        <w:ind w:left="-27" w:leftChars="-13" w:firstLine="420" w:firstLineChars="200"/>
        <w:rPr>
          <w:rFonts w:hAnsi="宋体"/>
          <w:b/>
          <w:color w:val="auto"/>
          <w:szCs w:val="21"/>
          <w:highlight w:val="none"/>
        </w:rPr>
      </w:pPr>
      <w:r>
        <w:rPr>
          <w:rFonts w:hint="eastAsia" w:ascii="宋体" w:hAnsi="宋体"/>
          <w:color w:val="auto"/>
          <w:szCs w:val="21"/>
          <w:highlight w:val="none"/>
        </w:rPr>
        <w:t>8</w:t>
      </w:r>
      <w:r>
        <w:rPr>
          <w:rFonts w:ascii="宋体" w:hAnsi="宋体"/>
          <w:color w:val="auto"/>
          <w:szCs w:val="21"/>
          <w:highlight w:val="none"/>
        </w:rPr>
        <w:t>.1.2.1</w:t>
      </w:r>
      <w:r>
        <w:rPr>
          <w:rFonts w:hint="eastAsia" w:ascii="宋体" w:hAnsi="宋体" w:cs="Arial"/>
          <w:color w:val="auto"/>
          <w:szCs w:val="21"/>
          <w:highlight w:val="none"/>
        </w:rPr>
        <w:t>供应商</w:t>
      </w:r>
      <w:r>
        <w:rPr>
          <w:rFonts w:hint="eastAsia" w:ascii="宋体" w:hAnsi="宋体"/>
          <w:color w:val="auto"/>
          <w:szCs w:val="21"/>
          <w:highlight w:val="none"/>
        </w:rPr>
        <w:t>有效的营业执照副本复印件；</w:t>
      </w:r>
      <w:r>
        <w:rPr>
          <w:rFonts w:hint="eastAsia" w:hAnsi="宋体"/>
          <w:b/>
          <w:color w:val="auto"/>
          <w:szCs w:val="21"/>
          <w:highlight w:val="none"/>
        </w:rPr>
        <w:t>（必须提供）</w:t>
      </w:r>
    </w:p>
    <w:p>
      <w:pPr>
        <w:pStyle w:val="17"/>
        <w:spacing w:line="400" w:lineRule="exact"/>
        <w:ind w:firstLine="420" w:firstLineChars="200"/>
        <w:rPr>
          <w:color w:val="auto"/>
          <w:sz w:val="21"/>
          <w:szCs w:val="21"/>
          <w:highlight w:val="none"/>
        </w:rPr>
      </w:pPr>
      <w:r>
        <w:rPr>
          <w:rFonts w:hAnsi="宋体"/>
          <w:color w:val="auto"/>
          <w:sz w:val="21"/>
          <w:szCs w:val="21"/>
          <w:highlight w:val="none"/>
        </w:rPr>
        <w:t>8.1.2.</w:t>
      </w:r>
      <w:r>
        <w:rPr>
          <w:rFonts w:hint="eastAsia" w:hAnsi="宋体"/>
          <w:color w:val="auto"/>
          <w:sz w:val="21"/>
          <w:szCs w:val="21"/>
          <w:highlight w:val="none"/>
        </w:rPr>
        <w:t>2法</w:t>
      </w:r>
      <w:r>
        <w:rPr>
          <w:rFonts w:hAnsi="宋体"/>
          <w:color w:val="auto"/>
          <w:sz w:val="21"/>
          <w:szCs w:val="21"/>
          <w:highlight w:val="none"/>
        </w:rPr>
        <w:t>定代表人身份证正反面复印件</w:t>
      </w:r>
      <w:r>
        <w:rPr>
          <w:rFonts w:hint="eastAsia" w:hAnsi="宋体"/>
          <w:color w:val="auto"/>
          <w:sz w:val="21"/>
          <w:szCs w:val="21"/>
          <w:highlight w:val="none"/>
        </w:rPr>
        <w:t>；</w:t>
      </w:r>
      <w:r>
        <w:rPr>
          <w:rFonts w:hint="eastAsia" w:hAnsi="宋体"/>
          <w:b/>
          <w:color w:val="auto"/>
          <w:sz w:val="21"/>
          <w:szCs w:val="21"/>
          <w:highlight w:val="none"/>
        </w:rPr>
        <w:t>（必须提供）</w:t>
      </w:r>
    </w:p>
    <w:p>
      <w:pPr>
        <w:spacing w:line="400" w:lineRule="exact"/>
        <w:ind w:left="-27" w:leftChars="-13" w:firstLine="420" w:firstLineChars="200"/>
        <w:rPr>
          <w:rFonts w:hAnsi="宋体"/>
          <w:b/>
          <w:color w:val="auto"/>
          <w:szCs w:val="21"/>
          <w:highlight w:val="none"/>
        </w:rPr>
      </w:pPr>
      <w:r>
        <w:rPr>
          <w:rFonts w:hint="eastAsia" w:ascii="宋体" w:hAnsi="宋体"/>
          <w:color w:val="auto"/>
          <w:szCs w:val="21"/>
          <w:highlight w:val="none"/>
        </w:rPr>
        <w:t>8</w:t>
      </w:r>
      <w:r>
        <w:rPr>
          <w:rFonts w:ascii="宋体" w:hAnsi="宋体"/>
          <w:color w:val="auto"/>
          <w:szCs w:val="21"/>
          <w:highlight w:val="none"/>
        </w:rPr>
        <w:t>.1.2.</w:t>
      </w:r>
      <w:r>
        <w:rPr>
          <w:rFonts w:hint="eastAsia" w:ascii="宋体" w:hAnsi="宋体"/>
          <w:color w:val="auto"/>
          <w:szCs w:val="21"/>
          <w:highlight w:val="none"/>
        </w:rPr>
        <w:t>3“法定代表人身份证明书原件（法定代表人参</w:t>
      </w:r>
      <w:r>
        <w:rPr>
          <w:rFonts w:ascii="宋体" w:hAnsi="宋体"/>
          <w:color w:val="auto"/>
          <w:szCs w:val="21"/>
          <w:highlight w:val="none"/>
        </w:rPr>
        <w:t>加竞标会</w:t>
      </w:r>
      <w:r>
        <w:rPr>
          <w:rFonts w:hint="eastAsia" w:ascii="宋体" w:hAnsi="宋体"/>
          <w:color w:val="auto"/>
          <w:szCs w:val="21"/>
          <w:highlight w:val="none"/>
        </w:rPr>
        <w:t>签</w:t>
      </w:r>
      <w:r>
        <w:rPr>
          <w:rFonts w:ascii="宋体" w:hAnsi="宋体"/>
          <w:color w:val="auto"/>
          <w:szCs w:val="21"/>
          <w:highlight w:val="none"/>
        </w:rPr>
        <w:t>署文件</w:t>
      </w:r>
      <w:r>
        <w:rPr>
          <w:rFonts w:hint="eastAsia" w:ascii="宋体" w:hAnsi="宋体"/>
          <w:color w:val="auto"/>
          <w:szCs w:val="21"/>
          <w:highlight w:val="none"/>
        </w:rPr>
        <w:t>时必</w:t>
      </w:r>
      <w:r>
        <w:rPr>
          <w:rFonts w:ascii="宋体" w:hAnsi="宋体"/>
          <w:color w:val="auto"/>
          <w:szCs w:val="21"/>
          <w:highlight w:val="none"/>
        </w:rPr>
        <w:t>须</w:t>
      </w:r>
      <w:r>
        <w:rPr>
          <w:rFonts w:hint="eastAsia" w:ascii="宋体" w:hAnsi="宋体"/>
          <w:color w:val="auto"/>
          <w:szCs w:val="21"/>
          <w:highlight w:val="none"/>
        </w:rPr>
        <w:t>提供）”或“法定代表人授权书原件（格式见第六章）和委托代理人身份证复印件（委托代理人参</w:t>
      </w:r>
      <w:r>
        <w:rPr>
          <w:rFonts w:ascii="宋体" w:hAnsi="宋体"/>
          <w:color w:val="auto"/>
          <w:szCs w:val="21"/>
          <w:highlight w:val="none"/>
        </w:rPr>
        <w:t>加竞标会</w:t>
      </w:r>
      <w:r>
        <w:rPr>
          <w:rFonts w:hint="eastAsia" w:ascii="宋体" w:hAnsi="宋体"/>
          <w:color w:val="auto"/>
          <w:szCs w:val="21"/>
          <w:highlight w:val="none"/>
        </w:rPr>
        <w:t>签</w:t>
      </w:r>
      <w:r>
        <w:rPr>
          <w:rFonts w:ascii="宋体" w:hAnsi="宋体"/>
          <w:color w:val="auto"/>
          <w:szCs w:val="21"/>
          <w:highlight w:val="none"/>
        </w:rPr>
        <w:t>署文件时</w:t>
      </w:r>
      <w:r>
        <w:rPr>
          <w:rFonts w:hint="eastAsia" w:ascii="宋体" w:hAnsi="宋体"/>
          <w:color w:val="auto"/>
          <w:szCs w:val="21"/>
          <w:highlight w:val="none"/>
        </w:rPr>
        <w:t>必</w:t>
      </w:r>
      <w:r>
        <w:rPr>
          <w:rFonts w:ascii="宋体" w:hAnsi="宋体"/>
          <w:color w:val="auto"/>
          <w:szCs w:val="21"/>
          <w:highlight w:val="none"/>
        </w:rPr>
        <w:t>须</w:t>
      </w:r>
      <w:r>
        <w:rPr>
          <w:rFonts w:hint="eastAsia" w:ascii="宋体" w:hAnsi="宋体"/>
          <w:color w:val="auto"/>
          <w:szCs w:val="21"/>
          <w:highlight w:val="none"/>
        </w:rPr>
        <w:t>提供）”；</w:t>
      </w:r>
      <w:r>
        <w:rPr>
          <w:rFonts w:hint="eastAsia" w:hAnsi="宋体"/>
          <w:b/>
          <w:color w:val="auto"/>
          <w:szCs w:val="21"/>
          <w:highlight w:val="none"/>
        </w:rPr>
        <w:t>（必须提供）</w:t>
      </w:r>
    </w:p>
    <w:p>
      <w:pPr>
        <w:spacing w:line="400" w:lineRule="exact"/>
        <w:ind w:left="-27" w:leftChars="-13" w:firstLine="422" w:firstLineChars="201"/>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.1.2.</w:t>
      </w:r>
      <w:r>
        <w:rPr>
          <w:rFonts w:hint="eastAsia" w:ascii="宋体" w:hAnsi="宋体"/>
          <w:color w:val="auto"/>
          <w:szCs w:val="21"/>
          <w:highlight w:val="none"/>
        </w:rPr>
        <w:t>4贵港市政府采购项目投标资格承诺函；</w:t>
      </w:r>
      <w:r>
        <w:rPr>
          <w:rFonts w:hint="eastAsia" w:ascii="宋体" w:hAnsi="宋体"/>
          <w:b/>
          <w:bCs/>
          <w:color w:val="auto"/>
          <w:szCs w:val="21"/>
          <w:highlight w:val="none"/>
        </w:rPr>
        <w:t>（必须提供，否则投标无效）</w:t>
      </w:r>
    </w:p>
    <w:p>
      <w:pPr>
        <w:spacing w:line="400" w:lineRule="exact"/>
        <w:ind w:left="-27" w:leftChars="-13" w:firstLine="420" w:firstLineChars="200"/>
        <w:rPr>
          <w:rFonts w:ascii="宋体" w:hAnsi="宋体"/>
          <w:b/>
          <w:color w:val="auto"/>
          <w:szCs w:val="21"/>
          <w:highlight w:val="none"/>
        </w:rPr>
      </w:pPr>
      <w:r>
        <w:rPr>
          <w:rFonts w:hint="eastAsia" w:ascii="宋体" w:hAnsi="宋体"/>
          <w:color w:val="auto"/>
          <w:szCs w:val="21"/>
          <w:highlight w:val="none"/>
        </w:rPr>
        <w:t>8</w:t>
      </w:r>
      <w:r>
        <w:rPr>
          <w:rFonts w:ascii="宋体" w:hAnsi="宋体"/>
          <w:color w:val="auto"/>
          <w:szCs w:val="21"/>
          <w:highlight w:val="none"/>
        </w:rPr>
        <w:t>.1.2.5</w:t>
      </w:r>
      <w:r>
        <w:rPr>
          <w:rFonts w:hint="eastAsia" w:ascii="宋体" w:hAnsi="宋体"/>
          <w:color w:val="auto"/>
          <w:szCs w:val="21"/>
          <w:highlight w:val="none"/>
        </w:rPr>
        <w:t>商务响应表（格式见第六章）；</w:t>
      </w:r>
      <w:r>
        <w:rPr>
          <w:rFonts w:hint="eastAsia" w:ascii="宋体" w:hAnsi="宋体"/>
          <w:b/>
          <w:color w:val="auto"/>
          <w:szCs w:val="21"/>
          <w:highlight w:val="none"/>
        </w:rPr>
        <w:t>（必须提供）</w:t>
      </w:r>
    </w:p>
    <w:p>
      <w:pPr>
        <w:spacing w:line="400" w:lineRule="exact"/>
        <w:ind w:left="-27" w:leftChars="-13" w:firstLine="420" w:firstLineChars="200"/>
        <w:rPr>
          <w:rFonts w:ascii="宋体" w:hAnsi="宋体"/>
          <w:b/>
          <w:color w:val="auto"/>
          <w:szCs w:val="21"/>
          <w:highlight w:val="none"/>
        </w:rPr>
      </w:pPr>
      <w:r>
        <w:rPr>
          <w:rFonts w:hint="eastAsia" w:ascii="宋体" w:hAnsi="宋体"/>
          <w:color w:val="auto"/>
          <w:szCs w:val="21"/>
          <w:highlight w:val="none"/>
        </w:rPr>
        <w:t>8</w:t>
      </w:r>
      <w:r>
        <w:rPr>
          <w:rFonts w:ascii="宋体" w:hAnsi="宋体"/>
          <w:color w:val="auto"/>
          <w:szCs w:val="21"/>
          <w:highlight w:val="none"/>
        </w:rPr>
        <w:t>.1.2.6</w:t>
      </w:r>
      <w:r>
        <w:rPr>
          <w:rFonts w:hint="eastAsia" w:ascii="宋体" w:hAnsi="宋体"/>
          <w:color w:val="auto"/>
          <w:szCs w:val="21"/>
          <w:highlight w:val="none"/>
        </w:rPr>
        <w:t>本谈判采</w:t>
      </w:r>
      <w:r>
        <w:rPr>
          <w:rFonts w:ascii="宋体" w:hAnsi="宋体"/>
          <w:color w:val="auto"/>
          <w:szCs w:val="21"/>
          <w:highlight w:val="none"/>
        </w:rPr>
        <w:t>购</w:t>
      </w:r>
      <w:r>
        <w:rPr>
          <w:rFonts w:hint="eastAsia" w:ascii="宋体" w:hAnsi="宋体"/>
          <w:color w:val="auto"/>
          <w:szCs w:val="21"/>
          <w:highlight w:val="none"/>
        </w:rPr>
        <w:t>文件要求提供的其</w:t>
      </w:r>
      <w:r>
        <w:rPr>
          <w:rFonts w:ascii="宋体" w:hAnsi="宋体"/>
          <w:color w:val="auto"/>
          <w:szCs w:val="21"/>
          <w:highlight w:val="none"/>
        </w:rPr>
        <w:t>他资格</w:t>
      </w:r>
      <w:r>
        <w:rPr>
          <w:rFonts w:hint="eastAsia" w:ascii="宋体" w:hAnsi="宋体"/>
          <w:color w:val="auto"/>
          <w:szCs w:val="21"/>
          <w:highlight w:val="none"/>
        </w:rPr>
        <w:t>和商务证明文件；</w:t>
      </w:r>
    </w:p>
    <w:p>
      <w:pPr>
        <w:spacing w:line="400" w:lineRule="exact"/>
        <w:ind w:left="-27" w:leftChars="-13"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.1.2.7</w:t>
      </w:r>
      <w:r>
        <w:rPr>
          <w:rFonts w:hint="eastAsia" w:ascii="宋体" w:hAnsi="宋体"/>
          <w:color w:val="auto"/>
          <w:szCs w:val="21"/>
          <w:highlight w:val="none"/>
        </w:rPr>
        <w:t>供应商近三年完</w:t>
      </w:r>
      <w:r>
        <w:rPr>
          <w:rFonts w:ascii="宋体" w:hAnsi="宋体"/>
          <w:color w:val="auto"/>
          <w:szCs w:val="21"/>
          <w:highlight w:val="none"/>
        </w:rPr>
        <w:t>成</w:t>
      </w:r>
      <w:r>
        <w:rPr>
          <w:rFonts w:hint="eastAsia" w:ascii="宋体" w:hAnsi="宋体"/>
          <w:color w:val="auto"/>
          <w:szCs w:val="21"/>
          <w:highlight w:val="none"/>
        </w:rPr>
        <w:t>同类项目业绩（如</w:t>
      </w:r>
      <w:r>
        <w:rPr>
          <w:rFonts w:ascii="宋体" w:hAnsi="宋体"/>
          <w:color w:val="auto"/>
          <w:szCs w:val="21"/>
          <w:highlight w:val="none"/>
        </w:rPr>
        <w:t>有请提供，</w:t>
      </w:r>
      <w:r>
        <w:rPr>
          <w:rFonts w:hint="eastAsia" w:ascii="宋体" w:hAnsi="宋体"/>
          <w:color w:val="auto"/>
          <w:szCs w:val="21"/>
          <w:highlight w:val="none"/>
        </w:rPr>
        <w:t>附合同协议书或中标通知书复印件加盖供应商单位公章为准）；</w:t>
      </w:r>
    </w:p>
    <w:p>
      <w:pPr>
        <w:spacing w:line="400" w:lineRule="exact"/>
        <w:ind w:left="-27" w:leftChars="-13" w:firstLine="420" w:firstLineChars="200"/>
        <w:rPr>
          <w:rFonts w:ascii="宋体" w:hAnsi="宋体"/>
          <w:color w:val="auto"/>
          <w:szCs w:val="21"/>
          <w:highlight w:val="none"/>
        </w:rPr>
      </w:pPr>
      <w:r>
        <w:rPr>
          <w:rFonts w:hint="eastAsia" w:ascii="宋体" w:hAnsi="宋体"/>
          <w:color w:val="auto"/>
          <w:szCs w:val="21"/>
          <w:highlight w:val="none"/>
        </w:rPr>
        <w:t>8.1.3 技术文件</w:t>
      </w:r>
    </w:p>
    <w:p>
      <w:pPr>
        <w:spacing w:line="400" w:lineRule="exact"/>
        <w:ind w:left="-27" w:leftChars="-13" w:firstLine="420" w:firstLineChars="200"/>
        <w:rPr>
          <w:rFonts w:ascii="宋体" w:hAnsi="宋体"/>
          <w:b/>
          <w:color w:val="auto"/>
          <w:szCs w:val="21"/>
          <w:highlight w:val="none"/>
        </w:rPr>
      </w:pPr>
      <w:r>
        <w:rPr>
          <w:rFonts w:hint="eastAsia" w:ascii="宋体" w:hAnsi="宋体"/>
          <w:color w:val="auto"/>
          <w:szCs w:val="21"/>
          <w:highlight w:val="none"/>
        </w:rPr>
        <w:t>8</w:t>
      </w:r>
      <w:r>
        <w:rPr>
          <w:rFonts w:ascii="宋体" w:hAnsi="宋体"/>
          <w:color w:val="auto"/>
          <w:szCs w:val="21"/>
          <w:highlight w:val="none"/>
        </w:rPr>
        <w:t>.1.3.1</w:t>
      </w:r>
      <w:r>
        <w:rPr>
          <w:rFonts w:hint="eastAsia" w:ascii="宋体" w:hAnsi="宋体"/>
          <w:color w:val="auto"/>
          <w:szCs w:val="21"/>
          <w:highlight w:val="none"/>
        </w:rPr>
        <w:t>技术响应、偏离情况说明表（格式见第六章）；</w:t>
      </w:r>
      <w:r>
        <w:rPr>
          <w:rFonts w:hint="eastAsia" w:ascii="宋体" w:hAnsi="宋体"/>
          <w:b/>
          <w:color w:val="auto"/>
          <w:szCs w:val="21"/>
          <w:highlight w:val="none"/>
        </w:rPr>
        <w:t>（必须提供）</w:t>
      </w:r>
    </w:p>
    <w:p>
      <w:pPr>
        <w:spacing w:line="400" w:lineRule="exact"/>
        <w:ind w:left="-27" w:leftChars="-13"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.1.2.2</w:t>
      </w:r>
      <w:r>
        <w:rPr>
          <w:rFonts w:hint="eastAsia" w:ascii="宋体" w:hAnsi="宋体"/>
          <w:color w:val="auto"/>
          <w:szCs w:val="21"/>
          <w:highlight w:val="none"/>
        </w:rPr>
        <w:t>售后服务承诺书；</w:t>
      </w:r>
      <w:r>
        <w:rPr>
          <w:rFonts w:hint="eastAsia" w:ascii="宋体" w:hAnsi="宋体"/>
          <w:b/>
          <w:color w:val="auto"/>
          <w:szCs w:val="21"/>
          <w:highlight w:val="none"/>
        </w:rPr>
        <w:t>（必须提供）</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.1.3.</w:t>
      </w:r>
      <w:r>
        <w:rPr>
          <w:rFonts w:hint="eastAsia" w:ascii="宋体" w:hAnsi="宋体"/>
          <w:color w:val="auto"/>
          <w:szCs w:val="21"/>
          <w:highlight w:val="none"/>
        </w:rPr>
        <w:t>3本谈判文件第四章采</w:t>
      </w:r>
      <w:r>
        <w:rPr>
          <w:rFonts w:ascii="宋体" w:hAnsi="宋体"/>
          <w:color w:val="auto"/>
          <w:szCs w:val="21"/>
          <w:highlight w:val="none"/>
        </w:rPr>
        <w:t>购项目需求一览表</w:t>
      </w:r>
      <w:r>
        <w:rPr>
          <w:rFonts w:hint="eastAsia" w:ascii="宋体" w:hAnsi="宋体"/>
          <w:color w:val="auto"/>
          <w:szCs w:val="21"/>
          <w:highlight w:val="none"/>
        </w:rPr>
        <w:t>要求提供的技术证明文件；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.1.3.</w:t>
      </w:r>
      <w:r>
        <w:rPr>
          <w:rFonts w:hint="eastAsia" w:ascii="宋体" w:hAnsi="宋体"/>
          <w:color w:val="auto"/>
          <w:szCs w:val="21"/>
          <w:highlight w:val="none"/>
        </w:rPr>
        <w:t>4供应商认为需要提供的其</w:t>
      </w:r>
      <w:r>
        <w:rPr>
          <w:rFonts w:ascii="宋体" w:hAnsi="宋体"/>
          <w:color w:val="auto"/>
          <w:szCs w:val="21"/>
          <w:highlight w:val="none"/>
        </w:rPr>
        <w:t>他</w:t>
      </w:r>
      <w:r>
        <w:rPr>
          <w:rFonts w:hint="eastAsia" w:ascii="宋体" w:hAnsi="宋体"/>
          <w:color w:val="auto"/>
          <w:szCs w:val="21"/>
          <w:highlight w:val="none"/>
        </w:rPr>
        <w:t>有关的</w:t>
      </w:r>
      <w:r>
        <w:rPr>
          <w:rFonts w:ascii="宋体" w:hAnsi="宋体"/>
          <w:color w:val="auto"/>
          <w:szCs w:val="21"/>
          <w:highlight w:val="none"/>
        </w:rPr>
        <w:t>技术</w:t>
      </w:r>
      <w:r>
        <w:rPr>
          <w:rFonts w:hint="eastAsia" w:ascii="宋体" w:hAnsi="宋体"/>
          <w:color w:val="auto"/>
          <w:szCs w:val="21"/>
          <w:highlight w:val="none"/>
        </w:rPr>
        <w:t>资料。</w:t>
      </w:r>
    </w:p>
    <w:p>
      <w:pPr>
        <w:spacing w:line="400" w:lineRule="exact"/>
        <w:ind w:firstLine="342" w:firstLineChars="163"/>
        <w:rPr>
          <w:rFonts w:ascii="宋体" w:hAnsi="宋体"/>
          <w:bCs/>
          <w:color w:val="auto"/>
          <w:szCs w:val="21"/>
          <w:highlight w:val="none"/>
        </w:rPr>
      </w:pPr>
      <w:r>
        <w:rPr>
          <w:rFonts w:hint="eastAsia" w:ascii="宋体" w:hAnsi="宋体"/>
          <w:bCs/>
          <w:color w:val="auto"/>
          <w:szCs w:val="21"/>
          <w:highlight w:val="none"/>
        </w:rPr>
        <w:t>注：法定代表人授权委托书、谈判</w:t>
      </w:r>
      <w:r>
        <w:rPr>
          <w:rFonts w:ascii="宋体" w:hAnsi="宋体"/>
          <w:bCs/>
          <w:color w:val="auto"/>
          <w:szCs w:val="21"/>
          <w:highlight w:val="none"/>
        </w:rPr>
        <w:t>书</w:t>
      </w:r>
      <w:r>
        <w:rPr>
          <w:rFonts w:hint="eastAsia" w:ascii="宋体" w:hAnsi="宋体"/>
          <w:bCs/>
          <w:color w:val="auto"/>
          <w:szCs w:val="21"/>
          <w:highlight w:val="none"/>
        </w:rPr>
        <w:t>、谈判报价表、商</w:t>
      </w:r>
      <w:r>
        <w:rPr>
          <w:rFonts w:ascii="宋体" w:hAnsi="宋体"/>
          <w:bCs/>
          <w:color w:val="auto"/>
          <w:szCs w:val="21"/>
          <w:highlight w:val="none"/>
        </w:rPr>
        <w:t>务响应表、</w:t>
      </w:r>
      <w:r>
        <w:rPr>
          <w:rFonts w:hint="eastAsia" w:ascii="宋体" w:hAnsi="宋体"/>
          <w:bCs/>
          <w:color w:val="auto"/>
          <w:szCs w:val="21"/>
          <w:highlight w:val="none"/>
        </w:rPr>
        <w:t>技术响应、偏离情况说明表必须由法定代表人或授权代表在规定签章</w:t>
      </w:r>
      <w:r>
        <w:rPr>
          <w:rFonts w:ascii="宋体" w:hAnsi="宋体"/>
          <w:bCs/>
          <w:color w:val="auto"/>
          <w:szCs w:val="21"/>
          <w:highlight w:val="none"/>
        </w:rPr>
        <w:t>处</w:t>
      </w:r>
      <w:r>
        <w:rPr>
          <w:rFonts w:hint="eastAsia" w:ascii="宋体" w:hAnsi="宋体"/>
          <w:bCs/>
          <w:color w:val="auto"/>
          <w:szCs w:val="21"/>
          <w:highlight w:val="none"/>
        </w:rPr>
        <w:t>逐一</w:t>
      </w:r>
      <w:r>
        <w:rPr>
          <w:rFonts w:ascii="宋体" w:hAnsi="宋体"/>
          <w:bCs/>
          <w:color w:val="auto"/>
          <w:szCs w:val="21"/>
          <w:highlight w:val="none"/>
        </w:rPr>
        <w:t>签</w:t>
      </w:r>
      <w:r>
        <w:rPr>
          <w:rFonts w:hint="eastAsia" w:ascii="宋体" w:hAnsi="宋体"/>
          <w:bCs/>
          <w:color w:val="auto"/>
          <w:szCs w:val="21"/>
          <w:highlight w:val="none"/>
        </w:rPr>
        <w:t>名并</w:t>
      </w:r>
      <w:r>
        <w:rPr>
          <w:rFonts w:ascii="宋体" w:hAnsi="宋体"/>
          <w:bCs/>
          <w:color w:val="auto"/>
          <w:szCs w:val="21"/>
          <w:highlight w:val="none"/>
        </w:rPr>
        <w:t>加盖单位公章</w:t>
      </w:r>
      <w:r>
        <w:rPr>
          <w:rFonts w:hint="eastAsia"/>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8.2供应商应仔细阅读谈判文件的所有内容，按照谈判文件的要求提交响应文件，并对所提供的全部资料的真实性承担法律责任。</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8.3供应商在竞标活动中提供任何虚假材料，其竞标无效，并报监管部门查处；成交后发现的，成交人须依照《中华人民共和国消费者权益保护法》第49条之规定双倍赔偿采购人，且民事赔偿并不免除违法供应商的行政与刑事责任。</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9. 计量单位</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9.1除技术要求中另有规定外，本文件所要求使用的计量单位均应采用国家法定计量单位。</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10.响应文件的有效期</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10.1响应文件从递交首次响应文件截止日后60天内有效。</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10.2在特殊情况下，采购代理机构可酌情延长有效期。供应商可同意或不同意延长响应文件的有效期；同意延长响应文件有效期的供应商不能要求对原响应文件（经供应商与谈判小组谈判后确定的内容作为原响应文件的组成部分）作任何改变，并同意在延长的竞标有效期内遵循本响应文件，在延长的有效期满之前继续具有约束力。</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11.响应文件书写及签名、盖章、份数要求</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11.1响应文件正本须用不褪色的墨水工整书写或打印，修改处应由法定代表人或委托代理人签名或加盖公章，否则其竞标无效。</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11.2字迹潦草、表达不清或未按要求填写的响应文件可能将被认定为无效的竞标。</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11.3响应文件应由法定代表人或委托代理人在凡规定签章处逐一签名和盖公章，每</w:t>
      </w:r>
      <w:r>
        <w:rPr>
          <w:rFonts w:ascii="宋体" w:hAnsi="宋体"/>
          <w:color w:val="auto"/>
          <w:szCs w:val="21"/>
          <w:highlight w:val="none"/>
        </w:rPr>
        <w:t>份响应文</w:t>
      </w:r>
      <w:r>
        <w:rPr>
          <w:rFonts w:hint="eastAsia" w:ascii="宋体" w:hAnsi="宋体"/>
          <w:color w:val="auto"/>
          <w:szCs w:val="21"/>
          <w:highlight w:val="none"/>
        </w:rPr>
        <w:t>件</w:t>
      </w:r>
      <w:r>
        <w:rPr>
          <w:rFonts w:ascii="宋体" w:hAnsi="宋体"/>
          <w:color w:val="auto"/>
          <w:szCs w:val="21"/>
          <w:highlight w:val="none"/>
        </w:rPr>
        <w:t>均需</w:t>
      </w:r>
      <w:r>
        <w:rPr>
          <w:rFonts w:hint="eastAsia" w:ascii="宋体" w:hAnsi="宋体"/>
          <w:color w:val="auto"/>
          <w:szCs w:val="21"/>
          <w:highlight w:val="none"/>
        </w:rPr>
        <w:t>加</w:t>
      </w:r>
      <w:r>
        <w:rPr>
          <w:rFonts w:ascii="宋体" w:hAnsi="宋体"/>
          <w:color w:val="auto"/>
          <w:szCs w:val="21"/>
          <w:highlight w:val="none"/>
        </w:rPr>
        <w:t>盖骑缝章</w:t>
      </w:r>
      <w:r>
        <w:rPr>
          <w:rFonts w:hint="eastAsia" w:ascii="宋体" w:hAnsi="宋体"/>
          <w:color w:val="auto"/>
          <w:szCs w:val="21"/>
          <w:highlight w:val="none"/>
        </w:rPr>
        <w:t>，否则其竞标无效。</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11.4响应文件的份数：见供应商须知前附表。并在每份文件封面</w:t>
      </w:r>
      <w:r>
        <w:rPr>
          <w:rFonts w:ascii="宋体" w:hAnsi="宋体"/>
          <w:color w:val="auto"/>
          <w:szCs w:val="21"/>
          <w:highlight w:val="none"/>
        </w:rPr>
        <w:t>处</w:t>
      </w:r>
      <w:r>
        <w:rPr>
          <w:rFonts w:hint="eastAsia" w:ascii="宋体" w:hAnsi="宋体"/>
          <w:color w:val="auto"/>
          <w:szCs w:val="21"/>
          <w:highlight w:val="none"/>
        </w:rPr>
        <w:t>注明“正本”、“副本”字样，副</w:t>
      </w:r>
      <w:r>
        <w:rPr>
          <w:rFonts w:ascii="宋体" w:hAnsi="宋体"/>
          <w:color w:val="auto"/>
          <w:szCs w:val="21"/>
          <w:highlight w:val="none"/>
        </w:rPr>
        <w:t>本可以</w:t>
      </w:r>
      <w:r>
        <w:rPr>
          <w:rFonts w:hint="eastAsia" w:ascii="宋体" w:hAnsi="宋体"/>
          <w:color w:val="auto"/>
          <w:szCs w:val="21"/>
          <w:highlight w:val="none"/>
        </w:rPr>
        <w:t>是</w:t>
      </w:r>
      <w:r>
        <w:rPr>
          <w:rFonts w:ascii="宋体" w:hAnsi="宋体"/>
          <w:color w:val="auto"/>
          <w:szCs w:val="21"/>
          <w:highlight w:val="none"/>
        </w:rPr>
        <w:t>正本的复印件，</w:t>
      </w:r>
      <w:r>
        <w:rPr>
          <w:rFonts w:hint="eastAsia" w:ascii="宋体" w:hAnsi="宋体"/>
          <w:color w:val="auto"/>
          <w:szCs w:val="21"/>
          <w:highlight w:val="none"/>
        </w:rPr>
        <w:t>一旦正本和副本不符，以正本为准。</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四、谈判报价要求</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12.谈判报价</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12.1供应商应以人民币报价。</w:t>
      </w:r>
    </w:p>
    <w:p>
      <w:pPr>
        <w:spacing w:line="400" w:lineRule="exact"/>
        <w:ind w:firstLine="420" w:firstLineChars="200"/>
        <w:rPr>
          <w:rFonts w:hAnsi="宋体"/>
          <w:color w:val="auto"/>
          <w:szCs w:val="21"/>
          <w:highlight w:val="none"/>
        </w:rPr>
      </w:pPr>
      <w:r>
        <w:rPr>
          <w:rFonts w:hint="eastAsia" w:ascii="宋体" w:hAnsi="宋体"/>
          <w:color w:val="auto"/>
          <w:szCs w:val="21"/>
          <w:highlight w:val="none"/>
        </w:rPr>
        <w:t>12.2</w:t>
      </w:r>
      <w:r>
        <w:rPr>
          <w:rFonts w:hint="eastAsia" w:hAnsi="宋体"/>
          <w:color w:val="auto"/>
          <w:szCs w:val="21"/>
          <w:highlight w:val="none"/>
        </w:rPr>
        <w:t>谈判报价是履行合同的价格，本项目实行总承包报价；包含货物采购、专用工具、标准附件、运输、保管、安装、验收、培训等各种费用和售后服务、税金及其它所有成本费用的总和。供应商应对本项目的所有内容范围的货物进行总承包报价；采购人不再支付任何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12.3供应商应在竞标谈</w:t>
      </w:r>
      <w:r>
        <w:rPr>
          <w:rFonts w:ascii="宋体" w:hAnsi="宋体"/>
          <w:color w:val="auto"/>
          <w:szCs w:val="21"/>
          <w:highlight w:val="none"/>
        </w:rPr>
        <w:t>判</w:t>
      </w:r>
      <w:r>
        <w:rPr>
          <w:rFonts w:hint="eastAsia" w:ascii="宋体" w:hAnsi="宋体"/>
          <w:color w:val="auto"/>
          <w:szCs w:val="21"/>
          <w:highlight w:val="none"/>
        </w:rPr>
        <w:t>报价表上标明单价和总价。最终报价表内容与响应文件中相应内容不一致的，以最终报价表为准；大写金额和小写金额不一致的，以大写金额为准；单价金额小数点或者百分比有明显错位的，以最终报价表的总价为准，并修改单价；总价金额与按单价汇总金额不一致的，以单价金额计算结果为准。同时出现两种以上不一致的，按照以上规定的顺序修正。修正后的报价经供应商确认后产生约束力，供应商不确认的，其竞标无效。对不同文字文本响应文件的解释发生异议的，以中文文本为准。除上述原因以外，如果因供应商原因引起的报价失误，并在谈判时被接受，其后果由供应商自负。</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12.4竞标报价：按须知前附表中要求。</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五、响应文件的封装和递交</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13.响应文件的封装、密封与标志</w:t>
      </w:r>
    </w:p>
    <w:p>
      <w:pPr>
        <w:spacing w:line="276" w:lineRule="auto"/>
        <w:ind w:right="168" w:rightChars="80" w:firstLine="430" w:firstLineChars="205"/>
        <w:rPr>
          <w:rFonts w:ascii="宋体" w:hAnsi="宋体"/>
          <w:color w:val="auto"/>
          <w:szCs w:val="21"/>
          <w:highlight w:val="none"/>
        </w:rPr>
      </w:pPr>
      <w:r>
        <w:rPr>
          <w:rFonts w:hint="eastAsia" w:ascii="宋体" w:hAnsi="宋体"/>
          <w:color w:val="auto"/>
          <w:szCs w:val="21"/>
          <w:highlight w:val="none"/>
        </w:rPr>
        <w:t>13.1供应商应将响应文件正本、副本密封在一个信封（或包装袋或包装箱）中，所有封口处须加盖供应商单位公章或密封章或法定代表人（或委托代理人）签字均可。</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13.2响应文件的信封（或包装袋或包装箱）封面上应写明：</w:t>
      </w:r>
    </w:p>
    <w:p>
      <w:pPr>
        <w:spacing w:line="400" w:lineRule="exact"/>
        <w:ind w:firstLine="329" w:firstLineChars="157"/>
        <w:rPr>
          <w:rFonts w:ascii="宋体" w:hAnsi="宋体"/>
          <w:color w:val="auto"/>
          <w:szCs w:val="21"/>
          <w:highlight w:val="none"/>
        </w:rPr>
      </w:pPr>
      <w:r>
        <w:rPr>
          <w:rFonts w:hint="eastAsia" w:ascii="宋体" w:hAnsi="宋体"/>
          <w:color w:val="auto"/>
          <w:szCs w:val="21"/>
          <w:highlight w:val="none"/>
        </w:rPr>
        <w:t>（1）竞争性谈判项目编号；</w:t>
      </w:r>
    </w:p>
    <w:p>
      <w:pPr>
        <w:spacing w:line="400" w:lineRule="exact"/>
        <w:ind w:firstLine="329" w:firstLineChars="157"/>
        <w:rPr>
          <w:rFonts w:ascii="宋体" w:hAnsi="宋体"/>
          <w:color w:val="auto"/>
          <w:szCs w:val="21"/>
          <w:highlight w:val="none"/>
        </w:rPr>
      </w:pPr>
      <w:r>
        <w:rPr>
          <w:rFonts w:hint="eastAsia" w:ascii="宋体" w:hAnsi="宋体"/>
          <w:color w:val="auto"/>
          <w:szCs w:val="21"/>
          <w:highlight w:val="none"/>
        </w:rPr>
        <w:t>（2）竞争性谈判项目名称；</w:t>
      </w:r>
    </w:p>
    <w:p>
      <w:pPr>
        <w:spacing w:line="400" w:lineRule="exact"/>
        <w:ind w:firstLine="329" w:firstLineChars="157"/>
        <w:rPr>
          <w:rFonts w:ascii="宋体" w:hAnsi="宋体"/>
          <w:color w:val="auto"/>
          <w:szCs w:val="21"/>
          <w:highlight w:val="none"/>
        </w:rPr>
      </w:pPr>
      <w:r>
        <w:rPr>
          <w:rFonts w:hint="eastAsia" w:ascii="宋体" w:hAnsi="宋体"/>
          <w:color w:val="auto"/>
          <w:szCs w:val="21"/>
          <w:highlight w:val="none"/>
        </w:rPr>
        <w:t>（3）谈判分标（如有分标）；</w:t>
      </w:r>
    </w:p>
    <w:p>
      <w:pPr>
        <w:spacing w:line="400" w:lineRule="exact"/>
        <w:ind w:firstLine="329" w:firstLineChars="157"/>
        <w:rPr>
          <w:rFonts w:ascii="宋体" w:hAnsi="宋体"/>
          <w:color w:val="auto"/>
          <w:szCs w:val="21"/>
          <w:highlight w:val="none"/>
        </w:rPr>
      </w:pPr>
      <w:r>
        <w:rPr>
          <w:rFonts w:hint="eastAsia" w:ascii="宋体" w:hAnsi="宋体"/>
          <w:color w:val="auto"/>
          <w:szCs w:val="21"/>
          <w:highlight w:val="none"/>
        </w:rPr>
        <w:t>（4）供应商名称及地址；</w:t>
      </w:r>
    </w:p>
    <w:p>
      <w:pPr>
        <w:spacing w:line="400" w:lineRule="exact"/>
        <w:ind w:firstLine="329" w:firstLineChars="157"/>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评标时启封</w:t>
      </w:r>
      <w:r>
        <w:rPr>
          <w:rFonts w:hint="eastAsia" w:ascii="宋体" w:hAnsi="宋体"/>
          <w:color w:val="auto"/>
          <w:szCs w:val="21"/>
          <w:highlight w:val="none"/>
        </w:rPr>
        <w:t>”</w:t>
      </w:r>
      <w:r>
        <w:rPr>
          <w:rFonts w:ascii="宋体" w:hAnsi="宋体"/>
          <w:color w:val="auto"/>
          <w:szCs w:val="21"/>
          <w:highlight w:val="none"/>
        </w:rPr>
        <w:t>字样。</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14.响应文件的递交</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14.1所有响应文件应按“谈判须知前附表”中规定的时间前递交到规定地点。</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15.迟交的响应文件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按《中华人民共和国政府采购法》的规定，采购代理机构将拒绝或原封退回在其规定的递交响应文件截止时间之后收到的任何响应文件。</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16．递交响应文件截止时间、地点</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16.1响应文件的递交不得迟于本须知前附表规定的截止时间。</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16.2供应商必须在规定时间内将响应文件送到本须知前附表规定地点，超过截止时间送达的响应文件为无效文件，采购代理机构将拒收。</w:t>
      </w:r>
    </w:p>
    <w:p>
      <w:pPr>
        <w:spacing w:line="420" w:lineRule="exact"/>
        <w:ind w:firstLine="420" w:firstLineChars="200"/>
        <w:rPr>
          <w:rFonts w:ascii="宋体" w:hAnsi="Courier New"/>
          <w:bCs/>
          <w:color w:val="auto"/>
          <w:szCs w:val="20"/>
          <w:highlight w:val="none"/>
        </w:rPr>
      </w:pPr>
      <w:r>
        <w:rPr>
          <w:rFonts w:hint="eastAsia" w:ascii="宋体" w:hAnsi="宋体"/>
          <w:color w:val="auto"/>
          <w:szCs w:val="21"/>
          <w:highlight w:val="none"/>
        </w:rPr>
        <w:t>16.3</w:t>
      </w:r>
      <w:r>
        <w:rPr>
          <w:rFonts w:hint="eastAsia" w:ascii="宋体" w:hAnsi="Courier New"/>
          <w:bCs/>
          <w:color w:val="auto"/>
          <w:szCs w:val="20"/>
          <w:highlight w:val="none"/>
        </w:rPr>
        <w:t>截标</w:t>
      </w:r>
    </w:p>
    <w:p>
      <w:pPr>
        <w:spacing w:line="420" w:lineRule="exact"/>
        <w:ind w:firstLine="420" w:firstLineChars="200"/>
        <w:rPr>
          <w:rFonts w:ascii="宋体" w:hAnsi="Courier New"/>
          <w:color w:val="auto"/>
          <w:szCs w:val="20"/>
          <w:highlight w:val="none"/>
        </w:rPr>
      </w:pPr>
      <w:r>
        <w:rPr>
          <w:rFonts w:hint="eastAsia" w:ascii="宋体" w:hAnsi="宋体"/>
          <w:color w:val="auto"/>
          <w:szCs w:val="21"/>
          <w:highlight w:val="none"/>
        </w:rPr>
        <w:t>16</w:t>
      </w:r>
      <w:r>
        <w:rPr>
          <w:rFonts w:hint="eastAsia" w:ascii="宋体" w:hAnsi="Courier New"/>
          <w:color w:val="auto"/>
          <w:szCs w:val="20"/>
          <w:highlight w:val="none"/>
        </w:rPr>
        <w:t>.</w:t>
      </w:r>
      <w:r>
        <w:rPr>
          <w:rFonts w:ascii="宋体" w:hAnsi="Courier New"/>
          <w:color w:val="auto"/>
          <w:szCs w:val="20"/>
          <w:highlight w:val="none"/>
        </w:rPr>
        <w:t>3</w:t>
      </w:r>
      <w:r>
        <w:rPr>
          <w:rFonts w:hint="eastAsia" w:ascii="宋体" w:hAnsi="Courier New"/>
          <w:color w:val="auto"/>
          <w:szCs w:val="20"/>
          <w:highlight w:val="none"/>
        </w:rPr>
        <w:t>.1截标会议由采购代理机构组织并主持。</w:t>
      </w:r>
    </w:p>
    <w:p>
      <w:pPr>
        <w:spacing w:line="380" w:lineRule="exact"/>
        <w:ind w:firstLine="420" w:firstLineChars="200"/>
        <w:rPr>
          <w:rFonts w:ascii="宋体" w:hAnsi="宋体"/>
          <w:color w:val="auto"/>
          <w:kern w:val="0"/>
          <w:szCs w:val="21"/>
          <w:highlight w:val="none"/>
        </w:rPr>
      </w:pPr>
      <w:r>
        <w:rPr>
          <w:rFonts w:hint="eastAsia" w:ascii="宋体" w:hAnsi="宋体"/>
          <w:color w:val="auto"/>
          <w:szCs w:val="21"/>
          <w:highlight w:val="none"/>
        </w:rPr>
        <w:t>16</w:t>
      </w:r>
      <w:r>
        <w:rPr>
          <w:rFonts w:ascii="宋体" w:hAnsi="宋体"/>
          <w:color w:val="auto"/>
          <w:highlight w:val="none"/>
        </w:rPr>
        <w:t>.3.2</w:t>
      </w:r>
      <w:r>
        <w:rPr>
          <w:rFonts w:hint="eastAsia" w:ascii="宋体" w:hAnsi="宋体"/>
          <w:color w:val="auto"/>
          <w:highlight w:val="none"/>
        </w:rPr>
        <w:t>采</w:t>
      </w:r>
      <w:r>
        <w:rPr>
          <w:rFonts w:hint="eastAsia"/>
          <w:color w:val="auto"/>
          <w:highlight w:val="none"/>
        </w:rPr>
        <w:t>购代理机构将于前附表规定的时间和地点举行截标会议，谈</w:t>
      </w:r>
      <w:r>
        <w:rPr>
          <w:color w:val="auto"/>
          <w:highlight w:val="none"/>
        </w:rPr>
        <w:t>判供应商需</w:t>
      </w:r>
      <w:r>
        <w:rPr>
          <w:rFonts w:hint="eastAsia"/>
          <w:color w:val="auto"/>
          <w:highlight w:val="none"/>
        </w:rPr>
        <w:t>按</w:t>
      </w:r>
      <w:r>
        <w:rPr>
          <w:color w:val="auto"/>
          <w:highlight w:val="none"/>
        </w:rPr>
        <w:t>时出席会议</w:t>
      </w:r>
      <w:r>
        <w:rPr>
          <w:rFonts w:ascii="宋体" w:hAnsi="宋体"/>
          <w:color w:val="auto"/>
          <w:kern w:val="0"/>
          <w:highlight w:val="none"/>
        </w:rPr>
        <w:t>并携带有效证明材料</w:t>
      </w:r>
      <w:r>
        <w:rPr>
          <w:rFonts w:hint="eastAsia" w:ascii="宋体" w:hAnsi="宋体"/>
          <w:color w:val="auto"/>
          <w:kern w:val="0"/>
          <w:highlight w:val="none"/>
        </w:rPr>
        <w:t>：</w:t>
      </w:r>
      <w:r>
        <w:rPr>
          <w:rFonts w:ascii="宋体" w:hAnsi="宋体"/>
          <w:color w:val="auto"/>
          <w:kern w:val="0"/>
          <w:highlight w:val="none"/>
        </w:rPr>
        <w:t>法定代表人</w:t>
      </w:r>
      <w:r>
        <w:rPr>
          <w:rFonts w:hint="eastAsia" w:ascii="宋体" w:hAnsi="宋体"/>
          <w:color w:val="auto"/>
          <w:kern w:val="0"/>
          <w:highlight w:val="none"/>
        </w:rPr>
        <w:t>参加</w:t>
      </w:r>
      <w:r>
        <w:rPr>
          <w:rFonts w:ascii="宋体" w:hAnsi="宋体"/>
          <w:color w:val="auto"/>
          <w:kern w:val="0"/>
          <w:highlight w:val="none"/>
        </w:rPr>
        <w:t>须携带法定代表人身份证明书</w:t>
      </w:r>
      <w:r>
        <w:rPr>
          <w:rFonts w:hint="eastAsia" w:ascii="宋体" w:hAnsi="宋体"/>
          <w:color w:val="auto"/>
          <w:kern w:val="0"/>
          <w:highlight w:val="none"/>
        </w:rPr>
        <w:t>原</w:t>
      </w:r>
      <w:r>
        <w:rPr>
          <w:rFonts w:ascii="宋体" w:hAnsi="宋体"/>
          <w:color w:val="auto"/>
          <w:kern w:val="0"/>
          <w:highlight w:val="none"/>
        </w:rPr>
        <w:t>件</w:t>
      </w:r>
      <w:r>
        <w:rPr>
          <w:rFonts w:hint="eastAsia" w:ascii="宋体" w:hAnsi="宋体"/>
          <w:color w:val="auto"/>
          <w:kern w:val="0"/>
          <w:highlight w:val="none"/>
        </w:rPr>
        <w:t>、</w:t>
      </w:r>
      <w:r>
        <w:rPr>
          <w:rFonts w:ascii="宋体" w:hAnsi="宋体"/>
          <w:color w:val="auto"/>
          <w:kern w:val="0"/>
          <w:highlight w:val="none"/>
        </w:rPr>
        <w:t>法</w:t>
      </w:r>
      <w:r>
        <w:rPr>
          <w:rFonts w:hint="eastAsia" w:ascii="宋体" w:hAnsi="宋体"/>
          <w:color w:val="auto"/>
          <w:kern w:val="0"/>
          <w:highlight w:val="none"/>
        </w:rPr>
        <w:t>定</w:t>
      </w:r>
      <w:r>
        <w:rPr>
          <w:rFonts w:ascii="宋体" w:hAnsi="宋体"/>
          <w:color w:val="auto"/>
          <w:kern w:val="0"/>
          <w:highlight w:val="none"/>
        </w:rPr>
        <w:t>代表人身份证原件及复印件</w:t>
      </w:r>
      <w:r>
        <w:rPr>
          <w:rFonts w:hint="eastAsia" w:ascii="宋体" w:hAnsi="宋体"/>
          <w:color w:val="auto"/>
          <w:kern w:val="0"/>
          <w:highlight w:val="none"/>
        </w:rPr>
        <w:t>、有</w:t>
      </w:r>
      <w:r>
        <w:rPr>
          <w:rFonts w:ascii="宋体" w:hAnsi="宋体"/>
          <w:color w:val="auto"/>
          <w:kern w:val="0"/>
          <w:highlight w:val="none"/>
        </w:rPr>
        <w:t>效的营业执照副本复印件，授权委托代理人</w:t>
      </w:r>
      <w:r>
        <w:rPr>
          <w:rFonts w:hint="eastAsia" w:ascii="宋体" w:hAnsi="宋体"/>
          <w:color w:val="auto"/>
          <w:kern w:val="0"/>
          <w:highlight w:val="none"/>
        </w:rPr>
        <w:t>参加</w:t>
      </w:r>
      <w:r>
        <w:rPr>
          <w:rFonts w:ascii="宋体" w:hAnsi="宋体"/>
          <w:color w:val="auto"/>
          <w:kern w:val="0"/>
          <w:highlight w:val="none"/>
        </w:rPr>
        <w:t>须携带</w:t>
      </w:r>
      <w:r>
        <w:rPr>
          <w:rFonts w:hint="eastAsia" w:ascii="宋体" w:hAnsi="宋体"/>
          <w:color w:val="auto"/>
          <w:kern w:val="0"/>
          <w:highlight w:val="none"/>
        </w:rPr>
        <w:t>法</w:t>
      </w:r>
      <w:r>
        <w:rPr>
          <w:rFonts w:ascii="宋体" w:hAnsi="宋体"/>
          <w:color w:val="auto"/>
          <w:kern w:val="0"/>
          <w:highlight w:val="none"/>
        </w:rPr>
        <w:t>定代表人授权委托书原件</w:t>
      </w:r>
      <w:r>
        <w:rPr>
          <w:rFonts w:hint="eastAsia" w:ascii="宋体" w:hAnsi="宋体"/>
          <w:color w:val="auto"/>
          <w:kern w:val="0"/>
          <w:highlight w:val="none"/>
        </w:rPr>
        <w:t>、</w:t>
      </w:r>
      <w:r>
        <w:rPr>
          <w:rFonts w:ascii="宋体" w:hAnsi="宋体"/>
          <w:color w:val="auto"/>
          <w:kern w:val="0"/>
          <w:highlight w:val="none"/>
        </w:rPr>
        <w:t>法定代表人正反面身份证复印件</w:t>
      </w:r>
      <w:r>
        <w:rPr>
          <w:rFonts w:hint="eastAsia" w:ascii="宋体" w:hAnsi="宋体"/>
          <w:color w:val="auto"/>
          <w:kern w:val="0"/>
          <w:highlight w:val="none"/>
        </w:rPr>
        <w:t>、</w:t>
      </w:r>
      <w:r>
        <w:rPr>
          <w:rFonts w:ascii="宋体" w:hAnsi="宋体"/>
          <w:color w:val="auto"/>
          <w:kern w:val="0"/>
          <w:highlight w:val="none"/>
        </w:rPr>
        <w:t>代理人身份证原件及复印件</w:t>
      </w:r>
      <w:r>
        <w:rPr>
          <w:rFonts w:hint="eastAsia" w:ascii="宋体" w:hAnsi="宋体"/>
          <w:color w:val="auto"/>
          <w:kern w:val="0"/>
          <w:highlight w:val="none"/>
        </w:rPr>
        <w:t>、有</w:t>
      </w:r>
      <w:r>
        <w:rPr>
          <w:rFonts w:ascii="宋体" w:hAnsi="宋体"/>
          <w:color w:val="auto"/>
          <w:kern w:val="0"/>
          <w:highlight w:val="none"/>
        </w:rPr>
        <w:t>效的营业执照副本复印件</w:t>
      </w:r>
      <w:r>
        <w:rPr>
          <w:rFonts w:hint="eastAsia" w:ascii="宋体" w:hAnsi="宋体"/>
          <w:color w:val="auto"/>
          <w:kern w:val="0"/>
          <w:highlight w:val="none"/>
        </w:rPr>
        <w:t>，以</w:t>
      </w:r>
      <w:r>
        <w:rPr>
          <w:rFonts w:ascii="宋体" w:hAnsi="宋体"/>
          <w:color w:val="auto"/>
          <w:kern w:val="0"/>
          <w:highlight w:val="none"/>
        </w:rPr>
        <w:t>上资料均需</w:t>
      </w:r>
      <w:r>
        <w:rPr>
          <w:rFonts w:hint="eastAsia" w:ascii="宋体" w:hAnsi="宋体"/>
          <w:color w:val="auto"/>
          <w:kern w:val="0"/>
          <w:highlight w:val="none"/>
        </w:rPr>
        <w:t>加</w:t>
      </w:r>
      <w:r>
        <w:rPr>
          <w:rFonts w:ascii="宋体" w:hAnsi="宋体"/>
          <w:color w:val="auto"/>
          <w:kern w:val="0"/>
          <w:highlight w:val="none"/>
        </w:rPr>
        <w:t>盖</w:t>
      </w:r>
      <w:r>
        <w:rPr>
          <w:rFonts w:hint="eastAsia" w:ascii="宋体" w:hAnsi="宋体"/>
          <w:color w:val="auto"/>
          <w:kern w:val="0"/>
          <w:highlight w:val="none"/>
        </w:rPr>
        <w:t>供应商</w:t>
      </w:r>
      <w:r>
        <w:rPr>
          <w:rFonts w:ascii="宋体" w:hAnsi="宋体"/>
          <w:color w:val="auto"/>
          <w:kern w:val="0"/>
          <w:highlight w:val="none"/>
        </w:rPr>
        <w:t>公章，</w:t>
      </w:r>
      <w:r>
        <w:rPr>
          <w:rFonts w:hint="eastAsia" w:ascii="宋体" w:hAnsi="宋体"/>
          <w:color w:val="auto"/>
          <w:kern w:val="0"/>
          <w:highlight w:val="none"/>
        </w:rPr>
        <w:t>准时出席</w:t>
      </w:r>
      <w:r>
        <w:rPr>
          <w:rFonts w:hint="eastAsia" w:ascii="宋体" w:hAnsi="宋体"/>
          <w:color w:val="auto"/>
          <w:kern w:val="0"/>
          <w:szCs w:val="21"/>
          <w:highlight w:val="none"/>
        </w:rPr>
        <w:t>，以</w:t>
      </w:r>
      <w:r>
        <w:rPr>
          <w:rFonts w:ascii="宋体" w:hAnsi="宋体"/>
          <w:color w:val="auto"/>
          <w:kern w:val="0"/>
          <w:szCs w:val="21"/>
          <w:highlight w:val="none"/>
        </w:rPr>
        <w:t>证实其资格</w:t>
      </w:r>
      <w:r>
        <w:rPr>
          <w:rFonts w:hint="eastAsia" w:ascii="宋体" w:hAnsi="宋体"/>
          <w:color w:val="auto"/>
          <w:kern w:val="0"/>
          <w:szCs w:val="21"/>
          <w:highlight w:val="none"/>
        </w:rPr>
        <w:t>，</w:t>
      </w:r>
      <w:r>
        <w:rPr>
          <w:rFonts w:hint="eastAsia" w:hAnsi="宋体"/>
          <w:color w:val="auto"/>
          <w:spacing w:val="-1"/>
          <w:kern w:val="0"/>
          <w:highlight w:val="none"/>
        </w:rPr>
        <w:t>由采购单位代表验证</w:t>
      </w:r>
      <w:r>
        <w:rPr>
          <w:rFonts w:ascii="宋体" w:hAnsi="宋体"/>
          <w:color w:val="auto"/>
          <w:kern w:val="0"/>
          <w:szCs w:val="21"/>
          <w:highlight w:val="none"/>
        </w:rPr>
        <w:t>。</w:t>
      </w:r>
      <w:r>
        <w:rPr>
          <w:rFonts w:hint="eastAsia" w:ascii="宋体" w:hAnsi="宋体"/>
          <w:color w:val="auto"/>
          <w:kern w:val="0"/>
          <w:szCs w:val="21"/>
          <w:highlight w:val="none"/>
        </w:rPr>
        <w:t>若相</w:t>
      </w:r>
      <w:r>
        <w:rPr>
          <w:rFonts w:ascii="宋体" w:hAnsi="宋体"/>
          <w:color w:val="auto"/>
          <w:kern w:val="0"/>
          <w:szCs w:val="21"/>
          <w:highlight w:val="none"/>
        </w:rPr>
        <w:t>关证明材料不合格或不齐全，不予启封响应文件，并按无效标处理。</w:t>
      </w:r>
    </w:p>
    <w:p>
      <w:pPr>
        <w:spacing w:before="156" w:beforeLines="50" w:line="276" w:lineRule="auto"/>
        <w:ind w:right="168" w:rightChars="80" w:firstLine="432" w:firstLineChars="205"/>
        <w:rPr>
          <w:rFonts w:ascii="宋体" w:hAnsi="宋体"/>
          <w:b/>
          <w:color w:val="auto"/>
          <w:szCs w:val="21"/>
          <w:highlight w:val="none"/>
        </w:rPr>
      </w:pPr>
      <w:r>
        <w:rPr>
          <w:rFonts w:hint="eastAsia" w:ascii="宋体" w:hAnsi="宋体"/>
          <w:b/>
          <w:color w:val="auto"/>
          <w:szCs w:val="21"/>
          <w:highlight w:val="none"/>
        </w:rPr>
        <w:t>17. 响应文件的修改与撤回</w:t>
      </w:r>
    </w:p>
    <w:p>
      <w:pPr>
        <w:spacing w:line="276" w:lineRule="auto"/>
        <w:ind w:right="168" w:rightChars="80" w:firstLine="430" w:firstLineChars="205"/>
        <w:rPr>
          <w:rFonts w:ascii="宋体" w:hAnsi="宋体"/>
          <w:color w:val="auto"/>
          <w:szCs w:val="21"/>
          <w:highlight w:val="none"/>
        </w:rPr>
      </w:pPr>
      <w:r>
        <w:rPr>
          <w:rFonts w:hint="eastAsia" w:ascii="宋体" w:hAnsi="宋体"/>
          <w:color w:val="auto"/>
          <w:szCs w:val="21"/>
          <w:highlight w:val="none"/>
        </w:rPr>
        <w:t>17.1 在提交响应文件以后，于规定的提交响应文件截止时间前，供应商可以书面形式向采购代理机构提交其修改或撤回其响应文件的通知，修改通知作为响应文件的组成部分，对供应商起约束作用。</w:t>
      </w:r>
    </w:p>
    <w:p>
      <w:pPr>
        <w:spacing w:line="276" w:lineRule="auto"/>
        <w:ind w:right="168" w:rightChars="80" w:firstLine="430" w:firstLineChars="205"/>
        <w:rPr>
          <w:rFonts w:ascii="宋体" w:hAnsi="宋体"/>
          <w:color w:val="auto"/>
          <w:szCs w:val="21"/>
          <w:highlight w:val="none"/>
        </w:rPr>
      </w:pPr>
      <w:r>
        <w:rPr>
          <w:rFonts w:hint="eastAsia" w:ascii="宋体" w:hAnsi="宋体"/>
          <w:color w:val="auto"/>
          <w:szCs w:val="21"/>
          <w:highlight w:val="none"/>
        </w:rPr>
        <w:t>17.2 供应商的修改或撤回通知，应按本须知的规定密封、标志和提交（在内层密封袋上标明“修改”或“撤回”字样）。</w:t>
      </w:r>
    </w:p>
    <w:p>
      <w:pPr>
        <w:spacing w:line="276" w:lineRule="auto"/>
        <w:ind w:right="168" w:rightChars="80" w:firstLine="430" w:firstLineChars="205"/>
        <w:rPr>
          <w:rFonts w:ascii="宋体" w:hAnsi="宋体"/>
          <w:color w:val="auto"/>
          <w:szCs w:val="21"/>
          <w:highlight w:val="none"/>
        </w:rPr>
      </w:pPr>
      <w:r>
        <w:rPr>
          <w:rFonts w:hint="eastAsia" w:ascii="宋体" w:hAnsi="宋体"/>
          <w:color w:val="auto"/>
          <w:szCs w:val="21"/>
          <w:highlight w:val="none"/>
        </w:rPr>
        <w:t>17.3 在提交响应文件截止时间以后，供应商不得修改响应文件。</w:t>
      </w:r>
    </w:p>
    <w:p>
      <w:pPr>
        <w:spacing w:line="400" w:lineRule="exact"/>
        <w:ind w:firstLine="422" w:firstLineChars="200"/>
        <w:rPr>
          <w:rFonts w:ascii="宋体" w:hAnsi="宋体"/>
          <w:b/>
          <w:color w:val="auto"/>
          <w:szCs w:val="21"/>
          <w:highlight w:val="none"/>
        </w:rPr>
      </w:pPr>
      <w:bookmarkStart w:id="38" w:name="_Toc254970532"/>
      <w:bookmarkStart w:id="39" w:name="_Toc254970673"/>
      <w:r>
        <w:rPr>
          <w:rFonts w:hint="eastAsia" w:ascii="宋体" w:hAnsi="宋体"/>
          <w:b/>
          <w:color w:val="auto"/>
          <w:szCs w:val="21"/>
          <w:highlight w:val="none"/>
        </w:rPr>
        <w:t>六、谈判与评审</w:t>
      </w:r>
    </w:p>
    <w:p>
      <w:pPr>
        <w:pStyle w:val="20"/>
        <w:ind w:firstLine="466" w:firstLineChars="221"/>
        <w:rPr>
          <w:b/>
          <w:color w:val="auto"/>
          <w:szCs w:val="21"/>
          <w:highlight w:val="none"/>
        </w:rPr>
      </w:pPr>
      <w:r>
        <w:rPr>
          <w:rFonts w:hint="eastAsia"/>
          <w:b/>
          <w:color w:val="auto"/>
          <w:szCs w:val="21"/>
          <w:highlight w:val="none"/>
        </w:rPr>
        <w:t>18.</w:t>
      </w:r>
      <w:r>
        <w:rPr>
          <w:rFonts w:hint="eastAsia" w:hAnsi="宋体"/>
          <w:b/>
          <w:color w:val="auto"/>
          <w:szCs w:val="21"/>
          <w:highlight w:val="none"/>
        </w:rPr>
        <w:t xml:space="preserve"> 谈判</w:t>
      </w:r>
    </w:p>
    <w:p>
      <w:pPr>
        <w:pStyle w:val="20"/>
        <w:ind w:firstLine="464" w:firstLineChars="221"/>
        <w:rPr>
          <w:rFonts w:hAnsi="宋体"/>
          <w:color w:val="auto"/>
          <w:szCs w:val="21"/>
          <w:highlight w:val="none"/>
        </w:rPr>
      </w:pPr>
      <w:r>
        <w:rPr>
          <w:rFonts w:hint="eastAsia" w:hAnsi="宋体"/>
          <w:color w:val="auto"/>
          <w:szCs w:val="21"/>
          <w:highlight w:val="none"/>
        </w:rPr>
        <w:t>18.1谈判小组确认谈判文件，并将在谈判须知前附表规定的地点与各供应商进行谈判。谈判内容包括：竞标报价、技术参数及性能（配置）要求和商务条款，供应商资格条件不列为谈判内容。</w:t>
      </w:r>
    </w:p>
    <w:p>
      <w:pPr>
        <w:pStyle w:val="20"/>
        <w:ind w:firstLine="464" w:firstLineChars="221"/>
        <w:rPr>
          <w:rFonts w:hAnsi="宋体"/>
          <w:color w:val="auto"/>
          <w:szCs w:val="21"/>
          <w:highlight w:val="none"/>
        </w:rPr>
      </w:pPr>
      <w:r>
        <w:rPr>
          <w:rFonts w:hint="eastAsia" w:hAnsi="宋体"/>
          <w:color w:val="auto"/>
          <w:szCs w:val="21"/>
          <w:highlight w:val="none"/>
        </w:rPr>
        <w:t>18.2谈判小组对资格条件及响应文件进行评审，并从符合谈判文件规定的相应资格条件的供应商名单中确定不少于3家的供应商参加谈判。资格条件不符合的供应商或未实质性响应谈判文件的响应文件按无效处理，谈判小组应当告知有关供应商。</w:t>
      </w:r>
    </w:p>
    <w:p>
      <w:pPr>
        <w:pStyle w:val="20"/>
        <w:ind w:firstLine="464" w:firstLineChars="221"/>
        <w:rPr>
          <w:rFonts w:hAnsi="宋体"/>
          <w:color w:val="auto"/>
          <w:szCs w:val="21"/>
          <w:highlight w:val="none"/>
        </w:rPr>
      </w:pPr>
      <w:r>
        <w:rPr>
          <w:rFonts w:hint="eastAsia" w:hAnsi="宋体"/>
          <w:color w:val="auto"/>
          <w:szCs w:val="21"/>
          <w:highlight w:val="none"/>
        </w:rPr>
        <w:t>18.3第一轮谈判</w:t>
      </w:r>
    </w:p>
    <w:p>
      <w:pPr>
        <w:pStyle w:val="20"/>
        <w:ind w:firstLine="464" w:firstLineChars="221"/>
        <w:rPr>
          <w:rFonts w:hAnsi="宋体"/>
          <w:color w:val="auto"/>
          <w:szCs w:val="21"/>
          <w:highlight w:val="none"/>
        </w:rPr>
      </w:pPr>
      <w:r>
        <w:rPr>
          <w:rFonts w:hint="eastAsia" w:hAnsi="宋体"/>
          <w:color w:val="auto"/>
          <w:szCs w:val="21"/>
          <w:highlight w:val="none"/>
        </w:rPr>
        <w:t>谈判小组按已确定的谈判顺序，谈判小组所有成员应当集中与单一供应商分别进行谈判，并给予所有参加谈判的供应商平等的谈判机会。</w:t>
      </w:r>
    </w:p>
    <w:p>
      <w:pPr>
        <w:pStyle w:val="20"/>
        <w:ind w:firstLine="464" w:firstLineChars="221"/>
        <w:rPr>
          <w:rFonts w:hAnsi="宋体"/>
          <w:color w:val="auto"/>
          <w:szCs w:val="21"/>
          <w:highlight w:val="none"/>
        </w:rPr>
      </w:pPr>
      <w:r>
        <w:rPr>
          <w:rFonts w:hint="eastAsia" w:hAnsi="宋体"/>
          <w:color w:val="auto"/>
          <w:szCs w:val="21"/>
          <w:highlight w:val="none"/>
        </w:rPr>
        <w:t>在谈判过程中，谈判小组可以根据谈判文件和谈判情况实质性变动采购需求中的技术、服务要求以及合同草案条款。实质性变动的内容，须经采购人代表确认。</w:t>
      </w:r>
    </w:p>
    <w:p>
      <w:pPr>
        <w:pStyle w:val="20"/>
        <w:ind w:firstLine="464" w:firstLineChars="221"/>
        <w:rPr>
          <w:rFonts w:hAnsi="宋体"/>
          <w:color w:val="auto"/>
          <w:szCs w:val="21"/>
          <w:highlight w:val="none"/>
        </w:rPr>
      </w:pPr>
      <w:r>
        <w:rPr>
          <w:rFonts w:hint="eastAsia" w:hAnsi="宋体"/>
          <w:color w:val="auto"/>
          <w:szCs w:val="21"/>
          <w:highlight w:val="none"/>
        </w:rPr>
        <w:t>对谈判文件作出的实质性变动是谈判文件的有效组成部分，谈判小组应当及时以书面形式同时通知所有参加谈判的供应商。</w:t>
      </w:r>
    </w:p>
    <w:p>
      <w:pPr>
        <w:pStyle w:val="20"/>
        <w:ind w:firstLine="464" w:firstLineChars="221"/>
        <w:rPr>
          <w:rFonts w:hAnsi="宋体"/>
          <w:color w:val="auto"/>
          <w:szCs w:val="21"/>
          <w:highlight w:val="none"/>
        </w:rPr>
      </w:pPr>
      <w:r>
        <w:rPr>
          <w:rFonts w:hint="eastAsia" w:hAnsi="宋体"/>
          <w:color w:val="auto"/>
          <w:szCs w:val="21"/>
          <w:highlight w:val="none"/>
        </w:rPr>
        <w:t>供应商应当按照谈判文件的变动情况和谈判小组的要求提交谈判应答响应文件，并由其法定代表人或授权代表签字或者加盖公章。由授权代表签字的，应当附法定代表人授权书。</w:t>
      </w:r>
    </w:p>
    <w:p>
      <w:pPr>
        <w:pStyle w:val="20"/>
        <w:ind w:firstLine="464" w:firstLineChars="221"/>
        <w:rPr>
          <w:rFonts w:hAnsi="宋体"/>
          <w:color w:val="auto"/>
          <w:szCs w:val="21"/>
          <w:highlight w:val="none"/>
        </w:rPr>
      </w:pPr>
      <w:r>
        <w:rPr>
          <w:rFonts w:hint="eastAsia" w:hAnsi="宋体"/>
          <w:color w:val="auto"/>
          <w:szCs w:val="21"/>
          <w:highlight w:val="none"/>
        </w:rPr>
        <w:t>谈判中，谈判的任何一方不得透露与谈判有关的其他供应商的技术资料、价格和其他信息。</w:t>
      </w:r>
    </w:p>
    <w:p>
      <w:pPr>
        <w:pStyle w:val="20"/>
        <w:ind w:firstLine="464" w:firstLineChars="221"/>
        <w:rPr>
          <w:rFonts w:hAnsi="宋体"/>
          <w:color w:val="auto"/>
          <w:szCs w:val="21"/>
          <w:highlight w:val="none"/>
        </w:rPr>
      </w:pPr>
      <w:r>
        <w:rPr>
          <w:rFonts w:hint="eastAsia" w:hAnsi="宋体"/>
          <w:color w:val="auto"/>
          <w:szCs w:val="21"/>
          <w:highlight w:val="none"/>
        </w:rPr>
        <w:t>采购代理机构对谈判过程和重要谈判内容进行记录，谈判双方在记录上签字确认。</w:t>
      </w:r>
    </w:p>
    <w:p>
      <w:pPr>
        <w:pStyle w:val="20"/>
        <w:ind w:firstLine="464" w:firstLineChars="221"/>
        <w:rPr>
          <w:rFonts w:hAnsi="宋体"/>
          <w:color w:val="auto"/>
          <w:szCs w:val="21"/>
          <w:highlight w:val="none"/>
        </w:rPr>
      </w:pPr>
      <w:r>
        <w:rPr>
          <w:rFonts w:hint="eastAsia" w:hAnsi="宋体"/>
          <w:color w:val="auto"/>
          <w:szCs w:val="21"/>
          <w:highlight w:val="none"/>
        </w:rPr>
        <w:t>谈判小组一致确定响应供应商符合谈判文件要求的，按谈判文件设定的方法和标准确定成交候选人。第一轮谈判小组未能确定成交候选人的，对谈判文件修正后进行第二轮谈判。</w:t>
      </w:r>
    </w:p>
    <w:p>
      <w:pPr>
        <w:pStyle w:val="20"/>
        <w:ind w:firstLine="464" w:firstLineChars="221"/>
        <w:rPr>
          <w:rFonts w:hAnsi="宋体"/>
          <w:color w:val="auto"/>
          <w:szCs w:val="21"/>
          <w:highlight w:val="none"/>
        </w:rPr>
      </w:pPr>
      <w:r>
        <w:rPr>
          <w:rFonts w:hint="eastAsia" w:hAnsi="宋体"/>
          <w:color w:val="auto"/>
          <w:szCs w:val="21"/>
          <w:highlight w:val="none"/>
        </w:rPr>
        <w:t>18.4谈判文件修正</w:t>
      </w:r>
    </w:p>
    <w:p>
      <w:pPr>
        <w:pStyle w:val="20"/>
        <w:ind w:firstLine="464" w:firstLineChars="221"/>
        <w:rPr>
          <w:rFonts w:hAnsi="宋体"/>
          <w:color w:val="auto"/>
          <w:szCs w:val="21"/>
          <w:highlight w:val="none"/>
        </w:rPr>
      </w:pPr>
      <w:r>
        <w:rPr>
          <w:rFonts w:hint="eastAsia" w:hAnsi="宋体"/>
          <w:color w:val="auto"/>
          <w:szCs w:val="21"/>
          <w:highlight w:val="none"/>
        </w:rPr>
        <w:t>（1）第一轮谈判结束后，各响应供应商退场等候，谈判小组进行合议。根据第一轮谈判掌握的情况，可以对谈判文件进行修改，确定采购内容的详细规格或具体要求，优化采购方案。</w:t>
      </w:r>
    </w:p>
    <w:p>
      <w:pPr>
        <w:pStyle w:val="20"/>
        <w:ind w:firstLine="464" w:firstLineChars="221"/>
        <w:rPr>
          <w:rFonts w:hAnsi="宋体"/>
          <w:color w:val="auto"/>
          <w:szCs w:val="21"/>
          <w:highlight w:val="none"/>
        </w:rPr>
      </w:pPr>
      <w:r>
        <w:rPr>
          <w:rFonts w:hint="eastAsia" w:hAnsi="宋体"/>
          <w:color w:val="auto"/>
          <w:szCs w:val="21"/>
          <w:highlight w:val="none"/>
        </w:rPr>
        <w:t>（2）采购代理机构通知响应供应商集中，谈判小组强调调整后的采购要求，将谈判文件的修改结果以书面形式通知响应供应商，向响应供应商提供较充分的修正时间。</w:t>
      </w:r>
    </w:p>
    <w:p>
      <w:pPr>
        <w:pStyle w:val="20"/>
        <w:ind w:firstLine="464" w:firstLineChars="221"/>
        <w:rPr>
          <w:rFonts w:hAnsi="宋体"/>
          <w:color w:val="auto"/>
          <w:szCs w:val="21"/>
          <w:highlight w:val="none"/>
        </w:rPr>
      </w:pPr>
      <w:r>
        <w:rPr>
          <w:rFonts w:hint="eastAsia" w:hAnsi="宋体"/>
          <w:color w:val="auto"/>
          <w:szCs w:val="21"/>
          <w:highlight w:val="none"/>
        </w:rPr>
        <w:t>（3）响应供应商根据第一轮谈判情况和谈判文件修改书面通知内容，进行谈判应答响应，并将谈判应答响应文件签字（或盖公章）后密封送交谈判小组。逾时不交的，视同放弃谈判。谈判应答响应文件与首次响应文件同具法律效应。</w:t>
      </w:r>
    </w:p>
    <w:p>
      <w:pPr>
        <w:pStyle w:val="20"/>
        <w:ind w:firstLine="464" w:firstLineChars="221"/>
        <w:rPr>
          <w:rFonts w:hAnsi="宋体"/>
          <w:color w:val="auto"/>
          <w:szCs w:val="21"/>
          <w:highlight w:val="none"/>
        </w:rPr>
      </w:pPr>
      <w:r>
        <w:rPr>
          <w:rFonts w:hint="eastAsia" w:hAnsi="宋体"/>
          <w:color w:val="auto"/>
          <w:szCs w:val="21"/>
          <w:highlight w:val="none"/>
        </w:rPr>
        <w:t>18.5第二轮谈判</w:t>
      </w:r>
    </w:p>
    <w:p>
      <w:pPr>
        <w:pStyle w:val="20"/>
        <w:ind w:firstLine="464" w:firstLineChars="221"/>
        <w:rPr>
          <w:rFonts w:hAnsi="宋体"/>
          <w:color w:val="auto"/>
          <w:szCs w:val="21"/>
          <w:highlight w:val="none"/>
        </w:rPr>
      </w:pPr>
      <w:r>
        <w:rPr>
          <w:rFonts w:hint="eastAsia" w:hAnsi="宋体"/>
          <w:color w:val="auto"/>
          <w:szCs w:val="21"/>
          <w:highlight w:val="none"/>
        </w:rPr>
        <w:t>谈判小组就修正后的谈判文件与响应供应商分别进行谈判。采购代理机构对谈判过程和重要谈判内容进行记录，谈判双方在记录上签字确认。谈判小组按谈判文件设定的方法和标准确定成交候选人。</w:t>
      </w:r>
    </w:p>
    <w:p>
      <w:pPr>
        <w:pStyle w:val="20"/>
        <w:ind w:firstLine="464" w:firstLineChars="221"/>
        <w:rPr>
          <w:rFonts w:hAnsi="宋体"/>
          <w:color w:val="auto"/>
          <w:szCs w:val="21"/>
          <w:highlight w:val="none"/>
        </w:rPr>
      </w:pPr>
      <w:r>
        <w:rPr>
          <w:rFonts w:hint="eastAsia" w:hAnsi="宋体"/>
          <w:color w:val="auto"/>
          <w:szCs w:val="21"/>
          <w:highlight w:val="none"/>
        </w:rPr>
        <w:t>第二轮谈判小组未能确定成交候选人的，对谈判文件修正后进行第三轮谈判，以此类推。</w:t>
      </w:r>
    </w:p>
    <w:p>
      <w:pPr>
        <w:pStyle w:val="20"/>
        <w:ind w:firstLine="464" w:firstLineChars="221"/>
        <w:rPr>
          <w:rFonts w:hAnsi="宋体"/>
          <w:color w:val="auto"/>
          <w:szCs w:val="21"/>
          <w:highlight w:val="none"/>
        </w:rPr>
      </w:pPr>
      <w:r>
        <w:rPr>
          <w:rFonts w:hint="eastAsia" w:hAnsi="宋体"/>
          <w:color w:val="auto"/>
          <w:szCs w:val="21"/>
          <w:highlight w:val="none"/>
        </w:rPr>
        <w:t>18.6最后报价</w:t>
      </w:r>
    </w:p>
    <w:p>
      <w:pPr>
        <w:pStyle w:val="20"/>
        <w:ind w:firstLine="464" w:firstLineChars="221"/>
        <w:rPr>
          <w:rFonts w:hAnsi="宋体"/>
          <w:color w:val="auto"/>
          <w:szCs w:val="21"/>
          <w:highlight w:val="none"/>
        </w:rPr>
      </w:pPr>
      <w:r>
        <w:rPr>
          <w:rFonts w:hint="eastAsia" w:hAnsi="宋体"/>
          <w:color w:val="auto"/>
          <w:szCs w:val="21"/>
          <w:highlight w:val="none"/>
        </w:rPr>
        <w:t>（1）谈判文件能够详细列明采购标的的技术、服务要求的，谈判结束后，谈判小组应当要求所有继续参加谈判的供应商在规定时间内密封提交最后报价，提交最后报价的供应商不得少于3家。</w:t>
      </w:r>
    </w:p>
    <w:p>
      <w:pPr>
        <w:pStyle w:val="20"/>
        <w:ind w:firstLine="464" w:firstLineChars="221"/>
        <w:rPr>
          <w:rFonts w:hAnsi="宋体"/>
          <w:color w:val="auto"/>
          <w:szCs w:val="21"/>
          <w:highlight w:val="none"/>
        </w:rPr>
      </w:pPr>
      <w:r>
        <w:rPr>
          <w:rFonts w:hint="eastAsia" w:hAnsi="宋体"/>
          <w:color w:val="auto"/>
          <w:szCs w:val="21"/>
          <w:highlight w:val="none"/>
        </w:rPr>
        <w:t>（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密封提交最后报价。</w:t>
      </w:r>
    </w:p>
    <w:p>
      <w:pPr>
        <w:pStyle w:val="20"/>
        <w:ind w:firstLine="464" w:firstLineChars="221"/>
        <w:rPr>
          <w:rFonts w:hAnsi="宋体"/>
          <w:color w:val="auto"/>
          <w:szCs w:val="21"/>
          <w:highlight w:val="none"/>
        </w:rPr>
      </w:pPr>
      <w:r>
        <w:rPr>
          <w:rFonts w:hint="eastAsia" w:hAnsi="宋体"/>
          <w:color w:val="auto"/>
          <w:szCs w:val="21"/>
          <w:highlight w:val="none"/>
        </w:rPr>
        <w:t>（3）最后报价是供应商响应文件的有效组成部分。</w:t>
      </w:r>
    </w:p>
    <w:p>
      <w:pPr>
        <w:widowControl/>
        <w:tabs>
          <w:tab w:val="left" w:pos="54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（4）已经提交响应文件的供应商，在提交最后报价之前，可以根据谈判情况退出谈判。最终谈判结束后，谈判小组不得再与供应商进行任何形式的商谈。</w:t>
      </w:r>
    </w:p>
    <w:p>
      <w:pPr>
        <w:pStyle w:val="20"/>
        <w:ind w:firstLine="464" w:firstLineChars="221"/>
        <w:rPr>
          <w:rFonts w:hAnsi="宋体"/>
          <w:color w:val="auto"/>
          <w:szCs w:val="21"/>
          <w:highlight w:val="none"/>
        </w:rPr>
      </w:pPr>
      <w:r>
        <w:rPr>
          <w:rFonts w:hint="eastAsia" w:hAnsi="宋体"/>
          <w:color w:val="auto"/>
          <w:szCs w:val="21"/>
          <w:highlight w:val="none"/>
        </w:rPr>
        <w:t>（5）谈判小组应当从质量和服务均能满足谈判文件实质性响应要求的供应商中，按照最终评标报价由低到高的顺序提出3名以上成交候选人，并编写评审报告。</w:t>
      </w:r>
    </w:p>
    <w:p>
      <w:pPr>
        <w:pStyle w:val="20"/>
        <w:ind w:firstLine="464" w:firstLineChars="221"/>
        <w:rPr>
          <w:rFonts w:hAnsi="宋体"/>
          <w:color w:val="auto"/>
          <w:szCs w:val="21"/>
          <w:highlight w:val="none"/>
        </w:rPr>
      </w:pPr>
      <w:r>
        <w:rPr>
          <w:rFonts w:hint="eastAsia" w:hAnsi="宋体"/>
          <w:color w:val="auto"/>
          <w:szCs w:val="21"/>
          <w:highlight w:val="none"/>
        </w:rPr>
        <w:t>（6）公开招标的货物、服务采购项目，招标过程中提交投标文件或者经评审实质性响应招标文件要求的供应商只有两家时，采购人、采购代理机构经本级财政部门批准后可以与该两家供应商进行竞争性谈判采购。符合本款情形的，本须知第19.2条、第19.6条第（1）、（2）、（3）款的供应商最低数量可以为两家。</w:t>
      </w:r>
    </w:p>
    <w:p>
      <w:pPr>
        <w:pStyle w:val="20"/>
        <w:ind w:firstLine="464" w:firstLineChars="221"/>
        <w:rPr>
          <w:rFonts w:hAnsi="宋体"/>
          <w:color w:val="auto"/>
          <w:szCs w:val="21"/>
          <w:highlight w:val="none"/>
        </w:rPr>
      </w:pPr>
      <w:r>
        <w:rPr>
          <w:rFonts w:hint="eastAsia" w:hAnsi="宋体"/>
          <w:color w:val="auto"/>
          <w:szCs w:val="21"/>
          <w:highlight w:val="none"/>
        </w:rPr>
        <w:t>18.7响应供应商的报价均超过了政府采购预算，采购人不能支付的，谈判活动终止。</w:t>
      </w:r>
    </w:p>
    <w:p>
      <w:pPr>
        <w:pStyle w:val="20"/>
        <w:ind w:firstLine="466" w:firstLineChars="221"/>
        <w:rPr>
          <w:rFonts w:hAnsi="宋体"/>
          <w:b/>
          <w:color w:val="auto"/>
          <w:szCs w:val="21"/>
          <w:highlight w:val="none"/>
        </w:rPr>
      </w:pPr>
      <w:r>
        <w:rPr>
          <w:rFonts w:hint="eastAsia" w:hAnsi="宋体"/>
          <w:b/>
          <w:color w:val="auto"/>
          <w:szCs w:val="21"/>
          <w:highlight w:val="none"/>
        </w:rPr>
        <w:t xml:space="preserve">19. </w:t>
      </w:r>
      <w:r>
        <w:rPr>
          <w:rFonts w:hint="eastAsia"/>
          <w:b/>
          <w:color w:val="auto"/>
          <w:szCs w:val="21"/>
          <w:highlight w:val="none"/>
        </w:rPr>
        <w:t>评审方法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19.1成立谈判小组：本采购项目的谈判小组由依法组成的评审专家三人组成，谈判与评审活动由依法组建的谈判小组负责。</w:t>
      </w:r>
    </w:p>
    <w:p>
      <w:pPr>
        <w:pStyle w:val="20"/>
        <w:ind w:firstLine="464" w:firstLineChars="221"/>
        <w:rPr>
          <w:color w:val="auto"/>
          <w:szCs w:val="21"/>
          <w:highlight w:val="none"/>
        </w:rPr>
      </w:pPr>
      <w:r>
        <w:rPr>
          <w:rFonts w:hint="eastAsia" w:hAnsi="宋体"/>
          <w:color w:val="auto"/>
          <w:szCs w:val="21"/>
          <w:highlight w:val="none"/>
        </w:rPr>
        <w:t>19.2评审原</w:t>
      </w:r>
      <w:r>
        <w:rPr>
          <w:rFonts w:hint="eastAsia"/>
          <w:color w:val="auto"/>
          <w:szCs w:val="21"/>
          <w:highlight w:val="none"/>
        </w:rPr>
        <w:t>则：评审活动遵循公平、公正、科学和择优的原则。在评审过程中出现法律法规和谈判文件均没有明确规定的情形时，由谈判小组现场协商解决，协商不一致的，由全体谈判小组投票表决，以得票率二分之一以上专家的意见为准。</w:t>
      </w:r>
    </w:p>
    <w:p>
      <w:pPr>
        <w:pStyle w:val="20"/>
        <w:ind w:firstLine="464" w:firstLineChars="221"/>
        <w:rPr>
          <w:rFonts w:hAnsi="宋体"/>
          <w:color w:val="auto"/>
          <w:szCs w:val="21"/>
          <w:highlight w:val="none"/>
        </w:rPr>
      </w:pPr>
      <w:r>
        <w:rPr>
          <w:rFonts w:hint="eastAsia" w:hAnsi="宋体"/>
          <w:color w:val="auto"/>
          <w:szCs w:val="21"/>
          <w:highlight w:val="none"/>
        </w:rPr>
        <w:t>19.3评审方法及</w:t>
      </w:r>
      <w:r>
        <w:rPr>
          <w:rFonts w:hint="eastAsia" w:hAnsi="宋体"/>
          <w:bCs/>
          <w:color w:val="auto"/>
          <w:szCs w:val="21"/>
          <w:highlight w:val="none"/>
        </w:rPr>
        <w:t>评审程序</w:t>
      </w:r>
      <w:r>
        <w:rPr>
          <w:rFonts w:hint="eastAsia" w:hAnsi="宋体"/>
          <w:color w:val="auto"/>
          <w:szCs w:val="21"/>
          <w:highlight w:val="none"/>
        </w:rPr>
        <w:t>：</w:t>
      </w:r>
      <w:r>
        <w:rPr>
          <w:rFonts w:hint="eastAsia"/>
          <w:color w:val="auto"/>
          <w:szCs w:val="21"/>
          <w:highlight w:val="none"/>
        </w:rPr>
        <w:t>谈判小组按照</w:t>
      </w:r>
      <w:r>
        <w:rPr>
          <w:rFonts w:hint="eastAsia" w:hAnsi="宋体"/>
          <w:color w:val="auto"/>
          <w:szCs w:val="21"/>
          <w:highlight w:val="none"/>
        </w:rPr>
        <w:t>谈判须知前附表和</w:t>
      </w:r>
      <w:r>
        <w:rPr>
          <w:rFonts w:hint="eastAsia"/>
          <w:color w:val="auto"/>
          <w:szCs w:val="21"/>
          <w:highlight w:val="none"/>
        </w:rPr>
        <w:t>第三章“评审方法”规定的方法、程序、评</w:t>
      </w:r>
      <w:r>
        <w:rPr>
          <w:rFonts w:hint="eastAsia" w:hAnsi="宋体"/>
          <w:color w:val="auto"/>
          <w:szCs w:val="21"/>
          <w:highlight w:val="none"/>
        </w:rPr>
        <w:t>审因素和标准对响应文件进行评审。在评审中，不得改变第三章“评审办法”规定的方法、评审因素和标准；第三章“评审办法”没有规定的方法、评审因素和标准，不作为评审依据。</w:t>
      </w:r>
    </w:p>
    <w:p>
      <w:pPr>
        <w:snapToGrid w:val="0"/>
        <w:spacing w:line="420" w:lineRule="exact"/>
        <w:ind w:firstLine="499" w:firstLineChars="238"/>
        <w:rPr>
          <w:rFonts w:ascii="宋体" w:hAnsi="宋体"/>
          <w:color w:val="auto"/>
          <w:szCs w:val="21"/>
          <w:highlight w:val="none"/>
        </w:rPr>
      </w:pPr>
      <w:r>
        <w:rPr>
          <w:rFonts w:hint="eastAsia" w:ascii="宋体" w:hAnsi="宋体"/>
          <w:color w:val="auto"/>
          <w:szCs w:val="21"/>
          <w:highlight w:val="none"/>
        </w:rPr>
        <w:t>19.4谈判小组可以要求供应商对响应文件中含义不明确、同类问题表述不一致或者有明显文字和计算错误的内容作出必要的澄清、说明或者补正。</w:t>
      </w:r>
    </w:p>
    <w:p>
      <w:pPr>
        <w:snapToGrid w:val="0"/>
        <w:spacing w:line="420" w:lineRule="exact"/>
        <w:ind w:firstLine="499" w:firstLineChars="238"/>
        <w:rPr>
          <w:rFonts w:hAnsi="宋体"/>
          <w:color w:val="auto"/>
          <w:szCs w:val="21"/>
          <w:highlight w:val="none"/>
        </w:rPr>
      </w:pPr>
      <w:r>
        <w:rPr>
          <w:rFonts w:hint="eastAsia" w:ascii="宋体" w:hAnsi="宋体"/>
          <w:color w:val="auto"/>
          <w:szCs w:val="21"/>
          <w:highlight w:val="none"/>
        </w:rPr>
        <w:t>供</w:t>
      </w:r>
      <w:r>
        <w:rPr>
          <w:rFonts w:hint="eastAsia" w:hAnsi="宋体"/>
          <w:color w:val="auto"/>
          <w:szCs w:val="21"/>
          <w:highlight w:val="none"/>
        </w:rPr>
        <w:t>应商的澄清、说明或者补正应当采用书面形式，并加盖公章，或者由法定代表人或其授权的代表签字。供应商的澄清、说明或者补正不得超出响应文件的范围或者改变响应文件的实质性内容。供应商代表未到场或者拒绝澄清或者澄清的内容改变了响应文件的实质性内容的，谈判小组有权视该响应文件无效。</w:t>
      </w:r>
    </w:p>
    <w:p>
      <w:pPr>
        <w:pStyle w:val="18"/>
        <w:snapToGrid w:val="0"/>
        <w:spacing w:line="420" w:lineRule="exact"/>
        <w:ind w:firstLine="344" w:firstLineChars="200"/>
        <w:rPr>
          <w:rFonts w:hAnsi="宋体"/>
          <w:color w:val="auto"/>
          <w:sz w:val="21"/>
          <w:szCs w:val="21"/>
          <w:highlight w:val="none"/>
        </w:rPr>
      </w:pPr>
      <w:r>
        <w:rPr>
          <w:rFonts w:hint="eastAsia" w:hAnsi="宋体"/>
          <w:color w:val="auto"/>
          <w:szCs w:val="21"/>
          <w:highlight w:val="none"/>
        </w:rPr>
        <w:t>19</w:t>
      </w:r>
      <w:r>
        <w:rPr>
          <w:rFonts w:hint="eastAsia" w:hAnsi="宋体"/>
          <w:color w:val="auto"/>
          <w:sz w:val="21"/>
          <w:szCs w:val="21"/>
          <w:highlight w:val="none"/>
        </w:rPr>
        <w:t>.5在评审中，供应商提交的响应文件或谈判应答文件出现下列情形之一的，竞标无效：</w:t>
      </w:r>
    </w:p>
    <w:p>
      <w:pPr>
        <w:snapToGrid w:val="0"/>
        <w:spacing w:line="400" w:lineRule="exact"/>
        <w:ind w:firstLine="411" w:firstLineChars="196"/>
        <w:rPr>
          <w:rFonts w:ascii="宋体" w:hAnsi="宋体" w:cs="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不具备谈判文件中规定的资格要求的；</w:t>
      </w:r>
    </w:p>
    <w:p>
      <w:pPr>
        <w:snapToGrid w:val="0"/>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（2）超越了按照法律法规规定必须获得行政许可或者行政审批的经营范围的；</w:t>
      </w:r>
    </w:p>
    <w:p>
      <w:pPr>
        <w:snapToGrid w:val="0"/>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（3）首次响应文件提交的资格证明文件不全或模糊、辩认不清，不合格的；</w:t>
      </w:r>
    </w:p>
    <w:p>
      <w:pPr>
        <w:snapToGrid w:val="0"/>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（4）响应文件或谈判应答文件无法定代表人或其授权委托代理人签字，或未提供法定代表人授权委托书；</w:t>
      </w:r>
    </w:p>
    <w:p>
      <w:pPr>
        <w:snapToGrid w:val="0"/>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（5）响应文件未按竞</w:t>
      </w:r>
      <w:r>
        <w:rPr>
          <w:rFonts w:ascii="宋体" w:hAnsi="宋体" w:cs="宋体"/>
          <w:color w:val="auto"/>
          <w:szCs w:val="21"/>
          <w:highlight w:val="none"/>
        </w:rPr>
        <w:t>争性</w:t>
      </w:r>
      <w:r>
        <w:rPr>
          <w:rFonts w:hint="eastAsia" w:ascii="宋体" w:hAnsi="宋体" w:cs="宋体"/>
          <w:color w:val="auto"/>
          <w:szCs w:val="21"/>
          <w:highlight w:val="none"/>
        </w:rPr>
        <w:t>谈判采</w:t>
      </w:r>
      <w:r>
        <w:rPr>
          <w:rFonts w:ascii="宋体" w:hAnsi="宋体" w:cs="宋体"/>
          <w:color w:val="auto"/>
          <w:szCs w:val="21"/>
          <w:highlight w:val="none"/>
        </w:rPr>
        <w:t>购</w:t>
      </w:r>
      <w:r>
        <w:rPr>
          <w:rFonts w:hint="eastAsia" w:ascii="宋体" w:hAnsi="宋体" w:cs="宋体"/>
          <w:color w:val="auto"/>
          <w:szCs w:val="21"/>
          <w:highlight w:val="none"/>
        </w:rPr>
        <w:t>文件要求签署、盖章的；</w:t>
      </w:r>
    </w:p>
    <w:p>
      <w:pPr>
        <w:snapToGrid w:val="0"/>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（6）响应文件</w:t>
      </w:r>
      <w:r>
        <w:rPr>
          <w:rFonts w:ascii="宋体" w:hAnsi="宋体"/>
          <w:color w:val="auto"/>
          <w:highlight w:val="none"/>
        </w:rPr>
        <w:t>格式不符合第</w:t>
      </w:r>
      <w:r>
        <w:rPr>
          <w:rFonts w:hint="eastAsia" w:ascii="宋体" w:hAnsi="宋体"/>
          <w:color w:val="auto"/>
          <w:highlight w:val="none"/>
        </w:rPr>
        <w:t>六</w:t>
      </w:r>
      <w:r>
        <w:rPr>
          <w:rFonts w:ascii="宋体" w:hAnsi="宋体"/>
          <w:color w:val="auto"/>
          <w:highlight w:val="none"/>
        </w:rPr>
        <w:t>章“</w:t>
      </w:r>
      <w:r>
        <w:rPr>
          <w:rFonts w:hint="eastAsia" w:ascii="宋体" w:hAnsi="宋体"/>
          <w:color w:val="auto"/>
          <w:highlight w:val="none"/>
        </w:rPr>
        <w:t>响应</w:t>
      </w:r>
      <w:r>
        <w:rPr>
          <w:rFonts w:ascii="宋体" w:hAnsi="宋体"/>
          <w:color w:val="auto"/>
          <w:highlight w:val="none"/>
        </w:rPr>
        <w:t>文件</w:t>
      </w:r>
      <w:r>
        <w:rPr>
          <w:rFonts w:hint="eastAsia" w:ascii="宋体" w:hAnsi="宋体"/>
          <w:color w:val="auto"/>
          <w:highlight w:val="none"/>
        </w:rPr>
        <w:t>基本</w:t>
      </w:r>
      <w:r>
        <w:rPr>
          <w:rFonts w:ascii="宋体" w:hAnsi="宋体"/>
          <w:color w:val="auto"/>
          <w:highlight w:val="none"/>
        </w:rPr>
        <w:t>格式”的要求</w:t>
      </w:r>
      <w:r>
        <w:rPr>
          <w:rFonts w:hint="eastAsia" w:ascii="宋体" w:hAnsi="宋体"/>
          <w:color w:val="auto"/>
          <w:highlight w:val="none"/>
        </w:rPr>
        <w:t>，响应文件份数不符合采购文件要求的；</w:t>
      </w:r>
    </w:p>
    <w:p>
      <w:pPr>
        <w:snapToGrid w:val="0"/>
        <w:spacing w:line="400" w:lineRule="exact"/>
        <w:ind w:firstLine="411" w:firstLineChars="196"/>
        <w:rPr>
          <w:rFonts w:ascii="宋体" w:hAnsi="宋体" w:cs="宋体"/>
          <w:color w:val="auto"/>
          <w:szCs w:val="21"/>
          <w:highlight w:val="none"/>
        </w:rPr>
      </w:pPr>
    </w:p>
    <w:p>
      <w:pPr>
        <w:numPr>
          <w:ilvl w:val="0"/>
          <w:numId w:val="4"/>
        </w:numPr>
        <w:snapToGrid w:val="0"/>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竞标有效期、交付时间、售后服务承诺、付款条件等实质性商务条款内容不能满足采购文件要求的；</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w:t>
      </w:r>
      <w:r>
        <w:rPr>
          <w:rFonts w:hint="eastAsia" w:hAnsi="宋体"/>
          <w:color w:val="auto"/>
          <w:highlight w:val="none"/>
        </w:rPr>
        <w:t>响应文件未提供或未如实提供竞标货物的技术参数，或者响应文件标明的响应或偏离与事实不符或虚假竞标的；</w:t>
      </w:r>
    </w:p>
    <w:p>
      <w:pPr>
        <w:snapToGrid w:val="0"/>
        <w:spacing w:line="400" w:lineRule="exact"/>
        <w:ind w:firstLine="411" w:firstLineChars="196"/>
        <w:rPr>
          <w:rFonts w:ascii="宋体" w:hAnsi="宋体"/>
          <w:color w:val="auto"/>
          <w:highlight w:val="none"/>
        </w:rPr>
      </w:pPr>
      <w:r>
        <w:rPr>
          <w:rFonts w:hint="eastAsia" w:hAnsi="宋体" w:cs="宋体"/>
          <w:color w:val="auto"/>
          <w:szCs w:val="21"/>
          <w:highlight w:val="none"/>
        </w:rPr>
        <w:t>（9）</w:t>
      </w:r>
      <w:r>
        <w:rPr>
          <w:rFonts w:hint="eastAsia" w:ascii="宋体" w:hAnsi="宋体" w:cs="宋体"/>
          <w:snapToGrid w:val="0"/>
          <w:color w:val="auto"/>
          <w:szCs w:val="21"/>
          <w:highlight w:val="none"/>
        </w:rPr>
        <w:t>明显不符合谈判采</w:t>
      </w:r>
      <w:r>
        <w:rPr>
          <w:rFonts w:ascii="宋体" w:hAnsi="宋体" w:cs="宋体"/>
          <w:snapToGrid w:val="0"/>
          <w:color w:val="auto"/>
          <w:szCs w:val="21"/>
          <w:highlight w:val="none"/>
        </w:rPr>
        <w:t>购</w:t>
      </w:r>
      <w:r>
        <w:rPr>
          <w:rFonts w:hint="eastAsia" w:ascii="宋体" w:hAnsi="宋体" w:cs="宋体"/>
          <w:snapToGrid w:val="0"/>
          <w:color w:val="auto"/>
          <w:szCs w:val="21"/>
          <w:highlight w:val="none"/>
        </w:rPr>
        <w:t>文件要求的规格型号、质量标准</w:t>
      </w:r>
      <w:r>
        <w:rPr>
          <w:rFonts w:hint="eastAsia" w:ascii="宋体" w:hAnsi="宋体" w:cs="宋体"/>
          <w:color w:val="auto"/>
          <w:szCs w:val="21"/>
          <w:highlight w:val="none"/>
        </w:rPr>
        <w:t>的；</w:t>
      </w:r>
      <w:r>
        <w:rPr>
          <w:rFonts w:hint="eastAsia" w:ascii="宋体" w:hAnsi="宋体" w:cs="宋体"/>
          <w:snapToGrid w:val="0"/>
          <w:color w:val="auto"/>
          <w:szCs w:val="21"/>
          <w:highlight w:val="none"/>
        </w:rPr>
        <w:t>或者与谈判</w:t>
      </w:r>
      <w:r>
        <w:rPr>
          <w:rFonts w:hint="eastAsia" w:ascii="宋体" w:hAnsi="宋体" w:cs="宋体"/>
          <w:color w:val="auto"/>
          <w:szCs w:val="21"/>
          <w:highlight w:val="none"/>
        </w:rPr>
        <w:t>文件中标“</w:t>
      </w:r>
      <w:r>
        <w:rPr>
          <w:rFonts w:hint="eastAsia" w:ascii="宋体" w:hAnsi="宋体" w:cs="宋体"/>
          <w:color w:val="auto"/>
          <w:kern w:val="0"/>
          <w:sz w:val="18"/>
          <w:szCs w:val="18"/>
          <w:highlight w:val="none"/>
        </w:rPr>
        <w:t>★</w:t>
      </w:r>
      <w:r>
        <w:rPr>
          <w:rFonts w:hint="eastAsia" w:ascii="宋体" w:hAnsi="宋体" w:cs="宋体"/>
          <w:color w:val="auto"/>
          <w:szCs w:val="21"/>
          <w:highlight w:val="none"/>
        </w:rPr>
        <w:t>”的技术指标、主要功能项目发生实质性偏离的；</w:t>
      </w:r>
    </w:p>
    <w:p>
      <w:pPr>
        <w:pStyle w:val="18"/>
        <w:snapToGrid w:val="0"/>
        <w:spacing w:line="420" w:lineRule="exact"/>
        <w:ind w:firstLine="421" w:firstLineChars="245"/>
        <w:rPr>
          <w:rFonts w:hAnsi="宋体"/>
          <w:color w:val="auto"/>
          <w:highlight w:val="none"/>
        </w:rPr>
      </w:pPr>
    </w:p>
    <w:p>
      <w:pPr>
        <w:snapToGrid w:val="0"/>
        <w:spacing w:line="400" w:lineRule="exact"/>
        <w:ind w:firstLine="411" w:firstLineChars="196"/>
        <w:rPr>
          <w:rFonts w:ascii="宋体" w:hAnsi="宋体" w:cs="宋体"/>
          <w:color w:val="auto"/>
          <w:szCs w:val="21"/>
          <w:highlight w:val="none"/>
        </w:rPr>
      </w:pPr>
      <w:r>
        <w:rPr>
          <w:rFonts w:hint="eastAsia" w:ascii="宋体" w:hAnsi="宋体"/>
          <w:color w:val="auto"/>
          <w:highlight w:val="none"/>
        </w:rPr>
        <w:t>（10）</w:t>
      </w:r>
      <w:r>
        <w:rPr>
          <w:rFonts w:hint="eastAsia" w:ascii="宋体" w:hAnsi="宋体" w:cs="宋体"/>
          <w:color w:val="auto"/>
          <w:szCs w:val="21"/>
          <w:highlight w:val="none"/>
        </w:rPr>
        <w:t>未采用人民币报价或者未按照谈判文件标明的币种、计价规则报价的；（11）</w:t>
      </w:r>
      <w:r>
        <w:rPr>
          <w:rFonts w:hint="eastAsia" w:ascii="宋体" w:hAnsi="宋体"/>
          <w:color w:val="auto"/>
          <w:highlight w:val="none"/>
        </w:rPr>
        <w:t>最终报价不是唯一报价，具有选择性。</w:t>
      </w:r>
    </w:p>
    <w:p>
      <w:pPr>
        <w:snapToGrid w:val="0"/>
        <w:spacing w:line="400" w:lineRule="exact"/>
        <w:ind w:firstLine="411" w:firstLineChars="196"/>
        <w:rPr>
          <w:rFonts w:ascii="宋体" w:hAnsi="宋体" w:cs="宋体"/>
          <w:color w:val="auto"/>
          <w:szCs w:val="21"/>
          <w:highlight w:val="none"/>
        </w:rPr>
      </w:pPr>
    </w:p>
    <w:p>
      <w:pPr>
        <w:snapToGrid w:val="0"/>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（12）最终报价超出最高限价，或者超出采购预算金额，采购人不能支付的；</w:t>
      </w:r>
    </w:p>
    <w:p>
      <w:pPr>
        <w:snapToGrid w:val="0"/>
        <w:spacing w:line="40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（13）谈判小组会认为供应商的最终报价明显低于其他通过符合性审查供应商的最终报价，有可能影响产品质量或者不能诚信履约，供应商不能证明其报价合理性的；</w:t>
      </w:r>
    </w:p>
    <w:p>
      <w:pPr>
        <w:snapToGrid w:val="0"/>
        <w:spacing w:line="400" w:lineRule="exact"/>
        <w:ind w:firstLine="411" w:firstLineChars="196"/>
        <w:rPr>
          <w:rFonts w:ascii="宋体" w:hAnsi="宋体" w:cs="宋体"/>
          <w:color w:val="auto"/>
          <w:szCs w:val="21"/>
          <w:highlight w:val="none"/>
        </w:rPr>
      </w:pPr>
    </w:p>
    <w:p>
      <w:pPr>
        <w:snapToGrid w:val="0"/>
        <w:spacing w:line="40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（14）</w:t>
      </w:r>
      <w:r>
        <w:rPr>
          <w:rFonts w:hint="eastAsia" w:ascii="宋体" w:hAnsi="宋体" w:cs="宋体"/>
          <w:snapToGrid w:val="0"/>
          <w:color w:val="auto"/>
          <w:szCs w:val="21"/>
          <w:highlight w:val="none"/>
        </w:rPr>
        <w:t>供应商</w:t>
      </w:r>
      <w:r>
        <w:rPr>
          <w:rFonts w:hint="eastAsia" w:ascii="宋体" w:hAnsi="宋体"/>
          <w:color w:val="auto"/>
          <w:szCs w:val="21"/>
          <w:highlight w:val="none"/>
        </w:rPr>
        <w:t>代表未到场或者拒绝谈判小组提出的响应文件澄清要求或者澄清的内容改变了响应文件的实质性内容的。</w:t>
      </w:r>
    </w:p>
    <w:p>
      <w:pPr>
        <w:snapToGrid w:val="0"/>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（15）响应文件或谈判应答文件附有采购人</w:t>
      </w:r>
      <w:r>
        <w:rPr>
          <w:rFonts w:hint="eastAsia" w:ascii="宋体" w:hAnsi="宋体"/>
          <w:color w:val="auto"/>
          <w:highlight w:val="none"/>
        </w:rPr>
        <w:t>不能接受的附加条件的；</w:t>
      </w:r>
    </w:p>
    <w:p>
      <w:pPr>
        <w:snapToGrid w:val="0"/>
        <w:spacing w:line="400" w:lineRule="exact"/>
        <w:ind w:firstLine="411" w:firstLineChars="196"/>
        <w:jc w:val="left"/>
        <w:rPr>
          <w:rFonts w:ascii="宋体" w:hAnsi="宋体" w:cs="宋体"/>
          <w:color w:val="auto"/>
          <w:szCs w:val="21"/>
          <w:highlight w:val="none"/>
        </w:rPr>
      </w:pPr>
    </w:p>
    <w:p>
      <w:pPr>
        <w:snapToGrid w:val="0"/>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（16）供应商存在如下串通行为：</w:t>
      </w:r>
    </w:p>
    <w:p>
      <w:pPr>
        <w:widowControl/>
        <w:spacing w:line="360" w:lineRule="exact"/>
        <w:ind w:firstLine="965" w:firstLineChars="460"/>
        <w:jc w:val="left"/>
        <w:rPr>
          <w:rFonts w:ascii="宋体" w:hAnsi="宋体"/>
          <w:color w:val="auto"/>
          <w:szCs w:val="21"/>
          <w:highlight w:val="none"/>
        </w:rPr>
      </w:pPr>
      <w:r>
        <w:rPr>
          <w:rFonts w:hint="eastAsia" w:ascii="宋体" w:hAnsi="宋体"/>
          <w:color w:val="auto"/>
          <w:szCs w:val="21"/>
          <w:highlight w:val="none"/>
        </w:rPr>
        <w:t>A.不同供应商的响应文件由同一单位或者个人编制。</w:t>
      </w:r>
    </w:p>
    <w:p>
      <w:pPr>
        <w:widowControl/>
        <w:spacing w:line="360" w:lineRule="exact"/>
        <w:ind w:firstLine="965" w:firstLineChars="460"/>
        <w:jc w:val="left"/>
        <w:rPr>
          <w:rFonts w:ascii="宋体" w:hAnsi="宋体"/>
          <w:color w:val="auto"/>
          <w:szCs w:val="21"/>
          <w:highlight w:val="none"/>
        </w:rPr>
      </w:pPr>
      <w:r>
        <w:rPr>
          <w:rFonts w:hint="eastAsia" w:ascii="宋体" w:hAnsi="宋体"/>
          <w:color w:val="auto"/>
          <w:szCs w:val="21"/>
          <w:highlight w:val="none"/>
        </w:rPr>
        <w:t>B.不同供应商委托同一单位或者个人办理竞标事宜。</w:t>
      </w:r>
    </w:p>
    <w:p>
      <w:pPr>
        <w:widowControl/>
        <w:spacing w:line="360" w:lineRule="exact"/>
        <w:ind w:firstLine="965" w:firstLineChars="460"/>
        <w:jc w:val="left"/>
        <w:rPr>
          <w:rFonts w:ascii="宋体" w:hAnsi="宋体"/>
          <w:color w:val="auto"/>
          <w:szCs w:val="21"/>
          <w:highlight w:val="none"/>
        </w:rPr>
      </w:pPr>
      <w:r>
        <w:rPr>
          <w:rFonts w:hint="eastAsia" w:ascii="宋体" w:hAnsi="宋体"/>
          <w:color w:val="auto"/>
          <w:szCs w:val="21"/>
          <w:highlight w:val="none"/>
        </w:rPr>
        <w:t>C.不同的供应商的响应文件载明的项目管理员为同一个人。</w:t>
      </w:r>
    </w:p>
    <w:p>
      <w:pPr>
        <w:widowControl/>
        <w:spacing w:line="360" w:lineRule="exact"/>
        <w:ind w:firstLine="965" w:firstLineChars="460"/>
        <w:jc w:val="left"/>
        <w:rPr>
          <w:rFonts w:ascii="宋体" w:hAnsi="宋体"/>
          <w:color w:val="auto"/>
          <w:szCs w:val="21"/>
          <w:highlight w:val="none"/>
        </w:rPr>
      </w:pPr>
      <w:r>
        <w:rPr>
          <w:rFonts w:hint="eastAsia" w:ascii="宋体" w:hAnsi="宋体"/>
          <w:color w:val="auto"/>
          <w:szCs w:val="21"/>
          <w:highlight w:val="none"/>
        </w:rPr>
        <w:t>D.不同供应商的响应文件异常一致或竞标报价呈规律性差异。</w:t>
      </w:r>
    </w:p>
    <w:p>
      <w:pPr>
        <w:widowControl/>
        <w:spacing w:line="360" w:lineRule="exact"/>
        <w:ind w:firstLine="965" w:firstLineChars="460"/>
        <w:jc w:val="left"/>
        <w:rPr>
          <w:rFonts w:ascii="宋体" w:hAnsi="宋体"/>
          <w:color w:val="auto"/>
          <w:szCs w:val="21"/>
          <w:highlight w:val="none"/>
        </w:rPr>
      </w:pPr>
      <w:r>
        <w:rPr>
          <w:rFonts w:hint="eastAsia" w:ascii="宋体" w:hAnsi="宋体"/>
          <w:color w:val="auto"/>
          <w:szCs w:val="21"/>
          <w:highlight w:val="none"/>
        </w:rPr>
        <w:t>E.不同供应商的响应文件相互混装。</w:t>
      </w:r>
    </w:p>
    <w:p>
      <w:pPr>
        <w:pStyle w:val="20"/>
        <w:ind w:firstLine="464" w:firstLineChars="221"/>
        <w:rPr>
          <w:color w:val="auto"/>
          <w:szCs w:val="21"/>
          <w:highlight w:val="none"/>
        </w:rPr>
      </w:pPr>
      <w:r>
        <w:rPr>
          <w:rFonts w:hint="eastAsia" w:hAnsi="宋体" w:cs="宋体"/>
          <w:color w:val="auto"/>
          <w:szCs w:val="21"/>
          <w:highlight w:val="none"/>
        </w:rPr>
        <w:t>（17）法律、法规和谈判文件规定的其他无效情形。</w:t>
      </w:r>
    </w:p>
    <w:p>
      <w:pPr>
        <w:pStyle w:val="18"/>
        <w:snapToGrid w:val="0"/>
        <w:spacing w:line="420" w:lineRule="exact"/>
        <w:ind w:firstLine="361" w:firstLineChars="210"/>
        <w:rPr>
          <w:rFonts w:hAnsi="宋体"/>
          <w:b/>
          <w:color w:val="auto"/>
          <w:sz w:val="21"/>
          <w:szCs w:val="21"/>
          <w:highlight w:val="none"/>
        </w:rPr>
      </w:pPr>
      <w:r>
        <w:rPr>
          <w:rFonts w:hint="eastAsia" w:hAnsi="宋体"/>
          <w:color w:val="auto"/>
          <w:szCs w:val="21"/>
          <w:highlight w:val="none"/>
        </w:rPr>
        <w:t>19</w:t>
      </w:r>
      <w:r>
        <w:rPr>
          <w:rFonts w:hint="eastAsia"/>
          <w:color w:val="auto"/>
          <w:sz w:val="21"/>
          <w:szCs w:val="21"/>
          <w:highlight w:val="none"/>
        </w:rPr>
        <w:t>.6</w:t>
      </w:r>
      <w:r>
        <w:rPr>
          <w:rFonts w:hint="eastAsia" w:hAnsi="宋体"/>
          <w:b/>
          <w:color w:val="auto"/>
          <w:sz w:val="21"/>
          <w:szCs w:val="21"/>
          <w:highlight w:val="none"/>
        </w:rPr>
        <w:t>在谈判采购中，出现下列情形之一的，予以废标：</w:t>
      </w:r>
    </w:p>
    <w:p>
      <w:pPr>
        <w:pStyle w:val="18"/>
        <w:snapToGrid w:val="0"/>
        <w:spacing w:line="420" w:lineRule="exact"/>
        <w:ind w:firstLine="365" w:firstLineChars="181"/>
        <w:rPr>
          <w:rFonts w:hAnsi="宋体"/>
          <w:color w:val="auto"/>
          <w:sz w:val="21"/>
          <w:szCs w:val="21"/>
          <w:highlight w:val="none"/>
        </w:rPr>
      </w:pPr>
      <w:r>
        <w:rPr>
          <w:rFonts w:hint="eastAsia" w:hAnsi="宋体"/>
          <w:color w:val="auto"/>
          <w:sz w:val="21"/>
          <w:szCs w:val="21"/>
          <w:highlight w:val="none"/>
        </w:rPr>
        <w:t>（1）因情况变化，不再符合规定的竞争性谈判采购方式适用情形的。</w:t>
      </w:r>
    </w:p>
    <w:p>
      <w:pPr>
        <w:pStyle w:val="18"/>
        <w:snapToGrid w:val="0"/>
        <w:spacing w:line="420" w:lineRule="exact"/>
        <w:ind w:firstLine="339" w:firstLineChars="168"/>
        <w:rPr>
          <w:rFonts w:hAnsi="宋体"/>
          <w:color w:val="auto"/>
          <w:sz w:val="21"/>
          <w:szCs w:val="21"/>
          <w:highlight w:val="none"/>
        </w:rPr>
      </w:pPr>
      <w:r>
        <w:rPr>
          <w:rFonts w:hint="eastAsia" w:hAnsi="宋体"/>
          <w:color w:val="auto"/>
          <w:sz w:val="21"/>
          <w:szCs w:val="21"/>
          <w:highlight w:val="none"/>
        </w:rPr>
        <w:t>（2）出现影响采购公正的违法.违规行为的。</w:t>
      </w:r>
    </w:p>
    <w:p>
      <w:pPr>
        <w:pStyle w:val="18"/>
        <w:snapToGrid w:val="0"/>
        <w:spacing w:line="420" w:lineRule="exact"/>
        <w:ind w:firstLine="377" w:firstLineChars="187"/>
        <w:rPr>
          <w:rFonts w:hAnsi="宋体"/>
          <w:color w:val="auto"/>
          <w:sz w:val="21"/>
          <w:szCs w:val="21"/>
          <w:highlight w:val="none"/>
        </w:rPr>
      </w:pPr>
      <w:r>
        <w:rPr>
          <w:rFonts w:hint="eastAsia" w:hAnsi="宋体"/>
          <w:color w:val="auto"/>
          <w:sz w:val="21"/>
          <w:szCs w:val="21"/>
          <w:highlight w:val="none"/>
        </w:rPr>
        <w:t>（3）在采购过程中符合竞争要求的供应商或者报价未超过采购预算的供应商不足3家的，但本须知第（6）款规定的情形除外。</w:t>
      </w:r>
    </w:p>
    <w:p>
      <w:pPr>
        <w:widowControl/>
        <w:spacing w:line="360" w:lineRule="exact"/>
        <w:ind w:firstLine="378" w:firstLineChars="180"/>
        <w:jc w:val="left"/>
        <w:rPr>
          <w:rFonts w:ascii="宋体" w:hAnsi="宋体"/>
          <w:color w:val="auto"/>
          <w:szCs w:val="21"/>
          <w:highlight w:val="none"/>
        </w:rPr>
      </w:pPr>
      <w:r>
        <w:rPr>
          <w:rFonts w:hint="eastAsia" w:ascii="宋体" w:hAnsi="宋体"/>
          <w:color w:val="auto"/>
          <w:szCs w:val="21"/>
          <w:highlight w:val="none"/>
        </w:rPr>
        <w:t>（4）因重大变故，采购任务取消的。</w:t>
      </w:r>
    </w:p>
    <w:bookmarkEnd w:id="38"/>
    <w:bookmarkEnd w:id="39"/>
    <w:p>
      <w:pPr>
        <w:spacing w:line="400" w:lineRule="exact"/>
        <w:ind w:firstLine="422" w:firstLineChars="200"/>
        <w:rPr>
          <w:rFonts w:ascii="宋体" w:hAnsi="宋体"/>
          <w:b/>
          <w:color w:val="auto"/>
          <w:szCs w:val="21"/>
          <w:highlight w:val="none"/>
        </w:rPr>
      </w:pPr>
      <w:bookmarkStart w:id="40" w:name="_Toc254970533"/>
      <w:bookmarkStart w:id="41" w:name="_Toc254970674"/>
      <w:r>
        <w:rPr>
          <w:rFonts w:hint="eastAsia" w:ascii="宋体" w:hAnsi="宋体"/>
          <w:b/>
          <w:bCs/>
          <w:color w:val="auto"/>
          <w:szCs w:val="21"/>
          <w:highlight w:val="none"/>
        </w:rPr>
        <w:t>七、</w:t>
      </w:r>
      <w:r>
        <w:rPr>
          <w:rFonts w:hint="eastAsia" w:ascii="宋体" w:hAnsi="宋体"/>
          <w:b/>
          <w:color w:val="auto"/>
          <w:szCs w:val="21"/>
          <w:highlight w:val="none"/>
        </w:rPr>
        <w:t>确定成交供应商办法</w:t>
      </w:r>
    </w:p>
    <w:p>
      <w:pPr>
        <w:widowControl/>
        <w:tabs>
          <w:tab w:val="left" w:pos="54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20.谈判小组应当从质量和服务均能满足谈判文件实质性响应要求的供应商中，按照最后评标报价由低到高的顺序提出成交候选供应商（见第三章评审方法）。</w:t>
      </w:r>
    </w:p>
    <w:p>
      <w:pPr>
        <w:widowControl/>
        <w:tabs>
          <w:tab w:val="left" w:pos="54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21.采购人在收到评审报告后5个工作日内，从评审报告提出的成交候选供应商中，根据质量和服务均能满足谈判文件实质性响应要求且最后评标报价最低的原则确定成交供应商。采购人逾期未确定成交供应商且不提出异议的，视为确定评审报告提出的最后报价最低的供应商为成交供应商。</w:t>
      </w:r>
    </w:p>
    <w:p>
      <w:pPr>
        <w:spacing w:line="400" w:lineRule="exact"/>
        <w:ind w:firstLine="422" w:firstLineChars="200"/>
        <w:rPr>
          <w:rFonts w:ascii="宋体" w:hAnsi="宋体"/>
          <w:b/>
          <w:bCs/>
          <w:color w:val="auto"/>
          <w:szCs w:val="21"/>
          <w:highlight w:val="none"/>
        </w:rPr>
      </w:pPr>
      <w:r>
        <w:rPr>
          <w:rFonts w:hint="eastAsia" w:ascii="宋体" w:hAnsi="宋体"/>
          <w:b/>
          <w:color w:val="auto"/>
          <w:szCs w:val="21"/>
          <w:highlight w:val="none"/>
        </w:rPr>
        <w:t>八、</w:t>
      </w:r>
      <w:r>
        <w:rPr>
          <w:rFonts w:hint="eastAsia" w:ascii="宋体" w:hAnsi="宋体"/>
          <w:b/>
          <w:bCs/>
          <w:color w:val="auto"/>
          <w:szCs w:val="21"/>
          <w:highlight w:val="none"/>
        </w:rPr>
        <w:t>质疑和投诉</w:t>
      </w:r>
      <w:bookmarkEnd w:id="40"/>
      <w:bookmarkEnd w:id="41"/>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22.供应商认为谈判文件、竞标过程或成交结果使自己的合法权益受到损害的，应当在知道或者应知其权益受到损害之日起七个工作日内，以书面形式向采购人、采购代理机构提出质疑。供应商对采购单位的质疑答复不满意或者采购单位未在规定时间内作出答复的，可以在答复期满后十五个工作日内向同级采购监管部门投诉。</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23.接收质疑函方式：以书面形式，按照《政府采购质疑和投诉办法》（中华人民共和国财政部令94号）执行。</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质疑联系部门及联系方式：广西宝盛工程咨询有限公司，联系电话：0775-4360008</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通讯地址：贵港市港北区中央花园2楼201</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24.质疑、投诉应当采用书面形式，质疑书、投诉书均应明确阐述谈判文件、采购过程或成交结果中使自己合法权益受到损害的实质性内容，提供相关事实、依据和证据及其来源或线索，便于有关单位调查、答复和处理。</w:t>
      </w:r>
    </w:p>
    <w:p>
      <w:pPr>
        <w:spacing w:line="400" w:lineRule="exact"/>
        <w:ind w:left="420" w:leftChars="200" w:firstLine="105" w:firstLineChars="50"/>
        <w:rPr>
          <w:rFonts w:ascii="宋体" w:hAnsi="宋体"/>
          <w:b/>
          <w:color w:val="auto"/>
          <w:szCs w:val="21"/>
          <w:highlight w:val="none"/>
        </w:rPr>
      </w:pPr>
      <w:r>
        <w:rPr>
          <w:rFonts w:hint="eastAsia" w:ascii="宋体" w:hAnsi="宋体"/>
          <w:b/>
          <w:color w:val="auto"/>
          <w:szCs w:val="21"/>
          <w:highlight w:val="none"/>
        </w:rPr>
        <w:t>九、签订合同</w:t>
      </w:r>
    </w:p>
    <w:p>
      <w:pPr>
        <w:pStyle w:val="20"/>
        <w:spacing w:line="420" w:lineRule="exact"/>
        <w:ind w:firstLine="420" w:firstLineChars="200"/>
        <w:rPr>
          <w:rFonts w:hAnsi="宋体"/>
          <w:color w:val="auto"/>
          <w:szCs w:val="21"/>
          <w:highlight w:val="none"/>
        </w:rPr>
      </w:pPr>
      <w:r>
        <w:rPr>
          <w:rFonts w:hint="eastAsia" w:hAnsi="宋体"/>
          <w:color w:val="auto"/>
          <w:szCs w:val="21"/>
          <w:highlight w:val="none"/>
        </w:rPr>
        <w:t>25.成交供应商接到成交通知书后，应按成交通知书规定的时间、地点与采购人签订合同。</w:t>
      </w:r>
    </w:p>
    <w:p>
      <w:pPr>
        <w:pStyle w:val="20"/>
        <w:spacing w:line="420" w:lineRule="exact"/>
        <w:ind w:firstLine="420" w:firstLineChars="200"/>
        <w:rPr>
          <w:rStyle w:val="53"/>
          <w:color w:val="auto"/>
          <w:highlight w:val="none"/>
        </w:rPr>
      </w:pPr>
      <w:r>
        <w:rPr>
          <w:rStyle w:val="53"/>
          <w:color w:val="auto"/>
          <w:highlight w:val="none"/>
        </w:rPr>
        <w:t>2</w:t>
      </w:r>
      <w:r>
        <w:rPr>
          <w:rStyle w:val="53"/>
          <w:rFonts w:hint="eastAsia"/>
          <w:color w:val="auto"/>
          <w:highlight w:val="none"/>
        </w:rPr>
        <w:t>6.成交供应商因不可抗力或者拒绝签订政府采购合同的，采购人可以与成交供应商之后排名第一的成交候选供应商签订采购合同，以此类推。采购人也可以重新开展政府采购活动。拒绝签订政府采购合同的成交供应商不得参加对该项目重新开展的采购活动。</w:t>
      </w:r>
    </w:p>
    <w:p>
      <w:pPr>
        <w:pStyle w:val="20"/>
        <w:spacing w:line="420" w:lineRule="exact"/>
        <w:ind w:firstLine="420" w:firstLineChars="200"/>
        <w:rPr>
          <w:rStyle w:val="53"/>
          <w:color w:val="auto"/>
          <w:highlight w:val="none"/>
        </w:rPr>
      </w:pPr>
      <w:r>
        <w:rPr>
          <w:rStyle w:val="53"/>
          <w:rFonts w:hint="eastAsia"/>
          <w:color w:val="auto"/>
          <w:highlight w:val="none"/>
        </w:rPr>
        <w:t>27.政府采购合同公告</w:t>
      </w:r>
    </w:p>
    <w:p>
      <w:pPr>
        <w:pStyle w:val="20"/>
        <w:spacing w:line="420" w:lineRule="exact"/>
        <w:ind w:firstLine="420" w:firstLineChars="200"/>
        <w:rPr>
          <w:rStyle w:val="53"/>
          <w:color w:val="auto"/>
          <w:highlight w:val="none"/>
        </w:rPr>
      </w:pPr>
      <w:r>
        <w:rPr>
          <w:rStyle w:val="53"/>
          <w:rFonts w:hint="eastAsia"/>
          <w:color w:val="auto"/>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400" w:lineRule="exact"/>
        <w:ind w:left="420" w:leftChars="200" w:firstLine="105" w:firstLineChars="50"/>
        <w:rPr>
          <w:rFonts w:ascii="宋体" w:hAnsi="宋体"/>
          <w:b/>
          <w:color w:val="auto"/>
          <w:szCs w:val="21"/>
          <w:highlight w:val="none"/>
        </w:rPr>
      </w:pPr>
      <w:r>
        <w:rPr>
          <w:rFonts w:hint="eastAsia" w:ascii="宋体" w:hAnsi="宋体"/>
          <w:b/>
          <w:color w:val="auto"/>
          <w:szCs w:val="21"/>
          <w:highlight w:val="none"/>
        </w:rPr>
        <w:t>十、其他事项</w:t>
      </w:r>
    </w:p>
    <w:p>
      <w:pPr>
        <w:pStyle w:val="20"/>
        <w:spacing w:line="420" w:lineRule="exact"/>
        <w:ind w:firstLine="411" w:firstLineChars="196"/>
        <w:rPr>
          <w:rFonts w:hAnsi="宋体"/>
          <w:b/>
          <w:color w:val="auto"/>
          <w:szCs w:val="21"/>
          <w:highlight w:val="none"/>
        </w:rPr>
      </w:pPr>
      <w:r>
        <w:rPr>
          <w:rFonts w:hint="eastAsia" w:hAnsi="宋体"/>
          <w:color w:val="auto"/>
          <w:szCs w:val="21"/>
          <w:highlight w:val="none"/>
        </w:rPr>
        <w:t>28.</w:t>
      </w:r>
      <w:r>
        <w:rPr>
          <w:rFonts w:hint="eastAsia" w:hAnsi="宋体"/>
          <w:b/>
          <w:color w:val="auto"/>
          <w:szCs w:val="21"/>
          <w:highlight w:val="none"/>
        </w:rPr>
        <w:t xml:space="preserve"> 代理服务费</w:t>
      </w:r>
    </w:p>
    <w:p>
      <w:pPr>
        <w:pStyle w:val="20"/>
        <w:spacing w:line="420" w:lineRule="exact"/>
        <w:ind w:firstLine="411" w:firstLineChars="196"/>
        <w:rPr>
          <w:rFonts w:hAnsi="宋体"/>
          <w:color w:val="auto"/>
          <w:szCs w:val="21"/>
          <w:highlight w:val="none"/>
        </w:rPr>
      </w:pPr>
      <w:r>
        <w:rPr>
          <w:rFonts w:hint="eastAsia" w:hAnsi="宋体"/>
          <w:bCs/>
          <w:color w:val="auto"/>
          <w:szCs w:val="21"/>
          <w:highlight w:val="none"/>
        </w:rPr>
        <w:t xml:space="preserve">28.1 </w:t>
      </w:r>
      <w:r>
        <w:rPr>
          <w:rFonts w:hint="eastAsia" w:hAnsi="宋体"/>
          <w:color w:val="auto"/>
          <w:szCs w:val="21"/>
          <w:highlight w:val="none"/>
        </w:rPr>
        <w:t>代理服务费按发改价格〔2015〕299号文执行，代理服务费</w:t>
      </w:r>
      <w:r>
        <w:rPr>
          <w:rFonts w:hAnsi="宋体" w:cs="宋体"/>
          <w:bCs/>
          <w:color w:val="auto"/>
          <w:kern w:val="0"/>
          <w:szCs w:val="21"/>
          <w:highlight w:val="none"/>
        </w:rPr>
        <w:t>金额</w:t>
      </w:r>
      <w:r>
        <w:rPr>
          <w:rFonts w:hint="eastAsia" w:hAnsi="宋体" w:cs="宋体"/>
          <w:bCs/>
          <w:color w:val="auto"/>
          <w:kern w:val="0"/>
          <w:szCs w:val="21"/>
          <w:highlight w:val="none"/>
        </w:rPr>
        <w:t>为（人民币）人民币壹万陆仟伍佰零肆元整（￥16504.00），由成交人向采购代理机构支付，</w:t>
      </w:r>
      <w:r>
        <w:rPr>
          <w:rFonts w:hint="eastAsia" w:hAnsi="宋体"/>
          <w:color w:val="auto"/>
          <w:szCs w:val="21"/>
          <w:highlight w:val="none"/>
        </w:rPr>
        <w:t>发出成交通知书前，成交人应向广西宝盛工程咨询有限公司一次性付清代理服务费。</w:t>
      </w:r>
    </w:p>
    <w:p>
      <w:pPr>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招标代理服务费缴纳账户：</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开户名称：广西宝盛工程咨询有限公司</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开户银行：中国工商银行股份有限公司贵港市荷城支行</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银行账号：2116710809100102991</w:t>
      </w:r>
    </w:p>
    <w:p>
      <w:pPr>
        <w:widowControl/>
        <w:tabs>
          <w:tab w:val="left" w:pos="54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29.采购当事人的一切活动均适用于《中华人民共和国政府采购法》.《中华人民共和国政府采购法实施条例》及相关规定。</w:t>
      </w:r>
    </w:p>
    <w:p>
      <w:pPr>
        <w:spacing w:line="500" w:lineRule="exact"/>
        <w:jc w:val="left"/>
        <w:rPr>
          <w:rFonts w:ascii="宋体" w:hAnsi="宋体"/>
          <w:b/>
          <w:color w:val="auto"/>
          <w:sz w:val="32"/>
          <w:szCs w:val="32"/>
          <w:highlight w:val="none"/>
        </w:rPr>
      </w:pPr>
      <w:r>
        <w:rPr>
          <w:rFonts w:ascii="宋体" w:hAnsi="宋体"/>
          <w:b/>
          <w:color w:val="auto"/>
          <w:sz w:val="32"/>
          <w:szCs w:val="32"/>
          <w:highlight w:val="none"/>
        </w:rPr>
        <w:br w:type="page"/>
      </w:r>
    </w:p>
    <w:p>
      <w:pPr>
        <w:pStyle w:val="3"/>
        <w:spacing w:line="240" w:lineRule="atLeast"/>
        <w:jc w:val="center"/>
        <w:rPr>
          <w:color w:val="auto"/>
          <w:sz w:val="36"/>
          <w:szCs w:val="36"/>
          <w:highlight w:val="none"/>
        </w:rPr>
      </w:pPr>
      <w:bookmarkStart w:id="42" w:name="_Toc29894"/>
      <w:r>
        <w:rPr>
          <w:rFonts w:hint="eastAsia"/>
          <w:color w:val="auto"/>
          <w:sz w:val="36"/>
          <w:szCs w:val="36"/>
          <w:highlight w:val="none"/>
        </w:rPr>
        <w:t>第三章评审方法</w:t>
      </w:r>
      <w:bookmarkEnd w:id="42"/>
    </w:p>
    <w:p>
      <w:pPr>
        <w:spacing w:line="360" w:lineRule="auto"/>
        <w:ind w:firstLine="422" w:firstLineChars="200"/>
        <w:rPr>
          <w:rFonts w:hAnsi="宋体"/>
          <w:b/>
          <w:color w:val="auto"/>
          <w:szCs w:val="21"/>
          <w:highlight w:val="none"/>
        </w:rPr>
      </w:pPr>
      <w:r>
        <w:rPr>
          <w:rFonts w:hint="eastAsia" w:hAnsi="宋体"/>
          <w:b/>
          <w:color w:val="auto"/>
          <w:szCs w:val="21"/>
          <w:highlight w:val="none"/>
        </w:rPr>
        <w:t>一、评审原则：</w:t>
      </w:r>
    </w:p>
    <w:p>
      <w:pPr>
        <w:spacing w:line="360" w:lineRule="auto"/>
        <w:ind w:firstLine="420" w:firstLineChars="200"/>
        <w:rPr>
          <w:rFonts w:hAnsi="宋体"/>
          <w:color w:val="auto"/>
          <w:szCs w:val="21"/>
          <w:highlight w:val="none"/>
        </w:rPr>
      </w:pPr>
      <w:r>
        <w:rPr>
          <w:rFonts w:hint="eastAsia" w:hAnsi="宋体"/>
          <w:color w:val="auto"/>
          <w:szCs w:val="21"/>
          <w:highlight w:val="none"/>
        </w:rPr>
        <w:t>（一）谈判小组的构成：本采购项目的谈判小组由依法组成的评审专家三人组成，谈判与评审活动由依法组建的谈判小组负责。</w:t>
      </w:r>
    </w:p>
    <w:p>
      <w:pPr>
        <w:spacing w:line="360" w:lineRule="auto"/>
        <w:ind w:firstLine="420" w:firstLineChars="200"/>
        <w:rPr>
          <w:rFonts w:hAnsi="宋体"/>
          <w:color w:val="auto"/>
          <w:szCs w:val="21"/>
          <w:highlight w:val="none"/>
        </w:rPr>
      </w:pPr>
      <w:r>
        <w:rPr>
          <w:rFonts w:hint="eastAsia" w:hAnsi="宋体"/>
          <w:color w:val="auto"/>
          <w:szCs w:val="21"/>
          <w:highlight w:val="none"/>
        </w:rPr>
        <w:t>（二）评标依据：以谈判采购文件、响应文件为评定依据。</w:t>
      </w:r>
    </w:p>
    <w:p>
      <w:pPr>
        <w:spacing w:line="360" w:lineRule="auto"/>
        <w:ind w:firstLine="420" w:firstLineChars="200"/>
        <w:rPr>
          <w:rFonts w:hAnsi="宋体"/>
          <w:color w:val="auto"/>
          <w:szCs w:val="21"/>
          <w:highlight w:val="none"/>
        </w:rPr>
      </w:pPr>
      <w:r>
        <w:rPr>
          <w:rFonts w:hint="eastAsia" w:hAnsi="宋体"/>
          <w:color w:val="auto"/>
          <w:szCs w:val="21"/>
          <w:highlight w:val="none"/>
        </w:rPr>
        <w:t>（三）评标方法：在响应文件通过资格审查及符合性审查的前提下，根据质量和服务均能满足谈判采购文件实质性响应要求且最后评标报价最低的原则确定成交候选人。</w:t>
      </w:r>
    </w:p>
    <w:p>
      <w:pPr>
        <w:spacing w:line="360" w:lineRule="auto"/>
        <w:ind w:firstLine="420" w:firstLineChars="200"/>
        <w:rPr>
          <w:rFonts w:hAnsi="宋体"/>
          <w:color w:val="auto"/>
          <w:szCs w:val="21"/>
          <w:highlight w:val="none"/>
        </w:rPr>
      </w:pPr>
      <w:r>
        <w:rPr>
          <w:rFonts w:hint="eastAsia" w:hAnsi="宋体"/>
          <w:color w:val="auto"/>
          <w:szCs w:val="21"/>
          <w:highlight w:val="none"/>
        </w:rPr>
        <w:t>（四）按照《政府采购促进中小企业发展暂行办法》（财库[2011]181号），供应商认定为小型和微型企业的（以响应文件提供的符合规定的有关证明材料为准），对最终报价给予10%的扣除，扣除后的价格为评标报价，即评标报价=最终报价×（1-10%）；大中型企业与小型.微型企业组成联合体竞标，其中小型.微型企业的协议合同金额占到联合体协议合同总金额30%以上的，联合体报价给予</w:t>
      </w:r>
      <w:r>
        <w:rPr>
          <w:rFonts w:hint="eastAsia" w:hAnsi="宋体"/>
          <w:color w:val="auto"/>
          <w:szCs w:val="21"/>
          <w:highlight w:val="none"/>
          <w:lang w:val="en-US" w:eastAsia="zh-CN"/>
        </w:rPr>
        <w:t>3</w:t>
      </w:r>
      <w:r>
        <w:rPr>
          <w:rFonts w:hint="eastAsia" w:hAnsi="宋体"/>
          <w:color w:val="auto"/>
          <w:szCs w:val="21"/>
          <w:highlight w:val="none"/>
        </w:rPr>
        <w:t>%的扣除，扣除后的价格为评标报价，即评标报价=最终报价×（1-</w:t>
      </w:r>
      <w:r>
        <w:rPr>
          <w:rFonts w:hint="eastAsia" w:hAnsi="宋体"/>
          <w:color w:val="auto"/>
          <w:szCs w:val="21"/>
          <w:highlight w:val="none"/>
          <w:lang w:val="en-US" w:eastAsia="zh-CN"/>
        </w:rPr>
        <w:t>3</w:t>
      </w:r>
      <w:r>
        <w:rPr>
          <w:rFonts w:hint="eastAsia" w:hAnsi="宋体"/>
          <w:color w:val="auto"/>
          <w:szCs w:val="21"/>
          <w:highlight w:val="none"/>
        </w:rPr>
        <w:t>%）；除上述情况外，评标报价=最终报价。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三部门联合发布关于促进残疾人就业政府采购政策的通知》（财库[2017]141号）之规定，残疾人福利性单位视同小型.微型企业。残疾人福利性单位参加政府采购活动时，应当提供《残疾人福利性单位声明函》。</w:t>
      </w:r>
    </w:p>
    <w:p>
      <w:pPr>
        <w:spacing w:line="360" w:lineRule="auto"/>
        <w:ind w:firstLine="420" w:firstLineChars="200"/>
        <w:rPr>
          <w:rFonts w:hAnsi="宋体"/>
          <w:color w:val="auto"/>
          <w:szCs w:val="21"/>
          <w:highlight w:val="none"/>
        </w:rPr>
      </w:pPr>
      <w:r>
        <w:rPr>
          <w:rFonts w:hint="eastAsia" w:hAnsi="宋体"/>
          <w:color w:val="auto"/>
          <w:szCs w:val="21"/>
          <w:highlight w:val="none"/>
        </w:rPr>
        <w:t>（五）响应文件的报价如果出现计算或表达上的错误，修正错误的原则如下：</w:t>
      </w:r>
    </w:p>
    <w:p>
      <w:pPr>
        <w:spacing w:line="360" w:lineRule="auto"/>
        <w:ind w:firstLine="420" w:firstLineChars="200"/>
        <w:rPr>
          <w:rFonts w:hAnsi="宋体"/>
          <w:color w:val="auto"/>
          <w:szCs w:val="21"/>
          <w:highlight w:val="none"/>
        </w:rPr>
      </w:pPr>
      <w:r>
        <w:rPr>
          <w:rFonts w:hint="eastAsia" w:hAnsi="宋体"/>
          <w:color w:val="auto"/>
          <w:szCs w:val="21"/>
          <w:highlight w:val="none"/>
        </w:rPr>
        <w:t>（1）最终报价表内容与响应文件中相应内容不一致的，以最终报价表为准；</w:t>
      </w:r>
    </w:p>
    <w:p>
      <w:pPr>
        <w:spacing w:line="360" w:lineRule="auto"/>
        <w:ind w:firstLine="420" w:firstLineChars="200"/>
        <w:rPr>
          <w:rFonts w:hAnsi="宋体"/>
          <w:color w:val="auto"/>
          <w:szCs w:val="21"/>
          <w:highlight w:val="none"/>
        </w:rPr>
      </w:pPr>
      <w:r>
        <w:rPr>
          <w:rFonts w:hint="eastAsia" w:hAnsi="宋体"/>
          <w:color w:val="auto"/>
          <w:szCs w:val="21"/>
          <w:highlight w:val="none"/>
        </w:rPr>
        <w:t>（2）大写金额和小写金额不一致的，以大写金额为准；</w:t>
      </w:r>
    </w:p>
    <w:p>
      <w:pPr>
        <w:spacing w:line="360" w:lineRule="auto"/>
        <w:ind w:firstLine="420" w:firstLineChars="200"/>
        <w:rPr>
          <w:rFonts w:hAnsi="宋体"/>
          <w:color w:val="auto"/>
          <w:szCs w:val="21"/>
          <w:highlight w:val="none"/>
        </w:rPr>
      </w:pPr>
      <w:r>
        <w:rPr>
          <w:rFonts w:hint="eastAsia" w:hAnsi="宋体"/>
          <w:color w:val="auto"/>
          <w:szCs w:val="21"/>
          <w:highlight w:val="none"/>
        </w:rPr>
        <w:t>（3）单价金额小数点或者百分比有明显错位的，以最终报价表的总价为准，并修改单价；</w:t>
      </w:r>
    </w:p>
    <w:p>
      <w:pPr>
        <w:spacing w:line="360" w:lineRule="auto"/>
        <w:ind w:firstLine="420" w:firstLineChars="200"/>
        <w:rPr>
          <w:rFonts w:hAnsi="宋体"/>
          <w:color w:val="auto"/>
          <w:szCs w:val="21"/>
          <w:highlight w:val="none"/>
        </w:rPr>
      </w:pPr>
      <w:r>
        <w:rPr>
          <w:rFonts w:hint="eastAsia" w:hAnsi="宋体"/>
          <w:color w:val="auto"/>
          <w:szCs w:val="21"/>
          <w:highlight w:val="none"/>
        </w:rPr>
        <w:t>（4）总价金额与按单价汇总金额不一致的，以单价金额计算结果为准。</w:t>
      </w:r>
    </w:p>
    <w:p>
      <w:pPr>
        <w:spacing w:line="360" w:lineRule="auto"/>
        <w:ind w:firstLine="420" w:firstLineChars="200"/>
        <w:rPr>
          <w:rFonts w:hAnsi="宋体"/>
          <w:color w:val="auto"/>
          <w:szCs w:val="21"/>
          <w:highlight w:val="none"/>
        </w:rPr>
      </w:pPr>
      <w:r>
        <w:rPr>
          <w:rFonts w:hint="eastAsia" w:hAnsi="宋体"/>
          <w:color w:val="auto"/>
          <w:szCs w:val="21"/>
          <w:highlight w:val="none"/>
        </w:rPr>
        <w:t>同时出现两种以上不一致的，按照前款规定的顺序修正。修正后的报价经供应商确认后产生约束力，供应商不确认的，其竞标无效。</w:t>
      </w:r>
    </w:p>
    <w:p>
      <w:pPr>
        <w:spacing w:line="360" w:lineRule="auto"/>
        <w:ind w:firstLine="420" w:firstLineChars="200"/>
        <w:rPr>
          <w:rFonts w:ascii="宋体" w:hAnsi="宋体"/>
          <w:color w:val="auto"/>
          <w:szCs w:val="21"/>
          <w:highlight w:val="none"/>
        </w:rPr>
      </w:pPr>
      <w:r>
        <w:rPr>
          <w:rFonts w:hint="eastAsia" w:hAnsi="宋体"/>
          <w:color w:val="auto"/>
          <w:szCs w:val="21"/>
          <w:highlight w:val="none"/>
        </w:rPr>
        <w:t>（六）</w:t>
      </w:r>
      <w:r>
        <w:rPr>
          <w:rFonts w:hint="eastAsia" w:ascii="宋体" w:hAnsi="宋体"/>
          <w:color w:val="auto"/>
          <w:szCs w:val="21"/>
          <w:highlight w:val="none"/>
        </w:rPr>
        <w:t xml:space="preserve">生产厂商授权给供应商后自己不得参加同一合同项下的政府采购活动；出现下列情形之一的，评审时，取其中通过资格审查、符合性审查且报价最低一家进行评审；当报价相同时，由采购人自主选择确定一家参加评审的供应商，其他竞标无效：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（1）若同一项目或同一分标的采购内容只有一项设备的，如其中两家或两家以上供应商所竞标产品均为同一品牌的（型号不同的除外）。</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若同一项目或同一分标的采购内容包含多项设备的，如其中两家或两家以上供应商所竞标核心产品均为同一品牌的（型号不同的除外）。核心产品的名称在第四章《采购项目需求</w:t>
      </w:r>
      <w:r>
        <w:rPr>
          <w:rFonts w:ascii="宋体" w:hAnsi="宋体"/>
          <w:color w:val="auto"/>
          <w:szCs w:val="21"/>
          <w:highlight w:val="none"/>
        </w:rPr>
        <w:t>表</w:t>
      </w:r>
      <w:r>
        <w:rPr>
          <w:rFonts w:hint="eastAsia" w:ascii="宋体" w:hAnsi="宋体"/>
          <w:color w:val="auto"/>
          <w:szCs w:val="21"/>
          <w:highlight w:val="none"/>
        </w:rPr>
        <w:t>》中载明。</w:t>
      </w:r>
    </w:p>
    <w:p>
      <w:pPr>
        <w:spacing w:line="360" w:lineRule="auto"/>
        <w:ind w:firstLine="525" w:firstLineChars="250"/>
        <w:rPr>
          <w:rFonts w:hAnsi="宋体"/>
          <w:color w:val="auto"/>
          <w:szCs w:val="21"/>
          <w:highlight w:val="none"/>
        </w:rPr>
      </w:pPr>
      <w:r>
        <w:rPr>
          <w:rFonts w:hint="eastAsia" w:hAnsi="宋体"/>
          <w:color w:val="auto"/>
          <w:szCs w:val="21"/>
          <w:highlight w:val="none"/>
        </w:rPr>
        <w:t>（七）谈判小组在评审过程中发现供应商的报价明显低于其他供应商的报价，</w:t>
      </w:r>
      <w:r>
        <w:rPr>
          <w:rFonts w:hint="eastAsia"/>
          <w:color w:val="auto"/>
          <w:highlight w:val="none"/>
        </w:rPr>
        <w:t>有可能影响产品质量或者不能诚信履约的</w:t>
      </w:r>
      <w:r>
        <w:rPr>
          <w:rFonts w:hint="eastAsia" w:hAnsi="宋体"/>
          <w:color w:val="auto"/>
          <w:szCs w:val="21"/>
          <w:highlight w:val="none"/>
        </w:rPr>
        <w:t>，应当要求该供应商做出书面说明</w:t>
      </w:r>
      <w:r>
        <w:rPr>
          <w:rFonts w:hint="eastAsia"/>
          <w:color w:val="auto"/>
          <w:highlight w:val="none"/>
        </w:rPr>
        <w:t>，必要时提交相关证明材料</w:t>
      </w:r>
      <w:r>
        <w:rPr>
          <w:rFonts w:hint="eastAsia" w:hAnsi="宋体"/>
          <w:color w:val="auto"/>
          <w:szCs w:val="21"/>
          <w:highlight w:val="none"/>
        </w:rPr>
        <w:t>。供应商不能</w:t>
      </w:r>
      <w:r>
        <w:rPr>
          <w:rFonts w:hint="eastAsia"/>
          <w:color w:val="auto"/>
          <w:highlight w:val="none"/>
        </w:rPr>
        <w:t>证明其报价合理性的</w:t>
      </w:r>
      <w:r>
        <w:rPr>
          <w:rFonts w:hint="eastAsia" w:hAnsi="宋体"/>
          <w:color w:val="auto"/>
          <w:szCs w:val="21"/>
          <w:highlight w:val="none"/>
        </w:rPr>
        <w:t>，视作该供应商报价</w:t>
      </w:r>
      <w:r>
        <w:rPr>
          <w:rFonts w:hint="eastAsia"/>
          <w:color w:val="auto"/>
          <w:highlight w:val="none"/>
        </w:rPr>
        <w:t>影响货物质量或者不能诚信履约</w:t>
      </w:r>
      <w:r>
        <w:rPr>
          <w:rFonts w:hint="eastAsia" w:hAnsi="宋体"/>
          <w:color w:val="auto"/>
          <w:szCs w:val="21"/>
          <w:highlight w:val="none"/>
        </w:rPr>
        <w:t>，其竞标无效。</w:t>
      </w:r>
    </w:p>
    <w:p>
      <w:pPr>
        <w:spacing w:line="360" w:lineRule="auto"/>
        <w:ind w:firstLine="527" w:firstLineChars="250"/>
        <w:rPr>
          <w:rFonts w:hAnsi="宋体"/>
          <w:b/>
          <w:color w:val="auto"/>
          <w:szCs w:val="21"/>
          <w:highlight w:val="none"/>
        </w:rPr>
      </w:pPr>
      <w:r>
        <w:rPr>
          <w:rFonts w:hint="eastAsia" w:hAnsi="宋体"/>
          <w:b/>
          <w:color w:val="auto"/>
          <w:szCs w:val="21"/>
          <w:highlight w:val="none"/>
        </w:rPr>
        <w:t>二、成交候选供应商推荐原则：</w:t>
      </w:r>
    </w:p>
    <w:p>
      <w:pPr>
        <w:spacing w:line="360" w:lineRule="auto"/>
        <w:ind w:firstLine="420" w:firstLineChars="200"/>
        <w:rPr>
          <w:rFonts w:hAnsi="宋体"/>
          <w:color w:val="auto"/>
          <w:szCs w:val="21"/>
          <w:highlight w:val="none"/>
        </w:rPr>
      </w:pPr>
      <w:r>
        <w:rPr>
          <w:rFonts w:hint="eastAsia" w:hAnsi="宋体"/>
          <w:color w:val="auto"/>
          <w:szCs w:val="21"/>
          <w:highlight w:val="none"/>
        </w:rPr>
        <w:t>在响应文件通过资格和符合性评审的前提下，谈判小组应当从服务内容响应、货</w:t>
      </w:r>
      <w:r>
        <w:rPr>
          <w:rFonts w:hAnsi="宋体"/>
          <w:color w:val="auto"/>
          <w:szCs w:val="21"/>
          <w:highlight w:val="none"/>
        </w:rPr>
        <w:t>物和</w:t>
      </w:r>
      <w:r>
        <w:rPr>
          <w:rFonts w:hint="eastAsia" w:hAnsi="宋体"/>
          <w:color w:val="auto"/>
          <w:szCs w:val="21"/>
          <w:highlight w:val="none"/>
        </w:rPr>
        <w:t>服务质量和交付时间均能满足谈判文件实质性响应要求且最后评标报价最低的原则确定3名成交候选人</w:t>
      </w:r>
      <w:r>
        <w:rPr>
          <w:rFonts w:hint="eastAsia" w:ascii="宋体" w:hAnsi="宋体"/>
          <w:color w:val="auto"/>
          <w:szCs w:val="21"/>
          <w:highlight w:val="none"/>
        </w:rPr>
        <w:t>(评标价相同时，依次按节能环保产品优先、技术指标高优先、质量保证期长优先、交货期短优先、故障响应时间短优先的顺序排列；评标价相同且前述指标均相同时，由谈判小组各成员对评标价相同的供应商当场投票表决，得票多者优先；按前述程序仍无法确定供应商排名顺序的，由谈判小组抽签决定)</w:t>
      </w:r>
      <w:r>
        <w:rPr>
          <w:rFonts w:hint="eastAsia" w:hAnsi="宋体"/>
          <w:color w:val="auto"/>
          <w:szCs w:val="21"/>
          <w:highlight w:val="none"/>
        </w:rPr>
        <w:t>。采购人应当确定谈判小组推荐排名第一的成交候选人为成交人。排名第一的成交候选人放弃成交、因不可抗力提出不能履行合同，采购人可以确定排名第二的成交候选人为成交人。排名第二的成交候选人因前款规定的同样原因不能签订合同的，采购单位可以确定排名第三的成交候选人为成交人，其余以此类推；采购人也可以重新进行采购。</w:t>
      </w:r>
    </w:p>
    <w:p>
      <w:pPr>
        <w:spacing w:line="360" w:lineRule="auto"/>
        <w:ind w:firstLine="422" w:firstLineChars="200"/>
        <w:rPr>
          <w:rFonts w:ascii="宋体" w:hAnsi="宋体"/>
          <w:b/>
          <w:color w:val="auto"/>
          <w:szCs w:val="21"/>
          <w:highlight w:val="none"/>
        </w:rPr>
      </w:pPr>
    </w:p>
    <w:p>
      <w:pPr>
        <w:spacing w:line="360" w:lineRule="auto"/>
        <w:ind w:firstLine="422" w:firstLineChars="200"/>
        <w:rPr>
          <w:rFonts w:ascii="宋体" w:hAnsi="宋体"/>
          <w:b/>
          <w:color w:val="auto"/>
          <w:szCs w:val="21"/>
          <w:highlight w:val="none"/>
        </w:rPr>
      </w:pPr>
    </w:p>
    <w:p>
      <w:pPr>
        <w:spacing w:line="360" w:lineRule="auto"/>
        <w:ind w:firstLine="422" w:firstLineChars="200"/>
        <w:rPr>
          <w:rFonts w:ascii="宋体" w:hAnsi="宋体"/>
          <w:b/>
          <w:color w:val="auto"/>
          <w:szCs w:val="21"/>
          <w:highlight w:val="none"/>
        </w:rPr>
      </w:pPr>
    </w:p>
    <w:p>
      <w:pPr>
        <w:spacing w:line="360" w:lineRule="auto"/>
        <w:ind w:firstLine="422" w:firstLineChars="200"/>
        <w:rPr>
          <w:rFonts w:ascii="宋体" w:hAnsi="宋体"/>
          <w:b/>
          <w:color w:val="auto"/>
          <w:szCs w:val="21"/>
          <w:highlight w:val="none"/>
        </w:rPr>
      </w:pPr>
    </w:p>
    <w:p>
      <w:pPr>
        <w:spacing w:line="360" w:lineRule="auto"/>
        <w:ind w:firstLine="422" w:firstLineChars="200"/>
        <w:rPr>
          <w:rFonts w:ascii="宋体" w:hAnsi="宋体"/>
          <w:b/>
          <w:color w:val="auto"/>
          <w:szCs w:val="21"/>
          <w:highlight w:val="none"/>
        </w:rPr>
      </w:pPr>
    </w:p>
    <w:p>
      <w:pPr>
        <w:spacing w:line="360" w:lineRule="auto"/>
        <w:ind w:firstLine="422" w:firstLineChars="200"/>
        <w:rPr>
          <w:rFonts w:ascii="宋体" w:hAnsi="宋体"/>
          <w:b/>
          <w:color w:val="auto"/>
          <w:szCs w:val="21"/>
          <w:highlight w:val="none"/>
        </w:rPr>
      </w:pPr>
    </w:p>
    <w:p>
      <w:pPr>
        <w:spacing w:line="360" w:lineRule="auto"/>
        <w:ind w:firstLine="422" w:firstLineChars="200"/>
        <w:rPr>
          <w:rFonts w:ascii="宋体" w:hAnsi="宋体"/>
          <w:b/>
          <w:color w:val="auto"/>
          <w:szCs w:val="21"/>
          <w:highlight w:val="none"/>
        </w:rPr>
      </w:pPr>
    </w:p>
    <w:p>
      <w:pPr>
        <w:spacing w:line="360" w:lineRule="auto"/>
        <w:ind w:firstLine="422" w:firstLineChars="200"/>
        <w:rPr>
          <w:rFonts w:ascii="宋体" w:hAnsi="宋体"/>
          <w:b/>
          <w:color w:val="auto"/>
          <w:szCs w:val="21"/>
          <w:highlight w:val="none"/>
        </w:rPr>
      </w:pPr>
    </w:p>
    <w:p>
      <w:pPr>
        <w:spacing w:line="360" w:lineRule="auto"/>
        <w:ind w:firstLine="422" w:firstLineChars="200"/>
        <w:rPr>
          <w:rFonts w:ascii="宋体" w:hAnsi="宋体"/>
          <w:b/>
          <w:color w:val="auto"/>
          <w:szCs w:val="21"/>
          <w:highlight w:val="none"/>
        </w:rPr>
      </w:pPr>
    </w:p>
    <w:p>
      <w:pPr>
        <w:spacing w:line="360" w:lineRule="auto"/>
        <w:ind w:firstLine="422" w:firstLineChars="200"/>
        <w:rPr>
          <w:rFonts w:ascii="宋体" w:hAnsi="宋体"/>
          <w:b/>
          <w:color w:val="auto"/>
          <w:szCs w:val="21"/>
          <w:highlight w:val="none"/>
        </w:rPr>
      </w:pPr>
    </w:p>
    <w:p>
      <w:pPr>
        <w:spacing w:line="360" w:lineRule="auto"/>
        <w:ind w:firstLine="643" w:firstLineChars="200"/>
        <w:jc w:val="center"/>
        <w:rPr>
          <w:rFonts w:ascii="宋体" w:hAnsi="宋体"/>
          <w:b/>
          <w:color w:val="auto"/>
          <w:sz w:val="32"/>
          <w:szCs w:val="32"/>
          <w:highlight w:val="none"/>
        </w:rPr>
      </w:pPr>
    </w:p>
    <w:p>
      <w:pPr>
        <w:widowControl/>
        <w:jc w:val="left"/>
        <w:rPr>
          <w:rFonts w:ascii="宋体" w:hAnsi="宋体"/>
          <w:b/>
          <w:color w:val="auto"/>
          <w:sz w:val="32"/>
          <w:szCs w:val="32"/>
          <w:highlight w:val="none"/>
        </w:rPr>
      </w:pPr>
      <w:r>
        <w:rPr>
          <w:rFonts w:ascii="宋体" w:hAnsi="宋体"/>
          <w:b/>
          <w:color w:val="auto"/>
          <w:sz w:val="32"/>
          <w:szCs w:val="32"/>
          <w:highlight w:val="none"/>
        </w:rPr>
        <w:br w:type="page"/>
      </w:r>
    </w:p>
    <w:p>
      <w:pPr>
        <w:pStyle w:val="3"/>
        <w:spacing w:line="240" w:lineRule="atLeast"/>
        <w:jc w:val="center"/>
        <w:rPr>
          <w:color w:val="auto"/>
          <w:sz w:val="36"/>
          <w:szCs w:val="36"/>
          <w:highlight w:val="none"/>
        </w:rPr>
      </w:pPr>
      <w:bookmarkStart w:id="43" w:name="_Toc13777"/>
      <w:bookmarkStart w:id="44" w:name="_Toc28697"/>
      <w:r>
        <w:rPr>
          <w:rFonts w:hint="eastAsia"/>
          <w:color w:val="auto"/>
          <w:sz w:val="36"/>
          <w:szCs w:val="36"/>
          <w:highlight w:val="none"/>
        </w:rPr>
        <w:t>第四章采购项目需求</w:t>
      </w:r>
      <w:r>
        <w:rPr>
          <w:color w:val="auto"/>
          <w:sz w:val="36"/>
          <w:szCs w:val="36"/>
          <w:highlight w:val="none"/>
        </w:rPr>
        <w:t>表</w:t>
      </w:r>
      <w:bookmarkEnd w:id="43"/>
    </w:p>
    <w:p>
      <w:pPr>
        <w:tabs>
          <w:tab w:val="left" w:pos="180"/>
          <w:tab w:val="left" w:pos="1620"/>
        </w:tabs>
        <w:spacing w:line="400" w:lineRule="exact"/>
        <w:ind w:firstLine="480" w:firstLineChars="200"/>
        <w:rPr>
          <w:rFonts w:ascii="宋体" w:hAnsi="宋体"/>
          <w:color w:val="auto"/>
          <w:sz w:val="24"/>
          <w:highlight w:val="none"/>
        </w:rPr>
      </w:pPr>
      <w:bookmarkStart w:id="45" w:name="_Toc254970631"/>
      <w:bookmarkStart w:id="46" w:name="_Toc254970490"/>
    </w:p>
    <w:bookmarkEnd w:id="45"/>
    <w:bookmarkEnd w:id="46"/>
    <w:p>
      <w:pPr>
        <w:widowControl/>
        <w:spacing w:line="340" w:lineRule="atLeast"/>
        <w:jc w:val="left"/>
        <w:rPr>
          <w:rFonts w:ascii="宋体" w:hAnsi="宋体" w:cs="宋体"/>
          <w:color w:val="auto"/>
          <w:kern w:val="0"/>
          <w:highlight w:val="none"/>
        </w:rPr>
      </w:pPr>
      <w:r>
        <w:rPr>
          <w:rFonts w:hint="eastAsia" w:ascii="宋体" w:hAnsi="宋体" w:cs="宋体"/>
          <w:color w:val="auto"/>
          <w:kern w:val="0"/>
          <w:highlight w:val="none"/>
        </w:rPr>
        <w:t>说明：</w:t>
      </w:r>
    </w:p>
    <w:p>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kern w:val="0"/>
          <w:highlight w:val="none"/>
        </w:rPr>
        <w:t>1.</w:t>
      </w:r>
      <w:r>
        <w:rPr>
          <w:rFonts w:hint="eastAsia"/>
          <w:color w:val="auto"/>
          <w:szCs w:val="21"/>
          <w:highlight w:val="none"/>
        </w:rPr>
        <w:t>本需求表中的技术参数及其性能（配置）仅起参考作用，供应商可选用其他品牌型号替代，但这些替代的品牌型号要实质上相当于或优于参考品牌型号及其技术参数性能（配置）要求。</w:t>
      </w:r>
    </w:p>
    <w:p>
      <w:pPr>
        <w:widowControl/>
        <w:spacing w:line="400" w:lineRule="exact"/>
        <w:ind w:firstLine="422" w:firstLineChars="201"/>
        <w:jc w:val="left"/>
        <w:rPr>
          <w:rFonts w:ascii="宋体" w:hAnsi="宋体" w:cs="宋体"/>
          <w:color w:val="auto"/>
          <w:highlight w:val="none"/>
        </w:rPr>
      </w:pPr>
      <w:r>
        <w:rPr>
          <w:rFonts w:ascii="宋体" w:hAnsi="宋体" w:cs="宋体"/>
          <w:color w:val="auto"/>
          <w:kern w:val="0"/>
          <w:highlight w:val="none"/>
        </w:rPr>
        <w:t>2</w:t>
      </w:r>
      <w:r>
        <w:rPr>
          <w:rFonts w:hint="eastAsia" w:ascii="宋体" w:hAnsi="宋体" w:cs="宋体"/>
          <w:color w:val="auto"/>
          <w:kern w:val="0"/>
          <w:highlight w:val="none"/>
        </w:rPr>
        <w:t>.</w:t>
      </w:r>
      <w:r>
        <w:rPr>
          <w:rFonts w:hint="eastAsia" w:ascii="宋体" w:hAnsi="宋体"/>
          <w:color w:val="auto"/>
          <w:szCs w:val="21"/>
          <w:highlight w:val="none"/>
        </w:rPr>
        <w:t>本货物需求一览表中标注</w:t>
      </w:r>
      <w:r>
        <w:rPr>
          <w:rFonts w:hint="eastAsia" w:ascii="宋体" w:hAnsi="宋体" w:cs="宋体"/>
          <w:color w:val="auto"/>
          <w:kern w:val="0"/>
          <w:sz w:val="18"/>
          <w:szCs w:val="18"/>
          <w:highlight w:val="none"/>
        </w:rPr>
        <w:t>★</w:t>
      </w:r>
      <w:r>
        <w:rPr>
          <w:rFonts w:hint="eastAsia" w:ascii="宋体" w:hAnsi="宋体"/>
          <w:color w:val="auto"/>
          <w:szCs w:val="21"/>
          <w:highlight w:val="none"/>
        </w:rPr>
        <w:t>号的部分为实质性要求和条件（由采购人根据实际情况设置），竞标人必须作出满足或者优于原要求和条件的承诺，否则竞标无效。评标时如果发现本一览表中“</w:t>
      </w:r>
      <w:r>
        <w:rPr>
          <w:rFonts w:ascii="宋体" w:hAnsi="宋体"/>
          <w:color w:val="auto"/>
          <w:szCs w:val="21"/>
          <w:highlight w:val="none"/>
        </w:rPr>
        <w:t>技术参数</w:t>
      </w:r>
      <w:r>
        <w:rPr>
          <w:rFonts w:hint="eastAsia" w:ascii="宋体" w:hAnsi="宋体"/>
          <w:color w:val="auto"/>
          <w:szCs w:val="21"/>
          <w:highlight w:val="none"/>
        </w:rPr>
        <w:t>及配置</w:t>
      </w:r>
      <w:r>
        <w:rPr>
          <w:rFonts w:ascii="宋体" w:hAnsi="宋体"/>
          <w:color w:val="auto"/>
          <w:szCs w:val="21"/>
          <w:highlight w:val="none"/>
        </w:rPr>
        <w:t>要求</w:t>
      </w:r>
      <w:r>
        <w:rPr>
          <w:rFonts w:hint="eastAsia" w:ascii="宋体" w:hAnsi="宋体"/>
          <w:color w:val="auto"/>
          <w:szCs w:val="21"/>
          <w:highlight w:val="none"/>
        </w:rPr>
        <w:t>”中含有某一品牌特有的技术参数或限制要求，评标小组有权将其不作为实质性要求</w:t>
      </w:r>
    </w:p>
    <w:p>
      <w:pPr>
        <w:widowControl/>
        <w:spacing w:line="400" w:lineRule="exact"/>
        <w:ind w:firstLine="422" w:firstLineChars="201"/>
        <w:jc w:val="left"/>
        <w:rPr>
          <w:rFonts w:ascii="宋体" w:hAnsi="宋体" w:cs="宋体"/>
          <w:color w:val="auto"/>
          <w:highlight w:val="none"/>
        </w:rPr>
      </w:pPr>
      <w:r>
        <w:rPr>
          <w:rFonts w:ascii="宋体" w:hAnsi="宋体" w:cs="宋体"/>
          <w:color w:val="auto"/>
          <w:kern w:val="0"/>
          <w:highlight w:val="none"/>
        </w:rPr>
        <w:t>3</w:t>
      </w:r>
      <w:r>
        <w:rPr>
          <w:rFonts w:hint="eastAsia" w:ascii="宋体" w:hAnsi="宋体" w:cs="宋体"/>
          <w:color w:val="auto"/>
          <w:kern w:val="0"/>
          <w:highlight w:val="none"/>
        </w:rPr>
        <w:t>.凡在“规格、型号等特殊要求”中表述为“标配”或“标准配置”的设备，谈判供应商应在竞标报价明细表、技术响应表中将其标配参数详细列明，否则该竞标无效。</w:t>
      </w:r>
    </w:p>
    <w:p>
      <w:pPr>
        <w:pStyle w:val="3"/>
        <w:spacing w:line="400" w:lineRule="exact"/>
        <w:jc w:val="left"/>
        <w:rPr>
          <w:rFonts w:ascii="宋体" w:hAnsi="宋体" w:cs="宋体"/>
          <w:b w:val="0"/>
          <w:bCs w:val="0"/>
          <w:color w:val="auto"/>
          <w:kern w:val="0"/>
          <w:highlight w:val="none"/>
        </w:rPr>
      </w:pPr>
      <w:r>
        <w:rPr>
          <w:rFonts w:hint="eastAsia" w:ascii="宋体" w:hAnsi="宋体"/>
          <w:b w:val="0"/>
          <w:bCs w:val="0"/>
          <w:color w:val="auto"/>
          <w:szCs w:val="21"/>
          <w:highlight w:val="none"/>
        </w:rPr>
        <w:t xml:space="preserve">   </w:t>
      </w:r>
      <w:r>
        <w:rPr>
          <w:rFonts w:hint="eastAsia" w:ascii="宋体" w:hAnsi="宋体" w:cs="宋体"/>
          <w:b w:val="0"/>
          <w:bCs w:val="0"/>
          <w:color w:val="auto"/>
          <w:kern w:val="0"/>
          <w:highlight w:val="none"/>
        </w:rPr>
        <w:t xml:space="preserve"> 4.本项目不接受进口产品（即通过中国海关报关验放进入中国境内且产自关境外的产品）参与竞标。</w:t>
      </w:r>
    </w:p>
    <w:p>
      <w:pPr>
        <w:pStyle w:val="2"/>
        <w:rPr>
          <w:color w:val="auto"/>
          <w:highlight w:val="none"/>
        </w:rPr>
      </w:pPr>
    </w:p>
    <w:tbl>
      <w:tblPr>
        <w:tblStyle w:val="35"/>
        <w:tblW w:w="9639" w:type="dxa"/>
        <w:tblInd w:w="-5" w:type="dxa"/>
        <w:tblLayout w:type="autofit"/>
        <w:tblCellMar>
          <w:top w:w="0" w:type="dxa"/>
          <w:left w:w="0" w:type="dxa"/>
          <w:bottom w:w="0" w:type="dxa"/>
          <w:right w:w="0" w:type="dxa"/>
        </w:tblCellMar>
      </w:tblPr>
      <w:tblGrid>
        <w:gridCol w:w="480"/>
        <w:gridCol w:w="1605"/>
        <w:gridCol w:w="495"/>
        <w:gridCol w:w="585"/>
        <w:gridCol w:w="6474"/>
      </w:tblGrid>
      <w:tr>
        <w:tblPrEx>
          <w:tblCellMar>
            <w:top w:w="0" w:type="dxa"/>
            <w:left w:w="0" w:type="dxa"/>
            <w:bottom w:w="0" w:type="dxa"/>
            <w:right w:w="0" w:type="dxa"/>
          </w:tblCellMar>
        </w:tblPrEx>
        <w:trPr>
          <w:trHeight w:val="480"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序号</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lang w:bidi="ar"/>
              </w:rPr>
              <w:t>设备名称</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lang w:bidi="ar"/>
              </w:rPr>
              <w:t>单位</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lang w:bidi="ar"/>
              </w:rPr>
              <w:t>数量</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lang w:bidi="ar"/>
              </w:rPr>
              <w:t>采购要求</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便携式呼吸机</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1.</w:t>
            </w:r>
            <w:r>
              <w:rPr>
                <w:rFonts w:hint="eastAsia" w:ascii="宋体" w:hAnsi="宋体" w:cs="宋体"/>
                <w:color w:val="auto"/>
                <w:sz w:val="20"/>
                <w:szCs w:val="20"/>
                <w:highlight w:val="none"/>
              </w:rPr>
              <w:tab/>
            </w:r>
            <w:r>
              <w:rPr>
                <w:rFonts w:hint="eastAsia" w:ascii="宋体" w:hAnsi="宋体" w:cs="宋体"/>
                <w:color w:val="auto"/>
                <w:sz w:val="20"/>
                <w:szCs w:val="20"/>
                <w:highlight w:val="none"/>
              </w:rPr>
              <w:t>气动电控型</w:t>
            </w:r>
          </w:p>
          <w:p>
            <w:pPr>
              <w:rPr>
                <w:rFonts w:ascii="宋体" w:hAnsi="宋体" w:cs="宋体"/>
                <w:color w:val="auto"/>
                <w:sz w:val="20"/>
                <w:szCs w:val="20"/>
                <w:highlight w:val="none"/>
              </w:rPr>
            </w:pPr>
            <w:r>
              <w:rPr>
                <w:rFonts w:hint="eastAsia" w:ascii="宋体" w:hAnsi="宋体" w:cs="宋体"/>
                <w:color w:val="auto"/>
                <w:sz w:val="20"/>
                <w:szCs w:val="20"/>
                <w:highlight w:val="none"/>
              </w:rPr>
              <w:t>2.</w:t>
            </w:r>
            <w:r>
              <w:rPr>
                <w:rFonts w:hint="eastAsia" w:ascii="宋体" w:hAnsi="宋体" w:cs="宋体"/>
                <w:color w:val="auto"/>
                <w:sz w:val="20"/>
                <w:szCs w:val="20"/>
                <w:highlight w:val="none"/>
              </w:rPr>
              <w:tab/>
            </w:r>
            <w:r>
              <w:rPr>
                <w:rFonts w:hint="eastAsia" w:ascii="宋体" w:hAnsi="宋体" w:cs="宋体"/>
                <w:color w:val="auto"/>
                <w:sz w:val="20"/>
                <w:szCs w:val="20"/>
                <w:highlight w:val="none"/>
              </w:rPr>
              <w:t>2.4TFT彩屏，分辨率320*240像素</w:t>
            </w:r>
          </w:p>
          <w:p>
            <w:pPr>
              <w:rPr>
                <w:rFonts w:ascii="宋体" w:hAnsi="宋体" w:cs="宋体"/>
                <w:color w:val="auto"/>
                <w:sz w:val="20"/>
                <w:szCs w:val="20"/>
                <w:highlight w:val="none"/>
              </w:rPr>
            </w:pPr>
            <w:r>
              <w:rPr>
                <w:rFonts w:hint="eastAsia" w:ascii="宋体" w:hAnsi="宋体" w:cs="宋体"/>
                <w:color w:val="auto"/>
                <w:sz w:val="20"/>
                <w:szCs w:val="20"/>
                <w:highlight w:val="none"/>
              </w:rPr>
              <w:t>3.</w:t>
            </w:r>
            <w:r>
              <w:rPr>
                <w:rFonts w:hint="eastAsia" w:ascii="宋体" w:hAnsi="宋体" w:cs="宋体"/>
                <w:color w:val="auto"/>
                <w:sz w:val="20"/>
                <w:szCs w:val="20"/>
                <w:highlight w:val="none"/>
              </w:rPr>
              <w:tab/>
            </w:r>
            <w:r>
              <w:rPr>
                <w:rFonts w:hint="eastAsia" w:ascii="宋体" w:hAnsi="宋体" w:cs="宋体"/>
                <w:color w:val="auto"/>
                <w:sz w:val="20"/>
                <w:szCs w:val="20"/>
                <w:highlight w:val="none"/>
              </w:rPr>
              <w:t>显示屏可显示电池状态、外界电源情况、实时气道压力、平均气道压力、峰值气道压力等状态</w:t>
            </w:r>
          </w:p>
          <w:p>
            <w:pPr>
              <w:rPr>
                <w:rFonts w:ascii="宋体" w:hAnsi="宋体" w:cs="宋体"/>
                <w:color w:val="auto"/>
                <w:sz w:val="20"/>
                <w:szCs w:val="20"/>
                <w:highlight w:val="none"/>
              </w:rPr>
            </w:pPr>
            <w:r>
              <w:rPr>
                <w:rFonts w:hint="eastAsia" w:ascii="宋体" w:hAnsi="宋体" w:cs="宋体"/>
                <w:color w:val="auto"/>
                <w:sz w:val="20"/>
                <w:szCs w:val="20"/>
                <w:highlight w:val="none"/>
              </w:rPr>
              <w:t>4.</w:t>
            </w:r>
            <w:r>
              <w:rPr>
                <w:rFonts w:hint="eastAsia" w:ascii="宋体" w:hAnsi="宋体" w:cs="宋体"/>
                <w:color w:val="auto"/>
                <w:sz w:val="20"/>
                <w:szCs w:val="20"/>
                <w:highlight w:val="none"/>
              </w:rPr>
              <w:tab/>
            </w:r>
            <w:r>
              <w:rPr>
                <w:rFonts w:hint="eastAsia" w:ascii="宋体" w:hAnsi="宋体" w:cs="宋体"/>
                <w:color w:val="auto"/>
                <w:sz w:val="20"/>
                <w:szCs w:val="20"/>
                <w:highlight w:val="none"/>
              </w:rPr>
              <w:t>★具备中文语音智能导航操作和报警功能</w:t>
            </w:r>
          </w:p>
          <w:p>
            <w:pPr>
              <w:rPr>
                <w:rFonts w:ascii="宋体" w:hAnsi="宋体" w:cs="宋体"/>
                <w:color w:val="auto"/>
                <w:sz w:val="20"/>
                <w:szCs w:val="20"/>
                <w:highlight w:val="none"/>
              </w:rPr>
            </w:pPr>
            <w:r>
              <w:rPr>
                <w:rFonts w:hint="eastAsia" w:ascii="宋体" w:hAnsi="宋体" w:cs="宋体"/>
                <w:color w:val="auto"/>
                <w:sz w:val="20"/>
                <w:szCs w:val="20"/>
                <w:highlight w:val="none"/>
              </w:rPr>
              <w:t>5.</w:t>
            </w:r>
            <w:r>
              <w:rPr>
                <w:rFonts w:hint="eastAsia" w:ascii="宋体" w:hAnsi="宋体" w:cs="宋体"/>
                <w:color w:val="auto"/>
                <w:sz w:val="20"/>
                <w:szCs w:val="20"/>
                <w:highlight w:val="none"/>
              </w:rPr>
              <w:tab/>
            </w:r>
            <w:r>
              <w:rPr>
                <w:rFonts w:hint="eastAsia" w:ascii="宋体" w:hAnsi="宋体" w:cs="宋体"/>
                <w:color w:val="auto"/>
                <w:sz w:val="20"/>
                <w:szCs w:val="20"/>
                <w:highlight w:val="none"/>
              </w:rPr>
              <w:t>可配备呼吸抢救、吸痰、面罩供氧三合一功能</w:t>
            </w:r>
          </w:p>
          <w:p>
            <w:pPr>
              <w:rPr>
                <w:rFonts w:ascii="宋体" w:hAnsi="宋体" w:cs="宋体"/>
                <w:color w:val="auto"/>
                <w:sz w:val="20"/>
                <w:szCs w:val="20"/>
                <w:highlight w:val="none"/>
              </w:rPr>
            </w:pPr>
            <w:r>
              <w:rPr>
                <w:rFonts w:hint="eastAsia" w:ascii="宋体" w:hAnsi="宋体" w:cs="宋体"/>
                <w:color w:val="auto"/>
                <w:sz w:val="20"/>
                <w:szCs w:val="20"/>
                <w:highlight w:val="none"/>
              </w:rPr>
              <w:t>6.</w:t>
            </w:r>
            <w:r>
              <w:rPr>
                <w:rFonts w:hint="eastAsia" w:ascii="宋体" w:hAnsi="宋体" w:cs="宋体"/>
                <w:color w:val="auto"/>
                <w:sz w:val="20"/>
                <w:szCs w:val="20"/>
                <w:highlight w:val="none"/>
              </w:rPr>
              <w:tab/>
            </w:r>
            <w:r>
              <w:rPr>
                <w:rFonts w:hint="eastAsia" w:ascii="宋体" w:hAnsi="宋体" w:cs="宋体"/>
                <w:color w:val="auto"/>
                <w:sz w:val="20"/>
                <w:szCs w:val="20"/>
                <w:highlight w:val="none"/>
              </w:rPr>
              <w:t>配备专用急救包转运平台，可手提、单肩背，包可直接固定于急救车或担架床上</w:t>
            </w:r>
            <w:r>
              <w:rPr>
                <w:rFonts w:hint="eastAsia" w:ascii="宋体" w:hAnsi="宋体" w:cs="宋体"/>
                <w:color w:val="auto"/>
                <w:sz w:val="20"/>
                <w:szCs w:val="20"/>
                <w:highlight w:val="none"/>
              </w:rPr>
              <w:tab/>
            </w:r>
          </w:p>
          <w:p>
            <w:pPr>
              <w:rPr>
                <w:rFonts w:ascii="宋体" w:hAnsi="宋体" w:cs="宋体"/>
                <w:color w:val="auto"/>
                <w:sz w:val="20"/>
                <w:szCs w:val="20"/>
                <w:highlight w:val="none"/>
              </w:rPr>
            </w:pPr>
            <w:r>
              <w:rPr>
                <w:rFonts w:hint="eastAsia" w:ascii="宋体" w:hAnsi="宋体" w:cs="宋体"/>
                <w:color w:val="auto"/>
                <w:sz w:val="20"/>
                <w:szCs w:val="20"/>
                <w:highlight w:val="none"/>
              </w:rPr>
              <w:t>7.</w:t>
            </w:r>
            <w:r>
              <w:rPr>
                <w:rFonts w:hint="eastAsia" w:ascii="宋体" w:hAnsi="宋体" w:cs="宋体"/>
                <w:color w:val="auto"/>
                <w:sz w:val="20"/>
                <w:szCs w:val="20"/>
                <w:highlight w:val="none"/>
              </w:rPr>
              <w:tab/>
            </w:r>
            <w:r>
              <w:rPr>
                <w:rFonts w:hint="eastAsia" w:ascii="宋体" w:hAnsi="宋体" w:cs="宋体"/>
                <w:color w:val="auto"/>
                <w:sz w:val="20"/>
                <w:szCs w:val="20"/>
                <w:highlight w:val="none"/>
              </w:rPr>
              <w:t>★主机上可通过不同颜色区分幼儿、儿童及成人模式</w:t>
            </w:r>
          </w:p>
          <w:p>
            <w:pPr>
              <w:rPr>
                <w:rFonts w:ascii="宋体" w:hAnsi="宋体" w:cs="宋体"/>
                <w:color w:val="auto"/>
                <w:sz w:val="20"/>
                <w:szCs w:val="20"/>
                <w:highlight w:val="none"/>
              </w:rPr>
            </w:pPr>
            <w:r>
              <w:rPr>
                <w:rFonts w:hint="eastAsia" w:ascii="宋体" w:hAnsi="宋体" w:cs="宋体"/>
                <w:color w:val="auto"/>
                <w:sz w:val="20"/>
                <w:szCs w:val="20"/>
                <w:highlight w:val="none"/>
              </w:rPr>
              <w:t>8.</w:t>
            </w:r>
            <w:r>
              <w:rPr>
                <w:rFonts w:hint="eastAsia" w:ascii="宋体" w:hAnsi="宋体" w:cs="宋体"/>
                <w:color w:val="auto"/>
                <w:sz w:val="20"/>
                <w:szCs w:val="20"/>
                <w:highlight w:val="none"/>
              </w:rPr>
              <w:tab/>
            </w:r>
            <w:r>
              <w:rPr>
                <w:rFonts w:hint="eastAsia" w:ascii="宋体" w:hAnsi="宋体" w:cs="宋体"/>
                <w:color w:val="auto"/>
                <w:sz w:val="20"/>
                <w:szCs w:val="20"/>
                <w:highlight w:val="none"/>
              </w:rPr>
              <w:t>★呼吸模式：IPPV、辅助呼吸功能（Assist）、手动呼吸模式（M）等</w:t>
            </w:r>
          </w:p>
          <w:p>
            <w:pPr>
              <w:rPr>
                <w:rFonts w:ascii="宋体" w:hAnsi="宋体" w:cs="宋体"/>
                <w:color w:val="auto"/>
                <w:sz w:val="20"/>
                <w:szCs w:val="20"/>
                <w:highlight w:val="none"/>
              </w:rPr>
            </w:pPr>
            <w:r>
              <w:rPr>
                <w:rFonts w:hint="eastAsia" w:ascii="宋体" w:hAnsi="宋体" w:cs="宋体"/>
                <w:color w:val="auto"/>
                <w:sz w:val="20"/>
                <w:szCs w:val="20"/>
                <w:highlight w:val="none"/>
              </w:rPr>
              <w:t>9.</w:t>
            </w:r>
            <w:r>
              <w:rPr>
                <w:rFonts w:hint="eastAsia" w:ascii="宋体" w:hAnsi="宋体" w:cs="宋体"/>
                <w:color w:val="auto"/>
                <w:sz w:val="20"/>
                <w:szCs w:val="20"/>
                <w:highlight w:val="none"/>
              </w:rPr>
              <w:tab/>
            </w:r>
            <w:r>
              <w:rPr>
                <w:rFonts w:hint="eastAsia" w:ascii="宋体" w:hAnsi="宋体" w:cs="宋体"/>
                <w:color w:val="auto"/>
                <w:sz w:val="20"/>
                <w:szCs w:val="20"/>
                <w:highlight w:val="none"/>
              </w:rPr>
              <w:t>★主机重量: ≤1.5Kg</w:t>
            </w:r>
          </w:p>
          <w:p>
            <w:pPr>
              <w:rPr>
                <w:rFonts w:ascii="宋体" w:hAnsi="宋体" w:cs="宋体"/>
                <w:color w:val="auto"/>
                <w:sz w:val="20"/>
                <w:szCs w:val="20"/>
                <w:highlight w:val="none"/>
              </w:rPr>
            </w:pPr>
            <w:r>
              <w:rPr>
                <w:rFonts w:hint="eastAsia" w:ascii="宋体" w:hAnsi="宋体" w:cs="宋体"/>
                <w:color w:val="auto"/>
                <w:sz w:val="20"/>
                <w:szCs w:val="20"/>
                <w:highlight w:val="none"/>
              </w:rPr>
              <w:t>10.</w:t>
            </w:r>
            <w:r>
              <w:rPr>
                <w:rFonts w:hint="eastAsia" w:ascii="宋体" w:hAnsi="宋体" w:cs="宋体"/>
                <w:color w:val="auto"/>
                <w:sz w:val="20"/>
                <w:szCs w:val="20"/>
                <w:highlight w:val="none"/>
              </w:rPr>
              <w:tab/>
            </w:r>
            <w:r>
              <w:rPr>
                <w:rFonts w:hint="eastAsia" w:ascii="宋体" w:hAnsi="宋体" w:cs="宋体"/>
                <w:color w:val="auto"/>
                <w:sz w:val="20"/>
                <w:szCs w:val="20"/>
                <w:highlight w:val="none"/>
              </w:rPr>
              <w:t>工作压力:2.7 ～ 6.0bar</w:t>
            </w:r>
          </w:p>
          <w:p>
            <w:pPr>
              <w:rPr>
                <w:rFonts w:ascii="宋体" w:hAnsi="宋体" w:cs="宋体"/>
                <w:color w:val="auto"/>
                <w:sz w:val="20"/>
                <w:szCs w:val="20"/>
                <w:highlight w:val="none"/>
              </w:rPr>
            </w:pPr>
            <w:r>
              <w:rPr>
                <w:rFonts w:hint="eastAsia" w:ascii="宋体" w:hAnsi="宋体" w:cs="宋体"/>
                <w:color w:val="auto"/>
                <w:sz w:val="20"/>
                <w:szCs w:val="20"/>
                <w:highlight w:val="none"/>
              </w:rPr>
              <w:t>11.</w:t>
            </w:r>
            <w:r>
              <w:rPr>
                <w:rFonts w:hint="eastAsia" w:ascii="宋体" w:hAnsi="宋体" w:cs="宋体"/>
                <w:color w:val="auto"/>
                <w:sz w:val="20"/>
                <w:szCs w:val="20"/>
                <w:highlight w:val="none"/>
              </w:rPr>
              <w:tab/>
            </w:r>
            <w:r>
              <w:rPr>
                <w:rFonts w:hint="eastAsia" w:ascii="宋体" w:hAnsi="宋体" w:cs="宋体"/>
                <w:color w:val="auto"/>
                <w:sz w:val="20"/>
                <w:szCs w:val="20"/>
                <w:highlight w:val="none"/>
              </w:rPr>
              <w:t>吸呼时间比:  1:1.67</w:t>
            </w:r>
          </w:p>
          <w:p>
            <w:pPr>
              <w:rPr>
                <w:rFonts w:ascii="宋体" w:hAnsi="宋体" w:cs="宋体"/>
                <w:color w:val="auto"/>
                <w:sz w:val="20"/>
                <w:szCs w:val="20"/>
                <w:highlight w:val="none"/>
              </w:rPr>
            </w:pPr>
            <w:r>
              <w:rPr>
                <w:rFonts w:hint="eastAsia" w:ascii="宋体" w:hAnsi="宋体" w:cs="宋体"/>
                <w:color w:val="auto"/>
                <w:sz w:val="20"/>
                <w:szCs w:val="20"/>
                <w:highlight w:val="none"/>
              </w:rPr>
              <w:t>12.</w:t>
            </w:r>
            <w:r>
              <w:rPr>
                <w:rFonts w:hint="eastAsia" w:ascii="宋体" w:hAnsi="宋体" w:cs="宋体"/>
                <w:color w:val="auto"/>
                <w:sz w:val="20"/>
                <w:szCs w:val="20"/>
                <w:highlight w:val="none"/>
              </w:rPr>
              <w:tab/>
            </w:r>
            <w:r>
              <w:rPr>
                <w:rFonts w:hint="eastAsia" w:ascii="宋体" w:hAnsi="宋体" w:cs="宋体"/>
                <w:color w:val="auto"/>
                <w:sz w:val="20"/>
                <w:szCs w:val="20"/>
                <w:highlight w:val="none"/>
              </w:rPr>
              <w:t>氧气浓度：60%和100%，2档可调</w:t>
            </w:r>
          </w:p>
          <w:p>
            <w:pPr>
              <w:rPr>
                <w:rFonts w:ascii="宋体" w:hAnsi="宋体" w:cs="宋体"/>
                <w:color w:val="auto"/>
                <w:sz w:val="20"/>
                <w:szCs w:val="20"/>
                <w:highlight w:val="none"/>
              </w:rPr>
            </w:pPr>
            <w:r>
              <w:rPr>
                <w:rFonts w:hint="eastAsia" w:ascii="宋体" w:hAnsi="宋体" w:cs="宋体"/>
                <w:color w:val="auto"/>
                <w:sz w:val="20"/>
                <w:szCs w:val="20"/>
                <w:highlight w:val="none"/>
              </w:rPr>
              <w:t>13.</w:t>
            </w:r>
            <w:r>
              <w:rPr>
                <w:rFonts w:hint="eastAsia" w:ascii="宋体" w:hAnsi="宋体" w:cs="宋体"/>
                <w:color w:val="auto"/>
                <w:sz w:val="20"/>
                <w:szCs w:val="20"/>
                <w:highlight w:val="none"/>
              </w:rPr>
              <w:tab/>
            </w:r>
            <w:r>
              <w:rPr>
                <w:rFonts w:hint="eastAsia" w:ascii="宋体" w:hAnsi="宋体" w:cs="宋体"/>
                <w:color w:val="auto"/>
                <w:sz w:val="20"/>
                <w:szCs w:val="20"/>
                <w:highlight w:val="none"/>
              </w:rPr>
              <w:t>每分钟呼吸流量（MV）：3L/min、5L/min、7L/min、9L/min、11L/min、14L/min、17L/min、20L/min，8档调节</w:t>
            </w:r>
          </w:p>
          <w:p>
            <w:pPr>
              <w:rPr>
                <w:rFonts w:ascii="宋体" w:hAnsi="宋体" w:cs="宋体"/>
                <w:color w:val="auto"/>
                <w:sz w:val="20"/>
                <w:szCs w:val="20"/>
                <w:highlight w:val="none"/>
              </w:rPr>
            </w:pPr>
            <w:r>
              <w:rPr>
                <w:rFonts w:hint="eastAsia" w:ascii="宋体" w:hAnsi="宋体" w:cs="宋体"/>
                <w:color w:val="auto"/>
                <w:sz w:val="20"/>
                <w:szCs w:val="20"/>
                <w:highlight w:val="none"/>
              </w:rPr>
              <w:t>14.</w:t>
            </w:r>
            <w:r>
              <w:rPr>
                <w:rFonts w:hint="eastAsia" w:ascii="宋体" w:hAnsi="宋体" w:cs="宋体"/>
                <w:color w:val="auto"/>
                <w:sz w:val="20"/>
                <w:szCs w:val="20"/>
                <w:highlight w:val="none"/>
              </w:rPr>
              <w:tab/>
            </w:r>
            <w:r>
              <w:rPr>
                <w:rFonts w:hint="eastAsia" w:ascii="宋体" w:hAnsi="宋体" w:cs="宋体"/>
                <w:color w:val="auto"/>
                <w:sz w:val="20"/>
                <w:szCs w:val="20"/>
                <w:highlight w:val="none"/>
              </w:rPr>
              <w:t>呼吸频率：5bpm、8bpm、10bpm、12bpm、15bpm、20bpm、25bpm、30bpm、35bpm、40bpm，10档调节</w:t>
            </w:r>
          </w:p>
          <w:p>
            <w:pPr>
              <w:rPr>
                <w:rFonts w:ascii="宋体" w:hAnsi="宋体" w:cs="宋体"/>
                <w:color w:val="auto"/>
                <w:sz w:val="20"/>
                <w:szCs w:val="20"/>
                <w:highlight w:val="none"/>
              </w:rPr>
            </w:pPr>
            <w:r>
              <w:rPr>
                <w:rFonts w:hint="eastAsia" w:ascii="宋体" w:hAnsi="宋体" w:cs="宋体"/>
                <w:color w:val="auto"/>
                <w:sz w:val="20"/>
                <w:szCs w:val="20"/>
                <w:highlight w:val="none"/>
              </w:rPr>
              <w:t>15.</w:t>
            </w:r>
            <w:r>
              <w:rPr>
                <w:rFonts w:hint="eastAsia" w:ascii="宋体" w:hAnsi="宋体" w:cs="宋体"/>
                <w:color w:val="auto"/>
                <w:sz w:val="20"/>
                <w:szCs w:val="20"/>
                <w:highlight w:val="none"/>
              </w:rPr>
              <w:tab/>
            </w:r>
            <w:r>
              <w:rPr>
                <w:rFonts w:hint="eastAsia" w:ascii="宋体" w:hAnsi="宋体" w:cs="宋体"/>
                <w:color w:val="auto"/>
                <w:sz w:val="20"/>
                <w:szCs w:val="20"/>
                <w:highlight w:val="none"/>
              </w:rPr>
              <w:t>触发压力：-2 hPa，误差为±1 hPa</w:t>
            </w:r>
          </w:p>
          <w:p>
            <w:pPr>
              <w:rPr>
                <w:rFonts w:ascii="宋体" w:hAnsi="宋体" w:cs="宋体"/>
                <w:color w:val="auto"/>
                <w:sz w:val="20"/>
                <w:szCs w:val="20"/>
                <w:highlight w:val="none"/>
              </w:rPr>
            </w:pPr>
            <w:r>
              <w:rPr>
                <w:rFonts w:hint="eastAsia" w:ascii="宋体" w:hAnsi="宋体" w:cs="宋体"/>
                <w:color w:val="auto"/>
                <w:sz w:val="20"/>
                <w:szCs w:val="20"/>
                <w:highlight w:val="none"/>
              </w:rPr>
              <w:t>16.</w:t>
            </w:r>
            <w:r>
              <w:rPr>
                <w:rFonts w:hint="eastAsia" w:ascii="宋体" w:hAnsi="宋体" w:cs="宋体"/>
                <w:color w:val="auto"/>
                <w:sz w:val="20"/>
                <w:szCs w:val="20"/>
                <w:highlight w:val="none"/>
              </w:rPr>
              <w:tab/>
            </w:r>
            <w:r>
              <w:rPr>
                <w:rFonts w:hint="eastAsia" w:ascii="宋体" w:hAnsi="宋体" w:cs="宋体"/>
                <w:color w:val="auto"/>
                <w:sz w:val="20"/>
                <w:szCs w:val="20"/>
                <w:highlight w:val="none"/>
              </w:rPr>
              <w:t>监测指标：气道压力(-10～60mbar)，气道阻塞，电池电量，气源压力等</w:t>
            </w:r>
          </w:p>
          <w:p>
            <w:pPr>
              <w:rPr>
                <w:rFonts w:ascii="宋体" w:hAnsi="宋体" w:cs="宋体"/>
                <w:color w:val="auto"/>
                <w:sz w:val="20"/>
                <w:szCs w:val="20"/>
                <w:highlight w:val="none"/>
              </w:rPr>
            </w:pPr>
            <w:r>
              <w:rPr>
                <w:rFonts w:hint="eastAsia" w:ascii="宋体" w:hAnsi="宋体" w:cs="宋体"/>
                <w:color w:val="auto"/>
                <w:sz w:val="20"/>
                <w:szCs w:val="20"/>
                <w:highlight w:val="none"/>
              </w:rPr>
              <w:t>17.</w:t>
            </w:r>
            <w:r>
              <w:rPr>
                <w:rFonts w:hint="eastAsia" w:ascii="宋体" w:hAnsi="宋体" w:cs="宋体"/>
                <w:color w:val="auto"/>
                <w:sz w:val="20"/>
                <w:szCs w:val="20"/>
                <w:highlight w:val="none"/>
              </w:rPr>
              <w:tab/>
            </w:r>
            <w:r>
              <w:rPr>
                <w:rFonts w:hint="eastAsia" w:ascii="宋体" w:hAnsi="宋体" w:cs="宋体"/>
                <w:color w:val="auto"/>
                <w:sz w:val="20"/>
                <w:szCs w:val="20"/>
                <w:highlight w:val="none"/>
              </w:rPr>
              <w:t>气道压力上限：20hPa、30hPa、40hPa、50hPa、60hPa, 5档调节</w:t>
            </w:r>
          </w:p>
          <w:p>
            <w:pPr>
              <w:rPr>
                <w:rFonts w:ascii="宋体" w:hAnsi="宋体" w:cs="宋体"/>
                <w:color w:val="auto"/>
                <w:sz w:val="20"/>
                <w:szCs w:val="20"/>
                <w:highlight w:val="none"/>
              </w:rPr>
            </w:pPr>
            <w:r>
              <w:rPr>
                <w:rFonts w:hint="eastAsia" w:ascii="宋体" w:hAnsi="宋体" w:cs="宋体"/>
                <w:color w:val="auto"/>
                <w:sz w:val="20"/>
                <w:szCs w:val="20"/>
                <w:highlight w:val="none"/>
              </w:rPr>
              <w:t>18.</w:t>
            </w:r>
            <w:r>
              <w:rPr>
                <w:rFonts w:hint="eastAsia" w:ascii="宋体" w:hAnsi="宋体" w:cs="宋体"/>
                <w:color w:val="auto"/>
                <w:sz w:val="20"/>
                <w:szCs w:val="20"/>
                <w:highlight w:val="none"/>
              </w:rPr>
              <w:tab/>
            </w:r>
            <w:r>
              <w:rPr>
                <w:rFonts w:hint="eastAsia" w:ascii="宋体" w:hAnsi="宋体" w:cs="宋体"/>
                <w:color w:val="auto"/>
                <w:sz w:val="20"/>
                <w:szCs w:val="20"/>
                <w:highlight w:val="none"/>
              </w:rPr>
              <w:t>气路系统安全压力：≤100 hPa</w:t>
            </w:r>
          </w:p>
          <w:p>
            <w:pPr>
              <w:rPr>
                <w:rFonts w:ascii="宋体" w:hAnsi="宋体" w:cs="宋体"/>
                <w:color w:val="auto"/>
                <w:sz w:val="20"/>
                <w:szCs w:val="20"/>
                <w:highlight w:val="none"/>
              </w:rPr>
            </w:pPr>
            <w:r>
              <w:rPr>
                <w:rFonts w:hint="eastAsia" w:ascii="宋体" w:hAnsi="宋体" w:cs="宋体"/>
                <w:color w:val="auto"/>
                <w:sz w:val="20"/>
                <w:szCs w:val="20"/>
                <w:highlight w:val="none"/>
              </w:rPr>
              <w:t>19.</w:t>
            </w:r>
            <w:r>
              <w:rPr>
                <w:rFonts w:hint="eastAsia" w:ascii="宋体" w:hAnsi="宋体" w:cs="宋体"/>
                <w:color w:val="auto"/>
                <w:sz w:val="20"/>
                <w:szCs w:val="20"/>
                <w:highlight w:val="none"/>
              </w:rPr>
              <w:tab/>
            </w:r>
            <w:r>
              <w:rPr>
                <w:rFonts w:hint="eastAsia" w:ascii="宋体" w:hAnsi="宋体" w:cs="宋体"/>
                <w:color w:val="auto"/>
                <w:sz w:val="20"/>
                <w:szCs w:val="20"/>
                <w:highlight w:val="none"/>
              </w:rPr>
              <w:t>呼吸系统顺应性≤ 100 ml/cmH2O</w:t>
            </w:r>
          </w:p>
          <w:p>
            <w:pPr>
              <w:rPr>
                <w:rFonts w:ascii="宋体" w:hAnsi="宋体" w:cs="宋体"/>
                <w:color w:val="auto"/>
                <w:sz w:val="20"/>
                <w:szCs w:val="20"/>
                <w:highlight w:val="none"/>
              </w:rPr>
            </w:pPr>
            <w:r>
              <w:rPr>
                <w:rFonts w:hint="eastAsia" w:ascii="宋体" w:hAnsi="宋体" w:cs="宋体"/>
                <w:color w:val="auto"/>
                <w:sz w:val="20"/>
                <w:szCs w:val="20"/>
                <w:highlight w:val="none"/>
              </w:rPr>
              <w:t>20.</w:t>
            </w:r>
            <w:r>
              <w:rPr>
                <w:rFonts w:hint="eastAsia" w:ascii="宋体" w:hAnsi="宋体" w:cs="宋体"/>
                <w:color w:val="auto"/>
                <w:sz w:val="20"/>
                <w:szCs w:val="20"/>
                <w:highlight w:val="none"/>
              </w:rPr>
              <w:tab/>
            </w:r>
            <w:r>
              <w:rPr>
                <w:rFonts w:hint="eastAsia" w:ascii="宋体" w:hAnsi="宋体" w:cs="宋体"/>
                <w:color w:val="auto"/>
                <w:sz w:val="20"/>
                <w:szCs w:val="20"/>
                <w:highlight w:val="none"/>
              </w:rPr>
              <w:t>吸气和呼气阻力：流量30L/min和60L/min不大于6hPa</w:t>
            </w:r>
          </w:p>
          <w:p>
            <w:pPr>
              <w:rPr>
                <w:rFonts w:ascii="宋体" w:hAnsi="宋体" w:cs="宋体"/>
                <w:color w:val="auto"/>
                <w:sz w:val="20"/>
                <w:szCs w:val="20"/>
                <w:highlight w:val="none"/>
              </w:rPr>
            </w:pPr>
            <w:r>
              <w:rPr>
                <w:rFonts w:hint="eastAsia" w:ascii="宋体" w:hAnsi="宋体" w:cs="宋体"/>
                <w:color w:val="auto"/>
                <w:sz w:val="20"/>
                <w:szCs w:val="20"/>
                <w:highlight w:val="none"/>
              </w:rPr>
              <w:t>21.</w:t>
            </w:r>
            <w:r>
              <w:rPr>
                <w:rFonts w:hint="eastAsia" w:ascii="宋体" w:hAnsi="宋体" w:cs="宋体"/>
                <w:color w:val="auto"/>
                <w:sz w:val="20"/>
                <w:szCs w:val="20"/>
                <w:highlight w:val="none"/>
              </w:rPr>
              <w:tab/>
            </w:r>
            <w:r>
              <w:rPr>
                <w:rFonts w:hint="eastAsia" w:ascii="宋体" w:hAnsi="宋体" w:cs="宋体"/>
                <w:color w:val="auto"/>
                <w:sz w:val="20"/>
                <w:szCs w:val="20"/>
                <w:highlight w:val="none"/>
              </w:rPr>
              <w:t>呼吸软管接头：内Φ15mm/外Φ22mm</w:t>
            </w:r>
          </w:p>
          <w:p>
            <w:pPr>
              <w:rPr>
                <w:rFonts w:ascii="宋体" w:hAnsi="宋体" w:cs="宋体"/>
                <w:color w:val="auto"/>
                <w:sz w:val="20"/>
                <w:szCs w:val="20"/>
                <w:highlight w:val="none"/>
              </w:rPr>
            </w:pPr>
            <w:r>
              <w:rPr>
                <w:rFonts w:hint="eastAsia" w:ascii="宋体" w:hAnsi="宋体" w:cs="宋体"/>
                <w:color w:val="auto"/>
                <w:sz w:val="20"/>
                <w:szCs w:val="20"/>
                <w:highlight w:val="none"/>
              </w:rPr>
              <w:t>22.</w:t>
            </w:r>
            <w:r>
              <w:rPr>
                <w:rFonts w:hint="eastAsia" w:ascii="宋体" w:hAnsi="宋体" w:cs="宋体"/>
                <w:color w:val="auto"/>
                <w:sz w:val="20"/>
                <w:szCs w:val="20"/>
                <w:highlight w:val="none"/>
              </w:rPr>
              <w:tab/>
            </w:r>
            <w:r>
              <w:rPr>
                <w:rFonts w:hint="eastAsia" w:ascii="宋体" w:hAnsi="宋体" w:cs="宋体"/>
                <w:color w:val="auto"/>
                <w:sz w:val="20"/>
                <w:szCs w:val="20"/>
                <w:highlight w:val="none"/>
              </w:rPr>
              <w:t>呼吸机气源连接管道接头规格:外螺纹9/16-18</w:t>
            </w:r>
          </w:p>
          <w:p>
            <w:pPr>
              <w:rPr>
                <w:rFonts w:ascii="宋体" w:hAnsi="宋体" w:cs="宋体"/>
                <w:color w:val="auto"/>
                <w:sz w:val="20"/>
                <w:szCs w:val="20"/>
                <w:highlight w:val="none"/>
              </w:rPr>
            </w:pPr>
            <w:r>
              <w:rPr>
                <w:rFonts w:hint="eastAsia" w:ascii="宋体" w:hAnsi="宋体" w:cs="宋体"/>
                <w:color w:val="auto"/>
                <w:sz w:val="20"/>
                <w:szCs w:val="20"/>
                <w:highlight w:val="none"/>
              </w:rPr>
              <w:t>23.</w:t>
            </w:r>
            <w:r>
              <w:rPr>
                <w:rFonts w:hint="eastAsia" w:ascii="宋体" w:hAnsi="宋体" w:cs="宋体"/>
                <w:color w:val="auto"/>
                <w:sz w:val="20"/>
                <w:szCs w:val="20"/>
                <w:highlight w:val="none"/>
              </w:rPr>
              <w:tab/>
            </w:r>
            <w:r>
              <w:rPr>
                <w:rFonts w:hint="eastAsia" w:ascii="宋体" w:hAnsi="宋体" w:cs="宋体"/>
                <w:color w:val="auto"/>
                <w:sz w:val="20"/>
                <w:szCs w:val="20"/>
                <w:highlight w:val="none"/>
              </w:rPr>
              <w:t>电源：AC：100 ～240V， 1.5～4A，50/60HZ；DC：12V 适配器</w:t>
            </w:r>
          </w:p>
          <w:p>
            <w:pPr>
              <w:rPr>
                <w:rFonts w:ascii="宋体" w:hAnsi="宋体" w:cs="宋体"/>
                <w:color w:val="auto"/>
                <w:sz w:val="20"/>
                <w:szCs w:val="20"/>
                <w:highlight w:val="none"/>
              </w:rPr>
            </w:pPr>
            <w:r>
              <w:rPr>
                <w:rFonts w:hint="eastAsia" w:ascii="宋体" w:hAnsi="宋体" w:cs="宋体"/>
                <w:color w:val="auto"/>
                <w:sz w:val="20"/>
                <w:szCs w:val="20"/>
                <w:highlight w:val="none"/>
              </w:rPr>
              <w:t>24.</w:t>
            </w:r>
            <w:r>
              <w:rPr>
                <w:rFonts w:hint="eastAsia" w:ascii="宋体" w:hAnsi="宋体" w:cs="宋体"/>
                <w:color w:val="auto"/>
                <w:sz w:val="20"/>
                <w:szCs w:val="20"/>
                <w:highlight w:val="none"/>
              </w:rPr>
              <w:tab/>
            </w:r>
            <w:r>
              <w:rPr>
                <w:rFonts w:hint="eastAsia" w:ascii="宋体" w:hAnsi="宋体" w:cs="宋体"/>
                <w:color w:val="auto"/>
                <w:sz w:val="20"/>
                <w:szCs w:val="20"/>
                <w:highlight w:val="none"/>
              </w:rPr>
              <w:t>可充电锂电池，可连续使用10小时以上</w:t>
            </w:r>
          </w:p>
          <w:p>
            <w:pPr>
              <w:rPr>
                <w:rFonts w:ascii="宋体" w:hAnsi="宋体" w:cs="宋体"/>
                <w:color w:val="auto"/>
                <w:sz w:val="20"/>
                <w:szCs w:val="20"/>
                <w:highlight w:val="none"/>
              </w:rPr>
            </w:pPr>
            <w:r>
              <w:rPr>
                <w:rFonts w:hint="eastAsia" w:ascii="宋体" w:hAnsi="宋体" w:cs="宋体"/>
                <w:color w:val="auto"/>
                <w:sz w:val="20"/>
                <w:szCs w:val="20"/>
                <w:highlight w:val="none"/>
              </w:rPr>
              <w:t>25.</w:t>
            </w:r>
            <w:r>
              <w:rPr>
                <w:rFonts w:hint="eastAsia" w:ascii="宋体" w:hAnsi="宋体" w:cs="宋体"/>
                <w:color w:val="auto"/>
                <w:sz w:val="20"/>
                <w:szCs w:val="20"/>
                <w:highlight w:val="none"/>
              </w:rPr>
              <w:tab/>
            </w:r>
            <w:r>
              <w:rPr>
                <w:rFonts w:hint="eastAsia" w:ascii="宋体" w:hAnsi="宋体" w:cs="宋体"/>
                <w:color w:val="auto"/>
                <w:sz w:val="20"/>
                <w:szCs w:val="20"/>
                <w:highlight w:val="none"/>
              </w:rPr>
              <w:t>防水保护等级:IPX4</w:t>
            </w:r>
          </w:p>
          <w:p>
            <w:pPr>
              <w:rPr>
                <w:rFonts w:ascii="宋体" w:hAnsi="宋体" w:cs="宋体"/>
                <w:color w:val="auto"/>
                <w:sz w:val="20"/>
                <w:szCs w:val="20"/>
                <w:highlight w:val="none"/>
              </w:rPr>
            </w:pP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除颤起搏监护仪</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1工作环境：</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1.1 工作和存储最高海拔高度≥15000英尺（4500米）</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1.2 工作温度0到45℃，存储温度-20到70℃</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1.3 环境湿度15%-95%</w:t>
            </w:r>
          </w:p>
          <w:p>
            <w:pPr>
              <w:jc w:val="left"/>
              <w:rPr>
                <w:rFonts w:ascii="宋体" w:hAnsi="宋体" w:cs="宋体"/>
                <w:color w:val="auto"/>
                <w:sz w:val="20"/>
                <w:szCs w:val="20"/>
                <w:highlight w:val="none"/>
              </w:rPr>
            </w:pPr>
          </w:p>
          <w:p>
            <w:pPr>
              <w:jc w:val="left"/>
              <w:rPr>
                <w:rFonts w:ascii="宋体" w:hAnsi="宋体" w:cs="宋体"/>
                <w:color w:val="auto"/>
                <w:sz w:val="20"/>
                <w:szCs w:val="20"/>
                <w:highlight w:val="none"/>
              </w:rPr>
            </w:pPr>
            <w:r>
              <w:rPr>
                <w:rFonts w:hint="eastAsia" w:ascii="宋体" w:hAnsi="宋体" w:cs="宋体"/>
                <w:color w:val="auto"/>
                <w:sz w:val="20"/>
                <w:szCs w:val="20"/>
                <w:highlight w:val="none"/>
              </w:rPr>
              <w:t>2</w:t>
            </w:r>
            <w:r>
              <w:rPr>
                <w:rFonts w:hint="eastAsia" w:ascii="宋体" w:hAnsi="宋体" w:cs="宋体"/>
                <w:color w:val="auto"/>
                <w:sz w:val="20"/>
                <w:szCs w:val="20"/>
                <w:highlight w:val="none"/>
              </w:rPr>
              <w:tab/>
            </w:r>
            <w:r>
              <w:rPr>
                <w:rFonts w:hint="eastAsia" w:ascii="宋体" w:hAnsi="宋体" w:cs="宋体"/>
                <w:color w:val="auto"/>
                <w:sz w:val="20"/>
                <w:szCs w:val="20"/>
                <w:highlight w:val="none"/>
              </w:rPr>
              <w:t>性能要求：</w:t>
            </w:r>
          </w:p>
          <w:p>
            <w:pPr>
              <w:jc w:val="left"/>
              <w:rPr>
                <w:rFonts w:ascii="宋体" w:hAnsi="宋体" w:cs="宋体"/>
                <w:color w:val="auto"/>
                <w:sz w:val="20"/>
                <w:szCs w:val="20"/>
                <w:highlight w:val="none"/>
              </w:rPr>
            </w:pPr>
            <w:r>
              <w:rPr>
                <w:rFonts w:hint="eastAsia" w:ascii="宋体" w:hAnsi="宋体" w:cs="宋体"/>
                <w:color w:val="auto"/>
                <w:sz w:val="22"/>
                <w:highlight w:val="none"/>
                <w:lang w:bidi="ar"/>
              </w:rPr>
              <w:t>★</w:t>
            </w:r>
            <w:r>
              <w:rPr>
                <w:rFonts w:hint="eastAsia" w:ascii="宋体" w:hAnsi="宋体" w:cs="宋体"/>
                <w:color w:val="auto"/>
                <w:sz w:val="20"/>
                <w:szCs w:val="20"/>
                <w:highlight w:val="none"/>
              </w:rPr>
              <w:t>2.1低能量智能双相截顶波，根据病人阻抗调整除颤波形，保持最有效的经心电流。</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 xml:space="preserve"> 2.2显示屏≥7寸高分辨率彩色TFT显示屏。</w:t>
            </w:r>
          </w:p>
          <w:p>
            <w:pPr>
              <w:jc w:val="left"/>
              <w:rPr>
                <w:rFonts w:ascii="宋体" w:hAnsi="宋体" w:cs="宋体"/>
                <w:color w:val="auto"/>
                <w:sz w:val="20"/>
                <w:szCs w:val="20"/>
                <w:highlight w:val="none"/>
              </w:rPr>
            </w:pPr>
            <w:r>
              <w:rPr>
                <w:rFonts w:hint="eastAsia" w:ascii="宋体" w:hAnsi="宋体" w:cs="宋体"/>
                <w:color w:val="auto"/>
                <w:sz w:val="22"/>
                <w:highlight w:val="none"/>
                <w:lang w:bidi="ar"/>
              </w:rPr>
              <w:t>★</w:t>
            </w:r>
            <w:r>
              <w:rPr>
                <w:rFonts w:hint="eastAsia" w:ascii="宋体" w:hAnsi="宋体" w:cs="宋体"/>
                <w:color w:val="auto"/>
                <w:sz w:val="20"/>
                <w:szCs w:val="20"/>
                <w:highlight w:val="none"/>
              </w:rPr>
              <w:t>2.3除颤能量的最高能量≤200J</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 xml:space="preserve"> 2.4每次充电到除颤仪标识的最高能量时间≤ 6秒，在AED成人模式下，固定能量的选择≤160J（重要参数）</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 xml:space="preserve"> 2.5 手动除颤能量最小是1J</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 xml:space="preserve"> 2.6  AED功能具备一键切换成人及婴幼儿儿童模式</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 xml:space="preserve"> 2.7成人、儿童一体化除颤电极板，具备胸壁阻抗接触指示灯。</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 xml:space="preserve"> 2.8除颤能量采用旋钮选择方式，而非按键选择能量，方便快捷节约抢救时间。</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 xml:space="preserve"> 2.9标配手动除颤、AED和同步电复律功能</w:t>
            </w:r>
          </w:p>
          <w:p>
            <w:pPr>
              <w:jc w:val="left"/>
              <w:rPr>
                <w:rFonts w:ascii="宋体" w:hAnsi="宋体" w:cs="宋体"/>
                <w:color w:val="auto"/>
                <w:sz w:val="20"/>
                <w:szCs w:val="20"/>
                <w:highlight w:val="none"/>
              </w:rPr>
            </w:pPr>
            <w:r>
              <w:rPr>
                <w:rFonts w:hint="eastAsia" w:ascii="宋体" w:hAnsi="宋体" w:cs="宋体"/>
                <w:color w:val="auto"/>
                <w:sz w:val="22"/>
                <w:highlight w:val="none"/>
                <w:lang w:bidi="ar"/>
              </w:rPr>
              <w:t>★</w:t>
            </w:r>
            <w:r>
              <w:rPr>
                <w:rFonts w:hint="eastAsia" w:ascii="宋体" w:hAnsi="宋体" w:cs="宋体"/>
                <w:color w:val="auto"/>
                <w:sz w:val="20"/>
                <w:szCs w:val="20"/>
                <w:highlight w:val="none"/>
              </w:rPr>
              <w:t>2.10具有快速电击技术，启动AED模式到通电完成时间≤ 8秒</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 xml:space="preserve"> 2.11</w:t>
            </w:r>
            <w:r>
              <w:rPr>
                <w:rFonts w:hint="eastAsia" w:ascii="宋体" w:hAnsi="宋体" w:cs="宋体"/>
                <w:color w:val="auto"/>
                <w:sz w:val="20"/>
                <w:szCs w:val="20"/>
                <w:highlight w:val="none"/>
              </w:rPr>
              <w:tab/>
            </w:r>
            <w:r>
              <w:rPr>
                <w:rFonts w:hint="eastAsia" w:ascii="宋体" w:hAnsi="宋体" w:cs="宋体"/>
                <w:color w:val="auto"/>
                <w:sz w:val="20"/>
                <w:szCs w:val="20"/>
                <w:highlight w:val="none"/>
              </w:rPr>
              <w:t>主机≥3道波形显示</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 xml:space="preserve"> 2.12</w:t>
            </w:r>
            <w:r>
              <w:rPr>
                <w:rFonts w:hint="eastAsia" w:ascii="宋体" w:hAnsi="宋体" w:cs="宋体"/>
                <w:color w:val="auto"/>
                <w:sz w:val="20"/>
                <w:szCs w:val="20"/>
                <w:highlight w:val="none"/>
              </w:rPr>
              <w:tab/>
            </w:r>
            <w:r>
              <w:rPr>
                <w:rFonts w:hint="eastAsia" w:ascii="宋体" w:hAnsi="宋体" w:cs="宋体"/>
                <w:color w:val="auto"/>
                <w:sz w:val="20"/>
                <w:szCs w:val="20"/>
                <w:highlight w:val="none"/>
              </w:rPr>
              <w:t>可进行持续心电监护，可识别≥9种常见的心率/心律失常报警，有心率快/心率慢、心搏停止、室颤/室速、室速、极度心动过速、室性早搏心率、起搏器未夺获、起搏器未起搏。</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 xml:space="preserve"> 2.13</w:t>
            </w:r>
            <w:r>
              <w:rPr>
                <w:rFonts w:hint="eastAsia" w:ascii="宋体" w:hAnsi="宋体" w:cs="宋体"/>
                <w:color w:val="auto"/>
                <w:sz w:val="20"/>
                <w:szCs w:val="20"/>
                <w:highlight w:val="none"/>
              </w:rPr>
              <w:tab/>
            </w:r>
            <w:r>
              <w:rPr>
                <w:rFonts w:hint="eastAsia" w:ascii="宋体" w:hAnsi="宋体" w:cs="宋体"/>
                <w:color w:val="auto"/>
                <w:sz w:val="20"/>
                <w:szCs w:val="20"/>
                <w:highlight w:val="none"/>
              </w:rPr>
              <w:t>标配三导心电监护功能，可升级到五导心电监护</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 xml:space="preserve"> 2.14频率响应：诊断性0.05-150Hz  监护0.15-40Hz</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 xml:space="preserve"> 2.15具备事件标记功能</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 xml:space="preserve"> 2.16具备生命体征趋势回顾功能</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 xml:space="preserve"> 2.17具备旋钮式的智能菜单导航按钮，方便快速功能定位</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3</w:t>
            </w:r>
            <w:r>
              <w:rPr>
                <w:rFonts w:hint="eastAsia" w:ascii="宋体" w:hAnsi="宋体" w:cs="宋体"/>
                <w:color w:val="auto"/>
                <w:sz w:val="20"/>
                <w:szCs w:val="20"/>
                <w:highlight w:val="none"/>
              </w:rPr>
              <w:tab/>
            </w:r>
            <w:r>
              <w:rPr>
                <w:rFonts w:hint="eastAsia" w:ascii="宋体" w:hAnsi="宋体" w:cs="宋体"/>
                <w:color w:val="auto"/>
                <w:sz w:val="20"/>
                <w:szCs w:val="20"/>
                <w:highlight w:val="none"/>
              </w:rPr>
              <w:t>电池</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3.1</w:t>
            </w:r>
            <w:r>
              <w:rPr>
                <w:rFonts w:hint="eastAsia" w:ascii="宋体" w:hAnsi="宋体" w:cs="宋体"/>
                <w:color w:val="auto"/>
                <w:sz w:val="20"/>
                <w:szCs w:val="20"/>
                <w:highlight w:val="none"/>
              </w:rPr>
              <w:tab/>
            </w:r>
            <w:r>
              <w:rPr>
                <w:rFonts w:hint="eastAsia" w:ascii="宋体" w:hAnsi="宋体" w:cs="宋体"/>
                <w:color w:val="auto"/>
                <w:sz w:val="20"/>
                <w:szCs w:val="20"/>
                <w:highlight w:val="none"/>
              </w:rPr>
              <w:t>电池上具备电量容量状态指示灯</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3.2</w:t>
            </w:r>
            <w:r>
              <w:rPr>
                <w:rFonts w:hint="eastAsia" w:ascii="宋体" w:hAnsi="宋体" w:cs="宋体"/>
                <w:color w:val="auto"/>
                <w:sz w:val="20"/>
                <w:szCs w:val="20"/>
                <w:highlight w:val="none"/>
              </w:rPr>
              <w:tab/>
            </w:r>
            <w:r>
              <w:rPr>
                <w:rFonts w:hint="eastAsia" w:ascii="宋体" w:hAnsi="宋体" w:cs="宋体"/>
                <w:color w:val="auto"/>
                <w:sz w:val="20"/>
                <w:szCs w:val="20"/>
                <w:highlight w:val="none"/>
              </w:rPr>
              <w:t>设备所有功能全开时电池使用时间≥2.5小时，保证病人转运途中全程持续供电</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 xml:space="preserve"> 3.3 可重复充电锂电池，≥100 次最高能量充电/电击</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3.4  提示电池电量低时主机还可进行≥10分钟监护时间和≥6次最大能量放电</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3.5</w:t>
            </w:r>
            <w:r>
              <w:rPr>
                <w:rFonts w:hint="eastAsia" w:ascii="宋体" w:hAnsi="宋体" w:cs="宋体"/>
                <w:color w:val="auto"/>
                <w:sz w:val="20"/>
                <w:szCs w:val="20"/>
                <w:highlight w:val="none"/>
              </w:rPr>
              <w:tab/>
            </w:r>
            <w:r>
              <w:rPr>
                <w:rFonts w:hint="eastAsia" w:ascii="宋体" w:hAnsi="宋体" w:cs="宋体"/>
                <w:color w:val="auto"/>
                <w:sz w:val="20"/>
                <w:szCs w:val="20"/>
                <w:highlight w:val="none"/>
              </w:rPr>
              <w:t>电池具有快速充电技术，≤2小时可充电到80%，≤3小时充电到100%</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4  安全性：</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4.1主机具备智能关机自检功能，无论设备是在工作状态还是关机状态，都具备每小时、每天、每周定期自检，而非手动设定检测时间，方便医护人员随时查看设备健康状态。</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4.2在关机状态下，无需接上交流电源，主机仍可进行自动检测。</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4.3每小时定期自检内容包括：检测电池、内部电源和内存等</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4.4每日定期自检内容包括：检测电池、内部电源供应、内存、内部电池时钟，除颤功能、心电图、和打印机。除颤功能检测包括低能量内部放电。当连接了心电图电缆和AED电极片时，则也会对电缆和电极片进行检测。</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4.5每周定期自检内容必需包括：执行以上所述的“每日自检”，并且发送一次高能量内部放电，从而进一步检测除颤电路。</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4.6主机实现打印最近≥1次每小时自检，最近≥5次每日自检，最近≥50次每周自检的报告结果。</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4.7主机具备自检待机状态灯指示功能，使仪器健康状态一目了然。</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5</w:t>
            </w:r>
            <w:r>
              <w:rPr>
                <w:rFonts w:hint="eastAsia" w:ascii="宋体" w:hAnsi="宋体" w:cs="宋体"/>
                <w:color w:val="auto"/>
                <w:sz w:val="20"/>
                <w:szCs w:val="20"/>
                <w:highlight w:val="none"/>
              </w:rPr>
              <w:tab/>
            </w:r>
            <w:r>
              <w:rPr>
                <w:rFonts w:hint="eastAsia" w:ascii="宋体" w:hAnsi="宋体" w:cs="宋体"/>
                <w:color w:val="auto"/>
                <w:sz w:val="20"/>
                <w:szCs w:val="20"/>
                <w:highlight w:val="none"/>
              </w:rPr>
              <w:t>数据存储:</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5.1 内部事件总结可在每份事件总结中存储≥ 8 小时的2 条持续 ECG波形，1 个容积描记波、研究波）仅限AED模式）事件和趋势数据。</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5.2 最多可存储≥50个时长约30分钟的事件概要</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5.3 存储内容包括：事件总结、生命体征趋势、配置、状态记录和设备信息</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6 打印机：</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6.1≥50mm热阵列打印机</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6.2连续ECG条图：实时或延迟10秒打印主要ECG 导联，附带事件注释和测量结果</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6.3自动打印：记录仪可配置为自动打印标记的事件、充电、电击和报警</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6.4报告：事件总结、生命体征趋势、操作检验、配置、状态记录和设备信息</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6.5走纸速度25mm/秒</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6.6纸张尺寸≥50mm×20m</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7 起博功能：</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7.1 波形：单相截顶幂指数波</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7.2 电流脉冲：果脉冲宽度设为 20 ms （增量为 5 mA ），则为 10 mA 至 200 mA ；精度为 ±10%  或 ±5 mA （以较大者为准）。如果设为 40 ms ，最大起搏电流为 140 mA</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7.3 脉冲宽度：20 或 40 ms ，精度为 ±10%</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7.4 起搏速率：30bpm-180bpm</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7.5 模式：按需模式或固定模式</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8 其它要求：</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8.1 整机重量≤6.2KG（包括主机、电极板和电池）</w:t>
            </w:r>
          </w:p>
          <w:p>
            <w:pPr>
              <w:jc w:val="left"/>
              <w:rPr>
                <w:rFonts w:ascii="宋体" w:hAnsi="宋体" w:cs="宋体"/>
                <w:color w:val="auto"/>
                <w:sz w:val="20"/>
                <w:szCs w:val="20"/>
                <w:highlight w:val="none"/>
              </w:rPr>
            </w:pPr>
            <w:r>
              <w:rPr>
                <w:rFonts w:hint="eastAsia" w:ascii="宋体" w:hAnsi="宋体" w:cs="宋体"/>
                <w:color w:val="auto"/>
                <w:sz w:val="22"/>
                <w:highlight w:val="none"/>
                <w:lang w:bidi="ar"/>
              </w:rPr>
              <w:t>★</w:t>
            </w:r>
            <w:r>
              <w:rPr>
                <w:rFonts w:hint="eastAsia" w:ascii="宋体" w:hAnsi="宋体" w:cs="宋体"/>
                <w:color w:val="auto"/>
                <w:sz w:val="20"/>
                <w:szCs w:val="20"/>
                <w:highlight w:val="none"/>
              </w:rPr>
              <w:t>8.2 防水/防固体渗入等级≥IP54</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8.3 可满足医院以后扩展监护功能的使用，可升级SPO2、NIBP、EtCO2等功能</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配置清单如下：</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1.</w:t>
            </w:r>
            <w:r>
              <w:rPr>
                <w:rFonts w:hint="eastAsia" w:ascii="宋体" w:hAnsi="宋体" w:cs="宋体"/>
                <w:color w:val="auto"/>
                <w:sz w:val="20"/>
                <w:szCs w:val="20"/>
                <w:highlight w:val="none"/>
              </w:rPr>
              <w:tab/>
            </w:r>
            <w:r>
              <w:rPr>
                <w:rFonts w:hint="eastAsia" w:ascii="宋体" w:hAnsi="宋体" w:cs="宋体"/>
                <w:color w:val="auto"/>
                <w:sz w:val="20"/>
                <w:szCs w:val="20"/>
                <w:highlight w:val="none"/>
              </w:rPr>
              <w:t xml:space="preserve">除颤监护仪主机                                              </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2.</w:t>
            </w:r>
            <w:r>
              <w:rPr>
                <w:rFonts w:hint="eastAsia" w:ascii="宋体" w:hAnsi="宋体" w:cs="宋体"/>
                <w:color w:val="auto"/>
                <w:sz w:val="20"/>
                <w:szCs w:val="20"/>
                <w:highlight w:val="none"/>
              </w:rPr>
              <w:tab/>
            </w:r>
            <w:r>
              <w:rPr>
                <w:rFonts w:hint="eastAsia" w:ascii="宋体" w:hAnsi="宋体" w:cs="宋体"/>
                <w:color w:val="auto"/>
                <w:sz w:val="20"/>
                <w:szCs w:val="20"/>
                <w:highlight w:val="none"/>
              </w:rPr>
              <w:t xml:space="preserve">体外除颤电极板                                              </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3.</w:t>
            </w:r>
            <w:r>
              <w:rPr>
                <w:rFonts w:hint="eastAsia" w:ascii="宋体" w:hAnsi="宋体" w:cs="宋体"/>
                <w:color w:val="auto"/>
                <w:sz w:val="20"/>
                <w:szCs w:val="20"/>
                <w:highlight w:val="none"/>
              </w:rPr>
              <w:tab/>
            </w:r>
            <w:r>
              <w:rPr>
                <w:rFonts w:hint="eastAsia" w:ascii="宋体" w:hAnsi="宋体" w:cs="宋体"/>
                <w:color w:val="auto"/>
                <w:sz w:val="20"/>
                <w:szCs w:val="20"/>
                <w:highlight w:val="none"/>
              </w:rPr>
              <w:t xml:space="preserve">3导心电导联线                                              </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4.</w:t>
            </w:r>
            <w:r>
              <w:rPr>
                <w:rFonts w:hint="eastAsia" w:ascii="宋体" w:hAnsi="宋体" w:cs="宋体"/>
                <w:color w:val="auto"/>
                <w:sz w:val="20"/>
                <w:szCs w:val="20"/>
                <w:highlight w:val="none"/>
              </w:rPr>
              <w:tab/>
            </w:r>
            <w:r>
              <w:rPr>
                <w:rFonts w:hint="eastAsia" w:ascii="宋体" w:hAnsi="宋体" w:cs="宋体"/>
                <w:color w:val="auto"/>
                <w:sz w:val="20"/>
                <w:szCs w:val="20"/>
                <w:highlight w:val="none"/>
              </w:rPr>
              <w:t xml:space="preserve">锂电池                                                      </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5.</w:t>
            </w:r>
            <w:r>
              <w:rPr>
                <w:rFonts w:hint="eastAsia" w:ascii="宋体" w:hAnsi="宋体" w:cs="宋体"/>
                <w:color w:val="auto"/>
                <w:sz w:val="20"/>
                <w:szCs w:val="20"/>
                <w:highlight w:val="none"/>
              </w:rPr>
              <w:tab/>
            </w:r>
            <w:r>
              <w:rPr>
                <w:rFonts w:hint="eastAsia" w:ascii="宋体" w:hAnsi="宋体" w:cs="宋体"/>
                <w:color w:val="auto"/>
                <w:sz w:val="20"/>
                <w:szCs w:val="20"/>
                <w:highlight w:val="none"/>
              </w:rPr>
              <w:t xml:space="preserve">热敏打印纸                                                  </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6.</w:t>
            </w:r>
            <w:r>
              <w:rPr>
                <w:rFonts w:hint="eastAsia" w:ascii="宋体" w:hAnsi="宋体" w:cs="宋体"/>
                <w:color w:val="auto"/>
                <w:sz w:val="20"/>
                <w:szCs w:val="20"/>
                <w:highlight w:val="none"/>
              </w:rPr>
              <w:tab/>
            </w:r>
            <w:r>
              <w:rPr>
                <w:rFonts w:hint="eastAsia" w:ascii="宋体" w:hAnsi="宋体" w:cs="宋体"/>
                <w:color w:val="auto"/>
                <w:sz w:val="20"/>
                <w:szCs w:val="20"/>
                <w:highlight w:val="none"/>
              </w:rPr>
              <w:t xml:space="preserve">50欧姆检测负载                                             </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7.</w:t>
            </w:r>
            <w:r>
              <w:rPr>
                <w:rFonts w:hint="eastAsia" w:ascii="宋体" w:hAnsi="宋体" w:cs="宋体"/>
                <w:color w:val="auto"/>
                <w:sz w:val="20"/>
                <w:szCs w:val="20"/>
                <w:highlight w:val="none"/>
              </w:rPr>
              <w:tab/>
            </w:r>
            <w:r>
              <w:rPr>
                <w:rFonts w:hint="eastAsia" w:ascii="宋体" w:hAnsi="宋体" w:cs="宋体"/>
                <w:color w:val="auto"/>
                <w:sz w:val="20"/>
                <w:szCs w:val="20"/>
                <w:highlight w:val="none"/>
              </w:rPr>
              <w:t xml:space="preserve">操作说明书                                                  </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8.  电源线  以上</w:t>
            </w:r>
            <w:r>
              <w:rPr>
                <w:rFonts w:ascii="宋体" w:hAnsi="宋体" w:cs="宋体"/>
                <w:color w:val="auto"/>
                <w:sz w:val="20"/>
                <w:szCs w:val="20"/>
                <w:highlight w:val="none"/>
              </w:rPr>
              <w:t>配置各一份。</w:t>
            </w:r>
            <w:r>
              <w:rPr>
                <w:rFonts w:hint="eastAsia" w:ascii="宋体" w:hAnsi="宋体" w:cs="宋体"/>
                <w:color w:val="auto"/>
                <w:sz w:val="20"/>
                <w:szCs w:val="20"/>
                <w:highlight w:val="none"/>
              </w:rPr>
              <w:t xml:space="preserve">                                                    </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心电监护仪</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１.</w:t>
            </w:r>
            <w:r>
              <w:rPr>
                <w:rFonts w:hint="eastAsia" w:ascii="宋体" w:hAnsi="宋体" w:cs="宋体"/>
                <w:color w:val="auto"/>
                <w:sz w:val="20"/>
                <w:szCs w:val="20"/>
                <w:highlight w:val="none"/>
              </w:rPr>
              <w:tab/>
            </w:r>
            <w:r>
              <w:rPr>
                <w:rFonts w:hint="eastAsia" w:ascii="宋体" w:hAnsi="宋体" w:cs="宋体"/>
                <w:color w:val="auto"/>
                <w:sz w:val="20"/>
                <w:szCs w:val="20"/>
                <w:highlight w:val="none"/>
              </w:rPr>
              <w:t xml:space="preserve">显示器尺寸≥10寸，分辨率≥800×600，最多10通道显示。  </w:t>
            </w:r>
          </w:p>
          <w:p>
            <w:pPr>
              <w:rPr>
                <w:rFonts w:ascii="宋体" w:hAnsi="宋体" w:cs="宋体"/>
                <w:color w:val="auto"/>
                <w:sz w:val="20"/>
                <w:szCs w:val="20"/>
                <w:highlight w:val="none"/>
              </w:rPr>
            </w:pPr>
            <w:r>
              <w:rPr>
                <w:rFonts w:hint="eastAsia" w:ascii="宋体" w:hAnsi="宋体" w:cs="宋体"/>
                <w:color w:val="auto"/>
                <w:sz w:val="20"/>
                <w:szCs w:val="20"/>
                <w:highlight w:val="none"/>
              </w:rPr>
              <w:t>２.</w:t>
            </w:r>
            <w:r>
              <w:rPr>
                <w:rFonts w:hint="eastAsia" w:ascii="宋体" w:hAnsi="宋体" w:cs="宋体"/>
                <w:color w:val="auto"/>
                <w:sz w:val="20"/>
                <w:szCs w:val="20"/>
                <w:highlight w:val="none"/>
              </w:rPr>
              <w:tab/>
            </w:r>
            <w:r>
              <w:rPr>
                <w:rFonts w:hint="eastAsia" w:ascii="宋体" w:hAnsi="宋体" w:cs="宋体"/>
                <w:color w:val="auto"/>
                <w:sz w:val="20"/>
                <w:szCs w:val="20"/>
                <w:highlight w:val="none"/>
              </w:rPr>
              <w:t>可监测参数: 心电(ECG)、呼吸(RESP)、无创血压(NIBP)、血氧饱和度(SpO2)、脉率(PR)。</w:t>
            </w:r>
          </w:p>
          <w:p>
            <w:pPr>
              <w:rPr>
                <w:rFonts w:ascii="宋体" w:hAnsi="宋体" w:cs="宋体"/>
                <w:color w:val="auto"/>
                <w:sz w:val="20"/>
                <w:szCs w:val="20"/>
                <w:highlight w:val="none"/>
              </w:rPr>
            </w:pPr>
            <w:r>
              <w:rPr>
                <w:rFonts w:hint="eastAsia" w:ascii="宋体" w:hAnsi="宋体" w:cs="宋体"/>
                <w:color w:val="auto"/>
                <w:sz w:val="20"/>
                <w:szCs w:val="20"/>
                <w:highlight w:val="none"/>
              </w:rPr>
              <w:t>３.</w:t>
            </w:r>
            <w:r>
              <w:rPr>
                <w:rFonts w:hint="eastAsia" w:ascii="宋体" w:hAnsi="宋体" w:cs="宋体"/>
                <w:color w:val="auto"/>
                <w:sz w:val="20"/>
                <w:szCs w:val="20"/>
                <w:highlight w:val="none"/>
              </w:rPr>
              <w:tab/>
            </w:r>
            <w:r>
              <w:rPr>
                <w:rFonts w:hint="eastAsia" w:ascii="宋体" w:hAnsi="宋体" w:cs="宋体"/>
                <w:color w:val="auto"/>
                <w:sz w:val="20"/>
                <w:szCs w:val="20"/>
                <w:highlight w:val="none"/>
              </w:rPr>
              <w:t xml:space="preserve">心电：心电3/5导可选，心电模式包括：监护/手术/扩展。在5导的情况下，支持半屏心电7导联显示，需同时显示肢体导联Ⅰ、Ⅱ、Ⅲ，肢体加压导联AVR、AVL、AVF，及任意一个胸导联V1~V6。心电扫描速度扫描速度 6.25/12.5/25/50 mm/s。 </w:t>
            </w:r>
          </w:p>
          <w:p>
            <w:pPr>
              <w:rPr>
                <w:rFonts w:ascii="宋体" w:hAnsi="宋体" w:cs="宋体"/>
                <w:color w:val="auto"/>
                <w:sz w:val="20"/>
                <w:szCs w:val="20"/>
                <w:highlight w:val="none"/>
              </w:rPr>
            </w:pPr>
            <w:r>
              <w:rPr>
                <w:rFonts w:hint="eastAsia" w:ascii="宋体" w:hAnsi="宋体" w:cs="宋体"/>
                <w:color w:val="auto"/>
                <w:sz w:val="20"/>
                <w:szCs w:val="20"/>
                <w:highlight w:val="none"/>
              </w:rPr>
              <w:t>４.</w:t>
            </w:r>
            <w:r>
              <w:rPr>
                <w:rFonts w:hint="eastAsia" w:ascii="宋体" w:hAnsi="宋体" w:cs="宋体"/>
                <w:color w:val="auto"/>
                <w:sz w:val="20"/>
                <w:szCs w:val="20"/>
                <w:highlight w:val="none"/>
              </w:rPr>
              <w:tab/>
            </w:r>
            <w:r>
              <w:rPr>
                <w:rFonts w:hint="eastAsia" w:ascii="宋体" w:hAnsi="宋体" w:cs="宋体"/>
                <w:color w:val="auto"/>
                <w:sz w:val="20"/>
                <w:szCs w:val="20"/>
                <w:highlight w:val="none"/>
              </w:rPr>
              <w:t xml:space="preserve">具备心率统计功能，可对病人窦性心律在一定时间内周期性改变情况进行分析，并对平均心率、平均白天心率、平均夜间心率及百分比结果进行统计，以饼状图形式显示。  </w:t>
            </w:r>
          </w:p>
          <w:p>
            <w:pPr>
              <w:rPr>
                <w:rFonts w:ascii="宋体" w:hAnsi="宋体" w:cs="宋体"/>
                <w:color w:val="auto"/>
                <w:sz w:val="20"/>
                <w:szCs w:val="20"/>
                <w:highlight w:val="none"/>
              </w:rPr>
            </w:pPr>
            <w:r>
              <w:rPr>
                <w:rFonts w:hint="eastAsia" w:ascii="宋体" w:hAnsi="宋体" w:cs="宋体"/>
                <w:color w:val="auto"/>
                <w:sz w:val="22"/>
                <w:highlight w:val="none"/>
                <w:lang w:bidi="ar"/>
              </w:rPr>
              <w:t>★</w:t>
            </w:r>
            <w:r>
              <w:rPr>
                <w:rFonts w:hint="eastAsia" w:ascii="宋体" w:hAnsi="宋体" w:cs="宋体"/>
                <w:color w:val="auto"/>
                <w:sz w:val="20"/>
                <w:szCs w:val="20"/>
                <w:highlight w:val="none"/>
              </w:rPr>
              <w:t>５.</w:t>
            </w:r>
            <w:r>
              <w:rPr>
                <w:rFonts w:hint="eastAsia" w:ascii="宋体" w:hAnsi="宋体" w:cs="宋体"/>
                <w:color w:val="auto"/>
                <w:sz w:val="20"/>
                <w:szCs w:val="20"/>
                <w:highlight w:val="none"/>
              </w:rPr>
              <w:tab/>
            </w:r>
            <w:r>
              <w:rPr>
                <w:rFonts w:hint="eastAsia" w:ascii="宋体" w:hAnsi="宋体" w:cs="宋体"/>
                <w:color w:val="auto"/>
                <w:sz w:val="20"/>
                <w:szCs w:val="20"/>
                <w:highlight w:val="none"/>
              </w:rPr>
              <w:t>具备动态血压分析功能，可自动统计分析24小时内血压变化，自动显示平均血压、白天和夜间平均血压、血压高于正常百分比等参数，并以柱状图形式显示，为降压药的用量起指示作用。</w:t>
            </w:r>
          </w:p>
          <w:p>
            <w:pPr>
              <w:rPr>
                <w:rFonts w:ascii="宋体" w:hAnsi="宋体" w:cs="宋体"/>
                <w:color w:val="auto"/>
                <w:sz w:val="20"/>
                <w:szCs w:val="20"/>
                <w:highlight w:val="none"/>
              </w:rPr>
            </w:pPr>
            <w:r>
              <w:rPr>
                <w:rFonts w:hint="eastAsia" w:ascii="宋体" w:hAnsi="宋体" w:cs="宋体"/>
                <w:color w:val="auto"/>
                <w:sz w:val="20"/>
                <w:szCs w:val="20"/>
                <w:highlight w:val="none"/>
              </w:rPr>
              <w:t>６.</w:t>
            </w:r>
            <w:r>
              <w:rPr>
                <w:rFonts w:hint="eastAsia" w:ascii="宋体" w:hAnsi="宋体" w:cs="宋体"/>
                <w:color w:val="auto"/>
                <w:sz w:val="20"/>
                <w:szCs w:val="20"/>
                <w:highlight w:val="none"/>
              </w:rPr>
              <w:tab/>
            </w:r>
            <w:r>
              <w:rPr>
                <w:rFonts w:hint="eastAsia" w:ascii="宋体" w:hAnsi="宋体" w:cs="宋体"/>
                <w:color w:val="auto"/>
                <w:sz w:val="20"/>
                <w:szCs w:val="20"/>
                <w:highlight w:val="none"/>
              </w:rPr>
              <w:t>具有收缩压和舒张压血压差报警功能。</w:t>
            </w:r>
          </w:p>
          <w:p>
            <w:pPr>
              <w:rPr>
                <w:rFonts w:ascii="宋体" w:hAnsi="宋体" w:cs="宋体"/>
                <w:color w:val="auto"/>
                <w:sz w:val="20"/>
                <w:szCs w:val="20"/>
                <w:highlight w:val="none"/>
              </w:rPr>
            </w:pPr>
            <w:r>
              <w:rPr>
                <w:rFonts w:hint="eastAsia" w:ascii="宋体" w:hAnsi="宋体" w:cs="宋体"/>
                <w:color w:val="auto"/>
                <w:sz w:val="22"/>
                <w:highlight w:val="none"/>
                <w:lang w:bidi="ar"/>
              </w:rPr>
              <w:t>★</w:t>
            </w:r>
            <w:r>
              <w:rPr>
                <w:rFonts w:hint="eastAsia" w:ascii="宋体" w:hAnsi="宋体" w:cs="宋体"/>
                <w:color w:val="auto"/>
                <w:sz w:val="20"/>
                <w:szCs w:val="20"/>
                <w:highlight w:val="none"/>
              </w:rPr>
              <w:t>７.</w:t>
            </w:r>
            <w:r>
              <w:rPr>
                <w:rFonts w:hint="eastAsia" w:ascii="宋体" w:hAnsi="宋体" w:cs="宋体"/>
                <w:color w:val="auto"/>
                <w:sz w:val="20"/>
                <w:szCs w:val="20"/>
                <w:highlight w:val="none"/>
              </w:rPr>
              <w:tab/>
            </w:r>
            <w:r>
              <w:rPr>
                <w:rFonts w:hint="eastAsia" w:ascii="宋体" w:hAnsi="宋体" w:cs="宋体"/>
                <w:color w:val="auto"/>
                <w:sz w:val="20"/>
                <w:szCs w:val="20"/>
                <w:highlight w:val="none"/>
              </w:rPr>
              <w:t>标配国际三大血氧之一，Masimo, Nellcor或者Philips血氧，防运动、抗弱灌注，提供灌注度指数。</w:t>
            </w:r>
          </w:p>
          <w:p>
            <w:pPr>
              <w:rPr>
                <w:rFonts w:ascii="宋体" w:hAnsi="宋体" w:cs="宋体"/>
                <w:color w:val="auto"/>
                <w:sz w:val="20"/>
                <w:szCs w:val="20"/>
                <w:highlight w:val="none"/>
              </w:rPr>
            </w:pPr>
            <w:r>
              <w:rPr>
                <w:rFonts w:hint="eastAsia" w:ascii="宋体" w:hAnsi="宋体" w:cs="宋体"/>
                <w:color w:val="auto"/>
                <w:sz w:val="20"/>
                <w:szCs w:val="20"/>
                <w:highlight w:val="none"/>
              </w:rPr>
              <w:t>８.</w:t>
            </w:r>
            <w:r>
              <w:rPr>
                <w:rFonts w:hint="eastAsia" w:ascii="宋体" w:hAnsi="宋体" w:cs="宋体"/>
                <w:color w:val="auto"/>
                <w:sz w:val="20"/>
                <w:szCs w:val="20"/>
                <w:highlight w:val="none"/>
              </w:rPr>
              <w:tab/>
            </w:r>
            <w:r>
              <w:rPr>
                <w:rFonts w:hint="eastAsia" w:ascii="宋体" w:hAnsi="宋体" w:cs="宋体"/>
                <w:color w:val="auto"/>
                <w:sz w:val="20"/>
                <w:szCs w:val="20"/>
                <w:highlight w:val="none"/>
              </w:rPr>
              <w:t>无需存储卡或中央站，监护仪存储1500组NIBP数据列表。</w:t>
            </w:r>
          </w:p>
          <w:p>
            <w:pPr>
              <w:rPr>
                <w:rFonts w:ascii="宋体" w:hAnsi="宋体" w:cs="宋体"/>
                <w:color w:val="auto"/>
                <w:sz w:val="20"/>
                <w:szCs w:val="20"/>
                <w:highlight w:val="none"/>
              </w:rPr>
            </w:pPr>
            <w:r>
              <w:rPr>
                <w:rFonts w:hint="eastAsia" w:ascii="宋体" w:hAnsi="宋体" w:cs="宋体"/>
                <w:color w:val="auto"/>
                <w:sz w:val="20"/>
                <w:szCs w:val="20"/>
                <w:highlight w:val="none"/>
              </w:rPr>
              <w:t>９.</w:t>
            </w:r>
            <w:r>
              <w:rPr>
                <w:rFonts w:hint="eastAsia" w:ascii="宋体" w:hAnsi="宋体" w:cs="宋体"/>
                <w:color w:val="auto"/>
                <w:sz w:val="20"/>
                <w:szCs w:val="20"/>
                <w:highlight w:val="none"/>
              </w:rPr>
              <w:tab/>
            </w:r>
            <w:r>
              <w:rPr>
                <w:rFonts w:hint="eastAsia" w:ascii="宋体" w:hAnsi="宋体" w:cs="宋体"/>
                <w:color w:val="auto"/>
                <w:sz w:val="20"/>
                <w:szCs w:val="20"/>
                <w:highlight w:val="none"/>
              </w:rPr>
              <w:t>无需存储卡或中央站，监护仪趋势存储回放时间1000小时。</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１０.无需存储卡或中央站， 监护仪的全息心电波形存储回放时120分钟。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１１.无需存储卡或中央站，监护仪可存储200组报警信息。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１２.具有通气计算、血液动力学计算、药物浓度计算和氧合计算功能。  </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心电图机</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 xml:space="preserve">环境条件 </w:t>
            </w:r>
          </w:p>
          <w:p>
            <w:pPr>
              <w:rPr>
                <w:rFonts w:ascii="宋体" w:hAnsi="宋体" w:cs="宋体"/>
                <w:color w:val="auto"/>
                <w:sz w:val="20"/>
                <w:szCs w:val="20"/>
                <w:highlight w:val="none"/>
              </w:rPr>
            </w:pPr>
            <w:r>
              <w:rPr>
                <w:rFonts w:hint="eastAsia" w:ascii="宋体" w:hAnsi="宋体" w:cs="宋体"/>
                <w:color w:val="auto"/>
                <w:sz w:val="20"/>
                <w:szCs w:val="20"/>
                <w:highlight w:val="none"/>
              </w:rPr>
              <w:t>环境温度：5℃～40℃</w:t>
            </w:r>
          </w:p>
          <w:p>
            <w:pPr>
              <w:rPr>
                <w:rFonts w:ascii="宋体" w:hAnsi="宋体" w:cs="宋体"/>
                <w:color w:val="auto"/>
                <w:sz w:val="20"/>
                <w:szCs w:val="20"/>
                <w:highlight w:val="none"/>
              </w:rPr>
            </w:pPr>
            <w:r>
              <w:rPr>
                <w:rFonts w:hint="eastAsia" w:ascii="宋体" w:hAnsi="宋体" w:cs="宋体"/>
                <w:color w:val="auto"/>
                <w:sz w:val="20"/>
                <w:szCs w:val="20"/>
                <w:highlight w:val="none"/>
              </w:rPr>
              <w:t>相对湿度：25％≤80％(无冷凝)</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大气压力：700hPa～1060hPa </w:t>
            </w:r>
          </w:p>
          <w:p>
            <w:pPr>
              <w:rPr>
                <w:rFonts w:ascii="宋体" w:hAnsi="宋体" w:cs="宋体"/>
                <w:color w:val="auto"/>
                <w:sz w:val="20"/>
                <w:szCs w:val="20"/>
                <w:highlight w:val="none"/>
              </w:rPr>
            </w:pPr>
            <w:r>
              <w:rPr>
                <w:rFonts w:hint="eastAsia" w:ascii="宋体" w:hAnsi="宋体" w:cs="宋体"/>
                <w:color w:val="auto"/>
                <w:sz w:val="20"/>
                <w:szCs w:val="20"/>
                <w:highlight w:val="none"/>
              </w:rPr>
              <w:t>运输和贮存条件</w:t>
            </w:r>
          </w:p>
          <w:p>
            <w:pPr>
              <w:rPr>
                <w:rFonts w:ascii="宋体" w:hAnsi="宋体" w:cs="宋体"/>
                <w:color w:val="auto"/>
                <w:sz w:val="20"/>
                <w:szCs w:val="20"/>
                <w:highlight w:val="none"/>
              </w:rPr>
            </w:pPr>
            <w:r>
              <w:rPr>
                <w:rFonts w:hint="eastAsia" w:ascii="宋体" w:hAnsi="宋体" w:cs="宋体"/>
                <w:color w:val="auto"/>
                <w:sz w:val="20"/>
                <w:szCs w:val="20"/>
                <w:highlight w:val="none"/>
              </w:rPr>
              <w:t>环境温度范围 -40℃～55℃</w:t>
            </w:r>
          </w:p>
          <w:p>
            <w:pPr>
              <w:rPr>
                <w:rFonts w:ascii="宋体" w:hAnsi="宋体" w:cs="宋体"/>
                <w:color w:val="auto"/>
                <w:sz w:val="20"/>
                <w:szCs w:val="20"/>
                <w:highlight w:val="none"/>
              </w:rPr>
            </w:pPr>
            <w:r>
              <w:rPr>
                <w:rFonts w:hint="eastAsia" w:ascii="宋体" w:hAnsi="宋体" w:cs="宋体"/>
                <w:color w:val="auto"/>
                <w:sz w:val="20"/>
                <w:szCs w:val="20"/>
                <w:highlight w:val="none"/>
              </w:rPr>
              <w:t>相对湿度范围 ≤95%</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大气压力范围 500hPa～1060hPa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输入方式：浮地及除颤保护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频率响应：0.05Hz~150Hz(-3dB~+0.4dB)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共模抑制比：＞60dB, ＞100dB(开启滤波器)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时间常数：≥3.2s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患者漏电流：&lt;10µA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定标电压：1mV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灵敏度选择：2.5、5、10、20、40mm/mV，±5%。标准灵敏度：10mm/mV±2%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噪声电平：&lt;15µVp-p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输入回路电流：≤50nA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输入阻抗：≥50MΩ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采样精度：12bit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安全分类：Ⅰ类CF型，防除颤应用部分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记录方式：热阵打印系统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记录纸规格：110mm(W)×20m(L)高速热敏卷纸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自动记录：按自动记录格式和自动模式设置记录，自动切换导联，自动测量和分析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节律记录：按节律记录格式和节律模式设置记录，自动测量和分析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手动记录：按记录格式记录，手动切换导联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测量参数：心率、P-R间期、P波时限、QRS波群时限、T波时限、Q-T间期、Q-Tc、P电轴、QRS电轴、T电轴、R(V5)幅度、S(V1)幅度、R(V5)+S(V1)幅度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采样频率：1000Hz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耐极化电压：±500mV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肌电干扰滤波器：25Hz/35Hz (-3dB)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工频滤波：50Hz/60Hz (-20dB) </w:t>
            </w:r>
          </w:p>
          <w:p>
            <w:pPr>
              <w:rPr>
                <w:rFonts w:ascii="宋体" w:hAnsi="宋体" w:cs="宋体"/>
                <w:color w:val="auto"/>
                <w:sz w:val="20"/>
                <w:szCs w:val="20"/>
                <w:highlight w:val="none"/>
              </w:rPr>
            </w:pPr>
            <w:r>
              <w:rPr>
                <w:rFonts w:hint="eastAsia" w:ascii="宋体" w:hAnsi="宋体" w:cs="宋体"/>
                <w:color w:val="auto"/>
                <w:sz w:val="20"/>
                <w:szCs w:val="20"/>
                <w:highlight w:val="none"/>
              </w:rPr>
              <w:t>走纸速度：自动记录：25、50mm/s,±5%</w:t>
            </w:r>
          </w:p>
          <w:p>
            <w:pPr>
              <w:rPr>
                <w:rFonts w:ascii="宋体" w:hAnsi="宋体" w:cs="宋体"/>
                <w:color w:val="auto"/>
                <w:sz w:val="20"/>
                <w:szCs w:val="20"/>
                <w:highlight w:val="none"/>
              </w:rPr>
            </w:pPr>
            <w:r>
              <w:rPr>
                <w:rFonts w:hint="eastAsia" w:ascii="宋体" w:hAnsi="宋体" w:cs="宋体"/>
                <w:color w:val="auto"/>
                <w:sz w:val="20"/>
                <w:szCs w:val="20"/>
                <w:highlight w:val="none"/>
              </w:rPr>
              <w:t>节律记录：25、50mm/s,±5%</w:t>
            </w:r>
          </w:p>
          <w:p>
            <w:pPr>
              <w:rPr>
                <w:rFonts w:ascii="宋体" w:hAnsi="宋体" w:cs="宋体"/>
                <w:color w:val="auto"/>
                <w:sz w:val="20"/>
                <w:szCs w:val="20"/>
                <w:highlight w:val="none"/>
              </w:rPr>
            </w:pPr>
            <w:r>
              <w:rPr>
                <w:rFonts w:hint="eastAsia" w:ascii="宋体" w:hAnsi="宋体" w:cs="宋体"/>
                <w:color w:val="auto"/>
                <w:sz w:val="20"/>
                <w:szCs w:val="20"/>
                <w:highlight w:val="none"/>
              </w:rPr>
              <w:t>手动记录：5、6.25、10、12.5、25、50、100mm/s,±5%</w:t>
            </w:r>
          </w:p>
          <w:p>
            <w:pPr>
              <w:rPr>
                <w:rFonts w:ascii="宋体" w:hAnsi="宋体" w:cs="宋体"/>
                <w:color w:val="auto"/>
                <w:sz w:val="20"/>
                <w:szCs w:val="20"/>
                <w:highlight w:val="none"/>
              </w:rPr>
            </w:pPr>
          </w:p>
          <w:p>
            <w:pPr>
              <w:rPr>
                <w:rFonts w:ascii="宋体" w:hAnsi="宋体" w:cs="宋体"/>
                <w:color w:val="auto"/>
                <w:sz w:val="20"/>
                <w:szCs w:val="20"/>
                <w:highlight w:val="none"/>
              </w:rPr>
            </w:pPr>
            <w:r>
              <w:rPr>
                <w:rFonts w:hint="eastAsia" w:ascii="宋体" w:hAnsi="宋体" w:cs="宋体"/>
                <w:color w:val="auto"/>
                <w:sz w:val="20"/>
                <w:szCs w:val="20"/>
                <w:highlight w:val="none"/>
              </w:rPr>
              <w:t>电源：交流：100V～240V(50/60Hz)</w:t>
            </w:r>
          </w:p>
          <w:p>
            <w:pPr>
              <w:rPr>
                <w:rFonts w:ascii="宋体" w:hAnsi="宋体" w:cs="宋体"/>
                <w:color w:val="auto"/>
                <w:sz w:val="20"/>
                <w:szCs w:val="20"/>
                <w:highlight w:val="none"/>
              </w:rPr>
            </w:pPr>
            <w:r>
              <w:rPr>
                <w:rFonts w:hint="eastAsia" w:ascii="宋体" w:hAnsi="宋体" w:cs="宋体"/>
                <w:color w:val="auto"/>
                <w:sz w:val="20"/>
                <w:szCs w:val="20"/>
                <w:highlight w:val="none"/>
              </w:rPr>
              <w:t>直流：可充电锂电池7.4V/2000mAh</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保险管规格：2个φ5×20mm交流延时保险； T1.6AL250V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对有害迸液的防护程度等级：IPX0。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工作模式：连续运行工作设备 </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外型尺寸：315mm(L)×215mm(W)×92mm(H) </w:t>
            </w:r>
          </w:p>
          <w:p>
            <w:pPr>
              <w:rPr>
                <w:rFonts w:ascii="宋体" w:hAnsi="宋体" w:cs="宋体"/>
                <w:color w:val="auto"/>
                <w:sz w:val="20"/>
                <w:szCs w:val="20"/>
                <w:highlight w:val="none"/>
              </w:rPr>
            </w:pPr>
            <w:r>
              <w:rPr>
                <w:rFonts w:hint="eastAsia" w:ascii="宋体" w:hAnsi="宋体" w:cs="宋体"/>
                <w:color w:val="auto"/>
                <w:sz w:val="20"/>
                <w:szCs w:val="20"/>
                <w:highlight w:val="none"/>
              </w:rPr>
              <w:t>净重：1.7Kg</w:t>
            </w:r>
          </w:p>
          <w:p>
            <w:pPr>
              <w:rPr>
                <w:rFonts w:ascii="宋体" w:hAnsi="宋体" w:cs="宋体"/>
                <w:color w:val="auto"/>
                <w:sz w:val="20"/>
                <w:szCs w:val="20"/>
                <w:highlight w:val="none"/>
              </w:rPr>
            </w:pPr>
            <w:r>
              <w:rPr>
                <w:rFonts w:hint="eastAsia" w:ascii="宋体" w:hAnsi="宋体" w:cs="宋体"/>
                <w:color w:val="auto"/>
                <w:sz w:val="20"/>
                <w:szCs w:val="20"/>
                <w:highlight w:val="none"/>
              </w:rPr>
              <w:t>组件标配：</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         1.导联线 1根</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         2.肢体夹 1套</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         3.胸电极 1套</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         4.记录卷纸 1卷</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         5.电源线 1根</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         6.接地线 1根</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         7.说明书 1份</w:t>
            </w:r>
          </w:p>
          <w:p>
            <w:pPr>
              <w:rPr>
                <w:rFonts w:ascii="宋体" w:hAnsi="宋体" w:cs="宋体"/>
                <w:color w:val="auto"/>
                <w:sz w:val="20"/>
                <w:szCs w:val="20"/>
                <w:highlight w:val="none"/>
              </w:rPr>
            </w:pPr>
          </w:p>
        </w:tc>
      </w:tr>
      <w:tr>
        <w:tblPrEx>
          <w:tblCellMar>
            <w:top w:w="0" w:type="dxa"/>
            <w:left w:w="0" w:type="dxa"/>
            <w:bottom w:w="0" w:type="dxa"/>
            <w:right w:w="0" w:type="dxa"/>
          </w:tblCellMar>
        </w:tblPrEx>
        <w:trPr>
          <w:trHeight w:val="480"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半面型/全面型呼吸防护器</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配双滤毒盒（可带滤棉一对）</w:t>
            </w:r>
          </w:p>
          <w:p>
            <w:pPr>
              <w:widowControl/>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面屏材质</w:t>
            </w:r>
            <w:r>
              <w:rPr>
                <w:rFonts w:hint="eastAsia" w:ascii="宋体" w:hAnsi="宋体" w:cs="宋体"/>
                <w:color w:val="auto"/>
                <w:sz w:val="20"/>
                <w:szCs w:val="20"/>
                <w:highlight w:val="none"/>
              </w:rPr>
              <w:tab/>
            </w:r>
            <w:r>
              <w:rPr>
                <w:rFonts w:hint="eastAsia" w:ascii="宋体" w:hAnsi="宋体" w:cs="宋体"/>
                <w:color w:val="auto"/>
                <w:sz w:val="20"/>
                <w:szCs w:val="20"/>
                <w:highlight w:val="none"/>
              </w:rPr>
              <w:t>PC聚碳酸酯</w:t>
            </w:r>
          </w:p>
          <w:p>
            <w:pPr>
              <w:widowControl/>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贴脸面罩胶体材质</w:t>
            </w:r>
            <w:r>
              <w:rPr>
                <w:rFonts w:hint="eastAsia" w:ascii="宋体" w:hAnsi="宋体" w:cs="宋体"/>
                <w:color w:val="auto"/>
                <w:sz w:val="20"/>
                <w:szCs w:val="20"/>
                <w:highlight w:val="none"/>
              </w:rPr>
              <w:tab/>
            </w:r>
            <w:r>
              <w:rPr>
                <w:rFonts w:hint="eastAsia" w:ascii="宋体" w:hAnsi="宋体" w:cs="宋体"/>
                <w:color w:val="auto"/>
                <w:sz w:val="20"/>
                <w:szCs w:val="20"/>
                <w:highlight w:val="none"/>
              </w:rPr>
              <w:t>硅胶/弹性体TPE</w:t>
            </w:r>
          </w:p>
          <w:p>
            <w:pPr>
              <w:widowControl/>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口鼻罩胶体材质</w:t>
            </w:r>
            <w:r>
              <w:rPr>
                <w:rFonts w:hint="eastAsia" w:ascii="宋体" w:hAnsi="宋体" w:cs="宋体"/>
                <w:color w:val="auto"/>
                <w:sz w:val="20"/>
                <w:szCs w:val="20"/>
                <w:highlight w:val="none"/>
              </w:rPr>
              <w:tab/>
            </w:r>
            <w:r>
              <w:rPr>
                <w:rFonts w:hint="eastAsia" w:ascii="宋体" w:hAnsi="宋体" w:cs="宋体"/>
                <w:color w:val="auto"/>
                <w:sz w:val="20"/>
                <w:szCs w:val="20"/>
                <w:highlight w:val="none"/>
              </w:rPr>
              <w:t>硅胶/弹性体TPE</w:t>
            </w:r>
          </w:p>
          <w:p>
            <w:pPr>
              <w:widowControl/>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头带</w:t>
            </w:r>
            <w:r>
              <w:rPr>
                <w:rFonts w:hint="eastAsia" w:ascii="宋体" w:hAnsi="宋体" w:cs="宋体"/>
                <w:color w:val="auto"/>
                <w:sz w:val="20"/>
                <w:szCs w:val="20"/>
                <w:highlight w:val="none"/>
              </w:rPr>
              <w:tab/>
            </w:r>
            <w:r>
              <w:rPr>
                <w:rFonts w:hint="eastAsia" w:ascii="宋体" w:hAnsi="宋体" w:cs="宋体"/>
                <w:color w:val="auto"/>
                <w:sz w:val="20"/>
                <w:szCs w:val="20"/>
                <w:highlight w:val="none"/>
              </w:rPr>
              <w:t>高弹尼龙</w:t>
            </w:r>
          </w:p>
          <w:p>
            <w:pPr>
              <w:widowControl/>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框架</w:t>
            </w:r>
            <w:r>
              <w:rPr>
                <w:rFonts w:hint="eastAsia" w:ascii="宋体" w:hAnsi="宋体" w:cs="宋体"/>
                <w:color w:val="auto"/>
                <w:sz w:val="20"/>
                <w:szCs w:val="20"/>
                <w:highlight w:val="none"/>
              </w:rPr>
              <w:tab/>
            </w:r>
            <w:r>
              <w:rPr>
                <w:rFonts w:hint="eastAsia" w:ascii="宋体" w:hAnsi="宋体" w:cs="宋体"/>
                <w:color w:val="auto"/>
                <w:sz w:val="20"/>
                <w:szCs w:val="20"/>
                <w:highlight w:val="none"/>
              </w:rPr>
              <w:t>ABS工程塑料</w:t>
            </w:r>
          </w:p>
          <w:p>
            <w:pPr>
              <w:widowControl/>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吸气阻力</w:t>
            </w:r>
            <w:r>
              <w:rPr>
                <w:rFonts w:hint="eastAsia" w:ascii="宋体" w:hAnsi="宋体" w:cs="宋体"/>
                <w:color w:val="auto"/>
                <w:sz w:val="20"/>
                <w:szCs w:val="20"/>
                <w:highlight w:val="none"/>
              </w:rPr>
              <w:tab/>
            </w:r>
            <w:r>
              <w:rPr>
                <w:rFonts w:hint="eastAsia" w:ascii="宋体" w:hAnsi="宋体" w:cs="宋体"/>
                <w:color w:val="auto"/>
                <w:sz w:val="20"/>
                <w:szCs w:val="20"/>
                <w:highlight w:val="none"/>
              </w:rPr>
              <w:t>38Pa</w:t>
            </w:r>
          </w:p>
          <w:p>
            <w:pPr>
              <w:widowControl/>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呼气阻力</w:t>
            </w:r>
            <w:r>
              <w:rPr>
                <w:rFonts w:hint="eastAsia" w:ascii="宋体" w:hAnsi="宋体" w:cs="宋体"/>
                <w:color w:val="auto"/>
                <w:sz w:val="20"/>
                <w:szCs w:val="20"/>
                <w:highlight w:val="none"/>
              </w:rPr>
              <w:tab/>
            </w:r>
            <w:r>
              <w:rPr>
                <w:rFonts w:hint="eastAsia" w:ascii="宋体" w:hAnsi="宋体" w:cs="宋体"/>
                <w:color w:val="auto"/>
                <w:sz w:val="20"/>
                <w:szCs w:val="20"/>
                <w:highlight w:val="none"/>
              </w:rPr>
              <w:t>59Pa</w:t>
            </w:r>
          </w:p>
          <w:p>
            <w:pPr>
              <w:widowControl/>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接口</w:t>
            </w:r>
            <w:r>
              <w:rPr>
                <w:rFonts w:hint="eastAsia" w:ascii="宋体" w:hAnsi="宋体" w:cs="宋体"/>
                <w:color w:val="auto"/>
                <w:sz w:val="20"/>
                <w:szCs w:val="20"/>
                <w:highlight w:val="none"/>
              </w:rPr>
              <w:tab/>
            </w:r>
            <w:r>
              <w:rPr>
                <w:rFonts w:hint="eastAsia" w:ascii="宋体" w:hAnsi="宋体" w:cs="宋体"/>
                <w:color w:val="auto"/>
                <w:sz w:val="20"/>
                <w:szCs w:val="20"/>
                <w:highlight w:val="none"/>
              </w:rPr>
              <w:t>螺纹接口RD40和双卡口两种</w:t>
            </w:r>
          </w:p>
          <w:p>
            <w:pPr>
              <w:widowControl/>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重量（不含滤件）</w:t>
            </w:r>
            <w:r>
              <w:rPr>
                <w:rFonts w:hint="eastAsia" w:ascii="宋体" w:hAnsi="宋体" w:cs="宋体"/>
                <w:color w:val="auto"/>
                <w:sz w:val="20"/>
                <w:szCs w:val="20"/>
                <w:highlight w:val="none"/>
              </w:rPr>
              <w:tab/>
            </w:r>
            <w:r>
              <w:rPr>
                <w:rFonts w:hint="eastAsia" w:ascii="宋体" w:hAnsi="宋体" w:cs="宋体"/>
                <w:color w:val="auto"/>
                <w:sz w:val="20"/>
                <w:szCs w:val="20"/>
                <w:highlight w:val="none"/>
              </w:rPr>
              <w:t>464.2g</w:t>
            </w:r>
          </w:p>
          <w:p>
            <w:pPr>
              <w:widowControl/>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总视野</w:t>
            </w:r>
            <w:r>
              <w:rPr>
                <w:rFonts w:hint="eastAsia" w:ascii="宋体" w:hAnsi="宋体" w:cs="宋体"/>
                <w:color w:val="auto"/>
                <w:sz w:val="20"/>
                <w:szCs w:val="20"/>
                <w:highlight w:val="none"/>
              </w:rPr>
              <w:tab/>
            </w:r>
            <w:r>
              <w:rPr>
                <w:rFonts w:hint="eastAsia" w:ascii="宋体" w:hAnsi="宋体" w:cs="宋体"/>
                <w:color w:val="auto"/>
                <w:sz w:val="20"/>
                <w:szCs w:val="20"/>
                <w:highlight w:val="none"/>
              </w:rPr>
              <w:t>88%</w:t>
            </w:r>
          </w:p>
          <w:p>
            <w:pPr>
              <w:widowControl/>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双目视野</w:t>
            </w:r>
            <w:r>
              <w:rPr>
                <w:rFonts w:hint="eastAsia" w:ascii="宋体" w:hAnsi="宋体" w:cs="宋体"/>
                <w:color w:val="auto"/>
                <w:sz w:val="20"/>
                <w:szCs w:val="20"/>
                <w:highlight w:val="none"/>
              </w:rPr>
              <w:tab/>
            </w:r>
            <w:r>
              <w:rPr>
                <w:rFonts w:hint="eastAsia" w:ascii="宋体" w:hAnsi="宋体" w:cs="宋体"/>
                <w:color w:val="auto"/>
                <w:sz w:val="20"/>
                <w:szCs w:val="20"/>
                <w:highlight w:val="none"/>
              </w:rPr>
              <w:t>64%</w:t>
            </w:r>
          </w:p>
          <w:p>
            <w:pPr>
              <w:widowControl/>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下方视野</w:t>
            </w:r>
            <w:r>
              <w:rPr>
                <w:rFonts w:hint="eastAsia" w:ascii="宋体" w:hAnsi="宋体" w:cs="宋体"/>
                <w:color w:val="auto"/>
                <w:sz w:val="20"/>
                <w:szCs w:val="20"/>
                <w:highlight w:val="none"/>
              </w:rPr>
              <w:tab/>
            </w:r>
            <w:r>
              <w:rPr>
                <w:rFonts w:hint="eastAsia" w:ascii="宋体" w:hAnsi="宋体" w:cs="宋体"/>
                <w:color w:val="auto"/>
                <w:sz w:val="20"/>
                <w:szCs w:val="20"/>
                <w:highlight w:val="none"/>
              </w:rPr>
              <w:t xml:space="preserve"> 36°</w:t>
            </w:r>
          </w:p>
          <w:p>
            <w:pPr>
              <w:widowControl/>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镜片透光率</w:t>
            </w:r>
            <w:r>
              <w:rPr>
                <w:rFonts w:hint="eastAsia" w:ascii="宋体" w:hAnsi="宋体" w:cs="宋体"/>
                <w:color w:val="auto"/>
                <w:sz w:val="20"/>
                <w:szCs w:val="20"/>
                <w:highlight w:val="none"/>
              </w:rPr>
              <w:tab/>
            </w:r>
            <w:r>
              <w:rPr>
                <w:rFonts w:hint="eastAsia" w:ascii="宋体" w:hAnsi="宋体" w:cs="宋体"/>
                <w:color w:val="auto"/>
                <w:sz w:val="20"/>
                <w:szCs w:val="20"/>
                <w:highlight w:val="none"/>
              </w:rPr>
              <w:t>≥90%</w:t>
            </w:r>
          </w:p>
          <w:p>
            <w:pPr>
              <w:widowControl/>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密合型面罩泄漏率</w:t>
            </w:r>
            <w:r>
              <w:rPr>
                <w:rFonts w:hint="eastAsia" w:ascii="宋体" w:hAnsi="宋体" w:cs="宋体"/>
                <w:color w:val="auto"/>
                <w:sz w:val="20"/>
                <w:szCs w:val="20"/>
                <w:highlight w:val="none"/>
              </w:rPr>
              <w:tab/>
            </w:r>
            <w:r>
              <w:rPr>
                <w:rFonts w:hint="eastAsia" w:ascii="宋体" w:hAnsi="宋体" w:cs="宋体"/>
                <w:color w:val="auto"/>
                <w:sz w:val="20"/>
                <w:szCs w:val="20"/>
                <w:highlight w:val="none"/>
              </w:rPr>
              <w:t>≤0.02%</w:t>
            </w:r>
          </w:p>
          <w:p>
            <w:pPr>
              <w:widowControl/>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多功能滤毒盒 一级</w:t>
            </w:r>
          </w:p>
          <w:p>
            <w:pPr>
              <w:widowControl/>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材料</w:t>
            </w:r>
            <w:r>
              <w:rPr>
                <w:rFonts w:ascii="宋体" w:hAnsi="宋体" w:cs="宋体"/>
                <w:color w:val="auto"/>
                <w:sz w:val="20"/>
                <w:szCs w:val="20"/>
                <w:highlight w:val="none"/>
              </w:rPr>
              <w:t xml:space="preserve"> </w:t>
            </w:r>
            <w:r>
              <w:rPr>
                <w:rFonts w:hint="eastAsia" w:ascii="宋体" w:hAnsi="宋体" w:cs="宋体"/>
                <w:color w:val="auto"/>
                <w:sz w:val="20"/>
                <w:szCs w:val="20"/>
                <w:highlight w:val="none"/>
              </w:rPr>
              <w:t xml:space="preserve">ABS工程塑料 </w:t>
            </w:r>
            <w:r>
              <w:rPr>
                <w:rFonts w:hint="eastAsia" w:ascii="宋体" w:hAnsi="宋体" w:cs="宋体"/>
                <w:color w:val="auto"/>
                <w:sz w:val="20"/>
                <w:szCs w:val="20"/>
                <w:highlight w:val="none"/>
              </w:rPr>
              <w:tab/>
            </w:r>
          </w:p>
          <w:p>
            <w:pPr>
              <w:widowControl/>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同时防护有机、无机、酸性气体或蒸气、氨及氨的有机衍生物及硫化氢气体 滤</w:t>
            </w:r>
            <w:r>
              <w:rPr>
                <w:rFonts w:ascii="宋体" w:hAnsi="宋体" w:cs="宋体"/>
                <w:color w:val="auto"/>
                <w:sz w:val="20"/>
                <w:szCs w:val="20"/>
                <w:highlight w:val="none"/>
              </w:rPr>
              <w:t>棉</w:t>
            </w:r>
            <w:r>
              <w:rPr>
                <w:rFonts w:hint="eastAsia" w:ascii="宋体" w:hAnsi="宋体" w:cs="宋体"/>
                <w:color w:val="auto"/>
                <w:szCs w:val="21"/>
                <w:highlight w:val="none"/>
              </w:rPr>
              <w:t>≧95.0%</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吸痰器</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工作原理：采用无油润滑负压泵，产生负压进行负压吸引。.</w:t>
            </w:r>
          </w:p>
          <w:p>
            <w:pPr>
              <w:rPr>
                <w:rFonts w:ascii="宋体" w:hAnsi="宋体" w:cs="宋体"/>
                <w:color w:val="auto"/>
                <w:sz w:val="20"/>
                <w:szCs w:val="20"/>
                <w:highlight w:val="none"/>
              </w:rPr>
            </w:pPr>
            <w:r>
              <w:rPr>
                <w:rFonts w:hint="eastAsia" w:ascii="宋体" w:hAnsi="宋体" w:cs="宋体"/>
                <w:color w:val="auto"/>
                <w:sz w:val="20"/>
                <w:szCs w:val="20"/>
                <w:highlight w:val="none"/>
              </w:rPr>
              <w:t>执行标准：YZB/苏01 44-2002</w:t>
            </w:r>
          </w:p>
          <w:p>
            <w:pPr>
              <w:rPr>
                <w:rFonts w:ascii="宋体" w:hAnsi="宋体" w:cs="宋体"/>
                <w:color w:val="auto"/>
                <w:sz w:val="20"/>
                <w:szCs w:val="20"/>
                <w:highlight w:val="none"/>
              </w:rPr>
            </w:pPr>
            <w:r>
              <w:rPr>
                <w:rFonts w:hint="eastAsia" w:ascii="宋体" w:hAnsi="宋体" w:cs="宋体"/>
                <w:color w:val="auto"/>
                <w:sz w:val="20"/>
                <w:szCs w:val="20"/>
                <w:highlight w:val="none"/>
              </w:rPr>
              <w:t>主要材料：塑料</w:t>
            </w:r>
          </w:p>
          <w:p>
            <w:pPr>
              <w:rPr>
                <w:rFonts w:ascii="宋体" w:hAnsi="宋体" w:cs="宋体"/>
                <w:color w:val="auto"/>
                <w:sz w:val="20"/>
                <w:szCs w:val="20"/>
                <w:highlight w:val="none"/>
              </w:rPr>
            </w:pPr>
            <w:r>
              <w:rPr>
                <w:rFonts w:hint="eastAsia" w:ascii="宋体" w:hAnsi="宋体" w:cs="宋体"/>
                <w:color w:val="auto"/>
                <w:sz w:val="20"/>
                <w:szCs w:val="20"/>
                <w:highlight w:val="none"/>
              </w:rPr>
              <w:t>电源电压: AC220V t 22V, 50Hz t 1Hz</w:t>
            </w:r>
          </w:p>
          <w:p>
            <w:pPr>
              <w:rPr>
                <w:rFonts w:ascii="宋体" w:hAnsi="宋体" w:cs="宋体"/>
                <w:color w:val="auto"/>
                <w:sz w:val="20"/>
                <w:szCs w:val="20"/>
                <w:highlight w:val="none"/>
              </w:rPr>
            </w:pPr>
            <w:r>
              <w:rPr>
                <w:rFonts w:hint="eastAsia" w:ascii="宋体" w:hAnsi="宋体" w:cs="宋体"/>
                <w:color w:val="auto"/>
                <w:sz w:val="20"/>
                <w:szCs w:val="20"/>
                <w:highlight w:val="none"/>
              </w:rPr>
              <w:t>输入功率: 90VA</w:t>
            </w:r>
          </w:p>
          <w:p>
            <w:pPr>
              <w:rPr>
                <w:rFonts w:ascii="宋体" w:hAnsi="宋体" w:cs="宋体"/>
                <w:color w:val="auto"/>
                <w:sz w:val="20"/>
                <w:szCs w:val="20"/>
                <w:highlight w:val="none"/>
              </w:rPr>
            </w:pPr>
            <w:r>
              <w:rPr>
                <w:rFonts w:hint="eastAsia" w:ascii="宋体" w:hAnsi="宋体" w:cs="宋体"/>
                <w:color w:val="auto"/>
                <w:sz w:val="20"/>
                <w:szCs w:val="20"/>
                <w:highlight w:val="none"/>
              </w:rPr>
              <w:t>极限负压值: ≥0.075MPa</w:t>
            </w:r>
          </w:p>
          <w:p>
            <w:pPr>
              <w:rPr>
                <w:rFonts w:ascii="宋体" w:hAnsi="宋体" w:cs="宋体"/>
                <w:color w:val="auto"/>
                <w:sz w:val="20"/>
                <w:szCs w:val="20"/>
                <w:highlight w:val="none"/>
              </w:rPr>
            </w:pPr>
            <w:r>
              <w:rPr>
                <w:rFonts w:hint="eastAsia" w:ascii="宋体" w:hAnsi="宋体" w:cs="宋体"/>
                <w:color w:val="auto"/>
                <w:sz w:val="20"/>
                <w:szCs w:val="20"/>
                <w:highlight w:val="none"/>
              </w:rPr>
              <w:t>技术参数：负压调节范围: 0.02MPa~ 极限负压值</w:t>
            </w:r>
          </w:p>
          <w:p>
            <w:pPr>
              <w:rPr>
                <w:rFonts w:ascii="宋体" w:hAnsi="宋体" w:cs="宋体"/>
                <w:color w:val="auto"/>
                <w:sz w:val="20"/>
                <w:szCs w:val="20"/>
                <w:highlight w:val="none"/>
              </w:rPr>
            </w:pPr>
            <w:r>
              <w:rPr>
                <w:rFonts w:hint="eastAsia" w:ascii="宋体" w:hAnsi="宋体" w:cs="宋体"/>
                <w:color w:val="auto"/>
                <w:sz w:val="20"/>
                <w:szCs w:val="20"/>
                <w:highlight w:val="none"/>
              </w:rPr>
              <w:t>噪音: ≤ 65dB(A)</w:t>
            </w:r>
          </w:p>
          <w:p>
            <w:pPr>
              <w:rPr>
                <w:rFonts w:ascii="宋体" w:hAnsi="宋体" w:cs="宋体"/>
                <w:color w:val="auto"/>
                <w:sz w:val="20"/>
                <w:szCs w:val="20"/>
                <w:highlight w:val="none"/>
              </w:rPr>
            </w:pPr>
            <w:r>
              <w:rPr>
                <w:rFonts w:hint="eastAsia" w:ascii="宋体" w:hAnsi="宋体" w:cs="宋体"/>
                <w:color w:val="auto"/>
                <w:sz w:val="20"/>
                <w:szCs w:val="20"/>
                <w:highlight w:val="none"/>
              </w:rPr>
              <w:t>抽气速率: ≥18L/min(7E-A)、15L/min(7E-B)</w:t>
            </w:r>
          </w:p>
          <w:p>
            <w:pPr>
              <w:rPr>
                <w:rFonts w:ascii="宋体" w:hAnsi="宋体" w:cs="宋体"/>
                <w:color w:val="auto"/>
                <w:sz w:val="20"/>
                <w:szCs w:val="20"/>
                <w:highlight w:val="none"/>
              </w:rPr>
            </w:pPr>
            <w:r>
              <w:rPr>
                <w:rFonts w:hint="eastAsia" w:ascii="宋体" w:hAnsi="宋体" w:cs="宋体"/>
                <w:color w:val="auto"/>
                <w:sz w:val="20"/>
                <w:szCs w:val="20"/>
                <w:highlight w:val="none"/>
              </w:rPr>
              <w:t>贮液瓶: 1000mL， 1只</w:t>
            </w:r>
          </w:p>
          <w:p>
            <w:pPr>
              <w:rPr>
                <w:rFonts w:ascii="宋体" w:hAnsi="宋体" w:cs="宋体"/>
                <w:color w:val="auto"/>
                <w:sz w:val="20"/>
                <w:szCs w:val="20"/>
                <w:highlight w:val="none"/>
              </w:rPr>
            </w:pPr>
            <w:r>
              <w:rPr>
                <w:rFonts w:hint="eastAsia" w:ascii="宋体" w:hAnsi="宋体" w:cs="宋体"/>
                <w:color w:val="auto"/>
                <w:sz w:val="20"/>
                <w:szCs w:val="20"/>
                <w:highlight w:val="none"/>
              </w:rPr>
              <w:t>外形尺寸：280X1 96X285mm</w:t>
            </w:r>
          </w:p>
          <w:p>
            <w:pPr>
              <w:rPr>
                <w:rFonts w:ascii="宋体" w:hAnsi="宋体" w:cs="宋体"/>
                <w:color w:val="auto"/>
                <w:sz w:val="20"/>
                <w:szCs w:val="20"/>
                <w:highlight w:val="none"/>
              </w:rPr>
            </w:pPr>
            <w:r>
              <w:rPr>
                <w:rFonts w:hint="eastAsia" w:ascii="宋体" w:hAnsi="宋体" w:cs="宋体"/>
                <w:color w:val="auto"/>
                <w:sz w:val="20"/>
                <w:szCs w:val="20"/>
                <w:highlight w:val="none"/>
              </w:rPr>
              <w:t>包装数量：2台/件</w:t>
            </w:r>
          </w:p>
          <w:p>
            <w:pPr>
              <w:rPr>
                <w:rFonts w:ascii="宋体" w:hAnsi="宋体" w:cs="宋体"/>
                <w:color w:val="auto"/>
                <w:sz w:val="20"/>
                <w:szCs w:val="20"/>
                <w:highlight w:val="none"/>
              </w:rPr>
            </w:pPr>
            <w:r>
              <w:rPr>
                <w:rFonts w:hint="eastAsia" w:ascii="宋体" w:hAnsi="宋体" w:cs="宋体"/>
                <w:color w:val="auto"/>
                <w:sz w:val="20"/>
                <w:szCs w:val="20"/>
                <w:highlight w:val="none"/>
              </w:rPr>
              <w:t>包装尺寸：545X370X320mm</w:t>
            </w:r>
          </w:p>
          <w:p>
            <w:pPr>
              <w:rPr>
                <w:rFonts w:ascii="宋体" w:hAnsi="宋体" w:cs="宋体"/>
                <w:color w:val="auto"/>
                <w:sz w:val="20"/>
                <w:szCs w:val="20"/>
                <w:highlight w:val="none"/>
              </w:rPr>
            </w:pPr>
            <w:r>
              <w:rPr>
                <w:rFonts w:hint="eastAsia" w:ascii="宋体" w:hAnsi="宋体" w:cs="宋体"/>
                <w:color w:val="auto"/>
                <w:sz w:val="20"/>
                <w:szCs w:val="20"/>
                <w:highlight w:val="none"/>
              </w:rPr>
              <w:t>毛重/净重：11.5/9kg</w:t>
            </w:r>
          </w:p>
          <w:p>
            <w:pPr>
              <w:rPr>
                <w:rFonts w:ascii="宋体" w:hAnsi="宋体" w:cs="宋体"/>
                <w:color w:val="auto"/>
                <w:sz w:val="20"/>
                <w:szCs w:val="20"/>
                <w:highlight w:val="none"/>
              </w:rPr>
            </w:pPr>
            <w:r>
              <w:rPr>
                <w:rFonts w:hint="eastAsia" w:ascii="宋体" w:hAnsi="宋体" w:cs="宋体"/>
                <w:color w:val="auto"/>
                <w:sz w:val="20"/>
                <w:szCs w:val="20"/>
                <w:highlight w:val="none"/>
              </w:rPr>
              <w:t>附件清单</w:t>
            </w:r>
          </w:p>
          <w:p>
            <w:pPr>
              <w:rPr>
                <w:rFonts w:ascii="宋体" w:hAnsi="宋体" w:cs="宋体"/>
                <w:color w:val="auto"/>
                <w:sz w:val="20"/>
                <w:szCs w:val="20"/>
                <w:highlight w:val="none"/>
              </w:rPr>
            </w:pPr>
            <w:r>
              <w:rPr>
                <w:rFonts w:hint="eastAsia" w:ascii="宋体" w:hAnsi="宋体" w:cs="宋体"/>
                <w:color w:val="auto"/>
                <w:sz w:val="20"/>
                <w:szCs w:val="20"/>
                <w:highlight w:val="none"/>
              </w:rPr>
              <w:t>空气过滤器2只、吸引软导管(长度2米)1根、</w:t>
            </w:r>
          </w:p>
          <w:p>
            <w:pPr>
              <w:rPr>
                <w:rFonts w:ascii="宋体" w:hAnsi="宋体" w:cs="宋体"/>
                <w:color w:val="auto"/>
                <w:sz w:val="20"/>
                <w:szCs w:val="20"/>
                <w:highlight w:val="none"/>
              </w:rPr>
            </w:pPr>
            <w:r>
              <w:rPr>
                <w:rFonts w:hint="eastAsia" w:ascii="宋体" w:hAnsi="宋体" w:cs="宋体"/>
                <w:color w:val="auto"/>
                <w:sz w:val="20"/>
                <w:szCs w:val="20"/>
                <w:highlight w:val="none"/>
              </w:rPr>
              <w:t>吸痰管(F8、F12)各1根(7E-A)、 吸痰管(F8)1根(7E-B).</w:t>
            </w:r>
          </w:p>
          <w:p>
            <w:pPr>
              <w:rPr>
                <w:rFonts w:ascii="宋体" w:hAnsi="宋体" w:cs="宋体"/>
                <w:color w:val="auto"/>
                <w:sz w:val="20"/>
                <w:szCs w:val="20"/>
                <w:highlight w:val="none"/>
              </w:rPr>
            </w:pPr>
            <w:r>
              <w:rPr>
                <w:rFonts w:hint="eastAsia" w:ascii="宋体" w:hAnsi="宋体" w:cs="宋体"/>
                <w:color w:val="auto"/>
                <w:sz w:val="20"/>
                <w:szCs w:val="20"/>
                <w:highlight w:val="none"/>
              </w:rPr>
              <w:t>熔丝管(RF1 φ5X20/1.5A)2只</w:t>
            </w:r>
          </w:p>
          <w:p>
            <w:pPr>
              <w:rPr>
                <w:rFonts w:ascii="宋体" w:hAnsi="宋体" w:cs="宋体"/>
                <w:color w:val="auto"/>
                <w:sz w:val="20"/>
                <w:szCs w:val="20"/>
                <w:highlight w:val="none"/>
              </w:rPr>
            </w:pP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负压吸引器</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采用全塑面板设计,造型独特新颖、美观。具有移动方便，低噪音、</w:t>
            </w:r>
          </w:p>
          <w:p>
            <w:pPr>
              <w:rPr>
                <w:rFonts w:ascii="宋体" w:hAnsi="宋体" w:cs="宋体"/>
                <w:color w:val="auto"/>
                <w:sz w:val="20"/>
                <w:szCs w:val="20"/>
                <w:highlight w:val="none"/>
              </w:rPr>
            </w:pPr>
            <w:r>
              <w:rPr>
                <w:rFonts w:hint="eastAsia" w:ascii="宋体" w:hAnsi="宋体" w:cs="宋体"/>
                <w:color w:val="auto"/>
                <w:sz w:val="20"/>
                <w:szCs w:val="20"/>
                <w:highlight w:val="none"/>
              </w:rPr>
              <w:t>高负压,大流量的特点。适用于各医疗单位手术时需吸引脓血、脓痰和粘质液体及其他</w:t>
            </w:r>
          </w:p>
          <w:p>
            <w:pPr>
              <w:rPr>
                <w:rFonts w:ascii="宋体" w:hAnsi="宋体" w:cs="宋体"/>
                <w:color w:val="auto"/>
                <w:sz w:val="20"/>
                <w:szCs w:val="20"/>
                <w:highlight w:val="none"/>
              </w:rPr>
            </w:pPr>
            <w:r>
              <w:rPr>
                <w:rFonts w:hint="eastAsia" w:ascii="宋体" w:hAnsi="宋体" w:cs="宋体"/>
                <w:color w:val="auto"/>
                <w:sz w:val="20"/>
                <w:szCs w:val="20"/>
                <w:highlight w:val="none"/>
              </w:rPr>
              <w:t>需要负压吸引的场合。</w:t>
            </w:r>
          </w:p>
          <w:p>
            <w:pPr>
              <w:rPr>
                <w:rFonts w:ascii="宋体" w:hAnsi="宋体" w:cs="宋体"/>
                <w:color w:val="auto"/>
                <w:sz w:val="20"/>
                <w:szCs w:val="20"/>
                <w:highlight w:val="none"/>
              </w:rPr>
            </w:pPr>
            <w:r>
              <w:rPr>
                <w:rFonts w:hint="eastAsia" w:ascii="宋体" w:hAnsi="宋体" w:cs="宋体"/>
                <w:color w:val="auto"/>
                <w:sz w:val="20"/>
                <w:szCs w:val="20"/>
                <w:highlight w:val="none"/>
              </w:rPr>
              <w:t>1、负压源采用无油式活塞泵</w:t>
            </w:r>
          </w:p>
          <w:p>
            <w:pPr>
              <w:rPr>
                <w:rFonts w:ascii="宋体" w:hAnsi="宋体" w:cs="宋体"/>
                <w:color w:val="auto"/>
                <w:sz w:val="20"/>
                <w:szCs w:val="20"/>
                <w:highlight w:val="none"/>
              </w:rPr>
            </w:pPr>
            <w:r>
              <w:rPr>
                <w:rFonts w:hint="eastAsia" w:ascii="宋体" w:hAnsi="宋体" w:cs="宋体"/>
                <w:color w:val="auto"/>
                <w:sz w:val="20"/>
                <w:szCs w:val="20"/>
                <w:highlight w:val="none"/>
              </w:rPr>
              <w:t>2、环保清洁-完全没有油烟污染</w:t>
            </w:r>
          </w:p>
          <w:p>
            <w:pPr>
              <w:rPr>
                <w:rFonts w:ascii="宋体" w:hAnsi="宋体" w:cs="宋体"/>
                <w:color w:val="auto"/>
                <w:sz w:val="20"/>
                <w:szCs w:val="20"/>
                <w:highlight w:val="none"/>
              </w:rPr>
            </w:pPr>
            <w:r>
              <w:rPr>
                <w:rFonts w:hint="eastAsia" w:ascii="宋体" w:hAnsi="宋体" w:cs="宋体"/>
                <w:color w:val="auto"/>
                <w:sz w:val="20"/>
                <w:szCs w:val="20"/>
                <w:highlight w:val="none"/>
              </w:rPr>
              <w:t>3、方便省事-无需8常加油保养</w:t>
            </w:r>
          </w:p>
          <w:p>
            <w:pPr>
              <w:rPr>
                <w:rFonts w:ascii="宋体" w:hAnsi="宋体" w:cs="宋体"/>
                <w:color w:val="auto"/>
                <w:sz w:val="20"/>
                <w:szCs w:val="20"/>
                <w:highlight w:val="none"/>
              </w:rPr>
            </w:pPr>
            <w:r>
              <w:rPr>
                <w:rFonts w:hint="eastAsia" w:ascii="宋体" w:hAnsi="宋体" w:cs="宋体"/>
                <w:color w:val="auto"/>
                <w:sz w:val="20"/>
                <w:szCs w:val="20"/>
                <w:highlight w:val="none"/>
              </w:rPr>
              <w:t>4、安全放心-使用绝无正压产生</w:t>
            </w:r>
          </w:p>
          <w:p>
            <w:pPr>
              <w:rPr>
                <w:rFonts w:ascii="宋体" w:hAnsi="宋体" w:cs="宋体"/>
                <w:color w:val="auto"/>
                <w:sz w:val="20"/>
                <w:szCs w:val="20"/>
                <w:highlight w:val="none"/>
              </w:rPr>
            </w:pPr>
            <w:r>
              <w:rPr>
                <w:rFonts w:hint="eastAsia" w:ascii="宋体" w:hAnsi="宋体" w:cs="宋体"/>
                <w:color w:val="auto"/>
                <w:sz w:val="20"/>
                <w:szCs w:val="20"/>
                <w:highlight w:val="none"/>
              </w:rPr>
              <w:t>主要技术指标:</w:t>
            </w:r>
          </w:p>
          <w:p>
            <w:pPr>
              <w:rPr>
                <w:rFonts w:ascii="宋体" w:hAnsi="宋体" w:cs="宋体"/>
                <w:color w:val="auto"/>
                <w:sz w:val="20"/>
                <w:szCs w:val="20"/>
                <w:highlight w:val="none"/>
              </w:rPr>
            </w:pPr>
            <w:r>
              <w:rPr>
                <w:rFonts w:hint="eastAsia" w:ascii="宋体" w:hAnsi="宋体" w:cs="宋体"/>
                <w:color w:val="auto"/>
                <w:sz w:val="20"/>
                <w:szCs w:val="20"/>
                <w:highlight w:val="none"/>
              </w:rPr>
              <w:t>电源:AC220V+22V, 50Hz土1Hz</w:t>
            </w:r>
          </w:p>
          <w:p>
            <w:pPr>
              <w:rPr>
                <w:rFonts w:ascii="宋体" w:hAnsi="宋体" w:cs="宋体"/>
                <w:color w:val="auto"/>
                <w:sz w:val="20"/>
                <w:szCs w:val="20"/>
                <w:highlight w:val="none"/>
              </w:rPr>
            </w:pPr>
            <w:r>
              <w:rPr>
                <w:rFonts w:hint="eastAsia" w:ascii="宋体" w:hAnsi="宋体" w:cs="宋体"/>
                <w:color w:val="auto"/>
                <w:sz w:val="20"/>
                <w:szCs w:val="20"/>
                <w:highlight w:val="none"/>
              </w:rPr>
              <w:t>极限负压值:≥0.08MPa</w:t>
            </w:r>
          </w:p>
          <w:p>
            <w:pPr>
              <w:rPr>
                <w:rFonts w:ascii="宋体" w:hAnsi="宋体" w:cs="宋体"/>
                <w:color w:val="auto"/>
                <w:sz w:val="20"/>
                <w:szCs w:val="20"/>
                <w:highlight w:val="none"/>
              </w:rPr>
            </w:pPr>
            <w:r>
              <w:rPr>
                <w:rFonts w:hint="eastAsia" w:ascii="宋体" w:hAnsi="宋体" w:cs="宋体"/>
                <w:color w:val="auto"/>
                <w:sz w:val="20"/>
                <w:szCs w:val="20"/>
                <w:highlight w:val="none"/>
              </w:rPr>
              <w:t>噪音:≤65dB(A)</w:t>
            </w:r>
          </w:p>
          <w:p>
            <w:pPr>
              <w:rPr>
                <w:rFonts w:ascii="宋体" w:hAnsi="宋体" w:cs="宋体"/>
                <w:color w:val="auto"/>
                <w:sz w:val="20"/>
                <w:szCs w:val="20"/>
                <w:highlight w:val="none"/>
              </w:rPr>
            </w:pPr>
            <w:r>
              <w:rPr>
                <w:rFonts w:hint="eastAsia" w:ascii="宋体" w:hAnsi="宋体" w:cs="宋体"/>
                <w:color w:val="auto"/>
                <w:sz w:val="20"/>
                <w:szCs w:val="20"/>
                <w:highlight w:val="none"/>
              </w:rPr>
              <w:t>输入功率:180VA</w:t>
            </w:r>
          </w:p>
          <w:p>
            <w:pPr>
              <w:rPr>
                <w:rFonts w:ascii="宋体" w:hAnsi="宋体" w:cs="宋体"/>
                <w:color w:val="auto"/>
                <w:sz w:val="20"/>
                <w:szCs w:val="20"/>
                <w:highlight w:val="none"/>
              </w:rPr>
            </w:pPr>
            <w:r>
              <w:rPr>
                <w:rFonts w:hint="eastAsia" w:ascii="宋体" w:hAnsi="宋体" w:cs="宋体"/>
                <w:color w:val="auto"/>
                <w:sz w:val="20"/>
                <w:szCs w:val="20"/>
                <w:highlight w:val="none"/>
              </w:rPr>
              <w:t>抽气速率:≥20L/min</w:t>
            </w:r>
          </w:p>
          <w:p>
            <w:pPr>
              <w:rPr>
                <w:rFonts w:ascii="宋体" w:hAnsi="宋体" w:cs="宋体"/>
                <w:color w:val="auto"/>
                <w:sz w:val="20"/>
                <w:szCs w:val="20"/>
                <w:highlight w:val="none"/>
              </w:rPr>
            </w:pPr>
            <w:r>
              <w:rPr>
                <w:rFonts w:hint="eastAsia" w:ascii="宋体" w:hAnsi="宋体" w:cs="宋体"/>
                <w:color w:val="auto"/>
                <w:sz w:val="20"/>
                <w:szCs w:val="20"/>
                <w:highlight w:val="none"/>
              </w:rPr>
              <w:t>贮液瓶:2500mL/只,2只</w:t>
            </w:r>
          </w:p>
          <w:p>
            <w:pPr>
              <w:rPr>
                <w:rFonts w:ascii="宋体" w:hAnsi="宋体" w:cs="宋体"/>
                <w:color w:val="auto"/>
                <w:sz w:val="20"/>
                <w:szCs w:val="20"/>
                <w:highlight w:val="none"/>
              </w:rPr>
            </w:pPr>
            <w:r>
              <w:rPr>
                <w:rFonts w:ascii="宋体" w:hAnsi="宋体" w:cs="宋体"/>
                <w:color w:val="auto"/>
                <w:sz w:val="20"/>
                <w:szCs w:val="20"/>
                <w:highlight w:val="none"/>
              </w:rPr>
              <w:t>+</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胎心多普勒仪</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numPr>
                <w:ilvl w:val="0"/>
                <w:numId w:val="5"/>
              </w:numPr>
              <w:tabs>
                <w:tab w:val="left" w:pos="525"/>
                <w:tab w:val="left" w:pos="630"/>
              </w:tabs>
              <w:spacing w:line="480" w:lineRule="auto"/>
              <w:rPr>
                <w:rFonts w:ascii="宋体" w:hAnsi="宋体"/>
                <w:color w:val="auto"/>
                <w:sz w:val="20"/>
                <w:szCs w:val="20"/>
                <w:highlight w:val="none"/>
              </w:rPr>
            </w:pPr>
            <w:r>
              <w:rPr>
                <w:rFonts w:hint="eastAsia" w:ascii="宋体" w:hAnsi="宋体"/>
                <w:color w:val="auto"/>
                <w:sz w:val="20"/>
                <w:szCs w:val="20"/>
                <w:highlight w:val="none"/>
              </w:rPr>
              <w:t>主要用途：胎心音听诊、胎心率显示</w:t>
            </w:r>
          </w:p>
          <w:p>
            <w:pPr>
              <w:numPr>
                <w:ilvl w:val="0"/>
                <w:numId w:val="5"/>
              </w:numPr>
              <w:tabs>
                <w:tab w:val="left" w:pos="525"/>
                <w:tab w:val="left" w:pos="630"/>
              </w:tabs>
              <w:spacing w:line="480" w:lineRule="auto"/>
              <w:rPr>
                <w:rFonts w:ascii="宋体" w:hAnsi="宋体"/>
                <w:color w:val="auto"/>
                <w:sz w:val="20"/>
                <w:szCs w:val="20"/>
                <w:highlight w:val="none"/>
              </w:rPr>
            </w:pPr>
            <w:r>
              <w:rPr>
                <w:rFonts w:hint="eastAsia" w:ascii="宋体" w:hAnsi="宋体"/>
                <w:color w:val="auto"/>
                <w:sz w:val="20"/>
                <w:szCs w:val="20"/>
                <w:highlight w:val="none"/>
              </w:rPr>
              <w:t>胎心率显示为发光二极管显示</w:t>
            </w:r>
          </w:p>
          <w:p>
            <w:pPr>
              <w:numPr>
                <w:ilvl w:val="0"/>
                <w:numId w:val="5"/>
              </w:numPr>
              <w:tabs>
                <w:tab w:val="left" w:pos="525"/>
                <w:tab w:val="left" w:pos="630"/>
              </w:tabs>
              <w:spacing w:line="480" w:lineRule="auto"/>
              <w:rPr>
                <w:rFonts w:ascii="宋体" w:hAnsi="宋体"/>
                <w:color w:val="auto"/>
                <w:sz w:val="20"/>
                <w:szCs w:val="20"/>
                <w:highlight w:val="none"/>
              </w:rPr>
            </w:pPr>
            <w:r>
              <w:rPr>
                <w:rFonts w:hint="eastAsia" w:ascii="宋体" w:hAnsi="宋体"/>
                <w:color w:val="auto"/>
                <w:sz w:val="20"/>
                <w:szCs w:val="20"/>
                <w:highlight w:val="none"/>
              </w:rPr>
              <w:t>双探头设计，满足孕期早晚期不同需要</w:t>
            </w:r>
          </w:p>
          <w:p>
            <w:pPr>
              <w:numPr>
                <w:ilvl w:val="0"/>
                <w:numId w:val="5"/>
              </w:numPr>
              <w:tabs>
                <w:tab w:val="left" w:pos="525"/>
                <w:tab w:val="left" w:pos="630"/>
              </w:tabs>
              <w:spacing w:line="480" w:lineRule="auto"/>
              <w:rPr>
                <w:rFonts w:ascii="宋体" w:hAnsi="宋体"/>
                <w:color w:val="auto"/>
                <w:sz w:val="20"/>
                <w:szCs w:val="20"/>
                <w:highlight w:val="none"/>
              </w:rPr>
            </w:pPr>
            <w:r>
              <w:rPr>
                <w:rFonts w:hint="eastAsia" w:ascii="宋体" w:hAnsi="宋体"/>
                <w:color w:val="auto"/>
                <w:sz w:val="20"/>
                <w:szCs w:val="20"/>
                <w:highlight w:val="none"/>
              </w:rPr>
              <w:t>探头接受胎心信息灵敏高，可靠性强</w:t>
            </w:r>
          </w:p>
          <w:p>
            <w:pPr>
              <w:numPr>
                <w:ilvl w:val="0"/>
                <w:numId w:val="5"/>
              </w:numPr>
              <w:tabs>
                <w:tab w:val="left" w:pos="525"/>
                <w:tab w:val="left" w:pos="630"/>
              </w:tabs>
              <w:spacing w:line="480" w:lineRule="auto"/>
              <w:rPr>
                <w:rFonts w:ascii="宋体" w:hAnsi="宋体"/>
                <w:color w:val="auto"/>
                <w:sz w:val="20"/>
                <w:szCs w:val="20"/>
                <w:highlight w:val="none"/>
              </w:rPr>
            </w:pPr>
            <w:r>
              <w:rPr>
                <w:rFonts w:hint="eastAsia" w:ascii="宋体" w:hAnsi="宋体"/>
                <w:color w:val="auto"/>
                <w:sz w:val="20"/>
                <w:szCs w:val="20"/>
                <w:highlight w:val="none"/>
              </w:rPr>
              <w:t>性能稳定，噪音低，外型美观，便于携带</w:t>
            </w:r>
          </w:p>
          <w:p>
            <w:pPr>
              <w:numPr>
                <w:ilvl w:val="0"/>
                <w:numId w:val="5"/>
              </w:numPr>
              <w:tabs>
                <w:tab w:val="left" w:pos="525"/>
                <w:tab w:val="left" w:pos="630"/>
              </w:tabs>
              <w:spacing w:line="480" w:lineRule="auto"/>
              <w:rPr>
                <w:rFonts w:ascii="宋体" w:hAnsi="宋体"/>
                <w:color w:val="auto"/>
                <w:sz w:val="20"/>
                <w:szCs w:val="20"/>
                <w:highlight w:val="none"/>
              </w:rPr>
            </w:pPr>
            <w:r>
              <w:rPr>
                <w:rFonts w:hint="eastAsia" w:ascii="宋体" w:hAnsi="宋体"/>
                <w:color w:val="auto"/>
                <w:sz w:val="20"/>
                <w:szCs w:val="20"/>
                <w:highlight w:val="none"/>
              </w:rPr>
              <w:t>操作简单，每个探头均有保护座随机可存储耦合剂</w:t>
            </w:r>
          </w:p>
          <w:p>
            <w:pPr>
              <w:numPr>
                <w:ilvl w:val="0"/>
                <w:numId w:val="5"/>
              </w:numPr>
              <w:tabs>
                <w:tab w:val="left" w:pos="525"/>
                <w:tab w:val="left" w:pos="630"/>
              </w:tabs>
              <w:spacing w:line="480" w:lineRule="auto"/>
              <w:rPr>
                <w:rFonts w:ascii="宋体" w:hAnsi="宋体"/>
                <w:color w:val="auto"/>
                <w:sz w:val="20"/>
                <w:szCs w:val="20"/>
                <w:highlight w:val="none"/>
              </w:rPr>
            </w:pPr>
            <w:r>
              <w:rPr>
                <w:rFonts w:hint="eastAsia" w:ascii="宋体" w:hAnsi="宋体"/>
                <w:color w:val="auto"/>
                <w:sz w:val="20"/>
                <w:szCs w:val="20"/>
                <w:highlight w:val="none"/>
              </w:rPr>
              <w:t>可检测出9周的胎儿心血管壁的搏动</w:t>
            </w:r>
          </w:p>
          <w:p>
            <w:pPr>
              <w:numPr>
                <w:ilvl w:val="0"/>
                <w:numId w:val="5"/>
              </w:numPr>
              <w:tabs>
                <w:tab w:val="left" w:pos="525"/>
                <w:tab w:val="left" w:pos="630"/>
                <w:tab w:val="left" w:pos="735"/>
                <w:tab w:val="left" w:pos="840"/>
              </w:tabs>
              <w:spacing w:line="480" w:lineRule="auto"/>
              <w:rPr>
                <w:rFonts w:ascii="宋体" w:hAnsi="宋体"/>
                <w:color w:val="auto"/>
                <w:sz w:val="20"/>
                <w:szCs w:val="20"/>
                <w:highlight w:val="none"/>
              </w:rPr>
            </w:pPr>
            <w:r>
              <w:rPr>
                <w:rFonts w:hint="eastAsia" w:ascii="宋体" w:hAnsi="宋体"/>
                <w:color w:val="auto"/>
                <w:sz w:val="20"/>
                <w:szCs w:val="20"/>
                <w:highlight w:val="none"/>
              </w:rPr>
              <w:t>探头超声频率：</w:t>
            </w:r>
            <w:r>
              <w:rPr>
                <w:rFonts w:ascii="宋体" w:hAnsi="宋体"/>
                <w:color w:val="auto"/>
                <w:sz w:val="20"/>
                <w:szCs w:val="20"/>
                <w:highlight w:val="none"/>
              </w:rPr>
              <w:t>2.2</w:t>
            </w:r>
            <w:r>
              <w:rPr>
                <w:rFonts w:hint="eastAsia" w:ascii="宋体" w:hAnsi="宋体"/>
                <w:color w:val="auto"/>
                <w:sz w:val="20"/>
                <w:szCs w:val="20"/>
                <w:highlight w:val="none"/>
              </w:rPr>
              <w:t>或</w:t>
            </w:r>
            <w:r>
              <w:rPr>
                <w:rFonts w:ascii="宋体" w:hAnsi="宋体"/>
                <w:color w:val="auto"/>
                <w:sz w:val="20"/>
                <w:szCs w:val="20"/>
                <w:highlight w:val="none"/>
              </w:rPr>
              <w:t>3.3</w:t>
            </w:r>
            <w:r>
              <w:rPr>
                <w:rFonts w:hint="eastAsia" w:ascii="宋体" w:hAnsi="宋体"/>
                <w:color w:val="auto"/>
                <w:sz w:val="20"/>
                <w:szCs w:val="20"/>
                <w:highlight w:val="none"/>
              </w:rPr>
              <w:t xml:space="preserve">MHZ±3%连续波； </w:t>
            </w:r>
          </w:p>
          <w:p>
            <w:pPr>
              <w:numPr>
                <w:ilvl w:val="0"/>
                <w:numId w:val="5"/>
              </w:numPr>
              <w:tabs>
                <w:tab w:val="left" w:pos="525"/>
                <w:tab w:val="left" w:pos="630"/>
                <w:tab w:val="left" w:pos="735"/>
                <w:tab w:val="left" w:pos="840"/>
              </w:tabs>
              <w:spacing w:line="480" w:lineRule="auto"/>
              <w:rPr>
                <w:rFonts w:ascii="宋体" w:hAnsi="宋体"/>
                <w:color w:val="auto"/>
                <w:sz w:val="20"/>
                <w:szCs w:val="20"/>
                <w:highlight w:val="none"/>
              </w:rPr>
            </w:pPr>
            <w:r>
              <w:rPr>
                <w:rFonts w:hint="eastAsia" w:ascii="宋体" w:hAnsi="宋体"/>
                <w:color w:val="auto"/>
                <w:sz w:val="20"/>
                <w:szCs w:val="20"/>
                <w:highlight w:val="none"/>
              </w:rPr>
              <w:t>探头超声功率：≤</w:t>
            </w:r>
            <w:r>
              <w:rPr>
                <w:rFonts w:ascii="宋体" w:hAnsi="宋体"/>
                <w:color w:val="auto"/>
                <w:sz w:val="20"/>
                <w:szCs w:val="20"/>
                <w:highlight w:val="none"/>
              </w:rPr>
              <w:t>5mW/cm</w:t>
            </w:r>
            <w:r>
              <w:rPr>
                <w:rFonts w:ascii="宋体" w:hAnsi="宋体"/>
                <w:color w:val="auto"/>
                <w:sz w:val="20"/>
                <w:szCs w:val="20"/>
                <w:highlight w:val="none"/>
                <w:vertAlign w:val="superscript"/>
              </w:rPr>
              <w:t>2</w:t>
            </w:r>
            <w:r>
              <w:rPr>
                <w:rFonts w:hint="eastAsia" w:ascii="宋体" w:hAnsi="宋体"/>
                <w:color w:val="auto"/>
                <w:sz w:val="20"/>
                <w:szCs w:val="20"/>
                <w:highlight w:val="none"/>
                <w:vertAlign w:val="superscript"/>
              </w:rPr>
              <w:t xml:space="preserve">   </w:t>
            </w:r>
          </w:p>
          <w:p>
            <w:pPr>
              <w:numPr>
                <w:ilvl w:val="0"/>
                <w:numId w:val="5"/>
              </w:numPr>
              <w:tabs>
                <w:tab w:val="left" w:pos="525"/>
                <w:tab w:val="left" w:pos="630"/>
                <w:tab w:val="left" w:pos="735"/>
                <w:tab w:val="left" w:pos="840"/>
              </w:tabs>
              <w:spacing w:line="480" w:lineRule="auto"/>
              <w:rPr>
                <w:rFonts w:ascii="宋体" w:hAnsi="宋体"/>
                <w:color w:val="auto"/>
                <w:sz w:val="20"/>
                <w:szCs w:val="20"/>
                <w:highlight w:val="none"/>
              </w:rPr>
            </w:pPr>
            <w:r>
              <w:rPr>
                <w:rFonts w:hint="eastAsia" w:ascii="宋体" w:hAnsi="宋体"/>
                <w:color w:val="auto"/>
                <w:sz w:val="20"/>
                <w:szCs w:val="20"/>
                <w:highlight w:val="none"/>
              </w:rPr>
              <w:t>胎心率测量范围：50-210</w:t>
            </w:r>
            <w:r>
              <w:rPr>
                <w:rFonts w:ascii="宋体" w:hAnsi="宋体"/>
                <w:color w:val="auto"/>
                <w:sz w:val="20"/>
                <w:szCs w:val="20"/>
                <w:highlight w:val="none"/>
              </w:rPr>
              <w:t>bpm</w:t>
            </w:r>
            <w:r>
              <w:rPr>
                <w:rFonts w:hint="eastAsia" w:ascii="宋体" w:hAnsi="宋体"/>
                <w:color w:val="auto"/>
                <w:sz w:val="20"/>
                <w:szCs w:val="20"/>
                <w:highlight w:val="none"/>
              </w:rPr>
              <w:t xml:space="preserve">  </w:t>
            </w:r>
          </w:p>
          <w:p>
            <w:pPr>
              <w:numPr>
                <w:ilvl w:val="0"/>
                <w:numId w:val="5"/>
              </w:numPr>
              <w:tabs>
                <w:tab w:val="left" w:pos="525"/>
                <w:tab w:val="left" w:pos="630"/>
                <w:tab w:val="left" w:pos="735"/>
                <w:tab w:val="left" w:pos="840"/>
              </w:tabs>
              <w:spacing w:line="480" w:lineRule="auto"/>
              <w:rPr>
                <w:rFonts w:ascii="宋体" w:hAnsi="宋体"/>
                <w:color w:val="auto"/>
                <w:sz w:val="20"/>
                <w:szCs w:val="20"/>
                <w:highlight w:val="none"/>
              </w:rPr>
            </w:pPr>
            <w:r>
              <w:rPr>
                <w:rFonts w:hint="eastAsia" w:ascii="宋体" w:hAnsi="宋体"/>
                <w:color w:val="auto"/>
                <w:sz w:val="20"/>
                <w:szCs w:val="20"/>
                <w:highlight w:val="none"/>
              </w:rPr>
              <w:t>胎心率测量精度：±1</w:t>
            </w:r>
            <w:r>
              <w:rPr>
                <w:rFonts w:ascii="宋体" w:hAnsi="宋体"/>
                <w:color w:val="auto"/>
                <w:sz w:val="20"/>
                <w:szCs w:val="20"/>
                <w:highlight w:val="none"/>
              </w:rPr>
              <w:t>bpm</w:t>
            </w:r>
          </w:p>
          <w:p>
            <w:pPr>
              <w:numPr>
                <w:ilvl w:val="0"/>
                <w:numId w:val="5"/>
              </w:numPr>
              <w:tabs>
                <w:tab w:val="left" w:pos="525"/>
                <w:tab w:val="left" w:pos="630"/>
                <w:tab w:val="left" w:pos="735"/>
                <w:tab w:val="left" w:pos="840"/>
              </w:tabs>
              <w:spacing w:line="480" w:lineRule="auto"/>
              <w:rPr>
                <w:rFonts w:ascii="宋体" w:hAnsi="宋体"/>
                <w:color w:val="auto"/>
                <w:sz w:val="20"/>
                <w:szCs w:val="20"/>
                <w:highlight w:val="none"/>
              </w:rPr>
            </w:pPr>
            <w:r>
              <w:rPr>
                <w:rFonts w:hint="eastAsia" w:ascii="宋体" w:hAnsi="宋体"/>
                <w:color w:val="auto"/>
                <w:sz w:val="20"/>
                <w:szCs w:val="20"/>
                <w:highlight w:val="none"/>
              </w:rPr>
              <w:t>最大综合灵敏度≥95</w:t>
            </w:r>
            <w:r>
              <w:rPr>
                <w:rFonts w:ascii="宋体" w:hAnsi="宋体"/>
                <w:color w:val="auto"/>
                <w:sz w:val="20"/>
                <w:szCs w:val="20"/>
                <w:highlight w:val="none"/>
              </w:rPr>
              <w:t>db</w:t>
            </w:r>
            <w:r>
              <w:rPr>
                <w:rFonts w:hint="eastAsia" w:ascii="宋体" w:hAnsi="宋体"/>
                <w:color w:val="auto"/>
                <w:sz w:val="20"/>
                <w:szCs w:val="20"/>
                <w:highlight w:val="none"/>
              </w:rPr>
              <w:t xml:space="preserve">      </w:t>
            </w:r>
          </w:p>
          <w:p>
            <w:pPr>
              <w:numPr>
                <w:ilvl w:val="0"/>
                <w:numId w:val="5"/>
              </w:numPr>
              <w:tabs>
                <w:tab w:val="left" w:pos="525"/>
                <w:tab w:val="left" w:pos="630"/>
                <w:tab w:val="left" w:pos="735"/>
                <w:tab w:val="left" w:pos="840"/>
              </w:tabs>
              <w:spacing w:line="480" w:lineRule="auto"/>
              <w:rPr>
                <w:rFonts w:ascii="宋体" w:hAnsi="宋体"/>
                <w:color w:val="auto"/>
                <w:sz w:val="20"/>
                <w:szCs w:val="20"/>
                <w:highlight w:val="none"/>
              </w:rPr>
            </w:pPr>
            <w:r>
              <w:rPr>
                <w:rFonts w:hint="eastAsia" w:ascii="宋体" w:hAnsi="宋体"/>
                <w:color w:val="auto"/>
                <w:sz w:val="20"/>
                <w:szCs w:val="20"/>
                <w:highlight w:val="none"/>
              </w:rPr>
              <w:t>使用电源：内置充电电池组，</w:t>
            </w:r>
          </w:p>
          <w:p>
            <w:pPr>
              <w:numPr>
                <w:ilvl w:val="0"/>
                <w:numId w:val="5"/>
              </w:numPr>
              <w:tabs>
                <w:tab w:val="left" w:pos="525"/>
                <w:tab w:val="left" w:pos="630"/>
                <w:tab w:val="left" w:pos="735"/>
                <w:tab w:val="left" w:pos="840"/>
              </w:tabs>
              <w:spacing w:line="480" w:lineRule="auto"/>
              <w:rPr>
                <w:rFonts w:ascii="宋体" w:hAnsi="宋体"/>
                <w:color w:val="auto"/>
                <w:sz w:val="20"/>
                <w:szCs w:val="20"/>
                <w:highlight w:val="none"/>
              </w:rPr>
            </w:pPr>
            <w:r>
              <w:rPr>
                <w:rFonts w:hint="eastAsia" w:ascii="宋体" w:hAnsi="宋体"/>
                <w:color w:val="auto"/>
                <w:sz w:val="20"/>
                <w:szCs w:val="20"/>
                <w:highlight w:val="none"/>
              </w:rPr>
              <w:t xml:space="preserve">最短充电时间：8小时   电池连续工作时间：≥12小时  </w:t>
            </w:r>
          </w:p>
          <w:p>
            <w:pPr>
              <w:numPr>
                <w:ilvl w:val="0"/>
                <w:numId w:val="5"/>
              </w:numPr>
              <w:tabs>
                <w:tab w:val="left" w:pos="525"/>
                <w:tab w:val="left" w:pos="630"/>
                <w:tab w:val="left" w:pos="735"/>
                <w:tab w:val="left" w:pos="840"/>
              </w:tabs>
              <w:spacing w:line="480" w:lineRule="auto"/>
              <w:rPr>
                <w:rFonts w:ascii="宋体" w:hAnsi="宋体"/>
                <w:color w:val="auto"/>
                <w:sz w:val="20"/>
                <w:szCs w:val="20"/>
                <w:highlight w:val="none"/>
              </w:rPr>
            </w:pPr>
            <w:r>
              <w:rPr>
                <w:rFonts w:hint="eastAsia" w:ascii="宋体" w:hAnsi="宋体"/>
                <w:color w:val="auto"/>
                <w:sz w:val="20"/>
                <w:szCs w:val="20"/>
                <w:highlight w:val="none"/>
              </w:rPr>
              <w:t>充电要求：配置充电座进行充电，能直接连接机器充电</w:t>
            </w:r>
          </w:p>
          <w:p>
            <w:pPr>
              <w:numPr>
                <w:ilvl w:val="0"/>
                <w:numId w:val="5"/>
              </w:numPr>
              <w:tabs>
                <w:tab w:val="left" w:pos="525"/>
                <w:tab w:val="left" w:pos="630"/>
                <w:tab w:val="left" w:pos="735"/>
                <w:tab w:val="left" w:pos="840"/>
              </w:tabs>
              <w:spacing w:line="480" w:lineRule="auto"/>
              <w:rPr>
                <w:rFonts w:ascii="宋体" w:hAnsi="宋体"/>
                <w:color w:val="auto"/>
                <w:sz w:val="20"/>
                <w:szCs w:val="20"/>
                <w:highlight w:val="none"/>
              </w:rPr>
            </w:pPr>
            <w:r>
              <w:rPr>
                <w:rFonts w:hint="eastAsia" w:ascii="宋体" w:hAnsi="宋体"/>
                <w:color w:val="auto"/>
                <w:sz w:val="20"/>
                <w:szCs w:val="20"/>
                <w:highlight w:val="none"/>
              </w:rPr>
              <w:t>扬声器：内置双喇叭放音</w:t>
            </w:r>
          </w:p>
        </w:tc>
      </w:tr>
      <w:tr>
        <w:tblPrEx>
          <w:tblCellMar>
            <w:top w:w="0" w:type="dxa"/>
            <w:left w:w="0" w:type="dxa"/>
            <w:bottom w:w="0" w:type="dxa"/>
            <w:right w:w="0" w:type="dxa"/>
          </w:tblCellMar>
        </w:tblPrEx>
        <w:trPr>
          <w:trHeight w:val="480"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传染病类采样箱</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一次性无菌咽拭子 1盒  含病毒培养液</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涂抹棒 2盒 含缓冲液</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采便管 1盒 含培养基</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采尿管 10个 50ml离心管</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采血管 50个 4ml促凝</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一次性采血针 50个 7#针头</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无菌冻存管 10个 5ml</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脑脊液管 10个 2ml</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密封采样袋 10个 150x230（mm）</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安全盒 1个 容积1L</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压舌板 1包 一次性</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医用剪刀 1把 12.5cm</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医用敷料镊 1把 12.5cm</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签字笔 1支 黑色</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记号笔 1支 黑色</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医用垃圾袋 2个 中号</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医用一次性口罩 1包 符合国家技术规范要求</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医用乳胶手套 5副 独立包装</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酒精棉球 1盒 独立包装</w:t>
            </w:r>
          </w:p>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止血带 1根 乳胶材料                                      </w:t>
            </w:r>
          </w:p>
        </w:tc>
      </w:tr>
      <w:tr>
        <w:tblPrEx>
          <w:tblCellMar>
            <w:top w:w="0" w:type="dxa"/>
            <w:left w:w="0" w:type="dxa"/>
            <w:bottom w:w="0" w:type="dxa"/>
            <w:right w:w="0" w:type="dxa"/>
          </w:tblCellMar>
        </w:tblPrEx>
        <w:trPr>
          <w:trHeight w:val="480"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公共卫生类采样箱</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生物采样容器设备单元 涂抹棒 2盒 含缓冲液</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 采便管 1盒 含培养基</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 采尿管 10个 50ml离心管</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 采血管 20支 4ml促凝</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 采血针 20支 7#</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 人乳样本采集管 5个 塑料材质，50ml密封离心管</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 密封采样袋</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(动物样本) 5个 塑料薄膜材质，封口处带有钢丝便于密封150x230mm</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 密封采样袋</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(呕吐物) 5个 塑料薄膜材质，封口处带有钢丝便于密封115x230mm</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 密封采样袋</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(组织样本) 5个 塑料薄膜材质，封口处带有钢丝便于采样密封75x185mm</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 植物标本盒 5个 有机玻璃材质</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样品采集辅助用品单元 安全盒 1个 医用，容积1L</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 记号笔 1支 </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 签字笔 1支 </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 医用剪刀 1把 12.5cm直尖</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 医用敷料镊 1把 12.5cm</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 压舌板 1包 木质一次性</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 医用垃圾袋 2个 一次性，防护生物污染</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样品采集防护单元 医用防护口罩 1包 略</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 医用乳胶手套 5副 医用，一次性使用独立包装</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 酒精棉球 1盒 医用，独立包装</w:t>
            </w:r>
          </w:p>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 止血带 1条 医用</w:t>
            </w:r>
          </w:p>
        </w:tc>
      </w:tr>
      <w:tr>
        <w:tblPrEx>
          <w:tblCellMar>
            <w:top w:w="0" w:type="dxa"/>
            <w:left w:w="0" w:type="dxa"/>
            <w:bottom w:w="0" w:type="dxa"/>
            <w:right w:w="0" w:type="dxa"/>
          </w:tblCellMar>
        </w:tblPrEx>
        <w:trPr>
          <w:trHeight w:val="361"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急救箱</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30</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1.铝合金箱体，手提式。</w:t>
            </w:r>
          </w:p>
          <w:p>
            <w:pPr>
              <w:rPr>
                <w:rFonts w:ascii="宋体" w:hAnsi="宋体" w:cs="宋体"/>
                <w:color w:val="auto"/>
                <w:sz w:val="20"/>
                <w:szCs w:val="20"/>
                <w:highlight w:val="none"/>
              </w:rPr>
            </w:pPr>
            <w:r>
              <w:rPr>
                <w:rFonts w:hint="eastAsia" w:ascii="宋体" w:hAnsi="宋体" w:cs="宋体"/>
                <w:color w:val="auto"/>
                <w:sz w:val="20"/>
                <w:szCs w:val="20"/>
                <w:highlight w:val="none"/>
              </w:rPr>
              <w:t>2.尺寸：515*370*190（mm）</w:t>
            </w:r>
          </w:p>
          <w:p>
            <w:pPr>
              <w:rPr>
                <w:rFonts w:ascii="宋体" w:hAnsi="宋体" w:cs="宋体"/>
                <w:color w:val="auto"/>
                <w:sz w:val="20"/>
                <w:szCs w:val="20"/>
                <w:highlight w:val="none"/>
              </w:rPr>
            </w:pPr>
            <w:r>
              <w:rPr>
                <w:rFonts w:hint="eastAsia" w:ascii="宋体" w:hAnsi="宋体" w:cs="宋体"/>
                <w:color w:val="auto"/>
                <w:sz w:val="20"/>
                <w:szCs w:val="20"/>
                <w:highlight w:val="none"/>
              </w:rPr>
              <w:t>3.箱体采用铝合金型材为骨架，面板表面采用仿铝面料，中间采用高密度2.5mm厚中纤维板。八个角和边有包角和包条加固。箱内用牛津布做内衬。箱体分为三层，箱盖上有三排松紧带，可放小的玻璃瓶，每个松紧带下方有一个塑料片，可以放标签，中间有块2块盖板，一块为海绵盖板，保护箱盖上的玻璃瓶，另一块上可放剪刀等小型急救物品，下箱体有工字隔板隔开，可以放氧气瓶、绷带和药品等物品。</w:t>
            </w:r>
          </w:p>
          <w:p>
            <w:pPr>
              <w:rPr>
                <w:rFonts w:ascii="宋体" w:hAnsi="宋体" w:cs="宋体"/>
                <w:color w:val="auto"/>
                <w:sz w:val="20"/>
                <w:szCs w:val="20"/>
                <w:highlight w:val="none"/>
              </w:rPr>
            </w:pPr>
            <w:r>
              <w:rPr>
                <w:rFonts w:hint="eastAsia" w:ascii="宋体" w:hAnsi="宋体" w:cs="宋体"/>
                <w:color w:val="auto"/>
                <w:sz w:val="20"/>
                <w:szCs w:val="20"/>
                <w:highlight w:val="none"/>
              </w:rPr>
              <w:t>4.箱体含有金属锁、金属合页、港式手提。</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电子血压计</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显示方式：数字式显示方式</w:t>
            </w:r>
          </w:p>
          <w:p>
            <w:pPr>
              <w:rPr>
                <w:rFonts w:ascii="宋体" w:hAnsi="宋体" w:cs="宋体"/>
                <w:color w:val="auto"/>
                <w:sz w:val="20"/>
                <w:szCs w:val="20"/>
                <w:highlight w:val="none"/>
              </w:rPr>
            </w:pPr>
            <w:r>
              <w:rPr>
                <w:rFonts w:hint="eastAsia" w:ascii="宋体" w:hAnsi="宋体" w:cs="宋体"/>
                <w:color w:val="auto"/>
                <w:sz w:val="20"/>
                <w:szCs w:val="20"/>
                <w:highlight w:val="none"/>
              </w:rPr>
              <w:t>测量方式：示波测定法</w:t>
            </w:r>
          </w:p>
          <w:p>
            <w:pPr>
              <w:rPr>
                <w:rFonts w:ascii="宋体" w:hAnsi="宋体" w:cs="宋体"/>
                <w:color w:val="auto"/>
                <w:sz w:val="20"/>
                <w:szCs w:val="20"/>
                <w:highlight w:val="none"/>
              </w:rPr>
            </w:pPr>
            <w:r>
              <w:rPr>
                <w:rFonts w:hint="eastAsia" w:ascii="宋体" w:hAnsi="宋体" w:cs="宋体"/>
                <w:color w:val="auto"/>
                <w:sz w:val="20"/>
                <w:szCs w:val="20"/>
                <w:highlight w:val="none"/>
              </w:rPr>
              <w:t>测量范围：压力: 0mmHg~299mmHg ( 0kPa~39.9kPa), 脉搏数: 40次1分~180次1分</w:t>
            </w:r>
          </w:p>
          <w:p>
            <w:pPr>
              <w:rPr>
                <w:rFonts w:ascii="宋体" w:hAnsi="宋体" w:cs="宋体"/>
                <w:color w:val="auto"/>
                <w:sz w:val="20"/>
                <w:szCs w:val="20"/>
                <w:highlight w:val="none"/>
              </w:rPr>
            </w:pPr>
            <w:r>
              <w:rPr>
                <w:rFonts w:hint="eastAsia" w:ascii="宋体" w:hAnsi="宋体" w:cs="宋体"/>
                <w:color w:val="auto"/>
                <w:sz w:val="20"/>
                <w:szCs w:val="20"/>
                <w:highlight w:val="none"/>
              </w:rPr>
              <w:t>测量精度：压力: +3mmHg ( +0.4kPa). 脉搏数:精度为+5%</w:t>
            </w:r>
          </w:p>
          <w:p>
            <w:pPr>
              <w:rPr>
                <w:rFonts w:ascii="宋体" w:hAnsi="宋体" w:cs="宋体"/>
                <w:color w:val="auto"/>
                <w:sz w:val="20"/>
                <w:szCs w:val="20"/>
                <w:highlight w:val="none"/>
              </w:rPr>
            </w:pPr>
            <w:r>
              <w:rPr>
                <w:rFonts w:hint="eastAsia" w:ascii="宋体" w:hAnsi="宋体" w:cs="宋体"/>
                <w:color w:val="auto"/>
                <w:sz w:val="20"/>
                <w:szCs w:val="20"/>
                <w:highlight w:val="none"/>
              </w:rPr>
              <w:t>压力检测：压力传感器</w:t>
            </w:r>
          </w:p>
          <w:p>
            <w:pPr>
              <w:rPr>
                <w:rFonts w:ascii="宋体" w:hAnsi="宋体" w:cs="宋体"/>
                <w:color w:val="auto"/>
                <w:sz w:val="20"/>
                <w:szCs w:val="20"/>
                <w:highlight w:val="none"/>
              </w:rPr>
            </w:pPr>
            <w:r>
              <w:rPr>
                <w:rFonts w:hint="eastAsia" w:ascii="宋体" w:hAnsi="宋体" w:cs="宋体"/>
                <w:color w:val="auto"/>
                <w:sz w:val="20"/>
                <w:szCs w:val="20"/>
                <w:highlight w:val="none"/>
              </w:rPr>
              <w:t>电源：5号干电池4节，电源适配器( AC 100V-240V， 50Hz/60Hz， 0.12A)</w:t>
            </w:r>
          </w:p>
          <w:p>
            <w:pPr>
              <w:rPr>
                <w:rFonts w:ascii="宋体" w:hAnsi="宋体" w:cs="宋体"/>
                <w:color w:val="auto"/>
                <w:sz w:val="20"/>
                <w:szCs w:val="20"/>
                <w:highlight w:val="none"/>
              </w:rPr>
            </w:pPr>
            <w:r>
              <w:rPr>
                <w:rFonts w:hint="eastAsia" w:ascii="宋体" w:hAnsi="宋体" w:cs="宋体"/>
                <w:color w:val="auto"/>
                <w:sz w:val="20"/>
                <w:szCs w:val="20"/>
                <w:highlight w:val="none"/>
              </w:rPr>
              <w:t>电池寿命：5年以上</w:t>
            </w:r>
          </w:p>
          <w:p>
            <w:pPr>
              <w:rPr>
                <w:rFonts w:ascii="宋体" w:hAnsi="宋体" w:cs="宋体"/>
                <w:color w:val="auto"/>
                <w:sz w:val="20"/>
                <w:szCs w:val="20"/>
                <w:highlight w:val="none"/>
              </w:rPr>
            </w:pPr>
            <w:r>
              <w:rPr>
                <w:rFonts w:hint="eastAsia" w:ascii="宋体" w:hAnsi="宋体" w:cs="宋体"/>
                <w:color w:val="auto"/>
                <w:sz w:val="20"/>
                <w:szCs w:val="20"/>
                <w:highlight w:val="none"/>
              </w:rPr>
              <w:t>使用温湿度：在室温23C， 臂周270mm，加压至170mmHg ( 22.7kPa) 的条件下， 5号干电池4节(碱性)约能 使用</w:t>
            </w:r>
          </w:p>
          <w:p>
            <w:pPr>
              <w:rPr>
                <w:rFonts w:ascii="宋体" w:hAnsi="宋体" w:cs="宋体"/>
                <w:color w:val="auto"/>
                <w:sz w:val="20"/>
                <w:szCs w:val="20"/>
                <w:highlight w:val="none"/>
              </w:rPr>
            </w:pPr>
            <w:r>
              <w:rPr>
                <w:rFonts w:hint="eastAsia" w:ascii="宋体" w:hAnsi="宋体" w:cs="宋体"/>
                <w:color w:val="auto"/>
                <w:sz w:val="20"/>
                <w:szCs w:val="20"/>
                <w:highlight w:val="none"/>
              </w:rPr>
              <w:t>300次</w:t>
            </w:r>
          </w:p>
          <w:p>
            <w:pPr>
              <w:rPr>
                <w:rFonts w:ascii="宋体" w:hAnsi="宋体" w:cs="宋体"/>
                <w:color w:val="auto"/>
                <w:sz w:val="20"/>
                <w:szCs w:val="20"/>
                <w:highlight w:val="none"/>
              </w:rPr>
            </w:pPr>
            <w:r>
              <w:rPr>
                <w:rFonts w:hint="eastAsia" w:ascii="宋体" w:hAnsi="宋体" w:cs="宋体"/>
                <w:color w:val="auto"/>
                <w:sz w:val="20"/>
                <w:szCs w:val="20"/>
                <w:highlight w:val="none"/>
              </w:rPr>
              <w:t>|运输和保存温湿度：-20C^ +60C (本产品符合GB/T 14710 标准中低温贮存 ( -40C)的要求，为了更好地保</w:t>
            </w:r>
          </w:p>
          <w:p>
            <w:pPr>
              <w:rPr>
                <w:rFonts w:ascii="宋体" w:hAnsi="宋体" w:cs="宋体"/>
                <w:color w:val="auto"/>
                <w:sz w:val="20"/>
                <w:szCs w:val="20"/>
                <w:highlight w:val="none"/>
              </w:rPr>
            </w:pPr>
            <w:r>
              <w:rPr>
                <w:rFonts w:hint="eastAsia" w:ascii="宋体" w:hAnsi="宋体" w:cs="宋体"/>
                <w:color w:val="auto"/>
                <w:sz w:val="20"/>
                <w:szCs w:val="20"/>
                <w:highlight w:val="none"/>
              </w:rPr>
              <w:t>|证产品性能的稳定性，建议本产品运输和保存温度不低于-20C) , 10%RH~95%RH</w:t>
            </w:r>
          </w:p>
          <w:p>
            <w:pPr>
              <w:rPr>
                <w:rFonts w:ascii="宋体" w:hAnsi="宋体" w:cs="宋体"/>
                <w:color w:val="auto"/>
                <w:sz w:val="20"/>
                <w:szCs w:val="20"/>
                <w:highlight w:val="none"/>
              </w:rPr>
            </w:pPr>
            <w:r>
              <w:rPr>
                <w:rFonts w:hint="eastAsia" w:ascii="宋体" w:hAnsi="宋体" w:cs="宋体"/>
                <w:color w:val="auto"/>
                <w:sz w:val="20"/>
                <w:szCs w:val="20"/>
                <w:highlight w:val="none"/>
              </w:rPr>
              <w:t>运行大气压力：700hPa~1060hPa</w:t>
            </w:r>
          </w:p>
          <w:p>
            <w:pPr>
              <w:rPr>
                <w:rFonts w:ascii="宋体" w:hAnsi="宋体" w:cs="宋体"/>
                <w:color w:val="auto"/>
                <w:sz w:val="20"/>
                <w:szCs w:val="20"/>
                <w:highlight w:val="none"/>
              </w:rPr>
            </w:pPr>
            <w:r>
              <w:rPr>
                <w:rFonts w:hint="eastAsia" w:ascii="宋体" w:hAnsi="宋体" w:cs="宋体"/>
                <w:color w:val="auto"/>
                <w:sz w:val="20"/>
                <w:szCs w:val="20"/>
                <w:highlight w:val="none"/>
              </w:rPr>
              <w:t>运输和保存大气压力：500hPa~1060hPa</w:t>
            </w:r>
          </w:p>
          <w:p>
            <w:pPr>
              <w:rPr>
                <w:rFonts w:ascii="宋体" w:hAnsi="宋体" w:cs="宋体"/>
                <w:color w:val="auto"/>
                <w:sz w:val="20"/>
                <w:szCs w:val="20"/>
                <w:highlight w:val="none"/>
              </w:rPr>
            </w:pPr>
            <w:r>
              <w:rPr>
                <w:rFonts w:hint="eastAsia" w:ascii="宋体" w:hAnsi="宋体" w:cs="宋体"/>
                <w:color w:val="auto"/>
                <w:sz w:val="20"/>
                <w:szCs w:val="20"/>
                <w:highlight w:val="none"/>
              </w:rPr>
              <w:t>主机重量：约290g (不包括电池)</w:t>
            </w:r>
          </w:p>
          <w:p>
            <w:pPr>
              <w:rPr>
                <w:rFonts w:ascii="宋体" w:hAnsi="宋体" w:cs="宋体"/>
                <w:color w:val="auto"/>
                <w:sz w:val="20"/>
                <w:szCs w:val="20"/>
                <w:highlight w:val="none"/>
              </w:rPr>
            </w:pPr>
            <w:r>
              <w:rPr>
                <w:rFonts w:hint="eastAsia" w:ascii="宋体" w:hAnsi="宋体" w:cs="宋体"/>
                <w:color w:val="auto"/>
                <w:sz w:val="20"/>
                <w:szCs w:val="20"/>
                <w:highlight w:val="none"/>
              </w:rPr>
              <w:t>外形尺寸：约宽110mm X高86mm X厚150mm (不包括袖带)</w:t>
            </w:r>
          </w:p>
          <w:p>
            <w:pPr>
              <w:rPr>
                <w:rFonts w:ascii="宋体" w:hAnsi="宋体" w:cs="宋体"/>
                <w:color w:val="auto"/>
                <w:sz w:val="20"/>
                <w:szCs w:val="20"/>
                <w:highlight w:val="none"/>
              </w:rPr>
            </w:pPr>
            <w:r>
              <w:rPr>
                <w:rFonts w:hint="eastAsia" w:ascii="宋体" w:hAnsi="宋体" w:cs="宋体"/>
                <w:color w:val="auto"/>
                <w:sz w:val="20"/>
                <w:szCs w:val="20"/>
                <w:highlight w:val="none"/>
              </w:rPr>
              <w:t>袖带：约宽145mm X长466mm(重量约130g)空气管长约610mm</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铲式担架</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left"/>
              <w:rPr>
                <w:rFonts w:ascii="宋体" w:hAnsi="宋体"/>
                <w:color w:val="auto"/>
                <w:sz w:val="20"/>
                <w:szCs w:val="20"/>
                <w:highlight w:val="none"/>
              </w:rPr>
            </w:pPr>
            <w:r>
              <w:rPr>
                <w:rFonts w:hint="eastAsia" w:ascii="宋体" w:hAnsi="宋体"/>
                <w:color w:val="auto"/>
                <w:sz w:val="20"/>
                <w:szCs w:val="20"/>
                <w:highlight w:val="none"/>
              </w:rPr>
              <w:t>1、采用高强度铝合金材料制成，四块板：可折叠，可拆分，可伸缩。</w:t>
            </w:r>
          </w:p>
          <w:p>
            <w:pPr>
              <w:spacing w:line="480" w:lineRule="exact"/>
              <w:jc w:val="left"/>
              <w:rPr>
                <w:rFonts w:ascii="宋体" w:hAnsi="宋体"/>
                <w:color w:val="auto"/>
                <w:sz w:val="20"/>
                <w:szCs w:val="20"/>
                <w:highlight w:val="none"/>
              </w:rPr>
            </w:pPr>
            <w:r>
              <w:rPr>
                <w:rFonts w:hint="eastAsia" w:ascii="宋体" w:hAnsi="宋体"/>
                <w:color w:val="auto"/>
                <w:sz w:val="20"/>
                <w:szCs w:val="20"/>
                <w:highlight w:val="none"/>
              </w:rPr>
              <w:t>可折叠设计，便携易堆叠，大大缩小所占用的空间，利于大规模应用。</w:t>
            </w:r>
          </w:p>
          <w:p>
            <w:pPr>
              <w:spacing w:line="480" w:lineRule="exact"/>
              <w:jc w:val="left"/>
              <w:rPr>
                <w:rFonts w:ascii="宋体" w:hAnsi="宋体"/>
                <w:color w:val="auto"/>
                <w:sz w:val="20"/>
                <w:szCs w:val="20"/>
                <w:highlight w:val="none"/>
              </w:rPr>
            </w:pPr>
            <w:r>
              <w:rPr>
                <w:rFonts w:hint="eastAsia" w:ascii="宋体" w:hAnsi="宋体"/>
                <w:color w:val="auto"/>
                <w:sz w:val="20"/>
                <w:szCs w:val="20"/>
                <w:highlight w:val="none"/>
              </w:rPr>
              <w:t>2、可拆分设计，采用分离型刚性结构，转送骨折及重伤病员。两端设有离合装置，可以分离成左右两部分侧开关更容易操作，为伤员提供更优保护。在不移动病人的情况下，迅速将病人铲入或从病人体下抽出担架。</w:t>
            </w:r>
          </w:p>
          <w:p>
            <w:pPr>
              <w:spacing w:line="480" w:lineRule="exact"/>
              <w:jc w:val="left"/>
              <w:rPr>
                <w:rFonts w:ascii="宋体" w:hAnsi="宋体"/>
                <w:color w:val="auto"/>
                <w:sz w:val="20"/>
                <w:szCs w:val="20"/>
                <w:highlight w:val="none"/>
              </w:rPr>
            </w:pPr>
            <w:r>
              <w:rPr>
                <w:rFonts w:hint="eastAsia" w:ascii="宋体" w:hAnsi="宋体"/>
                <w:color w:val="auto"/>
                <w:sz w:val="20"/>
                <w:szCs w:val="20"/>
                <w:highlight w:val="none"/>
              </w:rPr>
              <w:t>3、可伸缩设计，担架长度根据人身长可作调节，共3个档位。担架一端（脚部）采用窄框架结构。适用于任何体型、身高的患者。</w:t>
            </w:r>
          </w:p>
          <w:p>
            <w:pPr>
              <w:jc w:val="left"/>
              <w:rPr>
                <w:rFonts w:ascii="宋体" w:hAnsi="宋体" w:cs="宋体"/>
                <w:color w:val="auto"/>
                <w:sz w:val="20"/>
                <w:szCs w:val="20"/>
                <w:highlight w:val="none"/>
              </w:rPr>
            </w:pPr>
            <w:r>
              <w:rPr>
                <w:rFonts w:hint="eastAsia" w:ascii="宋体" w:hAnsi="宋体"/>
                <w:color w:val="auto"/>
                <w:sz w:val="20"/>
                <w:szCs w:val="20"/>
                <w:highlight w:val="none"/>
              </w:rPr>
              <w:t>产品配备安全绑带，保证病人的安全铲式担架可配头部固定器一起使用</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护理车</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100" w:beforeAutospacing="1" w:after="100" w:afterAutospacing="1" w:line="360" w:lineRule="atLeast"/>
              <w:ind w:firstLine="75"/>
              <w:jc w:val="left"/>
              <w:rPr>
                <w:rFonts w:ascii="宋体" w:hAnsi="宋体" w:cs="宋体"/>
                <w:color w:val="auto"/>
                <w:kern w:val="0"/>
                <w:sz w:val="20"/>
                <w:szCs w:val="20"/>
                <w:highlight w:val="none"/>
                <w:shd w:val="clear" w:color="auto" w:fill="FFFFFF"/>
              </w:rPr>
            </w:pPr>
            <w:r>
              <w:rPr>
                <w:rFonts w:hint="eastAsia" w:ascii="宋体" w:hAnsi="宋体" w:cs="宋体"/>
                <w:color w:val="auto"/>
                <w:kern w:val="0"/>
                <w:sz w:val="20"/>
                <w:szCs w:val="20"/>
                <w:highlight w:val="none"/>
                <w:shd w:val="clear" w:color="auto" w:fill="FFFFFF"/>
              </w:rPr>
              <w:t>1规格：1000×500×850mm</w:t>
            </w:r>
          </w:p>
          <w:p>
            <w:pPr>
              <w:widowControl/>
              <w:spacing w:before="100" w:beforeAutospacing="1" w:after="100" w:afterAutospacing="1" w:line="360" w:lineRule="atLeast"/>
              <w:ind w:firstLine="75"/>
              <w:jc w:val="left"/>
              <w:rPr>
                <w:rFonts w:ascii="宋体" w:hAnsi="宋体" w:cs="宋体"/>
                <w:color w:val="auto"/>
                <w:kern w:val="0"/>
                <w:sz w:val="20"/>
                <w:szCs w:val="20"/>
                <w:highlight w:val="none"/>
                <w:shd w:val="clear" w:color="auto" w:fill="FFFFFF"/>
              </w:rPr>
            </w:pPr>
            <w:r>
              <w:rPr>
                <w:rFonts w:hint="eastAsia" w:ascii="宋体" w:hAnsi="宋体" w:cs="宋体"/>
                <w:color w:val="auto"/>
                <w:kern w:val="0"/>
                <w:sz w:val="20"/>
                <w:szCs w:val="20"/>
                <w:highlight w:val="none"/>
                <w:shd w:val="clear" w:color="auto" w:fill="FFFFFF"/>
              </w:rPr>
              <w:t>2.材质性能：</w:t>
            </w:r>
          </w:p>
          <w:p>
            <w:pPr>
              <w:widowControl/>
              <w:spacing w:before="100" w:beforeAutospacing="1" w:after="100" w:afterAutospacing="1" w:line="360" w:lineRule="atLeast"/>
              <w:ind w:firstLine="75"/>
              <w:jc w:val="left"/>
              <w:rPr>
                <w:rFonts w:ascii="宋体" w:hAnsi="宋体" w:cs="宋体"/>
                <w:color w:val="auto"/>
                <w:kern w:val="0"/>
                <w:sz w:val="20"/>
                <w:szCs w:val="20"/>
                <w:highlight w:val="none"/>
                <w:shd w:val="clear" w:color="auto" w:fill="FFFFFF"/>
              </w:rPr>
            </w:pPr>
            <w:r>
              <w:rPr>
                <w:rFonts w:hint="eastAsia" w:ascii="宋体" w:hAnsi="宋体" w:cs="宋体"/>
                <w:color w:val="auto"/>
                <w:kern w:val="0"/>
                <w:sz w:val="20"/>
                <w:szCs w:val="20"/>
                <w:highlight w:val="none"/>
                <w:shd w:val="clear" w:color="auto" w:fill="FFFFFF"/>
              </w:rPr>
              <w:t>1）整车由优质201不锈钢管及不锈钢板经焊接组装而成，管厚为：1.5mm,板厚为1.0mm；</w:t>
            </w:r>
          </w:p>
          <w:p>
            <w:pPr>
              <w:widowControl/>
              <w:spacing w:before="100" w:beforeAutospacing="1" w:after="100" w:afterAutospacing="1" w:line="360" w:lineRule="atLeast"/>
              <w:ind w:firstLine="75"/>
              <w:jc w:val="left"/>
              <w:rPr>
                <w:rFonts w:ascii="宋体" w:hAnsi="宋体" w:cs="宋体"/>
                <w:color w:val="auto"/>
                <w:kern w:val="0"/>
                <w:sz w:val="20"/>
                <w:szCs w:val="20"/>
                <w:highlight w:val="none"/>
                <w:shd w:val="clear" w:color="auto" w:fill="FFFFFF"/>
              </w:rPr>
            </w:pPr>
            <w:r>
              <w:rPr>
                <w:rFonts w:hint="eastAsia" w:ascii="宋体" w:hAnsi="宋体" w:cs="宋体"/>
                <w:color w:val="auto"/>
                <w:kern w:val="0"/>
                <w:sz w:val="20"/>
                <w:szCs w:val="20"/>
                <w:highlight w:val="none"/>
                <w:shd w:val="clear" w:color="auto" w:fill="FFFFFF"/>
              </w:rPr>
              <w:t>2）右边设计有一污物收集桶托板，污物袋可拆洗、更换；</w:t>
            </w:r>
          </w:p>
          <w:p>
            <w:pPr>
              <w:widowControl/>
              <w:spacing w:before="100" w:beforeAutospacing="1" w:after="100" w:afterAutospacing="1" w:line="360" w:lineRule="atLeast"/>
              <w:ind w:firstLine="75"/>
              <w:jc w:val="left"/>
              <w:rPr>
                <w:rFonts w:ascii="宋体" w:hAnsi="宋体" w:cs="宋体"/>
                <w:color w:val="auto"/>
                <w:kern w:val="0"/>
                <w:sz w:val="20"/>
                <w:szCs w:val="20"/>
                <w:highlight w:val="none"/>
                <w:shd w:val="clear" w:color="auto" w:fill="FFFFFF"/>
              </w:rPr>
            </w:pPr>
            <w:r>
              <w:rPr>
                <w:rFonts w:hint="eastAsia" w:ascii="宋体" w:hAnsi="宋体" w:cs="宋体"/>
                <w:color w:val="auto"/>
                <w:kern w:val="0"/>
                <w:sz w:val="20"/>
                <w:szCs w:val="20"/>
                <w:highlight w:val="none"/>
                <w:shd w:val="clear" w:color="auto" w:fill="FFFFFF"/>
              </w:rPr>
              <w:t>3）右边以不锈钢管、钢板焊接，分三层，两层焊有三面围护栏，配置有不锈钢扶手；</w:t>
            </w:r>
          </w:p>
          <w:p>
            <w:pPr>
              <w:widowControl/>
              <w:spacing w:before="100" w:beforeAutospacing="1" w:after="100" w:afterAutospacing="1" w:line="360" w:lineRule="atLeast"/>
              <w:ind w:firstLine="75"/>
              <w:jc w:val="left"/>
              <w:rPr>
                <w:rFonts w:ascii="宋体" w:hAnsi="宋体" w:cs="宋体"/>
                <w:color w:val="auto"/>
                <w:kern w:val="0"/>
                <w:sz w:val="20"/>
                <w:szCs w:val="20"/>
                <w:highlight w:val="none"/>
                <w:shd w:val="clear" w:color="auto" w:fill="FFFFFF"/>
              </w:rPr>
            </w:pPr>
            <w:r>
              <w:rPr>
                <w:rFonts w:hint="eastAsia" w:ascii="宋体" w:hAnsi="宋体" w:cs="宋体"/>
                <w:color w:val="auto"/>
                <w:kern w:val="0"/>
                <w:sz w:val="20"/>
                <w:szCs w:val="20"/>
                <w:highlight w:val="none"/>
                <w:shd w:val="clear" w:color="auto" w:fill="FFFFFF"/>
              </w:rPr>
              <w:t>4）配置4寸万向轮4只，高耐磨，无噪音，稳定性好；                                      5）车坚实、美观大方、操作灵活方便</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轮椅</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1．产品符合GB/T 13800-2009《手动轮椅车》国家标准。</w:t>
            </w:r>
          </w:p>
          <w:p>
            <w:pPr>
              <w:rPr>
                <w:rFonts w:ascii="宋体" w:hAnsi="宋体" w:cs="宋体"/>
                <w:color w:val="auto"/>
                <w:sz w:val="20"/>
                <w:szCs w:val="20"/>
                <w:highlight w:val="none"/>
              </w:rPr>
            </w:pPr>
            <w:r>
              <w:rPr>
                <w:rFonts w:hint="eastAsia" w:ascii="宋体" w:hAnsi="宋体" w:cs="宋体"/>
                <w:color w:val="auto"/>
                <w:sz w:val="20"/>
                <w:szCs w:val="20"/>
                <w:highlight w:val="none"/>
              </w:rPr>
              <w:t>2．对于GB/T 13800-2009《手动轮椅车》国家标准中型号、代号、类型及其他不确定的，请参考以下参数:</w:t>
            </w:r>
          </w:p>
          <w:p>
            <w:pPr>
              <w:rPr>
                <w:rFonts w:ascii="宋体" w:hAnsi="宋体" w:cs="宋体"/>
                <w:color w:val="auto"/>
                <w:sz w:val="20"/>
                <w:szCs w:val="20"/>
                <w:highlight w:val="none"/>
              </w:rPr>
            </w:pPr>
            <w:r>
              <w:rPr>
                <w:rFonts w:hint="eastAsia" w:ascii="宋体" w:hAnsi="宋体" w:cs="宋体"/>
                <w:color w:val="auto"/>
                <w:sz w:val="20"/>
                <w:szCs w:val="20"/>
                <w:highlight w:val="none"/>
              </w:rPr>
              <w:t>1）产品为可折叠，双支撑架，手动四轮轮椅，驱动方式采用用手直接驱动后轮式；</w:t>
            </w:r>
          </w:p>
          <w:p>
            <w:pPr>
              <w:rPr>
                <w:rFonts w:ascii="宋体" w:hAnsi="宋体" w:cs="宋体"/>
                <w:color w:val="auto"/>
                <w:sz w:val="20"/>
                <w:szCs w:val="20"/>
                <w:highlight w:val="none"/>
              </w:rPr>
            </w:pPr>
            <w:r>
              <w:rPr>
                <w:rFonts w:hint="eastAsia" w:ascii="宋体" w:hAnsi="宋体" w:cs="宋体"/>
                <w:color w:val="auto"/>
                <w:sz w:val="20"/>
                <w:szCs w:val="20"/>
                <w:highlight w:val="none"/>
              </w:rPr>
              <w:t>2）车架为钢质材料，表面处理为喷塑；</w:t>
            </w:r>
          </w:p>
          <w:p>
            <w:pPr>
              <w:rPr>
                <w:rFonts w:ascii="宋体" w:hAnsi="宋体" w:cs="宋体"/>
                <w:color w:val="auto"/>
                <w:sz w:val="20"/>
                <w:szCs w:val="20"/>
                <w:highlight w:val="none"/>
              </w:rPr>
            </w:pPr>
            <w:r>
              <w:rPr>
                <w:rFonts w:hint="eastAsia" w:ascii="宋体" w:hAnsi="宋体" w:cs="宋体"/>
                <w:color w:val="auto"/>
                <w:sz w:val="20"/>
                <w:szCs w:val="20"/>
                <w:highlight w:val="none"/>
              </w:rPr>
              <w:t>3）座位深度445mm，座宽450mm，软靠背、软座垫，缝边牢固整齐，无褶皱、跳线和破损等缺陷；座垫、靠背为高密度材料支撑不了，中间有大于600d的帆布夹层。</w:t>
            </w:r>
          </w:p>
          <w:p>
            <w:pPr>
              <w:rPr>
                <w:rFonts w:ascii="宋体" w:hAnsi="宋体" w:cs="宋体"/>
                <w:color w:val="auto"/>
                <w:sz w:val="20"/>
                <w:szCs w:val="20"/>
                <w:highlight w:val="none"/>
              </w:rPr>
            </w:pPr>
            <w:r>
              <w:rPr>
                <w:rFonts w:hint="eastAsia" w:ascii="宋体" w:hAnsi="宋体" w:cs="宋体"/>
                <w:color w:val="auto"/>
                <w:sz w:val="20"/>
                <w:szCs w:val="20"/>
                <w:highlight w:val="none"/>
              </w:rPr>
              <w:t>4）固定扶手，固定挂脚；带弧形旁板；</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5）脚踏板高度可调节，调节方式应牢固可靠； </w:t>
            </w:r>
          </w:p>
          <w:p>
            <w:pPr>
              <w:rPr>
                <w:rFonts w:ascii="宋体" w:hAnsi="宋体" w:cs="宋体"/>
                <w:color w:val="auto"/>
                <w:sz w:val="20"/>
                <w:szCs w:val="20"/>
                <w:highlight w:val="none"/>
              </w:rPr>
            </w:pPr>
            <w:r>
              <w:rPr>
                <w:rFonts w:hint="eastAsia" w:ascii="宋体" w:hAnsi="宋体" w:cs="宋体"/>
                <w:color w:val="auto"/>
                <w:sz w:val="20"/>
                <w:szCs w:val="20"/>
                <w:highlight w:val="none"/>
              </w:rPr>
              <w:t>6）前轮为直径 (8英寸)高品质实心橡胶轮胎；后轮为直径（24英寸）充气轮胎；使用36根辐条，后轮外胎和内胎与轮辋相配合，将轮胎充气到推荐压力的110%，经过5min后，外胎仍完整地包合在轮辋上；前后轮轴结构牢固可靠，适应不同路面的使用要求。后轮轴带大轴套；前后轮结构应牢固可靠，适合不同路面的使用要求；前小轮轴带减震橡胶，前叉采用双轴承结构；</w:t>
            </w:r>
          </w:p>
          <w:p>
            <w:pPr>
              <w:rPr>
                <w:rFonts w:ascii="宋体" w:hAnsi="宋体" w:cs="宋体"/>
                <w:color w:val="auto"/>
                <w:sz w:val="20"/>
                <w:szCs w:val="20"/>
                <w:highlight w:val="none"/>
              </w:rPr>
            </w:pPr>
            <w:r>
              <w:rPr>
                <w:rFonts w:hint="eastAsia" w:ascii="宋体" w:hAnsi="宋体" w:cs="宋体"/>
                <w:color w:val="auto"/>
                <w:sz w:val="20"/>
                <w:szCs w:val="20"/>
                <w:highlight w:val="none"/>
              </w:rPr>
              <w:t>7）轮椅车配备安全带，承重100KG 以上；</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16</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护目镜</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100</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 180°大视窗，高清加强透亮镜片设计，保持复杂环境中视野清晰度；</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 镜片表面附有防雾涂层，可有效防止水雾的形成；</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 PC光学级镜片，有效防护冲击危害，阻隔99%紫外线；</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 多孔式通风口设计 ，增加内部空气流动；</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5. 柔软的面框和鼻垫贴合更好，更宽可调节头带，可佩带近视镜；  </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 密封性好，有效防止液体飞溅。</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17</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喉镜</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color="auto" w:fill="FFFFFF"/>
              <w:snapToGrid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1、配置：弯型镜片大、中、小各一片，手柄一只。</w:t>
            </w:r>
          </w:p>
          <w:p>
            <w:pPr>
              <w:widowControl/>
              <w:shd w:val="clear" w:color="auto" w:fill="FFFFFF"/>
              <w:snapToGrid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2、光线更亮、更白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3、易于清洁和消毒</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4、灯泡装在镜片的前端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5、光线可直接照射</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6、维护更经济、有效</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7、装置简便，采用挂钩连接式，可快速、简便地更换镜片的装置。</w:t>
            </w:r>
          </w:p>
          <w:p>
            <w:pPr>
              <w:widowControl/>
              <w:shd w:val="clear" w:color="auto" w:fill="FFFFFF"/>
              <w:snapToGrid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r>
              <w:rPr>
                <w:rFonts w:hint="eastAsia" w:ascii="宋体" w:hAnsi="宋体" w:cs="宋体"/>
                <w:bCs/>
                <w:color w:val="auto"/>
                <w:kern w:val="0"/>
                <w:sz w:val="20"/>
                <w:szCs w:val="20"/>
                <w:highlight w:val="none"/>
              </w:rPr>
              <w:t>性能结构及组织：</w:t>
            </w:r>
            <w:r>
              <w:rPr>
                <w:rFonts w:hint="eastAsia" w:ascii="宋体" w:hAnsi="宋体" w:cs="宋体"/>
                <w:color w:val="auto"/>
                <w:kern w:val="0"/>
                <w:sz w:val="20"/>
                <w:szCs w:val="20"/>
                <w:highlight w:val="none"/>
              </w:rPr>
              <w:t>窥视镜片材质：304型Austenitic不锈钢、HO2半硬黄铜、聚丙烯光学纤维；手柄材质：HO2半硬黄铜/Austenitic不锈钢；绝缘部份材质：聚丙烯塑料；</w:t>
            </w:r>
          </w:p>
          <w:p>
            <w:pPr>
              <w:widowControl/>
              <w:shd w:val="clear" w:color="auto" w:fill="FFFFFF"/>
              <w:snapToGrid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9、产品用于手术开始前的麻醉、插管和复苏。在插管过程中用喉镜，可清楚观察呼吸道、辅助插管的放入。</w:t>
            </w:r>
          </w:p>
          <w:p>
            <w:pPr>
              <w:widowControl/>
              <w:shd w:val="clear" w:color="auto" w:fill="FFFFFF"/>
              <w:snapToGrid w:val="0"/>
              <w:spacing w:line="360" w:lineRule="auto"/>
              <w:rPr>
                <w:rFonts w:ascii="宋体" w:hAnsi="宋体" w:cs="宋体"/>
                <w:color w:val="auto"/>
                <w:kern w:val="0"/>
                <w:sz w:val="20"/>
                <w:szCs w:val="20"/>
                <w:highlight w:val="none"/>
              </w:rPr>
            </w:pPr>
          </w:p>
          <w:p>
            <w:pPr>
              <w:rPr>
                <w:rFonts w:ascii="宋体" w:hAnsi="宋体" w:cs="宋体"/>
                <w:color w:val="auto"/>
                <w:sz w:val="20"/>
                <w:szCs w:val="20"/>
                <w:highlight w:val="none"/>
              </w:rPr>
            </w:pP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氧气瓶</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不锈钢材料瓶子,</w:t>
            </w:r>
            <w:r>
              <w:rPr>
                <w:rFonts w:ascii="宋体" w:hAnsi="宋体" w:cs="宋体"/>
                <w:color w:val="auto"/>
                <w:sz w:val="20"/>
                <w:szCs w:val="20"/>
                <w:highlight w:val="none"/>
              </w:rPr>
              <w:t>容量</w:t>
            </w:r>
            <w:r>
              <w:rPr>
                <w:rFonts w:hint="eastAsia" w:ascii="宋体" w:hAnsi="宋体" w:cs="宋体"/>
                <w:color w:val="auto"/>
                <w:sz w:val="20"/>
                <w:szCs w:val="20"/>
                <w:highlight w:val="none"/>
              </w:rPr>
              <w:t>10</w:t>
            </w:r>
            <w:r>
              <w:rPr>
                <w:rFonts w:ascii="宋体" w:hAnsi="宋体" w:cs="宋体"/>
                <w:color w:val="auto"/>
                <w:sz w:val="20"/>
                <w:szCs w:val="20"/>
                <w:highlight w:val="none"/>
              </w:rPr>
              <w:t>L</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19</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红外线体温计</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测量误差:≤上08</w:t>
            </w:r>
          </w:p>
          <w:p>
            <w:pPr>
              <w:rPr>
                <w:rFonts w:ascii="宋体" w:hAnsi="宋体" w:cs="宋体"/>
                <w:color w:val="auto"/>
                <w:sz w:val="20"/>
                <w:szCs w:val="20"/>
                <w:highlight w:val="none"/>
              </w:rPr>
            </w:pPr>
            <w:r>
              <w:rPr>
                <w:rFonts w:hint="eastAsia" w:ascii="宋体" w:hAnsi="宋体" w:cs="宋体"/>
                <w:color w:val="auto"/>
                <w:sz w:val="20"/>
                <w:szCs w:val="20"/>
                <w:highlight w:val="none"/>
              </w:rPr>
              <w:t>快速:测量时</w:t>
            </w:r>
          </w:p>
          <w:p>
            <w:pPr>
              <w:rPr>
                <w:rFonts w:ascii="宋体" w:hAnsi="宋体" w:cs="宋体"/>
                <w:color w:val="auto"/>
                <w:sz w:val="20"/>
                <w:szCs w:val="20"/>
                <w:highlight w:val="none"/>
              </w:rPr>
            </w:pPr>
            <w:r>
              <w:rPr>
                <w:rFonts w:hint="eastAsia" w:ascii="宋体" w:hAnsi="宋体" w:cs="宋体"/>
                <w:color w:val="auto"/>
                <w:sz w:val="20"/>
                <w:szCs w:val="20"/>
                <w:highlight w:val="none"/>
              </w:rPr>
              <w:t>易用:一键测量</w:t>
            </w:r>
          </w:p>
          <w:p>
            <w:pPr>
              <w:rPr>
                <w:rFonts w:ascii="宋体" w:hAnsi="宋体" w:cs="宋体"/>
                <w:color w:val="auto"/>
                <w:sz w:val="20"/>
                <w:szCs w:val="20"/>
                <w:highlight w:val="none"/>
              </w:rPr>
            </w:pPr>
            <w:r>
              <w:rPr>
                <w:rFonts w:hint="eastAsia" w:ascii="宋体" w:hAnsi="宋体" w:cs="宋体"/>
                <w:color w:val="auto"/>
                <w:sz w:val="20"/>
                <w:szCs w:val="20"/>
                <w:highlight w:val="none"/>
              </w:rPr>
              <w:t>非接触:对额头测量，“不按触人体皮肤，避免交叉感染。</w:t>
            </w:r>
          </w:p>
          <w:p>
            <w:pPr>
              <w:rPr>
                <w:rFonts w:ascii="宋体" w:hAnsi="宋体" w:cs="宋体"/>
                <w:color w:val="auto"/>
                <w:sz w:val="20"/>
                <w:szCs w:val="20"/>
                <w:highlight w:val="none"/>
              </w:rPr>
            </w:pPr>
            <w:r>
              <w:rPr>
                <w:rFonts w:hint="eastAsia" w:ascii="宋体" w:hAnsi="宋体" w:cs="宋体"/>
                <w:color w:val="auto"/>
                <w:sz w:val="20"/>
                <w:szCs w:val="20"/>
                <w:highlight w:val="none"/>
              </w:rPr>
              <w:t>超温报警:自 由设定报警温度。</w:t>
            </w:r>
          </w:p>
          <w:p>
            <w:pPr>
              <w:rPr>
                <w:rFonts w:ascii="宋体" w:hAnsi="宋体" w:cs="宋体"/>
                <w:color w:val="auto"/>
                <w:sz w:val="20"/>
                <w:szCs w:val="20"/>
                <w:highlight w:val="none"/>
              </w:rPr>
            </w:pPr>
            <w:r>
              <w:rPr>
                <w:rFonts w:hint="eastAsia" w:ascii="宋体" w:hAnsi="宋体" w:cs="宋体"/>
                <w:color w:val="auto"/>
                <w:sz w:val="20"/>
                <w:szCs w:val="20"/>
                <w:highlight w:val="none"/>
              </w:rPr>
              <w:t>使用次数:按键10万次。</w:t>
            </w:r>
          </w:p>
          <w:p>
            <w:pPr>
              <w:rPr>
                <w:rFonts w:ascii="宋体" w:hAnsi="宋体" w:cs="宋体"/>
                <w:color w:val="auto"/>
                <w:sz w:val="20"/>
                <w:szCs w:val="20"/>
                <w:highlight w:val="none"/>
              </w:rPr>
            </w:pPr>
            <w:r>
              <w:rPr>
                <w:rFonts w:hint="eastAsia" w:ascii="宋体" w:hAnsi="宋体" w:cs="宋体"/>
                <w:color w:val="auto"/>
                <w:sz w:val="20"/>
                <w:szCs w:val="20"/>
                <w:highlight w:val="none"/>
              </w:rPr>
              <w:t>大屏显示:大屏幕液晶三色背光显示，夜间都可清晰读数</w:t>
            </w:r>
          </w:p>
          <w:p>
            <w:pPr>
              <w:rPr>
                <w:rFonts w:ascii="宋体" w:hAnsi="宋体" w:cs="宋体"/>
                <w:color w:val="auto"/>
                <w:sz w:val="20"/>
                <w:szCs w:val="20"/>
                <w:highlight w:val="none"/>
              </w:rPr>
            </w:pPr>
            <w:r>
              <w:rPr>
                <w:rFonts w:hint="eastAsia" w:ascii="宋体" w:hAnsi="宋体" w:cs="宋体"/>
                <w:color w:val="auto"/>
                <w:sz w:val="20"/>
                <w:szCs w:val="20"/>
                <w:highlight w:val="none"/>
              </w:rPr>
              <w:t>存储数据:存储32组测量数据，便于分析对比。</w:t>
            </w:r>
          </w:p>
          <w:p>
            <w:pPr>
              <w:rPr>
                <w:rFonts w:ascii="宋体" w:hAnsi="宋体" w:cs="宋体"/>
                <w:color w:val="auto"/>
                <w:sz w:val="20"/>
                <w:szCs w:val="20"/>
                <w:highlight w:val="none"/>
              </w:rPr>
            </w:pPr>
            <w:r>
              <w:rPr>
                <w:rFonts w:hint="eastAsia" w:ascii="宋体" w:hAnsi="宋体" w:cs="宋体"/>
                <w:color w:val="auto"/>
                <w:sz w:val="20"/>
                <w:szCs w:val="20"/>
                <w:highlight w:val="none"/>
              </w:rPr>
              <w:t>设置修改:可修改设置参数。</w:t>
            </w:r>
          </w:p>
          <w:p>
            <w:pPr>
              <w:rPr>
                <w:rFonts w:ascii="宋体" w:hAnsi="宋体" w:cs="宋体"/>
                <w:color w:val="auto"/>
                <w:sz w:val="20"/>
                <w:szCs w:val="20"/>
                <w:highlight w:val="none"/>
              </w:rPr>
            </w:pPr>
            <w:r>
              <w:rPr>
                <w:rFonts w:hint="eastAsia" w:ascii="宋体" w:hAnsi="宋体" w:cs="宋体"/>
                <w:color w:val="auto"/>
                <w:sz w:val="20"/>
                <w:szCs w:val="20"/>
                <w:highlight w:val="none"/>
              </w:rPr>
              <w:t>1.正常使用条件:环境温度:</w:t>
            </w:r>
          </w:p>
          <w:p>
            <w:pPr>
              <w:rPr>
                <w:rFonts w:ascii="宋体" w:hAnsi="宋体" w:cs="宋体"/>
                <w:color w:val="auto"/>
                <w:sz w:val="20"/>
                <w:szCs w:val="20"/>
                <w:highlight w:val="none"/>
              </w:rPr>
            </w:pPr>
            <w:r>
              <w:rPr>
                <w:rFonts w:hint="eastAsia" w:ascii="宋体" w:hAnsi="宋体" w:cs="宋体"/>
                <w:color w:val="auto"/>
                <w:sz w:val="20"/>
                <w:szCs w:val="20"/>
                <w:highlight w:val="none"/>
              </w:rPr>
              <w:t>10C~40C ;相对湿度:≤85%</w:t>
            </w:r>
          </w:p>
          <w:p>
            <w:pPr>
              <w:rPr>
                <w:rFonts w:ascii="宋体" w:hAnsi="宋体" w:cs="宋体"/>
                <w:color w:val="auto"/>
                <w:sz w:val="20"/>
                <w:szCs w:val="20"/>
                <w:highlight w:val="none"/>
              </w:rPr>
            </w:pPr>
            <w:r>
              <w:rPr>
                <w:rFonts w:hint="eastAsia" w:ascii="宋体" w:hAnsi="宋体" w:cs="宋体"/>
                <w:color w:val="auto"/>
                <w:sz w:val="20"/>
                <w:szCs w:val="20"/>
                <w:highlight w:val="none"/>
              </w:rPr>
              <w:t>2.电源电压:DC3V (2节5号碱性电池)</w:t>
            </w:r>
          </w:p>
          <w:p>
            <w:pPr>
              <w:rPr>
                <w:rFonts w:ascii="宋体" w:hAnsi="宋体" w:cs="宋体"/>
                <w:color w:val="auto"/>
                <w:sz w:val="20"/>
                <w:szCs w:val="20"/>
                <w:highlight w:val="none"/>
              </w:rPr>
            </w:pPr>
            <w:r>
              <w:rPr>
                <w:rFonts w:hint="eastAsia" w:ascii="宋体" w:hAnsi="宋体" w:cs="宋体"/>
                <w:color w:val="auto"/>
                <w:sz w:val="20"/>
                <w:szCs w:val="20"/>
                <w:highlight w:val="none"/>
              </w:rPr>
              <w:t>3.产品尺寸:155x100x40mm (长X宽X高)</w:t>
            </w:r>
          </w:p>
          <w:p>
            <w:pPr>
              <w:rPr>
                <w:rFonts w:ascii="宋体" w:hAnsi="宋体" w:cs="宋体"/>
                <w:color w:val="auto"/>
                <w:sz w:val="20"/>
                <w:szCs w:val="20"/>
                <w:highlight w:val="none"/>
              </w:rPr>
            </w:pPr>
            <w:r>
              <w:rPr>
                <w:rFonts w:hint="eastAsia" w:ascii="宋体" w:hAnsi="宋体" w:cs="宋体"/>
                <w:color w:val="auto"/>
                <w:sz w:val="20"/>
                <w:szCs w:val="20"/>
                <w:highlight w:val="none"/>
              </w:rPr>
              <w:t>4.主机重量:105g (不含电池)</w:t>
            </w:r>
          </w:p>
          <w:p>
            <w:pPr>
              <w:rPr>
                <w:rFonts w:ascii="宋体" w:hAnsi="宋体" w:cs="宋体"/>
                <w:color w:val="auto"/>
                <w:sz w:val="20"/>
                <w:szCs w:val="20"/>
                <w:highlight w:val="none"/>
              </w:rPr>
            </w:pPr>
            <w:r>
              <w:rPr>
                <w:rFonts w:hint="eastAsia" w:ascii="宋体" w:hAnsi="宋体" w:cs="宋体"/>
                <w:color w:val="auto"/>
                <w:sz w:val="20"/>
                <w:szCs w:val="20"/>
                <w:highlight w:val="none"/>
              </w:rPr>
              <w:t>5.测量范围:体温模式: 32.0C~42.9C</w:t>
            </w:r>
          </w:p>
          <w:p>
            <w:pPr>
              <w:rPr>
                <w:rFonts w:ascii="宋体" w:hAnsi="宋体" w:cs="宋体"/>
                <w:color w:val="auto"/>
                <w:sz w:val="20"/>
                <w:szCs w:val="20"/>
                <w:highlight w:val="none"/>
              </w:rPr>
            </w:pPr>
            <w:r>
              <w:rPr>
                <w:rFonts w:hint="eastAsia" w:ascii="宋体" w:hAnsi="宋体" w:cs="宋体"/>
                <w:color w:val="auto"/>
                <w:sz w:val="20"/>
                <w:szCs w:val="20"/>
                <w:highlight w:val="none"/>
              </w:rPr>
              <w:t>6.在体温模式下背光设置: T≤37. 3C绿色背光: 37.4C≤T≤37. 9C为橙色背光;T≥38C为红色背光</w:t>
            </w:r>
          </w:p>
          <w:p>
            <w:pPr>
              <w:rPr>
                <w:rFonts w:ascii="宋体" w:hAnsi="宋体" w:cs="宋体"/>
                <w:color w:val="auto"/>
                <w:sz w:val="20"/>
                <w:szCs w:val="20"/>
                <w:highlight w:val="none"/>
              </w:rPr>
            </w:pPr>
            <w:r>
              <w:rPr>
                <w:rFonts w:hint="eastAsia" w:ascii="宋体" w:hAnsi="宋体" w:cs="宋体"/>
                <w:color w:val="auto"/>
                <w:sz w:val="20"/>
                <w:szCs w:val="20"/>
                <w:highlight w:val="none"/>
              </w:rPr>
              <w:t>7.精度:</w:t>
            </w:r>
            <w:r>
              <w:rPr>
                <w:rFonts w:ascii="宋体" w:hAnsi="宋体" w:cs="宋体"/>
                <w:color w:val="auto"/>
                <w:sz w:val="20"/>
                <w:szCs w:val="20"/>
                <w:highlight w:val="none"/>
              </w:rPr>
              <w:t>32.0C~34.9C</w:t>
            </w:r>
            <w:r>
              <w:rPr>
                <w:rFonts w:hint="eastAsia" w:ascii="宋体" w:hAnsi="宋体" w:cs="宋体"/>
                <w:color w:val="auto"/>
                <w:sz w:val="20"/>
                <w:szCs w:val="20"/>
                <w:highlight w:val="none"/>
              </w:rPr>
              <w:t>士0.3C</w:t>
            </w:r>
          </w:p>
          <w:p>
            <w:pPr>
              <w:rPr>
                <w:rFonts w:ascii="宋体" w:hAnsi="宋体" w:cs="宋体"/>
                <w:color w:val="auto"/>
                <w:sz w:val="20"/>
                <w:szCs w:val="20"/>
                <w:highlight w:val="none"/>
              </w:rPr>
            </w:pPr>
            <w:r>
              <w:rPr>
                <w:rFonts w:ascii="宋体" w:hAnsi="宋体" w:cs="宋体"/>
                <w:color w:val="auto"/>
                <w:sz w:val="20"/>
                <w:szCs w:val="20"/>
                <w:highlight w:val="none"/>
              </w:rPr>
              <w:t>35.0C~42.0C</w:t>
            </w:r>
            <w:r>
              <w:rPr>
                <w:rFonts w:hint="eastAsia" w:ascii="宋体" w:hAnsi="宋体" w:cs="宋体"/>
                <w:color w:val="auto"/>
                <w:sz w:val="20"/>
                <w:szCs w:val="20"/>
                <w:highlight w:val="none"/>
              </w:rPr>
              <w:t>士0.2C</w:t>
            </w:r>
          </w:p>
          <w:p>
            <w:pPr>
              <w:rPr>
                <w:rFonts w:ascii="宋体" w:hAnsi="宋体" w:cs="宋体"/>
                <w:color w:val="auto"/>
                <w:sz w:val="20"/>
                <w:szCs w:val="20"/>
                <w:highlight w:val="none"/>
              </w:rPr>
            </w:pPr>
            <w:r>
              <w:rPr>
                <w:rFonts w:ascii="宋体" w:hAnsi="宋体" w:cs="宋体"/>
                <w:color w:val="auto"/>
                <w:sz w:val="20"/>
                <w:szCs w:val="20"/>
                <w:highlight w:val="none"/>
              </w:rPr>
              <w:t>42.1C-~42.9C</w:t>
            </w:r>
            <w:r>
              <w:rPr>
                <w:rFonts w:hint="eastAsia" w:ascii="宋体" w:hAnsi="宋体" w:cs="宋体"/>
                <w:color w:val="auto"/>
                <w:sz w:val="20"/>
                <w:szCs w:val="20"/>
                <w:highlight w:val="none"/>
              </w:rPr>
              <w:t>士0.3C</w:t>
            </w:r>
          </w:p>
          <w:p>
            <w:pPr>
              <w:rPr>
                <w:rFonts w:ascii="宋体" w:hAnsi="宋体" w:cs="宋体"/>
                <w:color w:val="auto"/>
                <w:sz w:val="20"/>
                <w:szCs w:val="20"/>
                <w:highlight w:val="none"/>
              </w:rPr>
            </w:pPr>
            <w:r>
              <w:rPr>
                <w:rFonts w:hint="eastAsia" w:ascii="宋体" w:hAnsi="宋体" w:cs="宋体"/>
                <w:color w:val="auto"/>
                <w:sz w:val="20"/>
                <w:szCs w:val="20"/>
                <w:highlight w:val="none"/>
              </w:rPr>
              <w:t>8.测量距离:</w:t>
            </w:r>
            <w:r>
              <w:rPr>
                <w:rFonts w:ascii="宋体" w:hAnsi="宋体" w:cs="宋体"/>
                <w:color w:val="auto"/>
                <w:sz w:val="20"/>
                <w:szCs w:val="20"/>
                <w:highlight w:val="none"/>
              </w:rPr>
              <w:t>3cm~ 5cm</w:t>
            </w:r>
          </w:p>
          <w:p>
            <w:pPr>
              <w:rPr>
                <w:rFonts w:ascii="宋体" w:hAnsi="宋体" w:cs="宋体"/>
                <w:color w:val="auto"/>
                <w:sz w:val="20"/>
                <w:szCs w:val="20"/>
                <w:highlight w:val="none"/>
              </w:rPr>
            </w:pPr>
            <w:r>
              <w:rPr>
                <w:rFonts w:hint="eastAsia" w:ascii="宋体" w:hAnsi="宋体" w:cs="宋体"/>
                <w:color w:val="auto"/>
                <w:sz w:val="20"/>
                <w:szCs w:val="20"/>
                <w:highlight w:val="none"/>
              </w:rPr>
              <w:t>9.自动关机:</w:t>
            </w:r>
            <w:r>
              <w:rPr>
                <w:rFonts w:ascii="宋体" w:hAnsi="宋体" w:cs="宋体"/>
                <w:color w:val="auto"/>
                <w:sz w:val="20"/>
                <w:szCs w:val="20"/>
                <w:highlight w:val="none"/>
              </w:rPr>
              <w:t>&lt;30s</w:t>
            </w:r>
          </w:p>
          <w:p>
            <w:pPr>
              <w:rPr>
                <w:rFonts w:ascii="宋体" w:hAnsi="宋体" w:cs="宋体"/>
                <w:color w:val="auto"/>
                <w:sz w:val="20"/>
                <w:szCs w:val="20"/>
                <w:highlight w:val="none"/>
              </w:rPr>
            </w:pPr>
            <w:r>
              <w:rPr>
                <w:rFonts w:hint="eastAsia" w:ascii="宋体" w:hAnsi="宋体" w:cs="宋体"/>
                <w:color w:val="auto"/>
                <w:sz w:val="20"/>
                <w:szCs w:val="20"/>
                <w:highlight w:val="none"/>
              </w:rPr>
              <w:t>配置清单</w:t>
            </w:r>
          </w:p>
          <w:p>
            <w:pPr>
              <w:rPr>
                <w:rFonts w:ascii="宋体" w:hAnsi="宋体" w:cs="宋体"/>
                <w:color w:val="auto"/>
                <w:sz w:val="20"/>
                <w:szCs w:val="20"/>
                <w:highlight w:val="none"/>
              </w:rPr>
            </w:pPr>
            <w:r>
              <w:rPr>
                <w:rFonts w:hint="eastAsia" w:ascii="宋体" w:hAnsi="宋体" w:cs="宋体"/>
                <w:color w:val="auto"/>
                <w:sz w:val="20"/>
                <w:szCs w:val="20"/>
                <w:highlight w:val="none"/>
              </w:rPr>
              <w:t>说明书1本</w:t>
            </w:r>
          </w:p>
          <w:p>
            <w:pPr>
              <w:rPr>
                <w:rFonts w:ascii="宋体" w:hAnsi="宋体" w:cs="宋体"/>
                <w:color w:val="auto"/>
                <w:sz w:val="20"/>
                <w:szCs w:val="20"/>
                <w:highlight w:val="none"/>
              </w:rPr>
            </w:pPr>
            <w:r>
              <w:rPr>
                <w:rFonts w:hint="eastAsia" w:ascii="宋体" w:hAnsi="宋体" w:cs="宋体"/>
                <w:color w:val="auto"/>
                <w:sz w:val="20"/>
                <w:szCs w:val="20"/>
                <w:highlight w:val="none"/>
              </w:rPr>
              <w:t>合格证卡1张</w:t>
            </w:r>
          </w:p>
          <w:p>
            <w:pPr>
              <w:rPr>
                <w:rFonts w:ascii="宋体" w:hAnsi="宋体" w:cs="宋体"/>
                <w:color w:val="auto"/>
                <w:sz w:val="20"/>
                <w:szCs w:val="20"/>
                <w:highlight w:val="none"/>
              </w:rPr>
            </w:pPr>
            <w:r>
              <w:rPr>
                <w:rFonts w:hint="eastAsia" w:ascii="宋体" w:hAnsi="宋体" w:cs="宋体"/>
                <w:color w:val="auto"/>
                <w:sz w:val="20"/>
                <w:szCs w:val="20"/>
                <w:highlight w:val="none"/>
              </w:rPr>
              <w:t>5号碱性电池2节</w:t>
            </w:r>
          </w:p>
          <w:p>
            <w:pPr>
              <w:rPr>
                <w:rFonts w:ascii="宋体" w:hAnsi="宋体" w:cs="宋体"/>
                <w:color w:val="auto"/>
                <w:sz w:val="20"/>
                <w:szCs w:val="20"/>
                <w:highlight w:val="none"/>
              </w:rPr>
            </w:pP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脊椎固定板套件</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0"/>
                <w:szCs w:val="20"/>
                <w:highlight w:val="none"/>
              </w:rPr>
            </w:pPr>
            <w:r>
              <w:rPr>
                <w:rFonts w:hint="eastAsia" w:ascii="宋体" w:hAnsi="宋体"/>
                <w:color w:val="auto"/>
                <w:sz w:val="20"/>
                <w:szCs w:val="20"/>
                <w:highlight w:val="none"/>
              </w:rPr>
              <w:t>1、</w:t>
            </w:r>
            <w:r>
              <w:rPr>
                <w:rFonts w:ascii="宋体" w:hAnsi="宋体"/>
                <w:color w:val="auto"/>
                <w:sz w:val="20"/>
                <w:szCs w:val="20"/>
                <w:highlight w:val="none"/>
              </w:rPr>
              <w:t>采用高密度塑料聚乙烯吹塑一次成型，坚固耐用，不易老化。</w:t>
            </w:r>
            <w:r>
              <w:rPr>
                <w:rFonts w:ascii="宋体" w:hAnsi="宋体"/>
                <w:color w:val="auto"/>
                <w:sz w:val="20"/>
                <w:szCs w:val="20"/>
                <w:highlight w:val="none"/>
              </w:rPr>
              <w:br w:type="textWrapping"/>
            </w:r>
            <w:r>
              <w:rPr>
                <w:rFonts w:hint="eastAsia" w:ascii="宋体" w:hAnsi="宋体"/>
                <w:color w:val="auto"/>
                <w:sz w:val="20"/>
                <w:szCs w:val="20"/>
                <w:highlight w:val="none"/>
              </w:rPr>
              <w:t>2、</w:t>
            </w:r>
            <w:r>
              <w:rPr>
                <w:rFonts w:ascii="宋体" w:hAnsi="宋体"/>
                <w:color w:val="auto"/>
                <w:sz w:val="20"/>
                <w:szCs w:val="20"/>
                <w:highlight w:val="none"/>
              </w:rPr>
              <w:t>适合各种恶劣环境抢救，抗碰撞性能强，防水易清洗</w:t>
            </w:r>
            <w:r>
              <w:rPr>
                <w:rFonts w:ascii="宋体" w:hAnsi="宋体"/>
                <w:color w:val="auto"/>
                <w:sz w:val="20"/>
                <w:szCs w:val="20"/>
                <w:highlight w:val="none"/>
              </w:rPr>
              <w:br w:type="textWrapping"/>
            </w:r>
            <w:r>
              <w:rPr>
                <w:rFonts w:ascii="宋体" w:hAnsi="宋体"/>
                <w:color w:val="auto"/>
                <w:sz w:val="20"/>
                <w:szCs w:val="20"/>
                <w:highlight w:val="none"/>
              </w:rPr>
              <w:t>3</w:t>
            </w:r>
            <w:r>
              <w:rPr>
                <w:rFonts w:hint="eastAsia" w:ascii="宋体" w:hAnsi="宋体"/>
                <w:color w:val="auto"/>
                <w:sz w:val="20"/>
                <w:szCs w:val="20"/>
                <w:highlight w:val="none"/>
              </w:rPr>
              <w:t>、</w:t>
            </w:r>
            <w:r>
              <w:rPr>
                <w:rFonts w:ascii="宋体" w:hAnsi="宋体"/>
                <w:color w:val="auto"/>
                <w:sz w:val="20"/>
                <w:szCs w:val="20"/>
                <w:highlight w:val="none"/>
              </w:rPr>
              <w:t>可以进行X光、MRI、CT穿透效果极佳，方便伤者检查，最大限度降低搬运过程中给病人造成的痛苦。周边均匀开提手口，可供多人同时提、扛、抬。</w:t>
            </w:r>
            <w:r>
              <w:rPr>
                <w:rFonts w:ascii="宋体" w:hAnsi="宋体"/>
                <w:color w:val="auto"/>
                <w:sz w:val="20"/>
                <w:szCs w:val="20"/>
                <w:highlight w:val="none"/>
              </w:rPr>
              <w:br w:type="textWrapping"/>
            </w:r>
            <w:r>
              <w:rPr>
                <w:rFonts w:hint="eastAsia" w:ascii="宋体" w:hAnsi="宋体"/>
                <w:color w:val="auto"/>
                <w:sz w:val="20"/>
                <w:szCs w:val="20"/>
                <w:highlight w:val="none"/>
              </w:rPr>
              <w:t>4、</w:t>
            </w:r>
            <w:r>
              <w:rPr>
                <w:rFonts w:ascii="宋体" w:hAnsi="宋体"/>
                <w:color w:val="auto"/>
                <w:sz w:val="20"/>
                <w:szCs w:val="20"/>
                <w:highlight w:val="none"/>
              </w:rPr>
              <w:t>硬质结构，便于在转运过程中，继续进行CPR和心脏按压抢救，排水量大，整体体积达到0.04m3，在常温水里可浮起一成人，大大降低了水上救生人员的难度，便于更快的抢救伤者。</w:t>
            </w:r>
            <w:r>
              <w:rPr>
                <w:rFonts w:ascii="宋体" w:hAnsi="宋体"/>
                <w:color w:val="auto"/>
                <w:sz w:val="20"/>
                <w:szCs w:val="20"/>
                <w:highlight w:val="none"/>
              </w:rPr>
              <w:br w:type="textWrapping"/>
            </w:r>
            <w:r>
              <w:rPr>
                <w:rFonts w:ascii="宋体" w:hAnsi="宋体"/>
                <w:color w:val="auto"/>
                <w:sz w:val="20"/>
                <w:szCs w:val="20"/>
                <w:highlight w:val="none"/>
              </w:rPr>
              <w:t>脊椎固定套装包含有颈托、头部固定器和脊椎固定板，本产品一般配备三根绑带。 展开尺寸183×45×6CM称重：≥S159KG 净重：7KG 毛重9KG 包装尺寸1PC/CTN -184×46×7CMJ</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21</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儿童喉镜</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1、配置：直片型镜片中、小各一片，手柄一只。</w:t>
            </w:r>
          </w:p>
          <w:p>
            <w:pPr>
              <w:rPr>
                <w:rFonts w:ascii="宋体" w:hAnsi="宋体" w:cs="宋体"/>
                <w:color w:val="auto"/>
                <w:sz w:val="20"/>
                <w:szCs w:val="20"/>
                <w:highlight w:val="none"/>
              </w:rPr>
            </w:pPr>
            <w:r>
              <w:rPr>
                <w:rFonts w:hint="eastAsia" w:ascii="宋体" w:hAnsi="宋体" w:cs="宋体"/>
                <w:color w:val="auto"/>
                <w:sz w:val="20"/>
                <w:szCs w:val="20"/>
                <w:highlight w:val="none"/>
              </w:rPr>
              <w:t>2、光线更亮、更白</w:t>
            </w:r>
          </w:p>
          <w:p>
            <w:pPr>
              <w:rPr>
                <w:rFonts w:ascii="宋体" w:hAnsi="宋体" w:cs="宋体"/>
                <w:color w:val="auto"/>
                <w:sz w:val="20"/>
                <w:szCs w:val="20"/>
                <w:highlight w:val="none"/>
              </w:rPr>
            </w:pPr>
            <w:r>
              <w:rPr>
                <w:rFonts w:hint="eastAsia" w:ascii="宋体" w:hAnsi="宋体" w:cs="宋体"/>
                <w:color w:val="auto"/>
                <w:sz w:val="20"/>
                <w:szCs w:val="20"/>
                <w:highlight w:val="none"/>
              </w:rPr>
              <w:t>3、易于清洁和消毒</w:t>
            </w:r>
          </w:p>
          <w:p>
            <w:pPr>
              <w:rPr>
                <w:rFonts w:ascii="宋体" w:hAnsi="宋体" w:cs="宋体"/>
                <w:color w:val="auto"/>
                <w:sz w:val="20"/>
                <w:szCs w:val="20"/>
                <w:highlight w:val="none"/>
              </w:rPr>
            </w:pPr>
            <w:r>
              <w:rPr>
                <w:rFonts w:hint="eastAsia" w:ascii="宋体" w:hAnsi="宋体" w:cs="宋体"/>
                <w:color w:val="auto"/>
                <w:sz w:val="20"/>
                <w:szCs w:val="20"/>
                <w:highlight w:val="none"/>
              </w:rPr>
              <w:t>4、灯泡装在镜片的前端</w:t>
            </w:r>
          </w:p>
          <w:p>
            <w:pPr>
              <w:rPr>
                <w:rFonts w:ascii="宋体" w:hAnsi="宋体" w:cs="宋体"/>
                <w:color w:val="auto"/>
                <w:sz w:val="20"/>
                <w:szCs w:val="20"/>
                <w:highlight w:val="none"/>
              </w:rPr>
            </w:pPr>
            <w:r>
              <w:rPr>
                <w:rFonts w:hint="eastAsia" w:ascii="宋体" w:hAnsi="宋体" w:cs="宋体"/>
                <w:color w:val="auto"/>
                <w:sz w:val="20"/>
                <w:szCs w:val="20"/>
                <w:highlight w:val="none"/>
              </w:rPr>
              <w:t>5、光线可直接照射</w:t>
            </w:r>
          </w:p>
          <w:p>
            <w:pPr>
              <w:rPr>
                <w:rFonts w:ascii="宋体" w:hAnsi="宋体" w:cs="宋体"/>
                <w:color w:val="auto"/>
                <w:sz w:val="20"/>
                <w:szCs w:val="20"/>
                <w:highlight w:val="none"/>
              </w:rPr>
            </w:pPr>
            <w:r>
              <w:rPr>
                <w:rFonts w:hint="eastAsia" w:ascii="宋体" w:hAnsi="宋体" w:cs="宋体"/>
                <w:color w:val="auto"/>
                <w:sz w:val="20"/>
                <w:szCs w:val="20"/>
                <w:highlight w:val="none"/>
              </w:rPr>
              <w:t>6、维护更经济、有效</w:t>
            </w:r>
          </w:p>
          <w:p>
            <w:pPr>
              <w:rPr>
                <w:rFonts w:ascii="宋体" w:hAnsi="宋体" w:cs="宋体"/>
                <w:color w:val="auto"/>
                <w:sz w:val="20"/>
                <w:szCs w:val="20"/>
                <w:highlight w:val="none"/>
              </w:rPr>
            </w:pPr>
            <w:r>
              <w:rPr>
                <w:rFonts w:hint="eastAsia" w:ascii="宋体" w:hAnsi="宋体" w:cs="宋体"/>
                <w:color w:val="auto"/>
                <w:sz w:val="20"/>
                <w:szCs w:val="20"/>
                <w:highlight w:val="none"/>
              </w:rPr>
              <w:t>7、装置简便，采用挂钩连接式，可快速、简便地更换镜片的装置。</w:t>
            </w:r>
          </w:p>
          <w:p>
            <w:pPr>
              <w:rPr>
                <w:rFonts w:ascii="宋体" w:hAnsi="宋体" w:cs="宋体"/>
                <w:color w:val="auto"/>
                <w:sz w:val="20"/>
                <w:szCs w:val="20"/>
                <w:highlight w:val="none"/>
              </w:rPr>
            </w:pPr>
            <w:r>
              <w:rPr>
                <w:rFonts w:hint="eastAsia" w:ascii="宋体" w:hAnsi="宋体" w:cs="宋体"/>
                <w:color w:val="auto"/>
                <w:sz w:val="20"/>
                <w:szCs w:val="20"/>
                <w:highlight w:val="none"/>
              </w:rPr>
              <w:t>8、性能结构及组织：窥视镜片材质：304型Austenitic不锈钢、HO2半硬黄铜、聚丙烯光学纤维；手柄材质：HO2半硬黄铜/Austenitic不锈钢；绝缘部份材质：聚丙烯塑料；</w:t>
            </w:r>
          </w:p>
          <w:p>
            <w:pPr>
              <w:rPr>
                <w:rFonts w:ascii="宋体" w:hAnsi="宋体" w:cs="宋体"/>
                <w:color w:val="auto"/>
                <w:sz w:val="20"/>
                <w:szCs w:val="20"/>
                <w:highlight w:val="none"/>
              </w:rPr>
            </w:pPr>
            <w:r>
              <w:rPr>
                <w:rFonts w:hint="eastAsia" w:ascii="宋体" w:hAnsi="宋体" w:cs="宋体"/>
                <w:color w:val="auto"/>
                <w:sz w:val="20"/>
                <w:szCs w:val="20"/>
                <w:highlight w:val="none"/>
              </w:rPr>
              <w:t>9、产品用于手术开始前的麻醉、插管和复苏。在插管过程中用喉镜，可清楚观察呼吸道、辅助插管的放入。</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药品箱</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bCs/>
                <w:color w:val="auto"/>
                <w:sz w:val="20"/>
                <w:szCs w:val="20"/>
                <w:highlight w:val="none"/>
              </w:rPr>
            </w:pPr>
            <w:r>
              <w:rPr>
                <w:rFonts w:hint="eastAsia" w:ascii="宋体" w:hAnsi="宋体"/>
                <w:bCs/>
                <w:color w:val="auto"/>
                <w:sz w:val="20"/>
                <w:szCs w:val="20"/>
                <w:highlight w:val="none"/>
              </w:rPr>
              <w:t>规格尺寸：16寸（375x215x235mm）</w:t>
            </w:r>
          </w:p>
          <w:p>
            <w:pPr>
              <w:rPr>
                <w:rFonts w:ascii="宋体" w:hAnsi="宋体"/>
                <w:bCs/>
                <w:color w:val="auto"/>
                <w:sz w:val="20"/>
                <w:szCs w:val="20"/>
                <w:highlight w:val="none"/>
              </w:rPr>
            </w:pPr>
            <w:r>
              <w:rPr>
                <w:rFonts w:hint="eastAsia" w:ascii="宋体" w:hAnsi="宋体"/>
                <w:bCs/>
                <w:color w:val="auto"/>
                <w:sz w:val="20"/>
                <w:szCs w:val="20"/>
                <w:highlight w:val="none"/>
              </w:rPr>
              <w:t>箱体结构：铝合金箱体，肩背和手提两式。</w:t>
            </w:r>
          </w:p>
          <w:p>
            <w:pPr>
              <w:rPr>
                <w:rFonts w:ascii="宋体" w:hAnsi="宋体"/>
                <w:bCs/>
                <w:color w:val="auto"/>
                <w:sz w:val="20"/>
                <w:szCs w:val="20"/>
                <w:highlight w:val="none"/>
              </w:rPr>
            </w:pPr>
            <w:r>
              <w:rPr>
                <w:rFonts w:hint="eastAsia" w:ascii="宋体" w:hAnsi="宋体"/>
                <w:bCs/>
                <w:color w:val="auto"/>
                <w:sz w:val="20"/>
                <w:szCs w:val="20"/>
                <w:highlight w:val="none"/>
              </w:rPr>
              <w:t>箱体采用铝合金型材为骨架，四角采用ABS包角，箱体面板为仿铝板面料，中层为轻质高密度纤维板，箱内分隔为上下二层；内衬均用绿色牛津布作衬里,现活动托盘均为塑料托盘，便于清洗。箱盖有两条松紧带和一个口袋，便于插小的器械和放笔记本用,箱内配有两把钥匙和一根背带。</w:t>
            </w:r>
          </w:p>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23</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血糖仪</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本产品由主机及配件组成。主机为血糖仪由电路校波品品示屏、功能按结构及组成键、外壳、组成。</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单头无影灯</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通常由光源、灯架等组成。预期供手术辅助照明用，为不具备自动防故障功</w:t>
            </w:r>
            <w:r>
              <w:rPr>
                <w:rFonts w:hint="eastAsia" w:ascii="宋体" w:hAnsi="宋体" w:cs="宋体"/>
                <w:color w:val="auto"/>
                <w:sz w:val="20"/>
                <w:szCs w:val="20"/>
                <w:highlight w:val="none"/>
              </w:rPr>
              <w:cr/>
            </w:r>
            <w:r>
              <w:rPr>
                <w:rFonts w:hint="eastAsia" w:ascii="宋体" w:hAnsi="宋体" w:cs="宋体"/>
                <w:color w:val="auto"/>
                <w:sz w:val="20"/>
                <w:szCs w:val="20"/>
                <w:highlight w:val="none"/>
              </w:rPr>
              <w:t>能的照明灯具。不能单独用于手术。不具有无影效果</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25</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bookmarkStart w:id="47" w:name="OLE_LINK1"/>
            <w:bookmarkStart w:id="48" w:name="OLE_LINK2"/>
            <w:r>
              <w:rPr>
                <w:rFonts w:hint="eastAsia" w:ascii="宋体" w:hAnsi="宋体" w:cs="宋体"/>
                <w:color w:val="auto"/>
                <w:kern w:val="0"/>
                <w:sz w:val="20"/>
                <w:szCs w:val="20"/>
                <w:highlight w:val="none"/>
                <w:lang w:bidi="ar"/>
              </w:rPr>
              <w:t>检伤分类卡</w:t>
            </w:r>
            <w:bookmarkEnd w:id="47"/>
            <w:bookmarkEnd w:id="48"/>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张</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1200</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组件：卡片+塑料封套+夹子</w:t>
            </w:r>
          </w:p>
          <w:p>
            <w:pPr>
              <w:rPr>
                <w:rFonts w:ascii="宋体" w:hAnsi="宋体" w:cs="宋体"/>
                <w:color w:val="auto"/>
                <w:sz w:val="20"/>
                <w:szCs w:val="20"/>
                <w:highlight w:val="none"/>
              </w:rPr>
            </w:pPr>
            <w:r>
              <w:rPr>
                <w:rFonts w:hint="eastAsia" w:ascii="宋体" w:hAnsi="宋体" w:cs="宋体"/>
                <w:color w:val="auto"/>
                <w:sz w:val="20"/>
                <w:szCs w:val="20"/>
                <w:highlight w:val="none"/>
              </w:rPr>
              <w:t>规格：4个颜色为一套</w:t>
            </w:r>
          </w:p>
          <w:p>
            <w:pPr>
              <w:rPr>
                <w:rFonts w:ascii="宋体" w:hAnsi="宋体" w:cs="宋体"/>
                <w:color w:val="auto"/>
                <w:sz w:val="20"/>
                <w:szCs w:val="20"/>
                <w:highlight w:val="none"/>
              </w:rPr>
            </w:pPr>
            <w:r>
              <w:rPr>
                <w:rFonts w:hint="eastAsia" w:ascii="宋体" w:hAnsi="宋体" w:cs="宋体"/>
                <w:color w:val="auto"/>
                <w:sz w:val="20"/>
                <w:szCs w:val="20"/>
                <w:highlight w:val="none"/>
              </w:rPr>
              <w:t>尺寸：8*11.5cm</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产品功能：检伤分类标志和现场登记在多人受伤的情况下，急救专员可以使用伤情识别卡按照受伤轻重程度迅速标记、区分伤者，并按轻重顺序进行救治，极大提升救援效率。</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检伤分类腕带</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1200</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颜色：绿色、黄色、大红色、黑色</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尺寸：30cm*3cm</w:t>
            </w:r>
          </w:p>
          <w:p>
            <w:pPr>
              <w:jc w:val="left"/>
              <w:rPr>
                <w:rFonts w:ascii="宋体" w:hAnsi="宋体" w:cs="宋体"/>
                <w:color w:val="auto"/>
                <w:sz w:val="20"/>
                <w:szCs w:val="20"/>
                <w:highlight w:val="none"/>
              </w:rPr>
            </w:pPr>
            <w:r>
              <w:rPr>
                <w:rFonts w:hint="eastAsia" w:ascii="宋体" w:hAnsi="宋体" w:cs="宋体"/>
                <w:color w:val="auto"/>
                <w:sz w:val="20"/>
                <w:szCs w:val="20"/>
                <w:highlight w:val="none"/>
              </w:rPr>
              <w:t>产品材质：弹性硅钢片</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27</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听诊器</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全铜听头，耳环三通采用优质铜材制造，传导声效果更佳。导管采用PVC增弹塑料,弹簧片采用弹簧钢制成，具有良好的弹性与强度。配有钟形听诊头。技术参数频响曲线: 100-500Hz以测试声源为基准。衰减≤12dB、在500 1000Hz≤20dB。弹簀片硬度: HR15N82.9-88.4.耳环弹力:两耳塞拉开140mm,弹力值1 372-1.960N。耳环弹性:两耳塞拉开300mm, 1分钟后恢复,变形不大于10mm</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28</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医用手电筒</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用于医生观察患者眼、喉部时照明使用。采用5号电池和普通照明灯泡。</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29</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水银体温计</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支</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30</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角型棒式(口腔)</w:t>
            </w:r>
          </w:p>
          <w:p>
            <w:pPr>
              <w:spacing w:line="40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玻璃管应透明光滑。不允许有妨碍读数的擦毛、斑点、气线、气泡等缺陷。</w:t>
            </w:r>
          </w:p>
          <w:p>
            <w:pPr>
              <w:spacing w:line="40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玻璃管不得有爆现象-玻璃管中的毛细孔应正直、均匀，不得有影响读数的含金属液双毛孔缺陷。</w:t>
            </w:r>
          </w:p>
          <w:p>
            <w:pPr>
              <w:rPr>
                <w:rFonts w:ascii="宋体" w:hAnsi="宋体" w:cs="宋体"/>
                <w:color w:val="auto"/>
                <w:sz w:val="20"/>
                <w:szCs w:val="20"/>
                <w:highlight w:val="none"/>
              </w:rPr>
            </w:pPr>
            <w:r>
              <w:rPr>
                <w:rFonts w:hint="eastAsia" w:ascii="宋体" w:hAnsi="宋体" w:cs="宋体"/>
                <w:color w:val="auto"/>
                <w:sz w:val="20"/>
                <w:szCs w:val="20"/>
                <w:highlight w:val="none"/>
              </w:rPr>
              <w:t>有三棱镜放大瓔求的玻璃管背面中部应衬以乳白色或其他颜色的釉带，感温液</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30</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叩诊锤</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塑料</w:t>
            </w:r>
            <w:r>
              <w:rPr>
                <w:rFonts w:ascii="宋体" w:hAnsi="宋体" w:cs="宋体"/>
                <w:color w:val="auto"/>
                <w:sz w:val="20"/>
                <w:szCs w:val="20"/>
                <w:highlight w:val="none"/>
              </w:rPr>
              <w:t>柄材料</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31</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锐器盒</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100</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1、尺寸：30.5*25.5*35.5cm 容量：23L</w:t>
            </w:r>
            <w:r>
              <w:rPr>
                <w:rFonts w:ascii="宋体" w:hAnsi="宋体" w:cs="宋体"/>
                <w:color w:val="auto"/>
                <w:sz w:val="20"/>
                <w:szCs w:val="20"/>
                <w:highlight w:val="none"/>
              </w:rPr>
              <w:t xml:space="preserve">                    </w:t>
            </w:r>
          </w:p>
          <w:p>
            <w:pPr>
              <w:jc w:val="left"/>
              <w:rPr>
                <w:rFonts w:ascii="宋体" w:hAnsi="宋体" w:cs="宋体"/>
                <w:color w:val="auto"/>
                <w:sz w:val="20"/>
                <w:szCs w:val="20"/>
                <w:highlight w:val="none"/>
              </w:rPr>
            </w:pPr>
            <w:r>
              <w:rPr>
                <w:rFonts w:ascii="宋体" w:hAnsi="宋体" w:cs="宋体"/>
                <w:color w:val="auto"/>
                <w:sz w:val="20"/>
                <w:szCs w:val="20"/>
                <w:highlight w:val="none"/>
              </w:rPr>
              <w:t>2</w:t>
            </w:r>
            <w:r>
              <w:rPr>
                <w:rFonts w:hint="eastAsia" w:ascii="宋体" w:hAnsi="宋体" w:cs="宋体"/>
                <w:color w:val="auto"/>
                <w:sz w:val="20"/>
                <w:szCs w:val="20"/>
                <w:highlight w:val="none"/>
              </w:rPr>
              <w:t>、纸质</w:t>
            </w:r>
            <w:r>
              <w:rPr>
                <w:rFonts w:ascii="宋体" w:hAnsi="宋体" w:cs="宋体"/>
                <w:color w:val="auto"/>
                <w:sz w:val="20"/>
                <w:szCs w:val="20"/>
                <w:highlight w:val="none"/>
              </w:rPr>
              <w:t>材料</w:t>
            </w:r>
            <w:r>
              <w:rPr>
                <w:rFonts w:hint="eastAsia" w:ascii="宋体" w:hAnsi="宋体" w:cs="宋体"/>
                <w:color w:val="auto"/>
                <w:sz w:val="20"/>
                <w:szCs w:val="20"/>
                <w:highlight w:val="none"/>
              </w:rPr>
              <w:t xml:space="preserve">                                     </w:t>
            </w:r>
          </w:p>
          <w:p>
            <w:pPr>
              <w:jc w:val="left"/>
              <w:rPr>
                <w:rFonts w:ascii="宋体" w:hAnsi="宋体" w:cs="宋体"/>
                <w:color w:val="auto"/>
                <w:sz w:val="20"/>
                <w:szCs w:val="20"/>
                <w:highlight w:val="none"/>
              </w:rPr>
            </w:pPr>
            <w:r>
              <w:rPr>
                <w:rFonts w:ascii="宋体" w:hAnsi="宋体" w:cs="宋体"/>
                <w:color w:val="auto"/>
                <w:sz w:val="20"/>
                <w:szCs w:val="20"/>
                <w:highlight w:val="none"/>
              </w:rPr>
              <w:t>3</w:t>
            </w:r>
            <w:r>
              <w:rPr>
                <w:rFonts w:hint="eastAsia" w:ascii="宋体" w:hAnsi="宋体" w:cs="宋体"/>
                <w:color w:val="auto"/>
                <w:sz w:val="20"/>
                <w:szCs w:val="20"/>
                <w:highlight w:val="none"/>
              </w:rPr>
              <w:t>.将内盒套人黄色塑料袋内，再一起放进外盒内，以防刺穿塑料袋造成渗漏.</w:t>
            </w:r>
          </w:p>
          <w:p>
            <w:pPr>
              <w:jc w:val="left"/>
              <w:rPr>
                <w:rFonts w:ascii="宋体" w:hAnsi="宋体" w:cs="宋体"/>
                <w:color w:val="auto"/>
                <w:sz w:val="20"/>
                <w:szCs w:val="20"/>
                <w:highlight w:val="none"/>
              </w:rPr>
            </w:pPr>
            <w:r>
              <w:rPr>
                <w:rFonts w:ascii="宋体" w:hAnsi="宋体" w:cs="宋体"/>
                <w:color w:val="auto"/>
                <w:sz w:val="20"/>
                <w:szCs w:val="20"/>
                <w:highlight w:val="none"/>
              </w:rPr>
              <w:t>4</w:t>
            </w:r>
            <w:r>
              <w:rPr>
                <w:rFonts w:hint="eastAsia" w:ascii="宋体" w:hAnsi="宋体" w:cs="宋体"/>
                <w:color w:val="auto"/>
                <w:sz w:val="20"/>
                <w:szCs w:val="20"/>
                <w:highlight w:val="none"/>
              </w:rPr>
              <w:t>、感染性废物及损伤性度物分类存放</w:t>
            </w:r>
          </w:p>
          <w:p>
            <w:pPr>
              <w:jc w:val="left"/>
              <w:rPr>
                <w:rFonts w:ascii="宋体" w:hAnsi="宋体" w:cs="宋体"/>
                <w:color w:val="auto"/>
                <w:sz w:val="20"/>
                <w:szCs w:val="20"/>
                <w:highlight w:val="none"/>
              </w:rPr>
            </w:pPr>
            <w:r>
              <w:rPr>
                <w:rFonts w:ascii="宋体" w:hAnsi="宋体" w:cs="宋体"/>
                <w:color w:val="auto"/>
                <w:sz w:val="20"/>
                <w:szCs w:val="20"/>
                <w:highlight w:val="none"/>
              </w:rPr>
              <w:t>5</w:t>
            </w:r>
            <w:r>
              <w:rPr>
                <w:rFonts w:hint="eastAsia" w:ascii="宋体" w:hAnsi="宋体" w:cs="宋体"/>
                <w:color w:val="auto"/>
                <w:sz w:val="20"/>
                <w:szCs w:val="20"/>
                <w:highlight w:val="none"/>
              </w:rPr>
              <w:t>.装量不能超过容量警戒线。</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石膏</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1000</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石膏</w:t>
            </w:r>
            <w:r>
              <w:rPr>
                <w:rFonts w:ascii="宋体" w:hAnsi="宋体" w:cs="宋体"/>
                <w:color w:val="auto"/>
                <w:sz w:val="20"/>
                <w:szCs w:val="20"/>
                <w:highlight w:val="none"/>
              </w:rPr>
              <w:t>和绷带组</w:t>
            </w:r>
            <w:r>
              <w:rPr>
                <w:rFonts w:hint="eastAsia" w:ascii="宋体" w:hAnsi="宋体" w:cs="宋体"/>
                <w:color w:val="auto"/>
                <w:sz w:val="20"/>
                <w:szCs w:val="20"/>
                <w:highlight w:val="none"/>
              </w:rPr>
              <w:t>成</w:t>
            </w:r>
            <w:r>
              <w:rPr>
                <w:rFonts w:ascii="宋体" w:hAnsi="宋体" w:cs="宋体"/>
                <w:color w:val="auto"/>
                <w:sz w:val="20"/>
                <w:szCs w:val="20"/>
                <w:highlight w:val="none"/>
              </w:rPr>
              <w:t>，规格为</w:t>
            </w:r>
            <w:r>
              <w:rPr>
                <w:rFonts w:hint="eastAsia" w:ascii="宋体" w:hAnsi="宋体" w:cs="宋体"/>
                <w:color w:val="auto"/>
                <w:sz w:val="20"/>
                <w:szCs w:val="20"/>
                <w:highlight w:val="none"/>
              </w:rPr>
              <w:t>6寸5码(15*460CM)</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33</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一次性防护面屏</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300</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医用隔离面罩由高分子材料制成防护限。海绵松紧带组成。无源产品。以非无菌形式提供。</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34</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高分子夹板</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200</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auto"/>
                <w:sz w:val="20"/>
                <w:szCs w:val="20"/>
                <w:highlight w:val="none"/>
              </w:rPr>
            </w:pPr>
            <w:r>
              <w:rPr>
                <w:rFonts w:hint="eastAsia" w:ascii="宋体" w:hAnsi="宋体" w:cs="宋体"/>
                <w:color w:val="auto"/>
                <w:sz w:val="20"/>
                <w:szCs w:val="20"/>
                <w:highlight w:val="none"/>
              </w:rPr>
              <w:t>1、由进口的涂浸聚氨酯胶的多层玻璃纤维（Fiberglass）基布及内外侧衬布，经特殊工艺制成。</w:t>
            </w:r>
          </w:p>
          <w:p>
            <w:pPr>
              <w:widowControl/>
              <w:textAlignment w:val="center"/>
              <w:rPr>
                <w:rFonts w:ascii="宋体" w:hAnsi="宋体" w:cs="宋体"/>
                <w:color w:val="auto"/>
                <w:sz w:val="20"/>
                <w:szCs w:val="20"/>
                <w:highlight w:val="none"/>
              </w:rPr>
            </w:pPr>
            <w:r>
              <w:rPr>
                <w:rFonts w:hint="eastAsia" w:ascii="宋体" w:hAnsi="宋体" w:cs="宋体"/>
                <w:color w:val="auto"/>
                <w:sz w:val="20"/>
                <w:szCs w:val="20"/>
                <w:highlight w:val="none"/>
              </w:rPr>
              <w:t>2、专业品质保证。</w:t>
            </w:r>
          </w:p>
          <w:p>
            <w:pPr>
              <w:widowControl/>
              <w:textAlignment w:val="center"/>
              <w:rPr>
                <w:rFonts w:ascii="宋体" w:hAnsi="宋体" w:cs="宋体"/>
                <w:color w:val="auto"/>
                <w:sz w:val="20"/>
                <w:szCs w:val="20"/>
                <w:highlight w:val="none"/>
              </w:rPr>
            </w:pPr>
            <w:r>
              <w:rPr>
                <w:rFonts w:hint="eastAsia" w:ascii="宋体" w:hAnsi="宋体" w:cs="宋体"/>
                <w:color w:val="auto"/>
                <w:sz w:val="20"/>
                <w:szCs w:val="20"/>
                <w:highlight w:val="none"/>
              </w:rPr>
              <w:t>3、强度高，能有效保护骨折部位。</w:t>
            </w:r>
          </w:p>
          <w:p>
            <w:pPr>
              <w:widowControl/>
              <w:textAlignment w:val="center"/>
              <w:rPr>
                <w:rFonts w:ascii="宋体" w:hAnsi="宋体" w:cs="宋体"/>
                <w:color w:val="auto"/>
                <w:sz w:val="20"/>
                <w:szCs w:val="20"/>
                <w:highlight w:val="none"/>
              </w:rPr>
            </w:pPr>
            <w:r>
              <w:rPr>
                <w:rFonts w:hint="eastAsia" w:ascii="宋体" w:hAnsi="宋体" w:cs="宋体"/>
                <w:color w:val="auto"/>
                <w:sz w:val="20"/>
                <w:szCs w:val="20"/>
                <w:highlight w:val="none"/>
              </w:rPr>
              <w:t>4、固化快，能有效防止骨折复位后再移位，为医生和患者节省了时间。</w:t>
            </w:r>
          </w:p>
          <w:p>
            <w:pPr>
              <w:widowControl/>
              <w:textAlignment w:val="center"/>
              <w:rPr>
                <w:rFonts w:ascii="宋体" w:hAnsi="宋体" w:cs="宋体"/>
                <w:color w:val="auto"/>
                <w:sz w:val="20"/>
                <w:szCs w:val="20"/>
                <w:highlight w:val="none"/>
              </w:rPr>
            </w:pPr>
            <w:r>
              <w:rPr>
                <w:rFonts w:hint="eastAsia" w:ascii="宋体" w:hAnsi="宋体" w:cs="宋体"/>
                <w:color w:val="auto"/>
                <w:sz w:val="20"/>
                <w:szCs w:val="20"/>
                <w:highlight w:val="none"/>
              </w:rPr>
              <w:t>5、浸水容易，医生操作简单、患者轻便舒适。</w:t>
            </w:r>
          </w:p>
          <w:p>
            <w:pPr>
              <w:widowControl/>
              <w:textAlignment w:val="center"/>
              <w:rPr>
                <w:rFonts w:ascii="宋体" w:hAnsi="宋体" w:cs="宋体"/>
                <w:color w:val="auto"/>
                <w:sz w:val="20"/>
                <w:szCs w:val="20"/>
                <w:highlight w:val="none"/>
              </w:rPr>
            </w:pPr>
            <w:r>
              <w:rPr>
                <w:rFonts w:hint="eastAsia" w:ascii="宋体" w:hAnsi="宋体" w:cs="宋体"/>
                <w:color w:val="auto"/>
                <w:sz w:val="20"/>
                <w:szCs w:val="20"/>
                <w:highlight w:val="none"/>
              </w:rPr>
              <w:t>6、上肢规格为10*76cm 下肢规格为12.5*76cm</w:t>
            </w:r>
          </w:p>
        </w:tc>
      </w:tr>
      <w:tr>
        <w:tblPrEx>
          <w:tblCellMar>
            <w:top w:w="0" w:type="dxa"/>
            <w:left w:w="0" w:type="dxa"/>
            <w:bottom w:w="0" w:type="dxa"/>
            <w:right w:w="0" w:type="dxa"/>
          </w:tblCellMar>
        </w:tblPrEx>
        <w:trPr>
          <w:trHeight w:val="375"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35</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防护眼镜</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付</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500</w:t>
            </w:r>
          </w:p>
        </w:tc>
        <w:tc>
          <w:tcPr>
            <w:tcW w:w="6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 180°大视窗，高清加强透亮镜片设计，保持复杂环境中视野清晰度；</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 镜片表面附有防雾涂层，可有效防止水雾的形成；</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 PC光学级镜片，有效防护冲击危害，阻隔99%紫外线；</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 多孔式通风口设计 ，增加内部空气流动；</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5. 柔软的面框和鼻垫贴合更好，更宽可调节头带，可佩带近视镜；  </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 密封性好，有效防止液体飞溅。</w:t>
            </w:r>
          </w:p>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7.符合GB 14866-2006 要求</w:t>
            </w:r>
          </w:p>
        </w:tc>
      </w:tr>
      <w:tr>
        <w:tblPrEx>
          <w:tblCellMar>
            <w:top w:w="0" w:type="dxa"/>
            <w:left w:w="0" w:type="dxa"/>
            <w:bottom w:w="0" w:type="dxa"/>
            <w:right w:w="0" w:type="dxa"/>
          </w:tblCellMar>
        </w:tblPrEx>
        <w:trPr>
          <w:trHeight w:val="375" w:hRule="atLeast"/>
        </w:trPr>
        <w:tc>
          <w:tcPr>
            <w:tcW w:w="963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商务条款</w:t>
            </w:r>
          </w:p>
        </w:tc>
      </w:tr>
      <w:tr>
        <w:tblPrEx>
          <w:tblCellMar>
            <w:top w:w="0" w:type="dxa"/>
            <w:left w:w="0" w:type="dxa"/>
            <w:bottom w:w="0" w:type="dxa"/>
            <w:right w:w="0" w:type="dxa"/>
          </w:tblCellMar>
        </w:tblPrEx>
        <w:trPr>
          <w:trHeight w:val="375" w:hRule="atLeast"/>
        </w:trPr>
        <w:tc>
          <w:tcPr>
            <w:tcW w:w="963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b/>
                <w:color w:val="auto"/>
                <w:kern w:val="0"/>
                <w:sz w:val="20"/>
                <w:szCs w:val="20"/>
                <w:highlight w:val="none"/>
                <w:lang w:bidi="ar"/>
              </w:rPr>
              <w:t>1.总体要求：</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磋商报价包括货款、随配附件、备品备件、专用工具、包装、运输、装卸、保险、运抵指定交货地点、现场安装调试、保修等各种费用和售后服务、培训、税金、有关设计服务及其他所有成本费用的总和。采购人不再支付任何费用；</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（2）提供必要的零配件或备件供应；</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w:t>
            </w:r>
            <w:r>
              <w:rPr>
                <w:rFonts w:ascii="宋体" w:hAnsi="宋体" w:cs="宋体"/>
                <w:color w:val="auto"/>
                <w:kern w:val="0"/>
                <w:sz w:val="20"/>
                <w:szCs w:val="20"/>
                <w:highlight w:val="none"/>
                <w:lang w:bidi="ar"/>
              </w:rPr>
              <w:t>3</w:t>
            </w:r>
            <w:r>
              <w:rPr>
                <w:rFonts w:hint="eastAsia" w:ascii="宋体" w:hAnsi="宋体" w:cs="宋体"/>
                <w:color w:val="auto"/>
                <w:kern w:val="0"/>
                <w:sz w:val="20"/>
                <w:szCs w:val="20"/>
                <w:highlight w:val="none"/>
                <w:lang w:bidi="ar"/>
              </w:rPr>
              <w:t>）为防止虚假应标，签订合同前采购人有权要求成交供应商提供本项目中指定设备到采购人处进行技术与功能的验证，如不参与验证以及验证不达到竞争性磋商文件要求的，采购人将上报相关行政监管部门按照有关法律法规文件处理。</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b/>
                <w:bCs/>
                <w:color w:val="auto"/>
                <w:kern w:val="0"/>
                <w:sz w:val="20"/>
                <w:szCs w:val="20"/>
                <w:highlight w:val="none"/>
                <w:lang w:bidi="ar"/>
              </w:rPr>
              <w:t>2.验收要求</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（1）本项目采购货物数量、外观由成交供应商与采购人共同开箱验收。采购人监督、协助货物的安装、调试。</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验收要求：本项目采购货物安装完毕后，采购人将组织有关部门进行验收，验收方法以中华人民共和国计量检定规程为准。对没有检定规程的，按制造商提供的验收方法验收，该验收应溯源到标准物质。若参数技术指标和竞争性磋商文件不一致。将按相关法规追究成交供应商经济责任。对采购人造成重大损失的，采购人有权终止继续履行合同。</w:t>
            </w:r>
          </w:p>
          <w:p>
            <w:pPr>
              <w:widowControl/>
              <w:jc w:val="left"/>
              <w:textAlignment w:val="center"/>
              <w:rPr>
                <w:rFonts w:ascii="宋体" w:hAnsi="宋体" w:cs="宋体"/>
                <w:b/>
                <w:color w:val="auto"/>
                <w:kern w:val="0"/>
                <w:sz w:val="20"/>
                <w:szCs w:val="20"/>
                <w:highlight w:val="none"/>
                <w:lang w:bidi="ar"/>
              </w:rPr>
            </w:pPr>
            <w:r>
              <w:rPr>
                <w:rFonts w:hint="eastAsia" w:ascii="宋体" w:hAnsi="宋体" w:cs="宋体"/>
                <w:b/>
                <w:color w:val="auto"/>
                <w:kern w:val="0"/>
                <w:sz w:val="20"/>
                <w:szCs w:val="20"/>
                <w:highlight w:val="none"/>
                <w:lang w:bidi="ar"/>
              </w:rPr>
              <w:t>3.付款方式：</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1、货物安装调式正常运行后，经最终验收合格，凭中标人提交付款申请书、开具的合同金额财务发票及货物验收证明书，招标人在收到以上材料后3个工作日内向中标人支付95%的合同货款；</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2、另5%合同货款作为质量保证金，在质保期壹年内若中标人完全履行了质量保证义务，且没有任何未解决的质量问题,质量保证金在验收合格一年后30个工作日内由招标人一次性付清（无息）。</w:t>
            </w:r>
          </w:p>
          <w:p>
            <w:pPr>
              <w:widowControl/>
              <w:jc w:val="left"/>
              <w:textAlignment w:val="center"/>
              <w:rPr>
                <w:rFonts w:ascii="宋体" w:hAnsi="宋体" w:cs="宋体"/>
                <w:b/>
                <w:color w:val="auto"/>
                <w:kern w:val="0"/>
                <w:sz w:val="20"/>
                <w:szCs w:val="20"/>
                <w:highlight w:val="none"/>
                <w:lang w:bidi="ar"/>
              </w:rPr>
            </w:pPr>
            <w:r>
              <w:rPr>
                <w:rFonts w:hint="eastAsia" w:ascii="宋体" w:hAnsi="宋体" w:cs="宋体"/>
                <w:b/>
                <w:color w:val="auto"/>
                <w:kern w:val="0"/>
                <w:sz w:val="20"/>
                <w:szCs w:val="20"/>
                <w:highlight w:val="none"/>
                <w:lang w:bidi="ar"/>
              </w:rPr>
              <w:t>4.售后服务</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产品保修期一年以上（含一年），保修期内免费维修。免费送货上门、安装调试合格、培训使用人员至熟练操作，免费升级。培训维修技术人员一名，提供维修手册一本。其他按厂家承诺执行。</w:t>
            </w:r>
          </w:p>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保修内的仪器设备出现故障的，在接到电话通知后，2小时内做出响应，48小时内到达现场维修，优惠供应零配件。一般的问题应在48小时解决，重大问题或其他无法解决的问题应在一周内解决或是提出明确解决方案。提供终身维护和保养服务并提供技术援助电话和售后服务电话。</w:t>
            </w:r>
          </w:p>
          <w:p>
            <w:pPr>
              <w:widowControl/>
              <w:numPr>
                <w:ilvl w:val="0"/>
                <w:numId w:val="6"/>
              </w:numPr>
              <w:spacing w:line="240" w:lineRule="auto"/>
              <w:jc w:val="left"/>
              <w:textAlignment w:val="center"/>
              <w:rPr>
                <w:rFonts w:ascii="宋体" w:hAnsi="宋体" w:cs="宋体"/>
                <w:color w:val="auto"/>
                <w:kern w:val="0"/>
                <w:sz w:val="20"/>
                <w:szCs w:val="20"/>
                <w:highlight w:val="none"/>
                <w:lang w:bidi="ar"/>
              </w:rPr>
            </w:pPr>
            <w:r>
              <w:rPr>
                <w:rFonts w:hint="eastAsia" w:ascii="宋体" w:hAnsi="宋体" w:cs="宋体"/>
                <w:b/>
                <w:bCs/>
                <w:color w:val="auto"/>
                <w:kern w:val="0"/>
                <w:sz w:val="20"/>
                <w:szCs w:val="20"/>
                <w:highlight w:val="none"/>
                <w:lang w:bidi="ar"/>
              </w:rPr>
              <w:t>交货地点</w:t>
            </w:r>
            <w:r>
              <w:rPr>
                <w:rFonts w:hint="eastAsia" w:ascii="宋体" w:hAnsi="宋体" w:cs="宋体"/>
                <w:color w:val="auto"/>
                <w:kern w:val="0"/>
                <w:sz w:val="20"/>
                <w:szCs w:val="20"/>
                <w:highlight w:val="none"/>
                <w:lang w:bidi="ar"/>
              </w:rPr>
              <w:t>：采购人指定地点。</w:t>
            </w:r>
          </w:p>
          <w:p>
            <w:pPr>
              <w:widowControl/>
              <w:numPr>
                <w:ilvl w:val="0"/>
                <w:numId w:val="6"/>
              </w:numPr>
              <w:spacing w:line="240" w:lineRule="auto"/>
              <w:jc w:val="left"/>
              <w:textAlignment w:val="center"/>
              <w:rPr>
                <w:rFonts w:ascii="宋体" w:hAnsi="宋体" w:cs="宋体"/>
                <w:color w:val="auto"/>
                <w:kern w:val="0"/>
                <w:sz w:val="20"/>
                <w:szCs w:val="20"/>
                <w:highlight w:val="none"/>
                <w:lang w:bidi="ar"/>
              </w:rPr>
            </w:pPr>
            <w:r>
              <w:rPr>
                <w:rFonts w:hint="eastAsia" w:ascii="宋体" w:hAnsi="宋体" w:cs="宋体"/>
                <w:b/>
                <w:bCs/>
                <w:color w:val="auto"/>
                <w:kern w:val="0"/>
                <w:sz w:val="20"/>
                <w:szCs w:val="20"/>
                <w:highlight w:val="none"/>
                <w:lang w:bidi="ar"/>
              </w:rPr>
              <w:t>交付使用时间：</w:t>
            </w:r>
            <w:r>
              <w:rPr>
                <w:rFonts w:hint="eastAsia" w:ascii="宋体" w:hAnsi="宋体" w:cs="宋体"/>
                <w:color w:val="auto"/>
                <w:kern w:val="0"/>
                <w:sz w:val="20"/>
                <w:szCs w:val="20"/>
                <w:highlight w:val="none"/>
                <w:lang w:bidi="ar"/>
              </w:rPr>
              <w:t>自合同签订之日起3天内完成全部货物供货、技术培训并交付使用。</w:t>
            </w:r>
          </w:p>
          <w:p>
            <w:pPr>
              <w:widowControl/>
              <w:jc w:val="left"/>
              <w:textAlignment w:val="center"/>
              <w:rPr>
                <w:rFonts w:ascii="宋体" w:hAnsi="宋体" w:cs="宋体"/>
                <w:color w:val="auto"/>
                <w:kern w:val="0"/>
                <w:sz w:val="20"/>
                <w:szCs w:val="20"/>
                <w:highlight w:val="none"/>
                <w:lang w:bidi="ar"/>
              </w:rPr>
            </w:pPr>
          </w:p>
        </w:tc>
      </w:tr>
    </w:tbl>
    <w:p>
      <w:pPr>
        <w:pStyle w:val="3"/>
        <w:spacing w:line="240" w:lineRule="atLeast"/>
        <w:jc w:val="center"/>
        <w:rPr>
          <w:color w:val="auto"/>
          <w:sz w:val="36"/>
          <w:szCs w:val="36"/>
          <w:highlight w:val="none"/>
        </w:rPr>
      </w:pPr>
      <w:r>
        <w:rPr>
          <w:rFonts w:hint="eastAsia"/>
          <w:color w:val="auto"/>
          <w:highlight w:val="none"/>
        </w:rPr>
        <w:br w:type="page"/>
      </w:r>
      <w:r>
        <w:rPr>
          <w:rFonts w:hint="eastAsia"/>
          <w:color w:val="auto"/>
          <w:sz w:val="36"/>
          <w:szCs w:val="36"/>
          <w:highlight w:val="none"/>
        </w:rPr>
        <w:t>第五章合同条款及格式</w:t>
      </w:r>
      <w:bookmarkEnd w:id="44"/>
    </w:p>
    <w:p>
      <w:pPr>
        <w:snapToGrid w:val="0"/>
        <w:spacing w:line="400" w:lineRule="exact"/>
        <w:jc w:val="center"/>
        <w:rPr>
          <w:rFonts w:ascii="宋体" w:hAnsi="宋体"/>
          <w:b/>
          <w:color w:val="auto"/>
          <w:sz w:val="32"/>
          <w:szCs w:val="32"/>
          <w:highlight w:val="none"/>
        </w:rPr>
      </w:pPr>
    </w:p>
    <w:p>
      <w:pPr>
        <w:snapToGrid w:val="0"/>
        <w:spacing w:line="360" w:lineRule="exact"/>
        <w:jc w:val="center"/>
        <w:rPr>
          <w:rFonts w:ascii="宋体" w:hAnsi="宋体"/>
          <w:b/>
          <w:bCs/>
          <w:color w:val="auto"/>
          <w:szCs w:val="21"/>
          <w:highlight w:val="none"/>
        </w:rPr>
      </w:pPr>
      <w:r>
        <w:rPr>
          <w:rFonts w:hint="eastAsia" w:ascii="宋体" w:hAnsi="宋体"/>
          <w:b/>
          <w:bCs/>
          <w:color w:val="auto"/>
          <w:szCs w:val="21"/>
          <w:highlight w:val="none"/>
        </w:rPr>
        <w:t>政府采购合同</w:t>
      </w:r>
    </w:p>
    <w:p>
      <w:pPr>
        <w:snapToGrid w:val="0"/>
        <w:spacing w:line="360" w:lineRule="exact"/>
        <w:ind w:right="480" w:firstLine="5985" w:firstLineChars="2850"/>
        <w:rPr>
          <w:rFonts w:ascii="宋体" w:hAnsi="宋体"/>
          <w:bCs/>
          <w:color w:val="auto"/>
          <w:szCs w:val="21"/>
          <w:highlight w:val="none"/>
          <w:u w:val="single"/>
        </w:rPr>
      </w:pPr>
      <w:r>
        <w:rPr>
          <w:rFonts w:hint="eastAsia" w:ascii="宋体" w:hAnsi="宋体"/>
          <w:bCs/>
          <w:color w:val="auto"/>
          <w:szCs w:val="21"/>
          <w:highlight w:val="none"/>
        </w:rPr>
        <w:t>合同编号：</w:t>
      </w:r>
    </w:p>
    <w:p>
      <w:pPr>
        <w:snapToGrid w:val="0"/>
        <w:spacing w:line="360" w:lineRule="exact"/>
        <w:rPr>
          <w:rFonts w:ascii="宋体" w:hAnsi="宋体"/>
          <w:color w:val="auto"/>
          <w:szCs w:val="21"/>
          <w:highlight w:val="none"/>
        </w:rPr>
      </w:pPr>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采购单位（甲方）                                    </w:t>
      </w:r>
      <w:r>
        <w:rPr>
          <w:rFonts w:hint="eastAsia" w:ascii="宋体" w:hAnsi="宋体"/>
          <w:color w:val="auto"/>
          <w:spacing w:val="-20"/>
          <w:szCs w:val="21"/>
          <w:highlight w:val="none"/>
        </w:rPr>
        <w:t>采 购 计 划 号：</w:t>
      </w:r>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供 应 商（乙方）  项目名称</w:t>
      </w:r>
      <w:r>
        <w:rPr>
          <w:rFonts w:hint="eastAsia" w:ascii="宋体" w:hAnsi="宋体"/>
          <w:color w:val="auto"/>
          <w:spacing w:val="-20"/>
          <w:szCs w:val="21"/>
          <w:highlight w:val="none"/>
        </w:rPr>
        <w:t>编号：</w:t>
      </w:r>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签  订  地  点    签 订 时 间：</w:t>
      </w:r>
    </w:p>
    <w:p>
      <w:pPr>
        <w:snapToGrid w:val="0"/>
        <w:spacing w:line="400" w:lineRule="exact"/>
        <w:ind w:firstLine="420" w:firstLineChars="200"/>
        <w:rPr>
          <w:rFonts w:ascii="宋体" w:hAnsi="宋体"/>
          <w:color w:val="auto"/>
          <w:szCs w:val="21"/>
          <w:highlight w:val="none"/>
        </w:rPr>
      </w:pPr>
    </w:p>
    <w:p>
      <w:pPr>
        <w:pStyle w:val="20"/>
        <w:spacing w:line="400" w:lineRule="exact"/>
        <w:ind w:firstLine="420" w:firstLineChars="200"/>
        <w:rPr>
          <w:rFonts w:hAnsi="宋体"/>
          <w:color w:val="auto"/>
          <w:highlight w:val="none"/>
        </w:rPr>
      </w:pPr>
      <w:r>
        <w:rPr>
          <w:rFonts w:hint="eastAsia" w:hAnsi="宋体"/>
          <w:color w:val="auto"/>
          <w:highlight w:val="none"/>
        </w:rPr>
        <w:t>根据《中华人民共和国政府采购法》、《中华人民共和国合同法》等法律、法规规定，按照采购文件规定条款和成交人响应文件及其承诺，甲乙双方签订本合同。</w:t>
      </w:r>
    </w:p>
    <w:p>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第一条　合同标的</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1.供货一览表</w:t>
      </w:r>
    </w:p>
    <w:tbl>
      <w:tblPr>
        <w:tblStyle w:val="35"/>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1304"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产品</w:t>
            </w:r>
          </w:p>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名称</w:t>
            </w:r>
          </w:p>
        </w:tc>
        <w:tc>
          <w:tcPr>
            <w:tcW w:w="1081"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商标</w:t>
            </w:r>
          </w:p>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品牌</w:t>
            </w:r>
          </w:p>
        </w:tc>
        <w:tc>
          <w:tcPr>
            <w:tcW w:w="1194"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型号</w:t>
            </w:r>
          </w:p>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参数</w:t>
            </w:r>
          </w:p>
        </w:tc>
        <w:tc>
          <w:tcPr>
            <w:tcW w:w="1193"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生产</w:t>
            </w:r>
          </w:p>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厂家</w:t>
            </w:r>
          </w:p>
        </w:tc>
        <w:tc>
          <w:tcPr>
            <w:tcW w:w="672"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数  量</w:t>
            </w:r>
          </w:p>
        </w:tc>
        <w:tc>
          <w:tcPr>
            <w:tcW w:w="1080"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单位</w:t>
            </w:r>
          </w:p>
        </w:tc>
        <w:tc>
          <w:tcPr>
            <w:tcW w:w="1080"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单  价</w:t>
            </w:r>
          </w:p>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（元）</w:t>
            </w:r>
          </w:p>
        </w:tc>
        <w:tc>
          <w:tcPr>
            <w:tcW w:w="1440"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金  额</w:t>
            </w:r>
          </w:p>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1304" w:type="dxa"/>
            <w:vAlign w:val="center"/>
          </w:tcPr>
          <w:p>
            <w:pPr>
              <w:snapToGrid w:val="0"/>
              <w:spacing w:line="400" w:lineRule="exact"/>
              <w:jc w:val="center"/>
              <w:rPr>
                <w:rFonts w:ascii="宋体" w:hAnsi="宋体"/>
                <w:color w:val="auto"/>
                <w:szCs w:val="21"/>
                <w:highlight w:val="none"/>
              </w:rPr>
            </w:pPr>
          </w:p>
        </w:tc>
        <w:tc>
          <w:tcPr>
            <w:tcW w:w="1081" w:type="dxa"/>
            <w:vAlign w:val="center"/>
          </w:tcPr>
          <w:p>
            <w:pPr>
              <w:snapToGrid w:val="0"/>
              <w:spacing w:line="400" w:lineRule="exact"/>
              <w:jc w:val="center"/>
              <w:rPr>
                <w:rFonts w:ascii="宋体" w:hAnsi="宋体"/>
                <w:color w:val="auto"/>
                <w:szCs w:val="21"/>
                <w:highlight w:val="none"/>
              </w:rPr>
            </w:pPr>
          </w:p>
        </w:tc>
        <w:tc>
          <w:tcPr>
            <w:tcW w:w="1194" w:type="dxa"/>
            <w:vAlign w:val="center"/>
          </w:tcPr>
          <w:p>
            <w:pPr>
              <w:snapToGrid w:val="0"/>
              <w:spacing w:line="400" w:lineRule="exact"/>
              <w:jc w:val="center"/>
              <w:rPr>
                <w:rFonts w:ascii="宋体" w:hAnsi="宋体"/>
                <w:color w:val="auto"/>
                <w:szCs w:val="21"/>
                <w:highlight w:val="none"/>
              </w:rPr>
            </w:pPr>
          </w:p>
        </w:tc>
        <w:tc>
          <w:tcPr>
            <w:tcW w:w="1193" w:type="dxa"/>
          </w:tcPr>
          <w:p>
            <w:pPr>
              <w:snapToGrid w:val="0"/>
              <w:spacing w:line="400" w:lineRule="exact"/>
              <w:jc w:val="center"/>
              <w:rPr>
                <w:rFonts w:ascii="宋体" w:hAnsi="宋体"/>
                <w:color w:val="auto"/>
                <w:szCs w:val="21"/>
                <w:highlight w:val="none"/>
              </w:rPr>
            </w:pPr>
          </w:p>
        </w:tc>
        <w:tc>
          <w:tcPr>
            <w:tcW w:w="672" w:type="dxa"/>
          </w:tcPr>
          <w:p>
            <w:pPr>
              <w:snapToGrid w:val="0"/>
              <w:spacing w:line="400" w:lineRule="exact"/>
              <w:jc w:val="center"/>
              <w:rPr>
                <w:rFonts w:ascii="宋体" w:hAnsi="宋体"/>
                <w:color w:val="auto"/>
                <w:szCs w:val="21"/>
                <w:highlight w:val="none"/>
              </w:rPr>
            </w:pPr>
          </w:p>
        </w:tc>
        <w:tc>
          <w:tcPr>
            <w:tcW w:w="1080" w:type="dxa"/>
          </w:tcPr>
          <w:p>
            <w:pPr>
              <w:snapToGrid w:val="0"/>
              <w:spacing w:line="400" w:lineRule="exact"/>
              <w:jc w:val="center"/>
              <w:rPr>
                <w:rFonts w:ascii="宋体" w:hAnsi="宋体"/>
                <w:color w:val="auto"/>
                <w:szCs w:val="21"/>
                <w:highlight w:val="none"/>
              </w:rPr>
            </w:pPr>
          </w:p>
        </w:tc>
        <w:tc>
          <w:tcPr>
            <w:tcW w:w="1080" w:type="dxa"/>
            <w:vAlign w:val="center"/>
          </w:tcPr>
          <w:p>
            <w:pPr>
              <w:snapToGrid w:val="0"/>
              <w:spacing w:line="400" w:lineRule="exact"/>
              <w:jc w:val="center"/>
              <w:rPr>
                <w:rFonts w:ascii="宋体" w:hAnsi="宋体"/>
                <w:color w:val="auto"/>
                <w:szCs w:val="21"/>
                <w:highlight w:val="none"/>
              </w:rPr>
            </w:pPr>
          </w:p>
        </w:tc>
        <w:tc>
          <w:tcPr>
            <w:tcW w:w="1440" w:type="dxa"/>
            <w:vAlign w:val="center"/>
          </w:tcPr>
          <w:p>
            <w:pPr>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1304" w:type="dxa"/>
            <w:vAlign w:val="center"/>
          </w:tcPr>
          <w:p>
            <w:pPr>
              <w:snapToGrid w:val="0"/>
              <w:spacing w:line="400" w:lineRule="exact"/>
              <w:jc w:val="center"/>
              <w:rPr>
                <w:rFonts w:ascii="宋体" w:hAnsi="宋体"/>
                <w:color w:val="auto"/>
                <w:szCs w:val="21"/>
                <w:highlight w:val="none"/>
              </w:rPr>
            </w:pPr>
          </w:p>
        </w:tc>
        <w:tc>
          <w:tcPr>
            <w:tcW w:w="1081" w:type="dxa"/>
            <w:vAlign w:val="center"/>
          </w:tcPr>
          <w:p>
            <w:pPr>
              <w:snapToGrid w:val="0"/>
              <w:spacing w:line="400" w:lineRule="exact"/>
              <w:jc w:val="center"/>
              <w:rPr>
                <w:rFonts w:ascii="宋体" w:hAnsi="宋体"/>
                <w:color w:val="auto"/>
                <w:szCs w:val="21"/>
                <w:highlight w:val="none"/>
              </w:rPr>
            </w:pPr>
          </w:p>
        </w:tc>
        <w:tc>
          <w:tcPr>
            <w:tcW w:w="1194" w:type="dxa"/>
            <w:vAlign w:val="center"/>
          </w:tcPr>
          <w:p>
            <w:pPr>
              <w:snapToGrid w:val="0"/>
              <w:spacing w:line="400" w:lineRule="exact"/>
              <w:jc w:val="center"/>
              <w:rPr>
                <w:rFonts w:ascii="宋体" w:hAnsi="宋体"/>
                <w:color w:val="auto"/>
                <w:szCs w:val="21"/>
                <w:highlight w:val="none"/>
              </w:rPr>
            </w:pPr>
          </w:p>
        </w:tc>
        <w:tc>
          <w:tcPr>
            <w:tcW w:w="1193" w:type="dxa"/>
          </w:tcPr>
          <w:p>
            <w:pPr>
              <w:snapToGrid w:val="0"/>
              <w:spacing w:line="400" w:lineRule="exact"/>
              <w:jc w:val="center"/>
              <w:rPr>
                <w:rFonts w:ascii="宋体" w:hAnsi="宋体"/>
                <w:color w:val="auto"/>
                <w:szCs w:val="21"/>
                <w:highlight w:val="none"/>
              </w:rPr>
            </w:pPr>
          </w:p>
        </w:tc>
        <w:tc>
          <w:tcPr>
            <w:tcW w:w="672" w:type="dxa"/>
          </w:tcPr>
          <w:p>
            <w:pPr>
              <w:snapToGrid w:val="0"/>
              <w:spacing w:line="400" w:lineRule="exact"/>
              <w:jc w:val="center"/>
              <w:rPr>
                <w:rFonts w:ascii="宋体" w:hAnsi="宋体"/>
                <w:color w:val="auto"/>
                <w:szCs w:val="21"/>
                <w:highlight w:val="none"/>
              </w:rPr>
            </w:pPr>
          </w:p>
        </w:tc>
        <w:tc>
          <w:tcPr>
            <w:tcW w:w="1080" w:type="dxa"/>
          </w:tcPr>
          <w:p>
            <w:pPr>
              <w:snapToGrid w:val="0"/>
              <w:spacing w:line="400" w:lineRule="exact"/>
              <w:jc w:val="center"/>
              <w:rPr>
                <w:rFonts w:ascii="宋体" w:hAnsi="宋体"/>
                <w:color w:val="auto"/>
                <w:szCs w:val="21"/>
                <w:highlight w:val="none"/>
              </w:rPr>
            </w:pPr>
          </w:p>
        </w:tc>
        <w:tc>
          <w:tcPr>
            <w:tcW w:w="1080" w:type="dxa"/>
            <w:vAlign w:val="center"/>
          </w:tcPr>
          <w:p>
            <w:pPr>
              <w:snapToGrid w:val="0"/>
              <w:spacing w:line="400" w:lineRule="exact"/>
              <w:jc w:val="center"/>
              <w:rPr>
                <w:rFonts w:ascii="宋体" w:hAnsi="宋体"/>
                <w:color w:val="auto"/>
                <w:szCs w:val="21"/>
                <w:highlight w:val="none"/>
              </w:rPr>
            </w:pPr>
          </w:p>
        </w:tc>
        <w:tc>
          <w:tcPr>
            <w:tcW w:w="1440" w:type="dxa"/>
            <w:vAlign w:val="center"/>
          </w:tcPr>
          <w:p>
            <w:pPr>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1304" w:type="dxa"/>
            <w:vAlign w:val="center"/>
          </w:tcPr>
          <w:p>
            <w:pPr>
              <w:snapToGrid w:val="0"/>
              <w:spacing w:line="400" w:lineRule="exact"/>
              <w:jc w:val="center"/>
              <w:rPr>
                <w:rFonts w:ascii="宋体" w:hAnsi="宋体"/>
                <w:color w:val="auto"/>
                <w:szCs w:val="21"/>
                <w:highlight w:val="none"/>
              </w:rPr>
            </w:pPr>
          </w:p>
        </w:tc>
        <w:tc>
          <w:tcPr>
            <w:tcW w:w="1081" w:type="dxa"/>
            <w:vAlign w:val="center"/>
          </w:tcPr>
          <w:p>
            <w:pPr>
              <w:snapToGrid w:val="0"/>
              <w:spacing w:line="400" w:lineRule="exact"/>
              <w:jc w:val="center"/>
              <w:rPr>
                <w:rFonts w:ascii="宋体" w:hAnsi="宋体"/>
                <w:color w:val="auto"/>
                <w:szCs w:val="21"/>
                <w:highlight w:val="none"/>
              </w:rPr>
            </w:pPr>
          </w:p>
        </w:tc>
        <w:tc>
          <w:tcPr>
            <w:tcW w:w="1194" w:type="dxa"/>
            <w:vAlign w:val="center"/>
          </w:tcPr>
          <w:p>
            <w:pPr>
              <w:snapToGrid w:val="0"/>
              <w:spacing w:line="400" w:lineRule="exact"/>
              <w:jc w:val="center"/>
              <w:rPr>
                <w:rFonts w:ascii="宋体" w:hAnsi="宋体"/>
                <w:color w:val="auto"/>
                <w:szCs w:val="21"/>
                <w:highlight w:val="none"/>
              </w:rPr>
            </w:pPr>
          </w:p>
        </w:tc>
        <w:tc>
          <w:tcPr>
            <w:tcW w:w="1193" w:type="dxa"/>
          </w:tcPr>
          <w:p>
            <w:pPr>
              <w:snapToGrid w:val="0"/>
              <w:spacing w:line="400" w:lineRule="exact"/>
              <w:jc w:val="center"/>
              <w:rPr>
                <w:rFonts w:ascii="宋体" w:hAnsi="宋体"/>
                <w:color w:val="auto"/>
                <w:szCs w:val="21"/>
                <w:highlight w:val="none"/>
              </w:rPr>
            </w:pPr>
          </w:p>
        </w:tc>
        <w:tc>
          <w:tcPr>
            <w:tcW w:w="672" w:type="dxa"/>
          </w:tcPr>
          <w:p>
            <w:pPr>
              <w:snapToGrid w:val="0"/>
              <w:spacing w:line="400" w:lineRule="exact"/>
              <w:jc w:val="center"/>
              <w:rPr>
                <w:rFonts w:ascii="宋体" w:hAnsi="宋体"/>
                <w:color w:val="auto"/>
                <w:szCs w:val="21"/>
                <w:highlight w:val="none"/>
              </w:rPr>
            </w:pPr>
          </w:p>
        </w:tc>
        <w:tc>
          <w:tcPr>
            <w:tcW w:w="1080" w:type="dxa"/>
          </w:tcPr>
          <w:p>
            <w:pPr>
              <w:snapToGrid w:val="0"/>
              <w:spacing w:line="400" w:lineRule="exact"/>
              <w:jc w:val="center"/>
              <w:rPr>
                <w:rFonts w:ascii="宋体" w:hAnsi="宋体"/>
                <w:color w:val="auto"/>
                <w:szCs w:val="21"/>
                <w:highlight w:val="none"/>
              </w:rPr>
            </w:pPr>
          </w:p>
        </w:tc>
        <w:tc>
          <w:tcPr>
            <w:tcW w:w="1080" w:type="dxa"/>
            <w:vAlign w:val="center"/>
          </w:tcPr>
          <w:p>
            <w:pPr>
              <w:snapToGrid w:val="0"/>
              <w:spacing w:line="400" w:lineRule="exact"/>
              <w:jc w:val="center"/>
              <w:rPr>
                <w:rFonts w:ascii="宋体" w:hAnsi="宋体"/>
                <w:color w:val="auto"/>
                <w:szCs w:val="21"/>
                <w:highlight w:val="none"/>
              </w:rPr>
            </w:pPr>
          </w:p>
        </w:tc>
        <w:tc>
          <w:tcPr>
            <w:tcW w:w="1440" w:type="dxa"/>
            <w:vAlign w:val="center"/>
          </w:tcPr>
          <w:p>
            <w:pPr>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9"/>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 xml:space="preserve">人民币合计金额（大写）                          （小写）                 </w:t>
            </w:r>
          </w:p>
        </w:tc>
      </w:tr>
    </w:tbl>
    <w:p>
      <w:pPr>
        <w:pStyle w:val="20"/>
        <w:spacing w:line="400" w:lineRule="exact"/>
        <w:ind w:firstLine="420" w:firstLineChars="200"/>
        <w:rPr>
          <w:rFonts w:hAnsi="宋体"/>
          <w:color w:val="auto"/>
          <w:highlight w:val="none"/>
        </w:rPr>
      </w:pPr>
      <w:r>
        <w:rPr>
          <w:rFonts w:hint="eastAsia" w:hAnsi="宋体"/>
          <w:color w:val="auto"/>
          <w:highlight w:val="none"/>
        </w:rPr>
        <w:t>2.合同合计金额包括货物价款，备件、专用工具、安装、调试、检验、技术培训及技术资料和包装.运输等全部费用。如采购文件或响应文件对其另有规定的，从其规定。</w:t>
      </w:r>
    </w:p>
    <w:p>
      <w:pPr>
        <w:snapToGrid w:val="0"/>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第二条　质量保证</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1.乙方所提供的货物型号、技术规格、技术参数等质量必须与</w:t>
      </w:r>
      <w:r>
        <w:rPr>
          <w:rFonts w:hint="eastAsia" w:hAnsi="宋体"/>
          <w:color w:val="auto"/>
          <w:highlight w:val="none"/>
        </w:rPr>
        <w:t>采购文件和响应文件</w:t>
      </w:r>
      <w:r>
        <w:rPr>
          <w:rFonts w:hint="eastAsia" w:ascii="宋体" w:hAnsi="宋体"/>
          <w:color w:val="auto"/>
          <w:szCs w:val="21"/>
          <w:highlight w:val="none"/>
        </w:rPr>
        <w:t>和承诺相一致。乙方提供的节能和环保产品必须是列入政府采购清单的产品。</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2.乙方所提供的货物必须是全新、未使用的原装产品，且在正常安装、使用和保养条件下，其使用寿命期内各项指标均达到质量要求。</w:t>
      </w:r>
    </w:p>
    <w:p>
      <w:pPr>
        <w:snapToGrid w:val="0"/>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第三条　权利保证</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乙方应保证所提供货物在使用时不会侵犯任何第三方的专利权、商标权、工业设计权或其他权利。</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乙方应按采购文件规定的时间向甲方提供使用货物的有关技术资料。</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乙方保证所交付的货物的所有权完全属于乙方且无任何抵押、质押、查封等产权瑕疵。</w:t>
      </w:r>
    </w:p>
    <w:p>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第四条　包装和运输</w:t>
      </w:r>
    </w:p>
    <w:p>
      <w:pPr>
        <w:pStyle w:val="20"/>
        <w:snapToGrid w:val="0"/>
        <w:spacing w:before="120" w:after="120" w:line="400" w:lineRule="exact"/>
        <w:ind w:firstLine="420" w:firstLineChars="200"/>
        <w:jc w:val="left"/>
        <w:rPr>
          <w:rFonts w:hAnsi="宋体"/>
          <w:color w:val="auto"/>
          <w:highlight w:val="none"/>
        </w:rPr>
      </w:pPr>
      <w:r>
        <w:rPr>
          <w:rFonts w:hint="eastAsia" w:hAnsi="宋体"/>
          <w:color w:val="auto"/>
          <w:highlight w:val="none"/>
        </w:rPr>
        <w:t>1. 乙方应在货物发运前对其进行满足运输距离、防潮、防震、防锈和防破损装卸等要求包装，以保证货物安全运达甲方指定地点。</w:t>
      </w:r>
    </w:p>
    <w:p>
      <w:pPr>
        <w:pStyle w:val="20"/>
        <w:snapToGrid w:val="0"/>
        <w:spacing w:before="120" w:after="120" w:line="400" w:lineRule="exact"/>
        <w:ind w:firstLine="420" w:firstLineChars="200"/>
        <w:jc w:val="left"/>
        <w:rPr>
          <w:rFonts w:hAnsi="宋体"/>
          <w:color w:val="auto"/>
          <w:highlight w:val="none"/>
        </w:rPr>
      </w:pPr>
      <w:r>
        <w:rPr>
          <w:rFonts w:hint="eastAsia" w:hAnsi="宋体"/>
          <w:color w:val="auto"/>
          <w:highlight w:val="none"/>
        </w:rPr>
        <w:t>2. 使用说明书、质量检验证明书、随配附件和工具以及清单一并附于货物内。</w:t>
      </w:r>
    </w:p>
    <w:p>
      <w:pPr>
        <w:pStyle w:val="20"/>
        <w:snapToGrid w:val="0"/>
        <w:spacing w:before="120" w:after="120" w:line="400" w:lineRule="exact"/>
        <w:ind w:firstLine="420" w:firstLineChars="200"/>
        <w:jc w:val="left"/>
        <w:rPr>
          <w:rFonts w:hAnsi="宋体"/>
          <w:color w:val="auto"/>
          <w:highlight w:val="none"/>
        </w:rPr>
      </w:pPr>
      <w:r>
        <w:rPr>
          <w:rFonts w:hint="eastAsia" w:hAnsi="宋体"/>
          <w:color w:val="auto"/>
          <w:highlight w:val="none"/>
        </w:rPr>
        <w:t>3. 乙方在货物发运手续办理完毕后二十四小时内或货到甲方四十八小时前通知甲方，以准备接货。</w:t>
      </w:r>
    </w:p>
    <w:p>
      <w:pPr>
        <w:pStyle w:val="20"/>
        <w:snapToGrid w:val="0"/>
        <w:spacing w:before="120" w:after="120" w:line="400" w:lineRule="exact"/>
        <w:ind w:firstLine="420" w:firstLineChars="200"/>
        <w:jc w:val="left"/>
        <w:rPr>
          <w:rFonts w:hAnsi="宋体"/>
          <w:color w:val="auto"/>
          <w:highlight w:val="none"/>
        </w:rPr>
      </w:pPr>
      <w:r>
        <w:rPr>
          <w:rFonts w:hint="eastAsia" w:hAnsi="宋体"/>
          <w:color w:val="auto"/>
          <w:highlight w:val="none"/>
        </w:rPr>
        <w:t>4. 货物在交付甲方前发生的风险均由乙方负责。</w:t>
      </w:r>
    </w:p>
    <w:p>
      <w:pPr>
        <w:pStyle w:val="20"/>
        <w:snapToGrid w:val="0"/>
        <w:spacing w:before="120" w:after="120" w:line="400" w:lineRule="exact"/>
        <w:ind w:firstLine="420" w:firstLineChars="200"/>
        <w:jc w:val="left"/>
        <w:rPr>
          <w:rFonts w:hAnsi="宋体"/>
          <w:color w:val="auto"/>
          <w:highlight w:val="none"/>
        </w:rPr>
      </w:pPr>
      <w:r>
        <w:rPr>
          <w:rFonts w:hint="eastAsia" w:hAnsi="宋体"/>
          <w:color w:val="auto"/>
          <w:highlight w:val="none"/>
        </w:rPr>
        <w:t>5. 货物在规定的交付期限内由乙方送达甲方指定的地点并初步验收合格后视为交付，乙方同时需通知甲方货物已送达。</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6.货物的运输方式：</w:t>
      </w:r>
      <w:r>
        <w:rPr>
          <w:rFonts w:hint="eastAsia" w:ascii="宋体" w:hAnsi="宋体"/>
          <w:color w:val="auto"/>
          <w:szCs w:val="21"/>
          <w:highlight w:val="none"/>
          <w:u w:val="single"/>
        </w:rPr>
        <w:t>乙方自定。</w:t>
      </w:r>
    </w:p>
    <w:p>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7.乙方负责货物运输，货物运输合理损耗及计算方法：</w:t>
      </w:r>
      <w:r>
        <w:rPr>
          <w:rFonts w:hint="eastAsia" w:ascii="宋体" w:hAnsi="宋体"/>
          <w:color w:val="auto"/>
          <w:szCs w:val="21"/>
          <w:highlight w:val="none"/>
          <w:u w:val="single"/>
        </w:rPr>
        <w:t xml:space="preserve">  由乙方负责 。</w:t>
      </w:r>
    </w:p>
    <w:p>
      <w:pPr>
        <w:snapToGrid w:val="0"/>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第五条　交付和初步验收</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1.交付使用时间：</w:t>
      </w:r>
      <w:r>
        <w:rPr>
          <w:rFonts w:hint="eastAsia" w:ascii="宋体" w:hAnsi="宋体"/>
          <w:color w:val="auto"/>
          <w:szCs w:val="21"/>
          <w:highlight w:val="none"/>
          <w:u w:val="single"/>
        </w:rPr>
        <w:t>按乙方响应文件中所承诺的时间</w:t>
      </w:r>
      <w:r>
        <w:rPr>
          <w:rFonts w:hint="eastAsia" w:ascii="宋体" w:hAnsi="宋体"/>
          <w:color w:val="auto"/>
          <w:szCs w:val="21"/>
          <w:highlight w:val="none"/>
        </w:rPr>
        <w:t>.地点：</w:t>
      </w:r>
      <w:r>
        <w:rPr>
          <w:rFonts w:hint="eastAsia" w:ascii="宋体" w:hAnsi="宋体"/>
          <w:color w:val="auto"/>
          <w:szCs w:val="21"/>
          <w:highlight w:val="none"/>
          <w:u w:val="single"/>
        </w:rPr>
        <w:t xml:space="preserve"> 甲方指定地点。</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2.乙方提供不符合采购文件及响应文件和本合同规定的货物，甲方有权拒绝接受。</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3.乙方应将所提供货物的装箱清单、用户手册、原厂保修卡、随机资料、工具和备品、备件等交付给甲方，如有缺失应及时补齐，否则视为逾期交货。</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 货到后，甲方对乙方提交的货物依据</w:t>
      </w:r>
      <w:r>
        <w:rPr>
          <w:rFonts w:hint="eastAsia" w:hAnsi="宋体"/>
          <w:color w:val="auto"/>
          <w:highlight w:val="none"/>
        </w:rPr>
        <w:t>采购文件</w:t>
      </w:r>
      <w:r>
        <w:rPr>
          <w:rFonts w:hint="eastAsia" w:ascii="宋体" w:hAnsi="宋体"/>
          <w:color w:val="auto"/>
          <w:szCs w:val="21"/>
          <w:highlight w:val="none"/>
        </w:rPr>
        <w:t>上的技术规格要求和国家有关质量标准进行现场初步验收，外观、说明书符合</w:t>
      </w:r>
      <w:r>
        <w:rPr>
          <w:rFonts w:hint="eastAsia" w:hAnsi="宋体"/>
          <w:color w:val="auto"/>
          <w:highlight w:val="none"/>
        </w:rPr>
        <w:t>采购文件</w:t>
      </w:r>
      <w:r>
        <w:rPr>
          <w:rFonts w:hint="eastAsia" w:ascii="宋体" w:hAnsi="宋体"/>
          <w:color w:val="auto"/>
          <w:szCs w:val="21"/>
          <w:highlight w:val="none"/>
        </w:rPr>
        <w:t>技术要求的，给予签收，初步验收不合格的不予签收。</w:t>
      </w:r>
    </w:p>
    <w:p>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第六条　安装和培训</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1.甲方应提供必要安装条件（如场地、电源、水源等）。</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2.乙方负责安装及调试。</w:t>
      </w:r>
    </w:p>
    <w:p>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3.乙方负责甲方有关人员的培训。培训时间、地点：</w:t>
      </w:r>
      <w:r>
        <w:rPr>
          <w:rFonts w:hint="eastAsia" w:ascii="宋体" w:hAnsi="宋体"/>
          <w:color w:val="auto"/>
          <w:szCs w:val="21"/>
          <w:highlight w:val="none"/>
          <w:u w:val="single"/>
        </w:rPr>
        <w:t xml:space="preserve"> 由甲方决定。</w:t>
      </w:r>
    </w:p>
    <w:p>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第七条  售后服务、保修期</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1.乙方应按照国家有关法律法规和“三包”规定以及采购文件及响应文件和本合同所附的《服务承诺》，为甲方提供售后服务。</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 货物保修期：</w:t>
      </w:r>
      <w:r>
        <w:rPr>
          <w:rFonts w:hint="eastAsia" w:ascii="宋体" w:hAnsi="宋体"/>
          <w:b/>
          <w:color w:val="auto"/>
          <w:szCs w:val="21"/>
          <w:highlight w:val="none"/>
          <w:u w:val="single"/>
        </w:rPr>
        <w:t>按乙方竞标时承诺，但是不得低于国家相关标准</w:t>
      </w:r>
      <w:r>
        <w:rPr>
          <w:rFonts w:hint="eastAsia" w:ascii="宋体" w:hAnsi="宋体"/>
          <w:color w:val="auto"/>
          <w:szCs w:val="21"/>
          <w:highlight w:val="none"/>
        </w:rPr>
        <w:t>。在保修期内因货物本身的质量问题发生故障，乙方应负责免费修理和更换零部件。对达不到技术要求者，根据实际情况，经双方协商，可按以下办法处理：</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⑴更换：由乙方承担所发生的全部费用。</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⑵贬值处理：由甲乙双方合议定价。</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⑶退货处理：乙方应退还甲方支付的合同款，同时应承担该货物的直接费用（运输、保险、检验、货款利息及银行手续费等）。</w:t>
      </w:r>
    </w:p>
    <w:p>
      <w:pPr>
        <w:pStyle w:val="20"/>
        <w:snapToGrid w:val="0"/>
        <w:spacing w:before="120" w:after="120" w:line="400" w:lineRule="exact"/>
        <w:ind w:firstLine="420" w:firstLineChars="200"/>
        <w:rPr>
          <w:rFonts w:hAnsi="宋体"/>
          <w:color w:val="auto"/>
          <w:highlight w:val="none"/>
        </w:rPr>
      </w:pPr>
      <w:r>
        <w:rPr>
          <w:rFonts w:hint="eastAsia" w:hAnsi="宋体"/>
          <w:color w:val="auto"/>
          <w:highlight w:val="none"/>
        </w:rPr>
        <w:t>3. 如在使用过程中发生质量问题，乙方在接到甲方通知后在</w:t>
      </w:r>
      <w:r>
        <w:rPr>
          <w:rFonts w:hint="eastAsia" w:hAnsi="宋体"/>
          <w:color w:val="auto"/>
          <w:highlight w:val="none"/>
          <w:u w:val="single"/>
        </w:rPr>
        <w:t xml:space="preserve"> 6 </w:t>
      </w:r>
      <w:r>
        <w:rPr>
          <w:rFonts w:hint="eastAsia" w:hAnsi="宋体"/>
          <w:color w:val="auto"/>
          <w:highlight w:val="none"/>
        </w:rPr>
        <w:t>小时内到达甲方现场。</w:t>
      </w:r>
    </w:p>
    <w:p>
      <w:pPr>
        <w:pStyle w:val="20"/>
        <w:snapToGrid w:val="0"/>
        <w:spacing w:before="120" w:after="120" w:line="400" w:lineRule="exact"/>
        <w:ind w:firstLine="420" w:firstLineChars="200"/>
        <w:rPr>
          <w:rFonts w:hAnsi="宋体"/>
          <w:color w:val="auto"/>
          <w:highlight w:val="none"/>
        </w:rPr>
      </w:pPr>
      <w:r>
        <w:rPr>
          <w:rFonts w:hint="eastAsia" w:hAnsi="宋体"/>
          <w:color w:val="auto"/>
          <w:highlight w:val="none"/>
        </w:rPr>
        <w:t>4. 在质保期内，乙方应对货物出现的质量及安全问题负责处理解决并承担一切费用。</w:t>
      </w:r>
    </w:p>
    <w:p>
      <w:pPr>
        <w:pStyle w:val="20"/>
        <w:snapToGrid w:val="0"/>
        <w:spacing w:before="120" w:after="120" w:line="400" w:lineRule="exact"/>
        <w:ind w:firstLine="420" w:firstLineChars="200"/>
        <w:rPr>
          <w:rFonts w:hAnsi="宋体"/>
          <w:color w:val="auto"/>
          <w:highlight w:val="none"/>
        </w:rPr>
      </w:pPr>
      <w:r>
        <w:rPr>
          <w:rFonts w:hint="eastAsia" w:hAnsi="宋体"/>
          <w:color w:val="auto"/>
          <w:highlight w:val="none"/>
        </w:rPr>
        <w:t>5.上述的货物因人为因素出现的故障不在免费保修范围内。超过质保期的机器设备</w:t>
      </w:r>
      <w:r>
        <w:rPr>
          <w:rFonts w:hint="eastAsia" w:hAnsi="宋体"/>
          <w:color w:val="auto"/>
          <w:highlight w:val="none"/>
          <w:u w:val="single"/>
        </w:rPr>
        <w:t xml:space="preserve">  由乙方进行维修维护，费用由甲方负责，但费用仅限基本人工费以及零部件的成本</w:t>
      </w:r>
      <w:r>
        <w:rPr>
          <w:rFonts w:hint="eastAsia" w:hAnsi="宋体"/>
          <w:color w:val="auto"/>
          <w:highlight w:val="none"/>
        </w:rPr>
        <w:t>。</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6.乙方提供的服务承诺和售后服务及保修期责任等其它具体约定事项。（见合同附件）</w:t>
      </w:r>
    </w:p>
    <w:p>
      <w:pPr>
        <w:pStyle w:val="20"/>
        <w:snapToGrid w:val="0"/>
        <w:spacing w:before="120" w:after="120" w:line="400" w:lineRule="exact"/>
        <w:ind w:firstLine="413" w:firstLineChars="196"/>
        <w:rPr>
          <w:rFonts w:hAnsi="宋体"/>
          <w:b/>
          <w:color w:val="auto"/>
          <w:highlight w:val="none"/>
        </w:rPr>
      </w:pPr>
      <w:r>
        <w:rPr>
          <w:rFonts w:hint="eastAsia" w:hAnsi="宋体"/>
          <w:b/>
          <w:color w:val="auto"/>
          <w:highlight w:val="none"/>
        </w:rPr>
        <w:t>第八条　调试和验收</w:t>
      </w:r>
    </w:p>
    <w:p>
      <w:pPr>
        <w:pStyle w:val="20"/>
        <w:snapToGrid w:val="0"/>
        <w:spacing w:before="120" w:after="120" w:line="400" w:lineRule="exact"/>
        <w:ind w:firstLine="420" w:firstLineChars="200"/>
        <w:jc w:val="left"/>
        <w:rPr>
          <w:rFonts w:hAnsi="宋体"/>
          <w:color w:val="auto"/>
          <w:highlight w:val="none"/>
        </w:rPr>
      </w:pPr>
      <w:r>
        <w:rPr>
          <w:rFonts w:hint="eastAsia" w:hAnsi="宋体"/>
          <w:color w:val="auto"/>
          <w:highlight w:val="none"/>
        </w:rPr>
        <w:t>1.甲方对乙方提供的货物在使用前进行调试时，乙方需负责安装并培训甲方的使用操作人员，并协助甲方一起调试，直到符合技术要求，甲方才做最终验收。</w:t>
      </w:r>
    </w:p>
    <w:p>
      <w:pPr>
        <w:pStyle w:val="20"/>
        <w:snapToGrid w:val="0"/>
        <w:spacing w:before="120" w:after="120" w:line="400" w:lineRule="exact"/>
        <w:ind w:firstLine="420" w:firstLineChars="200"/>
        <w:rPr>
          <w:rFonts w:hAnsi="宋体"/>
          <w:color w:val="auto"/>
          <w:highlight w:val="none"/>
        </w:rPr>
      </w:pPr>
      <w:r>
        <w:rPr>
          <w:rFonts w:hint="eastAsia" w:hAnsi="宋体"/>
          <w:color w:val="auto"/>
          <w:highlight w:val="none"/>
        </w:rPr>
        <w:t>2.甲方应当在到货并安装.调试完后进行验收。验收合格后由甲乙双方签署货物验收单并加盖采购单位公章，甲乙双方各执一份。</w:t>
      </w:r>
    </w:p>
    <w:p>
      <w:pPr>
        <w:pStyle w:val="20"/>
        <w:snapToGrid w:val="0"/>
        <w:spacing w:before="120" w:after="120" w:line="400" w:lineRule="exact"/>
        <w:ind w:firstLine="420" w:firstLineChars="200"/>
        <w:rPr>
          <w:rFonts w:hAnsi="宋体"/>
          <w:color w:val="auto"/>
          <w:highlight w:val="none"/>
        </w:rPr>
      </w:pPr>
      <w:r>
        <w:rPr>
          <w:rFonts w:hint="eastAsia" w:hAnsi="宋体"/>
          <w:color w:val="auto"/>
          <w:highlight w:val="none"/>
        </w:rPr>
        <w:t>3.对技术复杂的货物，甲方可聘请国家认可的专业检测机构参与初步验收及最终验收（费用由乙方承担），并由其出具质量检测报告。</w:t>
      </w:r>
    </w:p>
    <w:p>
      <w:pPr>
        <w:snapToGrid w:val="0"/>
        <w:spacing w:line="400" w:lineRule="exact"/>
        <w:ind w:firstLine="420" w:firstLineChars="200"/>
        <w:rPr>
          <w:rFonts w:ascii="宋体" w:hAnsi="宋体"/>
          <w:color w:val="auto"/>
          <w:szCs w:val="21"/>
          <w:highlight w:val="none"/>
        </w:rPr>
      </w:pPr>
      <w:r>
        <w:rPr>
          <w:rFonts w:hint="eastAsia" w:hAnsi="宋体"/>
          <w:color w:val="auto"/>
          <w:highlight w:val="none"/>
        </w:rPr>
        <w:t xml:space="preserve">4. </w:t>
      </w:r>
      <w:r>
        <w:rPr>
          <w:rFonts w:hint="eastAsia" w:ascii="宋体" w:hAnsi="宋体"/>
          <w:color w:val="auto"/>
          <w:szCs w:val="21"/>
          <w:highlight w:val="none"/>
        </w:rPr>
        <w:t>甲方对验收有异议的，在验收后五个工作日内以书面形式向乙方提出，乙方应自收到甲方书面异议后</w:t>
      </w:r>
      <w:r>
        <w:rPr>
          <w:rFonts w:hint="eastAsia" w:ascii="宋体" w:hAnsi="宋体"/>
          <w:color w:val="auto"/>
          <w:szCs w:val="21"/>
          <w:highlight w:val="none"/>
          <w:u w:val="single"/>
        </w:rPr>
        <w:t xml:space="preserve"> 7 </w:t>
      </w:r>
      <w:r>
        <w:rPr>
          <w:rFonts w:hint="eastAsia" w:ascii="宋体" w:hAnsi="宋体"/>
          <w:color w:val="auto"/>
          <w:szCs w:val="21"/>
          <w:highlight w:val="none"/>
        </w:rPr>
        <w:t>日内及时予以解决。</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5.在验收过程中发现乙方有违约问题，可暂缓合同资金结算，待违约问题解决后，方可办理资金结算事宜。</w:t>
      </w:r>
    </w:p>
    <w:p>
      <w:pPr>
        <w:pStyle w:val="20"/>
        <w:snapToGrid w:val="0"/>
        <w:spacing w:before="120" w:after="120" w:line="400" w:lineRule="exact"/>
        <w:ind w:firstLine="420" w:firstLineChars="200"/>
        <w:rPr>
          <w:rFonts w:hAnsi="宋体"/>
          <w:color w:val="auto"/>
          <w:highlight w:val="none"/>
          <w:u w:val="single"/>
        </w:rPr>
      </w:pPr>
      <w:r>
        <w:rPr>
          <w:rFonts w:hint="eastAsia" w:hAnsi="宋体"/>
          <w:color w:val="auto"/>
          <w:highlight w:val="none"/>
        </w:rPr>
        <w:t>6. 验收时乙方必须在现场，验收完毕后作出验收结果报告；验收费用由乙方负责。</w:t>
      </w:r>
    </w:p>
    <w:p>
      <w:pPr>
        <w:snapToGrid w:val="0"/>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第九条 付款方式</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1.当采购数量与实际使用数量不一致时，乙方应根据实际使用量供货，合同的最终结算金额按实际使用量乘以成交单价进行计算。</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2.资金性质：</w:t>
      </w:r>
      <w:r>
        <w:rPr>
          <w:rFonts w:hint="eastAsia" w:ascii="宋体" w:hAnsi="宋体"/>
          <w:color w:val="auto"/>
          <w:szCs w:val="21"/>
          <w:highlight w:val="none"/>
          <w:u w:val="single"/>
        </w:rPr>
        <w:t>财政资金</w:t>
      </w:r>
      <w:r>
        <w:rPr>
          <w:rFonts w:hint="eastAsia" w:ascii="宋体" w:hAnsi="宋体"/>
          <w:color w:val="auto"/>
          <w:szCs w:val="21"/>
          <w:highlight w:val="none"/>
        </w:rPr>
        <w:t>。</w:t>
      </w:r>
    </w:p>
    <w:p>
      <w:pPr>
        <w:widowControl/>
        <w:ind w:firstLine="420" w:firstLineChars="200"/>
        <w:jc w:val="left"/>
        <w:textAlignment w:val="center"/>
        <w:rPr>
          <w:rFonts w:hint="eastAsia" w:ascii="宋体" w:hAnsi="宋体"/>
          <w:color w:val="auto"/>
          <w:szCs w:val="21"/>
          <w:highlight w:val="none"/>
        </w:rPr>
      </w:pPr>
      <w:r>
        <w:rPr>
          <w:rFonts w:hint="eastAsia" w:ascii="宋体" w:hAnsi="宋体"/>
          <w:color w:val="auto"/>
          <w:szCs w:val="21"/>
          <w:highlight w:val="none"/>
        </w:rPr>
        <w:t>3.付款方式：</w:t>
      </w:r>
    </w:p>
    <w:p>
      <w:pPr>
        <w:widowControl/>
        <w:ind w:firstLine="400" w:firstLineChars="20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1</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货物安装调式正常运行后，经最终验收合格，凭中标人提交付款申请书、开具的合同金额财务发票及货物验收证明书，招标人在收到以上材料后3个工作日内向中标人支付95%的合同货款；</w:t>
      </w:r>
    </w:p>
    <w:p>
      <w:pPr>
        <w:widowControl/>
        <w:ind w:firstLine="400" w:firstLineChars="200"/>
        <w:jc w:val="left"/>
        <w:textAlignment w:val="center"/>
        <w:rPr>
          <w:rFonts w:ascii="宋体" w:hAnsi="宋体"/>
          <w:color w:val="auto"/>
          <w:szCs w:val="21"/>
          <w:highlight w:val="none"/>
        </w:rPr>
      </w:pP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2</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另5%合同货款作为质量保证金，在质保期壹年内若中标人完全履行了质量保证义务，且没有任何未解决的质量问题,质量保证金在验收合格一年后30个工作日内由招标人一次性付清（无息）。</w:t>
      </w:r>
    </w:p>
    <w:p>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第十条 税费</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本合同执行中相关的一切税费均由乙方负担。</w:t>
      </w:r>
    </w:p>
    <w:p>
      <w:pPr>
        <w:snapToGrid w:val="0"/>
        <w:spacing w:line="400" w:lineRule="exact"/>
        <w:ind w:firstLine="422" w:firstLineChars="200"/>
        <w:rPr>
          <w:rFonts w:ascii="宋体" w:hAnsi="宋体"/>
          <w:b/>
          <w:color w:val="auto"/>
          <w:szCs w:val="21"/>
          <w:highlight w:val="none"/>
        </w:rPr>
      </w:pPr>
      <w:r>
        <w:rPr>
          <w:rFonts w:hint="eastAsia" w:hAnsi="宋体"/>
          <w:b/>
          <w:color w:val="auto"/>
          <w:highlight w:val="none"/>
        </w:rPr>
        <w:t>第十一条</w:t>
      </w:r>
      <w:r>
        <w:rPr>
          <w:rFonts w:hint="eastAsia" w:ascii="宋体" w:hAnsi="宋体"/>
          <w:b/>
          <w:color w:val="auto"/>
          <w:szCs w:val="21"/>
          <w:highlight w:val="none"/>
        </w:rPr>
        <w:t>违约责任</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金为货款额的5%。给甲方造成经济损失的，乙方还需赔偿甲方经济损失。                                       </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2.乙方提供的货物如侵犯了第三方合法权益而引发的任何纠纷或诉讼，均由乙方负责交涉并承担全部责任。</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3.因包装、运输引起的货物损坏，乙方需无偿更换。如乙方不愿意更换的，按质量不合格处理，乙方应向甲方支付违约金为违约货款额的5%。给甲方造成经济损失的，乙方还需赔偿甲方经济损失。</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4.甲方无故延期接收货物、乙方逾期交货的，每天向对方偿付违约金为货款额的3‰，但违约金累计不得超过货款额的</w:t>
      </w:r>
      <w:r>
        <w:rPr>
          <w:rFonts w:hint="eastAsia" w:ascii="宋体" w:hAnsi="宋体"/>
          <w:color w:val="auto"/>
          <w:szCs w:val="21"/>
          <w:highlight w:val="none"/>
          <w:u w:val="single"/>
        </w:rPr>
        <w:t>5%</w:t>
      </w:r>
      <w:r>
        <w:rPr>
          <w:rFonts w:hint="eastAsia" w:ascii="宋体" w:hAnsi="宋体"/>
          <w:color w:val="auto"/>
          <w:szCs w:val="21"/>
          <w:highlight w:val="none"/>
        </w:rPr>
        <w:t>，超过</w:t>
      </w:r>
      <w:r>
        <w:rPr>
          <w:rFonts w:hint="eastAsia" w:ascii="宋体" w:hAnsi="宋体"/>
          <w:color w:val="auto"/>
          <w:szCs w:val="21"/>
          <w:highlight w:val="none"/>
          <w:u w:val="single"/>
        </w:rPr>
        <w:t xml:space="preserve"> 30 </w:t>
      </w:r>
      <w:r>
        <w:rPr>
          <w:rFonts w:hint="eastAsia" w:ascii="宋体" w:hAnsi="宋体"/>
          <w:color w:val="auto"/>
          <w:szCs w:val="21"/>
          <w:highlight w:val="none"/>
        </w:rPr>
        <w:t>天对方有权解除合同，违约方承担因此给对方造成经济损失；甲方延期付货款的，每天向乙方偿付延期货款额</w:t>
      </w:r>
      <w:r>
        <w:rPr>
          <w:rStyle w:val="153"/>
          <w:rFonts w:hint="eastAsia"/>
          <w:color w:val="auto"/>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rPr>
        <w:t>滞纳金，但滞纳金累计不得超过延期货款额</w:t>
      </w:r>
      <w:r>
        <w:rPr>
          <w:rFonts w:hint="eastAsia" w:ascii="宋体" w:hAnsi="宋体"/>
          <w:color w:val="auto"/>
          <w:szCs w:val="21"/>
          <w:highlight w:val="none"/>
          <w:u w:val="single"/>
        </w:rPr>
        <w:t>5%</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5.乙方未按本合同和响应文件中规定的服务承诺提供售后服务的，乙方应按本合同合计金额</w:t>
      </w:r>
      <w:r>
        <w:rPr>
          <w:rFonts w:hint="eastAsia" w:ascii="宋体" w:hAnsi="宋体"/>
          <w:color w:val="auto"/>
          <w:szCs w:val="21"/>
          <w:highlight w:val="none"/>
          <w:u w:val="single"/>
        </w:rPr>
        <w:t xml:space="preserve"> 5%</w:t>
      </w:r>
      <w:r>
        <w:rPr>
          <w:rFonts w:hint="eastAsia" w:ascii="宋体" w:hAnsi="宋体"/>
          <w:color w:val="auto"/>
          <w:szCs w:val="21"/>
          <w:highlight w:val="none"/>
        </w:rPr>
        <w:t>向甲方支付违约金。</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6.乙方提供的货物在质量保证期内，因设计、工艺或材料的缺陷和其它质量原因造成的问题，由乙方负责更换，如构成违约的，由乙方负责赔偿。</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7.其它违约行为按违约货款额5%收取违约金并赔偿经济损失。</w:t>
      </w:r>
    </w:p>
    <w:p>
      <w:pPr>
        <w:pStyle w:val="20"/>
        <w:snapToGrid w:val="0"/>
        <w:spacing w:before="120" w:after="120" w:line="400" w:lineRule="exact"/>
        <w:ind w:firstLine="413" w:firstLineChars="196"/>
        <w:rPr>
          <w:rFonts w:hAnsi="宋体"/>
          <w:b/>
          <w:color w:val="auto"/>
          <w:highlight w:val="none"/>
        </w:rPr>
      </w:pPr>
      <w:r>
        <w:rPr>
          <w:rFonts w:hint="eastAsia" w:hAnsi="宋体"/>
          <w:b/>
          <w:color w:val="auto"/>
          <w:highlight w:val="none"/>
        </w:rPr>
        <w:t>第十二条　不可抗力事件处理</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 在合同有效期内，任何一方因不可抗力事件导致不能履行合同，则合同履行期可延长，其延长期与不可抗力影响期相同。</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 不可抗力事件发生后，应立即通知对方，并寄送有关权威机构出具的证明。</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 不可抗力事件延续一百二十天以上，双方应通过友好协商，确定是否继续履行合同。</w:t>
      </w:r>
    </w:p>
    <w:p>
      <w:pPr>
        <w:snapToGrid w:val="0"/>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第十三条  合同争议解决</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 因货物质量问题发生争议的，应邀请国家认可的质量检测机构按照国家标准对货物质量进行验收。货物符合国家标准的，鉴定费由甲方承担；货物不符合国家标准的，鉴定费由乙方承担。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 因履行本合同引起的或与本合同有关的争议，甲乙双方应首先通过友好协商解决，如果协商不能解决，可向甲方所在地人民法院提起诉讼。</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 诉讼期间，本合同继续履行。</w:t>
      </w:r>
    </w:p>
    <w:p>
      <w:pPr>
        <w:pStyle w:val="20"/>
        <w:snapToGrid w:val="0"/>
        <w:spacing w:before="120" w:after="120" w:line="400" w:lineRule="exact"/>
        <w:ind w:firstLine="422" w:firstLineChars="200"/>
        <w:rPr>
          <w:rFonts w:hAnsi="宋体"/>
          <w:b/>
          <w:color w:val="auto"/>
          <w:highlight w:val="none"/>
        </w:rPr>
      </w:pPr>
      <w:r>
        <w:rPr>
          <w:rFonts w:hint="eastAsia" w:hAnsi="宋体"/>
          <w:b/>
          <w:color w:val="auto"/>
          <w:highlight w:val="none"/>
        </w:rPr>
        <w:t>第十四条 合同生效及其它</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1．合同经双方法定代表人或授权代表签字并加盖单位公章后生效。</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2．合同执行中涉及采购资金和采购内容修改或补充的，须经财政部门审批，并签书面补充协议报财政部门备案，方可作为主合同不可分割的一部分。</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3．本合同未尽事宜，遵照《合同法》有关条文执行。</w:t>
      </w:r>
    </w:p>
    <w:p>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第十五条　合同的变更.终止与转让</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1.除《中华人民共和国政府采购法》第五十条规定的情形外，本合同一经签订，甲乙双方不得擅自变更.中止或终止。</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2.未经甲方书面同意，乙方不得擅自转让（无进口资格的供应商委托进口货物除外）其应履行的合同义务。</w:t>
      </w:r>
    </w:p>
    <w:p>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第十六条　签订本合同依据</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1.政府采购文件；</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2.乙方提供的响应文件；</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3.响应承诺书；</w:t>
      </w:r>
    </w:p>
    <w:p>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4.成交通知书。</w:t>
      </w:r>
    </w:p>
    <w:p>
      <w:pPr>
        <w:snapToGrid w:val="0"/>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第十七条　</w:t>
      </w:r>
      <w:r>
        <w:rPr>
          <w:rFonts w:hint="eastAsia" w:ascii="宋体" w:hAnsi="宋体"/>
          <w:color w:val="auto"/>
          <w:szCs w:val="21"/>
          <w:highlight w:val="none"/>
        </w:rPr>
        <w:t>本合同一式六份，具有同等法律效力。</w:t>
      </w:r>
      <w:r>
        <w:rPr>
          <w:rFonts w:hint="eastAsia" w:ascii="宋体" w:hAnsi="宋体"/>
          <w:color w:val="auto"/>
          <w:spacing w:val="4"/>
          <w:szCs w:val="21"/>
          <w:highlight w:val="none"/>
        </w:rPr>
        <w:t>桂平市财政局政府采购监督管理股、采购代理机构</w:t>
      </w:r>
      <w:r>
        <w:rPr>
          <w:rFonts w:hint="eastAsia" w:ascii="宋体" w:hAnsi="宋体"/>
          <w:color w:val="auto"/>
          <w:szCs w:val="21"/>
          <w:highlight w:val="none"/>
        </w:rPr>
        <w:t>各一份，甲方两份，乙方两份。</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本合同经甲乙双方法定代表人或委托代理人签字并加盖单位公章后生效，自签订之日起七个工作日内。</w:t>
      </w:r>
    </w:p>
    <w:p>
      <w:pPr>
        <w:snapToGrid w:val="0"/>
        <w:spacing w:line="400" w:lineRule="exact"/>
        <w:ind w:firstLine="420" w:firstLineChars="200"/>
        <w:rPr>
          <w:rFonts w:ascii="宋体" w:hAnsi="宋体"/>
          <w:color w:val="auto"/>
          <w:szCs w:val="21"/>
          <w:highlight w:val="none"/>
        </w:rPr>
      </w:pPr>
    </w:p>
    <w:tbl>
      <w:tblPr>
        <w:tblStyle w:val="35"/>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9"/>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7" w:hRule="atLeast"/>
        </w:trPr>
        <w:tc>
          <w:tcPr>
            <w:tcW w:w="4639"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 xml:space="preserve">甲方（章）           </w:t>
            </w:r>
          </w:p>
          <w:p>
            <w:pPr>
              <w:snapToGrid w:val="0"/>
              <w:spacing w:line="400" w:lineRule="exact"/>
              <w:rPr>
                <w:rFonts w:ascii="宋体" w:hAnsi="宋体"/>
                <w:color w:val="auto"/>
                <w:szCs w:val="21"/>
                <w:highlight w:val="none"/>
              </w:rPr>
            </w:pPr>
          </w:p>
          <w:p>
            <w:pPr>
              <w:snapToGrid w:val="0"/>
              <w:spacing w:line="400" w:lineRule="exact"/>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903"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 xml:space="preserve">乙方（章）              </w:t>
            </w:r>
          </w:p>
          <w:p>
            <w:pPr>
              <w:snapToGrid w:val="0"/>
              <w:spacing w:line="400" w:lineRule="exact"/>
              <w:rPr>
                <w:rFonts w:ascii="宋体" w:hAnsi="宋体"/>
                <w:color w:val="auto"/>
                <w:szCs w:val="21"/>
                <w:highlight w:val="none"/>
              </w:rPr>
            </w:pPr>
          </w:p>
          <w:p>
            <w:pPr>
              <w:snapToGrid w:val="0"/>
              <w:spacing w:line="400" w:lineRule="exact"/>
              <w:jc w:val="right"/>
              <w:rPr>
                <w:rFonts w:ascii="宋体" w:hAnsi="宋体"/>
                <w:color w:val="auto"/>
                <w:szCs w:val="21"/>
                <w:highlight w:val="none"/>
              </w:rPr>
            </w:pPr>
            <w:r>
              <w:rPr>
                <w:rFonts w:hint="eastAsia" w:ascii="宋体" w:hAnsi="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4639"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单位地址：</w:t>
            </w:r>
          </w:p>
        </w:tc>
        <w:tc>
          <w:tcPr>
            <w:tcW w:w="4903"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4639"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法定代表人：</w:t>
            </w:r>
          </w:p>
        </w:tc>
        <w:tc>
          <w:tcPr>
            <w:tcW w:w="4903"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4639"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委托代理人：</w:t>
            </w:r>
          </w:p>
        </w:tc>
        <w:tc>
          <w:tcPr>
            <w:tcW w:w="4903"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4639"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电话：</w:t>
            </w:r>
          </w:p>
        </w:tc>
        <w:tc>
          <w:tcPr>
            <w:tcW w:w="4903"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4639"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电子邮箱：</w:t>
            </w:r>
          </w:p>
        </w:tc>
        <w:tc>
          <w:tcPr>
            <w:tcW w:w="4903"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4639"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开户银行：</w:t>
            </w:r>
          </w:p>
        </w:tc>
        <w:tc>
          <w:tcPr>
            <w:tcW w:w="4903"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4639"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账号：</w:t>
            </w:r>
          </w:p>
        </w:tc>
        <w:tc>
          <w:tcPr>
            <w:tcW w:w="4903"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4639"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邮政编码：</w:t>
            </w:r>
          </w:p>
        </w:tc>
        <w:tc>
          <w:tcPr>
            <w:tcW w:w="4903"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trPr>
        <w:tc>
          <w:tcPr>
            <w:tcW w:w="9542" w:type="dxa"/>
            <w:gridSpan w:val="2"/>
          </w:tcPr>
          <w:p>
            <w:pPr>
              <w:snapToGrid w:val="0"/>
              <w:spacing w:line="400" w:lineRule="exact"/>
              <w:rPr>
                <w:rFonts w:ascii="宋体" w:hAnsi="宋体"/>
                <w:color w:val="auto"/>
                <w:szCs w:val="21"/>
                <w:highlight w:val="none"/>
              </w:rPr>
            </w:pPr>
            <w:r>
              <w:rPr>
                <w:rFonts w:hint="eastAsia" w:ascii="宋体" w:hAnsi="宋体"/>
                <w:color w:val="auto"/>
                <w:szCs w:val="21"/>
                <w:highlight w:val="none"/>
              </w:rPr>
              <w:t>经办人：</w:t>
            </w:r>
          </w:p>
          <w:p>
            <w:pPr>
              <w:snapToGrid w:val="0"/>
              <w:spacing w:line="400" w:lineRule="exact"/>
              <w:ind w:firstLine="630" w:firstLineChars="300"/>
              <w:jc w:val="right"/>
              <w:rPr>
                <w:rFonts w:ascii="宋体" w:hAnsi="宋体"/>
                <w:color w:val="auto"/>
                <w:szCs w:val="21"/>
                <w:highlight w:val="none"/>
              </w:rPr>
            </w:pPr>
          </w:p>
          <w:p>
            <w:pPr>
              <w:snapToGrid w:val="0"/>
              <w:spacing w:line="400" w:lineRule="exact"/>
              <w:ind w:firstLine="630" w:firstLineChars="300"/>
              <w:jc w:val="right"/>
              <w:rPr>
                <w:rFonts w:ascii="宋体" w:hAnsi="宋体"/>
                <w:color w:val="auto"/>
                <w:szCs w:val="21"/>
                <w:highlight w:val="none"/>
              </w:rPr>
            </w:pPr>
          </w:p>
          <w:p>
            <w:pPr>
              <w:snapToGrid w:val="0"/>
              <w:spacing w:line="400" w:lineRule="exact"/>
              <w:ind w:firstLine="630" w:firstLineChars="300"/>
              <w:jc w:val="right"/>
              <w:rPr>
                <w:rFonts w:ascii="宋体" w:hAnsi="宋体"/>
                <w:color w:val="auto"/>
                <w:szCs w:val="21"/>
                <w:highlight w:val="none"/>
              </w:rPr>
            </w:pPr>
            <w:r>
              <w:rPr>
                <w:rFonts w:hint="eastAsia" w:ascii="宋体" w:hAnsi="宋体"/>
                <w:color w:val="auto"/>
                <w:szCs w:val="21"/>
                <w:highlight w:val="none"/>
              </w:rPr>
              <w:t>年    月    日</w:t>
            </w:r>
          </w:p>
        </w:tc>
      </w:tr>
    </w:tbl>
    <w:p>
      <w:pPr>
        <w:snapToGrid w:val="0"/>
        <w:spacing w:line="400" w:lineRule="exact"/>
        <w:ind w:left="420" w:hanging="420" w:hangingChars="200"/>
        <w:rPr>
          <w:rFonts w:ascii="宋体" w:hAnsi="宋体"/>
          <w:color w:val="auto"/>
          <w:szCs w:val="21"/>
          <w:highlight w:val="none"/>
        </w:rPr>
      </w:pPr>
    </w:p>
    <w:p>
      <w:pPr>
        <w:snapToGrid w:val="0"/>
        <w:spacing w:line="400" w:lineRule="exact"/>
        <w:jc w:val="center"/>
        <w:rPr>
          <w:rFonts w:ascii="宋体" w:hAnsi="宋体"/>
          <w:b/>
          <w:color w:val="auto"/>
          <w:szCs w:val="21"/>
          <w:highlight w:val="none"/>
        </w:rPr>
      </w:pPr>
    </w:p>
    <w:p>
      <w:pPr>
        <w:snapToGrid w:val="0"/>
        <w:spacing w:line="400" w:lineRule="exact"/>
        <w:jc w:val="center"/>
        <w:rPr>
          <w:rFonts w:ascii="宋体" w:hAnsi="宋体"/>
          <w:b/>
          <w:color w:val="auto"/>
          <w:szCs w:val="21"/>
          <w:highlight w:val="none"/>
        </w:rPr>
      </w:pPr>
    </w:p>
    <w:p>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合 同 附 件</w:t>
      </w:r>
    </w:p>
    <w:p>
      <w:pPr>
        <w:snapToGrid w:val="0"/>
        <w:spacing w:line="400" w:lineRule="exact"/>
        <w:jc w:val="center"/>
        <w:rPr>
          <w:rFonts w:ascii="宋体" w:hAnsi="宋体"/>
          <w:b/>
          <w:color w:val="auto"/>
          <w:szCs w:val="21"/>
          <w:highlight w:val="none"/>
        </w:rPr>
      </w:pPr>
    </w:p>
    <w:tbl>
      <w:tblPr>
        <w:tblStyle w:val="35"/>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194" w:type="dxa"/>
            <w:gridSpan w:val="2"/>
            <w:tcBorders>
              <w:top w:val="single" w:color="auto" w:sz="4" w:space="0"/>
              <w:left w:val="single" w:color="auto" w:sz="4" w:space="0"/>
              <w:right w:val="single" w:color="auto" w:sz="4" w:space="0"/>
            </w:tcBorders>
          </w:tcPr>
          <w:p>
            <w:pPr>
              <w:snapToGrid w:val="0"/>
              <w:spacing w:line="400" w:lineRule="exact"/>
              <w:rPr>
                <w:rFonts w:ascii="宋体" w:hAnsi="宋体"/>
                <w:color w:val="auto"/>
                <w:szCs w:val="21"/>
                <w:highlight w:val="none"/>
              </w:rPr>
            </w:pPr>
            <w:r>
              <w:rPr>
                <w:rFonts w:hint="eastAsia" w:ascii="宋体" w:hAnsi="宋体"/>
                <w:color w:val="auto"/>
                <w:szCs w:val="21"/>
                <w:highlight w:val="none"/>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9194" w:type="dxa"/>
            <w:gridSpan w:val="2"/>
            <w:tcBorders>
              <w:top w:val="single" w:color="auto" w:sz="4" w:space="0"/>
              <w:left w:val="single" w:color="auto" w:sz="4" w:space="0"/>
              <w:right w:val="single" w:color="auto" w:sz="4" w:space="0"/>
            </w:tcBorders>
          </w:tcPr>
          <w:p>
            <w:pPr>
              <w:snapToGrid w:val="0"/>
              <w:spacing w:line="400" w:lineRule="exact"/>
              <w:rPr>
                <w:rFonts w:ascii="宋体" w:hAnsi="宋体"/>
                <w:color w:val="auto"/>
                <w:szCs w:val="21"/>
                <w:highlight w:val="none"/>
              </w:rPr>
            </w:pPr>
            <w:r>
              <w:rPr>
                <w:rFonts w:hint="eastAsia" w:ascii="宋体" w:hAnsi="宋体"/>
                <w:color w:val="auto"/>
                <w:szCs w:val="21"/>
                <w:highlight w:val="none"/>
              </w:rPr>
              <w:t>2.售后服务具体事项：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194" w:type="dxa"/>
            <w:gridSpan w:val="2"/>
            <w:tcBorders>
              <w:top w:val="single" w:color="auto" w:sz="4" w:space="0"/>
              <w:left w:val="single" w:color="auto" w:sz="4" w:space="0"/>
              <w:right w:val="single" w:color="auto" w:sz="4" w:space="0"/>
            </w:tcBorders>
          </w:tcPr>
          <w:p>
            <w:pPr>
              <w:snapToGrid w:val="0"/>
              <w:spacing w:line="400" w:lineRule="exact"/>
              <w:rPr>
                <w:rFonts w:ascii="宋体" w:hAnsi="宋体"/>
                <w:color w:val="auto"/>
                <w:szCs w:val="21"/>
                <w:highlight w:val="none"/>
              </w:rPr>
            </w:pPr>
            <w:r>
              <w:rPr>
                <w:rFonts w:hint="eastAsia" w:ascii="宋体" w:hAnsi="宋体"/>
                <w:color w:val="auto"/>
                <w:szCs w:val="21"/>
                <w:highlight w:val="none"/>
              </w:rPr>
              <w:t>3.保修期责任：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194" w:type="dxa"/>
            <w:gridSpan w:val="2"/>
            <w:tcBorders>
              <w:top w:val="single" w:color="auto" w:sz="4" w:space="0"/>
              <w:left w:val="single" w:color="auto" w:sz="4" w:space="0"/>
              <w:right w:val="single" w:color="auto" w:sz="4" w:space="0"/>
            </w:tcBorders>
          </w:tcPr>
          <w:p>
            <w:pPr>
              <w:snapToGrid w:val="0"/>
              <w:spacing w:line="400" w:lineRule="exact"/>
              <w:rPr>
                <w:rFonts w:ascii="宋体" w:hAnsi="宋体"/>
                <w:color w:val="auto"/>
                <w:szCs w:val="21"/>
                <w:highlight w:val="none"/>
              </w:rPr>
            </w:pPr>
            <w:r>
              <w:rPr>
                <w:rFonts w:hint="eastAsia" w:ascii="宋体" w:hAnsi="宋体"/>
                <w:color w:val="auto"/>
                <w:szCs w:val="21"/>
                <w:highlight w:val="none"/>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5" w:hRule="atLeast"/>
          <w:jc w:val="center"/>
        </w:trPr>
        <w:tc>
          <w:tcPr>
            <w:tcW w:w="45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2"/>
              <w:rPr>
                <w:rFonts w:ascii="宋体" w:hAnsi="宋体"/>
                <w:color w:val="auto"/>
                <w:szCs w:val="21"/>
                <w:highlight w:val="none"/>
              </w:rPr>
            </w:pPr>
            <w:r>
              <w:rPr>
                <w:rFonts w:hint="eastAsia" w:ascii="宋体" w:hAnsi="宋体"/>
                <w:color w:val="auto"/>
                <w:szCs w:val="21"/>
                <w:highlight w:val="none"/>
              </w:rPr>
              <w:t>甲方（章）</w:t>
            </w:r>
          </w:p>
          <w:p>
            <w:pPr>
              <w:snapToGrid w:val="0"/>
              <w:spacing w:line="400" w:lineRule="exact"/>
              <w:ind w:firstLine="422"/>
              <w:rPr>
                <w:rFonts w:ascii="宋体" w:hAnsi="宋体"/>
                <w:color w:val="auto"/>
                <w:szCs w:val="21"/>
                <w:highlight w:val="none"/>
              </w:rPr>
            </w:pPr>
          </w:p>
          <w:p>
            <w:pPr>
              <w:snapToGrid w:val="0"/>
              <w:spacing w:line="400" w:lineRule="exact"/>
              <w:ind w:firstLine="422"/>
              <w:rPr>
                <w:rFonts w:ascii="宋体" w:hAnsi="宋体"/>
                <w:color w:val="auto"/>
                <w:szCs w:val="21"/>
                <w:highlight w:val="none"/>
              </w:rPr>
            </w:pPr>
          </w:p>
          <w:p>
            <w:pPr>
              <w:snapToGrid w:val="0"/>
              <w:spacing w:line="400" w:lineRule="exact"/>
              <w:ind w:firstLine="422"/>
              <w:rPr>
                <w:rFonts w:ascii="宋体" w:hAnsi="宋体"/>
                <w:color w:val="auto"/>
                <w:szCs w:val="21"/>
                <w:highlight w:val="none"/>
              </w:rPr>
            </w:pPr>
          </w:p>
          <w:p>
            <w:pPr>
              <w:snapToGrid w:val="0"/>
              <w:spacing w:line="400" w:lineRule="exact"/>
              <w:ind w:firstLine="422"/>
              <w:rPr>
                <w:rFonts w:ascii="宋体" w:hAnsi="宋体"/>
                <w:color w:val="auto"/>
                <w:szCs w:val="21"/>
                <w:highlight w:val="none"/>
              </w:rPr>
            </w:pPr>
          </w:p>
          <w:p>
            <w:pPr>
              <w:snapToGrid w:val="0"/>
              <w:spacing w:line="400" w:lineRule="exact"/>
              <w:ind w:firstLine="422"/>
              <w:rPr>
                <w:rFonts w:ascii="宋体" w:hAnsi="宋体"/>
                <w:color w:val="auto"/>
                <w:szCs w:val="21"/>
                <w:highlight w:val="none"/>
              </w:rPr>
            </w:pPr>
          </w:p>
          <w:p>
            <w:pPr>
              <w:snapToGrid w:val="0"/>
              <w:spacing w:line="400" w:lineRule="exact"/>
              <w:ind w:firstLine="422"/>
              <w:rPr>
                <w:rFonts w:ascii="宋体" w:hAnsi="宋体"/>
                <w:color w:val="auto"/>
                <w:szCs w:val="21"/>
                <w:highlight w:val="none"/>
              </w:rPr>
            </w:pPr>
            <w:r>
              <w:rPr>
                <w:rFonts w:hint="eastAsia" w:ascii="宋体" w:hAnsi="宋体"/>
                <w:color w:val="auto"/>
                <w:szCs w:val="21"/>
                <w:highlight w:val="none"/>
              </w:rPr>
              <w:t xml:space="preserve">                      年   月   日 </w:t>
            </w:r>
          </w:p>
        </w:tc>
        <w:tc>
          <w:tcPr>
            <w:tcW w:w="465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2"/>
              <w:rPr>
                <w:rFonts w:ascii="宋体" w:hAnsi="宋体"/>
                <w:color w:val="auto"/>
                <w:szCs w:val="21"/>
                <w:highlight w:val="none"/>
              </w:rPr>
            </w:pPr>
            <w:r>
              <w:rPr>
                <w:rFonts w:hint="eastAsia" w:ascii="宋体" w:hAnsi="宋体"/>
                <w:color w:val="auto"/>
                <w:szCs w:val="21"/>
                <w:highlight w:val="none"/>
              </w:rPr>
              <w:t>乙方（章）</w:t>
            </w:r>
          </w:p>
          <w:p>
            <w:pPr>
              <w:snapToGrid w:val="0"/>
              <w:spacing w:line="400" w:lineRule="exact"/>
              <w:ind w:firstLine="422"/>
              <w:rPr>
                <w:rFonts w:ascii="宋体" w:hAnsi="宋体"/>
                <w:color w:val="auto"/>
                <w:szCs w:val="21"/>
                <w:highlight w:val="none"/>
              </w:rPr>
            </w:pPr>
          </w:p>
          <w:p>
            <w:pPr>
              <w:snapToGrid w:val="0"/>
              <w:spacing w:line="400" w:lineRule="exact"/>
              <w:ind w:firstLine="422"/>
              <w:rPr>
                <w:rFonts w:ascii="宋体" w:hAnsi="宋体"/>
                <w:color w:val="auto"/>
                <w:szCs w:val="21"/>
                <w:highlight w:val="none"/>
              </w:rPr>
            </w:pPr>
          </w:p>
          <w:p>
            <w:pPr>
              <w:snapToGrid w:val="0"/>
              <w:spacing w:line="400" w:lineRule="exact"/>
              <w:ind w:firstLine="422"/>
              <w:rPr>
                <w:rFonts w:ascii="宋体" w:hAnsi="宋体"/>
                <w:color w:val="auto"/>
                <w:szCs w:val="21"/>
                <w:highlight w:val="none"/>
              </w:rPr>
            </w:pPr>
          </w:p>
          <w:p>
            <w:pPr>
              <w:snapToGrid w:val="0"/>
              <w:spacing w:line="400" w:lineRule="exact"/>
              <w:ind w:firstLine="422"/>
              <w:rPr>
                <w:rFonts w:ascii="宋体" w:hAnsi="宋体"/>
                <w:color w:val="auto"/>
                <w:szCs w:val="21"/>
                <w:highlight w:val="none"/>
              </w:rPr>
            </w:pPr>
          </w:p>
          <w:p>
            <w:pPr>
              <w:snapToGrid w:val="0"/>
              <w:spacing w:line="400" w:lineRule="exact"/>
              <w:ind w:firstLine="422"/>
              <w:rPr>
                <w:rFonts w:ascii="宋体" w:hAnsi="宋体"/>
                <w:color w:val="auto"/>
                <w:szCs w:val="21"/>
                <w:highlight w:val="none"/>
              </w:rPr>
            </w:pPr>
          </w:p>
          <w:p>
            <w:pPr>
              <w:snapToGrid w:val="0"/>
              <w:spacing w:line="400" w:lineRule="exact"/>
              <w:ind w:firstLine="422"/>
              <w:rPr>
                <w:rFonts w:ascii="宋体" w:hAnsi="宋体"/>
                <w:color w:val="auto"/>
                <w:szCs w:val="21"/>
                <w:highlight w:val="none"/>
              </w:rPr>
            </w:pPr>
            <w:r>
              <w:rPr>
                <w:rFonts w:hint="eastAsia" w:ascii="宋体" w:hAnsi="宋体"/>
                <w:color w:val="auto"/>
                <w:szCs w:val="21"/>
                <w:highlight w:val="none"/>
              </w:rPr>
              <w:t>年   月   日</w:t>
            </w:r>
          </w:p>
        </w:tc>
      </w:tr>
    </w:tbl>
    <w:p>
      <w:pPr>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注：售后服务事项填不下时可另加附页</w:t>
      </w:r>
    </w:p>
    <w:p>
      <w:pPr>
        <w:rPr>
          <w:color w:val="auto"/>
          <w:highlight w:val="none"/>
        </w:rPr>
      </w:pPr>
    </w:p>
    <w:p>
      <w:pPr>
        <w:rPr>
          <w:color w:val="auto"/>
          <w:highlight w:val="none"/>
        </w:rPr>
      </w:pPr>
    </w:p>
    <w:p>
      <w:pPr>
        <w:snapToGrid w:val="0"/>
        <w:spacing w:line="400" w:lineRule="exact"/>
        <w:jc w:val="center"/>
        <w:rPr>
          <w:rFonts w:ascii="宋体" w:hAnsi="宋体"/>
          <w:b/>
          <w:bCs/>
          <w:color w:val="auto"/>
          <w:szCs w:val="21"/>
          <w:highlight w:val="none"/>
        </w:rPr>
      </w:pPr>
    </w:p>
    <w:p>
      <w:pPr>
        <w:snapToGrid w:val="0"/>
        <w:spacing w:line="400" w:lineRule="exact"/>
        <w:jc w:val="center"/>
        <w:rPr>
          <w:rFonts w:ascii="宋体" w:hAnsi="宋体"/>
          <w:b/>
          <w:bCs/>
          <w:color w:val="auto"/>
          <w:sz w:val="32"/>
          <w:szCs w:val="32"/>
          <w:highlight w:val="none"/>
        </w:rPr>
      </w:pPr>
    </w:p>
    <w:p>
      <w:pPr>
        <w:snapToGrid w:val="0"/>
        <w:spacing w:line="400" w:lineRule="exact"/>
        <w:jc w:val="center"/>
        <w:rPr>
          <w:rFonts w:ascii="宋体" w:hAnsi="宋体"/>
          <w:b/>
          <w:bCs/>
          <w:color w:val="auto"/>
          <w:sz w:val="32"/>
          <w:szCs w:val="32"/>
          <w:highlight w:val="none"/>
        </w:rPr>
      </w:pPr>
    </w:p>
    <w:p>
      <w:pPr>
        <w:snapToGrid w:val="0"/>
        <w:spacing w:line="400" w:lineRule="exact"/>
        <w:rPr>
          <w:rFonts w:ascii="宋体" w:hAnsi="宋体"/>
          <w:b/>
          <w:bCs/>
          <w:color w:val="auto"/>
          <w:sz w:val="32"/>
          <w:szCs w:val="32"/>
          <w:highlight w:val="none"/>
        </w:rPr>
      </w:pPr>
    </w:p>
    <w:p>
      <w:pPr>
        <w:spacing w:line="500" w:lineRule="exact"/>
        <w:jc w:val="left"/>
        <w:rPr>
          <w:rFonts w:ascii="宋体" w:hAnsi="宋体"/>
          <w:b/>
          <w:color w:val="auto"/>
          <w:sz w:val="24"/>
          <w:highlight w:val="none"/>
        </w:rPr>
      </w:pPr>
      <w:r>
        <w:rPr>
          <w:rFonts w:hint="eastAsia" w:ascii="宋体" w:hAnsi="宋体"/>
          <w:b/>
          <w:color w:val="auto"/>
          <w:sz w:val="24"/>
          <w:highlight w:val="none"/>
        </w:rPr>
        <w:t>附件1</w:t>
      </w:r>
    </w:p>
    <w:p>
      <w:pPr>
        <w:widowControl/>
        <w:shd w:val="clear" w:color="auto" w:fill="FFFFFF"/>
        <w:spacing w:line="480" w:lineRule="atLeast"/>
        <w:jc w:val="center"/>
        <w:rPr>
          <w:rFonts w:ascii="仿宋" w:hAnsi="仿宋" w:eastAsia="仿宋" w:cs="宋体"/>
          <w:color w:val="auto"/>
          <w:kern w:val="0"/>
          <w:sz w:val="32"/>
          <w:szCs w:val="32"/>
          <w:highlight w:val="none"/>
        </w:rPr>
      </w:pPr>
      <w:r>
        <w:rPr>
          <w:rFonts w:hint="eastAsia" w:ascii="宋体" w:hAnsi="宋体" w:cs="黑体"/>
          <w:color w:val="auto"/>
          <w:kern w:val="0"/>
          <w:sz w:val="32"/>
          <w:szCs w:val="32"/>
          <w:highlight w:val="none"/>
        </w:rPr>
        <w:t>广西壮族自治区政府采购项目合同验收书</w:t>
      </w:r>
      <w:r>
        <w:rPr>
          <w:rFonts w:hint="eastAsia" w:ascii="宋体" w:hAnsi="宋体" w:cs="宋体"/>
          <w:color w:val="auto"/>
          <w:kern w:val="0"/>
          <w:sz w:val="32"/>
          <w:szCs w:val="32"/>
          <w:highlight w:val="none"/>
        </w:rPr>
        <w:t>（格式）</w:t>
      </w:r>
    </w:p>
    <w:p>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提供的货物（或工程、服务）进行了验收，验收情况如下：</w:t>
      </w:r>
    </w:p>
    <w:tbl>
      <w:tblPr>
        <w:tblStyle w:val="35"/>
        <w:tblW w:w="8930"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1913"/>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ascii="宋体" w:hAnsi="宋体" w:cs="宋体"/>
                <w:color w:val="auto"/>
                <w:kern w:val="0"/>
                <w:szCs w:val="21"/>
                <w:highlight w:val="none"/>
              </w:rPr>
              <w:t>验收方式：</w:t>
            </w:r>
          </w:p>
        </w:tc>
        <w:tc>
          <w:tcPr>
            <w:tcW w:w="5678"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ascii="宋体" w:hAnsi="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序号</w:t>
            </w:r>
          </w:p>
        </w:tc>
        <w:tc>
          <w:tcPr>
            <w:tcW w:w="192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货物型号规格</w:t>
            </w:r>
            <w:r>
              <w:rPr>
                <w:rFonts w:hint="eastAsia" w:ascii="宋体" w:hAnsi="宋体" w:cs="宋体"/>
                <w:color w:val="auto"/>
                <w:kern w:val="0"/>
                <w:szCs w:val="21"/>
                <w:highlight w:val="none"/>
              </w:rPr>
              <w:t>、</w:t>
            </w:r>
            <w:r>
              <w:rPr>
                <w:rFonts w:ascii="宋体" w:hAnsi="宋体" w:cs="宋体"/>
                <w:color w:val="auto"/>
                <w:kern w:val="0"/>
                <w:szCs w:val="21"/>
                <w:highlight w:val="none"/>
              </w:rPr>
              <w:t>标准及配置等（或服务内容.标准）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ascii="宋体" w:hAnsi="宋体" w:cs="宋体"/>
                <w:color w:val="auto"/>
                <w:kern w:val="0"/>
                <w:szCs w:val="21"/>
                <w:highlight w:val="none"/>
              </w:rPr>
              <w:t>数量</w:t>
            </w:r>
          </w:p>
        </w:tc>
        <w:tc>
          <w:tcPr>
            <w:tcW w:w="191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1913"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1913"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1913"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1913"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930" w:type="dxa"/>
            <w:gridSpan w:val="8"/>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ascii="宋体" w:hAnsi="宋体" w:cs="宋体"/>
                <w:color w:val="auto"/>
                <w:kern w:val="0"/>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ascii="宋体" w:hAnsi="宋体" w:cs="宋体"/>
                <w:color w:val="auto"/>
                <w:kern w:val="0"/>
                <w:szCs w:val="21"/>
                <w:highlight w:val="none"/>
              </w:rPr>
              <w:t>合同交货验收日期</w:t>
            </w:r>
          </w:p>
        </w:tc>
        <w:tc>
          <w:tcPr>
            <w:tcW w:w="259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259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验收具体内容</w:t>
            </w:r>
          </w:p>
        </w:tc>
        <w:tc>
          <w:tcPr>
            <w:tcW w:w="7599"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（应按采购合同.采购文件.</w:t>
            </w:r>
            <w:r>
              <w:rPr>
                <w:rFonts w:hint="eastAsia" w:ascii="宋体" w:hAnsi="宋体" w:cs="宋体"/>
                <w:color w:val="auto"/>
                <w:kern w:val="0"/>
                <w:szCs w:val="21"/>
                <w:highlight w:val="none"/>
              </w:rPr>
              <w:t>竞标</w:t>
            </w:r>
            <w:r>
              <w:rPr>
                <w:rFonts w:ascii="宋体" w:hAnsi="宋体" w:cs="宋体"/>
                <w:color w:val="auto"/>
                <w:kern w:val="0"/>
                <w:szCs w:val="21"/>
                <w:highlight w:val="none"/>
              </w:rPr>
              <w:t>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验收小组意见</w:t>
            </w:r>
          </w:p>
        </w:tc>
        <w:tc>
          <w:tcPr>
            <w:tcW w:w="7599"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Cs w:val="21"/>
                <w:highlight w:val="none"/>
              </w:rPr>
            </w:pPr>
          </w:p>
        </w:tc>
        <w:tc>
          <w:tcPr>
            <w:tcW w:w="7599"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ascii="宋体" w:hAnsi="宋体" w:cs="宋体"/>
                <w:color w:val="auto"/>
                <w:kern w:val="0"/>
                <w:szCs w:val="21"/>
                <w:highlight w:val="none"/>
              </w:rPr>
            </w:pPr>
            <w:r>
              <w:rPr>
                <w:rFonts w:ascii="宋体" w:hAnsi="宋体" w:cs="宋体"/>
                <w:color w:val="auto"/>
                <w:kern w:val="0"/>
                <w:szCs w:val="21"/>
                <w:highlight w:val="none"/>
              </w:rPr>
              <w:t>有异议的意见和说明理由：</w:t>
            </w:r>
          </w:p>
          <w:p>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930"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930"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监督人员或其他相关人员签字：</w:t>
            </w:r>
          </w:p>
          <w:p>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ascii="宋体" w:hAnsi="宋体" w:cs="宋体"/>
                <w:color w:val="auto"/>
                <w:kern w:val="0"/>
                <w:szCs w:val="21"/>
                <w:highlight w:val="none"/>
              </w:rPr>
              <w:t>或受邀机构的意见（盖章）：</w:t>
            </w:r>
          </w:p>
        </w:tc>
      </w:tr>
      <w:tr>
        <w:tblPrEx>
          <w:tblCellMar>
            <w:top w:w="0" w:type="dxa"/>
            <w:left w:w="0" w:type="dxa"/>
            <w:bottom w:w="0" w:type="dxa"/>
            <w:right w:w="0" w:type="dxa"/>
          </w:tblCellMar>
        </w:tblPrEx>
        <w:trPr>
          <w:trHeight w:val="1879"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ascii="宋体" w:hAnsi="宋体" w:cs="宋体"/>
                <w:color w:val="auto"/>
                <w:kern w:val="0"/>
                <w:szCs w:val="21"/>
                <w:highlight w:val="none"/>
              </w:rPr>
              <w:t>中标或者成交供应商负责人签字或盖章：</w:t>
            </w:r>
          </w:p>
          <w:p>
            <w:pPr>
              <w:widowControl/>
              <w:spacing w:before="100" w:beforeAutospacing="1" w:after="100" w:afterAutospacing="1" w:line="320" w:lineRule="atLeast"/>
              <w:jc w:val="left"/>
              <w:rPr>
                <w:rFonts w:ascii="宋体" w:hAnsi="宋体" w:cs="宋体"/>
                <w:color w:val="auto"/>
                <w:kern w:val="0"/>
                <w:szCs w:val="21"/>
                <w:highlight w:val="none"/>
              </w:rPr>
            </w:pPr>
          </w:p>
          <w:p>
            <w:pPr>
              <w:widowControl/>
              <w:spacing w:before="100" w:beforeAutospacing="1" w:after="100" w:afterAutospacing="1" w:line="320" w:lineRule="atLeast"/>
              <w:ind w:firstLine="315" w:firstLineChars="150"/>
              <w:jc w:val="left"/>
              <w:rPr>
                <w:rFonts w:ascii="宋体" w:hAnsi="宋体" w:cs="宋体"/>
                <w:color w:val="auto"/>
                <w:kern w:val="0"/>
                <w:szCs w:val="21"/>
                <w:highlight w:val="none"/>
              </w:rPr>
            </w:pPr>
            <w:r>
              <w:rPr>
                <w:rFonts w:ascii="宋体" w:hAnsi="宋体" w:cs="宋体"/>
                <w:color w:val="auto"/>
                <w:kern w:val="0"/>
                <w:szCs w:val="21"/>
                <w:highlight w:val="none"/>
              </w:rPr>
              <w:t>联系电话： 年 月 日</w:t>
            </w:r>
          </w:p>
        </w:tc>
        <w:tc>
          <w:tcPr>
            <w:tcW w:w="4778"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315" w:firstLineChars="150"/>
              <w:jc w:val="left"/>
              <w:rPr>
                <w:rFonts w:ascii="宋体" w:hAnsi="宋体" w:cs="宋体"/>
                <w:color w:val="auto"/>
                <w:kern w:val="0"/>
                <w:szCs w:val="21"/>
                <w:highlight w:val="none"/>
              </w:rPr>
            </w:pPr>
            <w:r>
              <w:rPr>
                <w:rFonts w:ascii="宋体" w:hAnsi="宋体" w:cs="宋体"/>
                <w:color w:val="auto"/>
                <w:kern w:val="0"/>
                <w:szCs w:val="21"/>
                <w:highlight w:val="none"/>
              </w:rPr>
              <w:t>采购人或受托机构的意见（盖章）：</w:t>
            </w:r>
          </w:p>
          <w:p>
            <w:pPr>
              <w:widowControl/>
              <w:spacing w:before="100" w:beforeAutospacing="1" w:after="100" w:afterAutospacing="1" w:line="320" w:lineRule="atLeast"/>
              <w:ind w:firstLine="315" w:firstLineChars="150"/>
              <w:jc w:val="left"/>
              <w:rPr>
                <w:rFonts w:ascii="宋体" w:hAnsi="宋体" w:cs="宋体"/>
                <w:color w:val="auto"/>
                <w:kern w:val="0"/>
                <w:szCs w:val="21"/>
                <w:highlight w:val="none"/>
              </w:rPr>
            </w:pPr>
          </w:p>
          <w:p>
            <w:pPr>
              <w:widowControl/>
              <w:spacing w:before="100" w:beforeAutospacing="1" w:after="100" w:afterAutospacing="1" w:line="320" w:lineRule="atLeast"/>
              <w:ind w:firstLine="525" w:firstLineChars="250"/>
              <w:jc w:val="left"/>
              <w:rPr>
                <w:rFonts w:ascii="宋体" w:hAnsi="宋体" w:cs="宋体"/>
                <w:color w:val="auto"/>
                <w:kern w:val="0"/>
                <w:szCs w:val="21"/>
                <w:highlight w:val="none"/>
              </w:rPr>
            </w:pPr>
            <w:r>
              <w:rPr>
                <w:rFonts w:ascii="宋体" w:hAnsi="宋体" w:cs="宋体"/>
                <w:color w:val="auto"/>
                <w:kern w:val="0"/>
                <w:szCs w:val="21"/>
                <w:highlight w:val="none"/>
              </w:rPr>
              <w:t>联系电话： 年 月 日</w:t>
            </w:r>
          </w:p>
        </w:tc>
      </w:tr>
    </w:tbl>
    <w:p>
      <w:pPr>
        <w:pStyle w:val="17"/>
        <w:rPr>
          <w:color w:val="auto"/>
          <w:highlight w:val="none"/>
        </w:rPr>
      </w:pPr>
    </w:p>
    <w:p>
      <w:pPr>
        <w:pStyle w:val="3"/>
        <w:spacing w:line="240" w:lineRule="atLeast"/>
        <w:jc w:val="center"/>
        <w:rPr>
          <w:color w:val="auto"/>
          <w:highlight w:val="none"/>
        </w:rPr>
      </w:pPr>
      <w:bookmarkStart w:id="49" w:name="_Toc14200"/>
      <w:r>
        <w:rPr>
          <w:rFonts w:hint="eastAsia"/>
          <w:color w:val="auto"/>
          <w:sz w:val="36"/>
          <w:szCs w:val="36"/>
          <w:highlight w:val="none"/>
        </w:rPr>
        <w:t>第六章谈判响应文件基本格式</w:t>
      </w:r>
      <w:bookmarkEnd w:id="49"/>
    </w:p>
    <w:p>
      <w:pPr>
        <w:widowControl/>
        <w:jc w:val="left"/>
        <w:rPr>
          <w:rFonts w:ascii="宋体" w:hAnsi="宋体"/>
          <w:color w:val="auto"/>
          <w:sz w:val="28"/>
          <w:szCs w:val="28"/>
          <w:highlight w:val="none"/>
        </w:rPr>
      </w:pPr>
      <w:r>
        <w:rPr>
          <w:rFonts w:hint="eastAsia" w:ascii="仿宋_GB2312" w:hAnsi="宋体" w:eastAsia="仿宋_GB2312"/>
          <w:color w:val="auto"/>
          <w:sz w:val="28"/>
          <w:szCs w:val="28"/>
          <w:highlight w:val="none"/>
        </w:rPr>
        <w:t>封面：</w:t>
      </w:r>
    </w:p>
    <w:p>
      <w:pPr>
        <w:spacing w:line="500" w:lineRule="exact"/>
        <w:jc w:val="center"/>
        <w:rPr>
          <w:rFonts w:ascii="仿宋_GB2312" w:hAnsi="宋体" w:eastAsia="仿宋_GB2312"/>
          <w:color w:val="auto"/>
          <w:sz w:val="28"/>
          <w:szCs w:val="28"/>
          <w:highlight w:val="none"/>
        </w:rPr>
      </w:pPr>
    </w:p>
    <w:p>
      <w:pPr>
        <w:spacing w:line="500" w:lineRule="exact"/>
        <w:jc w:val="center"/>
        <w:rPr>
          <w:rFonts w:ascii="仿宋_GB2312" w:hAnsi="宋体" w:eastAsia="仿宋_GB2312"/>
          <w:color w:val="auto"/>
          <w:sz w:val="28"/>
          <w:szCs w:val="28"/>
          <w:highlight w:val="none"/>
        </w:rPr>
      </w:pPr>
    </w:p>
    <w:p>
      <w:pPr>
        <w:spacing w:line="800" w:lineRule="exact"/>
        <w:jc w:val="center"/>
        <w:rPr>
          <w:rFonts w:ascii="仿宋_GB2312" w:hAnsi="宋体" w:eastAsia="仿宋_GB2312"/>
          <w:color w:val="auto"/>
          <w:sz w:val="28"/>
          <w:szCs w:val="28"/>
          <w:highlight w:val="none"/>
        </w:rPr>
      </w:pPr>
    </w:p>
    <w:p>
      <w:pPr>
        <w:spacing w:line="800" w:lineRule="exact"/>
        <w:jc w:val="center"/>
        <w:rPr>
          <w:rFonts w:ascii="仿宋_GB2312" w:hAnsi="宋体" w:eastAsia="仿宋_GB2312"/>
          <w:b/>
          <w:color w:val="auto"/>
          <w:sz w:val="72"/>
          <w:szCs w:val="72"/>
          <w:highlight w:val="none"/>
        </w:rPr>
      </w:pPr>
      <w:r>
        <w:rPr>
          <w:rFonts w:hint="eastAsia" w:ascii="仿宋_GB2312" w:hAnsi="宋体" w:eastAsia="仿宋_GB2312"/>
          <w:b/>
          <w:color w:val="auto"/>
          <w:sz w:val="72"/>
          <w:szCs w:val="72"/>
          <w:highlight w:val="none"/>
        </w:rPr>
        <w:t>竞争性</w:t>
      </w:r>
      <w:r>
        <w:rPr>
          <w:rFonts w:ascii="仿宋_GB2312" w:hAnsi="宋体" w:eastAsia="仿宋_GB2312"/>
          <w:b/>
          <w:color w:val="auto"/>
          <w:sz w:val="72"/>
          <w:szCs w:val="72"/>
          <w:highlight w:val="none"/>
        </w:rPr>
        <w:t>谈判响应</w:t>
      </w:r>
      <w:r>
        <w:rPr>
          <w:rFonts w:hint="eastAsia" w:ascii="仿宋_GB2312" w:hAnsi="宋体" w:eastAsia="仿宋_GB2312"/>
          <w:b/>
          <w:color w:val="auto"/>
          <w:sz w:val="72"/>
          <w:szCs w:val="72"/>
          <w:highlight w:val="none"/>
        </w:rPr>
        <w:t>文件</w:t>
      </w:r>
    </w:p>
    <w:p>
      <w:pPr>
        <w:spacing w:line="500" w:lineRule="exact"/>
        <w:jc w:val="center"/>
        <w:rPr>
          <w:rFonts w:ascii="仿宋_GB2312" w:hAnsi="宋体" w:eastAsia="仿宋_GB2312"/>
          <w:color w:val="auto"/>
          <w:sz w:val="36"/>
          <w:szCs w:val="36"/>
          <w:highlight w:val="none"/>
        </w:rPr>
      </w:pPr>
      <w:r>
        <w:rPr>
          <w:rFonts w:hint="eastAsia" w:ascii="仿宋_GB2312" w:hAnsi="宋体" w:eastAsia="仿宋_GB2312"/>
          <w:color w:val="auto"/>
          <w:sz w:val="36"/>
          <w:szCs w:val="36"/>
          <w:highlight w:val="none"/>
        </w:rPr>
        <w:t>（</w:t>
      </w:r>
      <w:r>
        <w:rPr>
          <w:rFonts w:hint="eastAsia" w:ascii="宋体" w:hAnsi="宋体"/>
          <w:color w:val="auto"/>
          <w:sz w:val="36"/>
          <w:szCs w:val="36"/>
          <w:highlight w:val="none"/>
        </w:rPr>
        <w:t>价格文件/资</w:t>
      </w:r>
      <w:r>
        <w:rPr>
          <w:rFonts w:ascii="宋体" w:hAnsi="宋体"/>
          <w:color w:val="auto"/>
          <w:sz w:val="36"/>
          <w:szCs w:val="36"/>
          <w:highlight w:val="none"/>
        </w:rPr>
        <w:t>格和</w:t>
      </w:r>
      <w:r>
        <w:rPr>
          <w:rFonts w:hint="eastAsia" w:ascii="宋体" w:hAnsi="宋体"/>
          <w:color w:val="auto"/>
          <w:sz w:val="36"/>
          <w:szCs w:val="36"/>
          <w:highlight w:val="none"/>
        </w:rPr>
        <w:t>商务/技术文件</w:t>
      </w:r>
      <w:r>
        <w:rPr>
          <w:rFonts w:hint="eastAsia" w:ascii="仿宋_GB2312" w:hAnsi="宋体" w:eastAsia="仿宋_GB2312"/>
          <w:color w:val="auto"/>
          <w:sz w:val="36"/>
          <w:szCs w:val="36"/>
          <w:highlight w:val="none"/>
        </w:rPr>
        <w:t>）</w:t>
      </w:r>
    </w:p>
    <w:p>
      <w:pPr>
        <w:spacing w:line="500" w:lineRule="exact"/>
        <w:jc w:val="center"/>
        <w:rPr>
          <w:rFonts w:ascii="仿宋_GB2312" w:hAnsi="宋体" w:eastAsia="仿宋_GB2312"/>
          <w:color w:val="auto"/>
          <w:sz w:val="36"/>
          <w:szCs w:val="36"/>
          <w:highlight w:val="none"/>
        </w:rPr>
      </w:pPr>
      <w:r>
        <w:rPr>
          <w:rFonts w:hint="eastAsia" w:ascii="仿宋_GB2312" w:hAnsi="宋体" w:eastAsia="仿宋_GB2312"/>
          <w:color w:val="auto"/>
          <w:sz w:val="36"/>
          <w:szCs w:val="36"/>
          <w:highlight w:val="none"/>
        </w:rPr>
        <w:t>（正</w:t>
      </w:r>
      <w:r>
        <w:rPr>
          <w:rFonts w:ascii="仿宋_GB2312" w:hAnsi="宋体" w:eastAsia="仿宋_GB2312"/>
          <w:color w:val="auto"/>
          <w:sz w:val="36"/>
          <w:szCs w:val="36"/>
          <w:highlight w:val="none"/>
        </w:rPr>
        <w:t>本/</w:t>
      </w:r>
      <w:r>
        <w:rPr>
          <w:rFonts w:hint="eastAsia" w:ascii="仿宋_GB2312" w:hAnsi="宋体" w:eastAsia="仿宋_GB2312"/>
          <w:color w:val="auto"/>
          <w:sz w:val="36"/>
          <w:szCs w:val="36"/>
          <w:highlight w:val="none"/>
        </w:rPr>
        <w:t>副</w:t>
      </w:r>
      <w:r>
        <w:rPr>
          <w:rFonts w:ascii="仿宋_GB2312" w:hAnsi="宋体" w:eastAsia="仿宋_GB2312"/>
          <w:color w:val="auto"/>
          <w:sz w:val="36"/>
          <w:szCs w:val="36"/>
          <w:highlight w:val="none"/>
        </w:rPr>
        <w:t>本）</w:t>
      </w:r>
    </w:p>
    <w:p>
      <w:pPr>
        <w:spacing w:line="500" w:lineRule="exact"/>
        <w:jc w:val="center"/>
        <w:rPr>
          <w:rFonts w:ascii="仿宋_GB2312" w:hAnsi="宋体" w:eastAsia="仿宋_GB2312"/>
          <w:color w:val="auto"/>
          <w:sz w:val="28"/>
          <w:szCs w:val="28"/>
          <w:highlight w:val="none"/>
        </w:rPr>
      </w:pPr>
    </w:p>
    <w:p>
      <w:pPr>
        <w:spacing w:line="500" w:lineRule="exact"/>
        <w:jc w:val="center"/>
        <w:rPr>
          <w:rFonts w:ascii="仿宋_GB2312" w:hAnsi="宋体" w:eastAsia="仿宋_GB2312"/>
          <w:color w:val="auto"/>
          <w:sz w:val="28"/>
          <w:szCs w:val="28"/>
          <w:highlight w:val="none"/>
        </w:rPr>
      </w:pPr>
    </w:p>
    <w:p>
      <w:pPr>
        <w:spacing w:line="740" w:lineRule="exact"/>
        <w:ind w:left="1438" w:leftChars="685"/>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 xml:space="preserve">    采购项目名称：</w:t>
      </w:r>
    </w:p>
    <w:p>
      <w:pPr>
        <w:tabs>
          <w:tab w:val="left" w:pos="3240"/>
        </w:tabs>
        <w:spacing w:line="740" w:lineRule="exact"/>
        <w:ind w:left="1438" w:leftChars="685" w:firstLine="560" w:firstLineChars="200"/>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采购项目编号：</w:t>
      </w:r>
    </w:p>
    <w:p>
      <w:pPr>
        <w:tabs>
          <w:tab w:val="left" w:pos="3240"/>
        </w:tabs>
        <w:spacing w:line="740" w:lineRule="exact"/>
        <w:ind w:left="1438" w:leftChars="685" w:firstLine="560" w:firstLineChars="200"/>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供应商</w:t>
      </w:r>
      <w:r>
        <w:rPr>
          <w:rFonts w:ascii="仿宋_GB2312" w:hAnsi="宋体" w:eastAsia="仿宋_GB2312"/>
          <w:color w:val="auto"/>
          <w:sz w:val="28"/>
          <w:szCs w:val="28"/>
          <w:highlight w:val="none"/>
        </w:rPr>
        <w:t>名称：</w:t>
      </w:r>
    </w:p>
    <w:p>
      <w:pPr>
        <w:tabs>
          <w:tab w:val="left" w:pos="3240"/>
        </w:tabs>
        <w:spacing w:line="740" w:lineRule="exact"/>
        <w:ind w:left="1438" w:leftChars="685"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法</w:t>
      </w:r>
      <w:r>
        <w:rPr>
          <w:rFonts w:ascii="仿宋_GB2312" w:hAnsi="宋体" w:eastAsia="仿宋_GB2312"/>
          <w:color w:val="auto"/>
          <w:sz w:val="28"/>
          <w:szCs w:val="28"/>
          <w:highlight w:val="none"/>
        </w:rPr>
        <w:t>定代表人或委托代理人签字：</w:t>
      </w:r>
    </w:p>
    <w:p>
      <w:pPr>
        <w:pStyle w:val="17"/>
        <w:spacing w:line="740" w:lineRule="exact"/>
        <w:ind w:firstLine="1960" w:firstLineChars="700"/>
        <w:jc w:val="both"/>
        <w:rPr>
          <w:rFonts w:ascii="仿宋_GB2312" w:eastAsia="仿宋_GB2312"/>
          <w:color w:val="auto"/>
          <w:sz w:val="28"/>
          <w:szCs w:val="28"/>
          <w:highlight w:val="none"/>
        </w:rPr>
      </w:pPr>
      <w:r>
        <w:rPr>
          <w:rFonts w:hint="eastAsia" w:ascii="仿宋_GB2312" w:eastAsia="仿宋_GB2312"/>
          <w:color w:val="auto"/>
          <w:sz w:val="28"/>
          <w:szCs w:val="28"/>
          <w:highlight w:val="none"/>
        </w:rPr>
        <w:t>供应商地址：</w:t>
      </w:r>
    </w:p>
    <w:p>
      <w:pPr>
        <w:tabs>
          <w:tab w:val="left" w:pos="2625"/>
        </w:tabs>
        <w:spacing w:line="500" w:lineRule="exact"/>
        <w:jc w:val="center"/>
        <w:rPr>
          <w:rFonts w:ascii="仿宋_GB2312" w:hAnsi="宋体" w:eastAsia="仿宋_GB2312"/>
          <w:color w:val="auto"/>
          <w:sz w:val="28"/>
          <w:szCs w:val="28"/>
          <w:highlight w:val="none"/>
        </w:rPr>
      </w:pPr>
    </w:p>
    <w:p>
      <w:pPr>
        <w:tabs>
          <w:tab w:val="left" w:pos="2625"/>
        </w:tabs>
        <w:spacing w:line="500" w:lineRule="exact"/>
        <w:jc w:val="center"/>
        <w:rPr>
          <w:rFonts w:ascii="仿宋_GB2312" w:hAnsi="宋体" w:eastAsia="仿宋_GB2312"/>
          <w:color w:val="auto"/>
          <w:sz w:val="28"/>
          <w:szCs w:val="28"/>
          <w:highlight w:val="none"/>
        </w:rPr>
      </w:pPr>
    </w:p>
    <w:p>
      <w:pPr>
        <w:tabs>
          <w:tab w:val="left" w:pos="2625"/>
        </w:tabs>
        <w:spacing w:line="500" w:lineRule="exact"/>
        <w:jc w:val="center"/>
        <w:rPr>
          <w:rFonts w:ascii="仿宋_GB2312" w:hAnsi="宋体" w:eastAsia="仿宋_GB2312"/>
          <w:color w:val="auto"/>
          <w:sz w:val="28"/>
          <w:szCs w:val="28"/>
          <w:highlight w:val="none"/>
        </w:rPr>
      </w:pPr>
    </w:p>
    <w:p>
      <w:pPr>
        <w:tabs>
          <w:tab w:val="left" w:pos="2625"/>
        </w:tabs>
        <w:spacing w:line="500" w:lineRule="exact"/>
        <w:jc w:val="center"/>
        <w:rPr>
          <w:rFonts w:ascii="仿宋_GB2312" w:hAnsi="宋体" w:eastAsia="仿宋_GB2312"/>
          <w:color w:val="auto"/>
          <w:sz w:val="28"/>
          <w:szCs w:val="28"/>
          <w:highlight w:val="none"/>
        </w:rPr>
      </w:pPr>
    </w:p>
    <w:p>
      <w:pPr>
        <w:spacing w:line="50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（供应商名称）</w:t>
      </w:r>
      <w:r>
        <w:rPr>
          <w:rFonts w:ascii="仿宋_GB2312" w:hAnsi="宋体" w:eastAsia="仿宋_GB2312"/>
          <w:color w:val="auto"/>
          <w:sz w:val="28"/>
          <w:szCs w:val="28"/>
          <w:highlight w:val="none"/>
        </w:rPr>
        <w:t>（盖章）</w:t>
      </w:r>
    </w:p>
    <w:p>
      <w:pPr>
        <w:spacing w:line="500" w:lineRule="exact"/>
        <w:ind w:firstLine="6440" w:firstLineChars="23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年  月  日</w:t>
      </w:r>
    </w:p>
    <w:p>
      <w:pPr>
        <w:spacing w:line="320" w:lineRule="exact"/>
        <w:rPr>
          <w:rFonts w:ascii="宋体" w:hAnsi="宋体"/>
          <w:color w:val="auto"/>
          <w:szCs w:val="21"/>
          <w:highlight w:val="none"/>
        </w:rPr>
      </w:pPr>
    </w:p>
    <w:p>
      <w:pPr>
        <w:spacing w:line="400" w:lineRule="exact"/>
        <w:jc w:val="center"/>
        <w:rPr>
          <w:rFonts w:ascii="宋体" w:hAnsi="宋体"/>
          <w:b/>
          <w:color w:val="auto"/>
          <w:sz w:val="32"/>
          <w:szCs w:val="32"/>
          <w:highlight w:val="none"/>
        </w:rPr>
      </w:pPr>
      <w:r>
        <w:rPr>
          <w:rFonts w:hint="eastAsia" w:ascii="宋体" w:hAnsi="宋体"/>
          <w:color w:val="auto"/>
          <w:szCs w:val="21"/>
          <w:highlight w:val="none"/>
        </w:rPr>
        <w:br w:type="page"/>
      </w:r>
      <w:r>
        <w:rPr>
          <w:rFonts w:hint="eastAsia" w:ascii="宋体" w:hAnsi="宋体"/>
          <w:b/>
          <w:color w:val="auto"/>
          <w:sz w:val="32"/>
          <w:szCs w:val="32"/>
          <w:highlight w:val="none"/>
        </w:rPr>
        <w:t>目   录</w:t>
      </w:r>
    </w:p>
    <w:p>
      <w:pPr>
        <w:spacing w:line="380" w:lineRule="exact"/>
        <w:ind w:firstLine="315" w:firstLineChars="150"/>
        <w:rPr>
          <w:rFonts w:ascii="宋体" w:hAnsi="宋体"/>
          <w:color w:val="auto"/>
          <w:szCs w:val="21"/>
          <w:highlight w:val="none"/>
        </w:rPr>
      </w:pPr>
      <w:r>
        <w:rPr>
          <w:rFonts w:hint="eastAsia" w:ascii="宋体" w:hAnsi="宋体"/>
          <w:color w:val="auto"/>
          <w:szCs w:val="21"/>
          <w:highlight w:val="none"/>
        </w:rPr>
        <w:t>一、价格文件</w:t>
      </w:r>
    </w:p>
    <w:p>
      <w:pPr>
        <w:spacing w:line="380" w:lineRule="exact"/>
        <w:ind w:firstLine="317" w:firstLineChars="151"/>
        <w:rPr>
          <w:rFonts w:ascii="宋体" w:hAnsi="宋体"/>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谈判书</w:t>
      </w:r>
    </w:p>
    <w:p>
      <w:pPr>
        <w:spacing w:line="380" w:lineRule="exact"/>
        <w:ind w:firstLine="317" w:firstLineChars="151"/>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谈判报价表</w:t>
      </w:r>
    </w:p>
    <w:p>
      <w:pPr>
        <w:spacing w:line="380" w:lineRule="exact"/>
        <w:ind w:firstLine="317" w:firstLineChars="151"/>
        <w:rPr>
          <w:rFonts w:ascii="宋体" w:hAnsi="宋体"/>
          <w:b/>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供应商符合中小企业划型标准的，按《政府采购促进中小企业发展暂行办法》（财库〔2011〕181号）要求，出具</w:t>
      </w:r>
      <w:r>
        <w:rPr>
          <w:rFonts w:ascii="宋体" w:hAnsi="宋体"/>
          <w:color w:val="auto"/>
          <w:szCs w:val="21"/>
          <w:highlight w:val="none"/>
        </w:rPr>
        <w:t>中小企业声明函</w:t>
      </w:r>
      <w:r>
        <w:rPr>
          <w:rFonts w:hint="eastAsia" w:ascii="宋体" w:hAnsi="宋体"/>
          <w:color w:val="auto"/>
          <w:szCs w:val="21"/>
          <w:highlight w:val="none"/>
        </w:rPr>
        <w:t>。</w:t>
      </w:r>
    </w:p>
    <w:p>
      <w:pPr>
        <w:spacing w:line="380" w:lineRule="exact"/>
        <w:ind w:firstLine="317" w:firstLineChars="151"/>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供应商属于</w:t>
      </w:r>
      <w:r>
        <w:rPr>
          <w:rFonts w:hint="eastAsia" w:hAnsi="宋体" w:cs="宋体"/>
          <w:color w:val="auto"/>
          <w:szCs w:val="21"/>
          <w:highlight w:val="none"/>
        </w:rPr>
        <w:t>监</w:t>
      </w:r>
      <w:r>
        <w:rPr>
          <w:rFonts w:hint="eastAsia" w:hAnsi="宋体"/>
          <w:color w:val="auto"/>
          <w:szCs w:val="21"/>
          <w:highlight w:val="none"/>
        </w:rPr>
        <w:t>狱企业的，应提供由省级以上监狱管理局.戒毒管理局（含新疆生产建设兵团）出具的属于监狱企业的证明文件。</w:t>
      </w:r>
    </w:p>
    <w:p>
      <w:pPr>
        <w:spacing w:line="380" w:lineRule="exact"/>
        <w:ind w:firstLine="317" w:firstLineChars="151"/>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供应商属于残疾人福利性单位，按《三部门联合发布关于促进残疾人就业政府采购政策的通知》（财库〔2017〕141号）要求，提供《残疾人福利性单位声明函》。</w:t>
      </w:r>
    </w:p>
    <w:p>
      <w:pPr>
        <w:spacing w:line="380" w:lineRule="exact"/>
        <w:ind w:firstLine="317" w:firstLineChars="151"/>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供应商针对报价需要说明的其他文件和说明（格式自拟）</w:t>
      </w:r>
    </w:p>
    <w:p>
      <w:pPr>
        <w:spacing w:line="380" w:lineRule="exact"/>
        <w:ind w:firstLine="315" w:firstLineChars="150"/>
        <w:rPr>
          <w:rFonts w:ascii="宋体" w:hAnsi="宋体"/>
          <w:color w:val="auto"/>
          <w:szCs w:val="21"/>
          <w:highlight w:val="none"/>
        </w:rPr>
      </w:pPr>
      <w:r>
        <w:rPr>
          <w:rFonts w:hint="eastAsia" w:ascii="宋体" w:hAnsi="宋体"/>
          <w:color w:val="auto"/>
          <w:szCs w:val="21"/>
          <w:highlight w:val="none"/>
        </w:rPr>
        <w:t>二、资格和商务文件</w:t>
      </w:r>
    </w:p>
    <w:p>
      <w:pPr>
        <w:spacing w:line="380" w:lineRule="exact"/>
        <w:ind w:left="-27" w:leftChars="-13" w:firstLine="317" w:firstLineChars="151"/>
        <w:jc w:val="left"/>
        <w:rPr>
          <w:rFonts w:hAnsi="宋体"/>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s="Arial"/>
          <w:color w:val="auto"/>
          <w:szCs w:val="21"/>
          <w:highlight w:val="none"/>
        </w:rPr>
        <w:t>供应商</w:t>
      </w:r>
      <w:r>
        <w:rPr>
          <w:rFonts w:hint="eastAsia" w:ascii="宋体" w:hAnsi="宋体"/>
          <w:color w:val="auto"/>
          <w:szCs w:val="21"/>
          <w:highlight w:val="none"/>
        </w:rPr>
        <w:t>有效的营业执照副本复印件；</w:t>
      </w:r>
    </w:p>
    <w:p>
      <w:pPr>
        <w:spacing w:line="380" w:lineRule="exact"/>
        <w:ind w:firstLine="315" w:firstLineChars="150"/>
        <w:jc w:val="left"/>
        <w:rPr>
          <w:rFonts w:ascii="宋体" w:hAnsi="宋体"/>
          <w:color w:val="auto"/>
          <w:szCs w:val="21"/>
          <w:highlight w:val="none"/>
        </w:rPr>
      </w:pPr>
      <w:r>
        <w:rPr>
          <w:rFonts w:hint="eastAsia" w:ascii="宋体" w:hAnsi="宋体"/>
          <w:color w:val="auto"/>
          <w:szCs w:val="21"/>
          <w:highlight w:val="none"/>
        </w:rPr>
        <w:t>2.法定代表人身份证正反</w:t>
      </w:r>
      <w:r>
        <w:rPr>
          <w:rFonts w:ascii="宋体" w:hAnsi="宋体"/>
          <w:color w:val="auto"/>
          <w:szCs w:val="21"/>
          <w:highlight w:val="none"/>
        </w:rPr>
        <w:t>面</w:t>
      </w:r>
      <w:r>
        <w:rPr>
          <w:rFonts w:hint="eastAsia" w:ascii="宋体" w:hAnsi="宋体"/>
          <w:color w:val="auto"/>
          <w:szCs w:val="21"/>
          <w:highlight w:val="none"/>
        </w:rPr>
        <w:t>复印件；</w:t>
      </w:r>
    </w:p>
    <w:p>
      <w:pPr>
        <w:spacing w:line="380" w:lineRule="exact"/>
        <w:ind w:left="-27" w:leftChars="-13" w:firstLine="317" w:firstLineChars="151"/>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法定代表人身份证明书原件（法定代表人参</w:t>
      </w:r>
      <w:r>
        <w:rPr>
          <w:rFonts w:ascii="宋体" w:hAnsi="宋体"/>
          <w:color w:val="auto"/>
          <w:szCs w:val="21"/>
          <w:highlight w:val="none"/>
        </w:rPr>
        <w:t>加竞标会</w:t>
      </w:r>
      <w:r>
        <w:rPr>
          <w:rFonts w:hint="eastAsia" w:ascii="宋体" w:hAnsi="宋体"/>
          <w:color w:val="auto"/>
          <w:szCs w:val="21"/>
          <w:highlight w:val="none"/>
        </w:rPr>
        <w:t>签</w:t>
      </w:r>
      <w:r>
        <w:rPr>
          <w:rFonts w:ascii="宋体" w:hAnsi="宋体"/>
          <w:color w:val="auto"/>
          <w:szCs w:val="21"/>
          <w:highlight w:val="none"/>
        </w:rPr>
        <w:t>署响应文件</w:t>
      </w:r>
      <w:r>
        <w:rPr>
          <w:rFonts w:hint="eastAsia" w:ascii="宋体" w:hAnsi="宋体"/>
          <w:color w:val="auto"/>
          <w:szCs w:val="21"/>
          <w:highlight w:val="none"/>
        </w:rPr>
        <w:t>时提供）或者法定代表人授权书原件和委托代理人身份证正</w:t>
      </w:r>
      <w:r>
        <w:rPr>
          <w:rFonts w:ascii="宋体" w:hAnsi="宋体"/>
          <w:color w:val="auto"/>
          <w:szCs w:val="21"/>
          <w:highlight w:val="none"/>
        </w:rPr>
        <w:t>反面</w:t>
      </w:r>
      <w:r>
        <w:rPr>
          <w:rFonts w:hint="eastAsia" w:ascii="宋体" w:hAnsi="宋体"/>
          <w:color w:val="auto"/>
          <w:szCs w:val="21"/>
          <w:highlight w:val="none"/>
        </w:rPr>
        <w:t>复印件（委托代理人参</w:t>
      </w:r>
      <w:r>
        <w:rPr>
          <w:rFonts w:ascii="宋体" w:hAnsi="宋体"/>
          <w:color w:val="auto"/>
          <w:szCs w:val="21"/>
          <w:highlight w:val="none"/>
        </w:rPr>
        <w:t>加竞标会</w:t>
      </w:r>
      <w:r>
        <w:rPr>
          <w:rFonts w:hint="eastAsia" w:ascii="宋体" w:hAnsi="宋体"/>
          <w:color w:val="auto"/>
          <w:szCs w:val="21"/>
          <w:highlight w:val="none"/>
        </w:rPr>
        <w:t>签</w:t>
      </w:r>
      <w:r>
        <w:rPr>
          <w:rFonts w:ascii="宋体" w:hAnsi="宋体"/>
          <w:color w:val="auto"/>
          <w:szCs w:val="21"/>
          <w:highlight w:val="none"/>
        </w:rPr>
        <w:t>署响应文件</w:t>
      </w:r>
      <w:r>
        <w:rPr>
          <w:rFonts w:hint="eastAsia" w:ascii="宋体" w:hAnsi="宋体"/>
          <w:color w:val="auto"/>
          <w:szCs w:val="21"/>
          <w:highlight w:val="none"/>
        </w:rPr>
        <w:t>时提供）”；</w:t>
      </w:r>
    </w:p>
    <w:p>
      <w:pPr>
        <w:snapToGrid w:val="0"/>
        <w:ind w:firstLine="420" w:firstLineChars="200"/>
        <w:jc w:val="left"/>
        <w:rPr>
          <w:rFonts w:ascii="宋体" w:hAnsi="宋体"/>
          <w:color w:val="auto"/>
          <w:highlight w:val="none"/>
        </w:rPr>
      </w:pPr>
      <w:r>
        <w:rPr>
          <w:rFonts w:hint="eastAsia" w:ascii="宋体" w:hAnsi="宋体"/>
          <w:color w:val="auto"/>
          <w:szCs w:val="21"/>
          <w:highlight w:val="none"/>
        </w:rPr>
        <w:t>4.</w:t>
      </w:r>
      <w:r>
        <w:rPr>
          <w:rFonts w:hint="eastAsia" w:ascii="宋体" w:hAnsi="宋体" w:cs="宋体"/>
          <w:color w:val="auto"/>
          <w:szCs w:val="21"/>
          <w:highlight w:val="none"/>
        </w:rPr>
        <w:t>贵港市政府采购项目投标资格承诺函；</w:t>
      </w:r>
    </w:p>
    <w:p>
      <w:pPr>
        <w:spacing w:line="380" w:lineRule="exact"/>
        <w:ind w:firstLine="315" w:firstLineChars="150"/>
        <w:jc w:val="left"/>
        <w:rPr>
          <w:rFonts w:ascii="宋体" w:hAnsi="宋体"/>
          <w:b/>
          <w:color w:val="auto"/>
          <w:szCs w:val="21"/>
          <w:highlight w:val="none"/>
        </w:rPr>
      </w:pPr>
      <w:r>
        <w:rPr>
          <w:rFonts w:ascii="宋体" w:hAnsi="宋体"/>
          <w:color w:val="auto"/>
          <w:szCs w:val="21"/>
          <w:highlight w:val="none"/>
        </w:rPr>
        <w:t>5.</w:t>
      </w:r>
      <w:r>
        <w:rPr>
          <w:rFonts w:hint="eastAsia" w:ascii="宋体" w:hAnsi="宋体"/>
          <w:color w:val="auto"/>
          <w:szCs w:val="21"/>
          <w:highlight w:val="none"/>
        </w:rPr>
        <w:t>商务响应表（格式见第六章）；</w:t>
      </w:r>
    </w:p>
    <w:p>
      <w:pPr>
        <w:pStyle w:val="17"/>
        <w:spacing w:line="380" w:lineRule="exact"/>
        <w:ind w:firstLine="315" w:firstLineChars="150"/>
        <w:rPr>
          <w:color w:val="auto"/>
          <w:sz w:val="21"/>
          <w:szCs w:val="21"/>
          <w:highlight w:val="none"/>
        </w:rPr>
      </w:pPr>
      <w:r>
        <w:rPr>
          <w:rFonts w:hAnsi="宋体"/>
          <w:color w:val="auto"/>
          <w:sz w:val="21"/>
          <w:szCs w:val="21"/>
          <w:highlight w:val="none"/>
        </w:rPr>
        <w:t>6</w:t>
      </w:r>
      <w:r>
        <w:rPr>
          <w:rFonts w:hint="eastAsia" w:hAnsi="宋体"/>
          <w:color w:val="auto"/>
          <w:sz w:val="21"/>
          <w:szCs w:val="21"/>
          <w:highlight w:val="none"/>
        </w:rPr>
        <w:t>.本谈判采购文件要求提供的其他资格和商务证明文件；</w:t>
      </w:r>
    </w:p>
    <w:p>
      <w:pPr>
        <w:spacing w:line="380" w:lineRule="exact"/>
        <w:ind w:left="-27" w:leftChars="-13" w:firstLine="317" w:firstLineChars="151"/>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供应商近三年完</w:t>
      </w:r>
      <w:r>
        <w:rPr>
          <w:rFonts w:ascii="宋体" w:hAnsi="宋体"/>
          <w:color w:val="auto"/>
          <w:szCs w:val="21"/>
          <w:highlight w:val="none"/>
        </w:rPr>
        <w:t>成</w:t>
      </w:r>
      <w:r>
        <w:rPr>
          <w:rFonts w:hint="eastAsia" w:ascii="宋体" w:hAnsi="宋体"/>
          <w:color w:val="auto"/>
          <w:szCs w:val="21"/>
          <w:highlight w:val="none"/>
        </w:rPr>
        <w:t>同类项目业绩（如</w:t>
      </w:r>
      <w:r>
        <w:rPr>
          <w:rFonts w:ascii="宋体" w:hAnsi="宋体"/>
          <w:color w:val="auto"/>
          <w:szCs w:val="21"/>
          <w:highlight w:val="none"/>
        </w:rPr>
        <w:t>有请提供，</w:t>
      </w:r>
      <w:r>
        <w:rPr>
          <w:rFonts w:hint="eastAsia" w:ascii="宋体" w:hAnsi="宋体"/>
          <w:color w:val="auto"/>
          <w:szCs w:val="21"/>
          <w:highlight w:val="none"/>
        </w:rPr>
        <w:t>附合同协议书或中标通知书复印件加盖竞标人单位公章为准）；</w:t>
      </w:r>
    </w:p>
    <w:p>
      <w:pPr>
        <w:spacing w:line="380" w:lineRule="exact"/>
        <w:ind w:left="-27" w:leftChars="-13" w:firstLine="317" w:firstLineChars="151"/>
        <w:rPr>
          <w:rFonts w:ascii="宋体" w:hAnsi="宋体"/>
          <w:color w:val="auto"/>
          <w:szCs w:val="21"/>
          <w:highlight w:val="none"/>
        </w:rPr>
      </w:pPr>
      <w:r>
        <w:rPr>
          <w:rFonts w:hint="eastAsia" w:ascii="宋体" w:hAnsi="宋体"/>
          <w:color w:val="auto"/>
          <w:szCs w:val="21"/>
          <w:highlight w:val="none"/>
        </w:rPr>
        <w:t>三、技术文件</w:t>
      </w:r>
    </w:p>
    <w:p>
      <w:pPr>
        <w:spacing w:line="380" w:lineRule="exact"/>
        <w:ind w:firstLine="342" w:firstLineChars="163"/>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技术响应、偏离情况说明表</w:t>
      </w:r>
    </w:p>
    <w:p>
      <w:pPr>
        <w:spacing w:line="380" w:lineRule="exact"/>
        <w:ind w:firstLine="342" w:firstLineChars="163"/>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售后服务承诺书；</w:t>
      </w:r>
    </w:p>
    <w:p>
      <w:pPr>
        <w:spacing w:line="380" w:lineRule="exact"/>
        <w:ind w:firstLine="342" w:firstLineChars="163"/>
        <w:rPr>
          <w:rFonts w:ascii="宋体" w:hAnsi="宋体"/>
          <w:color w:val="auto"/>
          <w:szCs w:val="21"/>
          <w:highlight w:val="none"/>
        </w:rPr>
      </w:pPr>
      <w:r>
        <w:rPr>
          <w:rFonts w:hint="eastAsia" w:ascii="宋体" w:hAnsi="宋体"/>
          <w:color w:val="auto"/>
          <w:szCs w:val="21"/>
          <w:highlight w:val="none"/>
        </w:rPr>
        <w:t>3.本谈判文件第四章采购项目需求一览表要求提供的技术证明文件；</w:t>
      </w:r>
    </w:p>
    <w:p>
      <w:pPr>
        <w:spacing w:line="380" w:lineRule="exact"/>
        <w:ind w:firstLine="342" w:firstLineChars="163"/>
        <w:rPr>
          <w:rFonts w:ascii="宋体" w:hAnsi="宋体"/>
          <w:color w:val="auto"/>
          <w:szCs w:val="21"/>
          <w:highlight w:val="none"/>
        </w:rPr>
      </w:pPr>
      <w:r>
        <w:rPr>
          <w:rFonts w:hint="eastAsia" w:ascii="宋体" w:hAnsi="宋体"/>
          <w:color w:val="auto"/>
          <w:szCs w:val="21"/>
          <w:highlight w:val="none"/>
        </w:rPr>
        <w:t xml:space="preserve">4.供应商认为需要提供的其他有关的技术资料。 </w:t>
      </w:r>
    </w:p>
    <w:p>
      <w:pPr>
        <w:spacing w:line="520" w:lineRule="exact"/>
        <w:rPr>
          <w:rFonts w:ascii="宋体" w:hAnsi="宋体"/>
          <w:b/>
          <w:color w:val="auto"/>
          <w:sz w:val="32"/>
          <w:szCs w:val="32"/>
          <w:highlight w:val="none"/>
        </w:rPr>
      </w:pPr>
      <w:r>
        <w:rPr>
          <w:rFonts w:ascii="宋体" w:hAnsi="宋体"/>
          <w:color w:val="auto"/>
          <w:szCs w:val="21"/>
          <w:highlight w:val="none"/>
        </w:rPr>
        <w:br w:type="page"/>
      </w:r>
      <w:r>
        <w:rPr>
          <w:rFonts w:hint="eastAsia" w:ascii="宋体" w:hAnsi="宋体"/>
          <w:b/>
          <w:color w:val="auto"/>
          <w:sz w:val="32"/>
          <w:szCs w:val="32"/>
          <w:highlight w:val="none"/>
        </w:rPr>
        <w:t>一、价格文件</w:t>
      </w:r>
    </w:p>
    <w:p>
      <w:pPr>
        <w:spacing w:line="520" w:lineRule="exact"/>
        <w:jc w:val="center"/>
        <w:rPr>
          <w:rFonts w:ascii="宋体" w:hAnsi="宋体"/>
          <w:b/>
          <w:color w:val="auto"/>
          <w:sz w:val="28"/>
          <w:szCs w:val="28"/>
          <w:highlight w:val="none"/>
        </w:rPr>
      </w:pPr>
      <w:r>
        <w:rPr>
          <w:rFonts w:hint="eastAsia" w:ascii="宋体" w:hAnsi="宋体"/>
          <w:b/>
          <w:color w:val="auto"/>
          <w:sz w:val="28"/>
          <w:szCs w:val="28"/>
          <w:highlight w:val="none"/>
        </w:rPr>
        <w:t>1.谈  判  书</w:t>
      </w:r>
    </w:p>
    <w:p>
      <w:pPr>
        <w:spacing w:line="520" w:lineRule="exact"/>
        <w:jc w:val="center"/>
        <w:rPr>
          <w:rFonts w:ascii="宋体" w:hAnsi="宋体"/>
          <w:b/>
          <w:color w:val="auto"/>
          <w:sz w:val="28"/>
          <w:szCs w:val="28"/>
          <w:highlight w:val="none"/>
        </w:rPr>
      </w:pPr>
    </w:p>
    <w:p>
      <w:pPr>
        <w:spacing w:line="520" w:lineRule="exact"/>
        <w:rPr>
          <w:rFonts w:ascii="宋体" w:hAnsi="宋体"/>
          <w:color w:val="auto"/>
          <w:szCs w:val="21"/>
          <w:highlight w:val="none"/>
        </w:rPr>
      </w:pPr>
      <w:r>
        <w:rPr>
          <w:rFonts w:hint="eastAsia" w:ascii="宋体" w:hAnsi="宋体"/>
          <w:color w:val="auto"/>
          <w:szCs w:val="21"/>
          <w:highlight w:val="none"/>
          <w:u w:val="single"/>
        </w:rPr>
        <w:t>广西宝盛工程咨询有限公司</w:t>
      </w:r>
      <w:r>
        <w:rPr>
          <w:rFonts w:hint="eastAsia" w:ascii="宋体" w:hAnsi="宋体"/>
          <w:color w:val="auto"/>
          <w:szCs w:val="21"/>
          <w:highlight w:val="none"/>
        </w:rPr>
        <w:t>：</w:t>
      </w:r>
    </w:p>
    <w:p>
      <w:pPr>
        <w:spacing w:line="520" w:lineRule="exact"/>
        <w:ind w:firstLine="480"/>
        <w:rPr>
          <w:rFonts w:ascii="宋体" w:hAnsi="宋体"/>
          <w:color w:val="auto"/>
          <w:szCs w:val="21"/>
          <w:highlight w:val="none"/>
        </w:rPr>
      </w:pPr>
      <w:r>
        <w:rPr>
          <w:rFonts w:hint="eastAsia" w:ascii="宋体" w:hAnsi="宋体"/>
          <w:color w:val="auto"/>
          <w:szCs w:val="21"/>
          <w:highlight w:val="none"/>
        </w:rPr>
        <w:t>依据贵方</w:t>
      </w:r>
      <w:r>
        <w:rPr>
          <w:rFonts w:hint="eastAsia" w:ascii="宋体" w:hAnsi="宋体"/>
          <w:color w:val="auto"/>
          <w:szCs w:val="21"/>
          <w:highlight w:val="none"/>
          <w:u w:val="single"/>
        </w:rPr>
        <w:t>项目名</w:t>
      </w:r>
      <w:r>
        <w:rPr>
          <w:rFonts w:ascii="宋体" w:hAnsi="宋体"/>
          <w:color w:val="auto"/>
          <w:szCs w:val="21"/>
          <w:highlight w:val="none"/>
          <w:u w:val="single"/>
        </w:rPr>
        <w:t>称</w:t>
      </w:r>
      <w:r>
        <w:rPr>
          <w:rFonts w:hint="eastAsia" w:ascii="宋体" w:hAnsi="宋体"/>
          <w:color w:val="auto"/>
          <w:szCs w:val="21"/>
          <w:highlight w:val="none"/>
          <w:u w:val="single"/>
        </w:rPr>
        <w:t>、项目编号</w:t>
      </w:r>
      <w:r>
        <w:rPr>
          <w:rFonts w:hint="eastAsia" w:ascii="宋体" w:hAnsi="宋体"/>
          <w:color w:val="auto"/>
          <w:szCs w:val="21"/>
          <w:highlight w:val="none"/>
        </w:rPr>
        <w:t>项目政府采购的谈判邀请，我方</w:t>
      </w:r>
      <w:r>
        <w:rPr>
          <w:rFonts w:hint="eastAsia" w:ascii="宋体" w:hAnsi="宋体"/>
          <w:color w:val="auto"/>
          <w:szCs w:val="21"/>
          <w:highlight w:val="none"/>
          <w:u w:val="single"/>
        </w:rPr>
        <w:t>（姓名和职务）</w:t>
      </w:r>
      <w:r>
        <w:rPr>
          <w:rFonts w:hint="eastAsia" w:ascii="宋体" w:hAnsi="宋体"/>
          <w:color w:val="auto"/>
          <w:szCs w:val="21"/>
          <w:highlight w:val="none"/>
        </w:rPr>
        <w:t>经正式授权并代表供应商</w:t>
      </w:r>
      <w:r>
        <w:rPr>
          <w:rFonts w:hint="eastAsia" w:ascii="宋体" w:hAnsi="宋体"/>
          <w:color w:val="auto"/>
          <w:szCs w:val="21"/>
          <w:highlight w:val="none"/>
          <w:u w:val="single"/>
        </w:rPr>
        <w:t>（供应商名称、地址）</w:t>
      </w:r>
      <w:r>
        <w:rPr>
          <w:rFonts w:hint="eastAsia" w:ascii="宋体" w:hAnsi="宋体"/>
          <w:color w:val="auto"/>
          <w:szCs w:val="21"/>
          <w:highlight w:val="none"/>
        </w:rPr>
        <w:t>提交下述竞争性谈判响应文件正本</w:t>
      </w:r>
      <w:r>
        <w:rPr>
          <w:rFonts w:hint="eastAsia" w:ascii="宋体" w:hAnsi="宋体"/>
          <w:color w:val="auto"/>
          <w:szCs w:val="21"/>
          <w:highlight w:val="none"/>
          <w:u w:val="single"/>
        </w:rPr>
        <w:t>一</w:t>
      </w:r>
      <w:r>
        <w:rPr>
          <w:rFonts w:hint="eastAsia" w:ascii="宋体" w:hAnsi="宋体"/>
          <w:color w:val="auto"/>
          <w:szCs w:val="21"/>
          <w:highlight w:val="none"/>
        </w:rPr>
        <w:t>份，副本</w:t>
      </w:r>
      <w:r>
        <w:rPr>
          <w:rFonts w:hint="eastAsia" w:ascii="宋体" w:hAnsi="宋体"/>
          <w:color w:val="auto"/>
          <w:szCs w:val="21"/>
          <w:highlight w:val="none"/>
          <w:u w:val="single"/>
        </w:rPr>
        <w:t>三</w:t>
      </w:r>
      <w:r>
        <w:rPr>
          <w:rFonts w:hint="eastAsia" w:ascii="宋体" w:hAnsi="宋体"/>
          <w:color w:val="auto"/>
          <w:szCs w:val="21"/>
          <w:highlight w:val="none"/>
        </w:rPr>
        <w:t>份。</w:t>
      </w:r>
    </w:p>
    <w:p>
      <w:pPr>
        <w:spacing w:line="520" w:lineRule="exact"/>
        <w:ind w:firstLine="480"/>
        <w:rPr>
          <w:rFonts w:ascii="宋体" w:hAnsi="宋体"/>
          <w:color w:val="auto"/>
          <w:szCs w:val="21"/>
          <w:highlight w:val="none"/>
        </w:rPr>
      </w:pPr>
      <w:r>
        <w:rPr>
          <w:rFonts w:hint="eastAsia" w:ascii="宋体" w:hAnsi="宋体"/>
          <w:color w:val="auto"/>
          <w:szCs w:val="21"/>
          <w:highlight w:val="none"/>
        </w:rPr>
        <w:t>1.报价文件；</w:t>
      </w:r>
    </w:p>
    <w:p>
      <w:pPr>
        <w:spacing w:line="520" w:lineRule="exact"/>
        <w:ind w:firstLine="480"/>
        <w:rPr>
          <w:rFonts w:ascii="宋体" w:hAnsi="宋体"/>
          <w:color w:val="auto"/>
          <w:szCs w:val="21"/>
          <w:highlight w:val="none"/>
        </w:rPr>
      </w:pPr>
      <w:r>
        <w:rPr>
          <w:rFonts w:hint="eastAsia" w:ascii="宋体" w:hAnsi="宋体"/>
          <w:color w:val="auto"/>
          <w:szCs w:val="21"/>
          <w:highlight w:val="none"/>
        </w:rPr>
        <w:t>2.资格和商务文件；</w:t>
      </w:r>
    </w:p>
    <w:p>
      <w:pPr>
        <w:spacing w:line="520" w:lineRule="exact"/>
        <w:ind w:firstLine="480"/>
        <w:rPr>
          <w:rFonts w:ascii="宋体" w:hAnsi="宋体"/>
          <w:color w:val="auto"/>
          <w:szCs w:val="21"/>
          <w:highlight w:val="none"/>
        </w:rPr>
      </w:pPr>
      <w:r>
        <w:rPr>
          <w:rFonts w:hint="eastAsia" w:ascii="宋体" w:hAnsi="宋体"/>
          <w:color w:val="auto"/>
          <w:szCs w:val="21"/>
          <w:highlight w:val="none"/>
        </w:rPr>
        <w:t xml:space="preserve">3.技术文件； </w:t>
      </w:r>
    </w:p>
    <w:p>
      <w:pPr>
        <w:spacing w:line="520" w:lineRule="exact"/>
        <w:ind w:firstLine="480"/>
        <w:rPr>
          <w:rFonts w:ascii="宋体" w:hAnsi="宋体"/>
          <w:color w:val="auto"/>
          <w:szCs w:val="21"/>
          <w:highlight w:val="none"/>
        </w:rPr>
      </w:pPr>
      <w:r>
        <w:rPr>
          <w:rFonts w:hint="eastAsia" w:ascii="宋体" w:hAnsi="宋体"/>
          <w:color w:val="auto"/>
          <w:szCs w:val="21"/>
          <w:highlight w:val="none"/>
        </w:rPr>
        <w:t xml:space="preserve">4.按竞争性谈判采购文件谈判须知和技术规格要求提供的有关文件。 </w:t>
      </w:r>
    </w:p>
    <w:p>
      <w:pPr>
        <w:spacing w:line="520" w:lineRule="exact"/>
        <w:rPr>
          <w:rFonts w:ascii="宋体" w:hAnsi="宋体"/>
          <w:color w:val="auto"/>
          <w:szCs w:val="21"/>
          <w:highlight w:val="none"/>
        </w:rPr>
      </w:pPr>
      <w:r>
        <w:rPr>
          <w:rFonts w:hint="eastAsia" w:ascii="宋体" w:hAnsi="宋体"/>
          <w:color w:val="auto"/>
          <w:szCs w:val="21"/>
          <w:highlight w:val="none"/>
        </w:rPr>
        <w:t>在此，授权代表宣布同意如下：</w:t>
      </w:r>
    </w:p>
    <w:p>
      <w:pPr>
        <w:spacing w:line="520" w:lineRule="exact"/>
        <w:ind w:firstLine="480"/>
        <w:rPr>
          <w:rFonts w:ascii="宋体" w:hAnsi="宋体"/>
          <w:color w:val="auto"/>
          <w:szCs w:val="21"/>
          <w:highlight w:val="none"/>
        </w:rPr>
      </w:pPr>
      <w:r>
        <w:rPr>
          <w:rFonts w:hint="eastAsia" w:ascii="宋体" w:hAnsi="宋体"/>
          <w:color w:val="auto"/>
          <w:szCs w:val="21"/>
          <w:highlight w:val="none"/>
        </w:rPr>
        <w:t>1.将按竞争性谈判采购文件的约定履行合同责任和义务；</w:t>
      </w:r>
    </w:p>
    <w:p>
      <w:pPr>
        <w:spacing w:line="520" w:lineRule="exact"/>
        <w:ind w:left="840" w:hanging="360"/>
        <w:rPr>
          <w:rFonts w:ascii="宋体" w:hAnsi="宋体"/>
          <w:color w:val="auto"/>
          <w:szCs w:val="21"/>
          <w:highlight w:val="none"/>
        </w:rPr>
      </w:pPr>
      <w:r>
        <w:rPr>
          <w:rFonts w:hint="eastAsia" w:ascii="宋体" w:hAnsi="宋体"/>
          <w:color w:val="auto"/>
          <w:szCs w:val="21"/>
          <w:highlight w:val="none"/>
        </w:rPr>
        <w:t>2.已详细审查全部竞争性谈判采购文件，包括</w:t>
      </w:r>
      <w:r>
        <w:rPr>
          <w:rFonts w:hint="eastAsia" w:ascii="宋体" w:hAnsi="宋体"/>
          <w:color w:val="auto"/>
          <w:szCs w:val="21"/>
          <w:highlight w:val="none"/>
          <w:u w:val="single"/>
        </w:rPr>
        <w:t>（补遗书）（如果有的话）</w:t>
      </w:r>
      <w:r>
        <w:rPr>
          <w:rFonts w:hint="eastAsia" w:ascii="宋体" w:hAnsi="宋体"/>
          <w:color w:val="auto"/>
          <w:szCs w:val="21"/>
          <w:highlight w:val="none"/>
        </w:rPr>
        <w:t>；我们完全理解并同意放弃对这方面有不明及误解的权力；</w:t>
      </w:r>
    </w:p>
    <w:p>
      <w:pPr>
        <w:spacing w:line="520" w:lineRule="exact"/>
        <w:ind w:left="840" w:hanging="360"/>
        <w:rPr>
          <w:rFonts w:ascii="宋体" w:hAnsi="宋体"/>
          <w:color w:val="auto"/>
          <w:szCs w:val="21"/>
          <w:highlight w:val="none"/>
        </w:rPr>
      </w:pPr>
      <w:r>
        <w:rPr>
          <w:rFonts w:hint="eastAsia" w:ascii="宋体" w:hAnsi="宋体"/>
          <w:color w:val="auto"/>
          <w:szCs w:val="21"/>
          <w:highlight w:val="none"/>
        </w:rPr>
        <w:t>3.同意提供按照贵方可能要求的与其谈判有关的一切数据或资料；</w:t>
      </w:r>
    </w:p>
    <w:p>
      <w:pPr>
        <w:spacing w:line="520" w:lineRule="exact"/>
        <w:ind w:firstLine="480"/>
        <w:rPr>
          <w:rFonts w:ascii="宋体" w:hAnsi="宋体"/>
          <w:color w:val="auto"/>
          <w:szCs w:val="21"/>
          <w:highlight w:val="none"/>
          <w:u w:val="single"/>
        </w:rPr>
      </w:pPr>
      <w:r>
        <w:rPr>
          <w:rFonts w:hint="eastAsia" w:ascii="宋体" w:hAnsi="宋体"/>
          <w:color w:val="auto"/>
          <w:szCs w:val="21"/>
          <w:highlight w:val="none"/>
        </w:rPr>
        <w:t>4.与本谈判有关的一切正式往来信函请寄：</w:t>
      </w:r>
    </w:p>
    <w:p>
      <w:pPr>
        <w:spacing w:line="520" w:lineRule="exact"/>
        <w:ind w:firstLine="840"/>
        <w:rPr>
          <w:rFonts w:ascii="宋体" w:hAnsi="宋体"/>
          <w:color w:val="auto"/>
          <w:szCs w:val="21"/>
          <w:highlight w:val="none"/>
          <w:u w:val="single"/>
        </w:rPr>
      </w:pPr>
      <w:r>
        <w:rPr>
          <w:rFonts w:hint="eastAsia" w:ascii="宋体" w:hAnsi="宋体"/>
          <w:color w:val="auto"/>
          <w:szCs w:val="21"/>
          <w:highlight w:val="none"/>
        </w:rPr>
        <w:t>电话/传真： 电子函件：</w:t>
      </w:r>
    </w:p>
    <w:p>
      <w:pPr>
        <w:spacing w:line="520" w:lineRule="exact"/>
        <w:ind w:firstLine="840"/>
        <w:rPr>
          <w:rFonts w:ascii="宋体" w:hAnsi="宋体"/>
          <w:color w:val="auto"/>
          <w:szCs w:val="21"/>
          <w:highlight w:val="none"/>
          <w:u w:val="single"/>
        </w:rPr>
      </w:pPr>
      <w:r>
        <w:rPr>
          <w:rFonts w:hint="eastAsia" w:ascii="宋体" w:hAnsi="宋体"/>
          <w:color w:val="auto"/>
          <w:szCs w:val="21"/>
          <w:highlight w:val="none"/>
        </w:rPr>
        <w:t>开户银行：  帐号/行号：</w:t>
      </w:r>
    </w:p>
    <w:p>
      <w:pPr>
        <w:spacing w:line="520" w:lineRule="exact"/>
        <w:ind w:firstLine="840"/>
        <w:rPr>
          <w:rFonts w:ascii="宋体" w:hAnsi="宋体"/>
          <w:color w:val="auto"/>
          <w:szCs w:val="21"/>
          <w:highlight w:val="none"/>
          <w:u w:val="single"/>
        </w:rPr>
      </w:pPr>
      <w:r>
        <w:rPr>
          <w:rFonts w:hint="eastAsia" w:ascii="宋体" w:hAnsi="宋体"/>
          <w:color w:val="auto"/>
          <w:szCs w:val="21"/>
          <w:highlight w:val="none"/>
        </w:rPr>
        <w:t>法定代表人或法定代表人授权代表签字：</w:t>
      </w:r>
    </w:p>
    <w:p>
      <w:pPr>
        <w:spacing w:line="520" w:lineRule="exact"/>
        <w:ind w:firstLine="840"/>
        <w:rPr>
          <w:rFonts w:ascii="宋体" w:hAnsi="宋体"/>
          <w:color w:val="auto"/>
          <w:szCs w:val="21"/>
          <w:highlight w:val="none"/>
          <w:u w:val="single"/>
        </w:rPr>
      </w:pPr>
      <w:r>
        <w:rPr>
          <w:rFonts w:hint="eastAsia" w:ascii="宋体" w:hAnsi="宋体"/>
          <w:color w:val="auto"/>
          <w:szCs w:val="21"/>
          <w:highlight w:val="none"/>
        </w:rPr>
        <w:t>供应商名称（盖章）：</w:t>
      </w:r>
    </w:p>
    <w:p>
      <w:pPr>
        <w:spacing w:line="520" w:lineRule="exact"/>
        <w:ind w:firstLine="840"/>
        <w:rPr>
          <w:rFonts w:ascii="宋体" w:hAnsi="宋体"/>
          <w:color w:val="auto"/>
          <w:szCs w:val="21"/>
          <w:highlight w:val="none"/>
          <w:u w:val="single"/>
        </w:rPr>
      </w:pPr>
      <w:r>
        <w:rPr>
          <w:rFonts w:hint="eastAsia" w:ascii="宋体" w:hAnsi="宋体"/>
          <w:color w:val="auto"/>
          <w:szCs w:val="21"/>
          <w:highlight w:val="none"/>
        </w:rPr>
        <w:t>日期：年月日</w:t>
      </w:r>
    </w:p>
    <w:p>
      <w:pPr>
        <w:spacing w:line="520" w:lineRule="exact"/>
        <w:ind w:firstLine="840"/>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500" w:lineRule="exact"/>
        <w:rPr>
          <w:rFonts w:ascii="宋体" w:hAnsi="宋体"/>
          <w:color w:val="auto"/>
          <w:sz w:val="28"/>
          <w:szCs w:val="28"/>
          <w:highlight w:val="none"/>
        </w:rPr>
      </w:pPr>
    </w:p>
    <w:p>
      <w:pPr>
        <w:spacing w:line="500" w:lineRule="exact"/>
        <w:rPr>
          <w:rFonts w:ascii="宋体" w:hAnsi="宋体"/>
          <w:color w:val="auto"/>
          <w:sz w:val="28"/>
          <w:szCs w:val="28"/>
          <w:highlight w:val="none"/>
        </w:rPr>
      </w:pPr>
    </w:p>
    <w:p>
      <w:pPr>
        <w:spacing w:line="500" w:lineRule="exact"/>
        <w:rPr>
          <w:rFonts w:ascii="宋体" w:hAnsi="宋体"/>
          <w:color w:val="auto"/>
          <w:sz w:val="28"/>
          <w:szCs w:val="28"/>
          <w:highlight w:val="none"/>
        </w:rPr>
      </w:pPr>
      <w:r>
        <w:rPr>
          <w:rFonts w:ascii="宋体" w:hAnsi="宋体"/>
          <w:color w:val="auto"/>
          <w:sz w:val="28"/>
          <w:szCs w:val="28"/>
          <w:highlight w:val="none"/>
        </w:rPr>
        <w:br w:type="page"/>
      </w:r>
    </w:p>
    <w:p>
      <w:pPr>
        <w:spacing w:line="500" w:lineRule="exact"/>
        <w:jc w:val="center"/>
        <w:rPr>
          <w:rFonts w:ascii="宋体" w:hAnsi="宋体"/>
          <w:b/>
          <w:color w:val="auto"/>
          <w:sz w:val="28"/>
          <w:szCs w:val="28"/>
          <w:highlight w:val="none"/>
        </w:rPr>
      </w:pPr>
      <w:r>
        <w:rPr>
          <w:rFonts w:hint="eastAsia" w:ascii="宋体" w:hAnsi="宋体"/>
          <w:b/>
          <w:color w:val="auto"/>
          <w:sz w:val="28"/>
          <w:szCs w:val="28"/>
          <w:highlight w:val="none"/>
        </w:rPr>
        <w:t>2.谈判报价表</w:t>
      </w:r>
    </w:p>
    <w:p>
      <w:pPr>
        <w:spacing w:line="500" w:lineRule="exact"/>
        <w:jc w:val="center"/>
        <w:rPr>
          <w:rFonts w:ascii="宋体" w:hAnsi="宋体"/>
          <w:b/>
          <w:color w:val="auto"/>
          <w:sz w:val="32"/>
          <w:szCs w:val="32"/>
          <w:highlight w:val="none"/>
        </w:rPr>
      </w:pPr>
    </w:p>
    <w:p>
      <w:pPr>
        <w:spacing w:line="500" w:lineRule="exact"/>
        <w:rPr>
          <w:rFonts w:ascii="宋体" w:hAnsi="宋体"/>
          <w:color w:val="auto"/>
          <w:szCs w:val="21"/>
          <w:highlight w:val="none"/>
          <w:u w:val="single"/>
        </w:rPr>
      </w:pPr>
      <w:r>
        <w:rPr>
          <w:rFonts w:hint="eastAsia" w:ascii="宋体" w:hAnsi="宋体"/>
          <w:color w:val="auto"/>
          <w:szCs w:val="21"/>
          <w:highlight w:val="none"/>
        </w:rPr>
        <w:t>采购项目编号:</w:t>
      </w:r>
    </w:p>
    <w:p>
      <w:pPr>
        <w:spacing w:line="500" w:lineRule="exact"/>
        <w:rPr>
          <w:rFonts w:ascii="宋体" w:hAnsi="宋体"/>
          <w:color w:val="auto"/>
          <w:szCs w:val="21"/>
          <w:highlight w:val="none"/>
        </w:rPr>
      </w:pPr>
      <w:r>
        <w:rPr>
          <w:rFonts w:hint="eastAsia" w:ascii="宋体" w:hAnsi="宋体"/>
          <w:color w:val="auto"/>
          <w:szCs w:val="21"/>
          <w:highlight w:val="none"/>
        </w:rPr>
        <w:t>采购项目名称:</w:t>
      </w:r>
    </w:p>
    <w:tbl>
      <w:tblPr>
        <w:tblStyle w:val="35"/>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683"/>
        <w:gridCol w:w="852"/>
        <w:gridCol w:w="2124"/>
        <w:gridCol w:w="1328"/>
        <w:gridCol w:w="1804"/>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565" w:type="dxa"/>
            <w:vAlign w:val="center"/>
          </w:tcPr>
          <w:p>
            <w:pPr>
              <w:jc w:val="center"/>
              <w:rPr>
                <w:rFonts w:ascii="宋体" w:hAnsi="宋体"/>
                <w:color w:val="auto"/>
                <w:szCs w:val="21"/>
                <w:highlight w:val="none"/>
              </w:rPr>
            </w:pPr>
            <w:r>
              <w:rPr>
                <w:rFonts w:hint="eastAsia" w:ascii="宋体" w:hAnsi="宋体"/>
                <w:color w:val="auto"/>
                <w:szCs w:val="21"/>
                <w:highlight w:val="none"/>
              </w:rPr>
              <w:t>项号</w:t>
            </w:r>
          </w:p>
        </w:tc>
        <w:tc>
          <w:tcPr>
            <w:tcW w:w="1683" w:type="dxa"/>
            <w:vAlign w:val="center"/>
          </w:tcPr>
          <w:p>
            <w:pPr>
              <w:jc w:val="center"/>
              <w:rPr>
                <w:rFonts w:ascii="宋体" w:hAnsi="宋体"/>
                <w:color w:val="auto"/>
                <w:szCs w:val="21"/>
                <w:highlight w:val="none"/>
              </w:rPr>
            </w:pPr>
            <w:r>
              <w:rPr>
                <w:rFonts w:hint="eastAsia" w:ascii="宋体" w:hAnsi="宋体"/>
                <w:color w:val="auto"/>
                <w:szCs w:val="21"/>
                <w:highlight w:val="none"/>
              </w:rPr>
              <w:t>货物名称</w:t>
            </w:r>
          </w:p>
        </w:tc>
        <w:tc>
          <w:tcPr>
            <w:tcW w:w="852" w:type="dxa"/>
            <w:vAlign w:val="center"/>
          </w:tcPr>
          <w:p>
            <w:pPr>
              <w:jc w:val="center"/>
              <w:rPr>
                <w:rFonts w:ascii="宋体" w:hAnsi="宋体"/>
                <w:color w:val="auto"/>
                <w:szCs w:val="21"/>
                <w:highlight w:val="none"/>
              </w:rPr>
            </w:pPr>
            <w:r>
              <w:rPr>
                <w:rFonts w:hint="eastAsia" w:ascii="宋体" w:hAnsi="宋体"/>
                <w:color w:val="auto"/>
                <w:szCs w:val="21"/>
                <w:highlight w:val="none"/>
              </w:rPr>
              <w:t>数量</w:t>
            </w:r>
          </w:p>
          <w:p>
            <w:pPr>
              <w:pStyle w:val="67"/>
              <w:numPr>
                <w:ilvl w:val="0"/>
                <w:numId w:val="7"/>
              </w:numPr>
              <w:ind w:firstLineChars="0"/>
              <w:jc w:val="center"/>
              <w:rPr>
                <w:rFonts w:ascii="宋体" w:hAnsi="宋体"/>
                <w:color w:val="auto"/>
                <w:szCs w:val="21"/>
                <w:highlight w:val="none"/>
              </w:rPr>
            </w:pPr>
          </w:p>
        </w:tc>
        <w:tc>
          <w:tcPr>
            <w:tcW w:w="2124" w:type="dxa"/>
            <w:vAlign w:val="center"/>
          </w:tcPr>
          <w:p>
            <w:pPr>
              <w:jc w:val="center"/>
              <w:rPr>
                <w:rFonts w:ascii="宋体" w:hAnsi="宋体"/>
                <w:color w:val="auto"/>
                <w:szCs w:val="21"/>
                <w:highlight w:val="none"/>
              </w:rPr>
            </w:pPr>
            <w:r>
              <w:rPr>
                <w:rFonts w:hint="eastAsia" w:ascii="宋体" w:hAnsi="宋体"/>
                <w:color w:val="auto"/>
                <w:szCs w:val="21"/>
                <w:highlight w:val="none"/>
              </w:rPr>
              <w:t>货</w:t>
            </w:r>
            <w:r>
              <w:rPr>
                <w:rFonts w:ascii="宋体" w:hAnsi="宋体"/>
                <w:color w:val="auto"/>
                <w:szCs w:val="21"/>
                <w:highlight w:val="none"/>
              </w:rPr>
              <w:t>物全称、</w:t>
            </w:r>
            <w:r>
              <w:rPr>
                <w:rFonts w:hint="eastAsia" w:ascii="宋体" w:hAnsi="宋体"/>
                <w:color w:val="auto"/>
                <w:szCs w:val="21"/>
                <w:highlight w:val="none"/>
              </w:rPr>
              <w:t>品牌、生产厂家及国别</w:t>
            </w:r>
          </w:p>
        </w:tc>
        <w:tc>
          <w:tcPr>
            <w:tcW w:w="1328" w:type="dxa"/>
            <w:vAlign w:val="center"/>
          </w:tcPr>
          <w:p>
            <w:pPr>
              <w:jc w:val="center"/>
              <w:rPr>
                <w:rFonts w:ascii="宋体" w:hAnsi="宋体"/>
                <w:color w:val="auto"/>
                <w:szCs w:val="21"/>
                <w:highlight w:val="none"/>
              </w:rPr>
            </w:pPr>
            <w:r>
              <w:rPr>
                <w:rFonts w:hint="eastAsia" w:ascii="宋体" w:hAnsi="宋体"/>
                <w:color w:val="auto"/>
                <w:szCs w:val="21"/>
                <w:highlight w:val="none"/>
              </w:rPr>
              <w:t>单价</w:t>
            </w:r>
          </w:p>
          <w:p>
            <w:pPr>
              <w:jc w:val="center"/>
              <w:rPr>
                <w:rFonts w:ascii="宋体" w:hAnsi="宋体"/>
                <w:color w:val="auto"/>
                <w:szCs w:val="21"/>
                <w:highlight w:val="none"/>
              </w:rPr>
            </w:pPr>
            <w:r>
              <w:rPr>
                <w:rFonts w:hint="eastAsia" w:ascii="宋体" w:hAnsi="宋体"/>
                <w:color w:val="auto"/>
                <w:szCs w:val="21"/>
                <w:highlight w:val="none"/>
              </w:rPr>
              <w:t>（元)</w:t>
            </w:r>
          </w:p>
          <w:p>
            <w:pPr>
              <w:jc w:val="center"/>
              <w:rPr>
                <w:rFonts w:ascii="宋体" w:hAnsi="宋体"/>
                <w:color w:val="auto"/>
                <w:szCs w:val="21"/>
                <w:highlight w:val="none"/>
              </w:rPr>
            </w:pPr>
            <w:r>
              <w:rPr>
                <w:rFonts w:hint="eastAsia" w:ascii="宋体" w:hAnsi="宋体"/>
                <w:color w:val="auto"/>
                <w:szCs w:val="21"/>
                <w:highlight w:val="none"/>
              </w:rPr>
              <w:t>②</w:t>
            </w:r>
          </w:p>
        </w:tc>
        <w:tc>
          <w:tcPr>
            <w:tcW w:w="1804" w:type="dxa"/>
            <w:vAlign w:val="center"/>
          </w:tcPr>
          <w:p>
            <w:pPr>
              <w:jc w:val="center"/>
              <w:rPr>
                <w:rFonts w:ascii="宋体" w:hAnsi="宋体"/>
                <w:color w:val="auto"/>
                <w:szCs w:val="21"/>
                <w:highlight w:val="none"/>
              </w:rPr>
            </w:pPr>
            <w:r>
              <w:rPr>
                <w:rFonts w:hint="eastAsia" w:ascii="宋体" w:hAnsi="宋体"/>
                <w:color w:val="auto"/>
                <w:szCs w:val="21"/>
                <w:highlight w:val="none"/>
              </w:rPr>
              <w:t>单项合价</w:t>
            </w:r>
          </w:p>
          <w:p>
            <w:pPr>
              <w:jc w:val="center"/>
              <w:rPr>
                <w:rFonts w:ascii="宋体" w:hAnsi="宋体"/>
                <w:color w:val="auto"/>
                <w:szCs w:val="21"/>
                <w:highlight w:val="none"/>
              </w:rPr>
            </w:pPr>
            <w:r>
              <w:rPr>
                <w:rFonts w:hint="eastAsia" w:ascii="宋体" w:hAnsi="宋体"/>
                <w:color w:val="auto"/>
                <w:szCs w:val="21"/>
                <w:highlight w:val="none"/>
              </w:rPr>
              <w:t>（元）</w:t>
            </w:r>
          </w:p>
          <w:p>
            <w:pPr>
              <w:jc w:val="center"/>
              <w:rPr>
                <w:rFonts w:ascii="宋体" w:hAnsi="宋体"/>
                <w:color w:val="auto"/>
                <w:szCs w:val="21"/>
                <w:highlight w:val="none"/>
              </w:rPr>
            </w:pPr>
            <w:r>
              <w:rPr>
                <w:rFonts w:hint="eastAsia" w:ascii="宋体" w:hAnsi="宋体"/>
                <w:color w:val="auto"/>
                <w:szCs w:val="21"/>
                <w:highlight w:val="none"/>
              </w:rPr>
              <w:t>③=①×②</w:t>
            </w:r>
          </w:p>
        </w:tc>
        <w:tc>
          <w:tcPr>
            <w:tcW w:w="1075"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565"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683" w:type="dxa"/>
            <w:vAlign w:val="center"/>
          </w:tcPr>
          <w:p>
            <w:pPr>
              <w:jc w:val="center"/>
              <w:rPr>
                <w:rFonts w:ascii="宋体" w:hAnsi="宋体"/>
                <w:color w:val="auto"/>
                <w:szCs w:val="21"/>
                <w:highlight w:val="none"/>
              </w:rPr>
            </w:pPr>
          </w:p>
        </w:tc>
        <w:tc>
          <w:tcPr>
            <w:tcW w:w="852" w:type="dxa"/>
            <w:vAlign w:val="center"/>
          </w:tcPr>
          <w:p>
            <w:pPr>
              <w:jc w:val="center"/>
              <w:rPr>
                <w:rFonts w:ascii="宋体" w:hAnsi="宋体"/>
                <w:color w:val="auto"/>
                <w:szCs w:val="21"/>
                <w:highlight w:val="none"/>
              </w:rPr>
            </w:pPr>
          </w:p>
        </w:tc>
        <w:tc>
          <w:tcPr>
            <w:tcW w:w="2124" w:type="dxa"/>
            <w:vAlign w:val="center"/>
          </w:tcPr>
          <w:p>
            <w:pPr>
              <w:rPr>
                <w:rFonts w:ascii="宋体" w:hAnsi="宋体"/>
                <w:color w:val="auto"/>
                <w:szCs w:val="21"/>
                <w:highlight w:val="none"/>
              </w:rPr>
            </w:pPr>
          </w:p>
        </w:tc>
        <w:tc>
          <w:tcPr>
            <w:tcW w:w="1328" w:type="dxa"/>
            <w:vAlign w:val="center"/>
          </w:tcPr>
          <w:p>
            <w:pPr>
              <w:rPr>
                <w:rFonts w:ascii="宋体" w:hAnsi="宋体"/>
                <w:color w:val="auto"/>
                <w:szCs w:val="21"/>
                <w:highlight w:val="none"/>
              </w:rPr>
            </w:pPr>
          </w:p>
        </w:tc>
        <w:tc>
          <w:tcPr>
            <w:tcW w:w="1804" w:type="dxa"/>
            <w:vAlign w:val="center"/>
          </w:tcPr>
          <w:p>
            <w:pPr>
              <w:rPr>
                <w:rFonts w:ascii="宋体" w:hAnsi="宋体"/>
                <w:color w:val="auto"/>
                <w:szCs w:val="21"/>
                <w:highlight w:val="none"/>
              </w:rPr>
            </w:pPr>
          </w:p>
        </w:tc>
        <w:tc>
          <w:tcPr>
            <w:tcW w:w="1075"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565"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683" w:type="dxa"/>
            <w:vAlign w:val="center"/>
          </w:tcPr>
          <w:p>
            <w:pPr>
              <w:jc w:val="center"/>
              <w:rPr>
                <w:rFonts w:ascii="宋体" w:hAnsi="宋体"/>
                <w:color w:val="auto"/>
                <w:szCs w:val="21"/>
                <w:highlight w:val="none"/>
              </w:rPr>
            </w:pPr>
          </w:p>
        </w:tc>
        <w:tc>
          <w:tcPr>
            <w:tcW w:w="852" w:type="dxa"/>
            <w:vAlign w:val="center"/>
          </w:tcPr>
          <w:p>
            <w:pPr>
              <w:jc w:val="center"/>
              <w:rPr>
                <w:rFonts w:ascii="宋体" w:hAnsi="宋体"/>
                <w:color w:val="auto"/>
                <w:szCs w:val="21"/>
                <w:highlight w:val="none"/>
              </w:rPr>
            </w:pPr>
          </w:p>
        </w:tc>
        <w:tc>
          <w:tcPr>
            <w:tcW w:w="2124" w:type="dxa"/>
            <w:vAlign w:val="center"/>
          </w:tcPr>
          <w:p>
            <w:pPr>
              <w:rPr>
                <w:rFonts w:ascii="宋体" w:hAnsi="宋体"/>
                <w:color w:val="auto"/>
                <w:szCs w:val="21"/>
                <w:highlight w:val="none"/>
              </w:rPr>
            </w:pPr>
          </w:p>
        </w:tc>
        <w:tc>
          <w:tcPr>
            <w:tcW w:w="1328" w:type="dxa"/>
            <w:vAlign w:val="center"/>
          </w:tcPr>
          <w:p>
            <w:pPr>
              <w:rPr>
                <w:rFonts w:ascii="宋体" w:hAnsi="宋体"/>
                <w:color w:val="auto"/>
                <w:szCs w:val="21"/>
                <w:highlight w:val="none"/>
              </w:rPr>
            </w:pPr>
          </w:p>
        </w:tc>
        <w:tc>
          <w:tcPr>
            <w:tcW w:w="1804" w:type="dxa"/>
            <w:vAlign w:val="center"/>
          </w:tcPr>
          <w:p>
            <w:pPr>
              <w:rPr>
                <w:rFonts w:ascii="宋体" w:hAnsi="宋体"/>
                <w:color w:val="auto"/>
                <w:szCs w:val="21"/>
                <w:highlight w:val="none"/>
              </w:rPr>
            </w:pPr>
          </w:p>
        </w:tc>
        <w:tc>
          <w:tcPr>
            <w:tcW w:w="1075"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565"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1683" w:type="dxa"/>
            <w:vAlign w:val="center"/>
          </w:tcPr>
          <w:p>
            <w:pPr>
              <w:jc w:val="center"/>
              <w:rPr>
                <w:rFonts w:ascii="宋体" w:hAnsi="宋体"/>
                <w:color w:val="auto"/>
                <w:szCs w:val="21"/>
                <w:highlight w:val="none"/>
              </w:rPr>
            </w:pPr>
          </w:p>
        </w:tc>
        <w:tc>
          <w:tcPr>
            <w:tcW w:w="852" w:type="dxa"/>
            <w:vAlign w:val="center"/>
          </w:tcPr>
          <w:p>
            <w:pPr>
              <w:jc w:val="center"/>
              <w:rPr>
                <w:rFonts w:ascii="宋体" w:hAnsi="宋体"/>
                <w:color w:val="auto"/>
                <w:szCs w:val="21"/>
                <w:highlight w:val="none"/>
              </w:rPr>
            </w:pPr>
          </w:p>
        </w:tc>
        <w:tc>
          <w:tcPr>
            <w:tcW w:w="2124" w:type="dxa"/>
            <w:vAlign w:val="center"/>
          </w:tcPr>
          <w:p>
            <w:pPr>
              <w:rPr>
                <w:rFonts w:ascii="宋体" w:hAnsi="宋体"/>
                <w:color w:val="auto"/>
                <w:szCs w:val="21"/>
                <w:highlight w:val="none"/>
              </w:rPr>
            </w:pPr>
          </w:p>
        </w:tc>
        <w:tc>
          <w:tcPr>
            <w:tcW w:w="1328" w:type="dxa"/>
            <w:vAlign w:val="center"/>
          </w:tcPr>
          <w:p>
            <w:pPr>
              <w:rPr>
                <w:rFonts w:ascii="宋体" w:hAnsi="宋体"/>
                <w:color w:val="auto"/>
                <w:szCs w:val="21"/>
                <w:highlight w:val="none"/>
              </w:rPr>
            </w:pPr>
          </w:p>
        </w:tc>
        <w:tc>
          <w:tcPr>
            <w:tcW w:w="1804" w:type="dxa"/>
            <w:vAlign w:val="center"/>
          </w:tcPr>
          <w:p>
            <w:pPr>
              <w:rPr>
                <w:rFonts w:ascii="宋体" w:hAnsi="宋体"/>
                <w:color w:val="auto"/>
                <w:szCs w:val="21"/>
                <w:highlight w:val="none"/>
              </w:rPr>
            </w:pPr>
          </w:p>
        </w:tc>
        <w:tc>
          <w:tcPr>
            <w:tcW w:w="1075"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565"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1683" w:type="dxa"/>
            <w:vAlign w:val="center"/>
          </w:tcPr>
          <w:p>
            <w:pPr>
              <w:jc w:val="center"/>
              <w:rPr>
                <w:rFonts w:ascii="宋体" w:hAnsi="宋体"/>
                <w:color w:val="auto"/>
                <w:szCs w:val="21"/>
                <w:highlight w:val="none"/>
              </w:rPr>
            </w:pPr>
          </w:p>
        </w:tc>
        <w:tc>
          <w:tcPr>
            <w:tcW w:w="852" w:type="dxa"/>
            <w:vAlign w:val="center"/>
          </w:tcPr>
          <w:p>
            <w:pPr>
              <w:jc w:val="center"/>
              <w:rPr>
                <w:rFonts w:ascii="宋体" w:hAnsi="宋体"/>
                <w:color w:val="auto"/>
                <w:szCs w:val="21"/>
                <w:highlight w:val="none"/>
              </w:rPr>
            </w:pPr>
          </w:p>
        </w:tc>
        <w:tc>
          <w:tcPr>
            <w:tcW w:w="2124" w:type="dxa"/>
            <w:vAlign w:val="center"/>
          </w:tcPr>
          <w:p>
            <w:pPr>
              <w:rPr>
                <w:rFonts w:ascii="宋体" w:hAnsi="宋体"/>
                <w:color w:val="auto"/>
                <w:szCs w:val="21"/>
                <w:highlight w:val="none"/>
              </w:rPr>
            </w:pPr>
          </w:p>
        </w:tc>
        <w:tc>
          <w:tcPr>
            <w:tcW w:w="1328" w:type="dxa"/>
            <w:vAlign w:val="center"/>
          </w:tcPr>
          <w:p>
            <w:pPr>
              <w:rPr>
                <w:rFonts w:ascii="宋体" w:hAnsi="宋体"/>
                <w:color w:val="auto"/>
                <w:szCs w:val="21"/>
                <w:highlight w:val="none"/>
              </w:rPr>
            </w:pPr>
          </w:p>
        </w:tc>
        <w:tc>
          <w:tcPr>
            <w:tcW w:w="1804" w:type="dxa"/>
            <w:vAlign w:val="center"/>
          </w:tcPr>
          <w:p>
            <w:pPr>
              <w:rPr>
                <w:rFonts w:ascii="宋体" w:hAnsi="宋体"/>
                <w:color w:val="auto"/>
                <w:szCs w:val="21"/>
                <w:highlight w:val="none"/>
              </w:rPr>
            </w:pPr>
          </w:p>
        </w:tc>
        <w:tc>
          <w:tcPr>
            <w:tcW w:w="1075"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565"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1683" w:type="dxa"/>
            <w:vAlign w:val="center"/>
          </w:tcPr>
          <w:p>
            <w:pPr>
              <w:jc w:val="center"/>
              <w:rPr>
                <w:rFonts w:ascii="宋体" w:hAnsi="宋体"/>
                <w:color w:val="auto"/>
                <w:szCs w:val="21"/>
                <w:highlight w:val="none"/>
              </w:rPr>
            </w:pPr>
          </w:p>
        </w:tc>
        <w:tc>
          <w:tcPr>
            <w:tcW w:w="852" w:type="dxa"/>
            <w:vAlign w:val="center"/>
          </w:tcPr>
          <w:p>
            <w:pPr>
              <w:jc w:val="center"/>
              <w:rPr>
                <w:rFonts w:ascii="宋体" w:hAnsi="宋体"/>
                <w:color w:val="auto"/>
                <w:szCs w:val="21"/>
                <w:highlight w:val="none"/>
              </w:rPr>
            </w:pPr>
          </w:p>
        </w:tc>
        <w:tc>
          <w:tcPr>
            <w:tcW w:w="2124" w:type="dxa"/>
            <w:vAlign w:val="center"/>
          </w:tcPr>
          <w:p>
            <w:pPr>
              <w:rPr>
                <w:rFonts w:ascii="宋体" w:hAnsi="宋体"/>
                <w:color w:val="auto"/>
                <w:szCs w:val="21"/>
                <w:highlight w:val="none"/>
              </w:rPr>
            </w:pPr>
          </w:p>
        </w:tc>
        <w:tc>
          <w:tcPr>
            <w:tcW w:w="1328" w:type="dxa"/>
            <w:vAlign w:val="center"/>
          </w:tcPr>
          <w:p>
            <w:pPr>
              <w:rPr>
                <w:rFonts w:ascii="宋体" w:hAnsi="宋体"/>
                <w:color w:val="auto"/>
                <w:szCs w:val="21"/>
                <w:highlight w:val="none"/>
              </w:rPr>
            </w:pPr>
          </w:p>
        </w:tc>
        <w:tc>
          <w:tcPr>
            <w:tcW w:w="1804" w:type="dxa"/>
            <w:vAlign w:val="center"/>
          </w:tcPr>
          <w:p>
            <w:pPr>
              <w:rPr>
                <w:rFonts w:ascii="宋体" w:hAnsi="宋体"/>
                <w:color w:val="auto"/>
                <w:szCs w:val="21"/>
                <w:highlight w:val="none"/>
              </w:rPr>
            </w:pPr>
          </w:p>
        </w:tc>
        <w:tc>
          <w:tcPr>
            <w:tcW w:w="1075"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565"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1683" w:type="dxa"/>
            <w:vAlign w:val="center"/>
          </w:tcPr>
          <w:p>
            <w:pPr>
              <w:jc w:val="center"/>
              <w:rPr>
                <w:rFonts w:ascii="宋体" w:hAnsi="宋体"/>
                <w:color w:val="auto"/>
                <w:szCs w:val="21"/>
                <w:highlight w:val="none"/>
              </w:rPr>
            </w:pPr>
          </w:p>
        </w:tc>
        <w:tc>
          <w:tcPr>
            <w:tcW w:w="852" w:type="dxa"/>
            <w:vAlign w:val="center"/>
          </w:tcPr>
          <w:p>
            <w:pPr>
              <w:jc w:val="center"/>
              <w:rPr>
                <w:rFonts w:ascii="宋体" w:hAnsi="宋体"/>
                <w:color w:val="auto"/>
                <w:szCs w:val="21"/>
                <w:highlight w:val="none"/>
              </w:rPr>
            </w:pPr>
          </w:p>
        </w:tc>
        <w:tc>
          <w:tcPr>
            <w:tcW w:w="2124" w:type="dxa"/>
            <w:vAlign w:val="center"/>
          </w:tcPr>
          <w:p>
            <w:pPr>
              <w:rPr>
                <w:rFonts w:ascii="宋体" w:hAnsi="宋体"/>
                <w:color w:val="auto"/>
                <w:szCs w:val="21"/>
                <w:highlight w:val="none"/>
              </w:rPr>
            </w:pPr>
          </w:p>
        </w:tc>
        <w:tc>
          <w:tcPr>
            <w:tcW w:w="1328" w:type="dxa"/>
            <w:vAlign w:val="center"/>
          </w:tcPr>
          <w:p>
            <w:pPr>
              <w:rPr>
                <w:rFonts w:ascii="宋体" w:hAnsi="宋体"/>
                <w:color w:val="auto"/>
                <w:szCs w:val="21"/>
                <w:highlight w:val="none"/>
              </w:rPr>
            </w:pPr>
          </w:p>
        </w:tc>
        <w:tc>
          <w:tcPr>
            <w:tcW w:w="1804" w:type="dxa"/>
            <w:vAlign w:val="center"/>
          </w:tcPr>
          <w:p>
            <w:pPr>
              <w:rPr>
                <w:rFonts w:ascii="宋体" w:hAnsi="宋体"/>
                <w:color w:val="auto"/>
                <w:szCs w:val="21"/>
                <w:highlight w:val="none"/>
              </w:rPr>
            </w:pPr>
          </w:p>
        </w:tc>
        <w:tc>
          <w:tcPr>
            <w:tcW w:w="1075"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565"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683" w:type="dxa"/>
            <w:vAlign w:val="center"/>
          </w:tcPr>
          <w:p>
            <w:pPr>
              <w:jc w:val="center"/>
              <w:rPr>
                <w:rFonts w:ascii="宋体" w:hAnsi="宋体"/>
                <w:color w:val="auto"/>
                <w:szCs w:val="21"/>
                <w:highlight w:val="none"/>
              </w:rPr>
            </w:pPr>
          </w:p>
        </w:tc>
        <w:tc>
          <w:tcPr>
            <w:tcW w:w="852" w:type="dxa"/>
            <w:vAlign w:val="center"/>
          </w:tcPr>
          <w:p>
            <w:pPr>
              <w:jc w:val="center"/>
              <w:rPr>
                <w:rFonts w:ascii="宋体" w:hAnsi="宋体"/>
                <w:color w:val="auto"/>
                <w:szCs w:val="21"/>
                <w:highlight w:val="none"/>
              </w:rPr>
            </w:pPr>
          </w:p>
        </w:tc>
        <w:tc>
          <w:tcPr>
            <w:tcW w:w="2124" w:type="dxa"/>
            <w:vAlign w:val="center"/>
          </w:tcPr>
          <w:p>
            <w:pPr>
              <w:rPr>
                <w:rFonts w:ascii="宋体" w:hAnsi="宋体"/>
                <w:color w:val="auto"/>
                <w:szCs w:val="21"/>
                <w:highlight w:val="none"/>
              </w:rPr>
            </w:pPr>
          </w:p>
        </w:tc>
        <w:tc>
          <w:tcPr>
            <w:tcW w:w="1328" w:type="dxa"/>
            <w:vAlign w:val="center"/>
          </w:tcPr>
          <w:p>
            <w:pPr>
              <w:rPr>
                <w:rFonts w:ascii="宋体" w:hAnsi="宋体"/>
                <w:color w:val="auto"/>
                <w:szCs w:val="21"/>
                <w:highlight w:val="none"/>
              </w:rPr>
            </w:pPr>
          </w:p>
        </w:tc>
        <w:tc>
          <w:tcPr>
            <w:tcW w:w="1804" w:type="dxa"/>
            <w:vAlign w:val="center"/>
          </w:tcPr>
          <w:p>
            <w:pPr>
              <w:rPr>
                <w:rFonts w:ascii="宋体" w:hAnsi="宋体"/>
                <w:color w:val="auto"/>
                <w:szCs w:val="21"/>
                <w:highlight w:val="none"/>
              </w:rPr>
            </w:pPr>
          </w:p>
        </w:tc>
        <w:tc>
          <w:tcPr>
            <w:tcW w:w="1075"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565" w:type="dxa"/>
            <w:vAlign w:val="center"/>
          </w:tcPr>
          <w:p>
            <w:pPr>
              <w:jc w:val="center"/>
              <w:rPr>
                <w:rFonts w:ascii="宋体" w:hAnsi="宋体"/>
                <w:color w:val="auto"/>
                <w:szCs w:val="21"/>
                <w:highlight w:val="none"/>
              </w:rPr>
            </w:pPr>
            <w:r>
              <w:rPr>
                <w:rFonts w:hint="eastAsia" w:ascii="宋体" w:hAnsi="宋体"/>
                <w:color w:val="auto"/>
                <w:szCs w:val="21"/>
                <w:highlight w:val="none"/>
              </w:rPr>
              <w:t>N</w:t>
            </w:r>
          </w:p>
        </w:tc>
        <w:tc>
          <w:tcPr>
            <w:tcW w:w="1683" w:type="dxa"/>
            <w:vAlign w:val="center"/>
          </w:tcPr>
          <w:p>
            <w:pPr>
              <w:jc w:val="center"/>
              <w:rPr>
                <w:rFonts w:ascii="宋体" w:hAnsi="宋体"/>
                <w:color w:val="auto"/>
                <w:szCs w:val="21"/>
                <w:highlight w:val="none"/>
              </w:rPr>
            </w:pPr>
          </w:p>
        </w:tc>
        <w:tc>
          <w:tcPr>
            <w:tcW w:w="852" w:type="dxa"/>
            <w:vAlign w:val="center"/>
          </w:tcPr>
          <w:p>
            <w:pPr>
              <w:jc w:val="center"/>
              <w:rPr>
                <w:rFonts w:ascii="宋体" w:hAnsi="宋体"/>
                <w:color w:val="auto"/>
                <w:szCs w:val="21"/>
                <w:highlight w:val="none"/>
              </w:rPr>
            </w:pPr>
          </w:p>
        </w:tc>
        <w:tc>
          <w:tcPr>
            <w:tcW w:w="2124" w:type="dxa"/>
            <w:vAlign w:val="center"/>
          </w:tcPr>
          <w:p>
            <w:pPr>
              <w:rPr>
                <w:rFonts w:ascii="宋体" w:hAnsi="宋体"/>
                <w:color w:val="auto"/>
                <w:szCs w:val="21"/>
                <w:highlight w:val="none"/>
              </w:rPr>
            </w:pPr>
          </w:p>
        </w:tc>
        <w:tc>
          <w:tcPr>
            <w:tcW w:w="1328" w:type="dxa"/>
            <w:vAlign w:val="center"/>
          </w:tcPr>
          <w:p>
            <w:pPr>
              <w:rPr>
                <w:rFonts w:ascii="宋体" w:hAnsi="宋体"/>
                <w:color w:val="auto"/>
                <w:szCs w:val="21"/>
                <w:highlight w:val="none"/>
              </w:rPr>
            </w:pPr>
          </w:p>
        </w:tc>
        <w:tc>
          <w:tcPr>
            <w:tcW w:w="1804" w:type="dxa"/>
            <w:vAlign w:val="center"/>
          </w:tcPr>
          <w:p>
            <w:pPr>
              <w:rPr>
                <w:rFonts w:ascii="宋体" w:hAnsi="宋体"/>
                <w:color w:val="auto"/>
                <w:szCs w:val="21"/>
                <w:highlight w:val="none"/>
              </w:rPr>
            </w:pPr>
          </w:p>
        </w:tc>
        <w:tc>
          <w:tcPr>
            <w:tcW w:w="1075"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9431" w:type="dxa"/>
            <w:gridSpan w:val="7"/>
            <w:vAlign w:val="center"/>
          </w:tcPr>
          <w:p>
            <w:pPr>
              <w:rPr>
                <w:rFonts w:ascii="宋体" w:hAnsi="宋体"/>
                <w:color w:val="auto"/>
                <w:szCs w:val="21"/>
                <w:highlight w:val="none"/>
              </w:rPr>
            </w:pPr>
            <w:r>
              <w:rPr>
                <w:rFonts w:hint="eastAsia" w:ascii="宋体" w:hAnsi="宋体"/>
                <w:color w:val="auto"/>
                <w:szCs w:val="21"/>
                <w:highlight w:val="none"/>
              </w:rPr>
              <w:t>总报价（人民币大写）：（¥元）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9431" w:type="dxa"/>
            <w:gridSpan w:val="7"/>
            <w:vAlign w:val="center"/>
          </w:tcPr>
          <w:p>
            <w:pPr>
              <w:rPr>
                <w:rFonts w:ascii="宋体" w:hAnsi="宋体"/>
                <w:color w:val="auto"/>
                <w:szCs w:val="21"/>
                <w:highlight w:val="none"/>
              </w:rPr>
            </w:pPr>
            <w:r>
              <w:rPr>
                <w:rFonts w:hint="eastAsia" w:ascii="宋体" w:hAnsi="宋体"/>
                <w:color w:val="auto"/>
                <w:szCs w:val="21"/>
                <w:highlight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9431" w:type="dxa"/>
            <w:gridSpan w:val="7"/>
            <w:vAlign w:val="center"/>
          </w:tcPr>
          <w:p>
            <w:pPr>
              <w:rPr>
                <w:rFonts w:ascii="宋体" w:hAnsi="宋体"/>
                <w:color w:val="auto"/>
                <w:szCs w:val="21"/>
                <w:highlight w:val="none"/>
              </w:rPr>
            </w:pPr>
            <w:r>
              <w:rPr>
                <w:rFonts w:hint="eastAsia" w:hAnsi="宋体"/>
                <w:color w:val="auto"/>
                <w:highlight w:val="none"/>
              </w:rPr>
              <w:t>注</w:t>
            </w:r>
            <w:r>
              <w:rPr>
                <w:rFonts w:hAnsi="宋体"/>
                <w:color w:val="auto"/>
                <w:highlight w:val="none"/>
              </w:rPr>
              <w:t>：</w:t>
            </w:r>
            <w:r>
              <w:rPr>
                <w:rFonts w:hint="eastAsia" w:hAnsi="宋体"/>
                <w:color w:val="auto"/>
                <w:highlight w:val="none"/>
              </w:rPr>
              <w:t>报价是履行合同的最终价格，本项目实行总承包报价；包含货物采购、专用工具、标准附件、运输、保管、安装、验收、培训等各种费用和售后服务、税金及其它所有成本费用的总和。供应商应对本项目的所有内容范围的货物及服务进行总承包报价；采购人不再支付任何费用。</w:t>
            </w:r>
          </w:p>
        </w:tc>
      </w:tr>
    </w:tbl>
    <w:p>
      <w:pPr>
        <w:rPr>
          <w:rFonts w:ascii="宋体" w:hAnsi="宋体"/>
          <w:color w:val="auto"/>
          <w:szCs w:val="21"/>
          <w:highlight w:val="none"/>
        </w:rPr>
      </w:pPr>
    </w:p>
    <w:p>
      <w:pPr>
        <w:jc w:val="center"/>
        <w:rPr>
          <w:rFonts w:ascii="宋体" w:hAnsi="宋体"/>
          <w:color w:val="auto"/>
          <w:szCs w:val="21"/>
          <w:highlight w:val="none"/>
        </w:rPr>
      </w:pPr>
    </w:p>
    <w:p>
      <w:pPr>
        <w:spacing w:line="600" w:lineRule="exact"/>
        <w:rPr>
          <w:rFonts w:ascii="宋体" w:hAnsi="宋体"/>
          <w:color w:val="auto"/>
          <w:szCs w:val="21"/>
          <w:highlight w:val="none"/>
          <w:u w:val="single"/>
        </w:rPr>
      </w:pPr>
      <w:r>
        <w:rPr>
          <w:rFonts w:hint="eastAsia" w:ascii="宋体" w:hAnsi="宋体"/>
          <w:color w:val="auto"/>
          <w:szCs w:val="21"/>
          <w:highlight w:val="none"/>
        </w:rPr>
        <w:t>法定代表人或法定代表人授权代表签字：</w:t>
      </w:r>
    </w:p>
    <w:p>
      <w:pPr>
        <w:spacing w:line="600" w:lineRule="exact"/>
        <w:rPr>
          <w:rFonts w:ascii="宋体" w:hAnsi="宋体"/>
          <w:color w:val="auto"/>
          <w:sz w:val="13"/>
          <w:szCs w:val="13"/>
          <w:highlight w:val="none"/>
          <w:u w:val="single"/>
        </w:rPr>
      </w:pPr>
      <w:r>
        <w:rPr>
          <w:rFonts w:hint="eastAsia" w:ascii="宋体" w:hAnsi="宋体"/>
          <w:color w:val="auto"/>
          <w:szCs w:val="21"/>
          <w:highlight w:val="none"/>
        </w:rPr>
        <w:t>供应商名称（公章）：</w:t>
      </w:r>
    </w:p>
    <w:p>
      <w:pPr>
        <w:adjustRightInd w:val="0"/>
        <w:snapToGrid w:val="0"/>
        <w:spacing w:line="600" w:lineRule="exact"/>
        <w:ind w:left="-88" w:leftChars="-42" w:firstLine="105" w:firstLineChars="50"/>
        <w:rPr>
          <w:rFonts w:ascii="宋体" w:hAnsi="宋体"/>
          <w:color w:val="auto"/>
          <w:szCs w:val="21"/>
          <w:highlight w:val="none"/>
          <w:u w:val="single"/>
        </w:rPr>
      </w:pPr>
      <w:r>
        <w:rPr>
          <w:rFonts w:hint="eastAsia" w:ascii="宋体" w:hAnsi="宋体"/>
          <w:color w:val="auto"/>
          <w:szCs w:val="21"/>
          <w:highlight w:val="none"/>
        </w:rPr>
        <w:t>日   期：</w:t>
      </w:r>
    </w:p>
    <w:p>
      <w:pPr>
        <w:shd w:val="clear" w:color="auto" w:fill="FFFFFF"/>
        <w:spacing w:after="240" w:line="360" w:lineRule="atLeast"/>
        <w:ind w:firstLine="480"/>
        <w:jc w:val="center"/>
        <w:rPr>
          <w:rFonts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3.中小企业声明函</w:t>
      </w:r>
    </w:p>
    <w:p>
      <w:pPr>
        <w:widowControl/>
        <w:shd w:val="clear" w:color="auto" w:fill="FFFFFF"/>
        <w:spacing w:after="240" w:line="360" w:lineRule="atLeast"/>
        <w:ind w:firstLine="48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w:t>
      </w:r>
    </w:p>
    <w:p>
      <w:pPr>
        <w:widowControl/>
        <w:shd w:val="clear" w:color="auto" w:fill="FFFFFF"/>
        <w:spacing w:after="240" w:line="36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本公司郑重声明，根据《政府采购促进中小企业发展暂行办法》（财库[2011]181号）的规定，本公司为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（请填写：中型.小型.微型）企业。即，本公司同时满足以下条件：</w:t>
      </w:r>
    </w:p>
    <w:p>
      <w:pPr>
        <w:widowControl/>
        <w:shd w:val="clear" w:color="auto" w:fill="FFFFFF"/>
        <w:spacing w:after="240" w:line="36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1.根据《工业和信息化部.国家统计局.国家发展和改革委员会.财政部关于印发中小企业划型标准规定的通知》（工信部联企业[2011]300号）规定的划分标准，本公司为（请填写：中型.小型.微型）企业。</w:t>
      </w:r>
    </w:p>
    <w:p>
      <w:pPr>
        <w:widowControl/>
        <w:shd w:val="clear" w:color="auto" w:fill="FFFFFF"/>
        <w:spacing w:after="240" w:line="36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2.本公司参加单位的项目采购活动提供本企业制造的货物，由本企业承担工程.提供服务，或者提供其他（请填写：中型.小型.微型）企业制造的货物。本条所称货物不包括使用大型企业注册商标的货物。</w:t>
      </w:r>
    </w:p>
    <w:p>
      <w:pPr>
        <w:widowControl/>
        <w:shd w:val="clear" w:color="auto" w:fill="FFFFFF"/>
        <w:spacing w:after="240" w:line="36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本公司对上述声明的真实性负责。如有虚假，将依法承担相应责任。</w:t>
      </w:r>
    </w:p>
    <w:p>
      <w:pPr>
        <w:spacing w:line="600" w:lineRule="exact"/>
        <w:rPr>
          <w:rFonts w:ascii="宋体" w:hAnsi="宋体"/>
          <w:color w:val="auto"/>
          <w:szCs w:val="21"/>
          <w:highlight w:val="none"/>
          <w:u w:val="single"/>
        </w:rPr>
      </w:pPr>
      <w:r>
        <w:rPr>
          <w:rFonts w:hint="eastAsia" w:ascii="宋体" w:hAnsi="宋体" w:cs="宋体"/>
          <w:color w:val="auto"/>
          <w:kern w:val="0"/>
          <w:szCs w:val="21"/>
          <w:highlight w:val="none"/>
        </w:rPr>
        <w:t> </w:t>
      </w:r>
      <w:r>
        <w:rPr>
          <w:rFonts w:hint="eastAsia" w:ascii="宋体" w:hAnsi="宋体"/>
          <w:color w:val="auto"/>
          <w:szCs w:val="21"/>
          <w:highlight w:val="none"/>
        </w:rPr>
        <w:t>法定代表人或法定代表人授权代表签字：</w:t>
      </w:r>
    </w:p>
    <w:p>
      <w:pPr>
        <w:spacing w:line="600" w:lineRule="exact"/>
        <w:ind w:firstLine="210" w:firstLineChars="100"/>
        <w:rPr>
          <w:rFonts w:ascii="宋体" w:hAnsi="宋体"/>
          <w:color w:val="auto"/>
          <w:sz w:val="13"/>
          <w:szCs w:val="13"/>
          <w:highlight w:val="none"/>
          <w:u w:val="single"/>
        </w:rPr>
      </w:pPr>
      <w:r>
        <w:rPr>
          <w:rFonts w:hint="eastAsia" w:ascii="宋体" w:hAnsi="宋体"/>
          <w:color w:val="auto"/>
          <w:szCs w:val="21"/>
          <w:highlight w:val="none"/>
        </w:rPr>
        <w:t>供应商名称（公章）：</w:t>
      </w:r>
    </w:p>
    <w:p>
      <w:pPr>
        <w:adjustRightInd w:val="0"/>
        <w:snapToGrid w:val="0"/>
        <w:spacing w:line="600" w:lineRule="exact"/>
        <w:ind w:left="-88" w:leftChars="-42" w:firstLine="315" w:firstLineChars="150"/>
        <w:rPr>
          <w:rFonts w:ascii="宋体" w:hAnsi="宋体"/>
          <w:color w:val="auto"/>
          <w:szCs w:val="21"/>
          <w:highlight w:val="none"/>
          <w:u w:val="single"/>
        </w:rPr>
      </w:pPr>
      <w:r>
        <w:rPr>
          <w:rFonts w:hint="eastAsia" w:ascii="宋体" w:hAnsi="宋体"/>
          <w:color w:val="auto"/>
          <w:szCs w:val="21"/>
          <w:highlight w:val="none"/>
        </w:rPr>
        <w:t>日   期：</w:t>
      </w:r>
    </w:p>
    <w:p>
      <w:pPr>
        <w:widowControl/>
        <w:shd w:val="clear" w:color="auto" w:fill="FFFFFF"/>
        <w:spacing w:after="240" w:line="360" w:lineRule="atLeast"/>
        <w:ind w:firstLine="480"/>
        <w:jc w:val="left"/>
        <w:rPr>
          <w:rFonts w:ascii="宋体" w:hAnsi="宋体"/>
          <w:b/>
          <w:color w:val="auto"/>
          <w:szCs w:val="21"/>
          <w:highlight w:val="none"/>
        </w:rPr>
      </w:pPr>
    </w:p>
    <w:p>
      <w:pPr>
        <w:spacing w:line="300" w:lineRule="auto"/>
        <w:jc w:val="center"/>
        <w:rPr>
          <w:rFonts w:ascii="宋体" w:hAnsi="宋体"/>
          <w:b/>
          <w:color w:val="auto"/>
          <w:szCs w:val="21"/>
          <w:highlight w:val="none"/>
        </w:rPr>
      </w:pPr>
    </w:p>
    <w:p>
      <w:pPr>
        <w:spacing w:line="300" w:lineRule="auto"/>
        <w:jc w:val="center"/>
        <w:rPr>
          <w:rFonts w:ascii="宋体" w:hAnsi="宋体"/>
          <w:b/>
          <w:color w:val="auto"/>
          <w:sz w:val="32"/>
          <w:szCs w:val="32"/>
          <w:highlight w:val="none"/>
        </w:rPr>
      </w:pPr>
    </w:p>
    <w:p>
      <w:pPr>
        <w:spacing w:line="300" w:lineRule="auto"/>
        <w:jc w:val="center"/>
        <w:rPr>
          <w:rFonts w:ascii="宋体" w:hAnsi="宋体" w:cs="宋体"/>
          <w:b/>
          <w:bCs/>
          <w:color w:val="auto"/>
          <w:sz w:val="28"/>
          <w:szCs w:val="28"/>
          <w:highlight w:val="none"/>
        </w:rPr>
      </w:pPr>
      <w:r>
        <w:rPr>
          <w:rFonts w:ascii="宋体" w:hAnsi="宋体"/>
          <w:b/>
          <w:color w:val="auto"/>
          <w:sz w:val="32"/>
          <w:szCs w:val="32"/>
          <w:highlight w:val="none"/>
        </w:rPr>
        <w:br w:type="page"/>
      </w:r>
      <w:r>
        <w:rPr>
          <w:rFonts w:ascii="宋体" w:hAnsi="宋体"/>
          <w:b/>
          <w:color w:val="auto"/>
          <w:sz w:val="28"/>
          <w:szCs w:val="28"/>
          <w:highlight w:val="none"/>
        </w:rPr>
        <w:t>4.</w:t>
      </w:r>
      <w:r>
        <w:rPr>
          <w:rFonts w:hint="eastAsia" w:ascii="宋体" w:hAnsi="宋体" w:cs="宋体"/>
          <w:b/>
          <w:bCs/>
          <w:color w:val="auto"/>
          <w:sz w:val="28"/>
          <w:szCs w:val="28"/>
          <w:highlight w:val="none"/>
        </w:rPr>
        <w:t>监狱企业由省级以上监狱管理局.戒毒管理局（含新疆生产建设兵团）出具的属于监狱企业的证明文件</w:t>
      </w:r>
    </w:p>
    <w:p>
      <w:pPr>
        <w:spacing w:line="300" w:lineRule="auto"/>
        <w:jc w:val="center"/>
        <w:rPr>
          <w:rFonts w:ascii="宋体" w:hAnsi="宋体"/>
          <w:b/>
          <w:color w:val="auto"/>
          <w:sz w:val="28"/>
          <w:szCs w:val="28"/>
          <w:highlight w:val="none"/>
        </w:rPr>
      </w:pPr>
    </w:p>
    <w:p>
      <w:pPr>
        <w:spacing w:line="300" w:lineRule="auto"/>
        <w:rPr>
          <w:rFonts w:ascii="宋体" w:hAnsi="宋体"/>
          <w:b/>
          <w:color w:val="auto"/>
          <w:sz w:val="28"/>
          <w:szCs w:val="28"/>
          <w:highlight w:val="none"/>
        </w:rPr>
      </w:pPr>
      <w:bookmarkStart w:id="50" w:name="OLE_LINK14"/>
      <w:bookmarkStart w:id="51" w:name="OLE_LINK13"/>
    </w:p>
    <w:p>
      <w:pPr>
        <w:spacing w:line="300" w:lineRule="auto"/>
        <w:rPr>
          <w:rFonts w:ascii="宋体" w:hAnsi="宋体"/>
          <w:b/>
          <w:color w:val="auto"/>
          <w:sz w:val="28"/>
          <w:szCs w:val="28"/>
          <w:highlight w:val="none"/>
        </w:rPr>
      </w:pPr>
    </w:p>
    <w:p>
      <w:pPr>
        <w:spacing w:line="300" w:lineRule="auto"/>
        <w:rPr>
          <w:rFonts w:ascii="宋体" w:hAnsi="宋体"/>
          <w:b/>
          <w:color w:val="auto"/>
          <w:sz w:val="28"/>
          <w:szCs w:val="28"/>
          <w:highlight w:val="none"/>
        </w:rPr>
      </w:pPr>
    </w:p>
    <w:p>
      <w:pPr>
        <w:spacing w:line="300" w:lineRule="auto"/>
        <w:rPr>
          <w:rFonts w:ascii="宋体" w:hAnsi="宋体"/>
          <w:b/>
          <w:color w:val="auto"/>
          <w:sz w:val="28"/>
          <w:szCs w:val="28"/>
          <w:highlight w:val="none"/>
        </w:rPr>
      </w:pPr>
    </w:p>
    <w:p>
      <w:pPr>
        <w:spacing w:line="300" w:lineRule="auto"/>
        <w:jc w:val="center"/>
        <w:rPr>
          <w:rFonts w:ascii="宋体" w:hAnsi="宋体"/>
          <w:b/>
          <w:color w:val="auto"/>
          <w:sz w:val="10"/>
          <w:szCs w:val="10"/>
          <w:highlight w:val="none"/>
        </w:rPr>
      </w:pPr>
      <w:r>
        <w:rPr>
          <w:rFonts w:hint="eastAsia" w:ascii="宋体" w:hAnsi="宋体"/>
          <w:b/>
          <w:color w:val="auto"/>
          <w:sz w:val="28"/>
          <w:szCs w:val="28"/>
          <w:highlight w:val="none"/>
        </w:rPr>
        <w:t>5.残疾人福利性单位声明函</w:t>
      </w:r>
    </w:p>
    <w:bookmarkEnd w:id="50"/>
    <w:bookmarkEnd w:id="51"/>
    <w:p>
      <w:pPr>
        <w:spacing w:line="588" w:lineRule="exact"/>
        <w:rPr>
          <w:rFonts w:ascii="仿宋_GB2312" w:eastAsia="仿宋_GB2312"/>
          <w:b/>
          <w:color w:val="auto"/>
          <w:spacing w:val="6"/>
          <w:sz w:val="28"/>
          <w:szCs w:val="28"/>
          <w:highlight w:val="none"/>
        </w:rPr>
      </w:pP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588" w:lineRule="exact"/>
        <w:ind w:firstLine="420" w:firstLineChars="200"/>
        <w:rPr>
          <w:rFonts w:ascii="宋体" w:hAnsi="宋体"/>
          <w:color w:val="auto"/>
          <w:szCs w:val="21"/>
          <w:highlight w:val="none"/>
        </w:rPr>
      </w:pPr>
    </w:p>
    <w:p>
      <w:pPr>
        <w:spacing w:line="588" w:lineRule="exact"/>
        <w:ind w:firstLine="420" w:firstLineChars="200"/>
        <w:rPr>
          <w:rFonts w:ascii="宋体" w:hAnsi="宋体"/>
          <w:color w:val="auto"/>
          <w:szCs w:val="21"/>
          <w:highlight w:val="none"/>
        </w:rPr>
      </w:pPr>
    </w:p>
    <w:p>
      <w:pPr>
        <w:spacing w:line="600" w:lineRule="exact"/>
        <w:rPr>
          <w:rFonts w:ascii="宋体" w:hAnsi="宋体"/>
          <w:color w:val="auto"/>
          <w:szCs w:val="21"/>
          <w:highlight w:val="none"/>
          <w:u w:val="single"/>
        </w:rPr>
      </w:pPr>
      <w:r>
        <w:rPr>
          <w:rFonts w:hint="eastAsia" w:ascii="宋体" w:hAnsi="宋体" w:cs="宋体"/>
          <w:color w:val="auto"/>
          <w:kern w:val="0"/>
          <w:szCs w:val="21"/>
          <w:highlight w:val="none"/>
        </w:rPr>
        <w:t> </w:t>
      </w:r>
      <w:r>
        <w:rPr>
          <w:rFonts w:hint="eastAsia" w:ascii="宋体" w:hAnsi="宋体"/>
          <w:color w:val="auto"/>
          <w:szCs w:val="21"/>
          <w:highlight w:val="none"/>
        </w:rPr>
        <w:t>法定代表人或法定代表人授权代表签字：</w:t>
      </w:r>
    </w:p>
    <w:p>
      <w:pPr>
        <w:spacing w:line="600" w:lineRule="exact"/>
        <w:ind w:firstLine="210" w:firstLineChars="100"/>
        <w:rPr>
          <w:rFonts w:ascii="宋体" w:hAnsi="宋体"/>
          <w:color w:val="auto"/>
          <w:sz w:val="13"/>
          <w:szCs w:val="13"/>
          <w:highlight w:val="none"/>
          <w:u w:val="single"/>
        </w:rPr>
      </w:pPr>
      <w:r>
        <w:rPr>
          <w:rFonts w:hint="eastAsia" w:ascii="宋体" w:hAnsi="宋体"/>
          <w:color w:val="auto"/>
          <w:szCs w:val="21"/>
          <w:highlight w:val="none"/>
        </w:rPr>
        <w:t>供应商名称（公章）：</w:t>
      </w:r>
    </w:p>
    <w:p>
      <w:pPr>
        <w:adjustRightInd w:val="0"/>
        <w:snapToGrid w:val="0"/>
        <w:spacing w:line="600" w:lineRule="exact"/>
        <w:ind w:left="-88" w:leftChars="-42" w:firstLine="315" w:firstLineChars="150"/>
        <w:rPr>
          <w:rFonts w:ascii="宋体" w:hAnsi="宋体"/>
          <w:color w:val="auto"/>
          <w:szCs w:val="21"/>
          <w:highlight w:val="none"/>
          <w:u w:val="single"/>
        </w:rPr>
      </w:pPr>
      <w:r>
        <w:rPr>
          <w:rFonts w:hint="eastAsia" w:ascii="宋体" w:hAnsi="宋体"/>
          <w:color w:val="auto"/>
          <w:szCs w:val="21"/>
          <w:highlight w:val="none"/>
        </w:rPr>
        <w:t>日   期：</w:t>
      </w:r>
    </w:p>
    <w:p>
      <w:pPr>
        <w:rPr>
          <w:color w:val="auto"/>
          <w:szCs w:val="21"/>
          <w:highlight w:val="none"/>
        </w:rPr>
      </w:pPr>
    </w:p>
    <w:p>
      <w:pPr>
        <w:spacing w:line="300" w:lineRule="auto"/>
        <w:jc w:val="center"/>
        <w:rPr>
          <w:rFonts w:ascii="宋体" w:hAnsi="宋体"/>
          <w:b/>
          <w:color w:val="auto"/>
          <w:szCs w:val="21"/>
          <w:highlight w:val="none"/>
        </w:rPr>
      </w:pPr>
    </w:p>
    <w:p>
      <w:pPr>
        <w:spacing w:line="300" w:lineRule="auto"/>
        <w:jc w:val="center"/>
        <w:rPr>
          <w:rFonts w:ascii="宋体" w:hAnsi="宋体"/>
          <w:b/>
          <w:color w:val="auto"/>
          <w:szCs w:val="21"/>
          <w:highlight w:val="none"/>
        </w:rPr>
      </w:pPr>
    </w:p>
    <w:p>
      <w:pPr>
        <w:spacing w:line="300" w:lineRule="auto"/>
        <w:jc w:val="center"/>
        <w:rPr>
          <w:rFonts w:ascii="宋体" w:hAnsi="宋体"/>
          <w:b/>
          <w:color w:val="auto"/>
          <w:szCs w:val="21"/>
          <w:highlight w:val="none"/>
        </w:rPr>
      </w:pPr>
    </w:p>
    <w:p>
      <w:pPr>
        <w:spacing w:line="300" w:lineRule="auto"/>
        <w:jc w:val="center"/>
        <w:rPr>
          <w:rFonts w:ascii="宋体" w:hAnsi="宋体"/>
          <w:b/>
          <w:color w:val="auto"/>
          <w:szCs w:val="21"/>
          <w:highlight w:val="none"/>
        </w:rPr>
      </w:pPr>
    </w:p>
    <w:p>
      <w:pPr>
        <w:spacing w:line="300" w:lineRule="auto"/>
        <w:jc w:val="center"/>
        <w:rPr>
          <w:rFonts w:ascii="宋体" w:hAnsi="宋体"/>
          <w:b/>
          <w:color w:val="auto"/>
          <w:szCs w:val="21"/>
          <w:highlight w:val="none"/>
        </w:rPr>
      </w:pPr>
    </w:p>
    <w:p>
      <w:pPr>
        <w:spacing w:line="300" w:lineRule="auto"/>
        <w:jc w:val="center"/>
        <w:rPr>
          <w:rFonts w:ascii="宋体" w:hAnsi="宋体"/>
          <w:b/>
          <w:color w:val="auto"/>
          <w:szCs w:val="21"/>
          <w:highlight w:val="none"/>
        </w:rPr>
      </w:pPr>
    </w:p>
    <w:p>
      <w:pPr>
        <w:spacing w:line="300" w:lineRule="auto"/>
        <w:jc w:val="center"/>
        <w:rPr>
          <w:rFonts w:ascii="宋体" w:hAnsi="宋体"/>
          <w:b/>
          <w:color w:val="auto"/>
          <w:szCs w:val="21"/>
          <w:highlight w:val="none"/>
        </w:rPr>
      </w:pPr>
    </w:p>
    <w:p>
      <w:pPr>
        <w:spacing w:line="300" w:lineRule="auto"/>
        <w:jc w:val="center"/>
        <w:rPr>
          <w:rFonts w:ascii="宋体" w:hAnsi="宋体"/>
          <w:b/>
          <w:color w:val="auto"/>
          <w:sz w:val="28"/>
          <w:szCs w:val="28"/>
          <w:highlight w:val="none"/>
        </w:rPr>
      </w:pPr>
      <w:r>
        <w:rPr>
          <w:rFonts w:hint="eastAsia" w:ascii="宋体" w:hAnsi="宋体"/>
          <w:b/>
          <w:color w:val="auto"/>
          <w:sz w:val="28"/>
          <w:szCs w:val="28"/>
          <w:highlight w:val="none"/>
        </w:rPr>
        <w:t>6.供应商针对报价需要说明的其他文件和说明（格式自拟）</w:t>
      </w:r>
    </w:p>
    <w:p>
      <w:pPr>
        <w:spacing w:line="300" w:lineRule="auto"/>
        <w:jc w:val="center"/>
        <w:rPr>
          <w:rFonts w:ascii="宋体" w:hAnsi="宋体"/>
          <w:b/>
          <w:color w:val="auto"/>
          <w:sz w:val="28"/>
          <w:szCs w:val="28"/>
          <w:highlight w:val="none"/>
        </w:rPr>
      </w:pPr>
      <w:r>
        <w:rPr>
          <w:rFonts w:ascii="宋体" w:hAnsi="宋体"/>
          <w:b/>
          <w:color w:val="auto"/>
          <w:sz w:val="28"/>
          <w:szCs w:val="28"/>
          <w:highlight w:val="none"/>
        </w:rPr>
        <w:br w:type="page"/>
      </w:r>
    </w:p>
    <w:p>
      <w:pPr>
        <w:spacing w:line="400" w:lineRule="exact"/>
        <w:rPr>
          <w:rFonts w:ascii="宋体" w:hAnsi="宋体"/>
          <w:color w:val="auto"/>
          <w:szCs w:val="21"/>
          <w:highlight w:val="none"/>
        </w:rPr>
      </w:pPr>
    </w:p>
    <w:p>
      <w:pPr>
        <w:spacing w:line="400" w:lineRule="exact"/>
        <w:ind w:firstLine="723" w:firstLineChars="200"/>
        <w:jc w:val="center"/>
        <w:rPr>
          <w:rFonts w:ascii="宋体" w:hAnsi="宋体"/>
          <w:b/>
          <w:color w:val="auto"/>
          <w:sz w:val="36"/>
          <w:szCs w:val="36"/>
          <w:highlight w:val="none"/>
        </w:rPr>
      </w:pPr>
      <w:r>
        <w:rPr>
          <w:rFonts w:hint="eastAsia" w:ascii="宋体" w:hAnsi="宋体"/>
          <w:b/>
          <w:color w:val="auto"/>
          <w:sz w:val="36"/>
          <w:szCs w:val="36"/>
          <w:highlight w:val="none"/>
        </w:rPr>
        <w:t>二、资格和商务文件</w:t>
      </w:r>
    </w:p>
    <w:p>
      <w:pPr>
        <w:spacing w:line="400" w:lineRule="exact"/>
        <w:ind w:firstLine="723" w:firstLineChars="200"/>
        <w:jc w:val="center"/>
        <w:rPr>
          <w:rFonts w:ascii="宋体" w:hAnsi="宋体"/>
          <w:b/>
          <w:color w:val="auto"/>
          <w:sz w:val="36"/>
          <w:szCs w:val="36"/>
          <w:highlight w:val="none"/>
        </w:rPr>
      </w:pPr>
    </w:p>
    <w:p>
      <w:pPr>
        <w:spacing w:line="400" w:lineRule="exact"/>
        <w:ind w:firstLine="880" w:firstLineChars="200"/>
        <w:jc w:val="center"/>
        <w:rPr>
          <w:rFonts w:ascii="宋体" w:hAnsi="宋体"/>
          <w:color w:val="auto"/>
          <w:sz w:val="44"/>
          <w:szCs w:val="44"/>
          <w:highlight w:val="none"/>
        </w:rPr>
      </w:pPr>
    </w:p>
    <w:p>
      <w:pPr>
        <w:spacing w:line="400" w:lineRule="exact"/>
        <w:ind w:firstLine="640" w:firstLineChars="200"/>
        <w:jc w:val="center"/>
        <w:rPr>
          <w:rFonts w:ascii="宋体" w:hAnsi="宋体"/>
          <w:color w:val="auto"/>
          <w:sz w:val="32"/>
          <w:szCs w:val="32"/>
          <w:highlight w:val="none"/>
        </w:rPr>
      </w:pPr>
    </w:p>
    <w:p>
      <w:pPr>
        <w:spacing w:line="400" w:lineRule="exact"/>
        <w:ind w:left="-27" w:leftChars="-13" w:firstLine="424" w:firstLineChars="151"/>
        <w:rPr>
          <w:rFonts w:hAnsi="宋体"/>
          <w:b/>
          <w:color w:val="auto"/>
          <w:sz w:val="28"/>
          <w:szCs w:val="28"/>
          <w:highlight w:val="none"/>
        </w:rPr>
      </w:pPr>
      <w:r>
        <w:rPr>
          <w:rFonts w:hint="eastAsia" w:ascii="宋体" w:hAnsi="宋体"/>
          <w:b/>
          <w:color w:val="auto"/>
          <w:sz w:val="28"/>
          <w:szCs w:val="28"/>
          <w:highlight w:val="none"/>
        </w:rPr>
        <w:t>1</w:t>
      </w:r>
      <w:r>
        <w:rPr>
          <w:rFonts w:ascii="宋体" w:hAnsi="宋体"/>
          <w:b/>
          <w:color w:val="auto"/>
          <w:sz w:val="28"/>
          <w:szCs w:val="28"/>
          <w:highlight w:val="none"/>
        </w:rPr>
        <w:t>.</w:t>
      </w:r>
      <w:r>
        <w:rPr>
          <w:rFonts w:hint="eastAsia" w:ascii="宋体" w:hAnsi="宋体" w:cs="Arial"/>
          <w:b/>
          <w:color w:val="auto"/>
          <w:sz w:val="28"/>
          <w:szCs w:val="28"/>
          <w:highlight w:val="none"/>
        </w:rPr>
        <w:t>供应商</w:t>
      </w:r>
      <w:r>
        <w:rPr>
          <w:rFonts w:hint="eastAsia" w:ascii="宋体" w:hAnsi="宋体"/>
          <w:b/>
          <w:color w:val="auto"/>
          <w:sz w:val="28"/>
          <w:szCs w:val="28"/>
          <w:highlight w:val="none"/>
        </w:rPr>
        <w:t>有效的营业执照副本复印件；</w:t>
      </w:r>
      <w:r>
        <w:rPr>
          <w:rFonts w:hint="eastAsia" w:hAnsi="宋体"/>
          <w:b/>
          <w:color w:val="auto"/>
          <w:sz w:val="28"/>
          <w:szCs w:val="28"/>
          <w:highlight w:val="none"/>
        </w:rPr>
        <w:t>（必须提供，否则竞标无效。）</w:t>
      </w:r>
    </w:p>
    <w:p>
      <w:pPr>
        <w:spacing w:line="400" w:lineRule="exact"/>
        <w:rPr>
          <w:rFonts w:hAnsi="宋体"/>
          <w:color w:val="auto"/>
          <w:szCs w:val="21"/>
          <w:highlight w:val="none"/>
        </w:rPr>
      </w:pPr>
    </w:p>
    <w:p>
      <w:pPr>
        <w:spacing w:line="400" w:lineRule="exact"/>
        <w:rPr>
          <w:rFonts w:hAnsi="宋体"/>
          <w:b/>
          <w:color w:val="auto"/>
          <w:szCs w:val="21"/>
          <w:highlight w:val="none"/>
        </w:rPr>
      </w:pPr>
    </w:p>
    <w:p>
      <w:pPr>
        <w:spacing w:line="400" w:lineRule="exact"/>
        <w:rPr>
          <w:rFonts w:hAnsi="宋体"/>
          <w:b/>
          <w:color w:val="auto"/>
          <w:szCs w:val="21"/>
          <w:highlight w:val="none"/>
        </w:rPr>
      </w:pPr>
    </w:p>
    <w:p>
      <w:pPr>
        <w:spacing w:line="400" w:lineRule="exact"/>
        <w:rPr>
          <w:rFonts w:hAnsi="宋体"/>
          <w:b/>
          <w:color w:val="auto"/>
          <w:sz w:val="28"/>
          <w:szCs w:val="28"/>
          <w:highlight w:val="none"/>
        </w:rPr>
      </w:pPr>
    </w:p>
    <w:p>
      <w:pPr>
        <w:spacing w:line="400" w:lineRule="exact"/>
        <w:rPr>
          <w:rFonts w:hAnsi="宋体"/>
          <w:b/>
          <w:color w:val="auto"/>
          <w:szCs w:val="21"/>
          <w:highlight w:val="none"/>
        </w:rPr>
      </w:pPr>
    </w:p>
    <w:p>
      <w:pPr>
        <w:spacing w:line="400" w:lineRule="exact"/>
        <w:rPr>
          <w:rFonts w:hAnsi="宋体"/>
          <w:b/>
          <w:color w:val="auto"/>
          <w:sz w:val="28"/>
          <w:szCs w:val="28"/>
          <w:highlight w:val="none"/>
        </w:rPr>
      </w:pPr>
    </w:p>
    <w:p>
      <w:pPr>
        <w:pStyle w:val="17"/>
        <w:rPr>
          <w:color w:val="auto"/>
          <w:highlight w:val="none"/>
        </w:rPr>
      </w:pPr>
    </w:p>
    <w:p>
      <w:pPr>
        <w:spacing w:line="400" w:lineRule="exact"/>
        <w:ind w:left="-27" w:leftChars="-13" w:firstLine="424" w:firstLineChars="151"/>
        <w:rPr>
          <w:rFonts w:ascii="宋体" w:hAnsi="宋体"/>
          <w:b/>
          <w:color w:val="auto"/>
          <w:sz w:val="28"/>
          <w:szCs w:val="28"/>
          <w:highlight w:val="none"/>
        </w:rPr>
      </w:pPr>
      <w:r>
        <w:rPr>
          <w:rFonts w:hint="eastAsia" w:ascii="宋体" w:hAnsi="宋体"/>
          <w:b/>
          <w:color w:val="auto"/>
          <w:sz w:val="28"/>
          <w:szCs w:val="28"/>
          <w:highlight w:val="none"/>
        </w:rPr>
        <w:t>2.法定代表人身份证正反面复印件</w:t>
      </w:r>
    </w:p>
    <w:p>
      <w:pPr>
        <w:spacing w:line="400" w:lineRule="exact"/>
        <w:ind w:left="-27" w:leftChars="-13" w:firstLine="422" w:firstLineChars="151"/>
        <w:rPr>
          <w:rFonts w:ascii="宋体" w:hAnsi="宋体"/>
          <w:color w:val="auto"/>
          <w:sz w:val="28"/>
          <w:szCs w:val="28"/>
          <w:highlight w:val="none"/>
        </w:rPr>
      </w:pPr>
    </w:p>
    <w:p>
      <w:pPr>
        <w:spacing w:line="400" w:lineRule="exact"/>
        <w:ind w:left="-27" w:leftChars="-13" w:firstLine="422" w:firstLineChars="151"/>
        <w:rPr>
          <w:rFonts w:ascii="宋体" w:hAnsi="宋体"/>
          <w:color w:val="auto"/>
          <w:sz w:val="28"/>
          <w:szCs w:val="28"/>
          <w:highlight w:val="none"/>
        </w:rPr>
      </w:pPr>
    </w:p>
    <w:p>
      <w:pPr>
        <w:spacing w:line="400" w:lineRule="exact"/>
        <w:ind w:left="-27" w:leftChars="-13" w:firstLine="422" w:firstLineChars="151"/>
        <w:rPr>
          <w:rFonts w:ascii="宋体" w:hAnsi="宋体"/>
          <w:color w:val="auto"/>
          <w:sz w:val="28"/>
          <w:szCs w:val="28"/>
          <w:highlight w:val="none"/>
        </w:rPr>
      </w:pPr>
    </w:p>
    <w:p>
      <w:pPr>
        <w:spacing w:line="400" w:lineRule="exact"/>
        <w:ind w:left="-27" w:leftChars="-13" w:firstLine="422" w:firstLineChars="151"/>
        <w:rPr>
          <w:rFonts w:ascii="宋体" w:hAnsi="宋体"/>
          <w:color w:val="auto"/>
          <w:sz w:val="28"/>
          <w:szCs w:val="28"/>
          <w:highlight w:val="none"/>
        </w:rPr>
      </w:pPr>
    </w:p>
    <w:p>
      <w:pPr>
        <w:spacing w:line="400" w:lineRule="exact"/>
        <w:rPr>
          <w:rFonts w:ascii="宋体" w:hAnsi="宋体"/>
          <w:b/>
          <w:color w:val="auto"/>
          <w:sz w:val="28"/>
          <w:szCs w:val="28"/>
          <w:highlight w:val="none"/>
        </w:rPr>
      </w:pPr>
    </w:p>
    <w:p>
      <w:pPr>
        <w:spacing w:line="400" w:lineRule="exact"/>
        <w:ind w:left="-27" w:leftChars="-13" w:firstLine="424" w:firstLineChars="151"/>
        <w:rPr>
          <w:rFonts w:hAnsi="宋体"/>
          <w:b/>
          <w:color w:val="auto"/>
          <w:sz w:val="28"/>
          <w:szCs w:val="28"/>
          <w:highlight w:val="none"/>
        </w:rPr>
      </w:pPr>
      <w:r>
        <w:rPr>
          <w:rFonts w:hint="eastAsia" w:ascii="宋体" w:hAnsi="宋体"/>
          <w:b/>
          <w:color w:val="auto"/>
          <w:sz w:val="28"/>
          <w:szCs w:val="28"/>
          <w:highlight w:val="none"/>
        </w:rPr>
        <w:t>3</w:t>
      </w:r>
      <w:r>
        <w:rPr>
          <w:rFonts w:ascii="宋体" w:hAnsi="宋体"/>
          <w:b/>
          <w:color w:val="auto"/>
          <w:sz w:val="28"/>
          <w:szCs w:val="28"/>
          <w:highlight w:val="none"/>
        </w:rPr>
        <w:t>.</w:t>
      </w:r>
      <w:r>
        <w:rPr>
          <w:rFonts w:hint="eastAsia" w:ascii="宋体" w:hAnsi="宋体"/>
          <w:b/>
          <w:color w:val="auto"/>
          <w:sz w:val="28"/>
          <w:szCs w:val="28"/>
          <w:highlight w:val="none"/>
        </w:rPr>
        <w:t>“法定代表人身份证明书原件（法定代表人参</w:t>
      </w:r>
      <w:r>
        <w:rPr>
          <w:rFonts w:ascii="宋体" w:hAnsi="宋体"/>
          <w:b/>
          <w:color w:val="auto"/>
          <w:sz w:val="28"/>
          <w:szCs w:val="28"/>
          <w:highlight w:val="none"/>
        </w:rPr>
        <w:t>加</w:t>
      </w:r>
      <w:r>
        <w:rPr>
          <w:rFonts w:hint="eastAsia" w:ascii="宋体" w:hAnsi="宋体"/>
          <w:b/>
          <w:color w:val="auto"/>
          <w:sz w:val="28"/>
          <w:szCs w:val="28"/>
          <w:highlight w:val="none"/>
        </w:rPr>
        <w:t>竞</w:t>
      </w:r>
      <w:r>
        <w:rPr>
          <w:rFonts w:ascii="宋体" w:hAnsi="宋体"/>
          <w:b/>
          <w:color w:val="auto"/>
          <w:sz w:val="28"/>
          <w:szCs w:val="28"/>
          <w:highlight w:val="none"/>
        </w:rPr>
        <w:t>标会</w:t>
      </w:r>
      <w:r>
        <w:rPr>
          <w:rFonts w:hint="eastAsia" w:ascii="宋体" w:hAnsi="宋体"/>
          <w:b/>
          <w:color w:val="auto"/>
          <w:sz w:val="28"/>
          <w:szCs w:val="28"/>
          <w:highlight w:val="none"/>
        </w:rPr>
        <w:t>签署响应文件时提供）”或“法定代表人授权书原件和委托代理人身份证复印件（委托代理人参</w:t>
      </w:r>
      <w:r>
        <w:rPr>
          <w:rFonts w:ascii="宋体" w:hAnsi="宋体"/>
          <w:b/>
          <w:color w:val="auto"/>
          <w:sz w:val="28"/>
          <w:szCs w:val="28"/>
          <w:highlight w:val="none"/>
        </w:rPr>
        <w:t>加</w:t>
      </w:r>
      <w:r>
        <w:rPr>
          <w:rFonts w:hint="eastAsia" w:ascii="宋体" w:hAnsi="宋体"/>
          <w:b/>
          <w:color w:val="auto"/>
          <w:sz w:val="28"/>
          <w:szCs w:val="28"/>
          <w:highlight w:val="none"/>
        </w:rPr>
        <w:t>竞</w:t>
      </w:r>
      <w:r>
        <w:rPr>
          <w:rFonts w:ascii="宋体" w:hAnsi="宋体"/>
          <w:b/>
          <w:color w:val="auto"/>
          <w:sz w:val="28"/>
          <w:szCs w:val="28"/>
          <w:highlight w:val="none"/>
        </w:rPr>
        <w:t>标会</w:t>
      </w:r>
      <w:r>
        <w:rPr>
          <w:rFonts w:hint="eastAsia" w:ascii="宋体" w:hAnsi="宋体"/>
          <w:b/>
          <w:color w:val="auto"/>
          <w:sz w:val="28"/>
          <w:szCs w:val="28"/>
          <w:highlight w:val="none"/>
        </w:rPr>
        <w:t>签署响应文件时提供）”</w:t>
      </w:r>
      <w:r>
        <w:rPr>
          <w:rFonts w:hint="eastAsia" w:hAnsi="宋体"/>
          <w:b/>
          <w:color w:val="auto"/>
          <w:sz w:val="28"/>
          <w:szCs w:val="28"/>
          <w:highlight w:val="none"/>
        </w:rPr>
        <w:t>（必须提供，否则竞标无效。）</w:t>
      </w:r>
    </w:p>
    <w:p>
      <w:pPr>
        <w:spacing w:line="300" w:lineRule="auto"/>
        <w:rPr>
          <w:rFonts w:ascii="宋体" w:hAnsi="宋体"/>
          <w:color w:val="auto"/>
          <w:szCs w:val="21"/>
          <w:highlight w:val="none"/>
        </w:rPr>
      </w:pPr>
    </w:p>
    <w:p>
      <w:pPr>
        <w:jc w:val="center"/>
        <w:rPr>
          <w:rFonts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法定代表人身份证明</w:t>
      </w:r>
    </w:p>
    <w:p>
      <w:pPr>
        <w:autoSpaceDE w:val="0"/>
        <w:autoSpaceDN w:val="0"/>
        <w:adjustRightInd w:val="0"/>
        <w:spacing w:line="480" w:lineRule="exact"/>
        <w:rPr>
          <w:rFonts w:ascii="宋体" w:hAnsi="宋体"/>
          <w:color w:val="auto"/>
          <w:kern w:val="0"/>
          <w:szCs w:val="21"/>
          <w:highlight w:val="none"/>
        </w:rPr>
      </w:pPr>
    </w:p>
    <w:p>
      <w:pPr>
        <w:autoSpaceDE w:val="0"/>
        <w:autoSpaceDN w:val="0"/>
        <w:adjustRightInd w:val="0"/>
        <w:ind w:firstLine="1560" w:firstLineChars="650"/>
        <w:rPr>
          <w:rFonts w:ascii="宋体" w:hAnsi="宋体"/>
          <w:bCs/>
          <w:color w:val="auto"/>
          <w:kern w:val="0"/>
          <w:sz w:val="24"/>
          <w:highlight w:val="none"/>
          <w:u w:val="single"/>
        </w:rPr>
      </w:pPr>
      <w:r>
        <w:rPr>
          <w:rFonts w:hint="eastAsia" w:ascii="宋体" w:hAnsi="宋体"/>
          <w:bCs/>
          <w:color w:val="auto"/>
          <w:kern w:val="0"/>
          <w:sz w:val="24"/>
          <w:highlight w:val="none"/>
        </w:rPr>
        <w:t>供应商名称</w:t>
      </w:r>
      <w:r>
        <w:rPr>
          <w:rFonts w:ascii="宋体" w:hAnsi="宋体"/>
          <w:bCs/>
          <w:color w:val="auto"/>
          <w:kern w:val="0"/>
          <w:sz w:val="24"/>
          <w:highlight w:val="none"/>
        </w:rPr>
        <w:t>：</w:t>
      </w:r>
    </w:p>
    <w:p>
      <w:pPr>
        <w:autoSpaceDE w:val="0"/>
        <w:autoSpaceDN w:val="0"/>
        <w:adjustRightInd w:val="0"/>
        <w:ind w:firstLine="1560" w:firstLineChars="650"/>
        <w:rPr>
          <w:rFonts w:ascii="宋体" w:hAnsi="宋体"/>
          <w:bCs/>
          <w:color w:val="auto"/>
          <w:kern w:val="0"/>
          <w:sz w:val="24"/>
          <w:highlight w:val="none"/>
        </w:rPr>
      </w:pPr>
    </w:p>
    <w:p>
      <w:pPr>
        <w:autoSpaceDE w:val="0"/>
        <w:autoSpaceDN w:val="0"/>
        <w:adjustRightInd w:val="0"/>
        <w:ind w:firstLine="1560" w:firstLineChars="650"/>
        <w:rPr>
          <w:rFonts w:ascii="宋体" w:hAnsi="宋体"/>
          <w:bCs/>
          <w:color w:val="auto"/>
          <w:kern w:val="0"/>
          <w:sz w:val="24"/>
          <w:highlight w:val="none"/>
          <w:u w:val="single"/>
        </w:rPr>
      </w:pPr>
      <w:r>
        <w:rPr>
          <w:rFonts w:ascii="宋体" w:hAnsi="宋体"/>
          <w:bCs/>
          <w:color w:val="auto"/>
          <w:kern w:val="0"/>
          <w:sz w:val="24"/>
          <w:highlight w:val="none"/>
        </w:rPr>
        <w:t>单位性质：</w:t>
      </w:r>
    </w:p>
    <w:p>
      <w:pPr>
        <w:autoSpaceDE w:val="0"/>
        <w:autoSpaceDN w:val="0"/>
        <w:adjustRightInd w:val="0"/>
        <w:ind w:firstLine="1560" w:firstLineChars="650"/>
        <w:rPr>
          <w:rFonts w:ascii="宋体" w:hAnsi="宋体"/>
          <w:bCs/>
          <w:color w:val="auto"/>
          <w:kern w:val="0"/>
          <w:sz w:val="24"/>
          <w:highlight w:val="none"/>
        </w:rPr>
      </w:pPr>
    </w:p>
    <w:p>
      <w:pPr>
        <w:autoSpaceDE w:val="0"/>
        <w:autoSpaceDN w:val="0"/>
        <w:adjustRightInd w:val="0"/>
        <w:ind w:firstLine="1560" w:firstLineChars="650"/>
        <w:rPr>
          <w:rFonts w:ascii="宋体" w:hAnsi="宋体"/>
          <w:bCs/>
          <w:color w:val="auto"/>
          <w:kern w:val="0"/>
          <w:sz w:val="24"/>
          <w:highlight w:val="none"/>
          <w:u w:val="single"/>
        </w:rPr>
      </w:pPr>
      <w:r>
        <w:rPr>
          <w:rFonts w:ascii="宋体" w:hAnsi="宋体"/>
          <w:bCs/>
          <w:color w:val="auto"/>
          <w:kern w:val="0"/>
          <w:sz w:val="24"/>
          <w:highlight w:val="none"/>
        </w:rPr>
        <w:t>地 址：</w:t>
      </w:r>
    </w:p>
    <w:p>
      <w:pPr>
        <w:autoSpaceDE w:val="0"/>
        <w:autoSpaceDN w:val="0"/>
        <w:adjustRightInd w:val="0"/>
        <w:ind w:firstLine="1560" w:firstLineChars="650"/>
        <w:rPr>
          <w:rFonts w:ascii="宋体" w:hAnsi="宋体"/>
          <w:bCs/>
          <w:color w:val="auto"/>
          <w:kern w:val="0"/>
          <w:sz w:val="24"/>
          <w:highlight w:val="none"/>
        </w:rPr>
      </w:pPr>
    </w:p>
    <w:p>
      <w:pPr>
        <w:autoSpaceDE w:val="0"/>
        <w:autoSpaceDN w:val="0"/>
        <w:adjustRightInd w:val="0"/>
        <w:ind w:firstLine="1560" w:firstLineChars="650"/>
        <w:rPr>
          <w:rFonts w:ascii="宋体" w:hAnsi="宋体"/>
          <w:bCs/>
          <w:color w:val="auto"/>
          <w:kern w:val="0"/>
          <w:sz w:val="24"/>
          <w:highlight w:val="none"/>
        </w:rPr>
      </w:pPr>
      <w:r>
        <w:rPr>
          <w:rFonts w:ascii="宋体" w:hAnsi="宋体"/>
          <w:bCs/>
          <w:color w:val="auto"/>
          <w:kern w:val="0"/>
          <w:sz w:val="24"/>
          <w:highlight w:val="none"/>
        </w:rPr>
        <w:t>成立时间：年月日</w:t>
      </w:r>
    </w:p>
    <w:p>
      <w:pPr>
        <w:autoSpaceDE w:val="0"/>
        <w:autoSpaceDN w:val="0"/>
        <w:adjustRightInd w:val="0"/>
        <w:ind w:firstLine="1560" w:firstLineChars="650"/>
        <w:rPr>
          <w:rFonts w:ascii="宋体" w:hAnsi="宋体"/>
          <w:bCs/>
          <w:color w:val="auto"/>
          <w:kern w:val="0"/>
          <w:sz w:val="24"/>
          <w:highlight w:val="none"/>
        </w:rPr>
      </w:pPr>
    </w:p>
    <w:p>
      <w:pPr>
        <w:autoSpaceDE w:val="0"/>
        <w:autoSpaceDN w:val="0"/>
        <w:adjustRightInd w:val="0"/>
        <w:ind w:firstLine="1560" w:firstLineChars="650"/>
        <w:rPr>
          <w:rFonts w:ascii="宋体" w:hAnsi="宋体"/>
          <w:bCs/>
          <w:color w:val="auto"/>
          <w:kern w:val="0"/>
          <w:sz w:val="24"/>
          <w:highlight w:val="none"/>
          <w:u w:val="single"/>
        </w:rPr>
      </w:pPr>
      <w:r>
        <w:rPr>
          <w:rFonts w:ascii="宋体" w:hAnsi="宋体"/>
          <w:bCs/>
          <w:color w:val="auto"/>
          <w:kern w:val="0"/>
          <w:sz w:val="24"/>
          <w:highlight w:val="none"/>
        </w:rPr>
        <w:t>经营期限：</w:t>
      </w:r>
    </w:p>
    <w:p>
      <w:pPr>
        <w:autoSpaceDE w:val="0"/>
        <w:autoSpaceDN w:val="0"/>
        <w:adjustRightInd w:val="0"/>
        <w:ind w:firstLine="1560" w:firstLineChars="650"/>
        <w:rPr>
          <w:rFonts w:ascii="宋体" w:hAnsi="宋体"/>
          <w:bCs/>
          <w:color w:val="auto"/>
          <w:kern w:val="0"/>
          <w:sz w:val="24"/>
          <w:highlight w:val="none"/>
        </w:rPr>
      </w:pPr>
    </w:p>
    <w:p>
      <w:pPr>
        <w:autoSpaceDE w:val="0"/>
        <w:autoSpaceDN w:val="0"/>
        <w:adjustRightInd w:val="0"/>
        <w:ind w:firstLine="1560" w:firstLineChars="650"/>
        <w:rPr>
          <w:rFonts w:ascii="宋体" w:hAnsi="宋体"/>
          <w:bCs/>
          <w:color w:val="auto"/>
          <w:kern w:val="0"/>
          <w:sz w:val="24"/>
          <w:highlight w:val="none"/>
          <w:u w:val="single"/>
        </w:rPr>
      </w:pPr>
      <w:r>
        <w:rPr>
          <w:rFonts w:ascii="宋体" w:hAnsi="宋体"/>
          <w:bCs/>
          <w:color w:val="auto"/>
          <w:kern w:val="0"/>
          <w:sz w:val="24"/>
          <w:highlight w:val="none"/>
        </w:rPr>
        <w:t>姓 名： 性 别：年 龄：职 务：</w:t>
      </w:r>
    </w:p>
    <w:p>
      <w:pPr>
        <w:autoSpaceDE w:val="0"/>
        <w:autoSpaceDN w:val="0"/>
        <w:adjustRightInd w:val="0"/>
        <w:ind w:firstLine="1560" w:firstLineChars="650"/>
        <w:rPr>
          <w:rFonts w:ascii="宋体" w:hAnsi="宋体"/>
          <w:bCs/>
          <w:color w:val="auto"/>
          <w:kern w:val="0"/>
          <w:sz w:val="24"/>
          <w:highlight w:val="none"/>
        </w:rPr>
      </w:pPr>
    </w:p>
    <w:p>
      <w:pPr>
        <w:autoSpaceDE w:val="0"/>
        <w:autoSpaceDN w:val="0"/>
        <w:adjustRightInd w:val="0"/>
        <w:ind w:firstLine="1560" w:firstLineChars="650"/>
        <w:rPr>
          <w:rFonts w:ascii="宋体" w:hAnsi="宋体"/>
          <w:bCs/>
          <w:color w:val="auto"/>
          <w:kern w:val="0"/>
          <w:sz w:val="24"/>
          <w:highlight w:val="none"/>
        </w:rPr>
      </w:pPr>
      <w:r>
        <w:rPr>
          <w:rFonts w:ascii="宋体" w:hAnsi="宋体"/>
          <w:bCs/>
          <w:color w:val="auto"/>
          <w:kern w:val="0"/>
          <w:sz w:val="24"/>
          <w:highlight w:val="none"/>
        </w:rPr>
        <w:t>系 （</w:t>
      </w:r>
      <w:r>
        <w:rPr>
          <w:rFonts w:hint="eastAsia" w:ascii="宋体" w:hAnsi="宋体"/>
          <w:bCs/>
          <w:color w:val="auto"/>
          <w:kern w:val="0"/>
          <w:sz w:val="24"/>
          <w:highlight w:val="none"/>
        </w:rPr>
        <w:t>供应商</w:t>
      </w:r>
      <w:r>
        <w:rPr>
          <w:rFonts w:ascii="宋体" w:hAnsi="宋体"/>
          <w:bCs/>
          <w:color w:val="auto"/>
          <w:kern w:val="0"/>
          <w:sz w:val="24"/>
          <w:highlight w:val="none"/>
        </w:rPr>
        <w:t>名称）的法定代表人。</w:t>
      </w:r>
    </w:p>
    <w:p>
      <w:pPr>
        <w:autoSpaceDE w:val="0"/>
        <w:autoSpaceDN w:val="0"/>
        <w:adjustRightInd w:val="0"/>
        <w:ind w:firstLine="1560" w:firstLineChars="650"/>
        <w:rPr>
          <w:rFonts w:ascii="宋体" w:hAnsi="宋体"/>
          <w:bCs/>
          <w:color w:val="auto"/>
          <w:kern w:val="0"/>
          <w:sz w:val="24"/>
          <w:highlight w:val="none"/>
        </w:rPr>
      </w:pPr>
    </w:p>
    <w:p>
      <w:pPr>
        <w:autoSpaceDE w:val="0"/>
        <w:autoSpaceDN w:val="0"/>
        <w:adjustRightInd w:val="0"/>
        <w:ind w:firstLine="1560" w:firstLineChars="650"/>
        <w:rPr>
          <w:rFonts w:ascii="宋体" w:hAnsi="宋体"/>
          <w:bCs/>
          <w:color w:val="auto"/>
          <w:kern w:val="0"/>
          <w:sz w:val="24"/>
          <w:highlight w:val="none"/>
        </w:rPr>
      </w:pPr>
      <w:r>
        <w:rPr>
          <w:rFonts w:ascii="宋体" w:hAnsi="宋体"/>
          <w:bCs/>
          <w:color w:val="auto"/>
          <w:kern w:val="0"/>
          <w:sz w:val="24"/>
          <w:highlight w:val="none"/>
        </w:rPr>
        <w:t>特此证明。</w:t>
      </w:r>
    </w:p>
    <w:p>
      <w:pPr>
        <w:autoSpaceDE w:val="0"/>
        <w:autoSpaceDN w:val="0"/>
        <w:adjustRightInd w:val="0"/>
        <w:rPr>
          <w:rFonts w:ascii="宋体" w:hAnsi="宋体"/>
          <w:bCs/>
          <w:color w:val="auto"/>
          <w:kern w:val="0"/>
          <w:sz w:val="24"/>
          <w:highlight w:val="none"/>
        </w:rPr>
      </w:pPr>
    </w:p>
    <w:p>
      <w:pPr>
        <w:autoSpaceDE w:val="0"/>
        <w:autoSpaceDN w:val="0"/>
        <w:adjustRightInd w:val="0"/>
        <w:ind w:firstLine="1560" w:firstLineChars="650"/>
        <w:rPr>
          <w:rFonts w:ascii="宋体" w:hAnsi="宋体"/>
          <w:bCs/>
          <w:color w:val="auto"/>
          <w:kern w:val="0"/>
          <w:sz w:val="24"/>
          <w:highlight w:val="none"/>
        </w:rPr>
      </w:pPr>
    </w:p>
    <w:p>
      <w:pPr>
        <w:autoSpaceDE w:val="0"/>
        <w:autoSpaceDN w:val="0"/>
        <w:adjustRightInd w:val="0"/>
        <w:ind w:firstLine="3600" w:firstLineChars="1500"/>
        <w:rPr>
          <w:rFonts w:ascii="宋体" w:hAnsi="宋体"/>
          <w:bCs/>
          <w:color w:val="auto"/>
          <w:kern w:val="0"/>
          <w:sz w:val="24"/>
          <w:highlight w:val="none"/>
          <w:u w:val="single"/>
        </w:rPr>
      </w:pPr>
      <w:r>
        <w:rPr>
          <w:rFonts w:hint="eastAsia" w:ascii="宋体" w:hAnsi="宋体"/>
          <w:bCs/>
          <w:color w:val="auto"/>
          <w:kern w:val="0"/>
          <w:sz w:val="24"/>
          <w:highlight w:val="none"/>
        </w:rPr>
        <w:t>供应商</w:t>
      </w:r>
      <w:r>
        <w:rPr>
          <w:rFonts w:ascii="宋体" w:hAnsi="宋体"/>
          <w:bCs/>
          <w:color w:val="auto"/>
          <w:kern w:val="0"/>
          <w:sz w:val="24"/>
          <w:highlight w:val="none"/>
        </w:rPr>
        <w:t>名称：（盖</w:t>
      </w:r>
      <w:r>
        <w:rPr>
          <w:rFonts w:hint="eastAsia" w:ascii="宋体" w:hAnsi="宋体"/>
          <w:bCs/>
          <w:color w:val="auto"/>
          <w:kern w:val="0"/>
          <w:sz w:val="24"/>
          <w:highlight w:val="none"/>
        </w:rPr>
        <w:t>单位</w:t>
      </w:r>
      <w:r>
        <w:rPr>
          <w:rFonts w:ascii="宋体" w:hAnsi="宋体"/>
          <w:bCs/>
          <w:color w:val="auto"/>
          <w:kern w:val="0"/>
          <w:sz w:val="24"/>
          <w:highlight w:val="none"/>
        </w:rPr>
        <w:t>章）</w:t>
      </w:r>
    </w:p>
    <w:p>
      <w:pPr>
        <w:autoSpaceDE w:val="0"/>
        <w:autoSpaceDN w:val="0"/>
        <w:adjustRightInd w:val="0"/>
        <w:ind w:firstLine="1560" w:firstLineChars="650"/>
        <w:rPr>
          <w:rFonts w:ascii="宋体" w:hAnsi="宋体"/>
          <w:bCs/>
          <w:color w:val="auto"/>
          <w:kern w:val="0"/>
          <w:sz w:val="24"/>
          <w:highlight w:val="none"/>
        </w:rPr>
      </w:pPr>
    </w:p>
    <w:p>
      <w:pPr>
        <w:ind w:firstLine="3600" w:firstLineChars="1500"/>
        <w:rPr>
          <w:rFonts w:ascii="宋体" w:hAnsi="宋体"/>
          <w:color w:val="auto"/>
          <w:kern w:val="0"/>
          <w:sz w:val="24"/>
          <w:highlight w:val="none"/>
        </w:rPr>
      </w:pPr>
      <w:r>
        <w:rPr>
          <w:rFonts w:ascii="宋体" w:hAnsi="宋体"/>
          <w:color w:val="auto"/>
          <w:kern w:val="0"/>
          <w:sz w:val="24"/>
          <w:highlight w:val="none"/>
        </w:rPr>
        <w:t>日期：年月日</w:t>
      </w:r>
    </w:p>
    <w:p>
      <w:pPr>
        <w:spacing w:line="480" w:lineRule="exact"/>
        <w:ind w:firstLine="3885" w:firstLineChars="1850"/>
        <w:rPr>
          <w:rFonts w:ascii="宋体" w:hAnsi="宋体"/>
          <w:color w:val="auto"/>
          <w:kern w:val="0"/>
          <w:szCs w:val="21"/>
          <w:highlight w:val="none"/>
        </w:rPr>
      </w:pPr>
    </w:p>
    <w:p>
      <w:pPr>
        <w:spacing w:line="480" w:lineRule="exact"/>
        <w:ind w:firstLine="3885" w:firstLineChars="1850"/>
        <w:rPr>
          <w:rFonts w:ascii="宋体" w:hAnsi="宋体"/>
          <w:color w:val="auto"/>
          <w:kern w:val="0"/>
          <w:szCs w:val="21"/>
          <w:highlight w:val="none"/>
        </w:rPr>
      </w:pPr>
    </w:p>
    <w:p>
      <w:pPr>
        <w:adjustRightInd w:val="0"/>
        <w:snapToGrid w:val="0"/>
        <w:spacing w:line="300" w:lineRule="auto"/>
        <w:jc w:val="center"/>
        <w:rPr>
          <w:rFonts w:ascii="宋体" w:hAnsi="宋体"/>
          <w:b/>
          <w:color w:val="auto"/>
          <w:sz w:val="28"/>
          <w:szCs w:val="28"/>
          <w:highlight w:val="none"/>
        </w:rPr>
      </w:pPr>
    </w:p>
    <w:p>
      <w:pPr>
        <w:adjustRightInd w:val="0"/>
        <w:snapToGrid w:val="0"/>
        <w:spacing w:line="300" w:lineRule="auto"/>
        <w:jc w:val="center"/>
        <w:rPr>
          <w:rFonts w:ascii="宋体" w:hAnsi="宋体"/>
          <w:b/>
          <w:color w:val="auto"/>
          <w:sz w:val="28"/>
          <w:szCs w:val="28"/>
          <w:highlight w:val="none"/>
        </w:rPr>
      </w:pPr>
    </w:p>
    <w:p>
      <w:pPr>
        <w:adjustRightInd w:val="0"/>
        <w:snapToGrid w:val="0"/>
        <w:spacing w:line="300" w:lineRule="auto"/>
        <w:jc w:val="center"/>
        <w:rPr>
          <w:rFonts w:ascii="宋体" w:hAnsi="宋体"/>
          <w:b/>
          <w:color w:val="auto"/>
          <w:sz w:val="28"/>
          <w:szCs w:val="28"/>
          <w:highlight w:val="none"/>
        </w:rPr>
      </w:pPr>
    </w:p>
    <w:p>
      <w:pPr>
        <w:adjustRightInd w:val="0"/>
        <w:snapToGrid w:val="0"/>
        <w:spacing w:line="300" w:lineRule="auto"/>
        <w:jc w:val="center"/>
        <w:rPr>
          <w:rFonts w:ascii="宋体" w:hAnsi="宋体"/>
          <w:b/>
          <w:color w:val="auto"/>
          <w:sz w:val="28"/>
          <w:szCs w:val="28"/>
          <w:highlight w:val="none"/>
        </w:rPr>
      </w:pPr>
      <w:r>
        <w:rPr>
          <w:rFonts w:ascii="宋体" w:hAnsi="宋体"/>
          <w:b/>
          <w:color w:val="auto"/>
          <w:sz w:val="28"/>
          <w:szCs w:val="28"/>
          <w:highlight w:val="none"/>
        </w:rPr>
        <w:br w:type="page"/>
      </w:r>
    </w:p>
    <w:p>
      <w:pPr>
        <w:adjustRightInd w:val="0"/>
        <w:snapToGrid w:val="0"/>
        <w:spacing w:line="300" w:lineRule="auto"/>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pPr>
        <w:adjustRightInd w:val="0"/>
        <w:snapToGrid w:val="0"/>
        <w:spacing w:line="520" w:lineRule="exact"/>
        <w:rPr>
          <w:rFonts w:ascii="宋体" w:hAnsi="宋体"/>
          <w:color w:val="auto"/>
          <w:sz w:val="28"/>
          <w:szCs w:val="28"/>
          <w:highlight w:val="none"/>
        </w:rPr>
      </w:pPr>
    </w:p>
    <w:p>
      <w:pPr>
        <w:spacing w:line="520" w:lineRule="exact"/>
        <w:rPr>
          <w:rFonts w:ascii="宋体" w:hAnsi="宋体"/>
          <w:color w:val="auto"/>
          <w:sz w:val="24"/>
          <w:highlight w:val="none"/>
        </w:rPr>
      </w:pPr>
      <w:r>
        <w:rPr>
          <w:rFonts w:hint="eastAsia" w:ascii="宋体" w:hAnsi="宋体"/>
          <w:color w:val="auto"/>
          <w:sz w:val="24"/>
          <w:highlight w:val="none"/>
          <w:u w:val="single"/>
        </w:rPr>
        <w:t>广西宝盛工程咨询有限公司</w:t>
      </w:r>
      <w:r>
        <w:rPr>
          <w:rFonts w:hint="eastAsia" w:ascii="宋体" w:hAnsi="宋体"/>
          <w:color w:val="auto"/>
          <w:sz w:val="24"/>
          <w:highlight w:val="none"/>
        </w:rPr>
        <w:t>：</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兹授权同志为我公司参加贵单位组织的</w:t>
      </w:r>
      <w:r>
        <w:rPr>
          <w:rFonts w:hint="eastAsia" w:ascii="宋体" w:hAnsi="宋体"/>
          <w:color w:val="auto"/>
          <w:sz w:val="24"/>
          <w:highlight w:val="none"/>
          <w:u w:val="single"/>
        </w:rPr>
        <w:t>（项目名称、编号、）</w:t>
      </w:r>
      <w:r>
        <w:rPr>
          <w:rFonts w:hint="eastAsia" w:ascii="宋体" w:hAnsi="宋体"/>
          <w:color w:val="auto"/>
          <w:sz w:val="24"/>
          <w:highlight w:val="none"/>
        </w:rPr>
        <w:t xml:space="preserve">采购活动的竞标代表人，全权代表我公司处理在该项目活动中的一切事宜。代理期限从年月日起至年月日止。 </w:t>
      </w:r>
    </w:p>
    <w:p>
      <w:pPr>
        <w:spacing w:line="520" w:lineRule="exact"/>
        <w:rPr>
          <w:rFonts w:ascii="宋体" w:hAnsi="宋体"/>
          <w:color w:val="auto"/>
          <w:sz w:val="24"/>
          <w:highlight w:val="none"/>
        </w:rPr>
      </w:pPr>
    </w:p>
    <w:p>
      <w:pPr>
        <w:spacing w:line="520" w:lineRule="exact"/>
        <w:rPr>
          <w:rFonts w:ascii="宋体" w:hAnsi="宋体"/>
          <w:color w:val="auto"/>
          <w:sz w:val="24"/>
          <w:highlight w:val="none"/>
          <w:u w:val="single"/>
        </w:rPr>
      </w:pPr>
      <w:r>
        <w:rPr>
          <w:rFonts w:hint="eastAsia" w:ascii="宋体" w:hAnsi="宋体"/>
          <w:color w:val="auto"/>
          <w:sz w:val="24"/>
          <w:highlight w:val="none"/>
        </w:rPr>
        <w:t>供应商名称（公章）：</w:t>
      </w:r>
    </w:p>
    <w:p>
      <w:pPr>
        <w:spacing w:line="520" w:lineRule="exact"/>
        <w:rPr>
          <w:rFonts w:ascii="宋体" w:hAnsi="宋体"/>
          <w:color w:val="auto"/>
          <w:sz w:val="24"/>
          <w:highlight w:val="none"/>
          <w:u w:val="single"/>
        </w:rPr>
      </w:pPr>
      <w:r>
        <w:rPr>
          <w:rFonts w:hint="eastAsia" w:ascii="宋体" w:hAnsi="宋体"/>
          <w:color w:val="auto"/>
          <w:sz w:val="24"/>
          <w:highlight w:val="none"/>
        </w:rPr>
        <w:t>法定代表人（签字）：</w:t>
      </w:r>
    </w:p>
    <w:p>
      <w:pPr>
        <w:spacing w:line="520" w:lineRule="exact"/>
        <w:rPr>
          <w:rFonts w:ascii="宋体" w:hAnsi="宋体"/>
          <w:color w:val="auto"/>
          <w:sz w:val="24"/>
          <w:highlight w:val="none"/>
          <w:u w:val="single"/>
        </w:rPr>
      </w:pPr>
      <w:r>
        <w:rPr>
          <w:rFonts w:hint="eastAsia" w:ascii="宋体" w:hAnsi="宋体"/>
          <w:color w:val="auto"/>
          <w:sz w:val="24"/>
          <w:highlight w:val="none"/>
        </w:rPr>
        <w:t>签发日期：</w:t>
      </w:r>
    </w:p>
    <w:p>
      <w:pPr>
        <w:spacing w:line="520" w:lineRule="exact"/>
        <w:rPr>
          <w:rFonts w:ascii="宋体" w:hAnsi="宋体"/>
          <w:color w:val="auto"/>
          <w:sz w:val="24"/>
          <w:highlight w:val="none"/>
        </w:rPr>
      </w:pPr>
    </w:p>
    <w:p>
      <w:pPr>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附：代理人工作单位：</w:t>
      </w:r>
    </w:p>
    <w:p>
      <w:pPr>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职务：      性别：</w:t>
      </w:r>
    </w:p>
    <w:p>
      <w:pPr>
        <w:adjustRightInd w:val="0"/>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身份证号码：</w:t>
      </w:r>
    </w:p>
    <w:p>
      <w:pPr>
        <w:adjustRightInd w:val="0"/>
        <w:snapToGrid w:val="0"/>
        <w:spacing w:line="520" w:lineRule="exact"/>
        <w:ind w:firstLine="420" w:firstLineChars="200"/>
        <w:rPr>
          <w:rFonts w:ascii="宋体" w:hAnsi="宋体"/>
          <w:color w:val="auto"/>
          <w:szCs w:val="21"/>
          <w:highlight w:val="none"/>
          <w:u w:val="single"/>
        </w:rPr>
      </w:pPr>
    </w:p>
    <w:tbl>
      <w:tblPr>
        <w:tblStyle w:val="35"/>
        <w:tblW w:w="83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trPr>
        <w:tc>
          <w:tcPr>
            <w:tcW w:w="8350" w:type="dxa"/>
          </w:tcPr>
          <w:p>
            <w:pPr>
              <w:spacing w:line="300" w:lineRule="auto"/>
              <w:rPr>
                <w:rFonts w:ascii="宋体" w:hAnsi="宋体"/>
                <w:color w:val="auto"/>
                <w:szCs w:val="21"/>
                <w:highlight w:val="none"/>
              </w:rPr>
            </w:pPr>
            <w:r>
              <w:rPr>
                <w:rFonts w:hint="eastAsia" w:ascii="宋体" w:hAnsi="宋体"/>
                <w:color w:val="auto"/>
                <w:szCs w:val="21"/>
                <w:highlight w:val="none"/>
              </w:rPr>
              <w:t>粘贴被授权人身份证及法定代表人身份证（复印件）</w:t>
            </w:r>
          </w:p>
        </w:tc>
      </w:tr>
    </w:tbl>
    <w:p>
      <w:pPr>
        <w:spacing w:line="300" w:lineRule="auto"/>
        <w:jc w:val="center"/>
        <w:rPr>
          <w:rFonts w:ascii="宋体" w:hAnsi="宋体"/>
          <w:b/>
          <w:color w:val="auto"/>
          <w:sz w:val="32"/>
          <w:szCs w:val="32"/>
          <w:highlight w:val="none"/>
        </w:rPr>
      </w:pPr>
    </w:p>
    <w:p>
      <w:pPr>
        <w:spacing w:line="400" w:lineRule="exact"/>
        <w:ind w:left="-27" w:leftChars="-13" w:firstLine="424" w:firstLineChars="151"/>
        <w:rPr>
          <w:rFonts w:hAnsi="宋体"/>
          <w:b/>
          <w:color w:val="auto"/>
          <w:sz w:val="28"/>
          <w:szCs w:val="28"/>
          <w:highlight w:val="none"/>
        </w:rPr>
      </w:pPr>
    </w:p>
    <w:p>
      <w:pPr>
        <w:spacing w:line="400" w:lineRule="exact"/>
        <w:ind w:left="-27" w:leftChars="-13" w:firstLine="424" w:firstLineChars="151"/>
        <w:rPr>
          <w:rFonts w:hAnsi="宋体"/>
          <w:b/>
          <w:color w:val="auto"/>
          <w:sz w:val="28"/>
          <w:szCs w:val="28"/>
          <w:highlight w:val="none"/>
        </w:rPr>
      </w:pPr>
    </w:p>
    <w:p>
      <w:pPr>
        <w:widowControl/>
        <w:jc w:val="left"/>
        <w:rPr>
          <w:rFonts w:hAnsi="宋体"/>
          <w:b/>
          <w:color w:val="auto"/>
          <w:sz w:val="28"/>
          <w:szCs w:val="28"/>
          <w:highlight w:val="none"/>
        </w:rPr>
      </w:pPr>
      <w:r>
        <w:rPr>
          <w:rFonts w:hAnsi="宋体"/>
          <w:b/>
          <w:color w:val="auto"/>
          <w:sz w:val="28"/>
          <w:szCs w:val="28"/>
          <w:highlight w:val="none"/>
        </w:rPr>
        <w:br w:type="page"/>
      </w:r>
    </w:p>
    <w:p>
      <w:pPr>
        <w:spacing w:line="400" w:lineRule="exact"/>
        <w:ind w:left="-27" w:leftChars="-13" w:firstLine="424" w:firstLineChars="151"/>
        <w:rPr>
          <w:rFonts w:hAnsi="宋体"/>
          <w:b/>
          <w:color w:val="auto"/>
          <w:sz w:val="28"/>
          <w:szCs w:val="28"/>
          <w:highlight w:val="none"/>
        </w:rPr>
      </w:pPr>
    </w:p>
    <w:p>
      <w:pPr>
        <w:spacing w:line="400" w:lineRule="exact"/>
        <w:rPr>
          <w:rFonts w:ascii="宋体" w:hAnsi="宋体"/>
          <w:color w:val="auto"/>
          <w:sz w:val="28"/>
          <w:szCs w:val="28"/>
          <w:highlight w:val="none"/>
        </w:rPr>
      </w:pPr>
      <w:r>
        <w:rPr>
          <w:rFonts w:hint="eastAsia" w:ascii="宋体" w:hAnsi="宋体"/>
          <w:b/>
          <w:color w:val="auto"/>
          <w:sz w:val="28"/>
          <w:szCs w:val="28"/>
          <w:highlight w:val="none"/>
        </w:rPr>
        <w:t>4</w:t>
      </w:r>
      <w:r>
        <w:rPr>
          <w:rFonts w:ascii="宋体" w:hAnsi="宋体"/>
          <w:b/>
          <w:color w:val="auto"/>
          <w:sz w:val="28"/>
          <w:szCs w:val="28"/>
          <w:highlight w:val="none"/>
        </w:rPr>
        <w:t>.</w:t>
      </w:r>
      <w:r>
        <w:rPr>
          <w:rFonts w:hint="eastAsia" w:ascii="宋体" w:hAnsi="宋体"/>
          <w:b/>
          <w:color w:val="auto"/>
          <w:sz w:val="28"/>
          <w:szCs w:val="28"/>
          <w:highlight w:val="none"/>
        </w:rPr>
        <w:t>贵港市政府采购项目投标资格承诺函。（必须提供，否则投标无效）</w:t>
      </w:r>
    </w:p>
    <w:p>
      <w:pPr>
        <w:spacing w:line="400" w:lineRule="exact"/>
        <w:rPr>
          <w:rFonts w:ascii="宋体" w:hAnsi="宋体"/>
          <w:b/>
          <w:color w:val="auto"/>
          <w:sz w:val="28"/>
          <w:szCs w:val="28"/>
          <w:highlight w:val="none"/>
        </w:rPr>
      </w:pPr>
    </w:p>
    <w:p>
      <w:pPr>
        <w:pStyle w:val="2"/>
        <w:rPr>
          <w:color w:val="auto"/>
          <w:highlight w:val="none"/>
        </w:rPr>
      </w:pPr>
    </w:p>
    <w:p>
      <w:pPr>
        <w:pStyle w:val="2"/>
        <w:rPr>
          <w:color w:val="auto"/>
          <w:highlight w:val="none"/>
        </w:rPr>
      </w:pPr>
    </w:p>
    <w:p>
      <w:pPr>
        <w:widowControl/>
        <w:jc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贵港市政府采购项目投标资格承诺函</w:t>
      </w:r>
    </w:p>
    <w:p>
      <w:pPr>
        <w:pStyle w:val="2"/>
        <w:rPr>
          <w:color w:val="auto"/>
          <w:highlight w:val="none"/>
        </w:rPr>
      </w:pPr>
    </w:p>
    <w:p>
      <w:pPr>
        <w:widowControl/>
        <w:spacing w:line="48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本公司郑重承诺，根据《中华人民共和国政府采购法》第二十二条的规定，本公司为参加政府采购活动的合格供应商。即本公司同时满足以下条件： </w:t>
      </w:r>
    </w:p>
    <w:p>
      <w:pPr>
        <w:widowControl/>
        <w:spacing w:line="48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1.具有独立承担民事责任的能力。 </w:t>
      </w:r>
    </w:p>
    <w:p>
      <w:pPr>
        <w:widowControl/>
        <w:spacing w:line="48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2.具有良好的商业信誉和健全的财务会计制度。 </w:t>
      </w:r>
    </w:p>
    <w:p>
      <w:pPr>
        <w:widowControl/>
        <w:spacing w:line="48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3.具有履行合同所必需的设备和专业技术能力。 </w:t>
      </w:r>
    </w:p>
    <w:p>
      <w:pPr>
        <w:widowControl/>
        <w:spacing w:line="48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4.有依法缴纳税收和社会保障资金的良好记录。 </w:t>
      </w:r>
    </w:p>
    <w:p>
      <w:pPr>
        <w:widowControl/>
        <w:spacing w:line="48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5. 提交投标文件截止日期前三年内，在经营活动中没有重大违法记录。 </w:t>
      </w:r>
    </w:p>
    <w:p>
      <w:pPr>
        <w:widowControl/>
        <w:spacing w:line="48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本公司对上述承诺的真实性负责，并接受政府采购、税务、 社会保障等监督管理部门、采购文件规定的资格审查机构、社会公众的监督和检查。如有虚假，将依法承担相应责任。 </w:t>
      </w:r>
    </w:p>
    <w:p>
      <w:pPr>
        <w:widowControl/>
        <w:spacing w:line="480" w:lineRule="auto"/>
        <w:ind w:firstLine="4830" w:firstLineChars="2300"/>
        <w:jc w:val="left"/>
        <w:rPr>
          <w:rFonts w:ascii="宋体" w:hAnsi="宋体" w:cs="宋体"/>
          <w:color w:val="auto"/>
          <w:kern w:val="0"/>
          <w:szCs w:val="21"/>
          <w:highlight w:val="none"/>
          <w:lang w:bidi="ar"/>
        </w:rPr>
      </w:pPr>
    </w:p>
    <w:p>
      <w:pPr>
        <w:widowControl/>
        <w:spacing w:line="480" w:lineRule="auto"/>
        <w:ind w:firstLine="4830" w:firstLineChars="23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企业名称（盖章）： </w:t>
      </w:r>
    </w:p>
    <w:p>
      <w:pPr>
        <w:widowControl/>
        <w:spacing w:line="480" w:lineRule="auto"/>
        <w:ind w:firstLine="4830" w:firstLineChars="23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法定代表人（签名）： </w:t>
      </w:r>
    </w:p>
    <w:p>
      <w:pPr>
        <w:widowControl/>
        <w:spacing w:line="480" w:lineRule="auto"/>
        <w:ind w:firstLine="4830" w:firstLineChars="2300"/>
        <w:jc w:val="left"/>
        <w:rPr>
          <w:rFonts w:ascii="宋体" w:hAnsi="宋体" w:cs="宋体"/>
          <w:color w:val="auto"/>
          <w:highlight w:val="none"/>
        </w:rPr>
      </w:pPr>
      <w:r>
        <w:rPr>
          <w:rFonts w:hint="eastAsia" w:ascii="宋体" w:hAnsi="宋体" w:cs="宋体"/>
          <w:color w:val="auto"/>
          <w:kern w:val="0"/>
          <w:szCs w:val="21"/>
          <w:highlight w:val="none"/>
          <w:lang w:bidi="ar"/>
        </w:rPr>
        <w:t xml:space="preserve">日期： 年 月 日 </w:t>
      </w:r>
    </w:p>
    <w:p>
      <w:pPr>
        <w:spacing w:line="400" w:lineRule="exact"/>
        <w:ind w:left="290"/>
        <w:rPr>
          <w:rFonts w:ascii="宋体" w:hAnsi="宋体"/>
          <w:color w:val="auto"/>
          <w:sz w:val="28"/>
          <w:szCs w:val="28"/>
          <w:highlight w:val="none"/>
        </w:rPr>
      </w:pPr>
    </w:p>
    <w:p>
      <w:pPr>
        <w:pStyle w:val="2"/>
        <w:rPr>
          <w:rFonts w:hAnsi="宋体"/>
          <w:color w:val="auto"/>
          <w:sz w:val="28"/>
          <w:szCs w:val="28"/>
          <w:highlight w:val="none"/>
        </w:rPr>
      </w:pPr>
    </w:p>
    <w:p>
      <w:pPr>
        <w:pStyle w:val="2"/>
        <w:rPr>
          <w:rFonts w:hAnsi="宋体"/>
          <w:color w:val="auto"/>
          <w:sz w:val="28"/>
          <w:szCs w:val="28"/>
          <w:highlight w:val="none"/>
        </w:rPr>
      </w:pPr>
    </w:p>
    <w:p>
      <w:pPr>
        <w:pStyle w:val="2"/>
        <w:rPr>
          <w:rFonts w:hAnsi="宋体"/>
          <w:color w:val="auto"/>
          <w:sz w:val="28"/>
          <w:szCs w:val="28"/>
          <w:highlight w:val="none"/>
        </w:rPr>
      </w:pPr>
    </w:p>
    <w:p>
      <w:pPr>
        <w:pStyle w:val="2"/>
        <w:rPr>
          <w:rFonts w:hAnsi="宋体"/>
          <w:color w:val="auto"/>
          <w:sz w:val="28"/>
          <w:szCs w:val="28"/>
          <w:highlight w:val="none"/>
        </w:rPr>
      </w:pPr>
    </w:p>
    <w:p>
      <w:pPr>
        <w:pStyle w:val="2"/>
        <w:rPr>
          <w:rFonts w:hAnsi="宋体"/>
          <w:color w:val="auto"/>
          <w:sz w:val="28"/>
          <w:szCs w:val="28"/>
          <w:highlight w:val="none"/>
        </w:rPr>
      </w:pPr>
    </w:p>
    <w:p>
      <w:pPr>
        <w:pStyle w:val="2"/>
        <w:rPr>
          <w:rFonts w:hAnsi="宋体"/>
          <w:color w:val="auto"/>
          <w:sz w:val="28"/>
          <w:szCs w:val="28"/>
          <w:highlight w:val="none"/>
        </w:rPr>
      </w:pPr>
    </w:p>
    <w:p>
      <w:pPr>
        <w:spacing w:line="400" w:lineRule="exact"/>
        <w:rPr>
          <w:rFonts w:ascii="宋体" w:hAnsi="宋体"/>
          <w:b/>
          <w:color w:val="auto"/>
          <w:sz w:val="28"/>
          <w:szCs w:val="28"/>
          <w:highlight w:val="none"/>
        </w:rPr>
      </w:pPr>
      <w:r>
        <w:rPr>
          <w:rFonts w:ascii="宋体" w:hAnsi="宋体"/>
          <w:b/>
          <w:color w:val="auto"/>
          <w:sz w:val="28"/>
          <w:szCs w:val="28"/>
          <w:highlight w:val="none"/>
        </w:rPr>
        <w:t>5</w:t>
      </w:r>
      <w:r>
        <w:rPr>
          <w:rFonts w:hint="eastAsia" w:ascii="宋体" w:hAnsi="宋体"/>
          <w:b/>
          <w:color w:val="auto"/>
          <w:sz w:val="28"/>
          <w:szCs w:val="28"/>
          <w:highlight w:val="none"/>
        </w:rPr>
        <w:t>.商务响应表（必须提供，否则竞标无效）</w:t>
      </w:r>
    </w:p>
    <w:p>
      <w:pPr>
        <w:spacing w:line="300" w:lineRule="auto"/>
        <w:jc w:val="center"/>
        <w:rPr>
          <w:rFonts w:ascii="宋体" w:hAnsi="宋体"/>
          <w:b/>
          <w:color w:val="auto"/>
          <w:sz w:val="32"/>
          <w:szCs w:val="32"/>
          <w:highlight w:val="none"/>
        </w:rPr>
      </w:pPr>
    </w:p>
    <w:p>
      <w:pPr>
        <w:spacing w:line="300" w:lineRule="auto"/>
        <w:jc w:val="center"/>
        <w:rPr>
          <w:rFonts w:ascii="宋体" w:hAnsi="宋体"/>
          <w:b/>
          <w:color w:val="auto"/>
          <w:sz w:val="28"/>
          <w:szCs w:val="28"/>
          <w:highlight w:val="none"/>
        </w:rPr>
      </w:pPr>
      <w:r>
        <w:rPr>
          <w:rFonts w:hint="eastAsia" w:ascii="宋体" w:hAnsi="宋体"/>
          <w:b/>
          <w:color w:val="auto"/>
          <w:sz w:val="28"/>
          <w:szCs w:val="28"/>
          <w:highlight w:val="none"/>
        </w:rPr>
        <w:t>商务响应表</w:t>
      </w:r>
    </w:p>
    <w:p>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p>
    <w:p>
      <w:pPr>
        <w:spacing w:line="500" w:lineRule="exact"/>
        <w:rPr>
          <w:rFonts w:ascii="宋体" w:hAnsi="宋体"/>
          <w:color w:val="auto"/>
          <w:szCs w:val="21"/>
          <w:highlight w:val="none"/>
          <w:u w:val="single"/>
        </w:rPr>
      </w:pPr>
      <w:r>
        <w:rPr>
          <w:rFonts w:hint="eastAsia" w:ascii="宋体" w:hAnsi="宋体"/>
          <w:color w:val="auto"/>
          <w:szCs w:val="21"/>
          <w:highlight w:val="none"/>
        </w:rPr>
        <w:t>采购项目名称:</w:t>
      </w:r>
    </w:p>
    <w:p>
      <w:pPr>
        <w:spacing w:line="500" w:lineRule="exact"/>
        <w:rPr>
          <w:rFonts w:ascii="宋体" w:hAnsi="宋体"/>
          <w:color w:val="auto"/>
          <w:szCs w:val="21"/>
          <w:highlight w:val="none"/>
        </w:rPr>
      </w:pPr>
    </w:p>
    <w:tbl>
      <w:tblPr>
        <w:tblStyle w:val="35"/>
        <w:tblW w:w="99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8"/>
        <w:gridCol w:w="3154"/>
        <w:gridCol w:w="1682"/>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olor w:val="auto"/>
                <w:szCs w:val="21"/>
                <w:highlight w:val="none"/>
              </w:rPr>
            </w:pPr>
            <w:r>
              <w:rPr>
                <w:rFonts w:hint="eastAsia" w:ascii="宋体" w:hAnsi="宋体"/>
                <w:color w:val="auto"/>
                <w:szCs w:val="21"/>
                <w:highlight w:val="none"/>
              </w:rPr>
              <w:t>项目</w:t>
            </w:r>
          </w:p>
        </w:tc>
        <w:tc>
          <w:tcPr>
            <w:tcW w:w="315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olor w:val="auto"/>
                <w:szCs w:val="21"/>
                <w:highlight w:val="none"/>
              </w:rPr>
            </w:pPr>
            <w:r>
              <w:rPr>
                <w:rFonts w:hint="eastAsia" w:ascii="宋体" w:hAnsi="宋体"/>
                <w:color w:val="auto"/>
                <w:szCs w:val="21"/>
                <w:highlight w:val="none"/>
              </w:rPr>
              <w:t>谈判采</w:t>
            </w:r>
            <w:r>
              <w:rPr>
                <w:rFonts w:ascii="宋体" w:hAnsi="宋体"/>
                <w:color w:val="auto"/>
                <w:szCs w:val="21"/>
                <w:highlight w:val="none"/>
              </w:rPr>
              <w:t>购</w:t>
            </w:r>
            <w:r>
              <w:rPr>
                <w:rFonts w:hint="eastAsia" w:ascii="宋体" w:hAnsi="宋体"/>
                <w:color w:val="auto"/>
                <w:szCs w:val="21"/>
                <w:highlight w:val="none"/>
              </w:rPr>
              <w:t>文件要求</w:t>
            </w:r>
          </w:p>
        </w:tc>
        <w:tc>
          <w:tcPr>
            <w:tcW w:w="168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olor w:val="auto"/>
                <w:szCs w:val="21"/>
                <w:highlight w:val="none"/>
              </w:rPr>
            </w:pPr>
            <w:r>
              <w:rPr>
                <w:rFonts w:hint="eastAsia" w:ascii="宋体" w:hAnsi="宋体"/>
                <w:color w:val="auto"/>
                <w:szCs w:val="21"/>
                <w:highlight w:val="none"/>
              </w:rPr>
              <w:t>是否响应</w:t>
            </w:r>
          </w:p>
        </w:tc>
        <w:tc>
          <w:tcPr>
            <w:tcW w:w="331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olor w:val="auto"/>
                <w:szCs w:val="21"/>
                <w:highlight w:val="none"/>
              </w:rPr>
            </w:pPr>
            <w:r>
              <w:rPr>
                <w:rFonts w:hint="eastAsia" w:ascii="宋体" w:hAnsi="宋体"/>
                <w:color w:val="auto"/>
                <w:szCs w:val="21"/>
                <w:highlight w:val="none"/>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180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color w:val="auto"/>
                <w:szCs w:val="21"/>
                <w:highlight w:val="none"/>
              </w:rPr>
            </w:pPr>
          </w:p>
        </w:tc>
        <w:tc>
          <w:tcPr>
            <w:tcW w:w="315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color w:val="auto"/>
                <w:szCs w:val="21"/>
                <w:highlight w:val="none"/>
              </w:rPr>
            </w:pPr>
          </w:p>
        </w:tc>
        <w:tc>
          <w:tcPr>
            <w:tcW w:w="168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color w:val="auto"/>
                <w:szCs w:val="21"/>
                <w:highlight w:val="none"/>
              </w:rPr>
            </w:pPr>
          </w:p>
        </w:tc>
        <w:tc>
          <w:tcPr>
            <w:tcW w:w="331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180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color w:val="auto"/>
                <w:szCs w:val="21"/>
                <w:highlight w:val="none"/>
              </w:rPr>
            </w:pPr>
          </w:p>
        </w:tc>
        <w:tc>
          <w:tcPr>
            <w:tcW w:w="315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color w:val="auto"/>
                <w:szCs w:val="21"/>
                <w:highlight w:val="none"/>
              </w:rPr>
            </w:pPr>
          </w:p>
        </w:tc>
        <w:tc>
          <w:tcPr>
            <w:tcW w:w="168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color w:val="auto"/>
                <w:szCs w:val="21"/>
                <w:highlight w:val="none"/>
              </w:rPr>
            </w:pPr>
          </w:p>
        </w:tc>
        <w:tc>
          <w:tcPr>
            <w:tcW w:w="331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80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color w:val="auto"/>
                <w:szCs w:val="21"/>
                <w:highlight w:val="none"/>
              </w:rPr>
            </w:pPr>
          </w:p>
        </w:tc>
        <w:tc>
          <w:tcPr>
            <w:tcW w:w="315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color w:val="auto"/>
                <w:szCs w:val="21"/>
                <w:highlight w:val="none"/>
              </w:rPr>
            </w:pPr>
          </w:p>
        </w:tc>
        <w:tc>
          <w:tcPr>
            <w:tcW w:w="1682"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宋体" w:hAnsi="宋体"/>
                <w:color w:val="auto"/>
                <w:szCs w:val="21"/>
                <w:highlight w:val="none"/>
              </w:rPr>
            </w:pPr>
          </w:p>
        </w:tc>
        <w:tc>
          <w:tcPr>
            <w:tcW w:w="3319"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180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color w:val="auto"/>
                <w:szCs w:val="21"/>
                <w:highlight w:val="none"/>
              </w:rPr>
            </w:pPr>
          </w:p>
        </w:tc>
        <w:tc>
          <w:tcPr>
            <w:tcW w:w="315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color w:val="auto"/>
                <w:szCs w:val="21"/>
                <w:highlight w:val="none"/>
              </w:rPr>
            </w:pPr>
          </w:p>
        </w:tc>
        <w:tc>
          <w:tcPr>
            <w:tcW w:w="168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color w:val="auto"/>
                <w:szCs w:val="21"/>
                <w:highlight w:val="none"/>
              </w:rPr>
            </w:pPr>
          </w:p>
        </w:tc>
        <w:tc>
          <w:tcPr>
            <w:tcW w:w="331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0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color w:val="auto"/>
                <w:szCs w:val="21"/>
                <w:highlight w:val="none"/>
              </w:rPr>
            </w:pPr>
          </w:p>
        </w:tc>
        <w:tc>
          <w:tcPr>
            <w:tcW w:w="315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color w:val="auto"/>
                <w:szCs w:val="21"/>
                <w:highlight w:val="none"/>
              </w:rPr>
            </w:pPr>
          </w:p>
        </w:tc>
        <w:tc>
          <w:tcPr>
            <w:tcW w:w="168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color w:val="auto"/>
                <w:szCs w:val="21"/>
                <w:highlight w:val="none"/>
              </w:rPr>
            </w:pPr>
          </w:p>
        </w:tc>
        <w:tc>
          <w:tcPr>
            <w:tcW w:w="331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color w:val="auto"/>
                <w:szCs w:val="21"/>
                <w:highlight w:val="none"/>
              </w:rPr>
            </w:pPr>
          </w:p>
        </w:tc>
      </w:tr>
    </w:tbl>
    <w:p>
      <w:pPr>
        <w:rPr>
          <w:rFonts w:ascii="宋体" w:hAnsi="宋体"/>
          <w:color w:val="auto"/>
          <w:sz w:val="24"/>
          <w:highlight w:val="none"/>
        </w:rPr>
      </w:pPr>
    </w:p>
    <w:p>
      <w:pPr>
        <w:rPr>
          <w:rFonts w:ascii="宋体" w:hAnsi="宋体"/>
          <w:color w:val="auto"/>
          <w:szCs w:val="21"/>
          <w:highlight w:val="none"/>
          <w:u w:val="single"/>
        </w:rPr>
      </w:pPr>
      <w:r>
        <w:rPr>
          <w:rFonts w:hint="eastAsia" w:ascii="宋体" w:hAnsi="宋体"/>
          <w:color w:val="auto"/>
          <w:szCs w:val="21"/>
          <w:highlight w:val="none"/>
        </w:rPr>
        <w:t>供应商名称（公章）：</w:t>
      </w:r>
    </w:p>
    <w:p>
      <w:pPr>
        <w:spacing w:line="520" w:lineRule="exact"/>
        <w:rPr>
          <w:rFonts w:ascii="宋体" w:hAnsi="宋体"/>
          <w:color w:val="auto"/>
          <w:szCs w:val="21"/>
          <w:highlight w:val="none"/>
          <w:u w:val="single"/>
        </w:rPr>
      </w:pPr>
      <w:r>
        <w:rPr>
          <w:rFonts w:hint="eastAsia" w:ascii="宋体" w:hAnsi="宋体"/>
          <w:color w:val="auto"/>
          <w:szCs w:val="21"/>
          <w:highlight w:val="none"/>
        </w:rPr>
        <w:t>法定代表人或法定代表人授权代表签字：</w:t>
      </w:r>
    </w:p>
    <w:p>
      <w:pPr>
        <w:spacing w:line="300" w:lineRule="auto"/>
        <w:rPr>
          <w:rFonts w:ascii="宋体" w:hAnsi="宋体"/>
          <w:color w:val="auto"/>
          <w:szCs w:val="21"/>
          <w:highlight w:val="none"/>
          <w:u w:val="single"/>
        </w:rPr>
      </w:pPr>
      <w:r>
        <w:rPr>
          <w:rFonts w:hint="eastAsia" w:ascii="宋体" w:hAnsi="宋体"/>
          <w:color w:val="auto"/>
          <w:szCs w:val="21"/>
          <w:highlight w:val="none"/>
        </w:rPr>
        <w:t>日   期：</w:t>
      </w:r>
    </w:p>
    <w:p>
      <w:pPr>
        <w:spacing w:line="400" w:lineRule="exact"/>
        <w:ind w:left="-27" w:leftChars="-13" w:firstLine="424" w:firstLineChars="151"/>
        <w:rPr>
          <w:rFonts w:ascii="宋体" w:hAnsi="宋体"/>
          <w:b/>
          <w:color w:val="auto"/>
          <w:sz w:val="28"/>
          <w:szCs w:val="28"/>
          <w:highlight w:val="none"/>
        </w:rPr>
      </w:pPr>
    </w:p>
    <w:p>
      <w:pPr>
        <w:spacing w:line="400" w:lineRule="exact"/>
        <w:rPr>
          <w:rFonts w:ascii="宋体" w:hAnsi="宋体"/>
          <w:b/>
          <w:color w:val="auto"/>
          <w:sz w:val="28"/>
          <w:szCs w:val="28"/>
          <w:highlight w:val="none"/>
        </w:rPr>
      </w:pPr>
    </w:p>
    <w:p>
      <w:pPr>
        <w:spacing w:line="400" w:lineRule="exact"/>
        <w:ind w:left="-27" w:leftChars="-13" w:firstLine="422" w:firstLineChars="151"/>
        <w:rPr>
          <w:rFonts w:ascii="宋体" w:hAnsi="宋体"/>
          <w:color w:val="auto"/>
          <w:sz w:val="28"/>
          <w:szCs w:val="28"/>
          <w:highlight w:val="none"/>
        </w:rPr>
      </w:pPr>
      <w:r>
        <w:rPr>
          <w:rFonts w:ascii="宋体" w:hAnsi="宋体"/>
          <w:color w:val="auto"/>
          <w:sz w:val="28"/>
          <w:szCs w:val="28"/>
          <w:highlight w:val="none"/>
        </w:rPr>
        <w:br w:type="page"/>
      </w:r>
    </w:p>
    <w:p>
      <w:pPr>
        <w:pStyle w:val="17"/>
        <w:rPr>
          <w:color w:val="auto"/>
          <w:highlight w:val="none"/>
        </w:rPr>
      </w:pPr>
    </w:p>
    <w:p>
      <w:pPr>
        <w:pStyle w:val="17"/>
        <w:rPr>
          <w:color w:val="auto"/>
          <w:highlight w:val="none"/>
        </w:rPr>
      </w:pPr>
    </w:p>
    <w:p>
      <w:pPr>
        <w:spacing w:line="400" w:lineRule="exact"/>
        <w:ind w:left="-27" w:leftChars="-13" w:firstLine="424" w:firstLineChars="151"/>
        <w:rPr>
          <w:rFonts w:ascii="宋体" w:hAnsi="宋体"/>
          <w:b/>
          <w:color w:val="auto"/>
          <w:sz w:val="28"/>
          <w:szCs w:val="28"/>
          <w:highlight w:val="none"/>
        </w:rPr>
      </w:pPr>
      <w:r>
        <w:rPr>
          <w:rFonts w:ascii="宋体" w:hAnsi="宋体"/>
          <w:b/>
          <w:color w:val="auto"/>
          <w:sz w:val="28"/>
          <w:szCs w:val="28"/>
          <w:highlight w:val="none"/>
        </w:rPr>
        <w:t>6</w:t>
      </w:r>
      <w:r>
        <w:rPr>
          <w:rFonts w:hint="eastAsia" w:ascii="宋体" w:hAnsi="宋体"/>
          <w:b/>
          <w:color w:val="auto"/>
          <w:sz w:val="28"/>
          <w:szCs w:val="28"/>
          <w:highlight w:val="none"/>
        </w:rPr>
        <w:t>.本谈判采购文件要求提供的其他资格和商务证明文件；</w:t>
      </w:r>
    </w:p>
    <w:p>
      <w:pPr>
        <w:spacing w:line="400" w:lineRule="exact"/>
        <w:ind w:left="-27" w:leftChars="-13" w:firstLine="422" w:firstLineChars="151"/>
        <w:rPr>
          <w:rFonts w:ascii="宋体" w:hAnsi="宋体"/>
          <w:color w:val="auto"/>
          <w:sz w:val="28"/>
          <w:szCs w:val="28"/>
          <w:highlight w:val="none"/>
        </w:rPr>
      </w:pPr>
    </w:p>
    <w:p>
      <w:pPr>
        <w:spacing w:line="400" w:lineRule="exact"/>
        <w:ind w:left="-27" w:leftChars="-13" w:firstLine="424" w:firstLineChars="151"/>
        <w:rPr>
          <w:rFonts w:ascii="宋体" w:hAnsi="宋体"/>
          <w:b/>
          <w:color w:val="auto"/>
          <w:sz w:val="28"/>
          <w:szCs w:val="28"/>
          <w:highlight w:val="none"/>
        </w:rPr>
      </w:pPr>
    </w:p>
    <w:p>
      <w:pPr>
        <w:spacing w:line="380" w:lineRule="exact"/>
        <w:ind w:firstLine="342" w:firstLineChars="163"/>
        <w:rPr>
          <w:rFonts w:ascii="宋体" w:hAnsi="宋体"/>
          <w:color w:val="auto"/>
          <w:szCs w:val="21"/>
          <w:highlight w:val="none"/>
        </w:rPr>
      </w:pPr>
    </w:p>
    <w:p>
      <w:pPr>
        <w:spacing w:line="400" w:lineRule="exact"/>
        <w:ind w:left="-27" w:leftChars="-13" w:firstLine="424" w:firstLineChars="151"/>
        <w:rPr>
          <w:rFonts w:ascii="宋体" w:hAnsi="宋体"/>
          <w:b/>
          <w:color w:val="auto"/>
          <w:sz w:val="28"/>
          <w:szCs w:val="28"/>
          <w:highlight w:val="none"/>
        </w:rPr>
      </w:pPr>
    </w:p>
    <w:p>
      <w:pPr>
        <w:spacing w:line="400" w:lineRule="exact"/>
        <w:ind w:left="-27" w:leftChars="-13" w:firstLine="424" w:firstLineChars="151"/>
        <w:rPr>
          <w:rFonts w:ascii="宋体" w:hAnsi="宋体"/>
          <w:b/>
          <w:color w:val="auto"/>
          <w:sz w:val="28"/>
          <w:szCs w:val="28"/>
          <w:highlight w:val="none"/>
        </w:rPr>
      </w:pPr>
    </w:p>
    <w:p>
      <w:pPr>
        <w:spacing w:line="400" w:lineRule="exact"/>
        <w:ind w:left="-27" w:leftChars="-13" w:firstLine="424" w:firstLineChars="151"/>
        <w:rPr>
          <w:rFonts w:ascii="宋体" w:hAnsi="宋体"/>
          <w:b/>
          <w:color w:val="auto"/>
          <w:sz w:val="28"/>
          <w:szCs w:val="28"/>
          <w:highlight w:val="none"/>
        </w:rPr>
      </w:pPr>
    </w:p>
    <w:p>
      <w:pPr>
        <w:spacing w:line="400" w:lineRule="exact"/>
        <w:ind w:left="-27" w:leftChars="-13" w:firstLine="424" w:firstLineChars="151"/>
        <w:rPr>
          <w:rFonts w:ascii="宋体" w:hAnsi="宋体"/>
          <w:b/>
          <w:color w:val="auto"/>
          <w:sz w:val="28"/>
          <w:szCs w:val="28"/>
          <w:highlight w:val="none"/>
        </w:rPr>
      </w:pPr>
    </w:p>
    <w:p>
      <w:pPr>
        <w:spacing w:line="400" w:lineRule="exact"/>
        <w:ind w:left="-27" w:leftChars="-13" w:firstLine="424" w:firstLineChars="151"/>
        <w:rPr>
          <w:rFonts w:ascii="宋体" w:hAnsi="宋体"/>
          <w:b/>
          <w:color w:val="auto"/>
          <w:sz w:val="28"/>
          <w:szCs w:val="28"/>
          <w:highlight w:val="none"/>
        </w:rPr>
      </w:pPr>
      <w:r>
        <w:rPr>
          <w:rFonts w:ascii="宋体" w:hAnsi="宋体"/>
          <w:b/>
          <w:color w:val="auto"/>
          <w:sz w:val="28"/>
          <w:szCs w:val="28"/>
          <w:highlight w:val="none"/>
        </w:rPr>
        <w:t>7</w:t>
      </w:r>
      <w:r>
        <w:rPr>
          <w:rFonts w:hint="eastAsia" w:ascii="宋体" w:hAnsi="宋体"/>
          <w:b/>
          <w:color w:val="auto"/>
          <w:sz w:val="28"/>
          <w:szCs w:val="28"/>
          <w:highlight w:val="none"/>
        </w:rPr>
        <w:t>.供应商近三年完</w:t>
      </w:r>
      <w:r>
        <w:rPr>
          <w:rFonts w:ascii="宋体" w:hAnsi="宋体"/>
          <w:b/>
          <w:color w:val="auto"/>
          <w:sz w:val="28"/>
          <w:szCs w:val="28"/>
          <w:highlight w:val="none"/>
        </w:rPr>
        <w:t>成</w:t>
      </w:r>
      <w:r>
        <w:rPr>
          <w:rFonts w:hint="eastAsia" w:ascii="宋体" w:hAnsi="宋体"/>
          <w:b/>
          <w:color w:val="auto"/>
          <w:sz w:val="28"/>
          <w:szCs w:val="28"/>
          <w:highlight w:val="none"/>
        </w:rPr>
        <w:t>同类项目业绩（如</w:t>
      </w:r>
      <w:r>
        <w:rPr>
          <w:rFonts w:ascii="宋体" w:hAnsi="宋体"/>
          <w:b/>
          <w:color w:val="auto"/>
          <w:sz w:val="28"/>
          <w:szCs w:val="28"/>
          <w:highlight w:val="none"/>
        </w:rPr>
        <w:t>有请提供，</w:t>
      </w:r>
      <w:r>
        <w:rPr>
          <w:rFonts w:hint="eastAsia" w:ascii="宋体" w:hAnsi="宋体"/>
          <w:b/>
          <w:color w:val="auto"/>
          <w:sz w:val="28"/>
          <w:szCs w:val="28"/>
          <w:highlight w:val="none"/>
        </w:rPr>
        <w:t>附合同协议书或中标通知书复印件加盖竞标人单位公章为准）；</w:t>
      </w:r>
    </w:p>
    <w:p>
      <w:pPr>
        <w:spacing w:line="400" w:lineRule="exact"/>
        <w:ind w:left="-27" w:leftChars="-13" w:firstLine="424" w:firstLineChars="151"/>
        <w:rPr>
          <w:rFonts w:ascii="宋体" w:hAnsi="宋体"/>
          <w:b/>
          <w:color w:val="auto"/>
          <w:sz w:val="28"/>
          <w:szCs w:val="28"/>
          <w:highlight w:val="none"/>
        </w:rPr>
      </w:pPr>
    </w:p>
    <w:p>
      <w:pPr>
        <w:spacing w:line="400" w:lineRule="exact"/>
        <w:ind w:left="-27" w:leftChars="-13" w:firstLine="422" w:firstLineChars="151"/>
        <w:rPr>
          <w:rFonts w:ascii="宋体" w:hAnsi="宋体"/>
          <w:color w:val="auto"/>
          <w:sz w:val="28"/>
          <w:szCs w:val="28"/>
          <w:highlight w:val="none"/>
        </w:rPr>
      </w:pPr>
      <w:r>
        <w:rPr>
          <w:rFonts w:ascii="宋体" w:hAnsi="宋体"/>
          <w:color w:val="auto"/>
          <w:sz w:val="28"/>
          <w:szCs w:val="28"/>
          <w:highlight w:val="none"/>
        </w:rPr>
        <w:br w:type="page"/>
      </w:r>
    </w:p>
    <w:p>
      <w:pPr>
        <w:spacing w:line="400" w:lineRule="exact"/>
        <w:ind w:left="-27" w:leftChars="-13" w:firstLine="485" w:firstLineChars="151"/>
        <w:rPr>
          <w:rFonts w:ascii="宋体" w:hAnsi="宋体"/>
          <w:b/>
          <w:color w:val="auto"/>
          <w:sz w:val="32"/>
          <w:szCs w:val="32"/>
          <w:highlight w:val="none"/>
        </w:rPr>
      </w:pPr>
      <w:r>
        <w:rPr>
          <w:rFonts w:hint="eastAsia" w:ascii="宋体" w:hAnsi="宋体"/>
          <w:b/>
          <w:color w:val="auto"/>
          <w:sz w:val="32"/>
          <w:szCs w:val="32"/>
          <w:highlight w:val="none"/>
        </w:rPr>
        <w:t>三、技术文件</w:t>
      </w:r>
    </w:p>
    <w:p>
      <w:pPr>
        <w:spacing w:line="400" w:lineRule="exact"/>
        <w:ind w:left="-27" w:leftChars="-13" w:firstLine="485" w:firstLineChars="151"/>
        <w:rPr>
          <w:rFonts w:ascii="宋体" w:hAnsi="宋体"/>
          <w:b/>
          <w:color w:val="auto"/>
          <w:sz w:val="32"/>
          <w:szCs w:val="32"/>
          <w:highlight w:val="none"/>
        </w:rPr>
      </w:pPr>
    </w:p>
    <w:p>
      <w:pPr>
        <w:spacing w:line="400" w:lineRule="exact"/>
        <w:ind w:left="-27" w:leftChars="-13" w:firstLine="485" w:firstLineChars="151"/>
        <w:rPr>
          <w:rFonts w:ascii="宋体" w:hAnsi="宋体"/>
          <w:b/>
          <w:color w:val="auto"/>
          <w:sz w:val="32"/>
          <w:szCs w:val="32"/>
          <w:highlight w:val="none"/>
        </w:rPr>
      </w:pPr>
    </w:p>
    <w:p>
      <w:pPr>
        <w:numPr>
          <w:ilvl w:val="0"/>
          <w:numId w:val="8"/>
        </w:numPr>
        <w:spacing w:line="400" w:lineRule="exact"/>
        <w:rPr>
          <w:rFonts w:ascii="宋体" w:hAnsi="宋体"/>
          <w:color w:val="auto"/>
          <w:sz w:val="28"/>
          <w:szCs w:val="28"/>
          <w:highlight w:val="none"/>
        </w:rPr>
      </w:pPr>
      <w:r>
        <w:rPr>
          <w:rFonts w:hint="eastAsia" w:ascii="宋体" w:hAnsi="宋体"/>
          <w:color w:val="auto"/>
          <w:sz w:val="28"/>
          <w:szCs w:val="28"/>
          <w:highlight w:val="none"/>
        </w:rPr>
        <w:t>技术响应、偏离情况说明表（必须提供，否则竞标无效）</w:t>
      </w:r>
    </w:p>
    <w:p>
      <w:pPr>
        <w:spacing w:line="300" w:lineRule="auto"/>
        <w:jc w:val="center"/>
        <w:rPr>
          <w:rFonts w:ascii="宋体" w:hAnsi="宋体"/>
          <w:b/>
          <w:color w:val="auto"/>
          <w:sz w:val="32"/>
          <w:szCs w:val="32"/>
          <w:highlight w:val="none"/>
        </w:rPr>
      </w:pPr>
    </w:p>
    <w:p>
      <w:pPr>
        <w:spacing w:line="300" w:lineRule="auto"/>
        <w:jc w:val="center"/>
        <w:rPr>
          <w:rFonts w:ascii="宋体" w:hAnsi="宋体"/>
          <w:b/>
          <w:color w:val="auto"/>
          <w:sz w:val="28"/>
          <w:szCs w:val="28"/>
          <w:highlight w:val="none"/>
        </w:rPr>
      </w:pPr>
      <w:r>
        <w:rPr>
          <w:rFonts w:hint="eastAsia" w:ascii="宋体" w:hAnsi="宋体"/>
          <w:b/>
          <w:color w:val="auto"/>
          <w:sz w:val="28"/>
          <w:szCs w:val="28"/>
          <w:highlight w:val="none"/>
        </w:rPr>
        <w:t>技术响应、偏离情况说明表</w:t>
      </w:r>
    </w:p>
    <w:p>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p>
    <w:p>
      <w:pPr>
        <w:spacing w:line="500" w:lineRule="exact"/>
        <w:rPr>
          <w:rFonts w:ascii="宋体" w:hAnsi="宋体"/>
          <w:color w:val="auto"/>
          <w:szCs w:val="21"/>
          <w:highlight w:val="none"/>
        </w:rPr>
      </w:pPr>
      <w:r>
        <w:rPr>
          <w:rFonts w:hint="eastAsia" w:ascii="宋体" w:hAnsi="宋体"/>
          <w:color w:val="auto"/>
          <w:szCs w:val="21"/>
          <w:highlight w:val="none"/>
        </w:rPr>
        <w:t>采购项目名称:</w:t>
      </w:r>
    </w:p>
    <w:tbl>
      <w:tblPr>
        <w:tblStyle w:val="35"/>
        <w:tblW w:w="91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410"/>
        <w:gridCol w:w="2164"/>
        <w:gridCol w:w="2371"/>
        <w:gridCol w:w="1569"/>
        <w:gridCol w:w="8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pStyle w:val="67"/>
              <w:ind w:firstLine="0" w:firstLineChars="0"/>
              <w:rPr>
                <w:color w:val="auto"/>
                <w:highlight w:val="none"/>
              </w:rPr>
            </w:pPr>
            <w:bookmarkStart w:id="52" w:name="_Toc173066401"/>
            <w:bookmarkStart w:id="53" w:name="_Toc522292036"/>
            <w:bookmarkStart w:id="54" w:name="_Toc254970588"/>
            <w:bookmarkStart w:id="55" w:name="_Toc173211900"/>
            <w:bookmarkStart w:id="56" w:name="_Toc254970729"/>
            <w:r>
              <w:rPr>
                <w:rFonts w:hint="eastAsia"/>
                <w:color w:val="auto"/>
                <w:highlight w:val="none"/>
              </w:rPr>
              <w:t>序号</w:t>
            </w:r>
            <w:bookmarkEnd w:id="52"/>
            <w:bookmarkEnd w:id="53"/>
            <w:bookmarkEnd w:id="54"/>
            <w:bookmarkEnd w:id="55"/>
            <w:bookmarkEnd w:id="56"/>
          </w:p>
        </w:tc>
        <w:tc>
          <w:tcPr>
            <w:tcW w:w="1410" w:type="dxa"/>
            <w:vAlign w:val="center"/>
          </w:tcPr>
          <w:p>
            <w:pPr>
              <w:pStyle w:val="67"/>
              <w:ind w:firstLine="0" w:firstLineChars="0"/>
              <w:rPr>
                <w:color w:val="auto"/>
                <w:highlight w:val="none"/>
              </w:rPr>
            </w:pPr>
            <w:bookmarkStart w:id="57" w:name="_Toc522292037"/>
            <w:r>
              <w:rPr>
                <w:rFonts w:hint="eastAsia"/>
                <w:color w:val="auto"/>
                <w:highlight w:val="none"/>
              </w:rPr>
              <w:t>货物名称</w:t>
            </w:r>
            <w:bookmarkEnd w:id="57"/>
          </w:p>
        </w:tc>
        <w:tc>
          <w:tcPr>
            <w:tcW w:w="2164" w:type="dxa"/>
            <w:vAlign w:val="center"/>
          </w:tcPr>
          <w:p>
            <w:pPr>
              <w:pStyle w:val="67"/>
              <w:ind w:firstLine="0" w:firstLineChars="0"/>
              <w:jc w:val="center"/>
              <w:rPr>
                <w:color w:val="auto"/>
                <w:highlight w:val="none"/>
              </w:rPr>
            </w:pPr>
            <w:bookmarkStart w:id="58" w:name="_Toc254970589"/>
            <w:bookmarkStart w:id="59" w:name="_Toc173211901"/>
            <w:bookmarkStart w:id="60" w:name="_Toc254970730"/>
            <w:bookmarkStart w:id="61" w:name="_Toc522292038"/>
            <w:bookmarkStart w:id="62" w:name="_Toc173066402"/>
            <w:r>
              <w:rPr>
                <w:rFonts w:hint="eastAsia"/>
                <w:color w:val="auto"/>
                <w:highlight w:val="none"/>
              </w:rPr>
              <w:t>竞争性谈判采购文件要求</w:t>
            </w:r>
            <w:bookmarkEnd w:id="58"/>
            <w:bookmarkEnd w:id="59"/>
            <w:bookmarkEnd w:id="60"/>
            <w:bookmarkEnd w:id="61"/>
            <w:bookmarkEnd w:id="62"/>
          </w:p>
        </w:tc>
        <w:tc>
          <w:tcPr>
            <w:tcW w:w="2371" w:type="dxa"/>
            <w:vAlign w:val="center"/>
          </w:tcPr>
          <w:p>
            <w:pPr>
              <w:pStyle w:val="67"/>
              <w:ind w:firstLine="0" w:firstLineChars="0"/>
              <w:rPr>
                <w:color w:val="auto"/>
                <w:highlight w:val="none"/>
              </w:rPr>
            </w:pPr>
            <w:bookmarkStart w:id="63" w:name="_Toc254970731"/>
            <w:bookmarkStart w:id="64" w:name="_Toc254970590"/>
            <w:bookmarkStart w:id="65" w:name="_Toc173066403"/>
            <w:bookmarkStart w:id="66" w:name="_Toc173211902"/>
            <w:bookmarkStart w:id="67" w:name="_Toc522292039"/>
            <w:r>
              <w:rPr>
                <w:rFonts w:hint="eastAsia"/>
                <w:color w:val="auto"/>
                <w:highlight w:val="none"/>
              </w:rPr>
              <w:t>谈判响应文件具体响应</w:t>
            </w:r>
            <w:bookmarkEnd w:id="63"/>
            <w:bookmarkEnd w:id="64"/>
            <w:bookmarkEnd w:id="65"/>
            <w:bookmarkEnd w:id="66"/>
            <w:bookmarkEnd w:id="67"/>
          </w:p>
        </w:tc>
        <w:tc>
          <w:tcPr>
            <w:tcW w:w="1569" w:type="dxa"/>
            <w:vAlign w:val="center"/>
          </w:tcPr>
          <w:p>
            <w:pPr>
              <w:jc w:val="center"/>
              <w:rPr>
                <w:color w:val="auto"/>
                <w:highlight w:val="none"/>
              </w:rPr>
            </w:pPr>
            <w:bookmarkStart w:id="68" w:name="_Toc254970732"/>
            <w:bookmarkStart w:id="69" w:name="_Toc173066404"/>
            <w:bookmarkStart w:id="70" w:name="_Toc522292040"/>
            <w:bookmarkStart w:id="71" w:name="_Toc254970591"/>
            <w:bookmarkStart w:id="72" w:name="_Toc173211903"/>
            <w:r>
              <w:rPr>
                <w:rFonts w:hint="eastAsia"/>
                <w:color w:val="auto"/>
                <w:highlight w:val="none"/>
              </w:rPr>
              <w:t>响应/偏离</w:t>
            </w:r>
            <w:bookmarkEnd w:id="68"/>
            <w:bookmarkEnd w:id="69"/>
            <w:bookmarkEnd w:id="70"/>
            <w:bookmarkEnd w:id="71"/>
            <w:bookmarkEnd w:id="72"/>
          </w:p>
        </w:tc>
        <w:tc>
          <w:tcPr>
            <w:tcW w:w="817" w:type="dxa"/>
            <w:vAlign w:val="center"/>
          </w:tcPr>
          <w:p>
            <w:pPr>
              <w:pStyle w:val="67"/>
              <w:ind w:firstLine="0" w:firstLineChars="0"/>
              <w:rPr>
                <w:color w:val="auto"/>
                <w:highlight w:val="none"/>
              </w:rPr>
            </w:pPr>
            <w:bookmarkStart w:id="73" w:name="_Toc173211904"/>
            <w:bookmarkStart w:id="74" w:name="_Toc254970592"/>
            <w:bookmarkStart w:id="75" w:name="_Toc254970733"/>
            <w:bookmarkStart w:id="76" w:name="_Toc522292041"/>
            <w:bookmarkStart w:id="77" w:name="_Toc173066405"/>
            <w:r>
              <w:rPr>
                <w:rFonts w:hint="eastAsia"/>
                <w:color w:val="auto"/>
                <w:highlight w:val="none"/>
              </w:rPr>
              <w:t>说明</w:t>
            </w:r>
            <w:bookmarkEnd w:id="73"/>
            <w:bookmarkEnd w:id="74"/>
            <w:bookmarkEnd w:id="75"/>
            <w:bookmarkEnd w:id="76"/>
            <w:bookmarkEnd w:id="77"/>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pStyle w:val="67"/>
              <w:rPr>
                <w:rFonts w:ascii="宋体" w:hAnsi="宋体"/>
                <w:color w:val="auto"/>
                <w:highlight w:val="none"/>
              </w:rPr>
            </w:pPr>
            <w:bookmarkStart w:id="78" w:name="_Toc522292042"/>
            <w:r>
              <w:rPr>
                <w:rFonts w:hint="eastAsia" w:ascii="宋体" w:hAnsi="宋体"/>
                <w:color w:val="auto"/>
                <w:highlight w:val="none"/>
              </w:rPr>
              <w:t>1</w:t>
            </w:r>
            <w:bookmarkEnd w:id="78"/>
          </w:p>
        </w:tc>
        <w:tc>
          <w:tcPr>
            <w:tcW w:w="1410" w:type="dxa"/>
            <w:vAlign w:val="center"/>
          </w:tcPr>
          <w:p>
            <w:pPr>
              <w:adjustRightInd w:val="0"/>
              <w:snapToGrid w:val="0"/>
              <w:spacing w:line="300" w:lineRule="auto"/>
              <w:jc w:val="center"/>
              <w:rPr>
                <w:rFonts w:ascii="宋体" w:hAnsi="宋体"/>
                <w:color w:val="auto"/>
                <w:szCs w:val="21"/>
                <w:highlight w:val="none"/>
              </w:rPr>
            </w:pPr>
          </w:p>
        </w:tc>
        <w:tc>
          <w:tcPr>
            <w:tcW w:w="2164" w:type="dxa"/>
            <w:vAlign w:val="center"/>
          </w:tcPr>
          <w:p>
            <w:pPr>
              <w:adjustRightInd w:val="0"/>
              <w:snapToGrid w:val="0"/>
              <w:spacing w:line="300" w:lineRule="auto"/>
              <w:jc w:val="center"/>
              <w:rPr>
                <w:rFonts w:ascii="宋体" w:hAnsi="宋体"/>
                <w:color w:val="auto"/>
                <w:szCs w:val="21"/>
                <w:highlight w:val="none"/>
              </w:rPr>
            </w:pPr>
          </w:p>
        </w:tc>
        <w:tc>
          <w:tcPr>
            <w:tcW w:w="2371" w:type="dxa"/>
            <w:vAlign w:val="center"/>
          </w:tcPr>
          <w:p>
            <w:pPr>
              <w:adjustRightInd w:val="0"/>
              <w:snapToGrid w:val="0"/>
              <w:spacing w:line="300" w:lineRule="auto"/>
              <w:jc w:val="center"/>
              <w:rPr>
                <w:rFonts w:ascii="宋体" w:hAnsi="宋体"/>
                <w:color w:val="auto"/>
                <w:szCs w:val="21"/>
                <w:highlight w:val="none"/>
              </w:rPr>
            </w:pPr>
          </w:p>
        </w:tc>
        <w:tc>
          <w:tcPr>
            <w:tcW w:w="1569" w:type="dxa"/>
            <w:vAlign w:val="center"/>
          </w:tcPr>
          <w:p>
            <w:pPr>
              <w:adjustRightInd w:val="0"/>
              <w:snapToGrid w:val="0"/>
              <w:spacing w:line="300" w:lineRule="auto"/>
              <w:jc w:val="center"/>
              <w:rPr>
                <w:rFonts w:ascii="宋体" w:hAnsi="宋体"/>
                <w:color w:val="auto"/>
                <w:szCs w:val="21"/>
                <w:highlight w:val="none"/>
              </w:rPr>
            </w:pPr>
          </w:p>
        </w:tc>
        <w:tc>
          <w:tcPr>
            <w:tcW w:w="817" w:type="dxa"/>
            <w:vAlign w:val="center"/>
          </w:tcPr>
          <w:p>
            <w:pPr>
              <w:adjustRightInd w:val="0"/>
              <w:snapToGrid w:val="0"/>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pStyle w:val="67"/>
              <w:rPr>
                <w:rFonts w:ascii="宋体" w:hAnsi="宋体"/>
                <w:color w:val="auto"/>
                <w:highlight w:val="none"/>
              </w:rPr>
            </w:pPr>
            <w:bookmarkStart w:id="79" w:name="_Toc522292043"/>
            <w:r>
              <w:rPr>
                <w:rFonts w:hint="eastAsia" w:ascii="宋体" w:hAnsi="宋体"/>
                <w:color w:val="auto"/>
                <w:highlight w:val="none"/>
              </w:rPr>
              <w:t>2</w:t>
            </w:r>
            <w:bookmarkEnd w:id="79"/>
          </w:p>
        </w:tc>
        <w:tc>
          <w:tcPr>
            <w:tcW w:w="1410" w:type="dxa"/>
            <w:vAlign w:val="center"/>
          </w:tcPr>
          <w:p>
            <w:pPr>
              <w:adjustRightInd w:val="0"/>
              <w:snapToGrid w:val="0"/>
              <w:spacing w:line="300" w:lineRule="auto"/>
              <w:jc w:val="center"/>
              <w:rPr>
                <w:rFonts w:ascii="宋体" w:hAnsi="宋体"/>
                <w:color w:val="auto"/>
                <w:szCs w:val="21"/>
                <w:highlight w:val="none"/>
              </w:rPr>
            </w:pPr>
          </w:p>
        </w:tc>
        <w:tc>
          <w:tcPr>
            <w:tcW w:w="2164" w:type="dxa"/>
            <w:vAlign w:val="center"/>
          </w:tcPr>
          <w:p>
            <w:pPr>
              <w:adjustRightInd w:val="0"/>
              <w:snapToGrid w:val="0"/>
              <w:spacing w:line="300" w:lineRule="auto"/>
              <w:jc w:val="center"/>
              <w:rPr>
                <w:rFonts w:ascii="宋体" w:hAnsi="宋体"/>
                <w:color w:val="auto"/>
                <w:szCs w:val="21"/>
                <w:highlight w:val="none"/>
              </w:rPr>
            </w:pPr>
          </w:p>
        </w:tc>
        <w:tc>
          <w:tcPr>
            <w:tcW w:w="2371" w:type="dxa"/>
            <w:vAlign w:val="center"/>
          </w:tcPr>
          <w:p>
            <w:pPr>
              <w:adjustRightInd w:val="0"/>
              <w:snapToGrid w:val="0"/>
              <w:spacing w:line="300" w:lineRule="auto"/>
              <w:jc w:val="center"/>
              <w:rPr>
                <w:rFonts w:ascii="宋体" w:hAnsi="宋体"/>
                <w:color w:val="auto"/>
                <w:szCs w:val="21"/>
                <w:highlight w:val="none"/>
              </w:rPr>
            </w:pPr>
          </w:p>
        </w:tc>
        <w:tc>
          <w:tcPr>
            <w:tcW w:w="1569" w:type="dxa"/>
            <w:vAlign w:val="center"/>
          </w:tcPr>
          <w:p>
            <w:pPr>
              <w:adjustRightInd w:val="0"/>
              <w:snapToGrid w:val="0"/>
              <w:spacing w:line="300" w:lineRule="auto"/>
              <w:jc w:val="center"/>
              <w:rPr>
                <w:rFonts w:ascii="宋体" w:hAnsi="宋体"/>
                <w:color w:val="auto"/>
                <w:szCs w:val="21"/>
                <w:highlight w:val="none"/>
              </w:rPr>
            </w:pPr>
          </w:p>
        </w:tc>
        <w:tc>
          <w:tcPr>
            <w:tcW w:w="817" w:type="dxa"/>
            <w:vAlign w:val="center"/>
          </w:tcPr>
          <w:p>
            <w:pPr>
              <w:adjustRightInd w:val="0"/>
              <w:snapToGrid w:val="0"/>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pStyle w:val="67"/>
              <w:rPr>
                <w:rFonts w:ascii="宋体" w:hAnsi="宋体"/>
                <w:color w:val="auto"/>
                <w:highlight w:val="none"/>
              </w:rPr>
            </w:pPr>
            <w:bookmarkStart w:id="80" w:name="_Toc522292044"/>
            <w:r>
              <w:rPr>
                <w:rFonts w:hint="eastAsia" w:ascii="宋体" w:hAnsi="宋体"/>
                <w:color w:val="auto"/>
                <w:highlight w:val="none"/>
              </w:rPr>
              <w:t>3</w:t>
            </w:r>
            <w:bookmarkEnd w:id="80"/>
          </w:p>
        </w:tc>
        <w:tc>
          <w:tcPr>
            <w:tcW w:w="1410" w:type="dxa"/>
            <w:vAlign w:val="center"/>
          </w:tcPr>
          <w:p>
            <w:pPr>
              <w:adjustRightInd w:val="0"/>
              <w:snapToGrid w:val="0"/>
              <w:spacing w:line="300" w:lineRule="auto"/>
              <w:jc w:val="center"/>
              <w:rPr>
                <w:rFonts w:ascii="宋体" w:hAnsi="宋体"/>
                <w:color w:val="auto"/>
                <w:szCs w:val="21"/>
                <w:highlight w:val="none"/>
              </w:rPr>
            </w:pPr>
          </w:p>
        </w:tc>
        <w:tc>
          <w:tcPr>
            <w:tcW w:w="2164" w:type="dxa"/>
            <w:vAlign w:val="center"/>
          </w:tcPr>
          <w:p>
            <w:pPr>
              <w:adjustRightInd w:val="0"/>
              <w:snapToGrid w:val="0"/>
              <w:spacing w:line="300" w:lineRule="auto"/>
              <w:jc w:val="center"/>
              <w:rPr>
                <w:rFonts w:ascii="宋体" w:hAnsi="宋体"/>
                <w:color w:val="auto"/>
                <w:szCs w:val="21"/>
                <w:highlight w:val="none"/>
              </w:rPr>
            </w:pPr>
          </w:p>
        </w:tc>
        <w:tc>
          <w:tcPr>
            <w:tcW w:w="2371" w:type="dxa"/>
            <w:vAlign w:val="center"/>
          </w:tcPr>
          <w:p>
            <w:pPr>
              <w:adjustRightInd w:val="0"/>
              <w:snapToGrid w:val="0"/>
              <w:spacing w:line="300" w:lineRule="auto"/>
              <w:jc w:val="center"/>
              <w:rPr>
                <w:rFonts w:ascii="宋体" w:hAnsi="宋体"/>
                <w:color w:val="auto"/>
                <w:szCs w:val="21"/>
                <w:highlight w:val="none"/>
              </w:rPr>
            </w:pPr>
          </w:p>
        </w:tc>
        <w:tc>
          <w:tcPr>
            <w:tcW w:w="1569" w:type="dxa"/>
            <w:vAlign w:val="center"/>
          </w:tcPr>
          <w:p>
            <w:pPr>
              <w:adjustRightInd w:val="0"/>
              <w:snapToGrid w:val="0"/>
              <w:spacing w:line="300" w:lineRule="auto"/>
              <w:jc w:val="center"/>
              <w:rPr>
                <w:rFonts w:ascii="宋体" w:hAnsi="宋体"/>
                <w:color w:val="auto"/>
                <w:szCs w:val="21"/>
                <w:highlight w:val="none"/>
              </w:rPr>
            </w:pPr>
          </w:p>
        </w:tc>
        <w:tc>
          <w:tcPr>
            <w:tcW w:w="817" w:type="dxa"/>
            <w:vAlign w:val="center"/>
          </w:tcPr>
          <w:p>
            <w:pPr>
              <w:adjustRightInd w:val="0"/>
              <w:snapToGrid w:val="0"/>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pStyle w:val="67"/>
              <w:rPr>
                <w:rFonts w:ascii="宋体" w:hAnsi="宋体"/>
                <w:color w:val="auto"/>
                <w:highlight w:val="none"/>
              </w:rPr>
            </w:pPr>
            <w:bookmarkStart w:id="81" w:name="_Toc522292045"/>
            <w:r>
              <w:rPr>
                <w:rFonts w:hint="eastAsia" w:ascii="宋体" w:hAnsi="宋体"/>
                <w:color w:val="auto"/>
                <w:highlight w:val="none"/>
              </w:rPr>
              <w:t>4</w:t>
            </w:r>
            <w:bookmarkEnd w:id="81"/>
          </w:p>
        </w:tc>
        <w:tc>
          <w:tcPr>
            <w:tcW w:w="1410" w:type="dxa"/>
            <w:vAlign w:val="center"/>
          </w:tcPr>
          <w:p>
            <w:pPr>
              <w:adjustRightInd w:val="0"/>
              <w:snapToGrid w:val="0"/>
              <w:spacing w:line="300" w:lineRule="auto"/>
              <w:jc w:val="center"/>
              <w:rPr>
                <w:rFonts w:ascii="宋体" w:hAnsi="宋体"/>
                <w:color w:val="auto"/>
                <w:szCs w:val="21"/>
                <w:highlight w:val="none"/>
              </w:rPr>
            </w:pPr>
          </w:p>
        </w:tc>
        <w:tc>
          <w:tcPr>
            <w:tcW w:w="2164" w:type="dxa"/>
            <w:vAlign w:val="center"/>
          </w:tcPr>
          <w:p>
            <w:pPr>
              <w:adjustRightInd w:val="0"/>
              <w:snapToGrid w:val="0"/>
              <w:spacing w:line="300" w:lineRule="auto"/>
              <w:jc w:val="center"/>
              <w:rPr>
                <w:rFonts w:ascii="宋体" w:hAnsi="宋体"/>
                <w:color w:val="auto"/>
                <w:szCs w:val="21"/>
                <w:highlight w:val="none"/>
              </w:rPr>
            </w:pPr>
          </w:p>
        </w:tc>
        <w:tc>
          <w:tcPr>
            <w:tcW w:w="2371" w:type="dxa"/>
            <w:vAlign w:val="center"/>
          </w:tcPr>
          <w:p>
            <w:pPr>
              <w:adjustRightInd w:val="0"/>
              <w:snapToGrid w:val="0"/>
              <w:spacing w:line="300" w:lineRule="auto"/>
              <w:jc w:val="center"/>
              <w:rPr>
                <w:rFonts w:ascii="宋体" w:hAnsi="宋体"/>
                <w:color w:val="auto"/>
                <w:szCs w:val="21"/>
                <w:highlight w:val="none"/>
              </w:rPr>
            </w:pPr>
          </w:p>
        </w:tc>
        <w:tc>
          <w:tcPr>
            <w:tcW w:w="1569" w:type="dxa"/>
            <w:vAlign w:val="center"/>
          </w:tcPr>
          <w:p>
            <w:pPr>
              <w:adjustRightInd w:val="0"/>
              <w:snapToGrid w:val="0"/>
              <w:spacing w:line="300" w:lineRule="auto"/>
              <w:jc w:val="center"/>
              <w:rPr>
                <w:rFonts w:ascii="宋体" w:hAnsi="宋体"/>
                <w:color w:val="auto"/>
                <w:szCs w:val="21"/>
                <w:highlight w:val="none"/>
              </w:rPr>
            </w:pPr>
          </w:p>
        </w:tc>
        <w:tc>
          <w:tcPr>
            <w:tcW w:w="817" w:type="dxa"/>
            <w:vAlign w:val="center"/>
          </w:tcPr>
          <w:p>
            <w:pPr>
              <w:adjustRightInd w:val="0"/>
              <w:snapToGrid w:val="0"/>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pStyle w:val="67"/>
              <w:rPr>
                <w:rFonts w:ascii="宋体" w:hAnsi="宋体"/>
                <w:color w:val="auto"/>
                <w:highlight w:val="none"/>
              </w:rPr>
            </w:pPr>
            <w:bookmarkStart w:id="82" w:name="_Toc522292046"/>
            <w:r>
              <w:rPr>
                <w:rFonts w:hint="eastAsia" w:ascii="宋体" w:hAnsi="宋体"/>
                <w:color w:val="auto"/>
                <w:highlight w:val="none"/>
              </w:rPr>
              <w:t>5</w:t>
            </w:r>
            <w:bookmarkEnd w:id="82"/>
          </w:p>
        </w:tc>
        <w:tc>
          <w:tcPr>
            <w:tcW w:w="1410" w:type="dxa"/>
            <w:vAlign w:val="center"/>
          </w:tcPr>
          <w:p>
            <w:pPr>
              <w:adjustRightInd w:val="0"/>
              <w:snapToGrid w:val="0"/>
              <w:spacing w:line="300" w:lineRule="auto"/>
              <w:jc w:val="center"/>
              <w:rPr>
                <w:rFonts w:ascii="宋体" w:hAnsi="宋体"/>
                <w:color w:val="auto"/>
                <w:szCs w:val="21"/>
                <w:highlight w:val="none"/>
              </w:rPr>
            </w:pPr>
          </w:p>
        </w:tc>
        <w:tc>
          <w:tcPr>
            <w:tcW w:w="2164" w:type="dxa"/>
            <w:vAlign w:val="center"/>
          </w:tcPr>
          <w:p>
            <w:pPr>
              <w:adjustRightInd w:val="0"/>
              <w:snapToGrid w:val="0"/>
              <w:spacing w:line="300" w:lineRule="auto"/>
              <w:jc w:val="center"/>
              <w:rPr>
                <w:rFonts w:ascii="宋体" w:hAnsi="宋体"/>
                <w:color w:val="auto"/>
                <w:szCs w:val="21"/>
                <w:highlight w:val="none"/>
              </w:rPr>
            </w:pPr>
          </w:p>
        </w:tc>
        <w:tc>
          <w:tcPr>
            <w:tcW w:w="2371" w:type="dxa"/>
            <w:vAlign w:val="center"/>
          </w:tcPr>
          <w:p>
            <w:pPr>
              <w:adjustRightInd w:val="0"/>
              <w:snapToGrid w:val="0"/>
              <w:spacing w:line="300" w:lineRule="auto"/>
              <w:jc w:val="center"/>
              <w:rPr>
                <w:rFonts w:ascii="宋体" w:hAnsi="宋体"/>
                <w:color w:val="auto"/>
                <w:szCs w:val="21"/>
                <w:highlight w:val="none"/>
              </w:rPr>
            </w:pPr>
          </w:p>
        </w:tc>
        <w:tc>
          <w:tcPr>
            <w:tcW w:w="1569" w:type="dxa"/>
            <w:vAlign w:val="center"/>
          </w:tcPr>
          <w:p>
            <w:pPr>
              <w:adjustRightInd w:val="0"/>
              <w:snapToGrid w:val="0"/>
              <w:spacing w:line="300" w:lineRule="auto"/>
              <w:jc w:val="center"/>
              <w:rPr>
                <w:rFonts w:ascii="宋体" w:hAnsi="宋体"/>
                <w:color w:val="auto"/>
                <w:szCs w:val="21"/>
                <w:highlight w:val="none"/>
              </w:rPr>
            </w:pPr>
          </w:p>
        </w:tc>
        <w:tc>
          <w:tcPr>
            <w:tcW w:w="817" w:type="dxa"/>
            <w:vAlign w:val="center"/>
          </w:tcPr>
          <w:p>
            <w:pPr>
              <w:adjustRightInd w:val="0"/>
              <w:snapToGrid w:val="0"/>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pStyle w:val="67"/>
              <w:rPr>
                <w:rFonts w:ascii="宋体" w:hAnsi="宋体"/>
                <w:color w:val="auto"/>
                <w:highlight w:val="none"/>
              </w:rPr>
            </w:pPr>
            <w:bookmarkStart w:id="83" w:name="_Toc522292047"/>
            <w:r>
              <w:rPr>
                <w:rFonts w:hint="eastAsia" w:ascii="宋体" w:hAnsi="宋体"/>
                <w:color w:val="auto"/>
                <w:highlight w:val="none"/>
              </w:rPr>
              <w:t>…</w:t>
            </w:r>
            <w:bookmarkEnd w:id="83"/>
          </w:p>
        </w:tc>
        <w:tc>
          <w:tcPr>
            <w:tcW w:w="1410" w:type="dxa"/>
            <w:vAlign w:val="center"/>
          </w:tcPr>
          <w:p>
            <w:pPr>
              <w:adjustRightInd w:val="0"/>
              <w:snapToGrid w:val="0"/>
              <w:spacing w:line="300" w:lineRule="auto"/>
              <w:jc w:val="center"/>
              <w:rPr>
                <w:rFonts w:ascii="宋体" w:hAnsi="宋体"/>
                <w:color w:val="auto"/>
                <w:szCs w:val="21"/>
                <w:highlight w:val="none"/>
              </w:rPr>
            </w:pPr>
          </w:p>
        </w:tc>
        <w:tc>
          <w:tcPr>
            <w:tcW w:w="2164" w:type="dxa"/>
            <w:vAlign w:val="center"/>
          </w:tcPr>
          <w:p>
            <w:pPr>
              <w:adjustRightInd w:val="0"/>
              <w:snapToGrid w:val="0"/>
              <w:spacing w:line="300" w:lineRule="auto"/>
              <w:jc w:val="center"/>
              <w:rPr>
                <w:rFonts w:ascii="宋体" w:hAnsi="宋体"/>
                <w:color w:val="auto"/>
                <w:szCs w:val="21"/>
                <w:highlight w:val="none"/>
              </w:rPr>
            </w:pPr>
          </w:p>
        </w:tc>
        <w:tc>
          <w:tcPr>
            <w:tcW w:w="2371" w:type="dxa"/>
            <w:vAlign w:val="center"/>
          </w:tcPr>
          <w:p>
            <w:pPr>
              <w:adjustRightInd w:val="0"/>
              <w:snapToGrid w:val="0"/>
              <w:spacing w:line="300" w:lineRule="auto"/>
              <w:jc w:val="center"/>
              <w:rPr>
                <w:rFonts w:ascii="宋体" w:hAnsi="宋体"/>
                <w:color w:val="auto"/>
                <w:szCs w:val="21"/>
                <w:highlight w:val="none"/>
              </w:rPr>
            </w:pPr>
          </w:p>
        </w:tc>
        <w:tc>
          <w:tcPr>
            <w:tcW w:w="1569" w:type="dxa"/>
            <w:vAlign w:val="center"/>
          </w:tcPr>
          <w:p>
            <w:pPr>
              <w:adjustRightInd w:val="0"/>
              <w:snapToGrid w:val="0"/>
              <w:spacing w:line="300" w:lineRule="auto"/>
              <w:jc w:val="center"/>
              <w:rPr>
                <w:rFonts w:ascii="宋体" w:hAnsi="宋体"/>
                <w:color w:val="auto"/>
                <w:szCs w:val="21"/>
                <w:highlight w:val="none"/>
              </w:rPr>
            </w:pPr>
          </w:p>
        </w:tc>
        <w:tc>
          <w:tcPr>
            <w:tcW w:w="817" w:type="dxa"/>
            <w:vAlign w:val="center"/>
          </w:tcPr>
          <w:p>
            <w:pPr>
              <w:adjustRightInd w:val="0"/>
              <w:snapToGrid w:val="0"/>
              <w:spacing w:line="300" w:lineRule="auto"/>
              <w:jc w:val="center"/>
              <w:rPr>
                <w:rFonts w:ascii="宋体" w:hAnsi="宋体"/>
                <w:color w:val="auto"/>
                <w:szCs w:val="21"/>
                <w:highlight w:val="none"/>
              </w:rPr>
            </w:pPr>
          </w:p>
        </w:tc>
      </w:tr>
    </w:tbl>
    <w:p>
      <w:pPr>
        <w:adjustRightInd w:val="0"/>
        <w:snapToGrid w:val="0"/>
        <w:spacing w:line="300" w:lineRule="auto"/>
        <w:rPr>
          <w:rFonts w:ascii="宋体" w:hAnsi="宋体"/>
          <w:color w:val="auto"/>
          <w:szCs w:val="21"/>
          <w:highlight w:val="none"/>
        </w:rPr>
      </w:pPr>
    </w:p>
    <w:p>
      <w:pPr>
        <w:spacing w:line="520" w:lineRule="exact"/>
        <w:rPr>
          <w:rFonts w:ascii="宋体" w:hAnsi="宋体"/>
          <w:color w:val="auto"/>
          <w:szCs w:val="21"/>
          <w:highlight w:val="none"/>
        </w:rPr>
      </w:pPr>
      <w:r>
        <w:rPr>
          <w:rFonts w:hint="eastAsia" w:ascii="宋体" w:hAnsi="宋体"/>
          <w:color w:val="auto"/>
          <w:szCs w:val="21"/>
          <w:highlight w:val="none"/>
        </w:rPr>
        <w:t>说明：应对照竞争性谈判采购文件“第四章采购项目需求表”，逐条说明所提供货物已对竞争性谈判采购文件的技术规格做出了实质性的响应，并申明与技术规格条文的响应和偏离。</w:t>
      </w:r>
    </w:p>
    <w:p>
      <w:pPr>
        <w:spacing w:line="360" w:lineRule="auto"/>
        <w:rPr>
          <w:rFonts w:ascii="宋体" w:hAnsi="宋体"/>
          <w:color w:val="auto"/>
          <w:szCs w:val="21"/>
          <w:highlight w:val="none"/>
        </w:rPr>
      </w:pPr>
    </w:p>
    <w:p>
      <w:pPr>
        <w:rPr>
          <w:rFonts w:ascii="宋体" w:hAnsi="宋体"/>
          <w:color w:val="auto"/>
          <w:szCs w:val="21"/>
          <w:highlight w:val="none"/>
          <w:u w:val="single"/>
        </w:rPr>
      </w:pPr>
      <w:r>
        <w:rPr>
          <w:rFonts w:hint="eastAsia" w:ascii="宋体" w:hAnsi="宋体"/>
          <w:color w:val="auto"/>
          <w:szCs w:val="21"/>
          <w:highlight w:val="none"/>
        </w:rPr>
        <w:t>供应商名称（公章）：</w:t>
      </w:r>
    </w:p>
    <w:p>
      <w:pPr>
        <w:spacing w:line="520" w:lineRule="exact"/>
        <w:rPr>
          <w:rFonts w:ascii="宋体" w:hAnsi="宋体"/>
          <w:color w:val="auto"/>
          <w:szCs w:val="21"/>
          <w:highlight w:val="none"/>
          <w:u w:val="single"/>
        </w:rPr>
      </w:pPr>
      <w:r>
        <w:rPr>
          <w:rFonts w:hint="eastAsia" w:ascii="宋体" w:hAnsi="宋体"/>
          <w:color w:val="auto"/>
          <w:szCs w:val="21"/>
          <w:highlight w:val="none"/>
        </w:rPr>
        <w:t>法定代表人或法定代表人授权代表签字：</w:t>
      </w:r>
    </w:p>
    <w:p>
      <w:pPr>
        <w:spacing w:line="300" w:lineRule="auto"/>
        <w:rPr>
          <w:rFonts w:ascii="宋体" w:hAnsi="宋体"/>
          <w:color w:val="auto"/>
          <w:szCs w:val="21"/>
          <w:highlight w:val="none"/>
          <w:u w:val="single"/>
        </w:rPr>
      </w:pPr>
      <w:r>
        <w:rPr>
          <w:rFonts w:hint="eastAsia" w:ascii="宋体" w:hAnsi="宋体"/>
          <w:color w:val="auto"/>
          <w:szCs w:val="21"/>
          <w:highlight w:val="none"/>
        </w:rPr>
        <w:t>日   期：</w:t>
      </w:r>
    </w:p>
    <w:p>
      <w:pPr>
        <w:spacing w:line="400" w:lineRule="exact"/>
        <w:ind w:left="-27" w:leftChars="-13" w:firstLine="424" w:firstLineChars="151"/>
        <w:rPr>
          <w:rFonts w:ascii="宋体" w:hAnsi="宋体"/>
          <w:b/>
          <w:color w:val="auto"/>
          <w:sz w:val="28"/>
          <w:szCs w:val="28"/>
          <w:highlight w:val="none"/>
        </w:rPr>
      </w:pPr>
    </w:p>
    <w:p>
      <w:pPr>
        <w:widowControl/>
        <w:jc w:val="left"/>
        <w:rPr>
          <w:rFonts w:ascii="宋体" w:hAnsi="宋体"/>
          <w:color w:val="auto"/>
          <w:szCs w:val="21"/>
          <w:highlight w:val="none"/>
        </w:rPr>
      </w:pPr>
      <w:r>
        <w:rPr>
          <w:rFonts w:ascii="宋体" w:hAnsi="宋体"/>
          <w:color w:val="auto"/>
          <w:szCs w:val="21"/>
          <w:highlight w:val="none"/>
        </w:rPr>
        <w:br w:type="page"/>
      </w:r>
    </w:p>
    <w:p>
      <w:pPr>
        <w:pStyle w:val="67"/>
        <w:numPr>
          <w:ilvl w:val="0"/>
          <w:numId w:val="8"/>
        </w:numPr>
        <w:spacing w:line="400" w:lineRule="exact"/>
        <w:ind w:firstLineChars="0"/>
        <w:rPr>
          <w:rFonts w:ascii="宋体" w:hAnsi="宋体"/>
          <w:color w:val="auto"/>
          <w:sz w:val="28"/>
          <w:szCs w:val="28"/>
          <w:highlight w:val="none"/>
        </w:rPr>
      </w:pPr>
      <w:r>
        <w:rPr>
          <w:rFonts w:hint="eastAsia" w:ascii="宋体" w:hAnsi="宋体"/>
          <w:color w:val="auto"/>
          <w:sz w:val="28"/>
          <w:szCs w:val="28"/>
          <w:highlight w:val="none"/>
        </w:rPr>
        <w:t>售后服务承诺书；（必须提供，否则竞标无效，</w:t>
      </w:r>
      <w:r>
        <w:rPr>
          <w:rFonts w:ascii="宋体" w:hAnsi="宋体"/>
          <w:color w:val="auto"/>
          <w:sz w:val="28"/>
          <w:szCs w:val="28"/>
          <w:highlight w:val="none"/>
        </w:rPr>
        <w:t>格式自拟</w:t>
      </w:r>
      <w:r>
        <w:rPr>
          <w:rFonts w:hint="eastAsia" w:ascii="宋体" w:hAnsi="宋体"/>
          <w:color w:val="auto"/>
          <w:sz w:val="28"/>
          <w:szCs w:val="28"/>
          <w:highlight w:val="none"/>
        </w:rPr>
        <w:t>）</w:t>
      </w:r>
    </w:p>
    <w:p>
      <w:pPr>
        <w:pStyle w:val="17"/>
        <w:rPr>
          <w:color w:val="auto"/>
          <w:highlight w:val="none"/>
        </w:rPr>
      </w:pPr>
    </w:p>
    <w:p>
      <w:pPr>
        <w:spacing w:line="400" w:lineRule="exact"/>
        <w:ind w:left="702"/>
        <w:rPr>
          <w:rFonts w:ascii="宋体" w:hAnsi="宋体"/>
          <w:color w:val="auto"/>
          <w:szCs w:val="21"/>
          <w:highlight w:val="none"/>
        </w:rPr>
      </w:pPr>
    </w:p>
    <w:p>
      <w:pPr>
        <w:pStyle w:val="6"/>
        <w:rPr>
          <w:color w:val="auto"/>
          <w:highlight w:val="none"/>
        </w:rPr>
      </w:pPr>
    </w:p>
    <w:p>
      <w:pPr>
        <w:spacing w:line="400" w:lineRule="exact"/>
        <w:rPr>
          <w:rFonts w:ascii="宋体" w:hAnsi="宋体"/>
          <w:color w:val="auto"/>
          <w:sz w:val="28"/>
          <w:szCs w:val="28"/>
          <w:highlight w:val="none"/>
        </w:rPr>
      </w:pPr>
    </w:p>
    <w:p>
      <w:pPr>
        <w:spacing w:line="400" w:lineRule="exact"/>
        <w:rPr>
          <w:rFonts w:ascii="宋体" w:hAnsi="宋体"/>
          <w:color w:val="auto"/>
          <w:sz w:val="28"/>
          <w:szCs w:val="28"/>
          <w:highlight w:val="none"/>
        </w:rPr>
      </w:pPr>
    </w:p>
    <w:p>
      <w:pPr>
        <w:spacing w:line="400" w:lineRule="exact"/>
        <w:rPr>
          <w:rFonts w:ascii="宋体" w:hAnsi="宋体"/>
          <w:color w:val="auto"/>
          <w:sz w:val="28"/>
          <w:szCs w:val="28"/>
          <w:highlight w:val="none"/>
        </w:rPr>
      </w:pPr>
    </w:p>
    <w:p>
      <w:pPr>
        <w:numPr>
          <w:ilvl w:val="0"/>
          <w:numId w:val="8"/>
        </w:numPr>
        <w:spacing w:line="400" w:lineRule="exact"/>
        <w:rPr>
          <w:rFonts w:ascii="宋体" w:hAnsi="宋体"/>
          <w:b/>
          <w:color w:val="auto"/>
          <w:sz w:val="28"/>
          <w:szCs w:val="28"/>
          <w:highlight w:val="none"/>
        </w:rPr>
      </w:pPr>
      <w:r>
        <w:rPr>
          <w:rFonts w:hint="eastAsia" w:ascii="宋体" w:hAnsi="宋体"/>
          <w:color w:val="auto"/>
          <w:sz w:val="28"/>
          <w:szCs w:val="28"/>
          <w:highlight w:val="none"/>
        </w:rPr>
        <w:t>本谈判文件第四章采</w:t>
      </w:r>
      <w:r>
        <w:rPr>
          <w:rFonts w:ascii="宋体" w:hAnsi="宋体"/>
          <w:color w:val="auto"/>
          <w:sz w:val="28"/>
          <w:szCs w:val="28"/>
          <w:highlight w:val="none"/>
        </w:rPr>
        <w:t>购项目需求一</w:t>
      </w:r>
      <w:r>
        <w:rPr>
          <w:rFonts w:hint="eastAsia" w:ascii="宋体" w:hAnsi="宋体"/>
          <w:color w:val="auto"/>
          <w:sz w:val="28"/>
          <w:szCs w:val="28"/>
          <w:highlight w:val="none"/>
        </w:rPr>
        <w:t>览</w:t>
      </w:r>
      <w:r>
        <w:rPr>
          <w:rFonts w:ascii="宋体" w:hAnsi="宋体"/>
          <w:color w:val="auto"/>
          <w:sz w:val="28"/>
          <w:szCs w:val="28"/>
          <w:highlight w:val="none"/>
        </w:rPr>
        <w:t>表</w:t>
      </w:r>
      <w:r>
        <w:rPr>
          <w:rFonts w:hint="eastAsia" w:ascii="宋体" w:hAnsi="宋体"/>
          <w:color w:val="auto"/>
          <w:sz w:val="28"/>
          <w:szCs w:val="28"/>
          <w:highlight w:val="none"/>
        </w:rPr>
        <w:t>要求提供的技术证明文件；</w:t>
      </w:r>
    </w:p>
    <w:p>
      <w:pPr>
        <w:spacing w:line="400" w:lineRule="exact"/>
        <w:rPr>
          <w:rFonts w:ascii="宋体" w:hAnsi="宋体"/>
          <w:color w:val="auto"/>
          <w:sz w:val="28"/>
          <w:szCs w:val="28"/>
          <w:highlight w:val="none"/>
        </w:rPr>
      </w:pPr>
    </w:p>
    <w:p>
      <w:pPr>
        <w:spacing w:line="400" w:lineRule="exact"/>
        <w:rPr>
          <w:rFonts w:ascii="宋体" w:hAnsi="宋体"/>
          <w:color w:val="auto"/>
          <w:szCs w:val="21"/>
          <w:highlight w:val="none"/>
        </w:rPr>
      </w:pPr>
    </w:p>
    <w:p>
      <w:pPr>
        <w:pStyle w:val="2"/>
        <w:rPr>
          <w:color w:val="auto"/>
          <w:highlight w:val="none"/>
        </w:rPr>
      </w:pPr>
    </w:p>
    <w:p>
      <w:pPr>
        <w:spacing w:line="400" w:lineRule="exact"/>
        <w:rPr>
          <w:rFonts w:ascii="宋体" w:hAnsi="宋体"/>
          <w:color w:val="auto"/>
          <w:szCs w:val="21"/>
          <w:highlight w:val="none"/>
        </w:rPr>
      </w:pPr>
    </w:p>
    <w:p>
      <w:pPr>
        <w:spacing w:line="400" w:lineRule="exact"/>
        <w:rPr>
          <w:rFonts w:ascii="宋体" w:hAnsi="宋体"/>
          <w:color w:val="auto"/>
          <w:sz w:val="28"/>
          <w:szCs w:val="28"/>
          <w:highlight w:val="none"/>
        </w:rPr>
      </w:pPr>
    </w:p>
    <w:p>
      <w:pPr>
        <w:spacing w:line="400" w:lineRule="exact"/>
        <w:rPr>
          <w:rFonts w:ascii="宋体" w:hAnsi="宋体"/>
          <w:color w:val="auto"/>
          <w:sz w:val="28"/>
          <w:szCs w:val="28"/>
          <w:highlight w:val="none"/>
        </w:rPr>
      </w:pPr>
      <w:r>
        <w:rPr>
          <w:rFonts w:hint="eastAsia" w:ascii="宋体" w:hAnsi="宋体"/>
          <w:color w:val="auto"/>
          <w:sz w:val="28"/>
          <w:szCs w:val="28"/>
          <w:highlight w:val="none"/>
        </w:rPr>
        <w:t>4</w:t>
      </w:r>
      <w:r>
        <w:rPr>
          <w:rFonts w:ascii="宋体" w:hAnsi="宋体"/>
          <w:color w:val="auto"/>
          <w:sz w:val="28"/>
          <w:szCs w:val="28"/>
          <w:highlight w:val="none"/>
        </w:rPr>
        <w:t>.</w:t>
      </w:r>
      <w:r>
        <w:rPr>
          <w:rFonts w:hint="eastAsia" w:ascii="宋体" w:hAnsi="宋体"/>
          <w:color w:val="auto"/>
          <w:sz w:val="28"/>
          <w:szCs w:val="28"/>
          <w:highlight w:val="none"/>
        </w:rPr>
        <w:t>供应商认为需要提供的其</w:t>
      </w:r>
      <w:r>
        <w:rPr>
          <w:rFonts w:ascii="宋体" w:hAnsi="宋体"/>
          <w:color w:val="auto"/>
          <w:sz w:val="28"/>
          <w:szCs w:val="28"/>
          <w:highlight w:val="none"/>
        </w:rPr>
        <w:t>他</w:t>
      </w:r>
      <w:r>
        <w:rPr>
          <w:rFonts w:hint="eastAsia" w:ascii="宋体" w:hAnsi="宋体"/>
          <w:color w:val="auto"/>
          <w:sz w:val="28"/>
          <w:szCs w:val="28"/>
          <w:highlight w:val="none"/>
        </w:rPr>
        <w:t>有关技术资料。</w:t>
      </w:r>
    </w:p>
    <w:p>
      <w:pPr>
        <w:spacing w:line="300" w:lineRule="auto"/>
        <w:rPr>
          <w:rFonts w:ascii="宋体" w:hAnsi="宋体"/>
          <w:color w:val="auto"/>
          <w:szCs w:val="21"/>
          <w:highlight w:val="none"/>
        </w:rPr>
      </w:pPr>
    </w:p>
    <w:p>
      <w:pPr>
        <w:widowControl/>
        <w:jc w:val="left"/>
        <w:rPr>
          <w:rFonts w:ascii="宋体" w:hAnsi="宋体"/>
          <w:color w:val="auto"/>
          <w:szCs w:val="21"/>
          <w:highlight w:val="none"/>
        </w:rPr>
      </w:pPr>
    </w:p>
    <w:sectPr>
      <w:headerReference r:id="rId6" w:type="default"/>
      <w:footerReference r:id="rId7" w:type="default"/>
      <w:pgSz w:w="11906" w:h="16838"/>
      <w:pgMar w:top="1304" w:right="1304" w:bottom="1304" w:left="1304"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Univers LT Std 45 Light">
    <w:altName w:val="新宋体"/>
    <w:panose1 w:val="00000000000000000000"/>
    <w:charset w:val="86"/>
    <w:family w:val="swiss"/>
    <w:pitch w:val="default"/>
    <w:sig w:usb0="00000000" w:usb1="00000000" w:usb2="0000001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jc w:val="center"/>
      <w:rPr>
        <w:rStyle w:val="39"/>
      </w:rPr>
    </w:pPr>
    <w:r>
      <w:fldChar w:fldCharType="begin"/>
    </w:r>
    <w:r>
      <w:rPr>
        <w:rStyle w:val="39"/>
      </w:rPr>
      <w:instrText xml:space="preserve">PAGE  </w:instrText>
    </w:r>
    <w:r>
      <w:fldChar w:fldCharType="separate"/>
    </w:r>
    <w:r>
      <w:rPr>
        <w:rStyle w:val="39"/>
      </w:rPr>
      <w:t>33</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0"/>
        <w:tab w:val="left" w:pos="8306"/>
        <w:tab w:val="clear" w:pos="4153"/>
      </w:tabs>
    </w:pPr>
    <w:r>
      <w:drawing>
        <wp:anchor distT="0" distB="0" distL="114300" distR="114300" simplePos="0" relativeHeight="251658240" behindDoc="0" locked="0" layoutInCell="1" allowOverlap="1">
          <wp:simplePos x="0" y="0"/>
          <wp:positionH relativeFrom="column">
            <wp:posOffset>410845</wp:posOffset>
          </wp:positionH>
          <wp:positionV relativeFrom="paragraph">
            <wp:posOffset>-78105</wp:posOffset>
          </wp:positionV>
          <wp:extent cx="349885" cy="302895"/>
          <wp:effectExtent l="0" t="0" r="12065" b="1905"/>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tretch>
                    <a:fillRect/>
                  </a:stretch>
                </pic:blipFill>
                <pic:spPr>
                  <a:xfrm>
                    <a:off x="0" y="0"/>
                    <a:ext cx="349885" cy="302895"/>
                  </a:xfrm>
                  <a:prstGeom prst="rect">
                    <a:avLst/>
                  </a:prstGeom>
                  <a:noFill/>
                  <a:ln>
                    <a:noFill/>
                  </a:ln>
                </pic:spPr>
              </pic:pic>
            </a:graphicData>
          </a:graphic>
        </wp:anchor>
      </w:drawing>
    </w:r>
    <w:r>
      <w:rPr>
        <w:rFonts w:hint="eastAsia"/>
      </w:rPr>
      <w:t>兽医实验室仪器设备采购（重）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firstLineChars="200"/>
      <w:jc w:val="both"/>
      <w:rPr>
        <w:szCs w:val="18"/>
      </w:rPr>
    </w:pPr>
    <w:r>
      <w:rPr>
        <w:rFonts w:hint="eastAsia"/>
        <w:szCs w:val="18"/>
      </w:rPr>
      <w:t>桂平市福利院设备购置（GGZC2020-J1-50257-GXBS）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4D5D6D"/>
    <w:multiLevelType w:val="singleLevel"/>
    <w:tmpl w:val="9F4D5D6D"/>
    <w:lvl w:ilvl="0" w:tentative="0">
      <w:start w:val="5"/>
      <w:numFmt w:val="decimal"/>
      <w:lvlText w:val="%1."/>
      <w:lvlJc w:val="left"/>
      <w:pPr>
        <w:tabs>
          <w:tab w:val="left" w:pos="312"/>
        </w:tabs>
      </w:pPr>
    </w:lvl>
  </w:abstractNum>
  <w:abstractNum w:abstractNumId="1">
    <w:nsid w:val="0000000A"/>
    <w:multiLevelType w:val="multilevel"/>
    <w:tmpl w:val="0000000A"/>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0000000B"/>
    <w:multiLevelType w:val="multilevel"/>
    <w:tmpl w:val="0000000B"/>
    <w:lvl w:ilvl="0" w:tentative="0">
      <w:start w:val="1"/>
      <w:numFmt w:val="lowerLetter"/>
      <w:pStyle w:val="134"/>
      <w:lvlText w:val="%1)"/>
      <w:lvlJc w:val="left"/>
      <w:pPr>
        <w:tabs>
          <w:tab w:val="left" w:pos="1440"/>
        </w:tabs>
        <w:ind w:left="1440" w:hanging="360"/>
      </w:pPr>
      <w:rPr>
        <w:rFonts w:hint="default" w:ascii="Arial" w:hAnsi="Arial" w:eastAsia="宋体"/>
        <w:b w:val="0"/>
        <w:i w:val="0"/>
        <w:color w:val="auto"/>
        <w:sz w:val="24"/>
        <w:szCs w:val="24"/>
      </w:rPr>
    </w:lvl>
    <w:lvl w:ilvl="1" w:tentative="0">
      <w:start w:val="1"/>
      <w:numFmt w:val="decimal"/>
      <w:lvlText w:val="%2)"/>
      <w:lvlJc w:val="left"/>
      <w:pPr>
        <w:tabs>
          <w:tab w:val="left" w:pos="1800"/>
        </w:tabs>
        <w:ind w:left="1800" w:hanging="360"/>
      </w:pPr>
      <w:rPr>
        <w:rFonts w:hint="default" w:ascii="Arial" w:hAnsi="Arial" w:eastAsia="宋体"/>
        <w:b w:val="0"/>
        <w:i w:val="0"/>
        <w:color w:val="auto"/>
        <w:sz w:val="24"/>
        <w:szCs w:val="24"/>
      </w:rPr>
    </w:lvl>
    <w:lvl w:ilvl="2" w:tentative="0">
      <w:start w:val="1"/>
      <w:numFmt w:val="lowerRoman"/>
      <w:lvlText w:val="%3)"/>
      <w:lvlJc w:val="left"/>
      <w:pPr>
        <w:tabs>
          <w:tab w:val="left" w:pos="2520"/>
        </w:tabs>
        <w:ind w:left="2520" w:hanging="720"/>
      </w:pPr>
      <w:rPr>
        <w:rFonts w:hint="default" w:ascii="Arial" w:hAnsi="Arial" w:eastAsia="宋体"/>
        <w:b w:val="0"/>
        <w:i w:val="0"/>
        <w:color w:val="auto"/>
        <w:sz w:val="24"/>
        <w:szCs w:val="24"/>
      </w:rPr>
    </w:lvl>
    <w:lvl w:ilvl="3" w:tentative="0">
      <w:start w:val="1"/>
      <w:numFmt w:val="upperRoman"/>
      <w:lvlText w:val="(%4)"/>
      <w:lvlJc w:val="left"/>
      <w:pPr>
        <w:tabs>
          <w:tab w:val="left" w:pos="3240"/>
        </w:tabs>
        <w:ind w:left="3240" w:hanging="720"/>
      </w:pPr>
      <w:rPr>
        <w:rFonts w:hint="default" w:ascii="Arial" w:hAnsi="Arial" w:eastAsia="宋体"/>
        <w:b w:val="0"/>
        <w:i w:val="0"/>
        <w:color w:val="auto"/>
        <w:sz w:val="22"/>
      </w:rPr>
    </w:lvl>
    <w:lvl w:ilvl="4" w:tentative="0">
      <w:start w:val="1"/>
      <w:numFmt w:val="bullet"/>
      <w:lvlText w:val=""/>
      <w:lvlJc w:val="left"/>
      <w:pPr>
        <w:tabs>
          <w:tab w:val="left" w:pos="3600"/>
        </w:tabs>
        <w:ind w:left="3600" w:hanging="360"/>
      </w:pPr>
      <w:rPr>
        <w:rFonts w:hint="default"/>
        <w:b w:val="0"/>
        <w:i w:val="0"/>
        <w:color w:val="auto"/>
        <w:sz w:val="22"/>
      </w:rPr>
    </w:lvl>
    <w:lvl w:ilvl="5" w:tentative="0">
      <w:start w:val="1"/>
      <w:numFmt w:val="bullet"/>
      <w:lvlText w:val=""/>
      <w:lvlJc w:val="left"/>
      <w:pPr>
        <w:tabs>
          <w:tab w:val="left" w:pos="3960"/>
        </w:tabs>
        <w:ind w:left="3960" w:hanging="360"/>
      </w:pPr>
      <w:rPr>
        <w:rFonts w:hint="default" w:ascii="Arial" w:hAnsi="Arial" w:eastAsia="宋体"/>
        <w:b w:val="0"/>
        <w:i w:val="0"/>
        <w:color w:val="auto"/>
        <w:sz w:val="22"/>
      </w:rPr>
    </w:lvl>
    <w:lvl w:ilvl="6" w:tentative="0">
      <w:start w:val="1"/>
      <w:numFmt w:val="decimal"/>
      <w:lvlText w:val="%7."/>
      <w:lvlJc w:val="left"/>
      <w:pPr>
        <w:tabs>
          <w:tab w:val="left" w:pos="4320"/>
        </w:tabs>
        <w:ind w:left="4320" w:hanging="360"/>
      </w:pPr>
      <w:rPr>
        <w:rFonts w:hint="eastAsia"/>
      </w:rPr>
    </w:lvl>
    <w:lvl w:ilvl="7" w:tentative="0">
      <w:start w:val="1"/>
      <w:numFmt w:val="lowerLetter"/>
      <w:lvlText w:val="%8."/>
      <w:lvlJc w:val="left"/>
      <w:pPr>
        <w:tabs>
          <w:tab w:val="left" w:pos="4680"/>
        </w:tabs>
        <w:ind w:left="4680" w:hanging="360"/>
      </w:pPr>
      <w:rPr>
        <w:rFonts w:hint="eastAsia"/>
      </w:rPr>
    </w:lvl>
    <w:lvl w:ilvl="8" w:tentative="0">
      <w:start w:val="1"/>
      <w:numFmt w:val="lowerRoman"/>
      <w:lvlText w:val="%9."/>
      <w:lvlJc w:val="left"/>
      <w:pPr>
        <w:tabs>
          <w:tab w:val="left" w:pos="5040"/>
        </w:tabs>
        <w:ind w:left="5040" w:hanging="360"/>
      </w:pPr>
      <w:rPr>
        <w:rFonts w:hint="eastAsia"/>
      </w:rPr>
    </w:lvl>
  </w:abstractNum>
  <w:abstractNum w:abstractNumId="3">
    <w:nsid w:val="643902D2"/>
    <w:multiLevelType w:val="singleLevel"/>
    <w:tmpl w:val="643902D2"/>
    <w:lvl w:ilvl="0" w:tentative="0">
      <w:start w:val="7"/>
      <w:numFmt w:val="decimal"/>
      <w:suff w:val="nothing"/>
      <w:lvlText w:val="（%1）"/>
      <w:lvlJc w:val="left"/>
    </w:lvl>
  </w:abstractNum>
  <w:abstractNum w:abstractNumId="4">
    <w:nsid w:val="6C1F4033"/>
    <w:multiLevelType w:val="multilevel"/>
    <w:tmpl w:val="6C1F403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C23036"/>
    <w:multiLevelType w:val="multilevel"/>
    <w:tmpl w:val="73C23036"/>
    <w:lvl w:ilvl="0" w:tentative="0">
      <w:start w:val="1"/>
      <w:numFmt w:val="japaneseCounting"/>
      <w:lvlText w:val="第%1章"/>
      <w:lvlJc w:val="left"/>
      <w:pPr>
        <w:ind w:left="1440" w:hanging="1440"/>
      </w:pPr>
      <w:rPr>
        <w:rFonts w:hint="default"/>
        <w:sz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7762A71"/>
    <w:multiLevelType w:val="multilevel"/>
    <w:tmpl w:val="77762A71"/>
    <w:lvl w:ilvl="0" w:tentative="0">
      <w:start w:val="1"/>
      <w:numFmt w:val="decimal"/>
      <w:lvlText w:val="%1."/>
      <w:lvlJc w:val="left"/>
      <w:pPr>
        <w:ind w:left="360" w:hanging="360"/>
      </w:pPr>
      <w:rPr>
        <w:rFonts w:hint="default"/>
        <w:b w:val="0"/>
      </w:rPr>
    </w:lvl>
    <w:lvl w:ilvl="1" w:tentative="0">
      <w:start w:val="1"/>
      <w:numFmt w:val="lowerLetter"/>
      <w:lvlText w:val="%2)"/>
      <w:lvlJc w:val="left"/>
      <w:pPr>
        <w:ind w:left="1182" w:hanging="420"/>
      </w:pPr>
    </w:lvl>
    <w:lvl w:ilvl="2" w:tentative="0">
      <w:start w:val="1"/>
      <w:numFmt w:val="lowerRoman"/>
      <w:lvlText w:val="%3."/>
      <w:lvlJc w:val="right"/>
      <w:pPr>
        <w:ind w:left="1602" w:hanging="420"/>
      </w:pPr>
    </w:lvl>
    <w:lvl w:ilvl="3" w:tentative="0">
      <w:start w:val="1"/>
      <w:numFmt w:val="decimal"/>
      <w:lvlText w:val="%4."/>
      <w:lvlJc w:val="left"/>
      <w:pPr>
        <w:ind w:left="2022" w:hanging="420"/>
      </w:pPr>
    </w:lvl>
    <w:lvl w:ilvl="4" w:tentative="0">
      <w:start w:val="1"/>
      <w:numFmt w:val="lowerLetter"/>
      <w:lvlText w:val="%5)"/>
      <w:lvlJc w:val="left"/>
      <w:pPr>
        <w:ind w:left="2442" w:hanging="420"/>
      </w:pPr>
    </w:lvl>
    <w:lvl w:ilvl="5" w:tentative="0">
      <w:start w:val="1"/>
      <w:numFmt w:val="lowerRoman"/>
      <w:lvlText w:val="%6."/>
      <w:lvlJc w:val="right"/>
      <w:pPr>
        <w:ind w:left="2862" w:hanging="420"/>
      </w:pPr>
    </w:lvl>
    <w:lvl w:ilvl="6" w:tentative="0">
      <w:start w:val="1"/>
      <w:numFmt w:val="decimal"/>
      <w:lvlText w:val="%7."/>
      <w:lvlJc w:val="left"/>
      <w:pPr>
        <w:ind w:left="3282" w:hanging="420"/>
      </w:pPr>
    </w:lvl>
    <w:lvl w:ilvl="7" w:tentative="0">
      <w:start w:val="1"/>
      <w:numFmt w:val="lowerLetter"/>
      <w:lvlText w:val="%8)"/>
      <w:lvlJc w:val="left"/>
      <w:pPr>
        <w:ind w:left="3702" w:hanging="420"/>
      </w:pPr>
    </w:lvl>
    <w:lvl w:ilvl="8" w:tentative="0">
      <w:start w:val="1"/>
      <w:numFmt w:val="lowerRoman"/>
      <w:lvlText w:val="%9."/>
      <w:lvlJc w:val="right"/>
      <w:pPr>
        <w:ind w:left="4122" w:hanging="420"/>
      </w:pPr>
    </w:lvl>
  </w:abstractNum>
  <w:abstractNum w:abstractNumId="7">
    <w:nsid w:val="789A0673"/>
    <w:multiLevelType w:val="multilevel"/>
    <w:tmpl w:val="789A0673"/>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1080"/>
        </w:tabs>
        <w:ind w:left="108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5"/>
  </w:num>
  <w:num w:numId="4">
    <w:abstractNumId w:val="3"/>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55"/>
    <w:rsid w:val="00000A10"/>
    <w:rsid w:val="00005638"/>
    <w:rsid w:val="00005A9B"/>
    <w:rsid w:val="00005E60"/>
    <w:rsid w:val="00005F89"/>
    <w:rsid w:val="000108F6"/>
    <w:rsid w:val="00012AA7"/>
    <w:rsid w:val="0001370D"/>
    <w:rsid w:val="00013931"/>
    <w:rsid w:val="000159B8"/>
    <w:rsid w:val="00016FC2"/>
    <w:rsid w:val="0002156F"/>
    <w:rsid w:val="00026049"/>
    <w:rsid w:val="000302BB"/>
    <w:rsid w:val="00030E5F"/>
    <w:rsid w:val="00031C75"/>
    <w:rsid w:val="0003209C"/>
    <w:rsid w:val="00033530"/>
    <w:rsid w:val="00036683"/>
    <w:rsid w:val="00041F7D"/>
    <w:rsid w:val="00042349"/>
    <w:rsid w:val="0004301E"/>
    <w:rsid w:val="00046C2F"/>
    <w:rsid w:val="00050621"/>
    <w:rsid w:val="000522AD"/>
    <w:rsid w:val="00056062"/>
    <w:rsid w:val="00056E0E"/>
    <w:rsid w:val="000615F7"/>
    <w:rsid w:val="00066867"/>
    <w:rsid w:val="00066A3C"/>
    <w:rsid w:val="00066FC2"/>
    <w:rsid w:val="0006760B"/>
    <w:rsid w:val="0006773C"/>
    <w:rsid w:val="0008484B"/>
    <w:rsid w:val="00086BD7"/>
    <w:rsid w:val="000A039E"/>
    <w:rsid w:val="000A1AA6"/>
    <w:rsid w:val="000A2D20"/>
    <w:rsid w:val="000A4B7F"/>
    <w:rsid w:val="000A6769"/>
    <w:rsid w:val="000B0F23"/>
    <w:rsid w:val="000B3FE8"/>
    <w:rsid w:val="000B7E15"/>
    <w:rsid w:val="000C2BDE"/>
    <w:rsid w:val="000C407E"/>
    <w:rsid w:val="000C6845"/>
    <w:rsid w:val="000C74A8"/>
    <w:rsid w:val="000D08CD"/>
    <w:rsid w:val="000D24F5"/>
    <w:rsid w:val="000D70F0"/>
    <w:rsid w:val="000E08E5"/>
    <w:rsid w:val="000E4D99"/>
    <w:rsid w:val="000E5DEA"/>
    <w:rsid w:val="000F3709"/>
    <w:rsid w:val="000F7A29"/>
    <w:rsid w:val="000F7EBC"/>
    <w:rsid w:val="00100C18"/>
    <w:rsid w:val="00107502"/>
    <w:rsid w:val="00114FBD"/>
    <w:rsid w:val="0011578E"/>
    <w:rsid w:val="00116564"/>
    <w:rsid w:val="001206BB"/>
    <w:rsid w:val="00120EF3"/>
    <w:rsid w:val="00125555"/>
    <w:rsid w:val="00126F2B"/>
    <w:rsid w:val="00131B8E"/>
    <w:rsid w:val="0013395F"/>
    <w:rsid w:val="00133C0B"/>
    <w:rsid w:val="00133D2E"/>
    <w:rsid w:val="00134203"/>
    <w:rsid w:val="00134F38"/>
    <w:rsid w:val="00141D31"/>
    <w:rsid w:val="001458D8"/>
    <w:rsid w:val="001501C4"/>
    <w:rsid w:val="0015028C"/>
    <w:rsid w:val="001514BD"/>
    <w:rsid w:val="00152E21"/>
    <w:rsid w:val="00153446"/>
    <w:rsid w:val="00153C5D"/>
    <w:rsid w:val="001607B9"/>
    <w:rsid w:val="00162813"/>
    <w:rsid w:val="001633D8"/>
    <w:rsid w:val="00165E58"/>
    <w:rsid w:val="00170DCC"/>
    <w:rsid w:val="00170F1D"/>
    <w:rsid w:val="00172A27"/>
    <w:rsid w:val="00172FE4"/>
    <w:rsid w:val="0017356C"/>
    <w:rsid w:val="001754C5"/>
    <w:rsid w:val="00181412"/>
    <w:rsid w:val="00181B8A"/>
    <w:rsid w:val="00183522"/>
    <w:rsid w:val="00184186"/>
    <w:rsid w:val="00184F66"/>
    <w:rsid w:val="00185655"/>
    <w:rsid w:val="00190EEF"/>
    <w:rsid w:val="001912EE"/>
    <w:rsid w:val="001A2D01"/>
    <w:rsid w:val="001A6CE8"/>
    <w:rsid w:val="001A7FCB"/>
    <w:rsid w:val="001B3D9D"/>
    <w:rsid w:val="001B4294"/>
    <w:rsid w:val="001C1069"/>
    <w:rsid w:val="001C2769"/>
    <w:rsid w:val="001C3336"/>
    <w:rsid w:val="001C54B4"/>
    <w:rsid w:val="001D10B8"/>
    <w:rsid w:val="001D267A"/>
    <w:rsid w:val="001D34B0"/>
    <w:rsid w:val="001D5C93"/>
    <w:rsid w:val="001D7829"/>
    <w:rsid w:val="001E01CA"/>
    <w:rsid w:val="001E0A0F"/>
    <w:rsid w:val="001E138D"/>
    <w:rsid w:val="001E47E4"/>
    <w:rsid w:val="001E5148"/>
    <w:rsid w:val="001E6D4E"/>
    <w:rsid w:val="001F066A"/>
    <w:rsid w:val="001F0E99"/>
    <w:rsid w:val="001F19A5"/>
    <w:rsid w:val="001F1EB3"/>
    <w:rsid w:val="001F30EB"/>
    <w:rsid w:val="001F48AE"/>
    <w:rsid w:val="001F509D"/>
    <w:rsid w:val="00201152"/>
    <w:rsid w:val="00204430"/>
    <w:rsid w:val="002064FE"/>
    <w:rsid w:val="002119B1"/>
    <w:rsid w:val="00212CF0"/>
    <w:rsid w:val="00215F11"/>
    <w:rsid w:val="002219A7"/>
    <w:rsid w:val="0022735B"/>
    <w:rsid w:val="00227799"/>
    <w:rsid w:val="00227E03"/>
    <w:rsid w:val="00227EE9"/>
    <w:rsid w:val="00230132"/>
    <w:rsid w:val="002322D9"/>
    <w:rsid w:val="00233AB1"/>
    <w:rsid w:val="002342A5"/>
    <w:rsid w:val="00234C7A"/>
    <w:rsid w:val="002353AB"/>
    <w:rsid w:val="00237525"/>
    <w:rsid w:val="00240F68"/>
    <w:rsid w:val="00246800"/>
    <w:rsid w:val="00247458"/>
    <w:rsid w:val="00251FA6"/>
    <w:rsid w:val="00252330"/>
    <w:rsid w:val="002544BB"/>
    <w:rsid w:val="00254F24"/>
    <w:rsid w:val="00255C14"/>
    <w:rsid w:val="00256443"/>
    <w:rsid w:val="00261D3B"/>
    <w:rsid w:val="0026246E"/>
    <w:rsid w:val="002632CA"/>
    <w:rsid w:val="00264509"/>
    <w:rsid w:val="00270F9B"/>
    <w:rsid w:val="002715D8"/>
    <w:rsid w:val="0027188C"/>
    <w:rsid w:val="002735D8"/>
    <w:rsid w:val="00277405"/>
    <w:rsid w:val="00277E41"/>
    <w:rsid w:val="002800C7"/>
    <w:rsid w:val="0028095E"/>
    <w:rsid w:val="00280DB6"/>
    <w:rsid w:val="002826E1"/>
    <w:rsid w:val="00283505"/>
    <w:rsid w:val="0028423A"/>
    <w:rsid w:val="00287016"/>
    <w:rsid w:val="0029553B"/>
    <w:rsid w:val="00295B54"/>
    <w:rsid w:val="00297EA1"/>
    <w:rsid w:val="002A0F2A"/>
    <w:rsid w:val="002A4E2C"/>
    <w:rsid w:val="002B25B7"/>
    <w:rsid w:val="002B41BD"/>
    <w:rsid w:val="002B4E7E"/>
    <w:rsid w:val="002B5773"/>
    <w:rsid w:val="002B7A2B"/>
    <w:rsid w:val="002C0182"/>
    <w:rsid w:val="002C057D"/>
    <w:rsid w:val="002C36D1"/>
    <w:rsid w:val="002C5EEB"/>
    <w:rsid w:val="002D030B"/>
    <w:rsid w:val="002D2399"/>
    <w:rsid w:val="002D24F8"/>
    <w:rsid w:val="002D27BD"/>
    <w:rsid w:val="002D2AA7"/>
    <w:rsid w:val="002D3F69"/>
    <w:rsid w:val="002F067F"/>
    <w:rsid w:val="002F735B"/>
    <w:rsid w:val="0030002E"/>
    <w:rsid w:val="00305716"/>
    <w:rsid w:val="00312A58"/>
    <w:rsid w:val="003160C9"/>
    <w:rsid w:val="003163E6"/>
    <w:rsid w:val="00317FC3"/>
    <w:rsid w:val="00320962"/>
    <w:rsid w:val="0032156F"/>
    <w:rsid w:val="003261E8"/>
    <w:rsid w:val="00326446"/>
    <w:rsid w:val="003269E6"/>
    <w:rsid w:val="00332978"/>
    <w:rsid w:val="00332C7D"/>
    <w:rsid w:val="003341D1"/>
    <w:rsid w:val="003378BC"/>
    <w:rsid w:val="00344F7A"/>
    <w:rsid w:val="00345C7D"/>
    <w:rsid w:val="0035272F"/>
    <w:rsid w:val="00356A05"/>
    <w:rsid w:val="003614EC"/>
    <w:rsid w:val="00361B3C"/>
    <w:rsid w:val="00364A00"/>
    <w:rsid w:val="003659CD"/>
    <w:rsid w:val="00371505"/>
    <w:rsid w:val="00372A80"/>
    <w:rsid w:val="00376BB8"/>
    <w:rsid w:val="0037703B"/>
    <w:rsid w:val="0038307B"/>
    <w:rsid w:val="003852F4"/>
    <w:rsid w:val="00385C07"/>
    <w:rsid w:val="0038793D"/>
    <w:rsid w:val="00390CC1"/>
    <w:rsid w:val="003922BC"/>
    <w:rsid w:val="0039290D"/>
    <w:rsid w:val="00394711"/>
    <w:rsid w:val="00396B7C"/>
    <w:rsid w:val="00396E7A"/>
    <w:rsid w:val="00397393"/>
    <w:rsid w:val="003A0754"/>
    <w:rsid w:val="003A24E2"/>
    <w:rsid w:val="003A2D81"/>
    <w:rsid w:val="003A33FD"/>
    <w:rsid w:val="003A364D"/>
    <w:rsid w:val="003A453C"/>
    <w:rsid w:val="003A47EE"/>
    <w:rsid w:val="003B03F2"/>
    <w:rsid w:val="003B09AB"/>
    <w:rsid w:val="003B229B"/>
    <w:rsid w:val="003B367A"/>
    <w:rsid w:val="003B3773"/>
    <w:rsid w:val="003B3952"/>
    <w:rsid w:val="003B6E2C"/>
    <w:rsid w:val="003B7635"/>
    <w:rsid w:val="003C00B2"/>
    <w:rsid w:val="003C1B64"/>
    <w:rsid w:val="003C1BBC"/>
    <w:rsid w:val="003C64CC"/>
    <w:rsid w:val="003C72F7"/>
    <w:rsid w:val="003C7305"/>
    <w:rsid w:val="003D34FF"/>
    <w:rsid w:val="003D58E1"/>
    <w:rsid w:val="003D5B01"/>
    <w:rsid w:val="003D60D4"/>
    <w:rsid w:val="003E010B"/>
    <w:rsid w:val="003E2465"/>
    <w:rsid w:val="003E5DC3"/>
    <w:rsid w:val="003F3867"/>
    <w:rsid w:val="003F4707"/>
    <w:rsid w:val="003F5B28"/>
    <w:rsid w:val="003F77A1"/>
    <w:rsid w:val="00401B60"/>
    <w:rsid w:val="00402740"/>
    <w:rsid w:val="004042CA"/>
    <w:rsid w:val="00406E2C"/>
    <w:rsid w:val="004074D5"/>
    <w:rsid w:val="00410C9E"/>
    <w:rsid w:val="00411525"/>
    <w:rsid w:val="00416FBC"/>
    <w:rsid w:val="00421AE3"/>
    <w:rsid w:val="00422B37"/>
    <w:rsid w:val="00422BC8"/>
    <w:rsid w:val="00425923"/>
    <w:rsid w:val="00426474"/>
    <w:rsid w:val="00426EA3"/>
    <w:rsid w:val="004310CF"/>
    <w:rsid w:val="004373C0"/>
    <w:rsid w:val="0044338A"/>
    <w:rsid w:val="00443396"/>
    <w:rsid w:val="0044492A"/>
    <w:rsid w:val="004453CF"/>
    <w:rsid w:val="00447659"/>
    <w:rsid w:val="0045033C"/>
    <w:rsid w:val="00453C34"/>
    <w:rsid w:val="004540FF"/>
    <w:rsid w:val="0045668F"/>
    <w:rsid w:val="0045758F"/>
    <w:rsid w:val="004576CA"/>
    <w:rsid w:val="00460C0B"/>
    <w:rsid w:val="00463249"/>
    <w:rsid w:val="00465029"/>
    <w:rsid w:val="0046552F"/>
    <w:rsid w:val="00474279"/>
    <w:rsid w:val="004768EB"/>
    <w:rsid w:val="00476DF1"/>
    <w:rsid w:val="00476FEF"/>
    <w:rsid w:val="004815F5"/>
    <w:rsid w:val="00482E48"/>
    <w:rsid w:val="004877C3"/>
    <w:rsid w:val="004914B7"/>
    <w:rsid w:val="00494B8A"/>
    <w:rsid w:val="004A1A89"/>
    <w:rsid w:val="004A22C8"/>
    <w:rsid w:val="004A4112"/>
    <w:rsid w:val="004A432E"/>
    <w:rsid w:val="004A4F03"/>
    <w:rsid w:val="004A61D0"/>
    <w:rsid w:val="004A6A81"/>
    <w:rsid w:val="004B2D6C"/>
    <w:rsid w:val="004B3098"/>
    <w:rsid w:val="004C09C1"/>
    <w:rsid w:val="004C17F9"/>
    <w:rsid w:val="004C3589"/>
    <w:rsid w:val="004C5E5D"/>
    <w:rsid w:val="004D2170"/>
    <w:rsid w:val="004D483D"/>
    <w:rsid w:val="004E1AB8"/>
    <w:rsid w:val="004E268A"/>
    <w:rsid w:val="004E7A99"/>
    <w:rsid w:val="004F07FE"/>
    <w:rsid w:val="004F2716"/>
    <w:rsid w:val="004F3A33"/>
    <w:rsid w:val="004F63D8"/>
    <w:rsid w:val="004F7F37"/>
    <w:rsid w:val="00500322"/>
    <w:rsid w:val="00500F19"/>
    <w:rsid w:val="00503AE1"/>
    <w:rsid w:val="0050440A"/>
    <w:rsid w:val="005053D4"/>
    <w:rsid w:val="00506639"/>
    <w:rsid w:val="00511B22"/>
    <w:rsid w:val="00512B2D"/>
    <w:rsid w:val="00514BA3"/>
    <w:rsid w:val="00514EC4"/>
    <w:rsid w:val="00515AC1"/>
    <w:rsid w:val="00532349"/>
    <w:rsid w:val="00533454"/>
    <w:rsid w:val="005347A3"/>
    <w:rsid w:val="0054356C"/>
    <w:rsid w:val="00544DB9"/>
    <w:rsid w:val="00547039"/>
    <w:rsid w:val="005509CB"/>
    <w:rsid w:val="00555032"/>
    <w:rsid w:val="00557C29"/>
    <w:rsid w:val="0056103F"/>
    <w:rsid w:val="00561A61"/>
    <w:rsid w:val="0056394C"/>
    <w:rsid w:val="00564458"/>
    <w:rsid w:val="0056494C"/>
    <w:rsid w:val="0056584C"/>
    <w:rsid w:val="00567764"/>
    <w:rsid w:val="00567924"/>
    <w:rsid w:val="00570720"/>
    <w:rsid w:val="00572D02"/>
    <w:rsid w:val="005776A9"/>
    <w:rsid w:val="00580F77"/>
    <w:rsid w:val="00585FED"/>
    <w:rsid w:val="00591125"/>
    <w:rsid w:val="0059280D"/>
    <w:rsid w:val="0059394B"/>
    <w:rsid w:val="0059446B"/>
    <w:rsid w:val="00596B6E"/>
    <w:rsid w:val="005A27AB"/>
    <w:rsid w:val="005A3502"/>
    <w:rsid w:val="005A4AD7"/>
    <w:rsid w:val="005B16BE"/>
    <w:rsid w:val="005B24A0"/>
    <w:rsid w:val="005B317C"/>
    <w:rsid w:val="005B4D1F"/>
    <w:rsid w:val="005B5D83"/>
    <w:rsid w:val="005C0833"/>
    <w:rsid w:val="005C231C"/>
    <w:rsid w:val="005C64CA"/>
    <w:rsid w:val="005C79D3"/>
    <w:rsid w:val="005D3325"/>
    <w:rsid w:val="005D412D"/>
    <w:rsid w:val="005D76F7"/>
    <w:rsid w:val="005E333C"/>
    <w:rsid w:val="005E5278"/>
    <w:rsid w:val="005E7B17"/>
    <w:rsid w:val="005F2053"/>
    <w:rsid w:val="005F2CDE"/>
    <w:rsid w:val="005F3FFF"/>
    <w:rsid w:val="005F7D0D"/>
    <w:rsid w:val="006007A6"/>
    <w:rsid w:val="00601C90"/>
    <w:rsid w:val="00602EC0"/>
    <w:rsid w:val="006042AD"/>
    <w:rsid w:val="00604669"/>
    <w:rsid w:val="00612DA7"/>
    <w:rsid w:val="00616F3A"/>
    <w:rsid w:val="006178FE"/>
    <w:rsid w:val="006221F7"/>
    <w:rsid w:val="006276C7"/>
    <w:rsid w:val="006277B6"/>
    <w:rsid w:val="006321D4"/>
    <w:rsid w:val="00635DBE"/>
    <w:rsid w:val="006361FC"/>
    <w:rsid w:val="006414FB"/>
    <w:rsid w:val="00646049"/>
    <w:rsid w:val="00646A44"/>
    <w:rsid w:val="00651FFC"/>
    <w:rsid w:val="00652D6D"/>
    <w:rsid w:val="006570BC"/>
    <w:rsid w:val="006620DC"/>
    <w:rsid w:val="00662275"/>
    <w:rsid w:val="00662C07"/>
    <w:rsid w:val="006650BC"/>
    <w:rsid w:val="00666AE8"/>
    <w:rsid w:val="00670093"/>
    <w:rsid w:val="0067416D"/>
    <w:rsid w:val="00675C9D"/>
    <w:rsid w:val="00680B69"/>
    <w:rsid w:val="006828B9"/>
    <w:rsid w:val="006842B1"/>
    <w:rsid w:val="00684CF6"/>
    <w:rsid w:val="006868EF"/>
    <w:rsid w:val="00691044"/>
    <w:rsid w:val="00695BEC"/>
    <w:rsid w:val="006A2C1A"/>
    <w:rsid w:val="006A63C0"/>
    <w:rsid w:val="006A7AA0"/>
    <w:rsid w:val="006B15E6"/>
    <w:rsid w:val="006B2D90"/>
    <w:rsid w:val="006B3918"/>
    <w:rsid w:val="006B51C8"/>
    <w:rsid w:val="006C31F2"/>
    <w:rsid w:val="006C5281"/>
    <w:rsid w:val="006C57F2"/>
    <w:rsid w:val="006C5C34"/>
    <w:rsid w:val="006D21D1"/>
    <w:rsid w:val="006D43EE"/>
    <w:rsid w:val="006D4E88"/>
    <w:rsid w:val="006D519A"/>
    <w:rsid w:val="006D633C"/>
    <w:rsid w:val="006E0FA9"/>
    <w:rsid w:val="006E17E4"/>
    <w:rsid w:val="006E20F2"/>
    <w:rsid w:val="006E7273"/>
    <w:rsid w:val="006E7DE9"/>
    <w:rsid w:val="006F0290"/>
    <w:rsid w:val="006F0D80"/>
    <w:rsid w:val="006F34F0"/>
    <w:rsid w:val="006F613A"/>
    <w:rsid w:val="006F6B4D"/>
    <w:rsid w:val="006F7B27"/>
    <w:rsid w:val="00701D46"/>
    <w:rsid w:val="00701F6C"/>
    <w:rsid w:val="00704489"/>
    <w:rsid w:val="00706F13"/>
    <w:rsid w:val="00711DDA"/>
    <w:rsid w:val="00713652"/>
    <w:rsid w:val="00713E46"/>
    <w:rsid w:val="007174F9"/>
    <w:rsid w:val="007205EC"/>
    <w:rsid w:val="007226B7"/>
    <w:rsid w:val="007259CE"/>
    <w:rsid w:val="00730239"/>
    <w:rsid w:val="00733402"/>
    <w:rsid w:val="00744DDD"/>
    <w:rsid w:val="00750D94"/>
    <w:rsid w:val="00754A0E"/>
    <w:rsid w:val="00755550"/>
    <w:rsid w:val="00757040"/>
    <w:rsid w:val="00765083"/>
    <w:rsid w:val="00766250"/>
    <w:rsid w:val="00766833"/>
    <w:rsid w:val="00767815"/>
    <w:rsid w:val="0077284D"/>
    <w:rsid w:val="0077549B"/>
    <w:rsid w:val="00775F1C"/>
    <w:rsid w:val="00780D26"/>
    <w:rsid w:val="007861A6"/>
    <w:rsid w:val="00787667"/>
    <w:rsid w:val="007952CB"/>
    <w:rsid w:val="007A44D4"/>
    <w:rsid w:val="007A713D"/>
    <w:rsid w:val="007B0E00"/>
    <w:rsid w:val="007B6AEB"/>
    <w:rsid w:val="007C5DFD"/>
    <w:rsid w:val="007C7508"/>
    <w:rsid w:val="007D0750"/>
    <w:rsid w:val="007D0C6B"/>
    <w:rsid w:val="007D7156"/>
    <w:rsid w:val="007E12E3"/>
    <w:rsid w:val="007E35C4"/>
    <w:rsid w:val="007E7035"/>
    <w:rsid w:val="007F01B7"/>
    <w:rsid w:val="00800171"/>
    <w:rsid w:val="00800438"/>
    <w:rsid w:val="00803A2A"/>
    <w:rsid w:val="00806823"/>
    <w:rsid w:val="00806D3B"/>
    <w:rsid w:val="0081142B"/>
    <w:rsid w:val="00811E45"/>
    <w:rsid w:val="00812F83"/>
    <w:rsid w:val="008220DD"/>
    <w:rsid w:val="00822194"/>
    <w:rsid w:val="008228EA"/>
    <w:rsid w:val="00825DB2"/>
    <w:rsid w:val="0082644F"/>
    <w:rsid w:val="00833273"/>
    <w:rsid w:val="00834265"/>
    <w:rsid w:val="0083577A"/>
    <w:rsid w:val="008374D3"/>
    <w:rsid w:val="0084176B"/>
    <w:rsid w:val="00842C3A"/>
    <w:rsid w:val="00843056"/>
    <w:rsid w:val="00844A3C"/>
    <w:rsid w:val="00845032"/>
    <w:rsid w:val="00850469"/>
    <w:rsid w:val="00850EC7"/>
    <w:rsid w:val="00860FB9"/>
    <w:rsid w:val="00862A08"/>
    <w:rsid w:val="00870454"/>
    <w:rsid w:val="008707DB"/>
    <w:rsid w:val="00872DC3"/>
    <w:rsid w:val="00891318"/>
    <w:rsid w:val="008A3DA6"/>
    <w:rsid w:val="008A4ACF"/>
    <w:rsid w:val="008A4E09"/>
    <w:rsid w:val="008B15C2"/>
    <w:rsid w:val="008B1604"/>
    <w:rsid w:val="008C1CD0"/>
    <w:rsid w:val="008C3486"/>
    <w:rsid w:val="008C3EE3"/>
    <w:rsid w:val="008C4256"/>
    <w:rsid w:val="008C71C8"/>
    <w:rsid w:val="008C7F52"/>
    <w:rsid w:val="008D0B44"/>
    <w:rsid w:val="008D2382"/>
    <w:rsid w:val="008D395B"/>
    <w:rsid w:val="008D4E70"/>
    <w:rsid w:val="008D6973"/>
    <w:rsid w:val="008E2693"/>
    <w:rsid w:val="008E4A2B"/>
    <w:rsid w:val="008E5716"/>
    <w:rsid w:val="008E62A4"/>
    <w:rsid w:val="008E6CEB"/>
    <w:rsid w:val="008F0DC4"/>
    <w:rsid w:val="008F214D"/>
    <w:rsid w:val="008F3A0E"/>
    <w:rsid w:val="00900275"/>
    <w:rsid w:val="00903118"/>
    <w:rsid w:val="009045FA"/>
    <w:rsid w:val="00910BFE"/>
    <w:rsid w:val="00912511"/>
    <w:rsid w:val="00913F48"/>
    <w:rsid w:val="00915111"/>
    <w:rsid w:val="00917CCF"/>
    <w:rsid w:val="00923111"/>
    <w:rsid w:val="00936700"/>
    <w:rsid w:val="009376D8"/>
    <w:rsid w:val="00942E76"/>
    <w:rsid w:val="009467C4"/>
    <w:rsid w:val="00947699"/>
    <w:rsid w:val="00947760"/>
    <w:rsid w:val="00951BA7"/>
    <w:rsid w:val="009532EF"/>
    <w:rsid w:val="009554BA"/>
    <w:rsid w:val="00963C7B"/>
    <w:rsid w:val="0096543D"/>
    <w:rsid w:val="00971D7A"/>
    <w:rsid w:val="00976EC0"/>
    <w:rsid w:val="00980ECD"/>
    <w:rsid w:val="00985541"/>
    <w:rsid w:val="00985791"/>
    <w:rsid w:val="00990F5A"/>
    <w:rsid w:val="009915AE"/>
    <w:rsid w:val="00992C1E"/>
    <w:rsid w:val="00993B97"/>
    <w:rsid w:val="009944F2"/>
    <w:rsid w:val="00996380"/>
    <w:rsid w:val="009975BA"/>
    <w:rsid w:val="009A0A28"/>
    <w:rsid w:val="009A1C1A"/>
    <w:rsid w:val="009A4F25"/>
    <w:rsid w:val="009A6586"/>
    <w:rsid w:val="009B42D5"/>
    <w:rsid w:val="009B4D9B"/>
    <w:rsid w:val="009C0C98"/>
    <w:rsid w:val="009C5195"/>
    <w:rsid w:val="009C6235"/>
    <w:rsid w:val="009C7EE8"/>
    <w:rsid w:val="009D7F8C"/>
    <w:rsid w:val="009E143F"/>
    <w:rsid w:val="009E3B0C"/>
    <w:rsid w:val="009E6C65"/>
    <w:rsid w:val="009F0F23"/>
    <w:rsid w:val="009F3E98"/>
    <w:rsid w:val="00A00F75"/>
    <w:rsid w:val="00A06E3C"/>
    <w:rsid w:val="00A0744F"/>
    <w:rsid w:val="00A07B5F"/>
    <w:rsid w:val="00A07FF8"/>
    <w:rsid w:val="00A10A3F"/>
    <w:rsid w:val="00A12A8B"/>
    <w:rsid w:val="00A136C0"/>
    <w:rsid w:val="00A14928"/>
    <w:rsid w:val="00A16050"/>
    <w:rsid w:val="00A25C05"/>
    <w:rsid w:val="00A27B62"/>
    <w:rsid w:val="00A31AD5"/>
    <w:rsid w:val="00A323FE"/>
    <w:rsid w:val="00A34F70"/>
    <w:rsid w:val="00A35925"/>
    <w:rsid w:val="00A43A62"/>
    <w:rsid w:val="00A46F44"/>
    <w:rsid w:val="00A5029F"/>
    <w:rsid w:val="00A52A04"/>
    <w:rsid w:val="00A54EF8"/>
    <w:rsid w:val="00A57027"/>
    <w:rsid w:val="00A646B5"/>
    <w:rsid w:val="00A67E5B"/>
    <w:rsid w:val="00A7238B"/>
    <w:rsid w:val="00A73B3E"/>
    <w:rsid w:val="00A766D7"/>
    <w:rsid w:val="00A8782F"/>
    <w:rsid w:val="00A87BBD"/>
    <w:rsid w:val="00A905E4"/>
    <w:rsid w:val="00A930BD"/>
    <w:rsid w:val="00A95F3F"/>
    <w:rsid w:val="00AA5E58"/>
    <w:rsid w:val="00AB1101"/>
    <w:rsid w:val="00AB3629"/>
    <w:rsid w:val="00AB3AAA"/>
    <w:rsid w:val="00AB4E36"/>
    <w:rsid w:val="00AB6752"/>
    <w:rsid w:val="00AC0E9C"/>
    <w:rsid w:val="00AC0F28"/>
    <w:rsid w:val="00AC2D5B"/>
    <w:rsid w:val="00AD006A"/>
    <w:rsid w:val="00AD18DD"/>
    <w:rsid w:val="00AD531C"/>
    <w:rsid w:val="00AD6098"/>
    <w:rsid w:val="00AD695E"/>
    <w:rsid w:val="00AD6D3B"/>
    <w:rsid w:val="00AE5030"/>
    <w:rsid w:val="00AE76D4"/>
    <w:rsid w:val="00AE77E6"/>
    <w:rsid w:val="00AF0920"/>
    <w:rsid w:val="00AF190B"/>
    <w:rsid w:val="00AF1C85"/>
    <w:rsid w:val="00AF3DA4"/>
    <w:rsid w:val="00AF4E45"/>
    <w:rsid w:val="00B00F2D"/>
    <w:rsid w:val="00B016ED"/>
    <w:rsid w:val="00B01825"/>
    <w:rsid w:val="00B02F7C"/>
    <w:rsid w:val="00B0527B"/>
    <w:rsid w:val="00B129B3"/>
    <w:rsid w:val="00B168DE"/>
    <w:rsid w:val="00B17B52"/>
    <w:rsid w:val="00B17D9A"/>
    <w:rsid w:val="00B211BD"/>
    <w:rsid w:val="00B231BC"/>
    <w:rsid w:val="00B27F88"/>
    <w:rsid w:val="00B3126B"/>
    <w:rsid w:val="00B319E9"/>
    <w:rsid w:val="00B401F1"/>
    <w:rsid w:val="00B40D5F"/>
    <w:rsid w:val="00B43DE2"/>
    <w:rsid w:val="00B47542"/>
    <w:rsid w:val="00B475A8"/>
    <w:rsid w:val="00B47D63"/>
    <w:rsid w:val="00B50FF2"/>
    <w:rsid w:val="00B51B29"/>
    <w:rsid w:val="00B52DDC"/>
    <w:rsid w:val="00B532EE"/>
    <w:rsid w:val="00B55A9E"/>
    <w:rsid w:val="00B624F6"/>
    <w:rsid w:val="00B62C10"/>
    <w:rsid w:val="00B64060"/>
    <w:rsid w:val="00B644CD"/>
    <w:rsid w:val="00B66293"/>
    <w:rsid w:val="00B67354"/>
    <w:rsid w:val="00B725DD"/>
    <w:rsid w:val="00B74A0A"/>
    <w:rsid w:val="00B74ACB"/>
    <w:rsid w:val="00B74CC2"/>
    <w:rsid w:val="00B776F1"/>
    <w:rsid w:val="00B77F9D"/>
    <w:rsid w:val="00B81213"/>
    <w:rsid w:val="00B8262E"/>
    <w:rsid w:val="00B84276"/>
    <w:rsid w:val="00B86B50"/>
    <w:rsid w:val="00B91F28"/>
    <w:rsid w:val="00B93B7E"/>
    <w:rsid w:val="00B9533E"/>
    <w:rsid w:val="00B95954"/>
    <w:rsid w:val="00BA24E3"/>
    <w:rsid w:val="00BA3A36"/>
    <w:rsid w:val="00BA6B98"/>
    <w:rsid w:val="00BB0285"/>
    <w:rsid w:val="00BB7D58"/>
    <w:rsid w:val="00BC3BB9"/>
    <w:rsid w:val="00BC3F2C"/>
    <w:rsid w:val="00BC6347"/>
    <w:rsid w:val="00BC794E"/>
    <w:rsid w:val="00BD4D7D"/>
    <w:rsid w:val="00BD7EC8"/>
    <w:rsid w:val="00BE21D5"/>
    <w:rsid w:val="00BE31ED"/>
    <w:rsid w:val="00BE4027"/>
    <w:rsid w:val="00BF3400"/>
    <w:rsid w:val="00BF47AC"/>
    <w:rsid w:val="00BF5695"/>
    <w:rsid w:val="00C01D06"/>
    <w:rsid w:val="00C04F21"/>
    <w:rsid w:val="00C0741D"/>
    <w:rsid w:val="00C07846"/>
    <w:rsid w:val="00C07FED"/>
    <w:rsid w:val="00C10F54"/>
    <w:rsid w:val="00C21E48"/>
    <w:rsid w:val="00C2452E"/>
    <w:rsid w:val="00C26F68"/>
    <w:rsid w:val="00C30509"/>
    <w:rsid w:val="00C31303"/>
    <w:rsid w:val="00C31DC1"/>
    <w:rsid w:val="00C32462"/>
    <w:rsid w:val="00C332EE"/>
    <w:rsid w:val="00C338D3"/>
    <w:rsid w:val="00C3560A"/>
    <w:rsid w:val="00C41D7B"/>
    <w:rsid w:val="00C4424F"/>
    <w:rsid w:val="00C53868"/>
    <w:rsid w:val="00C54CDD"/>
    <w:rsid w:val="00C5676F"/>
    <w:rsid w:val="00C569B1"/>
    <w:rsid w:val="00C613E0"/>
    <w:rsid w:val="00C6469A"/>
    <w:rsid w:val="00C64A1E"/>
    <w:rsid w:val="00C6534A"/>
    <w:rsid w:val="00C73A1D"/>
    <w:rsid w:val="00C75372"/>
    <w:rsid w:val="00C77DE6"/>
    <w:rsid w:val="00C90EAB"/>
    <w:rsid w:val="00C91C0C"/>
    <w:rsid w:val="00C927FE"/>
    <w:rsid w:val="00C92F92"/>
    <w:rsid w:val="00C964CD"/>
    <w:rsid w:val="00CA111A"/>
    <w:rsid w:val="00CA4157"/>
    <w:rsid w:val="00CA45DB"/>
    <w:rsid w:val="00CA5170"/>
    <w:rsid w:val="00CB1037"/>
    <w:rsid w:val="00CB1A85"/>
    <w:rsid w:val="00CB3250"/>
    <w:rsid w:val="00CB58DA"/>
    <w:rsid w:val="00CC238B"/>
    <w:rsid w:val="00CC2422"/>
    <w:rsid w:val="00CC31BB"/>
    <w:rsid w:val="00CC51CC"/>
    <w:rsid w:val="00CD164F"/>
    <w:rsid w:val="00CD6191"/>
    <w:rsid w:val="00CE3C09"/>
    <w:rsid w:val="00CE4FF2"/>
    <w:rsid w:val="00CE5AB7"/>
    <w:rsid w:val="00CE7057"/>
    <w:rsid w:val="00CE74CC"/>
    <w:rsid w:val="00CF1AF5"/>
    <w:rsid w:val="00CF2B3C"/>
    <w:rsid w:val="00CF2C66"/>
    <w:rsid w:val="00CF3283"/>
    <w:rsid w:val="00CF508D"/>
    <w:rsid w:val="00CF5E77"/>
    <w:rsid w:val="00D01053"/>
    <w:rsid w:val="00D01728"/>
    <w:rsid w:val="00D14F36"/>
    <w:rsid w:val="00D16499"/>
    <w:rsid w:val="00D16908"/>
    <w:rsid w:val="00D22DC7"/>
    <w:rsid w:val="00D25B8D"/>
    <w:rsid w:val="00D3114A"/>
    <w:rsid w:val="00D32F1F"/>
    <w:rsid w:val="00D3579B"/>
    <w:rsid w:val="00D35829"/>
    <w:rsid w:val="00D36B0D"/>
    <w:rsid w:val="00D370A3"/>
    <w:rsid w:val="00D372D2"/>
    <w:rsid w:val="00D37971"/>
    <w:rsid w:val="00D411D2"/>
    <w:rsid w:val="00D47DC7"/>
    <w:rsid w:val="00D5123E"/>
    <w:rsid w:val="00D54710"/>
    <w:rsid w:val="00D565B0"/>
    <w:rsid w:val="00D5733F"/>
    <w:rsid w:val="00D577D4"/>
    <w:rsid w:val="00D63547"/>
    <w:rsid w:val="00D636F9"/>
    <w:rsid w:val="00D64305"/>
    <w:rsid w:val="00D65235"/>
    <w:rsid w:val="00D67AB9"/>
    <w:rsid w:val="00D72372"/>
    <w:rsid w:val="00D75901"/>
    <w:rsid w:val="00D761EC"/>
    <w:rsid w:val="00D77C61"/>
    <w:rsid w:val="00D77E61"/>
    <w:rsid w:val="00D811FA"/>
    <w:rsid w:val="00D83D8C"/>
    <w:rsid w:val="00D85F11"/>
    <w:rsid w:val="00D868E5"/>
    <w:rsid w:val="00D878A0"/>
    <w:rsid w:val="00D90686"/>
    <w:rsid w:val="00D915AB"/>
    <w:rsid w:val="00D92AB0"/>
    <w:rsid w:val="00D93011"/>
    <w:rsid w:val="00D93BBF"/>
    <w:rsid w:val="00D95374"/>
    <w:rsid w:val="00D975AA"/>
    <w:rsid w:val="00D976DC"/>
    <w:rsid w:val="00DA0107"/>
    <w:rsid w:val="00DA07ED"/>
    <w:rsid w:val="00DA1E20"/>
    <w:rsid w:val="00DA2880"/>
    <w:rsid w:val="00DA2E77"/>
    <w:rsid w:val="00DA51A8"/>
    <w:rsid w:val="00DA6146"/>
    <w:rsid w:val="00DB0C6F"/>
    <w:rsid w:val="00DB1A0D"/>
    <w:rsid w:val="00DB2E1F"/>
    <w:rsid w:val="00DB5F49"/>
    <w:rsid w:val="00DB627C"/>
    <w:rsid w:val="00DB738E"/>
    <w:rsid w:val="00DC5573"/>
    <w:rsid w:val="00DC5C2D"/>
    <w:rsid w:val="00DC7064"/>
    <w:rsid w:val="00DD2BAB"/>
    <w:rsid w:val="00DD3BFC"/>
    <w:rsid w:val="00DD49CC"/>
    <w:rsid w:val="00DD577A"/>
    <w:rsid w:val="00DD6156"/>
    <w:rsid w:val="00DE1741"/>
    <w:rsid w:val="00DE5D4F"/>
    <w:rsid w:val="00DF0A19"/>
    <w:rsid w:val="00DF1CCC"/>
    <w:rsid w:val="00DF2C41"/>
    <w:rsid w:val="00DF538C"/>
    <w:rsid w:val="00DF5F7C"/>
    <w:rsid w:val="00DF699E"/>
    <w:rsid w:val="00DF73DC"/>
    <w:rsid w:val="00DF79B6"/>
    <w:rsid w:val="00E0147E"/>
    <w:rsid w:val="00E05008"/>
    <w:rsid w:val="00E07B30"/>
    <w:rsid w:val="00E11C5E"/>
    <w:rsid w:val="00E16492"/>
    <w:rsid w:val="00E1664C"/>
    <w:rsid w:val="00E230EB"/>
    <w:rsid w:val="00E23D2E"/>
    <w:rsid w:val="00E24803"/>
    <w:rsid w:val="00E24E02"/>
    <w:rsid w:val="00E2542E"/>
    <w:rsid w:val="00E27206"/>
    <w:rsid w:val="00E32882"/>
    <w:rsid w:val="00E35B96"/>
    <w:rsid w:val="00E40102"/>
    <w:rsid w:val="00E41AD8"/>
    <w:rsid w:val="00E44700"/>
    <w:rsid w:val="00E447D3"/>
    <w:rsid w:val="00E50AED"/>
    <w:rsid w:val="00E511D1"/>
    <w:rsid w:val="00E5206B"/>
    <w:rsid w:val="00E54F9B"/>
    <w:rsid w:val="00E555A7"/>
    <w:rsid w:val="00E61237"/>
    <w:rsid w:val="00E64029"/>
    <w:rsid w:val="00E6404C"/>
    <w:rsid w:val="00E668DD"/>
    <w:rsid w:val="00E66998"/>
    <w:rsid w:val="00E7096F"/>
    <w:rsid w:val="00E71C2C"/>
    <w:rsid w:val="00E773B1"/>
    <w:rsid w:val="00E77F09"/>
    <w:rsid w:val="00E81E46"/>
    <w:rsid w:val="00E868FA"/>
    <w:rsid w:val="00E87868"/>
    <w:rsid w:val="00E941EE"/>
    <w:rsid w:val="00E94485"/>
    <w:rsid w:val="00EA0A9C"/>
    <w:rsid w:val="00EA1706"/>
    <w:rsid w:val="00EA2493"/>
    <w:rsid w:val="00EB0099"/>
    <w:rsid w:val="00EB03C8"/>
    <w:rsid w:val="00EB138D"/>
    <w:rsid w:val="00EB1B12"/>
    <w:rsid w:val="00EB26E1"/>
    <w:rsid w:val="00EB3045"/>
    <w:rsid w:val="00EB3813"/>
    <w:rsid w:val="00EB5316"/>
    <w:rsid w:val="00EC2DAB"/>
    <w:rsid w:val="00EC421B"/>
    <w:rsid w:val="00EC555D"/>
    <w:rsid w:val="00EC7457"/>
    <w:rsid w:val="00ED0A41"/>
    <w:rsid w:val="00ED52C1"/>
    <w:rsid w:val="00EE049A"/>
    <w:rsid w:val="00EE1CCC"/>
    <w:rsid w:val="00EE2980"/>
    <w:rsid w:val="00EE471C"/>
    <w:rsid w:val="00EE5F26"/>
    <w:rsid w:val="00EF1B73"/>
    <w:rsid w:val="00EF2ACB"/>
    <w:rsid w:val="00EF3A48"/>
    <w:rsid w:val="00EF61A1"/>
    <w:rsid w:val="00EF685D"/>
    <w:rsid w:val="00F01A0D"/>
    <w:rsid w:val="00F01EBD"/>
    <w:rsid w:val="00F04C31"/>
    <w:rsid w:val="00F12FF1"/>
    <w:rsid w:val="00F15181"/>
    <w:rsid w:val="00F15EE3"/>
    <w:rsid w:val="00F16C63"/>
    <w:rsid w:val="00F238DE"/>
    <w:rsid w:val="00F24FFC"/>
    <w:rsid w:val="00F261C5"/>
    <w:rsid w:val="00F27A0E"/>
    <w:rsid w:val="00F32BA0"/>
    <w:rsid w:val="00F335D3"/>
    <w:rsid w:val="00F449F0"/>
    <w:rsid w:val="00F5242C"/>
    <w:rsid w:val="00F53194"/>
    <w:rsid w:val="00F531C9"/>
    <w:rsid w:val="00F53F7E"/>
    <w:rsid w:val="00F548DB"/>
    <w:rsid w:val="00F54C74"/>
    <w:rsid w:val="00F61960"/>
    <w:rsid w:val="00F71BD2"/>
    <w:rsid w:val="00F843EA"/>
    <w:rsid w:val="00F913AE"/>
    <w:rsid w:val="00F94AD7"/>
    <w:rsid w:val="00FA3638"/>
    <w:rsid w:val="00FA49F0"/>
    <w:rsid w:val="00FA6E5E"/>
    <w:rsid w:val="00FB21E7"/>
    <w:rsid w:val="00FB22A9"/>
    <w:rsid w:val="00FB4833"/>
    <w:rsid w:val="00FB6729"/>
    <w:rsid w:val="00FC0637"/>
    <w:rsid w:val="00FC08DC"/>
    <w:rsid w:val="00FC13F8"/>
    <w:rsid w:val="00FC1AD8"/>
    <w:rsid w:val="00FC29EC"/>
    <w:rsid w:val="00FC6564"/>
    <w:rsid w:val="00FD0C3D"/>
    <w:rsid w:val="00FD3950"/>
    <w:rsid w:val="00FD6499"/>
    <w:rsid w:val="00FD6A7C"/>
    <w:rsid w:val="00FE2A31"/>
    <w:rsid w:val="00FE453F"/>
    <w:rsid w:val="00FE4D27"/>
    <w:rsid w:val="00FE7900"/>
    <w:rsid w:val="00FF02F2"/>
    <w:rsid w:val="01245DAF"/>
    <w:rsid w:val="0137239B"/>
    <w:rsid w:val="016B7714"/>
    <w:rsid w:val="01995B98"/>
    <w:rsid w:val="01A6288B"/>
    <w:rsid w:val="01B73985"/>
    <w:rsid w:val="020D4EC8"/>
    <w:rsid w:val="0214436E"/>
    <w:rsid w:val="02155BE8"/>
    <w:rsid w:val="02403ABA"/>
    <w:rsid w:val="0243519A"/>
    <w:rsid w:val="02793941"/>
    <w:rsid w:val="02DF5536"/>
    <w:rsid w:val="02FB386D"/>
    <w:rsid w:val="03D76EAA"/>
    <w:rsid w:val="03EB453F"/>
    <w:rsid w:val="044E2A92"/>
    <w:rsid w:val="04E21E4F"/>
    <w:rsid w:val="04E614AD"/>
    <w:rsid w:val="0517670B"/>
    <w:rsid w:val="05904E78"/>
    <w:rsid w:val="05D95BEF"/>
    <w:rsid w:val="05E90C5E"/>
    <w:rsid w:val="060C0075"/>
    <w:rsid w:val="06514DB0"/>
    <w:rsid w:val="06577685"/>
    <w:rsid w:val="06917541"/>
    <w:rsid w:val="06BD0D95"/>
    <w:rsid w:val="06E759F5"/>
    <w:rsid w:val="07645290"/>
    <w:rsid w:val="07E11329"/>
    <w:rsid w:val="086C3AEE"/>
    <w:rsid w:val="087A24B9"/>
    <w:rsid w:val="0892554F"/>
    <w:rsid w:val="08FD7339"/>
    <w:rsid w:val="090A1C81"/>
    <w:rsid w:val="09D13FA2"/>
    <w:rsid w:val="09E35FC7"/>
    <w:rsid w:val="0A263642"/>
    <w:rsid w:val="0AA209EA"/>
    <w:rsid w:val="0AB201C0"/>
    <w:rsid w:val="0AC51951"/>
    <w:rsid w:val="0AC53596"/>
    <w:rsid w:val="0B3A3500"/>
    <w:rsid w:val="0BA14F97"/>
    <w:rsid w:val="0BD67144"/>
    <w:rsid w:val="0C2B25DC"/>
    <w:rsid w:val="0C301E91"/>
    <w:rsid w:val="0C3A4603"/>
    <w:rsid w:val="0C403CBC"/>
    <w:rsid w:val="0C6C04F0"/>
    <w:rsid w:val="0CAC6157"/>
    <w:rsid w:val="0CB903AE"/>
    <w:rsid w:val="0CD14E0B"/>
    <w:rsid w:val="0CEB7612"/>
    <w:rsid w:val="0D1652E5"/>
    <w:rsid w:val="0D6C3A14"/>
    <w:rsid w:val="0D751469"/>
    <w:rsid w:val="0D865843"/>
    <w:rsid w:val="0DDC7ABB"/>
    <w:rsid w:val="0DEE6506"/>
    <w:rsid w:val="0E0544F1"/>
    <w:rsid w:val="0E1D04F3"/>
    <w:rsid w:val="0E275D0D"/>
    <w:rsid w:val="0E496E6D"/>
    <w:rsid w:val="0E4A47B4"/>
    <w:rsid w:val="0E740F24"/>
    <w:rsid w:val="0E817655"/>
    <w:rsid w:val="0ECC3EF5"/>
    <w:rsid w:val="0EDE31FD"/>
    <w:rsid w:val="0FF2305D"/>
    <w:rsid w:val="101A68BC"/>
    <w:rsid w:val="10A41E19"/>
    <w:rsid w:val="10C930B7"/>
    <w:rsid w:val="10EF4E1E"/>
    <w:rsid w:val="1106215D"/>
    <w:rsid w:val="11162132"/>
    <w:rsid w:val="11A71503"/>
    <w:rsid w:val="11C73EBB"/>
    <w:rsid w:val="11F65F25"/>
    <w:rsid w:val="121163AA"/>
    <w:rsid w:val="12227CC7"/>
    <w:rsid w:val="126A0226"/>
    <w:rsid w:val="127A507C"/>
    <w:rsid w:val="13105CB2"/>
    <w:rsid w:val="13296FA6"/>
    <w:rsid w:val="134A210F"/>
    <w:rsid w:val="134E22CB"/>
    <w:rsid w:val="13D401D2"/>
    <w:rsid w:val="13E5500F"/>
    <w:rsid w:val="140A6EC9"/>
    <w:rsid w:val="142C3C1B"/>
    <w:rsid w:val="14344428"/>
    <w:rsid w:val="14EA114E"/>
    <w:rsid w:val="152028F8"/>
    <w:rsid w:val="154169F7"/>
    <w:rsid w:val="154C38CA"/>
    <w:rsid w:val="15A77148"/>
    <w:rsid w:val="168252EF"/>
    <w:rsid w:val="16E5786E"/>
    <w:rsid w:val="170F149C"/>
    <w:rsid w:val="17950977"/>
    <w:rsid w:val="17C94C24"/>
    <w:rsid w:val="17EA079C"/>
    <w:rsid w:val="18360148"/>
    <w:rsid w:val="184507B7"/>
    <w:rsid w:val="18592266"/>
    <w:rsid w:val="18642CA3"/>
    <w:rsid w:val="187D76FE"/>
    <w:rsid w:val="18C86036"/>
    <w:rsid w:val="18EF2158"/>
    <w:rsid w:val="18FE18FF"/>
    <w:rsid w:val="192A1233"/>
    <w:rsid w:val="193D29A0"/>
    <w:rsid w:val="19D06CA7"/>
    <w:rsid w:val="1A1B097E"/>
    <w:rsid w:val="1A2245D3"/>
    <w:rsid w:val="1A3E135B"/>
    <w:rsid w:val="1A7A2DDE"/>
    <w:rsid w:val="1A9B35F8"/>
    <w:rsid w:val="1AF54BFB"/>
    <w:rsid w:val="1B261F11"/>
    <w:rsid w:val="1B2749A4"/>
    <w:rsid w:val="1B3B0BBD"/>
    <w:rsid w:val="1B9D51C7"/>
    <w:rsid w:val="1BCD687E"/>
    <w:rsid w:val="1BEB7950"/>
    <w:rsid w:val="1BF90277"/>
    <w:rsid w:val="1C0A2BC2"/>
    <w:rsid w:val="1C166921"/>
    <w:rsid w:val="1C2D7B08"/>
    <w:rsid w:val="1C9708A8"/>
    <w:rsid w:val="1CB24CAE"/>
    <w:rsid w:val="1CBC7C71"/>
    <w:rsid w:val="1CDA1EF1"/>
    <w:rsid w:val="1CFB0BAB"/>
    <w:rsid w:val="1D0D63D5"/>
    <w:rsid w:val="1D374FCD"/>
    <w:rsid w:val="1DA51E10"/>
    <w:rsid w:val="1DA95E80"/>
    <w:rsid w:val="1DEA701A"/>
    <w:rsid w:val="1E004E4D"/>
    <w:rsid w:val="1E006E84"/>
    <w:rsid w:val="1E3B3BDF"/>
    <w:rsid w:val="1E7C6811"/>
    <w:rsid w:val="1EB37B7F"/>
    <w:rsid w:val="1EFF6237"/>
    <w:rsid w:val="1F091B82"/>
    <w:rsid w:val="1F4F4EAB"/>
    <w:rsid w:val="1F9636B5"/>
    <w:rsid w:val="1FA54268"/>
    <w:rsid w:val="1FC77F2B"/>
    <w:rsid w:val="20107F9E"/>
    <w:rsid w:val="202F1969"/>
    <w:rsid w:val="202F6FBB"/>
    <w:rsid w:val="208D3F08"/>
    <w:rsid w:val="20F042F7"/>
    <w:rsid w:val="211C7FF3"/>
    <w:rsid w:val="213A0D23"/>
    <w:rsid w:val="21A93684"/>
    <w:rsid w:val="21BB48C5"/>
    <w:rsid w:val="21D31BF1"/>
    <w:rsid w:val="21DA43C3"/>
    <w:rsid w:val="22962E0B"/>
    <w:rsid w:val="229F685F"/>
    <w:rsid w:val="230A1B8F"/>
    <w:rsid w:val="238E6465"/>
    <w:rsid w:val="239650FC"/>
    <w:rsid w:val="23AD0167"/>
    <w:rsid w:val="23F273CB"/>
    <w:rsid w:val="24267A6A"/>
    <w:rsid w:val="24742DD9"/>
    <w:rsid w:val="24976D54"/>
    <w:rsid w:val="24AB5C28"/>
    <w:rsid w:val="24B42D7A"/>
    <w:rsid w:val="24B95FE5"/>
    <w:rsid w:val="24CD4A29"/>
    <w:rsid w:val="25396C04"/>
    <w:rsid w:val="25812A5A"/>
    <w:rsid w:val="259644AC"/>
    <w:rsid w:val="25E65910"/>
    <w:rsid w:val="25F72C1A"/>
    <w:rsid w:val="261721C7"/>
    <w:rsid w:val="266A6628"/>
    <w:rsid w:val="266C40F2"/>
    <w:rsid w:val="271442B3"/>
    <w:rsid w:val="272A7A9D"/>
    <w:rsid w:val="275E2986"/>
    <w:rsid w:val="279D513A"/>
    <w:rsid w:val="27C66F0F"/>
    <w:rsid w:val="27CA2743"/>
    <w:rsid w:val="27CC44C6"/>
    <w:rsid w:val="27E8434F"/>
    <w:rsid w:val="28025741"/>
    <w:rsid w:val="282F49C2"/>
    <w:rsid w:val="28500FD7"/>
    <w:rsid w:val="28995E5D"/>
    <w:rsid w:val="28B9264B"/>
    <w:rsid w:val="29744435"/>
    <w:rsid w:val="2990262B"/>
    <w:rsid w:val="29A85CC5"/>
    <w:rsid w:val="29BA1967"/>
    <w:rsid w:val="29C53E47"/>
    <w:rsid w:val="2A1E0B28"/>
    <w:rsid w:val="2B553176"/>
    <w:rsid w:val="2B803ED4"/>
    <w:rsid w:val="2B9639F8"/>
    <w:rsid w:val="2BB2275D"/>
    <w:rsid w:val="2BC74161"/>
    <w:rsid w:val="2BE11BE1"/>
    <w:rsid w:val="2C4C690C"/>
    <w:rsid w:val="2CAC51A2"/>
    <w:rsid w:val="2CF85CC4"/>
    <w:rsid w:val="2D2D4FF7"/>
    <w:rsid w:val="2D332631"/>
    <w:rsid w:val="2D8D6927"/>
    <w:rsid w:val="2DBA54A3"/>
    <w:rsid w:val="2DBC6578"/>
    <w:rsid w:val="2E152CFE"/>
    <w:rsid w:val="2E2453C5"/>
    <w:rsid w:val="2E2C1567"/>
    <w:rsid w:val="2E6F4EA7"/>
    <w:rsid w:val="2E886BE7"/>
    <w:rsid w:val="2E8E22B2"/>
    <w:rsid w:val="2EA71F07"/>
    <w:rsid w:val="2EE53913"/>
    <w:rsid w:val="2F12690C"/>
    <w:rsid w:val="2F353270"/>
    <w:rsid w:val="2F3B6575"/>
    <w:rsid w:val="2F9B76CE"/>
    <w:rsid w:val="2FD123E4"/>
    <w:rsid w:val="30B01FC5"/>
    <w:rsid w:val="30D50DD5"/>
    <w:rsid w:val="312546A9"/>
    <w:rsid w:val="313004B2"/>
    <w:rsid w:val="31444303"/>
    <w:rsid w:val="32012789"/>
    <w:rsid w:val="320C21EC"/>
    <w:rsid w:val="325C1B37"/>
    <w:rsid w:val="328213B1"/>
    <w:rsid w:val="328726A4"/>
    <w:rsid w:val="32E41193"/>
    <w:rsid w:val="33756B01"/>
    <w:rsid w:val="33E56C27"/>
    <w:rsid w:val="33EE6076"/>
    <w:rsid w:val="34635A60"/>
    <w:rsid w:val="34DF76C6"/>
    <w:rsid w:val="34EC099B"/>
    <w:rsid w:val="35186F89"/>
    <w:rsid w:val="35874D93"/>
    <w:rsid w:val="35DB46B0"/>
    <w:rsid w:val="36520B34"/>
    <w:rsid w:val="36AE1502"/>
    <w:rsid w:val="36BC59AD"/>
    <w:rsid w:val="36FD501A"/>
    <w:rsid w:val="373B5FB5"/>
    <w:rsid w:val="37AB797B"/>
    <w:rsid w:val="37C21CDB"/>
    <w:rsid w:val="37E17218"/>
    <w:rsid w:val="38527678"/>
    <w:rsid w:val="388F2B1E"/>
    <w:rsid w:val="38F80EC9"/>
    <w:rsid w:val="39194F99"/>
    <w:rsid w:val="39232013"/>
    <w:rsid w:val="39553FD0"/>
    <w:rsid w:val="39A0349A"/>
    <w:rsid w:val="3A074F40"/>
    <w:rsid w:val="3A0A54CD"/>
    <w:rsid w:val="3A55076D"/>
    <w:rsid w:val="3A5D1A4E"/>
    <w:rsid w:val="3A684284"/>
    <w:rsid w:val="3A9A44BE"/>
    <w:rsid w:val="3AD44662"/>
    <w:rsid w:val="3B223D18"/>
    <w:rsid w:val="3B243D61"/>
    <w:rsid w:val="3B385BA2"/>
    <w:rsid w:val="3B4D50F6"/>
    <w:rsid w:val="3C020DEC"/>
    <w:rsid w:val="3C405754"/>
    <w:rsid w:val="3C5230E9"/>
    <w:rsid w:val="3C5E0CE6"/>
    <w:rsid w:val="3C862460"/>
    <w:rsid w:val="3CA818D8"/>
    <w:rsid w:val="3CEC4B3A"/>
    <w:rsid w:val="3D0B599D"/>
    <w:rsid w:val="3D404D9F"/>
    <w:rsid w:val="3D67197A"/>
    <w:rsid w:val="3D6F39BA"/>
    <w:rsid w:val="3D99408E"/>
    <w:rsid w:val="3D9C5A6F"/>
    <w:rsid w:val="3E155B81"/>
    <w:rsid w:val="3E821474"/>
    <w:rsid w:val="3E905CC0"/>
    <w:rsid w:val="3E986301"/>
    <w:rsid w:val="3EFF097E"/>
    <w:rsid w:val="3F195FAB"/>
    <w:rsid w:val="3F32479F"/>
    <w:rsid w:val="3F3A15F9"/>
    <w:rsid w:val="3FBB0E12"/>
    <w:rsid w:val="401B42D0"/>
    <w:rsid w:val="40291A7A"/>
    <w:rsid w:val="40530AE8"/>
    <w:rsid w:val="40C73569"/>
    <w:rsid w:val="40EC6A2E"/>
    <w:rsid w:val="412A4961"/>
    <w:rsid w:val="41382C71"/>
    <w:rsid w:val="41CA6393"/>
    <w:rsid w:val="424977FE"/>
    <w:rsid w:val="43486C97"/>
    <w:rsid w:val="434C3368"/>
    <w:rsid w:val="43515B81"/>
    <w:rsid w:val="43613625"/>
    <w:rsid w:val="43C174C5"/>
    <w:rsid w:val="43CA0BFA"/>
    <w:rsid w:val="43CD729D"/>
    <w:rsid w:val="43E27D1D"/>
    <w:rsid w:val="4413240A"/>
    <w:rsid w:val="4440738F"/>
    <w:rsid w:val="445C5B8A"/>
    <w:rsid w:val="44A03E7E"/>
    <w:rsid w:val="457B07E0"/>
    <w:rsid w:val="461E270D"/>
    <w:rsid w:val="464862A3"/>
    <w:rsid w:val="46605352"/>
    <w:rsid w:val="46F17442"/>
    <w:rsid w:val="472C61ED"/>
    <w:rsid w:val="472E5A4A"/>
    <w:rsid w:val="47C926D0"/>
    <w:rsid w:val="480D48DB"/>
    <w:rsid w:val="489C788A"/>
    <w:rsid w:val="48AD2A5A"/>
    <w:rsid w:val="48C04CC4"/>
    <w:rsid w:val="48C0727B"/>
    <w:rsid w:val="48E01705"/>
    <w:rsid w:val="48E37D22"/>
    <w:rsid w:val="48E84985"/>
    <w:rsid w:val="490706C9"/>
    <w:rsid w:val="490E6A91"/>
    <w:rsid w:val="492A05F3"/>
    <w:rsid w:val="49386B2F"/>
    <w:rsid w:val="4973327C"/>
    <w:rsid w:val="49897837"/>
    <w:rsid w:val="499A1DBF"/>
    <w:rsid w:val="49C16B89"/>
    <w:rsid w:val="49DF20CF"/>
    <w:rsid w:val="4A7B594C"/>
    <w:rsid w:val="4A880909"/>
    <w:rsid w:val="4A89414C"/>
    <w:rsid w:val="4ABA355E"/>
    <w:rsid w:val="4ACC47D4"/>
    <w:rsid w:val="4AE64165"/>
    <w:rsid w:val="4AF25718"/>
    <w:rsid w:val="4B3F61B4"/>
    <w:rsid w:val="4C1D353E"/>
    <w:rsid w:val="4C85006E"/>
    <w:rsid w:val="4CE41A95"/>
    <w:rsid w:val="4D203242"/>
    <w:rsid w:val="4D247C15"/>
    <w:rsid w:val="4D7178DC"/>
    <w:rsid w:val="4DCC02C1"/>
    <w:rsid w:val="4E647EE8"/>
    <w:rsid w:val="4EB32815"/>
    <w:rsid w:val="4EBB3CB2"/>
    <w:rsid w:val="4EFB2973"/>
    <w:rsid w:val="4F565B72"/>
    <w:rsid w:val="4FB3742D"/>
    <w:rsid w:val="506F0F9A"/>
    <w:rsid w:val="50834BAB"/>
    <w:rsid w:val="50D8288D"/>
    <w:rsid w:val="50F85145"/>
    <w:rsid w:val="518A397C"/>
    <w:rsid w:val="51A20563"/>
    <w:rsid w:val="51EB6D37"/>
    <w:rsid w:val="5203577F"/>
    <w:rsid w:val="52084650"/>
    <w:rsid w:val="524456FC"/>
    <w:rsid w:val="524F78C9"/>
    <w:rsid w:val="52A87C92"/>
    <w:rsid w:val="52AC0A8D"/>
    <w:rsid w:val="52BE1BBB"/>
    <w:rsid w:val="5334119C"/>
    <w:rsid w:val="53531291"/>
    <w:rsid w:val="536E4222"/>
    <w:rsid w:val="5387697A"/>
    <w:rsid w:val="53B05482"/>
    <w:rsid w:val="546604FD"/>
    <w:rsid w:val="549C2122"/>
    <w:rsid w:val="54AB5E45"/>
    <w:rsid w:val="552157C8"/>
    <w:rsid w:val="5608557D"/>
    <w:rsid w:val="56161F5E"/>
    <w:rsid w:val="56310139"/>
    <w:rsid w:val="565B0BDC"/>
    <w:rsid w:val="56B27573"/>
    <w:rsid w:val="56BE33A0"/>
    <w:rsid w:val="56C362B7"/>
    <w:rsid w:val="56EC4B3A"/>
    <w:rsid w:val="57454026"/>
    <w:rsid w:val="57C204C6"/>
    <w:rsid w:val="57D116B5"/>
    <w:rsid w:val="587B58CA"/>
    <w:rsid w:val="588136C3"/>
    <w:rsid w:val="58CD418F"/>
    <w:rsid w:val="59300F78"/>
    <w:rsid w:val="59A41ADB"/>
    <w:rsid w:val="5A24685E"/>
    <w:rsid w:val="5A361F01"/>
    <w:rsid w:val="5A4867BF"/>
    <w:rsid w:val="5AEC3820"/>
    <w:rsid w:val="5AF83B56"/>
    <w:rsid w:val="5B154C16"/>
    <w:rsid w:val="5B2B3D3A"/>
    <w:rsid w:val="5B4E5FB3"/>
    <w:rsid w:val="5BD344D0"/>
    <w:rsid w:val="5BF404D6"/>
    <w:rsid w:val="5BFE1A54"/>
    <w:rsid w:val="5C11536F"/>
    <w:rsid w:val="5C434EF1"/>
    <w:rsid w:val="5C5B6030"/>
    <w:rsid w:val="5CBD333B"/>
    <w:rsid w:val="5CE4498E"/>
    <w:rsid w:val="5D8132F0"/>
    <w:rsid w:val="5DC479C1"/>
    <w:rsid w:val="5DC9146E"/>
    <w:rsid w:val="5DFA3047"/>
    <w:rsid w:val="5E0B5CFA"/>
    <w:rsid w:val="5E652AF0"/>
    <w:rsid w:val="5E7E66CC"/>
    <w:rsid w:val="5EAD1B65"/>
    <w:rsid w:val="5EC40FB0"/>
    <w:rsid w:val="5F3E4661"/>
    <w:rsid w:val="5F4B592A"/>
    <w:rsid w:val="5F8178DC"/>
    <w:rsid w:val="5FB57ED6"/>
    <w:rsid w:val="5FE72220"/>
    <w:rsid w:val="5FEB16DA"/>
    <w:rsid w:val="60335C04"/>
    <w:rsid w:val="60622CAB"/>
    <w:rsid w:val="60962F5C"/>
    <w:rsid w:val="60BF7696"/>
    <w:rsid w:val="60F56E6B"/>
    <w:rsid w:val="612775D5"/>
    <w:rsid w:val="614537E2"/>
    <w:rsid w:val="615E4B85"/>
    <w:rsid w:val="61663592"/>
    <w:rsid w:val="61BF2627"/>
    <w:rsid w:val="61D36783"/>
    <w:rsid w:val="61F51F86"/>
    <w:rsid w:val="61FC1234"/>
    <w:rsid w:val="638E5312"/>
    <w:rsid w:val="64037861"/>
    <w:rsid w:val="642B56D4"/>
    <w:rsid w:val="65616A00"/>
    <w:rsid w:val="656769E4"/>
    <w:rsid w:val="65A80E7C"/>
    <w:rsid w:val="65F356DB"/>
    <w:rsid w:val="665F1D29"/>
    <w:rsid w:val="66D27127"/>
    <w:rsid w:val="66D32F32"/>
    <w:rsid w:val="66FA049F"/>
    <w:rsid w:val="67594C42"/>
    <w:rsid w:val="67844276"/>
    <w:rsid w:val="67CE24A0"/>
    <w:rsid w:val="67D6167F"/>
    <w:rsid w:val="681807F1"/>
    <w:rsid w:val="689A7D7C"/>
    <w:rsid w:val="68AE0286"/>
    <w:rsid w:val="68CD291B"/>
    <w:rsid w:val="68FE724D"/>
    <w:rsid w:val="6911655B"/>
    <w:rsid w:val="696C5B9A"/>
    <w:rsid w:val="69896926"/>
    <w:rsid w:val="699A273E"/>
    <w:rsid w:val="699F1DE6"/>
    <w:rsid w:val="69C35E42"/>
    <w:rsid w:val="69DF1BBD"/>
    <w:rsid w:val="6A5252CB"/>
    <w:rsid w:val="6A525859"/>
    <w:rsid w:val="6A780AF1"/>
    <w:rsid w:val="6A790462"/>
    <w:rsid w:val="6A843F80"/>
    <w:rsid w:val="6B782617"/>
    <w:rsid w:val="6B9C55A4"/>
    <w:rsid w:val="6BB23942"/>
    <w:rsid w:val="6BEC692F"/>
    <w:rsid w:val="6C0F4C50"/>
    <w:rsid w:val="6C802816"/>
    <w:rsid w:val="6CE12366"/>
    <w:rsid w:val="6D0B321A"/>
    <w:rsid w:val="6D172DF6"/>
    <w:rsid w:val="6D3C2A59"/>
    <w:rsid w:val="6D4B22D4"/>
    <w:rsid w:val="6D7C7E63"/>
    <w:rsid w:val="6DD65818"/>
    <w:rsid w:val="6DF24FCE"/>
    <w:rsid w:val="6E050498"/>
    <w:rsid w:val="6E766C27"/>
    <w:rsid w:val="6EB21AC0"/>
    <w:rsid w:val="6F5E7A6C"/>
    <w:rsid w:val="703A7C59"/>
    <w:rsid w:val="705E05FE"/>
    <w:rsid w:val="70E2218B"/>
    <w:rsid w:val="71373EC6"/>
    <w:rsid w:val="716E1336"/>
    <w:rsid w:val="71EF231D"/>
    <w:rsid w:val="727C25B4"/>
    <w:rsid w:val="72A827A3"/>
    <w:rsid w:val="72C61AD5"/>
    <w:rsid w:val="72E55BBB"/>
    <w:rsid w:val="732E5CD0"/>
    <w:rsid w:val="73367486"/>
    <w:rsid w:val="73DA2598"/>
    <w:rsid w:val="741113F0"/>
    <w:rsid w:val="74236FBB"/>
    <w:rsid w:val="745C357F"/>
    <w:rsid w:val="747700C8"/>
    <w:rsid w:val="74A2452F"/>
    <w:rsid w:val="752F21C4"/>
    <w:rsid w:val="75A0561E"/>
    <w:rsid w:val="75F266DC"/>
    <w:rsid w:val="76134D68"/>
    <w:rsid w:val="764C6B3A"/>
    <w:rsid w:val="76F6100C"/>
    <w:rsid w:val="77075213"/>
    <w:rsid w:val="770A68C3"/>
    <w:rsid w:val="77175831"/>
    <w:rsid w:val="776F1F8F"/>
    <w:rsid w:val="778755F9"/>
    <w:rsid w:val="77C67359"/>
    <w:rsid w:val="77E975A9"/>
    <w:rsid w:val="780D1C07"/>
    <w:rsid w:val="787D6BE3"/>
    <w:rsid w:val="78A54F1A"/>
    <w:rsid w:val="79214D76"/>
    <w:rsid w:val="79330721"/>
    <w:rsid w:val="79D73A45"/>
    <w:rsid w:val="79EF058D"/>
    <w:rsid w:val="7A930A2D"/>
    <w:rsid w:val="7B2C32A9"/>
    <w:rsid w:val="7B3F72ED"/>
    <w:rsid w:val="7BA14A51"/>
    <w:rsid w:val="7C0C3E62"/>
    <w:rsid w:val="7C3D1CA1"/>
    <w:rsid w:val="7D152A5C"/>
    <w:rsid w:val="7D426438"/>
    <w:rsid w:val="7D454AC9"/>
    <w:rsid w:val="7DB326AF"/>
    <w:rsid w:val="7DBE1C4F"/>
    <w:rsid w:val="7E463E17"/>
    <w:rsid w:val="7E7027A3"/>
    <w:rsid w:val="7E7A00F0"/>
    <w:rsid w:val="7E8248C8"/>
    <w:rsid w:val="7EA2041B"/>
    <w:rsid w:val="7EB75B40"/>
    <w:rsid w:val="7F137166"/>
    <w:rsid w:val="7F1F4BC0"/>
    <w:rsid w:val="7F33644D"/>
    <w:rsid w:val="7FEA488D"/>
    <w:rsid w:val="7FEA6E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spacing w:line="340" w:lineRule="exact"/>
      <w:outlineLvl w:val="0"/>
    </w:pPr>
    <w:rPr>
      <w:b/>
      <w:bCs/>
    </w:rPr>
  </w:style>
  <w:style w:type="paragraph" w:styleId="4">
    <w:name w:val="heading 2"/>
    <w:basedOn w:val="1"/>
    <w:next w:val="1"/>
    <w:link w:val="6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82"/>
    <w:qFormat/>
    <w:uiPriority w:val="0"/>
    <w:pPr>
      <w:keepNext/>
      <w:keepLines/>
      <w:spacing w:before="260" w:after="260" w:line="416" w:lineRule="auto"/>
      <w:outlineLvl w:val="2"/>
    </w:pPr>
    <w:rPr>
      <w:b/>
      <w:bCs/>
      <w:sz w:val="32"/>
      <w:szCs w:val="32"/>
    </w:rPr>
  </w:style>
  <w:style w:type="paragraph" w:styleId="6">
    <w:name w:val="heading 4"/>
    <w:basedOn w:val="1"/>
    <w:next w:val="1"/>
    <w:link w:val="68"/>
    <w:qFormat/>
    <w:uiPriority w:val="0"/>
    <w:pPr>
      <w:keepNext/>
      <w:keepLines/>
      <w:numPr>
        <w:ilvl w:val="3"/>
        <w:numId w:val="1"/>
      </w:numPr>
      <w:spacing w:before="280" w:after="290" w:line="376" w:lineRule="auto"/>
      <w:outlineLvl w:val="3"/>
    </w:pPr>
    <w:rPr>
      <w:rFonts w:ascii="宋体" w:hAnsi="Arial" w:eastAsia="黑体"/>
      <w:b/>
      <w:sz w:val="24"/>
      <w:szCs w:val="20"/>
    </w:rPr>
  </w:style>
  <w:style w:type="paragraph" w:styleId="7">
    <w:name w:val="heading 5"/>
    <w:basedOn w:val="1"/>
    <w:next w:val="8"/>
    <w:link w:val="101"/>
    <w:qFormat/>
    <w:uiPriority w:val="0"/>
    <w:pPr>
      <w:keepNext/>
      <w:keepLines/>
      <w:numPr>
        <w:ilvl w:val="4"/>
        <w:numId w:val="1"/>
      </w:numPr>
      <w:spacing w:before="280" w:after="290" w:line="376" w:lineRule="auto"/>
      <w:outlineLvl w:val="4"/>
    </w:pPr>
    <w:rPr>
      <w:b/>
      <w:sz w:val="28"/>
      <w:szCs w:val="20"/>
    </w:rPr>
  </w:style>
  <w:style w:type="paragraph" w:styleId="9">
    <w:name w:val="heading 6"/>
    <w:basedOn w:val="1"/>
    <w:next w:val="8"/>
    <w:link w:val="92"/>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10">
    <w:name w:val="heading 7"/>
    <w:basedOn w:val="1"/>
    <w:next w:val="8"/>
    <w:link w:val="75"/>
    <w:qFormat/>
    <w:uiPriority w:val="0"/>
    <w:pPr>
      <w:keepNext/>
      <w:keepLines/>
      <w:numPr>
        <w:ilvl w:val="6"/>
        <w:numId w:val="1"/>
      </w:numPr>
      <w:spacing w:before="240" w:after="64" w:line="320" w:lineRule="auto"/>
      <w:outlineLvl w:val="6"/>
    </w:pPr>
    <w:rPr>
      <w:b/>
      <w:sz w:val="24"/>
      <w:szCs w:val="20"/>
    </w:rPr>
  </w:style>
  <w:style w:type="paragraph" w:styleId="11">
    <w:name w:val="heading 8"/>
    <w:basedOn w:val="1"/>
    <w:next w:val="8"/>
    <w:link w:val="87"/>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2">
    <w:name w:val="heading 9"/>
    <w:basedOn w:val="1"/>
    <w:next w:val="8"/>
    <w:link w:val="99"/>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5"/>
    <w:qFormat/>
    <w:uiPriority w:val="0"/>
    <w:pPr>
      <w:tabs>
        <w:tab w:val="center" w:pos="4153"/>
        <w:tab w:val="right" w:pos="8306"/>
      </w:tabs>
      <w:snapToGrid w:val="0"/>
      <w:jc w:val="left"/>
    </w:pPr>
    <w:rPr>
      <w:rFonts w:ascii="宋体" w:hAnsi="Courier New"/>
      <w:sz w:val="18"/>
      <w:szCs w:val="20"/>
    </w:rPr>
  </w:style>
  <w:style w:type="paragraph" w:styleId="8">
    <w:name w:val="Normal Indent"/>
    <w:basedOn w:val="1"/>
    <w:link w:val="55"/>
    <w:qFormat/>
    <w:uiPriority w:val="0"/>
    <w:pPr>
      <w:ind w:firstLine="420"/>
    </w:pPr>
    <w:rPr>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70"/>
    <w:qFormat/>
    <w:uiPriority w:val="0"/>
    <w:pPr>
      <w:shd w:val="clear" w:color="auto" w:fill="000080"/>
    </w:pPr>
  </w:style>
  <w:style w:type="paragraph" w:styleId="15">
    <w:name w:val="annotation text"/>
    <w:basedOn w:val="1"/>
    <w:link w:val="73"/>
    <w:qFormat/>
    <w:uiPriority w:val="99"/>
    <w:pPr>
      <w:jc w:val="left"/>
    </w:pPr>
  </w:style>
  <w:style w:type="paragraph" w:styleId="16">
    <w:name w:val="Body Text 3"/>
    <w:basedOn w:val="1"/>
    <w:link w:val="77"/>
    <w:qFormat/>
    <w:uiPriority w:val="0"/>
    <w:pPr>
      <w:spacing w:line="500" w:lineRule="exact"/>
    </w:pPr>
    <w:rPr>
      <w:b/>
      <w:bCs/>
      <w:kern w:val="0"/>
      <w:sz w:val="24"/>
    </w:rPr>
  </w:style>
  <w:style w:type="paragraph" w:styleId="17">
    <w:name w:val="Body Text"/>
    <w:basedOn w:val="1"/>
    <w:link w:val="78"/>
    <w:qFormat/>
    <w:uiPriority w:val="0"/>
    <w:pPr>
      <w:autoSpaceDE w:val="0"/>
      <w:autoSpaceDN w:val="0"/>
      <w:adjustRightInd w:val="0"/>
      <w:spacing w:after="120"/>
      <w:jc w:val="left"/>
    </w:pPr>
    <w:rPr>
      <w:rFonts w:ascii="宋体"/>
      <w:kern w:val="0"/>
      <w:sz w:val="34"/>
      <w:szCs w:val="20"/>
    </w:rPr>
  </w:style>
  <w:style w:type="paragraph" w:styleId="18">
    <w:name w:val="Body Text Indent"/>
    <w:basedOn w:val="1"/>
    <w:link w:val="71"/>
    <w:qFormat/>
    <w:uiPriority w:val="0"/>
    <w:pPr>
      <w:spacing w:line="200" w:lineRule="exact"/>
      <w:ind w:firstLine="301"/>
    </w:pPr>
    <w:rPr>
      <w:rFonts w:ascii="宋体" w:hAnsi="Courier New"/>
      <w:spacing w:val="-4"/>
      <w:sz w:val="18"/>
      <w:szCs w:val="20"/>
    </w:rPr>
  </w:style>
  <w:style w:type="paragraph" w:styleId="19">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20">
    <w:name w:val="Plain Text"/>
    <w:basedOn w:val="1"/>
    <w:link w:val="57"/>
    <w:qFormat/>
    <w:uiPriority w:val="0"/>
    <w:rPr>
      <w:rFonts w:ascii="宋体" w:hAnsi="Courier New"/>
      <w:szCs w:val="20"/>
    </w:rPr>
  </w:style>
  <w:style w:type="paragraph" w:styleId="21">
    <w:name w:val="Date"/>
    <w:basedOn w:val="1"/>
    <w:next w:val="1"/>
    <w:link w:val="64"/>
    <w:qFormat/>
    <w:uiPriority w:val="0"/>
    <w:pPr>
      <w:ind w:left="100" w:leftChars="2500"/>
    </w:pPr>
    <w:rPr>
      <w:spacing w:val="30"/>
      <w:sz w:val="28"/>
    </w:rPr>
  </w:style>
  <w:style w:type="paragraph" w:styleId="22">
    <w:name w:val="Body Text Indent 2"/>
    <w:basedOn w:val="1"/>
    <w:link w:val="62"/>
    <w:qFormat/>
    <w:uiPriority w:val="0"/>
    <w:pPr>
      <w:spacing w:line="400" w:lineRule="exact"/>
      <w:ind w:firstLine="480"/>
    </w:pPr>
  </w:style>
  <w:style w:type="paragraph" w:styleId="23">
    <w:name w:val="Balloon Text"/>
    <w:basedOn w:val="1"/>
    <w:link w:val="54"/>
    <w:qFormat/>
    <w:uiPriority w:val="0"/>
    <w:rPr>
      <w:sz w:val="18"/>
      <w:szCs w:val="18"/>
    </w:rPr>
  </w:style>
  <w:style w:type="paragraph" w:styleId="24">
    <w:name w:val="header"/>
    <w:basedOn w:val="1"/>
    <w:link w:val="72"/>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25">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6">
    <w:name w:val="Body Text Indent 3"/>
    <w:basedOn w:val="1"/>
    <w:link w:val="97"/>
    <w:qFormat/>
    <w:uiPriority w:val="0"/>
    <w:pPr>
      <w:spacing w:line="360" w:lineRule="auto"/>
      <w:ind w:firstLine="359" w:firstLineChars="171"/>
    </w:pPr>
  </w:style>
  <w:style w:type="paragraph" w:styleId="2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8">
    <w:name w:val="Body Text 2"/>
    <w:basedOn w:val="1"/>
    <w:link w:val="85"/>
    <w:qFormat/>
    <w:uiPriority w:val="0"/>
    <w:pPr>
      <w:spacing w:after="120" w:line="480" w:lineRule="auto"/>
    </w:pPr>
    <w:rPr>
      <w:kern w:val="0"/>
      <w:sz w:val="20"/>
    </w:rPr>
  </w:style>
  <w:style w:type="paragraph" w:styleId="29">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0">
    <w:name w:val="Normal (Web)"/>
    <w:basedOn w:val="1"/>
    <w:qFormat/>
    <w:uiPriority w:val="0"/>
    <w:pPr>
      <w:spacing w:before="100" w:beforeAutospacing="1" w:after="100" w:afterAutospacing="1"/>
      <w:jc w:val="left"/>
    </w:pPr>
    <w:rPr>
      <w:kern w:val="0"/>
      <w:sz w:val="24"/>
    </w:rPr>
  </w:style>
  <w:style w:type="paragraph" w:styleId="31">
    <w:name w:val="index 1"/>
    <w:basedOn w:val="1"/>
    <w:next w:val="1"/>
    <w:qFormat/>
    <w:uiPriority w:val="0"/>
    <w:pPr>
      <w:spacing w:line="360" w:lineRule="exact"/>
      <w:ind w:firstLine="432" w:firstLineChars="240"/>
    </w:pPr>
    <w:rPr>
      <w:rFonts w:ascii="宋体" w:hAnsi="宋体"/>
      <w:bCs/>
      <w:sz w:val="18"/>
      <w:szCs w:val="18"/>
    </w:rPr>
  </w:style>
  <w:style w:type="paragraph" w:styleId="32">
    <w:name w:val="Title"/>
    <w:basedOn w:val="1"/>
    <w:link w:val="84"/>
    <w:qFormat/>
    <w:uiPriority w:val="0"/>
    <w:pPr>
      <w:spacing w:before="240" w:after="60"/>
      <w:jc w:val="center"/>
      <w:outlineLvl w:val="0"/>
    </w:pPr>
    <w:rPr>
      <w:rFonts w:ascii="Arial" w:hAnsi="Arial" w:cs="Arial"/>
      <w:b/>
      <w:bCs/>
      <w:sz w:val="32"/>
      <w:szCs w:val="32"/>
    </w:rPr>
  </w:style>
  <w:style w:type="paragraph" w:styleId="33">
    <w:name w:val="annotation subject"/>
    <w:basedOn w:val="15"/>
    <w:next w:val="15"/>
    <w:link w:val="81"/>
    <w:qFormat/>
    <w:uiPriority w:val="0"/>
    <w:rPr>
      <w:rFonts w:ascii="Calibri" w:hAnsi="Calibri"/>
      <w:b/>
      <w:bCs/>
    </w:rPr>
  </w:style>
  <w:style w:type="paragraph" w:styleId="34">
    <w:name w:val="Body Text First Indent 2"/>
    <w:basedOn w:val="18"/>
    <w:link w:val="91"/>
    <w:qFormat/>
    <w:uiPriority w:val="0"/>
    <w:pPr>
      <w:spacing w:after="120" w:line="240" w:lineRule="auto"/>
      <w:ind w:left="420" w:leftChars="200" w:firstLine="420" w:firstLineChars="200"/>
    </w:pPr>
    <w:rPr>
      <w:szCs w:val="24"/>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basedOn w:val="37"/>
    <w:qFormat/>
    <w:uiPriority w:val="0"/>
    <w:rPr>
      <w:color w:val="800080"/>
      <w:u w:val="none"/>
    </w:rPr>
  </w:style>
  <w:style w:type="character" w:styleId="41">
    <w:name w:val="Emphasis"/>
    <w:qFormat/>
    <w:uiPriority w:val="0"/>
  </w:style>
  <w:style w:type="character" w:styleId="42">
    <w:name w:val="HTML Definition"/>
    <w:basedOn w:val="37"/>
    <w:semiHidden/>
    <w:unhideWhenUsed/>
    <w:qFormat/>
    <w:uiPriority w:val="99"/>
  </w:style>
  <w:style w:type="character" w:styleId="43">
    <w:name w:val="HTML Typewriter"/>
    <w:basedOn w:val="37"/>
    <w:semiHidden/>
    <w:unhideWhenUsed/>
    <w:qFormat/>
    <w:uiPriority w:val="99"/>
    <w:rPr>
      <w:rFonts w:ascii="monospace" w:hAnsi="monospace" w:eastAsia="monospace" w:cs="monospace"/>
      <w:sz w:val="20"/>
    </w:rPr>
  </w:style>
  <w:style w:type="character" w:styleId="44">
    <w:name w:val="HTML Acronym"/>
    <w:basedOn w:val="37"/>
    <w:semiHidden/>
    <w:unhideWhenUsed/>
    <w:qFormat/>
    <w:uiPriority w:val="99"/>
  </w:style>
  <w:style w:type="character" w:styleId="45">
    <w:name w:val="HTML Variable"/>
    <w:basedOn w:val="37"/>
    <w:semiHidden/>
    <w:unhideWhenUsed/>
    <w:qFormat/>
    <w:uiPriority w:val="99"/>
  </w:style>
  <w:style w:type="character" w:styleId="46">
    <w:name w:val="Hyperlink"/>
    <w:basedOn w:val="37"/>
    <w:qFormat/>
    <w:uiPriority w:val="99"/>
    <w:rPr>
      <w:color w:val="0000FF"/>
      <w:u w:val="none"/>
    </w:rPr>
  </w:style>
  <w:style w:type="character" w:styleId="47">
    <w:name w:val="HTML Code"/>
    <w:basedOn w:val="37"/>
    <w:semiHidden/>
    <w:unhideWhenUsed/>
    <w:qFormat/>
    <w:uiPriority w:val="99"/>
    <w:rPr>
      <w:rFonts w:hint="default" w:ascii="monospace" w:hAnsi="monospace" w:eastAsia="monospace" w:cs="monospace"/>
      <w:sz w:val="20"/>
    </w:rPr>
  </w:style>
  <w:style w:type="character" w:styleId="48">
    <w:name w:val="annotation reference"/>
    <w:qFormat/>
    <w:uiPriority w:val="99"/>
    <w:rPr>
      <w:sz w:val="21"/>
    </w:rPr>
  </w:style>
  <w:style w:type="character" w:styleId="49">
    <w:name w:val="HTML Cite"/>
    <w:basedOn w:val="37"/>
    <w:semiHidden/>
    <w:unhideWhenUsed/>
    <w:qFormat/>
    <w:uiPriority w:val="99"/>
  </w:style>
  <w:style w:type="character" w:styleId="50">
    <w:name w:val="HTML Keyboard"/>
    <w:basedOn w:val="37"/>
    <w:semiHidden/>
    <w:unhideWhenUsed/>
    <w:qFormat/>
    <w:uiPriority w:val="99"/>
    <w:rPr>
      <w:rFonts w:hint="default" w:ascii="monospace" w:hAnsi="monospace" w:eastAsia="monospace" w:cs="monospace"/>
      <w:sz w:val="20"/>
    </w:rPr>
  </w:style>
  <w:style w:type="character" w:styleId="51">
    <w:name w:val="HTML Sample"/>
    <w:basedOn w:val="37"/>
    <w:semiHidden/>
    <w:unhideWhenUsed/>
    <w:qFormat/>
    <w:uiPriority w:val="99"/>
    <w:rPr>
      <w:rFonts w:hint="default" w:ascii="monospace" w:hAnsi="monospace" w:eastAsia="monospace" w:cs="monospace"/>
    </w:rPr>
  </w:style>
  <w:style w:type="paragraph" w:customStyle="1" w:styleId="52">
    <w:name w:val="Heading4"/>
    <w:basedOn w:val="1"/>
    <w:next w:val="1"/>
    <w:qFormat/>
    <w:uiPriority w:val="0"/>
    <w:pPr>
      <w:ind w:left="1232"/>
      <w:textAlignment w:val="baseline"/>
    </w:pPr>
    <w:rPr>
      <w:rFonts w:ascii="宋体" w:hAnsi="宋体" w:cs="宋体"/>
      <w:b/>
      <w:bCs/>
      <w:sz w:val="24"/>
      <w:lang w:val="zh-CN" w:bidi="zh-CN"/>
    </w:rPr>
  </w:style>
  <w:style w:type="character" w:customStyle="1" w:styleId="53">
    <w:name w:val="纯文本 Char"/>
    <w:qFormat/>
    <w:uiPriority w:val="0"/>
    <w:rPr>
      <w:rFonts w:ascii="宋体" w:hAnsi="Courier New" w:eastAsia="宋体"/>
      <w:kern w:val="2"/>
      <w:sz w:val="21"/>
      <w:lang w:val="en-US" w:eastAsia="zh-CN" w:bidi="ar-SA"/>
    </w:rPr>
  </w:style>
  <w:style w:type="character" w:customStyle="1" w:styleId="54">
    <w:name w:val="批注框文本 字符"/>
    <w:link w:val="23"/>
    <w:qFormat/>
    <w:uiPriority w:val="0"/>
    <w:rPr>
      <w:rFonts w:eastAsia="宋体"/>
      <w:kern w:val="2"/>
      <w:sz w:val="18"/>
      <w:szCs w:val="18"/>
      <w:lang w:val="en-US" w:eastAsia="zh-CN" w:bidi="ar-SA"/>
    </w:rPr>
  </w:style>
  <w:style w:type="character" w:customStyle="1" w:styleId="55">
    <w:name w:val="正文缩进 字符"/>
    <w:link w:val="8"/>
    <w:qFormat/>
    <w:uiPriority w:val="0"/>
    <w:rPr>
      <w:rFonts w:eastAsia="宋体"/>
      <w:kern w:val="2"/>
      <w:sz w:val="21"/>
      <w:lang w:val="en-US" w:eastAsia="zh-CN" w:bidi="ar-SA"/>
    </w:rPr>
  </w:style>
  <w:style w:type="character" w:customStyle="1" w:styleId="56">
    <w:name w:val="apple-style-span"/>
    <w:basedOn w:val="37"/>
    <w:qFormat/>
    <w:uiPriority w:val="0"/>
  </w:style>
  <w:style w:type="character" w:customStyle="1" w:styleId="57">
    <w:name w:val="纯文本 字符1"/>
    <w:link w:val="20"/>
    <w:qFormat/>
    <w:uiPriority w:val="0"/>
    <w:rPr>
      <w:rFonts w:ascii="宋体" w:hAnsi="Courier New" w:eastAsia="宋体"/>
      <w:kern w:val="2"/>
      <w:sz w:val="21"/>
      <w:lang w:val="en-US" w:eastAsia="zh-CN" w:bidi="ar-SA"/>
    </w:rPr>
  </w:style>
  <w:style w:type="character" w:customStyle="1" w:styleId="58">
    <w:name w:val="普通文字 Char Char1"/>
    <w:qFormat/>
    <w:uiPriority w:val="0"/>
    <w:rPr>
      <w:rFonts w:ascii="宋体" w:hAnsi="Courier New" w:eastAsia="宋体"/>
      <w:kern w:val="2"/>
      <w:sz w:val="21"/>
      <w:lang w:val="en-US" w:eastAsia="zh-CN" w:bidi="ar-SA"/>
    </w:rPr>
  </w:style>
  <w:style w:type="character" w:customStyle="1" w:styleId="59">
    <w:name w:val="Char Char2"/>
    <w:qFormat/>
    <w:uiPriority w:val="0"/>
    <w:rPr>
      <w:rFonts w:ascii="宋体" w:hAnsi="Courier New" w:eastAsia="宋体"/>
      <w:spacing w:val="-4"/>
      <w:kern w:val="2"/>
      <w:sz w:val="18"/>
      <w:lang w:val="en-US" w:eastAsia="zh-CN" w:bidi="ar-SA"/>
    </w:rPr>
  </w:style>
  <w:style w:type="character" w:customStyle="1" w:styleId="60">
    <w:name w:val="标题 2 字符"/>
    <w:link w:val="4"/>
    <w:qFormat/>
    <w:uiPriority w:val="0"/>
    <w:rPr>
      <w:rFonts w:ascii="Arial" w:hAnsi="Arial" w:eastAsia="黑体"/>
      <w:b/>
      <w:bCs/>
      <w:kern w:val="2"/>
      <w:sz w:val="32"/>
      <w:szCs w:val="32"/>
      <w:lang w:val="en-US" w:eastAsia="zh-CN" w:bidi="ar-SA"/>
    </w:rPr>
  </w:style>
  <w:style w:type="character" w:customStyle="1" w:styleId="61">
    <w:name w:val="style51"/>
    <w:basedOn w:val="37"/>
    <w:qFormat/>
    <w:uiPriority w:val="0"/>
  </w:style>
  <w:style w:type="character" w:customStyle="1" w:styleId="62">
    <w:name w:val="正文文本缩进 2 字符"/>
    <w:link w:val="22"/>
    <w:qFormat/>
    <w:uiPriority w:val="0"/>
    <w:rPr>
      <w:rFonts w:eastAsia="宋体"/>
      <w:kern w:val="2"/>
      <w:sz w:val="21"/>
      <w:szCs w:val="24"/>
      <w:lang w:val="en-US" w:eastAsia="zh-CN" w:bidi="ar-SA"/>
    </w:rPr>
  </w:style>
  <w:style w:type="character" w:customStyle="1" w:styleId="63">
    <w:name w:val="标题 1 字符"/>
    <w:link w:val="3"/>
    <w:qFormat/>
    <w:uiPriority w:val="0"/>
    <w:rPr>
      <w:rFonts w:eastAsia="宋体"/>
      <w:b/>
      <w:bCs/>
      <w:kern w:val="2"/>
      <w:sz w:val="21"/>
      <w:szCs w:val="24"/>
      <w:lang w:val="en-US" w:eastAsia="zh-CN" w:bidi="ar-SA"/>
    </w:rPr>
  </w:style>
  <w:style w:type="character" w:customStyle="1" w:styleId="64">
    <w:name w:val="日期 字符"/>
    <w:link w:val="21"/>
    <w:qFormat/>
    <w:uiPriority w:val="0"/>
    <w:rPr>
      <w:rFonts w:eastAsia="宋体"/>
      <w:spacing w:val="30"/>
      <w:kern w:val="2"/>
      <w:sz w:val="28"/>
      <w:szCs w:val="24"/>
      <w:lang w:val="en-US" w:eastAsia="zh-CN" w:bidi="ar-SA"/>
    </w:rPr>
  </w:style>
  <w:style w:type="character" w:customStyle="1" w:styleId="65">
    <w:name w:val="页脚 字符"/>
    <w:link w:val="2"/>
    <w:qFormat/>
    <w:uiPriority w:val="0"/>
    <w:rPr>
      <w:rFonts w:ascii="宋体" w:hAnsi="Courier New" w:eastAsia="宋体"/>
      <w:kern w:val="2"/>
      <w:sz w:val="18"/>
      <w:lang w:val="en-US" w:eastAsia="zh-CN" w:bidi="ar-SA"/>
    </w:rPr>
  </w:style>
  <w:style w:type="character" w:customStyle="1" w:styleId="66">
    <w:name w:val="列出段落 字符"/>
    <w:link w:val="67"/>
    <w:qFormat/>
    <w:uiPriority w:val="0"/>
    <w:rPr>
      <w:rFonts w:eastAsia="宋体"/>
      <w:kern w:val="2"/>
      <w:sz w:val="21"/>
      <w:szCs w:val="24"/>
      <w:lang w:val="en-US" w:eastAsia="zh-CN" w:bidi="ar-SA"/>
    </w:rPr>
  </w:style>
  <w:style w:type="paragraph" w:styleId="67">
    <w:name w:val="List Paragraph"/>
    <w:basedOn w:val="1"/>
    <w:link w:val="66"/>
    <w:qFormat/>
    <w:uiPriority w:val="0"/>
    <w:pPr>
      <w:ind w:firstLine="420" w:firstLineChars="200"/>
    </w:pPr>
  </w:style>
  <w:style w:type="character" w:customStyle="1" w:styleId="68">
    <w:name w:val="标题 4 字符"/>
    <w:link w:val="6"/>
    <w:qFormat/>
    <w:uiPriority w:val="0"/>
    <w:rPr>
      <w:rFonts w:ascii="宋体" w:hAnsi="Arial" w:eastAsia="黑体"/>
      <w:b/>
      <w:kern w:val="2"/>
      <w:sz w:val="24"/>
      <w:lang w:val="en-US" w:eastAsia="zh-CN" w:bidi="ar-SA"/>
    </w:rPr>
  </w:style>
  <w:style w:type="character" w:customStyle="1" w:styleId="69">
    <w:name w:val="style31"/>
    <w:qFormat/>
    <w:uiPriority w:val="0"/>
    <w:rPr>
      <w:sz w:val="18"/>
      <w:szCs w:val="18"/>
    </w:rPr>
  </w:style>
  <w:style w:type="character" w:customStyle="1" w:styleId="70">
    <w:name w:val="文档结构图 字符"/>
    <w:link w:val="14"/>
    <w:qFormat/>
    <w:uiPriority w:val="0"/>
    <w:rPr>
      <w:rFonts w:eastAsia="宋体"/>
      <w:kern w:val="2"/>
      <w:sz w:val="21"/>
      <w:szCs w:val="24"/>
      <w:lang w:val="en-US" w:eastAsia="zh-CN" w:bidi="ar-SA"/>
    </w:rPr>
  </w:style>
  <w:style w:type="character" w:customStyle="1" w:styleId="71">
    <w:name w:val="正文文本缩进 字符"/>
    <w:link w:val="18"/>
    <w:qFormat/>
    <w:uiPriority w:val="0"/>
    <w:rPr>
      <w:rFonts w:ascii="宋体" w:hAnsi="Courier New" w:eastAsia="宋体"/>
      <w:spacing w:val="-4"/>
      <w:kern w:val="2"/>
      <w:sz w:val="18"/>
      <w:lang w:val="en-US" w:eastAsia="zh-CN" w:bidi="ar-SA"/>
    </w:rPr>
  </w:style>
  <w:style w:type="character" w:customStyle="1" w:styleId="72">
    <w:name w:val="页眉 字符"/>
    <w:link w:val="24"/>
    <w:qFormat/>
    <w:uiPriority w:val="99"/>
    <w:rPr>
      <w:rFonts w:ascii="宋体" w:hAnsi="Courier New" w:eastAsia="宋体"/>
      <w:kern w:val="2"/>
      <w:sz w:val="18"/>
      <w:lang w:val="en-US" w:eastAsia="zh-CN" w:bidi="ar-SA"/>
    </w:rPr>
  </w:style>
  <w:style w:type="character" w:customStyle="1" w:styleId="73">
    <w:name w:val="批注文字 字符"/>
    <w:link w:val="15"/>
    <w:qFormat/>
    <w:uiPriority w:val="99"/>
    <w:rPr>
      <w:rFonts w:eastAsia="宋体"/>
      <w:kern w:val="2"/>
      <w:sz w:val="21"/>
      <w:szCs w:val="24"/>
      <w:lang w:val="en-US" w:eastAsia="zh-CN" w:bidi="ar-SA"/>
    </w:rPr>
  </w:style>
  <w:style w:type="character" w:customStyle="1" w:styleId="74">
    <w:name w:val="textcontents"/>
    <w:basedOn w:val="37"/>
    <w:qFormat/>
    <w:uiPriority w:val="0"/>
  </w:style>
  <w:style w:type="character" w:customStyle="1" w:styleId="75">
    <w:name w:val="标题 7 字符"/>
    <w:link w:val="10"/>
    <w:qFormat/>
    <w:uiPriority w:val="0"/>
    <w:rPr>
      <w:rFonts w:eastAsia="宋体"/>
      <w:b/>
      <w:kern w:val="2"/>
      <w:sz w:val="24"/>
      <w:lang w:val="en-US" w:eastAsia="zh-CN" w:bidi="ar-SA"/>
    </w:rPr>
  </w:style>
  <w:style w:type="character" w:customStyle="1" w:styleId="76">
    <w:name w:val="HTML 预设格式 字符"/>
    <w:link w:val="29"/>
    <w:qFormat/>
    <w:uiPriority w:val="0"/>
    <w:rPr>
      <w:rFonts w:ascii="黑体" w:hAnsi="Courier New" w:eastAsia="黑体" w:cs="Courier New"/>
      <w:lang w:val="en-US" w:eastAsia="zh-CN" w:bidi="ar-SA"/>
    </w:rPr>
  </w:style>
  <w:style w:type="character" w:customStyle="1" w:styleId="77">
    <w:name w:val="正文文本 3 字符"/>
    <w:link w:val="16"/>
    <w:qFormat/>
    <w:uiPriority w:val="0"/>
    <w:rPr>
      <w:b/>
      <w:bCs/>
      <w:sz w:val="24"/>
      <w:szCs w:val="24"/>
      <w:lang w:bidi="ar-SA"/>
    </w:rPr>
  </w:style>
  <w:style w:type="character" w:customStyle="1" w:styleId="78">
    <w:name w:val="正文文本 字符"/>
    <w:link w:val="17"/>
    <w:qFormat/>
    <w:uiPriority w:val="0"/>
    <w:rPr>
      <w:rFonts w:ascii="宋体" w:eastAsia="宋体"/>
      <w:sz w:val="34"/>
      <w:lang w:val="en-US" w:eastAsia="zh-CN" w:bidi="ar-SA"/>
    </w:rPr>
  </w:style>
  <w:style w:type="character" w:customStyle="1" w:styleId="79">
    <w:name w:val="1051"/>
    <w:qFormat/>
    <w:uiPriority w:val="0"/>
    <w:rPr>
      <w:sz w:val="21"/>
      <w:szCs w:val="21"/>
    </w:rPr>
  </w:style>
  <w:style w:type="character" w:customStyle="1" w:styleId="80">
    <w:name w:val="mark"/>
    <w:basedOn w:val="37"/>
    <w:qFormat/>
    <w:uiPriority w:val="0"/>
  </w:style>
  <w:style w:type="character" w:customStyle="1" w:styleId="81">
    <w:name w:val="批注主题 字符"/>
    <w:link w:val="33"/>
    <w:qFormat/>
    <w:uiPriority w:val="0"/>
    <w:rPr>
      <w:rFonts w:ascii="Calibri" w:hAnsi="Calibri" w:eastAsia="宋体"/>
      <w:b/>
      <w:bCs/>
      <w:kern w:val="2"/>
      <w:sz w:val="21"/>
      <w:szCs w:val="24"/>
      <w:lang w:val="en-US" w:eastAsia="zh-CN" w:bidi="ar-SA"/>
    </w:rPr>
  </w:style>
  <w:style w:type="character" w:customStyle="1" w:styleId="82">
    <w:name w:val="标题 3 字符"/>
    <w:link w:val="5"/>
    <w:qFormat/>
    <w:uiPriority w:val="0"/>
    <w:rPr>
      <w:rFonts w:eastAsia="宋体"/>
      <w:b/>
      <w:bCs/>
      <w:kern w:val="2"/>
      <w:sz w:val="32"/>
      <w:szCs w:val="32"/>
      <w:lang w:val="en-US" w:eastAsia="zh-CN" w:bidi="ar-SA"/>
    </w:rPr>
  </w:style>
  <w:style w:type="character" w:customStyle="1" w:styleId="83">
    <w:name w:val="f141"/>
    <w:qFormat/>
    <w:uiPriority w:val="0"/>
    <w:rPr>
      <w:sz w:val="21"/>
      <w:szCs w:val="21"/>
    </w:rPr>
  </w:style>
  <w:style w:type="character" w:customStyle="1" w:styleId="84">
    <w:name w:val="标题 字符"/>
    <w:link w:val="32"/>
    <w:qFormat/>
    <w:uiPriority w:val="0"/>
    <w:rPr>
      <w:rFonts w:ascii="Arial" w:hAnsi="Arial" w:eastAsia="宋体" w:cs="Arial"/>
      <w:b/>
      <w:bCs/>
      <w:kern w:val="2"/>
      <w:sz w:val="32"/>
      <w:szCs w:val="32"/>
      <w:lang w:val="en-US" w:eastAsia="zh-CN" w:bidi="ar-SA"/>
    </w:rPr>
  </w:style>
  <w:style w:type="character" w:customStyle="1" w:styleId="85">
    <w:name w:val="正文文本 2 字符"/>
    <w:link w:val="28"/>
    <w:qFormat/>
    <w:uiPriority w:val="0"/>
    <w:rPr>
      <w:szCs w:val="24"/>
      <w:lang w:bidi="ar-SA"/>
    </w:rPr>
  </w:style>
  <w:style w:type="character" w:customStyle="1" w:styleId="86">
    <w:name w:val="纯文本 字符"/>
    <w:qFormat/>
    <w:uiPriority w:val="0"/>
    <w:rPr>
      <w:rFonts w:ascii="宋体" w:hAnsi="Courier New" w:eastAsia="宋体"/>
      <w:kern w:val="2"/>
      <w:sz w:val="21"/>
      <w:lang w:val="en-US" w:eastAsia="zh-CN" w:bidi="ar-SA"/>
    </w:rPr>
  </w:style>
  <w:style w:type="character" w:customStyle="1" w:styleId="87">
    <w:name w:val="标题 8 字符"/>
    <w:link w:val="11"/>
    <w:qFormat/>
    <w:uiPriority w:val="0"/>
    <w:rPr>
      <w:rFonts w:ascii="Arial" w:hAnsi="Arial" w:eastAsia="黑体"/>
      <w:kern w:val="2"/>
      <w:sz w:val="24"/>
      <w:lang w:val="en-US" w:eastAsia="zh-CN" w:bidi="ar-SA"/>
    </w:rPr>
  </w:style>
  <w:style w:type="character" w:customStyle="1" w:styleId="88">
    <w:name w:val="Report Text Char Char"/>
    <w:link w:val="89"/>
    <w:qFormat/>
    <w:uiPriority w:val="0"/>
    <w:rPr>
      <w:rFonts w:ascii="Arial" w:hAnsi="Arial" w:eastAsia="宋体" w:cs="Tahoma"/>
      <w:kern w:val="28"/>
      <w:sz w:val="22"/>
      <w:lang w:val="en-US" w:eastAsia="zh-CN" w:bidi="ar-SA"/>
    </w:rPr>
  </w:style>
  <w:style w:type="paragraph" w:customStyle="1" w:styleId="89">
    <w:name w:val="Report Text"/>
    <w:basedOn w:val="1"/>
    <w:link w:val="88"/>
    <w:qFormat/>
    <w:uiPriority w:val="0"/>
    <w:pPr>
      <w:widowControl/>
      <w:spacing w:before="240" w:after="120"/>
      <w:ind w:left="1080"/>
    </w:pPr>
    <w:rPr>
      <w:rFonts w:ascii="Arial" w:hAnsi="Arial" w:cs="Tahoma"/>
      <w:kern w:val="28"/>
      <w:sz w:val="22"/>
      <w:szCs w:val="20"/>
    </w:rPr>
  </w:style>
  <w:style w:type="character" w:customStyle="1" w:styleId="90">
    <w:name w:val="unnamed21"/>
    <w:basedOn w:val="37"/>
    <w:qFormat/>
    <w:uiPriority w:val="0"/>
  </w:style>
  <w:style w:type="character" w:customStyle="1" w:styleId="91">
    <w:name w:val="正文首行缩进 2 字符"/>
    <w:link w:val="34"/>
    <w:qFormat/>
    <w:uiPriority w:val="0"/>
    <w:rPr>
      <w:rFonts w:ascii="宋体" w:hAnsi="Courier New" w:eastAsia="宋体"/>
      <w:spacing w:val="-4"/>
      <w:kern w:val="2"/>
      <w:sz w:val="18"/>
      <w:szCs w:val="24"/>
      <w:lang w:val="en-US" w:eastAsia="zh-CN" w:bidi="ar-SA"/>
    </w:rPr>
  </w:style>
  <w:style w:type="character" w:customStyle="1" w:styleId="92">
    <w:name w:val="标题 6 字符"/>
    <w:link w:val="9"/>
    <w:qFormat/>
    <w:uiPriority w:val="0"/>
    <w:rPr>
      <w:rFonts w:ascii="Arial" w:hAnsi="Arial" w:eastAsia="黑体"/>
      <w:b/>
      <w:kern w:val="2"/>
      <w:sz w:val="24"/>
      <w:lang w:val="en-US" w:eastAsia="zh-CN" w:bidi="ar-SA"/>
    </w:rPr>
  </w:style>
  <w:style w:type="character" w:customStyle="1" w:styleId="93">
    <w:name w:val="1ji Char Char"/>
    <w:link w:val="94"/>
    <w:qFormat/>
    <w:uiPriority w:val="0"/>
    <w:rPr>
      <w:rFonts w:ascii="宋体" w:hAnsi="宋体" w:eastAsia="宋体" w:cs="Times New Roman"/>
      <w:b/>
      <w:bCs/>
      <w:kern w:val="44"/>
      <w:sz w:val="36"/>
      <w:szCs w:val="44"/>
      <w:lang w:val="en-US" w:eastAsia="zh-CN" w:bidi="ar-SA"/>
    </w:rPr>
  </w:style>
  <w:style w:type="paragraph" w:customStyle="1" w:styleId="94">
    <w:name w:val="1ji"/>
    <w:basedOn w:val="3"/>
    <w:link w:val="93"/>
    <w:qFormat/>
    <w:uiPriority w:val="0"/>
    <w:pPr>
      <w:widowControl/>
      <w:spacing w:line="240" w:lineRule="auto"/>
      <w:jc w:val="center"/>
    </w:pPr>
    <w:rPr>
      <w:rFonts w:ascii="宋体" w:hAnsi="宋体"/>
      <w:kern w:val="44"/>
      <w:sz w:val="36"/>
      <w:szCs w:val="44"/>
    </w:rPr>
  </w:style>
  <w:style w:type="character" w:customStyle="1" w:styleId="95">
    <w:name w:val="H2 Char"/>
    <w:qFormat/>
    <w:uiPriority w:val="0"/>
    <w:rPr>
      <w:rFonts w:ascii="Arial" w:hAnsi="Arial" w:eastAsia="黑体" w:cs="Times New Roman"/>
      <w:b/>
      <w:bCs/>
      <w:sz w:val="32"/>
      <w:szCs w:val="32"/>
    </w:rPr>
  </w:style>
  <w:style w:type="character" w:customStyle="1" w:styleId="96">
    <w:name w:val="纯文本 Char Char2"/>
    <w:qFormat/>
    <w:uiPriority w:val="0"/>
    <w:rPr>
      <w:rFonts w:ascii="宋体" w:hAnsi="Courier New" w:eastAsia="宋体"/>
      <w:kern w:val="2"/>
      <w:sz w:val="21"/>
      <w:lang w:val="en-US" w:eastAsia="zh-CN" w:bidi="ar-SA"/>
    </w:rPr>
  </w:style>
  <w:style w:type="character" w:customStyle="1" w:styleId="97">
    <w:name w:val="正文文本缩进 3 字符"/>
    <w:link w:val="26"/>
    <w:qFormat/>
    <w:uiPriority w:val="0"/>
    <w:rPr>
      <w:rFonts w:eastAsia="宋体"/>
      <w:kern w:val="2"/>
      <w:sz w:val="21"/>
      <w:szCs w:val="24"/>
      <w:lang w:val="en-US" w:eastAsia="zh-CN" w:bidi="ar-SA"/>
    </w:rPr>
  </w:style>
  <w:style w:type="character" w:customStyle="1" w:styleId="98">
    <w:name w:val="Title3 Char"/>
    <w:qFormat/>
    <w:uiPriority w:val="0"/>
    <w:rPr>
      <w:rFonts w:ascii="宋体" w:hAnsi="Courier New" w:eastAsia="宋体" w:cs="Times New Roman"/>
      <w:b/>
      <w:bCs/>
      <w:sz w:val="32"/>
      <w:szCs w:val="32"/>
    </w:rPr>
  </w:style>
  <w:style w:type="character" w:customStyle="1" w:styleId="99">
    <w:name w:val="标题 9 字符"/>
    <w:link w:val="12"/>
    <w:qFormat/>
    <w:uiPriority w:val="0"/>
    <w:rPr>
      <w:rFonts w:ascii="Arial" w:hAnsi="Arial" w:eastAsia="黑体"/>
      <w:kern w:val="2"/>
      <w:sz w:val="21"/>
      <w:lang w:val="en-US" w:eastAsia="zh-CN" w:bidi="ar-SA"/>
    </w:rPr>
  </w:style>
  <w:style w:type="character" w:customStyle="1" w:styleId="100">
    <w:name w:val="H1 Char"/>
    <w:qFormat/>
    <w:uiPriority w:val="0"/>
    <w:rPr>
      <w:rFonts w:ascii="Times New Roman" w:hAnsi="Times New Roman" w:eastAsia="宋体" w:cs="Times New Roman"/>
      <w:b/>
      <w:bCs/>
      <w:kern w:val="44"/>
      <w:sz w:val="44"/>
      <w:szCs w:val="44"/>
    </w:rPr>
  </w:style>
  <w:style w:type="character" w:customStyle="1" w:styleId="101">
    <w:name w:val="标题 5 字符"/>
    <w:link w:val="7"/>
    <w:qFormat/>
    <w:uiPriority w:val="0"/>
    <w:rPr>
      <w:rFonts w:eastAsia="宋体"/>
      <w:b/>
      <w:kern w:val="2"/>
      <w:sz w:val="28"/>
      <w:lang w:val="en-US" w:eastAsia="zh-CN" w:bidi="ar-SA"/>
    </w:rPr>
  </w:style>
  <w:style w:type="character" w:customStyle="1" w:styleId="102">
    <w:name w:val="style54"/>
    <w:basedOn w:val="37"/>
    <w:qFormat/>
    <w:uiPriority w:val="0"/>
  </w:style>
  <w:style w:type="paragraph" w:customStyle="1" w:styleId="103">
    <w:name w:val="样式1"/>
    <w:basedOn w:val="1"/>
    <w:qFormat/>
    <w:uiPriority w:val="0"/>
  </w:style>
  <w:style w:type="paragraph" w:customStyle="1" w:styleId="10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05">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106">
    <w:name w:val="Char Char1 Char Char1"/>
    <w:basedOn w:val="1"/>
    <w:qFormat/>
    <w:uiPriority w:val="0"/>
    <w:rPr>
      <w:rFonts w:ascii="Tahoma" w:hAnsi="Tahoma"/>
      <w:sz w:val="24"/>
      <w:szCs w:val="20"/>
    </w:rPr>
  </w:style>
  <w:style w:type="paragraph" w:customStyle="1" w:styleId="107">
    <w:name w:val="默认段落字体 Para Char Char Char Char Char Char Char Char Char Char"/>
    <w:basedOn w:val="1"/>
    <w:qFormat/>
    <w:uiPriority w:val="0"/>
    <w:rPr>
      <w:kern w:val="0"/>
      <w:szCs w:val="20"/>
    </w:rPr>
  </w:style>
  <w:style w:type="paragraph" w:customStyle="1" w:styleId="108">
    <w:name w:val="Char"/>
    <w:basedOn w:val="14"/>
    <w:qFormat/>
    <w:uiPriority w:val="0"/>
    <w:rPr>
      <w:rFonts w:ascii="Tahoma" w:hAnsi="Tahoma"/>
      <w:sz w:val="24"/>
    </w:rPr>
  </w:style>
  <w:style w:type="paragraph" w:customStyle="1" w:styleId="109">
    <w:name w:val="Char Char Char Char Char Char Char"/>
    <w:basedOn w:val="1"/>
    <w:qFormat/>
    <w:uiPriority w:val="0"/>
  </w:style>
  <w:style w:type="paragraph" w:customStyle="1" w:styleId="110">
    <w:name w:val="列出段落1"/>
    <w:qFormat/>
    <w:uiPriority w:val="0"/>
    <w:pPr>
      <w:ind w:firstLine="420" w:firstLineChars="200"/>
    </w:pPr>
    <w:rPr>
      <w:rFonts w:ascii="Times New Roman" w:hAnsi="Times New Roman" w:eastAsia="宋体" w:cs="Times New Roman"/>
      <w:lang w:val="en-US" w:eastAsia="zh-CN" w:bidi="ar-SA"/>
    </w:rPr>
  </w:style>
  <w:style w:type="paragraph" w:customStyle="1" w:styleId="111">
    <w:name w:val="Char Char Char Char Char Char Char Char Char Char Char Char Char Char Char Char1"/>
    <w:basedOn w:val="1"/>
    <w:qFormat/>
    <w:uiPriority w:val="0"/>
    <w:pPr>
      <w:tabs>
        <w:tab w:val="left" w:pos="360"/>
      </w:tabs>
      <w:spacing w:line="360" w:lineRule="auto"/>
      <w:ind w:left="482" w:firstLine="200" w:firstLineChars="200"/>
    </w:pPr>
  </w:style>
  <w:style w:type="paragraph" w:customStyle="1" w:styleId="11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14">
    <w:name w:val="Char Char Char"/>
    <w:basedOn w:val="14"/>
    <w:qFormat/>
    <w:uiPriority w:val="0"/>
    <w:pPr>
      <w:shd w:val="clear" w:color="auto" w:fill="auto"/>
    </w:pPr>
    <w:rPr>
      <w:rFonts w:ascii="宋体" w:hAnsi="Calibri"/>
      <w:sz w:val="18"/>
      <w:szCs w:val="18"/>
    </w:rPr>
  </w:style>
  <w:style w:type="paragraph" w:customStyle="1" w:styleId="11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17">
    <w:name w:val="Char1 Char Char Char"/>
    <w:basedOn w:val="1"/>
    <w:qFormat/>
    <w:uiPriority w:val="0"/>
    <w:rPr>
      <w:rFonts w:ascii="Tahoma" w:hAnsi="Tahoma"/>
      <w:sz w:val="24"/>
      <w:szCs w:val="20"/>
    </w:rPr>
  </w:style>
  <w:style w:type="paragraph" w:customStyle="1" w:styleId="118">
    <w:name w:val="样式 正文缩进 + 首行缩进:  2 字符 段前: 0.5 行"/>
    <w:basedOn w:val="1"/>
    <w:qFormat/>
    <w:uiPriority w:val="0"/>
    <w:pPr>
      <w:spacing w:beforeLines="50" w:line="300" w:lineRule="auto"/>
      <w:ind w:firstLine="480" w:firstLineChars="200"/>
    </w:pPr>
    <w:rPr>
      <w:rFonts w:cs="宋体"/>
      <w:szCs w:val="20"/>
    </w:rPr>
  </w:style>
  <w:style w:type="paragraph" w:customStyle="1" w:styleId="119">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20">
    <w:name w:val="Char1 Char Char Char Char Char Char"/>
    <w:basedOn w:val="1"/>
    <w:qFormat/>
    <w:uiPriority w:val="0"/>
    <w:rPr>
      <w:rFonts w:ascii="Tahoma" w:hAnsi="Tahoma"/>
      <w:sz w:val="24"/>
      <w:szCs w:val="20"/>
    </w:rPr>
  </w:style>
  <w:style w:type="paragraph" w:customStyle="1" w:styleId="121">
    <w:name w:val="正文段"/>
    <w:basedOn w:val="1"/>
    <w:qFormat/>
    <w:uiPriority w:val="0"/>
    <w:pPr>
      <w:widowControl/>
      <w:snapToGrid w:val="0"/>
      <w:spacing w:afterLines="50"/>
      <w:ind w:firstLine="200" w:firstLineChars="200"/>
    </w:pPr>
    <w:rPr>
      <w:kern w:val="0"/>
      <w:sz w:val="24"/>
      <w:szCs w:val="20"/>
    </w:rPr>
  </w:style>
  <w:style w:type="paragraph" w:customStyle="1" w:styleId="12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2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24">
    <w:name w:val="1"/>
    <w:basedOn w:val="1"/>
    <w:next w:val="20"/>
    <w:qFormat/>
    <w:uiPriority w:val="0"/>
    <w:rPr>
      <w:rFonts w:ascii="宋体" w:hAnsi="Courier New"/>
      <w:szCs w:val="20"/>
    </w:rPr>
  </w:style>
  <w:style w:type="paragraph" w:customStyle="1" w:styleId="125">
    <w:name w:val="Char Char Char Char"/>
    <w:basedOn w:val="14"/>
    <w:qFormat/>
    <w:uiPriority w:val="0"/>
    <w:rPr>
      <w:rFonts w:ascii="Tahoma" w:hAnsi="Tahoma"/>
      <w:sz w:val="24"/>
    </w:rPr>
  </w:style>
  <w:style w:type="paragraph" w:customStyle="1" w:styleId="12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7">
    <w:name w:val="Char1"/>
    <w:basedOn w:val="14"/>
    <w:qFormat/>
    <w:uiPriority w:val="0"/>
    <w:rPr>
      <w:rFonts w:ascii="Tahoma" w:hAnsi="Tahoma"/>
      <w:sz w:val="24"/>
    </w:rPr>
  </w:style>
  <w:style w:type="paragraph" w:customStyle="1" w:styleId="12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0">
    <w:name w:val="修订1"/>
    <w:link w:val="153"/>
    <w:qFormat/>
    <w:uiPriority w:val="0"/>
    <w:rPr>
      <w:rFonts w:ascii="Times New Roman" w:hAnsi="Times New Roman" w:eastAsia="宋体" w:cs="Times New Roman"/>
      <w:kern w:val="2"/>
      <w:sz w:val="21"/>
      <w:szCs w:val="24"/>
      <w:lang w:val="en-US" w:eastAsia="zh-CN" w:bidi="ar-SA"/>
    </w:rPr>
  </w:style>
  <w:style w:type="paragraph" w:customStyle="1" w:styleId="131">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32">
    <w:name w:val="Char Char Char Char Char Char"/>
    <w:basedOn w:val="1"/>
    <w:qFormat/>
    <w:uiPriority w:val="0"/>
    <w:rPr>
      <w:szCs w:val="20"/>
    </w:rPr>
  </w:style>
  <w:style w:type="paragraph" w:customStyle="1" w:styleId="133">
    <w:name w:val="缺省文本"/>
    <w:basedOn w:val="1"/>
    <w:qFormat/>
    <w:uiPriority w:val="0"/>
    <w:pPr>
      <w:autoSpaceDE w:val="0"/>
      <w:autoSpaceDN w:val="0"/>
      <w:adjustRightInd w:val="0"/>
      <w:jc w:val="left"/>
    </w:pPr>
    <w:rPr>
      <w:rFonts w:ascii="仿宋_GB2312" w:eastAsia="仿宋_GB2312"/>
      <w:kern w:val="0"/>
      <w:sz w:val="24"/>
      <w:szCs w:val="20"/>
    </w:rPr>
  </w:style>
  <w:style w:type="paragraph" w:customStyle="1" w:styleId="134">
    <w:name w:val="Report List"/>
    <w:basedOn w:val="1"/>
    <w:qFormat/>
    <w:uiPriority w:val="0"/>
    <w:pPr>
      <w:widowControl/>
      <w:numPr>
        <w:ilvl w:val="0"/>
        <w:numId w:val="2"/>
      </w:numPr>
      <w:spacing w:before="120" w:after="120"/>
    </w:pPr>
    <w:rPr>
      <w:rFonts w:ascii="Arial" w:hAnsi="Arial" w:cs="Tahoma"/>
      <w:kern w:val="28"/>
      <w:sz w:val="22"/>
      <w:szCs w:val="20"/>
    </w:rPr>
  </w:style>
  <w:style w:type="paragraph" w:customStyle="1" w:styleId="135">
    <w:name w:val="默认段落字体 Para Char"/>
    <w:basedOn w:val="1"/>
    <w:qFormat/>
    <w:uiPriority w:val="0"/>
    <w:pPr>
      <w:adjustRightInd w:val="0"/>
      <w:spacing w:line="360" w:lineRule="auto"/>
    </w:pPr>
    <w:rPr>
      <w:kern w:val="0"/>
      <w:sz w:val="24"/>
      <w:szCs w:val="20"/>
    </w:rPr>
  </w:style>
  <w:style w:type="paragraph" w:customStyle="1" w:styleId="1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37">
    <w:name w:val="样式3"/>
    <w:basedOn w:val="17"/>
    <w:qFormat/>
    <w:uiPriority w:val="0"/>
    <w:pPr>
      <w:autoSpaceDE/>
      <w:autoSpaceDN/>
      <w:adjustRightInd/>
      <w:spacing w:line="360" w:lineRule="auto"/>
      <w:jc w:val="both"/>
    </w:pPr>
    <w:rPr>
      <w:kern w:val="2"/>
      <w:sz w:val="21"/>
      <w:szCs w:val="24"/>
    </w:rPr>
  </w:style>
  <w:style w:type="paragraph" w:customStyle="1" w:styleId="138">
    <w:name w:val="F2"/>
    <w:basedOn w:val="1"/>
    <w:qFormat/>
    <w:uiPriority w:val="0"/>
    <w:pPr>
      <w:autoSpaceDE w:val="0"/>
      <w:autoSpaceDN w:val="0"/>
      <w:adjustRightInd w:val="0"/>
      <w:ind w:firstLine="601"/>
      <w:textAlignment w:val="baseline"/>
    </w:pPr>
    <w:rPr>
      <w:kern w:val="0"/>
      <w:sz w:val="24"/>
      <w:szCs w:val="20"/>
    </w:rPr>
  </w:style>
  <w:style w:type="paragraph" w:customStyle="1" w:styleId="139">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TOC 标题1"/>
    <w:basedOn w:val="3"/>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41">
    <w:name w:val="font01"/>
    <w:basedOn w:val="37"/>
    <w:qFormat/>
    <w:uiPriority w:val="0"/>
    <w:rPr>
      <w:rFonts w:ascii="Calibri" w:hAnsi="Calibri" w:cs="Calibri"/>
      <w:color w:val="000000"/>
      <w:sz w:val="20"/>
      <w:szCs w:val="20"/>
      <w:u w:val="none"/>
    </w:rPr>
  </w:style>
  <w:style w:type="character" w:customStyle="1" w:styleId="142">
    <w:name w:val="A13"/>
    <w:qFormat/>
    <w:uiPriority w:val="0"/>
    <w:rPr>
      <w:rFonts w:ascii="Univers LT Std 45 Light" w:eastAsia="Univers LT Std 45 Light" w:cs="Univers LT Std 45 Light"/>
      <w:color w:val="221E1F"/>
      <w:sz w:val="10"/>
      <w:szCs w:val="10"/>
    </w:rPr>
  </w:style>
  <w:style w:type="character" w:customStyle="1" w:styleId="143">
    <w:name w:val="font31"/>
    <w:basedOn w:val="37"/>
    <w:qFormat/>
    <w:uiPriority w:val="0"/>
    <w:rPr>
      <w:rFonts w:hint="eastAsia" w:ascii="宋体" w:hAnsi="宋体" w:eastAsia="宋体" w:cs="宋体"/>
      <w:color w:val="FF0000"/>
      <w:sz w:val="22"/>
      <w:szCs w:val="22"/>
      <w:u w:val="none"/>
    </w:rPr>
  </w:style>
  <w:style w:type="paragraph" w:customStyle="1" w:styleId="144">
    <w:name w:val="样式 标题 2 + 宋体"/>
    <w:basedOn w:val="4"/>
    <w:qFormat/>
    <w:uiPriority w:val="99"/>
    <w:rPr>
      <w:rFonts w:ascii="宋体" w:hAnsi="宋体"/>
      <w:sz w:val="30"/>
    </w:rPr>
  </w:style>
  <w:style w:type="character" w:customStyle="1" w:styleId="145">
    <w:name w:val="font51"/>
    <w:basedOn w:val="37"/>
    <w:qFormat/>
    <w:uiPriority w:val="0"/>
    <w:rPr>
      <w:rFonts w:hint="default" w:ascii="Helvetica" w:hAnsi="Helvetica" w:eastAsia="Helvetica" w:cs="Helvetica"/>
      <w:color w:val="000000"/>
      <w:sz w:val="18"/>
      <w:szCs w:val="18"/>
      <w:u w:val="none"/>
    </w:rPr>
  </w:style>
  <w:style w:type="character" w:customStyle="1" w:styleId="146">
    <w:name w:val="font41"/>
    <w:basedOn w:val="37"/>
    <w:qFormat/>
    <w:uiPriority w:val="0"/>
    <w:rPr>
      <w:rFonts w:hint="eastAsia" w:ascii="宋体" w:hAnsi="宋体" w:eastAsia="宋体" w:cs="宋体"/>
      <w:color w:val="000000"/>
      <w:sz w:val="17"/>
      <w:szCs w:val="17"/>
      <w:u w:val="none"/>
    </w:rPr>
  </w:style>
  <w:style w:type="character" w:customStyle="1" w:styleId="147">
    <w:name w:val="font11"/>
    <w:basedOn w:val="37"/>
    <w:qFormat/>
    <w:uiPriority w:val="0"/>
    <w:rPr>
      <w:rFonts w:hint="eastAsia" w:ascii="宋体" w:hAnsi="宋体" w:eastAsia="宋体" w:cs="宋体"/>
      <w:color w:val="000000"/>
      <w:sz w:val="18"/>
      <w:szCs w:val="18"/>
      <w:u w:val="none"/>
    </w:rPr>
  </w:style>
  <w:style w:type="character" w:customStyle="1" w:styleId="148">
    <w:name w:val="font71"/>
    <w:basedOn w:val="37"/>
    <w:qFormat/>
    <w:uiPriority w:val="0"/>
    <w:rPr>
      <w:rFonts w:hint="default" w:ascii="Helvetica" w:hAnsi="Helvetica" w:eastAsia="Helvetica" w:cs="Helvetica"/>
      <w:color w:val="000000"/>
      <w:sz w:val="18"/>
      <w:szCs w:val="18"/>
      <w:u w:val="none"/>
    </w:rPr>
  </w:style>
  <w:style w:type="character" w:customStyle="1" w:styleId="149">
    <w:name w:val="font61"/>
    <w:basedOn w:val="37"/>
    <w:qFormat/>
    <w:uiPriority w:val="0"/>
    <w:rPr>
      <w:rFonts w:hint="eastAsia" w:ascii="宋体" w:hAnsi="宋体" w:eastAsia="宋体" w:cs="宋体"/>
      <w:color w:val="000000"/>
      <w:sz w:val="17"/>
      <w:szCs w:val="17"/>
      <w:u w:val="none"/>
    </w:rPr>
  </w:style>
  <w:style w:type="character" w:customStyle="1" w:styleId="150">
    <w:name w:val="font101"/>
    <w:basedOn w:val="37"/>
    <w:qFormat/>
    <w:uiPriority w:val="0"/>
    <w:rPr>
      <w:rFonts w:hint="eastAsia" w:ascii="宋体" w:hAnsi="宋体" w:eastAsia="宋体" w:cs="宋体"/>
      <w:color w:val="000000"/>
      <w:sz w:val="18"/>
      <w:szCs w:val="18"/>
      <w:u w:val="none"/>
    </w:rPr>
  </w:style>
  <w:style w:type="character" w:customStyle="1" w:styleId="151">
    <w:name w:val="font112"/>
    <w:basedOn w:val="37"/>
    <w:qFormat/>
    <w:uiPriority w:val="0"/>
    <w:rPr>
      <w:rFonts w:hint="default" w:ascii="Times New Roman" w:hAnsi="Times New Roman" w:cs="Times New Roman"/>
      <w:color w:val="000000"/>
      <w:sz w:val="20"/>
      <w:szCs w:val="20"/>
      <w:u w:val="none"/>
    </w:rPr>
  </w:style>
  <w:style w:type="character" w:customStyle="1" w:styleId="152">
    <w:name w:val="font21"/>
    <w:basedOn w:val="37"/>
    <w:qFormat/>
    <w:uiPriority w:val="0"/>
    <w:rPr>
      <w:rFonts w:hint="eastAsia" w:ascii="宋体" w:hAnsi="宋体" w:eastAsia="宋体" w:cs="宋体"/>
      <w:color w:val="000000"/>
      <w:sz w:val="24"/>
      <w:szCs w:val="24"/>
      <w:u w:val="none"/>
    </w:rPr>
  </w:style>
  <w:style w:type="character" w:customStyle="1" w:styleId="153">
    <w:name w:val="修订1 Char"/>
    <w:link w:val="130"/>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781898-8F87-43DC-833A-78911CCFFC87}">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1</Pages>
  <Words>5404</Words>
  <Characters>30804</Characters>
  <Lines>256</Lines>
  <Paragraphs>72</Paragraphs>
  <TotalTime>10</TotalTime>
  <ScaleCrop>false</ScaleCrop>
  <LinksUpToDate>false</LinksUpToDate>
  <CharactersWithSpaces>36136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2020-12-08T08:14:00Z</dcterms:created>
  <dc:creator>LZH</dc:creator>
  <cp:lastModifiedBy>窗边的小豆豆</cp:lastModifiedBy>
  <cp:lastPrinted>2020-04-09T06:10:00Z</cp:lastPrinted>
  <dcterms:modified xsi:type="dcterms:W3CDTF">2020-12-08T09:34:20Z</dcterms:modified>
  <dc:title>广西科文招标有限公司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