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91" w:lineRule="exact"/>
        <w:rPr>
          <w:color w:val="auto"/>
          <w:highlight w:val="none"/>
        </w:rPr>
      </w:pPr>
    </w:p>
    <w:p>
      <w:pPr>
        <w:jc w:val="center"/>
        <w:rPr>
          <w:rFonts w:ascii="仿宋_GB2312" w:eastAsia="仿宋_GB2312"/>
          <w:b/>
          <w:bCs/>
          <w:color w:val="auto"/>
          <w:sz w:val="44"/>
          <w:szCs w:val="44"/>
          <w:highlight w:val="none"/>
        </w:rPr>
      </w:pPr>
    </w:p>
    <w:p>
      <w:pPr>
        <w:pStyle w:val="7"/>
        <w:rPr>
          <w:rFonts w:ascii="仿宋_GB2312" w:eastAsia="仿宋_GB2312"/>
          <w:color w:val="auto"/>
          <w:sz w:val="72"/>
          <w:highlight w:val="none"/>
        </w:rPr>
      </w:pPr>
    </w:p>
    <w:p>
      <w:pPr>
        <w:pStyle w:val="7"/>
        <w:rPr>
          <w:rFonts w:ascii="宋体" w:hAnsi="宋体" w:cs="宋体"/>
          <w:b/>
          <w:color w:val="auto"/>
          <w:sz w:val="84"/>
          <w:szCs w:val="84"/>
          <w:highlight w:val="none"/>
        </w:rPr>
      </w:pPr>
      <w:r>
        <w:rPr>
          <w:rFonts w:hint="eastAsia" w:ascii="宋体" w:hAnsi="宋体" w:cs="宋体"/>
          <w:b/>
          <w:color w:val="auto"/>
          <w:sz w:val="84"/>
          <w:szCs w:val="84"/>
          <w:highlight w:val="none"/>
        </w:rPr>
        <w:t>竞争性磋商文件</w:t>
      </w:r>
    </w:p>
    <w:p>
      <w:pPr>
        <w:pStyle w:val="7"/>
        <w:rPr>
          <w:rFonts w:ascii="仿宋_GB2312" w:eastAsia="仿宋_GB2312"/>
          <w:color w:val="auto"/>
          <w:sz w:val="21"/>
          <w:szCs w:val="21"/>
          <w:highlight w:val="none"/>
        </w:rPr>
      </w:pPr>
    </w:p>
    <w:p>
      <w:pPr>
        <w:pStyle w:val="7"/>
        <w:rPr>
          <w:rFonts w:ascii="仿宋_GB2312" w:eastAsia="仿宋_GB2312"/>
          <w:color w:val="auto"/>
          <w:sz w:val="21"/>
          <w:szCs w:val="21"/>
          <w:highlight w:val="none"/>
        </w:rPr>
      </w:pPr>
    </w:p>
    <w:p>
      <w:pPr>
        <w:pStyle w:val="7"/>
        <w:rPr>
          <w:rFonts w:ascii="仿宋_GB2312" w:eastAsia="仿宋_GB2312"/>
          <w:color w:val="auto"/>
          <w:sz w:val="21"/>
          <w:szCs w:val="21"/>
          <w:highlight w:val="none"/>
        </w:rPr>
      </w:pPr>
    </w:p>
    <w:p>
      <w:pPr>
        <w:pStyle w:val="7"/>
        <w:jc w:val="both"/>
        <w:rPr>
          <w:rFonts w:ascii="仿宋_GB2312" w:eastAsia="仿宋_GB2312"/>
          <w:color w:val="auto"/>
          <w:sz w:val="21"/>
          <w:szCs w:val="21"/>
          <w:highlight w:val="none"/>
        </w:rPr>
      </w:pPr>
    </w:p>
    <w:p>
      <w:pPr>
        <w:pStyle w:val="7"/>
        <w:jc w:val="left"/>
        <w:rPr>
          <w:rFonts w:ascii="仿宋_GB2312" w:eastAsia="仿宋_GB2312"/>
          <w:color w:val="auto"/>
          <w:sz w:val="21"/>
          <w:szCs w:val="21"/>
          <w:highlight w:val="none"/>
        </w:rPr>
      </w:pPr>
    </w:p>
    <w:p>
      <w:pPr>
        <w:spacing w:after="0" w:line="240" w:lineRule="exact"/>
        <w:ind w:left="110" w:firstLine="1531"/>
        <w:rPr>
          <w:color w:val="auto"/>
          <w:highlight w:val="none"/>
        </w:rPr>
      </w:pPr>
    </w:p>
    <w:p>
      <w:pPr>
        <w:spacing w:after="0" w:line="240" w:lineRule="exact"/>
        <w:ind w:left="110" w:firstLine="1531"/>
        <w:rPr>
          <w:color w:val="auto"/>
          <w:highlight w:val="none"/>
        </w:rPr>
      </w:pPr>
    </w:p>
    <w:p>
      <w:pPr>
        <w:spacing w:after="0" w:line="398" w:lineRule="exact"/>
        <w:ind w:firstLine="640" w:firstLineChars="200"/>
        <w:rPr>
          <w:rFonts w:ascii="宋体" w:hAnsi="宋体" w:eastAsia="宋体" w:cs="宋体"/>
          <w:color w:val="auto"/>
          <w:sz w:val="32"/>
          <w:szCs w:val="32"/>
          <w:highlight w:val="none"/>
        </w:rPr>
      </w:pPr>
    </w:p>
    <w:p>
      <w:pPr>
        <w:spacing w:after="0" w:line="398" w:lineRule="exact"/>
        <w:ind w:firstLine="640" w:firstLineChars="200"/>
        <w:rPr>
          <w:rFonts w:ascii="宋体" w:hAnsi="宋体" w:eastAsia="宋体" w:cs="宋体"/>
          <w:color w:val="auto"/>
          <w:sz w:val="32"/>
          <w:szCs w:val="32"/>
          <w:highlight w:val="none"/>
        </w:rPr>
      </w:pPr>
    </w:p>
    <w:p>
      <w:pPr>
        <w:spacing w:after="0" w:line="398" w:lineRule="exact"/>
        <w:ind w:firstLine="640" w:firstLineChars="200"/>
        <w:rPr>
          <w:rFonts w:ascii="宋体" w:hAnsi="宋体" w:eastAsia="宋体" w:cs="宋体"/>
          <w:color w:val="auto"/>
          <w:sz w:val="32"/>
          <w:szCs w:val="32"/>
          <w:highlight w:val="none"/>
        </w:rPr>
        <w:sectPr>
          <w:footerReference r:id="rId3" w:type="default"/>
          <w:type w:val="continuous"/>
          <w:pgSz w:w="11906" w:h="16839"/>
          <w:pgMar w:top="1440" w:right="790" w:bottom="1200" w:left="1150" w:header="0" w:footer="0" w:gutter="0"/>
          <w:cols w:space="720" w:num="1"/>
          <w:docGrid w:type="lines" w:linePitch="312" w:charSpace="0"/>
        </w:sectPr>
      </w:pPr>
    </w:p>
    <w:p>
      <w:pPr>
        <w:spacing w:after="0" w:line="398" w:lineRule="exact"/>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sz w:val="32"/>
          <w:szCs w:val="32"/>
          <w:highlight w:val="none"/>
          <w:lang w:eastAsia="zh-CN"/>
        </w:rPr>
        <w:t>广西桂平市人民武装部营院易地搬迁工程项目监理</w:t>
      </w:r>
    </w:p>
    <w:p>
      <w:pPr>
        <w:spacing w:after="0" w:line="240" w:lineRule="exact"/>
        <w:ind w:left="2071" w:firstLine="1694"/>
        <w:rPr>
          <w:color w:val="auto"/>
          <w:sz w:val="32"/>
          <w:szCs w:val="32"/>
          <w:highlight w:val="none"/>
        </w:rPr>
      </w:pPr>
    </w:p>
    <w:p>
      <w:pPr>
        <w:spacing w:after="0" w:line="398" w:lineRule="exact"/>
        <w:ind w:firstLine="640" w:firstLineChars="200"/>
        <w:rPr>
          <w:rFonts w:hint="eastAsia" w:eastAsia="宋体"/>
          <w:color w:val="auto"/>
          <w:highlight w:val="none"/>
          <w:lang w:eastAsia="zh-CN"/>
        </w:rPr>
      </w:pPr>
      <w:r>
        <w:rPr>
          <w:rFonts w:ascii="宋体" w:hAnsi="宋体" w:eastAsia="宋体" w:cs="宋体"/>
          <w:color w:val="auto"/>
          <w:sz w:val="32"/>
          <w:szCs w:val="32"/>
          <w:highlight w:val="none"/>
        </w:rPr>
        <w:t>项目编号</w:t>
      </w:r>
      <w:r>
        <w:rPr>
          <w:rFonts w:ascii="宋体" w:hAnsi="宋体" w:eastAsia="宋体" w:cs="宋体"/>
          <w:color w:val="auto"/>
          <w:sz w:val="32"/>
          <w:highlight w:val="none"/>
        </w:rPr>
        <w:t>：</w:t>
      </w:r>
      <w:r>
        <w:rPr>
          <w:rFonts w:hint="eastAsia" w:ascii="宋体" w:hAnsi="宋体" w:eastAsia="宋体" w:cs="宋体"/>
          <w:color w:val="auto"/>
          <w:sz w:val="32"/>
          <w:highlight w:val="none"/>
          <w:lang w:eastAsia="zh-CN"/>
        </w:rPr>
        <w:t>GGZC2020-C3-50152-GXBX</w:t>
      </w:r>
    </w:p>
    <w:p>
      <w:pPr>
        <w:widowControl/>
        <w:rPr>
          <w:color w:val="auto"/>
          <w:highlight w:val="none"/>
        </w:rPr>
        <w:sectPr>
          <w:type w:val="continuous"/>
          <w:pgSz w:w="11906" w:h="16839"/>
          <w:pgMar w:top="1440" w:right="1517" w:bottom="1200" w:left="1150" w:header="0" w:footer="0" w:gutter="0"/>
          <w:cols w:equalWidth="0" w:num="1">
            <w:col w:w="9967"/>
          </w:cols>
          <w:docGrid w:type="lines" w:linePitch="312" w:charSpace="0"/>
        </w:sectPr>
      </w:pPr>
    </w:p>
    <w:p>
      <w:pPr>
        <w:spacing w:after="0" w:line="240" w:lineRule="exact"/>
        <w:ind w:left="2071"/>
        <w:rPr>
          <w:color w:val="auto"/>
          <w:highlight w:val="none"/>
        </w:rPr>
      </w:pPr>
    </w:p>
    <w:p>
      <w:pPr>
        <w:spacing w:after="0" w:line="240" w:lineRule="exact"/>
        <w:ind w:left="2071"/>
        <w:rPr>
          <w:color w:val="auto"/>
          <w:highlight w:val="none"/>
        </w:rPr>
      </w:pPr>
    </w:p>
    <w:p>
      <w:pPr>
        <w:spacing w:after="0" w:line="240" w:lineRule="exact"/>
        <w:ind w:left="2071"/>
        <w:rPr>
          <w:color w:val="auto"/>
          <w:highlight w:val="none"/>
        </w:rPr>
      </w:pPr>
    </w:p>
    <w:p>
      <w:pPr>
        <w:spacing w:after="0" w:line="240" w:lineRule="exact"/>
        <w:ind w:left="2071"/>
        <w:rPr>
          <w:color w:val="auto"/>
          <w:highlight w:val="none"/>
        </w:rPr>
      </w:pPr>
    </w:p>
    <w:p>
      <w:pPr>
        <w:spacing w:after="0" w:line="240" w:lineRule="exact"/>
        <w:ind w:left="2071"/>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240" w:lineRule="exact"/>
        <w:rPr>
          <w:color w:val="auto"/>
          <w:highlight w:val="none"/>
        </w:rPr>
      </w:pPr>
    </w:p>
    <w:p>
      <w:pPr>
        <w:spacing w:after="0" w:line="360" w:lineRule="auto"/>
        <w:ind w:left="2071"/>
        <w:rPr>
          <w:color w:val="auto"/>
          <w:highlight w:val="none"/>
        </w:rPr>
      </w:pPr>
    </w:p>
    <w:p>
      <w:pPr>
        <w:widowControl/>
        <w:spacing w:line="360" w:lineRule="auto"/>
        <w:rPr>
          <w:color w:val="auto"/>
          <w:highlight w:val="none"/>
        </w:rPr>
        <w:sectPr>
          <w:type w:val="continuous"/>
          <w:pgSz w:w="11906" w:h="16839"/>
          <w:pgMar w:top="1440" w:right="790" w:bottom="1200" w:left="1150" w:header="0" w:footer="0" w:gutter="0"/>
          <w:cols w:space="720" w:num="1"/>
          <w:docGrid w:type="lines" w:linePitch="312" w:charSpace="0"/>
        </w:sectPr>
      </w:pPr>
    </w:p>
    <w:p>
      <w:pPr>
        <w:spacing w:after="0" w:line="360" w:lineRule="auto"/>
        <w:ind w:left="2083"/>
        <w:rPr>
          <w:rFonts w:hint="eastAsia" w:eastAsia="宋体"/>
          <w:color w:val="auto"/>
          <w:highlight w:val="none"/>
          <w:lang w:eastAsia="zh-CN"/>
        </w:rPr>
      </w:pPr>
      <w:r>
        <w:rPr>
          <w:rFonts w:ascii="宋体" w:hAnsi="宋体" w:eastAsia="宋体" w:cs="宋体"/>
          <w:color w:val="auto"/>
          <w:sz w:val="30"/>
          <w:highlight w:val="none"/>
        </w:rPr>
        <w:t>采购单位：</w:t>
      </w:r>
      <w:r>
        <w:rPr>
          <w:rFonts w:hint="eastAsia" w:ascii="宋体" w:hAnsi="宋体" w:eastAsia="宋体" w:cs="宋体"/>
          <w:color w:val="auto"/>
          <w:sz w:val="30"/>
          <w:highlight w:val="none"/>
          <w:lang w:eastAsia="zh-CN"/>
        </w:rPr>
        <w:t>桂平市民政局</w:t>
      </w:r>
    </w:p>
    <w:p>
      <w:pPr>
        <w:spacing w:after="0" w:line="360" w:lineRule="auto"/>
        <w:ind w:left="2083"/>
        <w:rPr>
          <w:rFonts w:hint="eastAsia" w:eastAsia="宋体"/>
          <w:color w:val="auto"/>
          <w:highlight w:val="none"/>
          <w:lang w:eastAsia="zh-CN"/>
        </w:rPr>
      </w:pPr>
      <w:r>
        <w:rPr>
          <w:rFonts w:ascii="宋体" w:hAnsi="宋体" w:eastAsia="宋体" w:cs="宋体"/>
          <w:color w:val="auto"/>
          <w:sz w:val="30"/>
          <w:highlight w:val="none"/>
        </w:rPr>
        <w:t>采购代理机构：</w:t>
      </w:r>
      <w:r>
        <w:rPr>
          <w:rFonts w:hint="eastAsia" w:ascii="宋体" w:hAnsi="宋体" w:eastAsia="宋体" w:cs="宋体"/>
          <w:color w:val="auto"/>
          <w:sz w:val="30"/>
          <w:highlight w:val="none"/>
          <w:lang w:eastAsia="zh-CN"/>
        </w:rPr>
        <w:t>广西博行弈工程项目管理有限公司</w:t>
      </w:r>
    </w:p>
    <w:p>
      <w:pPr>
        <w:spacing w:after="0" w:line="240" w:lineRule="exact"/>
        <w:ind w:left="2083"/>
        <w:rPr>
          <w:color w:val="auto"/>
          <w:highlight w:val="none"/>
        </w:rPr>
      </w:pPr>
    </w:p>
    <w:p>
      <w:pPr>
        <w:spacing w:after="0" w:line="461" w:lineRule="exact"/>
        <w:ind w:left="2083" w:firstLine="1930"/>
        <w:rPr>
          <w:color w:val="auto"/>
          <w:highlight w:val="none"/>
        </w:rPr>
      </w:pPr>
      <w:r>
        <w:rPr>
          <w:rFonts w:ascii="宋体" w:hAnsi="宋体" w:cs="宋体"/>
          <w:color w:val="auto"/>
          <w:sz w:val="30"/>
          <w:highlight w:val="none"/>
        </w:rPr>
        <w:t>20</w:t>
      </w:r>
      <w:r>
        <w:rPr>
          <w:rFonts w:hint="eastAsia" w:ascii="宋体" w:hAnsi="宋体" w:cs="宋体"/>
          <w:color w:val="auto"/>
          <w:sz w:val="30"/>
          <w:highlight w:val="none"/>
        </w:rPr>
        <w:t>20</w:t>
      </w:r>
      <w:r>
        <w:rPr>
          <w:rFonts w:ascii="宋体" w:hAnsi="宋体" w:eastAsia="宋体" w:cs="宋体"/>
          <w:color w:val="auto"/>
          <w:spacing w:val="-1"/>
          <w:sz w:val="30"/>
          <w:highlight w:val="none"/>
        </w:rPr>
        <w:t>年</w:t>
      </w:r>
      <w:r>
        <w:rPr>
          <w:rFonts w:hint="eastAsia" w:ascii="宋体" w:hAnsi="宋体" w:eastAsia="宋体" w:cs="宋体"/>
          <w:color w:val="auto"/>
          <w:spacing w:val="-1"/>
          <w:sz w:val="30"/>
          <w:highlight w:val="none"/>
          <w:lang w:val="en-US" w:eastAsia="zh-CN"/>
        </w:rPr>
        <w:t>7</w:t>
      </w:r>
      <w:r>
        <w:rPr>
          <w:rFonts w:ascii="宋体" w:hAnsi="宋体" w:eastAsia="宋体" w:cs="宋体"/>
          <w:color w:val="auto"/>
          <w:spacing w:val="-1"/>
          <w:sz w:val="30"/>
          <w:highlight w:val="none"/>
        </w:rPr>
        <w:t>月</w:t>
      </w:r>
    </w:p>
    <w:p>
      <w:pPr>
        <w:widowControl/>
        <w:rPr>
          <w:color w:val="auto"/>
          <w:highlight w:val="none"/>
        </w:rPr>
        <w:sectPr>
          <w:type w:val="continuous"/>
          <w:pgSz w:w="11906" w:h="16839"/>
          <w:pgMar w:top="1440" w:right="790" w:bottom="1200" w:left="1150" w:header="0" w:footer="0" w:gutter="0"/>
          <w:cols w:equalWidth="0" w:num="1">
            <w:col w:w="9967"/>
          </w:cols>
          <w:docGrid w:type="lines" w:linePitch="312" w:charSpace="0"/>
        </w:sectPr>
      </w:pPr>
    </w:p>
    <w:p>
      <w:pPr>
        <w:tabs>
          <w:tab w:val="left" w:pos="5213"/>
        </w:tabs>
        <w:spacing w:after="0" w:line="594" w:lineRule="exact"/>
        <w:ind w:left="60" w:firstLine="4049"/>
        <w:rPr>
          <w:color w:val="auto"/>
          <w:highlight w:val="none"/>
        </w:rPr>
      </w:pPr>
      <w:bookmarkStart w:id="0" w:name="2"/>
      <w:bookmarkEnd w:id="0"/>
      <w:r>
        <w:rPr>
          <w:rFonts w:ascii="宋体" w:hAnsi="宋体" w:eastAsia="宋体" w:cs="宋体"/>
          <w:color w:val="auto"/>
          <w:spacing w:val="-1"/>
          <w:sz w:val="44"/>
          <w:highlight w:val="none"/>
        </w:rPr>
        <w:t>目</w:t>
      </w:r>
      <w:r>
        <w:rPr>
          <w:rFonts w:cs="Calibri"/>
          <w:color w:val="auto"/>
          <w:highlight w:val="none"/>
        </w:rPr>
        <w:tab/>
      </w:r>
      <w:r>
        <w:rPr>
          <w:rFonts w:ascii="宋体" w:hAnsi="宋体" w:eastAsia="宋体" w:cs="宋体"/>
          <w:color w:val="auto"/>
          <w:spacing w:val="-1"/>
          <w:sz w:val="44"/>
          <w:highlight w:val="none"/>
        </w:rPr>
        <w:t>录</w:t>
      </w:r>
    </w:p>
    <w:p>
      <w:pPr>
        <w:spacing w:after="0" w:line="240" w:lineRule="exact"/>
        <w:ind w:left="60" w:firstLine="4049"/>
        <w:rPr>
          <w:color w:val="auto"/>
          <w:highlight w:val="none"/>
        </w:rPr>
      </w:pPr>
    </w:p>
    <w:p>
      <w:pPr>
        <w:spacing w:after="0" w:line="240" w:lineRule="exact"/>
        <w:ind w:left="60" w:firstLine="4049"/>
        <w:rPr>
          <w:color w:val="auto"/>
          <w:highlight w:val="none"/>
        </w:rPr>
      </w:pPr>
    </w:p>
    <w:p>
      <w:pPr>
        <w:tabs>
          <w:tab w:val="left" w:pos="9528"/>
        </w:tabs>
        <w:spacing w:after="0" w:line="454" w:lineRule="exact"/>
        <w:ind w:left="60" w:firstLine="420"/>
        <w:rPr>
          <w:color w:val="auto"/>
          <w:highlight w:val="none"/>
        </w:rPr>
      </w:pP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第一章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6"/>
          <w:rFonts w:ascii="宋体" w:hAnsi="宋体" w:eastAsia="宋体" w:cs="宋体"/>
          <w:color w:val="auto"/>
          <w:spacing w:val="-1"/>
          <w:position w:val="2"/>
          <w:sz w:val="32"/>
          <w:highlight w:val="none"/>
          <w:u w:val="none"/>
        </w:rPr>
        <w:t>竞争性磋商公告</w:t>
      </w:r>
      <w:r>
        <w:rPr>
          <w:rStyle w:val="16"/>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rFonts w:cs="Calibri"/>
          <w:color w:val="auto"/>
          <w:highlight w:val="none"/>
        </w:rPr>
        <w:tab/>
      </w:r>
      <w:r>
        <w:rPr>
          <w:color w:val="auto"/>
          <w:highlight w:val="none"/>
        </w:rPr>
        <w:fldChar w:fldCharType="begin"/>
      </w:r>
      <w:r>
        <w:rPr>
          <w:color w:val="auto"/>
          <w:highlight w:val="none"/>
        </w:rPr>
        <w:instrText xml:space="preserve"> HYPERLINK \l "3" </w:instrText>
      </w:r>
      <w:r>
        <w:rPr>
          <w:color w:val="auto"/>
          <w:highlight w:val="none"/>
        </w:rPr>
        <w:fldChar w:fldCharType="separate"/>
      </w:r>
      <w:r>
        <w:rPr>
          <w:rStyle w:val="16"/>
          <w:rFonts w:ascii="黑体" w:hAnsi="黑体" w:cs="黑体"/>
          <w:color w:val="auto"/>
          <w:spacing w:val="-1"/>
          <w:position w:val="2"/>
          <w:sz w:val="32"/>
          <w:highlight w:val="none"/>
          <w:u w:val="none"/>
        </w:rPr>
        <w:t>3</w:t>
      </w:r>
      <w:r>
        <w:rPr>
          <w:rStyle w:val="16"/>
          <w:rFonts w:ascii="黑体" w:hAnsi="黑体" w:cs="黑体"/>
          <w:color w:val="auto"/>
          <w:spacing w:val="-1"/>
          <w:position w:val="2"/>
          <w:sz w:val="32"/>
          <w:highlight w:val="none"/>
          <w:u w:val="none"/>
        </w:rPr>
        <w:fldChar w:fldCharType="end"/>
      </w:r>
    </w:p>
    <w:p>
      <w:pPr>
        <w:tabs>
          <w:tab w:val="left" w:pos="9528"/>
        </w:tabs>
        <w:spacing w:after="0" w:line="622" w:lineRule="exact"/>
        <w:ind w:left="60" w:firstLine="420"/>
        <w:rPr>
          <w:color w:val="auto"/>
          <w:highlight w:val="none"/>
        </w:rPr>
      </w:pPr>
      <w:r>
        <w:rPr>
          <w:color w:val="auto"/>
          <w:highlight w:val="none"/>
        </w:rPr>
        <w:fldChar w:fldCharType="begin"/>
      </w:r>
      <w:r>
        <w:rPr>
          <w:color w:val="auto"/>
          <w:highlight w:val="none"/>
        </w:rPr>
        <w:instrText xml:space="preserve"> HYPERLINK \l "6"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第二章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6"/>
          <w:rFonts w:ascii="宋体" w:hAnsi="宋体" w:eastAsia="宋体" w:cs="宋体"/>
          <w:color w:val="auto"/>
          <w:spacing w:val="-1"/>
          <w:position w:val="2"/>
          <w:sz w:val="32"/>
          <w:highlight w:val="none"/>
          <w:u w:val="none"/>
        </w:rPr>
        <w:t>磋商须知前附表及磋商须知</w:t>
      </w:r>
      <w:r>
        <w:rPr>
          <w:rStyle w:val="16"/>
          <w:rFonts w:ascii="Times New Roman" w:hAnsi="Times New Roman" w:cs="Times New Roman"/>
          <w:color w:val="auto"/>
          <w:spacing w:val="-1"/>
          <w:sz w:val="32"/>
          <w:highlight w:val="none"/>
          <w:u w:val="none"/>
        </w:rPr>
        <w:t>....................................................</w:t>
      </w:r>
      <w:r>
        <w:rPr>
          <w:color w:val="auto"/>
          <w:highlight w:val="none"/>
        </w:rPr>
        <w:fldChar w:fldCharType="begin"/>
      </w:r>
      <w:r>
        <w:rPr>
          <w:color w:val="auto"/>
          <w:highlight w:val="none"/>
        </w:rPr>
        <w:instrText xml:space="preserve"> HYPERLINK \l "6" </w:instrText>
      </w:r>
      <w:r>
        <w:rPr>
          <w:color w:val="auto"/>
          <w:highlight w:val="none"/>
        </w:rPr>
        <w:fldChar w:fldCharType="separate"/>
      </w:r>
      <w:r>
        <w:rPr>
          <w:rStyle w:val="16"/>
          <w:rFonts w:ascii="黑体" w:hAnsi="黑体" w:cs="黑体"/>
          <w:color w:val="auto"/>
          <w:spacing w:val="-1"/>
          <w:position w:val="2"/>
          <w:sz w:val="32"/>
          <w:highlight w:val="none"/>
          <w:u w:val="none"/>
        </w:rPr>
        <w:t>6</w:t>
      </w:r>
      <w:r>
        <w:rPr>
          <w:rStyle w:val="16"/>
          <w:rFonts w:ascii="黑体" w:hAnsi="黑体" w:cs="黑体"/>
          <w:color w:val="auto"/>
          <w:spacing w:val="-1"/>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第三章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宋体" w:hAnsi="宋体" w:eastAsia="宋体" w:cs="宋体"/>
          <w:color w:val="auto"/>
          <w:spacing w:val="-1"/>
          <w:position w:val="2"/>
          <w:sz w:val="32"/>
          <w:highlight w:val="none"/>
          <w:u w:val="none"/>
        </w:rPr>
        <w:t>项目服务需求</w:t>
      </w:r>
      <w:r>
        <w:rPr>
          <w:rStyle w:val="16"/>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rFonts w:cs="Calibri"/>
          <w:color w:val="auto"/>
          <w:highlight w:val="none"/>
        </w:rPr>
        <w:tab/>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黑体" w:hAnsi="黑体" w:cs="黑体"/>
          <w:color w:val="auto"/>
          <w:position w:val="2"/>
          <w:sz w:val="32"/>
          <w:highlight w:val="none"/>
          <w:u w:val="none"/>
        </w:rPr>
        <w:t>1</w:t>
      </w:r>
      <w:r>
        <w:rPr>
          <w:rStyle w:val="16"/>
          <w:rFonts w:hint="eastAsia" w:ascii="黑体" w:hAnsi="黑体" w:cs="黑体"/>
          <w:color w:val="auto"/>
          <w:position w:val="2"/>
          <w:sz w:val="32"/>
          <w:highlight w:val="none"/>
          <w:u w:val="none"/>
        </w:rPr>
        <w:t>7</w:t>
      </w:r>
      <w:r>
        <w:rPr>
          <w:rStyle w:val="16"/>
          <w:rFonts w:hint="eastAsia" w:ascii="黑体" w:hAnsi="黑体" w:cs="黑体"/>
          <w:color w:val="auto"/>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第四章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6"/>
          <w:rFonts w:ascii="宋体" w:hAnsi="宋体" w:eastAsia="宋体" w:cs="宋体"/>
          <w:color w:val="auto"/>
          <w:spacing w:val="-1"/>
          <w:position w:val="2"/>
          <w:sz w:val="32"/>
          <w:highlight w:val="none"/>
          <w:u w:val="none"/>
        </w:rPr>
        <w:t>合同书格式</w:t>
      </w:r>
      <w:r>
        <w:rPr>
          <w:rStyle w:val="16"/>
          <w:rFonts w:hint="eastAsia" w:ascii="宋体" w:hAnsi="宋体" w:eastAsia="宋体" w:cs="宋体"/>
          <w:color w:val="auto"/>
          <w:spacing w:val="-1"/>
          <w:position w:val="2"/>
          <w:sz w:val="32"/>
          <w:highlight w:val="none"/>
          <w:u w:val="none"/>
        </w:rPr>
        <w:t>及条款</w:t>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color w:val="auto"/>
          <w:highlight w:val="none"/>
        </w:rPr>
        <w:fldChar w:fldCharType="begin"/>
      </w:r>
      <w:r>
        <w:rPr>
          <w:color w:val="auto"/>
          <w:highlight w:val="none"/>
        </w:rPr>
        <w:instrText xml:space="preserve"> HYPERLINK \l "16" </w:instrText>
      </w:r>
      <w:r>
        <w:rPr>
          <w:color w:val="auto"/>
          <w:highlight w:val="none"/>
        </w:rPr>
        <w:fldChar w:fldCharType="separate"/>
      </w:r>
      <w:r>
        <w:rPr>
          <w:rStyle w:val="16"/>
          <w:rFonts w:ascii="黑体" w:hAnsi="黑体" w:cs="黑体"/>
          <w:color w:val="auto"/>
          <w:position w:val="2"/>
          <w:sz w:val="32"/>
          <w:highlight w:val="none"/>
          <w:u w:val="none"/>
        </w:rPr>
        <w:t>1</w:t>
      </w:r>
      <w:r>
        <w:rPr>
          <w:rStyle w:val="16"/>
          <w:rFonts w:hint="eastAsia" w:ascii="黑体" w:hAnsi="黑体" w:cs="黑体"/>
          <w:color w:val="auto"/>
          <w:position w:val="2"/>
          <w:sz w:val="32"/>
          <w:highlight w:val="none"/>
          <w:u w:val="none"/>
        </w:rPr>
        <w:t>8</w:t>
      </w:r>
      <w:r>
        <w:rPr>
          <w:rStyle w:val="16"/>
          <w:rFonts w:hint="eastAsia" w:ascii="黑体" w:hAnsi="黑体" w:cs="黑体"/>
          <w:color w:val="auto"/>
          <w:position w:val="2"/>
          <w:sz w:val="32"/>
          <w:highlight w:val="none"/>
          <w:u w:val="none"/>
        </w:rPr>
        <w:fldChar w:fldCharType="end"/>
      </w:r>
    </w:p>
    <w:p>
      <w:pPr>
        <w:tabs>
          <w:tab w:val="left" w:pos="9370"/>
        </w:tabs>
        <w:spacing w:after="0" w:line="624" w:lineRule="exact"/>
        <w:ind w:left="60" w:firstLine="420"/>
        <w:rPr>
          <w:color w:val="auto"/>
          <w:highlight w:val="none"/>
        </w:rPr>
      </w:pP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第五章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rStyle w:val="16"/>
          <w:rFonts w:ascii="宋体" w:hAnsi="宋体" w:eastAsia="宋体" w:cs="宋体"/>
          <w:color w:val="auto"/>
          <w:spacing w:val="-1"/>
          <w:position w:val="2"/>
          <w:sz w:val="32"/>
          <w:highlight w:val="none"/>
          <w:u w:val="none"/>
        </w:rPr>
        <w:t>评定标准</w:t>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rFonts w:ascii="Calibri" w:hAnsi="Calibri" w:cs="Calibri"/>
          <w:color w:val="auto"/>
          <w:spacing w:val="-16"/>
          <w:sz w:val="32"/>
          <w:highlight w:val="none"/>
        </w:rPr>
        <w:t> </w:t>
      </w:r>
      <w:r>
        <w:rPr>
          <w:rStyle w:val="16"/>
          <w:rFonts w:hint="eastAsia" w:ascii="黑体" w:hAnsi="黑体" w:cs="黑体"/>
          <w:color w:val="auto"/>
          <w:position w:val="2"/>
          <w:sz w:val="32"/>
          <w:highlight w:val="none"/>
          <w:u w:val="none"/>
        </w:rPr>
        <w:t>32</w:t>
      </w:r>
    </w:p>
    <w:p>
      <w:pPr>
        <w:tabs>
          <w:tab w:val="left" w:pos="9370"/>
        </w:tabs>
        <w:spacing w:after="0" w:line="622" w:lineRule="exact"/>
        <w:ind w:left="60" w:firstLine="420"/>
        <w:rPr>
          <w:color w:val="auto"/>
          <w:highlight w:val="none"/>
        </w:rPr>
      </w:pP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宋体" w:hAnsi="宋体" w:eastAsia="宋体" w:cs="宋体"/>
          <w:color w:val="auto"/>
          <w:spacing w:val="-1"/>
          <w:position w:val="2"/>
          <w:sz w:val="32"/>
          <w:highlight w:val="none"/>
          <w:u w:val="none"/>
        </w:rPr>
        <w:t>第六章</w:t>
      </w:r>
      <w:r>
        <w:rPr>
          <w:rStyle w:val="16"/>
          <w:rFonts w:ascii="宋体" w:hAnsi="宋体" w:eastAsia="宋体" w:cs="宋体"/>
          <w:color w:val="auto"/>
          <w:spacing w:val="-1"/>
          <w:position w:val="2"/>
          <w:sz w:val="32"/>
          <w:highlight w:val="none"/>
          <w:u w:val="none"/>
        </w:rPr>
        <w:fldChar w:fldCharType="end"/>
      </w:r>
      <w:r>
        <w:rPr>
          <w:rFonts w:ascii="Calibri" w:hAnsi="Calibri" w:cs="Calibri"/>
          <w:color w:val="auto"/>
          <w:w w:val="222"/>
          <w:sz w:val="32"/>
          <w:highlight w:val="none"/>
        </w:rPr>
        <w:t> </w:t>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宋体" w:hAnsi="宋体" w:eastAsia="宋体" w:cs="宋体"/>
          <w:color w:val="auto"/>
          <w:spacing w:val="-1"/>
          <w:position w:val="2"/>
          <w:sz w:val="32"/>
          <w:highlight w:val="none"/>
          <w:u w:val="none"/>
        </w:rPr>
        <w:t>响应文件格式</w:t>
      </w:r>
      <w:r>
        <w:rPr>
          <w:rStyle w:val="16"/>
          <w:rFonts w:ascii="宋体" w:hAnsi="宋体" w:eastAsia="宋体" w:cs="宋体"/>
          <w:color w:val="auto"/>
          <w:spacing w:val="-1"/>
          <w:position w:val="2"/>
          <w:sz w:val="32"/>
          <w:highlight w:val="none"/>
          <w:u w:val="none"/>
        </w:rPr>
        <w:fldChar w:fldCharType="end"/>
      </w:r>
      <w:r>
        <w:rPr>
          <w:color w:val="auto"/>
          <w:highlight w:val="none"/>
        </w:rPr>
        <w:fldChar w:fldCharType="begin"/>
      </w:r>
      <w:r>
        <w:rPr>
          <w:color w:val="auto"/>
          <w:highlight w:val="none"/>
        </w:rPr>
        <w:instrText xml:space="preserve"> HYPERLINK \l "33" </w:instrText>
      </w:r>
      <w:r>
        <w:rPr>
          <w:color w:val="auto"/>
          <w:highlight w:val="none"/>
        </w:rPr>
        <w:fldChar w:fldCharType="separate"/>
      </w:r>
      <w:r>
        <w:rPr>
          <w:rStyle w:val="16"/>
          <w:rFonts w:ascii="Times New Roman" w:hAnsi="Times New Roman" w:cs="Times New Roman"/>
          <w:color w:val="auto"/>
          <w:spacing w:val="-1"/>
          <w:sz w:val="32"/>
          <w:highlight w:val="none"/>
          <w:u w:val="none"/>
        </w:rPr>
        <w:t>..........................................................................</w:t>
      </w:r>
      <w:r>
        <w:rPr>
          <w:rStyle w:val="16"/>
          <w:rFonts w:ascii="Times New Roman" w:hAnsi="Times New Roman" w:cs="Times New Roman"/>
          <w:color w:val="auto"/>
          <w:spacing w:val="-1"/>
          <w:sz w:val="32"/>
          <w:highlight w:val="none"/>
          <w:u w:val="none"/>
        </w:rPr>
        <w:fldChar w:fldCharType="end"/>
      </w:r>
      <w:r>
        <w:rPr>
          <w:rFonts w:cs="Calibri"/>
          <w:color w:val="auto"/>
          <w:highlight w:val="none"/>
        </w:rPr>
        <w:tab/>
      </w:r>
      <w:r>
        <w:rPr>
          <w:rStyle w:val="16"/>
          <w:rFonts w:hint="eastAsia" w:ascii="黑体" w:hAnsi="黑体" w:cs="黑体"/>
          <w:color w:val="auto"/>
          <w:position w:val="2"/>
          <w:sz w:val="32"/>
          <w:highlight w:val="none"/>
          <w:u w:val="none"/>
        </w:rPr>
        <w:t>37</w:t>
      </w:r>
    </w:p>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324" w:lineRule="exact"/>
        <w:ind w:left="60" w:firstLine="420"/>
        <w:rPr>
          <w:color w:val="auto"/>
          <w:highlight w:val="none"/>
        </w:rPr>
      </w:pPr>
    </w:p>
    <w:p>
      <w:pPr>
        <w:widowControl/>
        <w:rPr>
          <w:color w:val="auto"/>
          <w:highlight w:val="none"/>
        </w:rPr>
        <w:sectPr>
          <w:type w:val="continuous"/>
          <w:pgSz w:w="11906" w:h="16838"/>
          <w:pgMar w:top="818" w:right="713" w:bottom="578" w:left="1073" w:header="0" w:footer="0" w:gutter="0"/>
          <w:cols w:space="720" w:num="1"/>
          <w:docGrid w:type="lines" w:linePitch="312" w:charSpace="0"/>
        </w:sectPr>
      </w:pPr>
    </w:p>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tabs>
          <w:tab w:val="left" w:pos="4359"/>
        </w:tabs>
        <w:spacing w:after="0" w:line="594" w:lineRule="exact"/>
        <w:ind w:left="200" w:firstLine="2395"/>
        <w:rPr>
          <w:color w:val="auto"/>
          <w:highlight w:val="none"/>
        </w:rPr>
      </w:pPr>
      <w:bookmarkStart w:id="1" w:name="3"/>
      <w:bookmarkEnd w:id="1"/>
      <w:r>
        <w:rPr>
          <w:rFonts w:ascii="宋体" w:hAnsi="宋体" w:eastAsia="宋体" w:cs="宋体"/>
          <w:color w:val="auto"/>
          <w:sz w:val="44"/>
          <w:highlight w:val="none"/>
        </w:rPr>
        <w:t>第一章</w:t>
      </w:r>
      <w:r>
        <w:rPr>
          <w:rFonts w:cs="Calibri"/>
          <w:color w:val="auto"/>
          <w:highlight w:val="none"/>
        </w:rPr>
        <w:tab/>
      </w:r>
      <w:r>
        <w:rPr>
          <w:rFonts w:ascii="宋体" w:hAnsi="宋体" w:eastAsia="宋体" w:cs="宋体"/>
          <w:color w:val="auto"/>
          <w:sz w:val="44"/>
          <w:highlight w:val="none"/>
        </w:rPr>
        <w:t>竞争性磋商公告</w:t>
      </w:r>
    </w:p>
    <w:p>
      <w:pPr>
        <w:spacing w:after="0" w:line="360" w:lineRule="auto"/>
        <w:ind w:left="200" w:firstLine="2395"/>
        <w:rPr>
          <w:color w:val="auto"/>
          <w:highlight w:val="none"/>
        </w:rPr>
      </w:pPr>
    </w:p>
    <w:p>
      <w:pPr>
        <w:spacing w:after="0" w:line="360" w:lineRule="auto"/>
        <w:ind w:hanging="11"/>
        <w:jc w:val="center"/>
        <w:rPr>
          <w:b/>
          <w:color w:val="auto"/>
          <w:sz w:val="32"/>
          <w:szCs w:val="32"/>
          <w:highlight w:val="none"/>
        </w:rPr>
      </w:pPr>
      <w:r>
        <w:rPr>
          <w:rFonts w:hint="eastAsia" w:ascii="宋体" w:hAnsi="宋体" w:eastAsia="宋体" w:cs="宋体"/>
          <w:b/>
          <w:color w:val="auto"/>
          <w:sz w:val="32"/>
          <w:szCs w:val="32"/>
          <w:highlight w:val="none"/>
          <w:lang w:eastAsia="zh-CN"/>
        </w:rPr>
        <w:t>广西博行弈工程项目管理有限公司广西桂平市人民武装部营院易地搬迁工程项目监理</w:t>
      </w:r>
      <w:r>
        <w:rPr>
          <w:rFonts w:ascii="宋体" w:hAnsi="宋体" w:eastAsia="宋体" w:cs="宋体"/>
          <w:b/>
          <w:color w:val="auto"/>
          <w:sz w:val="32"/>
          <w:szCs w:val="32"/>
          <w:highlight w:val="none"/>
        </w:rPr>
        <w:t>（</w:t>
      </w:r>
      <w:r>
        <w:rPr>
          <w:rFonts w:hint="eastAsia" w:ascii="宋体" w:hAnsi="宋体" w:eastAsia="宋体" w:cs="宋体"/>
          <w:b/>
          <w:color w:val="auto"/>
          <w:sz w:val="32"/>
          <w:szCs w:val="32"/>
          <w:highlight w:val="none"/>
          <w:lang w:eastAsia="zh-CN"/>
        </w:rPr>
        <w:t>GGZC2020-C3-50152-GXBX</w:t>
      </w:r>
      <w:r>
        <w:rPr>
          <w:rFonts w:ascii="宋体" w:hAnsi="宋体" w:eastAsia="宋体" w:cs="宋体"/>
          <w:b/>
          <w:color w:val="auto"/>
          <w:sz w:val="32"/>
          <w:szCs w:val="32"/>
          <w:highlight w:val="none"/>
        </w:rPr>
        <w:t>）竞争性磋商公告</w:t>
      </w:r>
    </w:p>
    <w:p>
      <w:pPr>
        <w:spacing w:after="0" w:line="240" w:lineRule="exact"/>
        <w:ind w:left="73" w:leftChars="35" w:firstLine="2004"/>
        <w:rPr>
          <w:color w:val="auto"/>
          <w:highlight w:val="none"/>
        </w:rPr>
      </w:pPr>
    </w:p>
    <w:p>
      <w:pPr>
        <w:pBdr>
          <w:top w:val="single" w:color="auto" w:sz="4" w:space="1"/>
          <w:left w:val="single" w:color="auto" w:sz="4" w:space="4"/>
          <w:bottom w:val="single" w:color="auto" w:sz="4" w:space="1"/>
          <w:right w:val="single" w:color="auto" w:sz="4" w:space="4"/>
        </w:pBdr>
        <w:ind w:firstLine="422" w:firstLineChars="200"/>
        <w:rPr>
          <w:rFonts w:ascii="宋体" w:hAnsi="宋体" w:cs="宋体"/>
          <w:b/>
          <w:bCs/>
          <w:color w:val="auto"/>
          <w:szCs w:val="21"/>
          <w:highlight w:val="none"/>
        </w:rPr>
      </w:pPr>
      <w:r>
        <w:rPr>
          <w:rFonts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auto"/>
          <w:szCs w:val="21"/>
          <w:highlight w:val="none"/>
        </w:rPr>
      </w:pPr>
      <w:r>
        <w:rPr>
          <w:rFonts w:hint="eastAsia" w:ascii="宋体" w:hAnsi="宋体" w:cs="宋体"/>
          <w:color w:val="auto"/>
          <w:szCs w:val="21"/>
          <w:highlight w:val="none"/>
          <w:lang w:eastAsia="zh-CN"/>
        </w:rPr>
        <w:t>广西桂平市人民武装部营院易地搬迁工程项目监理</w:t>
      </w:r>
      <w:r>
        <w:rPr>
          <w:rFonts w:ascii="宋体" w:hAnsi="宋体" w:cs="宋体"/>
          <w:color w:val="auto"/>
          <w:szCs w:val="21"/>
          <w:highlight w:val="none"/>
        </w:rPr>
        <w:t>项目采购的潜在供应商应在贵港市公共资源交易平台（</w:t>
      </w:r>
      <w:r>
        <w:rPr>
          <w:color w:val="auto"/>
          <w:highlight w:val="none"/>
        </w:rPr>
        <w:fldChar w:fldCharType="begin"/>
      </w:r>
      <w:r>
        <w:rPr>
          <w:color w:val="auto"/>
          <w:highlight w:val="none"/>
        </w:rPr>
        <w:instrText xml:space="preserve"> HYPERLINK "http://ggggjy.gxgg.gov.cn:9005/" </w:instrText>
      </w:r>
      <w:r>
        <w:rPr>
          <w:color w:val="auto"/>
          <w:highlight w:val="none"/>
        </w:rPr>
        <w:fldChar w:fldCharType="separate"/>
      </w:r>
      <w:r>
        <w:rPr>
          <w:rFonts w:ascii="宋体" w:hAnsi="宋体" w:cs="宋体"/>
          <w:color w:val="auto"/>
          <w:szCs w:val="21"/>
          <w:highlight w:val="none"/>
        </w:rPr>
        <w:t>http://ggggjy.gxgg.gov.cn:9005/</w:t>
      </w:r>
      <w:r>
        <w:rPr>
          <w:rFonts w:ascii="宋体" w:hAnsi="宋体" w:cs="宋体"/>
          <w:color w:val="auto"/>
          <w:szCs w:val="21"/>
          <w:highlight w:val="none"/>
        </w:rPr>
        <w:fldChar w:fldCharType="end"/>
      </w:r>
      <w:r>
        <w:rPr>
          <w:rFonts w:ascii="宋体" w:hAnsi="宋体" w:cs="宋体"/>
          <w:color w:val="auto"/>
          <w:szCs w:val="21"/>
          <w:highlight w:val="none"/>
        </w:rPr>
        <w:t>）免费获取采购文件，并于</w:t>
      </w:r>
      <w:r>
        <w:rPr>
          <w:rFonts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8</w:t>
      </w:r>
      <w:r>
        <w:rPr>
          <w:rFonts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7</w:t>
      </w:r>
      <w:r>
        <w:rPr>
          <w:rFonts w:ascii="宋体" w:hAnsi="宋体" w:cs="宋体"/>
          <w:color w:val="auto"/>
          <w:szCs w:val="21"/>
          <w:highlight w:val="none"/>
          <w:u w:val="single"/>
        </w:rPr>
        <w:t>日9点00分</w:t>
      </w:r>
      <w:r>
        <w:rPr>
          <w:rFonts w:ascii="宋体" w:hAnsi="宋体" w:cs="宋体"/>
          <w:color w:val="auto"/>
          <w:szCs w:val="21"/>
          <w:highlight w:val="none"/>
        </w:rPr>
        <w:t>（北京时间）前提交响应文件。</w:t>
      </w:r>
    </w:p>
    <w:p>
      <w:pPr>
        <w:rPr>
          <w:rFonts w:ascii="宋体" w:hAnsi="宋体" w:cs="宋体"/>
          <w:color w:val="auto"/>
          <w:szCs w:val="21"/>
          <w:highlight w:val="none"/>
        </w:rPr>
      </w:pPr>
    </w:p>
    <w:p>
      <w:pPr>
        <w:pStyle w:val="4"/>
        <w:spacing w:line="240" w:lineRule="auto"/>
        <w:rPr>
          <w:rFonts w:ascii="宋体" w:hAnsi="宋体" w:eastAsia="宋体" w:cs="宋体"/>
          <w:color w:val="auto"/>
          <w:sz w:val="21"/>
          <w:szCs w:val="21"/>
          <w:highlight w:val="none"/>
        </w:rPr>
      </w:pPr>
      <w:bookmarkStart w:id="2" w:name="_Toc28359012"/>
      <w:bookmarkStart w:id="3" w:name="_Toc35393798"/>
      <w:bookmarkStart w:id="4" w:name="_Toc35393629"/>
      <w:bookmarkStart w:id="5" w:name="_Toc28359089"/>
      <w:r>
        <w:rPr>
          <w:rFonts w:ascii="宋体" w:hAnsi="宋体" w:eastAsia="宋体" w:cs="宋体"/>
          <w:color w:val="auto"/>
          <w:sz w:val="21"/>
          <w:szCs w:val="21"/>
          <w:highlight w:val="none"/>
        </w:rPr>
        <w:t>一、项目基本情况</w:t>
      </w:r>
      <w:bookmarkEnd w:id="2"/>
      <w:bookmarkEnd w:id="3"/>
      <w:bookmarkEnd w:id="4"/>
      <w:bookmarkEnd w:id="5"/>
    </w:p>
    <w:p>
      <w:pPr>
        <w:ind w:firstLine="420" w:firstLineChars="200"/>
        <w:rPr>
          <w:rFonts w:hint="eastAsia" w:ascii="宋体" w:hAnsi="宋体" w:cs="宋体" w:eastAsiaTheme="minorEastAsia"/>
          <w:color w:val="auto"/>
          <w:szCs w:val="21"/>
          <w:highlight w:val="none"/>
          <w:lang w:eastAsia="zh-CN"/>
        </w:rPr>
      </w:pPr>
      <w:r>
        <w:rPr>
          <w:rFonts w:ascii="宋体" w:hAnsi="宋体" w:cs="宋体"/>
          <w:color w:val="auto"/>
          <w:szCs w:val="21"/>
          <w:highlight w:val="none"/>
        </w:rPr>
        <w:t>项目编号:</w:t>
      </w:r>
      <w:r>
        <w:rPr>
          <w:rFonts w:hint="eastAsia" w:ascii="宋体" w:hAnsi="宋体" w:cs="宋体"/>
          <w:color w:val="auto"/>
          <w:szCs w:val="21"/>
          <w:highlight w:val="none"/>
          <w:lang w:eastAsia="zh-CN"/>
        </w:rPr>
        <w:t>GGZC2020-C3-50152-GXBX</w:t>
      </w:r>
    </w:p>
    <w:p>
      <w:pPr>
        <w:ind w:firstLine="420" w:firstLineChars="200"/>
        <w:rPr>
          <w:rFonts w:hint="eastAsia" w:ascii="宋体" w:hAnsi="宋体" w:cs="宋体" w:eastAsiaTheme="minorEastAsia"/>
          <w:color w:val="auto"/>
          <w:szCs w:val="21"/>
          <w:highlight w:val="none"/>
          <w:u w:val="single"/>
          <w:lang w:eastAsia="zh-CN"/>
        </w:rPr>
      </w:pPr>
      <w:r>
        <w:rPr>
          <w:rFonts w:ascii="宋体" w:hAnsi="宋体" w:cs="宋体"/>
          <w:color w:val="auto"/>
          <w:szCs w:val="21"/>
          <w:highlight w:val="none"/>
        </w:rPr>
        <w:t>项目名称：</w:t>
      </w:r>
      <w:r>
        <w:rPr>
          <w:rFonts w:hint="eastAsia" w:ascii="宋体" w:hAnsi="宋体" w:cs="宋体"/>
          <w:color w:val="auto"/>
          <w:szCs w:val="21"/>
          <w:highlight w:val="none"/>
          <w:lang w:eastAsia="zh-CN"/>
        </w:rPr>
        <w:t>广西桂平市人民武装部营院易地搬迁工程项目监理</w:t>
      </w:r>
    </w:p>
    <w:p>
      <w:pPr>
        <w:ind w:firstLine="420" w:firstLineChars="200"/>
        <w:rPr>
          <w:rFonts w:ascii="宋体" w:hAnsi="宋体" w:cs="宋体"/>
          <w:color w:val="auto"/>
          <w:szCs w:val="21"/>
          <w:highlight w:val="none"/>
        </w:rPr>
      </w:pPr>
      <w:r>
        <w:rPr>
          <w:rFonts w:ascii="宋体" w:hAnsi="宋体" w:cs="宋体"/>
          <w:color w:val="auto"/>
          <w:szCs w:val="21"/>
          <w:highlight w:val="none"/>
        </w:rPr>
        <w:t>采购方式：竞争性磋商</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预算金额（人民币）：</w:t>
      </w:r>
      <w:r>
        <w:rPr>
          <w:rFonts w:hint="eastAsia" w:ascii="宋体" w:hAnsi="宋体" w:cs="宋体"/>
          <w:color w:val="auto"/>
          <w:szCs w:val="21"/>
          <w:highlight w:val="none"/>
          <w:lang w:eastAsia="zh-CN"/>
        </w:rPr>
        <w:t>捌拾万零玖佰贰拾玖元肆角整</w:t>
      </w:r>
      <w:r>
        <w:rPr>
          <w:rFonts w:hint="eastAsia" w:ascii="宋体" w:hAnsi="宋体" w:cs="宋体"/>
          <w:color w:val="auto"/>
          <w:szCs w:val="21"/>
          <w:highlight w:val="none"/>
        </w:rPr>
        <w:t>（</w:t>
      </w:r>
      <w:r>
        <w:rPr>
          <w:rFonts w:ascii="Arial" w:hAnsi="Arial" w:cs="Arial"/>
          <w:color w:val="auto"/>
          <w:szCs w:val="21"/>
          <w:highlight w:val="none"/>
        </w:rPr>
        <w:t>¥</w:t>
      </w:r>
      <w:r>
        <w:rPr>
          <w:rFonts w:hint="eastAsia" w:ascii="Arial" w:hAnsi="Arial" w:cs="Arial"/>
          <w:color w:val="auto"/>
          <w:szCs w:val="21"/>
          <w:highlight w:val="none"/>
          <w:lang w:eastAsia="zh-CN"/>
        </w:rPr>
        <w:t>800929.40</w:t>
      </w:r>
      <w:r>
        <w:rPr>
          <w:rFonts w:hint="eastAsia" w:ascii="Arial" w:hAnsi="Arial" w:cs="Arial"/>
          <w:color w:val="auto"/>
          <w:szCs w:val="21"/>
          <w:highlight w:val="none"/>
        </w:rPr>
        <w:t>元</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shd w:val="clear" w:color="auto" w:fill="FFFFFF"/>
        </w:rPr>
      </w:pPr>
      <w:r>
        <w:rPr>
          <w:rFonts w:ascii="宋体" w:hAnsi="宋体" w:cs="宋体"/>
          <w:color w:val="auto"/>
          <w:szCs w:val="21"/>
          <w:highlight w:val="none"/>
        </w:rPr>
        <w:t>采购需求：</w:t>
      </w:r>
      <w:r>
        <w:rPr>
          <w:rFonts w:hint="eastAsia" w:ascii="宋体" w:hAnsi="宋体" w:cs="宋体"/>
          <w:color w:val="auto"/>
          <w:szCs w:val="21"/>
          <w:highlight w:val="none"/>
          <w:lang w:eastAsia="zh-CN"/>
        </w:rPr>
        <w:t>广西桂平市人民武装部营院易地搬迁工程项目监理</w:t>
      </w:r>
      <w:r>
        <w:rPr>
          <w:rFonts w:hint="eastAsia" w:ascii="宋体" w:hAnsi="宋体" w:cs="宋体"/>
          <w:color w:val="auto"/>
          <w:szCs w:val="21"/>
          <w:highlight w:val="none"/>
        </w:rPr>
        <w:t>1项，项目建设地址：桂平市金田大道交龙潭大道处。项目建设规模及主要建设内容：</w:t>
      </w:r>
      <w:r>
        <w:rPr>
          <w:rFonts w:hint="eastAsia" w:ascii="宋体" w:hAnsi="宋体" w:cs="宋体"/>
          <w:color w:val="auto"/>
          <w:szCs w:val="21"/>
          <w:highlight w:val="none"/>
          <w:lang w:eastAsia="zh-CN"/>
        </w:rPr>
        <w:t>总建筑面积约11400㎡。主要建设办公指挥综合楼一栋，建筑面积2200㎡；民兵训练中心一栋，建筑面积5900㎡；运动馆一栋，建筑面积750㎡；附属配套一栋，楼建筑面积500㎡；公寓楼一栋，建筑面积1900㎡；值班室、配电房建筑面积150㎡；400米标准运动场、篮球场、围墙、道路及营院供配电、照明、消防、给排水、绿化等。具体内容详见工程量清单及施工图纸</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shd w:val="clear" w:color="auto" w:fill="FFFFFF"/>
        </w:rPr>
      </w:pPr>
      <w:r>
        <w:rPr>
          <w:rFonts w:ascii="宋体" w:hAnsi="宋体" w:cs="宋体"/>
          <w:color w:val="auto"/>
          <w:szCs w:val="21"/>
          <w:highlight w:val="none"/>
          <w:shd w:val="clear" w:color="auto" w:fill="FFFFFF"/>
        </w:rPr>
        <w:t>监理服务范围：</w:t>
      </w:r>
      <w:r>
        <w:rPr>
          <w:rFonts w:hint="eastAsia" w:ascii="宋体" w:hAnsi="宋体" w:cs="宋体"/>
          <w:color w:val="auto"/>
          <w:szCs w:val="21"/>
          <w:highlight w:val="none"/>
          <w:shd w:val="clear" w:color="auto" w:fill="FFFFFF"/>
        </w:rPr>
        <w:t>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督管理、合同、信息等方面的协调管理。保修阶段：检查和记录工程质量缺陷，对缺陷原因进行调查分析并确定责任归属，审核修复方案，监督修复过程并验收，审核修复费用等施工阶段的监理。</w:t>
      </w:r>
    </w:p>
    <w:p>
      <w:pPr>
        <w:ind w:firstLine="420" w:firstLineChars="200"/>
        <w:rPr>
          <w:rFonts w:ascii="宋体" w:hAnsi="宋体" w:cs="宋体"/>
          <w:color w:val="auto"/>
          <w:szCs w:val="21"/>
          <w:highlight w:val="none"/>
        </w:rPr>
      </w:pPr>
      <w:r>
        <w:rPr>
          <w:rFonts w:ascii="宋体" w:hAnsi="宋体" w:cs="宋体"/>
          <w:color w:val="auto"/>
          <w:szCs w:val="21"/>
          <w:highlight w:val="none"/>
        </w:rPr>
        <w:t>监理质量要求：</w:t>
      </w:r>
      <w:r>
        <w:rPr>
          <w:rFonts w:hint="eastAsia" w:ascii="宋体" w:hAnsi="宋体" w:cs="宋体"/>
          <w:color w:val="auto"/>
          <w:szCs w:val="21"/>
          <w:highlight w:val="none"/>
        </w:rPr>
        <w:t>严格按照国家有关监理规范要求全过程监督工程质量，确保工程质量达到合格以上。</w:t>
      </w:r>
    </w:p>
    <w:p>
      <w:pPr>
        <w:ind w:firstLine="420" w:firstLineChars="200"/>
        <w:rPr>
          <w:rFonts w:ascii="宋体" w:hAnsi="宋体" w:cs="宋体"/>
          <w:color w:val="auto"/>
          <w:szCs w:val="21"/>
          <w:highlight w:val="none"/>
        </w:rPr>
      </w:pPr>
      <w:r>
        <w:rPr>
          <w:rFonts w:ascii="宋体" w:hAnsi="宋体" w:cs="宋体"/>
          <w:color w:val="auto"/>
          <w:szCs w:val="21"/>
          <w:highlight w:val="none"/>
        </w:rPr>
        <w:t xml:space="preserve">监理服务期限：自合同签订之日起开始实施，至工程竣工验收合格，保修期满完毕（监理工期与施工工期一致）。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val="en-US" w:eastAsia="zh-CN"/>
        </w:rPr>
        <w:t>概算总投资</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7186.59</w:t>
      </w:r>
      <w:r>
        <w:rPr>
          <w:rFonts w:hint="eastAsia" w:ascii="宋体" w:hAnsi="宋体" w:cs="宋体"/>
          <w:color w:val="auto"/>
          <w:szCs w:val="21"/>
          <w:highlight w:val="none"/>
        </w:rPr>
        <w:t>万元</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其中建安工程费约3920.85万元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资金来源：</w:t>
      </w:r>
      <w:r>
        <w:rPr>
          <w:rFonts w:hint="eastAsia" w:ascii="宋体" w:hAnsi="宋体" w:cs="宋体"/>
          <w:color w:val="auto"/>
          <w:szCs w:val="21"/>
          <w:highlight w:val="none"/>
          <w:lang w:eastAsia="zh-CN"/>
        </w:rPr>
        <w:t>财政拨款</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eastAsia="宋体" w:cs="宋体"/>
          <w:color w:val="auto"/>
          <w:szCs w:val="21"/>
          <w:highlight w:val="none"/>
        </w:rPr>
        <w:t>如需进一步了解详细内容，详见竞争性谈判文件。</w:t>
      </w:r>
    </w:p>
    <w:p>
      <w:pPr>
        <w:ind w:firstLine="630" w:firstLineChars="300"/>
        <w:rPr>
          <w:rFonts w:ascii="宋体" w:hAnsi="宋体" w:cs="宋体"/>
          <w:color w:val="auto"/>
          <w:szCs w:val="21"/>
          <w:highlight w:val="none"/>
        </w:rPr>
      </w:pPr>
      <w:r>
        <w:rPr>
          <w:rFonts w:ascii="宋体" w:hAnsi="宋体" w:cs="宋体"/>
          <w:color w:val="auto"/>
          <w:szCs w:val="21"/>
          <w:highlight w:val="none"/>
        </w:rPr>
        <w:t>本项目不接受联合体。</w:t>
      </w:r>
    </w:p>
    <w:p>
      <w:pPr>
        <w:pStyle w:val="4"/>
        <w:spacing w:line="240" w:lineRule="auto"/>
        <w:rPr>
          <w:rFonts w:ascii="宋体" w:hAnsi="宋体" w:eastAsia="宋体" w:cs="宋体"/>
          <w:b w:val="0"/>
          <w:bCs w:val="0"/>
          <w:color w:val="auto"/>
          <w:sz w:val="21"/>
          <w:szCs w:val="21"/>
          <w:highlight w:val="none"/>
        </w:rPr>
      </w:pPr>
      <w:bookmarkStart w:id="6" w:name="_Toc28359013"/>
      <w:bookmarkStart w:id="7" w:name="_Toc28359090"/>
      <w:bookmarkStart w:id="8" w:name="_Toc35393799"/>
      <w:bookmarkStart w:id="9" w:name="_Toc35393630"/>
      <w:r>
        <w:rPr>
          <w:rFonts w:ascii="宋体" w:hAnsi="宋体" w:eastAsia="宋体" w:cs="宋体"/>
          <w:b w:val="0"/>
          <w:bCs w:val="0"/>
          <w:color w:val="auto"/>
          <w:sz w:val="21"/>
          <w:szCs w:val="21"/>
          <w:highlight w:val="none"/>
        </w:rPr>
        <w:t>二</w:t>
      </w:r>
      <w:r>
        <w:rPr>
          <w:rFonts w:ascii="宋体" w:hAnsi="宋体" w:eastAsia="宋体" w:cs="宋体"/>
          <w:color w:val="auto"/>
          <w:sz w:val="21"/>
          <w:szCs w:val="21"/>
          <w:highlight w:val="none"/>
        </w:rPr>
        <w:t>、申请人的资格要求：</w:t>
      </w:r>
      <w:bookmarkEnd w:id="6"/>
      <w:bookmarkEnd w:id="7"/>
      <w:bookmarkEnd w:id="8"/>
      <w:bookmarkEnd w:id="9"/>
    </w:p>
    <w:p>
      <w:pPr>
        <w:ind w:firstLine="420" w:firstLineChars="200"/>
        <w:rPr>
          <w:rFonts w:ascii="宋体" w:hAnsi="宋体" w:cs="宋体"/>
          <w:color w:val="auto"/>
          <w:szCs w:val="21"/>
          <w:highlight w:val="none"/>
        </w:rPr>
      </w:pPr>
      <w:r>
        <w:rPr>
          <w:rFonts w:ascii="宋体" w:hAnsi="宋体" w:cs="宋体"/>
          <w:color w:val="auto"/>
          <w:szCs w:val="21"/>
          <w:highlight w:val="none"/>
        </w:rPr>
        <w:t xml:space="preserve">1. </w:t>
      </w:r>
      <w:r>
        <w:rPr>
          <w:rFonts w:hint="eastAsia" w:ascii="宋体" w:hAnsi="宋体" w:cs="宋体"/>
          <w:color w:val="auto"/>
          <w:szCs w:val="21"/>
          <w:highlight w:val="none"/>
          <w:lang w:val="en-US" w:eastAsia="zh-CN"/>
        </w:rPr>
        <w:t>满足</w:t>
      </w:r>
      <w:r>
        <w:rPr>
          <w:rFonts w:ascii="宋体" w:hAnsi="宋体" w:cs="宋体"/>
          <w:color w:val="auto"/>
          <w:szCs w:val="21"/>
          <w:highlight w:val="none"/>
        </w:rPr>
        <w:t>《中华人民共和国政府采购法》第二十二条</w:t>
      </w:r>
      <w:r>
        <w:rPr>
          <w:rFonts w:hint="eastAsia" w:ascii="宋体" w:hAnsi="宋体" w:cs="宋体"/>
          <w:color w:val="auto"/>
          <w:szCs w:val="21"/>
          <w:highlight w:val="none"/>
          <w:lang w:val="en-US" w:eastAsia="zh-CN"/>
        </w:rPr>
        <w:t>规定；</w:t>
      </w:r>
      <w:bookmarkStart w:id="10" w:name="_Toc28359091"/>
      <w:bookmarkStart w:id="11" w:name="_Toc28359014"/>
    </w:p>
    <w:p>
      <w:pPr>
        <w:ind w:firstLine="420" w:firstLineChars="200"/>
        <w:rPr>
          <w:rFonts w:hint="eastAsia" w:ascii="宋体" w:hAnsi="宋体" w:cs="宋体" w:eastAsiaTheme="minorEastAsia"/>
          <w:color w:val="auto"/>
          <w:szCs w:val="21"/>
          <w:highlight w:val="none"/>
          <w:lang w:val="en-US" w:eastAsia="zh-CN"/>
        </w:rPr>
      </w:pPr>
      <w:r>
        <w:rPr>
          <w:rFonts w:ascii="宋体" w:hAnsi="宋体" w:cs="宋体"/>
          <w:color w:val="auto"/>
          <w:szCs w:val="21"/>
          <w:highlight w:val="none"/>
        </w:rPr>
        <w:t>2.落实政府采购政策需满足的资格要求：</w:t>
      </w:r>
      <w:r>
        <w:rPr>
          <w:rFonts w:hint="eastAsia" w:ascii="宋体" w:hAnsi="宋体" w:cs="宋体"/>
          <w:color w:val="auto"/>
          <w:szCs w:val="21"/>
          <w:highlight w:val="none"/>
          <w:lang w:val="en-US" w:eastAsia="zh-CN"/>
        </w:rPr>
        <w:t>无；</w:t>
      </w:r>
    </w:p>
    <w:p>
      <w:pPr>
        <w:ind w:firstLine="420" w:firstLineChars="200"/>
        <w:rPr>
          <w:rFonts w:hint="eastAsia"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3</w:t>
      </w:r>
      <w:r>
        <w:rPr>
          <w:rFonts w:ascii="宋体" w:hAnsi="宋体" w:cs="宋体"/>
          <w:color w:val="auto"/>
          <w:szCs w:val="21"/>
          <w:highlight w:val="none"/>
        </w:rPr>
        <w:t>.</w:t>
      </w:r>
      <w:r>
        <w:rPr>
          <w:rFonts w:hint="eastAsia" w:ascii="宋体" w:hAnsi="宋体" w:cs="宋体"/>
          <w:color w:val="auto"/>
          <w:szCs w:val="21"/>
          <w:highlight w:val="none"/>
          <w:lang w:val="en-US" w:eastAsia="zh-CN"/>
        </w:rPr>
        <w:t>本项目的特定资格要求：</w:t>
      </w:r>
      <w:r>
        <w:rPr>
          <w:rFonts w:ascii="宋体" w:hAnsi="宋体" w:cs="宋体"/>
          <w:color w:val="auto"/>
          <w:szCs w:val="21"/>
          <w:highlight w:val="none"/>
        </w:rPr>
        <w:t>本次采购要求供应商</w:t>
      </w:r>
      <w:r>
        <w:rPr>
          <w:rFonts w:hint="eastAsia" w:ascii="宋体" w:hAnsi="宋体" w:cs="宋体"/>
          <w:color w:val="auto"/>
          <w:szCs w:val="21"/>
          <w:highlight w:val="none"/>
          <w:lang w:val="en-US" w:eastAsia="zh-CN"/>
        </w:rPr>
        <w:t>符合</w:t>
      </w:r>
      <w:r>
        <w:rPr>
          <w:rFonts w:ascii="宋体" w:hAnsi="宋体" w:cs="宋体"/>
          <w:color w:val="auto"/>
          <w:szCs w:val="21"/>
          <w:highlight w:val="none"/>
        </w:rPr>
        <w:t>《中华人民共和国政府采购法实施条例》第十八条规定，具备合法资格的供应商</w:t>
      </w:r>
      <w:r>
        <w:rPr>
          <w:rFonts w:hint="eastAsia" w:ascii="宋体" w:hAnsi="宋体" w:cs="宋体"/>
          <w:color w:val="auto"/>
          <w:szCs w:val="21"/>
          <w:highlight w:val="none"/>
          <w:lang w:eastAsia="zh-CN"/>
        </w:rPr>
        <w:t>，</w:t>
      </w:r>
      <w:r>
        <w:rPr>
          <w:rFonts w:ascii="宋体" w:hAnsi="宋体" w:cs="宋体"/>
          <w:color w:val="auto"/>
          <w:szCs w:val="21"/>
          <w:highlight w:val="none"/>
        </w:rPr>
        <w:t>须具备</w:t>
      </w:r>
      <w:r>
        <w:rPr>
          <w:rFonts w:hint="eastAsia" w:hAnsi="宋体"/>
          <w:color w:val="auto"/>
          <w:highlight w:val="none"/>
        </w:rPr>
        <w:t>住房城乡</w:t>
      </w:r>
      <w:r>
        <w:rPr>
          <w:rFonts w:hAnsi="宋体"/>
          <w:color w:val="auto"/>
          <w:highlight w:val="none"/>
        </w:rPr>
        <w:t>建设行政主管部门颁发的</w:t>
      </w:r>
      <w:r>
        <w:rPr>
          <w:rFonts w:hint="eastAsia" w:hAnsi="宋体"/>
          <w:color w:val="auto"/>
          <w:highlight w:val="none"/>
          <w:u w:val="single"/>
          <w:lang w:eastAsia="zh-CN"/>
        </w:rPr>
        <w:t>房屋建筑工程监理乙级</w:t>
      </w:r>
      <w:r>
        <w:rPr>
          <w:rFonts w:hint="eastAsia" w:hAnsi="宋体"/>
          <w:color w:val="auto"/>
          <w:highlight w:val="none"/>
          <w:u w:val="single"/>
        </w:rPr>
        <w:t>及以上资质或工程监理综合资质</w:t>
      </w:r>
      <w:r>
        <w:rPr>
          <w:rFonts w:ascii="宋体" w:hAnsi="宋体" w:cs="宋体"/>
          <w:color w:val="auto"/>
          <w:szCs w:val="21"/>
          <w:highlight w:val="none"/>
        </w:rPr>
        <w:t>，并在人员、设备、资金等方面具备相应的工程监理能力。其中，供应商拟派总监理工程师须具备</w:t>
      </w:r>
      <w:r>
        <w:rPr>
          <w:rFonts w:hAnsi="宋体"/>
          <w:color w:val="auto"/>
          <w:highlight w:val="none"/>
        </w:rPr>
        <w:t>国家注册监理工程师执业资格</w:t>
      </w:r>
      <w:r>
        <w:rPr>
          <w:rFonts w:hint="eastAsia" w:hAnsi="宋体"/>
          <w:color w:val="auto"/>
          <w:highlight w:val="none"/>
        </w:rPr>
        <w:t>证</w:t>
      </w:r>
      <w:r>
        <w:rPr>
          <w:rFonts w:hint="eastAsia" w:hAnsi="宋体"/>
          <w:color w:val="auto"/>
          <w:highlight w:val="none"/>
          <w:u w:val="single"/>
        </w:rPr>
        <w:t>（房屋建筑工程</w:t>
      </w:r>
      <w:r>
        <w:rPr>
          <w:rFonts w:hint="eastAsia"/>
          <w:color w:val="auto"/>
          <w:highlight w:val="none"/>
          <w:u w:val="single"/>
        </w:rPr>
        <w:t>注册</w:t>
      </w:r>
      <w:r>
        <w:rPr>
          <w:rFonts w:hAnsi="宋体"/>
          <w:color w:val="auto"/>
          <w:highlight w:val="none"/>
          <w:u w:val="single"/>
        </w:rPr>
        <w:t>专业</w:t>
      </w:r>
      <w:r>
        <w:rPr>
          <w:rFonts w:hint="eastAsia" w:hAnsi="宋体"/>
          <w:color w:val="auto"/>
          <w:highlight w:val="none"/>
          <w:u w:val="single"/>
        </w:rPr>
        <w:t>）</w:t>
      </w:r>
      <w:r>
        <w:rPr>
          <w:rFonts w:ascii="宋体" w:hAnsi="宋体" w:cs="宋体"/>
          <w:color w:val="auto"/>
          <w:szCs w:val="21"/>
          <w:highlight w:val="none"/>
        </w:rPr>
        <w:t>。</w:t>
      </w:r>
    </w:p>
    <w:p>
      <w:pPr>
        <w:pStyle w:val="4"/>
        <w:spacing w:line="240" w:lineRule="auto"/>
        <w:rPr>
          <w:rFonts w:ascii="宋体" w:hAnsi="宋体" w:eastAsia="宋体" w:cs="宋体"/>
          <w:color w:val="auto"/>
          <w:sz w:val="21"/>
          <w:szCs w:val="21"/>
          <w:highlight w:val="none"/>
        </w:rPr>
      </w:pPr>
      <w:bookmarkStart w:id="12" w:name="_Toc35393800"/>
      <w:bookmarkStart w:id="13" w:name="_Toc35393631"/>
      <w:r>
        <w:rPr>
          <w:rFonts w:ascii="宋体" w:hAnsi="宋体" w:eastAsia="宋体" w:cs="宋体"/>
          <w:color w:val="auto"/>
          <w:sz w:val="21"/>
          <w:szCs w:val="21"/>
          <w:highlight w:val="none"/>
        </w:rPr>
        <w:t>三、获取采购文件</w:t>
      </w:r>
      <w:bookmarkEnd w:id="10"/>
      <w:bookmarkEnd w:id="11"/>
      <w:bookmarkEnd w:id="12"/>
      <w:bookmarkEnd w:id="13"/>
    </w:p>
    <w:p>
      <w:pPr>
        <w:ind w:firstLine="420" w:firstLineChars="200"/>
        <w:rPr>
          <w:rFonts w:ascii="宋体" w:hAnsi="宋体" w:cs="宋体"/>
          <w:color w:val="auto"/>
          <w:szCs w:val="21"/>
          <w:highlight w:val="none"/>
        </w:rPr>
      </w:pPr>
      <w:bookmarkStart w:id="14" w:name="_Toc28359015"/>
      <w:bookmarkStart w:id="15" w:name="_Toc35393801"/>
      <w:bookmarkStart w:id="16" w:name="_Toc28359092"/>
      <w:bookmarkStart w:id="17" w:name="_Toc35393632"/>
      <w:r>
        <w:rPr>
          <w:rFonts w:hint="eastAsia" w:ascii="宋体" w:hAnsi="宋体" w:cs="宋体"/>
          <w:color w:val="auto"/>
          <w:szCs w:val="21"/>
          <w:highlight w:val="none"/>
        </w:rPr>
        <w:t>采购文件由潜在供应商在招标信息公告网站自行下载。潜在供应商在截标现场签到报名，便认定为本项目的报名人。供应商在签到报名后即可递交投标文件。</w:t>
      </w:r>
    </w:p>
    <w:p>
      <w:pPr>
        <w:pStyle w:val="4"/>
        <w:spacing w:line="24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四、响应文件提交</w:t>
      </w:r>
      <w:bookmarkEnd w:id="14"/>
      <w:bookmarkEnd w:id="15"/>
      <w:bookmarkEnd w:id="16"/>
      <w:bookmarkEnd w:id="17"/>
    </w:p>
    <w:p>
      <w:pPr>
        <w:ind w:firstLine="420" w:firstLineChars="200"/>
        <w:rPr>
          <w:rFonts w:ascii="宋体" w:hAnsi="宋体" w:cs="宋体"/>
          <w:color w:val="auto"/>
          <w:szCs w:val="21"/>
          <w:highlight w:val="none"/>
          <w:u w:val="single"/>
        </w:rPr>
      </w:pPr>
      <w:r>
        <w:rPr>
          <w:rFonts w:ascii="宋体" w:hAnsi="宋体" w:cs="宋体"/>
          <w:color w:val="auto"/>
          <w:szCs w:val="21"/>
          <w:highlight w:val="none"/>
        </w:rPr>
        <w:t>截止时间：</w:t>
      </w:r>
      <w:r>
        <w:rPr>
          <w:rFonts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8</w:t>
      </w:r>
      <w:r>
        <w:rPr>
          <w:rFonts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7</w:t>
      </w:r>
      <w:r>
        <w:rPr>
          <w:rFonts w:ascii="宋体" w:hAnsi="宋体" w:cs="宋体"/>
          <w:color w:val="auto"/>
          <w:szCs w:val="21"/>
          <w:highlight w:val="none"/>
          <w:u w:val="single"/>
        </w:rPr>
        <w:t>日9点00分</w:t>
      </w:r>
      <w:r>
        <w:rPr>
          <w:rFonts w:ascii="宋体" w:hAnsi="宋体" w:cs="宋体"/>
          <w:color w:val="auto"/>
          <w:szCs w:val="21"/>
          <w:highlight w:val="none"/>
        </w:rPr>
        <w:t>（北京时间）</w:t>
      </w:r>
      <w:r>
        <w:rPr>
          <w:rFonts w:ascii="宋体" w:hAnsi="宋体" w:cs="宋体"/>
          <w:color w:val="auto"/>
          <w:szCs w:val="21"/>
          <w:highlight w:val="none"/>
          <w:u w:val="single"/>
        </w:rPr>
        <w:t>（</w:t>
      </w:r>
      <w:r>
        <w:rPr>
          <w:rFonts w:ascii="宋体" w:hAnsi="宋体" w:cs="宋体"/>
          <w:i/>
          <w:iCs/>
          <w:color w:val="auto"/>
          <w:szCs w:val="21"/>
          <w:highlight w:val="none"/>
          <w:u w:val="single"/>
        </w:rPr>
        <w:t>从磋商文件开始发出之日起至供应商提交首次响应文件截止之日止不得少于10日</w:t>
      </w:r>
      <w:r>
        <w:rPr>
          <w:rFonts w:ascii="宋体" w:hAnsi="宋体" w:cs="宋体"/>
          <w:color w:val="auto"/>
          <w:szCs w:val="21"/>
          <w:highlight w:val="none"/>
          <w:u w:val="single"/>
        </w:rPr>
        <w:t>）</w:t>
      </w:r>
      <w:r>
        <w:rPr>
          <w:rFonts w:ascii="宋体" w:hAnsi="宋体" w:cs="宋体"/>
          <w:color w:val="auto"/>
          <w:szCs w:val="21"/>
          <w:highlight w:val="none"/>
        </w:rPr>
        <w:t>。</w:t>
      </w:r>
    </w:p>
    <w:p>
      <w:pPr>
        <w:ind w:firstLine="420" w:firstLineChars="200"/>
        <w:rPr>
          <w:rFonts w:ascii="宋体" w:hAnsi="宋体" w:cs="宋体"/>
          <w:color w:val="auto"/>
          <w:szCs w:val="21"/>
          <w:highlight w:val="none"/>
          <w:u w:val="single"/>
        </w:rPr>
      </w:pPr>
      <w:r>
        <w:rPr>
          <w:rFonts w:ascii="宋体" w:hAnsi="宋体" w:cs="宋体"/>
          <w:color w:val="auto"/>
          <w:szCs w:val="21"/>
          <w:highlight w:val="none"/>
        </w:rPr>
        <w:t>地点：</w:t>
      </w:r>
      <w:r>
        <w:rPr>
          <w:rFonts w:hint="eastAsia" w:ascii="宋体" w:hAnsi="宋体" w:cs="宋体"/>
          <w:color w:val="auto"/>
          <w:szCs w:val="21"/>
          <w:highlight w:val="none"/>
        </w:rPr>
        <w:t>桂平市公共资源交易中心【桂江西路政务服务中心新大楼（原国会大厦）五楼】</w:t>
      </w:r>
      <w:r>
        <w:rPr>
          <w:rFonts w:ascii="宋体" w:hAnsi="宋体" w:cs="宋体"/>
          <w:color w:val="auto"/>
          <w:szCs w:val="21"/>
          <w:highlight w:val="none"/>
        </w:rPr>
        <w:t>。</w:t>
      </w:r>
    </w:p>
    <w:p>
      <w:pPr>
        <w:pStyle w:val="4"/>
        <w:spacing w:line="240" w:lineRule="auto"/>
        <w:rPr>
          <w:rFonts w:ascii="宋体" w:hAnsi="宋体" w:eastAsia="宋体" w:cs="宋体"/>
          <w:color w:val="auto"/>
          <w:sz w:val="21"/>
          <w:szCs w:val="21"/>
          <w:highlight w:val="none"/>
        </w:rPr>
      </w:pPr>
      <w:bookmarkStart w:id="18" w:name="_Toc28359093"/>
      <w:bookmarkStart w:id="19" w:name="_Toc35393633"/>
      <w:bookmarkStart w:id="20" w:name="_Toc35393802"/>
      <w:bookmarkStart w:id="21" w:name="_Toc28359016"/>
      <w:r>
        <w:rPr>
          <w:rFonts w:ascii="宋体" w:hAnsi="宋体" w:eastAsia="宋体" w:cs="宋体"/>
          <w:color w:val="auto"/>
          <w:sz w:val="21"/>
          <w:szCs w:val="21"/>
          <w:highlight w:val="none"/>
        </w:rPr>
        <w:t>五、开启</w:t>
      </w:r>
      <w:bookmarkEnd w:id="18"/>
      <w:bookmarkEnd w:id="19"/>
      <w:bookmarkEnd w:id="20"/>
      <w:bookmarkEnd w:id="21"/>
      <w:bookmarkStart w:id="22" w:name="_Toc28359094"/>
      <w:bookmarkStart w:id="23" w:name="_Toc35393634"/>
      <w:bookmarkStart w:id="24" w:name="_Toc35393803"/>
      <w:bookmarkStart w:id="25" w:name="_Toc28359017"/>
      <w:r>
        <w:rPr>
          <w:rFonts w:ascii="宋体" w:hAnsi="宋体" w:eastAsia="宋体" w:cs="宋体"/>
          <w:color w:val="auto"/>
          <w:sz w:val="21"/>
          <w:szCs w:val="21"/>
          <w:highlight w:val="none"/>
        </w:rPr>
        <w:t>（磋商时间及地点）：</w:t>
      </w:r>
    </w:p>
    <w:p>
      <w:pPr>
        <w:ind w:firstLine="420" w:firstLineChars="200"/>
        <w:rPr>
          <w:rFonts w:ascii="宋体" w:hAnsi="宋体" w:cs="宋体"/>
          <w:color w:val="auto"/>
          <w:szCs w:val="21"/>
          <w:highlight w:val="none"/>
        </w:rPr>
      </w:pPr>
      <w:r>
        <w:rPr>
          <w:rFonts w:ascii="宋体" w:hAnsi="宋体" w:cs="宋体"/>
          <w:color w:val="auto"/>
          <w:szCs w:val="21"/>
          <w:highlight w:val="none"/>
        </w:rPr>
        <w:t>响应文件递交截止时间后为磋商小组与磋商供应商磋商时间，具体时间由采购代理机构另行通知。地点：</w:t>
      </w:r>
      <w:r>
        <w:rPr>
          <w:rFonts w:hint="eastAsia" w:ascii="宋体" w:hAnsi="宋体" w:cs="宋体"/>
          <w:color w:val="auto"/>
          <w:szCs w:val="21"/>
          <w:highlight w:val="none"/>
        </w:rPr>
        <w:t>桂平市公共资源交易中心【桂江西路政务服务中心新大楼（原国会大厦）五楼】</w:t>
      </w:r>
      <w:r>
        <w:rPr>
          <w:rFonts w:ascii="宋体" w:hAnsi="宋体" w:cs="宋体"/>
          <w:color w:val="auto"/>
          <w:szCs w:val="21"/>
          <w:highlight w:val="none"/>
        </w:rPr>
        <w:t>。参加磋商的法定代表人、负责人、自然人或相应的委托代理人必须持有效证件【法定代表人（负责人、自然人）凭身份证或相应的委托代理人凭授权委托书原件和身份证】依时到达指定地点等候当面磋商。响应文件递交截止时间后，磋商小组在评标室启封响应文件。</w:t>
      </w:r>
    </w:p>
    <w:p>
      <w:pPr>
        <w:pStyle w:val="4"/>
        <w:spacing w:line="24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六、公告期限</w:t>
      </w:r>
      <w:bookmarkEnd w:id="22"/>
      <w:bookmarkEnd w:id="23"/>
      <w:bookmarkEnd w:id="24"/>
      <w:bookmarkEnd w:id="25"/>
    </w:p>
    <w:p>
      <w:pPr>
        <w:ind w:firstLine="420" w:firstLineChars="200"/>
        <w:rPr>
          <w:rFonts w:ascii="宋体" w:hAnsi="宋体" w:cs="宋体"/>
          <w:color w:val="auto"/>
          <w:kern w:val="0"/>
          <w:szCs w:val="21"/>
          <w:highlight w:val="none"/>
        </w:rPr>
      </w:pPr>
      <w:r>
        <w:rPr>
          <w:rFonts w:ascii="宋体" w:hAnsi="宋体" w:cs="宋体"/>
          <w:color w:val="auto"/>
          <w:kern w:val="0"/>
          <w:szCs w:val="21"/>
          <w:highlight w:val="none"/>
        </w:rPr>
        <w:t>自本公告发布之日起10日。</w:t>
      </w:r>
    </w:p>
    <w:p>
      <w:pPr>
        <w:pStyle w:val="4"/>
        <w:numPr>
          <w:ilvl w:val="0"/>
          <w:numId w:val="1"/>
        </w:numPr>
        <w:spacing w:line="240" w:lineRule="auto"/>
        <w:rPr>
          <w:rFonts w:ascii="宋体" w:hAnsi="宋体" w:eastAsia="宋体" w:cs="宋体"/>
          <w:color w:val="auto"/>
          <w:sz w:val="21"/>
          <w:szCs w:val="21"/>
          <w:highlight w:val="none"/>
        </w:rPr>
      </w:pPr>
      <w:bookmarkStart w:id="26" w:name="_Toc35393804"/>
      <w:bookmarkStart w:id="27" w:name="_Toc35393635"/>
      <w:r>
        <w:rPr>
          <w:rFonts w:ascii="宋体" w:hAnsi="宋体" w:eastAsia="宋体" w:cs="宋体"/>
          <w:color w:val="auto"/>
          <w:sz w:val="21"/>
          <w:szCs w:val="21"/>
          <w:highlight w:val="none"/>
        </w:rPr>
        <w:t>其他补充事宜</w:t>
      </w:r>
      <w:bookmarkEnd w:id="26"/>
      <w:bookmarkEnd w:id="27"/>
    </w:p>
    <w:p>
      <w:pPr>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本项目需要落实的政府采购政策：《中华人民共和国政府采购法》、《中华人民共和国政府采购法实施条例》、《政府采购促进中小企业发展暂行办法》（财库[2011]181号）、《关于政府采购支持监狱企业发展有关问题的通知》（财库[2014]68号）、《关于促进残疾人就业政府采购政策的通知》（财库〔2017〕141号）、《招标采购促进广西工业产品产销对接实施细则》（桂政办发[2015]78号）、强制采购、优先采购节能（节水）产品、环境标志产品等相关法律法规；</w:t>
      </w:r>
    </w:p>
    <w:p>
      <w:pPr>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ascii="宋体" w:hAnsi="宋体" w:cs="宋体"/>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不得参与政府采购活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ascii="宋体" w:hAnsi="宋体" w:cs="宋体"/>
          <w:color w:val="auto"/>
          <w:szCs w:val="21"/>
          <w:highlight w:val="none"/>
        </w:rPr>
        <w:t>信息公告发布媒体：http://www.ccgp.gov.cn（中国政府采购网）、http://zfcg.gxzf.gov.cn（广西壮族自治区政府采购网）、http://zfcg.czj.gxgg.gov.cn（贵港市政府采购网）、http://ggggjy.gxgg.gov.cn:9005（贵港市公共资源交易中心网） 。</w:t>
      </w:r>
    </w:p>
    <w:p>
      <w:pPr>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5、政府采购监督管理机构：</w:t>
      </w:r>
      <w:bookmarkStart w:id="28" w:name="_Toc28359095"/>
      <w:bookmarkStart w:id="29" w:name="_Toc28359018"/>
      <w:bookmarkStart w:id="30" w:name="_Toc35393805"/>
      <w:bookmarkStart w:id="31" w:name="_Toc35393636"/>
      <w:r>
        <w:rPr>
          <w:rFonts w:hint="eastAsia" w:ascii="宋体" w:hAnsi="宋体" w:cs="宋体"/>
          <w:color w:val="auto"/>
          <w:szCs w:val="21"/>
          <w:highlight w:val="none"/>
          <w:lang w:val="en-US" w:eastAsia="zh-CN"/>
        </w:rPr>
        <w:t xml:space="preserve">桂平市财政局政府采购监督管理股      </w:t>
      </w:r>
    </w:p>
    <w:p>
      <w:pPr>
        <w:ind w:firstLine="2100" w:firstLineChars="10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联系电话： 0775-3380263</w:t>
      </w:r>
    </w:p>
    <w:p>
      <w:pPr>
        <w:pStyle w:val="4"/>
        <w:numPr>
          <w:ilvl w:val="0"/>
          <w:numId w:val="1"/>
        </w:numPr>
        <w:spacing w:line="24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凡对本次采购提出询问，请按以下方式联系。</w:t>
      </w:r>
      <w:bookmarkEnd w:id="28"/>
      <w:bookmarkEnd w:id="29"/>
      <w:bookmarkEnd w:id="30"/>
      <w:bookmarkEnd w:id="31"/>
    </w:p>
    <w:p>
      <w:pPr>
        <w:pStyle w:val="4"/>
        <w:spacing w:line="240" w:lineRule="auto"/>
        <w:ind w:firstLine="632" w:firstLineChars="300"/>
        <w:rPr>
          <w:rFonts w:ascii="宋体" w:hAnsi="宋体" w:eastAsia="宋体" w:cs="宋体"/>
          <w:color w:val="auto"/>
          <w:sz w:val="21"/>
          <w:szCs w:val="21"/>
          <w:highlight w:val="none"/>
        </w:rPr>
      </w:pPr>
      <w:bookmarkStart w:id="32" w:name="_Toc35393806"/>
      <w:bookmarkStart w:id="33" w:name="_Toc35393637"/>
      <w:bookmarkStart w:id="34" w:name="_Toc28359096"/>
      <w:bookmarkStart w:id="35" w:name="_Toc28359019"/>
      <w:r>
        <w:rPr>
          <w:rFonts w:ascii="宋体" w:hAnsi="宋体" w:eastAsia="宋体" w:cs="宋体"/>
          <w:color w:val="auto"/>
          <w:sz w:val="21"/>
          <w:szCs w:val="21"/>
          <w:highlight w:val="none"/>
        </w:rPr>
        <w:t>1.采购人信息</w:t>
      </w:r>
      <w:bookmarkEnd w:id="32"/>
      <w:bookmarkEnd w:id="33"/>
      <w:bookmarkEnd w:id="34"/>
      <w:bookmarkEnd w:id="35"/>
    </w:p>
    <w:p>
      <w:pPr>
        <w:ind w:firstLine="630" w:firstLineChars="300"/>
        <w:rPr>
          <w:rFonts w:hint="eastAsia" w:ascii="宋体" w:hAnsi="宋体" w:cs="宋体" w:eastAsiaTheme="minorEastAsia"/>
          <w:color w:val="auto"/>
          <w:szCs w:val="21"/>
          <w:highlight w:val="none"/>
          <w:lang w:eastAsia="zh-CN"/>
        </w:rPr>
      </w:pPr>
      <w:r>
        <w:rPr>
          <w:rFonts w:ascii="宋体" w:hAnsi="宋体" w:cs="宋体"/>
          <w:color w:val="auto"/>
          <w:szCs w:val="21"/>
          <w:highlight w:val="none"/>
        </w:rPr>
        <w:t>名    称：</w:t>
      </w:r>
      <w:r>
        <w:rPr>
          <w:rFonts w:hint="eastAsia" w:ascii="宋体" w:hAnsi="宋体" w:cs="宋体"/>
          <w:color w:val="auto"/>
          <w:szCs w:val="21"/>
          <w:highlight w:val="none"/>
          <w:lang w:eastAsia="zh-CN"/>
        </w:rPr>
        <w:t>桂平市民政局</w:t>
      </w:r>
    </w:p>
    <w:p>
      <w:pPr>
        <w:ind w:firstLine="630" w:firstLineChars="300"/>
        <w:rPr>
          <w:rFonts w:hint="eastAsia" w:ascii="宋体" w:hAnsi="宋体" w:cs="宋体" w:eastAsiaTheme="minorEastAsia"/>
          <w:color w:val="auto"/>
          <w:szCs w:val="21"/>
          <w:highlight w:val="none"/>
          <w:lang w:eastAsia="zh-CN"/>
        </w:rPr>
      </w:pPr>
      <w:r>
        <w:rPr>
          <w:rFonts w:ascii="宋体" w:hAnsi="宋体" w:cs="宋体"/>
          <w:color w:val="auto"/>
          <w:szCs w:val="21"/>
          <w:highlight w:val="none"/>
        </w:rPr>
        <w:t>地    址：</w:t>
      </w:r>
      <w:bookmarkStart w:id="153" w:name="_GoBack"/>
      <w:bookmarkEnd w:id="153"/>
      <w:r>
        <w:rPr>
          <w:rFonts w:hint="eastAsia" w:ascii="宋体" w:hAnsi="宋体" w:cs="宋体"/>
          <w:color w:val="auto"/>
          <w:szCs w:val="21"/>
          <w:highlight w:val="none"/>
          <w:lang w:eastAsia="zh-CN"/>
        </w:rPr>
        <w:t>桂平市郁江东路84号</w:t>
      </w:r>
    </w:p>
    <w:p>
      <w:pPr>
        <w:ind w:firstLine="630" w:firstLineChars="300"/>
        <w:rPr>
          <w:rFonts w:hint="eastAsia" w:ascii="宋体" w:hAnsi="宋体" w:cs="宋体" w:eastAsiaTheme="minorEastAsia"/>
          <w:color w:val="auto"/>
          <w:szCs w:val="21"/>
          <w:highlight w:val="none"/>
          <w:lang w:eastAsia="zh-CN"/>
        </w:rPr>
      </w:pPr>
      <w:bookmarkStart w:id="36" w:name="_Toc28359097"/>
      <w:bookmarkStart w:id="37" w:name="_Toc28359020"/>
      <w:bookmarkStart w:id="38" w:name="_Toc35393807"/>
      <w:bookmarkStart w:id="39" w:name="_Toc35393638"/>
      <w:r>
        <w:rPr>
          <w:rFonts w:ascii="宋体" w:hAnsi="宋体" w:cs="宋体"/>
          <w:color w:val="auto"/>
          <w:szCs w:val="21"/>
          <w:highlight w:val="none"/>
        </w:rPr>
        <w:t xml:space="preserve">联系人及电话: </w:t>
      </w:r>
      <w:r>
        <w:rPr>
          <w:rFonts w:hint="eastAsia" w:ascii="宋体" w:hAnsi="宋体" w:cs="宋体"/>
          <w:color w:val="auto"/>
          <w:szCs w:val="21"/>
          <w:highlight w:val="none"/>
          <w:lang w:eastAsia="zh-CN"/>
        </w:rPr>
        <w:t>张主任</w:t>
      </w:r>
      <w:r>
        <w:rPr>
          <w:rFonts w:ascii="宋体" w:hAnsi="宋体" w:cs="宋体"/>
          <w:color w:val="auto"/>
          <w:szCs w:val="21"/>
          <w:highlight w:val="none"/>
        </w:rPr>
        <w:t>，</w:t>
      </w:r>
      <w:r>
        <w:rPr>
          <w:rFonts w:hint="eastAsia" w:ascii="宋体" w:hAnsi="宋体" w:cs="宋体"/>
          <w:color w:val="auto"/>
          <w:szCs w:val="21"/>
          <w:highlight w:val="none"/>
          <w:lang w:eastAsia="zh-CN"/>
        </w:rPr>
        <w:t>0775-3323290</w:t>
      </w:r>
    </w:p>
    <w:p>
      <w:pPr>
        <w:pStyle w:val="4"/>
        <w:spacing w:line="240" w:lineRule="auto"/>
        <w:ind w:firstLine="632" w:firstLineChars="300"/>
        <w:rPr>
          <w:rFonts w:ascii="宋体" w:hAnsi="宋体" w:eastAsia="宋体" w:cs="宋体"/>
          <w:color w:val="auto"/>
          <w:sz w:val="21"/>
          <w:szCs w:val="21"/>
          <w:highlight w:val="none"/>
        </w:rPr>
      </w:pPr>
      <w:r>
        <w:rPr>
          <w:rFonts w:ascii="宋体" w:hAnsi="宋体" w:eastAsia="宋体" w:cs="宋体"/>
          <w:color w:val="auto"/>
          <w:sz w:val="21"/>
          <w:szCs w:val="21"/>
          <w:highlight w:val="none"/>
        </w:rPr>
        <w:t>2.采购代理机构信息</w:t>
      </w:r>
      <w:bookmarkEnd w:id="36"/>
      <w:bookmarkEnd w:id="37"/>
      <w:bookmarkEnd w:id="38"/>
      <w:bookmarkEnd w:id="39"/>
    </w:p>
    <w:p>
      <w:pPr>
        <w:ind w:firstLine="630" w:firstLineChars="300"/>
        <w:rPr>
          <w:rFonts w:hint="eastAsia" w:ascii="宋体" w:hAnsi="宋体" w:cs="宋体" w:eastAsiaTheme="minorEastAsia"/>
          <w:color w:val="auto"/>
          <w:szCs w:val="21"/>
          <w:highlight w:val="none"/>
          <w:lang w:eastAsia="zh-CN"/>
        </w:rPr>
      </w:pPr>
      <w:r>
        <w:rPr>
          <w:rFonts w:ascii="宋体" w:hAnsi="宋体" w:cs="宋体"/>
          <w:color w:val="auto"/>
          <w:szCs w:val="21"/>
          <w:highlight w:val="none"/>
        </w:rPr>
        <w:t>名    称：</w:t>
      </w:r>
      <w:r>
        <w:rPr>
          <w:rFonts w:hint="eastAsia" w:ascii="宋体" w:hAnsi="宋体" w:cs="宋体"/>
          <w:color w:val="auto"/>
          <w:szCs w:val="21"/>
          <w:highlight w:val="none"/>
          <w:lang w:eastAsia="zh-CN"/>
        </w:rPr>
        <w:t>广西博行弈工程项目管理有限公司</w:t>
      </w:r>
    </w:p>
    <w:p>
      <w:pPr>
        <w:ind w:firstLine="630" w:firstLineChars="300"/>
        <w:rPr>
          <w:rFonts w:hint="eastAsia" w:ascii="宋体" w:hAnsi="宋体" w:cs="宋体" w:eastAsiaTheme="minorEastAsia"/>
          <w:color w:val="auto"/>
          <w:szCs w:val="21"/>
          <w:highlight w:val="none"/>
          <w:lang w:eastAsia="zh-CN"/>
        </w:rPr>
      </w:pPr>
      <w:r>
        <w:rPr>
          <w:rFonts w:ascii="宋体" w:hAnsi="宋体" w:cs="宋体"/>
          <w:color w:val="auto"/>
          <w:szCs w:val="21"/>
          <w:highlight w:val="none"/>
        </w:rPr>
        <w:t>地　　址：</w:t>
      </w:r>
      <w:r>
        <w:rPr>
          <w:rFonts w:hint="eastAsia" w:ascii="宋体" w:hAnsi="宋体" w:cs="宋体"/>
          <w:color w:val="auto"/>
          <w:szCs w:val="21"/>
          <w:highlight w:val="none"/>
          <w:lang w:eastAsia="zh-CN"/>
        </w:rPr>
        <w:t>贵港市港北区金港大道万豪丽城2栋3单元3405</w:t>
      </w:r>
    </w:p>
    <w:p>
      <w:pPr>
        <w:ind w:firstLine="630" w:firstLineChars="300"/>
        <w:rPr>
          <w:rFonts w:hint="eastAsia" w:ascii="宋体" w:hAnsi="宋体" w:cs="宋体" w:eastAsiaTheme="minorEastAsia"/>
          <w:color w:val="auto"/>
          <w:szCs w:val="21"/>
          <w:highlight w:val="none"/>
          <w:u w:val="single"/>
          <w:lang w:eastAsia="zh-CN"/>
        </w:rPr>
      </w:pPr>
      <w:r>
        <w:rPr>
          <w:rFonts w:ascii="宋体" w:hAnsi="宋体" w:cs="宋体"/>
          <w:color w:val="auto"/>
          <w:szCs w:val="21"/>
          <w:highlight w:val="none"/>
        </w:rPr>
        <w:t>联系人及电话：</w:t>
      </w:r>
      <w:r>
        <w:rPr>
          <w:rFonts w:hint="eastAsia" w:ascii="宋体" w:hAnsi="宋体" w:cs="宋体"/>
          <w:color w:val="auto"/>
          <w:szCs w:val="21"/>
          <w:highlight w:val="none"/>
          <w:lang w:eastAsia="zh-CN"/>
        </w:rPr>
        <w:t>小贾</w:t>
      </w:r>
      <w:r>
        <w:rPr>
          <w:rFonts w:ascii="宋体" w:hAnsi="宋体" w:cs="宋体"/>
          <w:color w:val="auto"/>
          <w:szCs w:val="21"/>
          <w:highlight w:val="none"/>
        </w:rPr>
        <w:t xml:space="preserve">， </w:t>
      </w:r>
      <w:r>
        <w:rPr>
          <w:rFonts w:hint="eastAsia" w:ascii="宋体" w:hAnsi="宋体" w:cs="宋体"/>
          <w:color w:val="auto"/>
          <w:szCs w:val="21"/>
          <w:highlight w:val="none"/>
          <w:lang w:eastAsia="zh-CN"/>
        </w:rPr>
        <w:t>0775-4218878</w:t>
      </w:r>
    </w:p>
    <w:p>
      <w:pPr>
        <w:ind w:firstLine="630" w:firstLineChars="300"/>
        <w:rPr>
          <w:rFonts w:hint="eastAsia" w:ascii="宋体" w:hAnsi="宋体" w:cs="宋体"/>
          <w:color w:val="auto"/>
          <w:szCs w:val="21"/>
          <w:highlight w:val="none"/>
          <w:lang w:val="en-US" w:eastAsia="zh-CN"/>
        </w:rPr>
      </w:pPr>
      <w:bookmarkStart w:id="40" w:name="_Toc28359098"/>
      <w:bookmarkStart w:id="41" w:name="_Toc28359021"/>
      <w:bookmarkStart w:id="42" w:name="_Toc35393808"/>
      <w:bookmarkStart w:id="43" w:name="_Toc35393639"/>
      <w:r>
        <w:rPr>
          <w:rFonts w:ascii="宋体" w:hAnsi="宋体" w:eastAsia="宋体" w:cs="宋体"/>
          <w:color w:val="auto"/>
          <w:sz w:val="21"/>
          <w:szCs w:val="21"/>
          <w:highlight w:val="none"/>
        </w:rPr>
        <w:t>3.</w:t>
      </w:r>
      <w:bookmarkEnd w:id="40"/>
      <w:bookmarkEnd w:id="41"/>
      <w:bookmarkEnd w:id="42"/>
      <w:bookmarkEnd w:id="43"/>
      <w:r>
        <w:rPr>
          <w:rFonts w:hint="eastAsia" w:ascii="宋体" w:hAnsi="宋体" w:eastAsia="宋体" w:cs="宋体"/>
          <w:color w:val="auto"/>
          <w:sz w:val="21"/>
          <w:szCs w:val="21"/>
          <w:highlight w:val="none"/>
          <w:lang w:val="en-US" w:eastAsia="zh-CN"/>
        </w:rPr>
        <w:t>项目联系方式</w:t>
      </w:r>
    </w:p>
    <w:p>
      <w:pPr>
        <w:ind w:firstLine="630" w:firstLineChars="3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项目联系人：小贾</w:t>
      </w:r>
    </w:p>
    <w:p>
      <w:pPr>
        <w:ind w:firstLine="630" w:firstLineChars="300"/>
        <w:rPr>
          <w:rFonts w:ascii="宋体" w:hAnsi="宋体" w:cs="宋体"/>
          <w:color w:val="auto"/>
          <w:szCs w:val="21"/>
          <w:highlight w:val="none"/>
        </w:rPr>
      </w:pPr>
      <w:r>
        <w:rPr>
          <w:rFonts w:hint="eastAsia" w:ascii="宋体" w:hAnsi="宋体" w:cs="宋体"/>
          <w:color w:val="auto"/>
          <w:szCs w:val="21"/>
          <w:highlight w:val="none"/>
          <w:lang w:val="en-US" w:eastAsia="zh-CN"/>
        </w:rPr>
        <w:t>电话：0775-4218878 </w:t>
      </w:r>
    </w:p>
    <w:p>
      <w:pPr>
        <w:ind w:firstLine="5670" w:firstLineChars="2700"/>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lang w:eastAsia="zh-CN"/>
        </w:rPr>
        <w:t>广西博行弈工程项目管理有限公司</w:t>
      </w:r>
    </w:p>
    <w:p>
      <w:pPr>
        <w:ind w:firstLine="7140" w:firstLineChars="3400"/>
        <w:rPr>
          <w:rFonts w:ascii="宋体" w:hAnsi="宋体" w:cs="宋体"/>
          <w:color w:val="auto"/>
          <w:szCs w:val="21"/>
          <w:highlight w:val="none"/>
        </w:rPr>
      </w:pPr>
      <w:r>
        <w:rPr>
          <w:rFonts w:ascii="宋体" w:hAnsi="宋体" w:cs="宋体"/>
          <w:color w:val="auto"/>
          <w:szCs w:val="21"/>
          <w:highlight w:val="none"/>
        </w:rPr>
        <w:t>2020年</w:t>
      </w:r>
      <w:r>
        <w:rPr>
          <w:rFonts w:hint="eastAsia" w:ascii="宋体" w:hAnsi="宋体" w:cs="宋体"/>
          <w:color w:val="auto"/>
          <w:szCs w:val="21"/>
          <w:highlight w:val="none"/>
          <w:lang w:val="en-US" w:eastAsia="zh-CN"/>
        </w:rPr>
        <w:t>7</w:t>
      </w:r>
      <w:r>
        <w:rPr>
          <w:rFonts w:ascii="宋体" w:hAnsi="宋体" w:cs="宋体"/>
          <w:color w:val="auto"/>
          <w:szCs w:val="21"/>
          <w:highlight w:val="none"/>
        </w:rPr>
        <w:t>月</w:t>
      </w:r>
      <w:r>
        <w:rPr>
          <w:rFonts w:hint="eastAsia" w:ascii="宋体" w:hAnsi="宋体" w:cs="宋体"/>
          <w:color w:val="auto"/>
          <w:szCs w:val="21"/>
          <w:highlight w:val="none"/>
          <w:lang w:val="en-US" w:eastAsia="zh-CN"/>
        </w:rPr>
        <w:t>27</w:t>
      </w:r>
      <w:r>
        <w:rPr>
          <w:rFonts w:ascii="宋体" w:hAnsi="宋体" w:cs="宋体"/>
          <w:color w:val="auto"/>
          <w:szCs w:val="21"/>
          <w:highlight w:val="none"/>
        </w:rPr>
        <w:t>日</w:t>
      </w:r>
    </w:p>
    <w:p>
      <w:pPr>
        <w:spacing w:after="0" w:line="240" w:lineRule="exact"/>
        <w:ind w:left="60" w:firstLine="5986"/>
        <w:rPr>
          <w:color w:val="auto"/>
          <w:highlight w:val="none"/>
        </w:rPr>
      </w:pPr>
    </w:p>
    <w:p>
      <w:pPr>
        <w:spacing w:after="0" w:line="240" w:lineRule="exact"/>
        <w:rPr>
          <w:color w:val="auto"/>
          <w:highlight w:val="none"/>
        </w:rPr>
      </w:pPr>
    </w:p>
    <w:p>
      <w:pPr>
        <w:spacing w:after="0" w:line="240" w:lineRule="exact"/>
        <w:ind w:left="60" w:firstLine="5986"/>
        <w:rPr>
          <w:color w:val="auto"/>
          <w:highlight w:val="none"/>
        </w:rPr>
      </w:pPr>
    </w:p>
    <w:p>
      <w:pPr>
        <w:spacing w:after="0" w:line="240" w:lineRule="exact"/>
        <w:rPr>
          <w:color w:val="auto"/>
          <w:highlight w:val="none"/>
        </w:rPr>
      </w:pPr>
    </w:p>
    <w:p>
      <w:pPr>
        <w:widowControl/>
        <w:rPr>
          <w:color w:val="auto"/>
          <w:highlight w:val="none"/>
        </w:rPr>
        <w:sectPr>
          <w:type w:val="continuous"/>
          <w:pgSz w:w="11906" w:h="16839"/>
          <w:pgMar w:top="818" w:right="713" w:bottom="578" w:left="1073" w:header="0" w:footer="0" w:gutter="0"/>
          <w:cols w:space="720" w:num="1"/>
          <w:docGrid w:type="lines" w:linePitch="312" w:charSpace="0"/>
        </w:sectPr>
      </w:pPr>
    </w:p>
    <w:p>
      <w:pPr>
        <w:spacing w:after="0" w:line="240" w:lineRule="exact"/>
        <w:rPr>
          <w:color w:val="auto"/>
          <w:highlight w:val="none"/>
        </w:rPr>
      </w:pPr>
      <w:bookmarkStart w:id="44" w:name="6"/>
      <w:bookmarkEnd w:id="44"/>
    </w:p>
    <w:p>
      <w:pPr>
        <w:spacing w:after="0" w:line="464" w:lineRule="exact"/>
        <w:ind w:left="60" w:firstLine="1402"/>
        <w:rPr>
          <w:rFonts w:ascii="宋体" w:hAnsi="宋体" w:eastAsia="宋体" w:cs="宋体"/>
          <w:color w:val="auto"/>
          <w:spacing w:val="-1"/>
          <w:sz w:val="44"/>
          <w:highlight w:val="none"/>
        </w:rPr>
      </w:pPr>
      <w:r>
        <w:rPr>
          <w:rFonts w:ascii="宋体" w:hAnsi="宋体" w:eastAsia="宋体" w:cs="宋体"/>
          <w:color w:val="auto"/>
          <w:sz w:val="44"/>
          <w:highlight w:val="none"/>
        </w:rPr>
        <w:t>第二章</w:t>
      </w:r>
      <w:r>
        <w:rPr>
          <w:rFonts w:ascii="Calibri" w:hAnsi="Calibri" w:cs="Calibri"/>
          <w:color w:val="auto"/>
          <w:w w:val="224"/>
          <w:sz w:val="44"/>
          <w:highlight w:val="none"/>
        </w:rPr>
        <w:t> </w:t>
      </w:r>
      <w:r>
        <w:rPr>
          <w:rFonts w:ascii="宋体" w:hAnsi="宋体" w:eastAsia="宋体" w:cs="宋体"/>
          <w:color w:val="auto"/>
          <w:sz w:val="44"/>
          <w:highlight w:val="none"/>
        </w:rPr>
        <w:t>磋商须知前附表及磋商须</w:t>
      </w:r>
      <w:r>
        <w:rPr>
          <w:rFonts w:ascii="宋体" w:hAnsi="宋体" w:eastAsia="宋体" w:cs="宋体"/>
          <w:color w:val="auto"/>
          <w:spacing w:val="-1"/>
          <w:sz w:val="44"/>
          <w:highlight w:val="none"/>
        </w:rPr>
        <w:t>知</w:t>
      </w:r>
    </w:p>
    <w:p>
      <w:pPr>
        <w:pStyle w:val="4"/>
        <w:jc w:val="center"/>
        <w:rPr>
          <w:b w:val="0"/>
          <w:color w:val="auto"/>
          <w:kern w:val="0"/>
          <w:highlight w:val="none"/>
        </w:rPr>
      </w:pPr>
      <w:r>
        <w:rPr>
          <w:rFonts w:hint="eastAsia"/>
          <w:b w:val="0"/>
          <w:color w:val="auto"/>
          <w:kern w:val="0"/>
          <w:highlight w:val="none"/>
        </w:rPr>
        <w:t>磋商须知前附表</w:t>
      </w:r>
    </w:p>
    <w:tbl>
      <w:tblPr>
        <w:tblStyle w:val="13"/>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928"/>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项号</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条款号</w:t>
            </w:r>
          </w:p>
        </w:tc>
        <w:tc>
          <w:tcPr>
            <w:tcW w:w="8117"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１</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1.1</w:t>
            </w:r>
          </w:p>
        </w:tc>
        <w:tc>
          <w:tcPr>
            <w:tcW w:w="8117" w:type="dxa"/>
            <w:vAlign w:val="center"/>
          </w:tcPr>
          <w:p>
            <w:pPr>
              <w:autoSpaceDE w:val="0"/>
              <w:autoSpaceDN w:val="0"/>
              <w:snapToGrid w:val="0"/>
              <w:spacing w:line="400" w:lineRule="exact"/>
              <w:rPr>
                <w:rFonts w:ascii="宋体" w:hAnsi="宋体"/>
                <w:color w:val="auto"/>
                <w:kern w:val="0"/>
                <w:highlight w:val="none"/>
              </w:rPr>
            </w:pPr>
            <w:r>
              <w:rPr>
                <w:rFonts w:hint="eastAsia" w:ascii="宋体" w:hAnsi="宋体"/>
                <w:b/>
                <w:color w:val="auto"/>
                <w:kern w:val="0"/>
                <w:highlight w:val="none"/>
              </w:rPr>
              <w:t>综合说明</w:t>
            </w:r>
            <w:r>
              <w:rPr>
                <w:rFonts w:hint="eastAsia" w:ascii="宋体" w:hAnsi="宋体"/>
                <w:color w:val="auto"/>
                <w:kern w:val="0"/>
                <w:highlight w:val="none"/>
              </w:rPr>
              <w:t>：</w:t>
            </w:r>
          </w:p>
          <w:p>
            <w:pPr>
              <w:autoSpaceDE w:val="0"/>
              <w:autoSpaceDN w:val="0"/>
              <w:snapToGrid w:val="0"/>
              <w:spacing w:line="400" w:lineRule="exact"/>
              <w:rPr>
                <w:rFonts w:hint="eastAsia" w:eastAsiaTheme="minorEastAsia"/>
                <w:color w:val="auto"/>
                <w:highlight w:val="none"/>
                <w:lang w:eastAsia="zh-CN"/>
              </w:rPr>
            </w:pPr>
            <w:r>
              <w:rPr>
                <w:rFonts w:hint="eastAsia" w:ascii="宋体" w:hAnsi="宋体"/>
                <w:b/>
                <w:color w:val="auto"/>
                <w:kern w:val="0"/>
                <w:highlight w:val="none"/>
              </w:rPr>
              <w:t>项目名称：</w:t>
            </w:r>
            <w:r>
              <w:rPr>
                <w:rFonts w:hint="eastAsia"/>
                <w:color w:val="auto"/>
                <w:highlight w:val="none"/>
                <w:lang w:eastAsia="zh-CN"/>
              </w:rPr>
              <w:t>广西桂平市人民武装部营院易地搬迁工程项目监理</w:t>
            </w:r>
          </w:p>
          <w:p>
            <w:pPr>
              <w:autoSpaceDE w:val="0"/>
              <w:autoSpaceDN w:val="0"/>
              <w:snapToGrid w:val="0"/>
              <w:spacing w:line="400" w:lineRule="exact"/>
              <w:rPr>
                <w:rFonts w:hint="eastAsia" w:ascii="宋体" w:hAnsi="宋体" w:eastAsiaTheme="minorEastAsia"/>
                <w:color w:val="auto"/>
                <w:kern w:val="0"/>
                <w:highlight w:val="none"/>
                <w:lang w:eastAsia="zh-CN"/>
              </w:rPr>
            </w:pPr>
            <w:r>
              <w:rPr>
                <w:rFonts w:hint="eastAsia" w:ascii="宋体" w:hAnsi="宋体"/>
                <w:b/>
                <w:color w:val="auto"/>
                <w:kern w:val="0"/>
                <w:highlight w:val="none"/>
              </w:rPr>
              <w:t>项目编号：</w:t>
            </w:r>
            <w:r>
              <w:rPr>
                <w:rFonts w:hint="eastAsia"/>
                <w:color w:val="auto"/>
                <w:highlight w:val="none"/>
                <w:lang w:eastAsia="zh-CN"/>
              </w:rPr>
              <w:t>GGZC2020-C3-50152-GXBX</w:t>
            </w:r>
          </w:p>
          <w:p>
            <w:pPr>
              <w:rPr>
                <w:rFonts w:ascii="宋体" w:hAnsi="宋体" w:cs="宋体"/>
                <w:color w:val="auto"/>
                <w:szCs w:val="21"/>
                <w:highlight w:val="none"/>
                <w:shd w:val="clear" w:color="auto" w:fill="FFFFFF"/>
              </w:rPr>
            </w:pPr>
            <w:r>
              <w:rPr>
                <w:rFonts w:hint="eastAsia" w:ascii="宋体" w:hAnsi="宋体"/>
                <w:b/>
                <w:color w:val="auto"/>
                <w:kern w:val="0"/>
                <w:highlight w:val="none"/>
              </w:rPr>
              <w:t>采购</w:t>
            </w:r>
            <w:r>
              <w:rPr>
                <w:rFonts w:hint="eastAsia" w:ascii="宋体" w:hAnsi="宋体"/>
                <w:b/>
                <w:color w:val="auto"/>
                <w:kern w:val="0"/>
                <w:highlight w:val="none"/>
                <w:lang w:val="en-US" w:eastAsia="zh-CN"/>
              </w:rPr>
              <w:t>需求</w:t>
            </w:r>
            <w:r>
              <w:rPr>
                <w:rFonts w:hint="eastAsia" w:ascii="宋体" w:hAnsi="宋体"/>
                <w:b/>
                <w:color w:val="auto"/>
                <w:kern w:val="0"/>
                <w:highlight w:val="none"/>
              </w:rPr>
              <w:t>：</w:t>
            </w:r>
            <w:r>
              <w:rPr>
                <w:rFonts w:hint="eastAsia" w:ascii="宋体" w:hAnsi="宋体" w:cs="宋体"/>
                <w:color w:val="auto"/>
                <w:szCs w:val="21"/>
                <w:highlight w:val="none"/>
                <w:lang w:eastAsia="zh-CN"/>
              </w:rPr>
              <w:t>广西桂平市人民武装部营院易地搬迁工程项目监理</w:t>
            </w:r>
            <w:r>
              <w:rPr>
                <w:rFonts w:hint="eastAsia" w:ascii="宋体" w:hAnsi="宋体" w:cs="宋体"/>
                <w:color w:val="auto"/>
                <w:szCs w:val="21"/>
                <w:highlight w:val="none"/>
              </w:rPr>
              <w:t>1项，项目建设地址：桂平市金田大道交龙潭大道处。项目建设规模及主要建设内容：</w:t>
            </w:r>
            <w:r>
              <w:rPr>
                <w:rFonts w:hint="eastAsia" w:ascii="宋体" w:hAnsi="宋体" w:cs="宋体"/>
                <w:color w:val="auto"/>
                <w:szCs w:val="21"/>
                <w:highlight w:val="none"/>
                <w:lang w:eastAsia="zh-CN"/>
              </w:rPr>
              <w:t>总建筑面积约11400㎡。主要建设办公指挥综合楼一栋，建筑面积2200㎡；民兵训练中心一栋，建筑面积5900㎡；运动馆一栋，建筑面积750㎡；附属配套一栋，楼建筑面积500㎡；公寓楼一栋，建筑面积1900㎡；值班室、配电房建筑面积150㎡；400米标准运动场、篮球场、围墙、道路及营院供配电、照明、消防、给排水、绿化等。具体内容详见工程量清单及施工图纸</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shd w:val="clear" w:color="auto" w:fill="FFFFFF"/>
              </w:rPr>
            </w:pPr>
            <w:r>
              <w:rPr>
                <w:rFonts w:ascii="宋体" w:hAnsi="宋体" w:cs="宋体"/>
                <w:color w:val="auto"/>
                <w:szCs w:val="21"/>
                <w:highlight w:val="none"/>
                <w:shd w:val="clear" w:color="auto" w:fill="FFFFFF"/>
              </w:rPr>
              <w:t>监理服务范围：</w:t>
            </w:r>
            <w:r>
              <w:rPr>
                <w:rFonts w:hint="eastAsia" w:ascii="宋体" w:hAnsi="宋体" w:cs="宋体"/>
                <w:color w:val="auto"/>
                <w:szCs w:val="21"/>
                <w:highlight w:val="none"/>
                <w:shd w:val="clear" w:color="auto" w:fill="FFFFFF"/>
              </w:rPr>
              <w:t>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督管理、合同、信息等方面的协调管理。保修阶段：检查和记录工程质量缺陷，对缺陷原因进行调查分析并确定责任归属，审核修复方案，监督修复过程并验收，审核修复费用等施工阶段的监理。</w:t>
            </w:r>
          </w:p>
          <w:p>
            <w:pPr>
              <w:ind w:firstLine="420" w:firstLineChars="200"/>
              <w:rPr>
                <w:rFonts w:ascii="宋体" w:hAnsi="宋体" w:cs="宋体"/>
                <w:color w:val="auto"/>
                <w:szCs w:val="21"/>
                <w:highlight w:val="none"/>
              </w:rPr>
            </w:pPr>
            <w:r>
              <w:rPr>
                <w:rFonts w:ascii="宋体" w:hAnsi="宋体" w:cs="宋体"/>
                <w:color w:val="auto"/>
                <w:szCs w:val="21"/>
                <w:highlight w:val="none"/>
              </w:rPr>
              <w:t>监理质量要求：</w:t>
            </w:r>
            <w:r>
              <w:rPr>
                <w:rFonts w:hint="eastAsia" w:ascii="宋体" w:hAnsi="宋体" w:cs="宋体"/>
                <w:color w:val="auto"/>
                <w:szCs w:val="21"/>
                <w:highlight w:val="none"/>
              </w:rPr>
              <w:t>严格按照国家有关监理规范要求全过程监督工程质量，确保工程质量达到合格以上。</w:t>
            </w:r>
          </w:p>
          <w:p>
            <w:pPr>
              <w:ind w:firstLine="420" w:firstLineChars="200"/>
              <w:rPr>
                <w:rFonts w:ascii="宋体" w:hAnsi="宋体" w:cs="宋体"/>
                <w:color w:val="auto"/>
                <w:szCs w:val="21"/>
                <w:highlight w:val="none"/>
              </w:rPr>
            </w:pPr>
            <w:r>
              <w:rPr>
                <w:rFonts w:ascii="宋体" w:hAnsi="宋体" w:cs="宋体"/>
                <w:color w:val="auto"/>
                <w:szCs w:val="21"/>
                <w:highlight w:val="none"/>
              </w:rPr>
              <w:t xml:space="preserve">监理服务期限：自合同签订之日起开始实施，至工程竣工验收合格，保修期满完毕（监理工期与施工工期一致）。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val="en-US" w:eastAsia="zh-CN"/>
              </w:rPr>
              <w:t>概算总投资</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7186.59</w:t>
            </w:r>
            <w:r>
              <w:rPr>
                <w:rFonts w:hint="eastAsia" w:ascii="宋体" w:hAnsi="宋体" w:cs="宋体"/>
                <w:color w:val="auto"/>
                <w:szCs w:val="21"/>
                <w:highlight w:val="none"/>
              </w:rPr>
              <w:t>万元</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其中建安工程费约3920.85万元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资金来源：</w:t>
            </w:r>
            <w:r>
              <w:rPr>
                <w:rFonts w:hint="eastAsia" w:ascii="宋体" w:hAnsi="宋体" w:cs="宋体"/>
                <w:color w:val="auto"/>
                <w:szCs w:val="21"/>
                <w:highlight w:val="none"/>
                <w:lang w:eastAsia="zh-CN"/>
              </w:rPr>
              <w:t>财政拨款</w:t>
            </w:r>
            <w:r>
              <w:rPr>
                <w:rFonts w:hint="eastAsia" w:ascii="宋体" w:hAnsi="宋体" w:cs="宋体"/>
                <w:color w:val="auto"/>
                <w:szCs w:val="21"/>
                <w:highlight w:val="none"/>
              </w:rPr>
              <w:t>。</w:t>
            </w:r>
          </w:p>
          <w:p>
            <w:pPr>
              <w:ind w:firstLine="420" w:firstLineChars="200"/>
              <w:rPr>
                <w:rFonts w:ascii="宋体" w:hAnsi="宋体" w:cs="宋体"/>
                <w:color w:val="auto"/>
                <w:szCs w:val="21"/>
                <w:highlight w:val="none"/>
              </w:rPr>
            </w:pPr>
            <w:r>
              <w:rPr>
                <w:rFonts w:hint="eastAsia" w:ascii="宋体" w:hAnsi="宋体" w:eastAsia="宋体" w:cs="宋体"/>
                <w:color w:val="auto"/>
                <w:szCs w:val="21"/>
                <w:highlight w:val="none"/>
              </w:rPr>
              <w:t>如需进一步了解详细内容，详见竞争性谈判文件。</w:t>
            </w:r>
          </w:p>
          <w:p>
            <w:pPr>
              <w:ind w:firstLine="630" w:firstLineChars="300"/>
              <w:rPr>
                <w:rFonts w:ascii="宋体" w:hAnsi="宋体"/>
                <w:bCs/>
                <w:color w:val="auto"/>
                <w:kern w:val="0"/>
                <w:highlight w:val="none"/>
              </w:rPr>
            </w:pPr>
            <w:r>
              <w:rPr>
                <w:rFonts w:ascii="宋体" w:hAnsi="宋体" w:cs="宋体"/>
                <w:color w:val="auto"/>
                <w:szCs w:val="21"/>
                <w:highlight w:val="none"/>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2</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3</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b/>
                <w:color w:val="auto"/>
                <w:kern w:val="0"/>
                <w:highlight w:val="none"/>
              </w:rPr>
              <w:t>合同名称</w:t>
            </w:r>
            <w:r>
              <w:rPr>
                <w:rFonts w:hint="eastAsia" w:ascii="宋体" w:hAnsi="宋体"/>
                <w:color w:val="auto"/>
                <w:kern w:val="0"/>
                <w:highlight w:val="none"/>
              </w:rPr>
              <w:t>：</w:t>
            </w:r>
            <w:r>
              <w:rPr>
                <w:rFonts w:hint="eastAsia"/>
                <w:color w:val="auto"/>
                <w:highlight w:val="none"/>
                <w:lang w:eastAsia="zh-CN"/>
              </w:rPr>
              <w:t>广西桂平市人民武装部营院易地搬迁工程项目监理</w:t>
            </w:r>
            <w:r>
              <w:rPr>
                <w:rFonts w:hint="eastAsia"/>
                <w:color w:val="auto"/>
                <w:highlight w:val="none"/>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3</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6.7</w:t>
            </w:r>
          </w:p>
        </w:tc>
        <w:tc>
          <w:tcPr>
            <w:tcW w:w="8117" w:type="dxa"/>
            <w:vAlign w:val="center"/>
          </w:tcPr>
          <w:p>
            <w:pPr>
              <w:spacing w:line="400" w:lineRule="exact"/>
              <w:rPr>
                <w:rFonts w:ascii="宋体" w:hAnsi="宋体"/>
                <w:color w:val="auto"/>
                <w:szCs w:val="21"/>
                <w:highlight w:val="none"/>
              </w:rPr>
            </w:pPr>
            <w:r>
              <w:rPr>
                <w:rFonts w:hint="eastAsia" w:ascii="宋体" w:hAnsi="宋体"/>
                <w:b/>
                <w:color w:val="auto"/>
                <w:kern w:val="0"/>
                <w:highlight w:val="none"/>
              </w:rPr>
              <w:t>本项目采购预算金额为：</w:t>
            </w:r>
            <w:r>
              <w:rPr>
                <w:rFonts w:hint="eastAsia" w:ascii="宋体" w:hAnsi="宋体"/>
                <w:b/>
                <w:color w:val="auto"/>
                <w:kern w:val="0"/>
                <w:highlight w:val="none"/>
                <w:lang w:eastAsia="zh-CN"/>
              </w:rPr>
              <w:t>捌拾万零玖佰贰拾玖元肆角整</w:t>
            </w:r>
            <w:r>
              <w:rPr>
                <w:rFonts w:hint="eastAsia" w:ascii="宋体" w:hAnsi="宋体"/>
                <w:b/>
                <w:color w:val="auto"/>
                <w:kern w:val="0"/>
                <w:highlight w:val="none"/>
              </w:rPr>
              <w:t>（¥</w:t>
            </w:r>
            <w:r>
              <w:rPr>
                <w:rFonts w:hint="eastAsia" w:ascii="宋体" w:hAnsi="宋体"/>
                <w:b/>
                <w:color w:val="auto"/>
                <w:kern w:val="0"/>
                <w:highlight w:val="none"/>
                <w:lang w:eastAsia="zh-CN"/>
              </w:rPr>
              <w:t>800929.40</w:t>
            </w:r>
            <w:r>
              <w:rPr>
                <w:rFonts w:hint="eastAsia" w:ascii="宋体" w:hAnsi="宋体"/>
                <w:b/>
                <w:color w:val="auto"/>
                <w:kern w:val="0"/>
                <w:highlight w:val="none"/>
              </w:rPr>
              <w:t>元）</w:t>
            </w:r>
            <w:r>
              <w:rPr>
                <w:rFonts w:hint="eastAsia" w:ascii="宋体" w:hAnsi="宋体"/>
                <w:b/>
                <w:color w:val="auto"/>
                <w:szCs w:val="21"/>
                <w:highlight w:val="none"/>
              </w:rPr>
              <w:t>；</w:t>
            </w:r>
          </w:p>
          <w:p>
            <w:pPr>
              <w:spacing w:line="400" w:lineRule="exact"/>
              <w:rPr>
                <w:rFonts w:ascii="宋体" w:hAnsi="宋体"/>
                <w:color w:val="auto"/>
                <w:kern w:val="0"/>
                <w:highlight w:val="none"/>
              </w:rPr>
            </w:pPr>
            <w:r>
              <w:rPr>
                <w:rFonts w:hint="eastAsia" w:ascii="宋体" w:hAnsi="宋体"/>
                <w:b/>
                <w:color w:val="auto"/>
                <w:kern w:val="0"/>
                <w:highlight w:val="none"/>
              </w:rPr>
              <w:t>资金来源</w:t>
            </w:r>
            <w:r>
              <w:rPr>
                <w:rFonts w:hint="eastAsia" w:ascii="宋体" w:hAnsi="宋体"/>
                <w:color w:val="auto"/>
                <w:kern w:val="0"/>
                <w:highlight w:val="none"/>
              </w:rPr>
              <w:t>：</w:t>
            </w:r>
            <w:r>
              <w:rPr>
                <w:rFonts w:hint="eastAsia" w:ascii="宋体" w:hAnsi="宋体"/>
                <w:color w:val="auto"/>
                <w:kern w:val="0"/>
                <w:highlight w:val="none"/>
                <w:lang w:eastAsia="zh-CN"/>
              </w:rPr>
              <w:t>财政拨款</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4</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6.8</w:t>
            </w:r>
          </w:p>
        </w:tc>
        <w:tc>
          <w:tcPr>
            <w:tcW w:w="8117" w:type="dxa"/>
            <w:vAlign w:val="center"/>
          </w:tcPr>
          <w:p>
            <w:pPr>
              <w:spacing w:line="400" w:lineRule="exact"/>
              <w:rPr>
                <w:rFonts w:ascii="宋体" w:hAnsi="宋体"/>
                <w:b/>
                <w:color w:val="auto"/>
                <w:spacing w:val="-3"/>
                <w:highlight w:val="none"/>
              </w:rPr>
            </w:pPr>
            <w:r>
              <w:rPr>
                <w:rFonts w:ascii="宋体" w:hAnsi="宋体" w:cs="宋体"/>
                <w:b/>
                <w:color w:val="auto"/>
                <w:highlight w:val="none"/>
              </w:rPr>
              <w:t>磋商供应商资格</w:t>
            </w:r>
            <w:r>
              <w:rPr>
                <w:rFonts w:hint="eastAsia" w:ascii="宋体" w:hAnsi="宋体"/>
                <w:b/>
                <w:color w:val="auto"/>
                <w:spacing w:val="-3"/>
                <w:highlight w:val="none"/>
              </w:rPr>
              <w:t>：</w:t>
            </w:r>
          </w:p>
          <w:p>
            <w:pPr>
              <w:ind w:firstLine="420" w:firstLineChars="200"/>
              <w:rPr>
                <w:color w:val="auto"/>
                <w:highlight w:val="none"/>
              </w:rPr>
            </w:pPr>
            <w:r>
              <w:rPr>
                <w:color w:val="auto"/>
                <w:highlight w:val="none"/>
              </w:rPr>
              <w:t xml:space="preserve">1. </w:t>
            </w:r>
            <w:r>
              <w:rPr>
                <w:rFonts w:hint="eastAsia"/>
                <w:color w:val="auto"/>
                <w:highlight w:val="none"/>
                <w:lang w:val="en-US" w:eastAsia="zh-CN"/>
              </w:rPr>
              <w:t>满足</w:t>
            </w:r>
            <w:r>
              <w:rPr>
                <w:color w:val="auto"/>
                <w:highlight w:val="none"/>
              </w:rPr>
              <w:t>《中华人民共和国政府采购法》第二十二条</w:t>
            </w:r>
            <w:r>
              <w:rPr>
                <w:rFonts w:hint="eastAsia"/>
                <w:color w:val="auto"/>
                <w:highlight w:val="none"/>
                <w:lang w:val="en-US" w:eastAsia="zh-CN"/>
              </w:rPr>
              <w:t>规定；</w:t>
            </w:r>
          </w:p>
          <w:p>
            <w:pPr>
              <w:ind w:firstLine="420" w:firstLineChars="200"/>
              <w:rPr>
                <w:rFonts w:hint="eastAsia"/>
                <w:color w:val="auto"/>
                <w:highlight w:val="none"/>
                <w:lang w:val="en-US" w:eastAsia="zh-CN"/>
              </w:rPr>
            </w:pPr>
            <w:r>
              <w:rPr>
                <w:color w:val="auto"/>
                <w:highlight w:val="none"/>
              </w:rPr>
              <w:t>2.落实政府采购政策需满足的资格要求：</w:t>
            </w:r>
            <w:r>
              <w:rPr>
                <w:rFonts w:hint="eastAsia"/>
                <w:color w:val="auto"/>
                <w:highlight w:val="none"/>
                <w:lang w:val="en-US" w:eastAsia="zh-CN"/>
              </w:rPr>
              <w:t>无；</w:t>
            </w:r>
          </w:p>
          <w:p>
            <w:pPr>
              <w:ind w:firstLine="420" w:firstLineChars="200"/>
              <w:rPr>
                <w:color w:val="auto"/>
                <w:highlight w:val="none"/>
              </w:rPr>
            </w:pPr>
            <w:r>
              <w:rPr>
                <w:rFonts w:hint="eastAsia"/>
                <w:color w:val="auto"/>
                <w:highlight w:val="none"/>
                <w:lang w:val="en-US" w:eastAsia="zh-CN"/>
              </w:rPr>
              <w:t>3</w:t>
            </w:r>
            <w:r>
              <w:rPr>
                <w:color w:val="auto"/>
                <w:highlight w:val="none"/>
              </w:rPr>
              <w:t>.</w:t>
            </w:r>
            <w:r>
              <w:rPr>
                <w:rFonts w:hint="eastAsia"/>
                <w:color w:val="auto"/>
                <w:highlight w:val="none"/>
                <w:lang w:val="en-US" w:eastAsia="zh-CN"/>
              </w:rPr>
              <w:t>本项目的特定资格要求：</w:t>
            </w:r>
            <w:r>
              <w:rPr>
                <w:color w:val="auto"/>
                <w:highlight w:val="none"/>
              </w:rPr>
              <w:t>本次采购要求供应商</w:t>
            </w:r>
            <w:r>
              <w:rPr>
                <w:rFonts w:hint="eastAsia"/>
                <w:color w:val="auto"/>
                <w:highlight w:val="none"/>
                <w:lang w:val="en-US" w:eastAsia="zh-CN"/>
              </w:rPr>
              <w:t>符合</w:t>
            </w:r>
            <w:r>
              <w:rPr>
                <w:color w:val="auto"/>
                <w:highlight w:val="none"/>
              </w:rPr>
              <w:t>《中华人民共和国政府采购法实施条例》第十八条规定，具备合法资格的供应商</w:t>
            </w:r>
            <w:r>
              <w:rPr>
                <w:rFonts w:hint="eastAsia"/>
                <w:color w:val="auto"/>
                <w:highlight w:val="none"/>
                <w:lang w:eastAsia="zh-CN"/>
              </w:rPr>
              <w:t>，</w:t>
            </w:r>
            <w:r>
              <w:rPr>
                <w:color w:val="auto"/>
                <w:highlight w:val="none"/>
              </w:rPr>
              <w:t>须具备</w:t>
            </w:r>
            <w:r>
              <w:rPr>
                <w:rFonts w:hint="eastAsia"/>
                <w:color w:val="auto"/>
                <w:highlight w:val="none"/>
              </w:rPr>
              <w:t>住房城乡</w:t>
            </w:r>
            <w:r>
              <w:rPr>
                <w:color w:val="auto"/>
                <w:highlight w:val="none"/>
              </w:rPr>
              <w:t>建设行政主管部门颁发的</w:t>
            </w:r>
            <w:r>
              <w:rPr>
                <w:rFonts w:hint="eastAsia"/>
                <w:color w:val="auto"/>
                <w:highlight w:val="none"/>
                <w:lang w:eastAsia="zh-CN"/>
              </w:rPr>
              <w:t>房屋建筑工程监理乙级</w:t>
            </w:r>
            <w:r>
              <w:rPr>
                <w:rFonts w:hint="eastAsia"/>
                <w:color w:val="auto"/>
                <w:highlight w:val="none"/>
              </w:rPr>
              <w:t>及以上资质或工程监理综合资质</w:t>
            </w:r>
            <w:r>
              <w:rPr>
                <w:color w:val="auto"/>
                <w:highlight w:val="none"/>
              </w:rPr>
              <w:t>，并在人员、设备、资金等方面具备相应的工程监理能力。其中，供应商拟派总监理工程师须具备国家注册监理工程师执业资格</w:t>
            </w:r>
            <w:r>
              <w:rPr>
                <w:rFonts w:hint="eastAsia"/>
                <w:color w:val="auto"/>
                <w:highlight w:val="none"/>
              </w:rPr>
              <w:t>证（房屋建筑工程注册</w:t>
            </w:r>
            <w:r>
              <w:rPr>
                <w:color w:val="auto"/>
                <w:highlight w:val="none"/>
              </w:rPr>
              <w:t>专业</w:t>
            </w:r>
            <w:r>
              <w:rPr>
                <w:rFonts w:hint="eastAsia"/>
                <w:color w:val="auto"/>
                <w:highlight w:val="none"/>
              </w:rPr>
              <w:t>）</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5</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8.2</w:t>
            </w:r>
          </w:p>
        </w:tc>
        <w:tc>
          <w:tcPr>
            <w:tcW w:w="8117" w:type="dxa"/>
            <w:vAlign w:val="center"/>
          </w:tcPr>
          <w:p>
            <w:pPr>
              <w:spacing w:after="0" w:line="355" w:lineRule="exact"/>
              <w:ind w:left="107" w:right="-239"/>
              <w:rPr>
                <w:color w:val="auto"/>
                <w:highlight w:val="none"/>
              </w:rPr>
            </w:pPr>
            <w:r>
              <w:rPr>
                <w:rFonts w:ascii="宋体" w:hAnsi="宋体" w:cs="宋体"/>
                <w:color w:val="auto"/>
                <w:spacing w:val="-1"/>
                <w:highlight w:val="none"/>
              </w:rPr>
              <w:t>磋商有效期：</w:t>
            </w:r>
            <w:r>
              <w:rPr>
                <w:rFonts w:hint="eastAsia" w:ascii="宋体" w:hAnsi="宋体" w:cs="宋体"/>
                <w:color w:val="auto"/>
                <w:spacing w:val="-1"/>
                <w:highlight w:val="none"/>
              </w:rPr>
              <w:t>60天</w:t>
            </w:r>
            <w:r>
              <w:rPr>
                <w:rFonts w:ascii="宋体" w:hAnsi="宋体" w:cs="宋体"/>
                <w:color w:val="auto"/>
                <w:spacing w:val="-1"/>
                <w:highlight w:val="none"/>
              </w:rPr>
              <w:t>。</w:t>
            </w:r>
          </w:p>
          <w:p>
            <w:pPr>
              <w:spacing w:after="0" w:line="401" w:lineRule="exact"/>
              <w:ind w:right="-239"/>
              <w:rPr>
                <w:color w:val="auto"/>
                <w:highlight w:val="none"/>
              </w:rPr>
            </w:pPr>
            <w:r>
              <w:rPr>
                <w:rFonts w:ascii="宋体" w:hAnsi="宋体" w:cs="宋体"/>
                <w:color w:val="auto"/>
                <w:highlight w:val="none"/>
              </w:rPr>
              <w:t>1.未成交的响应文件磋商有效期内均应保持有效。</w:t>
            </w:r>
          </w:p>
          <w:p>
            <w:pPr>
              <w:spacing w:line="400" w:lineRule="exact"/>
              <w:rPr>
                <w:rFonts w:ascii="宋体" w:hAnsi="宋体" w:cs="宋体"/>
                <w:b/>
                <w:color w:val="auto"/>
                <w:highlight w:val="none"/>
              </w:rPr>
            </w:pPr>
            <w:r>
              <w:rPr>
                <w:rFonts w:ascii="宋体" w:hAnsi="宋体" w:cs="宋体"/>
                <w:color w:val="auto"/>
                <w:spacing w:val="-1"/>
                <w:highlight w:val="none"/>
              </w:rPr>
              <w:t>2.成交供应商的响应文件自开标之日起至合同履行完毕止均应保持有效。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0" w:type="dxa"/>
            <w:vAlign w:val="center"/>
          </w:tcPr>
          <w:p>
            <w:pPr>
              <w:autoSpaceDE w:val="0"/>
              <w:autoSpaceDN w:val="0"/>
              <w:spacing w:line="400" w:lineRule="exact"/>
              <w:jc w:val="center"/>
              <w:rPr>
                <w:rFonts w:ascii="宋体" w:hAnsi="宋体"/>
                <w:color w:val="auto"/>
                <w:kern w:val="0"/>
                <w:highlight w:val="none"/>
              </w:rPr>
            </w:pPr>
            <w:r>
              <w:rPr>
                <w:rFonts w:hint="eastAsia" w:ascii="宋体" w:hAnsi="宋体"/>
                <w:color w:val="auto"/>
                <w:kern w:val="0"/>
                <w:highlight w:val="none"/>
              </w:rPr>
              <w:t>6</w:t>
            </w:r>
          </w:p>
        </w:tc>
        <w:tc>
          <w:tcPr>
            <w:tcW w:w="928" w:type="dxa"/>
            <w:vAlign w:val="center"/>
          </w:tcPr>
          <w:p>
            <w:pPr>
              <w:autoSpaceDE w:val="0"/>
              <w:autoSpaceDN w:val="0"/>
              <w:spacing w:line="400" w:lineRule="exact"/>
              <w:jc w:val="center"/>
              <w:rPr>
                <w:rFonts w:ascii="宋体" w:hAnsi="宋体"/>
                <w:color w:val="auto"/>
                <w:kern w:val="0"/>
                <w:highlight w:val="none"/>
              </w:rPr>
            </w:pPr>
            <w:r>
              <w:rPr>
                <w:rFonts w:hint="eastAsia" w:ascii="宋体" w:hAnsi="宋体"/>
                <w:color w:val="auto"/>
                <w:kern w:val="0"/>
                <w:highlight w:val="none"/>
              </w:rPr>
              <w:t>9</w:t>
            </w:r>
          </w:p>
        </w:tc>
        <w:tc>
          <w:tcPr>
            <w:tcW w:w="8117" w:type="dxa"/>
            <w:vAlign w:val="center"/>
          </w:tcPr>
          <w:p>
            <w:pPr>
              <w:autoSpaceDE w:val="0"/>
              <w:autoSpaceDN w:val="0"/>
              <w:adjustRightInd w:val="0"/>
              <w:spacing w:line="400" w:lineRule="exact"/>
              <w:rPr>
                <w:rFonts w:hint="eastAsia" w:eastAsiaTheme="minorEastAsia"/>
                <w:color w:val="auto"/>
                <w:highlight w:val="none"/>
                <w:lang w:eastAsia="zh-CN"/>
              </w:rPr>
            </w:pPr>
            <w:r>
              <w:rPr>
                <w:rFonts w:hint="eastAsia" w:ascii="宋体" w:hAnsi="宋体"/>
                <w:color w:val="auto"/>
                <w:kern w:val="0"/>
                <w:highlight w:val="none"/>
              </w:rPr>
              <w:t>磋商保证金：</w:t>
            </w:r>
            <w:r>
              <w:rPr>
                <w:rFonts w:hint="eastAsia" w:ascii="宋体" w:hAnsi="宋体"/>
                <w:color w:val="auto"/>
                <w:kern w:val="0"/>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7</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10.1</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磋商报价：供应商必须就所投项目的全部内容作完整唯一报价，</w:t>
            </w:r>
            <w:r>
              <w:rPr>
                <w:rFonts w:hint="eastAsia" w:ascii="宋体" w:hAnsi="宋体"/>
                <w:color w:val="auto"/>
                <w:kern w:val="0"/>
                <w:szCs w:val="21"/>
                <w:highlight w:val="none"/>
              </w:rPr>
              <w:t>报价采用人民币报价，本次磋商为总价包干。</w:t>
            </w:r>
            <w:r>
              <w:rPr>
                <w:rFonts w:hint="eastAsia" w:ascii="宋体" w:hAnsi="宋体"/>
                <w:color w:val="auto"/>
                <w:kern w:val="0"/>
                <w:highlight w:val="none"/>
              </w:rPr>
              <w:t xml:space="preserve">漏项报价的或有选择的或有条件的报价，其磋商将视为无效。磋商报价为二次报价，在最终报价不超出采购预算价的范围内为有效报价。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8</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10.2</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响应文件份数：正本一份、副本三份。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9</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11.2</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响应文件递交及截止时间：2020年</w:t>
            </w:r>
            <w:r>
              <w:rPr>
                <w:rFonts w:hint="eastAsia" w:ascii="宋体" w:hAnsi="宋体"/>
                <w:color w:val="auto"/>
                <w:kern w:val="0"/>
                <w:highlight w:val="none"/>
                <w:lang w:val="en-US" w:eastAsia="zh-CN"/>
              </w:rPr>
              <w:t>8</w:t>
            </w:r>
            <w:r>
              <w:rPr>
                <w:rFonts w:hint="eastAsia" w:ascii="宋体" w:hAnsi="宋体"/>
                <w:color w:val="auto"/>
                <w:kern w:val="0"/>
                <w:highlight w:val="none"/>
              </w:rPr>
              <w:t>月</w:t>
            </w:r>
            <w:r>
              <w:rPr>
                <w:rFonts w:hint="eastAsia" w:ascii="宋体" w:hAnsi="宋体"/>
                <w:color w:val="auto"/>
                <w:kern w:val="0"/>
                <w:highlight w:val="none"/>
                <w:lang w:val="en-US" w:eastAsia="zh-CN"/>
              </w:rPr>
              <w:t>7</w:t>
            </w:r>
            <w:r>
              <w:rPr>
                <w:rFonts w:hint="eastAsia" w:ascii="宋体" w:hAnsi="宋体"/>
                <w:color w:val="auto"/>
                <w:kern w:val="0"/>
                <w:highlight w:val="none"/>
              </w:rPr>
              <w:t>日</w:t>
            </w:r>
            <w:r>
              <w:rPr>
                <w:rFonts w:hint="eastAsia" w:ascii="宋体" w:hAnsi="宋体"/>
                <w:color w:val="auto"/>
                <w:kern w:val="0"/>
                <w:highlight w:val="none"/>
                <w:lang w:val="en-US" w:eastAsia="zh-CN"/>
              </w:rPr>
              <w:t>9</w:t>
            </w:r>
            <w:r>
              <w:rPr>
                <w:rFonts w:hint="eastAsia" w:ascii="宋体" w:hAnsi="宋体"/>
                <w:color w:val="auto"/>
                <w:kern w:val="0"/>
                <w:highlight w:val="none"/>
              </w:rPr>
              <w:t>时</w:t>
            </w:r>
            <w:r>
              <w:rPr>
                <w:rFonts w:hint="eastAsia" w:ascii="宋体" w:hAnsi="宋体"/>
                <w:color w:val="auto"/>
                <w:kern w:val="0"/>
                <w:highlight w:val="none"/>
                <w:lang w:val="en-US" w:eastAsia="zh-CN"/>
              </w:rPr>
              <w:t>00</w:t>
            </w:r>
            <w:r>
              <w:rPr>
                <w:rFonts w:hint="eastAsia" w:ascii="宋体" w:hAnsi="宋体"/>
                <w:color w:val="auto"/>
                <w:kern w:val="0"/>
                <w:highlight w:val="none"/>
              </w:rPr>
              <w:t>分；</w:t>
            </w:r>
          </w:p>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供应商应按竞争性磋商文件中规定的响应截止时间前递交响应文件。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ascii="宋体" w:hAnsi="宋体"/>
                <w:color w:val="auto"/>
                <w:kern w:val="0"/>
                <w:highlight w:val="none"/>
              </w:rPr>
              <w:t>9</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15.4</w:t>
            </w:r>
          </w:p>
        </w:tc>
        <w:tc>
          <w:tcPr>
            <w:tcW w:w="8117" w:type="dxa"/>
            <w:vAlign w:val="center"/>
          </w:tcPr>
          <w:p>
            <w:pPr>
              <w:adjustRightInd w:val="0"/>
              <w:spacing w:line="400" w:lineRule="exact"/>
              <w:textAlignment w:val="baseline"/>
              <w:rPr>
                <w:rFonts w:ascii="宋体" w:hAnsi="宋体"/>
                <w:color w:val="auto"/>
                <w:kern w:val="0"/>
                <w:highlight w:val="none"/>
              </w:rPr>
            </w:pPr>
            <w:r>
              <w:rPr>
                <w:rFonts w:hint="eastAsia" w:ascii="宋体" w:hAnsi="宋体"/>
                <w:color w:val="auto"/>
                <w:kern w:val="0"/>
                <w:highlight w:val="none"/>
              </w:rPr>
              <w:t>供应商递交响应文件的地点：桂平市公共资源交易中心【桂江西路政务服务中心新大楼（原国会大厦）五楼】</w:t>
            </w:r>
            <w:r>
              <w:rPr>
                <w:rFonts w:hint="eastAsia" w:ascii="宋体" w:hAnsi="宋体"/>
                <w:color w:val="auto"/>
                <w:kern w:val="0"/>
                <w:highlight w:val="none"/>
                <w:lang w:eastAsia="zh-CN"/>
              </w:rPr>
              <w:t>开标室</w:t>
            </w:r>
            <w:r>
              <w:rPr>
                <w:rFonts w:hint="eastAsia" w:ascii="宋体" w:hAnsi="宋体"/>
                <w:color w:val="auto"/>
                <w:kern w:val="0"/>
                <w:highlight w:val="none"/>
              </w:rPr>
              <w:t>，由采购代理公司工作人员签收。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10</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15.1</w:t>
            </w:r>
          </w:p>
        </w:tc>
        <w:tc>
          <w:tcPr>
            <w:tcW w:w="8117" w:type="dxa"/>
            <w:vAlign w:val="center"/>
          </w:tcPr>
          <w:p>
            <w:pPr>
              <w:adjustRightInd w:val="0"/>
              <w:spacing w:line="400" w:lineRule="exact"/>
              <w:textAlignment w:val="baseline"/>
              <w:rPr>
                <w:rFonts w:ascii="宋体" w:hAnsi="宋体"/>
                <w:color w:val="auto"/>
                <w:kern w:val="0"/>
                <w:highlight w:val="none"/>
              </w:rPr>
            </w:pPr>
            <w:r>
              <w:rPr>
                <w:rFonts w:ascii="宋体" w:hAnsi="宋体" w:eastAsia="宋体" w:cs="宋体"/>
                <w:color w:val="auto"/>
                <w:spacing w:val="-1"/>
                <w:highlight w:val="none"/>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40"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11</w:t>
            </w:r>
          </w:p>
        </w:tc>
        <w:tc>
          <w:tcPr>
            <w:tcW w:w="928" w:type="dxa"/>
            <w:vAlign w:val="center"/>
          </w:tcPr>
          <w:p>
            <w:pPr>
              <w:adjustRightInd w:val="0"/>
              <w:spacing w:line="400" w:lineRule="exact"/>
              <w:jc w:val="center"/>
              <w:textAlignment w:val="baseline"/>
              <w:rPr>
                <w:rFonts w:ascii="宋体" w:hAnsi="宋体"/>
                <w:color w:val="auto"/>
                <w:kern w:val="0"/>
                <w:highlight w:val="none"/>
              </w:rPr>
            </w:pPr>
            <w:r>
              <w:rPr>
                <w:rFonts w:hint="eastAsia" w:ascii="宋体" w:hAnsi="宋体"/>
                <w:color w:val="auto"/>
                <w:kern w:val="0"/>
                <w:highlight w:val="none"/>
              </w:rPr>
              <w:t>19.1</w:t>
            </w:r>
          </w:p>
        </w:tc>
        <w:tc>
          <w:tcPr>
            <w:tcW w:w="8117" w:type="dxa"/>
            <w:vAlign w:val="center"/>
          </w:tcPr>
          <w:p>
            <w:pPr>
              <w:spacing w:after="0" w:line="360" w:lineRule="auto"/>
              <w:ind w:left="60" w:firstLine="209"/>
              <w:rPr>
                <w:rFonts w:ascii="宋体" w:hAnsi="宋体"/>
                <w:color w:val="auto"/>
                <w:kern w:val="0"/>
                <w:highlight w:val="none"/>
              </w:rPr>
            </w:pPr>
            <w:r>
              <w:rPr>
                <w:rFonts w:ascii="宋体" w:hAnsi="宋体" w:cs="宋体"/>
                <w:color w:val="auto"/>
                <w:spacing w:val="-4"/>
                <w:position w:val="3"/>
                <w:highlight w:val="none"/>
              </w:rPr>
              <w:t>招标代理服务费：</w:t>
            </w:r>
            <w:r>
              <w:rPr>
                <w:rFonts w:ascii="宋体" w:hAnsi="宋体" w:cs="宋体"/>
                <w:color w:val="auto"/>
                <w:highlight w:val="none"/>
              </w:rPr>
              <w:t>本项目的招标代理服务费按发改价格〔2015〕299</w:t>
            </w:r>
            <w:r>
              <w:rPr>
                <w:rFonts w:ascii="Calibri" w:hAnsi="Calibri" w:cs="Calibri"/>
                <w:color w:val="auto"/>
                <w:spacing w:val="5"/>
                <w:highlight w:val="none"/>
              </w:rPr>
              <w:t> </w:t>
            </w:r>
            <w:r>
              <w:rPr>
                <w:rFonts w:ascii="宋体" w:hAnsi="宋体" w:cs="宋体"/>
                <w:color w:val="auto"/>
                <w:highlight w:val="none"/>
              </w:rPr>
              <w:t>号文执行，金额为</w:t>
            </w:r>
            <w:r>
              <w:rPr>
                <w:rFonts w:hint="eastAsia" w:ascii="宋体" w:hAnsi="宋体" w:cs="宋体"/>
                <w:color w:val="auto"/>
                <w:highlight w:val="none"/>
              </w:rPr>
              <w:t>人民币</w:t>
            </w:r>
            <w:r>
              <w:rPr>
                <w:rFonts w:hint="eastAsia" w:ascii="宋体" w:hAnsi="宋体" w:cs="宋体"/>
                <w:color w:val="auto"/>
                <w:highlight w:val="none"/>
                <w:lang w:eastAsia="zh-CN"/>
              </w:rPr>
              <w:t>壹万贰仟元整</w:t>
            </w:r>
            <w:r>
              <w:rPr>
                <w:rFonts w:hint="eastAsia" w:ascii="宋体" w:hAnsi="宋体" w:cs="宋体"/>
                <w:color w:val="auto"/>
                <w:highlight w:val="none"/>
              </w:rPr>
              <w:t>（¥</w:t>
            </w:r>
            <w:r>
              <w:rPr>
                <w:rFonts w:hint="eastAsia" w:ascii="宋体" w:hAnsi="宋体" w:cs="宋体"/>
                <w:color w:val="auto"/>
                <w:highlight w:val="none"/>
                <w:lang w:eastAsia="zh-CN"/>
              </w:rPr>
              <w:t>12000.00</w:t>
            </w:r>
            <w:r>
              <w:rPr>
                <w:rFonts w:hint="eastAsia" w:ascii="宋体" w:hAnsi="宋体" w:cs="宋体"/>
                <w:color w:val="auto"/>
                <w:highlight w:val="none"/>
              </w:rPr>
              <w:t>）</w:t>
            </w:r>
            <w:r>
              <w:rPr>
                <w:rFonts w:ascii="宋体" w:hAnsi="宋体" w:cs="宋体"/>
                <w:color w:val="auto"/>
                <w:highlight w:val="none"/>
              </w:rPr>
              <w:t>。方式为由成交人向采购代理机构支付。领取成交通知书前，成交人应向</w:t>
            </w:r>
            <w:r>
              <w:rPr>
                <w:rFonts w:ascii="宋体" w:hAnsi="宋体" w:cs="宋体"/>
                <w:color w:val="auto"/>
                <w:spacing w:val="-1"/>
                <w:highlight w:val="none"/>
              </w:rPr>
              <w:t>采购代理机构一次付清采购代理服务费。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8"/>
              <w:snapToGrid w:val="0"/>
              <w:spacing w:line="340" w:lineRule="exact"/>
              <w:jc w:val="center"/>
              <w:rPr>
                <w:rFonts w:hAnsi="宋体" w:cs="Times New Roman"/>
                <w:color w:val="auto"/>
                <w:highlight w:val="none"/>
              </w:rPr>
            </w:pPr>
            <w:r>
              <w:rPr>
                <w:rFonts w:hint="eastAsia" w:hAnsi="宋体" w:cs="Times New Roman"/>
                <w:color w:val="auto"/>
                <w:highlight w:val="none"/>
              </w:rPr>
              <w:t>12</w:t>
            </w:r>
          </w:p>
        </w:tc>
        <w:tc>
          <w:tcPr>
            <w:tcW w:w="928" w:type="dxa"/>
            <w:vAlign w:val="center"/>
          </w:tcPr>
          <w:p>
            <w:pPr>
              <w:pStyle w:val="8"/>
              <w:snapToGrid w:val="0"/>
              <w:spacing w:line="340" w:lineRule="exact"/>
              <w:jc w:val="center"/>
              <w:rPr>
                <w:rFonts w:hAnsi="宋体" w:cs="Times New Roman"/>
                <w:color w:val="auto"/>
                <w:highlight w:val="none"/>
              </w:rPr>
            </w:pPr>
          </w:p>
        </w:tc>
        <w:tc>
          <w:tcPr>
            <w:tcW w:w="8117" w:type="dxa"/>
            <w:vAlign w:val="center"/>
          </w:tcPr>
          <w:p>
            <w:pPr>
              <w:pStyle w:val="8"/>
              <w:snapToGrid w:val="0"/>
              <w:spacing w:line="340" w:lineRule="exact"/>
              <w:jc w:val="left"/>
              <w:rPr>
                <w:rFonts w:hAnsi="宋体"/>
                <w:color w:val="auto"/>
                <w:highlight w:val="none"/>
              </w:rPr>
            </w:pPr>
            <w:r>
              <w:rPr>
                <w:rFonts w:hint="eastAsia" w:hAnsi="宋体"/>
                <w:color w:val="auto"/>
                <w:highlight w:val="none"/>
              </w:rPr>
              <w:t>接收质疑函方式：接受以现场递交或以邮递方式送达的书面质疑</w:t>
            </w:r>
          </w:p>
          <w:p>
            <w:pPr>
              <w:pStyle w:val="8"/>
              <w:snapToGrid w:val="0"/>
              <w:spacing w:line="340" w:lineRule="exact"/>
              <w:jc w:val="left"/>
              <w:rPr>
                <w:rFonts w:hAnsi="宋体" w:cs="Times New Roman"/>
                <w:color w:val="auto"/>
                <w:highlight w:val="none"/>
              </w:rPr>
            </w:pPr>
            <w:r>
              <w:rPr>
                <w:rFonts w:hint="eastAsia" w:hAnsi="宋体"/>
                <w:color w:val="auto"/>
                <w:highlight w:val="none"/>
              </w:rPr>
              <w:t>质疑联系部门：</w:t>
            </w:r>
            <w:r>
              <w:rPr>
                <w:rFonts w:hint="eastAsia" w:hAnsi="宋体"/>
                <w:color w:val="auto"/>
                <w:highlight w:val="none"/>
                <w:lang w:eastAsia="zh-CN"/>
              </w:rPr>
              <w:t>广西博行弈工程项目管理有限公司</w:t>
            </w:r>
            <w:r>
              <w:rPr>
                <w:rFonts w:hint="eastAsia" w:hAnsi="宋体"/>
                <w:color w:val="auto"/>
                <w:highlight w:val="none"/>
              </w:rPr>
              <w:t>，联系人：</w:t>
            </w:r>
            <w:r>
              <w:rPr>
                <w:rFonts w:hint="eastAsia" w:hAnsi="宋体"/>
                <w:color w:val="auto"/>
                <w:highlight w:val="none"/>
                <w:lang w:eastAsia="zh-CN"/>
              </w:rPr>
              <w:t>小贾</w:t>
            </w:r>
            <w:r>
              <w:rPr>
                <w:rFonts w:hint="eastAsia" w:hAnsi="宋体"/>
                <w:color w:val="auto"/>
                <w:highlight w:val="none"/>
              </w:rPr>
              <w:t>,联系电话：</w:t>
            </w:r>
            <w:r>
              <w:rPr>
                <w:rFonts w:hint="eastAsia" w:hAnsi="宋体"/>
                <w:color w:val="auto"/>
                <w:highlight w:val="none"/>
                <w:lang w:eastAsia="zh-CN"/>
              </w:rPr>
              <w:t>0775-4218878</w:t>
            </w:r>
            <w:r>
              <w:rPr>
                <w:rFonts w:hint="eastAsia" w:hAnsi="宋体"/>
                <w:color w:val="auto"/>
                <w:highlight w:val="none"/>
              </w:rPr>
              <w:t>，通讯地址：</w:t>
            </w:r>
            <w:r>
              <w:rPr>
                <w:rFonts w:hint="eastAsia" w:hAnsi="宋体"/>
                <w:color w:val="auto"/>
                <w:highlight w:val="none"/>
                <w:lang w:eastAsia="zh-CN"/>
              </w:rPr>
              <w:t>贵港市港北区金港大道万豪丽城2栋3单元3405</w:t>
            </w:r>
            <w:r>
              <w:rPr>
                <w:rFonts w:hint="eastAsia"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8"/>
              <w:snapToGrid w:val="0"/>
              <w:spacing w:line="340" w:lineRule="exact"/>
              <w:jc w:val="center"/>
              <w:rPr>
                <w:rFonts w:hAnsi="宋体"/>
                <w:color w:val="auto"/>
                <w:highlight w:val="none"/>
              </w:rPr>
            </w:pPr>
            <w:r>
              <w:rPr>
                <w:rFonts w:hint="eastAsia" w:hAnsi="宋体"/>
                <w:color w:val="auto"/>
                <w:highlight w:val="none"/>
              </w:rPr>
              <w:t>13</w:t>
            </w:r>
          </w:p>
        </w:tc>
        <w:tc>
          <w:tcPr>
            <w:tcW w:w="928" w:type="dxa"/>
            <w:vAlign w:val="center"/>
          </w:tcPr>
          <w:p>
            <w:pPr>
              <w:pStyle w:val="8"/>
              <w:snapToGrid w:val="0"/>
              <w:spacing w:line="340" w:lineRule="exact"/>
              <w:jc w:val="center"/>
              <w:rPr>
                <w:rFonts w:hAnsi="宋体"/>
                <w:color w:val="auto"/>
                <w:highlight w:val="none"/>
              </w:rPr>
            </w:pPr>
          </w:p>
        </w:tc>
        <w:tc>
          <w:tcPr>
            <w:tcW w:w="8117"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1、</w:t>
            </w:r>
            <w:r>
              <w:rPr>
                <w:rFonts w:ascii="宋体" w:hAnsi="宋体" w:cs="Courier New"/>
                <w:color w:val="auto"/>
                <w:spacing w:val="2"/>
                <w:szCs w:val="21"/>
                <w:highlight w:val="none"/>
              </w:rPr>
              <w:t>本文件中描述</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的“公章”是指根据我国对公章的管理规定，用</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法定主体行为名称制作的印章，除本文件有特殊规定外，</w:t>
            </w:r>
            <w:r>
              <w:rPr>
                <w:rFonts w:hint="eastAsia" w:ascii="宋体" w:hAnsi="宋体" w:cs="Courier New"/>
                <w:color w:val="auto"/>
                <w:spacing w:val="2"/>
                <w:szCs w:val="21"/>
                <w:highlight w:val="none"/>
              </w:rPr>
              <w:t>磋商单位</w:t>
            </w:r>
            <w:r>
              <w:rPr>
                <w:rFonts w:ascii="宋体" w:hAnsi="宋体" w:cs="Courier New"/>
                <w:color w:val="auto"/>
                <w:spacing w:val="2"/>
                <w:szCs w:val="21"/>
                <w:highlight w:val="none"/>
              </w:rPr>
              <w:t>的财务章、部门章、分公司章、工会章、合同章、投标专用章、业务专用章及银行的转账章、现金收讫章、现金付讫章等其它形式印章均不能代替公章</w:t>
            </w:r>
            <w:r>
              <w:rPr>
                <w:rFonts w:hint="eastAsia" w:ascii="宋体" w:hAnsi="宋体" w:cs="Courier New"/>
                <w:color w:val="auto"/>
                <w:spacing w:val="2"/>
                <w:szCs w:val="21"/>
                <w:highlight w:val="none"/>
              </w:rPr>
              <w:t>。</w:t>
            </w:r>
          </w:p>
          <w:p>
            <w:pPr>
              <w:pStyle w:val="8"/>
              <w:snapToGrid w:val="0"/>
              <w:spacing w:line="340" w:lineRule="exact"/>
              <w:jc w:val="left"/>
              <w:rPr>
                <w:rFonts w:hAnsi="宋体"/>
                <w:color w:val="auto"/>
                <w:highlight w:val="none"/>
              </w:rPr>
            </w:pPr>
            <w:r>
              <w:rPr>
                <w:rFonts w:hint="eastAsia" w:hAnsi="宋体" w:cs="Courier New"/>
                <w:color w:val="auto"/>
                <w:spacing w:val="2"/>
                <w:szCs w:val="21"/>
                <w:highlight w:val="none"/>
              </w:rPr>
              <w:t>2、</w:t>
            </w:r>
            <w:r>
              <w:rPr>
                <w:rFonts w:hAnsi="宋体" w:cs="Courier New"/>
                <w:color w:val="auto"/>
                <w:spacing w:val="2"/>
                <w:szCs w:val="21"/>
                <w:highlight w:val="none"/>
              </w:rPr>
              <w:t>本</w:t>
            </w:r>
            <w:r>
              <w:rPr>
                <w:rFonts w:hint="eastAsia" w:hAnsi="宋体" w:cs="Courier New"/>
                <w:color w:val="auto"/>
                <w:spacing w:val="2"/>
                <w:szCs w:val="21"/>
                <w:highlight w:val="none"/>
              </w:rPr>
              <w:t>竞争性磋商采购文件</w:t>
            </w:r>
            <w:r>
              <w:rPr>
                <w:rFonts w:hAnsi="宋体" w:cs="Courier New"/>
                <w:color w:val="auto"/>
                <w:spacing w:val="2"/>
                <w:szCs w:val="21"/>
                <w:highlight w:val="none"/>
              </w:rPr>
              <w:t>中描述</w:t>
            </w:r>
            <w:r>
              <w:rPr>
                <w:rFonts w:hint="eastAsia" w:hAnsi="宋体" w:cs="Courier New"/>
                <w:color w:val="auto"/>
                <w:spacing w:val="2"/>
                <w:szCs w:val="21"/>
                <w:highlight w:val="none"/>
              </w:rPr>
              <w:t>磋商单位</w:t>
            </w:r>
            <w:r>
              <w:rPr>
                <w:rFonts w:hAnsi="宋体" w:cs="Courier New"/>
                <w:color w:val="auto"/>
                <w:spacing w:val="2"/>
                <w:szCs w:val="21"/>
                <w:highlight w:val="none"/>
              </w:rPr>
              <w:t>的“</w:t>
            </w:r>
            <w:r>
              <w:rPr>
                <w:rFonts w:hint="eastAsia" w:hAnsi="宋体" w:cs="Courier New"/>
                <w:color w:val="auto"/>
                <w:spacing w:val="2"/>
                <w:szCs w:val="21"/>
                <w:highlight w:val="none"/>
              </w:rPr>
              <w:t>签字</w:t>
            </w:r>
            <w:r>
              <w:rPr>
                <w:rFonts w:hAnsi="宋体" w:cs="Courier New"/>
                <w:color w:val="auto"/>
                <w:spacing w:val="2"/>
                <w:szCs w:val="21"/>
                <w:highlight w:val="none"/>
              </w:rPr>
              <w:t>”是指</w:t>
            </w:r>
            <w:r>
              <w:rPr>
                <w:rFonts w:hint="eastAsia" w:hAnsi="宋体" w:cs="Courier New"/>
                <w:color w:val="auto"/>
                <w:spacing w:val="2"/>
                <w:szCs w:val="21"/>
                <w:highlight w:val="none"/>
              </w:rPr>
              <w:t>磋商单位的法定代表人或委托代理人亲自在采购文件规定签署处亲笔写上个人的名字的行为，私章、签字章、印鉴、影印等其它形式</w:t>
            </w:r>
            <w:r>
              <w:rPr>
                <w:rFonts w:hAnsi="宋体" w:cs="Courier New"/>
                <w:color w:val="auto"/>
                <w:spacing w:val="2"/>
                <w:szCs w:val="21"/>
                <w:highlight w:val="none"/>
              </w:rPr>
              <w:t>均不能代替</w:t>
            </w:r>
            <w:r>
              <w:rPr>
                <w:rFonts w:hint="eastAsia" w:hAnsi="宋体" w:cs="Courier New"/>
                <w:color w:val="auto"/>
                <w:spacing w:val="2"/>
                <w:szCs w:val="21"/>
                <w:highlight w:val="none"/>
              </w:rPr>
              <w:t>亲笔签字</w:t>
            </w:r>
            <w:r>
              <w:rPr>
                <w:rFonts w:hAnsi="宋体" w:cs="Courier New"/>
                <w:color w:val="auto"/>
                <w:spacing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0" w:type="dxa"/>
            <w:vAlign w:val="center"/>
          </w:tcPr>
          <w:p>
            <w:pPr>
              <w:pStyle w:val="8"/>
              <w:snapToGrid w:val="0"/>
              <w:spacing w:line="340" w:lineRule="exact"/>
              <w:jc w:val="center"/>
              <w:rPr>
                <w:rFonts w:hAnsi="宋体"/>
                <w:color w:val="auto"/>
                <w:highlight w:val="none"/>
              </w:rPr>
            </w:pPr>
            <w:r>
              <w:rPr>
                <w:rFonts w:hint="eastAsia" w:hAnsi="宋体"/>
                <w:color w:val="auto"/>
                <w:highlight w:val="none"/>
              </w:rPr>
              <w:t>14</w:t>
            </w:r>
          </w:p>
        </w:tc>
        <w:tc>
          <w:tcPr>
            <w:tcW w:w="928" w:type="dxa"/>
            <w:vAlign w:val="center"/>
          </w:tcPr>
          <w:p>
            <w:pPr>
              <w:pStyle w:val="8"/>
              <w:snapToGrid w:val="0"/>
              <w:spacing w:line="340" w:lineRule="exact"/>
              <w:jc w:val="center"/>
              <w:rPr>
                <w:rFonts w:hAnsi="宋体"/>
                <w:color w:val="auto"/>
                <w:highlight w:val="none"/>
              </w:rPr>
            </w:pPr>
          </w:p>
        </w:tc>
        <w:tc>
          <w:tcPr>
            <w:tcW w:w="8117" w:type="dxa"/>
            <w:vAlign w:val="center"/>
          </w:tcPr>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在对磋商单位资格审查时进行信用查询查询渠道：“信用中国”网站(www.creditchina.gov.cn)、中国政府采购网(www.ccgp.gov.cn)等；</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查询起止时间：自磋商单位成立之日至磋商截止时间查询记录和证据留存方式：在查询网站中直接打印查询记录，打印材料作为评审资料保存。</w:t>
            </w:r>
          </w:p>
          <w:p>
            <w:pPr>
              <w:spacing w:line="4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widowControl/>
        <w:rPr>
          <w:color w:val="auto"/>
          <w:highlight w:val="none"/>
        </w:rPr>
        <w:sectPr>
          <w:type w:val="continuous"/>
          <w:pgSz w:w="11906" w:h="16838"/>
          <w:pgMar w:top="818" w:right="713" w:bottom="578" w:left="1073" w:header="0" w:footer="0" w:gutter="0"/>
          <w:cols w:equalWidth="0" w:num="1">
            <w:col w:w="10120"/>
          </w:cols>
          <w:docGrid w:type="lines" w:linePitch="312" w:charSpace="0"/>
        </w:sectPr>
      </w:pPr>
    </w:p>
    <w:p>
      <w:pPr>
        <w:spacing w:after="0" w:line="446" w:lineRule="exact"/>
        <w:rPr>
          <w:color w:val="auto"/>
          <w:highlight w:val="none"/>
        </w:rPr>
      </w:pPr>
      <w:bookmarkStart w:id="45" w:name="7"/>
      <w:bookmarkEnd w:id="45"/>
      <w:bookmarkStart w:id="46" w:name="1"/>
      <w:bookmarkEnd w:id="46"/>
    </w:p>
    <w:p>
      <w:pPr>
        <w:spacing w:after="0" w:line="320" w:lineRule="exact"/>
        <w:ind w:left="65" w:firstLine="3857"/>
        <w:rPr>
          <w:color w:val="auto"/>
          <w:highlight w:val="none"/>
        </w:rPr>
      </w:pPr>
      <w:r>
        <w:rPr>
          <w:rFonts w:ascii="宋体" w:hAnsi="宋体" w:eastAsia="宋体" w:cs="宋体"/>
          <w:color w:val="auto"/>
          <w:sz w:val="32"/>
          <w:highlight w:val="none"/>
        </w:rPr>
        <w:t>磋商须知</w:t>
      </w:r>
    </w:p>
    <w:p>
      <w:pPr>
        <w:spacing w:after="0" w:line="360" w:lineRule="auto"/>
        <w:ind w:left="65" w:firstLine="3857"/>
        <w:rPr>
          <w:color w:val="auto"/>
          <w:highlight w:val="none"/>
        </w:rPr>
      </w:pPr>
    </w:p>
    <w:p>
      <w:pPr>
        <w:spacing w:after="0" w:line="360" w:lineRule="auto"/>
        <w:ind w:left="65"/>
        <w:rPr>
          <w:b/>
          <w:bCs/>
          <w:color w:val="auto"/>
          <w:highlight w:val="none"/>
        </w:rPr>
      </w:pPr>
      <w:r>
        <w:rPr>
          <w:rFonts w:ascii="宋体" w:hAnsi="宋体" w:cs="宋体"/>
          <w:b/>
          <w:bCs/>
          <w:color w:val="auto"/>
          <w:highlight w:val="none"/>
        </w:rPr>
        <w:t>一、总</w:t>
      </w:r>
      <w:r>
        <w:rPr>
          <w:rFonts w:ascii="Calibri" w:hAnsi="Calibri" w:cs="Calibri"/>
          <w:b/>
          <w:bCs/>
          <w:color w:val="auto"/>
          <w:w w:val="194"/>
          <w:sz w:val="24"/>
          <w:highlight w:val="none"/>
        </w:rPr>
        <w:t>  </w:t>
      </w:r>
      <w:r>
        <w:rPr>
          <w:rFonts w:ascii="宋体" w:hAnsi="宋体" w:eastAsia="宋体" w:cs="宋体"/>
          <w:b/>
          <w:bCs/>
          <w:color w:val="auto"/>
          <w:spacing w:val="-2"/>
          <w:highlight w:val="none"/>
        </w:rPr>
        <w:t>则</w:t>
      </w:r>
    </w:p>
    <w:p>
      <w:pPr>
        <w:spacing w:after="0" w:line="360" w:lineRule="auto"/>
        <w:ind w:left="65"/>
        <w:rPr>
          <w:color w:val="auto"/>
          <w:highlight w:val="none"/>
        </w:rPr>
      </w:pPr>
      <w:r>
        <w:rPr>
          <w:rFonts w:ascii="宋体" w:hAnsi="宋体" w:cs="宋体"/>
          <w:color w:val="auto"/>
          <w:highlight w:val="none"/>
        </w:rPr>
        <w:t>1.</w:t>
      </w:r>
      <w:r>
        <w:rPr>
          <w:rFonts w:ascii="Calibri" w:hAnsi="Calibri" w:cs="Calibri"/>
          <w:color w:val="auto"/>
          <w:w w:val="219"/>
          <w:highlight w:val="none"/>
        </w:rPr>
        <w:t> </w:t>
      </w:r>
      <w:r>
        <w:rPr>
          <w:rFonts w:ascii="宋体" w:hAnsi="宋体" w:eastAsia="宋体" w:cs="宋体"/>
          <w:color w:val="auto"/>
          <w:highlight w:val="none"/>
        </w:rPr>
        <w:t>综合说明:</w:t>
      </w:r>
    </w:p>
    <w:p>
      <w:pPr>
        <w:spacing w:after="0" w:line="360" w:lineRule="auto"/>
        <w:ind w:left="65"/>
        <w:outlineLvl w:val="0"/>
        <w:rPr>
          <w:rFonts w:hint="eastAsia" w:eastAsia="宋体"/>
          <w:color w:val="auto"/>
          <w:highlight w:val="none"/>
          <w:lang w:eastAsia="zh-CN"/>
        </w:rPr>
      </w:pPr>
      <w:r>
        <w:rPr>
          <w:rFonts w:ascii="宋体" w:hAnsi="宋体" w:cs="宋体"/>
          <w:color w:val="auto"/>
          <w:highlight w:val="none"/>
        </w:rPr>
        <w:t>1.1</w:t>
      </w:r>
      <w:r>
        <w:rPr>
          <w:rFonts w:ascii="Calibri" w:hAnsi="Calibri" w:cs="Calibri"/>
          <w:color w:val="auto"/>
          <w:spacing w:val="3"/>
          <w:highlight w:val="none"/>
        </w:rPr>
        <w:t> </w:t>
      </w:r>
      <w:r>
        <w:rPr>
          <w:rFonts w:ascii="宋体" w:hAnsi="宋体" w:eastAsia="宋体" w:cs="宋体"/>
          <w:color w:val="auto"/>
          <w:spacing w:val="-1"/>
          <w:highlight w:val="none"/>
        </w:rPr>
        <w:t>项目名称：</w:t>
      </w:r>
      <w:r>
        <w:rPr>
          <w:rFonts w:hint="eastAsia" w:ascii="宋体" w:hAnsi="宋体" w:eastAsia="宋体" w:cs="宋体"/>
          <w:color w:val="auto"/>
          <w:spacing w:val="-1"/>
          <w:highlight w:val="none"/>
          <w:lang w:eastAsia="zh-CN"/>
        </w:rPr>
        <w:t>广西桂平市人民武装部营院易地搬迁工程项目监理</w:t>
      </w:r>
    </w:p>
    <w:p>
      <w:pPr>
        <w:spacing w:after="0" w:line="360" w:lineRule="auto"/>
        <w:ind w:left="65" w:firstLine="314"/>
        <w:rPr>
          <w:rFonts w:hint="eastAsia" w:eastAsia="宋体"/>
          <w:color w:val="auto"/>
          <w:highlight w:val="none"/>
          <w:lang w:eastAsia="zh-CN"/>
        </w:rPr>
      </w:pPr>
      <w:r>
        <w:rPr>
          <w:rFonts w:ascii="宋体" w:hAnsi="宋体" w:eastAsia="宋体" w:cs="宋体"/>
          <w:color w:val="auto"/>
          <w:spacing w:val="-1"/>
          <w:position w:val="3"/>
          <w:highlight w:val="none"/>
        </w:rPr>
        <w:t>项目编号：</w:t>
      </w:r>
      <w:r>
        <w:rPr>
          <w:rFonts w:hint="eastAsia" w:ascii="宋体" w:hAnsi="宋体" w:eastAsia="宋体" w:cs="宋体"/>
          <w:color w:val="auto"/>
          <w:spacing w:val="-1"/>
          <w:highlight w:val="none"/>
          <w:lang w:eastAsia="zh-CN"/>
        </w:rPr>
        <w:t>GGZC2020-C3-50152-GXBX</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eastAsia="宋体" w:cs="宋体"/>
          <w:color w:val="auto"/>
          <w:szCs w:val="21"/>
          <w:highlight w:val="none"/>
          <w:shd w:val="clear" w:color="auto" w:fill="FFFFFF"/>
        </w:rPr>
        <w:t>采购</w:t>
      </w:r>
      <w:r>
        <w:rPr>
          <w:rFonts w:hint="eastAsia" w:ascii="宋体" w:hAnsi="宋体" w:eastAsia="宋体" w:cs="宋体"/>
          <w:color w:val="auto"/>
          <w:szCs w:val="21"/>
          <w:highlight w:val="none"/>
          <w:shd w:val="clear" w:color="auto" w:fill="FFFFFF"/>
          <w:lang w:val="en-US" w:eastAsia="zh-CN"/>
        </w:rPr>
        <w:t>需求</w:t>
      </w:r>
      <w:r>
        <w:rPr>
          <w:rFonts w:hint="eastAsia" w:ascii="宋体" w:hAnsi="宋体" w:cs="宋体"/>
          <w:color w:val="auto"/>
          <w:spacing w:val="-2"/>
          <w:position w:val="3"/>
          <w:highlight w:val="none"/>
        </w:rPr>
        <w:t>：</w:t>
      </w:r>
      <w:r>
        <w:rPr>
          <w:rFonts w:hint="eastAsia" w:ascii="宋体" w:hAnsi="宋体" w:cs="宋体"/>
          <w:color w:val="auto"/>
          <w:spacing w:val="-2"/>
          <w:position w:val="3"/>
          <w:highlight w:val="none"/>
          <w:lang w:eastAsia="zh-CN"/>
        </w:rPr>
        <w:t>广西桂平市人民武装部营院易地搬迁工程项目监理</w:t>
      </w:r>
      <w:r>
        <w:rPr>
          <w:rFonts w:hint="eastAsia" w:ascii="宋体" w:hAnsi="宋体" w:cs="宋体"/>
          <w:color w:val="auto"/>
          <w:spacing w:val="-2"/>
          <w:position w:val="3"/>
          <w:highlight w:val="none"/>
        </w:rPr>
        <w:t>1项，项目建设地址：桂平市金田大道交龙潭大道处。项目建设规模及主要建设内容：</w:t>
      </w:r>
      <w:r>
        <w:rPr>
          <w:rFonts w:hint="eastAsia" w:ascii="宋体" w:hAnsi="宋体" w:cs="宋体"/>
          <w:color w:val="auto"/>
          <w:spacing w:val="-2"/>
          <w:position w:val="3"/>
          <w:highlight w:val="none"/>
          <w:lang w:eastAsia="zh-CN"/>
        </w:rPr>
        <w:t>总建筑面积约11400㎡。主要建设办公指挥综合楼一栋，建筑面积2200㎡；民兵训练中心一栋，建筑面积5900㎡；运动馆一栋，建筑面积750㎡；附属配套一栋，楼建筑面积500㎡；公寓楼一栋，建筑面积1900㎡；值班室、配电房建筑面积150㎡；400米标准运动场、篮球场、围墙、道路及营院供配电、照明、消防、给排水、绿化等。具体内容详见工程量清单及施工图纸</w:t>
      </w:r>
      <w:r>
        <w:rPr>
          <w:rFonts w:hint="eastAsia" w:ascii="宋体" w:hAnsi="宋体" w:cs="宋体"/>
          <w:color w:val="auto"/>
          <w:spacing w:val="-2"/>
          <w:position w:val="3"/>
          <w:highlight w:val="none"/>
        </w:rPr>
        <w:t>。</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cs="宋体"/>
          <w:color w:val="auto"/>
          <w:spacing w:val="-2"/>
          <w:position w:val="3"/>
          <w:highlight w:val="none"/>
        </w:rPr>
        <w:t>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督管理、合同、信息等方面的协调管理。保修阶段：检查和记录工程质量缺陷，对缺陷原因进行调查分析并确定责任归属，审核修复方案，监督修复过程并验收，审核修复费用等施工阶段的监理。</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cs="宋体"/>
          <w:color w:val="auto"/>
          <w:spacing w:val="-2"/>
          <w:position w:val="3"/>
          <w:highlight w:val="none"/>
        </w:rPr>
        <w:t>监理质量要求：严格按照国家有关监理规范要求全过程监督工程质量，确保工程质量达到合格以上。</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cs="宋体"/>
          <w:color w:val="auto"/>
          <w:spacing w:val="-2"/>
          <w:position w:val="3"/>
          <w:highlight w:val="none"/>
        </w:rPr>
        <w:t xml:space="preserve">监理服务期限：自合同签订之日起开始实施，至工程竣工验收合格，保修期满完毕（监理工期与施工工期一致）。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val="en-US" w:eastAsia="zh-CN"/>
        </w:rPr>
        <w:t>概算总投资</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7186.59</w:t>
      </w:r>
      <w:r>
        <w:rPr>
          <w:rFonts w:hint="eastAsia" w:ascii="宋体" w:hAnsi="宋体" w:cs="宋体"/>
          <w:color w:val="auto"/>
          <w:szCs w:val="21"/>
          <w:highlight w:val="none"/>
        </w:rPr>
        <w:t>万元</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其中建安工程费约3920.85万元</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cs="宋体"/>
          <w:color w:val="auto"/>
          <w:spacing w:val="-2"/>
          <w:position w:val="3"/>
          <w:highlight w:val="none"/>
        </w:rPr>
        <w:t>资金来源：</w:t>
      </w:r>
      <w:r>
        <w:rPr>
          <w:rFonts w:hint="eastAsia" w:ascii="宋体" w:hAnsi="宋体" w:cs="宋体"/>
          <w:color w:val="auto"/>
          <w:spacing w:val="-2"/>
          <w:position w:val="3"/>
          <w:highlight w:val="none"/>
          <w:lang w:eastAsia="zh-CN"/>
        </w:rPr>
        <w:t>财政拨款</w:t>
      </w:r>
      <w:r>
        <w:rPr>
          <w:rFonts w:hint="eastAsia" w:ascii="宋体" w:hAnsi="宋体" w:cs="宋体"/>
          <w:color w:val="auto"/>
          <w:spacing w:val="-2"/>
          <w:position w:val="3"/>
          <w:highlight w:val="none"/>
        </w:rPr>
        <w:t>。</w:t>
      </w:r>
    </w:p>
    <w:p>
      <w:pPr>
        <w:spacing w:after="0" w:line="360" w:lineRule="auto"/>
        <w:ind w:left="65" w:firstLine="420"/>
        <w:rPr>
          <w:rFonts w:hint="eastAsia" w:ascii="宋体" w:hAnsi="宋体" w:cs="宋体"/>
          <w:color w:val="auto"/>
          <w:spacing w:val="-2"/>
          <w:position w:val="3"/>
          <w:highlight w:val="none"/>
        </w:rPr>
      </w:pPr>
      <w:r>
        <w:rPr>
          <w:rFonts w:hint="eastAsia" w:ascii="宋体" w:hAnsi="宋体" w:cs="宋体"/>
          <w:color w:val="auto"/>
          <w:spacing w:val="-2"/>
          <w:position w:val="3"/>
          <w:highlight w:val="none"/>
        </w:rPr>
        <w:t>本项目不接受联合体。</w:t>
      </w:r>
    </w:p>
    <w:p>
      <w:pPr>
        <w:spacing w:after="0" w:line="360" w:lineRule="auto"/>
        <w:ind w:left="65" w:firstLine="420"/>
        <w:rPr>
          <w:color w:val="auto"/>
          <w:highlight w:val="none"/>
        </w:rPr>
      </w:pPr>
      <w:r>
        <w:rPr>
          <w:rFonts w:ascii="宋体" w:hAnsi="宋体" w:eastAsia="宋体" w:cs="宋体"/>
          <w:color w:val="auto"/>
          <w:highlight w:val="none"/>
        </w:rPr>
        <w:t>招标方式：竞争性磋商</w:t>
      </w:r>
    </w:p>
    <w:p>
      <w:pPr>
        <w:spacing w:after="0" w:line="360" w:lineRule="auto"/>
        <w:ind w:left="65" w:firstLine="314"/>
        <w:rPr>
          <w:color w:val="auto"/>
          <w:highlight w:val="none"/>
        </w:rPr>
      </w:pPr>
      <w:r>
        <w:rPr>
          <w:rFonts w:ascii="宋体" w:hAnsi="宋体" w:cs="宋体"/>
          <w:color w:val="auto"/>
          <w:spacing w:val="-1"/>
          <w:highlight w:val="none"/>
        </w:rPr>
        <w:t>本文件仅适用于本文件中所叙述的货物、服务类采购项目。</w:t>
      </w:r>
    </w:p>
    <w:p>
      <w:pPr>
        <w:spacing w:after="0" w:line="262" w:lineRule="exact"/>
        <w:ind w:left="65"/>
        <w:rPr>
          <w:color w:val="auto"/>
          <w:highlight w:val="none"/>
        </w:rPr>
      </w:pPr>
      <w:r>
        <w:rPr>
          <w:rFonts w:ascii="宋体" w:hAnsi="宋体" w:cs="宋体"/>
          <w:color w:val="auto"/>
          <w:highlight w:val="none"/>
        </w:rPr>
        <w:t>2.</w:t>
      </w:r>
      <w:r>
        <w:rPr>
          <w:rFonts w:ascii="Calibri" w:hAnsi="Calibri" w:cs="Calibri"/>
          <w:color w:val="auto"/>
          <w:w w:val="219"/>
          <w:highlight w:val="none"/>
        </w:rPr>
        <w:t> </w:t>
      </w:r>
      <w:r>
        <w:rPr>
          <w:rFonts w:ascii="宋体" w:hAnsi="宋体" w:eastAsia="宋体" w:cs="宋体"/>
          <w:color w:val="auto"/>
          <w:spacing w:val="-2"/>
          <w:highlight w:val="none"/>
        </w:rPr>
        <w:t>定义</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spacing w:val="-1"/>
          <w:highlight w:val="none"/>
        </w:rPr>
        <w:t>2.1“采购人”是指：依法进行采购的国家机关、事业单位、团体组织。</w:t>
      </w:r>
    </w:p>
    <w:p>
      <w:pPr>
        <w:spacing w:after="0" w:line="240" w:lineRule="exact"/>
        <w:ind w:left="65"/>
        <w:rPr>
          <w:color w:val="auto"/>
          <w:highlight w:val="none"/>
        </w:rPr>
      </w:pPr>
    </w:p>
    <w:p>
      <w:pPr>
        <w:spacing w:after="0" w:line="259" w:lineRule="exact"/>
        <w:ind w:left="65"/>
        <w:rPr>
          <w:rFonts w:hint="eastAsia" w:eastAsiaTheme="minorEastAsia"/>
          <w:color w:val="auto"/>
          <w:highlight w:val="none"/>
          <w:lang w:eastAsia="zh-CN"/>
        </w:rPr>
      </w:pPr>
      <w:r>
        <w:rPr>
          <w:rFonts w:ascii="宋体" w:hAnsi="宋体" w:cs="宋体"/>
          <w:color w:val="auto"/>
          <w:spacing w:val="-1"/>
          <w:highlight w:val="none"/>
        </w:rPr>
        <w:t>2.2“采购代理机构”是指：</w:t>
      </w:r>
      <w:r>
        <w:rPr>
          <w:rFonts w:hint="eastAsia" w:ascii="宋体" w:hAnsi="宋体" w:cs="宋体"/>
          <w:color w:val="auto"/>
          <w:spacing w:val="-1"/>
          <w:highlight w:val="none"/>
          <w:lang w:eastAsia="zh-CN"/>
        </w:rPr>
        <w:t>广西博行弈工程项目管理有限公司</w:t>
      </w:r>
    </w:p>
    <w:p>
      <w:pPr>
        <w:spacing w:after="0" w:line="240" w:lineRule="exact"/>
        <w:ind w:left="65"/>
        <w:rPr>
          <w:color w:val="auto"/>
          <w:highlight w:val="none"/>
        </w:rPr>
      </w:pPr>
    </w:p>
    <w:p>
      <w:pPr>
        <w:spacing w:after="0" w:line="262" w:lineRule="exact"/>
        <w:ind w:left="65"/>
        <w:rPr>
          <w:color w:val="auto"/>
          <w:highlight w:val="none"/>
        </w:rPr>
      </w:pPr>
      <w:r>
        <w:rPr>
          <w:rFonts w:ascii="宋体" w:hAnsi="宋体" w:cs="宋体"/>
          <w:color w:val="auto"/>
          <w:spacing w:val="1"/>
          <w:highlight w:val="none"/>
        </w:rPr>
        <w:t>2.3“供应商”是指响应本文件要求，参加磋商的法人或者其他组织。如果该供应商在本次磋商中</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highlight w:val="none"/>
        </w:rPr>
        <w:t>成交，即成为“成交人”。</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spacing w:val="-1"/>
          <w:highlight w:val="none"/>
        </w:rPr>
        <w:t>2.4“货物”是指各种形态和种类的物品，包括原材料、燃料、设备、产品等。</w:t>
      </w:r>
    </w:p>
    <w:p>
      <w:pPr>
        <w:spacing w:after="0" w:line="240" w:lineRule="exact"/>
        <w:ind w:left="65"/>
        <w:rPr>
          <w:color w:val="auto"/>
          <w:highlight w:val="none"/>
        </w:rPr>
      </w:pPr>
    </w:p>
    <w:p>
      <w:pPr>
        <w:spacing w:after="0" w:line="262" w:lineRule="exact"/>
        <w:ind w:left="65"/>
        <w:rPr>
          <w:color w:val="auto"/>
          <w:highlight w:val="none"/>
        </w:rPr>
      </w:pPr>
      <w:r>
        <w:rPr>
          <w:rFonts w:ascii="宋体" w:hAnsi="宋体" w:cs="宋体"/>
          <w:color w:val="auto"/>
          <w:spacing w:val="-1"/>
          <w:highlight w:val="none"/>
        </w:rPr>
        <w:t>2.5“服务”是指除货物和工程以外的其他采购对象。</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spacing w:val="-19"/>
          <w:highlight w:val="none"/>
        </w:rPr>
        <w:t>2.6“响应文件”是指：供应商根据本文件要求，编制包含报价、技术和服务等所有内容的响应文件。</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highlight w:val="none"/>
        </w:rPr>
        <w:t>3.</w:t>
      </w:r>
      <w:r>
        <w:rPr>
          <w:rFonts w:ascii="Calibri" w:hAnsi="Calibri" w:cs="Calibri"/>
          <w:color w:val="auto"/>
          <w:w w:val="219"/>
          <w:highlight w:val="none"/>
        </w:rPr>
        <w:t> </w:t>
      </w:r>
      <w:r>
        <w:rPr>
          <w:rFonts w:ascii="宋体" w:hAnsi="宋体" w:cs="宋体"/>
          <w:color w:val="auto"/>
          <w:spacing w:val="-1"/>
          <w:highlight w:val="none"/>
        </w:rPr>
        <w:t>供应商的基本条件：见磋商须知前附表。</w:t>
      </w:r>
    </w:p>
    <w:p>
      <w:pPr>
        <w:spacing w:after="0" w:line="240" w:lineRule="exact"/>
        <w:ind w:left="65"/>
        <w:rPr>
          <w:color w:val="auto"/>
          <w:highlight w:val="none"/>
        </w:rPr>
      </w:pPr>
    </w:p>
    <w:p>
      <w:pPr>
        <w:spacing w:after="0" w:line="262" w:lineRule="exact"/>
        <w:ind w:left="65"/>
        <w:rPr>
          <w:color w:val="auto"/>
          <w:highlight w:val="none"/>
        </w:rPr>
      </w:pPr>
      <w:r>
        <w:rPr>
          <w:rFonts w:ascii="宋体" w:hAnsi="宋体" w:cs="宋体"/>
          <w:color w:val="auto"/>
          <w:highlight w:val="none"/>
        </w:rPr>
        <w:t>4.</w:t>
      </w:r>
      <w:r>
        <w:rPr>
          <w:rFonts w:ascii="Calibri" w:hAnsi="Calibri" w:cs="Calibri"/>
          <w:color w:val="auto"/>
          <w:w w:val="219"/>
          <w:highlight w:val="none"/>
        </w:rPr>
        <w:t> </w:t>
      </w:r>
      <w:r>
        <w:rPr>
          <w:rFonts w:ascii="宋体" w:hAnsi="宋体" w:eastAsia="宋体" w:cs="宋体"/>
          <w:color w:val="auto"/>
          <w:spacing w:val="-1"/>
          <w:highlight w:val="none"/>
        </w:rPr>
        <w:t>磋商费用</w:t>
      </w:r>
    </w:p>
    <w:p>
      <w:pPr>
        <w:spacing w:after="0" w:line="240" w:lineRule="exact"/>
        <w:ind w:left="65"/>
        <w:rPr>
          <w:color w:val="auto"/>
          <w:highlight w:val="none"/>
        </w:rPr>
      </w:pPr>
    </w:p>
    <w:p>
      <w:pPr>
        <w:spacing w:after="0" w:line="259" w:lineRule="exact"/>
        <w:ind w:left="65"/>
        <w:outlineLvl w:val="0"/>
        <w:rPr>
          <w:color w:val="auto"/>
          <w:highlight w:val="none"/>
        </w:rPr>
      </w:pPr>
      <w:r>
        <w:rPr>
          <w:rFonts w:ascii="宋体" w:hAnsi="宋体" w:cs="宋体"/>
          <w:color w:val="auto"/>
          <w:highlight w:val="none"/>
        </w:rPr>
        <w:t>4.1</w:t>
      </w:r>
      <w:r>
        <w:rPr>
          <w:rFonts w:ascii="Calibri" w:hAnsi="Calibri" w:cs="Calibri"/>
          <w:color w:val="auto"/>
          <w:w w:val="219"/>
          <w:highlight w:val="none"/>
        </w:rPr>
        <w:t> </w:t>
      </w:r>
      <w:r>
        <w:rPr>
          <w:rFonts w:ascii="宋体" w:hAnsi="宋体" w:eastAsia="宋体" w:cs="宋体"/>
          <w:color w:val="auto"/>
          <w:spacing w:val="-1"/>
          <w:highlight w:val="none"/>
        </w:rPr>
        <w:t>供应商应自行承担所有与编写和提交响应文件有关的费用，不论磋商结果如何，采购人和采购</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spacing w:val="-1"/>
          <w:highlight w:val="none"/>
        </w:rPr>
        <w:t>代理机构在任何情况下无义务和责任承担此类费用。</w:t>
      </w:r>
    </w:p>
    <w:p>
      <w:pPr>
        <w:spacing w:after="0" w:line="240" w:lineRule="exact"/>
        <w:ind w:left="65"/>
        <w:rPr>
          <w:color w:val="auto"/>
          <w:highlight w:val="none"/>
        </w:rPr>
      </w:pPr>
    </w:p>
    <w:p>
      <w:pPr>
        <w:spacing w:after="0" w:line="262" w:lineRule="exact"/>
        <w:ind w:left="65"/>
        <w:outlineLvl w:val="0"/>
        <w:rPr>
          <w:color w:val="auto"/>
          <w:highlight w:val="none"/>
        </w:rPr>
      </w:pPr>
      <w:r>
        <w:rPr>
          <w:rFonts w:ascii="宋体" w:hAnsi="宋体" w:cs="宋体"/>
          <w:color w:val="auto"/>
          <w:highlight w:val="none"/>
        </w:rPr>
        <w:t>4.2</w:t>
      </w:r>
      <w:r>
        <w:rPr>
          <w:rFonts w:ascii="Calibri" w:hAnsi="Calibri" w:cs="Calibri"/>
          <w:color w:val="auto"/>
          <w:spacing w:val="3"/>
          <w:highlight w:val="none"/>
        </w:rPr>
        <w:t> </w:t>
      </w:r>
      <w:r>
        <w:rPr>
          <w:rFonts w:ascii="宋体" w:hAnsi="宋体" w:cs="宋体"/>
          <w:color w:val="auto"/>
          <w:spacing w:val="-1"/>
          <w:highlight w:val="none"/>
        </w:rPr>
        <w:t>本项目代理服务费：见磋商须知前附表。</w:t>
      </w:r>
    </w:p>
    <w:p>
      <w:pPr>
        <w:spacing w:after="0" w:line="240" w:lineRule="exact"/>
        <w:ind w:left="65"/>
        <w:rPr>
          <w:color w:val="auto"/>
          <w:highlight w:val="none"/>
        </w:rPr>
      </w:pPr>
    </w:p>
    <w:p>
      <w:pPr>
        <w:spacing w:after="0" w:line="259" w:lineRule="exact"/>
        <w:ind w:left="65"/>
        <w:rPr>
          <w:color w:val="auto"/>
          <w:highlight w:val="none"/>
        </w:rPr>
      </w:pPr>
      <w:r>
        <w:rPr>
          <w:rFonts w:ascii="宋体" w:hAnsi="宋体" w:cs="宋体"/>
          <w:color w:val="auto"/>
          <w:highlight w:val="none"/>
        </w:rPr>
        <w:t>5.</w:t>
      </w:r>
      <w:r>
        <w:rPr>
          <w:rFonts w:ascii="Calibri" w:hAnsi="Calibri" w:cs="Calibri"/>
          <w:color w:val="auto"/>
          <w:w w:val="219"/>
          <w:highlight w:val="none"/>
        </w:rPr>
        <w:t> </w:t>
      </w:r>
      <w:r>
        <w:rPr>
          <w:rFonts w:ascii="宋体" w:hAnsi="宋体" w:eastAsia="宋体" w:cs="宋体"/>
          <w:color w:val="auto"/>
          <w:spacing w:val="-1"/>
          <w:highlight w:val="none"/>
        </w:rPr>
        <w:t>竞争性磋商文件（以下简称磋商文件）的澄清与修改</w:t>
      </w:r>
      <w:r>
        <w:rPr>
          <w:rFonts w:ascii="Calibri" w:hAnsi="Calibri" w:cs="Calibri"/>
          <w:color w:val="auto"/>
          <w:w w:val="222"/>
          <w:highlight w:val="none"/>
        </w:rPr>
        <w:t> </w:t>
      </w:r>
      <w:r>
        <w:rPr>
          <w:rFonts w:ascii="宋体" w:hAnsi="宋体" w:cs="宋体"/>
          <w:color w:val="auto"/>
          <w:spacing w:val="-1"/>
          <w:highlight w:val="none"/>
        </w:rPr>
        <w:t>、公告</w:t>
      </w:r>
    </w:p>
    <w:p>
      <w:pPr>
        <w:spacing w:after="0" w:line="240" w:lineRule="exact"/>
        <w:ind w:left="65"/>
        <w:rPr>
          <w:color w:val="auto"/>
          <w:highlight w:val="none"/>
        </w:rPr>
      </w:pPr>
    </w:p>
    <w:p>
      <w:pPr>
        <w:spacing w:after="0" w:line="259" w:lineRule="exact"/>
        <w:ind w:left="65"/>
        <w:outlineLvl w:val="0"/>
        <w:rPr>
          <w:color w:val="auto"/>
          <w:highlight w:val="none"/>
        </w:rPr>
      </w:pPr>
      <w:r>
        <w:rPr>
          <w:rFonts w:ascii="宋体" w:hAnsi="宋体" w:cs="宋体"/>
          <w:color w:val="auto"/>
          <w:highlight w:val="none"/>
        </w:rPr>
        <w:t>5.1</w:t>
      </w:r>
      <w:r>
        <w:rPr>
          <w:rFonts w:ascii="Calibri" w:hAnsi="Calibri" w:cs="Calibri"/>
          <w:color w:val="auto"/>
          <w:w w:val="219"/>
          <w:highlight w:val="none"/>
        </w:rPr>
        <w:t> </w:t>
      </w:r>
      <w:r>
        <w:rPr>
          <w:rFonts w:ascii="宋体" w:hAnsi="宋体" w:cs="宋体"/>
          <w:color w:val="auto"/>
          <w:spacing w:val="-1"/>
          <w:highlight w:val="none"/>
        </w:rPr>
        <w:t>提交首次响应文件截止之日前，采购人、采购代理机构或者磋商小组可以对已发出的磋商文件</w:t>
      </w:r>
    </w:p>
    <w:p>
      <w:pPr>
        <w:spacing w:after="0" w:line="240" w:lineRule="exact"/>
        <w:ind w:left="65"/>
        <w:rPr>
          <w:color w:val="auto"/>
          <w:highlight w:val="none"/>
        </w:rPr>
      </w:pPr>
    </w:p>
    <w:p>
      <w:pPr>
        <w:spacing w:after="0" w:line="262" w:lineRule="exact"/>
        <w:ind w:left="65"/>
        <w:rPr>
          <w:color w:val="auto"/>
          <w:highlight w:val="none"/>
        </w:rPr>
      </w:pPr>
      <w:r>
        <w:rPr>
          <w:rFonts w:ascii="宋体" w:hAnsi="宋体" w:cs="宋体"/>
          <w:color w:val="auto"/>
          <w:spacing w:val="-1"/>
          <w:highlight w:val="none"/>
        </w:rPr>
        <w:t>进行必要的澄清或者修改，澄清或者修改的内容作为磋商文件的组成部分。澄清或者修改的内容可</w:t>
      </w:r>
    </w:p>
    <w:p>
      <w:pPr>
        <w:spacing w:after="0" w:line="240" w:lineRule="exact"/>
        <w:ind w:left="65"/>
        <w:rPr>
          <w:color w:val="auto"/>
          <w:highlight w:val="none"/>
        </w:rPr>
      </w:pPr>
    </w:p>
    <w:p>
      <w:pPr>
        <w:spacing w:after="0" w:line="268" w:lineRule="exact"/>
        <w:rPr>
          <w:color w:val="auto"/>
          <w:highlight w:val="none"/>
        </w:rPr>
      </w:pPr>
      <w:bookmarkStart w:id="47" w:name="9"/>
      <w:bookmarkEnd w:id="47"/>
      <w:r>
        <w:rPr>
          <w:rFonts w:ascii="宋体" w:hAnsi="宋体" w:cs="宋体"/>
          <w:color w:val="auto"/>
          <w:spacing w:val="-1"/>
          <w:highlight w:val="none"/>
        </w:rPr>
        <w:t>能影响响应文件编制的，采购人、采购代理机构应当在提交首次响应文件截止时间至少</w:t>
      </w:r>
      <w:r>
        <w:rPr>
          <w:rFonts w:ascii="Calibri" w:hAnsi="Calibri" w:cs="Calibri"/>
          <w:color w:val="auto"/>
          <w:spacing w:val="6"/>
          <w:highlight w:val="none"/>
        </w:rPr>
        <w:t> </w:t>
      </w:r>
      <w:r>
        <w:rPr>
          <w:rFonts w:ascii="宋体" w:hAnsi="宋体" w:cs="宋体"/>
          <w:color w:val="auto"/>
          <w:spacing w:val="-1"/>
          <w:highlight w:val="none"/>
        </w:rPr>
        <w:t>5</w:t>
      </w:r>
      <w:r>
        <w:rPr>
          <w:rFonts w:ascii="Calibri" w:hAnsi="Calibri" w:cs="Calibri"/>
          <w:color w:val="auto"/>
          <w:spacing w:val="3"/>
          <w:highlight w:val="none"/>
        </w:rPr>
        <w:t> </w:t>
      </w:r>
      <w:r>
        <w:rPr>
          <w:rFonts w:ascii="宋体" w:hAnsi="宋体" w:eastAsia="宋体" w:cs="宋体"/>
          <w:color w:val="auto"/>
          <w:spacing w:val="-3"/>
          <w:highlight w:val="none"/>
        </w:rPr>
        <w:t>日前，以</w:t>
      </w:r>
    </w:p>
    <w:p>
      <w:pPr>
        <w:spacing w:after="0" w:line="262" w:lineRule="exact"/>
        <w:rPr>
          <w:rFonts w:ascii="宋体" w:hAnsi="宋体" w:eastAsia="宋体" w:cs="宋体"/>
          <w:color w:val="auto"/>
          <w:spacing w:val="-1"/>
          <w:highlight w:val="none"/>
        </w:rPr>
      </w:pPr>
    </w:p>
    <w:p>
      <w:pPr>
        <w:spacing w:after="0" w:line="262" w:lineRule="exact"/>
        <w:ind w:left="140"/>
        <w:rPr>
          <w:color w:val="auto"/>
          <w:highlight w:val="none"/>
        </w:rPr>
      </w:pPr>
      <w:r>
        <w:rPr>
          <w:rFonts w:ascii="宋体" w:hAnsi="宋体" w:eastAsia="宋体" w:cs="宋体"/>
          <w:color w:val="auto"/>
          <w:spacing w:val="-1"/>
          <w:highlight w:val="none"/>
        </w:rPr>
        <w:t>书面形式通知所有获取磋商文件的供应商；不足</w:t>
      </w:r>
      <w:r>
        <w:rPr>
          <w:rFonts w:ascii="Calibri" w:hAnsi="Calibri" w:cs="Calibri"/>
          <w:color w:val="auto"/>
          <w:spacing w:val="4"/>
          <w:highlight w:val="none"/>
        </w:rPr>
        <w:t> </w:t>
      </w:r>
      <w:r>
        <w:rPr>
          <w:rFonts w:ascii="宋体" w:hAnsi="宋体" w:cs="宋体"/>
          <w:color w:val="auto"/>
          <w:spacing w:val="-1"/>
          <w:highlight w:val="none"/>
        </w:rPr>
        <w:t>5</w:t>
      </w:r>
      <w:r>
        <w:rPr>
          <w:rFonts w:ascii="Calibri" w:hAnsi="Calibri" w:cs="Calibri"/>
          <w:color w:val="auto"/>
          <w:spacing w:val="3"/>
          <w:highlight w:val="none"/>
        </w:rPr>
        <w:t> </w:t>
      </w:r>
      <w:r>
        <w:rPr>
          <w:rFonts w:ascii="宋体" w:hAnsi="宋体" w:cs="宋体"/>
          <w:color w:val="auto"/>
          <w:spacing w:val="-1"/>
          <w:highlight w:val="none"/>
        </w:rPr>
        <w:t>日的，采购人、采购代理机构应当顺延提交首次</w:t>
      </w:r>
    </w:p>
    <w:p>
      <w:pPr>
        <w:spacing w:after="0" w:line="240" w:lineRule="exact"/>
        <w:ind w:left="140"/>
        <w:rPr>
          <w:color w:val="auto"/>
          <w:highlight w:val="none"/>
        </w:rPr>
      </w:pPr>
    </w:p>
    <w:p>
      <w:pPr>
        <w:spacing w:after="0" w:line="360" w:lineRule="auto"/>
        <w:ind w:left="140"/>
        <w:rPr>
          <w:color w:val="auto"/>
          <w:highlight w:val="none"/>
        </w:rPr>
      </w:pPr>
      <w:r>
        <w:rPr>
          <w:rFonts w:ascii="宋体" w:hAnsi="宋体" w:cs="宋体"/>
          <w:color w:val="auto"/>
          <w:spacing w:val="-1"/>
          <w:highlight w:val="none"/>
        </w:rPr>
        <w:t>响应文件截止时间。</w:t>
      </w:r>
    </w:p>
    <w:p>
      <w:pPr>
        <w:spacing w:after="0" w:line="360" w:lineRule="auto"/>
        <w:ind w:left="142"/>
        <w:rPr>
          <w:color w:val="auto"/>
          <w:highlight w:val="none"/>
        </w:rPr>
      </w:pPr>
      <w:r>
        <w:rPr>
          <w:rFonts w:ascii="宋体" w:hAnsi="宋体" w:cs="宋体"/>
          <w:color w:val="auto"/>
          <w:highlight w:val="none"/>
        </w:rPr>
        <w:t>5.2</w:t>
      </w:r>
      <w:r>
        <w:rPr>
          <w:rFonts w:ascii="Calibri" w:hAnsi="Calibri" w:cs="Calibri"/>
          <w:color w:val="auto"/>
          <w:spacing w:val="3"/>
          <w:highlight w:val="none"/>
        </w:rPr>
        <w:t> </w:t>
      </w:r>
      <w:r>
        <w:rPr>
          <w:rFonts w:hint="eastAsia" w:ascii="Calibri" w:hAnsi="Calibri" w:cs="Calibri"/>
          <w:color w:val="auto"/>
          <w:spacing w:val="3"/>
          <w:highlight w:val="none"/>
        </w:rPr>
        <w:t>竞争性磋商</w:t>
      </w:r>
      <w:r>
        <w:rPr>
          <w:rFonts w:ascii="宋体" w:hAnsi="宋体" w:cs="宋体"/>
          <w:color w:val="auto"/>
          <w:spacing w:val="-9"/>
          <w:highlight w:val="none"/>
        </w:rPr>
        <w:t>公告见</w:t>
      </w:r>
      <w:r>
        <w:rPr>
          <w:rFonts w:hint="eastAsia" w:ascii="宋体" w:hAnsi="宋体" w:cs="宋体"/>
          <w:color w:val="auto"/>
          <w:spacing w:val="-9"/>
          <w:highlight w:val="none"/>
        </w:rPr>
        <w:t>：http://www.ccgp.gov.cn（中国政府采购网）、http://zfcg.gxzf.gov.cn（广西壮族自治区政府采购网）、http://zfcg.czj.gxgg.gov.cn（贵港市政府采购网）、http://ggggjy.gxgg.gov.cn:9005（贵港市公共资源交易中心网）</w:t>
      </w:r>
      <w:r>
        <w:rPr>
          <w:rFonts w:ascii="宋体" w:hAnsi="宋体" w:cs="宋体"/>
          <w:color w:val="auto"/>
          <w:spacing w:val="-9"/>
          <w:highlight w:val="none"/>
        </w:rPr>
        <w:t>。</w:t>
      </w:r>
    </w:p>
    <w:p>
      <w:pPr>
        <w:spacing w:after="0" w:line="360" w:lineRule="auto"/>
        <w:ind w:left="140"/>
        <w:rPr>
          <w:color w:val="auto"/>
          <w:highlight w:val="none"/>
        </w:rPr>
      </w:pPr>
      <w:r>
        <w:rPr>
          <w:rFonts w:ascii="宋体" w:hAnsi="宋体" w:cs="宋体"/>
          <w:color w:val="auto"/>
          <w:highlight w:val="none"/>
        </w:rPr>
        <w:t>二、响应文件的编制</w:t>
      </w:r>
    </w:p>
    <w:p>
      <w:pPr>
        <w:spacing w:after="0" w:line="360" w:lineRule="auto"/>
        <w:ind w:left="140"/>
        <w:rPr>
          <w:color w:val="auto"/>
          <w:highlight w:val="none"/>
        </w:rPr>
      </w:pPr>
      <w:r>
        <w:rPr>
          <w:rFonts w:ascii="宋体" w:hAnsi="宋体" w:cs="宋体"/>
          <w:color w:val="auto"/>
          <w:highlight w:val="none"/>
        </w:rPr>
        <w:t>6.</w:t>
      </w:r>
      <w:r>
        <w:rPr>
          <w:rFonts w:ascii="Calibri" w:hAnsi="Calibri" w:cs="Calibri"/>
          <w:color w:val="auto"/>
          <w:w w:val="219"/>
          <w:highlight w:val="none"/>
        </w:rPr>
        <w:t> </w:t>
      </w:r>
      <w:r>
        <w:rPr>
          <w:rFonts w:ascii="宋体" w:hAnsi="宋体" w:eastAsia="宋体" w:cs="宋体"/>
          <w:color w:val="auto"/>
          <w:spacing w:val="-1"/>
          <w:highlight w:val="none"/>
        </w:rPr>
        <w:t>响应文件编制基本要求</w:t>
      </w:r>
    </w:p>
    <w:p>
      <w:pPr>
        <w:spacing w:after="0" w:line="360" w:lineRule="auto"/>
        <w:ind w:left="140"/>
        <w:rPr>
          <w:color w:val="auto"/>
          <w:highlight w:val="none"/>
        </w:rPr>
      </w:pPr>
      <w:r>
        <w:rPr>
          <w:rFonts w:ascii="宋体" w:hAnsi="宋体" w:cs="宋体"/>
          <w:color w:val="auto"/>
          <w:highlight w:val="none"/>
        </w:rPr>
        <w:t>6.1</w:t>
      </w:r>
      <w:r>
        <w:rPr>
          <w:rFonts w:ascii="Calibri" w:hAnsi="Calibri" w:cs="Calibri"/>
          <w:color w:val="auto"/>
          <w:spacing w:val="3"/>
          <w:highlight w:val="none"/>
        </w:rPr>
        <w:t> </w:t>
      </w:r>
      <w:r>
        <w:rPr>
          <w:rFonts w:ascii="宋体" w:hAnsi="宋体" w:cs="宋体"/>
          <w:color w:val="auto"/>
          <w:spacing w:val="-1"/>
          <w:highlight w:val="none"/>
        </w:rPr>
        <w:t>供应商对响应文件的编制应按要求装订和封装。</w:t>
      </w:r>
    </w:p>
    <w:p>
      <w:pPr>
        <w:spacing w:after="0" w:line="360" w:lineRule="auto"/>
        <w:ind w:left="140"/>
        <w:rPr>
          <w:color w:val="auto"/>
          <w:highlight w:val="none"/>
        </w:rPr>
      </w:pPr>
      <w:r>
        <w:rPr>
          <w:rFonts w:ascii="宋体" w:hAnsi="宋体" w:cs="宋体"/>
          <w:color w:val="auto"/>
          <w:highlight w:val="none"/>
        </w:rPr>
        <w:t>6.2</w:t>
      </w:r>
      <w:r>
        <w:rPr>
          <w:rFonts w:ascii="Calibri" w:hAnsi="Calibri" w:cs="Calibri"/>
          <w:color w:val="auto"/>
          <w:spacing w:val="3"/>
          <w:highlight w:val="none"/>
        </w:rPr>
        <w:t> </w:t>
      </w:r>
      <w:r>
        <w:rPr>
          <w:rFonts w:ascii="宋体" w:hAnsi="宋体" w:eastAsia="宋体" w:cs="宋体"/>
          <w:color w:val="auto"/>
          <w:highlight w:val="none"/>
        </w:rPr>
        <w:t>供应商提交的响应文件以及供应商与采购代理机构和采购人就有关磋商的所有来往函电均应使</w:t>
      </w:r>
      <w:r>
        <w:rPr>
          <w:rFonts w:ascii="宋体" w:hAnsi="宋体" w:cs="宋体"/>
          <w:color w:val="auto"/>
          <w:spacing w:val="-1"/>
          <w:highlight w:val="none"/>
        </w:rPr>
        <w:t>用中文。供应商提交的支持文件和印刷的文献可以使用别的语言，但其相应内容必须附有中文翻译文本，在解释响应文件时以翻译文本为主。</w:t>
      </w:r>
    </w:p>
    <w:p>
      <w:pPr>
        <w:spacing w:after="0" w:line="360" w:lineRule="auto"/>
        <w:ind w:left="140"/>
        <w:rPr>
          <w:color w:val="auto"/>
          <w:highlight w:val="none"/>
        </w:rPr>
      </w:pPr>
      <w:r>
        <w:rPr>
          <w:rFonts w:ascii="宋体" w:hAnsi="宋体" w:cs="宋体"/>
          <w:color w:val="auto"/>
          <w:highlight w:val="none"/>
        </w:rPr>
        <w:t>6.3</w:t>
      </w:r>
      <w:r>
        <w:rPr>
          <w:rFonts w:ascii="Calibri" w:hAnsi="Calibri" w:cs="Calibri"/>
          <w:color w:val="auto"/>
          <w:spacing w:val="3"/>
          <w:highlight w:val="none"/>
        </w:rPr>
        <w:t> </w:t>
      </w:r>
      <w:r>
        <w:rPr>
          <w:rFonts w:ascii="宋体" w:hAnsi="宋体" w:cs="宋体"/>
          <w:color w:val="auto"/>
          <w:highlight w:val="none"/>
        </w:rPr>
        <w:t>供应商应认真阅读、并充分理解本文件的全部内容（包括所有的补充、修改内容），承诺并履</w:t>
      </w:r>
      <w:r>
        <w:rPr>
          <w:rFonts w:ascii="宋体" w:hAnsi="宋体" w:cs="宋体"/>
          <w:color w:val="auto"/>
          <w:spacing w:val="-1"/>
          <w:highlight w:val="none"/>
        </w:rPr>
        <w:t>行本文件中各项条款规定及要求。</w:t>
      </w:r>
    </w:p>
    <w:p>
      <w:pPr>
        <w:spacing w:after="0" w:line="360" w:lineRule="auto"/>
        <w:ind w:left="140"/>
        <w:rPr>
          <w:color w:val="auto"/>
          <w:highlight w:val="none"/>
        </w:rPr>
      </w:pPr>
      <w:r>
        <w:rPr>
          <w:rFonts w:ascii="宋体" w:hAnsi="宋体" w:cs="宋体"/>
          <w:color w:val="auto"/>
          <w:highlight w:val="none"/>
        </w:rPr>
        <w:t>6.4</w:t>
      </w:r>
      <w:r>
        <w:rPr>
          <w:rFonts w:ascii="Calibri" w:hAnsi="Calibri" w:cs="Calibri"/>
          <w:color w:val="auto"/>
          <w:spacing w:val="3"/>
          <w:highlight w:val="none"/>
        </w:rPr>
        <w:t> </w:t>
      </w:r>
      <w:r>
        <w:rPr>
          <w:rFonts w:ascii="宋体" w:hAnsi="宋体" w:cs="宋体"/>
          <w:color w:val="auto"/>
          <w:spacing w:val="-1"/>
          <w:highlight w:val="none"/>
        </w:rPr>
        <w:t>响应文件必须按本文件的全部内容，包括所有的补充通知及附件进行编制。</w:t>
      </w:r>
    </w:p>
    <w:p>
      <w:pPr>
        <w:spacing w:after="0" w:line="360" w:lineRule="auto"/>
        <w:ind w:left="140"/>
        <w:rPr>
          <w:color w:val="auto"/>
          <w:highlight w:val="none"/>
        </w:rPr>
      </w:pPr>
      <w:r>
        <w:rPr>
          <w:rFonts w:ascii="宋体" w:hAnsi="宋体" w:cs="宋体"/>
          <w:color w:val="auto"/>
          <w:highlight w:val="none"/>
        </w:rPr>
        <w:t>6.5</w:t>
      </w:r>
      <w:r>
        <w:rPr>
          <w:rFonts w:ascii="Calibri" w:hAnsi="Calibri" w:cs="Calibri"/>
          <w:color w:val="auto"/>
          <w:spacing w:val="3"/>
          <w:highlight w:val="none"/>
        </w:rPr>
        <w:t> </w:t>
      </w:r>
      <w:r>
        <w:rPr>
          <w:rFonts w:ascii="宋体" w:hAnsi="宋体" w:eastAsia="宋体" w:cs="宋体"/>
          <w:color w:val="auto"/>
          <w:highlight w:val="none"/>
        </w:rPr>
        <w:t>如因供应商只填写和提供了本文件要求的部分内容和附件，而给评审造成困难，其可能导致的</w:t>
      </w:r>
      <w:r>
        <w:rPr>
          <w:rFonts w:ascii="宋体" w:hAnsi="宋体" w:cs="宋体"/>
          <w:color w:val="auto"/>
          <w:spacing w:val="-1"/>
          <w:highlight w:val="none"/>
        </w:rPr>
        <w:t>结果和责任由供应商自行承担。</w:t>
      </w:r>
    </w:p>
    <w:p>
      <w:pPr>
        <w:spacing w:after="0" w:line="360" w:lineRule="auto"/>
        <w:ind w:left="140"/>
        <w:rPr>
          <w:color w:val="auto"/>
          <w:highlight w:val="none"/>
        </w:rPr>
      </w:pPr>
      <w:r>
        <w:rPr>
          <w:rFonts w:ascii="宋体" w:hAnsi="宋体" w:cs="宋体"/>
          <w:color w:val="auto"/>
          <w:highlight w:val="none"/>
        </w:rPr>
        <w:t>6.6</w:t>
      </w:r>
      <w:r>
        <w:rPr>
          <w:rFonts w:ascii="Calibri" w:hAnsi="Calibri" w:cs="Calibri"/>
          <w:color w:val="auto"/>
          <w:spacing w:val="3"/>
          <w:highlight w:val="none"/>
        </w:rPr>
        <w:t> </w:t>
      </w:r>
      <w:r>
        <w:rPr>
          <w:rFonts w:ascii="宋体" w:hAnsi="宋体" w:cs="宋体"/>
          <w:color w:val="auto"/>
          <w:highlight w:val="none"/>
        </w:rPr>
        <w:t>响应文件的组成：响应文件应分为价格文件、商务文件、技术文件三个部分组成。</w:t>
      </w:r>
    </w:p>
    <w:p>
      <w:pPr>
        <w:spacing w:after="0" w:line="360" w:lineRule="auto"/>
        <w:ind w:left="140"/>
        <w:outlineLvl w:val="0"/>
        <w:rPr>
          <w:color w:val="auto"/>
          <w:highlight w:val="none"/>
        </w:rPr>
      </w:pPr>
      <w:r>
        <w:rPr>
          <w:rFonts w:ascii="宋体" w:hAnsi="宋体" w:cs="宋体"/>
          <w:color w:val="auto"/>
          <w:highlight w:val="none"/>
        </w:rPr>
        <w:t>6.6.1</w:t>
      </w:r>
      <w:r>
        <w:rPr>
          <w:rFonts w:ascii="Calibri" w:hAnsi="Calibri" w:cs="Calibri"/>
          <w:color w:val="auto"/>
          <w:w w:val="219"/>
          <w:highlight w:val="none"/>
        </w:rPr>
        <w:t> </w:t>
      </w:r>
      <w:r>
        <w:rPr>
          <w:rFonts w:ascii="宋体" w:hAnsi="宋体" w:eastAsia="宋体" w:cs="宋体"/>
          <w:color w:val="auto"/>
          <w:highlight w:val="none"/>
        </w:rPr>
        <w:t>价格文件</w:t>
      </w:r>
    </w:p>
    <w:p>
      <w:pPr>
        <w:spacing w:after="0" w:line="360" w:lineRule="auto"/>
        <w:ind w:left="140"/>
        <w:rPr>
          <w:color w:val="auto"/>
          <w:highlight w:val="none"/>
        </w:rPr>
      </w:pPr>
      <w:r>
        <w:rPr>
          <w:rFonts w:ascii="宋体" w:hAnsi="宋体" w:eastAsia="宋体" w:cs="宋体"/>
          <w:color w:val="auto"/>
          <w:spacing w:val="-1"/>
          <w:highlight w:val="none"/>
        </w:rPr>
        <w:t>报价表；</w:t>
      </w:r>
    </w:p>
    <w:p>
      <w:pPr>
        <w:spacing w:after="0" w:line="360" w:lineRule="auto"/>
        <w:ind w:left="140"/>
        <w:outlineLvl w:val="0"/>
        <w:rPr>
          <w:color w:val="auto"/>
          <w:highlight w:val="none"/>
        </w:rPr>
      </w:pPr>
      <w:r>
        <w:rPr>
          <w:rFonts w:ascii="宋体" w:hAnsi="宋体" w:cs="宋体"/>
          <w:color w:val="auto"/>
          <w:highlight w:val="none"/>
        </w:rPr>
        <w:t>6.6.2</w:t>
      </w:r>
      <w:r>
        <w:rPr>
          <w:rFonts w:ascii="Calibri" w:hAnsi="Calibri" w:cs="Calibri"/>
          <w:color w:val="auto"/>
          <w:spacing w:val="3"/>
          <w:highlight w:val="none"/>
        </w:rPr>
        <w:t> </w:t>
      </w:r>
      <w:r>
        <w:rPr>
          <w:rFonts w:ascii="宋体" w:hAnsi="宋体" w:eastAsia="宋体" w:cs="宋体"/>
          <w:color w:val="auto"/>
          <w:highlight w:val="none"/>
        </w:rPr>
        <w:t>商务文件</w:t>
      </w:r>
    </w:p>
    <w:p>
      <w:pPr>
        <w:spacing w:after="0" w:line="360" w:lineRule="auto"/>
        <w:ind w:left="140"/>
        <w:rPr>
          <w:color w:val="auto"/>
          <w:highlight w:val="none"/>
        </w:rPr>
      </w:pPr>
      <w:r>
        <w:rPr>
          <w:rFonts w:ascii="宋体" w:hAnsi="宋体" w:eastAsia="宋体" w:cs="宋体"/>
          <w:color w:val="auto"/>
          <w:spacing w:val="-2"/>
          <w:position w:val="3"/>
          <w:highlight w:val="none"/>
        </w:rPr>
        <w:t>（</w:t>
      </w:r>
      <w:r>
        <w:rPr>
          <w:rFonts w:ascii="Times New Roman" w:hAnsi="Times New Roman" w:cs="Times New Roman"/>
          <w:color w:val="auto"/>
          <w:spacing w:val="-1"/>
          <w:highlight w:val="none"/>
        </w:rPr>
        <w:t>1</w:t>
      </w:r>
      <w:r>
        <w:rPr>
          <w:rFonts w:ascii="宋体" w:hAnsi="宋体" w:eastAsia="宋体" w:cs="宋体"/>
          <w:color w:val="auto"/>
          <w:position w:val="3"/>
          <w:highlight w:val="none"/>
        </w:rPr>
        <w:t>）</w:t>
      </w:r>
      <w:r>
        <w:rPr>
          <w:rFonts w:hint="eastAsia" w:ascii="宋体" w:hAnsi="宋体" w:eastAsia="宋体" w:cs="宋体"/>
          <w:color w:val="auto"/>
          <w:position w:val="3"/>
          <w:highlight w:val="none"/>
        </w:rPr>
        <w:t>磋商</w:t>
      </w:r>
      <w:r>
        <w:rPr>
          <w:rFonts w:ascii="宋体" w:hAnsi="宋体" w:eastAsia="宋体" w:cs="宋体"/>
          <w:color w:val="auto"/>
          <w:position w:val="3"/>
          <w:highlight w:val="none"/>
        </w:rPr>
        <w:t>函；（必须提供）</w:t>
      </w:r>
    </w:p>
    <w:p>
      <w:pPr>
        <w:spacing w:after="0" w:line="360" w:lineRule="auto"/>
        <w:ind w:left="140"/>
        <w:rPr>
          <w:color w:val="auto"/>
          <w:highlight w:val="none"/>
        </w:rPr>
      </w:pPr>
      <w:r>
        <w:rPr>
          <w:rFonts w:ascii="宋体" w:hAnsi="宋体" w:eastAsia="宋体" w:cs="宋体"/>
          <w:color w:val="auto"/>
          <w:highlight w:val="none"/>
        </w:rPr>
        <w:t>（2）响应表；</w:t>
      </w:r>
      <w:r>
        <w:rPr>
          <w:rFonts w:cs="宋体" w:asciiTheme="minorEastAsia" w:hAnsiTheme="minorEastAsia"/>
          <w:color w:val="auto"/>
          <w:highlight w:val="none"/>
        </w:rPr>
        <w:t>（必须提供）</w:t>
      </w:r>
    </w:p>
    <w:p>
      <w:pPr>
        <w:spacing w:after="0" w:line="360" w:lineRule="auto"/>
        <w:ind w:left="140"/>
        <w:rPr>
          <w:color w:val="auto"/>
          <w:highlight w:val="none"/>
        </w:rPr>
      </w:pPr>
      <w:r>
        <w:rPr>
          <w:rFonts w:ascii="宋体" w:hAnsi="宋体" w:eastAsia="宋体" w:cs="宋体"/>
          <w:color w:val="auto"/>
          <w:highlight w:val="none"/>
        </w:rPr>
        <w:t>（3）供应商资格证明文件:</w:t>
      </w:r>
    </w:p>
    <w:p>
      <w:pPr>
        <w:spacing w:after="0" w:line="360" w:lineRule="auto"/>
        <w:ind w:left="140" w:firstLine="209"/>
        <w:rPr>
          <w:color w:val="auto"/>
          <w:highlight w:val="none"/>
        </w:rPr>
      </w:pPr>
      <w:r>
        <w:rPr>
          <w:rFonts w:ascii="宋体" w:hAnsi="宋体" w:cs="宋体"/>
          <w:color w:val="auto"/>
          <w:highlight w:val="none"/>
        </w:rPr>
        <w:t>①磋商保证金</w:t>
      </w:r>
      <w:r>
        <w:rPr>
          <w:rFonts w:hint="eastAsia" w:ascii="宋体" w:hAnsi="宋体" w:cs="宋体"/>
          <w:color w:val="auto"/>
          <w:highlight w:val="none"/>
        </w:rPr>
        <w:t>（必须提供，复印件加盖单位公章）；</w:t>
      </w:r>
    </w:p>
    <w:p>
      <w:pPr>
        <w:spacing w:after="0" w:line="360" w:lineRule="auto"/>
        <w:ind w:left="140" w:firstLine="209"/>
        <w:rPr>
          <w:color w:val="auto"/>
          <w:highlight w:val="none"/>
        </w:rPr>
      </w:pPr>
      <w:r>
        <w:rPr>
          <w:rFonts w:ascii="宋体" w:hAnsi="宋体" w:cs="宋体"/>
          <w:color w:val="auto"/>
          <w:spacing w:val="-1"/>
          <w:highlight w:val="none"/>
        </w:rPr>
        <w:t>②有效的营业执照或事业单位法人证书、组织机构代码证、税务登记证（或有统一社会信用代码</w:t>
      </w:r>
    </w:p>
    <w:p>
      <w:pPr>
        <w:spacing w:after="0" w:line="360" w:lineRule="auto"/>
        <w:ind w:left="140"/>
        <w:rPr>
          <w:color w:val="auto"/>
          <w:highlight w:val="none"/>
        </w:rPr>
      </w:pPr>
      <w:r>
        <w:rPr>
          <w:rFonts w:ascii="宋体" w:hAnsi="宋体" w:cs="宋体"/>
          <w:color w:val="auto"/>
          <w:highlight w:val="none"/>
        </w:rPr>
        <w:t>的‘三证合一’营业执照、事业单位法人证书）复印件（必须提供，复印件加盖单位公章）；</w:t>
      </w:r>
    </w:p>
    <w:p>
      <w:pPr>
        <w:spacing w:after="0" w:line="360" w:lineRule="auto"/>
        <w:ind w:left="140" w:firstLine="209"/>
        <w:rPr>
          <w:color w:val="auto"/>
          <w:highlight w:val="none"/>
        </w:rPr>
      </w:pPr>
      <w:r>
        <w:rPr>
          <w:rFonts w:ascii="宋体" w:hAnsi="宋体" w:cs="宋体"/>
          <w:color w:val="auto"/>
          <w:highlight w:val="none"/>
        </w:rPr>
        <w:t>③有效的企业资质证书副本复印件，（必须提供，复印件加盖单位公章）；</w:t>
      </w:r>
    </w:p>
    <w:p>
      <w:pPr>
        <w:spacing w:after="0" w:line="360" w:lineRule="auto"/>
        <w:ind w:left="140" w:firstLine="209"/>
        <w:rPr>
          <w:rFonts w:ascii="宋体" w:hAnsi="宋体" w:cs="宋体"/>
          <w:color w:val="auto"/>
          <w:highlight w:val="none"/>
        </w:rPr>
      </w:pPr>
      <w:r>
        <w:rPr>
          <w:rFonts w:ascii="宋体" w:hAnsi="宋体" w:cs="宋体"/>
          <w:color w:val="auto"/>
          <w:highlight w:val="none"/>
        </w:rPr>
        <w:t>④法定代表人身份证复印件（必须提供，复印件加盖单位公章）；</w:t>
      </w:r>
    </w:p>
    <w:p>
      <w:pPr>
        <w:spacing w:after="0" w:line="360" w:lineRule="auto"/>
        <w:ind w:left="140" w:firstLine="209"/>
        <w:rPr>
          <w:rFonts w:ascii="宋体" w:hAnsi="宋体" w:cs="宋体"/>
          <w:color w:val="auto"/>
          <w:highlight w:val="none"/>
        </w:rPr>
      </w:pPr>
      <w:r>
        <w:rPr>
          <w:rFonts w:ascii="宋体" w:hAnsi="宋体" w:cs="宋体"/>
          <w:color w:val="auto"/>
          <w:highlight w:val="none"/>
        </w:rPr>
        <w:t>⑤法定代表人授权委托书和委托代理人身份证复印件（委托代理时</w:t>
      </w:r>
      <w:r>
        <w:rPr>
          <w:rFonts w:hint="eastAsia" w:ascii="宋体" w:hAnsi="宋体" w:cs="宋体"/>
          <w:color w:val="auto"/>
          <w:highlight w:val="none"/>
        </w:rPr>
        <w:t>必须提供</w:t>
      </w:r>
      <w:r>
        <w:rPr>
          <w:rFonts w:ascii="宋体" w:hAnsi="宋体" w:cs="宋体"/>
          <w:color w:val="auto"/>
          <w:highlight w:val="none"/>
        </w:rPr>
        <w:t>，格式见后）；</w:t>
      </w:r>
    </w:p>
    <w:p>
      <w:pPr>
        <w:spacing w:after="0" w:line="360" w:lineRule="auto"/>
        <w:ind w:left="140" w:firstLine="209"/>
        <w:rPr>
          <w:rFonts w:ascii="宋体" w:hAnsi="宋体" w:cs="宋体"/>
          <w:color w:val="auto"/>
          <w:highlight w:val="none"/>
        </w:rPr>
      </w:pPr>
      <w:r>
        <w:rPr>
          <w:rFonts w:hint="eastAsia" w:ascii="宋体" w:hAnsi="宋体" w:cs="宋体"/>
          <w:color w:val="auto"/>
          <w:highlight w:val="none"/>
        </w:rPr>
        <w:t>⑥总监理工程师须具备国家注册监理工程师执业资格证（</w:t>
      </w:r>
      <w:r>
        <w:rPr>
          <w:rFonts w:hint="eastAsia" w:ascii="宋体" w:hAnsi="宋体" w:eastAsia="宋体" w:cs="宋体"/>
          <w:color w:val="auto"/>
          <w:spacing w:val="-2"/>
          <w:highlight w:val="none"/>
          <w:lang w:eastAsia="zh-CN"/>
        </w:rPr>
        <w:t>房屋建筑</w:t>
      </w:r>
      <w:r>
        <w:rPr>
          <w:rFonts w:hint="eastAsia" w:ascii="宋体" w:hAnsi="宋体" w:cs="宋体"/>
          <w:color w:val="auto"/>
          <w:highlight w:val="none"/>
        </w:rPr>
        <w:t>工程注册专业）复印件</w:t>
      </w:r>
      <w:r>
        <w:rPr>
          <w:rFonts w:ascii="宋体" w:hAnsi="宋体" w:cs="宋体"/>
          <w:color w:val="auto"/>
          <w:highlight w:val="none"/>
        </w:rPr>
        <w:t>（必须提供，复印件加盖单位公章）</w:t>
      </w:r>
      <w:r>
        <w:rPr>
          <w:rFonts w:hint="eastAsia" w:ascii="宋体" w:hAnsi="宋体" w:cs="宋体"/>
          <w:color w:val="auto"/>
          <w:highlight w:val="none"/>
        </w:rPr>
        <w:t>；</w:t>
      </w:r>
    </w:p>
    <w:p>
      <w:pPr>
        <w:spacing w:after="0" w:line="360" w:lineRule="auto"/>
        <w:ind w:left="140" w:firstLine="209"/>
        <w:rPr>
          <w:rFonts w:ascii="宋体" w:hAnsi="宋体" w:cs="宋体"/>
          <w:color w:val="auto"/>
          <w:highlight w:val="none"/>
        </w:rPr>
      </w:pPr>
      <w:r>
        <w:rPr>
          <w:rFonts w:hint="eastAsia" w:ascii="宋体" w:hAnsi="宋体" w:cs="宋体"/>
          <w:color w:val="auto"/>
          <w:highlight w:val="none"/>
        </w:rPr>
        <w:t>⑦</w:t>
      </w:r>
      <w:r>
        <w:rPr>
          <w:rFonts w:ascii="宋体" w:hAnsi="宋体" w:eastAsia="宋体" w:cs="宋体"/>
          <w:color w:val="auto"/>
          <w:highlight w:val="none"/>
        </w:rPr>
        <w:t>供应商</w:t>
      </w:r>
      <w:r>
        <w:rPr>
          <w:rFonts w:hint="eastAsia" w:ascii="宋体" w:hAnsi="宋体" w:eastAsia="宋体" w:cs="宋体"/>
          <w:color w:val="auto"/>
          <w:highlight w:val="none"/>
        </w:rPr>
        <w:t>2020年3月至2020年6月</w:t>
      </w:r>
      <w:r>
        <w:rPr>
          <w:rFonts w:ascii="宋体" w:hAnsi="宋体" w:cs="宋体"/>
          <w:color w:val="auto"/>
          <w:highlight w:val="none"/>
        </w:rPr>
        <w:t>依法纳税的完税证明复印件或电子缴税付款凭证复印件或税务征收机关出具的依法缴纳税收证明复印件（必须提供，复印件加盖单位公章）；</w:t>
      </w:r>
    </w:p>
    <w:p>
      <w:pPr>
        <w:spacing w:after="0" w:line="360" w:lineRule="auto"/>
        <w:ind w:left="140" w:firstLine="209"/>
        <w:rPr>
          <w:rFonts w:ascii="宋体" w:hAnsi="宋体" w:cs="宋体"/>
          <w:color w:val="auto"/>
          <w:highlight w:val="none"/>
        </w:rPr>
      </w:pPr>
      <w:r>
        <w:rPr>
          <w:rFonts w:hint="eastAsia" w:ascii="宋体" w:hAnsi="宋体" w:cs="宋体"/>
          <w:color w:val="auto"/>
          <w:highlight w:val="none"/>
        </w:rPr>
        <w:t>⑧</w:t>
      </w:r>
      <w:r>
        <w:rPr>
          <w:rFonts w:ascii="宋体" w:hAnsi="宋体" w:eastAsia="宋体" w:cs="宋体"/>
          <w:color w:val="auto"/>
          <w:highlight w:val="none"/>
        </w:rPr>
        <w:t>供应商</w:t>
      </w:r>
      <w:r>
        <w:rPr>
          <w:rFonts w:hint="eastAsia" w:ascii="宋体" w:hAnsi="宋体" w:eastAsia="宋体" w:cs="宋体"/>
          <w:color w:val="auto"/>
          <w:highlight w:val="none"/>
        </w:rPr>
        <w:t>2020年3月至2020年6月</w:t>
      </w:r>
      <w:r>
        <w:rPr>
          <w:rFonts w:ascii="宋体" w:hAnsi="宋体" w:cs="宋体"/>
          <w:color w:val="auto"/>
          <w:highlight w:val="none"/>
        </w:rPr>
        <w:t>在职员工依法缴纳的“社会保险基金专用收款收据”复印件或人力资源与社会保障局（社保中心或劳动监察部门）出具的依法缴纳社保证明复印件（必须提供，复印件加盖单位公章）；</w:t>
      </w:r>
    </w:p>
    <w:p>
      <w:pPr>
        <w:spacing w:after="0" w:line="442" w:lineRule="exact"/>
        <w:ind w:left="140" w:firstLine="209"/>
        <w:rPr>
          <w:rFonts w:ascii="宋体" w:hAnsi="宋体" w:cs="宋体"/>
          <w:color w:val="auto"/>
          <w:highlight w:val="none"/>
        </w:rPr>
      </w:pPr>
      <w:r>
        <w:rPr>
          <w:rFonts w:hint="eastAsia" w:ascii="宋体" w:hAnsi="宋体" w:cs="宋体"/>
          <w:color w:val="auto"/>
          <w:highlight w:val="none"/>
        </w:rPr>
        <w:t>⑨</w:t>
      </w:r>
      <w:r>
        <w:rPr>
          <w:rFonts w:hint="eastAsia" w:ascii="宋体" w:hAnsi="宋体" w:eastAsia="宋体" w:cs="宋体"/>
          <w:color w:val="auto"/>
          <w:highlight w:val="none"/>
        </w:rPr>
        <w:t>供应商2019年通过中介审计的有效财务审计报告复印件</w:t>
      </w:r>
      <w:r>
        <w:rPr>
          <w:rFonts w:hint="eastAsia" w:ascii="宋体" w:hAnsi="宋体" w:cs="宋体"/>
          <w:color w:val="auto"/>
          <w:highlight w:val="none"/>
        </w:rPr>
        <w:t>（如为2020年1月以后新成立的磋商单位请按月/季度/半年等实际情况依法提供财务报表复印件）（必须提供，加盖单位公章）</w:t>
      </w:r>
      <w:r>
        <w:rPr>
          <w:rFonts w:ascii="宋体" w:hAnsi="宋体" w:cs="宋体"/>
          <w:color w:val="auto"/>
          <w:highlight w:val="none"/>
        </w:rPr>
        <w:t>；</w:t>
      </w:r>
    </w:p>
    <w:p>
      <w:pPr>
        <w:spacing w:after="0" w:line="442" w:lineRule="exact"/>
        <w:ind w:left="140" w:firstLine="209"/>
        <w:rPr>
          <w:rFonts w:ascii="宋体" w:hAnsi="宋体" w:cs="宋体"/>
          <w:color w:val="auto"/>
          <w:highlight w:val="none"/>
        </w:rPr>
      </w:pPr>
      <w:r>
        <w:rPr>
          <w:rFonts w:hint="eastAsia" w:ascii="宋体" w:hAnsi="宋体" w:eastAsia="宋体" w:cs="宋体"/>
          <w:color w:val="auto"/>
          <w:highlight w:val="none"/>
        </w:rPr>
        <w:t>⑩</w:t>
      </w:r>
      <w:r>
        <w:rPr>
          <w:rFonts w:ascii="宋体" w:hAnsi="宋体" w:eastAsia="宋体" w:cs="宋体"/>
          <w:color w:val="auto"/>
          <w:highlight w:val="none"/>
        </w:rPr>
        <w:t>供应商</w:t>
      </w:r>
      <w:r>
        <w:rPr>
          <w:rFonts w:hint="eastAsia" w:ascii="宋体" w:hAnsi="宋体" w:cs="宋体"/>
          <w:color w:val="auto"/>
          <w:highlight w:val="none"/>
        </w:rPr>
        <w:t>在“信用中国”网站(www.creditchina.gov.cn)或国家企业信用信息公示系统（http://www.gsxt.gov.cn/index.html）和中国政府采购网(www.ccgp.gov.cn)等渠道列入失信被执行人、重大税收违法案件当事人名单、政府采购严重违法失信行为记录名单网上截图（截图时间须在本项目采购公告发布期间）（必须提供，加盖单位公章）；</w:t>
      </w:r>
    </w:p>
    <w:p>
      <w:pPr>
        <w:spacing w:after="0" w:line="360" w:lineRule="auto"/>
        <w:ind w:left="140" w:firstLine="209"/>
        <w:rPr>
          <w:rFonts w:ascii="宋体" w:hAnsi="宋体" w:cs="宋体"/>
          <w:color w:val="auto"/>
          <w:highlight w:val="none"/>
        </w:rPr>
      </w:pPr>
      <w:r>
        <w:rPr>
          <w:rFonts w:hint="eastAsia" w:ascii="宋体" w:hAnsi="宋体" w:cs="宋体"/>
          <w:color w:val="auto"/>
          <w:highlight w:val="none"/>
        </w:rPr>
        <w:t>（4）供应商认为有必要提供的证明其满足本项目磋商资格的声明及文件资料。</w:t>
      </w:r>
    </w:p>
    <w:p>
      <w:pPr>
        <w:spacing w:after="0" w:line="360" w:lineRule="auto"/>
        <w:ind w:left="60"/>
        <w:outlineLvl w:val="0"/>
        <w:rPr>
          <w:color w:val="auto"/>
          <w:highlight w:val="none"/>
        </w:rPr>
      </w:pPr>
      <w:r>
        <w:rPr>
          <w:rFonts w:ascii="宋体" w:hAnsi="宋体" w:cs="宋体"/>
          <w:color w:val="auto"/>
          <w:highlight w:val="none"/>
        </w:rPr>
        <w:t>6.6.3</w:t>
      </w:r>
      <w:r>
        <w:rPr>
          <w:rFonts w:ascii="Calibri" w:hAnsi="Calibri" w:cs="Calibri"/>
          <w:color w:val="auto"/>
          <w:spacing w:val="3"/>
          <w:highlight w:val="none"/>
        </w:rPr>
        <w:t> </w:t>
      </w:r>
      <w:r>
        <w:rPr>
          <w:rFonts w:ascii="宋体" w:hAnsi="宋体" w:eastAsia="宋体" w:cs="宋体"/>
          <w:color w:val="auto"/>
          <w:highlight w:val="none"/>
        </w:rPr>
        <w:t>技术文件</w:t>
      </w:r>
    </w:p>
    <w:p>
      <w:pPr>
        <w:spacing w:after="0" w:line="360" w:lineRule="auto"/>
        <w:ind w:left="60" w:firstLine="420"/>
        <w:rPr>
          <w:color w:val="auto"/>
          <w:highlight w:val="none"/>
        </w:rPr>
      </w:pPr>
      <w:r>
        <w:rPr>
          <w:rFonts w:ascii="宋体" w:hAnsi="宋体" w:eastAsia="宋体" w:cs="宋体"/>
          <w:color w:val="auto"/>
          <w:spacing w:val="-1"/>
          <w:highlight w:val="none"/>
        </w:rPr>
        <w:t>（1）</w:t>
      </w:r>
      <w:r>
        <w:rPr>
          <w:rFonts w:hint="eastAsia" w:ascii="宋体" w:hAnsi="宋体" w:eastAsia="宋体" w:cs="宋体"/>
          <w:color w:val="auto"/>
          <w:spacing w:val="-1"/>
          <w:highlight w:val="none"/>
        </w:rPr>
        <w:t>监理大纲</w:t>
      </w:r>
      <w:r>
        <w:rPr>
          <w:rFonts w:ascii="宋体" w:hAnsi="宋体" w:eastAsia="宋体" w:cs="宋体"/>
          <w:color w:val="auto"/>
          <w:spacing w:val="-1"/>
          <w:highlight w:val="none"/>
        </w:rPr>
        <w:t>（技术方案）</w:t>
      </w:r>
      <w:r>
        <w:rPr>
          <w:rFonts w:cs="宋体" w:asciiTheme="minorEastAsia" w:hAnsiTheme="minorEastAsia"/>
          <w:color w:val="auto"/>
          <w:highlight w:val="none"/>
        </w:rPr>
        <w:t>（必须提供）</w:t>
      </w:r>
      <w:r>
        <w:rPr>
          <w:rFonts w:hint="eastAsia" w:cs="宋体" w:asciiTheme="minorEastAsia" w:hAnsiTheme="minorEastAsia"/>
          <w:color w:val="auto"/>
          <w:highlight w:val="none"/>
        </w:rPr>
        <w:t>；</w:t>
      </w:r>
    </w:p>
    <w:p>
      <w:pPr>
        <w:spacing w:after="0" w:line="360" w:lineRule="auto"/>
        <w:ind w:left="60" w:firstLine="420"/>
        <w:rPr>
          <w:color w:val="auto"/>
          <w:highlight w:val="none"/>
        </w:rPr>
      </w:pPr>
      <w:r>
        <w:rPr>
          <w:rFonts w:ascii="宋体" w:hAnsi="宋体" w:eastAsia="宋体" w:cs="宋体"/>
          <w:color w:val="auto"/>
          <w:spacing w:val="-1"/>
          <w:highlight w:val="none"/>
        </w:rPr>
        <w:t>（2）人员配置</w:t>
      </w:r>
      <w:r>
        <w:rPr>
          <w:rFonts w:cs="宋体" w:asciiTheme="minorEastAsia" w:hAnsiTheme="minorEastAsia"/>
          <w:color w:val="auto"/>
          <w:highlight w:val="none"/>
        </w:rPr>
        <w:t>（必须提供）</w:t>
      </w:r>
      <w:r>
        <w:rPr>
          <w:rFonts w:hint="eastAsia" w:cs="宋体" w:asciiTheme="minorEastAsia" w:hAnsiTheme="minorEastAsia"/>
          <w:color w:val="auto"/>
          <w:highlight w:val="none"/>
        </w:rPr>
        <w:t>；</w:t>
      </w:r>
    </w:p>
    <w:p>
      <w:pPr>
        <w:spacing w:after="0" w:line="360" w:lineRule="auto"/>
        <w:ind w:left="60" w:firstLine="420"/>
        <w:rPr>
          <w:color w:val="auto"/>
          <w:highlight w:val="none"/>
        </w:rPr>
      </w:pPr>
      <w:r>
        <w:rPr>
          <w:rFonts w:ascii="宋体" w:hAnsi="宋体" w:eastAsia="宋体" w:cs="宋体"/>
          <w:color w:val="auto"/>
          <w:spacing w:val="-1"/>
          <w:highlight w:val="none"/>
        </w:rPr>
        <w:t>（3）服务承诺书</w:t>
      </w:r>
      <w:r>
        <w:rPr>
          <w:rFonts w:cs="宋体" w:asciiTheme="minorEastAsia" w:hAnsiTheme="minorEastAsia"/>
          <w:color w:val="auto"/>
          <w:highlight w:val="none"/>
        </w:rPr>
        <w:t>（必须提供）</w:t>
      </w:r>
      <w:r>
        <w:rPr>
          <w:rFonts w:hint="eastAsia" w:cs="宋体" w:asciiTheme="minorEastAsia" w:hAnsiTheme="minorEastAsia"/>
          <w:color w:val="auto"/>
          <w:highlight w:val="none"/>
        </w:rPr>
        <w:t>；</w:t>
      </w:r>
    </w:p>
    <w:p>
      <w:pPr>
        <w:spacing w:after="0" w:line="360" w:lineRule="auto"/>
        <w:ind w:left="60" w:firstLine="420"/>
        <w:rPr>
          <w:color w:val="auto"/>
          <w:highlight w:val="none"/>
        </w:rPr>
      </w:pPr>
      <w:r>
        <w:rPr>
          <w:rFonts w:ascii="宋体" w:hAnsi="宋体" w:cs="宋体"/>
          <w:color w:val="auto"/>
          <w:spacing w:val="-1"/>
          <w:highlight w:val="none"/>
        </w:rPr>
        <w:t>（4）其它文件及资料。</w:t>
      </w:r>
    </w:p>
    <w:p>
      <w:pPr>
        <w:spacing w:after="0" w:line="240" w:lineRule="exact"/>
        <w:ind w:left="60" w:firstLine="420"/>
        <w:rPr>
          <w:color w:val="auto"/>
          <w:highlight w:val="none"/>
        </w:rPr>
      </w:pPr>
    </w:p>
    <w:p>
      <w:pPr>
        <w:spacing w:after="0" w:line="250" w:lineRule="exact"/>
        <w:ind w:firstLine="525" w:firstLineChars="250"/>
        <w:rPr>
          <w:color w:val="auto"/>
          <w:highlight w:val="none"/>
        </w:rPr>
      </w:pPr>
      <w:r>
        <w:rPr>
          <w:rFonts w:ascii="宋体" w:hAnsi="宋体" w:cs="宋体"/>
          <w:color w:val="auto"/>
          <w:highlight w:val="none"/>
        </w:rPr>
        <w:t>（5）供应商认为必要提供的证明其满足本项目</w:t>
      </w:r>
      <w:r>
        <w:rPr>
          <w:rFonts w:hint="eastAsia" w:ascii="宋体" w:hAnsi="宋体" w:cs="宋体"/>
          <w:color w:val="auto"/>
          <w:highlight w:val="none"/>
        </w:rPr>
        <w:t>磋商</w:t>
      </w:r>
      <w:r>
        <w:rPr>
          <w:rFonts w:ascii="宋体" w:hAnsi="宋体" w:cs="宋体"/>
          <w:color w:val="auto"/>
          <w:highlight w:val="none"/>
        </w:rPr>
        <w:t>资格的声明及文件资料。</w:t>
      </w:r>
    </w:p>
    <w:p>
      <w:pPr>
        <w:spacing w:after="0" w:line="240" w:lineRule="exact"/>
        <w:ind w:left="60" w:firstLine="106"/>
        <w:rPr>
          <w:color w:val="auto"/>
          <w:highlight w:val="none"/>
        </w:rPr>
      </w:pPr>
    </w:p>
    <w:p>
      <w:pPr>
        <w:spacing w:after="0" w:line="259" w:lineRule="exact"/>
        <w:ind w:left="60"/>
        <w:rPr>
          <w:color w:val="auto"/>
          <w:highlight w:val="none"/>
        </w:rPr>
      </w:pPr>
      <w:r>
        <w:rPr>
          <w:rFonts w:ascii="宋体" w:hAnsi="宋体" w:cs="宋体"/>
          <w:color w:val="auto"/>
          <w:highlight w:val="none"/>
        </w:rPr>
        <w:t>6.7</w:t>
      </w:r>
      <w:r>
        <w:rPr>
          <w:rFonts w:ascii="Calibri" w:hAnsi="Calibri" w:cs="Calibri"/>
          <w:color w:val="auto"/>
          <w:spacing w:val="3"/>
          <w:highlight w:val="none"/>
        </w:rPr>
        <w:t> </w:t>
      </w:r>
      <w:r>
        <w:rPr>
          <w:rFonts w:ascii="宋体" w:hAnsi="宋体" w:cs="宋体"/>
          <w:color w:val="auto"/>
          <w:spacing w:val="-1"/>
          <w:highlight w:val="none"/>
        </w:rPr>
        <w:t>响应文件有效期：见磋商须知前附表。</w:t>
      </w:r>
    </w:p>
    <w:p>
      <w:pPr>
        <w:spacing w:after="0" w:line="240" w:lineRule="exact"/>
        <w:ind w:left="60"/>
        <w:rPr>
          <w:color w:val="auto"/>
          <w:highlight w:val="none"/>
        </w:rPr>
      </w:pPr>
    </w:p>
    <w:p>
      <w:pPr>
        <w:spacing w:after="0" w:line="259" w:lineRule="exact"/>
        <w:ind w:left="60"/>
        <w:rPr>
          <w:color w:val="auto"/>
          <w:highlight w:val="none"/>
        </w:rPr>
      </w:pPr>
      <w:r>
        <w:rPr>
          <w:rFonts w:ascii="宋体" w:hAnsi="宋体" w:cs="宋体"/>
          <w:color w:val="auto"/>
          <w:highlight w:val="none"/>
        </w:rPr>
        <w:t>6.8</w:t>
      </w:r>
      <w:r>
        <w:rPr>
          <w:rFonts w:ascii="Calibri" w:hAnsi="Calibri" w:cs="Calibri"/>
          <w:color w:val="auto"/>
          <w:spacing w:val="3"/>
          <w:highlight w:val="none"/>
        </w:rPr>
        <w:t> </w:t>
      </w:r>
      <w:r>
        <w:rPr>
          <w:rFonts w:ascii="宋体" w:hAnsi="宋体" w:cs="宋体"/>
          <w:color w:val="auto"/>
          <w:spacing w:val="-1"/>
          <w:highlight w:val="none"/>
        </w:rPr>
        <w:t>磋商保证金：见磋商须知前附表。</w:t>
      </w:r>
    </w:p>
    <w:p>
      <w:pPr>
        <w:spacing w:after="0" w:line="240" w:lineRule="exact"/>
        <w:ind w:left="60"/>
        <w:rPr>
          <w:color w:val="auto"/>
          <w:highlight w:val="none"/>
        </w:rPr>
      </w:pPr>
    </w:p>
    <w:p>
      <w:pPr>
        <w:spacing w:after="0" w:line="262" w:lineRule="exact"/>
        <w:ind w:left="60"/>
        <w:rPr>
          <w:color w:val="auto"/>
          <w:highlight w:val="none"/>
        </w:rPr>
      </w:pPr>
      <w:r>
        <w:rPr>
          <w:rFonts w:ascii="宋体" w:hAnsi="宋体" w:cs="宋体"/>
          <w:color w:val="auto"/>
          <w:highlight w:val="none"/>
        </w:rPr>
        <w:t>7.</w:t>
      </w:r>
      <w:r>
        <w:rPr>
          <w:rFonts w:ascii="Calibri" w:hAnsi="Calibri" w:cs="Calibri"/>
          <w:color w:val="auto"/>
          <w:w w:val="219"/>
          <w:highlight w:val="none"/>
        </w:rPr>
        <w:t> </w:t>
      </w:r>
      <w:r>
        <w:rPr>
          <w:rFonts w:ascii="宋体" w:hAnsi="宋体" w:eastAsia="宋体" w:cs="宋体"/>
          <w:color w:val="auto"/>
          <w:spacing w:val="-1"/>
          <w:highlight w:val="none"/>
        </w:rPr>
        <w:t>计量单位</w:t>
      </w:r>
    </w:p>
    <w:p>
      <w:pPr>
        <w:spacing w:after="0" w:line="240" w:lineRule="exact"/>
        <w:ind w:left="60"/>
        <w:rPr>
          <w:color w:val="auto"/>
          <w:highlight w:val="none"/>
        </w:rPr>
      </w:pPr>
    </w:p>
    <w:p>
      <w:pPr>
        <w:spacing w:after="0" w:line="259" w:lineRule="exact"/>
        <w:ind w:left="60"/>
        <w:outlineLvl w:val="0"/>
        <w:rPr>
          <w:color w:val="auto"/>
          <w:highlight w:val="none"/>
        </w:rPr>
      </w:pPr>
      <w:r>
        <w:rPr>
          <w:rFonts w:ascii="宋体" w:hAnsi="宋体" w:cs="宋体"/>
          <w:color w:val="auto"/>
          <w:highlight w:val="none"/>
        </w:rPr>
        <w:t>7.1</w:t>
      </w:r>
      <w:r>
        <w:rPr>
          <w:rFonts w:ascii="Calibri" w:hAnsi="Calibri" w:cs="Calibri"/>
          <w:color w:val="auto"/>
          <w:spacing w:val="3"/>
          <w:highlight w:val="none"/>
        </w:rPr>
        <w:t> </w:t>
      </w:r>
      <w:r>
        <w:rPr>
          <w:rFonts w:ascii="宋体" w:hAnsi="宋体" w:cs="宋体"/>
          <w:color w:val="auto"/>
          <w:spacing w:val="-1"/>
          <w:highlight w:val="none"/>
        </w:rPr>
        <w:t>除技术要求中另有规定外，本文件所要求使用的计量单位均应采用国家法定计量单位。</w:t>
      </w:r>
    </w:p>
    <w:p>
      <w:pPr>
        <w:spacing w:after="0" w:line="240" w:lineRule="exact"/>
        <w:ind w:left="60"/>
        <w:rPr>
          <w:color w:val="auto"/>
          <w:highlight w:val="none"/>
        </w:rPr>
      </w:pPr>
    </w:p>
    <w:p>
      <w:pPr>
        <w:spacing w:after="0" w:line="259" w:lineRule="exact"/>
        <w:ind w:left="60"/>
        <w:outlineLvl w:val="0"/>
        <w:rPr>
          <w:color w:val="auto"/>
          <w:highlight w:val="none"/>
        </w:rPr>
      </w:pPr>
      <w:r>
        <w:rPr>
          <w:rFonts w:ascii="宋体" w:hAnsi="宋体" w:cs="宋体"/>
          <w:color w:val="auto"/>
          <w:highlight w:val="none"/>
        </w:rPr>
        <w:t>三、磋商报价及采购预算</w:t>
      </w:r>
    </w:p>
    <w:p>
      <w:pPr>
        <w:spacing w:after="0" w:line="240" w:lineRule="exact"/>
        <w:ind w:left="60"/>
        <w:rPr>
          <w:color w:val="auto"/>
          <w:highlight w:val="none"/>
        </w:rPr>
      </w:pPr>
    </w:p>
    <w:p>
      <w:pPr>
        <w:spacing w:after="0" w:line="360" w:lineRule="auto"/>
        <w:ind w:left="60"/>
        <w:outlineLvl w:val="0"/>
        <w:rPr>
          <w:color w:val="auto"/>
          <w:highlight w:val="none"/>
        </w:rPr>
      </w:pPr>
      <w:r>
        <w:rPr>
          <w:rFonts w:ascii="宋体" w:hAnsi="宋体" w:cs="宋体"/>
          <w:color w:val="auto"/>
          <w:highlight w:val="none"/>
        </w:rPr>
        <w:t>8.1</w:t>
      </w:r>
      <w:r>
        <w:rPr>
          <w:rFonts w:ascii="Calibri" w:hAnsi="Calibri" w:cs="Calibri"/>
          <w:color w:val="auto"/>
          <w:spacing w:val="3"/>
          <w:highlight w:val="none"/>
        </w:rPr>
        <w:t> </w:t>
      </w:r>
      <w:r>
        <w:rPr>
          <w:rFonts w:ascii="宋体" w:hAnsi="宋体" w:cs="宋体"/>
          <w:color w:val="auto"/>
          <w:highlight w:val="none"/>
        </w:rPr>
        <w:t>对于本文件中未列明，而供应商认为必需的费用也需列入总报价。在合同实施时，采购人将不</w:t>
      </w:r>
      <w:r>
        <w:rPr>
          <w:rFonts w:ascii="宋体" w:hAnsi="宋体" w:cs="宋体"/>
          <w:color w:val="auto"/>
          <w:spacing w:val="-1"/>
          <w:highlight w:val="none"/>
        </w:rPr>
        <w:t>予支付成交供应商没有列入的项目费用，并认为此项目的费用已包括在总报价中。</w:t>
      </w:r>
    </w:p>
    <w:p>
      <w:pPr>
        <w:spacing w:after="0" w:line="360" w:lineRule="auto"/>
        <w:ind w:left="60"/>
        <w:outlineLvl w:val="0"/>
        <w:rPr>
          <w:color w:val="auto"/>
          <w:highlight w:val="none"/>
        </w:rPr>
      </w:pPr>
      <w:r>
        <w:rPr>
          <w:rFonts w:ascii="宋体" w:hAnsi="宋体" w:cs="宋体"/>
          <w:color w:val="auto"/>
          <w:highlight w:val="none"/>
        </w:rPr>
        <w:t>8.2</w:t>
      </w:r>
      <w:r>
        <w:rPr>
          <w:rFonts w:ascii="Calibri" w:hAnsi="Calibri" w:cs="Calibri"/>
          <w:color w:val="auto"/>
          <w:spacing w:val="3"/>
          <w:highlight w:val="none"/>
        </w:rPr>
        <w:t> </w:t>
      </w:r>
      <w:r>
        <w:rPr>
          <w:rFonts w:ascii="宋体" w:hAnsi="宋体" w:eastAsia="宋体" w:cs="宋体"/>
          <w:color w:val="auto"/>
          <w:highlight w:val="none"/>
        </w:rPr>
        <w:t>供应商必须就所竞分标的全部内容作完整唯一报价，</w:t>
      </w:r>
      <w:r>
        <w:rPr>
          <w:rFonts w:hint="eastAsia" w:ascii="宋体" w:hAnsi="宋体" w:eastAsia="宋体" w:cs="宋体"/>
          <w:color w:val="auto"/>
          <w:highlight w:val="none"/>
        </w:rPr>
        <w:t>报价采用人民币报价，本次磋商为总价包干。</w:t>
      </w:r>
      <w:r>
        <w:rPr>
          <w:rFonts w:ascii="宋体" w:hAnsi="宋体" w:eastAsia="宋体" w:cs="宋体"/>
          <w:color w:val="auto"/>
          <w:highlight w:val="none"/>
        </w:rPr>
        <w:t>漏项报价的或有选择的或有条件的报价，</w:t>
      </w:r>
      <w:r>
        <w:rPr>
          <w:rFonts w:ascii="宋体" w:hAnsi="宋体" w:cs="宋体"/>
          <w:color w:val="auto"/>
          <w:spacing w:val="-1"/>
          <w:highlight w:val="none"/>
        </w:rPr>
        <w:t>其</w:t>
      </w:r>
      <w:r>
        <w:rPr>
          <w:rFonts w:hint="eastAsia" w:ascii="宋体" w:hAnsi="宋体" w:cs="宋体"/>
          <w:color w:val="auto"/>
          <w:spacing w:val="-1"/>
          <w:highlight w:val="none"/>
        </w:rPr>
        <w:t>磋商</w:t>
      </w:r>
      <w:r>
        <w:rPr>
          <w:rFonts w:ascii="宋体" w:hAnsi="宋体" w:cs="宋体"/>
          <w:color w:val="auto"/>
          <w:spacing w:val="-1"/>
          <w:highlight w:val="none"/>
        </w:rPr>
        <w:t>将视为无效。</w:t>
      </w:r>
      <w:r>
        <w:rPr>
          <w:rFonts w:hint="eastAsia" w:ascii="宋体" w:hAnsi="宋体"/>
          <w:color w:val="auto"/>
          <w:kern w:val="0"/>
          <w:highlight w:val="none"/>
        </w:rPr>
        <w:t xml:space="preserve">磋商报价为二次报价，在最终报价不超出采购预算价的范围内为有效报价。 </w:t>
      </w:r>
    </w:p>
    <w:p>
      <w:pPr>
        <w:spacing w:after="0" w:line="360" w:lineRule="auto"/>
        <w:ind w:left="60"/>
        <w:outlineLvl w:val="0"/>
        <w:rPr>
          <w:color w:val="auto"/>
          <w:highlight w:val="none"/>
        </w:rPr>
      </w:pPr>
      <w:r>
        <w:rPr>
          <w:rFonts w:ascii="宋体" w:hAnsi="宋体" w:cs="宋体"/>
          <w:color w:val="auto"/>
          <w:highlight w:val="none"/>
        </w:rPr>
        <w:t>四、响应文件的份数、封装和递交</w:t>
      </w:r>
    </w:p>
    <w:p>
      <w:pPr>
        <w:spacing w:after="0" w:line="360" w:lineRule="auto"/>
        <w:ind w:left="60"/>
        <w:rPr>
          <w:color w:val="auto"/>
          <w:highlight w:val="none"/>
        </w:rPr>
      </w:pPr>
      <w:r>
        <w:rPr>
          <w:rFonts w:ascii="宋体" w:hAnsi="宋体" w:cs="宋体"/>
          <w:color w:val="auto"/>
          <w:highlight w:val="none"/>
        </w:rPr>
        <w:t>9.</w:t>
      </w:r>
      <w:r>
        <w:rPr>
          <w:rFonts w:ascii="Calibri" w:hAnsi="Calibri" w:cs="Calibri"/>
          <w:color w:val="auto"/>
          <w:w w:val="219"/>
          <w:highlight w:val="none"/>
        </w:rPr>
        <w:t> </w:t>
      </w:r>
      <w:r>
        <w:rPr>
          <w:rFonts w:ascii="宋体" w:hAnsi="宋体" w:eastAsia="宋体" w:cs="宋体"/>
          <w:color w:val="auto"/>
          <w:spacing w:val="-1"/>
          <w:highlight w:val="none"/>
        </w:rPr>
        <w:t>磋商响应文件的份数和封装</w:t>
      </w:r>
    </w:p>
    <w:p>
      <w:pPr>
        <w:spacing w:after="0" w:line="360" w:lineRule="auto"/>
        <w:ind w:left="60"/>
        <w:outlineLvl w:val="0"/>
        <w:rPr>
          <w:rFonts w:ascii="宋体" w:hAnsi="宋体" w:cs="宋体"/>
          <w:color w:val="auto"/>
          <w:highlight w:val="none"/>
        </w:rPr>
      </w:pPr>
      <w:r>
        <w:rPr>
          <w:rFonts w:ascii="宋体" w:hAnsi="宋体" w:cs="宋体"/>
          <w:color w:val="auto"/>
          <w:highlight w:val="none"/>
        </w:rPr>
        <w:t>9.1</w:t>
      </w:r>
      <w:r>
        <w:rPr>
          <w:rFonts w:ascii="Calibri" w:hAnsi="Calibri" w:cs="Calibri"/>
          <w:color w:val="auto"/>
          <w:spacing w:val="3"/>
          <w:highlight w:val="none"/>
        </w:rPr>
        <w:t> </w:t>
      </w:r>
      <w:r>
        <w:rPr>
          <w:rFonts w:ascii="宋体" w:hAnsi="宋体" w:cs="宋体"/>
          <w:color w:val="auto"/>
          <w:spacing w:val="-5"/>
          <w:highlight w:val="none"/>
        </w:rPr>
        <w:t>供应商应将竞争性磋商响应文件中“价格文件”、“商务文件”和“技术文件”装订成一本（三</w:t>
      </w:r>
      <w:bookmarkStart w:id="48" w:name="11"/>
      <w:bookmarkEnd w:id="48"/>
      <w:r>
        <w:rPr>
          <w:rFonts w:ascii="宋体" w:hAnsi="宋体" w:cs="宋体"/>
          <w:color w:val="auto"/>
          <w:spacing w:val="-1"/>
          <w:highlight w:val="none"/>
        </w:rPr>
        <w:t>个文件相隔之间用封面标识，封面写明“价格文件”、“商务文件”、“技术文件”字样）。供应商将竞争性磋商响应文件按正、副本分别装订成册，副本可以采用正本的复印件。在每个正、副本封面上标明“正本”或“副本”，以及项目名称、项目编号、供应商名称等内容。</w:t>
      </w:r>
    </w:p>
    <w:p>
      <w:pPr>
        <w:spacing w:after="0" w:line="360" w:lineRule="auto"/>
        <w:ind w:left="60"/>
        <w:outlineLvl w:val="0"/>
        <w:rPr>
          <w:color w:val="auto"/>
          <w:highlight w:val="none"/>
        </w:rPr>
      </w:pPr>
      <w:r>
        <w:rPr>
          <w:rFonts w:ascii="宋体" w:hAnsi="宋体" w:cs="宋体"/>
          <w:color w:val="auto"/>
          <w:highlight w:val="none"/>
        </w:rPr>
        <w:t>9.2</w:t>
      </w:r>
      <w:r>
        <w:rPr>
          <w:rFonts w:ascii="Calibri" w:hAnsi="Calibri" w:cs="Calibri"/>
          <w:color w:val="auto"/>
          <w:spacing w:val="3"/>
          <w:highlight w:val="none"/>
        </w:rPr>
        <w:t> </w:t>
      </w:r>
      <w:r>
        <w:rPr>
          <w:rFonts w:ascii="宋体" w:hAnsi="宋体" w:cs="宋体"/>
          <w:color w:val="auto"/>
          <w:highlight w:val="none"/>
        </w:rPr>
        <w:t>供应商应将竞争性磋商响应文件正、副本（正本一份，</w:t>
      </w:r>
      <w:r>
        <w:rPr>
          <w:rFonts w:hint="eastAsia" w:ascii="宋体" w:hAnsi="宋体" w:cs="宋体"/>
          <w:color w:val="auto"/>
          <w:highlight w:val="none"/>
        </w:rPr>
        <w:t>副本三份</w:t>
      </w:r>
      <w:r>
        <w:rPr>
          <w:rFonts w:ascii="宋体" w:hAnsi="宋体" w:cs="宋体"/>
          <w:color w:val="auto"/>
          <w:highlight w:val="none"/>
        </w:rPr>
        <w:t>）装入到一个竞争性磋商响应</w:t>
      </w:r>
      <w:r>
        <w:rPr>
          <w:rFonts w:ascii="宋体" w:hAnsi="宋体" w:cs="宋体"/>
          <w:color w:val="auto"/>
          <w:spacing w:val="-1"/>
          <w:highlight w:val="none"/>
        </w:rPr>
        <w:t>文件袋内，所有封贴处必须密封后签字【法定代表人或其委托代理人签字均可，当为代理人签字时由代理人随身携带授权书原件以备核验，要求文件袋无明显缝隙露出袋内文件】并加盖单位公章或密封章。</w:t>
      </w:r>
    </w:p>
    <w:p>
      <w:pPr>
        <w:spacing w:after="0" w:line="360" w:lineRule="auto"/>
        <w:ind w:left="60"/>
        <w:rPr>
          <w:color w:val="auto"/>
          <w:highlight w:val="none"/>
        </w:rPr>
      </w:pPr>
      <w:r>
        <w:rPr>
          <w:rFonts w:ascii="宋体" w:hAnsi="宋体" w:eastAsia="宋体" w:cs="宋体"/>
          <w:color w:val="auto"/>
          <w:spacing w:val="-1"/>
          <w:highlight w:val="none"/>
        </w:rPr>
        <w:t>文件袋外层封面上应写明：</w:t>
      </w:r>
    </w:p>
    <w:p>
      <w:pPr>
        <w:spacing w:after="0" w:line="360" w:lineRule="auto"/>
        <w:ind w:left="60" w:firstLine="420"/>
        <w:rPr>
          <w:color w:val="auto"/>
          <w:highlight w:val="none"/>
        </w:rPr>
      </w:pPr>
      <w:r>
        <w:rPr>
          <w:rFonts w:ascii="宋体" w:hAnsi="宋体" w:eastAsia="宋体" w:cs="宋体"/>
          <w:color w:val="auto"/>
          <w:spacing w:val="-1"/>
          <w:highlight w:val="none"/>
        </w:rPr>
        <w:t>1）项目编号；</w:t>
      </w:r>
    </w:p>
    <w:p>
      <w:pPr>
        <w:spacing w:after="0" w:line="360" w:lineRule="auto"/>
        <w:ind w:left="60" w:firstLine="420"/>
        <w:rPr>
          <w:color w:val="auto"/>
          <w:highlight w:val="none"/>
        </w:rPr>
      </w:pPr>
      <w:r>
        <w:rPr>
          <w:rFonts w:ascii="宋体" w:hAnsi="宋体" w:eastAsia="宋体" w:cs="宋体"/>
          <w:color w:val="auto"/>
          <w:spacing w:val="-1"/>
          <w:highlight w:val="none"/>
        </w:rPr>
        <w:t>2）项目名称；</w:t>
      </w:r>
    </w:p>
    <w:p>
      <w:pPr>
        <w:spacing w:after="0" w:line="360" w:lineRule="auto"/>
        <w:ind w:left="60" w:firstLine="420"/>
        <w:rPr>
          <w:color w:val="auto"/>
          <w:highlight w:val="none"/>
        </w:rPr>
      </w:pPr>
      <w:r>
        <w:rPr>
          <w:rFonts w:ascii="宋体" w:hAnsi="宋体" w:eastAsia="宋体" w:cs="宋体"/>
          <w:color w:val="auto"/>
          <w:spacing w:val="-1"/>
          <w:highlight w:val="none"/>
        </w:rPr>
        <w:t>3）供应商名称；</w:t>
      </w:r>
    </w:p>
    <w:p>
      <w:pPr>
        <w:spacing w:after="0" w:line="360" w:lineRule="auto"/>
        <w:ind w:left="60" w:firstLine="420"/>
        <w:rPr>
          <w:color w:val="auto"/>
          <w:highlight w:val="none"/>
        </w:rPr>
      </w:pPr>
      <w:r>
        <w:rPr>
          <w:rFonts w:ascii="宋体" w:hAnsi="宋体" w:cs="宋体"/>
          <w:color w:val="auto"/>
          <w:spacing w:val="-1"/>
          <w:highlight w:val="none"/>
        </w:rPr>
        <w:t>4）开标时才能启封。</w:t>
      </w:r>
    </w:p>
    <w:p>
      <w:pPr>
        <w:spacing w:after="0" w:line="360" w:lineRule="auto"/>
        <w:ind w:left="60"/>
        <w:rPr>
          <w:color w:val="auto"/>
          <w:highlight w:val="none"/>
        </w:rPr>
      </w:pPr>
      <w:r>
        <w:rPr>
          <w:rFonts w:ascii="宋体" w:hAnsi="宋体" w:cs="宋体"/>
          <w:color w:val="auto"/>
          <w:highlight w:val="none"/>
        </w:rPr>
        <w:t>10.</w:t>
      </w:r>
      <w:r>
        <w:rPr>
          <w:rFonts w:ascii="Calibri" w:hAnsi="Calibri" w:cs="Calibri"/>
          <w:color w:val="auto"/>
          <w:w w:val="219"/>
          <w:highlight w:val="none"/>
        </w:rPr>
        <w:t> </w:t>
      </w:r>
      <w:r>
        <w:rPr>
          <w:rFonts w:ascii="宋体" w:hAnsi="宋体" w:eastAsia="宋体" w:cs="宋体"/>
          <w:color w:val="auto"/>
          <w:spacing w:val="-1"/>
          <w:highlight w:val="none"/>
        </w:rPr>
        <w:t>响应文件的递交</w:t>
      </w:r>
    </w:p>
    <w:p>
      <w:pPr>
        <w:spacing w:after="0" w:line="360" w:lineRule="auto"/>
        <w:ind w:left="60"/>
        <w:outlineLvl w:val="0"/>
        <w:rPr>
          <w:color w:val="auto"/>
          <w:highlight w:val="none"/>
        </w:rPr>
      </w:pPr>
      <w:r>
        <w:rPr>
          <w:rFonts w:ascii="宋体" w:hAnsi="宋体" w:cs="宋体"/>
          <w:color w:val="auto"/>
          <w:highlight w:val="none"/>
        </w:rPr>
        <w:t>10.1</w:t>
      </w:r>
      <w:r>
        <w:rPr>
          <w:rFonts w:ascii="Calibri" w:hAnsi="Calibri" w:cs="Calibri"/>
          <w:color w:val="auto"/>
          <w:spacing w:val="3"/>
          <w:highlight w:val="none"/>
        </w:rPr>
        <w:t> </w:t>
      </w:r>
      <w:r>
        <w:rPr>
          <w:rFonts w:ascii="宋体" w:hAnsi="宋体" w:cs="宋体"/>
          <w:color w:val="auto"/>
          <w:spacing w:val="-1"/>
          <w:highlight w:val="none"/>
        </w:rPr>
        <w:t>响应文件递交起止时间及磋商截止时间：见磋商须知前附表。</w:t>
      </w:r>
    </w:p>
    <w:p>
      <w:pPr>
        <w:spacing w:after="0" w:line="360" w:lineRule="auto"/>
        <w:ind w:left="60" w:firstLine="416" w:firstLineChars="200"/>
        <w:rPr>
          <w:color w:val="auto"/>
          <w:highlight w:val="none"/>
        </w:rPr>
      </w:pPr>
      <w:r>
        <w:rPr>
          <w:rFonts w:ascii="宋体" w:hAnsi="宋体" w:cs="宋体"/>
          <w:color w:val="auto"/>
          <w:spacing w:val="-1"/>
          <w:highlight w:val="none"/>
        </w:rPr>
        <w:t>响应文件递交起止时间：见磋商须知前附表。</w:t>
      </w:r>
    </w:p>
    <w:p>
      <w:pPr>
        <w:spacing w:after="0" w:line="360" w:lineRule="auto"/>
        <w:ind w:left="60" w:firstLine="416" w:firstLineChars="200"/>
        <w:rPr>
          <w:color w:val="auto"/>
          <w:highlight w:val="none"/>
        </w:rPr>
      </w:pPr>
      <w:r>
        <w:rPr>
          <w:rFonts w:ascii="宋体" w:hAnsi="宋体" w:cs="宋体"/>
          <w:color w:val="auto"/>
          <w:spacing w:val="-1"/>
          <w:highlight w:val="none"/>
        </w:rPr>
        <w:t>磋商截止时间：见磋商须知前附表。</w:t>
      </w:r>
    </w:p>
    <w:p>
      <w:pPr>
        <w:spacing w:after="0" w:line="360" w:lineRule="auto"/>
        <w:ind w:left="60" w:firstLine="416" w:firstLineChars="200"/>
        <w:rPr>
          <w:color w:val="auto"/>
          <w:highlight w:val="none"/>
        </w:rPr>
      </w:pPr>
      <w:r>
        <w:rPr>
          <w:rFonts w:ascii="宋体" w:hAnsi="宋体" w:cs="宋体"/>
          <w:color w:val="auto"/>
          <w:spacing w:val="-1"/>
          <w:highlight w:val="none"/>
        </w:rPr>
        <w:t>供应商应按竞争性磋商文件中规定的磋商截止时间前递交响应文件。</w:t>
      </w:r>
    </w:p>
    <w:p>
      <w:pPr>
        <w:spacing w:after="0" w:line="360" w:lineRule="auto"/>
        <w:ind w:left="60"/>
        <w:outlineLvl w:val="0"/>
        <w:rPr>
          <w:color w:val="auto"/>
          <w:highlight w:val="none"/>
        </w:rPr>
      </w:pPr>
      <w:r>
        <w:rPr>
          <w:rFonts w:ascii="宋体" w:hAnsi="宋体" w:cs="宋体"/>
          <w:color w:val="auto"/>
          <w:highlight w:val="none"/>
        </w:rPr>
        <w:t>10.2</w:t>
      </w:r>
      <w:r>
        <w:rPr>
          <w:rFonts w:ascii="Calibri" w:hAnsi="Calibri" w:cs="Calibri"/>
          <w:color w:val="auto"/>
          <w:spacing w:val="3"/>
          <w:highlight w:val="none"/>
        </w:rPr>
        <w:t> </w:t>
      </w:r>
      <w:r>
        <w:rPr>
          <w:rFonts w:ascii="宋体" w:hAnsi="宋体" w:cs="宋体"/>
          <w:color w:val="auto"/>
          <w:spacing w:val="-1"/>
          <w:highlight w:val="none"/>
        </w:rPr>
        <w:t>供应商递交响应文件的地点：见磋商须知前附表。</w:t>
      </w:r>
    </w:p>
    <w:p>
      <w:pPr>
        <w:spacing w:after="0" w:line="360" w:lineRule="auto"/>
        <w:ind w:left="60"/>
        <w:outlineLvl w:val="0"/>
        <w:rPr>
          <w:color w:val="auto"/>
          <w:highlight w:val="none"/>
        </w:rPr>
      </w:pPr>
      <w:r>
        <w:rPr>
          <w:rFonts w:ascii="宋体" w:hAnsi="宋体" w:cs="宋体"/>
          <w:color w:val="auto"/>
          <w:highlight w:val="none"/>
        </w:rPr>
        <w:t>10.3</w:t>
      </w:r>
      <w:r>
        <w:rPr>
          <w:rFonts w:ascii="Calibri" w:hAnsi="Calibri" w:cs="Calibri"/>
          <w:color w:val="auto"/>
          <w:w w:val="219"/>
          <w:highlight w:val="none"/>
        </w:rPr>
        <w:t> </w:t>
      </w:r>
      <w:r>
        <w:rPr>
          <w:rFonts w:ascii="宋体" w:hAnsi="宋体" w:cs="宋体"/>
          <w:color w:val="auto"/>
          <w:highlight w:val="none"/>
        </w:rPr>
        <w:t>供应商在提交响应文件截止时间前，可以对所提交的响应文件进行补充、修改或者撤回，并</w:t>
      </w:r>
      <w:r>
        <w:rPr>
          <w:rFonts w:ascii="宋体" w:hAnsi="宋体" w:cs="宋体"/>
          <w:color w:val="auto"/>
          <w:spacing w:val="-1"/>
          <w:highlight w:val="none"/>
        </w:rPr>
        <w:t>书面通知采购人、采购代理机构。补充、修改的内容作为响应文件的组成部分。补充、修改的内容与响应文件不一致的，以补充、修改的内容为准。</w:t>
      </w:r>
    </w:p>
    <w:p>
      <w:pPr>
        <w:spacing w:after="0" w:line="360" w:lineRule="auto"/>
        <w:ind w:left="60"/>
        <w:outlineLvl w:val="0"/>
        <w:rPr>
          <w:color w:val="auto"/>
          <w:highlight w:val="none"/>
        </w:rPr>
      </w:pPr>
      <w:r>
        <w:rPr>
          <w:rFonts w:ascii="宋体" w:hAnsi="宋体" w:cs="宋体"/>
          <w:color w:val="auto"/>
          <w:highlight w:val="none"/>
        </w:rPr>
        <w:t>10.4</w:t>
      </w:r>
      <w:r>
        <w:rPr>
          <w:rFonts w:ascii="Calibri" w:hAnsi="Calibri" w:cs="Calibri"/>
          <w:color w:val="auto"/>
          <w:spacing w:val="3"/>
          <w:highlight w:val="none"/>
        </w:rPr>
        <w:t> </w:t>
      </w:r>
      <w:r>
        <w:rPr>
          <w:rFonts w:ascii="宋体" w:hAnsi="宋体" w:eastAsia="宋体" w:cs="宋体"/>
          <w:color w:val="auto"/>
          <w:spacing w:val="-1"/>
          <w:highlight w:val="none"/>
        </w:rPr>
        <w:t>迟交的响应文件</w:t>
      </w:r>
    </w:p>
    <w:p>
      <w:pPr>
        <w:spacing w:after="0" w:line="360" w:lineRule="auto"/>
        <w:ind w:left="60"/>
        <w:outlineLvl w:val="0"/>
        <w:rPr>
          <w:rFonts w:ascii="宋体" w:hAnsi="宋体" w:cs="宋体"/>
          <w:color w:val="auto"/>
          <w:highlight w:val="none"/>
        </w:rPr>
      </w:pPr>
      <w:r>
        <w:rPr>
          <w:rFonts w:hint="eastAsia" w:ascii="宋体" w:hAnsi="宋体" w:cs="宋体"/>
          <w:color w:val="auto"/>
          <w:highlight w:val="none"/>
          <w:lang w:eastAsia="zh-CN"/>
        </w:rPr>
        <w:t>广西博行弈工程项目管理有限公司</w:t>
      </w:r>
      <w:r>
        <w:rPr>
          <w:rFonts w:ascii="宋体" w:hAnsi="宋体" w:cs="宋体"/>
          <w:color w:val="auto"/>
          <w:highlight w:val="none"/>
        </w:rPr>
        <w:t>拒绝或原封退回在其规定的递交响应文件截止时间之后收到的任何响应文件。</w:t>
      </w:r>
    </w:p>
    <w:p>
      <w:pPr>
        <w:spacing w:after="0" w:line="360" w:lineRule="auto"/>
        <w:ind w:left="60"/>
        <w:outlineLvl w:val="0"/>
        <w:rPr>
          <w:color w:val="auto"/>
          <w:highlight w:val="none"/>
        </w:rPr>
      </w:pPr>
      <w:r>
        <w:rPr>
          <w:rFonts w:ascii="宋体" w:hAnsi="宋体" w:cs="宋体"/>
          <w:color w:val="auto"/>
          <w:highlight w:val="none"/>
        </w:rPr>
        <w:t>五、竞争性磋商（简称磋商）与评审</w:t>
      </w:r>
    </w:p>
    <w:p>
      <w:pPr>
        <w:spacing w:after="0" w:line="360" w:lineRule="auto"/>
        <w:ind w:left="60"/>
        <w:rPr>
          <w:color w:val="auto"/>
          <w:highlight w:val="none"/>
        </w:rPr>
      </w:pPr>
      <w:r>
        <w:rPr>
          <w:rFonts w:ascii="宋体" w:hAnsi="宋体" w:cs="宋体"/>
          <w:color w:val="auto"/>
          <w:highlight w:val="none"/>
        </w:rPr>
        <w:t>11.磋商小组组成及磋商时间、地点、人员</w:t>
      </w:r>
    </w:p>
    <w:p>
      <w:pPr>
        <w:spacing w:after="0" w:line="360" w:lineRule="auto"/>
        <w:ind w:left="60" w:firstLine="420"/>
        <w:rPr>
          <w:color w:val="auto"/>
          <w:highlight w:val="none"/>
        </w:rPr>
      </w:pPr>
      <w:r>
        <w:rPr>
          <w:rFonts w:ascii="宋体" w:hAnsi="宋体" w:cs="宋体"/>
          <w:color w:val="auto"/>
          <w:highlight w:val="none"/>
        </w:rPr>
        <w:t>11.1</w:t>
      </w:r>
      <w:r>
        <w:rPr>
          <w:rFonts w:ascii="Calibri" w:hAnsi="Calibri" w:cs="Calibri"/>
          <w:color w:val="auto"/>
          <w:spacing w:val="3"/>
          <w:highlight w:val="none"/>
        </w:rPr>
        <w:t> </w:t>
      </w:r>
      <w:r>
        <w:rPr>
          <w:rFonts w:ascii="宋体" w:hAnsi="宋体" w:eastAsia="宋体" w:cs="宋体"/>
          <w:color w:val="auto"/>
          <w:spacing w:val="-1"/>
          <w:highlight w:val="none"/>
        </w:rPr>
        <w:t>磋商小组构成：本项目的磋商小组由评审专家共</w:t>
      </w:r>
      <w:r>
        <w:rPr>
          <w:rFonts w:ascii="Calibri" w:hAnsi="Calibri" w:cs="Calibri"/>
          <w:color w:val="auto"/>
          <w:spacing w:val="4"/>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cs="宋体"/>
          <w:color w:val="auto"/>
          <w:spacing w:val="-1"/>
          <w:highlight w:val="none"/>
        </w:rPr>
        <w:t>人以上单数组成。</w:t>
      </w:r>
    </w:p>
    <w:p>
      <w:pPr>
        <w:spacing w:after="0" w:line="360" w:lineRule="auto"/>
        <w:ind w:left="60" w:firstLine="420"/>
        <w:rPr>
          <w:color w:val="auto"/>
          <w:highlight w:val="none"/>
        </w:rPr>
      </w:pPr>
      <w:r>
        <w:rPr>
          <w:rFonts w:ascii="宋体" w:hAnsi="宋体" w:cs="宋体"/>
          <w:color w:val="auto"/>
          <w:highlight w:val="none"/>
        </w:rPr>
        <w:t>11.2</w:t>
      </w:r>
      <w:r>
        <w:rPr>
          <w:rFonts w:ascii="Calibri" w:hAnsi="Calibri" w:cs="Calibri"/>
          <w:color w:val="auto"/>
          <w:w w:val="219"/>
          <w:highlight w:val="none"/>
        </w:rPr>
        <w:t> </w:t>
      </w:r>
      <w:r>
        <w:rPr>
          <w:rFonts w:ascii="宋体" w:hAnsi="宋体" w:cs="宋体"/>
          <w:color w:val="auto"/>
          <w:spacing w:val="-1"/>
          <w:highlight w:val="none"/>
        </w:rPr>
        <w:t>具体的磋商时间、地点、人员见磋商须知前附表，参加磋商的法定代表人或委托代理人</w:t>
      </w:r>
      <w:r>
        <w:rPr>
          <w:rFonts w:ascii="宋体" w:hAnsi="宋体" w:eastAsia="宋体" w:cs="宋体"/>
          <w:color w:val="auto"/>
          <w:spacing w:val="-1"/>
          <w:highlight w:val="none"/>
        </w:rPr>
        <w:t>必须持证件（法定代表人凭身份证或委托代理人凭法人授权委托书和身份证）依时到达指定地点等</w:t>
      </w:r>
      <w:r>
        <w:rPr>
          <w:rFonts w:ascii="宋体" w:hAnsi="宋体" w:cs="宋体"/>
          <w:color w:val="auto"/>
          <w:spacing w:val="-1"/>
          <w:highlight w:val="none"/>
        </w:rPr>
        <w:t>候当面磋商。</w:t>
      </w:r>
      <w:bookmarkStart w:id="49" w:name="12"/>
      <w:bookmarkEnd w:id="49"/>
    </w:p>
    <w:p>
      <w:pPr>
        <w:spacing w:after="0" w:line="360" w:lineRule="auto"/>
        <w:ind w:left="135"/>
        <w:rPr>
          <w:color w:val="auto"/>
          <w:highlight w:val="none"/>
        </w:rPr>
      </w:pPr>
      <w:r>
        <w:rPr>
          <w:rFonts w:ascii="宋体" w:hAnsi="宋体" w:eastAsia="宋体" w:cs="宋体"/>
          <w:color w:val="auto"/>
          <w:highlight w:val="none"/>
        </w:rPr>
        <w:t>12．评审原则和评审办法</w:t>
      </w:r>
    </w:p>
    <w:p>
      <w:pPr>
        <w:spacing w:after="0" w:line="360" w:lineRule="auto"/>
        <w:ind w:left="135"/>
        <w:rPr>
          <w:color w:val="auto"/>
          <w:highlight w:val="none"/>
        </w:rPr>
      </w:pPr>
      <w:r>
        <w:rPr>
          <w:rFonts w:ascii="宋体" w:hAnsi="宋体" w:cs="宋体"/>
          <w:color w:val="auto"/>
          <w:highlight w:val="none"/>
        </w:rPr>
        <w:t>12.1</w:t>
      </w:r>
      <w:r>
        <w:rPr>
          <w:rFonts w:ascii="Calibri" w:hAnsi="Calibri" w:cs="Calibri"/>
          <w:color w:val="auto"/>
          <w:spacing w:val="3"/>
          <w:highlight w:val="none"/>
        </w:rPr>
        <w:t> </w:t>
      </w:r>
      <w:r>
        <w:rPr>
          <w:rFonts w:ascii="宋体" w:hAnsi="宋体" w:cs="宋体"/>
          <w:color w:val="auto"/>
          <w:spacing w:val="-1"/>
          <w:highlight w:val="none"/>
        </w:rPr>
        <w:t>具体评审原则和评审办法见评分标准。</w:t>
      </w:r>
    </w:p>
    <w:p>
      <w:pPr>
        <w:spacing w:after="0" w:line="360" w:lineRule="auto"/>
        <w:ind w:left="135"/>
        <w:rPr>
          <w:color w:val="auto"/>
          <w:highlight w:val="none"/>
        </w:rPr>
      </w:pPr>
      <w:r>
        <w:rPr>
          <w:rFonts w:ascii="宋体" w:hAnsi="宋体" w:eastAsia="宋体" w:cs="宋体"/>
          <w:color w:val="auto"/>
          <w:highlight w:val="none"/>
        </w:rPr>
        <w:t>13.响应文件评审及磋商的步骤</w:t>
      </w:r>
    </w:p>
    <w:p>
      <w:pPr>
        <w:spacing w:after="0" w:line="360" w:lineRule="auto"/>
        <w:ind w:left="135"/>
        <w:outlineLvl w:val="0"/>
        <w:rPr>
          <w:color w:val="auto"/>
          <w:highlight w:val="none"/>
        </w:rPr>
      </w:pPr>
      <w:r>
        <w:rPr>
          <w:rFonts w:ascii="宋体" w:hAnsi="宋体" w:cs="宋体"/>
          <w:color w:val="auto"/>
          <w:highlight w:val="none"/>
        </w:rPr>
        <w:t>13.1</w:t>
      </w:r>
      <w:r>
        <w:rPr>
          <w:rFonts w:ascii="Calibri" w:hAnsi="Calibri" w:cs="Calibri"/>
          <w:color w:val="auto"/>
          <w:spacing w:val="3"/>
          <w:highlight w:val="none"/>
        </w:rPr>
        <w:t> </w:t>
      </w:r>
      <w:r>
        <w:rPr>
          <w:rFonts w:ascii="宋体" w:hAnsi="宋体" w:eastAsia="宋体" w:cs="宋体"/>
          <w:color w:val="auto"/>
          <w:spacing w:val="-3"/>
          <w:highlight w:val="none"/>
        </w:rPr>
        <w:t>资格或符合性审查：磋商小组对磋商资格条件及响应文件进行评审，并从符合竞争性磋商文件</w:t>
      </w:r>
      <w:r>
        <w:rPr>
          <w:rFonts w:ascii="宋体" w:hAnsi="宋体" w:eastAsia="宋体" w:cs="宋体"/>
          <w:color w:val="auto"/>
          <w:spacing w:val="-1"/>
          <w:highlight w:val="none"/>
        </w:rPr>
        <w:t>规定的相应资格条件的供应商名单中确定不少于</w:t>
      </w:r>
      <w:r>
        <w:rPr>
          <w:rFonts w:ascii="Calibri" w:hAnsi="Calibri" w:cs="Calibri"/>
          <w:color w:val="auto"/>
          <w:spacing w:val="4"/>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cs="宋体"/>
          <w:color w:val="auto"/>
          <w:spacing w:val="-2"/>
          <w:highlight w:val="none"/>
        </w:rPr>
        <w:t>家的供应商参加磋商。资格条件不符合的供应商</w:t>
      </w:r>
      <w:r>
        <w:rPr>
          <w:rFonts w:ascii="宋体" w:hAnsi="宋体" w:cs="宋体"/>
          <w:color w:val="auto"/>
          <w:spacing w:val="-1"/>
          <w:highlight w:val="none"/>
        </w:rPr>
        <w:t>或未实质性响应磋商文件的响应文件按无效响应处理，磋商小组应当告知有关供应商。</w:t>
      </w:r>
    </w:p>
    <w:p>
      <w:pPr>
        <w:spacing w:after="0" w:line="360" w:lineRule="auto"/>
        <w:ind w:left="135"/>
        <w:rPr>
          <w:color w:val="auto"/>
          <w:highlight w:val="none"/>
        </w:rPr>
      </w:pPr>
      <w:r>
        <w:rPr>
          <w:rFonts w:ascii="宋体" w:hAnsi="宋体" w:cs="宋体"/>
          <w:color w:val="auto"/>
          <w:highlight w:val="none"/>
        </w:rPr>
        <w:t>13.2</w:t>
      </w:r>
      <w:r>
        <w:rPr>
          <w:rFonts w:ascii="Calibri" w:hAnsi="Calibri" w:cs="Calibri"/>
          <w:color w:val="auto"/>
          <w:spacing w:val="3"/>
          <w:highlight w:val="none"/>
        </w:rPr>
        <w:t> </w:t>
      </w:r>
      <w:r>
        <w:rPr>
          <w:rFonts w:ascii="宋体" w:hAnsi="宋体" w:eastAsia="宋体" w:cs="宋体"/>
          <w:color w:val="auto"/>
          <w:highlight w:val="none"/>
        </w:rPr>
        <w:t>第一轮磋商</w:t>
      </w:r>
    </w:p>
    <w:p>
      <w:pPr>
        <w:spacing w:after="0" w:line="360" w:lineRule="auto"/>
        <w:ind w:left="135" w:firstLine="420"/>
        <w:rPr>
          <w:color w:val="auto"/>
          <w:highlight w:val="none"/>
        </w:rPr>
      </w:pPr>
      <w:r>
        <w:rPr>
          <w:rFonts w:ascii="宋体" w:hAnsi="宋体" w:eastAsia="宋体" w:cs="宋体"/>
          <w:color w:val="auto"/>
          <w:spacing w:val="-1"/>
          <w:highlight w:val="none"/>
        </w:rPr>
        <w:t>磋商小组按已确定的磋商顺序，磋商小组所有成员应当集中与单一供应商分别进行磋商，并给</w:t>
      </w:r>
      <w:r>
        <w:rPr>
          <w:rFonts w:ascii="宋体" w:hAnsi="宋体" w:cs="宋体"/>
          <w:color w:val="auto"/>
          <w:spacing w:val="-1"/>
          <w:highlight w:val="none"/>
        </w:rPr>
        <w:t>予所有参加磋商的供应商平等的磋商机会。</w:t>
      </w:r>
    </w:p>
    <w:p>
      <w:pPr>
        <w:spacing w:after="0" w:line="360" w:lineRule="auto"/>
        <w:ind w:left="135" w:firstLine="420"/>
        <w:rPr>
          <w:color w:val="auto"/>
          <w:highlight w:val="none"/>
        </w:rPr>
      </w:pPr>
      <w:r>
        <w:rPr>
          <w:rFonts w:ascii="宋体" w:hAnsi="宋体" w:cs="宋体"/>
          <w:color w:val="auto"/>
          <w:spacing w:val="-1"/>
          <w:highlight w:val="none"/>
        </w:rPr>
        <w:t>在磋商过程中，磋商小组可以根据磋商文件和磋商情况实质性变动采购需求中的技术、服务要求以及合同草案条款，但不得变动磋商文件中的其他内容。实质性变动的内容，须经采购人代表确</w:t>
      </w:r>
      <w:r>
        <w:rPr>
          <w:rFonts w:ascii="宋体" w:hAnsi="宋体" w:cs="宋体"/>
          <w:color w:val="auto"/>
          <w:spacing w:val="-2"/>
          <w:highlight w:val="none"/>
        </w:rPr>
        <w:t>认。</w:t>
      </w:r>
    </w:p>
    <w:p>
      <w:pPr>
        <w:spacing w:after="0" w:line="360" w:lineRule="auto"/>
        <w:ind w:left="135"/>
        <w:rPr>
          <w:color w:val="auto"/>
          <w:highlight w:val="none"/>
        </w:rPr>
      </w:pPr>
    </w:p>
    <w:p>
      <w:pPr>
        <w:spacing w:after="0" w:line="360" w:lineRule="auto"/>
        <w:ind w:left="135" w:firstLine="420"/>
        <w:rPr>
          <w:color w:val="auto"/>
          <w:highlight w:val="none"/>
        </w:rPr>
      </w:pPr>
      <w:r>
        <w:rPr>
          <w:rFonts w:ascii="宋体" w:hAnsi="宋体" w:eastAsia="宋体" w:cs="宋体"/>
          <w:color w:val="auto"/>
          <w:spacing w:val="-1"/>
          <w:highlight w:val="none"/>
        </w:rPr>
        <w:t>对磋商文件作出的实质性变动是磋商文件的有效组成部分，磋商小组应当及时以书面形式同时</w:t>
      </w:r>
      <w:r>
        <w:rPr>
          <w:rFonts w:ascii="宋体" w:hAnsi="宋体" w:cs="宋体"/>
          <w:color w:val="auto"/>
          <w:spacing w:val="-1"/>
          <w:highlight w:val="none"/>
        </w:rPr>
        <w:t>通知所有参加磋商的供应商。</w:t>
      </w:r>
    </w:p>
    <w:p>
      <w:pPr>
        <w:spacing w:after="0" w:line="360" w:lineRule="auto"/>
        <w:ind w:left="135" w:firstLine="420"/>
        <w:rPr>
          <w:color w:val="auto"/>
          <w:highlight w:val="none"/>
        </w:rPr>
      </w:pPr>
      <w:r>
        <w:rPr>
          <w:rFonts w:ascii="宋体" w:hAnsi="宋体" w:eastAsia="宋体" w:cs="宋体"/>
          <w:color w:val="auto"/>
          <w:spacing w:val="-1"/>
          <w:highlight w:val="none"/>
        </w:rPr>
        <w:t>供应商应当按照磋商文件的变动情况和磋商小组的要求重新提交响应文件，并由其法定代表人</w:t>
      </w:r>
      <w:r>
        <w:rPr>
          <w:rFonts w:ascii="宋体" w:hAnsi="宋体" w:cs="宋体"/>
          <w:color w:val="auto"/>
          <w:spacing w:val="-1"/>
          <w:highlight w:val="none"/>
        </w:rPr>
        <w:t>或授权代表签字或者加盖公章。由授权代表签字的，应当附法定代表人授权书。</w:t>
      </w:r>
    </w:p>
    <w:p>
      <w:pPr>
        <w:spacing w:after="0" w:line="360" w:lineRule="auto"/>
        <w:ind w:left="135" w:firstLine="420"/>
        <w:rPr>
          <w:color w:val="auto"/>
          <w:highlight w:val="none"/>
        </w:rPr>
      </w:pPr>
      <w:r>
        <w:rPr>
          <w:rFonts w:ascii="宋体" w:hAnsi="宋体" w:cs="宋体"/>
          <w:color w:val="auto"/>
          <w:spacing w:val="-1"/>
          <w:highlight w:val="none"/>
        </w:rPr>
        <w:t>磋商中，磋商的任何一方不得透露与磋商有关的其他供应商的技术资料、价格和其他信息。</w:t>
      </w:r>
    </w:p>
    <w:p>
      <w:pPr>
        <w:spacing w:after="0" w:line="360" w:lineRule="auto"/>
        <w:ind w:left="135" w:firstLine="420"/>
        <w:rPr>
          <w:color w:val="auto"/>
          <w:highlight w:val="none"/>
        </w:rPr>
      </w:pPr>
      <w:r>
        <w:rPr>
          <w:rFonts w:ascii="宋体" w:hAnsi="宋体" w:cs="宋体"/>
          <w:color w:val="auto"/>
          <w:spacing w:val="-1"/>
          <w:highlight w:val="none"/>
        </w:rPr>
        <w:t>采购代理机构对磋商过程和重要磋商内容进行记录，磋商双方在记录上签字确认。</w:t>
      </w:r>
    </w:p>
    <w:p>
      <w:pPr>
        <w:spacing w:after="0" w:line="360" w:lineRule="auto"/>
        <w:ind w:left="135" w:firstLine="420"/>
        <w:rPr>
          <w:color w:val="auto"/>
          <w:highlight w:val="none"/>
        </w:rPr>
      </w:pPr>
      <w:r>
        <w:rPr>
          <w:rFonts w:ascii="宋体" w:hAnsi="宋体" w:eastAsia="宋体" w:cs="宋体"/>
          <w:color w:val="auto"/>
          <w:spacing w:val="-1"/>
          <w:highlight w:val="none"/>
        </w:rPr>
        <w:t>磋商小组一致确定响应供应商符合磋商文件要求的，按磋商文件设定的方法和标准确定成交候</w:t>
      </w:r>
      <w:r>
        <w:rPr>
          <w:rFonts w:ascii="宋体" w:hAnsi="宋体" w:cs="宋体"/>
          <w:color w:val="auto"/>
          <w:spacing w:val="-1"/>
          <w:highlight w:val="none"/>
        </w:rPr>
        <w:t>选人。第一轮磋商磋商小组未能确定成交候选人的，对磋商文件修正后进行第二轮磋商。</w:t>
      </w:r>
    </w:p>
    <w:p>
      <w:pPr>
        <w:spacing w:after="0" w:line="360" w:lineRule="auto"/>
        <w:ind w:left="135"/>
        <w:outlineLvl w:val="0"/>
        <w:rPr>
          <w:color w:val="auto"/>
          <w:highlight w:val="none"/>
        </w:rPr>
      </w:pPr>
      <w:r>
        <w:rPr>
          <w:rFonts w:ascii="宋体" w:hAnsi="宋体" w:cs="宋体"/>
          <w:color w:val="auto"/>
          <w:highlight w:val="none"/>
        </w:rPr>
        <w:t>13.3</w:t>
      </w:r>
      <w:r>
        <w:rPr>
          <w:rFonts w:ascii="Calibri" w:hAnsi="Calibri" w:cs="Calibri"/>
          <w:color w:val="auto"/>
          <w:spacing w:val="3"/>
          <w:highlight w:val="none"/>
        </w:rPr>
        <w:t> </w:t>
      </w:r>
      <w:r>
        <w:rPr>
          <w:rFonts w:ascii="宋体" w:hAnsi="宋体" w:eastAsia="宋体" w:cs="宋体"/>
          <w:color w:val="auto"/>
          <w:spacing w:val="-1"/>
          <w:highlight w:val="none"/>
        </w:rPr>
        <w:t>磋商文件修正</w:t>
      </w:r>
    </w:p>
    <w:p>
      <w:pPr>
        <w:spacing w:after="0" w:line="360" w:lineRule="auto"/>
        <w:ind w:left="135" w:firstLine="420"/>
        <w:rPr>
          <w:color w:val="auto"/>
          <w:highlight w:val="none"/>
        </w:rPr>
      </w:pPr>
      <w:r>
        <w:rPr>
          <w:rFonts w:ascii="宋体" w:hAnsi="宋体" w:cs="宋体"/>
          <w:color w:val="auto"/>
          <w:spacing w:val="-1"/>
          <w:highlight w:val="none"/>
        </w:rPr>
        <w:t>⑴第一轮磋商结束后，各响应供应商退场等候，磋商小组进行合议。根据第一轮磋商掌握的情况，磋商小组可以对磋商文件进行修改，确定采购内容的详细规格或具体要求，优化采购方案。</w:t>
      </w:r>
    </w:p>
    <w:p>
      <w:pPr>
        <w:spacing w:after="0" w:line="360" w:lineRule="auto"/>
        <w:ind w:left="135" w:firstLine="420"/>
        <w:rPr>
          <w:color w:val="auto"/>
          <w:highlight w:val="none"/>
        </w:rPr>
      </w:pPr>
      <w:r>
        <w:rPr>
          <w:rFonts w:ascii="宋体" w:hAnsi="宋体" w:cs="宋体"/>
          <w:color w:val="auto"/>
          <w:spacing w:val="-1"/>
          <w:highlight w:val="none"/>
        </w:rPr>
        <w:t>⑵采购代理机构通知响应供应商集中，磋商小组强调调整后的采购要求，将磋商文件的修改结果以书面形式通知响应供应商，向响应供应商提供较充分的修正时间。</w:t>
      </w:r>
    </w:p>
    <w:p>
      <w:pPr>
        <w:spacing w:after="0" w:line="360" w:lineRule="auto"/>
        <w:ind w:left="135" w:firstLine="420"/>
        <w:rPr>
          <w:color w:val="auto"/>
          <w:highlight w:val="none"/>
        </w:rPr>
      </w:pPr>
      <w:r>
        <w:rPr>
          <w:rFonts w:ascii="宋体" w:hAnsi="宋体" w:cs="宋体"/>
          <w:color w:val="auto"/>
          <w:spacing w:val="-1"/>
          <w:highlight w:val="none"/>
        </w:rPr>
        <w:t>⑶响应供应商根据第一轮磋商情况和磋商文件修改书面通知，对原响应文件进行修正，并将修</w:t>
      </w:r>
      <w:r>
        <w:rPr>
          <w:rFonts w:ascii="宋体" w:hAnsi="宋体" w:cs="宋体"/>
          <w:color w:val="auto"/>
          <w:spacing w:val="-4"/>
          <w:highlight w:val="none"/>
        </w:rPr>
        <w:t>正文件签字后密封送交磋商小组。逾时不交的，视同放弃磋商。修正文件与响应文件同具法律效力。</w:t>
      </w:r>
    </w:p>
    <w:p>
      <w:pPr>
        <w:spacing w:after="0" w:line="360" w:lineRule="auto"/>
        <w:ind w:left="135"/>
        <w:rPr>
          <w:color w:val="auto"/>
          <w:highlight w:val="none"/>
        </w:rPr>
      </w:pPr>
      <w:r>
        <w:rPr>
          <w:rFonts w:ascii="宋体" w:hAnsi="宋体" w:cs="宋体"/>
          <w:color w:val="auto"/>
          <w:highlight w:val="none"/>
        </w:rPr>
        <w:t>13.4</w:t>
      </w:r>
      <w:r>
        <w:rPr>
          <w:rFonts w:ascii="Calibri" w:hAnsi="Calibri" w:cs="Calibri"/>
          <w:color w:val="auto"/>
          <w:spacing w:val="3"/>
          <w:highlight w:val="none"/>
        </w:rPr>
        <w:t> </w:t>
      </w:r>
      <w:r>
        <w:rPr>
          <w:rFonts w:ascii="宋体" w:hAnsi="宋体" w:eastAsia="宋体" w:cs="宋体"/>
          <w:color w:val="auto"/>
          <w:highlight w:val="none"/>
        </w:rPr>
        <w:t>第二轮磋商</w:t>
      </w:r>
      <w:bookmarkStart w:id="50" w:name="13"/>
      <w:bookmarkEnd w:id="50"/>
    </w:p>
    <w:p>
      <w:pPr>
        <w:spacing w:after="0" w:line="360" w:lineRule="auto"/>
        <w:ind w:left="135" w:firstLine="420"/>
        <w:rPr>
          <w:color w:val="auto"/>
          <w:highlight w:val="none"/>
        </w:rPr>
      </w:pPr>
      <w:r>
        <w:rPr>
          <w:rFonts w:ascii="宋体" w:hAnsi="宋体" w:cs="宋体"/>
          <w:color w:val="auto"/>
          <w:spacing w:val="-1"/>
          <w:highlight w:val="none"/>
        </w:rPr>
        <w:t>磋商小组就修正后的磋商文件与响应供应商分别进行磋商。采购代理机构对磋商过程和重要磋商内容进行记录，磋商双方在记录上签字确认。磋商小组按磋商文件设定的方法和标准确定成交候选人。</w:t>
      </w:r>
    </w:p>
    <w:p>
      <w:pPr>
        <w:spacing w:after="0" w:line="360" w:lineRule="auto"/>
        <w:ind w:left="135" w:firstLine="420"/>
        <w:rPr>
          <w:color w:val="auto"/>
          <w:highlight w:val="none"/>
        </w:rPr>
      </w:pPr>
      <w:r>
        <w:rPr>
          <w:rFonts w:ascii="宋体" w:hAnsi="宋体" w:cs="宋体"/>
          <w:color w:val="auto"/>
          <w:spacing w:val="-1"/>
          <w:highlight w:val="none"/>
        </w:rPr>
        <w:t>第二轮磋商磋商小组未能确定成交候选人的，对磋商文件修正后进行第三轮磋商。以此类推。</w:t>
      </w:r>
    </w:p>
    <w:p>
      <w:pPr>
        <w:spacing w:after="0" w:line="360" w:lineRule="auto"/>
        <w:ind w:left="135"/>
        <w:outlineLvl w:val="0"/>
        <w:rPr>
          <w:color w:val="auto"/>
          <w:highlight w:val="none"/>
        </w:rPr>
      </w:pPr>
      <w:r>
        <w:rPr>
          <w:rFonts w:ascii="宋体" w:hAnsi="宋体" w:cs="宋体"/>
          <w:color w:val="auto"/>
          <w:highlight w:val="none"/>
        </w:rPr>
        <w:t>13.5</w:t>
      </w:r>
      <w:r>
        <w:rPr>
          <w:rFonts w:ascii="Calibri" w:hAnsi="Calibri" w:cs="Calibri"/>
          <w:color w:val="auto"/>
          <w:spacing w:val="3"/>
          <w:highlight w:val="none"/>
        </w:rPr>
        <w:t> </w:t>
      </w:r>
      <w:r>
        <w:rPr>
          <w:rFonts w:ascii="宋体" w:hAnsi="宋体" w:eastAsia="宋体" w:cs="宋体"/>
          <w:color w:val="auto"/>
          <w:highlight w:val="none"/>
        </w:rPr>
        <w:t>最后报价</w:t>
      </w:r>
    </w:p>
    <w:p>
      <w:pPr>
        <w:spacing w:after="0" w:line="360" w:lineRule="auto"/>
        <w:ind w:left="135" w:firstLine="420"/>
        <w:outlineLvl w:val="0"/>
        <w:rPr>
          <w:color w:val="auto"/>
          <w:highlight w:val="none"/>
        </w:rPr>
      </w:pPr>
      <w:r>
        <w:rPr>
          <w:rFonts w:ascii="宋体" w:hAnsi="宋体" w:cs="宋体"/>
          <w:color w:val="auto"/>
          <w:highlight w:val="none"/>
        </w:rPr>
        <w:t>13.5.1</w:t>
      </w:r>
      <w:r>
        <w:rPr>
          <w:rFonts w:ascii="Calibri" w:hAnsi="Calibri" w:cs="Calibri"/>
          <w:color w:val="auto"/>
          <w:spacing w:val="3"/>
          <w:highlight w:val="none"/>
        </w:rPr>
        <w:t> </w:t>
      </w:r>
      <w:r>
        <w:rPr>
          <w:rFonts w:ascii="宋体" w:hAnsi="宋体" w:cs="宋体"/>
          <w:color w:val="auto"/>
          <w:spacing w:val="-3"/>
          <w:highlight w:val="none"/>
        </w:rPr>
        <w:t>磋商文件能够详细列明采购标的的技术、服务要求的，磋商结束后，磋商小组应当要求</w:t>
      </w:r>
      <w:r>
        <w:rPr>
          <w:rFonts w:ascii="宋体" w:hAnsi="宋体" w:eastAsia="宋体" w:cs="宋体"/>
          <w:color w:val="auto"/>
          <w:spacing w:val="-3"/>
          <w:highlight w:val="none"/>
        </w:rPr>
        <w:t>所有继续参加磋商的供应商在规定时间内密封提交最后报价，提交最后报价的供应商不得少于</w:t>
      </w:r>
      <w:r>
        <w:rPr>
          <w:rFonts w:ascii="Calibri" w:hAnsi="Calibri" w:cs="Calibri"/>
          <w:color w:val="auto"/>
          <w:spacing w:val="-10"/>
          <w:highlight w:val="none"/>
        </w:rPr>
        <w:t> </w:t>
      </w:r>
      <w:r>
        <w:rPr>
          <w:rFonts w:ascii="宋体" w:hAnsi="宋体" w:cs="宋体"/>
          <w:color w:val="auto"/>
          <w:spacing w:val="-1"/>
          <w:highlight w:val="none"/>
        </w:rPr>
        <w:t>3</w:t>
      </w:r>
      <w:r>
        <w:rPr>
          <w:rFonts w:ascii="Calibri" w:hAnsi="Calibri" w:cs="Calibri"/>
          <w:color w:val="auto"/>
          <w:spacing w:val="-13"/>
          <w:highlight w:val="none"/>
        </w:rPr>
        <w:t> </w:t>
      </w:r>
      <w:r>
        <w:rPr>
          <w:rFonts w:ascii="宋体" w:hAnsi="宋体" w:cs="宋体"/>
          <w:color w:val="auto"/>
          <w:highlight w:val="none"/>
        </w:rPr>
        <w:t>家。</w:t>
      </w:r>
    </w:p>
    <w:p>
      <w:pPr>
        <w:spacing w:after="0" w:line="360" w:lineRule="auto"/>
        <w:ind w:left="135" w:firstLine="420"/>
        <w:outlineLvl w:val="0"/>
        <w:rPr>
          <w:color w:val="auto"/>
          <w:highlight w:val="none"/>
        </w:rPr>
      </w:pPr>
      <w:r>
        <w:rPr>
          <w:rFonts w:ascii="宋体" w:hAnsi="宋体" w:cs="宋体"/>
          <w:color w:val="auto"/>
          <w:highlight w:val="none"/>
        </w:rPr>
        <w:t>13.5.2</w:t>
      </w:r>
      <w:r>
        <w:rPr>
          <w:rFonts w:ascii="Calibri" w:hAnsi="Calibri" w:cs="Calibri"/>
          <w:color w:val="auto"/>
          <w:spacing w:val="3"/>
          <w:highlight w:val="none"/>
        </w:rPr>
        <w:t> </w:t>
      </w:r>
      <w:r>
        <w:rPr>
          <w:rFonts w:ascii="宋体" w:hAnsi="宋体" w:cs="宋体"/>
          <w:color w:val="auto"/>
          <w:spacing w:val="-3"/>
          <w:highlight w:val="none"/>
        </w:rPr>
        <w:t>磋商文件不能详细列明采购标的的技术、服务要求，需经磋商由供应商提供最终设计方</w:t>
      </w:r>
      <w:r>
        <w:rPr>
          <w:rFonts w:ascii="宋体" w:hAnsi="宋体" w:eastAsia="宋体" w:cs="宋体"/>
          <w:color w:val="auto"/>
          <w:spacing w:val="-1"/>
          <w:highlight w:val="none"/>
        </w:rPr>
        <w:t>案或解决方案的，磋商结束后，磋商小组应当按照少数服从多数的原则投票推荐</w:t>
      </w:r>
      <w:r>
        <w:rPr>
          <w:rFonts w:ascii="Calibri" w:hAnsi="Calibri" w:cs="Calibri"/>
          <w:color w:val="auto"/>
          <w:spacing w:val="4"/>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eastAsia="宋体" w:cs="宋体"/>
          <w:color w:val="auto"/>
          <w:spacing w:val="-1"/>
          <w:highlight w:val="none"/>
        </w:rPr>
        <w:t>家以上供应商的</w:t>
      </w:r>
      <w:r>
        <w:rPr>
          <w:rFonts w:ascii="宋体" w:hAnsi="宋体" w:cs="宋体"/>
          <w:color w:val="auto"/>
          <w:spacing w:val="-1"/>
          <w:highlight w:val="none"/>
        </w:rPr>
        <w:t>设计方案或者解决方案，并要求其在规定时间内密封提交最后报价。</w:t>
      </w:r>
    </w:p>
    <w:p>
      <w:pPr>
        <w:spacing w:after="0" w:line="360" w:lineRule="auto"/>
        <w:ind w:left="135" w:firstLine="420"/>
        <w:rPr>
          <w:color w:val="auto"/>
          <w:highlight w:val="none"/>
        </w:rPr>
      </w:pPr>
      <w:r>
        <w:rPr>
          <w:rFonts w:ascii="宋体" w:hAnsi="宋体" w:cs="宋体"/>
          <w:color w:val="auto"/>
          <w:highlight w:val="none"/>
        </w:rPr>
        <w:t>13.5.3</w:t>
      </w:r>
      <w:r>
        <w:rPr>
          <w:rFonts w:ascii="Calibri" w:hAnsi="Calibri" w:cs="Calibri"/>
          <w:color w:val="auto"/>
          <w:spacing w:val="3"/>
          <w:highlight w:val="none"/>
        </w:rPr>
        <w:t> </w:t>
      </w:r>
      <w:r>
        <w:rPr>
          <w:rFonts w:ascii="宋体" w:hAnsi="宋体" w:cs="宋体"/>
          <w:color w:val="auto"/>
          <w:spacing w:val="-1"/>
          <w:highlight w:val="none"/>
        </w:rPr>
        <w:t>最后报价是供应商响应文件的有效组成部分。</w:t>
      </w:r>
    </w:p>
    <w:p>
      <w:pPr>
        <w:spacing w:after="0" w:line="360" w:lineRule="auto"/>
        <w:ind w:left="135" w:firstLine="420"/>
        <w:outlineLvl w:val="0"/>
        <w:rPr>
          <w:color w:val="auto"/>
          <w:highlight w:val="none"/>
        </w:rPr>
      </w:pPr>
      <w:r>
        <w:rPr>
          <w:rFonts w:ascii="宋体" w:hAnsi="宋体" w:cs="宋体"/>
          <w:color w:val="auto"/>
          <w:highlight w:val="none"/>
        </w:rPr>
        <w:t>13.5.4</w:t>
      </w:r>
      <w:r>
        <w:rPr>
          <w:rFonts w:ascii="Calibri" w:hAnsi="Calibri" w:cs="Calibri"/>
          <w:color w:val="auto"/>
          <w:w w:val="219"/>
          <w:highlight w:val="none"/>
        </w:rPr>
        <w:t> </w:t>
      </w:r>
      <w:r>
        <w:rPr>
          <w:rFonts w:ascii="宋体" w:hAnsi="宋体" w:eastAsia="宋体" w:cs="宋体"/>
          <w:color w:val="auto"/>
          <w:spacing w:val="-1"/>
          <w:highlight w:val="none"/>
        </w:rPr>
        <w:t>已经提交响应文件的供应商，在提交最后报价之前，如有变动磋商文件中的其他内容</w:t>
      </w:r>
      <w:r>
        <w:rPr>
          <w:rFonts w:ascii="宋体" w:hAnsi="宋体" w:cs="宋体"/>
          <w:color w:val="auto"/>
          <w:spacing w:val="-1"/>
          <w:highlight w:val="none"/>
        </w:rPr>
        <w:t>可以根据磋商情况退出磋商，否则采购人、采购代理机构将退还退出磋商的供应商的保证金。</w:t>
      </w:r>
    </w:p>
    <w:p>
      <w:pPr>
        <w:spacing w:after="0" w:line="360" w:lineRule="auto"/>
        <w:ind w:left="135" w:firstLine="420"/>
        <w:rPr>
          <w:color w:val="auto"/>
          <w:highlight w:val="none"/>
        </w:rPr>
      </w:pPr>
      <w:r>
        <w:rPr>
          <w:rFonts w:ascii="宋体" w:hAnsi="宋体" w:cs="宋体"/>
          <w:color w:val="auto"/>
          <w:highlight w:val="none"/>
        </w:rPr>
        <w:t>13.5.5</w:t>
      </w:r>
      <w:r>
        <w:rPr>
          <w:rFonts w:ascii="Calibri" w:hAnsi="Calibri" w:cs="Calibri"/>
          <w:color w:val="auto"/>
          <w:spacing w:val="3"/>
          <w:highlight w:val="none"/>
        </w:rPr>
        <w:t> </w:t>
      </w:r>
      <w:r>
        <w:rPr>
          <w:rFonts w:ascii="宋体" w:hAnsi="宋体" w:eastAsia="宋体" w:cs="宋体"/>
          <w:color w:val="auto"/>
          <w:spacing w:val="-3"/>
          <w:highlight w:val="none"/>
        </w:rPr>
        <w:t>综合评分：经磋商确定最终采购需求和提交最后报价的供应商后，由磋商小组采用综合</w:t>
      </w:r>
      <w:r>
        <w:rPr>
          <w:rFonts w:ascii="宋体" w:hAnsi="宋体" w:cs="宋体"/>
          <w:color w:val="auto"/>
          <w:spacing w:val="-1"/>
          <w:highlight w:val="none"/>
        </w:rPr>
        <w:t>评分法对提交最后报价的供应商的响应文件和最后报价进行综合评分。</w:t>
      </w:r>
    </w:p>
    <w:p>
      <w:pPr>
        <w:spacing w:after="0" w:line="360" w:lineRule="auto"/>
        <w:ind w:left="135" w:firstLine="314"/>
        <w:rPr>
          <w:color w:val="auto"/>
          <w:highlight w:val="none"/>
        </w:rPr>
      </w:pPr>
      <w:r>
        <w:rPr>
          <w:rFonts w:ascii="宋体" w:hAnsi="宋体" w:eastAsia="宋体" w:cs="宋体"/>
          <w:color w:val="auto"/>
          <w:highlight w:val="none"/>
        </w:rPr>
        <w:t>磋商小组应当根据综合评分情况，按照评审得分由高到低顺序推荐</w:t>
      </w:r>
      <w:r>
        <w:rPr>
          <w:rFonts w:ascii="Calibri" w:hAnsi="Calibri" w:cs="Calibri"/>
          <w:color w:val="auto"/>
          <w:spacing w:val="6"/>
          <w:highlight w:val="none"/>
        </w:rPr>
        <w:t> </w:t>
      </w:r>
      <w:r>
        <w:rPr>
          <w:rFonts w:ascii="宋体" w:hAnsi="宋体" w:cs="宋体"/>
          <w:color w:val="auto"/>
          <w:spacing w:val="-1"/>
          <w:highlight w:val="none"/>
        </w:rPr>
        <w:t>3</w:t>
      </w:r>
      <w:r>
        <w:rPr>
          <w:rFonts w:ascii="Calibri" w:hAnsi="Calibri" w:cs="Calibri"/>
          <w:color w:val="auto"/>
          <w:spacing w:val="7"/>
          <w:highlight w:val="none"/>
        </w:rPr>
        <w:t> </w:t>
      </w:r>
      <w:r>
        <w:rPr>
          <w:rFonts w:ascii="宋体" w:hAnsi="宋体" w:eastAsia="宋体" w:cs="宋体"/>
          <w:color w:val="auto"/>
          <w:highlight w:val="none"/>
        </w:rPr>
        <w:t>名成交候选供应商，并</w:t>
      </w:r>
      <w:r>
        <w:rPr>
          <w:rFonts w:ascii="宋体" w:hAnsi="宋体" w:eastAsia="宋体" w:cs="宋体"/>
          <w:color w:val="auto"/>
          <w:spacing w:val="-2"/>
          <w:highlight w:val="none"/>
        </w:rPr>
        <w:t>编</w:t>
      </w:r>
      <w:r>
        <w:rPr>
          <w:rFonts w:ascii="宋体" w:hAnsi="宋体" w:cs="宋体"/>
          <w:color w:val="auto"/>
          <w:highlight w:val="none"/>
        </w:rPr>
        <w:t>写评审报告。符合《政府采购竞争性磋商采购方式管理暂行办法》（财库﹝2014﹞214</w:t>
      </w:r>
      <w:r>
        <w:rPr>
          <w:rFonts w:ascii="Calibri" w:hAnsi="Calibri" w:cs="Calibri"/>
          <w:color w:val="auto"/>
          <w:spacing w:val="3"/>
          <w:highlight w:val="none"/>
        </w:rPr>
        <w:t> </w:t>
      </w:r>
      <w:r>
        <w:rPr>
          <w:rFonts w:ascii="宋体" w:hAnsi="宋体" w:eastAsia="宋体" w:cs="宋体"/>
          <w:color w:val="auto"/>
          <w:highlight w:val="none"/>
        </w:rPr>
        <w:t>号）第二十</w:t>
      </w:r>
      <w:r>
        <w:rPr>
          <w:rFonts w:ascii="宋体" w:hAnsi="宋体" w:cs="宋体"/>
          <w:color w:val="auto"/>
          <w:highlight w:val="none"/>
        </w:rPr>
        <w:t>一条第三款情形和财库〔2015〕124</w:t>
      </w:r>
      <w:r>
        <w:rPr>
          <w:rFonts w:ascii="Calibri" w:hAnsi="Calibri" w:cs="Calibri"/>
          <w:color w:val="auto"/>
          <w:spacing w:val="5"/>
          <w:highlight w:val="none"/>
        </w:rPr>
        <w:t> </w:t>
      </w:r>
      <w:r>
        <w:rPr>
          <w:rFonts w:ascii="宋体" w:hAnsi="宋体" w:eastAsia="宋体" w:cs="宋体"/>
          <w:color w:val="auto"/>
          <w:highlight w:val="none"/>
        </w:rPr>
        <w:t>号的，可以推荐</w:t>
      </w:r>
      <w:r>
        <w:rPr>
          <w:rFonts w:ascii="Calibri" w:hAnsi="Calibri" w:cs="Calibri"/>
          <w:color w:val="auto"/>
          <w:spacing w:val="6"/>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cs="宋体"/>
          <w:color w:val="auto"/>
          <w:highlight w:val="none"/>
        </w:rPr>
        <w:t>家成交候选供应商。评审得分相同的，按照</w:t>
      </w:r>
      <w:r>
        <w:rPr>
          <w:rFonts w:ascii="宋体" w:hAnsi="宋体" w:cs="宋体"/>
          <w:color w:val="auto"/>
          <w:spacing w:val="-1"/>
          <w:highlight w:val="none"/>
        </w:rPr>
        <w:t>最后报价由低到高的顺序推荐。评审得分且最后报价相同的，则按照</w:t>
      </w:r>
      <w:r>
        <w:rPr>
          <w:rFonts w:hint="eastAsia" w:ascii="宋体" w:hAnsi="宋体" w:cs="宋体"/>
          <w:color w:val="auto"/>
          <w:spacing w:val="-1"/>
          <w:highlight w:val="none"/>
        </w:rPr>
        <w:t>监理大纲</w:t>
      </w:r>
      <w:r>
        <w:rPr>
          <w:rFonts w:ascii="宋体" w:hAnsi="宋体" w:cs="宋体"/>
          <w:color w:val="auto"/>
          <w:spacing w:val="-1"/>
          <w:highlight w:val="none"/>
        </w:rPr>
        <w:t>（技术方案）优劣顺序推荐。</w:t>
      </w:r>
    </w:p>
    <w:p>
      <w:pPr>
        <w:spacing w:after="0" w:line="360" w:lineRule="auto"/>
        <w:ind w:left="135" w:firstLine="420"/>
        <w:outlineLvl w:val="0"/>
        <w:rPr>
          <w:color w:val="auto"/>
          <w:highlight w:val="none"/>
        </w:rPr>
      </w:pPr>
      <w:r>
        <w:rPr>
          <w:rFonts w:ascii="宋体" w:hAnsi="宋体" w:cs="宋体"/>
          <w:color w:val="auto"/>
          <w:highlight w:val="none"/>
        </w:rPr>
        <w:t>13.6</w:t>
      </w:r>
      <w:r>
        <w:rPr>
          <w:rFonts w:ascii="Calibri" w:hAnsi="Calibri" w:cs="Calibri"/>
          <w:color w:val="auto"/>
          <w:spacing w:val="3"/>
          <w:highlight w:val="none"/>
        </w:rPr>
        <w:t> </w:t>
      </w:r>
      <w:r>
        <w:rPr>
          <w:rFonts w:ascii="宋体" w:hAnsi="宋体" w:cs="宋体"/>
          <w:color w:val="auto"/>
          <w:spacing w:val="-1"/>
          <w:highlight w:val="none"/>
        </w:rPr>
        <w:t>响应供应商的报价均超过了采购预算，采购人不能支付的，磋商活动终止。</w:t>
      </w:r>
    </w:p>
    <w:p>
      <w:pPr>
        <w:spacing w:after="0" w:line="360" w:lineRule="auto"/>
        <w:ind w:left="135" w:firstLine="420"/>
        <w:outlineLvl w:val="0"/>
        <w:rPr>
          <w:color w:val="auto"/>
          <w:highlight w:val="none"/>
        </w:rPr>
      </w:pPr>
      <w:r>
        <w:rPr>
          <w:rFonts w:ascii="宋体" w:hAnsi="宋体" w:cs="宋体"/>
          <w:color w:val="auto"/>
          <w:highlight w:val="none"/>
        </w:rPr>
        <w:t>13.7</w:t>
      </w:r>
      <w:r>
        <w:rPr>
          <w:rFonts w:ascii="Calibri" w:hAnsi="Calibri" w:cs="Calibri"/>
          <w:color w:val="auto"/>
          <w:spacing w:val="3"/>
          <w:highlight w:val="none"/>
        </w:rPr>
        <w:t> </w:t>
      </w:r>
      <w:r>
        <w:rPr>
          <w:rFonts w:ascii="宋体" w:hAnsi="宋体" w:eastAsia="宋体" w:cs="宋体"/>
          <w:color w:val="auto"/>
          <w:spacing w:val="-3"/>
          <w:highlight w:val="none"/>
        </w:rPr>
        <w:t>在评标过程中出现法律法规和磋商文件均没有明确规定的情形时，由磋商小组现场协商解</w:t>
      </w:r>
      <w:r>
        <w:rPr>
          <w:rFonts w:ascii="宋体" w:hAnsi="宋体" w:cs="宋体"/>
          <w:color w:val="auto"/>
          <w:spacing w:val="-1"/>
          <w:highlight w:val="none"/>
        </w:rPr>
        <w:t>决，协商不一致的，由全体磋商小组投票表决，以得票率半数以上专家的意见为准。</w:t>
      </w:r>
    </w:p>
    <w:p>
      <w:pPr>
        <w:spacing w:after="0" w:line="360" w:lineRule="auto"/>
        <w:ind w:left="135" w:firstLine="420"/>
        <w:outlineLvl w:val="0"/>
        <w:rPr>
          <w:color w:val="auto"/>
          <w:highlight w:val="none"/>
        </w:rPr>
      </w:pPr>
      <w:r>
        <w:rPr>
          <w:rFonts w:ascii="宋体" w:hAnsi="宋体" w:cs="宋体"/>
          <w:color w:val="auto"/>
          <w:highlight w:val="none"/>
        </w:rPr>
        <w:t>13.8</w:t>
      </w:r>
      <w:r>
        <w:rPr>
          <w:rFonts w:ascii="Calibri" w:hAnsi="Calibri" w:cs="Calibri"/>
          <w:color w:val="auto"/>
          <w:spacing w:val="3"/>
          <w:highlight w:val="none"/>
        </w:rPr>
        <w:t> </w:t>
      </w:r>
      <w:r>
        <w:rPr>
          <w:rFonts w:ascii="宋体" w:hAnsi="宋体" w:eastAsia="宋体" w:cs="宋体"/>
          <w:color w:val="auto"/>
          <w:spacing w:val="-1"/>
          <w:highlight w:val="none"/>
        </w:rPr>
        <w:t>特别说明：</w:t>
      </w:r>
    </w:p>
    <w:p>
      <w:pPr>
        <w:spacing w:after="0" w:line="360" w:lineRule="auto"/>
        <w:ind w:left="135" w:firstLine="420"/>
        <w:rPr>
          <w:color w:val="auto"/>
          <w:highlight w:val="none"/>
        </w:rPr>
      </w:pPr>
      <w:r>
        <w:rPr>
          <w:rFonts w:ascii="宋体" w:hAnsi="宋体" w:cs="宋体"/>
          <w:color w:val="auto"/>
          <w:spacing w:val="-1"/>
          <w:highlight w:val="none"/>
        </w:rPr>
        <w:t>1.供应商</w:t>
      </w:r>
      <w:r>
        <w:rPr>
          <w:rFonts w:hint="eastAsia" w:ascii="宋体" w:hAnsi="宋体" w:cs="宋体"/>
          <w:color w:val="auto"/>
          <w:spacing w:val="-1"/>
          <w:highlight w:val="none"/>
        </w:rPr>
        <w:t>磋商</w:t>
      </w:r>
      <w:r>
        <w:rPr>
          <w:rFonts w:ascii="宋体" w:hAnsi="宋体" w:cs="宋体"/>
          <w:color w:val="auto"/>
          <w:spacing w:val="-1"/>
          <w:highlight w:val="none"/>
        </w:rPr>
        <w:t>所使用的资格、信誉、荣誉、业绩与企业认证必须为本法人所拥有（特殊要求除外）。供应商</w:t>
      </w:r>
      <w:r>
        <w:rPr>
          <w:rFonts w:hint="eastAsia" w:ascii="宋体" w:hAnsi="宋体" w:cs="宋体"/>
          <w:color w:val="auto"/>
          <w:spacing w:val="-1"/>
          <w:highlight w:val="none"/>
        </w:rPr>
        <w:t>磋商</w:t>
      </w:r>
      <w:r>
        <w:rPr>
          <w:rFonts w:ascii="宋体" w:hAnsi="宋体" w:cs="宋体"/>
          <w:color w:val="auto"/>
          <w:spacing w:val="-1"/>
          <w:highlight w:val="none"/>
        </w:rPr>
        <w:t>所使用的采购项目实施人员必须为本法人员工（或必须为本法人或控股公司正式员工）。</w:t>
      </w:r>
    </w:p>
    <w:p>
      <w:pPr>
        <w:spacing w:after="0" w:line="360" w:lineRule="auto"/>
        <w:ind w:left="135" w:firstLine="420"/>
        <w:rPr>
          <w:color w:val="auto"/>
          <w:highlight w:val="none"/>
        </w:rPr>
      </w:pPr>
      <w:r>
        <w:rPr>
          <w:rFonts w:ascii="宋体" w:hAnsi="宋体" w:eastAsia="宋体" w:cs="宋体"/>
          <w:color w:val="auto"/>
          <w:spacing w:val="-1"/>
          <w:highlight w:val="none"/>
        </w:rPr>
        <w:t>2.供应商应仔细阅读竞争性磋商文件的所有内容，按照竞争性磋商文件的要求提交响应文件，</w:t>
      </w:r>
      <w:r>
        <w:rPr>
          <w:rFonts w:ascii="宋体" w:hAnsi="宋体" w:cs="宋体"/>
          <w:color w:val="auto"/>
          <w:spacing w:val="-1"/>
          <w:highlight w:val="none"/>
        </w:rPr>
        <w:t>并对所提供的全部资料的真实性承担法律责任。</w:t>
      </w:r>
      <w:bookmarkStart w:id="51" w:name="14"/>
      <w:bookmarkEnd w:id="51"/>
    </w:p>
    <w:p>
      <w:pPr>
        <w:spacing w:after="0" w:line="360" w:lineRule="auto"/>
        <w:ind w:left="135" w:firstLine="420"/>
        <w:rPr>
          <w:color w:val="auto"/>
          <w:highlight w:val="none"/>
        </w:rPr>
      </w:pPr>
      <w:r>
        <w:rPr>
          <w:rFonts w:ascii="宋体" w:hAnsi="宋体" w:eastAsia="宋体" w:cs="宋体"/>
          <w:color w:val="auto"/>
          <w:spacing w:val="-1"/>
          <w:highlight w:val="none"/>
        </w:rPr>
        <w:t>3.供应商在磋商活动中提供任何虚假材料，其磋商无效，并报监管部门查处；成交后发现的，</w:t>
      </w:r>
      <w:r>
        <w:rPr>
          <w:rFonts w:ascii="宋体" w:hAnsi="宋体" w:cs="宋体"/>
          <w:color w:val="auto"/>
          <w:spacing w:val="-4"/>
          <w:highlight w:val="none"/>
        </w:rPr>
        <w:t>成交供应商须依照《中华人民共和国消费者权益保护法》第五十五条第一款之规定三倍赔偿采购人，</w:t>
      </w:r>
      <w:r>
        <w:rPr>
          <w:rFonts w:ascii="宋体" w:hAnsi="宋体" w:cs="宋体"/>
          <w:color w:val="auto"/>
          <w:spacing w:val="-1"/>
          <w:highlight w:val="none"/>
        </w:rPr>
        <w:t>且民事赔偿并不免除违法供应商的行政与刑事责任。</w:t>
      </w:r>
    </w:p>
    <w:p>
      <w:pPr>
        <w:spacing w:after="0" w:line="360" w:lineRule="auto"/>
        <w:ind w:left="135" w:firstLine="420"/>
        <w:rPr>
          <w:color w:val="auto"/>
          <w:highlight w:val="none"/>
        </w:rPr>
      </w:pPr>
      <w:r>
        <w:rPr>
          <w:rFonts w:ascii="宋体" w:hAnsi="宋体" w:cs="宋体"/>
          <w:color w:val="auto"/>
          <w:highlight w:val="none"/>
        </w:rPr>
        <w:t>13.9</w:t>
      </w:r>
      <w:r>
        <w:rPr>
          <w:rFonts w:ascii="Calibri" w:hAnsi="Calibri" w:cs="Calibri"/>
          <w:color w:val="auto"/>
          <w:spacing w:val="3"/>
          <w:highlight w:val="none"/>
        </w:rPr>
        <w:t> </w:t>
      </w:r>
      <w:r>
        <w:rPr>
          <w:rFonts w:ascii="宋体" w:hAnsi="宋体" w:eastAsia="宋体" w:cs="宋体"/>
          <w:color w:val="auto"/>
          <w:spacing w:val="-1"/>
          <w:highlight w:val="none"/>
        </w:rPr>
        <w:t>低于成本报价</w:t>
      </w:r>
    </w:p>
    <w:p>
      <w:pPr>
        <w:spacing w:after="0" w:line="360" w:lineRule="auto"/>
        <w:ind w:left="135" w:firstLine="420"/>
        <w:rPr>
          <w:color w:val="auto"/>
          <w:highlight w:val="none"/>
        </w:rPr>
      </w:pPr>
      <w:r>
        <w:rPr>
          <w:rFonts w:ascii="宋体" w:hAnsi="宋体" w:eastAsia="宋体" w:cs="宋体"/>
          <w:color w:val="auto"/>
          <w:spacing w:val="-1"/>
          <w:highlight w:val="none"/>
        </w:rPr>
        <w:t>磋商小组在评审过程中发现供应商的总报价明显低于其他供应商的总报价或者明显低于采购预算价，有理由怀疑其总报价可能低于其成本的，应当要求该供应商做出书面说明并提供相关证明</w:t>
      </w:r>
      <w:r>
        <w:rPr>
          <w:rFonts w:ascii="宋体" w:hAnsi="宋体" w:cs="宋体"/>
          <w:color w:val="auto"/>
          <w:spacing w:val="-1"/>
          <w:highlight w:val="none"/>
        </w:rPr>
        <w:t>材料。供应商不能合理说明或者不能提供相关证明材料的，视作该供应商以低于成本报价磋商，其磋商无效。</w:t>
      </w:r>
    </w:p>
    <w:p>
      <w:pPr>
        <w:spacing w:after="0" w:line="360" w:lineRule="auto"/>
        <w:ind w:left="135"/>
        <w:rPr>
          <w:color w:val="auto"/>
          <w:highlight w:val="none"/>
        </w:rPr>
      </w:pPr>
      <w:r>
        <w:rPr>
          <w:rFonts w:ascii="宋体" w:hAnsi="宋体" w:cs="宋体"/>
          <w:color w:val="auto"/>
          <w:spacing w:val="-1"/>
          <w:highlight w:val="none"/>
        </w:rPr>
        <w:t>13.10</w:t>
      </w:r>
      <w:r>
        <w:rPr>
          <w:rFonts w:ascii="Calibri" w:hAnsi="Calibri" w:cs="Calibri"/>
          <w:color w:val="auto"/>
          <w:spacing w:val="3"/>
          <w:highlight w:val="none"/>
        </w:rPr>
        <w:t> </w:t>
      </w:r>
      <w:r>
        <w:rPr>
          <w:rFonts w:ascii="宋体" w:hAnsi="宋体" w:cs="宋体"/>
          <w:color w:val="auto"/>
          <w:spacing w:val="-1"/>
          <w:highlight w:val="none"/>
        </w:rPr>
        <w:t>最终磋商结束后，磋商小组不得再与供应商进行任何形式的商谈。</w:t>
      </w:r>
    </w:p>
    <w:p>
      <w:pPr>
        <w:spacing w:after="0" w:line="360" w:lineRule="auto"/>
        <w:ind w:left="135"/>
        <w:rPr>
          <w:color w:val="auto"/>
          <w:highlight w:val="none"/>
        </w:rPr>
      </w:pPr>
      <w:r>
        <w:rPr>
          <w:rFonts w:ascii="宋体" w:hAnsi="宋体" w:cs="宋体"/>
          <w:color w:val="auto"/>
          <w:highlight w:val="none"/>
        </w:rPr>
        <w:t>13.11</w:t>
      </w:r>
      <w:r>
        <w:rPr>
          <w:rFonts w:ascii="Calibri" w:hAnsi="Calibri" w:cs="Calibri"/>
          <w:color w:val="auto"/>
          <w:spacing w:val="3"/>
          <w:highlight w:val="none"/>
        </w:rPr>
        <w:t> </w:t>
      </w:r>
      <w:r>
        <w:rPr>
          <w:rFonts w:ascii="宋体" w:hAnsi="宋体" w:eastAsia="宋体" w:cs="宋体"/>
          <w:color w:val="auto"/>
          <w:highlight w:val="none"/>
        </w:rPr>
        <w:t>供应商有下列情形之一的，磋商保证金将不予退还：</w:t>
      </w:r>
    </w:p>
    <w:p>
      <w:pPr>
        <w:spacing w:after="0" w:line="360" w:lineRule="auto"/>
        <w:ind w:left="135"/>
        <w:rPr>
          <w:color w:val="auto"/>
          <w:highlight w:val="none"/>
        </w:rPr>
      </w:pPr>
      <w:r>
        <w:rPr>
          <w:rFonts w:ascii="宋体" w:hAnsi="宋体" w:eastAsia="宋体" w:cs="宋体"/>
          <w:color w:val="auto"/>
          <w:spacing w:val="-1"/>
          <w:highlight w:val="none"/>
        </w:rPr>
        <w:t>（1）供应商在提交响应文件截止时间后撤回响应文件的；</w:t>
      </w:r>
    </w:p>
    <w:p>
      <w:pPr>
        <w:spacing w:after="0" w:line="360" w:lineRule="auto"/>
        <w:ind w:left="135"/>
        <w:rPr>
          <w:color w:val="auto"/>
          <w:highlight w:val="none"/>
        </w:rPr>
      </w:pPr>
      <w:r>
        <w:rPr>
          <w:rFonts w:ascii="宋体" w:hAnsi="宋体" w:eastAsia="宋体" w:cs="宋体"/>
          <w:color w:val="auto"/>
          <w:spacing w:val="-1"/>
          <w:highlight w:val="none"/>
        </w:rPr>
        <w:t>（2）供应商在响应文件中提供虚假材料的；</w:t>
      </w:r>
    </w:p>
    <w:p>
      <w:pPr>
        <w:spacing w:after="0" w:line="360" w:lineRule="auto"/>
        <w:ind w:left="135"/>
        <w:rPr>
          <w:color w:val="auto"/>
          <w:highlight w:val="none"/>
        </w:rPr>
      </w:pPr>
      <w:r>
        <w:rPr>
          <w:rFonts w:ascii="宋体" w:hAnsi="宋体" w:eastAsia="宋体" w:cs="宋体"/>
          <w:color w:val="auto"/>
          <w:spacing w:val="-1"/>
          <w:highlight w:val="none"/>
        </w:rPr>
        <w:t>（3）除因不可抗力或磋商文件认可的情形以外，成交供应商不与采购人签订合同的；</w:t>
      </w:r>
    </w:p>
    <w:p>
      <w:pPr>
        <w:spacing w:after="0" w:line="360" w:lineRule="auto"/>
        <w:ind w:left="135"/>
        <w:rPr>
          <w:color w:val="auto"/>
          <w:highlight w:val="none"/>
        </w:rPr>
      </w:pPr>
      <w:r>
        <w:rPr>
          <w:rFonts w:ascii="宋体" w:hAnsi="宋体" w:cs="宋体"/>
          <w:color w:val="auto"/>
          <w:spacing w:val="-1"/>
          <w:highlight w:val="none"/>
        </w:rPr>
        <w:t>（4）供应商与采购人、其他供应商或者采购代理机构恶意串通的；</w:t>
      </w:r>
    </w:p>
    <w:p>
      <w:pPr>
        <w:spacing w:after="0" w:line="360" w:lineRule="auto"/>
        <w:ind w:left="135"/>
        <w:rPr>
          <w:color w:val="auto"/>
          <w:highlight w:val="none"/>
        </w:rPr>
      </w:pPr>
      <w:r>
        <w:rPr>
          <w:rFonts w:ascii="宋体" w:hAnsi="宋体" w:cs="宋体"/>
          <w:color w:val="auto"/>
          <w:spacing w:val="-1"/>
          <w:highlight w:val="none"/>
        </w:rPr>
        <w:t>（5）磋商文件规定的其他情形。</w:t>
      </w:r>
    </w:p>
    <w:p>
      <w:pPr>
        <w:spacing w:after="0" w:line="360" w:lineRule="auto"/>
        <w:ind w:left="135"/>
        <w:outlineLvl w:val="0"/>
        <w:rPr>
          <w:color w:val="auto"/>
          <w:highlight w:val="none"/>
        </w:rPr>
      </w:pPr>
      <w:r>
        <w:rPr>
          <w:rFonts w:ascii="宋体" w:hAnsi="宋体" w:cs="宋体"/>
          <w:color w:val="auto"/>
          <w:highlight w:val="none"/>
        </w:rPr>
        <w:t>六、确定成交供应商办法及结果公告</w:t>
      </w:r>
    </w:p>
    <w:p>
      <w:pPr>
        <w:spacing w:after="0" w:line="360" w:lineRule="auto"/>
        <w:ind w:left="135"/>
        <w:rPr>
          <w:color w:val="auto"/>
          <w:highlight w:val="none"/>
        </w:rPr>
      </w:pPr>
      <w:r>
        <w:rPr>
          <w:rFonts w:ascii="宋体" w:hAnsi="宋体" w:cs="宋体"/>
          <w:color w:val="auto"/>
          <w:highlight w:val="none"/>
        </w:rPr>
        <w:t>14.1</w:t>
      </w:r>
      <w:r>
        <w:rPr>
          <w:rFonts w:ascii="Calibri" w:hAnsi="Calibri" w:cs="Calibri"/>
          <w:color w:val="auto"/>
          <w:w w:val="250"/>
          <w:highlight w:val="none"/>
        </w:rPr>
        <w:t> </w:t>
      </w:r>
      <w:r>
        <w:rPr>
          <w:rFonts w:ascii="宋体" w:hAnsi="宋体" w:eastAsia="宋体" w:cs="宋体"/>
          <w:color w:val="auto"/>
          <w:highlight w:val="none"/>
        </w:rPr>
        <w:t>采购代理机构应当在评审结束后</w:t>
      </w:r>
      <w:r>
        <w:rPr>
          <w:rFonts w:ascii="Calibri" w:hAnsi="Calibri" w:cs="Calibri"/>
          <w:color w:val="auto"/>
          <w:spacing w:val="6"/>
          <w:highlight w:val="none"/>
        </w:rPr>
        <w:t> </w:t>
      </w:r>
      <w:r>
        <w:rPr>
          <w:rFonts w:ascii="宋体" w:hAnsi="宋体" w:cs="宋体"/>
          <w:color w:val="auto"/>
          <w:spacing w:val="-1"/>
          <w:highlight w:val="none"/>
        </w:rPr>
        <w:t>2</w:t>
      </w:r>
      <w:r>
        <w:rPr>
          <w:rFonts w:ascii="Calibri" w:hAnsi="Calibri" w:cs="Calibri"/>
          <w:color w:val="auto"/>
          <w:spacing w:val="5"/>
          <w:highlight w:val="none"/>
        </w:rPr>
        <w:t> </w:t>
      </w:r>
      <w:r>
        <w:rPr>
          <w:rFonts w:ascii="宋体" w:hAnsi="宋体" w:cs="宋体"/>
          <w:color w:val="auto"/>
          <w:highlight w:val="none"/>
        </w:rPr>
        <w:t>个工作日内将评审报告送采购人确认。采购人应当在收到</w:t>
      </w:r>
      <w:r>
        <w:rPr>
          <w:rFonts w:ascii="宋体" w:hAnsi="宋体" w:eastAsia="宋体" w:cs="宋体"/>
          <w:color w:val="auto"/>
          <w:spacing w:val="-1"/>
          <w:highlight w:val="none"/>
        </w:rPr>
        <w:t>评审报告后</w:t>
      </w:r>
      <w:r>
        <w:rPr>
          <w:rFonts w:ascii="Calibri" w:hAnsi="Calibri" w:cs="Calibri"/>
          <w:color w:val="auto"/>
          <w:spacing w:val="4"/>
          <w:highlight w:val="none"/>
        </w:rPr>
        <w:t> </w:t>
      </w:r>
      <w:r>
        <w:rPr>
          <w:rFonts w:ascii="宋体" w:hAnsi="宋体" w:cs="宋体"/>
          <w:color w:val="auto"/>
          <w:spacing w:val="-1"/>
          <w:highlight w:val="none"/>
        </w:rPr>
        <w:t>5</w:t>
      </w:r>
      <w:r>
        <w:rPr>
          <w:rFonts w:ascii="Calibri" w:hAnsi="Calibri" w:cs="Calibri"/>
          <w:color w:val="auto"/>
          <w:spacing w:val="5"/>
          <w:highlight w:val="none"/>
        </w:rPr>
        <w:t> </w:t>
      </w:r>
      <w:r>
        <w:rPr>
          <w:rFonts w:ascii="宋体" w:hAnsi="宋体" w:eastAsia="宋体" w:cs="宋体"/>
          <w:color w:val="auto"/>
          <w:spacing w:val="-1"/>
          <w:highlight w:val="none"/>
        </w:rPr>
        <w:t>个工作日，从评审报告提出的成交候选供应商中，按照排序由高到低的原则确定成交</w:t>
      </w:r>
      <w:r>
        <w:rPr>
          <w:rFonts w:ascii="宋体" w:hAnsi="宋体" w:cs="宋体"/>
          <w:color w:val="auto"/>
          <w:spacing w:val="-1"/>
          <w:highlight w:val="none"/>
        </w:rPr>
        <w:t>供应商，也可以书面授权磋商小组直接确定成交供应商。采购人逾期未确定成交供应商且不提出异议的，视为确定评审报告提出的排序第一的供应商为成交供应商。</w:t>
      </w:r>
    </w:p>
    <w:p>
      <w:pPr>
        <w:spacing w:after="0" w:line="360" w:lineRule="auto"/>
        <w:ind w:left="135"/>
        <w:outlineLvl w:val="0"/>
        <w:rPr>
          <w:color w:val="auto"/>
          <w:highlight w:val="none"/>
        </w:rPr>
      </w:pPr>
      <w:r>
        <w:rPr>
          <w:rFonts w:ascii="宋体" w:hAnsi="宋体" w:cs="宋体"/>
          <w:color w:val="auto"/>
          <w:highlight w:val="none"/>
        </w:rPr>
        <w:t>14.2</w:t>
      </w:r>
      <w:r>
        <w:rPr>
          <w:rFonts w:ascii="Calibri" w:hAnsi="Calibri" w:cs="Calibri"/>
          <w:color w:val="auto"/>
          <w:spacing w:val="3"/>
          <w:highlight w:val="none"/>
        </w:rPr>
        <w:t> </w:t>
      </w:r>
      <w:r>
        <w:rPr>
          <w:rFonts w:ascii="宋体" w:hAnsi="宋体" w:eastAsia="宋体" w:cs="宋体"/>
          <w:color w:val="auto"/>
          <w:spacing w:val="-1"/>
          <w:highlight w:val="none"/>
        </w:rPr>
        <w:t>采购代理机构应当在成交供应商确定后</w:t>
      </w:r>
      <w:r>
        <w:rPr>
          <w:rFonts w:ascii="Calibri" w:hAnsi="Calibri" w:cs="Calibri"/>
          <w:color w:val="auto"/>
          <w:spacing w:val="4"/>
          <w:highlight w:val="none"/>
        </w:rPr>
        <w:t> </w:t>
      </w:r>
      <w:r>
        <w:rPr>
          <w:rFonts w:ascii="宋体" w:hAnsi="宋体" w:cs="宋体"/>
          <w:color w:val="auto"/>
          <w:spacing w:val="-1"/>
          <w:highlight w:val="none"/>
        </w:rPr>
        <w:t>2</w:t>
      </w:r>
      <w:r>
        <w:rPr>
          <w:rFonts w:ascii="Calibri" w:hAnsi="Calibri" w:cs="Calibri"/>
          <w:color w:val="auto"/>
          <w:spacing w:val="5"/>
          <w:highlight w:val="none"/>
        </w:rPr>
        <w:t> </w:t>
      </w:r>
      <w:r>
        <w:rPr>
          <w:rFonts w:ascii="宋体" w:hAnsi="宋体" w:eastAsia="宋体" w:cs="宋体"/>
          <w:color w:val="auto"/>
          <w:spacing w:val="-4"/>
          <w:highlight w:val="none"/>
        </w:rPr>
        <w:t>个工作日内，在竞争性磋商公告发布媒体上公告成交</w:t>
      </w:r>
      <w:r>
        <w:rPr>
          <w:rFonts w:ascii="宋体" w:hAnsi="宋体" w:cs="宋体"/>
          <w:color w:val="auto"/>
          <w:spacing w:val="-1"/>
          <w:highlight w:val="none"/>
        </w:rPr>
        <w:t>结果，同时向成交供应商发出成交通知书。</w:t>
      </w:r>
    </w:p>
    <w:p>
      <w:pPr>
        <w:spacing w:after="0" w:line="360" w:lineRule="auto"/>
        <w:ind w:left="135"/>
        <w:outlineLvl w:val="0"/>
        <w:rPr>
          <w:rFonts w:hint="eastAsia" w:ascii="宋体" w:hAnsi="宋体" w:cs="宋体"/>
          <w:color w:val="auto"/>
          <w:highlight w:val="none"/>
          <w:lang w:val="en-US" w:eastAsia="zh-CN"/>
        </w:rPr>
      </w:pPr>
      <w:r>
        <w:rPr>
          <w:rFonts w:ascii="宋体" w:hAnsi="宋体" w:cs="宋体"/>
          <w:color w:val="auto"/>
          <w:highlight w:val="none"/>
        </w:rPr>
        <w:t>七、</w:t>
      </w:r>
      <w:r>
        <w:rPr>
          <w:rFonts w:hint="eastAsia" w:ascii="宋体" w:hAnsi="宋体" w:cs="宋体"/>
          <w:color w:val="auto"/>
          <w:highlight w:val="none"/>
          <w:lang w:val="en-US" w:eastAsia="zh-CN"/>
        </w:rPr>
        <w:t>询问、质疑和投诉</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15.1 供应商对政府采购活动事项有疑问的，可以向采购人、采购代理机构提出询问。</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15.2 供应商认为采购文件、采购过程或成交结果使自己的合法权益受到损害的，应当在知道或者应知其权益受到损害之日起七个工作日内，以书面形式向采购人、采购代理机构提出质疑。具体计算时间如下：</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（1）对可以质疑的采购文件提出质疑的，为收到采购文件之日；</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（2）对采购过程提出质疑的，为各采购程序环节结束之日；</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（3）对成交结果提出质疑的，为成交结果公告期限届满之日。</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供应商对采购人或采购代理机构的质疑答复不满意或者采购人或采购代理机构未在规定时间内作出答复的，可以在答复期满后十五个工作日内向同级采购监管部门投诉。</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15.3 质疑、投诉应当采用书面形式，质疑书、投诉书均应明确阐述采购文件、采购过程、成交结果中使自己合法权益受到损害的实质性内容，提供相关事实、明确的请求、必要的证明材料，便于有关单位调查、答复和处理。</w:t>
      </w:r>
    </w:p>
    <w:p>
      <w:pPr>
        <w:spacing w:after="0" w:line="360" w:lineRule="auto"/>
        <w:ind w:left="135"/>
        <w:outlineLvl w:val="0"/>
        <w:rPr>
          <w:rFonts w:hint="eastAsia" w:ascii="宋体" w:hAnsi="宋体" w:cs="宋体"/>
          <w:color w:val="auto"/>
          <w:highlight w:val="none"/>
          <w:lang w:val="en-US" w:eastAsia="zh-CN"/>
        </w:rPr>
      </w:pPr>
      <w:r>
        <w:rPr>
          <w:rFonts w:hint="eastAsia" w:ascii="宋体" w:hAnsi="宋体" w:cs="宋体"/>
          <w:color w:val="auto"/>
          <w:highlight w:val="none"/>
          <w:lang w:val="en-US" w:eastAsia="zh-CN"/>
        </w:rPr>
        <w:t>供应商提出质疑应当提交质疑函和必要的证明材料，针对同一采购程序环节的质疑必须在法定质疑期内一次性提出。且其质疑行为和质疑函内容应当符合《政府采购质疑和投诉办法》（中华人民共和国财政部令第 94 号）规定。</w:t>
      </w:r>
    </w:p>
    <w:p>
      <w:pPr>
        <w:spacing w:after="0" w:line="360" w:lineRule="auto"/>
        <w:ind w:left="135"/>
        <w:outlineLvl w:val="0"/>
        <w:rPr>
          <w:color w:val="auto"/>
          <w:highlight w:val="none"/>
        </w:rPr>
      </w:pPr>
      <w:r>
        <w:rPr>
          <w:rFonts w:hint="eastAsia" w:ascii="宋体" w:hAnsi="宋体" w:cs="宋体"/>
          <w:color w:val="auto"/>
          <w:highlight w:val="none"/>
          <w:lang w:val="en-US" w:eastAsia="zh-CN"/>
        </w:rPr>
        <w:t>八、</w:t>
      </w:r>
      <w:r>
        <w:rPr>
          <w:rFonts w:ascii="宋体" w:hAnsi="宋体" w:cs="宋体"/>
          <w:color w:val="auto"/>
          <w:highlight w:val="none"/>
        </w:rPr>
        <w:t>履约保证金</w:t>
      </w:r>
    </w:p>
    <w:p>
      <w:pPr>
        <w:spacing w:after="0" w:line="360" w:lineRule="auto"/>
        <w:ind w:left="135" w:firstLine="420"/>
        <w:rPr>
          <w:color w:val="auto"/>
          <w:highlight w:val="none"/>
        </w:rPr>
      </w:pPr>
      <w:r>
        <w:rPr>
          <w:rFonts w:ascii="宋体" w:hAnsi="宋体" w:cs="宋体"/>
          <w:color w:val="auto"/>
          <w:highlight w:val="none"/>
        </w:rPr>
        <w:t>无。</w:t>
      </w:r>
    </w:p>
    <w:p>
      <w:pPr>
        <w:spacing w:after="0" w:line="360" w:lineRule="auto"/>
        <w:ind w:left="135"/>
        <w:outlineLvl w:val="0"/>
        <w:rPr>
          <w:color w:val="auto"/>
          <w:highlight w:val="none"/>
        </w:rPr>
      </w:pPr>
      <w:r>
        <w:rPr>
          <w:rFonts w:hint="eastAsia" w:ascii="宋体" w:hAnsi="宋体" w:cs="宋体"/>
          <w:color w:val="auto"/>
          <w:highlight w:val="none"/>
          <w:lang w:val="en-US" w:eastAsia="zh-CN"/>
        </w:rPr>
        <w:t>九</w:t>
      </w:r>
      <w:r>
        <w:rPr>
          <w:rFonts w:ascii="宋体" w:hAnsi="宋体" w:cs="宋体"/>
          <w:color w:val="auto"/>
          <w:highlight w:val="none"/>
        </w:rPr>
        <w:t>、签订合同</w:t>
      </w:r>
    </w:p>
    <w:p>
      <w:pPr>
        <w:spacing w:after="0" w:line="360" w:lineRule="auto"/>
        <w:ind w:left="135"/>
        <w:rPr>
          <w:rFonts w:hint="eastAsia" w:ascii="Calibri" w:hAnsi="Calibri" w:cs="Calibri"/>
          <w:color w:val="auto"/>
          <w:spacing w:val="3"/>
          <w:highlight w:val="none"/>
          <w:lang w:val="en-US" w:eastAsia="zh-CN"/>
        </w:rPr>
      </w:pPr>
      <w:r>
        <w:rPr>
          <w:rFonts w:ascii="宋体" w:hAnsi="宋体" w:cs="宋体"/>
          <w:color w:val="auto"/>
          <w:highlight w:val="none"/>
        </w:rPr>
        <w:t>16.1</w:t>
      </w:r>
      <w:r>
        <w:rPr>
          <w:rFonts w:ascii="Calibri" w:hAnsi="Calibri" w:cs="Calibri"/>
          <w:color w:val="auto"/>
          <w:spacing w:val="3"/>
          <w:highlight w:val="none"/>
        </w:rPr>
        <w:t> </w:t>
      </w:r>
      <w:r>
        <w:rPr>
          <w:rFonts w:hint="eastAsia" w:ascii="Calibri" w:hAnsi="Calibri" w:cs="Calibri"/>
          <w:color w:val="auto"/>
          <w:spacing w:val="3"/>
          <w:highlight w:val="none"/>
          <w:lang w:val="en-US" w:eastAsia="zh-CN"/>
        </w:rPr>
        <w:t>合同签订时间：自成交通知书发出之日起14天内。</w:t>
      </w:r>
    </w:p>
    <w:p>
      <w:pPr>
        <w:spacing w:after="0" w:line="360" w:lineRule="auto"/>
        <w:ind w:left="135"/>
        <w:rPr>
          <w:rFonts w:ascii="宋体" w:hAnsi="宋体" w:cs="宋体"/>
          <w:color w:val="auto"/>
          <w:highlight w:val="none"/>
        </w:rPr>
      </w:pPr>
      <w:r>
        <w:rPr>
          <w:rFonts w:hint="eastAsia" w:ascii="宋体" w:hAnsi="宋体" w:cs="宋体"/>
          <w:color w:val="auto"/>
          <w:highlight w:val="none"/>
          <w:lang w:val="en-US" w:eastAsia="zh-CN"/>
        </w:rPr>
        <w:t>16.2</w:t>
      </w:r>
      <w:r>
        <w:rPr>
          <w:rFonts w:ascii="宋体" w:hAnsi="宋体" w:cs="宋体"/>
          <w:color w:val="auto"/>
          <w:highlight w:val="none"/>
        </w:rPr>
        <w:t>成交供应商在收到成交通知书后，按规定与采购人签订采购合同。</w:t>
      </w:r>
    </w:p>
    <w:p>
      <w:pPr>
        <w:spacing w:after="0" w:line="360" w:lineRule="auto"/>
        <w:ind w:left="135"/>
        <w:outlineLvl w:val="0"/>
        <w:rPr>
          <w:color w:val="auto"/>
          <w:highlight w:val="none"/>
        </w:rPr>
      </w:pPr>
      <w:r>
        <w:rPr>
          <w:rFonts w:ascii="宋体" w:hAnsi="宋体" w:cs="宋体"/>
          <w:color w:val="auto"/>
          <w:highlight w:val="none"/>
        </w:rPr>
        <w:t>16.</w:t>
      </w:r>
      <w:r>
        <w:rPr>
          <w:rFonts w:hint="eastAsia" w:ascii="宋体" w:hAnsi="宋体" w:cs="宋体"/>
          <w:color w:val="auto"/>
          <w:highlight w:val="none"/>
          <w:lang w:val="en-US" w:eastAsia="zh-CN"/>
        </w:rPr>
        <w:t>3</w:t>
      </w:r>
      <w:r>
        <w:rPr>
          <w:rFonts w:ascii="Calibri" w:hAnsi="Calibri" w:cs="Calibri"/>
          <w:color w:val="auto"/>
          <w:spacing w:val="3"/>
          <w:highlight w:val="none"/>
        </w:rPr>
        <w:t> </w:t>
      </w:r>
      <w:r>
        <w:rPr>
          <w:rFonts w:ascii="宋体" w:hAnsi="宋体" w:eastAsia="宋体" w:cs="宋体"/>
          <w:color w:val="auto"/>
          <w:spacing w:val="-3"/>
          <w:highlight w:val="none"/>
        </w:rPr>
        <w:t>成交供应商拒绝签订采购合同的，采购人可以按本项目确定成交供应商办法确定其他供应商作</w:t>
      </w:r>
      <w:r>
        <w:rPr>
          <w:rFonts w:ascii="宋体" w:hAnsi="宋体" w:cs="宋体"/>
          <w:color w:val="auto"/>
          <w:spacing w:val="-1"/>
          <w:highlight w:val="none"/>
        </w:rPr>
        <w:t>为成交供应商并签订采购合同，也可以重新开展采购活动。拒绝签订采购合同的成交供应商不得参加对该项目重新开展的采购活动。</w:t>
      </w:r>
      <w:bookmarkStart w:id="52" w:name="15"/>
      <w:bookmarkEnd w:id="52"/>
    </w:p>
    <w:p>
      <w:pPr>
        <w:spacing w:after="0" w:line="360" w:lineRule="auto"/>
        <w:ind w:left="60"/>
        <w:outlineLvl w:val="0"/>
        <w:rPr>
          <w:color w:val="auto"/>
          <w:highlight w:val="none"/>
        </w:rPr>
      </w:pPr>
      <w:r>
        <w:rPr>
          <w:rFonts w:hint="eastAsia" w:ascii="宋体" w:hAnsi="宋体" w:cs="宋体"/>
          <w:color w:val="auto"/>
          <w:highlight w:val="none"/>
          <w:lang w:val="en-US" w:eastAsia="zh-CN"/>
        </w:rPr>
        <w:t>十</w:t>
      </w:r>
      <w:r>
        <w:rPr>
          <w:rFonts w:ascii="宋体" w:hAnsi="宋体" w:cs="宋体"/>
          <w:color w:val="auto"/>
          <w:highlight w:val="none"/>
        </w:rPr>
        <w:t>、政府采购合同公告</w:t>
      </w:r>
    </w:p>
    <w:p>
      <w:pPr>
        <w:spacing w:after="0" w:line="360" w:lineRule="auto"/>
        <w:ind w:left="60"/>
        <w:rPr>
          <w:color w:val="auto"/>
          <w:highlight w:val="none"/>
        </w:rPr>
      </w:pPr>
      <w:r>
        <w:rPr>
          <w:rFonts w:ascii="宋体" w:hAnsi="宋体" w:cs="宋体"/>
          <w:color w:val="auto"/>
          <w:highlight w:val="none"/>
        </w:rPr>
        <w:t>17.1</w:t>
      </w:r>
      <w:r>
        <w:rPr>
          <w:rFonts w:ascii="Calibri" w:hAnsi="Calibri" w:cs="Calibri"/>
          <w:color w:val="auto"/>
          <w:spacing w:val="3"/>
          <w:highlight w:val="none"/>
        </w:rPr>
        <w:t> </w:t>
      </w:r>
      <w:r>
        <w:rPr>
          <w:rFonts w:ascii="宋体" w:hAnsi="宋体" w:cs="宋体"/>
          <w:color w:val="auto"/>
          <w:spacing w:val="-3"/>
          <w:highlight w:val="none"/>
        </w:rPr>
        <w:t>根据《中华人民共和国政府采购法实施条例》第五十条规定，采购人应当自政府采购合同签订</w:t>
      </w:r>
      <w:r>
        <w:rPr>
          <w:rFonts w:ascii="宋体" w:hAnsi="宋体" w:eastAsia="宋体" w:cs="宋体"/>
          <w:color w:val="auto"/>
          <w:spacing w:val="-1"/>
          <w:highlight w:val="none"/>
        </w:rPr>
        <w:t>之日起</w:t>
      </w:r>
      <w:r>
        <w:rPr>
          <w:rFonts w:ascii="Calibri" w:hAnsi="Calibri" w:cs="Calibri"/>
          <w:color w:val="auto"/>
          <w:spacing w:val="4"/>
          <w:highlight w:val="none"/>
        </w:rPr>
        <w:t> </w:t>
      </w:r>
      <w:r>
        <w:rPr>
          <w:rFonts w:ascii="宋体" w:hAnsi="宋体" w:cs="宋体"/>
          <w:color w:val="auto"/>
          <w:spacing w:val="-1"/>
          <w:highlight w:val="none"/>
        </w:rPr>
        <w:t>2</w:t>
      </w:r>
      <w:r>
        <w:rPr>
          <w:rFonts w:ascii="Calibri" w:hAnsi="Calibri" w:cs="Calibri"/>
          <w:color w:val="auto"/>
          <w:spacing w:val="5"/>
          <w:highlight w:val="none"/>
        </w:rPr>
        <w:t> </w:t>
      </w:r>
      <w:r>
        <w:rPr>
          <w:rFonts w:ascii="宋体" w:hAnsi="宋体" w:eastAsia="宋体" w:cs="宋体"/>
          <w:color w:val="auto"/>
          <w:spacing w:val="-1"/>
          <w:highlight w:val="none"/>
        </w:rPr>
        <w:t>个工作日内，将政府采购合同在省级以上人民政府财政部门指定的媒体上公告，但政府采</w:t>
      </w:r>
      <w:r>
        <w:rPr>
          <w:rFonts w:ascii="宋体" w:hAnsi="宋体" w:cs="宋体"/>
          <w:color w:val="auto"/>
          <w:spacing w:val="-1"/>
          <w:highlight w:val="none"/>
        </w:rPr>
        <w:t>购合同中涉及国家秘密、商业秘密的内容除外。</w:t>
      </w:r>
    </w:p>
    <w:p>
      <w:pPr>
        <w:spacing w:after="0" w:line="360" w:lineRule="auto"/>
        <w:ind w:left="60"/>
        <w:rPr>
          <w:color w:val="auto"/>
          <w:highlight w:val="none"/>
        </w:rPr>
      </w:pPr>
      <w:r>
        <w:rPr>
          <w:rFonts w:hint="eastAsia" w:ascii="宋体" w:hAnsi="宋体" w:cs="宋体"/>
          <w:color w:val="auto"/>
          <w:highlight w:val="none"/>
          <w:lang w:val="en-US" w:eastAsia="zh-CN"/>
        </w:rPr>
        <w:t>十一</w:t>
      </w:r>
      <w:r>
        <w:rPr>
          <w:rFonts w:ascii="宋体" w:hAnsi="宋体" w:cs="宋体"/>
          <w:color w:val="auto"/>
          <w:highlight w:val="none"/>
        </w:rPr>
        <w:t>、适用法律</w:t>
      </w:r>
    </w:p>
    <w:p>
      <w:pPr>
        <w:spacing w:after="0" w:line="360" w:lineRule="auto"/>
        <w:ind w:left="60"/>
        <w:rPr>
          <w:color w:val="auto"/>
          <w:highlight w:val="none"/>
        </w:rPr>
      </w:pPr>
      <w:r>
        <w:rPr>
          <w:rFonts w:ascii="宋体" w:hAnsi="宋体" w:cs="宋体"/>
          <w:color w:val="auto"/>
          <w:highlight w:val="none"/>
        </w:rPr>
        <w:t>18.</w:t>
      </w:r>
      <w:r>
        <w:rPr>
          <w:rFonts w:ascii="Calibri" w:hAnsi="Calibri" w:cs="Calibri"/>
          <w:color w:val="auto"/>
          <w:w w:val="219"/>
          <w:highlight w:val="none"/>
        </w:rPr>
        <w:t> </w:t>
      </w:r>
      <w:r>
        <w:rPr>
          <w:rFonts w:ascii="宋体" w:hAnsi="宋体" w:cs="宋体"/>
          <w:color w:val="auto"/>
          <w:spacing w:val="-1"/>
          <w:highlight w:val="none"/>
        </w:rPr>
        <w:t>采购当事人的一切活动均适用于《中华人民共和国政府采购法》、《中华人民共和国政府合同法》、《政府采购竞争性磋商采购方式管理暂行办法》及相关规定。</w:t>
      </w:r>
    </w:p>
    <w:p>
      <w:pPr>
        <w:spacing w:after="0" w:line="360" w:lineRule="auto"/>
        <w:ind w:left="60"/>
        <w:rPr>
          <w:color w:val="auto"/>
          <w:highlight w:val="none"/>
        </w:rPr>
      </w:pPr>
      <w:r>
        <w:rPr>
          <w:rFonts w:ascii="宋体" w:hAnsi="宋体" w:cs="宋体"/>
          <w:color w:val="auto"/>
          <w:highlight w:val="none"/>
        </w:rPr>
        <w:t>十</w:t>
      </w:r>
      <w:r>
        <w:rPr>
          <w:rFonts w:hint="eastAsia" w:ascii="宋体" w:hAnsi="宋体" w:cs="宋体"/>
          <w:color w:val="auto"/>
          <w:highlight w:val="none"/>
          <w:lang w:val="en-US" w:eastAsia="zh-CN"/>
        </w:rPr>
        <w:t>二</w:t>
      </w:r>
      <w:r>
        <w:rPr>
          <w:rFonts w:ascii="宋体" w:hAnsi="宋体" w:cs="宋体"/>
          <w:color w:val="auto"/>
          <w:highlight w:val="none"/>
        </w:rPr>
        <w:t>、其他事项</w:t>
      </w:r>
    </w:p>
    <w:p>
      <w:pPr>
        <w:spacing w:after="0" w:line="360" w:lineRule="auto"/>
        <w:ind w:left="60"/>
        <w:outlineLvl w:val="0"/>
        <w:rPr>
          <w:color w:val="auto"/>
          <w:highlight w:val="none"/>
        </w:rPr>
      </w:pPr>
      <w:r>
        <w:rPr>
          <w:rFonts w:hint="eastAsia" w:ascii="宋体" w:hAnsi="宋体" w:cs="宋体"/>
          <w:color w:val="auto"/>
          <w:highlight w:val="none"/>
        </w:rPr>
        <w:t>1</w:t>
      </w:r>
      <w:r>
        <w:rPr>
          <w:rFonts w:ascii="宋体" w:hAnsi="宋体" w:cs="宋体"/>
          <w:color w:val="auto"/>
          <w:highlight w:val="none"/>
        </w:rPr>
        <w:t>9.1 </w:t>
      </w:r>
      <w:r>
        <w:rPr>
          <w:rFonts w:ascii="宋体" w:hAnsi="宋体" w:cs="宋体"/>
          <w:color w:val="auto"/>
          <w:spacing w:val="-1"/>
          <w:position w:val="3"/>
          <w:highlight w:val="none"/>
        </w:rPr>
        <w:t>签订合同前，成交供应商须向本中心一次付清成交服务费。</w:t>
      </w:r>
    </w:p>
    <w:p>
      <w:pPr>
        <w:spacing w:after="0" w:line="360" w:lineRule="auto"/>
        <w:ind w:left="60" w:firstLine="209"/>
        <w:rPr>
          <w:color w:val="auto"/>
          <w:highlight w:val="none"/>
        </w:rPr>
      </w:pPr>
      <w:r>
        <w:rPr>
          <w:rFonts w:ascii="宋体" w:hAnsi="宋体" w:cs="宋体"/>
          <w:color w:val="auto"/>
          <w:highlight w:val="none"/>
        </w:rPr>
        <w:t>本项目的招标代理服务费按发改价格〔2015〕299</w:t>
      </w:r>
      <w:r>
        <w:rPr>
          <w:rFonts w:ascii="Calibri" w:hAnsi="Calibri" w:cs="Calibri"/>
          <w:color w:val="auto"/>
          <w:spacing w:val="5"/>
          <w:highlight w:val="none"/>
        </w:rPr>
        <w:t> </w:t>
      </w:r>
      <w:r>
        <w:rPr>
          <w:rFonts w:ascii="宋体" w:hAnsi="宋体" w:cs="宋体"/>
          <w:color w:val="auto"/>
          <w:highlight w:val="none"/>
        </w:rPr>
        <w:t>号文执行，金额为</w:t>
      </w:r>
      <w:r>
        <w:rPr>
          <w:rFonts w:hint="eastAsia" w:ascii="宋体" w:hAnsi="宋体" w:cs="宋体"/>
          <w:color w:val="auto"/>
          <w:highlight w:val="none"/>
        </w:rPr>
        <w:t>人民币</w:t>
      </w:r>
      <w:r>
        <w:rPr>
          <w:rFonts w:hint="eastAsia" w:ascii="宋体" w:hAnsi="宋体" w:cs="宋体"/>
          <w:color w:val="auto"/>
          <w:highlight w:val="none"/>
          <w:lang w:eastAsia="zh-CN"/>
        </w:rPr>
        <w:t>壹万贰仟元整</w:t>
      </w:r>
      <w:r>
        <w:rPr>
          <w:rFonts w:hint="eastAsia" w:ascii="宋体" w:hAnsi="宋体" w:cs="宋体"/>
          <w:color w:val="auto"/>
          <w:highlight w:val="none"/>
        </w:rPr>
        <w:t>（¥</w:t>
      </w:r>
      <w:r>
        <w:rPr>
          <w:rFonts w:hint="eastAsia" w:ascii="宋体" w:hAnsi="宋体" w:cs="宋体"/>
          <w:color w:val="auto"/>
          <w:highlight w:val="none"/>
          <w:lang w:eastAsia="zh-CN"/>
        </w:rPr>
        <w:t>12000.00</w:t>
      </w:r>
      <w:r>
        <w:rPr>
          <w:rFonts w:hint="eastAsia" w:ascii="宋体" w:hAnsi="宋体" w:cs="宋体"/>
          <w:color w:val="auto"/>
          <w:highlight w:val="none"/>
        </w:rPr>
        <w:t>）</w:t>
      </w:r>
      <w:r>
        <w:rPr>
          <w:rFonts w:ascii="宋体" w:hAnsi="宋体" w:cs="宋体"/>
          <w:color w:val="auto"/>
          <w:highlight w:val="none"/>
        </w:rPr>
        <w:t>。方式为由成交人向采购代理机构支付。领取成交通知书前，成交人应向</w:t>
      </w:r>
      <w:r>
        <w:rPr>
          <w:rFonts w:ascii="宋体" w:hAnsi="宋体" w:cs="宋体"/>
          <w:color w:val="auto"/>
          <w:spacing w:val="-1"/>
          <w:highlight w:val="none"/>
        </w:rPr>
        <w:t>采购代理机构一次付清采购代理服务费。否则，采购代理机构将视之为违约，取消该成交决定并对成交人已提交的全部</w:t>
      </w:r>
      <w:r>
        <w:rPr>
          <w:rFonts w:hint="eastAsia" w:ascii="宋体" w:hAnsi="宋体" w:cs="宋体"/>
          <w:color w:val="auto"/>
          <w:spacing w:val="-1"/>
          <w:highlight w:val="none"/>
        </w:rPr>
        <w:t>磋商</w:t>
      </w:r>
      <w:r>
        <w:rPr>
          <w:rFonts w:ascii="宋体" w:hAnsi="宋体" w:cs="宋体"/>
          <w:color w:val="auto"/>
          <w:spacing w:val="-1"/>
          <w:highlight w:val="none"/>
        </w:rPr>
        <w:t>保证金不予退还。</w:t>
      </w:r>
    </w:p>
    <w:p>
      <w:pPr>
        <w:spacing w:after="0" w:line="360" w:lineRule="auto"/>
        <w:ind w:left="60"/>
        <w:rPr>
          <w:color w:val="auto"/>
          <w:highlight w:val="none"/>
        </w:rPr>
      </w:pPr>
      <w:r>
        <w:rPr>
          <w:rFonts w:ascii="宋体" w:hAnsi="宋体" w:eastAsia="宋体" w:cs="宋体"/>
          <w:color w:val="auto"/>
          <w:highlight w:val="none"/>
        </w:rPr>
        <w:t>19.2.解释权</w:t>
      </w:r>
    </w:p>
    <w:p>
      <w:pPr>
        <w:spacing w:after="0" w:line="360" w:lineRule="auto"/>
        <w:ind w:left="60" w:firstLine="420"/>
        <w:rPr>
          <w:color w:val="auto"/>
          <w:highlight w:val="none"/>
        </w:rPr>
      </w:pPr>
      <w:r>
        <w:rPr>
          <w:rFonts w:ascii="宋体" w:hAnsi="宋体" w:cs="宋体"/>
          <w:color w:val="auto"/>
          <w:spacing w:val="-1"/>
          <w:highlight w:val="none"/>
        </w:rPr>
        <w:t>解释权属本采购代理机构。</w:t>
      </w:r>
    </w:p>
    <w:p>
      <w:pPr>
        <w:spacing w:after="0" w:line="360" w:lineRule="auto"/>
        <w:ind w:left="60"/>
        <w:outlineLvl w:val="0"/>
        <w:rPr>
          <w:color w:val="auto"/>
          <w:highlight w:val="none"/>
        </w:rPr>
      </w:pPr>
      <w:r>
        <w:rPr>
          <w:rFonts w:ascii="宋体" w:hAnsi="宋体" w:cs="宋体"/>
          <w:color w:val="auto"/>
          <w:highlight w:val="none"/>
        </w:rPr>
        <w:t>19.3</w:t>
      </w:r>
      <w:r>
        <w:rPr>
          <w:rFonts w:ascii="Calibri" w:hAnsi="Calibri" w:cs="Calibri"/>
          <w:color w:val="auto"/>
          <w:spacing w:val="3"/>
          <w:highlight w:val="none"/>
        </w:rPr>
        <w:t> </w:t>
      </w:r>
      <w:r>
        <w:rPr>
          <w:rFonts w:ascii="宋体" w:hAnsi="宋体" w:eastAsia="宋体" w:cs="宋体"/>
          <w:color w:val="auto"/>
          <w:highlight w:val="none"/>
        </w:rPr>
        <w:t>有关事宜</w:t>
      </w:r>
    </w:p>
    <w:p>
      <w:pPr>
        <w:spacing w:after="0" w:line="360" w:lineRule="auto"/>
        <w:ind w:left="60" w:firstLine="420"/>
        <w:rPr>
          <w:color w:val="auto"/>
          <w:highlight w:val="none"/>
        </w:rPr>
      </w:pPr>
      <w:r>
        <w:rPr>
          <w:rFonts w:ascii="宋体" w:hAnsi="宋体" w:eastAsia="宋体" w:cs="宋体"/>
          <w:color w:val="auto"/>
          <w:spacing w:val="-1"/>
          <w:highlight w:val="none"/>
        </w:rPr>
        <w:t>所有与本磋商文件有关的函件请按下列通讯地址联系：</w:t>
      </w:r>
    </w:p>
    <w:p>
      <w:pPr>
        <w:spacing w:after="0" w:line="360" w:lineRule="auto"/>
        <w:ind w:left="60" w:firstLine="629"/>
        <w:rPr>
          <w:rFonts w:hint="eastAsia" w:eastAsia="宋体"/>
          <w:color w:val="auto"/>
          <w:highlight w:val="none"/>
          <w:lang w:eastAsia="zh-CN"/>
        </w:rPr>
      </w:pPr>
      <w:r>
        <w:rPr>
          <w:rFonts w:ascii="宋体" w:hAnsi="宋体" w:eastAsia="宋体" w:cs="宋体"/>
          <w:color w:val="auto"/>
          <w:highlight w:val="none"/>
        </w:rPr>
        <w:t>电话：</w:t>
      </w:r>
      <w:r>
        <w:rPr>
          <w:rFonts w:hint="eastAsia" w:ascii="宋体" w:hAnsi="宋体" w:eastAsia="宋体" w:cs="宋体"/>
          <w:color w:val="auto"/>
          <w:highlight w:val="none"/>
          <w:lang w:eastAsia="zh-CN"/>
        </w:rPr>
        <w:t>0775-4218878</w:t>
      </w:r>
    </w:p>
    <w:p>
      <w:pPr>
        <w:spacing w:after="0" w:line="360" w:lineRule="auto"/>
        <w:ind w:left="60" w:firstLine="629"/>
        <w:rPr>
          <w:rFonts w:hint="eastAsia" w:eastAsia="宋体"/>
          <w:color w:val="auto"/>
          <w:highlight w:val="none"/>
          <w:lang w:eastAsia="zh-CN"/>
        </w:rPr>
      </w:pPr>
      <w:r>
        <w:rPr>
          <w:rFonts w:ascii="宋体" w:hAnsi="宋体" w:eastAsia="宋体" w:cs="宋体"/>
          <w:color w:val="auto"/>
          <w:spacing w:val="-2"/>
          <w:highlight w:val="none"/>
        </w:rPr>
        <w:t>联</w:t>
      </w:r>
      <w:r>
        <w:rPr>
          <w:rFonts w:ascii="Calibri" w:hAnsi="Calibri" w:cs="Calibri"/>
          <w:color w:val="auto"/>
          <w:w w:val="227"/>
          <w:highlight w:val="none"/>
        </w:rPr>
        <w:t> </w:t>
      </w:r>
      <w:r>
        <w:rPr>
          <w:rFonts w:ascii="宋体" w:hAnsi="宋体" w:eastAsia="宋体" w:cs="宋体"/>
          <w:color w:val="auto"/>
          <w:spacing w:val="-2"/>
          <w:highlight w:val="none"/>
        </w:rPr>
        <w:t>系</w:t>
      </w:r>
      <w:r>
        <w:rPr>
          <w:rFonts w:ascii="Calibri" w:hAnsi="Calibri" w:cs="Calibri"/>
          <w:color w:val="auto"/>
          <w:w w:val="222"/>
          <w:highlight w:val="none"/>
        </w:rPr>
        <w:t> </w:t>
      </w:r>
      <w:r>
        <w:rPr>
          <w:rFonts w:ascii="宋体" w:hAnsi="宋体" w:eastAsia="宋体" w:cs="宋体"/>
          <w:color w:val="auto"/>
          <w:spacing w:val="-1"/>
          <w:highlight w:val="none"/>
        </w:rPr>
        <w:t>人：</w:t>
      </w:r>
      <w:r>
        <w:rPr>
          <w:rFonts w:hint="eastAsia" w:ascii="宋体" w:hAnsi="宋体" w:eastAsia="宋体" w:cs="宋体"/>
          <w:color w:val="auto"/>
          <w:spacing w:val="-1"/>
          <w:highlight w:val="none"/>
          <w:lang w:eastAsia="zh-CN"/>
        </w:rPr>
        <w:t>小贾</w:t>
      </w:r>
    </w:p>
    <w:p>
      <w:pPr>
        <w:tabs>
          <w:tab w:val="left" w:pos="1320"/>
        </w:tabs>
        <w:spacing w:after="0" w:line="360" w:lineRule="auto"/>
        <w:ind w:left="60" w:firstLine="629"/>
        <w:rPr>
          <w:rFonts w:hint="eastAsia" w:ascii="宋体" w:hAnsi="宋体" w:eastAsia="宋体" w:cs="宋体"/>
          <w:color w:val="auto"/>
          <w:spacing w:val="-1"/>
          <w:highlight w:val="none"/>
          <w:lang w:eastAsia="zh-CN"/>
        </w:rPr>
      </w:pPr>
      <w:r>
        <w:rPr>
          <w:rFonts w:ascii="宋体" w:hAnsi="宋体" w:eastAsia="宋体" w:cs="宋体"/>
          <w:color w:val="auto"/>
          <w:spacing w:val="-2"/>
          <w:highlight w:val="none"/>
        </w:rPr>
        <w:t>地</w:t>
      </w:r>
      <w:r>
        <w:rPr>
          <w:rFonts w:cs="Calibri"/>
          <w:color w:val="auto"/>
          <w:highlight w:val="none"/>
        </w:rPr>
        <w:tab/>
      </w:r>
      <w:r>
        <w:rPr>
          <w:rFonts w:ascii="宋体" w:hAnsi="宋体" w:eastAsia="宋体" w:cs="宋体"/>
          <w:color w:val="auto"/>
          <w:spacing w:val="-1"/>
          <w:highlight w:val="none"/>
        </w:rPr>
        <w:t>址：</w:t>
      </w:r>
      <w:r>
        <w:rPr>
          <w:rFonts w:hint="eastAsia" w:ascii="宋体" w:hAnsi="宋体" w:eastAsia="宋体" w:cs="宋体"/>
          <w:color w:val="auto"/>
          <w:spacing w:val="-1"/>
          <w:highlight w:val="none"/>
          <w:lang w:eastAsia="zh-CN"/>
        </w:rPr>
        <w:t>贵港市港北区金港大道万豪丽城2栋3单元3405</w:t>
      </w:r>
    </w:p>
    <w:p>
      <w:pPr>
        <w:tabs>
          <w:tab w:val="left" w:pos="1320"/>
        </w:tabs>
        <w:spacing w:after="0" w:line="360" w:lineRule="auto"/>
        <w:ind w:left="60" w:firstLine="629"/>
        <w:rPr>
          <w:rFonts w:hint="eastAsia" w:eastAsia="宋体"/>
          <w:color w:val="auto"/>
          <w:highlight w:val="none"/>
          <w:lang w:eastAsia="zh-CN"/>
        </w:rPr>
        <w:sectPr>
          <w:type w:val="continuous"/>
          <w:pgSz w:w="11906" w:h="16839"/>
          <w:pgMar w:top="535" w:right="1020" w:bottom="295" w:left="1380" w:header="0" w:footer="0" w:gutter="0"/>
          <w:cols w:equalWidth="0" w:num="1">
            <w:col w:w="9506"/>
          </w:cols>
          <w:docGrid w:type="lines" w:linePitch="312" w:charSpace="0"/>
        </w:sectPr>
      </w:pPr>
      <w:r>
        <w:rPr>
          <w:rFonts w:ascii="宋体" w:hAnsi="宋体" w:eastAsia="宋体" w:cs="宋体"/>
          <w:color w:val="auto"/>
          <w:spacing w:val="-2"/>
          <w:highlight w:val="none"/>
        </w:rPr>
        <w:t>邮</w:t>
      </w:r>
      <w:r>
        <w:rPr>
          <w:rFonts w:cs="Calibri"/>
          <w:color w:val="auto"/>
          <w:highlight w:val="none"/>
        </w:rPr>
        <w:tab/>
      </w:r>
      <w:r>
        <w:rPr>
          <w:rFonts w:ascii="宋体" w:hAnsi="宋体" w:eastAsia="宋体" w:cs="宋体"/>
          <w:color w:val="auto"/>
          <w:highlight w:val="none"/>
        </w:rPr>
        <w:t>编：</w:t>
      </w:r>
      <w:r>
        <w:rPr>
          <w:rFonts w:hint="eastAsia" w:ascii="宋体" w:hAnsi="宋体" w:eastAsia="宋体" w:cs="宋体"/>
          <w:color w:val="auto"/>
          <w:highlight w:val="none"/>
          <w:lang w:eastAsia="zh-CN"/>
        </w:rPr>
        <w:t>537100</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3"/>
        <w:rPr>
          <w:color w:val="auto"/>
          <w:highlight w:val="none"/>
        </w:rPr>
      </w:pPr>
      <w:bookmarkStart w:id="53" w:name="16"/>
      <w:bookmarkEnd w:id="53"/>
    </w:p>
    <w:p>
      <w:pPr>
        <w:spacing w:after="0" w:line="240" w:lineRule="exact"/>
        <w:ind w:left="63"/>
        <w:rPr>
          <w:color w:val="auto"/>
          <w:highlight w:val="none"/>
        </w:rPr>
      </w:pPr>
    </w:p>
    <w:p>
      <w:pPr>
        <w:spacing w:after="0" w:line="541" w:lineRule="exact"/>
        <w:ind w:left="63" w:firstLine="2405"/>
        <w:rPr>
          <w:color w:val="auto"/>
          <w:highlight w:val="none"/>
        </w:rPr>
      </w:pPr>
      <w:r>
        <w:rPr>
          <w:rFonts w:ascii="宋体" w:hAnsi="宋体" w:eastAsia="宋体" w:cs="宋体"/>
          <w:color w:val="auto"/>
          <w:sz w:val="44"/>
          <w:highlight w:val="none"/>
        </w:rPr>
        <w:t>第三章</w:t>
      </w:r>
      <w:r>
        <w:rPr>
          <w:rFonts w:ascii="Calibri" w:hAnsi="Calibri" w:cs="Calibri"/>
          <w:color w:val="auto"/>
          <w:w w:val="222"/>
          <w:sz w:val="44"/>
          <w:highlight w:val="none"/>
        </w:rPr>
        <w:t> </w:t>
      </w:r>
      <w:r>
        <w:rPr>
          <w:rFonts w:ascii="宋体" w:hAnsi="宋体" w:eastAsia="宋体" w:cs="宋体"/>
          <w:color w:val="auto"/>
          <w:sz w:val="44"/>
          <w:highlight w:val="none"/>
        </w:rPr>
        <w:t>项目服务需求</w:t>
      </w:r>
    </w:p>
    <w:p>
      <w:pPr>
        <w:spacing w:after="0" w:line="240" w:lineRule="exact"/>
        <w:ind w:left="63" w:firstLine="2405"/>
        <w:rPr>
          <w:color w:val="auto"/>
          <w:highlight w:val="none"/>
        </w:rPr>
      </w:pPr>
    </w:p>
    <w:p>
      <w:pPr>
        <w:numPr>
          <w:ilvl w:val="0"/>
          <w:numId w:val="2"/>
        </w:numPr>
        <w:spacing w:line="360" w:lineRule="auto"/>
        <w:outlineLvl w:val="0"/>
        <w:rPr>
          <w:color w:val="auto"/>
          <w:highlight w:val="none"/>
        </w:rPr>
      </w:pPr>
      <w:r>
        <w:rPr>
          <w:rFonts w:hint="eastAsia"/>
          <w:color w:val="auto"/>
          <w:highlight w:val="none"/>
        </w:rPr>
        <w:t>项目名称：</w:t>
      </w:r>
      <w:r>
        <w:rPr>
          <w:rFonts w:hint="eastAsia"/>
          <w:color w:val="auto"/>
          <w:highlight w:val="none"/>
          <w:lang w:eastAsia="zh-CN"/>
        </w:rPr>
        <w:t>广西桂平市人民武装部营院易地搬迁工程项目监理</w:t>
      </w:r>
    </w:p>
    <w:p>
      <w:pPr>
        <w:widowControl/>
        <w:numPr>
          <w:ilvl w:val="0"/>
          <w:numId w:val="2"/>
        </w:numPr>
        <w:spacing w:line="360" w:lineRule="auto"/>
        <w:rPr>
          <w:rFonts w:ascii="宋体" w:hAnsi="宋体" w:eastAsia="宋体" w:cs="宋体"/>
          <w:color w:val="auto"/>
          <w:highlight w:val="none"/>
        </w:rPr>
      </w:pPr>
      <w:r>
        <w:rPr>
          <w:rFonts w:hint="eastAsia"/>
          <w:color w:val="auto"/>
          <w:highlight w:val="none"/>
        </w:rPr>
        <w:t>项目编号：</w:t>
      </w:r>
      <w:r>
        <w:rPr>
          <w:rFonts w:hint="eastAsia"/>
          <w:color w:val="auto"/>
          <w:highlight w:val="none"/>
          <w:lang w:eastAsia="zh-CN"/>
        </w:rPr>
        <w:t>GGZC2020-C3-50152-GXBX</w:t>
      </w:r>
    </w:p>
    <w:p>
      <w:pPr>
        <w:widowControl/>
        <w:numPr>
          <w:ilvl w:val="0"/>
          <w:numId w:val="2"/>
        </w:numPr>
        <w:spacing w:line="360" w:lineRule="auto"/>
        <w:rPr>
          <w:color w:val="auto"/>
          <w:highlight w:val="none"/>
        </w:rPr>
      </w:pPr>
      <w:r>
        <w:rPr>
          <w:rFonts w:hint="eastAsia"/>
          <w:color w:val="auto"/>
          <w:highlight w:val="none"/>
        </w:rPr>
        <w:t>项目建设地址：桂平市金田大道交龙潭大道处。</w:t>
      </w:r>
    </w:p>
    <w:p>
      <w:pPr>
        <w:widowControl/>
        <w:numPr>
          <w:ilvl w:val="0"/>
          <w:numId w:val="2"/>
        </w:numPr>
        <w:spacing w:line="360" w:lineRule="auto"/>
        <w:rPr>
          <w:rFonts w:ascii="宋体" w:hAnsi="宋体" w:eastAsia="宋体" w:cs="宋体"/>
          <w:color w:val="auto"/>
          <w:highlight w:val="none"/>
        </w:rPr>
      </w:pPr>
      <w:r>
        <w:rPr>
          <w:rFonts w:hint="eastAsia" w:ascii="宋体" w:hAnsi="宋体" w:cs="宋体"/>
          <w:color w:val="auto"/>
          <w:szCs w:val="21"/>
          <w:highlight w:val="none"/>
        </w:rPr>
        <w:t>项目建设规模及主要建设内容：</w:t>
      </w:r>
      <w:r>
        <w:rPr>
          <w:rFonts w:hint="eastAsia" w:ascii="宋体" w:hAnsi="宋体" w:cs="宋体"/>
          <w:color w:val="auto"/>
          <w:szCs w:val="21"/>
          <w:highlight w:val="none"/>
          <w:lang w:eastAsia="zh-CN"/>
        </w:rPr>
        <w:t>总建筑面积约11400㎡。主要建设办公指挥综合楼一栋，建筑面积2200㎡；民兵训练中心一栋，建筑面积5900㎡；运动馆一栋，建筑面积750㎡；附属配套一栋，楼建筑面积500㎡；公寓楼一栋，建筑面积1900㎡；值班室、配电房建筑面积150㎡；400米标准运动场、篮球场、围墙、道路及营院供配电、照明、消防、给排水、绿化等。具体内容详见工程量清单及施工图纸</w:t>
      </w:r>
      <w:r>
        <w:rPr>
          <w:rFonts w:hint="eastAsia" w:ascii="宋体" w:hAnsi="宋体" w:cs="宋体"/>
          <w:color w:val="auto"/>
          <w:szCs w:val="21"/>
          <w:highlight w:val="none"/>
        </w:rPr>
        <w:t>。</w:t>
      </w:r>
    </w:p>
    <w:p>
      <w:pPr>
        <w:widowControl/>
        <w:numPr>
          <w:ilvl w:val="0"/>
          <w:numId w:val="2"/>
        </w:numPr>
        <w:spacing w:line="360" w:lineRule="auto"/>
        <w:rPr>
          <w:rFonts w:ascii="宋体" w:hAnsi="宋体" w:eastAsia="宋体" w:cs="宋体"/>
          <w:color w:val="auto"/>
          <w:highlight w:val="none"/>
        </w:rPr>
      </w:pPr>
      <w:r>
        <w:rPr>
          <w:rFonts w:hint="eastAsia" w:ascii="宋体" w:hAnsi="宋体" w:eastAsia="宋体" w:cs="宋体"/>
          <w:color w:val="auto"/>
          <w:highlight w:val="none"/>
        </w:rPr>
        <w:t xml:space="preserve">监理服务范围：本项目包括但不限于工程施工合同及图纸（含设计变更）所包含的全部施工内容直至质保期满全过程监理 (含质量控制、进度控制、投资控制、合同管理、信息管理及现场组织协调）。施工阶段：施工过程中的质量、进度、造价控制，安全生产监督管理、合同、信息等方面的协调管理。保修阶段：检查和记录工程质量缺陷，对缺陷原因进行调查分析并确定责任归属，审核修复方案，监督修复过程并验收，审核修复费用等施工阶段的监理。 </w:t>
      </w:r>
    </w:p>
    <w:p>
      <w:pPr>
        <w:widowControl/>
        <w:numPr>
          <w:ilvl w:val="0"/>
          <w:numId w:val="2"/>
        </w:numPr>
        <w:spacing w:line="360" w:lineRule="auto"/>
        <w:rPr>
          <w:rFonts w:ascii="宋体" w:hAnsi="宋体" w:eastAsia="宋体" w:cs="宋体"/>
          <w:color w:val="auto"/>
          <w:highlight w:val="none"/>
        </w:rPr>
      </w:pPr>
      <w:r>
        <w:rPr>
          <w:rFonts w:hint="eastAsia" w:ascii="宋体" w:hAnsi="宋体" w:eastAsia="宋体" w:cs="宋体"/>
          <w:color w:val="auto"/>
          <w:highlight w:val="none"/>
        </w:rPr>
        <w:t>监理质量要求：严格按照国家有关监理规范要求全过程监督工程质量，确保工程质量达到合格以上。</w:t>
      </w:r>
    </w:p>
    <w:p>
      <w:pPr>
        <w:widowControl/>
        <w:numPr>
          <w:ilvl w:val="0"/>
          <w:numId w:val="2"/>
        </w:numPr>
        <w:spacing w:line="360" w:lineRule="auto"/>
        <w:rPr>
          <w:rFonts w:ascii="宋体" w:hAnsi="宋体" w:eastAsia="宋体" w:cs="宋体"/>
          <w:color w:val="auto"/>
          <w:highlight w:val="none"/>
        </w:rPr>
      </w:pPr>
      <w:r>
        <w:rPr>
          <w:rFonts w:hint="eastAsia" w:ascii="宋体" w:hAnsi="宋体" w:eastAsia="宋体" w:cs="宋体"/>
          <w:color w:val="auto"/>
          <w:highlight w:val="none"/>
        </w:rPr>
        <w:t xml:space="preserve">监理服务期限：自合同签订之日起开始实施，至工程竣工验收合格，保修期满完毕（监理工期与施工工期一致）。 </w:t>
      </w:r>
    </w:p>
    <w:p>
      <w:pPr>
        <w:widowControl/>
        <w:numPr>
          <w:ilvl w:val="0"/>
          <w:numId w:val="2"/>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项目</w:t>
      </w:r>
      <w:r>
        <w:rPr>
          <w:rFonts w:hint="eastAsia" w:ascii="宋体" w:hAnsi="宋体" w:eastAsia="宋体" w:cs="宋体"/>
          <w:color w:val="auto"/>
          <w:highlight w:val="none"/>
          <w:lang w:val="en-US" w:eastAsia="zh-CN"/>
        </w:rPr>
        <w:t>概算总投资</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7186.59</w:t>
      </w:r>
      <w:r>
        <w:rPr>
          <w:rFonts w:hint="eastAsia" w:ascii="宋体" w:hAnsi="宋体" w:eastAsia="宋体" w:cs="宋体"/>
          <w:color w:val="auto"/>
          <w:highlight w:val="none"/>
        </w:rPr>
        <w:t>万元</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其中建安工程费约3920.85万元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widowControl/>
        <w:numPr>
          <w:ilvl w:val="0"/>
          <w:numId w:val="2"/>
        </w:numPr>
        <w:spacing w:line="360" w:lineRule="auto"/>
        <w:rPr>
          <w:rFonts w:ascii="宋体" w:hAnsi="宋体" w:eastAsia="宋体" w:cs="宋体"/>
          <w:color w:val="auto"/>
          <w:highlight w:val="none"/>
        </w:rPr>
      </w:pPr>
      <w:r>
        <w:rPr>
          <w:rFonts w:hint="eastAsia" w:ascii="宋体" w:hAnsi="宋体" w:eastAsia="宋体" w:cs="宋体"/>
          <w:color w:val="auto"/>
          <w:highlight w:val="none"/>
        </w:rPr>
        <w:t>本项目的报价为总价包干，供应商的报价，包括了实施和完成本项目全部工作所需的劳务费、技术服务费、测量、交通、通讯、保险、税费和利润等业务有关的一切费用，除非上述费用在合同中另有说明。</w:t>
      </w:r>
    </w:p>
    <w:p>
      <w:pPr>
        <w:widowControl/>
        <w:numPr>
          <w:ilvl w:val="0"/>
          <w:numId w:val="2"/>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资金来源：</w:t>
      </w:r>
      <w:r>
        <w:rPr>
          <w:rFonts w:hint="eastAsia" w:ascii="宋体" w:hAnsi="宋体" w:eastAsia="宋体" w:cs="宋体"/>
          <w:color w:val="auto"/>
          <w:highlight w:val="none"/>
          <w:lang w:eastAsia="zh-CN"/>
        </w:rPr>
        <w:t>财政拨款</w:t>
      </w:r>
      <w:r>
        <w:rPr>
          <w:rFonts w:hint="eastAsia" w:ascii="宋体" w:hAnsi="宋体" w:eastAsia="宋体" w:cs="宋体"/>
          <w:color w:val="auto"/>
          <w:highlight w:val="none"/>
        </w:rPr>
        <w:t>。</w:t>
      </w:r>
    </w:p>
    <w:p>
      <w:pPr>
        <w:widowControl/>
        <w:numPr>
          <w:ilvl w:val="0"/>
          <w:numId w:val="2"/>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人员最低配备要求：</w:t>
      </w:r>
    </w:p>
    <w:tbl>
      <w:tblPr>
        <w:tblStyle w:val="1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850"/>
        <w:gridCol w:w="2127"/>
        <w:gridCol w:w="41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岗位</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人数</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学历专业要求</w:t>
            </w:r>
          </w:p>
        </w:tc>
        <w:tc>
          <w:tcPr>
            <w:tcW w:w="4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持证上岗要求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总监理工程师</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 名</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大专及以上学历</w:t>
            </w:r>
          </w:p>
        </w:tc>
        <w:tc>
          <w:tcPr>
            <w:tcW w:w="4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具备</w:t>
            </w:r>
            <w:r>
              <w:rPr>
                <w:rFonts w:hint="eastAsia" w:ascii="宋体" w:hAnsi="宋体" w:cs="宋体"/>
                <w:color w:val="auto"/>
                <w:szCs w:val="21"/>
                <w:highlight w:val="none"/>
                <w:lang w:val="en-US" w:eastAsia="zh-CN"/>
              </w:rPr>
              <w:t>房屋建筑</w:t>
            </w:r>
            <w:r>
              <w:rPr>
                <w:rFonts w:hint="eastAsia" w:ascii="宋体" w:hAnsi="宋体" w:cs="宋体"/>
                <w:color w:val="auto"/>
                <w:szCs w:val="21"/>
                <w:highlight w:val="none"/>
              </w:rPr>
              <w:t>工程的国家注册监理工程师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监理工程师</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 名</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大专及以上学历</w:t>
            </w:r>
          </w:p>
        </w:tc>
        <w:tc>
          <w:tcPr>
            <w:tcW w:w="4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具备</w:t>
            </w:r>
            <w:r>
              <w:rPr>
                <w:rFonts w:hint="eastAsia" w:ascii="宋体" w:hAnsi="宋体" w:cs="宋体"/>
                <w:color w:val="auto"/>
                <w:szCs w:val="21"/>
                <w:highlight w:val="none"/>
                <w:lang w:val="en-US" w:eastAsia="zh-CN"/>
              </w:rPr>
              <w:t>房屋建筑</w:t>
            </w:r>
            <w:r>
              <w:rPr>
                <w:rFonts w:hint="eastAsia" w:ascii="宋体" w:hAnsi="宋体" w:cs="宋体"/>
                <w:color w:val="auto"/>
                <w:szCs w:val="21"/>
                <w:highlight w:val="none"/>
              </w:rPr>
              <w:t>工程的国家注册监理工程师或省（自治区、直辖市）级建设工程监理工程师培训合格证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监理员</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1名</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中专及以上学历</w:t>
            </w:r>
          </w:p>
        </w:tc>
        <w:tc>
          <w:tcPr>
            <w:tcW w:w="4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省（自治区、直辖市）级建设工程监理工程师培训合格证或省（自治区、直辖市）级监理员证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vAlign w:val="center"/>
          </w:tcPr>
          <w:p>
            <w:pPr>
              <w:wordWrap w:val="0"/>
              <w:topLinePunct/>
              <w:ind w:right="113" w:rightChars="54"/>
              <w:rPr>
                <w:rFonts w:hint="eastAsia" w:hAnsi="宋体"/>
                <w:color w:val="auto"/>
                <w:szCs w:val="21"/>
                <w:highlight w:val="none"/>
              </w:rPr>
            </w:pPr>
            <w:r>
              <w:rPr>
                <w:rFonts w:hint="eastAsia" w:hAnsi="宋体"/>
                <w:color w:val="auto"/>
                <w:szCs w:val="21"/>
                <w:highlight w:val="none"/>
              </w:rPr>
              <w:t>见证员</w:t>
            </w:r>
          </w:p>
        </w:tc>
        <w:tc>
          <w:tcPr>
            <w:tcW w:w="850"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hAnsi="宋体"/>
                <w:color w:val="auto"/>
                <w:szCs w:val="21"/>
                <w:highlight w:val="none"/>
              </w:rPr>
            </w:pPr>
            <w:r>
              <w:rPr>
                <w:rFonts w:hint="eastAsia" w:hAnsi="宋体"/>
                <w:color w:val="auto"/>
                <w:szCs w:val="21"/>
                <w:highlight w:val="none"/>
              </w:rPr>
              <w:t>1名</w:t>
            </w:r>
          </w:p>
        </w:tc>
        <w:tc>
          <w:tcPr>
            <w:tcW w:w="2127"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hAnsi="宋体"/>
                <w:color w:val="auto"/>
                <w:szCs w:val="21"/>
                <w:highlight w:val="none"/>
              </w:rPr>
            </w:pPr>
            <w:r>
              <w:rPr>
                <w:rFonts w:hint="eastAsia" w:hAnsi="宋体"/>
                <w:color w:val="auto"/>
                <w:szCs w:val="21"/>
                <w:highlight w:val="none"/>
              </w:rPr>
              <w:t>中专及以上学历</w:t>
            </w:r>
          </w:p>
        </w:tc>
        <w:tc>
          <w:tcPr>
            <w:tcW w:w="4110"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hAnsi="宋体"/>
                <w:color w:val="auto"/>
                <w:szCs w:val="21"/>
                <w:highlight w:val="none"/>
              </w:rPr>
            </w:pPr>
            <w:r>
              <w:rPr>
                <w:rFonts w:hint="eastAsia" w:hAnsi="宋体"/>
                <w:color w:val="auto"/>
                <w:szCs w:val="21"/>
                <w:highlight w:val="none"/>
              </w:rPr>
              <w:t>省（自治区、直辖市）级见证员证</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总计</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4名</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Cs w:val="21"/>
                <w:highlight w:val="none"/>
              </w:rPr>
            </w:pPr>
          </w:p>
        </w:tc>
      </w:tr>
    </w:tbl>
    <w:p>
      <w:pPr>
        <w:widowControl/>
        <w:numPr>
          <w:ilvl w:val="0"/>
          <w:numId w:val="2"/>
        </w:numPr>
        <w:spacing w:line="360" w:lineRule="auto"/>
        <w:rPr>
          <w:rFonts w:ascii="宋体" w:hAnsi="宋体" w:eastAsia="宋体" w:cs="宋体"/>
          <w:color w:val="auto"/>
          <w:highlight w:val="none"/>
        </w:rPr>
      </w:pPr>
      <w:r>
        <w:rPr>
          <w:rFonts w:hint="eastAsia" w:ascii="宋体" w:hAnsi="宋体" w:eastAsia="宋体" w:cs="宋体"/>
          <w:color w:val="auto"/>
          <w:highlight w:val="none"/>
        </w:rPr>
        <w:t>付款方式：①工程进场施工后30天内支付监理合同价的20%；②剩余监理费按施工进度支付，工程完工验收前支付限额为监理合同价的90%；③工程结算审定后（以审计部门审计结果或者相关文件规定的审计办法审计结果为准）支付至监理合同价的95%；④工程竣工验收合格后一个月内再支付至100%。</w:t>
      </w:r>
    </w:p>
    <w:p>
      <w:pPr>
        <w:spacing w:line="360" w:lineRule="auto"/>
        <w:ind w:firstLine="420" w:firstLineChars="200"/>
        <w:outlineLvl w:val="0"/>
        <w:rPr>
          <w:color w:val="auto"/>
          <w:highlight w:val="none"/>
        </w:rPr>
      </w:pPr>
    </w:p>
    <w:p>
      <w:pPr>
        <w:spacing w:after="0" w:line="240" w:lineRule="exact"/>
        <w:ind w:left="135"/>
        <w:rPr>
          <w:color w:val="auto"/>
          <w:highlight w:val="none"/>
        </w:rPr>
      </w:pPr>
    </w:p>
    <w:p>
      <w:pPr>
        <w:spacing w:after="0" w:line="240" w:lineRule="exact"/>
        <w:ind w:left="135"/>
        <w:rPr>
          <w:color w:val="auto"/>
          <w:highlight w:val="none"/>
        </w:rPr>
      </w:pPr>
    </w:p>
    <w:p>
      <w:pPr>
        <w:spacing w:after="0" w:line="240" w:lineRule="exact"/>
        <w:ind w:left="135"/>
        <w:rPr>
          <w:color w:val="auto"/>
          <w:highlight w:val="none"/>
        </w:rPr>
      </w:pPr>
    </w:p>
    <w:p>
      <w:pPr>
        <w:spacing w:after="0" w:line="240" w:lineRule="exact"/>
        <w:ind w:left="135"/>
        <w:rPr>
          <w:color w:val="auto"/>
          <w:highlight w:val="none"/>
        </w:rPr>
      </w:pPr>
    </w:p>
    <w:p>
      <w:pPr>
        <w:spacing w:after="0" w:line="240" w:lineRule="exact"/>
        <w:ind w:left="135"/>
        <w:rPr>
          <w:color w:val="auto"/>
          <w:highlight w:val="none"/>
        </w:rPr>
      </w:pPr>
    </w:p>
    <w:p>
      <w:pPr>
        <w:spacing w:after="0" w:line="240" w:lineRule="exact"/>
        <w:ind w:left="135"/>
        <w:rPr>
          <w:color w:val="auto"/>
          <w:highlight w:val="none"/>
        </w:rPr>
      </w:pPr>
    </w:p>
    <w:p>
      <w:pPr>
        <w:widowControl/>
        <w:rPr>
          <w:color w:val="auto"/>
          <w:highlight w:val="none"/>
        </w:rPr>
        <w:sectPr>
          <w:type w:val="continuous"/>
          <w:pgSz w:w="11906" w:h="16838"/>
          <w:pgMar w:top="535" w:right="945" w:bottom="295" w:left="1305" w:header="0" w:footer="0" w:gutter="0"/>
          <w:cols w:space="720" w:num="1"/>
          <w:docGrid w:type="lines" w:linePitch="312" w:charSpace="0"/>
        </w:sectPr>
      </w:pPr>
    </w:p>
    <w:p>
      <w:pPr>
        <w:widowControl/>
        <w:rPr>
          <w:color w:val="auto"/>
          <w:highlight w:val="none"/>
        </w:rPr>
        <w:sectPr>
          <w:type w:val="continuous"/>
          <w:pgSz w:w="11906" w:h="16838"/>
          <w:pgMar w:top="535" w:right="945" w:bottom="295" w:left="1305" w:header="0" w:footer="0" w:gutter="0"/>
          <w:cols w:equalWidth="0" w:num="1">
            <w:col w:w="9656"/>
          </w:cols>
          <w:docGrid w:type="lines" w:linePitch="312" w:charSpace="0"/>
        </w:sectPr>
      </w:pP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bookmarkStart w:id="54" w:name="19"/>
      <w:bookmarkEnd w:id="54"/>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88" w:lineRule="exact"/>
        <w:ind w:left="60"/>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tabs>
          <w:tab w:val="left" w:pos="4450"/>
        </w:tabs>
        <w:spacing w:after="0" w:line="440" w:lineRule="exact"/>
        <w:jc w:val="center"/>
        <w:rPr>
          <w:rFonts w:eastAsia="宋体"/>
          <w:b/>
          <w:bCs/>
          <w:color w:val="auto"/>
          <w:highlight w:val="none"/>
        </w:rPr>
      </w:pPr>
      <w:r>
        <w:rPr>
          <w:rFonts w:ascii="宋体" w:hAnsi="宋体" w:eastAsia="宋体" w:cs="宋体"/>
          <w:b/>
          <w:bCs/>
          <w:color w:val="auto"/>
          <w:sz w:val="44"/>
          <w:highlight w:val="none"/>
        </w:rPr>
        <w:t>第</w:t>
      </w:r>
      <w:r>
        <w:rPr>
          <w:rFonts w:hint="eastAsia" w:ascii="宋体" w:hAnsi="宋体" w:eastAsia="宋体" w:cs="宋体"/>
          <w:b/>
          <w:bCs/>
          <w:color w:val="auto"/>
          <w:sz w:val="44"/>
          <w:highlight w:val="none"/>
        </w:rPr>
        <w:t>四</w:t>
      </w:r>
      <w:r>
        <w:rPr>
          <w:rFonts w:ascii="宋体" w:hAnsi="宋体" w:eastAsia="宋体" w:cs="宋体"/>
          <w:b/>
          <w:bCs/>
          <w:color w:val="auto"/>
          <w:sz w:val="44"/>
          <w:highlight w:val="none"/>
        </w:rPr>
        <w:t>章合同书格式</w:t>
      </w:r>
      <w:r>
        <w:rPr>
          <w:rFonts w:hint="eastAsia" w:ascii="宋体" w:hAnsi="宋体" w:eastAsia="宋体" w:cs="宋体"/>
          <w:b/>
          <w:bCs/>
          <w:color w:val="auto"/>
          <w:sz w:val="44"/>
          <w:highlight w:val="none"/>
        </w:rPr>
        <w:t>及条款</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spacing w:after="0" w:line="240" w:lineRule="exact"/>
        <w:ind w:left="2462"/>
        <w:rPr>
          <w:color w:val="auto"/>
          <w:highlight w:val="none"/>
        </w:rPr>
      </w:pP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0"/>
        <w:rPr>
          <w:color w:val="auto"/>
          <w:highlight w:val="none"/>
        </w:rPr>
      </w:pPr>
      <w:bookmarkStart w:id="55" w:name="20"/>
      <w:bookmarkEnd w:id="55"/>
    </w:p>
    <w:p>
      <w:pPr>
        <w:spacing w:after="0" w:line="240" w:lineRule="exact"/>
        <w:ind w:left="60"/>
        <w:rPr>
          <w:color w:val="auto"/>
          <w:highlight w:val="none"/>
        </w:rPr>
      </w:pPr>
    </w:p>
    <w:p>
      <w:pPr>
        <w:spacing w:line="360" w:lineRule="auto"/>
        <w:rPr>
          <w:b/>
          <w:bCs/>
          <w:color w:val="auto"/>
          <w:sz w:val="30"/>
          <w:szCs w:val="30"/>
          <w:highlight w:val="none"/>
        </w:rPr>
      </w:pPr>
      <w:r>
        <w:rPr>
          <w:rFonts w:hint="eastAsia" w:hAnsi="宋体" w:cs="宋体"/>
          <w:b/>
          <w:bCs/>
          <w:color w:val="auto"/>
          <w:sz w:val="32"/>
          <w:szCs w:val="32"/>
          <w:highlight w:val="none"/>
        </w:rPr>
        <w:t>（ＧＦ－</w:t>
      </w:r>
      <w:r>
        <w:rPr>
          <w:b/>
          <w:bCs/>
          <w:color w:val="auto"/>
          <w:sz w:val="32"/>
          <w:szCs w:val="32"/>
          <w:highlight w:val="none"/>
        </w:rPr>
        <w:t>2012</w:t>
      </w:r>
      <w:r>
        <w:rPr>
          <w:rFonts w:hint="eastAsia" w:hAnsi="宋体" w:cs="宋体"/>
          <w:b/>
          <w:bCs/>
          <w:color w:val="auto"/>
          <w:sz w:val="32"/>
          <w:szCs w:val="32"/>
          <w:highlight w:val="none"/>
        </w:rPr>
        <w:t>－</w:t>
      </w:r>
      <w:r>
        <w:rPr>
          <w:b/>
          <w:bCs/>
          <w:color w:val="auto"/>
          <w:sz w:val="32"/>
          <w:szCs w:val="32"/>
          <w:highlight w:val="none"/>
        </w:rPr>
        <w:t>0202</w:t>
      </w:r>
      <w:r>
        <w:rPr>
          <w:rFonts w:hint="eastAsia" w:hAnsi="宋体" w:cs="宋体"/>
          <w:b/>
          <w:bCs/>
          <w:color w:val="auto"/>
          <w:sz w:val="32"/>
          <w:szCs w:val="32"/>
          <w:highlight w:val="none"/>
        </w:rPr>
        <w:t>）</w:t>
      </w:r>
    </w:p>
    <w:p>
      <w:pPr>
        <w:spacing w:line="360" w:lineRule="auto"/>
        <w:jc w:val="center"/>
        <w:rPr>
          <w:b/>
          <w:bCs/>
          <w:color w:val="auto"/>
          <w:sz w:val="52"/>
          <w:szCs w:val="52"/>
          <w:highlight w:val="none"/>
        </w:rPr>
      </w:pPr>
    </w:p>
    <w:p>
      <w:pPr>
        <w:spacing w:line="360" w:lineRule="auto"/>
        <w:jc w:val="center"/>
        <w:rPr>
          <w:b/>
          <w:bCs/>
          <w:color w:val="auto"/>
          <w:sz w:val="48"/>
          <w:szCs w:val="48"/>
          <w:highlight w:val="none"/>
        </w:rPr>
      </w:pPr>
    </w:p>
    <w:p>
      <w:pPr>
        <w:spacing w:line="360" w:lineRule="auto"/>
        <w:jc w:val="center"/>
        <w:rPr>
          <w:b/>
          <w:bCs/>
          <w:color w:val="auto"/>
          <w:sz w:val="48"/>
          <w:szCs w:val="48"/>
          <w:highlight w:val="none"/>
        </w:rPr>
      </w:pPr>
    </w:p>
    <w:p>
      <w:pPr>
        <w:spacing w:line="360" w:lineRule="auto"/>
        <w:jc w:val="center"/>
        <w:rPr>
          <w:b/>
          <w:bCs/>
          <w:color w:val="auto"/>
          <w:sz w:val="52"/>
          <w:szCs w:val="52"/>
          <w:highlight w:val="none"/>
        </w:rPr>
      </w:pPr>
      <w:r>
        <w:rPr>
          <w:rFonts w:hint="eastAsia" w:hAnsi="宋体" w:cs="宋体"/>
          <w:b/>
          <w:bCs/>
          <w:color w:val="auto"/>
          <w:sz w:val="52"/>
          <w:szCs w:val="52"/>
          <w:highlight w:val="none"/>
        </w:rPr>
        <w:t>建设工程监理合同</w:t>
      </w:r>
    </w:p>
    <w:p>
      <w:pPr>
        <w:spacing w:line="360" w:lineRule="auto"/>
        <w:jc w:val="both"/>
        <w:rPr>
          <w:b/>
          <w:bCs/>
          <w:color w:val="auto"/>
          <w:sz w:val="24"/>
          <w:szCs w:val="24"/>
          <w:highlight w:val="none"/>
        </w:rPr>
      </w:pPr>
    </w:p>
    <w:p>
      <w:pPr>
        <w:spacing w:line="360" w:lineRule="auto"/>
        <w:jc w:val="center"/>
        <w:rPr>
          <w:b/>
          <w:bCs/>
          <w:color w:val="auto"/>
          <w:sz w:val="24"/>
          <w:szCs w:val="24"/>
          <w:highlight w:val="none"/>
        </w:rPr>
      </w:pPr>
    </w:p>
    <w:p>
      <w:pPr>
        <w:spacing w:line="360" w:lineRule="auto"/>
        <w:jc w:val="center"/>
        <w:rPr>
          <w:b/>
          <w:bCs/>
          <w:color w:val="auto"/>
          <w:sz w:val="24"/>
          <w:szCs w:val="24"/>
          <w:highlight w:val="none"/>
        </w:rPr>
      </w:pPr>
    </w:p>
    <w:p>
      <w:pPr>
        <w:spacing w:line="360" w:lineRule="auto"/>
        <w:jc w:val="center"/>
        <w:rPr>
          <w:b/>
          <w:bCs/>
          <w:color w:val="auto"/>
          <w:sz w:val="24"/>
          <w:szCs w:val="24"/>
          <w:highlight w:val="none"/>
        </w:rPr>
      </w:pPr>
    </w:p>
    <w:p>
      <w:pPr>
        <w:spacing w:line="360" w:lineRule="auto"/>
        <w:rPr>
          <w:b/>
          <w:bCs/>
          <w:color w:val="auto"/>
          <w:sz w:val="24"/>
          <w:szCs w:val="24"/>
          <w:highlight w:val="none"/>
        </w:rPr>
      </w:pPr>
    </w:p>
    <w:p>
      <w:pPr>
        <w:spacing w:line="360" w:lineRule="auto"/>
        <w:rPr>
          <w:b/>
          <w:bCs/>
          <w:color w:val="auto"/>
          <w:sz w:val="24"/>
          <w:szCs w:val="24"/>
          <w:highlight w:val="none"/>
        </w:rPr>
      </w:pPr>
    </w:p>
    <w:p>
      <w:pPr>
        <w:spacing w:line="360" w:lineRule="auto"/>
        <w:rPr>
          <w:b/>
          <w:bCs/>
          <w:color w:val="auto"/>
          <w:sz w:val="24"/>
          <w:szCs w:val="24"/>
          <w:highlight w:val="none"/>
        </w:rPr>
      </w:pPr>
    </w:p>
    <w:p>
      <w:pPr>
        <w:jc w:val="center"/>
        <w:rPr>
          <w:b/>
          <w:bCs/>
          <w:color w:val="auto"/>
          <w:highlight w:val="none"/>
        </w:rPr>
      </w:pPr>
      <w:r>
        <w:rPr>
          <w:rFonts w:hint="eastAsia" w:hAnsi="宋体" w:cs="宋体"/>
          <w:b/>
          <w:bCs/>
          <w:color w:val="auto"/>
          <w:sz w:val="32"/>
          <w:szCs w:val="32"/>
          <w:highlight w:val="none"/>
        </w:rPr>
        <w:t>住房和城乡建设部</w:t>
      </w:r>
    </w:p>
    <w:p>
      <w:pPr>
        <w:jc w:val="center"/>
        <w:rPr>
          <w:b/>
          <w:bCs/>
          <w:color w:val="auto"/>
          <w:sz w:val="32"/>
          <w:szCs w:val="32"/>
          <w:highlight w:val="none"/>
        </w:rPr>
      </w:pPr>
      <w:r>
        <w:rPr>
          <w:rFonts w:hint="eastAsia" w:hAnsi="宋体" w:cs="宋体"/>
          <w:b/>
          <w:bCs/>
          <w:color w:val="auto"/>
          <w:sz w:val="32"/>
          <w:szCs w:val="32"/>
          <w:highlight w:val="none"/>
        </w:rPr>
        <w:t xml:space="preserve">                           制定</w:t>
      </w:r>
    </w:p>
    <w:p>
      <w:pPr>
        <w:jc w:val="center"/>
        <w:rPr>
          <w:color w:val="auto"/>
          <w:highlight w:val="none"/>
        </w:rPr>
        <w:sectPr>
          <w:type w:val="continuous"/>
          <w:pgSz w:w="11907" w:h="16840"/>
          <w:pgMar w:top="1440" w:right="1440" w:bottom="1440" w:left="1797" w:header="567" w:footer="591" w:gutter="0"/>
          <w:cols w:space="720" w:num="1"/>
          <w:docGrid w:linePitch="312" w:charSpace="0"/>
        </w:sectPr>
      </w:pPr>
      <w:r>
        <w:rPr>
          <w:rFonts w:hint="eastAsia" w:hAnsi="宋体" w:cs="宋体"/>
          <w:b/>
          <w:bCs/>
          <w:color w:val="auto"/>
          <w:sz w:val="32"/>
          <w:szCs w:val="32"/>
          <w:highlight w:val="none"/>
        </w:rPr>
        <w:t>国家工商行政管理总局</w:t>
      </w:r>
    </w:p>
    <w:p>
      <w:pPr>
        <w:pStyle w:val="3"/>
        <w:rPr>
          <w:color w:val="auto"/>
          <w:highlight w:val="none"/>
        </w:rPr>
      </w:pPr>
      <w:bookmarkStart w:id="56" w:name="_Toc22983"/>
      <w:bookmarkStart w:id="57" w:name="_Toc459567800"/>
      <w:bookmarkStart w:id="58" w:name="_Toc392940990"/>
      <w:r>
        <w:rPr>
          <w:color w:val="auto"/>
          <w:highlight w:val="none"/>
        </w:rPr>
        <w:t>第一部分  协议书</w:t>
      </w:r>
      <w:bookmarkEnd w:id="56"/>
      <w:bookmarkEnd w:id="57"/>
      <w:bookmarkEnd w:id="58"/>
    </w:p>
    <w:p>
      <w:pPr>
        <w:adjustRightInd w:val="0"/>
        <w:snapToGrid w:val="0"/>
        <w:spacing w:line="360" w:lineRule="auto"/>
        <w:ind w:firstLine="422" w:firstLineChars="200"/>
        <w:rPr>
          <w:b/>
          <w:color w:val="auto"/>
          <w:highlight w:val="none"/>
        </w:rPr>
      </w:pPr>
      <w:r>
        <w:rPr>
          <w:rFonts w:hAnsi="宋体"/>
          <w:b/>
          <w:color w:val="auto"/>
          <w:highlight w:val="none"/>
        </w:rPr>
        <w:t>委托人（全称）：</w:t>
      </w:r>
    </w:p>
    <w:p>
      <w:pPr>
        <w:adjustRightInd w:val="0"/>
        <w:snapToGrid w:val="0"/>
        <w:spacing w:line="360" w:lineRule="auto"/>
        <w:ind w:firstLine="422" w:firstLineChars="200"/>
        <w:rPr>
          <w:color w:val="auto"/>
          <w:highlight w:val="none"/>
        </w:rPr>
      </w:pPr>
      <w:r>
        <w:rPr>
          <w:rFonts w:hAnsi="宋体"/>
          <w:b/>
          <w:color w:val="auto"/>
          <w:highlight w:val="none"/>
        </w:rPr>
        <w:t>监理人（全称）：</w:t>
      </w:r>
    </w:p>
    <w:p>
      <w:pPr>
        <w:adjustRightInd w:val="0"/>
        <w:snapToGrid w:val="0"/>
        <w:spacing w:line="360" w:lineRule="auto"/>
        <w:ind w:firstLine="420" w:firstLineChars="200"/>
        <w:rPr>
          <w:b/>
          <w:color w:val="auto"/>
          <w:highlight w:val="none"/>
        </w:rPr>
      </w:pPr>
      <w:r>
        <w:rPr>
          <w:rFonts w:hAnsi="宋体"/>
          <w:color w:val="auto"/>
          <w:highlight w:val="none"/>
        </w:rPr>
        <w:t>根据《中华人民共和国合同法》、《中华人民共和国建筑法》及其他有关法律、法规，遵循平等、自愿、公平和诚信的原则，双方就下述工程委托监理与相关服务事项协商一致，订立本合同</w:t>
      </w:r>
      <w:r>
        <w:rPr>
          <w:rFonts w:hAnsi="宋体"/>
          <w:b/>
          <w:color w:val="auto"/>
          <w:highlight w:val="none"/>
        </w:rPr>
        <w:t>。</w:t>
      </w:r>
    </w:p>
    <w:p>
      <w:pPr>
        <w:adjustRightInd w:val="0"/>
        <w:snapToGrid w:val="0"/>
        <w:spacing w:line="360" w:lineRule="auto"/>
        <w:ind w:firstLine="422" w:firstLineChars="200"/>
        <w:outlineLvl w:val="0"/>
        <w:rPr>
          <w:b/>
          <w:color w:val="auto"/>
          <w:highlight w:val="none"/>
        </w:rPr>
      </w:pPr>
      <w:bookmarkStart w:id="59" w:name="_Toc459567801"/>
      <w:bookmarkStart w:id="60" w:name="_Toc473030494"/>
      <w:bookmarkStart w:id="61" w:name="_Toc349554752"/>
      <w:bookmarkStart w:id="62" w:name="_Toc30067"/>
      <w:r>
        <w:rPr>
          <w:rFonts w:hAnsi="宋体"/>
          <w:b/>
          <w:color w:val="auto"/>
          <w:highlight w:val="none"/>
        </w:rPr>
        <w:t>一、工程概况</w:t>
      </w:r>
      <w:bookmarkEnd w:id="59"/>
      <w:bookmarkEnd w:id="60"/>
      <w:bookmarkEnd w:id="61"/>
      <w:bookmarkEnd w:id="62"/>
    </w:p>
    <w:p>
      <w:pPr>
        <w:adjustRightInd w:val="0"/>
        <w:snapToGrid w:val="0"/>
        <w:spacing w:line="360" w:lineRule="auto"/>
        <w:ind w:firstLine="420" w:firstLineChars="200"/>
        <w:rPr>
          <w:color w:val="auto"/>
          <w:highlight w:val="none"/>
        </w:rPr>
      </w:pPr>
      <w:r>
        <w:rPr>
          <w:color w:val="auto"/>
          <w:highlight w:val="none"/>
        </w:rPr>
        <w:t xml:space="preserve">1. </w:t>
      </w:r>
      <w:r>
        <w:rPr>
          <w:rFonts w:hint="eastAsia" w:hAnsi="宋体"/>
          <w:color w:val="auto"/>
          <w:highlight w:val="none"/>
        </w:rPr>
        <w:t>项目</w:t>
      </w:r>
      <w:r>
        <w:rPr>
          <w:rFonts w:hAnsi="宋体"/>
          <w:color w:val="auto"/>
          <w:highlight w:val="none"/>
        </w:rPr>
        <w:t>名称：；</w:t>
      </w:r>
    </w:p>
    <w:p>
      <w:pPr>
        <w:adjustRightInd w:val="0"/>
        <w:snapToGrid w:val="0"/>
        <w:spacing w:line="360" w:lineRule="auto"/>
        <w:ind w:firstLine="420" w:firstLineChars="200"/>
        <w:rPr>
          <w:color w:val="auto"/>
          <w:highlight w:val="none"/>
        </w:rPr>
      </w:pPr>
      <w:r>
        <w:rPr>
          <w:color w:val="auto"/>
          <w:highlight w:val="none"/>
        </w:rPr>
        <w:t xml:space="preserve">2. </w:t>
      </w:r>
      <w:r>
        <w:rPr>
          <w:rFonts w:hAnsi="宋体"/>
          <w:color w:val="auto"/>
          <w:highlight w:val="none"/>
        </w:rPr>
        <w:t>工程地点：；</w:t>
      </w:r>
    </w:p>
    <w:p>
      <w:pPr>
        <w:adjustRightInd w:val="0"/>
        <w:snapToGrid w:val="0"/>
        <w:spacing w:line="360" w:lineRule="auto"/>
        <w:ind w:firstLine="420" w:firstLineChars="200"/>
        <w:rPr>
          <w:color w:val="auto"/>
          <w:highlight w:val="none"/>
        </w:rPr>
      </w:pPr>
      <w:r>
        <w:rPr>
          <w:color w:val="auto"/>
          <w:highlight w:val="none"/>
        </w:rPr>
        <w:t xml:space="preserve">3. </w:t>
      </w:r>
      <w:r>
        <w:rPr>
          <w:rFonts w:hAnsi="宋体"/>
          <w:color w:val="auto"/>
          <w:highlight w:val="none"/>
        </w:rPr>
        <w:t>工程规模：；</w:t>
      </w:r>
    </w:p>
    <w:p>
      <w:pPr>
        <w:adjustRightInd w:val="0"/>
        <w:snapToGrid w:val="0"/>
        <w:spacing w:line="360" w:lineRule="auto"/>
        <w:ind w:firstLine="420" w:firstLineChars="200"/>
        <w:rPr>
          <w:color w:val="auto"/>
          <w:highlight w:val="none"/>
        </w:rPr>
      </w:pPr>
      <w:r>
        <w:rPr>
          <w:color w:val="auto"/>
          <w:highlight w:val="none"/>
        </w:rPr>
        <w:t xml:space="preserve">4. </w:t>
      </w:r>
      <w:r>
        <w:rPr>
          <w:rFonts w:hAnsi="宋体"/>
          <w:color w:val="auto"/>
          <w:highlight w:val="none"/>
        </w:rPr>
        <w:t>工程</w:t>
      </w:r>
      <w:r>
        <w:rPr>
          <w:rFonts w:hAnsi="宋体"/>
          <w:color w:val="auto"/>
          <w:kern w:val="0"/>
          <w:highlight w:val="none"/>
        </w:rPr>
        <w:t>概算投资额</w:t>
      </w:r>
      <w:r>
        <w:rPr>
          <w:rFonts w:hint="eastAsia" w:hAnsi="宋体"/>
          <w:color w:val="auto"/>
          <w:kern w:val="0"/>
          <w:highlight w:val="none"/>
        </w:rPr>
        <w:t>（</w:t>
      </w:r>
      <w:r>
        <w:rPr>
          <w:rFonts w:hAnsi="宋体"/>
          <w:color w:val="auto"/>
          <w:kern w:val="0"/>
          <w:highlight w:val="none"/>
        </w:rPr>
        <w:t>或建筑安装工程费</w:t>
      </w:r>
      <w:r>
        <w:rPr>
          <w:rFonts w:hint="eastAsia" w:hAnsi="宋体"/>
          <w:color w:val="auto"/>
          <w:kern w:val="0"/>
          <w:highlight w:val="none"/>
        </w:rPr>
        <w:t>）</w:t>
      </w:r>
      <w:r>
        <w:rPr>
          <w:rFonts w:hAnsi="宋体"/>
          <w:color w:val="auto"/>
          <w:highlight w:val="none"/>
        </w:rPr>
        <w:t>：。</w:t>
      </w:r>
    </w:p>
    <w:p>
      <w:pPr>
        <w:adjustRightInd w:val="0"/>
        <w:snapToGrid w:val="0"/>
        <w:spacing w:line="360" w:lineRule="auto"/>
        <w:ind w:firstLine="422" w:firstLineChars="200"/>
        <w:outlineLvl w:val="0"/>
        <w:rPr>
          <w:b/>
          <w:color w:val="auto"/>
          <w:highlight w:val="none"/>
        </w:rPr>
      </w:pPr>
      <w:bookmarkStart w:id="63" w:name="_Toc459567802"/>
      <w:bookmarkStart w:id="64" w:name="_Toc473030495"/>
      <w:bookmarkStart w:id="65" w:name="_Toc3271"/>
      <w:r>
        <w:rPr>
          <w:rFonts w:hAnsi="宋体"/>
          <w:b/>
          <w:color w:val="auto"/>
          <w:highlight w:val="none"/>
        </w:rPr>
        <w:t>二、词语限定</w:t>
      </w:r>
      <w:bookmarkEnd w:id="63"/>
      <w:bookmarkEnd w:id="64"/>
      <w:bookmarkEnd w:id="65"/>
    </w:p>
    <w:p>
      <w:pPr>
        <w:adjustRightInd w:val="0"/>
        <w:snapToGrid w:val="0"/>
        <w:spacing w:line="360" w:lineRule="auto"/>
        <w:ind w:firstLine="420" w:firstLineChars="200"/>
        <w:rPr>
          <w:color w:val="auto"/>
          <w:highlight w:val="none"/>
        </w:rPr>
      </w:pPr>
      <w:r>
        <w:rPr>
          <w:rFonts w:hAnsi="宋体"/>
          <w:color w:val="auto"/>
          <w:highlight w:val="none"/>
        </w:rPr>
        <w:t>协议书中相关词语的含义与通用条件中的定义与解释相同。</w:t>
      </w:r>
    </w:p>
    <w:p>
      <w:pPr>
        <w:adjustRightInd w:val="0"/>
        <w:snapToGrid w:val="0"/>
        <w:spacing w:line="360" w:lineRule="auto"/>
        <w:ind w:firstLine="422" w:firstLineChars="200"/>
        <w:outlineLvl w:val="0"/>
        <w:rPr>
          <w:b/>
          <w:color w:val="auto"/>
          <w:highlight w:val="none"/>
        </w:rPr>
      </w:pPr>
      <w:bookmarkStart w:id="66" w:name="_Toc459567803"/>
      <w:bookmarkStart w:id="67" w:name="_Toc473030496"/>
      <w:bookmarkStart w:id="68" w:name="_Toc349554753"/>
      <w:bookmarkStart w:id="69" w:name="_Toc22577"/>
      <w:r>
        <w:rPr>
          <w:rFonts w:hAnsi="宋体"/>
          <w:b/>
          <w:color w:val="auto"/>
          <w:highlight w:val="none"/>
        </w:rPr>
        <w:t>三、组成本合同的文件</w:t>
      </w:r>
      <w:bookmarkEnd w:id="66"/>
      <w:bookmarkEnd w:id="67"/>
      <w:bookmarkEnd w:id="68"/>
      <w:bookmarkEnd w:id="69"/>
    </w:p>
    <w:p>
      <w:pPr>
        <w:adjustRightInd w:val="0"/>
        <w:snapToGrid w:val="0"/>
        <w:spacing w:line="360" w:lineRule="auto"/>
        <w:ind w:firstLine="420" w:firstLineChars="200"/>
        <w:rPr>
          <w:rFonts w:hAnsi="宋体"/>
          <w:color w:val="auto"/>
          <w:highlight w:val="none"/>
        </w:rPr>
      </w:pPr>
      <w:r>
        <w:rPr>
          <w:color w:val="auto"/>
          <w:highlight w:val="none"/>
        </w:rPr>
        <w:t xml:space="preserve">1. </w:t>
      </w:r>
      <w:r>
        <w:rPr>
          <w:rFonts w:hAnsi="宋体"/>
          <w:color w:val="auto"/>
          <w:highlight w:val="none"/>
        </w:rPr>
        <w:t>协议书；</w:t>
      </w:r>
    </w:p>
    <w:p>
      <w:pPr>
        <w:adjustRightInd w:val="0"/>
        <w:snapToGrid w:val="0"/>
        <w:spacing w:line="360" w:lineRule="auto"/>
        <w:ind w:firstLine="420" w:firstLineChars="200"/>
        <w:rPr>
          <w:rFonts w:hAnsi="宋体"/>
          <w:color w:val="auto"/>
          <w:highlight w:val="none"/>
        </w:rPr>
      </w:pPr>
      <w:r>
        <w:rPr>
          <w:color w:val="auto"/>
          <w:highlight w:val="none"/>
        </w:rPr>
        <w:t xml:space="preserve">2. </w:t>
      </w:r>
      <w:r>
        <w:rPr>
          <w:rFonts w:hAnsi="宋体"/>
          <w:color w:val="auto"/>
          <w:highlight w:val="none"/>
        </w:rPr>
        <w:t>中标通知书（适用于招标工程）或委托书（适用于非招标工程）；</w:t>
      </w:r>
    </w:p>
    <w:p>
      <w:pPr>
        <w:adjustRightInd w:val="0"/>
        <w:snapToGrid w:val="0"/>
        <w:spacing w:line="360" w:lineRule="auto"/>
        <w:ind w:firstLine="420" w:firstLineChars="200"/>
        <w:rPr>
          <w:rFonts w:hAnsi="宋体"/>
          <w:color w:val="auto"/>
          <w:highlight w:val="none"/>
        </w:rPr>
      </w:pPr>
      <w:r>
        <w:rPr>
          <w:color w:val="auto"/>
          <w:highlight w:val="none"/>
        </w:rPr>
        <w:t xml:space="preserve">3. </w:t>
      </w:r>
      <w:r>
        <w:rPr>
          <w:rFonts w:hAnsi="宋体"/>
          <w:color w:val="auto"/>
          <w:highlight w:val="none"/>
        </w:rPr>
        <w:t>投标文件（适用于招标工程）或监理与相关服务建议书（适用于非招标工程）；</w:t>
      </w:r>
    </w:p>
    <w:p>
      <w:pPr>
        <w:adjustRightInd w:val="0"/>
        <w:snapToGrid w:val="0"/>
        <w:spacing w:line="360" w:lineRule="auto"/>
        <w:ind w:firstLine="420" w:firstLineChars="200"/>
        <w:rPr>
          <w:color w:val="auto"/>
          <w:highlight w:val="none"/>
        </w:rPr>
      </w:pPr>
      <w:r>
        <w:rPr>
          <w:color w:val="auto"/>
          <w:highlight w:val="none"/>
        </w:rPr>
        <w:t xml:space="preserve">4. </w:t>
      </w:r>
      <w:r>
        <w:rPr>
          <w:rFonts w:hAnsi="宋体"/>
          <w:color w:val="auto"/>
          <w:highlight w:val="none"/>
        </w:rPr>
        <w:t>专用条件；</w:t>
      </w:r>
    </w:p>
    <w:p>
      <w:pPr>
        <w:adjustRightInd w:val="0"/>
        <w:snapToGrid w:val="0"/>
        <w:spacing w:line="360" w:lineRule="auto"/>
        <w:ind w:firstLine="420" w:firstLineChars="200"/>
        <w:rPr>
          <w:rFonts w:hAnsi="宋体"/>
          <w:color w:val="auto"/>
          <w:highlight w:val="none"/>
        </w:rPr>
      </w:pPr>
      <w:r>
        <w:rPr>
          <w:color w:val="auto"/>
          <w:highlight w:val="none"/>
        </w:rPr>
        <w:t xml:space="preserve">5. </w:t>
      </w:r>
      <w:r>
        <w:rPr>
          <w:rFonts w:hAnsi="宋体"/>
          <w:color w:val="auto"/>
          <w:highlight w:val="none"/>
        </w:rPr>
        <w:t>通用条件；</w:t>
      </w:r>
    </w:p>
    <w:p>
      <w:pPr>
        <w:adjustRightInd w:val="0"/>
        <w:snapToGrid w:val="0"/>
        <w:spacing w:line="360" w:lineRule="auto"/>
        <w:ind w:firstLine="420" w:firstLineChars="200"/>
        <w:rPr>
          <w:color w:val="auto"/>
          <w:highlight w:val="none"/>
        </w:rPr>
      </w:pPr>
      <w:r>
        <w:rPr>
          <w:color w:val="auto"/>
          <w:highlight w:val="none"/>
        </w:rPr>
        <w:t xml:space="preserve">6. </w:t>
      </w:r>
      <w:r>
        <w:rPr>
          <w:rFonts w:hAnsi="宋体"/>
          <w:color w:val="auto"/>
          <w:highlight w:val="none"/>
        </w:rPr>
        <w:t>附录，即：</w:t>
      </w:r>
    </w:p>
    <w:p>
      <w:pPr>
        <w:adjustRightInd w:val="0"/>
        <w:snapToGrid w:val="0"/>
        <w:spacing w:line="360" w:lineRule="auto"/>
        <w:ind w:firstLine="420" w:firstLineChars="200"/>
        <w:rPr>
          <w:color w:val="auto"/>
          <w:highlight w:val="none"/>
        </w:rPr>
      </w:pPr>
      <w:r>
        <w:rPr>
          <w:rFonts w:hAnsi="宋体"/>
          <w:color w:val="auto"/>
          <w:highlight w:val="none"/>
        </w:rPr>
        <w:t>附录</w:t>
      </w:r>
      <w:r>
        <w:rPr>
          <w:color w:val="auto"/>
          <w:highlight w:val="none"/>
        </w:rPr>
        <w:t xml:space="preserve">A  </w:t>
      </w:r>
      <w:r>
        <w:rPr>
          <w:rFonts w:hAnsi="宋体"/>
          <w:color w:val="auto"/>
          <w:highlight w:val="none"/>
        </w:rPr>
        <w:t>相关服务的范围和内容</w:t>
      </w:r>
    </w:p>
    <w:p>
      <w:pPr>
        <w:adjustRightInd w:val="0"/>
        <w:snapToGrid w:val="0"/>
        <w:spacing w:line="360" w:lineRule="auto"/>
        <w:ind w:firstLine="420" w:firstLineChars="200"/>
        <w:rPr>
          <w:color w:val="auto"/>
          <w:highlight w:val="none"/>
        </w:rPr>
      </w:pPr>
      <w:r>
        <w:rPr>
          <w:rFonts w:hAnsi="宋体"/>
          <w:color w:val="auto"/>
          <w:highlight w:val="none"/>
        </w:rPr>
        <w:t>附录</w:t>
      </w:r>
      <w:r>
        <w:rPr>
          <w:color w:val="auto"/>
          <w:highlight w:val="none"/>
        </w:rPr>
        <w:t xml:space="preserve">B  </w:t>
      </w:r>
      <w:r>
        <w:rPr>
          <w:rFonts w:hAnsi="宋体"/>
          <w:color w:val="auto"/>
          <w:highlight w:val="none"/>
        </w:rPr>
        <w:t>委托人派遣的人员和提供的</w:t>
      </w:r>
      <w:r>
        <w:rPr>
          <w:rFonts w:hAnsi="宋体"/>
          <w:bCs/>
          <w:color w:val="auto"/>
          <w:highlight w:val="none"/>
        </w:rPr>
        <w:t>房屋、资料</w:t>
      </w:r>
      <w:r>
        <w:rPr>
          <w:rFonts w:hAnsi="宋体"/>
          <w:color w:val="auto"/>
          <w:highlight w:val="none"/>
        </w:rPr>
        <w:t>、设备</w:t>
      </w:r>
    </w:p>
    <w:p>
      <w:pPr>
        <w:adjustRightInd w:val="0"/>
        <w:snapToGrid w:val="0"/>
        <w:spacing w:line="360" w:lineRule="auto"/>
        <w:ind w:firstLine="420" w:firstLineChars="200"/>
        <w:rPr>
          <w:color w:val="auto"/>
          <w:highlight w:val="none"/>
        </w:rPr>
      </w:pPr>
      <w:r>
        <w:rPr>
          <w:rFonts w:hAnsi="宋体"/>
          <w:color w:val="auto"/>
          <w:highlight w:val="none"/>
        </w:rPr>
        <w:t>本合同签订后，双方依法签订的补充协议也是本合同文件的组成部分。</w:t>
      </w:r>
    </w:p>
    <w:p>
      <w:pPr>
        <w:adjustRightInd w:val="0"/>
        <w:snapToGrid w:val="0"/>
        <w:spacing w:line="360" w:lineRule="auto"/>
        <w:ind w:firstLine="422" w:firstLineChars="200"/>
        <w:outlineLvl w:val="0"/>
        <w:rPr>
          <w:b/>
          <w:color w:val="auto"/>
          <w:highlight w:val="none"/>
        </w:rPr>
      </w:pPr>
      <w:bookmarkStart w:id="70" w:name="_Toc4215"/>
      <w:bookmarkStart w:id="71" w:name="_Toc349554754"/>
      <w:bookmarkStart w:id="72" w:name="_Toc459567804"/>
      <w:bookmarkStart w:id="73" w:name="_Toc473030497"/>
      <w:r>
        <w:rPr>
          <w:rFonts w:hAnsi="宋体"/>
          <w:b/>
          <w:color w:val="auto"/>
          <w:highlight w:val="none"/>
        </w:rPr>
        <w:t>四、总监理工程师</w:t>
      </w:r>
      <w:bookmarkEnd w:id="70"/>
      <w:bookmarkEnd w:id="71"/>
      <w:bookmarkEnd w:id="72"/>
      <w:bookmarkEnd w:id="73"/>
    </w:p>
    <w:p>
      <w:pPr>
        <w:adjustRightInd w:val="0"/>
        <w:snapToGrid w:val="0"/>
        <w:spacing w:line="360" w:lineRule="auto"/>
        <w:ind w:firstLine="420" w:firstLineChars="200"/>
        <w:rPr>
          <w:color w:val="auto"/>
          <w:kern w:val="0"/>
          <w:highlight w:val="none"/>
        </w:rPr>
      </w:pPr>
      <w:r>
        <w:rPr>
          <w:rFonts w:hAnsi="宋体"/>
          <w:color w:val="auto"/>
          <w:kern w:val="0"/>
          <w:highlight w:val="none"/>
        </w:rPr>
        <w:t>总监理工程师姓名：，身份证号码：，注册号：。</w:t>
      </w:r>
    </w:p>
    <w:p>
      <w:pPr>
        <w:adjustRightInd w:val="0"/>
        <w:snapToGrid w:val="0"/>
        <w:spacing w:line="360" w:lineRule="auto"/>
        <w:ind w:firstLine="422" w:firstLineChars="200"/>
        <w:outlineLvl w:val="0"/>
        <w:rPr>
          <w:b/>
          <w:color w:val="auto"/>
          <w:highlight w:val="none"/>
        </w:rPr>
      </w:pPr>
      <w:bookmarkStart w:id="74" w:name="_Toc459567805"/>
      <w:bookmarkStart w:id="75" w:name="_Toc27655"/>
      <w:bookmarkStart w:id="76" w:name="_Toc473030498"/>
      <w:bookmarkStart w:id="77" w:name="_Toc349554755"/>
      <w:r>
        <w:rPr>
          <w:rFonts w:hAnsi="宋体"/>
          <w:b/>
          <w:color w:val="auto"/>
          <w:highlight w:val="none"/>
        </w:rPr>
        <w:t>五、签约酬金</w:t>
      </w:r>
      <w:bookmarkEnd w:id="74"/>
      <w:bookmarkEnd w:id="75"/>
      <w:bookmarkEnd w:id="76"/>
      <w:bookmarkEnd w:id="77"/>
    </w:p>
    <w:p>
      <w:pPr>
        <w:adjustRightInd w:val="0"/>
        <w:snapToGrid w:val="0"/>
        <w:spacing w:line="360" w:lineRule="auto"/>
        <w:ind w:firstLine="420" w:firstLineChars="200"/>
        <w:rPr>
          <w:color w:val="auto"/>
          <w:highlight w:val="none"/>
        </w:rPr>
      </w:pPr>
      <w:r>
        <w:rPr>
          <w:rFonts w:hAnsi="宋体"/>
          <w:color w:val="auto"/>
          <w:highlight w:val="none"/>
        </w:rPr>
        <w:t>签约酬金（大写）：（</w:t>
      </w:r>
      <w:r>
        <w:rPr>
          <w:color w:val="auto"/>
          <w:highlight w:val="none"/>
        </w:rPr>
        <w:t xml:space="preserve">¥        </w:t>
      </w:r>
      <w:r>
        <w:rPr>
          <w:rFonts w:hAnsi="宋体"/>
          <w:color w:val="auto"/>
          <w:highlight w:val="none"/>
        </w:rPr>
        <w:t>）。</w:t>
      </w:r>
    </w:p>
    <w:p>
      <w:pPr>
        <w:adjustRightInd w:val="0"/>
        <w:snapToGrid w:val="0"/>
        <w:spacing w:line="360" w:lineRule="auto"/>
        <w:ind w:firstLine="420" w:firstLineChars="200"/>
        <w:rPr>
          <w:color w:val="auto"/>
          <w:highlight w:val="none"/>
        </w:rPr>
      </w:pPr>
      <w:r>
        <w:rPr>
          <w:rFonts w:hAnsi="宋体"/>
          <w:color w:val="auto"/>
          <w:highlight w:val="none"/>
        </w:rPr>
        <w:t>包括：</w:t>
      </w:r>
    </w:p>
    <w:p>
      <w:pPr>
        <w:adjustRightInd w:val="0"/>
        <w:snapToGrid w:val="0"/>
        <w:spacing w:line="360" w:lineRule="auto"/>
        <w:ind w:firstLine="420" w:firstLineChars="200"/>
        <w:rPr>
          <w:color w:val="auto"/>
          <w:highlight w:val="none"/>
        </w:rPr>
      </w:pPr>
      <w:r>
        <w:rPr>
          <w:color w:val="auto"/>
          <w:highlight w:val="none"/>
        </w:rPr>
        <w:t xml:space="preserve">1. </w:t>
      </w:r>
      <w:r>
        <w:rPr>
          <w:rFonts w:hAnsi="宋体"/>
          <w:color w:val="auto"/>
          <w:highlight w:val="none"/>
        </w:rPr>
        <w:t>施工阶段监理酬金：。</w:t>
      </w:r>
    </w:p>
    <w:p>
      <w:pPr>
        <w:adjustRightInd w:val="0"/>
        <w:snapToGrid w:val="0"/>
        <w:spacing w:line="360" w:lineRule="auto"/>
        <w:ind w:firstLine="420" w:firstLineChars="200"/>
        <w:rPr>
          <w:color w:val="auto"/>
          <w:highlight w:val="none"/>
        </w:rPr>
      </w:pPr>
      <w:r>
        <w:rPr>
          <w:color w:val="auto"/>
          <w:highlight w:val="none"/>
        </w:rPr>
        <w:t xml:space="preserve">2. </w:t>
      </w:r>
      <w:r>
        <w:rPr>
          <w:rFonts w:hAnsi="宋体"/>
          <w:color w:val="auto"/>
          <w:highlight w:val="none"/>
        </w:rPr>
        <w:t>相关服务酬金：。</w:t>
      </w:r>
    </w:p>
    <w:p>
      <w:pPr>
        <w:adjustRightInd w:val="0"/>
        <w:snapToGrid w:val="0"/>
        <w:spacing w:line="360" w:lineRule="auto"/>
        <w:ind w:firstLine="420" w:firstLineChars="200"/>
        <w:rPr>
          <w:color w:val="auto"/>
          <w:highlight w:val="none"/>
        </w:rPr>
      </w:pPr>
      <w:r>
        <w:rPr>
          <w:rFonts w:hAnsi="宋体"/>
          <w:color w:val="auto"/>
          <w:highlight w:val="none"/>
        </w:rPr>
        <w:t>其中：</w:t>
      </w:r>
    </w:p>
    <w:p>
      <w:pPr>
        <w:adjustRightInd w:val="0"/>
        <w:snapToGrid w:val="0"/>
        <w:spacing w:line="360" w:lineRule="auto"/>
        <w:ind w:firstLine="840" w:firstLineChars="400"/>
        <w:rPr>
          <w:color w:val="auto"/>
          <w:highlight w:val="none"/>
        </w:rPr>
      </w:pPr>
      <w:r>
        <w:rPr>
          <w:rFonts w:hAnsi="宋体"/>
          <w:color w:val="auto"/>
          <w:kern w:val="0"/>
          <w:highlight w:val="none"/>
        </w:rPr>
        <w:t>（</w:t>
      </w:r>
      <w:r>
        <w:rPr>
          <w:color w:val="auto"/>
          <w:kern w:val="0"/>
          <w:highlight w:val="none"/>
        </w:rPr>
        <w:t>1</w:t>
      </w:r>
      <w:r>
        <w:rPr>
          <w:rFonts w:hAnsi="宋体"/>
          <w:color w:val="auto"/>
          <w:kern w:val="0"/>
          <w:highlight w:val="none"/>
        </w:rPr>
        <w:t>）勘察阶段服务</w:t>
      </w:r>
      <w:r>
        <w:rPr>
          <w:rFonts w:hAnsi="宋体"/>
          <w:color w:val="auto"/>
          <w:highlight w:val="none"/>
        </w:rPr>
        <w:t>酬金：</w:t>
      </w:r>
      <w:r>
        <w:rPr>
          <w:rFonts w:hint="eastAsia"/>
          <w:color w:val="auto"/>
          <w:highlight w:val="none"/>
          <w:u w:val="single"/>
        </w:rPr>
        <w:t xml:space="preserve">/   </w:t>
      </w:r>
      <w:r>
        <w:rPr>
          <w:rFonts w:hAnsi="宋体"/>
          <w:color w:val="auto"/>
          <w:highlight w:val="none"/>
        </w:rPr>
        <w:t>。</w:t>
      </w:r>
    </w:p>
    <w:p>
      <w:pPr>
        <w:adjustRightInd w:val="0"/>
        <w:snapToGrid w:val="0"/>
        <w:spacing w:line="360" w:lineRule="auto"/>
        <w:ind w:firstLine="840" w:firstLineChars="400"/>
        <w:rPr>
          <w:color w:val="auto"/>
          <w:highlight w:val="none"/>
        </w:rPr>
      </w:pPr>
      <w:r>
        <w:rPr>
          <w:rFonts w:hAnsi="宋体"/>
          <w:color w:val="auto"/>
          <w:kern w:val="0"/>
          <w:highlight w:val="none"/>
        </w:rPr>
        <w:t>（</w:t>
      </w:r>
      <w:r>
        <w:rPr>
          <w:color w:val="auto"/>
          <w:kern w:val="0"/>
          <w:highlight w:val="none"/>
        </w:rPr>
        <w:t>2</w:t>
      </w:r>
      <w:r>
        <w:rPr>
          <w:rFonts w:hAnsi="宋体"/>
          <w:color w:val="auto"/>
          <w:kern w:val="0"/>
          <w:highlight w:val="none"/>
        </w:rPr>
        <w:t>）设计阶段服务</w:t>
      </w:r>
      <w:r>
        <w:rPr>
          <w:rFonts w:hAnsi="宋体"/>
          <w:color w:val="auto"/>
          <w:highlight w:val="none"/>
        </w:rPr>
        <w:t>酬金：</w:t>
      </w:r>
      <w:r>
        <w:rPr>
          <w:rFonts w:hint="eastAsia"/>
          <w:color w:val="auto"/>
          <w:highlight w:val="none"/>
          <w:u w:val="single"/>
        </w:rPr>
        <w:t xml:space="preserve">/   </w:t>
      </w:r>
      <w:r>
        <w:rPr>
          <w:rFonts w:hAnsi="宋体"/>
          <w:color w:val="auto"/>
          <w:highlight w:val="none"/>
        </w:rPr>
        <w:t>。</w:t>
      </w:r>
    </w:p>
    <w:p>
      <w:pPr>
        <w:adjustRightInd w:val="0"/>
        <w:snapToGrid w:val="0"/>
        <w:spacing w:line="360" w:lineRule="auto"/>
        <w:ind w:firstLine="840" w:firstLineChars="400"/>
        <w:rPr>
          <w:color w:val="auto"/>
          <w:highlight w:val="none"/>
        </w:rPr>
      </w:pPr>
      <w:r>
        <w:rPr>
          <w:rFonts w:hAnsi="宋体"/>
          <w:color w:val="auto"/>
          <w:kern w:val="0"/>
          <w:highlight w:val="none"/>
        </w:rPr>
        <w:t>（</w:t>
      </w:r>
      <w:r>
        <w:rPr>
          <w:color w:val="auto"/>
          <w:kern w:val="0"/>
          <w:highlight w:val="none"/>
        </w:rPr>
        <w:t>3</w:t>
      </w:r>
      <w:r>
        <w:rPr>
          <w:rFonts w:hAnsi="宋体"/>
          <w:color w:val="auto"/>
          <w:kern w:val="0"/>
          <w:highlight w:val="none"/>
        </w:rPr>
        <w:t>）保修阶段服务</w:t>
      </w:r>
      <w:r>
        <w:rPr>
          <w:rFonts w:hAnsi="宋体"/>
          <w:color w:val="auto"/>
          <w:highlight w:val="none"/>
        </w:rPr>
        <w:t>酬金：。</w:t>
      </w:r>
    </w:p>
    <w:p>
      <w:pPr>
        <w:adjustRightInd w:val="0"/>
        <w:snapToGrid w:val="0"/>
        <w:spacing w:line="360" w:lineRule="auto"/>
        <w:ind w:firstLine="840" w:firstLineChars="400"/>
        <w:rPr>
          <w:rFonts w:hAnsi="宋体"/>
          <w:color w:val="auto"/>
          <w:highlight w:val="none"/>
        </w:rPr>
      </w:pPr>
      <w:r>
        <w:rPr>
          <w:rFonts w:hAnsi="宋体"/>
          <w:color w:val="auto"/>
          <w:kern w:val="0"/>
          <w:highlight w:val="none"/>
        </w:rPr>
        <w:t>（</w:t>
      </w:r>
      <w:r>
        <w:rPr>
          <w:color w:val="auto"/>
          <w:kern w:val="0"/>
          <w:highlight w:val="none"/>
        </w:rPr>
        <w:t>4</w:t>
      </w:r>
      <w:r>
        <w:rPr>
          <w:rFonts w:hAnsi="宋体"/>
          <w:color w:val="auto"/>
          <w:kern w:val="0"/>
          <w:highlight w:val="none"/>
        </w:rPr>
        <w:t>）</w:t>
      </w:r>
      <w:r>
        <w:rPr>
          <w:rFonts w:hAnsi="宋体"/>
          <w:color w:val="auto"/>
          <w:highlight w:val="none"/>
        </w:rPr>
        <w:t>其他相关服务酬金：</w:t>
      </w:r>
      <w:bookmarkStart w:id="78" w:name="_Toc349554756"/>
      <w:r>
        <w:rPr>
          <w:rFonts w:hint="eastAsia"/>
          <w:color w:val="auto"/>
          <w:highlight w:val="none"/>
          <w:u w:val="single"/>
        </w:rPr>
        <w:t xml:space="preserve"> /  </w:t>
      </w:r>
      <w:r>
        <w:rPr>
          <w:rFonts w:hAnsi="宋体"/>
          <w:color w:val="auto"/>
          <w:highlight w:val="none"/>
        </w:rPr>
        <w:t>。</w:t>
      </w:r>
    </w:p>
    <w:p>
      <w:pPr>
        <w:adjustRightInd w:val="0"/>
        <w:snapToGrid w:val="0"/>
        <w:spacing w:line="360" w:lineRule="auto"/>
        <w:ind w:firstLine="422" w:firstLineChars="200"/>
        <w:rPr>
          <w:b/>
          <w:color w:val="auto"/>
          <w:highlight w:val="none"/>
        </w:rPr>
      </w:pPr>
      <w:r>
        <w:rPr>
          <w:rFonts w:hAnsi="宋体"/>
          <w:b/>
          <w:color w:val="auto"/>
          <w:highlight w:val="none"/>
        </w:rPr>
        <w:t>六、期限</w:t>
      </w:r>
      <w:bookmarkEnd w:id="78"/>
    </w:p>
    <w:p>
      <w:pPr>
        <w:adjustRightInd w:val="0"/>
        <w:snapToGrid w:val="0"/>
        <w:spacing w:line="360" w:lineRule="auto"/>
        <w:ind w:firstLine="525" w:firstLineChars="250"/>
        <w:rPr>
          <w:color w:val="auto"/>
          <w:highlight w:val="none"/>
        </w:rPr>
      </w:pPr>
      <w:r>
        <w:rPr>
          <w:color w:val="auto"/>
          <w:kern w:val="0"/>
          <w:highlight w:val="none"/>
        </w:rPr>
        <w:t xml:space="preserve">1. </w:t>
      </w:r>
      <w:r>
        <w:rPr>
          <w:rFonts w:hAnsi="宋体"/>
          <w:color w:val="auto"/>
          <w:kern w:val="0"/>
          <w:highlight w:val="none"/>
        </w:rPr>
        <w:t>施工阶段</w:t>
      </w:r>
      <w:r>
        <w:rPr>
          <w:rFonts w:hAnsi="宋体"/>
          <w:color w:val="auto"/>
          <w:highlight w:val="none"/>
        </w:rPr>
        <w:t>监理</w:t>
      </w:r>
      <w:r>
        <w:rPr>
          <w:rFonts w:hint="eastAsia" w:hAnsi="宋体"/>
          <w:color w:val="auto"/>
          <w:highlight w:val="none"/>
        </w:rPr>
        <w:t>服务</w:t>
      </w:r>
      <w:r>
        <w:rPr>
          <w:rFonts w:hAnsi="宋体"/>
          <w:color w:val="auto"/>
          <w:highlight w:val="none"/>
        </w:rPr>
        <w:t>期限：</w:t>
      </w:r>
    </w:p>
    <w:p>
      <w:pPr>
        <w:adjustRightInd w:val="0"/>
        <w:snapToGrid w:val="0"/>
        <w:spacing w:line="360" w:lineRule="auto"/>
        <w:ind w:firstLine="525" w:firstLineChars="250"/>
        <w:rPr>
          <w:color w:val="auto"/>
          <w:highlight w:val="none"/>
        </w:rPr>
      </w:pPr>
      <w:r>
        <w:rPr>
          <w:rFonts w:hAnsi="宋体"/>
          <w:color w:val="auto"/>
          <w:highlight w:val="none"/>
        </w:rPr>
        <w:t>自年月日始，至年月日止。</w:t>
      </w:r>
      <w:r>
        <w:rPr>
          <w:rFonts w:hint="eastAsia" w:hAnsi="宋体"/>
          <w:color w:val="auto"/>
          <w:highlight w:val="none"/>
        </w:rPr>
        <w:t>（施工阶</w:t>
      </w:r>
      <w:r>
        <w:rPr>
          <w:rFonts w:hint="eastAsia"/>
          <w:color w:val="auto"/>
          <w:highlight w:val="none"/>
        </w:rPr>
        <w:t>段监理服务期限应为</w:t>
      </w:r>
      <w:r>
        <w:rPr>
          <w:color w:val="auto"/>
          <w:highlight w:val="none"/>
        </w:rPr>
        <w:t>自委托人通知监理进场</w:t>
      </w:r>
      <w:r>
        <w:rPr>
          <w:rFonts w:hint="eastAsia"/>
          <w:color w:val="auto"/>
          <w:highlight w:val="none"/>
        </w:rPr>
        <w:t>之日始至工程竣工验收合格之日止，</w:t>
      </w:r>
      <w:r>
        <w:rPr>
          <w:color w:val="auto"/>
          <w:highlight w:val="none"/>
        </w:rPr>
        <w:t>原则上招标人应设定为与所监理项目的施工工期一致，特殊情况下</w:t>
      </w:r>
      <w:r>
        <w:rPr>
          <w:rFonts w:hint="eastAsia"/>
          <w:color w:val="auto"/>
          <w:highlight w:val="none"/>
        </w:rPr>
        <w:t>施工阶段</w:t>
      </w:r>
      <w:r>
        <w:rPr>
          <w:color w:val="auto"/>
          <w:highlight w:val="none"/>
        </w:rPr>
        <w:t>监理</w:t>
      </w:r>
      <w:r>
        <w:rPr>
          <w:rFonts w:hint="eastAsia"/>
          <w:color w:val="auto"/>
          <w:highlight w:val="none"/>
        </w:rPr>
        <w:t>服务</w:t>
      </w:r>
      <w:r>
        <w:rPr>
          <w:color w:val="auto"/>
          <w:highlight w:val="none"/>
        </w:rPr>
        <w:t>期均不能大于施工工期的110%</w:t>
      </w:r>
      <w:r>
        <w:rPr>
          <w:rFonts w:hint="eastAsia"/>
          <w:color w:val="auto"/>
          <w:highlight w:val="none"/>
        </w:rPr>
        <w:t>。如施工工期超过110%，施工阶段监理服务期相应延长但要追加延期费用。</w:t>
      </w:r>
      <w:r>
        <w:rPr>
          <w:rFonts w:hint="eastAsia" w:hAnsi="宋体"/>
          <w:color w:val="auto"/>
          <w:highlight w:val="none"/>
        </w:rPr>
        <w:t>）</w:t>
      </w:r>
    </w:p>
    <w:p>
      <w:pPr>
        <w:adjustRightInd w:val="0"/>
        <w:snapToGrid w:val="0"/>
        <w:spacing w:line="360" w:lineRule="auto"/>
        <w:ind w:firstLine="525" w:firstLineChars="250"/>
        <w:rPr>
          <w:color w:val="auto"/>
          <w:highlight w:val="none"/>
        </w:rPr>
      </w:pPr>
      <w:r>
        <w:rPr>
          <w:color w:val="auto"/>
          <w:kern w:val="0"/>
          <w:highlight w:val="none"/>
        </w:rPr>
        <w:t xml:space="preserve">2. </w:t>
      </w:r>
      <w:r>
        <w:rPr>
          <w:rFonts w:hAnsi="宋体"/>
          <w:color w:val="auto"/>
          <w:highlight w:val="none"/>
        </w:rPr>
        <w:t>相关服务期限：</w:t>
      </w:r>
    </w:p>
    <w:p>
      <w:pPr>
        <w:adjustRightInd w:val="0"/>
        <w:snapToGrid w:val="0"/>
        <w:spacing w:line="360" w:lineRule="auto"/>
        <w:ind w:firstLine="525" w:firstLineChars="250"/>
        <w:rPr>
          <w:color w:val="auto"/>
          <w:highlight w:val="none"/>
        </w:rPr>
      </w:pPr>
      <w:r>
        <w:rPr>
          <w:rFonts w:hAnsi="宋体"/>
          <w:color w:val="auto"/>
          <w:kern w:val="0"/>
          <w:highlight w:val="none"/>
        </w:rPr>
        <w:t>（</w:t>
      </w:r>
      <w:r>
        <w:rPr>
          <w:color w:val="auto"/>
          <w:kern w:val="0"/>
          <w:highlight w:val="none"/>
        </w:rPr>
        <w:t>1</w:t>
      </w:r>
      <w:r>
        <w:rPr>
          <w:rFonts w:hAnsi="宋体"/>
          <w:color w:val="auto"/>
          <w:kern w:val="0"/>
          <w:highlight w:val="none"/>
        </w:rPr>
        <w:t>）勘察阶段</w:t>
      </w:r>
      <w:r>
        <w:rPr>
          <w:rFonts w:hAnsi="宋体"/>
          <w:color w:val="auto"/>
          <w:highlight w:val="none"/>
        </w:rPr>
        <w:t>服务期限自年月日始，至年月日止。</w:t>
      </w:r>
    </w:p>
    <w:p>
      <w:pPr>
        <w:adjustRightInd w:val="0"/>
        <w:snapToGrid w:val="0"/>
        <w:spacing w:line="360" w:lineRule="auto"/>
        <w:ind w:firstLine="525" w:firstLineChars="250"/>
        <w:rPr>
          <w:color w:val="auto"/>
          <w:highlight w:val="none"/>
        </w:rPr>
      </w:pPr>
      <w:r>
        <w:rPr>
          <w:rFonts w:hAnsi="宋体"/>
          <w:color w:val="auto"/>
          <w:kern w:val="0"/>
          <w:highlight w:val="none"/>
        </w:rPr>
        <w:t>（</w:t>
      </w:r>
      <w:r>
        <w:rPr>
          <w:color w:val="auto"/>
          <w:kern w:val="0"/>
          <w:highlight w:val="none"/>
        </w:rPr>
        <w:t>2</w:t>
      </w:r>
      <w:r>
        <w:rPr>
          <w:rFonts w:hAnsi="宋体"/>
          <w:color w:val="auto"/>
          <w:kern w:val="0"/>
          <w:highlight w:val="none"/>
        </w:rPr>
        <w:t>）设计阶段</w:t>
      </w:r>
      <w:r>
        <w:rPr>
          <w:rFonts w:hAnsi="宋体"/>
          <w:color w:val="auto"/>
          <w:highlight w:val="none"/>
        </w:rPr>
        <w:t>服务期限自年月日始，至年月日止。</w:t>
      </w:r>
    </w:p>
    <w:p>
      <w:pPr>
        <w:adjustRightInd w:val="0"/>
        <w:snapToGrid w:val="0"/>
        <w:spacing w:line="360" w:lineRule="auto"/>
        <w:ind w:firstLine="525" w:firstLineChars="250"/>
        <w:rPr>
          <w:color w:val="auto"/>
          <w:highlight w:val="none"/>
        </w:rPr>
      </w:pPr>
      <w:r>
        <w:rPr>
          <w:rFonts w:hAnsi="宋体"/>
          <w:color w:val="auto"/>
          <w:kern w:val="0"/>
          <w:highlight w:val="none"/>
        </w:rPr>
        <w:t>（</w:t>
      </w:r>
      <w:r>
        <w:rPr>
          <w:color w:val="auto"/>
          <w:kern w:val="0"/>
          <w:highlight w:val="none"/>
        </w:rPr>
        <w:t>3</w:t>
      </w:r>
      <w:r>
        <w:rPr>
          <w:rFonts w:hAnsi="宋体"/>
          <w:color w:val="auto"/>
          <w:kern w:val="0"/>
          <w:highlight w:val="none"/>
        </w:rPr>
        <w:t>）保修阶段</w:t>
      </w:r>
      <w:r>
        <w:rPr>
          <w:rFonts w:hAnsi="宋体"/>
          <w:color w:val="auto"/>
          <w:highlight w:val="none"/>
        </w:rPr>
        <w:t>服务期限自年月日始，至年月日止。</w:t>
      </w:r>
    </w:p>
    <w:p>
      <w:pPr>
        <w:adjustRightInd w:val="0"/>
        <w:snapToGrid w:val="0"/>
        <w:spacing w:line="360" w:lineRule="auto"/>
        <w:ind w:firstLine="525" w:firstLineChars="250"/>
        <w:rPr>
          <w:color w:val="auto"/>
          <w:highlight w:val="none"/>
        </w:rPr>
      </w:pPr>
      <w:r>
        <w:rPr>
          <w:rFonts w:hAnsi="宋体"/>
          <w:color w:val="auto"/>
          <w:kern w:val="0"/>
          <w:highlight w:val="none"/>
        </w:rPr>
        <w:t>（</w:t>
      </w:r>
      <w:r>
        <w:rPr>
          <w:color w:val="auto"/>
          <w:kern w:val="0"/>
          <w:highlight w:val="none"/>
        </w:rPr>
        <w:t>4</w:t>
      </w:r>
      <w:r>
        <w:rPr>
          <w:rFonts w:hAnsi="宋体"/>
          <w:color w:val="auto"/>
          <w:kern w:val="0"/>
          <w:highlight w:val="none"/>
        </w:rPr>
        <w:t>）</w:t>
      </w:r>
      <w:r>
        <w:rPr>
          <w:rFonts w:hAnsi="宋体"/>
          <w:color w:val="auto"/>
          <w:highlight w:val="none"/>
        </w:rPr>
        <w:t>其他相关服务期限自年月日始，至年月日止。</w:t>
      </w:r>
    </w:p>
    <w:p>
      <w:pPr>
        <w:adjustRightInd w:val="0"/>
        <w:snapToGrid w:val="0"/>
        <w:spacing w:line="360" w:lineRule="auto"/>
        <w:ind w:firstLine="422" w:firstLineChars="200"/>
        <w:outlineLvl w:val="0"/>
        <w:rPr>
          <w:rFonts w:hAnsi="宋体"/>
          <w:b/>
          <w:color w:val="auto"/>
          <w:highlight w:val="none"/>
        </w:rPr>
      </w:pPr>
      <w:bookmarkStart w:id="79" w:name="_Toc459567806"/>
      <w:bookmarkStart w:id="80" w:name="_Toc4188"/>
      <w:bookmarkStart w:id="81" w:name="_Toc349554757"/>
      <w:bookmarkStart w:id="82" w:name="_Toc473030499"/>
      <w:r>
        <w:rPr>
          <w:rFonts w:hAnsi="宋体"/>
          <w:b/>
          <w:color w:val="auto"/>
          <w:highlight w:val="none"/>
        </w:rPr>
        <w:t>七、双方承诺</w:t>
      </w:r>
      <w:bookmarkEnd w:id="79"/>
      <w:bookmarkEnd w:id="80"/>
      <w:bookmarkEnd w:id="81"/>
      <w:bookmarkEnd w:id="82"/>
    </w:p>
    <w:p>
      <w:pPr>
        <w:adjustRightInd w:val="0"/>
        <w:snapToGrid w:val="0"/>
        <w:spacing w:line="360" w:lineRule="auto"/>
        <w:ind w:firstLine="420" w:firstLineChars="200"/>
        <w:rPr>
          <w:color w:val="auto"/>
          <w:highlight w:val="none"/>
        </w:rPr>
      </w:pPr>
      <w:bookmarkStart w:id="83" w:name="_Toc349554758"/>
      <w:r>
        <w:rPr>
          <w:color w:val="auto"/>
          <w:highlight w:val="none"/>
        </w:rPr>
        <w:t xml:space="preserve">1. </w:t>
      </w:r>
      <w:r>
        <w:rPr>
          <w:rFonts w:hAnsi="宋体"/>
          <w:color w:val="auto"/>
          <w:highlight w:val="none"/>
        </w:rPr>
        <w:t>监理人向委托人承诺，按照本合同约定提供监理与相关服务。</w:t>
      </w:r>
      <w:bookmarkEnd w:id="83"/>
    </w:p>
    <w:p>
      <w:pPr>
        <w:adjustRightInd w:val="0"/>
        <w:snapToGrid w:val="0"/>
        <w:spacing w:line="360" w:lineRule="auto"/>
        <w:ind w:firstLine="420" w:firstLineChars="200"/>
        <w:rPr>
          <w:color w:val="auto"/>
          <w:highlight w:val="none"/>
        </w:rPr>
      </w:pPr>
      <w:bookmarkStart w:id="84" w:name="_Toc349554759"/>
      <w:r>
        <w:rPr>
          <w:color w:val="auto"/>
          <w:highlight w:val="none"/>
        </w:rPr>
        <w:t xml:space="preserve">2. </w:t>
      </w:r>
      <w:r>
        <w:rPr>
          <w:rFonts w:hAnsi="宋体"/>
          <w:color w:val="auto"/>
          <w:highlight w:val="none"/>
        </w:rPr>
        <w:t>委托人向监理人承诺，按照本合同约定派遣相应的人员，提供房屋、资料、设备，并按本合同约定支付酬金。</w:t>
      </w:r>
      <w:bookmarkEnd w:id="84"/>
    </w:p>
    <w:p>
      <w:pPr>
        <w:adjustRightInd w:val="0"/>
        <w:snapToGrid w:val="0"/>
        <w:spacing w:line="360" w:lineRule="auto"/>
        <w:ind w:firstLine="422" w:firstLineChars="200"/>
        <w:outlineLvl w:val="0"/>
        <w:rPr>
          <w:b/>
          <w:color w:val="auto"/>
          <w:highlight w:val="none"/>
        </w:rPr>
      </w:pPr>
      <w:bookmarkStart w:id="85" w:name="_Toc29116"/>
      <w:bookmarkStart w:id="86" w:name="_Toc473030500"/>
      <w:bookmarkStart w:id="87" w:name="_Toc349554760"/>
      <w:bookmarkStart w:id="88" w:name="_Toc459567807"/>
      <w:r>
        <w:rPr>
          <w:rFonts w:hAnsi="宋体"/>
          <w:b/>
          <w:color w:val="auto"/>
          <w:highlight w:val="none"/>
        </w:rPr>
        <w:t>八、合同订立</w:t>
      </w:r>
      <w:bookmarkEnd w:id="85"/>
      <w:bookmarkEnd w:id="86"/>
      <w:bookmarkEnd w:id="87"/>
      <w:bookmarkEnd w:id="88"/>
    </w:p>
    <w:p>
      <w:pPr>
        <w:adjustRightInd w:val="0"/>
        <w:snapToGrid w:val="0"/>
        <w:spacing w:line="360" w:lineRule="auto"/>
        <w:ind w:firstLine="420" w:firstLineChars="200"/>
        <w:rPr>
          <w:color w:val="auto"/>
          <w:highlight w:val="none"/>
        </w:rPr>
      </w:pPr>
      <w:r>
        <w:rPr>
          <w:color w:val="auto"/>
          <w:highlight w:val="none"/>
        </w:rPr>
        <w:t xml:space="preserve">1. </w:t>
      </w:r>
      <w:r>
        <w:rPr>
          <w:rFonts w:hAnsi="宋体"/>
          <w:color w:val="auto"/>
          <w:highlight w:val="none"/>
        </w:rPr>
        <w:t>订立时间：年月日。</w:t>
      </w:r>
    </w:p>
    <w:p>
      <w:pPr>
        <w:adjustRightInd w:val="0"/>
        <w:snapToGrid w:val="0"/>
        <w:spacing w:line="360" w:lineRule="auto"/>
        <w:ind w:firstLine="420" w:firstLineChars="200"/>
        <w:rPr>
          <w:color w:val="auto"/>
          <w:highlight w:val="none"/>
        </w:rPr>
      </w:pPr>
      <w:r>
        <w:rPr>
          <w:color w:val="auto"/>
          <w:highlight w:val="none"/>
        </w:rPr>
        <w:t xml:space="preserve">2. </w:t>
      </w:r>
      <w:r>
        <w:rPr>
          <w:rFonts w:hAnsi="宋体"/>
          <w:color w:val="auto"/>
          <w:highlight w:val="none"/>
        </w:rPr>
        <w:t>订立地点：。</w:t>
      </w:r>
    </w:p>
    <w:p>
      <w:pPr>
        <w:adjustRightInd w:val="0"/>
        <w:snapToGrid w:val="0"/>
        <w:spacing w:line="360" w:lineRule="auto"/>
        <w:ind w:firstLine="420" w:firstLineChars="200"/>
        <w:rPr>
          <w:color w:val="auto"/>
          <w:highlight w:val="none"/>
        </w:rPr>
      </w:pPr>
      <w:r>
        <w:rPr>
          <w:color w:val="auto"/>
          <w:highlight w:val="none"/>
        </w:rPr>
        <w:t xml:space="preserve">3. </w:t>
      </w:r>
      <w:r>
        <w:rPr>
          <w:rFonts w:hAnsi="宋体"/>
          <w:color w:val="auto"/>
          <w:highlight w:val="none"/>
        </w:rPr>
        <w:t>本合同一式份，具有同等法律效力，双方各执份。</w:t>
      </w:r>
    </w:p>
    <w:p>
      <w:pPr>
        <w:adjustRightInd w:val="0"/>
        <w:snapToGrid w:val="0"/>
        <w:spacing w:line="360" w:lineRule="auto"/>
        <w:ind w:right="-126" w:rightChars="-60" w:firstLine="415" w:firstLineChars="198"/>
        <w:rPr>
          <w:color w:val="auto"/>
          <w:highlight w:val="none"/>
        </w:rPr>
      </w:pPr>
      <w:r>
        <w:rPr>
          <w:rFonts w:hAnsi="宋体"/>
          <w:color w:val="auto"/>
          <w:highlight w:val="none"/>
        </w:rPr>
        <w:t>委托人：</w:t>
      </w:r>
      <w:r>
        <w:rPr>
          <w:rFonts w:hAnsi="宋体"/>
          <w:color w:val="auto"/>
          <w:highlight w:val="none"/>
          <w:u w:val="single"/>
        </w:rPr>
        <w:t>（盖章）</w:t>
      </w:r>
      <w:r>
        <w:rPr>
          <w:rFonts w:hAnsi="宋体"/>
          <w:color w:val="auto"/>
          <w:highlight w:val="none"/>
        </w:rPr>
        <w:t>监理人：</w:t>
      </w:r>
      <w:r>
        <w:rPr>
          <w:rFonts w:hAnsi="宋体"/>
          <w:color w:val="auto"/>
          <w:highlight w:val="none"/>
          <w:u w:val="single"/>
        </w:rPr>
        <w:t>（盖章）</w:t>
      </w:r>
    </w:p>
    <w:p>
      <w:pPr>
        <w:adjustRightInd w:val="0"/>
        <w:snapToGrid w:val="0"/>
        <w:spacing w:line="360" w:lineRule="auto"/>
        <w:ind w:right="-126" w:rightChars="-60" w:firstLine="415" w:firstLineChars="198"/>
        <w:rPr>
          <w:color w:val="auto"/>
          <w:highlight w:val="none"/>
        </w:rPr>
      </w:pPr>
      <w:r>
        <w:rPr>
          <w:rFonts w:hAnsi="宋体"/>
          <w:color w:val="auto"/>
          <w:highlight w:val="none"/>
        </w:rPr>
        <w:t>住所：住所：</w:t>
      </w:r>
    </w:p>
    <w:p>
      <w:pPr>
        <w:adjustRightInd w:val="0"/>
        <w:snapToGrid w:val="0"/>
        <w:spacing w:line="360" w:lineRule="auto"/>
        <w:ind w:right="-126" w:rightChars="-60" w:firstLine="420" w:firstLineChars="200"/>
        <w:rPr>
          <w:color w:val="auto"/>
          <w:highlight w:val="none"/>
        </w:rPr>
      </w:pPr>
      <w:r>
        <w:rPr>
          <w:rFonts w:hAnsi="宋体"/>
          <w:color w:val="auto"/>
          <w:highlight w:val="none"/>
        </w:rPr>
        <w:t>邮政编码：邮政编码：</w:t>
      </w:r>
    </w:p>
    <w:p>
      <w:pPr>
        <w:adjustRightInd w:val="0"/>
        <w:snapToGrid w:val="0"/>
        <w:spacing w:line="360" w:lineRule="auto"/>
        <w:ind w:right="-126" w:rightChars="-60" w:firstLine="415" w:firstLineChars="198"/>
        <w:rPr>
          <w:color w:val="auto"/>
          <w:highlight w:val="none"/>
        </w:rPr>
      </w:pPr>
      <w:r>
        <w:rPr>
          <w:rFonts w:hAnsi="宋体"/>
          <w:color w:val="auto"/>
          <w:highlight w:val="none"/>
        </w:rPr>
        <w:t>法定代表人或其授权代理人：</w:t>
      </w:r>
      <w:r>
        <w:rPr>
          <w:rFonts w:hAnsi="宋体"/>
          <w:color w:val="auto"/>
          <w:highlight w:val="none"/>
          <w:u w:val="single"/>
        </w:rPr>
        <w:t>（签字）</w:t>
      </w:r>
      <w:r>
        <w:rPr>
          <w:rFonts w:hAnsi="宋体"/>
          <w:color w:val="auto"/>
          <w:highlight w:val="none"/>
        </w:rPr>
        <w:t>法定代表人或其授权代理人：</w:t>
      </w:r>
      <w:r>
        <w:rPr>
          <w:rFonts w:hAnsi="宋体"/>
          <w:color w:val="auto"/>
          <w:highlight w:val="none"/>
          <w:u w:val="single"/>
        </w:rPr>
        <w:t>（签字）</w:t>
      </w:r>
    </w:p>
    <w:p>
      <w:pPr>
        <w:adjustRightInd w:val="0"/>
        <w:snapToGrid w:val="0"/>
        <w:spacing w:line="360" w:lineRule="auto"/>
        <w:ind w:right="-126" w:rightChars="-60" w:firstLine="415" w:firstLineChars="198"/>
        <w:rPr>
          <w:color w:val="auto"/>
          <w:highlight w:val="none"/>
        </w:rPr>
      </w:pPr>
      <w:r>
        <w:rPr>
          <w:rFonts w:hAnsi="宋体"/>
          <w:color w:val="auto"/>
          <w:highlight w:val="none"/>
        </w:rPr>
        <w:t>开户银行：开户银行：</w:t>
      </w:r>
    </w:p>
    <w:p>
      <w:pPr>
        <w:adjustRightInd w:val="0"/>
        <w:snapToGrid w:val="0"/>
        <w:spacing w:line="360" w:lineRule="auto"/>
        <w:ind w:right="-126" w:rightChars="-60" w:firstLine="415" w:firstLineChars="198"/>
        <w:rPr>
          <w:color w:val="auto"/>
          <w:highlight w:val="none"/>
        </w:rPr>
      </w:pPr>
      <w:r>
        <w:rPr>
          <w:rFonts w:hAnsi="宋体"/>
          <w:color w:val="auto"/>
          <w:highlight w:val="none"/>
        </w:rPr>
        <w:t>账号：账号：</w:t>
      </w:r>
    </w:p>
    <w:p>
      <w:pPr>
        <w:adjustRightInd w:val="0"/>
        <w:snapToGrid w:val="0"/>
        <w:spacing w:line="360" w:lineRule="auto"/>
        <w:ind w:right="-126" w:rightChars="-60" w:firstLine="415" w:firstLineChars="198"/>
        <w:rPr>
          <w:color w:val="auto"/>
          <w:highlight w:val="none"/>
        </w:rPr>
      </w:pPr>
      <w:r>
        <w:rPr>
          <w:rFonts w:hAnsi="宋体"/>
          <w:color w:val="auto"/>
          <w:highlight w:val="none"/>
        </w:rPr>
        <w:t>电话：电话：</w:t>
      </w:r>
    </w:p>
    <w:p>
      <w:pPr>
        <w:adjustRightInd w:val="0"/>
        <w:snapToGrid w:val="0"/>
        <w:spacing w:line="360" w:lineRule="auto"/>
        <w:ind w:right="-126" w:rightChars="-60" w:firstLine="415" w:firstLineChars="198"/>
        <w:rPr>
          <w:color w:val="auto"/>
          <w:highlight w:val="none"/>
        </w:rPr>
      </w:pPr>
      <w:r>
        <w:rPr>
          <w:rFonts w:hAnsi="宋体"/>
          <w:color w:val="auto"/>
          <w:highlight w:val="none"/>
        </w:rPr>
        <w:t>传真：传真：</w:t>
      </w:r>
    </w:p>
    <w:p>
      <w:pPr>
        <w:adjustRightInd w:val="0"/>
        <w:snapToGrid w:val="0"/>
        <w:spacing w:line="360" w:lineRule="auto"/>
        <w:ind w:right="-126" w:rightChars="-60" w:firstLine="415" w:firstLineChars="198"/>
        <w:rPr>
          <w:color w:val="auto"/>
          <w:highlight w:val="none"/>
          <w:u w:val="single"/>
        </w:rPr>
      </w:pPr>
      <w:r>
        <w:rPr>
          <w:rFonts w:hAnsi="宋体"/>
          <w:color w:val="auto"/>
          <w:highlight w:val="none"/>
        </w:rPr>
        <w:t>电子邮箱：电子邮箱：</w:t>
      </w: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adjustRightInd w:val="0"/>
        <w:snapToGrid w:val="0"/>
        <w:spacing w:line="360" w:lineRule="auto"/>
        <w:ind w:right="-126" w:rightChars="-60"/>
        <w:rPr>
          <w:color w:val="auto"/>
          <w:sz w:val="24"/>
          <w:highlight w:val="none"/>
          <w:u w:val="single"/>
        </w:rPr>
      </w:pPr>
    </w:p>
    <w:p>
      <w:pPr>
        <w:pStyle w:val="3"/>
        <w:rPr>
          <w:color w:val="auto"/>
          <w:highlight w:val="none"/>
        </w:rPr>
      </w:pPr>
      <w:bookmarkStart w:id="89" w:name="_Toc18484"/>
      <w:bookmarkStart w:id="90" w:name="_Toc459567808"/>
      <w:r>
        <w:rPr>
          <w:color w:val="auto"/>
          <w:highlight w:val="none"/>
        </w:rPr>
        <w:t>第二部分  通用条件</w:t>
      </w:r>
      <w:bookmarkEnd w:id="89"/>
      <w:bookmarkEnd w:id="90"/>
    </w:p>
    <w:p>
      <w:pPr>
        <w:spacing w:line="360" w:lineRule="auto"/>
        <w:rPr>
          <w:rFonts w:hAnsi="宋体"/>
          <w:b/>
          <w:color w:val="auto"/>
          <w:kern w:val="0"/>
          <w:highlight w:val="none"/>
        </w:rPr>
      </w:pPr>
      <w:r>
        <w:rPr>
          <w:rFonts w:hint="eastAsia" w:hAnsi="宋体"/>
          <w:b/>
          <w:color w:val="auto"/>
          <w:kern w:val="0"/>
          <w:highlight w:val="none"/>
        </w:rPr>
        <w:t>采用《</w:t>
      </w:r>
      <w:r>
        <w:rPr>
          <w:rFonts w:hAnsi="宋体"/>
          <w:b/>
          <w:color w:val="auto"/>
          <w:kern w:val="0"/>
          <w:highlight w:val="none"/>
        </w:rPr>
        <w:t>建设工程</w:t>
      </w:r>
      <w:r>
        <w:rPr>
          <w:rFonts w:hint="eastAsia" w:hAnsi="宋体"/>
          <w:b/>
          <w:color w:val="auto"/>
          <w:kern w:val="0"/>
          <w:highlight w:val="none"/>
        </w:rPr>
        <w:t>监理</w:t>
      </w:r>
      <w:r>
        <w:rPr>
          <w:rFonts w:hAnsi="宋体"/>
          <w:b/>
          <w:color w:val="auto"/>
          <w:kern w:val="0"/>
          <w:highlight w:val="none"/>
        </w:rPr>
        <w:t>合同（示范文本）</w:t>
      </w:r>
      <w:r>
        <w:rPr>
          <w:rFonts w:hint="eastAsia" w:hAnsi="宋体"/>
          <w:b/>
          <w:color w:val="auto"/>
          <w:kern w:val="0"/>
          <w:highlight w:val="none"/>
        </w:rPr>
        <w:t>》</w:t>
      </w:r>
      <w:r>
        <w:rPr>
          <w:rFonts w:hAnsi="宋体"/>
          <w:b/>
          <w:color w:val="auto"/>
          <w:kern w:val="0"/>
          <w:highlight w:val="none"/>
        </w:rPr>
        <w:t>（ＧＦ－2012－0202）</w:t>
      </w:r>
      <w:r>
        <w:rPr>
          <w:rFonts w:hint="eastAsia" w:hAnsi="宋体"/>
          <w:b/>
          <w:color w:val="auto"/>
          <w:kern w:val="0"/>
          <w:highlight w:val="none"/>
        </w:rPr>
        <w:t>。</w:t>
      </w:r>
    </w:p>
    <w:p>
      <w:pPr>
        <w:pStyle w:val="3"/>
        <w:rPr>
          <w:color w:val="auto"/>
          <w:highlight w:val="none"/>
        </w:rPr>
      </w:pPr>
      <w:bookmarkStart w:id="91" w:name="_Toc25589"/>
      <w:bookmarkStart w:id="92" w:name="_Toc459567809"/>
      <w:r>
        <w:rPr>
          <w:color w:val="auto"/>
          <w:highlight w:val="none"/>
        </w:rPr>
        <w:t>第三部分  专用条件</w:t>
      </w:r>
      <w:bookmarkEnd w:id="91"/>
      <w:bookmarkEnd w:id="92"/>
    </w:p>
    <w:p>
      <w:pPr>
        <w:pStyle w:val="4"/>
        <w:rPr>
          <w:color w:val="auto"/>
          <w:highlight w:val="none"/>
        </w:rPr>
      </w:pPr>
      <w:bookmarkStart w:id="93" w:name="_Toc18018"/>
      <w:bookmarkStart w:id="94" w:name="_Toc459567810"/>
      <w:r>
        <w:rPr>
          <w:color w:val="auto"/>
          <w:highlight w:val="none"/>
        </w:rPr>
        <w:t>1. 定义与解释</w:t>
      </w:r>
      <w:bookmarkEnd w:id="93"/>
      <w:bookmarkEnd w:id="94"/>
    </w:p>
    <w:p>
      <w:pPr>
        <w:adjustRightInd w:val="0"/>
        <w:snapToGrid w:val="0"/>
        <w:spacing w:line="360" w:lineRule="auto"/>
        <w:rPr>
          <w:color w:val="auto"/>
          <w:highlight w:val="none"/>
        </w:rPr>
      </w:pPr>
      <w:r>
        <w:rPr>
          <w:color w:val="auto"/>
          <w:highlight w:val="none"/>
        </w:rPr>
        <w:t xml:space="preserve">1.2  </w:t>
      </w:r>
      <w:r>
        <w:rPr>
          <w:rFonts w:hAnsi="宋体"/>
          <w:color w:val="auto"/>
          <w:highlight w:val="none"/>
        </w:rPr>
        <w:t>解释</w:t>
      </w:r>
    </w:p>
    <w:p>
      <w:pPr>
        <w:adjustRightInd w:val="0"/>
        <w:snapToGrid w:val="0"/>
        <w:spacing w:line="360" w:lineRule="auto"/>
        <w:ind w:firstLine="420" w:firstLineChars="200"/>
        <w:rPr>
          <w:color w:val="auto"/>
          <w:highlight w:val="none"/>
        </w:rPr>
      </w:pPr>
      <w:r>
        <w:rPr>
          <w:color w:val="auto"/>
          <w:highlight w:val="none"/>
        </w:rPr>
        <w:t xml:space="preserve">1.2.1 </w:t>
      </w:r>
      <w:r>
        <w:rPr>
          <w:rFonts w:hAnsi="宋体"/>
          <w:color w:val="auto"/>
          <w:highlight w:val="none"/>
        </w:rPr>
        <w:t>本合同文件除使用中文外，还可用。</w:t>
      </w:r>
    </w:p>
    <w:p>
      <w:pPr>
        <w:adjustRightInd w:val="0"/>
        <w:snapToGrid w:val="0"/>
        <w:spacing w:line="360" w:lineRule="auto"/>
        <w:ind w:firstLine="420" w:firstLineChars="200"/>
        <w:rPr>
          <w:color w:val="auto"/>
          <w:highlight w:val="none"/>
          <w:u w:val="single"/>
        </w:rPr>
      </w:pPr>
      <w:r>
        <w:rPr>
          <w:color w:val="auto"/>
          <w:highlight w:val="none"/>
        </w:rPr>
        <w:t xml:space="preserve">1.2.2 </w:t>
      </w:r>
      <w:r>
        <w:rPr>
          <w:rFonts w:hAnsi="宋体"/>
          <w:color w:val="auto"/>
          <w:highlight w:val="none"/>
        </w:rPr>
        <w:t>约定本合同文件的解释顺序为：。</w:t>
      </w:r>
    </w:p>
    <w:p>
      <w:pPr>
        <w:pStyle w:val="4"/>
        <w:rPr>
          <w:color w:val="auto"/>
          <w:highlight w:val="none"/>
        </w:rPr>
      </w:pPr>
      <w:bookmarkStart w:id="95" w:name="_Toc1150"/>
      <w:bookmarkStart w:id="96" w:name="_Toc459567811"/>
      <w:r>
        <w:rPr>
          <w:color w:val="auto"/>
          <w:highlight w:val="none"/>
        </w:rPr>
        <w:t>2. 监理人义务</w:t>
      </w:r>
      <w:bookmarkEnd w:id="95"/>
      <w:bookmarkEnd w:id="96"/>
    </w:p>
    <w:p>
      <w:pPr>
        <w:adjustRightInd w:val="0"/>
        <w:snapToGrid w:val="0"/>
        <w:spacing w:line="360" w:lineRule="auto"/>
        <w:outlineLvl w:val="0"/>
        <w:rPr>
          <w:color w:val="auto"/>
          <w:highlight w:val="none"/>
        </w:rPr>
      </w:pPr>
      <w:bookmarkStart w:id="97" w:name="_Toc473030505"/>
      <w:bookmarkStart w:id="98" w:name="_Toc18097"/>
      <w:bookmarkStart w:id="99" w:name="_Toc459567812"/>
      <w:r>
        <w:rPr>
          <w:color w:val="auto"/>
          <w:highlight w:val="none"/>
        </w:rPr>
        <w:t xml:space="preserve">2.1 </w:t>
      </w:r>
      <w:r>
        <w:rPr>
          <w:rFonts w:hAnsi="宋体"/>
          <w:color w:val="auto"/>
          <w:highlight w:val="none"/>
        </w:rPr>
        <w:t>监理的范围和</w:t>
      </w:r>
      <w:r>
        <w:rPr>
          <w:rFonts w:hAnsi="宋体"/>
          <w:bCs/>
          <w:color w:val="auto"/>
          <w:highlight w:val="none"/>
        </w:rPr>
        <w:t>内容</w:t>
      </w:r>
      <w:bookmarkEnd w:id="97"/>
      <w:bookmarkEnd w:id="98"/>
      <w:bookmarkEnd w:id="99"/>
    </w:p>
    <w:p>
      <w:pPr>
        <w:adjustRightInd w:val="0"/>
        <w:snapToGrid w:val="0"/>
        <w:spacing w:line="360" w:lineRule="auto"/>
        <w:ind w:firstLine="420" w:firstLineChars="200"/>
        <w:rPr>
          <w:color w:val="auto"/>
          <w:highlight w:val="none"/>
          <w:u w:val="single"/>
        </w:rPr>
      </w:pPr>
      <w:r>
        <w:rPr>
          <w:color w:val="auto"/>
          <w:highlight w:val="none"/>
        </w:rPr>
        <w:t xml:space="preserve">2.1.1 </w:t>
      </w:r>
      <w:r>
        <w:rPr>
          <w:rFonts w:hAnsi="宋体"/>
          <w:color w:val="auto"/>
          <w:highlight w:val="none"/>
        </w:rPr>
        <w:t>监理范围包括：本合同约定的监理服务，</w:t>
      </w:r>
      <w:r>
        <w:rPr>
          <w:rFonts w:hint="eastAsia" w:hAnsi="宋体"/>
          <w:b/>
          <w:bCs/>
          <w:color w:val="auto"/>
          <w:highlight w:val="none"/>
        </w:rPr>
        <w:t>包括阶段的监理，</w:t>
      </w:r>
      <w:r>
        <w:rPr>
          <w:rFonts w:hint="eastAsia" w:hAnsi="宋体"/>
          <w:color w:val="auto"/>
          <w:highlight w:val="none"/>
        </w:rPr>
        <w:t>但</w:t>
      </w:r>
      <w:r>
        <w:rPr>
          <w:rFonts w:hAnsi="宋体"/>
          <w:color w:val="auto"/>
          <w:highlight w:val="none"/>
        </w:rPr>
        <w:t>不包括非监理人原因引起的工程延期阶段的监理服务。</w:t>
      </w:r>
    </w:p>
    <w:p>
      <w:pPr>
        <w:adjustRightInd w:val="0"/>
        <w:snapToGrid w:val="0"/>
        <w:spacing w:line="360" w:lineRule="auto"/>
        <w:ind w:firstLine="420" w:firstLineChars="200"/>
        <w:rPr>
          <w:color w:val="auto"/>
          <w:highlight w:val="none"/>
          <w:u w:val="single"/>
        </w:rPr>
      </w:pPr>
      <w:r>
        <w:rPr>
          <w:color w:val="auto"/>
          <w:highlight w:val="none"/>
        </w:rPr>
        <w:t xml:space="preserve">2.1.2 </w:t>
      </w:r>
      <w:r>
        <w:rPr>
          <w:rFonts w:hAnsi="宋体"/>
          <w:color w:val="auto"/>
          <w:highlight w:val="none"/>
        </w:rPr>
        <w:t>监理工作内容还包括：。</w:t>
      </w:r>
    </w:p>
    <w:p>
      <w:pPr>
        <w:spacing w:line="360" w:lineRule="auto"/>
        <w:outlineLvl w:val="0"/>
        <w:rPr>
          <w:color w:val="auto"/>
          <w:highlight w:val="none"/>
        </w:rPr>
      </w:pPr>
      <w:bookmarkStart w:id="100" w:name="_Toc459567813"/>
      <w:bookmarkStart w:id="101" w:name="_Toc473030506"/>
      <w:bookmarkStart w:id="102" w:name="_Toc17526"/>
      <w:r>
        <w:rPr>
          <w:color w:val="auto"/>
          <w:highlight w:val="none"/>
        </w:rPr>
        <w:t xml:space="preserve">2.2 </w:t>
      </w:r>
      <w:r>
        <w:rPr>
          <w:rFonts w:hAnsi="宋体"/>
          <w:color w:val="auto"/>
          <w:highlight w:val="none"/>
        </w:rPr>
        <w:t>监理与相关服务依据</w:t>
      </w:r>
      <w:bookmarkEnd w:id="100"/>
      <w:bookmarkEnd w:id="101"/>
      <w:bookmarkEnd w:id="102"/>
    </w:p>
    <w:p>
      <w:pPr>
        <w:spacing w:line="360" w:lineRule="auto"/>
        <w:ind w:firstLine="420" w:firstLineChars="200"/>
        <w:rPr>
          <w:color w:val="auto"/>
          <w:highlight w:val="none"/>
        </w:rPr>
      </w:pPr>
      <w:r>
        <w:rPr>
          <w:color w:val="auto"/>
          <w:highlight w:val="none"/>
        </w:rPr>
        <w:t xml:space="preserve">2.2.1 </w:t>
      </w:r>
      <w:r>
        <w:rPr>
          <w:rFonts w:hAnsi="宋体"/>
          <w:color w:val="auto"/>
          <w:highlight w:val="none"/>
        </w:rPr>
        <w:t>监理依据包括：。</w:t>
      </w:r>
    </w:p>
    <w:p>
      <w:pPr>
        <w:adjustRightInd w:val="0"/>
        <w:snapToGrid w:val="0"/>
        <w:spacing w:line="360" w:lineRule="auto"/>
        <w:ind w:firstLine="420" w:firstLineChars="200"/>
        <w:rPr>
          <w:dstrike/>
          <w:color w:val="auto"/>
          <w:highlight w:val="none"/>
        </w:rPr>
      </w:pPr>
      <w:r>
        <w:rPr>
          <w:color w:val="auto"/>
          <w:highlight w:val="none"/>
        </w:rPr>
        <w:t xml:space="preserve">2.2.2 </w:t>
      </w:r>
      <w:r>
        <w:rPr>
          <w:rFonts w:hAnsi="宋体"/>
          <w:color w:val="auto"/>
          <w:highlight w:val="none"/>
        </w:rPr>
        <w:t>相关服务依据包括：。</w:t>
      </w:r>
    </w:p>
    <w:p>
      <w:pPr>
        <w:spacing w:line="360" w:lineRule="auto"/>
        <w:rPr>
          <w:color w:val="auto"/>
          <w:highlight w:val="none"/>
        </w:rPr>
      </w:pPr>
      <w:r>
        <w:rPr>
          <w:color w:val="auto"/>
          <w:highlight w:val="none"/>
        </w:rPr>
        <w:t>2.3</w:t>
      </w:r>
      <w:r>
        <w:rPr>
          <w:rFonts w:hAnsi="宋体"/>
          <w:color w:val="auto"/>
          <w:kern w:val="0"/>
          <w:highlight w:val="none"/>
        </w:rPr>
        <w:t>项目监理机构和人员</w:t>
      </w:r>
    </w:p>
    <w:p>
      <w:pPr>
        <w:adjustRightInd w:val="0"/>
        <w:snapToGrid w:val="0"/>
        <w:spacing w:line="360" w:lineRule="auto"/>
        <w:ind w:firstLine="420" w:firstLineChars="200"/>
        <w:rPr>
          <w:color w:val="auto"/>
          <w:kern w:val="0"/>
          <w:highlight w:val="none"/>
        </w:rPr>
      </w:pPr>
      <w:r>
        <w:rPr>
          <w:rFonts w:hAnsi="宋体"/>
          <w:color w:val="auto"/>
          <w:kern w:val="0"/>
          <w:highlight w:val="none"/>
        </w:rPr>
        <w:t>更换监理人员的其他情形：</w:t>
      </w:r>
      <w:r>
        <w:rPr>
          <w:rFonts w:hAnsi="宋体"/>
          <w:color w:val="auto"/>
          <w:kern w:val="0"/>
          <w:highlight w:val="none"/>
          <w:u w:val="single"/>
        </w:rPr>
        <w:t>如监理人需要调换施工现场监理人员时，须经委托人与监理人双方协商，报委托人同意后生效</w:t>
      </w:r>
      <w:r>
        <w:rPr>
          <w:rFonts w:hAnsi="宋体"/>
          <w:color w:val="auto"/>
          <w:kern w:val="0"/>
          <w:highlight w:val="none"/>
        </w:rPr>
        <w:t>。</w:t>
      </w:r>
    </w:p>
    <w:p>
      <w:pPr>
        <w:spacing w:line="360" w:lineRule="auto"/>
        <w:outlineLvl w:val="0"/>
        <w:rPr>
          <w:color w:val="auto"/>
          <w:highlight w:val="none"/>
        </w:rPr>
      </w:pPr>
      <w:bookmarkStart w:id="103" w:name="_Toc459567814"/>
      <w:bookmarkStart w:id="104" w:name="_Toc473030507"/>
      <w:bookmarkStart w:id="105" w:name="_Toc4153"/>
      <w:r>
        <w:rPr>
          <w:color w:val="auto"/>
          <w:highlight w:val="none"/>
        </w:rPr>
        <w:t xml:space="preserve">2.4 </w:t>
      </w:r>
      <w:r>
        <w:rPr>
          <w:rFonts w:hAnsi="宋体"/>
          <w:color w:val="auto"/>
          <w:kern w:val="0"/>
          <w:highlight w:val="none"/>
        </w:rPr>
        <w:t>履行职责</w:t>
      </w:r>
      <w:bookmarkEnd w:id="103"/>
      <w:bookmarkEnd w:id="104"/>
      <w:bookmarkEnd w:id="105"/>
    </w:p>
    <w:p>
      <w:pPr>
        <w:adjustRightInd w:val="0"/>
        <w:snapToGrid w:val="0"/>
        <w:spacing w:line="360" w:lineRule="auto"/>
        <w:ind w:firstLine="420" w:firstLineChars="200"/>
        <w:rPr>
          <w:color w:val="auto"/>
          <w:highlight w:val="none"/>
          <w:u w:val="single"/>
        </w:rPr>
      </w:pPr>
      <w:r>
        <w:rPr>
          <w:color w:val="auto"/>
          <w:highlight w:val="none"/>
        </w:rPr>
        <w:t>2.4.</w:t>
      </w:r>
      <w:r>
        <w:rPr>
          <w:rFonts w:hint="eastAsia"/>
          <w:color w:val="auto"/>
          <w:highlight w:val="none"/>
        </w:rPr>
        <w:t>1</w:t>
      </w:r>
      <w:r>
        <w:rPr>
          <w:rFonts w:hAnsi="宋体"/>
          <w:color w:val="auto"/>
          <w:highlight w:val="none"/>
        </w:rPr>
        <w:t>对监理人的授权范围：。</w:t>
      </w:r>
    </w:p>
    <w:p>
      <w:pPr>
        <w:spacing w:line="360" w:lineRule="auto"/>
        <w:ind w:firstLine="413" w:firstLineChars="197"/>
        <w:rPr>
          <w:color w:val="auto"/>
          <w:kern w:val="0"/>
          <w:highlight w:val="none"/>
        </w:rPr>
      </w:pPr>
      <w:r>
        <w:rPr>
          <w:rFonts w:hAnsi="宋体"/>
          <w:color w:val="auto"/>
          <w:kern w:val="0"/>
          <w:highlight w:val="none"/>
        </w:rPr>
        <w:t>在涉及工程延期天内和（或）金额万元内的变更，监理人不需请示委托人即可向承包人发布变更通知。</w:t>
      </w:r>
    </w:p>
    <w:p>
      <w:pPr>
        <w:adjustRightInd w:val="0"/>
        <w:snapToGrid w:val="0"/>
        <w:spacing w:line="360" w:lineRule="auto"/>
        <w:ind w:firstLine="315" w:firstLineChars="150"/>
        <w:rPr>
          <w:color w:val="auto"/>
          <w:highlight w:val="none"/>
        </w:rPr>
      </w:pPr>
      <w:r>
        <w:rPr>
          <w:color w:val="auto"/>
          <w:kern w:val="0"/>
          <w:highlight w:val="none"/>
        </w:rPr>
        <w:t>2.4.</w:t>
      </w:r>
      <w:r>
        <w:rPr>
          <w:rFonts w:hint="eastAsia"/>
          <w:color w:val="auto"/>
          <w:kern w:val="0"/>
          <w:highlight w:val="none"/>
        </w:rPr>
        <w:t>2</w:t>
      </w:r>
      <w:r>
        <w:rPr>
          <w:rFonts w:hAnsi="宋体"/>
          <w:color w:val="auto"/>
          <w:kern w:val="0"/>
          <w:highlight w:val="none"/>
        </w:rPr>
        <w:t>监理人有权要求承包人调换其人员</w:t>
      </w:r>
      <w:r>
        <w:rPr>
          <w:rFonts w:hAnsi="宋体"/>
          <w:color w:val="auto"/>
          <w:highlight w:val="none"/>
        </w:rPr>
        <w:t>的限制条件：。</w:t>
      </w:r>
    </w:p>
    <w:p>
      <w:pPr>
        <w:adjustRightInd w:val="0"/>
        <w:snapToGrid w:val="0"/>
        <w:spacing w:line="360" w:lineRule="auto"/>
        <w:outlineLvl w:val="0"/>
        <w:rPr>
          <w:color w:val="auto"/>
          <w:highlight w:val="none"/>
        </w:rPr>
      </w:pPr>
      <w:bookmarkStart w:id="106" w:name="_Toc26406"/>
      <w:bookmarkStart w:id="107" w:name="_Toc473030508"/>
      <w:bookmarkStart w:id="108" w:name="_Toc459567815"/>
      <w:r>
        <w:rPr>
          <w:color w:val="auto"/>
          <w:kern w:val="0"/>
          <w:highlight w:val="none"/>
        </w:rPr>
        <w:t xml:space="preserve">2.5 </w:t>
      </w:r>
      <w:r>
        <w:rPr>
          <w:rFonts w:hAnsi="宋体"/>
          <w:color w:val="auto"/>
          <w:highlight w:val="none"/>
        </w:rPr>
        <w:t>提交</w:t>
      </w:r>
      <w:r>
        <w:rPr>
          <w:rFonts w:hAnsi="宋体"/>
          <w:color w:val="auto"/>
          <w:kern w:val="0"/>
          <w:highlight w:val="none"/>
        </w:rPr>
        <w:t>报告</w:t>
      </w:r>
      <w:bookmarkEnd w:id="106"/>
      <w:bookmarkEnd w:id="107"/>
      <w:bookmarkEnd w:id="108"/>
    </w:p>
    <w:p>
      <w:pPr>
        <w:adjustRightInd w:val="0"/>
        <w:snapToGrid w:val="0"/>
        <w:spacing w:line="360" w:lineRule="auto"/>
        <w:ind w:firstLine="420" w:firstLineChars="200"/>
        <w:rPr>
          <w:color w:val="auto"/>
          <w:highlight w:val="none"/>
          <w:u w:val="single"/>
        </w:rPr>
      </w:pPr>
      <w:r>
        <w:rPr>
          <w:rFonts w:hAnsi="宋体"/>
          <w:color w:val="auto"/>
          <w:highlight w:val="none"/>
        </w:rPr>
        <w:t>监理人应提交报告的种类</w:t>
      </w:r>
      <w:r>
        <w:rPr>
          <w:color w:val="auto"/>
          <w:highlight w:val="none"/>
        </w:rPr>
        <w:t>（</w:t>
      </w:r>
      <w:r>
        <w:rPr>
          <w:rFonts w:hAnsi="宋体"/>
          <w:color w:val="auto"/>
          <w:kern w:val="0"/>
          <w:highlight w:val="none"/>
        </w:rPr>
        <w:t>包括监理规划、监理月报及约定的专项报告</w:t>
      </w:r>
      <w:r>
        <w:rPr>
          <w:color w:val="auto"/>
          <w:kern w:val="0"/>
          <w:highlight w:val="none"/>
        </w:rPr>
        <w:t>）</w:t>
      </w:r>
      <w:r>
        <w:rPr>
          <w:rFonts w:hAnsi="宋体"/>
          <w:color w:val="auto"/>
          <w:highlight w:val="none"/>
        </w:rPr>
        <w:t>、时间和份数</w:t>
      </w:r>
      <w:r>
        <w:rPr>
          <w:rFonts w:hAnsi="宋体"/>
          <w:color w:val="auto"/>
          <w:kern w:val="0"/>
          <w:highlight w:val="none"/>
        </w:rPr>
        <w:t>：</w:t>
      </w:r>
    </w:p>
    <w:p>
      <w:pPr>
        <w:adjustRightInd w:val="0"/>
        <w:snapToGrid w:val="0"/>
        <w:spacing w:line="360" w:lineRule="auto"/>
        <w:rPr>
          <w:color w:val="auto"/>
          <w:highlight w:val="none"/>
          <w:u w:val="single"/>
        </w:rPr>
      </w:pPr>
      <w:r>
        <w:rPr>
          <w:rFonts w:hAnsi="宋体"/>
          <w:color w:val="auto"/>
          <w:highlight w:val="none"/>
        </w:rPr>
        <w:t>。</w:t>
      </w:r>
    </w:p>
    <w:p>
      <w:pPr>
        <w:spacing w:line="360" w:lineRule="auto"/>
        <w:outlineLvl w:val="0"/>
        <w:rPr>
          <w:color w:val="auto"/>
          <w:kern w:val="0"/>
          <w:highlight w:val="none"/>
        </w:rPr>
      </w:pPr>
      <w:bookmarkStart w:id="109" w:name="_Toc459567816"/>
      <w:bookmarkStart w:id="110" w:name="_Toc473030509"/>
      <w:bookmarkStart w:id="111" w:name="_Toc22384"/>
      <w:r>
        <w:rPr>
          <w:color w:val="auto"/>
          <w:kern w:val="0"/>
          <w:highlight w:val="none"/>
        </w:rPr>
        <w:t>2.</w:t>
      </w:r>
      <w:r>
        <w:rPr>
          <w:rFonts w:hint="eastAsia"/>
          <w:color w:val="auto"/>
          <w:kern w:val="0"/>
          <w:highlight w:val="none"/>
        </w:rPr>
        <w:t>6</w:t>
      </w:r>
      <w:r>
        <w:rPr>
          <w:rFonts w:hAnsi="宋体"/>
          <w:color w:val="auto"/>
          <w:kern w:val="0"/>
          <w:highlight w:val="none"/>
        </w:rPr>
        <w:t>使用委托人的财产</w:t>
      </w:r>
      <w:bookmarkEnd w:id="109"/>
      <w:bookmarkEnd w:id="110"/>
      <w:bookmarkEnd w:id="111"/>
    </w:p>
    <w:p>
      <w:pPr>
        <w:spacing w:line="360" w:lineRule="auto"/>
        <w:rPr>
          <w:color w:val="auto"/>
          <w:kern w:val="0"/>
          <w:highlight w:val="none"/>
        </w:rPr>
      </w:pPr>
      <w:r>
        <w:rPr>
          <w:rFonts w:hAnsi="宋体"/>
          <w:color w:val="auto"/>
          <w:highlight w:val="none"/>
        </w:rPr>
        <w:t>附录</w:t>
      </w:r>
      <w:r>
        <w:rPr>
          <w:color w:val="auto"/>
          <w:highlight w:val="none"/>
        </w:rPr>
        <w:t>B</w:t>
      </w:r>
      <w:r>
        <w:rPr>
          <w:rFonts w:hAnsi="宋体"/>
          <w:color w:val="auto"/>
          <w:highlight w:val="none"/>
        </w:rPr>
        <w:t>中由委托人无偿提供的房屋、设备的所有权属于：。</w:t>
      </w:r>
    </w:p>
    <w:p>
      <w:pPr>
        <w:spacing w:line="360" w:lineRule="auto"/>
        <w:ind w:firstLine="420" w:firstLineChars="200"/>
        <w:rPr>
          <w:color w:val="auto"/>
          <w:kern w:val="0"/>
          <w:highlight w:val="none"/>
        </w:rPr>
      </w:pPr>
      <w:r>
        <w:rPr>
          <w:rFonts w:hAnsi="宋体"/>
          <w:color w:val="auto"/>
          <w:highlight w:val="none"/>
        </w:rPr>
        <w:t>监理人应在本合同终止后天内移交委托人无偿提供的房屋、设备，移交的时间和方式为：。</w:t>
      </w:r>
    </w:p>
    <w:p>
      <w:pPr>
        <w:pStyle w:val="4"/>
        <w:rPr>
          <w:color w:val="auto"/>
          <w:highlight w:val="none"/>
        </w:rPr>
      </w:pPr>
      <w:bookmarkStart w:id="112" w:name="_Toc31824"/>
      <w:bookmarkStart w:id="113" w:name="_Toc459567817"/>
      <w:r>
        <w:rPr>
          <w:color w:val="auto"/>
          <w:highlight w:val="none"/>
        </w:rPr>
        <w:t>3. 委托人义务</w:t>
      </w:r>
      <w:bookmarkEnd w:id="112"/>
      <w:bookmarkEnd w:id="113"/>
    </w:p>
    <w:p>
      <w:pPr>
        <w:snapToGrid w:val="0"/>
        <w:spacing w:line="360" w:lineRule="auto"/>
        <w:rPr>
          <w:color w:val="auto"/>
          <w:highlight w:val="none"/>
        </w:rPr>
      </w:pPr>
      <w:r>
        <w:rPr>
          <w:color w:val="auto"/>
          <w:kern w:val="0"/>
          <w:highlight w:val="none"/>
        </w:rPr>
        <w:t>3.</w:t>
      </w:r>
      <w:r>
        <w:rPr>
          <w:rFonts w:hint="eastAsia"/>
          <w:color w:val="auto"/>
          <w:kern w:val="0"/>
          <w:highlight w:val="none"/>
        </w:rPr>
        <w:t>1</w:t>
      </w:r>
      <w:r>
        <w:rPr>
          <w:rFonts w:hAnsi="宋体"/>
          <w:color w:val="auto"/>
          <w:kern w:val="0"/>
          <w:highlight w:val="none"/>
        </w:rPr>
        <w:t>委托人代表</w:t>
      </w:r>
    </w:p>
    <w:p>
      <w:pPr>
        <w:adjustRightInd w:val="0"/>
        <w:snapToGrid w:val="0"/>
        <w:spacing w:line="360" w:lineRule="auto"/>
        <w:ind w:firstLine="420" w:firstLineChars="200"/>
        <w:rPr>
          <w:color w:val="auto"/>
          <w:highlight w:val="none"/>
          <w:u w:val="single"/>
        </w:rPr>
      </w:pPr>
      <w:r>
        <w:rPr>
          <w:rFonts w:hAnsi="宋体"/>
          <w:color w:val="auto"/>
          <w:highlight w:val="none"/>
        </w:rPr>
        <w:t>委托人代表为：。</w:t>
      </w:r>
    </w:p>
    <w:p>
      <w:pPr>
        <w:adjustRightInd w:val="0"/>
        <w:snapToGrid w:val="0"/>
        <w:spacing w:line="360" w:lineRule="auto"/>
        <w:rPr>
          <w:color w:val="auto"/>
          <w:kern w:val="0"/>
          <w:highlight w:val="none"/>
        </w:rPr>
      </w:pPr>
      <w:r>
        <w:rPr>
          <w:color w:val="auto"/>
          <w:kern w:val="0"/>
          <w:highlight w:val="none"/>
        </w:rPr>
        <w:t>3.</w:t>
      </w:r>
      <w:r>
        <w:rPr>
          <w:rFonts w:hint="eastAsia"/>
          <w:color w:val="auto"/>
          <w:kern w:val="0"/>
          <w:highlight w:val="none"/>
        </w:rPr>
        <w:t>2</w:t>
      </w:r>
      <w:r>
        <w:rPr>
          <w:rFonts w:hAnsi="宋体"/>
          <w:color w:val="auto"/>
          <w:kern w:val="0"/>
          <w:highlight w:val="none"/>
        </w:rPr>
        <w:t>答复</w:t>
      </w:r>
    </w:p>
    <w:p>
      <w:pPr>
        <w:adjustRightInd w:val="0"/>
        <w:snapToGrid w:val="0"/>
        <w:spacing w:line="360" w:lineRule="auto"/>
        <w:ind w:firstLine="420" w:firstLineChars="200"/>
        <w:rPr>
          <w:color w:val="auto"/>
          <w:highlight w:val="none"/>
        </w:rPr>
      </w:pPr>
      <w:r>
        <w:rPr>
          <w:rFonts w:hAnsi="宋体"/>
          <w:color w:val="auto"/>
          <w:highlight w:val="none"/>
        </w:rPr>
        <w:t>委托人同意在天内，对监理人书面提交并要求做出决定的事宜给予书面答复。</w:t>
      </w:r>
    </w:p>
    <w:p>
      <w:pPr>
        <w:pStyle w:val="4"/>
        <w:rPr>
          <w:color w:val="auto"/>
          <w:highlight w:val="none"/>
        </w:rPr>
      </w:pPr>
      <w:bookmarkStart w:id="114" w:name="_Toc28070"/>
      <w:bookmarkStart w:id="115" w:name="_Toc459567818"/>
      <w:r>
        <w:rPr>
          <w:color w:val="auto"/>
          <w:highlight w:val="none"/>
        </w:rPr>
        <w:t xml:space="preserve">4. </w:t>
      </w:r>
      <w:r>
        <w:rPr>
          <w:rFonts w:hAnsi="宋体"/>
          <w:color w:val="auto"/>
          <w:highlight w:val="none"/>
        </w:rPr>
        <w:t>违约责任</w:t>
      </w:r>
      <w:bookmarkEnd w:id="114"/>
      <w:bookmarkEnd w:id="115"/>
    </w:p>
    <w:p>
      <w:pPr>
        <w:spacing w:line="360" w:lineRule="auto"/>
        <w:rPr>
          <w:color w:val="auto"/>
          <w:kern w:val="0"/>
          <w:highlight w:val="none"/>
        </w:rPr>
      </w:pPr>
      <w:r>
        <w:rPr>
          <w:color w:val="auto"/>
          <w:kern w:val="0"/>
          <w:highlight w:val="none"/>
        </w:rPr>
        <w:t xml:space="preserve">4.1 </w:t>
      </w:r>
      <w:r>
        <w:rPr>
          <w:rFonts w:hAnsi="宋体"/>
          <w:color w:val="auto"/>
          <w:kern w:val="0"/>
          <w:highlight w:val="none"/>
        </w:rPr>
        <w:t>监理人的违约责任</w:t>
      </w:r>
    </w:p>
    <w:p>
      <w:pPr>
        <w:adjustRightInd w:val="0"/>
        <w:snapToGrid w:val="0"/>
        <w:spacing w:line="360" w:lineRule="auto"/>
        <w:ind w:firstLine="420" w:firstLineChars="200"/>
        <w:rPr>
          <w:color w:val="auto"/>
          <w:kern w:val="0"/>
          <w:highlight w:val="none"/>
        </w:rPr>
      </w:pPr>
      <w:r>
        <w:rPr>
          <w:rFonts w:hAnsi="宋体"/>
          <w:color w:val="auto"/>
          <w:kern w:val="0"/>
          <w:highlight w:val="none"/>
        </w:rPr>
        <w:t>监理人赔偿金额按下列方法确定：</w:t>
      </w:r>
    </w:p>
    <w:p>
      <w:pPr>
        <w:adjustRightInd w:val="0"/>
        <w:snapToGrid w:val="0"/>
        <w:spacing w:line="360" w:lineRule="auto"/>
        <w:ind w:firstLine="420" w:firstLineChars="200"/>
        <w:rPr>
          <w:color w:val="auto"/>
          <w:kern w:val="0"/>
          <w:highlight w:val="none"/>
        </w:rPr>
      </w:pPr>
      <w:r>
        <w:rPr>
          <w:rFonts w:hAnsi="宋体"/>
          <w:color w:val="auto"/>
          <w:highlight w:val="none"/>
        </w:rPr>
        <w:t>赔偿金＝直接经济损失</w:t>
      </w:r>
      <w:r>
        <w:rPr>
          <w:color w:val="auto"/>
          <w:highlight w:val="none"/>
        </w:rPr>
        <w:t>×</w:t>
      </w:r>
      <w:r>
        <w:rPr>
          <w:rFonts w:hAnsi="宋体"/>
          <w:color w:val="auto"/>
          <w:highlight w:val="none"/>
        </w:rPr>
        <w:t>正常工作酬金</w:t>
      </w:r>
      <w:r>
        <w:rPr>
          <w:color w:val="auto"/>
          <w:highlight w:val="none"/>
        </w:rPr>
        <w:t>÷</w:t>
      </w:r>
      <w:r>
        <w:rPr>
          <w:rFonts w:hAnsi="宋体"/>
          <w:color w:val="auto"/>
          <w:highlight w:val="none"/>
        </w:rPr>
        <w:t>工程概算</w:t>
      </w:r>
      <w:r>
        <w:rPr>
          <w:rFonts w:hAnsi="宋体"/>
          <w:color w:val="auto"/>
          <w:kern w:val="0"/>
          <w:highlight w:val="none"/>
        </w:rPr>
        <w:t>投资额（或建筑安装工程费）</w:t>
      </w:r>
    </w:p>
    <w:p>
      <w:pPr>
        <w:snapToGrid w:val="0"/>
        <w:spacing w:line="360" w:lineRule="auto"/>
        <w:rPr>
          <w:color w:val="auto"/>
          <w:kern w:val="0"/>
          <w:highlight w:val="none"/>
        </w:rPr>
      </w:pPr>
      <w:r>
        <w:rPr>
          <w:color w:val="auto"/>
          <w:kern w:val="0"/>
          <w:highlight w:val="none"/>
        </w:rPr>
        <w:t xml:space="preserve">4.2 </w:t>
      </w:r>
      <w:r>
        <w:rPr>
          <w:rFonts w:hAnsi="宋体"/>
          <w:color w:val="auto"/>
          <w:kern w:val="0"/>
          <w:highlight w:val="none"/>
        </w:rPr>
        <w:t>委托人的违约责任</w:t>
      </w:r>
    </w:p>
    <w:p>
      <w:pPr>
        <w:spacing w:line="360" w:lineRule="auto"/>
        <w:ind w:firstLine="420" w:firstLineChars="200"/>
        <w:rPr>
          <w:color w:val="auto"/>
          <w:kern w:val="0"/>
          <w:highlight w:val="none"/>
        </w:rPr>
      </w:pPr>
      <w:r>
        <w:rPr>
          <w:rFonts w:hAnsi="宋体"/>
          <w:color w:val="auto"/>
          <w:highlight w:val="none"/>
        </w:rPr>
        <w:t>委托人</w:t>
      </w:r>
      <w:r>
        <w:rPr>
          <w:rFonts w:hAnsi="宋体"/>
          <w:color w:val="auto"/>
          <w:kern w:val="0"/>
          <w:highlight w:val="none"/>
        </w:rPr>
        <w:t>逾期付款利息按下列方法确定：</w:t>
      </w:r>
    </w:p>
    <w:p>
      <w:pPr>
        <w:spacing w:line="360" w:lineRule="auto"/>
        <w:ind w:firstLine="420" w:firstLineChars="200"/>
        <w:rPr>
          <w:color w:val="auto"/>
          <w:highlight w:val="none"/>
        </w:rPr>
      </w:pPr>
      <w:r>
        <w:rPr>
          <w:rFonts w:hAnsi="宋体"/>
          <w:color w:val="auto"/>
          <w:highlight w:val="none"/>
        </w:rPr>
        <w:t>逾期付款利息＝当期应付款总额</w:t>
      </w:r>
      <w:r>
        <w:rPr>
          <w:color w:val="auto"/>
          <w:highlight w:val="none"/>
        </w:rPr>
        <w:t>×</w:t>
      </w:r>
      <w:r>
        <w:rPr>
          <w:rFonts w:hAnsi="宋体"/>
          <w:color w:val="auto"/>
          <w:highlight w:val="none"/>
        </w:rPr>
        <w:t>银行同期贷款</w:t>
      </w:r>
      <w:r>
        <w:rPr>
          <w:rFonts w:hint="eastAsia" w:hAnsi="宋体"/>
          <w:color w:val="auto"/>
          <w:highlight w:val="none"/>
        </w:rPr>
        <w:t>日</w:t>
      </w:r>
      <w:r>
        <w:rPr>
          <w:rFonts w:hAnsi="宋体"/>
          <w:color w:val="auto"/>
          <w:highlight w:val="none"/>
        </w:rPr>
        <w:t>利率</w:t>
      </w:r>
      <w:r>
        <w:rPr>
          <w:color w:val="auto"/>
          <w:highlight w:val="none"/>
        </w:rPr>
        <w:t>×</w:t>
      </w:r>
      <w:r>
        <w:rPr>
          <w:rFonts w:hAnsi="宋体"/>
          <w:color w:val="auto"/>
          <w:highlight w:val="none"/>
        </w:rPr>
        <w:t>拖延支付天数</w:t>
      </w:r>
    </w:p>
    <w:p>
      <w:pPr>
        <w:pStyle w:val="4"/>
        <w:rPr>
          <w:color w:val="auto"/>
          <w:highlight w:val="none"/>
        </w:rPr>
      </w:pPr>
      <w:bookmarkStart w:id="116" w:name="_Toc459567819"/>
      <w:bookmarkStart w:id="117" w:name="_Toc30262"/>
      <w:r>
        <w:rPr>
          <w:color w:val="auto"/>
          <w:highlight w:val="none"/>
        </w:rPr>
        <w:t xml:space="preserve">5. </w:t>
      </w:r>
      <w:r>
        <w:rPr>
          <w:rFonts w:hAnsi="宋体"/>
          <w:color w:val="auto"/>
          <w:highlight w:val="none"/>
        </w:rPr>
        <w:t>支付</w:t>
      </w:r>
      <w:bookmarkEnd w:id="116"/>
      <w:bookmarkEnd w:id="117"/>
    </w:p>
    <w:p>
      <w:pPr>
        <w:snapToGrid w:val="0"/>
        <w:spacing w:line="360" w:lineRule="auto"/>
        <w:rPr>
          <w:rFonts w:hAnsi="宋体"/>
          <w:bCs/>
          <w:color w:val="auto"/>
          <w:highlight w:val="none"/>
        </w:rPr>
      </w:pPr>
      <w:r>
        <w:rPr>
          <w:color w:val="auto"/>
          <w:highlight w:val="none"/>
        </w:rPr>
        <w:t xml:space="preserve">5.1 </w:t>
      </w:r>
      <w:r>
        <w:rPr>
          <w:rFonts w:hAnsi="宋体"/>
          <w:bCs/>
          <w:color w:val="auto"/>
          <w:highlight w:val="none"/>
        </w:rPr>
        <w:t>支付货币</w:t>
      </w:r>
    </w:p>
    <w:p>
      <w:pPr>
        <w:snapToGrid w:val="0"/>
        <w:spacing w:line="360" w:lineRule="auto"/>
        <w:ind w:firstLine="420" w:firstLineChars="200"/>
        <w:rPr>
          <w:color w:val="auto"/>
          <w:highlight w:val="none"/>
          <w:u w:val="single"/>
        </w:rPr>
      </w:pPr>
    </w:p>
    <w:p>
      <w:pPr>
        <w:snapToGrid w:val="0"/>
        <w:spacing w:line="360" w:lineRule="auto"/>
        <w:rPr>
          <w:color w:val="auto"/>
          <w:kern w:val="0"/>
          <w:highlight w:val="none"/>
        </w:rPr>
      </w:pPr>
      <w:r>
        <w:rPr>
          <w:color w:val="auto"/>
          <w:kern w:val="0"/>
          <w:highlight w:val="none"/>
        </w:rPr>
        <w:t>5.</w:t>
      </w:r>
      <w:r>
        <w:rPr>
          <w:rFonts w:hint="eastAsia"/>
          <w:color w:val="auto"/>
          <w:kern w:val="0"/>
          <w:highlight w:val="none"/>
        </w:rPr>
        <w:t>2</w:t>
      </w:r>
      <w:r>
        <w:rPr>
          <w:rFonts w:hAnsi="宋体"/>
          <w:color w:val="auto"/>
          <w:kern w:val="0"/>
          <w:highlight w:val="none"/>
        </w:rPr>
        <w:t>支付酬金</w:t>
      </w:r>
    </w:p>
    <w:p>
      <w:pPr>
        <w:snapToGrid w:val="0"/>
        <w:spacing w:line="360" w:lineRule="auto"/>
        <w:ind w:firstLine="420" w:firstLineChars="200"/>
        <w:rPr>
          <w:color w:val="auto"/>
          <w:kern w:val="0"/>
          <w:highlight w:val="none"/>
        </w:rPr>
      </w:pPr>
      <w:r>
        <w:rPr>
          <w:rFonts w:hAnsi="宋体"/>
          <w:color w:val="auto"/>
          <w:kern w:val="0"/>
          <w:highlight w:val="none"/>
        </w:rPr>
        <w:t>委托人同意按以下的计算方法、支付时间与金额，支付监理人的酬金：</w:t>
      </w:r>
    </w:p>
    <w:p>
      <w:pPr>
        <w:snapToGrid w:val="0"/>
        <w:spacing w:line="360" w:lineRule="auto"/>
        <w:ind w:firstLine="420" w:firstLineChars="200"/>
        <w:rPr>
          <w:rFonts w:hAnsi="宋体"/>
          <w:color w:val="auto"/>
          <w:kern w:val="0"/>
          <w:highlight w:val="none"/>
        </w:rPr>
      </w:pPr>
      <w:r>
        <w:rPr>
          <w:rFonts w:hAnsi="宋体"/>
          <w:color w:val="auto"/>
          <w:kern w:val="0"/>
          <w:highlight w:val="none"/>
        </w:rPr>
        <w:t>5.</w:t>
      </w:r>
      <w:r>
        <w:rPr>
          <w:rFonts w:hint="eastAsia" w:hAnsi="宋体"/>
          <w:color w:val="auto"/>
          <w:kern w:val="0"/>
          <w:highlight w:val="none"/>
        </w:rPr>
        <w:t>2</w:t>
      </w:r>
      <w:r>
        <w:rPr>
          <w:rFonts w:hAnsi="宋体"/>
          <w:color w:val="auto"/>
          <w:kern w:val="0"/>
          <w:highlight w:val="none"/>
        </w:rPr>
        <w:t>.1监理酬金计算方法：</w:t>
      </w:r>
    </w:p>
    <w:p>
      <w:p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监理酬金以</w:t>
      </w:r>
      <w:r>
        <w:rPr>
          <w:rFonts w:hint="eastAsia" w:hAnsi="宋体"/>
          <w:color w:val="auto"/>
          <w:kern w:val="0"/>
          <w:szCs w:val="21"/>
          <w:highlight w:val="none"/>
          <w:u w:val="single"/>
        </w:rPr>
        <w:t xml:space="preserve">               （建筑安装工程费</w:t>
      </w:r>
      <w:r>
        <w:rPr>
          <w:rFonts w:hAnsi="宋体"/>
          <w:color w:val="auto"/>
          <w:kern w:val="0"/>
          <w:szCs w:val="21"/>
          <w:highlight w:val="none"/>
          <w:u w:val="single"/>
        </w:rPr>
        <w:t>最终工程结算价</w:t>
      </w:r>
      <w:r>
        <w:rPr>
          <w:rFonts w:hint="eastAsia" w:hAnsi="宋体"/>
          <w:color w:val="auto"/>
          <w:kern w:val="0"/>
          <w:szCs w:val="21"/>
          <w:highlight w:val="none"/>
          <w:u w:val="single"/>
        </w:rPr>
        <w:t>或项目概算投资额）</w:t>
      </w:r>
      <w:r>
        <w:rPr>
          <w:rFonts w:hAnsi="宋体"/>
          <w:color w:val="auto"/>
          <w:kern w:val="0"/>
          <w:szCs w:val="21"/>
          <w:highlight w:val="none"/>
        </w:rPr>
        <w:t>为计费基数</w:t>
      </w:r>
      <w:r>
        <w:rPr>
          <w:rFonts w:hint="eastAsia" w:hAnsi="宋体"/>
          <w:color w:val="auto"/>
          <w:kern w:val="0"/>
          <w:szCs w:val="21"/>
          <w:highlight w:val="none"/>
        </w:rPr>
        <w:t>，或按</w:t>
      </w:r>
      <w:r>
        <w:rPr>
          <w:rFonts w:hint="eastAsia" w:hAnsi="宋体"/>
          <w:color w:val="auto"/>
          <w:kern w:val="0"/>
          <w:szCs w:val="21"/>
          <w:highlight w:val="none"/>
          <w:u w:val="single"/>
        </w:rPr>
        <w:t xml:space="preserve">           （固定数）</w:t>
      </w:r>
      <w:r>
        <w:rPr>
          <w:rFonts w:hint="eastAsia" w:hAnsi="宋体"/>
          <w:color w:val="auto"/>
          <w:kern w:val="0"/>
          <w:szCs w:val="21"/>
          <w:highlight w:val="none"/>
        </w:rPr>
        <w:t>计算</w:t>
      </w:r>
      <w:r>
        <w:rPr>
          <w:rFonts w:hAnsi="宋体"/>
          <w:color w:val="auto"/>
          <w:kern w:val="0"/>
          <w:szCs w:val="21"/>
          <w:highlight w:val="none"/>
        </w:rPr>
        <w:t>，</w:t>
      </w:r>
      <w:r>
        <w:rPr>
          <w:rFonts w:hint="eastAsia" w:hAnsi="宋体"/>
          <w:color w:val="auto"/>
          <w:kern w:val="0"/>
          <w:szCs w:val="21"/>
          <w:highlight w:val="none"/>
        </w:rPr>
        <w:t>结合中标人的投标报价方式进行计算。</w:t>
      </w:r>
    </w:p>
    <w:p>
      <w:pPr>
        <w:snapToGrid w:val="0"/>
        <w:spacing w:line="360" w:lineRule="auto"/>
        <w:ind w:firstLine="420" w:firstLineChars="200"/>
        <w:rPr>
          <w:rFonts w:hAnsi="宋体"/>
          <w:color w:val="auto"/>
          <w:kern w:val="0"/>
          <w:highlight w:val="none"/>
        </w:rPr>
      </w:pPr>
      <w:r>
        <w:rPr>
          <w:rFonts w:hAnsi="宋体"/>
          <w:color w:val="auto"/>
          <w:kern w:val="0"/>
          <w:highlight w:val="none"/>
        </w:rPr>
        <w:t>5.</w:t>
      </w:r>
      <w:r>
        <w:rPr>
          <w:rFonts w:hint="eastAsia" w:hAnsi="宋体"/>
          <w:color w:val="auto"/>
          <w:kern w:val="0"/>
          <w:highlight w:val="none"/>
        </w:rPr>
        <w:t>2</w:t>
      </w:r>
      <w:r>
        <w:rPr>
          <w:rFonts w:hAnsi="宋体"/>
          <w:color w:val="auto"/>
          <w:kern w:val="0"/>
          <w:highlight w:val="none"/>
        </w:rPr>
        <w:t>.2</w:t>
      </w:r>
      <w:r>
        <w:rPr>
          <w:rFonts w:hint="eastAsia" w:hAnsi="宋体"/>
          <w:color w:val="auto"/>
          <w:kern w:val="0"/>
          <w:highlight w:val="none"/>
        </w:rPr>
        <w:t>施工阶段</w:t>
      </w:r>
      <w:r>
        <w:rPr>
          <w:rFonts w:hAnsi="宋体"/>
          <w:color w:val="auto"/>
          <w:kern w:val="0"/>
          <w:highlight w:val="none"/>
        </w:rPr>
        <w:t>监理酬金支付时间与金额：</w:t>
      </w:r>
    </w:p>
    <w:p>
      <w:p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（1）本工程监理费预付款为：监理酬金的20%，在本监理合同签订后7日内由委托人支付给监理人。</w:t>
      </w:r>
    </w:p>
    <w:p>
      <w:p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（2）在监理合同已签订，监理人员进场并正常开展监理业务后，委托人在每月25日前，向监理人按月支付监理服务酬金：</w:t>
      </w:r>
    </w:p>
    <w:p>
      <w:pPr>
        <w:snapToGrid w:val="0"/>
        <w:spacing w:line="360" w:lineRule="auto"/>
        <w:ind w:firstLine="420" w:firstLineChars="200"/>
        <w:rPr>
          <w:rFonts w:hAnsi="宋体"/>
          <w:color w:val="auto"/>
          <w:kern w:val="0"/>
          <w:szCs w:val="21"/>
          <w:highlight w:val="none"/>
        </w:rPr>
      </w:pPr>
      <w:r>
        <w:rPr>
          <w:rFonts w:hint="eastAsia" w:hAnsi="宋体"/>
          <w:color w:val="auto"/>
          <w:kern w:val="0"/>
          <w:szCs w:val="21"/>
          <w:highlight w:val="none"/>
        </w:rPr>
        <w:t>施工阶段</w:t>
      </w:r>
      <w:r>
        <w:rPr>
          <w:rFonts w:hAnsi="宋体"/>
          <w:color w:val="auto"/>
          <w:kern w:val="0"/>
          <w:szCs w:val="21"/>
          <w:highlight w:val="none"/>
        </w:rPr>
        <w:t>月监理酬金=暂定施工阶段监理酬金×（1-20%）×（30÷本合同</w:t>
      </w:r>
      <w:r>
        <w:rPr>
          <w:rFonts w:hint="eastAsia" w:hAnsi="宋体"/>
          <w:color w:val="auto"/>
          <w:kern w:val="0"/>
          <w:szCs w:val="21"/>
          <w:highlight w:val="none"/>
        </w:rPr>
        <w:t>施工阶段</w:t>
      </w:r>
      <w:r>
        <w:rPr>
          <w:rFonts w:hAnsi="宋体"/>
          <w:color w:val="auto"/>
          <w:kern w:val="0"/>
          <w:szCs w:val="21"/>
          <w:highlight w:val="none"/>
        </w:rPr>
        <w:t>监理服务期（天））</w:t>
      </w:r>
    </w:p>
    <w:p>
      <w:pPr>
        <w:snapToGrid w:val="0"/>
        <w:spacing w:line="360" w:lineRule="auto"/>
        <w:ind w:firstLine="420" w:firstLineChars="200"/>
        <w:rPr>
          <w:color w:val="auto"/>
          <w:szCs w:val="21"/>
          <w:highlight w:val="none"/>
        </w:rPr>
      </w:pPr>
      <w:r>
        <w:rPr>
          <w:rFonts w:hAnsi="宋体"/>
          <w:color w:val="auto"/>
          <w:szCs w:val="21"/>
          <w:highlight w:val="none"/>
        </w:rPr>
        <w:t>（</w:t>
      </w:r>
      <w:r>
        <w:rPr>
          <w:color w:val="auto"/>
          <w:szCs w:val="21"/>
          <w:highlight w:val="none"/>
        </w:rPr>
        <w:t>3</w:t>
      </w:r>
      <w:r>
        <w:rPr>
          <w:rFonts w:hAnsi="宋体"/>
          <w:color w:val="auto"/>
          <w:szCs w:val="21"/>
          <w:highlight w:val="none"/>
        </w:rPr>
        <w:t>）</w:t>
      </w:r>
      <w:r>
        <w:rPr>
          <w:rFonts w:hint="eastAsia" w:hAnsi="宋体"/>
          <w:color w:val="auto"/>
          <w:szCs w:val="21"/>
          <w:highlight w:val="none"/>
        </w:rPr>
        <w:t>在工程通过竣工验收后</w:t>
      </w:r>
      <w:r>
        <w:rPr>
          <w:rFonts w:hAnsi="宋体"/>
          <w:color w:val="auto"/>
          <w:szCs w:val="21"/>
          <w:highlight w:val="none"/>
        </w:rPr>
        <w:t>支付</w:t>
      </w:r>
      <w:r>
        <w:rPr>
          <w:rFonts w:hint="eastAsia" w:hAnsi="宋体"/>
          <w:color w:val="auto"/>
          <w:szCs w:val="21"/>
          <w:highlight w:val="none"/>
        </w:rPr>
        <w:t>合同</w:t>
      </w:r>
      <w:r>
        <w:rPr>
          <w:rFonts w:hAnsi="宋体"/>
          <w:color w:val="auto"/>
          <w:szCs w:val="21"/>
          <w:highlight w:val="none"/>
        </w:rPr>
        <w:t>监理服务酬金总额的</w:t>
      </w:r>
      <w:r>
        <w:rPr>
          <w:color w:val="auto"/>
          <w:szCs w:val="21"/>
          <w:highlight w:val="none"/>
        </w:rPr>
        <w:t>95%</w:t>
      </w:r>
      <w:r>
        <w:rPr>
          <w:rFonts w:hint="eastAsia"/>
          <w:color w:val="auto"/>
          <w:szCs w:val="21"/>
          <w:highlight w:val="none"/>
        </w:rPr>
        <w:t>，</w:t>
      </w:r>
      <w:r>
        <w:rPr>
          <w:rFonts w:hAnsi="宋体"/>
          <w:color w:val="auto"/>
          <w:szCs w:val="21"/>
          <w:highlight w:val="none"/>
        </w:rPr>
        <w:t>工程结算审定完成之日起</w:t>
      </w:r>
      <w:r>
        <w:rPr>
          <w:color w:val="auto"/>
          <w:szCs w:val="21"/>
          <w:highlight w:val="none"/>
        </w:rPr>
        <w:t>10</w:t>
      </w:r>
      <w:r>
        <w:rPr>
          <w:rFonts w:hAnsi="宋体"/>
          <w:color w:val="auto"/>
          <w:szCs w:val="21"/>
          <w:highlight w:val="none"/>
        </w:rPr>
        <w:t>日内，监理人向委托人提交监理酬金结算清单，委托人在收到监理酬金结算清单之日起</w:t>
      </w:r>
      <w:r>
        <w:rPr>
          <w:color w:val="auto"/>
          <w:szCs w:val="21"/>
          <w:highlight w:val="none"/>
        </w:rPr>
        <w:t>15</w:t>
      </w:r>
      <w:r>
        <w:rPr>
          <w:rFonts w:hAnsi="宋体"/>
          <w:color w:val="auto"/>
          <w:szCs w:val="21"/>
          <w:highlight w:val="none"/>
        </w:rPr>
        <w:t>日内核准并</w:t>
      </w:r>
      <w:r>
        <w:rPr>
          <w:rFonts w:hint="eastAsia" w:hAnsi="宋体"/>
          <w:color w:val="auto"/>
          <w:szCs w:val="21"/>
          <w:highlight w:val="none"/>
        </w:rPr>
        <w:t>按工程实际结算造价</w:t>
      </w:r>
      <w:r>
        <w:rPr>
          <w:color w:val="auto"/>
          <w:szCs w:val="21"/>
          <w:highlight w:val="none"/>
        </w:rPr>
        <w:t>×</w:t>
      </w:r>
      <w:r>
        <w:rPr>
          <w:rFonts w:hint="eastAsia"/>
          <w:color w:val="auto"/>
          <w:szCs w:val="21"/>
          <w:highlight w:val="none"/>
        </w:rPr>
        <w:t>监理费率为监理酬金总结算费用，总金额与合同金额相差部分的95%</w:t>
      </w:r>
      <w:r>
        <w:rPr>
          <w:rFonts w:hAnsi="宋体"/>
          <w:color w:val="auto"/>
          <w:szCs w:val="21"/>
          <w:highlight w:val="none"/>
        </w:rPr>
        <w:t>支付；在监理服务期届满</w:t>
      </w:r>
      <w:r>
        <w:rPr>
          <w:color w:val="auto"/>
          <w:szCs w:val="21"/>
          <w:highlight w:val="none"/>
        </w:rPr>
        <w:t>14</w:t>
      </w:r>
      <w:r>
        <w:rPr>
          <w:rFonts w:hAnsi="宋体"/>
          <w:color w:val="auto"/>
          <w:szCs w:val="21"/>
          <w:highlight w:val="none"/>
        </w:rPr>
        <w:t>天内，委托人将监理服务酬金总额的余款全部付清，并向监理人退回履约保证金（无息）。</w:t>
      </w:r>
    </w:p>
    <w:p>
      <w:pPr>
        <w:snapToGrid w:val="0"/>
        <w:spacing w:line="360" w:lineRule="auto"/>
        <w:ind w:firstLine="420" w:firstLineChars="200"/>
        <w:rPr>
          <w:rFonts w:hAnsi="宋体"/>
          <w:color w:val="auto"/>
          <w:highlight w:val="none"/>
        </w:rPr>
      </w:pPr>
      <w:r>
        <w:rPr>
          <w:color w:val="auto"/>
          <w:highlight w:val="none"/>
        </w:rPr>
        <w:t>5.</w:t>
      </w:r>
      <w:r>
        <w:rPr>
          <w:rFonts w:hint="eastAsia"/>
          <w:color w:val="auto"/>
          <w:highlight w:val="none"/>
        </w:rPr>
        <w:t>2</w:t>
      </w:r>
      <w:r>
        <w:rPr>
          <w:color w:val="auto"/>
          <w:highlight w:val="none"/>
        </w:rPr>
        <w:t>.3</w:t>
      </w:r>
      <w:r>
        <w:rPr>
          <w:rFonts w:hAnsi="宋体"/>
          <w:color w:val="auto"/>
          <w:highlight w:val="none"/>
        </w:rPr>
        <w:t>延期费用的支付：</w:t>
      </w:r>
    </w:p>
    <w:p>
      <w:pPr>
        <w:snapToGrid w:val="0"/>
        <w:spacing w:line="360" w:lineRule="auto"/>
        <w:ind w:firstLine="420" w:firstLineChars="200"/>
        <w:rPr>
          <w:color w:val="auto"/>
          <w:highlight w:val="none"/>
        </w:rPr>
      </w:pPr>
      <w:r>
        <w:rPr>
          <w:rFonts w:hAnsi="宋体"/>
          <w:color w:val="auto"/>
          <w:highlight w:val="none"/>
        </w:rPr>
        <w:t>由于非监理人原因，使得施工阶段的实际监理服务期超出合同监理服务期时，委托人另行向监理人支付延期费用，延期费用按以下公式计取：</w:t>
      </w:r>
    </w:p>
    <w:p>
      <w:pPr>
        <w:snapToGrid w:val="0"/>
        <w:spacing w:line="360" w:lineRule="auto"/>
        <w:ind w:firstLine="420" w:firstLineChars="200"/>
        <w:rPr>
          <w:rFonts w:hAnsi="宋体"/>
          <w:color w:val="auto"/>
          <w:highlight w:val="none"/>
        </w:rPr>
      </w:pPr>
      <w:r>
        <w:rPr>
          <w:rFonts w:hAnsi="宋体"/>
          <w:color w:val="auto"/>
          <w:highlight w:val="none"/>
        </w:rPr>
        <w:t>延期费用</w:t>
      </w:r>
      <w:r>
        <w:rPr>
          <w:color w:val="auto"/>
          <w:highlight w:val="none"/>
        </w:rPr>
        <w:t>=</w:t>
      </w:r>
      <w:r>
        <w:rPr>
          <w:rFonts w:hAnsi="宋体"/>
          <w:color w:val="auto"/>
          <w:highlight w:val="none"/>
        </w:rPr>
        <w:t>本合同期限延长时间（天）</w:t>
      </w:r>
      <w:r>
        <w:rPr>
          <w:color w:val="auto"/>
          <w:highlight w:val="none"/>
        </w:rPr>
        <w:t>×</w:t>
      </w:r>
      <w:r>
        <w:rPr>
          <w:rFonts w:hAnsi="宋体"/>
          <w:color w:val="auto"/>
          <w:highlight w:val="none"/>
        </w:rPr>
        <w:t>暂定施工阶段监理酬金</w:t>
      </w:r>
      <w:r>
        <w:rPr>
          <w:color w:val="auto"/>
          <w:highlight w:val="none"/>
        </w:rPr>
        <w:t>÷</w:t>
      </w:r>
      <w:r>
        <w:rPr>
          <w:rFonts w:hAnsi="宋体"/>
          <w:color w:val="auto"/>
          <w:highlight w:val="none"/>
        </w:rPr>
        <w:t>本合同监理服务期（天）</w:t>
      </w:r>
    </w:p>
    <w:p>
      <w:pPr>
        <w:snapToGrid w:val="0"/>
        <w:spacing w:line="360" w:lineRule="auto"/>
        <w:ind w:firstLine="420" w:firstLineChars="200"/>
        <w:rPr>
          <w:color w:val="auto"/>
          <w:highlight w:val="none"/>
          <w:u w:val="single"/>
        </w:rPr>
      </w:pPr>
      <w:r>
        <w:rPr>
          <w:rFonts w:hint="eastAsia"/>
          <w:color w:val="auto"/>
          <w:highlight w:val="none"/>
        </w:rPr>
        <w:t>其他约定：</w:t>
      </w:r>
    </w:p>
    <w:p>
      <w:pPr>
        <w:snapToGrid w:val="0"/>
        <w:spacing w:line="360" w:lineRule="auto"/>
        <w:ind w:firstLine="420" w:firstLineChars="200"/>
        <w:rPr>
          <w:rFonts w:hAnsi="宋体"/>
          <w:color w:val="auto"/>
          <w:highlight w:val="none"/>
        </w:rPr>
      </w:pPr>
      <w:r>
        <w:rPr>
          <w:rFonts w:hint="eastAsia" w:hAnsi="宋体"/>
          <w:color w:val="auto"/>
          <w:highlight w:val="none"/>
        </w:rPr>
        <w:t>5.2.4 其它阶段监理酬金支付</w:t>
      </w:r>
    </w:p>
    <w:p>
      <w:pPr>
        <w:snapToGrid w:val="0"/>
        <w:spacing w:line="360" w:lineRule="auto"/>
        <w:ind w:firstLine="420" w:firstLineChars="200"/>
        <w:rPr>
          <w:rFonts w:hAnsi="宋体"/>
          <w:color w:val="auto"/>
          <w:highlight w:val="none"/>
        </w:rPr>
      </w:pPr>
      <w:r>
        <w:rPr>
          <w:rFonts w:hAnsi="宋体"/>
          <w:color w:val="auto"/>
          <w:highlight w:val="none"/>
        </w:rPr>
        <w:t>在监理合同已签订，监理人员进场并正常开展监理业务后，委托人在每月25日前，向监理人按月支付监理服务酬金：</w:t>
      </w:r>
    </w:p>
    <w:p>
      <w:pPr>
        <w:snapToGrid w:val="0"/>
        <w:spacing w:line="360" w:lineRule="auto"/>
        <w:ind w:firstLine="420" w:firstLineChars="200"/>
        <w:rPr>
          <w:rFonts w:hAnsi="宋体"/>
          <w:color w:val="auto"/>
          <w:highlight w:val="none"/>
        </w:rPr>
      </w:pPr>
      <w:r>
        <w:rPr>
          <w:rFonts w:hint="eastAsia" w:hAnsi="宋体"/>
          <w:color w:val="auto"/>
          <w:highlight w:val="none"/>
        </w:rPr>
        <w:t>其它阶段月监理酬金=</w:t>
      </w:r>
      <w:r>
        <w:rPr>
          <w:rFonts w:hAnsi="宋体"/>
          <w:color w:val="auto"/>
          <w:highlight w:val="none"/>
        </w:rPr>
        <w:t>暂定</w:t>
      </w:r>
      <w:r>
        <w:rPr>
          <w:rFonts w:hint="eastAsia" w:hAnsi="宋体"/>
          <w:color w:val="auto"/>
          <w:highlight w:val="none"/>
        </w:rPr>
        <w:t>相应</w:t>
      </w:r>
      <w:r>
        <w:rPr>
          <w:rFonts w:hAnsi="宋体"/>
          <w:color w:val="auto"/>
          <w:highlight w:val="none"/>
        </w:rPr>
        <w:t>阶段监理酬金×（30÷本合同</w:t>
      </w:r>
      <w:r>
        <w:rPr>
          <w:rFonts w:hint="eastAsia" w:hAnsi="宋体"/>
          <w:color w:val="auto"/>
          <w:highlight w:val="none"/>
        </w:rPr>
        <w:t>相应阶段</w:t>
      </w:r>
      <w:r>
        <w:rPr>
          <w:rFonts w:hAnsi="宋体"/>
          <w:color w:val="auto"/>
          <w:highlight w:val="none"/>
        </w:rPr>
        <w:t>监理服务期（天））</w:t>
      </w:r>
    </w:p>
    <w:p>
      <w:pPr>
        <w:snapToGrid w:val="0"/>
        <w:spacing w:line="360" w:lineRule="auto"/>
        <w:ind w:firstLine="420" w:firstLineChars="200"/>
        <w:rPr>
          <w:rFonts w:hAnsi="宋体"/>
          <w:color w:val="auto"/>
          <w:highlight w:val="none"/>
        </w:rPr>
      </w:pPr>
    </w:p>
    <w:p>
      <w:pPr>
        <w:pStyle w:val="4"/>
        <w:rPr>
          <w:color w:val="auto"/>
          <w:highlight w:val="none"/>
        </w:rPr>
      </w:pPr>
      <w:bookmarkStart w:id="118" w:name="_Toc459567820"/>
      <w:bookmarkStart w:id="119" w:name="_Toc4477"/>
      <w:r>
        <w:rPr>
          <w:color w:val="auto"/>
          <w:highlight w:val="none"/>
        </w:rPr>
        <w:t>6. 合同生效、变更、暂停、解除与终止</w:t>
      </w:r>
      <w:bookmarkEnd w:id="118"/>
      <w:bookmarkEnd w:id="119"/>
    </w:p>
    <w:p>
      <w:pPr>
        <w:adjustRightInd w:val="0"/>
        <w:snapToGrid w:val="0"/>
        <w:spacing w:line="360" w:lineRule="auto"/>
        <w:rPr>
          <w:color w:val="auto"/>
          <w:highlight w:val="none"/>
        </w:rPr>
      </w:pPr>
      <w:r>
        <w:rPr>
          <w:color w:val="auto"/>
          <w:highlight w:val="none"/>
        </w:rPr>
        <w:t xml:space="preserve">6.1 </w:t>
      </w:r>
      <w:r>
        <w:rPr>
          <w:rFonts w:hAnsi="宋体"/>
          <w:color w:val="auto"/>
          <w:highlight w:val="none"/>
        </w:rPr>
        <w:t>生效</w:t>
      </w:r>
    </w:p>
    <w:p>
      <w:pPr>
        <w:adjustRightInd w:val="0"/>
        <w:snapToGrid w:val="0"/>
        <w:spacing w:line="360" w:lineRule="auto"/>
        <w:ind w:firstLine="480"/>
        <w:rPr>
          <w:color w:val="auto"/>
          <w:highlight w:val="none"/>
        </w:rPr>
      </w:pPr>
      <w:r>
        <w:rPr>
          <w:rFonts w:hAnsi="宋体"/>
          <w:color w:val="auto"/>
          <w:highlight w:val="none"/>
        </w:rPr>
        <w:t>本合同生效条件：。</w:t>
      </w:r>
    </w:p>
    <w:p>
      <w:pPr>
        <w:adjustRightInd w:val="0"/>
        <w:snapToGrid w:val="0"/>
        <w:spacing w:line="360" w:lineRule="auto"/>
        <w:rPr>
          <w:color w:val="auto"/>
          <w:highlight w:val="none"/>
        </w:rPr>
      </w:pPr>
      <w:r>
        <w:rPr>
          <w:color w:val="auto"/>
          <w:highlight w:val="none"/>
        </w:rPr>
        <w:t xml:space="preserve">6.2 </w:t>
      </w:r>
      <w:r>
        <w:rPr>
          <w:rFonts w:hAnsi="宋体"/>
          <w:color w:val="auto"/>
          <w:highlight w:val="none"/>
        </w:rPr>
        <w:t>变更</w:t>
      </w:r>
    </w:p>
    <w:p>
      <w:pPr>
        <w:adjustRightInd w:val="0"/>
        <w:snapToGrid w:val="0"/>
        <w:spacing w:line="360" w:lineRule="auto"/>
        <w:ind w:firstLine="420" w:firstLineChars="200"/>
        <w:rPr>
          <w:color w:val="auto"/>
          <w:highlight w:val="none"/>
        </w:rPr>
      </w:pPr>
      <w:r>
        <w:rPr>
          <w:color w:val="auto"/>
          <w:highlight w:val="none"/>
        </w:rPr>
        <w:t>6.2.</w:t>
      </w:r>
      <w:r>
        <w:rPr>
          <w:rFonts w:hint="eastAsia"/>
          <w:color w:val="auto"/>
          <w:highlight w:val="none"/>
        </w:rPr>
        <w:t>1</w:t>
      </w:r>
      <w:r>
        <w:rPr>
          <w:rFonts w:hAnsi="宋体"/>
          <w:color w:val="auto"/>
          <w:highlight w:val="none"/>
        </w:rPr>
        <w:t>除不可抗力外，因非监理人原因导致本合同期限延长时，附加工作酬金按下列方法确定：</w:t>
      </w:r>
    </w:p>
    <w:p>
      <w:pPr>
        <w:snapToGrid w:val="0"/>
        <w:spacing w:line="360" w:lineRule="auto"/>
        <w:ind w:firstLine="420" w:firstLineChars="200"/>
        <w:rPr>
          <w:color w:val="auto"/>
          <w:kern w:val="0"/>
          <w:highlight w:val="none"/>
        </w:rPr>
      </w:pPr>
      <w:r>
        <w:rPr>
          <w:rFonts w:hAnsi="宋体"/>
          <w:color w:val="auto"/>
          <w:kern w:val="0"/>
          <w:highlight w:val="none"/>
        </w:rPr>
        <w:t>附加工作</w:t>
      </w:r>
      <w:r>
        <w:rPr>
          <w:rFonts w:hAnsi="宋体"/>
          <w:color w:val="auto"/>
          <w:highlight w:val="none"/>
        </w:rPr>
        <w:t>酬金</w:t>
      </w:r>
      <w:r>
        <w:rPr>
          <w:color w:val="auto"/>
          <w:kern w:val="0"/>
          <w:highlight w:val="none"/>
        </w:rPr>
        <w:t>=</w:t>
      </w:r>
      <w:r>
        <w:rPr>
          <w:rFonts w:hAnsi="宋体"/>
          <w:color w:val="auto"/>
          <w:highlight w:val="none"/>
        </w:rPr>
        <w:t>本合同期限延长</w:t>
      </w:r>
      <w:r>
        <w:rPr>
          <w:rFonts w:hAnsi="宋体"/>
          <w:color w:val="auto"/>
          <w:kern w:val="0"/>
          <w:highlight w:val="none"/>
        </w:rPr>
        <w:t>时间（天）</w:t>
      </w:r>
      <w:r>
        <w:rPr>
          <w:color w:val="auto"/>
          <w:kern w:val="0"/>
          <w:highlight w:val="none"/>
        </w:rPr>
        <w:t>×</w:t>
      </w:r>
      <w:r>
        <w:rPr>
          <w:rFonts w:hAnsi="宋体"/>
          <w:color w:val="auto"/>
          <w:kern w:val="0"/>
          <w:highlight w:val="none"/>
        </w:rPr>
        <w:t>正常工作酬金</w:t>
      </w:r>
      <w:r>
        <w:rPr>
          <w:color w:val="auto"/>
          <w:kern w:val="0"/>
          <w:highlight w:val="none"/>
        </w:rPr>
        <w:t>÷</w:t>
      </w:r>
      <w:r>
        <w:rPr>
          <w:rFonts w:hAnsi="宋体"/>
          <w:color w:val="auto"/>
          <w:highlight w:val="none"/>
        </w:rPr>
        <w:t>协议书约定的监理与相关服务期限</w:t>
      </w:r>
      <w:r>
        <w:rPr>
          <w:rFonts w:hAnsi="宋体"/>
          <w:color w:val="auto"/>
          <w:kern w:val="0"/>
          <w:highlight w:val="none"/>
        </w:rPr>
        <w:t>（天）</w:t>
      </w:r>
    </w:p>
    <w:p>
      <w:pPr>
        <w:snapToGrid w:val="0"/>
        <w:spacing w:line="360" w:lineRule="auto"/>
        <w:ind w:firstLine="420" w:firstLineChars="200"/>
        <w:rPr>
          <w:color w:val="auto"/>
          <w:highlight w:val="none"/>
        </w:rPr>
      </w:pPr>
      <w:r>
        <w:rPr>
          <w:color w:val="auto"/>
          <w:highlight w:val="none"/>
        </w:rPr>
        <w:t>6.2.</w:t>
      </w:r>
      <w:r>
        <w:rPr>
          <w:rFonts w:hint="eastAsia"/>
          <w:color w:val="auto"/>
          <w:highlight w:val="none"/>
        </w:rPr>
        <w:t xml:space="preserve">2 </w:t>
      </w:r>
      <w:r>
        <w:rPr>
          <w:rFonts w:hAnsi="宋体"/>
          <w:color w:val="auto"/>
          <w:highlight w:val="none"/>
        </w:rPr>
        <w:t>附加工作酬金按下列方法确定：</w:t>
      </w:r>
    </w:p>
    <w:p>
      <w:pPr>
        <w:snapToGrid w:val="0"/>
        <w:spacing w:line="360" w:lineRule="auto"/>
        <w:ind w:firstLine="420" w:firstLineChars="200"/>
        <w:rPr>
          <w:color w:val="auto"/>
          <w:kern w:val="0"/>
          <w:highlight w:val="none"/>
        </w:rPr>
      </w:pPr>
      <w:r>
        <w:rPr>
          <w:rFonts w:hAnsi="宋体"/>
          <w:color w:val="auto"/>
          <w:kern w:val="0"/>
          <w:highlight w:val="none"/>
        </w:rPr>
        <w:t>附加工作</w:t>
      </w:r>
      <w:r>
        <w:rPr>
          <w:rFonts w:hAnsi="宋体"/>
          <w:color w:val="auto"/>
          <w:highlight w:val="none"/>
        </w:rPr>
        <w:t>酬金</w:t>
      </w:r>
      <w:r>
        <w:rPr>
          <w:color w:val="auto"/>
          <w:kern w:val="0"/>
          <w:highlight w:val="none"/>
        </w:rPr>
        <w:t>=</w:t>
      </w:r>
      <w:r>
        <w:rPr>
          <w:rFonts w:hAnsi="宋体"/>
          <w:color w:val="auto"/>
          <w:kern w:val="0"/>
          <w:highlight w:val="none"/>
        </w:rPr>
        <w:t>善后工作及恢复服务的准备工作时间（天）</w:t>
      </w:r>
      <w:r>
        <w:rPr>
          <w:color w:val="auto"/>
          <w:kern w:val="0"/>
          <w:highlight w:val="none"/>
        </w:rPr>
        <w:t>×</w:t>
      </w:r>
      <w:r>
        <w:rPr>
          <w:rFonts w:hAnsi="宋体"/>
          <w:color w:val="auto"/>
          <w:kern w:val="0"/>
          <w:highlight w:val="none"/>
        </w:rPr>
        <w:t>正常工作酬金</w:t>
      </w:r>
      <w:r>
        <w:rPr>
          <w:color w:val="auto"/>
          <w:kern w:val="0"/>
          <w:highlight w:val="none"/>
        </w:rPr>
        <w:t>÷</w:t>
      </w:r>
      <w:r>
        <w:rPr>
          <w:rFonts w:hAnsi="宋体"/>
          <w:color w:val="auto"/>
          <w:highlight w:val="none"/>
        </w:rPr>
        <w:t>协议书约定的监理与相关服务期限</w:t>
      </w:r>
      <w:r>
        <w:rPr>
          <w:rFonts w:hAnsi="宋体"/>
          <w:color w:val="auto"/>
          <w:kern w:val="0"/>
          <w:highlight w:val="none"/>
        </w:rPr>
        <w:t>（天）</w:t>
      </w:r>
    </w:p>
    <w:p>
      <w:pPr>
        <w:adjustRightInd w:val="0"/>
        <w:snapToGrid w:val="0"/>
        <w:spacing w:line="360" w:lineRule="auto"/>
        <w:ind w:firstLine="420" w:firstLineChars="200"/>
        <w:rPr>
          <w:color w:val="auto"/>
          <w:highlight w:val="none"/>
        </w:rPr>
      </w:pPr>
      <w:r>
        <w:rPr>
          <w:color w:val="auto"/>
          <w:highlight w:val="none"/>
        </w:rPr>
        <w:t>6.2.</w:t>
      </w:r>
      <w:r>
        <w:rPr>
          <w:rFonts w:hint="eastAsia"/>
          <w:color w:val="auto"/>
          <w:highlight w:val="none"/>
        </w:rPr>
        <w:t>3</w:t>
      </w:r>
      <w:r>
        <w:rPr>
          <w:rFonts w:hAnsi="宋体"/>
          <w:color w:val="auto"/>
          <w:highlight w:val="none"/>
        </w:rPr>
        <w:t>正常工作酬金增加额按下列方法确定：</w:t>
      </w:r>
    </w:p>
    <w:p>
      <w:pPr>
        <w:adjustRightInd w:val="0"/>
        <w:snapToGrid w:val="0"/>
        <w:spacing w:line="360" w:lineRule="auto"/>
        <w:ind w:firstLine="480"/>
        <w:rPr>
          <w:color w:val="auto"/>
          <w:kern w:val="0"/>
          <w:highlight w:val="none"/>
        </w:rPr>
      </w:pPr>
      <w:r>
        <w:rPr>
          <w:rFonts w:hAnsi="宋体"/>
          <w:color w:val="auto"/>
          <w:highlight w:val="none"/>
        </w:rPr>
        <w:t>正常工作酬金增加额</w:t>
      </w:r>
      <w:r>
        <w:rPr>
          <w:color w:val="auto"/>
          <w:kern w:val="0"/>
          <w:highlight w:val="none"/>
        </w:rPr>
        <w:t>=</w:t>
      </w:r>
      <w:r>
        <w:rPr>
          <w:rFonts w:hAnsi="宋体"/>
          <w:color w:val="auto"/>
          <w:kern w:val="0"/>
          <w:highlight w:val="none"/>
        </w:rPr>
        <w:t>工程</w:t>
      </w:r>
      <w:r>
        <w:rPr>
          <w:rFonts w:hint="eastAsia" w:hAnsi="宋体"/>
          <w:color w:val="auto"/>
          <w:kern w:val="0"/>
          <w:highlight w:val="none"/>
        </w:rPr>
        <w:t>增加</w:t>
      </w:r>
      <w:r>
        <w:rPr>
          <w:rFonts w:hAnsi="宋体"/>
          <w:color w:val="auto"/>
          <w:kern w:val="0"/>
          <w:highlight w:val="none"/>
        </w:rPr>
        <w:t>投资额</w:t>
      </w:r>
      <w:r>
        <w:rPr>
          <w:color w:val="auto"/>
          <w:kern w:val="0"/>
          <w:highlight w:val="none"/>
        </w:rPr>
        <w:t>×</w:t>
      </w:r>
      <w:r>
        <w:rPr>
          <w:rFonts w:hAnsi="宋体"/>
          <w:color w:val="auto"/>
          <w:kern w:val="0"/>
          <w:highlight w:val="none"/>
        </w:rPr>
        <w:t>正常工作酬金</w:t>
      </w:r>
      <w:r>
        <w:rPr>
          <w:color w:val="auto"/>
          <w:kern w:val="0"/>
          <w:highlight w:val="none"/>
        </w:rPr>
        <w:t>÷</w:t>
      </w:r>
      <w:r>
        <w:rPr>
          <w:rFonts w:hAnsi="宋体"/>
          <w:color w:val="auto"/>
          <w:kern w:val="0"/>
          <w:highlight w:val="none"/>
        </w:rPr>
        <w:t>工程概算投资额（或建筑安装工程费）</w:t>
      </w:r>
    </w:p>
    <w:p>
      <w:pPr>
        <w:snapToGrid w:val="0"/>
        <w:spacing w:line="360" w:lineRule="auto"/>
        <w:ind w:firstLine="420" w:firstLineChars="200"/>
        <w:rPr>
          <w:color w:val="auto"/>
          <w:highlight w:val="none"/>
        </w:rPr>
      </w:pPr>
      <w:r>
        <w:rPr>
          <w:color w:val="auto"/>
          <w:highlight w:val="none"/>
        </w:rPr>
        <w:t>6.2.</w:t>
      </w:r>
      <w:r>
        <w:rPr>
          <w:rFonts w:hint="eastAsia"/>
          <w:color w:val="auto"/>
          <w:highlight w:val="none"/>
        </w:rPr>
        <w:t>4</w:t>
      </w:r>
      <w:r>
        <w:rPr>
          <w:rFonts w:hAnsi="宋体"/>
          <w:color w:val="auto"/>
          <w:highlight w:val="none"/>
        </w:rPr>
        <w:t>因工程规模、监理范围的变化导致监理人的正常工作量减少时，按减少工作量的比例从协议书约定的正常工作酬金中扣减相同比例的酬金。</w:t>
      </w:r>
    </w:p>
    <w:p>
      <w:pPr>
        <w:pStyle w:val="4"/>
        <w:rPr>
          <w:color w:val="auto"/>
          <w:highlight w:val="none"/>
        </w:rPr>
      </w:pPr>
      <w:bookmarkStart w:id="120" w:name="_Toc178"/>
      <w:bookmarkStart w:id="121" w:name="_Toc459567821"/>
      <w:r>
        <w:rPr>
          <w:color w:val="auto"/>
          <w:highlight w:val="none"/>
        </w:rPr>
        <w:t xml:space="preserve">7. </w:t>
      </w:r>
      <w:r>
        <w:rPr>
          <w:rFonts w:hAnsi="宋体"/>
          <w:color w:val="auto"/>
          <w:highlight w:val="none"/>
        </w:rPr>
        <w:t>争议解决</w:t>
      </w:r>
      <w:bookmarkEnd w:id="120"/>
      <w:bookmarkEnd w:id="121"/>
    </w:p>
    <w:p>
      <w:pPr>
        <w:snapToGrid w:val="0"/>
        <w:spacing w:line="360" w:lineRule="auto"/>
        <w:rPr>
          <w:color w:val="auto"/>
          <w:highlight w:val="none"/>
        </w:rPr>
      </w:pPr>
      <w:r>
        <w:rPr>
          <w:color w:val="auto"/>
          <w:highlight w:val="none"/>
        </w:rPr>
        <w:t>7.</w:t>
      </w:r>
      <w:r>
        <w:rPr>
          <w:rFonts w:hint="eastAsia"/>
          <w:color w:val="auto"/>
          <w:highlight w:val="none"/>
        </w:rPr>
        <w:t>1</w:t>
      </w:r>
      <w:r>
        <w:rPr>
          <w:rFonts w:hAnsi="宋体"/>
          <w:bCs/>
          <w:color w:val="auto"/>
          <w:highlight w:val="none"/>
        </w:rPr>
        <w:t>调解</w:t>
      </w:r>
    </w:p>
    <w:p>
      <w:pPr>
        <w:snapToGrid w:val="0"/>
        <w:spacing w:line="360" w:lineRule="auto"/>
        <w:ind w:firstLine="411" w:firstLineChars="196"/>
        <w:rPr>
          <w:color w:val="auto"/>
          <w:highlight w:val="none"/>
        </w:rPr>
      </w:pPr>
      <w:r>
        <w:rPr>
          <w:rFonts w:hAnsi="宋体"/>
          <w:color w:val="auto"/>
          <w:highlight w:val="none"/>
        </w:rPr>
        <w:t>本合同争议进行调解时，可提交进行调解。</w:t>
      </w:r>
    </w:p>
    <w:p>
      <w:pPr>
        <w:snapToGrid w:val="0"/>
        <w:spacing w:line="360" w:lineRule="auto"/>
        <w:rPr>
          <w:color w:val="auto"/>
          <w:highlight w:val="none"/>
        </w:rPr>
      </w:pPr>
      <w:r>
        <w:rPr>
          <w:color w:val="auto"/>
          <w:highlight w:val="none"/>
        </w:rPr>
        <w:t>7.</w:t>
      </w:r>
      <w:r>
        <w:rPr>
          <w:rFonts w:hint="eastAsia"/>
          <w:color w:val="auto"/>
          <w:highlight w:val="none"/>
        </w:rPr>
        <w:t>2</w:t>
      </w:r>
      <w:r>
        <w:rPr>
          <w:rFonts w:hAnsi="宋体"/>
          <w:bCs/>
          <w:color w:val="auto"/>
          <w:highlight w:val="none"/>
        </w:rPr>
        <w:t>仲裁或诉讼</w:t>
      </w:r>
    </w:p>
    <w:p>
      <w:pPr>
        <w:adjustRightInd w:val="0"/>
        <w:snapToGrid w:val="0"/>
        <w:spacing w:line="360" w:lineRule="auto"/>
        <w:ind w:firstLine="420" w:firstLineChars="200"/>
        <w:rPr>
          <w:color w:val="auto"/>
          <w:highlight w:val="none"/>
        </w:rPr>
      </w:pPr>
      <w:r>
        <w:rPr>
          <w:rFonts w:hAnsi="宋体"/>
          <w:color w:val="auto"/>
          <w:highlight w:val="none"/>
        </w:rPr>
        <w:t>合同争议的最终解决方式为下列第种方式：</w:t>
      </w:r>
    </w:p>
    <w:p>
      <w:pPr>
        <w:adjustRightInd w:val="0"/>
        <w:snapToGrid w:val="0"/>
        <w:spacing w:line="360" w:lineRule="auto"/>
        <w:ind w:firstLine="420" w:firstLineChars="200"/>
        <w:rPr>
          <w:color w:val="auto"/>
          <w:highlight w:val="none"/>
        </w:rPr>
      </w:pPr>
      <w:r>
        <w:rPr>
          <w:rFonts w:hAnsi="宋体"/>
          <w:color w:val="auto"/>
          <w:highlight w:val="none"/>
        </w:rPr>
        <w:t>（</w:t>
      </w:r>
      <w:r>
        <w:rPr>
          <w:color w:val="auto"/>
          <w:highlight w:val="none"/>
        </w:rPr>
        <w:t>1</w:t>
      </w:r>
      <w:r>
        <w:rPr>
          <w:rFonts w:hAnsi="宋体"/>
          <w:color w:val="auto"/>
          <w:highlight w:val="none"/>
        </w:rPr>
        <w:t>）提请</w:t>
      </w:r>
      <w:r>
        <w:rPr>
          <w:rFonts w:hint="eastAsia"/>
          <w:color w:val="auto"/>
          <w:highlight w:val="none"/>
          <w:u w:val="single"/>
          <w:lang w:val="en-US" w:eastAsia="zh-CN"/>
        </w:rPr>
        <w:t>桂平</w:t>
      </w:r>
      <w:r>
        <w:rPr>
          <w:rFonts w:hint="eastAsia"/>
          <w:color w:val="auto"/>
          <w:highlight w:val="none"/>
          <w:u w:val="single"/>
        </w:rPr>
        <w:t>市</w:t>
      </w:r>
      <w:r>
        <w:rPr>
          <w:rFonts w:hAnsi="宋体"/>
          <w:color w:val="auto"/>
          <w:highlight w:val="none"/>
        </w:rPr>
        <w:t>仲裁委员会进行仲裁。</w:t>
      </w:r>
    </w:p>
    <w:p>
      <w:pPr>
        <w:adjustRightInd w:val="0"/>
        <w:snapToGrid w:val="0"/>
        <w:spacing w:line="360" w:lineRule="auto"/>
        <w:ind w:firstLine="420" w:firstLineChars="200"/>
        <w:rPr>
          <w:color w:val="auto"/>
          <w:highlight w:val="none"/>
        </w:rPr>
      </w:pPr>
      <w:r>
        <w:rPr>
          <w:rFonts w:hAnsi="宋体"/>
          <w:color w:val="auto"/>
          <w:highlight w:val="none"/>
        </w:rPr>
        <w:t>（</w:t>
      </w:r>
      <w:r>
        <w:rPr>
          <w:color w:val="auto"/>
          <w:highlight w:val="none"/>
        </w:rPr>
        <w:t>2</w:t>
      </w:r>
      <w:r>
        <w:rPr>
          <w:rFonts w:hAnsi="宋体"/>
          <w:color w:val="auto"/>
          <w:highlight w:val="none"/>
        </w:rPr>
        <w:t>）向</w:t>
      </w:r>
      <w:r>
        <w:rPr>
          <w:rFonts w:hint="eastAsia"/>
          <w:color w:val="auto"/>
          <w:highlight w:val="none"/>
          <w:u w:val="single"/>
          <w:lang w:val="en-US" w:eastAsia="zh-CN"/>
        </w:rPr>
        <w:t>桂平</w:t>
      </w:r>
      <w:r>
        <w:rPr>
          <w:rFonts w:hint="eastAsia"/>
          <w:color w:val="auto"/>
          <w:highlight w:val="none"/>
          <w:u w:val="single"/>
        </w:rPr>
        <w:t>市</w:t>
      </w:r>
      <w:r>
        <w:rPr>
          <w:rFonts w:hAnsi="宋体"/>
          <w:color w:val="auto"/>
          <w:highlight w:val="none"/>
        </w:rPr>
        <w:t>人民法院提起诉讼。</w:t>
      </w:r>
    </w:p>
    <w:p>
      <w:pPr>
        <w:pStyle w:val="4"/>
        <w:rPr>
          <w:color w:val="auto"/>
          <w:highlight w:val="none"/>
        </w:rPr>
      </w:pPr>
      <w:bookmarkStart w:id="122" w:name="_Toc459567822"/>
      <w:bookmarkStart w:id="123" w:name="_Toc4133"/>
      <w:r>
        <w:rPr>
          <w:color w:val="auto"/>
          <w:highlight w:val="none"/>
        </w:rPr>
        <w:t xml:space="preserve">8. </w:t>
      </w:r>
      <w:r>
        <w:rPr>
          <w:rFonts w:hAnsi="宋体"/>
          <w:color w:val="auto"/>
          <w:highlight w:val="none"/>
        </w:rPr>
        <w:t>其他</w:t>
      </w:r>
      <w:bookmarkEnd w:id="122"/>
      <w:bookmarkEnd w:id="123"/>
    </w:p>
    <w:p>
      <w:pPr>
        <w:adjustRightInd w:val="0"/>
        <w:snapToGrid w:val="0"/>
        <w:spacing w:line="360" w:lineRule="auto"/>
        <w:rPr>
          <w:rFonts w:hAnsi="宋体"/>
          <w:bCs/>
          <w:color w:val="auto"/>
          <w:highlight w:val="none"/>
        </w:rPr>
      </w:pPr>
      <w:r>
        <w:rPr>
          <w:bCs/>
          <w:color w:val="auto"/>
          <w:highlight w:val="none"/>
        </w:rPr>
        <w:t>8.</w:t>
      </w:r>
      <w:r>
        <w:rPr>
          <w:rFonts w:hint="eastAsia"/>
          <w:bCs/>
          <w:color w:val="auto"/>
          <w:highlight w:val="none"/>
        </w:rPr>
        <w:t>1</w:t>
      </w:r>
      <w:r>
        <w:rPr>
          <w:rFonts w:hAnsi="宋体"/>
          <w:bCs/>
          <w:color w:val="auto"/>
          <w:highlight w:val="none"/>
        </w:rPr>
        <w:t>检测费用</w:t>
      </w:r>
    </w:p>
    <w:p>
      <w:pPr>
        <w:adjustRightInd w:val="0"/>
        <w:snapToGrid w:val="0"/>
        <w:spacing w:line="360" w:lineRule="auto"/>
        <w:ind w:firstLine="420" w:firstLineChars="200"/>
        <w:rPr>
          <w:bCs/>
          <w:color w:val="auto"/>
          <w:highlight w:val="none"/>
        </w:rPr>
      </w:pPr>
      <w:r>
        <w:rPr>
          <w:rFonts w:hAnsi="宋体"/>
          <w:bCs/>
          <w:color w:val="auto"/>
          <w:highlight w:val="none"/>
        </w:rPr>
        <w:t>委托人应在检测工作完成后天内支付检测费用。</w:t>
      </w:r>
    </w:p>
    <w:p>
      <w:pPr>
        <w:adjustRightInd w:val="0"/>
        <w:snapToGrid w:val="0"/>
        <w:spacing w:line="360" w:lineRule="auto"/>
        <w:rPr>
          <w:bCs/>
          <w:color w:val="auto"/>
          <w:highlight w:val="none"/>
        </w:rPr>
      </w:pPr>
      <w:r>
        <w:rPr>
          <w:bCs/>
          <w:color w:val="auto"/>
          <w:highlight w:val="none"/>
        </w:rPr>
        <w:t>8.</w:t>
      </w:r>
      <w:r>
        <w:rPr>
          <w:rFonts w:hint="eastAsia"/>
          <w:bCs/>
          <w:color w:val="auto"/>
          <w:highlight w:val="none"/>
        </w:rPr>
        <w:t>2</w:t>
      </w:r>
      <w:r>
        <w:rPr>
          <w:rFonts w:hAnsi="宋体"/>
          <w:bCs/>
          <w:color w:val="auto"/>
          <w:highlight w:val="none"/>
        </w:rPr>
        <w:t>咨询费用</w:t>
      </w:r>
    </w:p>
    <w:p>
      <w:pPr>
        <w:adjustRightInd w:val="0"/>
        <w:snapToGrid w:val="0"/>
        <w:spacing w:line="360" w:lineRule="auto"/>
        <w:ind w:firstLine="435"/>
        <w:rPr>
          <w:bCs/>
          <w:color w:val="auto"/>
          <w:highlight w:val="none"/>
        </w:rPr>
      </w:pPr>
      <w:r>
        <w:rPr>
          <w:rFonts w:hAnsi="宋体"/>
          <w:bCs/>
          <w:color w:val="auto"/>
          <w:highlight w:val="none"/>
        </w:rPr>
        <w:t>委托人应在咨询工作完成后天内支付咨询费用。</w:t>
      </w:r>
    </w:p>
    <w:p>
      <w:pPr>
        <w:adjustRightInd w:val="0"/>
        <w:snapToGrid w:val="0"/>
        <w:spacing w:line="360" w:lineRule="auto"/>
        <w:rPr>
          <w:color w:val="auto"/>
          <w:highlight w:val="none"/>
        </w:rPr>
      </w:pPr>
      <w:r>
        <w:rPr>
          <w:color w:val="auto"/>
          <w:highlight w:val="none"/>
        </w:rPr>
        <w:t>8.</w:t>
      </w:r>
      <w:r>
        <w:rPr>
          <w:rFonts w:hint="eastAsia"/>
          <w:color w:val="auto"/>
          <w:highlight w:val="none"/>
        </w:rPr>
        <w:t>3</w:t>
      </w:r>
      <w:r>
        <w:rPr>
          <w:rFonts w:hAnsi="宋体"/>
          <w:color w:val="auto"/>
          <w:highlight w:val="none"/>
        </w:rPr>
        <w:t>奖励</w:t>
      </w:r>
    </w:p>
    <w:p>
      <w:pPr>
        <w:snapToGrid w:val="0"/>
        <w:spacing w:line="360" w:lineRule="auto"/>
        <w:ind w:firstLine="420" w:firstLineChars="200"/>
        <w:rPr>
          <w:color w:val="auto"/>
          <w:highlight w:val="none"/>
        </w:rPr>
      </w:pPr>
      <w:r>
        <w:rPr>
          <w:rFonts w:hAnsi="宋体"/>
          <w:color w:val="auto"/>
          <w:highlight w:val="none"/>
        </w:rPr>
        <w:t>合理化建议的奖励金额按下列方法确定为：</w:t>
      </w:r>
    </w:p>
    <w:p>
      <w:pPr>
        <w:snapToGrid w:val="0"/>
        <w:spacing w:line="360" w:lineRule="auto"/>
        <w:ind w:firstLine="420" w:firstLineChars="200"/>
        <w:rPr>
          <w:color w:val="auto"/>
          <w:highlight w:val="none"/>
        </w:rPr>
      </w:pPr>
      <w:r>
        <w:rPr>
          <w:rFonts w:hAnsi="宋体"/>
          <w:color w:val="auto"/>
          <w:highlight w:val="none"/>
        </w:rPr>
        <w:t>奖励金额＝工程投资节省额</w:t>
      </w:r>
      <w:r>
        <w:rPr>
          <w:color w:val="auto"/>
          <w:highlight w:val="none"/>
        </w:rPr>
        <w:t>×</w:t>
      </w:r>
      <w:r>
        <w:rPr>
          <w:rFonts w:hAnsi="宋体"/>
          <w:color w:val="auto"/>
          <w:highlight w:val="none"/>
        </w:rPr>
        <w:t>奖励金额的比率；</w:t>
      </w:r>
    </w:p>
    <w:p>
      <w:pPr>
        <w:snapToGrid w:val="0"/>
        <w:spacing w:line="360" w:lineRule="auto"/>
        <w:ind w:firstLine="420" w:firstLineChars="200"/>
        <w:rPr>
          <w:color w:val="auto"/>
          <w:highlight w:val="none"/>
        </w:rPr>
      </w:pPr>
      <w:r>
        <w:rPr>
          <w:rFonts w:hAnsi="宋体"/>
          <w:color w:val="auto"/>
          <w:highlight w:val="none"/>
        </w:rPr>
        <w:t>奖励金额的比率为</w:t>
      </w:r>
      <w:r>
        <w:rPr>
          <w:color w:val="auto"/>
          <w:highlight w:val="none"/>
        </w:rPr>
        <w:t>%</w:t>
      </w:r>
      <w:r>
        <w:rPr>
          <w:rFonts w:hAnsi="宋体"/>
          <w:color w:val="auto"/>
          <w:highlight w:val="none"/>
        </w:rPr>
        <w:t>。</w:t>
      </w:r>
    </w:p>
    <w:p>
      <w:pPr>
        <w:adjustRightInd w:val="0"/>
        <w:snapToGrid w:val="0"/>
        <w:spacing w:line="360" w:lineRule="auto"/>
        <w:rPr>
          <w:color w:val="auto"/>
          <w:highlight w:val="none"/>
        </w:rPr>
      </w:pPr>
      <w:r>
        <w:rPr>
          <w:color w:val="auto"/>
          <w:highlight w:val="none"/>
        </w:rPr>
        <w:t>8.</w:t>
      </w:r>
      <w:r>
        <w:rPr>
          <w:rFonts w:hint="eastAsia"/>
          <w:color w:val="auto"/>
          <w:highlight w:val="none"/>
        </w:rPr>
        <w:t>4</w:t>
      </w:r>
      <w:r>
        <w:rPr>
          <w:rFonts w:hAnsi="宋体"/>
          <w:color w:val="auto"/>
          <w:highlight w:val="none"/>
        </w:rPr>
        <w:t>保密</w:t>
      </w:r>
    </w:p>
    <w:p>
      <w:pPr>
        <w:adjustRightInd w:val="0"/>
        <w:snapToGrid w:val="0"/>
        <w:spacing w:line="360" w:lineRule="auto"/>
        <w:ind w:firstLine="420" w:firstLineChars="200"/>
        <w:rPr>
          <w:color w:val="auto"/>
          <w:highlight w:val="none"/>
          <w:u w:val="single"/>
        </w:rPr>
      </w:pPr>
      <w:r>
        <w:rPr>
          <w:rFonts w:hAnsi="宋体"/>
          <w:color w:val="auto"/>
          <w:highlight w:val="none"/>
        </w:rPr>
        <w:t>委托人申明的保密事项和期限：。</w:t>
      </w:r>
    </w:p>
    <w:p>
      <w:pPr>
        <w:adjustRightInd w:val="0"/>
        <w:snapToGrid w:val="0"/>
        <w:spacing w:line="360" w:lineRule="auto"/>
        <w:ind w:firstLine="420" w:firstLineChars="200"/>
        <w:rPr>
          <w:color w:val="auto"/>
          <w:highlight w:val="none"/>
          <w:u w:val="single"/>
        </w:rPr>
      </w:pPr>
      <w:r>
        <w:rPr>
          <w:rFonts w:hAnsi="宋体"/>
          <w:color w:val="auto"/>
          <w:highlight w:val="none"/>
        </w:rPr>
        <w:t>监理人申明的保密事项和期限：。</w:t>
      </w:r>
    </w:p>
    <w:p>
      <w:pPr>
        <w:adjustRightInd w:val="0"/>
        <w:snapToGrid w:val="0"/>
        <w:spacing w:line="360" w:lineRule="auto"/>
        <w:ind w:firstLine="420" w:firstLineChars="200"/>
        <w:rPr>
          <w:color w:val="auto"/>
          <w:highlight w:val="none"/>
          <w:u w:val="single"/>
        </w:rPr>
      </w:pPr>
      <w:r>
        <w:rPr>
          <w:rFonts w:hAnsi="宋体"/>
          <w:color w:val="auto"/>
          <w:highlight w:val="none"/>
        </w:rPr>
        <w:t>第三方申明的保密事项和期限：。</w:t>
      </w:r>
    </w:p>
    <w:p>
      <w:pPr>
        <w:snapToGrid w:val="0"/>
        <w:spacing w:line="360" w:lineRule="auto"/>
        <w:rPr>
          <w:bCs/>
          <w:color w:val="auto"/>
          <w:highlight w:val="none"/>
        </w:rPr>
      </w:pPr>
      <w:r>
        <w:rPr>
          <w:color w:val="auto"/>
          <w:highlight w:val="none"/>
        </w:rPr>
        <w:t>8.</w:t>
      </w:r>
      <w:r>
        <w:rPr>
          <w:rFonts w:hint="eastAsia"/>
          <w:color w:val="auto"/>
          <w:highlight w:val="none"/>
        </w:rPr>
        <w:t>5</w:t>
      </w:r>
      <w:r>
        <w:rPr>
          <w:rFonts w:hAnsi="宋体"/>
          <w:bCs/>
          <w:color w:val="auto"/>
          <w:highlight w:val="none"/>
        </w:rPr>
        <w:t>著作权</w:t>
      </w:r>
    </w:p>
    <w:p>
      <w:pPr>
        <w:snapToGrid w:val="0"/>
        <w:spacing w:line="360" w:lineRule="auto"/>
        <w:ind w:firstLine="420" w:firstLineChars="200"/>
        <w:rPr>
          <w:rFonts w:hAnsi="宋体"/>
          <w:color w:val="auto"/>
          <w:highlight w:val="none"/>
        </w:rPr>
      </w:pPr>
      <w:r>
        <w:rPr>
          <w:rFonts w:hAnsi="宋体"/>
          <w:color w:val="auto"/>
          <w:highlight w:val="none"/>
        </w:rPr>
        <w:t>监理人在本合同履行期间及本合同终止后两年内出版涉及本工程的有关监理与相关服务的资料的限制条件：</w:t>
      </w:r>
    </w:p>
    <w:p>
      <w:pPr>
        <w:snapToGrid w:val="0"/>
        <w:spacing w:line="360" w:lineRule="auto"/>
        <w:ind w:firstLine="420" w:firstLineChars="200"/>
        <w:rPr>
          <w:color w:val="auto"/>
          <w:highlight w:val="none"/>
        </w:rPr>
      </w:pPr>
      <w:r>
        <w:rPr>
          <w:rFonts w:hAnsi="宋体"/>
          <w:color w:val="auto"/>
          <w:highlight w:val="none"/>
        </w:rPr>
        <w:t>。</w:t>
      </w:r>
    </w:p>
    <w:p>
      <w:pPr>
        <w:pStyle w:val="4"/>
        <w:rPr>
          <w:color w:val="auto"/>
          <w:highlight w:val="none"/>
          <w:u w:val="single"/>
        </w:rPr>
      </w:pPr>
      <w:bookmarkStart w:id="124" w:name="_Toc10759"/>
      <w:bookmarkStart w:id="125" w:name="_Toc459567823"/>
      <w:r>
        <w:rPr>
          <w:color w:val="auto"/>
          <w:highlight w:val="none"/>
        </w:rPr>
        <w:t xml:space="preserve">9. </w:t>
      </w:r>
      <w:r>
        <w:rPr>
          <w:rFonts w:hAnsi="宋体"/>
          <w:color w:val="auto"/>
          <w:highlight w:val="none"/>
        </w:rPr>
        <w:t>补充条款</w:t>
      </w:r>
      <w:bookmarkEnd w:id="124"/>
      <w:bookmarkEnd w:id="125"/>
    </w:p>
    <w:p>
      <w:pPr>
        <w:adjustRightInd w:val="0"/>
        <w:snapToGrid w:val="0"/>
        <w:spacing w:line="360" w:lineRule="auto"/>
        <w:rPr>
          <w:color w:val="auto"/>
          <w:highlight w:val="none"/>
        </w:rPr>
      </w:pPr>
      <w:r>
        <w:rPr>
          <w:color w:val="auto"/>
          <w:highlight w:val="none"/>
        </w:rPr>
        <w:t>9.1</w:t>
      </w:r>
      <w:r>
        <w:rPr>
          <w:rFonts w:hAnsi="宋体"/>
          <w:color w:val="auto"/>
          <w:highlight w:val="none"/>
          <w:u w:val="single"/>
        </w:rPr>
        <w:t>委托人应向监理人无偿提供开展监理服务工作所必需的办公用房、生活用房</w:t>
      </w:r>
      <w:r>
        <w:rPr>
          <w:rFonts w:hAnsi="宋体"/>
          <w:color w:val="auto"/>
          <w:highlight w:val="none"/>
        </w:rPr>
        <w:t>。</w:t>
      </w:r>
    </w:p>
    <w:p>
      <w:pPr>
        <w:adjustRightInd w:val="0"/>
        <w:snapToGrid w:val="0"/>
        <w:spacing w:line="360" w:lineRule="auto"/>
        <w:rPr>
          <w:color w:val="auto"/>
          <w:highlight w:val="none"/>
          <w:u w:val="single"/>
        </w:rPr>
      </w:pPr>
      <w:r>
        <w:rPr>
          <w:color w:val="auto"/>
          <w:highlight w:val="none"/>
        </w:rPr>
        <w:t>9.2</w:t>
      </w:r>
      <w:r>
        <w:rPr>
          <w:rFonts w:hAnsi="宋体"/>
          <w:color w:val="auto"/>
          <w:highlight w:val="none"/>
          <w:u w:val="single"/>
        </w:rPr>
        <w:t>委托人在监理服务期满后</w:t>
      </w:r>
      <w:r>
        <w:rPr>
          <w:rFonts w:hint="eastAsia"/>
          <w:color w:val="auto"/>
          <w:highlight w:val="none"/>
          <w:u w:val="single"/>
        </w:rPr>
        <w:t>14</w:t>
      </w:r>
      <w:r>
        <w:rPr>
          <w:rFonts w:hAnsi="宋体"/>
          <w:color w:val="auto"/>
          <w:highlight w:val="none"/>
          <w:u w:val="single"/>
        </w:rPr>
        <w:t>天内将履约保证金退还给监理人</w:t>
      </w:r>
      <w:r>
        <w:rPr>
          <w:rFonts w:hAnsi="宋体"/>
          <w:color w:val="auto"/>
          <w:highlight w:val="none"/>
        </w:rPr>
        <w:t>。</w:t>
      </w:r>
    </w:p>
    <w:p>
      <w:pPr>
        <w:adjustRightInd w:val="0"/>
        <w:snapToGrid w:val="0"/>
        <w:spacing w:line="360" w:lineRule="auto"/>
        <w:rPr>
          <w:color w:val="auto"/>
          <w:sz w:val="24"/>
          <w:highlight w:val="none"/>
        </w:rPr>
        <w:sectPr>
          <w:pgSz w:w="11907" w:h="16840"/>
          <w:pgMar w:top="1440" w:right="1440" w:bottom="1440" w:left="1797" w:header="567" w:footer="591" w:gutter="0"/>
          <w:cols w:space="720" w:num="1"/>
          <w:docGrid w:linePitch="312" w:charSpace="0"/>
        </w:sectPr>
      </w:pPr>
    </w:p>
    <w:p>
      <w:pPr>
        <w:pStyle w:val="4"/>
        <w:jc w:val="center"/>
        <w:rPr>
          <w:color w:val="auto"/>
          <w:sz w:val="24"/>
          <w:highlight w:val="none"/>
        </w:rPr>
      </w:pPr>
      <w:bookmarkStart w:id="126" w:name="_Toc9564"/>
      <w:bookmarkStart w:id="127" w:name="_Toc459567824"/>
      <w:r>
        <w:rPr>
          <w:rFonts w:hint="eastAsia"/>
          <w:color w:val="auto"/>
          <w:sz w:val="24"/>
          <w:highlight w:val="none"/>
        </w:rPr>
        <w:t>附录A  相关服务的范围和内容</w:t>
      </w:r>
      <w:bookmarkEnd w:id="126"/>
      <w:bookmarkEnd w:id="127"/>
    </w:p>
    <w:p>
      <w:pPr>
        <w:snapToGrid w:val="0"/>
        <w:spacing w:beforeLines="50" w:afterLines="50" w:line="360" w:lineRule="auto"/>
        <w:ind w:firstLine="840" w:firstLineChars="400"/>
        <w:rPr>
          <w:rFonts w:ascii="宋体" w:hAnsi="宋体"/>
          <w:color w:val="auto"/>
          <w:kern w:val="0"/>
          <w:highlight w:val="none"/>
        </w:rPr>
      </w:pPr>
      <w:r>
        <w:rPr>
          <w:rFonts w:hint="eastAsia" w:ascii="宋体" w:hAnsi="宋体"/>
          <w:color w:val="auto"/>
          <w:kern w:val="0"/>
          <w:highlight w:val="none"/>
        </w:rPr>
        <w:t>A-1 勘察阶段：</w:t>
      </w:r>
    </w:p>
    <w:p>
      <w:pPr>
        <w:snapToGrid w:val="0"/>
        <w:spacing w:beforeLines="50" w:afterLines="50" w:line="360" w:lineRule="auto"/>
        <w:rPr>
          <w:rFonts w:ascii="宋体" w:hAnsi="宋体"/>
          <w:color w:val="auto"/>
          <w:highlight w:val="none"/>
        </w:rPr>
      </w:pPr>
      <w:r>
        <w:rPr>
          <w:rFonts w:hint="eastAsia" w:ascii="宋体" w:hAnsi="宋体"/>
          <w:color w:val="auto"/>
          <w:kern w:val="0"/>
          <w:highlight w:val="none"/>
        </w:rPr>
        <w:t>。</w:t>
      </w:r>
    </w:p>
    <w:p>
      <w:pPr>
        <w:snapToGrid w:val="0"/>
        <w:spacing w:beforeLines="50" w:afterLines="50" w:line="360" w:lineRule="auto"/>
        <w:ind w:firstLine="840" w:firstLineChars="400"/>
        <w:rPr>
          <w:rFonts w:ascii="宋体" w:hAnsi="宋体"/>
          <w:color w:val="auto"/>
          <w:kern w:val="0"/>
          <w:highlight w:val="none"/>
        </w:rPr>
      </w:pPr>
      <w:r>
        <w:rPr>
          <w:rFonts w:hint="eastAsia" w:ascii="宋体" w:hAnsi="宋体"/>
          <w:color w:val="auto"/>
          <w:kern w:val="0"/>
          <w:highlight w:val="none"/>
        </w:rPr>
        <w:t>A-2 设计阶段：</w:t>
      </w:r>
    </w:p>
    <w:p>
      <w:pPr>
        <w:snapToGrid w:val="0"/>
        <w:spacing w:beforeLines="50" w:afterLines="50" w:line="360" w:lineRule="auto"/>
        <w:rPr>
          <w:rFonts w:ascii="宋体" w:hAnsi="宋体"/>
          <w:color w:val="auto"/>
          <w:highlight w:val="none"/>
        </w:rPr>
      </w:pPr>
      <w:r>
        <w:rPr>
          <w:rFonts w:hint="eastAsia" w:ascii="宋体" w:hAnsi="宋体"/>
          <w:color w:val="auto"/>
          <w:highlight w:val="none"/>
        </w:rPr>
        <w:t>。</w:t>
      </w:r>
    </w:p>
    <w:p>
      <w:pPr>
        <w:snapToGrid w:val="0"/>
        <w:spacing w:beforeLines="50" w:afterLines="50" w:line="360" w:lineRule="auto"/>
        <w:ind w:firstLine="840" w:firstLineChars="400"/>
        <w:rPr>
          <w:rFonts w:ascii="宋体" w:hAnsi="宋体"/>
          <w:color w:val="auto"/>
          <w:kern w:val="0"/>
          <w:highlight w:val="none"/>
        </w:rPr>
      </w:pPr>
      <w:r>
        <w:rPr>
          <w:rFonts w:hint="eastAsia" w:ascii="宋体" w:hAnsi="宋体"/>
          <w:color w:val="auto"/>
          <w:kern w:val="0"/>
          <w:highlight w:val="none"/>
        </w:rPr>
        <w:t>A-3 保修阶段：</w:t>
      </w:r>
    </w:p>
    <w:p>
      <w:pPr>
        <w:snapToGrid w:val="0"/>
        <w:spacing w:beforeLines="50" w:afterLines="50" w:line="360" w:lineRule="auto"/>
        <w:rPr>
          <w:rFonts w:ascii="宋体" w:hAnsi="宋体"/>
          <w:color w:val="auto"/>
          <w:highlight w:val="none"/>
        </w:rPr>
      </w:pPr>
      <w:r>
        <w:rPr>
          <w:rFonts w:hint="eastAsia" w:ascii="宋体" w:hAnsi="宋体"/>
          <w:color w:val="auto"/>
          <w:highlight w:val="none"/>
        </w:rPr>
        <w:t>。</w:t>
      </w:r>
    </w:p>
    <w:p>
      <w:pPr>
        <w:snapToGrid w:val="0"/>
        <w:spacing w:beforeLines="50" w:afterLines="50" w:line="360" w:lineRule="auto"/>
        <w:ind w:firstLine="840" w:firstLineChars="400"/>
        <w:rPr>
          <w:rFonts w:ascii="宋体" w:hAnsi="宋体"/>
          <w:color w:val="auto"/>
          <w:highlight w:val="none"/>
          <w:u w:val="single"/>
        </w:rPr>
      </w:pPr>
      <w:r>
        <w:rPr>
          <w:rFonts w:hint="eastAsia" w:ascii="宋体" w:hAnsi="宋体"/>
          <w:color w:val="auto"/>
          <w:kern w:val="0"/>
          <w:highlight w:val="none"/>
        </w:rPr>
        <w:t xml:space="preserve">A-4 </w:t>
      </w:r>
      <w:r>
        <w:rPr>
          <w:rFonts w:hint="eastAsia" w:ascii="宋体" w:hAnsi="宋体"/>
          <w:color w:val="auto"/>
          <w:highlight w:val="none"/>
        </w:rPr>
        <w:t>其他（专业技术咨询、外部协调工作等）：</w:t>
      </w:r>
    </w:p>
    <w:p>
      <w:pPr>
        <w:snapToGrid w:val="0"/>
        <w:spacing w:beforeLines="50" w:afterLines="50" w:line="360" w:lineRule="auto"/>
        <w:rPr>
          <w:rFonts w:ascii="宋体" w:hAnsi="宋体"/>
          <w:color w:val="auto"/>
          <w:highlight w:val="none"/>
        </w:rPr>
      </w:pPr>
      <w:r>
        <w:rPr>
          <w:rFonts w:hint="eastAsia" w:ascii="宋体" w:hAnsi="宋体"/>
          <w:color w:val="auto"/>
          <w:highlight w:val="none"/>
        </w:rPr>
        <w:t>。</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pStyle w:val="4"/>
        <w:jc w:val="center"/>
        <w:rPr>
          <w:color w:val="auto"/>
          <w:sz w:val="24"/>
          <w:highlight w:val="none"/>
        </w:rPr>
      </w:pPr>
      <w:bookmarkStart w:id="128" w:name="_Toc13151"/>
      <w:bookmarkStart w:id="129" w:name="_Toc459567825"/>
      <w:r>
        <w:rPr>
          <w:rFonts w:hint="eastAsia"/>
          <w:color w:val="auto"/>
          <w:sz w:val="24"/>
          <w:highlight w:val="none"/>
        </w:rPr>
        <w:t>附录B  委托人派遣的人员和提供的房屋、资料、设备</w:t>
      </w:r>
      <w:bookmarkEnd w:id="128"/>
      <w:bookmarkEnd w:id="129"/>
    </w:p>
    <w:p>
      <w:pPr>
        <w:spacing w:beforeLines="50" w:afterLines="50" w:line="360" w:lineRule="auto"/>
        <w:outlineLvl w:val="0"/>
        <w:rPr>
          <w:rFonts w:ascii="宋体" w:hAnsi="宋体"/>
          <w:b/>
          <w:color w:val="auto"/>
          <w:kern w:val="0"/>
          <w:highlight w:val="none"/>
        </w:rPr>
      </w:pPr>
      <w:bookmarkStart w:id="130" w:name="_Toc14465"/>
      <w:bookmarkStart w:id="131" w:name="_Toc459567826"/>
      <w:r>
        <w:rPr>
          <w:rFonts w:hint="eastAsia" w:ascii="宋体" w:hAnsi="宋体"/>
          <w:b/>
          <w:color w:val="auto"/>
          <w:kern w:val="0"/>
          <w:highlight w:val="none"/>
        </w:rPr>
        <w:t>B-1  委托人派遣的人员</w:t>
      </w:r>
      <w:bookmarkEnd w:id="130"/>
      <w:bookmarkEnd w:id="13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jc w:val="center"/>
              <w:rPr>
                <w:rFonts w:ascii="宋体" w:hAnsi="宋体"/>
                <w:color w:val="auto"/>
                <w:highlight w:val="none"/>
              </w:rPr>
            </w:pPr>
            <w:r>
              <w:rPr>
                <w:rFonts w:hint="eastAsia" w:ascii="宋体" w:hAnsi="宋体"/>
                <w:color w:val="auto"/>
                <w:highlight w:val="none"/>
              </w:rPr>
              <w:t>名称</w:t>
            </w:r>
          </w:p>
        </w:tc>
        <w:tc>
          <w:tcPr>
            <w:tcW w:w="1770" w:type="dxa"/>
          </w:tcPr>
          <w:p>
            <w:pPr>
              <w:spacing w:line="360" w:lineRule="auto"/>
              <w:jc w:val="center"/>
              <w:rPr>
                <w:rFonts w:ascii="宋体" w:hAnsi="宋体"/>
                <w:color w:val="auto"/>
                <w:highlight w:val="none"/>
              </w:rPr>
            </w:pPr>
            <w:r>
              <w:rPr>
                <w:rFonts w:hint="eastAsia" w:ascii="宋体" w:hAnsi="宋体"/>
                <w:color w:val="auto"/>
                <w:highlight w:val="none"/>
              </w:rPr>
              <w:t>数量</w:t>
            </w:r>
          </w:p>
        </w:tc>
        <w:tc>
          <w:tcPr>
            <w:tcW w:w="2130" w:type="dxa"/>
          </w:tcPr>
          <w:p>
            <w:pPr>
              <w:spacing w:line="360" w:lineRule="auto"/>
              <w:jc w:val="center"/>
              <w:rPr>
                <w:rFonts w:ascii="宋体" w:hAnsi="宋体"/>
                <w:color w:val="auto"/>
                <w:highlight w:val="none"/>
              </w:rPr>
            </w:pPr>
            <w:r>
              <w:rPr>
                <w:rFonts w:hint="eastAsia" w:ascii="宋体" w:hAnsi="宋体"/>
                <w:color w:val="auto"/>
                <w:highlight w:val="none"/>
              </w:rPr>
              <w:t>工作要求</w:t>
            </w:r>
          </w:p>
        </w:tc>
        <w:tc>
          <w:tcPr>
            <w:tcW w:w="1860" w:type="dxa"/>
          </w:tcPr>
          <w:p>
            <w:pPr>
              <w:spacing w:line="360" w:lineRule="auto"/>
              <w:jc w:val="center"/>
              <w:rPr>
                <w:rFonts w:ascii="宋体" w:hAnsi="宋体"/>
                <w:color w:val="auto"/>
                <w:highlight w:val="none"/>
              </w:rPr>
            </w:pPr>
            <w:r>
              <w:rPr>
                <w:rFonts w:hint="eastAsia" w:ascii="宋体" w:hAnsi="宋体"/>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olor w:val="auto"/>
                <w:highlight w:val="none"/>
              </w:rPr>
            </w:pPr>
            <w:r>
              <w:rPr>
                <w:rFonts w:hint="eastAsia" w:ascii="宋体" w:hAnsi="宋体"/>
                <w:color w:val="auto"/>
                <w:highlight w:val="none"/>
              </w:rPr>
              <w:t>1. 工程技术人员</w:t>
            </w:r>
          </w:p>
        </w:tc>
        <w:tc>
          <w:tcPr>
            <w:tcW w:w="177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olor w:val="auto"/>
                <w:highlight w:val="none"/>
              </w:rPr>
            </w:pPr>
            <w:r>
              <w:rPr>
                <w:rFonts w:hint="eastAsia" w:ascii="宋体" w:hAnsi="宋体"/>
                <w:color w:val="auto"/>
                <w:highlight w:val="none"/>
              </w:rPr>
              <w:t>2. 辅助工作人员</w:t>
            </w:r>
          </w:p>
        </w:tc>
        <w:tc>
          <w:tcPr>
            <w:tcW w:w="177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olor w:val="auto"/>
                <w:highlight w:val="none"/>
              </w:rPr>
            </w:pPr>
            <w:r>
              <w:rPr>
                <w:rFonts w:hint="eastAsia" w:ascii="宋体" w:hAnsi="宋体"/>
                <w:color w:val="auto"/>
                <w:highlight w:val="none"/>
              </w:rPr>
              <w:t>3. 其他人员</w:t>
            </w:r>
          </w:p>
        </w:tc>
        <w:tc>
          <w:tcPr>
            <w:tcW w:w="177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olor w:val="auto"/>
                <w:highlight w:val="none"/>
              </w:rPr>
            </w:pPr>
          </w:p>
        </w:tc>
        <w:tc>
          <w:tcPr>
            <w:tcW w:w="177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bl>
    <w:p>
      <w:pPr>
        <w:rPr>
          <w:color w:val="auto"/>
          <w:highlight w:val="none"/>
        </w:rPr>
      </w:pPr>
    </w:p>
    <w:p>
      <w:pPr>
        <w:rPr>
          <w:color w:val="auto"/>
          <w:highlight w:val="none"/>
        </w:rPr>
      </w:pPr>
    </w:p>
    <w:p>
      <w:pPr>
        <w:rPr>
          <w:color w:val="auto"/>
          <w:highlight w:val="none"/>
        </w:rPr>
      </w:pPr>
    </w:p>
    <w:p>
      <w:pPr>
        <w:spacing w:afterLines="100"/>
        <w:outlineLvl w:val="0"/>
        <w:rPr>
          <w:b/>
          <w:color w:val="auto"/>
          <w:highlight w:val="none"/>
        </w:rPr>
      </w:pPr>
      <w:bookmarkStart w:id="132" w:name="_Toc19981"/>
      <w:bookmarkStart w:id="133" w:name="_Toc459567827"/>
      <w:r>
        <w:rPr>
          <w:rFonts w:hint="eastAsia"/>
          <w:b/>
          <w:color w:val="auto"/>
          <w:highlight w:val="none"/>
        </w:rPr>
        <w:t>B-2  委托人提供的房屋</w:t>
      </w:r>
      <w:bookmarkEnd w:id="132"/>
      <w:bookmarkEnd w:id="13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jc w:val="center"/>
              <w:rPr>
                <w:rFonts w:ascii="宋体" w:hAnsi="宋体"/>
                <w:color w:val="auto"/>
                <w:highlight w:val="none"/>
              </w:rPr>
            </w:pPr>
            <w:r>
              <w:rPr>
                <w:rFonts w:hint="eastAsia" w:ascii="宋体" w:hAnsi="宋体"/>
                <w:color w:val="auto"/>
                <w:highlight w:val="none"/>
              </w:rPr>
              <w:t>名称</w:t>
            </w:r>
          </w:p>
        </w:tc>
        <w:tc>
          <w:tcPr>
            <w:tcW w:w="2130" w:type="dxa"/>
          </w:tcPr>
          <w:p>
            <w:pPr>
              <w:spacing w:line="360" w:lineRule="auto"/>
              <w:jc w:val="center"/>
              <w:rPr>
                <w:rFonts w:ascii="宋体" w:hAnsi="宋体"/>
                <w:color w:val="auto"/>
                <w:highlight w:val="none"/>
              </w:rPr>
            </w:pPr>
            <w:r>
              <w:rPr>
                <w:rFonts w:hint="eastAsia" w:ascii="宋体" w:hAnsi="宋体"/>
                <w:color w:val="auto"/>
                <w:highlight w:val="none"/>
              </w:rPr>
              <w:t>数量</w:t>
            </w:r>
          </w:p>
        </w:tc>
        <w:tc>
          <w:tcPr>
            <w:tcW w:w="2130" w:type="dxa"/>
          </w:tcPr>
          <w:p>
            <w:pPr>
              <w:spacing w:line="360" w:lineRule="auto"/>
              <w:jc w:val="center"/>
              <w:rPr>
                <w:rFonts w:ascii="宋体" w:hAnsi="宋体"/>
                <w:color w:val="auto"/>
                <w:highlight w:val="none"/>
              </w:rPr>
            </w:pPr>
            <w:r>
              <w:rPr>
                <w:rFonts w:hint="eastAsia" w:ascii="宋体" w:hAnsi="宋体"/>
                <w:color w:val="auto"/>
                <w:highlight w:val="none"/>
              </w:rPr>
              <w:t>面积</w:t>
            </w:r>
          </w:p>
        </w:tc>
        <w:tc>
          <w:tcPr>
            <w:tcW w:w="1860" w:type="dxa"/>
          </w:tcPr>
          <w:p>
            <w:pPr>
              <w:spacing w:line="360" w:lineRule="auto"/>
              <w:jc w:val="center"/>
              <w:rPr>
                <w:rFonts w:ascii="宋体" w:hAnsi="宋体"/>
                <w:color w:val="auto"/>
                <w:highlight w:val="none"/>
              </w:rPr>
            </w:pPr>
            <w:r>
              <w:rPr>
                <w:rFonts w:hint="eastAsia" w:ascii="宋体" w:hAnsi="宋体"/>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olor w:val="auto"/>
                <w:highlight w:val="none"/>
              </w:rPr>
            </w:pPr>
            <w:r>
              <w:rPr>
                <w:rFonts w:hint="eastAsia" w:ascii="宋体" w:hAnsi="宋体"/>
                <w:color w:val="auto"/>
                <w:highlight w:val="none"/>
              </w:rPr>
              <w:t>1. 办公用房</w:t>
            </w:r>
          </w:p>
        </w:tc>
        <w:tc>
          <w:tcPr>
            <w:tcW w:w="2130" w:type="dxa"/>
          </w:tcPr>
          <w:p>
            <w:pPr>
              <w:spacing w:line="360" w:lineRule="auto"/>
              <w:ind w:firstLine="210" w:firstLineChars="100"/>
              <w:rPr>
                <w:rFonts w:ascii="宋体" w:hAnsi="宋体"/>
                <w:color w:val="auto"/>
                <w:highlight w:val="none"/>
              </w:rPr>
            </w:pPr>
          </w:p>
        </w:tc>
        <w:tc>
          <w:tcPr>
            <w:tcW w:w="2130" w:type="dxa"/>
          </w:tcPr>
          <w:p>
            <w:pPr>
              <w:spacing w:line="360" w:lineRule="auto"/>
              <w:ind w:firstLine="210" w:firstLineChars="100"/>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olor w:val="auto"/>
                <w:highlight w:val="none"/>
              </w:rPr>
            </w:pPr>
            <w:r>
              <w:rPr>
                <w:rFonts w:hint="eastAsia" w:ascii="宋体" w:hAnsi="宋体"/>
                <w:color w:val="auto"/>
                <w:highlight w:val="none"/>
              </w:rPr>
              <w:t>2. 生活用房</w:t>
            </w:r>
          </w:p>
        </w:tc>
        <w:tc>
          <w:tcPr>
            <w:tcW w:w="213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dstrike/>
                <w:color w:val="auto"/>
                <w:highlight w:val="none"/>
              </w:rPr>
            </w:pPr>
            <w:r>
              <w:rPr>
                <w:rFonts w:hint="eastAsia" w:ascii="宋体" w:hAnsi="宋体"/>
                <w:color w:val="auto"/>
                <w:highlight w:val="none"/>
              </w:rPr>
              <w:t>3. 试验用房</w:t>
            </w:r>
          </w:p>
        </w:tc>
        <w:tc>
          <w:tcPr>
            <w:tcW w:w="213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olor w:val="auto"/>
                <w:highlight w:val="none"/>
              </w:rPr>
            </w:pPr>
            <w:r>
              <w:rPr>
                <w:rFonts w:hint="eastAsia" w:ascii="宋体" w:hAnsi="宋体"/>
                <w:color w:val="auto"/>
                <w:highlight w:val="none"/>
              </w:rPr>
              <w:t>4. 样品用房</w:t>
            </w:r>
          </w:p>
        </w:tc>
        <w:tc>
          <w:tcPr>
            <w:tcW w:w="213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2130" w:type="dxa"/>
          </w:tcPr>
          <w:p>
            <w:pPr>
              <w:spacing w:line="360" w:lineRule="auto"/>
              <w:rPr>
                <w:rFonts w:ascii="宋体" w:hAnsi="宋体"/>
                <w:color w:val="auto"/>
                <w:highlight w:val="none"/>
              </w:rPr>
            </w:pPr>
          </w:p>
        </w:tc>
        <w:tc>
          <w:tcPr>
            <w:tcW w:w="1860" w:type="dxa"/>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olor w:val="auto"/>
                <w:highlight w:val="none"/>
              </w:rPr>
            </w:pPr>
            <w:r>
              <w:rPr>
                <w:rFonts w:hint="eastAsia" w:ascii="宋体" w:hAnsi="宋体"/>
                <w:color w:val="auto"/>
                <w:highlight w:val="none"/>
              </w:rPr>
              <w:t>用餐及其他生活条件</w:t>
            </w:r>
          </w:p>
        </w:tc>
        <w:tc>
          <w:tcPr>
            <w:tcW w:w="6120" w:type="dxa"/>
            <w:gridSpan w:val="3"/>
          </w:tcPr>
          <w:p>
            <w:pPr>
              <w:spacing w:line="360" w:lineRule="auto"/>
              <w:rPr>
                <w:rFonts w:ascii="宋体" w:hAnsi="宋体"/>
                <w:color w:val="auto"/>
                <w:highlight w:val="none"/>
              </w:rPr>
            </w:pPr>
          </w:p>
        </w:tc>
      </w:tr>
    </w:tbl>
    <w:p>
      <w:pPr>
        <w:spacing w:beforeLines="50" w:line="360" w:lineRule="auto"/>
        <w:outlineLvl w:val="0"/>
        <w:rPr>
          <w:rFonts w:ascii="宋体" w:hAnsi="宋体"/>
          <w:b/>
          <w:color w:val="auto"/>
          <w:kern w:val="0"/>
          <w:highlight w:val="none"/>
        </w:rPr>
      </w:pPr>
    </w:p>
    <w:p>
      <w:pPr>
        <w:spacing w:beforeLines="50" w:line="360" w:lineRule="auto"/>
        <w:outlineLvl w:val="0"/>
        <w:rPr>
          <w:rFonts w:ascii="宋体" w:hAnsi="宋体"/>
          <w:b/>
          <w:color w:val="auto"/>
          <w:kern w:val="0"/>
          <w:highlight w:val="none"/>
        </w:rPr>
      </w:pPr>
    </w:p>
    <w:p>
      <w:pPr>
        <w:spacing w:beforeLines="50" w:line="360" w:lineRule="auto"/>
        <w:outlineLvl w:val="0"/>
        <w:rPr>
          <w:rFonts w:ascii="宋体" w:hAnsi="宋体"/>
          <w:b/>
          <w:color w:val="auto"/>
          <w:kern w:val="0"/>
          <w:highlight w:val="none"/>
        </w:rPr>
      </w:pPr>
    </w:p>
    <w:p>
      <w:pPr>
        <w:spacing w:beforeLines="50" w:line="360" w:lineRule="auto"/>
        <w:outlineLvl w:val="0"/>
        <w:rPr>
          <w:rFonts w:ascii="宋体" w:hAnsi="宋体"/>
          <w:b/>
          <w:color w:val="auto"/>
          <w:kern w:val="0"/>
          <w:highlight w:val="none"/>
        </w:rPr>
      </w:pPr>
    </w:p>
    <w:p>
      <w:pPr>
        <w:spacing w:beforeLines="50" w:line="360" w:lineRule="auto"/>
        <w:outlineLvl w:val="0"/>
        <w:rPr>
          <w:rFonts w:ascii="宋体" w:hAnsi="宋体"/>
          <w:b/>
          <w:color w:val="auto"/>
          <w:kern w:val="0"/>
          <w:highlight w:val="none"/>
        </w:rPr>
      </w:pPr>
    </w:p>
    <w:p>
      <w:pPr>
        <w:spacing w:afterLines="100"/>
        <w:outlineLvl w:val="0"/>
        <w:rPr>
          <w:b/>
          <w:color w:val="auto"/>
          <w:highlight w:val="none"/>
        </w:rPr>
      </w:pPr>
      <w:bookmarkStart w:id="134" w:name="_Toc459567828"/>
      <w:bookmarkStart w:id="135" w:name="_Toc18240"/>
      <w:r>
        <w:rPr>
          <w:rFonts w:hint="eastAsia"/>
          <w:b/>
          <w:color w:val="auto"/>
          <w:highlight w:val="none"/>
        </w:rPr>
        <w:t>B-3  委托人提供的资料</w:t>
      </w:r>
      <w:bookmarkEnd w:id="134"/>
      <w:bookmarkEnd w:id="135"/>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jc w:val="center"/>
              <w:rPr>
                <w:rFonts w:ascii="宋体" w:hAnsi="宋体"/>
                <w:color w:val="auto"/>
                <w:kern w:val="0"/>
                <w:highlight w:val="none"/>
              </w:rPr>
            </w:pPr>
            <w:r>
              <w:rPr>
                <w:rFonts w:hint="eastAsia" w:ascii="宋体" w:hAnsi="宋体"/>
                <w:color w:val="auto"/>
                <w:kern w:val="0"/>
                <w:highlight w:val="none"/>
              </w:rPr>
              <w:t>名称</w:t>
            </w:r>
          </w:p>
        </w:tc>
        <w:tc>
          <w:tcPr>
            <w:tcW w:w="1491" w:type="dxa"/>
            <w:vAlign w:val="center"/>
          </w:tcPr>
          <w:p>
            <w:pPr>
              <w:spacing w:line="360" w:lineRule="auto"/>
              <w:jc w:val="center"/>
              <w:rPr>
                <w:rFonts w:ascii="宋体" w:hAnsi="宋体"/>
                <w:color w:val="auto"/>
                <w:kern w:val="0"/>
                <w:highlight w:val="none"/>
              </w:rPr>
            </w:pPr>
            <w:r>
              <w:rPr>
                <w:rFonts w:hint="eastAsia" w:ascii="宋体" w:hAnsi="宋体"/>
                <w:color w:val="auto"/>
                <w:kern w:val="0"/>
                <w:highlight w:val="none"/>
              </w:rPr>
              <w:t>份数</w:t>
            </w:r>
          </w:p>
        </w:tc>
        <w:tc>
          <w:tcPr>
            <w:tcW w:w="2147" w:type="dxa"/>
            <w:vAlign w:val="center"/>
          </w:tcPr>
          <w:p>
            <w:pPr>
              <w:spacing w:line="360" w:lineRule="auto"/>
              <w:jc w:val="center"/>
              <w:rPr>
                <w:rFonts w:ascii="宋体" w:hAnsi="宋体"/>
                <w:color w:val="auto"/>
                <w:kern w:val="0"/>
                <w:highlight w:val="none"/>
              </w:rPr>
            </w:pPr>
            <w:r>
              <w:rPr>
                <w:rFonts w:hint="eastAsia" w:ascii="宋体" w:hAnsi="宋体"/>
                <w:color w:val="auto"/>
                <w:kern w:val="0"/>
                <w:highlight w:val="none"/>
              </w:rPr>
              <w:t>提供时间</w:t>
            </w:r>
          </w:p>
        </w:tc>
        <w:tc>
          <w:tcPr>
            <w:tcW w:w="2082" w:type="dxa"/>
            <w:vAlign w:val="center"/>
          </w:tcPr>
          <w:p>
            <w:pPr>
              <w:spacing w:line="360" w:lineRule="auto"/>
              <w:jc w:val="center"/>
              <w:rPr>
                <w:rFonts w:ascii="宋体" w:hAnsi="宋体"/>
                <w:color w:val="auto"/>
                <w:kern w:val="0"/>
                <w:highlight w:val="none"/>
              </w:rPr>
            </w:pPr>
            <w:r>
              <w:rPr>
                <w:rFonts w:hint="eastAsia" w:ascii="宋体" w:hAnsi="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1. 工程立项文件</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2. 工程勘察文件</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3. 工程设计及施工图纸</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4. 工程承包合同及其他相关合同</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5. 施工许可文件</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olor w:val="auto"/>
                <w:kern w:val="0"/>
                <w:highlight w:val="none"/>
              </w:rPr>
            </w:pPr>
            <w:r>
              <w:rPr>
                <w:rFonts w:hint="eastAsia" w:ascii="宋体" w:hAnsi="宋体"/>
                <w:color w:val="auto"/>
                <w:kern w:val="0"/>
                <w:highlight w:val="none"/>
              </w:rPr>
              <w:t>6. 其他文件</w:t>
            </w:r>
          </w:p>
        </w:tc>
        <w:tc>
          <w:tcPr>
            <w:tcW w:w="1491" w:type="dxa"/>
            <w:vAlign w:val="center"/>
          </w:tcPr>
          <w:p>
            <w:pPr>
              <w:spacing w:line="360" w:lineRule="auto"/>
              <w:rPr>
                <w:rFonts w:ascii="宋体" w:hAnsi="宋体"/>
                <w:color w:val="auto"/>
                <w:kern w:val="0"/>
                <w:highlight w:val="none"/>
              </w:rPr>
            </w:pPr>
          </w:p>
        </w:tc>
        <w:tc>
          <w:tcPr>
            <w:tcW w:w="2147" w:type="dxa"/>
            <w:vAlign w:val="center"/>
          </w:tcPr>
          <w:p>
            <w:pPr>
              <w:spacing w:line="360" w:lineRule="auto"/>
              <w:rPr>
                <w:rFonts w:ascii="宋体" w:hAnsi="宋体"/>
                <w:color w:val="auto"/>
                <w:kern w:val="0"/>
                <w:highlight w:val="none"/>
              </w:rPr>
            </w:pPr>
          </w:p>
        </w:tc>
        <w:tc>
          <w:tcPr>
            <w:tcW w:w="2082" w:type="dxa"/>
            <w:vAlign w:val="center"/>
          </w:tcPr>
          <w:p>
            <w:pPr>
              <w:spacing w:line="360" w:lineRule="auto"/>
              <w:rPr>
                <w:rFonts w:ascii="宋体" w:hAnsi="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color w:val="auto"/>
                <w:kern w:val="0"/>
                <w:highlight w:val="none"/>
              </w:rPr>
            </w:pPr>
          </w:p>
        </w:tc>
        <w:tc>
          <w:tcPr>
            <w:tcW w:w="1491" w:type="dxa"/>
            <w:vAlign w:val="center"/>
          </w:tcPr>
          <w:p>
            <w:pPr>
              <w:spacing w:line="360" w:lineRule="auto"/>
              <w:rPr>
                <w:rFonts w:ascii="宋体" w:hAnsi="宋体" w:cs="宋体"/>
                <w:color w:val="auto"/>
                <w:kern w:val="0"/>
                <w:highlight w:val="none"/>
              </w:rPr>
            </w:pPr>
          </w:p>
        </w:tc>
        <w:tc>
          <w:tcPr>
            <w:tcW w:w="2147" w:type="dxa"/>
            <w:vAlign w:val="center"/>
          </w:tcPr>
          <w:p>
            <w:pPr>
              <w:spacing w:line="360" w:lineRule="auto"/>
              <w:rPr>
                <w:rFonts w:ascii="宋体" w:hAnsi="宋体" w:cs="宋体"/>
                <w:color w:val="auto"/>
                <w:kern w:val="0"/>
                <w:highlight w:val="none"/>
              </w:rPr>
            </w:pPr>
          </w:p>
        </w:tc>
        <w:tc>
          <w:tcPr>
            <w:tcW w:w="2082" w:type="dxa"/>
            <w:vAlign w:val="center"/>
          </w:tcPr>
          <w:p>
            <w:pPr>
              <w:spacing w:line="360" w:lineRule="auto"/>
              <w:rPr>
                <w:rFonts w:ascii="宋体" w:hAnsi="宋体" w:cs="宋体"/>
                <w:color w:val="auto"/>
                <w:kern w:val="0"/>
                <w:highlight w:val="none"/>
              </w:rPr>
            </w:pPr>
          </w:p>
        </w:tc>
      </w:tr>
    </w:tbl>
    <w:p>
      <w:pPr>
        <w:spacing w:beforeLines="50" w:line="360" w:lineRule="auto"/>
        <w:rPr>
          <w:rFonts w:ascii="宋体" w:hAnsi="宋体"/>
          <w:b/>
          <w:color w:val="auto"/>
          <w:kern w:val="0"/>
          <w:highlight w:val="none"/>
        </w:rPr>
      </w:pPr>
    </w:p>
    <w:p>
      <w:pPr>
        <w:spacing w:afterLines="100"/>
        <w:outlineLvl w:val="0"/>
        <w:rPr>
          <w:b/>
          <w:color w:val="auto"/>
          <w:highlight w:val="none"/>
        </w:rPr>
      </w:pPr>
      <w:bookmarkStart w:id="136" w:name="_Toc459567829"/>
      <w:bookmarkStart w:id="137" w:name="_Toc29710"/>
      <w:r>
        <w:rPr>
          <w:rFonts w:hint="eastAsia"/>
          <w:b/>
          <w:color w:val="auto"/>
          <w:highlight w:val="none"/>
        </w:rPr>
        <w:t>B-4 委托人提供的设备</w:t>
      </w:r>
      <w:bookmarkEnd w:id="136"/>
      <w:bookmarkEnd w:id="137"/>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jc w:val="center"/>
              <w:rPr>
                <w:rFonts w:ascii="宋体" w:hAnsi="宋体"/>
                <w:color w:val="auto"/>
                <w:highlight w:val="none"/>
              </w:rPr>
            </w:pPr>
            <w:r>
              <w:rPr>
                <w:rFonts w:hint="eastAsia" w:ascii="宋体" w:hAnsi="宋体"/>
                <w:color w:val="auto"/>
                <w:highlight w:val="none"/>
              </w:rPr>
              <w:t>名称</w:t>
            </w:r>
          </w:p>
        </w:tc>
        <w:tc>
          <w:tcPr>
            <w:tcW w:w="1590" w:type="dxa"/>
            <w:vAlign w:val="center"/>
          </w:tcPr>
          <w:p>
            <w:pPr>
              <w:spacing w:line="360" w:lineRule="auto"/>
              <w:jc w:val="center"/>
              <w:rPr>
                <w:rFonts w:ascii="宋体" w:hAnsi="宋体"/>
                <w:color w:val="auto"/>
                <w:highlight w:val="none"/>
              </w:rPr>
            </w:pPr>
            <w:r>
              <w:rPr>
                <w:rFonts w:hint="eastAsia" w:ascii="宋体" w:hAnsi="宋体"/>
                <w:color w:val="auto"/>
                <w:highlight w:val="none"/>
              </w:rPr>
              <w:t>数量</w:t>
            </w:r>
          </w:p>
        </w:tc>
        <w:tc>
          <w:tcPr>
            <w:tcW w:w="2130" w:type="dxa"/>
            <w:vAlign w:val="center"/>
          </w:tcPr>
          <w:p>
            <w:pPr>
              <w:spacing w:line="360" w:lineRule="auto"/>
              <w:jc w:val="center"/>
              <w:rPr>
                <w:rFonts w:ascii="宋体" w:hAnsi="宋体"/>
                <w:color w:val="auto"/>
                <w:highlight w:val="none"/>
              </w:rPr>
            </w:pPr>
            <w:r>
              <w:rPr>
                <w:rFonts w:hint="eastAsia" w:ascii="宋体" w:hAnsi="宋体"/>
                <w:color w:val="auto"/>
                <w:highlight w:val="none"/>
              </w:rPr>
              <w:t>型号与规格</w:t>
            </w:r>
          </w:p>
        </w:tc>
        <w:tc>
          <w:tcPr>
            <w:tcW w:w="1860" w:type="dxa"/>
            <w:vAlign w:val="center"/>
          </w:tcPr>
          <w:p>
            <w:pPr>
              <w:spacing w:line="360" w:lineRule="auto"/>
              <w:jc w:val="center"/>
              <w:rPr>
                <w:rFonts w:ascii="宋体" w:hAnsi="宋体"/>
                <w:color w:val="auto"/>
                <w:highlight w:val="none"/>
              </w:rPr>
            </w:pPr>
            <w:r>
              <w:rPr>
                <w:rFonts w:hint="eastAsia" w:ascii="宋体" w:hAnsi="宋体"/>
                <w:color w:val="auto"/>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color w:val="auto"/>
                <w:highlight w:val="none"/>
              </w:rPr>
            </w:pPr>
            <w:r>
              <w:rPr>
                <w:rFonts w:hint="eastAsia" w:ascii="宋体" w:hAnsi="宋体"/>
                <w:color w:val="auto"/>
                <w:highlight w:val="none"/>
              </w:rPr>
              <w:t>1. 通讯设备</w:t>
            </w:r>
          </w:p>
        </w:tc>
        <w:tc>
          <w:tcPr>
            <w:tcW w:w="1590" w:type="dxa"/>
            <w:vAlign w:val="center"/>
          </w:tcPr>
          <w:p>
            <w:pPr>
              <w:spacing w:line="360" w:lineRule="auto"/>
              <w:rPr>
                <w:rFonts w:ascii="宋体" w:hAnsi="宋体"/>
                <w:color w:val="auto"/>
                <w:highlight w:val="none"/>
              </w:rPr>
            </w:pPr>
          </w:p>
        </w:tc>
        <w:tc>
          <w:tcPr>
            <w:tcW w:w="2130" w:type="dxa"/>
            <w:vAlign w:val="center"/>
          </w:tcPr>
          <w:p>
            <w:pPr>
              <w:spacing w:line="360" w:lineRule="auto"/>
              <w:rPr>
                <w:rFonts w:ascii="宋体" w:hAnsi="宋体"/>
                <w:color w:val="auto"/>
                <w:highlight w:val="none"/>
              </w:rPr>
            </w:pPr>
          </w:p>
        </w:tc>
        <w:tc>
          <w:tcPr>
            <w:tcW w:w="1860" w:type="dxa"/>
            <w:vAlign w:val="center"/>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color w:val="auto"/>
                <w:highlight w:val="none"/>
              </w:rPr>
            </w:pPr>
            <w:r>
              <w:rPr>
                <w:rFonts w:hint="eastAsia" w:ascii="宋体" w:hAnsi="宋体"/>
                <w:color w:val="auto"/>
                <w:highlight w:val="none"/>
              </w:rPr>
              <w:t>2. 办公设备</w:t>
            </w:r>
          </w:p>
        </w:tc>
        <w:tc>
          <w:tcPr>
            <w:tcW w:w="1590" w:type="dxa"/>
            <w:vAlign w:val="center"/>
          </w:tcPr>
          <w:p>
            <w:pPr>
              <w:spacing w:line="360" w:lineRule="auto"/>
              <w:rPr>
                <w:rFonts w:ascii="宋体" w:hAnsi="宋体"/>
                <w:color w:val="auto"/>
                <w:highlight w:val="none"/>
              </w:rPr>
            </w:pPr>
          </w:p>
        </w:tc>
        <w:tc>
          <w:tcPr>
            <w:tcW w:w="2130" w:type="dxa"/>
            <w:vAlign w:val="center"/>
          </w:tcPr>
          <w:p>
            <w:pPr>
              <w:spacing w:line="360" w:lineRule="auto"/>
              <w:rPr>
                <w:rFonts w:ascii="宋体" w:hAnsi="宋体"/>
                <w:color w:val="auto"/>
                <w:highlight w:val="none"/>
              </w:rPr>
            </w:pPr>
          </w:p>
        </w:tc>
        <w:tc>
          <w:tcPr>
            <w:tcW w:w="1860" w:type="dxa"/>
            <w:vAlign w:val="center"/>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color w:val="auto"/>
                <w:highlight w:val="none"/>
              </w:rPr>
            </w:pPr>
            <w:r>
              <w:rPr>
                <w:rFonts w:hint="eastAsia" w:ascii="宋体" w:hAnsi="宋体"/>
                <w:color w:val="auto"/>
                <w:highlight w:val="none"/>
              </w:rPr>
              <w:t>3. 交通工具</w:t>
            </w:r>
          </w:p>
        </w:tc>
        <w:tc>
          <w:tcPr>
            <w:tcW w:w="1590" w:type="dxa"/>
            <w:vAlign w:val="center"/>
          </w:tcPr>
          <w:p>
            <w:pPr>
              <w:spacing w:line="360" w:lineRule="auto"/>
              <w:rPr>
                <w:rFonts w:ascii="宋体" w:hAnsi="宋体"/>
                <w:color w:val="auto"/>
                <w:highlight w:val="none"/>
              </w:rPr>
            </w:pPr>
          </w:p>
        </w:tc>
        <w:tc>
          <w:tcPr>
            <w:tcW w:w="2130" w:type="dxa"/>
            <w:vAlign w:val="center"/>
          </w:tcPr>
          <w:p>
            <w:pPr>
              <w:spacing w:line="360" w:lineRule="auto"/>
              <w:rPr>
                <w:rFonts w:ascii="宋体" w:hAnsi="宋体"/>
                <w:color w:val="auto"/>
                <w:highlight w:val="none"/>
              </w:rPr>
            </w:pPr>
          </w:p>
        </w:tc>
        <w:tc>
          <w:tcPr>
            <w:tcW w:w="1860" w:type="dxa"/>
            <w:vAlign w:val="center"/>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color w:val="auto"/>
                <w:highlight w:val="none"/>
              </w:rPr>
            </w:pPr>
            <w:r>
              <w:rPr>
                <w:rFonts w:hint="eastAsia" w:ascii="宋体" w:hAnsi="宋体"/>
                <w:color w:val="auto"/>
                <w:highlight w:val="none"/>
              </w:rPr>
              <w:t>4. 检测和试验设备</w:t>
            </w:r>
          </w:p>
        </w:tc>
        <w:tc>
          <w:tcPr>
            <w:tcW w:w="1590" w:type="dxa"/>
            <w:vAlign w:val="center"/>
          </w:tcPr>
          <w:p>
            <w:pPr>
              <w:spacing w:line="360" w:lineRule="auto"/>
              <w:rPr>
                <w:rFonts w:ascii="宋体" w:hAnsi="宋体"/>
                <w:color w:val="auto"/>
                <w:highlight w:val="none"/>
              </w:rPr>
            </w:pPr>
          </w:p>
        </w:tc>
        <w:tc>
          <w:tcPr>
            <w:tcW w:w="2130" w:type="dxa"/>
            <w:vAlign w:val="center"/>
          </w:tcPr>
          <w:p>
            <w:pPr>
              <w:spacing w:line="360" w:lineRule="auto"/>
              <w:rPr>
                <w:rFonts w:ascii="宋体" w:hAnsi="宋体"/>
                <w:color w:val="auto"/>
                <w:highlight w:val="none"/>
              </w:rPr>
            </w:pPr>
          </w:p>
        </w:tc>
        <w:tc>
          <w:tcPr>
            <w:tcW w:w="1860" w:type="dxa"/>
            <w:vAlign w:val="center"/>
          </w:tcPr>
          <w:p>
            <w:pPr>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auto"/>
              <w:rPr>
                <w:rFonts w:ascii="宋体" w:hAnsi="宋体"/>
                <w:color w:val="auto"/>
                <w:highlight w:val="none"/>
              </w:rPr>
            </w:pPr>
          </w:p>
        </w:tc>
        <w:tc>
          <w:tcPr>
            <w:tcW w:w="1590" w:type="dxa"/>
            <w:vAlign w:val="center"/>
          </w:tcPr>
          <w:p>
            <w:pPr>
              <w:spacing w:line="360" w:lineRule="auto"/>
              <w:rPr>
                <w:rFonts w:ascii="宋体" w:hAnsi="宋体"/>
                <w:color w:val="auto"/>
                <w:highlight w:val="none"/>
              </w:rPr>
            </w:pPr>
          </w:p>
        </w:tc>
        <w:tc>
          <w:tcPr>
            <w:tcW w:w="2130" w:type="dxa"/>
            <w:vAlign w:val="center"/>
          </w:tcPr>
          <w:p>
            <w:pPr>
              <w:spacing w:line="360" w:lineRule="auto"/>
              <w:rPr>
                <w:rFonts w:ascii="宋体" w:hAnsi="宋体"/>
                <w:color w:val="auto"/>
                <w:highlight w:val="none"/>
              </w:rPr>
            </w:pPr>
          </w:p>
        </w:tc>
        <w:tc>
          <w:tcPr>
            <w:tcW w:w="1860" w:type="dxa"/>
            <w:vAlign w:val="center"/>
          </w:tcPr>
          <w:p>
            <w:pPr>
              <w:spacing w:line="360" w:lineRule="auto"/>
              <w:rPr>
                <w:rFonts w:ascii="宋体" w:hAnsi="宋体"/>
                <w:color w:val="auto"/>
                <w:highlight w:val="none"/>
              </w:rPr>
            </w:pPr>
          </w:p>
        </w:tc>
      </w:tr>
    </w:tbl>
    <w:p>
      <w:pPr>
        <w:spacing w:line="360" w:lineRule="auto"/>
        <w:rPr>
          <w:rFonts w:ascii="宋体" w:hAnsi="宋体"/>
          <w:color w:val="auto"/>
          <w:highlight w:val="none"/>
        </w:rPr>
      </w:pPr>
    </w:p>
    <w:p>
      <w:pPr>
        <w:spacing w:line="360" w:lineRule="auto"/>
        <w:rPr>
          <w:rFonts w:ascii="宋体" w:hAnsi="宋体"/>
          <w:color w:val="auto"/>
          <w:highlight w:val="none"/>
        </w:rPr>
        <w:sectPr>
          <w:pgSz w:w="11907" w:h="16840"/>
          <w:pgMar w:top="1440" w:right="1440" w:bottom="1440" w:left="1797" w:header="567" w:footer="590" w:gutter="0"/>
          <w:cols w:space="720" w:num="1"/>
          <w:docGrid w:linePitch="312" w:charSpace="0"/>
        </w:sectPr>
      </w:pPr>
    </w:p>
    <w:p>
      <w:pPr>
        <w:spacing w:after="0" w:line="240" w:lineRule="exact"/>
        <w:rPr>
          <w:color w:val="auto"/>
          <w:highlight w:val="none"/>
        </w:rPr>
      </w:pPr>
    </w:p>
    <w:p>
      <w:pPr>
        <w:widowControl/>
        <w:rPr>
          <w:color w:val="auto"/>
          <w:highlight w:val="none"/>
        </w:rPr>
        <w:sectPr>
          <w:type w:val="continuous"/>
          <w:pgSz w:w="11906" w:h="16838"/>
          <w:pgMar w:top="535" w:right="945" w:bottom="295" w:left="1305" w:header="0" w:footer="0" w:gutter="0"/>
          <w:cols w:space="720" w:num="1"/>
          <w:docGrid w:type="lines" w:linePitch="312" w:charSpace="0"/>
        </w:sectPr>
      </w:pPr>
    </w:p>
    <w:p>
      <w:pPr>
        <w:spacing w:after="0" w:line="240" w:lineRule="exact"/>
        <w:rPr>
          <w:color w:val="auto"/>
          <w:highlight w:val="none"/>
        </w:rPr>
      </w:pPr>
      <w:bookmarkStart w:id="138" w:name="29"/>
      <w:bookmarkEnd w:id="138"/>
      <w:bookmarkStart w:id="139" w:name="30"/>
      <w:bookmarkEnd w:id="139"/>
    </w:p>
    <w:p>
      <w:pPr>
        <w:spacing w:after="0" w:line="240" w:lineRule="exact"/>
        <w:ind w:left="60"/>
        <w:rPr>
          <w:color w:val="auto"/>
          <w:highlight w:val="none"/>
        </w:rPr>
      </w:pPr>
    </w:p>
    <w:p>
      <w:pPr>
        <w:spacing w:after="0" w:line="541" w:lineRule="exact"/>
        <w:ind w:left="60" w:firstLine="2844"/>
        <w:rPr>
          <w:color w:val="auto"/>
          <w:highlight w:val="none"/>
        </w:rPr>
      </w:pPr>
      <w:r>
        <w:rPr>
          <w:rFonts w:ascii="宋体" w:hAnsi="宋体" w:eastAsia="宋体" w:cs="宋体"/>
          <w:color w:val="auto"/>
          <w:sz w:val="44"/>
          <w:highlight w:val="none"/>
        </w:rPr>
        <w:t>第</w:t>
      </w:r>
      <w:r>
        <w:rPr>
          <w:rFonts w:hint="eastAsia" w:ascii="宋体" w:hAnsi="宋体" w:eastAsia="宋体" w:cs="宋体"/>
          <w:color w:val="auto"/>
          <w:sz w:val="44"/>
          <w:highlight w:val="none"/>
        </w:rPr>
        <w:t>五</w:t>
      </w:r>
      <w:r>
        <w:rPr>
          <w:rFonts w:ascii="宋体" w:hAnsi="宋体" w:eastAsia="宋体" w:cs="宋体"/>
          <w:color w:val="auto"/>
          <w:sz w:val="44"/>
          <w:highlight w:val="none"/>
        </w:rPr>
        <w:t>章</w:t>
      </w:r>
      <w:r>
        <w:rPr>
          <w:rFonts w:ascii="Calibri" w:hAnsi="Calibri" w:cs="Calibri"/>
          <w:color w:val="auto"/>
          <w:w w:val="224"/>
          <w:sz w:val="44"/>
          <w:highlight w:val="none"/>
        </w:rPr>
        <w:t> </w:t>
      </w:r>
      <w:r>
        <w:rPr>
          <w:rFonts w:ascii="宋体" w:hAnsi="宋体" w:eastAsia="宋体" w:cs="宋体"/>
          <w:color w:val="auto"/>
          <w:sz w:val="44"/>
          <w:highlight w:val="none"/>
        </w:rPr>
        <w:t>评定标准</w:t>
      </w:r>
    </w:p>
    <w:p>
      <w:pPr>
        <w:spacing w:after="0" w:line="240" w:lineRule="exact"/>
        <w:ind w:left="60" w:firstLine="2844"/>
        <w:rPr>
          <w:color w:val="auto"/>
          <w:highlight w:val="none"/>
        </w:rPr>
      </w:pPr>
    </w:p>
    <w:p>
      <w:pPr>
        <w:spacing w:after="0" w:line="563" w:lineRule="exact"/>
        <w:ind w:left="60" w:firstLine="3984"/>
        <w:rPr>
          <w:color w:val="auto"/>
          <w:highlight w:val="none"/>
        </w:rPr>
      </w:pPr>
      <w:r>
        <w:rPr>
          <w:rFonts w:ascii="Arial Unicode MS" w:hAnsi="Arial Unicode MS" w:eastAsia="Arial Unicode MS" w:cs="Arial Unicode MS"/>
          <w:color w:val="auto"/>
          <w:sz w:val="32"/>
          <w:highlight w:val="none"/>
        </w:rPr>
        <w:t>评定标准</w:t>
      </w:r>
    </w:p>
    <w:p>
      <w:pPr>
        <w:spacing w:after="0" w:line="240" w:lineRule="exact"/>
        <w:rPr>
          <w:color w:val="auto"/>
          <w:highlight w:val="none"/>
        </w:rPr>
      </w:pPr>
    </w:p>
    <w:p>
      <w:pPr>
        <w:spacing w:after="0" w:line="446" w:lineRule="exact"/>
        <w:ind w:left="60" w:firstLine="310"/>
        <w:outlineLvl w:val="0"/>
        <w:rPr>
          <w:color w:val="auto"/>
          <w:highlight w:val="none"/>
        </w:rPr>
      </w:pPr>
      <w:r>
        <w:rPr>
          <w:rFonts w:ascii="宋体" w:hAnsi="宋体" w:cs="宋体"/>
          <w:color w:val="auto"/>
          <w:highlight w:val="none"/>
        </w:rPr>
        <w:t>一、评标原则</w:t>
      </w:r>
    </w:p>
    <w:p>
      <w:pPr>
        <w:spacing w:after="0" w:line="259" w:lineRule="exact"/>
        <w:ind w:left="60" w:firstLine="420"/>
        <w:rPr>
          <w:rFonts w:ascii="宋体" w:hAnsi="宋体" w:eastAsia="宋体" w:cs="宋体"/>
          <w:color w:val="auto"/>
          <w:spacing w:val="-1"/>
          <w:highlight w:val="none"/>
        </w:rPr>
      </w:pPr>
    </w:p>
    <w:p>
      <w:pPr>
        <w:numPr>
          <w:ilvl w:val="0"/>
          <w:numId w:val="3"/>
        </w:numPr>
        <w:spacing w:after="0" w:line="259" w:lineRule="exact"/>
        <w:ind w:left="60" w:firstLine="420"/>
        <w:rPr>
          <w:rFonts w:ascii="宋体" w:hAnsi="宋体" w:eastAsia="宋体" w:cs="宋体"/>
          <w:color w:val="auto"/>
          <w:spacing w:val="-1"/>
          <w:highlight w:val="none"/>
        </w:rPr>
      </w:pPr>
      <w:r>
        <w:rPr>
          <w:rFonts w:ascii="宋体" w:hAnsi="宋体" w:eastAsia="宋体" w:cs="宋体"/>
          <w:color w:val="auto"/>
          <w:spacing w:val="-1"/>
          <w:highlight w:val="none"/>
        </w:rPr>
        <w:t>磋商小组构成：本项目的磋商小组由评审专家共 3 人以上单数组成，其中评审专家人数不得</w:t>
      </w:r>
    </w:p>
    <w:p>
      <w:pPr>
        <w:spacing w:after="0" w:line="259" w:lineRule="exact"/>
        <w:ind w:left="480"/>
        <w:rPr>
          <w:rFonts w:ascii="宋体" w:hAnsi="宋体" w:eastAsia="宋体" w:cs="宋体"/>
          <w:color w:val="auto"/>
          <w:spacing w:val="-1"/>
          <w:highlight w:val="none"/>
        </w:rPr>
      </w:pPr>
    </w:p>
    <w:p>
      <w:pPr>
        <w:spacing w:after="0" w:line="259" w:lineRule="exact"/>
        <w:rPr>
          <w:rFonts w:ascii="宋体" w:hAnsi="宋体" w:eastAsia="宋体" w:cs="宋体"/>
          <w:color w:val="auto"/>
          <w:spacing w:val="-1"/>
          <w:highlight w:val="none"/>
        </w:rPr>
      </w:pPr>
      <w:r>
        <w:rPr>
          <w:rFonts w:ascii="宋体" w:hAnsi="宋体" w:eastAsia="宋体" w:cs="宋体"/>
          <w:color w:val="auto"/>
          <w:spacing w:val="-1"/>
          <w:highlight w:val="none"/>
        </w:rPr>
        <w:t>少于磋商小组成员总数的 2/3。</w:t>
      </w:r>
    </w:p>
    <w:p>
      <w:pPr>
        <w:spacing w:after="0" w:line="240" w:lineRule="exact"/>
        <w:ind w:left="60"/>
        <w:rPr>
          <w:color w:val="auto"/>
          <w:highlight w:val="none"/>
        </w:rPr>
      </w:pPr>
    </w:p>
    <w:p>
      <w:pPr>
        <w:spacing w:after="0" w:line="259" w:lineRule="exact"/>
        <w:ind w:left="60" w:firstLine="420"/>
        <w:rPr>
          <w:color w:val="auto"/>
          <w:highlight w:val="none"/>
        </w:rPr>
      </w:pPr>
      <w:r>
        <w:rPr>
          <w:rFonts w:ascii="宋体" w:hAnsi="宋体" w:eastAsia="宋体" w:cs="宋体"/>
          <w:color w:val="auto"/>
          <w:spacing w:val="-1"/>
          <w:highlight w:val="none"/>
        </w:rPr>
        <w:t>(二</w:t>
      </w:r>
      <w:r>
        <w:rPr>
          <w:rFonts w:ascii="宋体" w:hAnsi="宋体" w:eastAsia="宋体" w:cs="宋体"/>
          <w:color w:val="auto"/>
          <w:spacing w:val="-2"/>
          <w:highlight w:val="none"/>
        </w:rPr>
        <w:t>）评标依据：磋商小组将以竞争性磋商文件和响应文件为评定依据进行评审，对供应商的</w:t>
      </w:r>
    </w:p>
    <w:p>
      <w:pPr>
        <w:spacing w:after="0" w:line="240" w:lineRule="exact"/>
        <w:ind w:left="60" w:firstLine="420"/>
        <w:rPr>
          <w:color w:val="auto"/>
          <w:highlight w:val="none"/>
        </w:rPr>
      </w:pPr>
    </w:p>
    <w:p>
      <w:pPr>
        <w:spacing w:after="0" w:line="259" w:lineRule="exact"/>
        <w:ind w:left="60"/>
        <w:rPr>
          <w:color w:val="auto"/>
          <w:highlight w:val="none"/>
        </w:rPr>
      </w:pPr>
      <w:r>
        <w:rPr>
          <w:rFonts w:ascii="宋体" w:hAnsi="宋体" w:cs="宋体"/>
          <w:color w:val="auto"/>
          <w:spacing w:val="-1"/>
          <w:highlight w:val="none"/>
        </w:rPr>
        <w:t>报价、</w:t>
      </w:r>
      <w:r>
        <w:rPr>
          <w:rFonts w:hint="eastAsia" w:ascii="宋体" w:hAnsi="宋体" w:cs="宋体"/>
          <w:color w:val="auto"/>
          <w:spacing w:val="-1"/>
          <w:highlight w:val="none"/>
        </w:rPr>
        <w:t>监理大纲</w:t>
      </w:r>
      <w:r>
        <w:rPr>
          <w:rFonts w:ascii="宋体" w:hAnsi="宋体" w:cs="宋体"/>
          <w:color w:val="auto"/>
          <w:spacing w:val="-1"/>
          <w:highlight w:val="none"/>
        </w:rPr>
        <w:t>、项目监理人员机构情况、投标人资质情况</w:t>
      </w:r>
      <w:r>
        <w:rPr>
          <w:rFonts w:hint="eastAsia" w:ascii="宋体" w:hAnsi="宋体" w:cs="宋体"/>
          <w:color w:val="auto"/>
          <w:spacing w:val="-1"/>
          <w:highlight w:val="none"/>
          <w:lang w:eastAsia="zh-CN"/>
        </w:rPr>
        <w:t>、</w:t>
      </w:r>
      <w:r>
        <w:rPr>
          <w:rFonts w:hint="eastAsia" w:ascii="宋体" w:hAnsi="宋体" w:cs="宋体"/>
          <w:color w:val="auto"/>
          <w:spacing w:val="-1"/>
          <w:highlight w:val="none"/>
          <w:lang w:val="en-US" w:eastAsia="zh-CN"/>
        </w:rPr>
        <w:t>业绩、企业信誉及能力</w:t>
      </w:r>
      <w:r>
        <w:rPr>
          <w:rFonts w:ascii="宋体" w:hAnsi="宋体" w:cs="宋体"/>
          <w:color w:val="auto"/>
          <w:spacing w:val="-1"/>
          <w:highlight w:val="none"/>
        </w:rPr>
        <w:t>内容按百分制打分。</w:t>
      </w:r>
    </w:p>
    <w:p>
      <w:pPr>
        <w:spacing w:after="0" w:line="240" w:lineRule="exact"/>
        <w:ind w:left="60"/>
        <w:rPr>
          <w:color w:val="auto"/>
          <w:highlight w:val="none"/>
        </w:rPr>
      </w:pPr>
    </w:p>
    <w:p>
      <w:pPr>
        <w:spacing w:after="0" w:line="262" w:lineRule="exact"/>
        <w:ind w:left="60" w:firstLine="420"/>
        <w:rPr>
          <w:color w:val="auto"/>
          <w:highlight w:val="none"/>
        </w:rPr>
      </w:pPr>
      <w:r>
        <w:rPr>
          <w:rFonts w:ascii="宋体" w:hAnsi="宋体" w:cs="宋体"/>
          <w:color w:val="auto"/>
          <w:spacing w:val="-1"/>
          <w:highlight w:val="none"/>
        </w:rPr>
        <w:t>(三）评标方法：综合评分法。</w:t>
      </w:r>
    </w:p>
    <w:p>
      <w:pPr>
        <w:spacing w:after="0" w:line="240" w:lineRule="exact"/>
        <w:ind w:left="60" w:firstLine="420"/>
        <w:rPr>
          <w:color w:val="auto"/>
          <w:highlight w:val="none"/>
        </w:rPr>
      </w:pPr>
    </w:p>
    <w:p>
      <w:pPr>
        <w:spacing w:after="0" w:line="360" w:lineRule="auto"/>
        <w:ind w:left="60" w:firstLine="314"/>
        <w:outlineLvl w:val="0"/>
        <w:rPr>
          <w:color w:val="auto"/>
          <w:highlight w:val="none"/>
        </w:rPr>
      </w:pPr>
      <w:r>
        <w:rPr>
          <w:rFonts w:ascii="宋体" w:hAnsi="宋体" w:eastAsia="宋体" w:cs="宋体"/>
          <w:color w:val="auto"/>
          <w:spacing w:val="-3"/>
          <w:highlight w:val="none"/>
        </w:rPr>
        <w:t>（四）以进入评标的最低的评标报价为</w:t>
      </w:r>
      <w:r>
        <w:rPr>
          <w:rFonts w:hint="eastAsia" w:ascii="Calibri" w:hAnsi="Calibri" w:eastAsia="宋体" w:cs="Calibri"/>
          <w:color w:val="auto"/>
          <w:spacing w:val="4"/>
          <w:highlight w:val="none"/>
        </w:rPr>
        <w:t>1</w:t>
      </w:r>
      <w:r>
        <w:rPr>
          <w:rFonts w:ascii="宋体" w:hAnsi="宋体" w:cs="宋体"/>
          <w:color w:val="auto"/>
          <w:highlight w:val="none"/>
        </w:rPr>
        <w:t>0</w:t>
      </w:r>
      <w:r>
        <w:rPr>
          <w:rFonts w:ascii="Calibri" w:hAnsi="Calibri" w:cs="Calibri"/>
          <w:color w:val="auto"/>
          <w:spacing w:val="5"/>
          <w:highlight w:val="none"/>
        </w:rPr>
        <w:t> </w:t>
      </w:r>
      <w:r>
        <w:rPr>
          <w:rFonts w:ascii="宋体" w:hAnsi="宋体" w:cs="宋体"/>
          <w:color w:val="auto"/>
          <w:spacing w:val="-9"/>
          <w:highlight w:val="none"/>
        </w:rPr>
        <w:t>分。按照《政府采购促进中小企业发展暂行办法》（财</w:t>
      </w:r>
      <w:r>
        <w:rPr>
          <w:rFonts w:ascii="宋体" w:hAnsi="宋体" w:eastAsia="宋体" w:cs="宋体"/>
          <w:color w:val="auto"/>
          <w:spacing w:val="-1"/>
          <w:highlight w:val="none"/>
        </w:rPr>
        <w:t>库[2011]181</w:t>
      </w:r>
      <w:r>
        <w:rPr>
          <w:rFonts w:ascii="Calibri" w:hAnsi="Calibri" w:cs="Calibri"/>
          <w:color w:val="auto"/>
          <w:spacing w:val="5"/>
          <w:highlight w:val="none"/>
        </w:rPr>
        <w:t> </w:t>
      </w:r>
      <w:r>
        <w:rPr>
          <w:rFonts w:ascii="宋体" w:hAnsi="宋体" w:eastAsia="宋体" w:cs="宋体"/>
          <w:color w:val="auto"/>
          <w:highlight w:val="none"/>
        </w:rPr>
        <w:t>号），</w:t>
      </w:r>
      <w:r>
        <w:rPr>
          <w:rFonts w:hint="eastAsia" w:ascii="宋体" w:hAnsi="宋体" w:eastAsia="宋体" w:cs="宋体"/>
          <w:color w:val="auto"/>
          <w:highlight w:val="none"/>
        </w:rPr>
        <w:t>磋商</w:t>
      </w:r>
      <w:r>
        <w:rPr>
          <w:rFonts w:ascii="宋体" w:hAnsi="宋体" w:eastAsia="宋体" w:cs="宋体"/>
          <w:color w:val="auto"/>
          <w:highlight w:val="none"/>
        </w:rPr>
        <w:t>单位认定为小型和微型企业（以</w:t>
      </w:r>
      <w:r>
        <w:rPr>
          <w:rFonts w:hint="eastAsia" w:ascii="宋体" w:hAnsi="宋体" w:eastAsia="宋体" w:cs="宋体"/>
          <w:color w:val="auto"/>
          <w:highlight w:val="none"/>
        </w:rPr>
        <w:t>磋商</w:t>
      </w:r>
      <w:r>
        <w:rPr>
          <w:rFonts w:ascii="宋体" w:hAnsi="宋体" w:eastAsia="宋体" w:cs="宋体"/>
          <w:color w:val="auto"/>
          <w:highlight w:val="none"/>
        </w:rPr>
        <w:t>文件提供的符合规定的有关证明材料</w:t>
      </w:r>
      <w:r>
        <w:rPr>
          <w:rFonts w:ascii="宋体" w:hAnsi="宋体" w:cs="宋体"/>
          <w:color w:val="auto"/>
          <w:spacing w:val="-1"/>
          <w:highlight w:val="none"/>
        </w:rPr>
        <w:t>为准）且所投产品均为小型和微型企业产品的，以及《关于政府采购支持监狱企业发展有关问题的</w:t>
      </w:r>
      <w:r>
        <w:rPr>
          <w:rFonts w:ascii="宋体" w:hAnsi="宋体" w:cs="宋体"/>
          <w:color w:val="auto"/>
          <w:highlight w:val="none"/>
        </w:rPr>
        <w:t>通知》(财库[2014]68</w:t>
      </w:r>
      <w:r>
        <w:rPr>
          <w:rFonts w:ascii="Calibri" w:hAnsi="Calibri" w:cs="Calibri"/>
          <w:color w:val="auto"/>
          <w:spacing w:val="3"/>
          <w:highlight w:val="none"/>
        </w:rPr>
        <w:t> </w:t>
      </w:r>
      <w:r>
        <w:rPr>
          <w:rFonts w:ascii="宋体" w:hAnsi="宋体" w:cs="宋体"/>
          <w:color w:val="auto"/>
          <w:highlight w:val="none"/>
        </w:rPr>
        <w:t>号)认定为监狱企业的，视同小型、微型企业。对</w:t>
      </w:r>
      <w:r>
        <w:rPr>
          <w:rFonts w:hint="eastAsia" w:ascii="宋体" w:hAnsi="宋体" w:cs="宋体"/>
          <w:color w:val="auto"/>
          <w:highlight w:val="none"/>
        </w:rPr>
        <w:t>其最终报</w:t>
      </w:r>
      <w:r>
        <w:rPr>
          <w:rFonts w:ascii="宋体" w:hAnsi="宋体" w:cs="宋体"/>
          <w:color w:val="auto"/>
          <w:highlight w:val="none"/>
        </w:rPr>
        <w:t>价给予</w:t>
      </w:r>
      <w:r>
        <w:rPr>
          <w:rFonts w:ascii="Calibri" w:hAnsi="Calibri" w:cs="Calibri"/>
          <w:color w:val="auto"/>
          <w:spacing w:val="9"/>
          <w:highlight w:val="none"/>
        </w:rPr>
        <w:t> </w:t>
      </w:r>
      <w:r>
        <w:rPr>
          <w:rFonts w:ascii="宋体" w:hAnsi="宋体" w:eastAsia="宋体" w:cs="宋体"/>
          <w:color w:val="auto"/>
          <w:highlight w:val="none"/>
        </w:rPr>
        <w:t>6%的扣除，扣</w:t>
      </w:r>
      <w:r>
        <w:rPr>
          <w:rFonts w:ascii="宋体" w:hAnsi="宋体" w:cs="宋体"/>
          <w:color w:val="auto"/>
          <w:spacing w:val="-1"/>
          <w:highlight w:val="none"/>
        </w:rPr>
        <w:t>除后的价格为评标报价，即评标报价=</w:t>
      </w:r>
      <w:r>
        <w:rPr>
          <w:rFonts w:hint="eastAsia" w:ascii="宋体" w:hAnsi="宋体" w:cs="宋体"/>
          <w:color w:val="auto"/>
          <w:spacing w:val="-1"/>
          <w:highlight w:val="none"/>
        </w:rPr>
        <w:t>最终报</w:t>
      </w:r>
      <w:r>
        <w:rPr>
          <w:rFonts w:ascii="宋体" w:hAnsi="宋体" w:cs="宋体"/>
          <w:color w:val="auto"/>
          <w:spacing w:val="-1"/>
          <w:highlight w:val="none"/>
        </w:rPr>
        <w:t>价×（1-6%）；</w:t>
      </w:r>
      <w:r>
        <w:rPr>
          <w:rFonts w:hint="eastAsia" w:ascii="宋体" w:hAnsi="宋体" w:cs="宋体"/>
          <w:color w:val="auto"/>
          <w:spacing w:val="-1"/>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r>
        <w:rPr>
          <w:rFonts w:ascii="宋体" w:hAnsi="宋体" w:cs="宋体"/>
          <w:color w:val="auto"/>
          <w:spacing w:val="-1"/>
          <w:highlight w:val="none"/>
        </w:rPr>
        <w:t>除上述情况外，评标报价=</w:t>
      </w:r>
      <w:r>
        <w:rPr>
          <w:rFonts w:hint="eastAsia" w:ascii="宋体" w:hAnsi="宋体" w:cs="宋体"/>
          <w:color w:val="auto"/>
          <w:spacing w:val="-1"/>
          <w:highlight w:val="none"/>
        </w:rPr>
        <w:t>最终报</w:t>
      </w:r>
      <w:r>
        <w:rPr>
          <w:rFonts w:ascii="宋体" w:hAnsi="宋体" w:cs="宋体"/>
          <w:color w:val="auto"/>
          <w:spacing w:val="-1"/>
          <w:highlight w:val="none"/>
        </w:rPr>
        <w:t>价。</w:t>
      </w:r>
    </w:p>
    <w:p>
      <w:pPr>
        <w:spacing w:after="0" w:line="262" w:lineRule="exact"/>
        <w:ind w:left="60" w:firstLine="420"/>
        <w:outlineLvl w:val="0"/>
        <w:rPr>
          <w:color w:val="auto"/>
          <w:highlight w:val="none"/>
        </w:rPr>
      </w:pPr>
      <w:r>
        <w:rPr>
          <w:rFonts w:ascii="宋体" w:hAnsi="宋体" w:cs="宋体"/>
          <w:color w:val="auto"/>
          <w:highlight w:val="none"/>
        </w:rPr>
        <w:t>二、评标方法</w:t>
      </w:r>
    </w:p>
    <w:p>
      <w:pPr>
        <w:spacing w:after="0" w:line="360" w:lineRule="auto"/>
        <w:ind w:left="60" w:firstLine="420"/>
        <w:rPr>
          <w:color w:val="auto"/>
          <w:highlight w:val="none"/>
        </w:rPr>
      </w:pPr>
      <w:r>
        <w:rPr>
          <w:rFonts w:ascii="宋体" w:hAnsi="宋体" w:eastAsia="宋体" w:cs="宋体"/>
          <w:color w:val="auto"/>
          <w:highlight w:val="none"/>
        </w:rPr>
        <w:t>对进入详评的，磋商小组将以竞争性磋商文</w:t>
      </w:r>
      <w:r>
        <w:rPr>
          <w:rFonts w:ascii="宋体" w:hAnsi="宋体" w:eastAsia="宋体" w:cs="宋体"/>
          <w:color w:val="auto"/>
          <w:spacing w:val="-2"/>
          <w:highlight w:val="none"/>
        </w:rPr>
        <w:t>件</w:t>
      </w:r>
      <w:r>
        <w:rPr>
          <w:rFonts w:ascii="Calibri" w:hAnsi="Calibri" w:cs="Calibri"/>
          <w:color w:val="auto"/>
          <w:w w:val="227"/>
          <w:highlight w:val="none"/>
        </w:rPr>
        <w:t> </w:t>
      </w:r>
      <w:r>
        <w:rPr>
          <w:rFonts w:ascii="宋体" w:hAnsi="宋体" w:cs="宋体"/>
          <w:color w:val="auto"/>
          <w:highlight w:val="none"/>
        </w:rPr>
        <w:t>、响应</w:t>
      </w:r>
      <w:r>
        <w:rPr>
          <w:rFonts w:ascii="宋体" w:hAnsi="宋体" w:eastAsia="宋体" w:cs="宋体"/>
          <w:color w:val="auto"/>
          <w:highlight w:val="none"/>
        </w:rPr>
        <w:t>文件为评定依据，采用百分制综合评</w:t>
      </w:r>
      <w:r>
        <w:rPr>
          <w:rFonts w:ascii="宋体" w:hAnsi="宋体" w:eastAsia="宋体" w:cs="宋体"/>
          <w:color w:val="auto"/>
          <w:spacing w:val="-2"/>
          <w:highlight w:val="none"/>
        </w:rPr>
        <w:t>分</w:t>
      </w:r>
    </w:p>
    <w:p>
      <w:pPr>
        <w:spacing w:after="0" w:line="360" w:lineRule="auto"/>
        <w:ind w:left="60"/>
        <w:rPr>
          <w:rFonts w:ascii="宋体" w:hAnsi="宋体" w:cs="宋体"/>
          <w:color w:val="auto"/>
          <w:position w:val="3"/>
          <w:highlight w:val="none"/>
        </w:rPr>
      </w:pPr>
      <w:r>
        <w:rPr>
          <w:rFonts w:ascii="宋体" w:hAnsi="宋体" w:eastAsia="宋体" w:cs="宋体"/>
          <w:color w:val="auto"/>
          <w:spacing w:val="-1"/>
          <w:highlight w:val="none"/>
        </w:rPr>
        <w:t>法；计分办法（按四舍五入取至百分位）；</w:t>
      </w:r>
    </w:p>
    <w:p>
      <w:pPr>
        <w:spacing w:after="0" w:line="360" w:lineRule="auto"/>
        <w:ind w:left="137"/>
        <w:outlineLvl w:val="0"/>
        <w:rPr>
          <w:b/>
          <w:bCs/>
          <w:color w:val="auto"/>
          <w:highlight w:val="none"/>
        </w:rPr>
      </w:pPr>
      <w:r>
        <w:rPr>
          <w:rFonts w:ascii="宋体" w:hAnsi="宋体" w:cs="宋体"/>
          <w:b/>
          <w:bCs/>
          <w:color w:val="auto"/>
          <w:position w:val="3"/>
          <w:highlight w:val="none"/>
        </w:rPr>
        <w:t>（一）价格分</w:t>
      </w:r>
      <w:r>
        <w:rPr>
          <w:rFonts w:ascii="宋体" w:hAnsi="宋体" w:cs="宋体"/>
          <w:b/>
          <w:bCs/>
          <w:color w:val="auto"/>
          <w:highlight w:val="none"/>
        </w:rPr>
        <w:t>………………………………………………………………………………………</w:t>
      </w:r>
      <w:r>
        <w:rPr>
          <w:rFonts w:hint="eastAsia" w:ascii="宋体" w:hAnsi="宋体" w:cs="宋体"/>
          <w:b/>
          <w:bCs/>
          <w:color w:val="auto"/>
          <w:position w:val="3"/>
          <w:highlight w:val="none"/>
        </w:rPr>
        <w:t>1</w:t>
      </w:r>
      <w:r>
        <w:rPr>
          <w:rFonts w:ascii="宋体" w:hAnsi="宋体" w:cs="宋体"/>
          <w:b/>
          <w:bCs/>
          <w:color w:val="auto"/>
          <w:position w:val="3"/>
          <w:highlight w:val="none"/>
        </w:rPr>
        <w:t>0分</w:t>
      </w:r>
    </w:p>
    <w:p>
      <w:pPr>
        <w:spacing w:after="0" w:line="360" w:lineRule="auto"/>
        <w:ind w:left="60" w:firstLine="314"/>
        <w:rPr>
          <w:color w:val="auto"/>
          <w:highlight w:val="none"/>
        </w:rPr>
      </w:pPr>
      <w:r>
        <w:rPr>
          <w:rFonts w:ascii="宋体" w:hAnsi="宋体" w:cs="宋体"/>
          <w:color w:val="auto"/>
          <w:spacing w:val="-1"/>
          <w:highlight w:val="none"/>
        </w:rPr>
        <w:t>报价评分以最后总价评标价为依据。</w:t>
      </w:r>
    </w:p>
    <w:p>
      <w:pPr>
        <w:spacing w:after="0" w:line="360" w:lineRule="auto"/>
        <w:ind w:left="60" w:firstLine="314"/>
        <w:rPr>
          <w:color w:val="auto"/>
          <w:highlight w:val="none"/>
        </w:rPr>
      </w:pPr>
      <w:r>
        <w:rPr>
          <w:rFonts w:ascii="宋体" w:hAnsi="宋体" w:cs="宋体"/>
          <w:color w:val="auto"/>
          <w:spacing w:val="-1"/>
          <w:highlight w:val="none"/>
        </w:rPr>
        <w:t>超出预算价和未通过资格（符合性）审查的供应商，其报价无效。</w:t>
      </w:r>
    </w:p>
    <w:p>
      <w:pPr>
        <w:spacing w:after="0" w:line="360" w:lineRule="auto"/>
        <w:ind w:left="60" w:firstLine="2309"/>
        <w:rPr>
          <w:color w:val="auto"/>
          <w:highlight w:val="none"/>
        </w:rPr>
      </w:pPr>
      <w:r>
        <w:rPr>
          <w:rFonts w:ascii="宋体" w:hAnsi="宋体" w:eastAsia="宋体" w:cs="宋体"/>
          <w:color w:val="auto"/>
          <w:spacing w:val="-1"/>
          <w:highlight w:val="none"/>
        </w:rPr>
        <w:t>有效供应商的最低</w:t>
      </w:r>
      <w:r>
        <w:rPr>
          <w:rFonts w:hint="eastAsia" w:ascii="宋体" w:hAnsi="宋体" w:eastAsia="宋体" w:cs="宋体"/>
          <w:color w:val="auto"/>
          <w:spacing w:val="-1"/>
          <w:highlight w:val="none"/>
        </w:rPr>
        <w:t>评标</w:t>
      </w:r>
      <w:r>
        <w:rPr>
          <w:rFonts w:ascii="宋体" w:hAnsi="宋体" w:eastAsia="宋体" w:cs="宋体"/>
          <w:color w:val="auto"/>
          <w:spacing w:val="-1"/>
          <w:highlight w:val="none"/>
        </w:rPr>
        <w:t>报价</w:t>
      </w:r>
    </w:p>
    <w:p>
      <w:pPr>
        <w:spacing w:after="0" w:line="360" w:lineRule="auto"/>
        <w:ind w:left="60" w:firstLine="209"/>
        <w:rPr>
          <w:color w:val="auto"/>
          <w:highlight w:val="none"/>
        </w:rPr>
      </w:pPr>
      <w:r>
        <w:rPr>
          <w:rFonts w:ascii="宋体" w:hAnsi="宋体" w:eastAsia="宋体" w:cs="宋体"/>
          <w:color w:val="auto"/>
          <w:spacing w:val="-1"/>
          <w:highlight w:val="none"/>
        </w:rPr>
        <w:t>某供应商价格分</w:t>
      </w:r>
      <w:r>
        <w:rPr>
          <w:rFonts w:ascii="Calibri" w:hAnsi="Calibri" w:cs="Calibri"/>
          <w:color w:val="auto"/>
          <w:w w:val="194"/>
          <w:sz w:val="24"/>
          <w:highlight w:val="none"/>
        </w:rPr>
        <w:t>  </w:t>
      </w:r>
      <w:r>
        <w:rPr>
          <w:rFonts w:ascii="宋体" w:hAnsi="宋体" w:cs="宋体"/>
          <w:color w:val="auto"/>
          <w:spacing w:val="-1"/>
          <w:highlight w:val="none"/>
        </w:rPr>
        <w:t>=</w:t>
      </w:r>
      <w:r>
        <w:rPr>
          <w:rFonts w:ascii="Calibri" w:hAnsi="Calibri" w:cs="Calibri"/>
          <w:color w:val="auto"/>
          <w:w w:val="195"/>
          <w:sz w:val="24"/>
          <w:highlight w:val="none"/>
        </w:rPr>
        <w:t>  </w:t>
      </w:r>
      <w:r>
        <w:rPr>
          <w:rFonts w:ascii="宋体" w:hAnsi="宋体" w:cs="宋体"/>
          <w:color w:val="auto"/>
          <w:spacing w:val="-1"/>
          <w:highlight w:val="none"/>
        </w:rPr>
        <w:t>----------------------</w:t>
      </w:r>
      <w:r>
        <w:rPr>
          <w:rFonts w:ascii="Calibri" w:hAnsi="Calibri" w:cs="Calibri"/>
          <w:color w:val="auto"/>
          <w:w w:val="193"/>
          <w:sz w:val="24"/>
          <w:highlight w:val="none"/>
        </w:rPr>
        <w:t>  </w:t>
      </w:r>
      <w:r>
        <w:rPr>
          <w:rFonts w:ascii="宋体" w:hAnsi="宋体" w:cs="宋体"/>
          <w:color w:val="auto"/>
          <w:spacing w:val="-2"/>
          <w:highlight w:val="none"/>
        </w:rPr>
        <w:t>×</w:t>
      </w:r>
      <w:r>
        <w:rPr>
          <w:rFonts w:ascii="Calibri" w:hAnsi="Calibri" w:cs="Calibri"/>
          <w:color w:val="auto"/>
          <w:w w:val="222"/>
          <w:highlight w:val="none"/>
        </w:rPr>
        <w:t> </w:t>
      </w:r>
      <w:r>
        <w:rPr>
          <w:rFonts w:hint="eastAsia" w:ascii="宋体" w:hAnsi="宋体" w:cs="宋体"/>
          <w:color w:val="auto"/>
          <w:highlight w:val="none"/>
        </w:rPr>
        <w:t>10</w:t>
      </w:r>
      <w:r>
        <w:rPr>
          <w:rFonts w:ascii="宋体" w:hAnsi="宋体" w:eastAsia="宋体" w:cs="宋体"/>
          <w:color w:val="auto"/>
          <w:spacing w:val="-2"/>
          <w:highlight w:val="none"/>
        </w:rPr>
        <w:t>分</w:t>
      </w:r>
    </w:p>
    <w:p>
      <w:pPr>
        <w:spacing w:after="0" w:line="360" w:lineRule="auto"/>
        <w:ind w:left="60" w:firstLine="2912" w:firstLineChars="1400"/>
        <w:rPr>
          <w:color w:val="auto"/>
          <w:highlight w:val="none"/>
        </w:rPr>
      </w:pPr>
      <w:r>
        <w:rPr>
          <w:rFonts w:ascii="宋体" w:hAnsi="宋体" w:eastAsia="宋体" w:cs="宋体"/>
          <w:color w:val="auto"/>
          <w:spacing w:val="-1"/>
          <w:highlight w:val="none"/>
        </w:rPr>
        <w:t>某供应商</w:t>
      </w:r>
      <w:r>
        <w:rPr>
          <w:rFonts w:hint="eastAsia" w:ascii="宋体" w:hAnsi="宋体" w:eastAsia="宋体" w:cs="宋体"/>
          <w:color w:val="auto"/>
          <w:spacing w:val="-1"/>
          <w:highlight w:val="none"/>
        </w:rPr>
        <w:t>评标</w:t>
      </w:r>
      <w:r>
        <w:rPr>
          <w:rFonts w:ascii="宋体" w:hAnsi="宋体" w:eastAsia="宋体" w:cs="宋体"/>
          <w:color w:val="auto"/>
          <w:spacing w:val="-1"/>
          <w:highlight w:val="none"/>
        </w:rPr>
        <w:t>报价</w:t>
      </w:r>
    </w:p>
    <w:p>
      <w:pPr>
        <w:spacing w:after="0" w:line="360" w:lineRule="auto"/>
        <w:ind w:left="137"/>
        <w:outlineLvl w:val="0"/>
        <w:rPr>
          <w:rFonts w:eastAsia="宋体"/>
          <w:b/>
          <w:bCs/>
          <w:color w:val="auto"/>
          <w:highlight w:val="none"/>
        </w:rPr>
      </w:pPr>
      <w:r>
        <w:rPr>
          <w:rFonts w:ascii="宋体" w:hAnsi="宋体" w:cs="宋体"/>
          <w:b/>
          <w:bCs/>
          <w:color w:val="auto"/>
          <w:position w:val="3"/>
          <w:highlight w:val="none"/>
        </w:rPr>
        <w:t>（二）技术分</w:t>
      </w:r>
      <w:r>
        <w:rPr>
          <w:rFonts w:hint="eastAsia" w:ascii="宋体" w:hAnsi="宋体" w:cs="宋体"/>
          <w:b/>
          <w:bCs/>
          <w:color w:val="auto"/>
          <w:position w:val="3"/>
          <w:highlight w:val="none"/>
        </w:rPr>
        <w:t>（监理大纲）</w:t>
      </w:r>
      <w:r>
        <w:rPr>
          <w:rFonts w:ascii="宋体" w:hAnsi="宋体" w:cs="宋体"/>
          <w:b/>
          <w:bCs/>
          <w:color w:val="auto"/>
          <w:highlight w:val="none"/>
        </w:rPr>
        <w:t>………………………………………………………………………………</w:t>
      </w:r>
      <w:r>
        <w:rPr>
          <w:rFonts w:hint="eastAsia" w:ascii="宋体" w:hAnsi="宋体" w:cs="宋体"/>
          <w:b/>
          <w:bCs/>
          <w:color w:val="auto"/>
          <w:position w:val="3"/>
          <w:highlight w:val="none"/>
        </w:rPr>
        <w:t>60</w:t>
      </w:r>
      <w:r>
        <w:rPr>
          <w:rFonts w:ascii="宋体" w:hAnsi="宋体" w:cs="宋体"/>
          <w:b/>
          <w:bCs/>
          <w:color w:val="auto"/>
          <w:position w:val="3"/>
          <w:highlight w:val="none"/>
        </w:rPr>
        <w:t>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（1）工程特点、难点分析及监理对策（满分 10 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（10分）：结合现场状况，工程特点及难点分析准确到位，针对本工程特点难点的控制要点及对策全面、合理、可行。并附有项目实地现场图片，真实有效。</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（7分）：针对项目特点、难点分析全面，合理的监理对策基本可行。</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（5分）：针对项目特点、难点有一定的了解，有监理建议一般可行。</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（2分）：针对项目特点、难点有表述较差。</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质量控制重点及监理措施（10分）：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10分）本工程质量控制的工作目标任务明确，质量控制重点分析合理，质量控制的工作措施方法合理，质量控制的措施有力，特别针对工程重点部位（含绿化工程）的质量控制合理可行。内容描述篇幅很详细、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（7分）：制定的质量控制重点符合项目实际，质量控制措施合理，满足招标文件的质量控制要求基本可行。内容描述篇幅较详细、全面。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（5分）：制定的质量控制重点基本符合项目实际，质量控制措施基本可行，基本能满足招标文件的质量控制要求一般可行。内容描述篇幅详细较一般、欠全面。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 xml:space="preserve">（2分）：制定的质量控制措施不得当，无质量控制重点或内容不全，无法满足招标文件的质量控制要求。内容描述篇幅详细较差、不全面。 </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进度控制重点及监理措施（10分）：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10分）：进度控制的工作目标明确、进度控制重点分析准确，针对进度控制重点的控制的方式和方法合理可行，控制方法的使用合理，协助业主加快前期工作的具体方法与措施合理可行，控制措施合理有力、控制程序合理。内容描述篇幅很详细、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（7分）：进度控制措施可行，关键节点的控制合理、基本可行。内容描述篇幅较详细、全面。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（5分）：进度控制措施基本合理，关键节点的控制措施一般可行。内容描述篇幅详细较一般、欠全面。</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（2分）：进度控制措施不合理，关键节点的控制措施不可行。内容描述篇幅详细较差、不全面。</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造价控制重点及监理措施（10分）：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（10分）：造价控制措施全面、科学，造价目标风险分析全面、科学，制定防范性对策针对性强。</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（7分）：造价控制措施全面、可行，造价目</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标风险分析到位，制定防范性对策符合项目实际。</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（5分）：造价控制措施基本齐全、基本合理，造价目标风险分析基本到位，制定防范性对策基本可行。</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（2分）：造价控制措施不合理，造价目标风险分析不合理，制定防范性对策不可行。</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合同及信息管理措施（5分）：对合同管理中的工程暂停及复工、工程变更管理、费用索赔的处理、工程延期及延误的处理、合同争议的调解以及监理资料、信息管理制定具体措施。</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（5分）：合同管理内容全面，管理措施科学、操作性、针对性强；资料、信息管理内容全面，管理措施科学、操作性、针对性强。</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（3.5分）：合同管理内容全面，措施可行；资料、信息管理内容全面、管理措施可行。</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（2.5分）：合同管理内容基本齐全、管理措施基本可行；信息管理内容基本齐全、管理措施基本可行。</w:t>
      </w:r>
    </w:p>
    <w:p>
      <w:pPr>
        <w:spacing w:after="0" w:line="360" w:lineRule="auto"/>
        <w:ind w:left="557"/>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 xml:space="preserve">（1分）：合同管理措施内容不全、措施不可行，信息管理内容不全、不可行。 </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监理工作协调（5分）：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5分）：全面协调工程的各个环节，有实现承诺所采取的具体措施，对人员和能力方面有所预留；根据现场实际需要有调整和应变的承诺和措施（比如质量进度和特殊情况的保障措施）；提高与其它单位的服务质量及为此设立的承诺,完全满足以上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3.5分）：全面协调工程的各个环节，有实现承诺所采取的具体措施，对人员和能力方面有所预留；根据现场实际需要有调整和应变的承诺和措施（比如质量进度和特殊情况的保障措施）；提高与其它单位的服务质量及为此设立的承诺，满足以上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2.5分）：全面协调工程的各个环节，有实现承诺所采取的具体措施，对人员和能力方面有所预留；根据现场实际需要有调整和应变的承诺和措施（比如质量进度和特殊情况的保障措施）；提高与其它单位的服务质量及为此设立的承诺,基本满足以上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1分）：全面协调工程的各个环节，有实现承诺所采取的具体措施，对人员和能力方面有所预留；根据现场实际需要有调整和应变的承诺和措施（比如质量进度和特殊情况的保障措施）；提高与其它单位的服务质量及为此设立的承诺,不满足以上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w:t>
      </w:r>
    </w:p>
    <w:p>
      <w:pPr>
        <w:numPr>
          <w:ilvl w:val="0"/>
          <w:numId w:val="4"/>
        </w:num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rPr>
        <w:t>环境保护及文明施工监理措施（5分）：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（5分）：文明施工及环境保护措施采用规范正确，监理措施科学、得力，高于招标文件要求。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（3.5分）：文明施工及环境保护措施采用规范正确，监理措施合理有效，符合招标文件要求。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（2.5分）：文明施工及环境保护措施采用规范基本正确，监理措施基本合理有效，满足招标文件要求。</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（1分）:文明施工及环境保护措施采用规范不正确，监理措施不合理，不满足招标文件要求。（8）履行安全职责措施（5分）：</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一档</w:t>
      </w:r>
      <w:r>
        <w:rPr>
          <w:rFonts w:hint="eastAsia" w:ascii="宋体" w:hAnsi="宋体" w:eastAsia="宋体" w:cs="宋体"/>
          <w:color w:val="auto"/>
          <w:highlight w:val="none"/>
        </w:rPr>
        <w:t>（5分）：针对项目实际情况，有先进、具体、完整、可行的实施措施，采用规范正确、清晰。</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二档</w:t>
      </w:r>
      <w:r>
        <w:rPr>
          <w:rFonts w:hint="eastAsia" w:ascii="宋体" w:hAnsi="宋体" w:eastAsia="宋体" w:cs="宋体"/>
          <w:color w:val="auto"/>
          <w:highlight w:val="none"/>
        </w:rPr>
        <w:t>（3.5分）：针对项目实际情况，有合理的措施且具体、完整，采用规范正确。</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三档</w:t>
      </w:r>
      <w:r>
        <w:rPr>
          <w:rFonts w:hint="eastAsia" w:ascii="宋体" w:hAnsi="宋体" w:eastAsia="宋体" w:cs="宋体"/>
          <w:color w:val="auto"/>
          <w:highlight w:val="none"/>
        </w:rPr>
        <w:t>（2.5分）：有基本合理的措施，采用规范正确。</w:t>
      </w:r>
    </w:p>
    <w:p>
      <w:pPr>
        <w:spacing w:after="0" w:line="360" w:lineRule="auto"/>
        <w:ind w:left="137" w:firstLine="420"/>
        <w:rPr>
          <w:rFonts w:ascii="宋体" w:hAnsi="宋体" w:eastAsia="宋体" w:cs="宋体"/>
          <w:color w:val="auto"/>
          <w:highlight w:val="none"/>
        </w:rPr>
      </w:pPr>
      <w:r>
        <w:rPr>
          <w:rFonts w:hint="eastAsia" w:ascii="宋体" w:hAnsi="宋体" w:eastAsia="宋体" w:cs="宋体"/>
          <w:color w:val="auto"/>
          <w:highlight w:val="none"/>
          <w:lang w:val="en-US" w:eastAsia="zh-CN"/>
        </w:rPr>
        <w:t>四档</w:t>
      </w:r>
      <w:r>
        <w:rPr>
          <w:rFonts w:hint="eastAsia" w:ascii="宋体" w:hAnsi="宋体" w:eastAsia="宋体" w:cs="宋体"/>
          <w:color w:val="auto"/>
          <w:highlight w:val="none"/>
        </w:rPr>
        <w:t>（1分）：安全文明措施不得力，采用规范不正确。</w:t>
      </w:r>
    </w:p>
    <w:p>
      <w:pPr>
        <w:pStyle w:val="29"/>
        <w:numPr>
          <w:ilvl w:val="0"/>
          <w:numId w:val="5"/>
        </w:numPr>
        <w:spacing w:after="0" w:line="360" w:lineRule="auto"/>
        <w:ind w:firstLineChars="0"/>
        <w:outlineLvl w:val="0"/>
        <w:rPr>
          <w:rFonts w:ascii="宋体" w:hAnsi="宋体" w:cs="宋体"/>
          <w:b/>
          <w:bCs/>
          <w:color w:val="auto"/>
          <w:position w:val="3"/>
          <w:highlight w:val="none"/>
        </w:rPr>
      </w:pPr>
      <w:r>
        <w:rPr>
          <w:rFonts w:ascii="宋体" w:hAnsi="宋体" w:cs="宋体"/>
          <w:b/>
          <w:bCs/>
          <w:color w:val="auto"/>
          <w:position w:val="3"/>
          <w:highlight w:val="none"/>
        </w:rPr>
        <w:t>项目监理人员机构情况</w:t>
      </w:r>
      <w:r>
        <w:rPr>
          <w:rFonts w:ascii="宋体" w:hAnsi="宋体" w:cs="宋体"/>
          <w:b/>
          <w:bCs/>
          <w:color w:val="auto"/>
          <w:highlight w:val="none"/>
        </w:rPr>
        <w:t>……………………………………………………………………</w:t>
      </w:r>
      <w:r>
        <w:rPr>
          <w:rFonts w:ascii="Calibri" w:hAnsi="Calibri" w:cs="Calibri"/>
          <w:b/>
          <w:bCs/>
          <w:color w:val="auto"/>
          <w:spacing w:val="6"/>
          <w:highlight w:val="none"/>
        </w:rPr>
        <w:t> </w:t>
      </w:r>
      <w:r>
        <w:rPr>
          <w:rFonts w:hint="eastAsia" w:ascii="宋体" w:hAnsi="宋体" w:cs="宋体"/>
          <w:b/>
          <w:bCs/>
          <w:color w:val="auto"/>
          <w:position w:val="3"/>
          <w:highlight w:val="none"/>
        </w:rPr>
        <w:t>10</w:t>
      </w:r>
      <w:r>
        <w:rPr>
          <w:rFonts w:ascii="宋体" w:hAnsi="宋体" w:cs="宋体"/>
          <w:b/>
          <w:bCs/>
          <w:color w:val="auto"/>
          <w:position w:val="3"/>
          <w:highlight w:val="none"/>
        </w:rPr>
        <w:t>分</w:t>
      </w:r>
    </w:p>
    <w:p>
      <w:pPr>
        <w:pStyle w:val="29"/>
        <w:numPr>
          <w:ilvl w:val="0"/>
          <w:numId w:val="0"/>
        </w:numPr>
        <w:spacing w:after="0" w:line="360" w:lineRule="auto"/>
        <w:ind w:left="559" w:leftChars="0"/>
        <w:outlineLvl w:val="0"/>
        <w:rPr>
          <w:rFonts w:ascii="宋体" w:hAnsi="宋体" w:cs="宋体"/>
          <w:b w:val="0"/>
          <w:bCs w:val="0"/>
          <w:color w:val="auto"/>
          <w:position w:val="3"/>
          <w:highlight w:val="none"/>
        </w:rPr>
      </w:pPr>
      <w:r>
        <w:rPr>
          <w:rFonts w:hint="eastAsia" w:ascii="宋体" w:hAnsi="宋体" w:cs="宋体"/>
          <w:b w:val="0"/>
          <w:bCs w:val="0"/>
          <w:color w:val="auto"/>
          <w:position w:val="3"/>
          <w:highlight w:val="none"/>
          <w:lang w:eastAsia="zh-CN"/>
        </w:rPr>
        <w:t>（</w:t>
      </w:r>
      <w:r>
        <w:rPr>
          <w:rFonts w:hint="eastAsia" w:ascii="宋体" w:hAnsi="宋体" w:cs="宋体"/>
          <w:b w:val="0"/>
          <w:bCs w:val="0"/>
          <w:color w:val="auto"/>
          <w:position w:val="3"/>
          <w:highlight w:val="none"/>
          <w:lang w:val="en-US" w:eastAsia="zh-CN"/>
        </w:rPr>
        <w:t>1</w:t>
      </w:r>
      <w:r>
        <w:rPr>
          <w:rFonts w:hint="eastAsia" w:ascii="宋体" w:hAnsi="宋体" w:cs="宋体"/>
          <w:b w:val="0"/>
          <w:bCs w:val="0"/>
          <w:color w:val="auto"/>
          <w:position w:val="3"/>
          <w:highlight w:val="none"/>
          <w:lang w:eastAsia="zh-CN"/>
        </w:rPr>
        <w:t>）</w:t>
      </w:r>
      <w:r>
        <w:rPr>
          <w:rFonts w:hint="eastAsia" w:ascii="宋体" w:hAnsi="宋体" w:cs="宋体"/>
          <w:b w:val="0"/>
          <w:bCs w:val="0"/>
          <w:color w:val="auto"/>
          <w:position w:val="3"/>
          <w:highlight w:val="none"/>
        </w:rPr>
        <w:t>监理人员最低配备满足</w:t>
      </w:r>
      <w:r>
        <w:rPr>
          <w:rFonts w:hint="eastAsia" w:ascii="宋体" w:hAnsi="宋体" w:cs="宋体"/>
          <w:b w:val="0"/>
          <w:bCs w:val="0"/>
          <w:color w:val="auto"/>
          <w:position w:val="3"/>
          <w:highlight w:val="none"/>
          <w:lang w:val="en-US" w:eastAsia="zh-CN"/>
        </w:rPr>
        <w:t>竞争性磋商采购文件第三章项目服务需求中人员最低配备要求的</w:t>
      </w:r>
      <w:r>
        <w:rPr>
          <w:rFonts w:hint="eastAsia" w:ascii="宋体" w:hAnsi="宋体" w:cs="宋体"/>
          <w:b w:val="0"/>
          <w:bCs w:val="0"/>
          <w:color w:val="auto"/>
          <w:position w:val="3"/>
          <w:highlight w:val="none"/>
        </w:rPr>
        <w:t>，得基本分</w:t>
      </w:r>
      <w:r>
        <w:rPr>
          <w:rFonts w:hint="eastAsia" w:ascii="宋体" w:hAnsi="宋体" w:cs="宋体"/>
          <w:b w:val="0"/>
          <w:bCs w:val="0"/>
          <w:color w:val="auto"/>
          <w:position w:val="3"/>
          <w:highlight w:val="none"/>
          <w:lang w:val="en-US" w:eastAsia="zh-CN"/>
        </w:rPr>
        <w:t>4</w:t>
      </w:r>
      <w:r>
        <w:rPr>
          <w:rFonts w:hint="eastAsia" w:ascii="宋体" w:hAnsi="宋体" w:cs="宋体"/>
          <w:b w:val="0"/>
          <w:bCs w:val="0"/>
          <w:color w:val="auto"/>
          <w:position w:val="3"/>
          <w:highlight w:val="none"/>
        </w:rPr>
        <w:t>分；</w:t>
      </w:r>
    </w:p>
    <w:p>
      <w:pPr>
        <w:numPr>
          <w:ilvl w:val="0"/>
          <w:numId w:val="0"/>
        </w:numPr>
        <w:spacing w:after="0" w:line="360" w:lineRule="auto"/>
        <w:ind w:left="557" w:leftChars="0"/>
        <w:rPr>
          <w:rFonts w:hint="eastAsia" w:ascii="宋体" w:hAnsi="宋体" w:eastAsia="宋体" w:cs="宋体"/>
          <w:color w:val="auto"/>
          <w:spacing w:val="-2"/>
          <w:highlight w:val="none"/>
        </w:rPr>
      </w:pPr>
      <w:r>
        <w:rPr>
          <w:rFonts w:hint="eastAsia" w:ascii="宋体" w:hAnsi="宋体" w:eastAsia="宋体" w:cs="宋体"/>
          <w:color w:val="auto"/>
          <w:spacing w:val="-2"/>
          <w:highlight w:val="none"/>
          <w:lang w:eastAsia="zh-CN"/>
        </w:rPr>
        <w:t>（</w:t>
      </w:r>
      <w:r>
        <w:rPr>
          <w:rFonts w:hint="eastAsia" w:ascii="宋体" w:hAnsi="宋体" w:eastAsia="宋体" w:cs="宋体"/>
          <w:color w:val="auto"/>
          <w:spacing w:val="-2"/>
          <w:highlight w:val="none"/>
          <w:lang w:val="en-US" w:eastAsia="zh-CN"/>
        </w:rPr>
        <w:t>2</w:t>
      </w:r>
      <w:r>
        <w:rPr>
          <w:rFonts w:hint="eastAsia" w:ascii="宋体" w:hAnsi="宋体" w:eastAsia="宋体" w:cs="宋体"/>
          <w:color w:val="auto"/>
          <w:spacing w:val="-2"/>
          <w:highlight w:val="none"/>
          <w:lang w:eastAsia="zh-CN"/>
        </w:rPr>
        <w:t>）</w:t>
      </w:r>
      <w:r>
        <w:rPr>
          <w:rFonts w:hint="eastAsia" w:ascii="宋体" w:hAnsi="宋体" w:eastAsia="宋体" w:cs="宋体"/>
          <w:color w:val="auto"/>
          <w:spacing w:val="-2"/>
          <w:highlight w:val="none"/>
        </w:rPr>
        <w:t>拟任总监具有工程师职称的得</w:t>
      </w:r>
      <w:r>
        <w:rPr>
          <w:rFonts w:hint="eastAsia" w:ascii="宋体" w:hAnsi="宋体" w:eastAsia="宋体" w:cs="宋体"/>
          <w:color w:val="auto"/>
          <w:spacing w:val="-2"/>
          <w:highlight w:val="none"/>
          <w:lang w:eastAsia="zh-CN"/>
        </w:rPr>
        <w:t>3</w:t>
      </w:r>
      <w:r>
        <w:rPr>
          <w:rFonts w:hint="eastAsia" w:ascii="宋体" w:hAnsi="宋体" w:eastAsia="宋体" w:cs="宋体"/>
          <w:color w:val="auto"/>
          <w:spacing w:val="-2"/>
          <w:highlight w:val="none"/>
        </w:rPr>
        <w:t>分；具有</w:t>
      </w:r>
      <w:r>
        <w:rPr>
          <w:rFonts w:hint="eastAsia" w:ascii="宋体" w:hAnsi="宋体" w:eastAsia="宋体" w:cs="宋体"/>
          <w:color w:val="auto"/>
          <w:spacing w:val="-2"/>
          <w:highlight w:val="none"/>
          <w:lang w:val="en-US" w:eastAsia="zh-CN"/>
        </w:rPr>
        <w:t>高级工程师职称的</w:t>
      </w:r>
      <w:r>
        <w:rPr>
          <w:rFonts w:hint="eastAsia" w:ascii="宋体" w:hAnsi="宋体" w:eastAsia="宋体" w:cs="宋体"/>
          <w:color w:val="auto"/>
          <w:spacing w:val="-2"/>
          <w:highlight w:val="none"/>
        </w:rPr>
        <w:t>得</w:t>
      </w:r>
      <w:r>
        <w:rPr>
          <w:rFonts w:hint="eastAsia" w:ascii="宋体" w:hAnsi="宋体" w:eastAsia="宋体" w:cs="宋体"/>
          <w:color w:val="auto"/>
          <w:spacing w:val="-2"/>
          <w:highlight w:val="none"/>
          <w:lang w:eastAsia="zh-CN"/>
        </w:rPr>
        <w:t>6</w:t>
      </w:r>
      <w:r>
        <w:rPr>
          <w:rFonts w:hint="eastAsia" w:ascii="宋体" w:hAnsi="宋体" w:eastAsia="宋体" w:cs="宋体"/>
          <w:color w:val="auto"/>
          <w:spacing w:val="-2"/>
          <w:highlight w:val="none"/>
        </w:rPr>
        <w:t>分；（此项满分</w:t>
      </w:r>
      <w:r>
        <w:rPr>
          <w:rFonts w:hint="eastAsia" w:ascii="宋体" w:hAnsi="宋体" w:eastAsia="宋体" w:cs="宋体"/>
          <w:color w:val="auto"/>
          <w:spacing w:val="-2"/>
          <w:highlight w:val="none"/>
          <w:lang w:val="en-US" w:eastAsia="zh-CN"/>
        </w:rPr>
        <w:t>6</w:t>
      </w:r>
      <w:r>
        <w:rPr>
          <w:rFonts w:hint="eastAsia" w:ascii="宋体" w:hAnsi="宋体" w:eastAsia="宋体" w:cs="宋体"/>
          <w:color w:val="auto"/>
          <w:spacing w:val="-2"/>
          <w:highlight w:val="none"/>
        </w:rPr>
        <w:t>分）</w:t>
      </w:r>
    </w:p>
    <w:p>
      <w:pPr>
        <w:numPr>
          <w:ilvl w:val="0"/>
          <w:numId w:val="6"/>
        </w:numPr>
        <w:spacing w:after="0" w:line="360" w:lineRule="auto"/>
        <w:ind w:left="137" w:firstLine="422" w:firstLineChars="200"/>
        <w:outlineLvl w:val="0"/>
        <w:rPr>
          <w:rFonts w:ascii="宋体" w:hAnsi="宋体" w:cs="宋体"/>
          <w:b/>
          <w:bCs/>
          <w:color w:val="auto"/>
          <w:position w:val="3"/>
          <w:highlight w:val="none"/>
        </w:rPr>
      </w:pPr>
      <w:r>
        <w:rPr>
          <w:rFonts w:ascii="宋体" w:hAnsi="宋体" w:cs="宋体"/>
          <w:b/>
          <w:bCs/>
          <w:color w:val="auto"/>
          <w:position w:val="3"/>
          <w:highlight w:val="none"/>
        </w:rPr>
        <w:t>投标人资质情况</w:t>
      </w:r>
      <w:r>
        <w:rPr>
          <w:rFonts w:ascii="宋体" w:hAnsi="宋体" w:cs="宋体"/>
          <w:b/>
          <w:bCs/>
          <w:color w:val="auto"/>
          <w:highlight w:val="none"/>
        </w:rPr>
        <w:t>……………………………………………………………………………</w:t>
      </w:r>
      <w:r>
        <w:rPr>
          <w:rFonts w:ascii="Calibri" w:hAnsi="Calibri" w:cs="Calibri"/>
          <w:b/>
          <w:bCs/>
          <w:color w:val="auto"/>
          <w:spacing w:val="6"/>
          <w:highlight w:val="none"/>
        </w:rPr>
        <w:t> </w:t>
      </w:r>
      <w:r>
        <w:rPr>
          <w:rFonts w:ascii="宋体" w:hAnsi="宋体" w:cs="宋体"/>
          <w:b/>
          <w:bCs/>
          <w:color w:val="auto"/>
          <w:position w:val="3"/>
          <w:highlight w:val="none"/>
        </w:rPr>
        <w:t>5分</w:t>
      </w:r>
    </w:p>
    <w:p>
      <w:pPr>
        <w:numPr>
          <w:ilvl w:val="0"/>
          <w:numId w:val="7"/>
        </w:numPr>
        <w:spacing w:after="0" w:line="360" w:lineRule="auto"/>
        <w:ind w:left="137" w:firstLine="420"/>
        <w:rPr>
          <w:rFonts w:ascii="宋体" w:hAnsi="宋体" w:eastAsia="宋体" w:cs="宋体"/>
          <w:color w:val="auto"/>
          <w:spacing w:val="-2"/>
          <w:highlight w:val="none"/>
        </w:rPr>
      </w:pPr>
      <w:r>
        <w:rPr>
          <w:rFonts w:hint="eastAsia" w:ascii="宋体" w:hAnsi="宋体" w:eastAsia="宋体" w:cs="宋体"/>
          <w:color w:val="auto"/>
          <w:spacing w:val="-2"/>
          <w:highlight w:val="none"/>
        </w:rPr>
        <w:t>具备</w:t>
      </w:r>
      <w:r>
        <w:rPr>
          <w:rFonts w:hint="eastAsia" w:ascii="宋体" w:hAnsi="宋体" w:eastAsia="宋体" w:cs="宋体"/>
          <w:color w:val="auto"/>
          <w:spacing w:val="-2"/>
          <w:highlight w:val="none"/>
          <w:lang w:eastAsia="zh-CN"/>
        </w:rPr>
        <w:t>房屋建筑</w:t>
      </w:r>
      <w:r>
        <w:rPr>
          <w:rFonts w:hint="eastAsia" w:ascii="宋体" w:hAnsi="宋体" w:eastAsia="宋体" w:cs="宋体"/>
          <w:color w:val="auto"/>
          <w:spacing w:val="-2"/>
          <w:highlight w:val="none"/>
        </w:rPr>
        <w:t>工程监理乙级资质的得3分，具备</w:t>
      </w:r>
      <w:r>
        <w:rPr>
          <w:rFonts w:hint="eastAsia" w:ascii="宋体" w:hAnsi="宋体" w:eastAsia="宋体" w:cs="宋体"/>
          <w:color w:val="auto"/>
          <w:spacing w:val="-2"/>
          <w:highlight w:val="none"/>
          <w:lang w:eastAsia="zh-CN"/>
        </w:rPr>
        <w:t>房屋建筑</w:t>
      </w:r>
      <w:r>
        <w:rPr>
          <w:rFonts w:hint="eastAsia" w:ascii="宋体" w:hAnsi="宋体" w:eastAsia="宋体" w:cs="宋体"/>
          <w:color w:val="auto"/>
          <w:spacing w:val="-2"/>
          <w:highlight w:val="none"/>
        </w:rPr>
        <w:t>工程监理甲级资质的或具备工程监理综合资质的得5分。（满分5分）</w:t>
      </w:r>
    </w:p>
    <w:p>
      <w:pPr>
        <w:numPr>
          <w:ilvl w:val="0"/>
          <w:numId w:val="6"/>
        </w:numPr>
        <w:spacing w:after="0" w:line="360" w:lineRule="auto"/>
        <w:ind w:left="137" w:firstLine="422" w:firstLineChars="200"/>
        <w:outlineLvl w:val="0"/>
        <w:rPr>
          <w:rFonts w:ascii="宋体" w:hAnsi="宋体" w:cs="宋体"/>
          <w:b/>
          <w:bCs/>
          <w:color w:val="auto"/>
          <w:position w:val="3"/>
          <w:highlight w:val="none"/>
        </w:rPr>
      </w:pPr>
      <w:r>
        <w:rPr>
          <w:rFonts w:ascii="宋体" w:hAnsi="宋体" w:cs="宋体"/>
          <w:b/>
          <w:bCs/>
          <w:color w:val="auto"/>
          <w:position w:val="3"/>
          <w:highlight w:val="none"/>
        </w:rPr>
        <w:t>业绩分</w:t>
      </w:r>
      <w:r>
        <w:rPr>
          <w:rFonts w:ascii="宋体" w:hAnsi="宋体" w:cs="宋体"/>
          <w:b/>
          <w:bCs/>
          <w:color w:val="auto"/>
          <w:highlight w:val="none"/>
        </w:rPr>
        <w:t>……………………………………………………………………………………</w:t>
      </w:r>
      <w:r>
        <w:rPr>
          <w:rFonts w:ascii="Calibri" w:hAnsi="Calibri" w:cs="Calibri"/>
          <w:b/>
          <w:bCs/>
          <w:color w:val="auto"/>
          <w:spacing w:val="6"/>
          <w:highlight w:val="none"/>
        </w:rPr>
        <w:t> </w:t>
      </w:r>
      <w:r>
        <w:rPr>
          <w:rFonts w:ascii="宋体" w:hAnsi="宋体" w:cs="宋体"/>
          <w:b/>
          <w:bCs/>
          <w:color w:val="auto"/>
          <w:highlight w:val="none"/>
        </w:rPr>
        <w:t>…</w:t>
      </w:r>
      <w:r>
        <w:rPr>
          <w:rFonts w:ascii="Calibri" w:hAnsi="Calibri" w:cs="Calibri"/>
          <w:b/>
          <w:bCs/>
          <w:color w:val="auto"/>
          <w:spacing w:val="6"/>
          <w:highlight w:val="none"/>
        </w:rPr>
        <w:t> </w:t>
      </w:r>
      <w:r>
        <w:rPr>
          <w:rFonts w:hint="eastAsia" w:ascii="宋体" w:hAnsi="宋体" w:cs="宋体"/>
          <w:b/>
          <w:bCs/>
          <w:color w:val="auto"/>
          <w:position w:val="3"/>
          <w:highlight w:val="none"/>
        </w:rPr>
        <w:t>5</w:t>
      </w:r>
      <w:r>
        <w:rPr>
          <w:rFonts w:ascii="宋体" w:hAnsi="宋体" w:cs="宋体"/>
          <w:b/>
          <w:bCs/>
          <w:color w:val="auto"/>
          <w:position w:val="3"/>
          <w:highlight w:val="none"/>
        </w:rPr>
        <w:t>分</w:t>
      </w:r>
    </w:p>
    <w:p>
      <w:pPr>
        <w:spacing w:after="0" w:line="360" w:lineRule="auto"/>
        <w:ind w:left="137"/>
        <w:outlineLvl w:val="0"/>
        <w:rPr>
          <w:rFonts w:ascii="宋体" w:hAnsi="宋体" w:cs="宋体"/>
          <w:color w:val="auto"/>
          <w:position w:val="3"/>
          <w:highlight w:val="none"/>
        </w:rPr>
      </w:pPr>
      <w:r>
        <w:rPr>
          <w:rFonts w:hint="eastAsia" w:ascii="宋体" w:hAnsi="宋体" w:cs="宋体"/>
          <w:color w:val="auto"/>
          <w:position w:val="3"/>
          <w:highlight w:val="none"/>
        </w:rPr>
        <w:t xml:space="preserve">    供应商2017年1月1日以来完成过质量合格的</w:t>
      </w:r>
      <w:r>
        <w:rPr>
          <w:rFonts w:hint="eastAsia" w:ascii="宋体" w:hAnsi="宋体" w:cs="宋体"/>
          <w:color w:val="auto"/>
          <w:position w:val="3"/>
          <w:highlight w:val="none"/>
          <w:lang w:val="en-US" w:eastAsia="zh-CN"/>
        </w:rPr>
        <w:t>39</w:t>
      </w:r>
      <w:r>
        <w:rPr>
          <w:rFonts w:hint="eastAsia" w:ascii="宋体" w:hAnsi="宋体" w:cs="宋体"/>
          <w:color w:val="auto"/>
          <w:position w:val="3"/>
          <w:highlight w:val="none"/>
        </w:rPr>
        <w:t>00万元以上（含</w:t>
      </w:r>
      <w:r>
        <w:rPr>
          <w:rFonts w:hint="eastAsia" w:ascii="宋体" w:hAnsi="宋体" w:cs="宋体"/>
          <w:color w:val="auto"/>
          <w:position w:val="3"/>
          <w:highlight w:val="none"/>
          <w:lang w:val="en-US" w:eastAsia="zh-CN"/>
        </w:rPr>
        <w:t>39</w:t>
      </w:r>
      <w:r>
        <w:rPr>
          <w:rFonts w:hint="eastAsia" w:ascii="宋体" w:hAnsi="宋体" w:cs="宋体"/>
          <w:color w:val="auto"/>
          <w:position w:val="3"/>
          <w:highlight w:val="none"/>
        </w:rPr>
        <w:t>00万元）</w:t>
      </w:r>
      <w:r>
        <w:rPr>
          <w:rFonts w:hint="eastAsia" w:ascii="宋体" w:hAnsi="宋体" w:cs="宋体"/>
          <w:color w:val="auto"/>
          <w:position w:val="3"/>
          <w:highlight w:val="none"/>
          <w:lang w:eastAsia="zh-CN"/>
        </w:rPr>
        <w:t>房屋建筑</w:t>
      </w:r>
      <w:r>
        <w:rPr>
          <w:rFonts w:hint="eastAsia" w:ascii="宋体" w:hAnsi="宋体" w:cs="宋体"/>
          <w:color w:val="auto"/>
          <w:position w:val="3"/>
          <w:highlight w:val="none"/>
        </w:rPr>
        <w:t>工程项目监理服务的，每个得2.5分。（满分5分） 需附上中标通知书</w:t>
      </w:r>
      <w:r>
        <w:rPr>
          <w:rFonts w:hint="eastAsia" w:ascii="宋体" w:hAnsi="宋体" w:cs="宋体"/>
          <w:color w:val="auto"/>
          <w:position w:val="3"/>
          <w:highlight w:val="none"/>
          <w:lang w:val="en-US" w:eastAsia="zh-CN"/>
        </w:rPr>
        <w:t>或</w:t>
      </w:r>
      <w:r>
        <w:rPr>
          <w:rFonts w:hint="eastAsia" w:ascii="宋体" w:hAnsi="宋体" w:cs="宋体"/>
          <w:color w:val="auto"/>
          <w:position w:val="3"/>
          <w:highlight w:val="none"/>
        </w:rPr>
        <w:t>监理合同复印件和竣工意见书，合同等材料需真实有效。</w:t>
      </w:r>
    </w:p>
    <w:p>
      <w:pPr>
        <w:spacing w:after="0" w:line="360" w:lineRule="auto"/>
        <w:ind w:left="137" w:firstLine="211" w:firstLineChars="100"/>
        <w:outlineLvl w:val="0"/>
        <w:rPr>
          <w:rFonts w:ascii="宋体" w:hAnsi="宋体" w:cs="宋体"/>
          <w:b/>
          <w:bCs/>
          <w:color w:val="auto"/>
          <w:position w:val="3"/>
          <w:highlight w:val="none"/>
        </w:rPr>
      </w:pPr>
      <w:r>
        <w:rPr>
          <w:rFonts w:ascii="宋体" w:hAnsi="宋体" w:cs="宋体"/>
          <w:b/>
          <w:bCs/>
          <w:color w:val="auto"/>
          <w:position w:val="3"/>
          <w:highlight w:val="none"/>
        </w:rPr>
        <w:t>（</w:t>
      </w:r>
      <w:r>
        <w:rPr>
          <w:rFonts w:hint="eastAsia" w:ascii="宋体" w:hAnsi="宋体" w:cs="宋体"/>
          <w:b/>
          <w:bCs/>
          <w:color w:val="auto"/>
          <w:position w:val="3"/>
          <w:highlight w:val="none"/>
          <w:lang w:val="en-US" w:eastAsia="zh-CN"/>
        </w:rPr>
        <w:t>六</w:t>
      </w:r>
      <w:r>
        <w:rPr>
          <w:rFonts w:ascii="宋体" w:hAnsi="宋体" w:cs="宋体"/>
          <w:b/>
          <w:bCs/>
          <w:color w:val="auto"/>
          <w:position w:val="3"/>
          <w:highlight w:val="none"/>
        </w:rPr>
        <w:t>）</w:t>
      </w:r>
      <w:r>
        <w:rPr>
          <w:rFonts w:hint="eastAsia" w:ascii="宋体" w:hAnsi="宋体" w:cs="宋体"/>
          <w:b/>
          <w:bCs/>
          <w:color w:val="auto"/>
          <w:position w:val="3"/>
          <w:highlight w:val="none"/>
        </w:rPr>
        <w:t>企业</w:t>
      </w:r>
      <w:r>
        <w:rPr>
          <w:rFonts w:ascii="宋体" w:hAnsi="宋体" w:cs="宋体"/>
          <w:b/>
          <w:bCs/>
          <w:color w:val="auto"/>
          <w:position w:val="3"/>
          <w:highlight w:val="none"/>
        </w:rPr>
        <w:t>信誉</w:t>
      </w:r>
      <w:r>
        <w:rPr>
          <w:rFonts w:hint="eastAsia" w:ascii="宋体" w:hAnsi="宋体" w:cs="宋体"/>
          <w:b/>
          <w:bCs/>
          <w:color w:val="auto"/>
          <w:position w:val="3"/>
          <w:highlight w:val="none"/>
        </w:rPr>
        <w:t>及能力</w:t>
      </w:r>
      <w:r>
        <w:rPr>
          <w:rFonts w:ascii="宋体" w:hAnsi="宋体" w:cs="宋体"/>
          <w:b/>
          <w:bCs/>
          <w:color w:val="auto"/>
          <w:highlight w:val="none"/>
        </w:rPr>
        <w:t>……………………………………………………………………………</w:t>
      </w:r>
      <w:r>
        <w:rPr>
          <w:rFonts w:ascii="Calibri" w:hAnsi="Calibri" w:cs="Calibri"/>
          <w:b/>
          <w:bCs/>
          <w:color w:val="auto"/>
          <w:spacing w:val="6"/>
          <w:highlight w:val="none"/>
        </w:rPr>
        <w:t> </w:t>
      </w:r>
      <w:r>
        <w:rPr>
          <w:rFonts w:ascii="宋体" w:hAnsi="宋体" w:cs="宋体"/>
          <w:b/>
          <w:bCs/>
          <w:color w:val="auto"/>
          <w:highlight w:val="none"/>
        </w:rPr>
        <w:t>…</w:t>
      </w:r>
      <w:r>
        <w:rPr>
          <w:rFonts w:hint="eastAsia" w:ascii="宋体" w:hAnsi="宋体" w:cs="宋体"/>
          <w:b/>
          <w:bCs/>
          <w:color w:val="auto"/>
          <w:position w:val="3"/>
          <w:highlight w:val="none"/>
        </w:rPr>
        <w:t>10</w:t>
      </w:r>
      <w:r>
        <w:rPr>
          <w:rFonts w:ascii="宋体" w:hAnsi="宋体" w:cs="宋体"/>
          <w:b/>
          <w:bCs/>
          <w:color w:val="auto"/>
          <w:position w:val="3"/>
          <w:highlight w:val="none"/>
        </w:rPr>
        <w:t>分</w:t>
      </w:r>
    </w:p>
    <w:p>
      <w:pPr>
        <w:spacing w:after="0" w:line="360" w:lineRule="auto"/>
        <w:ind w:left="137"/>
        <w:outlineLvl w:val="0"/>
        <w:rPr>
          <w:rFonts w:ascii="宋体" w:hAnsi="宋体" w:cs="宋体"/>
          <w:color w:val="auto"/>
          <w:position w:val="3"/>
          <w:highlight w:val="none"/>
        </w:rPr>
      </w:pPr>
      <w:r>
        <w:rPr>
          <w:rFonts w:hint="eastAsia" w:ascii="宋体" w:hAnsi="宋体" w:cs="宋体"/>
          <w:color w:val="auto"/>
          <w:position w:val="3"/>
          <w:highlight w:val="none"/>
        </w:rPr>
        <w:t>（1）工程奖项：投标人2017年1月1日以来承接的</w:t>
      </w:r>
      <w:r>
        <w:rPr>
          <w:rFonts w:hint="eastAsia" w:ascii="宋体" w:hAnsi="宋体" w:cs="宋体"/>
          <w:color w:val="auto"/>
          <w:position w:val="3"/>
          <w:highlight w:val="none"/>
          <w:lang w:val="en-US" w:eastAsia="zh-CN"/>
        </w:rPr>
        <w:t>房屋建筑</w:t>
      </w:r>
      <w:r>
        <w:rPr>
          <w:rFonts w:hint="eastAsia" w:ascii="宋体" w:hAnsi="宋体" w:cs="宋体"/>
          <w:color w:val="auto"/>
          <w:position w:val="3"/>
          <w:highlight w:val="none"/>
        </w:rPr>
        <w:t>工程项目获得省（自治区</w:t>
      </w:r>
      <w:r>
        <w:rPr>
          <w:rFonts w:hint="eastAsia" w:ascii="宋体" w:hAnsi="宋体" w:cs="宋体"/>
          <w:color w:val="auto"/>
          <w:position w:val="3"/>
          <w:highlight w:val="none"/>
          <w:lang w:eastAsia="zh-CN"/>
        </w:rPr>
        <w:t>、</w:t>
      </w:r>
      <w:r>
        <w:rPr>
          <w:rFonts w:hint="eastAsia" w:ascii="宋体" w:hAnsi="宋体" w:cs="宋体"/>
          <w:color w:val="auto"/>
          <w:position w:val="3"/>
          <w:highlight w:val="none"/>
          <w:lang w:val="en-US" w:eastAsia="zh-CN"/>
        </w:rPr>
        <w:t>直辖市</w:t>
      </w:r>
      <w:r>
        <w:rPr>
          <w:rFonts w:hint="eastAsia" w:ascii="宋体" w:hAnsi="宋体" w:cs="宋体"/>
          <w:color w:val="auto"/>
          <w:position w:val="3"/>
          <w:highlight w:val="none"/>
        </w:rPr>
        <w:t>）级奖项的每项得</w:t>
      </w:r>
      <w:r>
        <w:rPr>
          <w:rFonts w:hint="eastAsia" w:ascii="宋体" w:hAnsi="宋体" w:cs="宋体"/>
          <w:color w:val="auto"/>
          <w:position w:val="3"/>
          <w:highlight w:val="none"/>
          <w:lang w:val="en-US" w:eastAsia="zh-CN"/>
        </w:rPr>
        <w:t>2</w:t>
      </w:r>
      <w:r>
        <w:rPr>
          <w:rFonts w:hint="eastAsia" w:ascii="宋体" w:hAnsi="宋体" w:cs="宋体"/>
          <w:color w:val="auto"/>
          <w:position w:val="3"/>
          <w:highlight w:val="none"/>
        </w:rPr>
        <w:t>分；投标人2017年1月1日以来承接的</w:t>
      </w:r>
      <w:r>
        <w:rPr>
          <w:rFonts w:hint="eastAsia" w:ascii="宋体" w:hAnsi="宋体" w:cs="宋体"/>
          <w:color w:val="auto"/>
          <w:position w:val="3"/>
          <w:highlight w:val="none"/>
          <w:lang w:val="en-US" w:eastAsia="zh-CN"/>
        </w:rPr>
        <w:t>房屋建筑</w:t>
      </w:r>
      <w:r>
        <w:rPr>
          <w:rFonts w:hint="eastAsia" w:ascii="宋体" w:hAnsi="宋体" w:cs="宋体"/>
          <w:color w:val="auto"/>
          <w:position w:val="3"/>
          <w:highlight w:val="none"/>
        </w:rPr>
        <w:t>工程项目获得地市级奖的每项得</w:t>
      </w:r>
      <w:r>
        <w:rPr>
          <w:rFonts w:hint="eastAsia" w:ascii="宋体" w:hAnsi="宋体" w:cs="宋体"/>
          <w:color w:val="auto"/>
          <w:position w:val="3"/>
          <w:highlight w:val="none"/>
          <w:lang w:val="en-US" w:eastAsia="zh-CN"/>
        </w:rPr>
        <w:t>1</w:t>
      </w:r>
      <w:r>
        <w:rPr>
          <w:rFonts w:hint="eastAsia" w:ascii="宋体" w:hAnsi="宋体" w:cs="宋体"/>
          <w:color w:val="auto"/>
          <w:position w:val="3"/>
          <w:highlight w:val="none"/>
        </w:rPr>
        <w:t>分；（满分</w:t>
      </w:r>
      <w:r>
        <w:rPr>
          <w:rFonts w:hint="eastAsia" w:ascii="宋体" w:hAnsi="宋体" w:cs="宋体"/>
          <w:color w:val="auto"/>
          <w:position w:val="3"/>
          <w:highlight w:val="none"/>
          <w:lang w:eastAsia="zh-CN"/>
        </w:rPr>
        <w:t>6</w:t>
      </w:r>
      <w:r>
        <w:rPr>
          <w:rFonts w:hint="eastAsia" w:ascii="宋体" w:hAnsi="宋体" w:cs="宋体"/>
          <w:color w:val="auto"/>
          <w:position w:val="3"/>
          <w:highlight w:val="none"/>
        </w:rPr>
        <w:t>分）</w:t>
      </w:r>
    </w:p>
    <w:p>
      <w:pPr>
        <w:spacing w:after="0" w:line="360" w:lineRule="auto"/>
        <w:ind w:left="137"/>
        <w:outlineLvl w:val="0"/>
        <w:rPr>
          <w:rFonts w:ascii="宋体" w:hAnsi="宋体" w:cs="宋体"/>
          <w:color w:val="auto"/>
          <w:position w:val="3"/>
          <w:highlight w:val="none"/>
        </w:rPr>
      </w:pPr>
      <w:r>
        <w:rPr>
          <w:rFonts w:hint="eastAsia" w:ascii="宋体" w:hAnsi="宋体" w:cs="宋体"/>
          <w:color w:val="auto"/>
          <w:position w:val="3"/>
          <w:highlight w:val="none"/>
        </w:rPr>
        <w:t>（2）企业奖项：投标人2017年1月1日以来获得过地市级以上（含地市级）建设监理协会颁发的“先进监理单位”荣誉称号，得1分；获得过地市级以上（含地市级）建设监理协会“2019年度诚信企业”荣誉称号</w:t>
      </w:r>
      <w:r>
        <w:rPr>
          <w:rFonts w:hint="eastAsia" w:ascii="宋体" w:hAnsi="宋体" w:cs="宋体"/>
          <w:color w:val="auto"/>
          <w:position w:val="3"/>
          <w:highlight w:val="none"/>
          <w:lang w:val="en-US" w:eastAsia="zh-CN"/>
        </w:rPr>
        <w:t>得2分。</w:t>
      </w:r>
      <w:r>
        <w:rPr>
          <w:rFonts w:hint="eastAsia" w:ascii="宋体" w:hAnsi="宋体" w:cs="宋体"/>
          <w:color w:val="auto"/>
          <w:position w:val="3"/>
          <w:highlight w:val="none"/>
        </w:rPr>
        <w:t>（满分</w:t>
      </w:r>
      <w:r>
        <w:rPr>
          <w:rFonts w:hint="eastAsia" w:ascii="宋体" w:hAnsi="宋体" w:cs="宋体"/>
          <w:color w:val="auto"/>
          <w:position w:val="3"/>
          <w:highlight w:val="none"/>
          <w:lang w:val="en-US" w:eastAsia="zh-CN"/>
        </w:rPr>
        <w:t>3</w:t>
      </w:r>
      <w:r>
        <w:rPr>
          <w:rFonts w:hint="eastAsia" w:ascii="宋体" w:hAnsi="宋体" w:cs="宋体"/>
          <w:color w:val="auto"/>
          <w:position w:val="3"/>
          <w:highlight w:val="none"/>
        </w:rPr>
        <w:t>分）</w:t>
      </w:r>
    </w:p>
    <w:p>
      <w:pPr>
        <w:spacing w:after="0"/>
        <w:ind w:left="137"/>
        <w:outlineLvl w:val="0"/>
        <w:rPr>
          <w:rFonts w:hint="default" w:ascii="宋体" w:hAnsi="宋体" w:cs="宋体"/>
          <w:color w:val="auto"/>
          <w:position w:val="3"/>
          <w:highlight w:val="none"/>
          <w:lang w:val="en-US" w:eastAsia="zh-CN"/>
        </w:rPr>
      </w:pPr>
      <w:r>
        <w:rPr>
          <w:rFonts w:hint="eastAsia" w:ascii="宋体" w:hAnsi="宋体" w:cs="宋体"/>
          <w:color w:val="auto"/>
          <w:position w:val="3"/>
          <w:highlight w:val="none"/>
          <w:lang w:val="en-US" w:eastAsia="zh-CN"/>
        </w:rPr>
        <w:t>（3）同时具备质量管理体系、 职业健康安全管理体系、环境管理体系认证证书，且均在有效期内的的得 1分。</w:t>
      </w:r>
      <w:r>
        <w:rPr>
          <w:rFonts w:hint="eastAsia" w:ascii="宋体" w:hAnsi="宋体" w:cs="宋体"/>
          <w:color w:val="auto"/>
          <w:position w:val="3"/>
          <w:highlight w:val="none"/>
        </w:rPr>
        <w:t>（满分</w:t>
      </w:r>
      <w:r>
        <w:rPr>
          <w:rFonts w:hint="eastAsia" w:ascii="宋体" w:hAnsi="宋体" w:cs="宋体"/>
          <w:color w:val="auto"/>
          <w:position w:val="3"/>
          <w:highlight w:val="none"/>
          <w:lang w:val="en-US" w:eastAsia="zh-CN"/>
        </w:rPr>
        <w:t>1</w:t>
      </w:r>
      <w:r>
        <w:rPr>
          <w:rFonts w:hint="eastAsia" w:ascii="宋体" w:hAnsi="宋体" w:cs="宋体"/>
          <w:color w:val="auto"/>
          <w:position w:val="3"/>
          <w:highlight w:val="none"/>
        </w:rPr>
        <w:t>分）</w:t>
      </w:r>
    </w:p>
    <w:p>
      <w:pPr>
        <w:spacing w:after="0" w:line="360" w:lineRule="auto"/>
        <w:ind w:left="137"/>
        <w:outlineLvl w:val="0"/>
        <w:rPr>
          <w:rFonts w:ascii="宋体" w:hAnsi="宋体" w:cs="宋体"/>
          <w:b/>
          <w:bCs/>
          <w:color w:val="auto"/>
          <w:position w:val="3"/>
          <w:highlight w:val="none"/>
        </w:rPr>
      </w:pPr>
      <w:r>
        <w:rPr>
          <w:rFonts w:hint="eastAsia" w:ascii="宋体" w:hAnsi="宋体" w:cs="宋体"/>
          <w:b/>
          <w:bCs/>
          <w:color w:val="auto"/>
          <w:position w:val="3"/>
          <w:highlight w:val="none"/>
        </w:rPr>
        <w:t>注：考核期是指：2017年1月1日至投标截止时间止。</w:t>
      </w:r>
    </w:p>
    <w:p>
      <w:pPr>
        <w:spacing w:after="0" w:line="360" w:lineRule="auto"/>
        <w:ind w:left="137"/>
        <w:outlineLvl w:val="0"/>
        <w:rPr>
          <w:b/>
          <w:bCs/>
          <w:color w:val="auto"/>
          <w:highlight w:val="none"/>
        </w:rPr>
      </w:pPr>
      <w:r>
        <w:rPr>
          <w:rFonts w:ascii="宋体" w:hAnsi="宋体" w:cs="宋体"/>
          <w:b/>
          <w:bCs/>
          <w:color w:val="auto"/>
          <w:position w:val="3"/>
          <w:highlight w:val="none"/>
        </w:rPr>
        <w:t>（</w:t>
      </w:r>
      <w:r>
        <w:rPr>
          <w:rFonts w:hint="eastAsia" w:ascii="宋体" w:hAnsi="宋体" w:cs="宋体"/>
          <w:b/>
          <w:bCs/>
          <w:color w:val="auto"/>
          <w:position w:val="3"/>
          <w:highlight w:val="none"/>
          <w:lang w:val="en-US" w:eastAsia="zh-CN"/>
        </w:rPr>
        <w:t>七</w:t>
      </w:r>
      <w:r>
        <w:rPr>
          <w:rFonts w:ascii="宋体" w:hAnsi="宋体" w:cs="宋体"/>
          <w:b/>
          <w:bCs/>
          <w:color w:val="auto"/>
          <w:position w:val="3"/>
          <w:highlight w:val="none"/>
        </w:rPr>
        <w:t>）、总得分＝（一）＋（二）＋（三）+（</w:t>
      </w:r>
      <w:r>
        <w:rPr>
          <w:rFonts w:ascii="宋体" w:hAnsi="宋体" w:eastAsia="宋体" w:cs="宋体"/>
          <w:b/>
          <w:bCs/>
          <w:color w:val="auto"/>
          <w:position w:val="3"/>
          <w:highlight w:val="none"/>
        </w:rPr>
        <w:t>四）</w:t>
      </w:r>
      <w:r>
        <w:rPr>
          <w:rFonts w:ascii="宋体" w:hAnsi="宋体" w:cs="宋体"/>
          <w:b/>
          <w:bCs/>
          <w:color w:val="auto"/>
          <w:position w:val="3"/>
          <w:highlight w:val="none"/>
        </w:rPr>
        <w:t>+（</w:t>
      </w:r>
      <w:r>
        <w:rPr>
          <w:rFonts w:hint="eastAsia" w:ascii="宋体" w:hAnsi="宋体" w:cs="宋体"/>
          <w:b/>
          <w:bCs/>
          <w:color w:val="auto"/>
          <w:position w:val="3"/>
          <w:highlight w:val="none"/>
        </w:rPr>
        <w:t>五</w:t>
      </w:r>
      <w:r>
        <w:rPr>
          <w:rFonts w:ascii="宋体" w:hAnsi="宋体" w:cs="宋体"/>
          <w:b/>
          <w:bCs/>
          <w:color w:val="auto"/>
          <w:position w:val="3"/>
          <w:highlight w:val="none"/>
        </w:rPr>
        <w:t>）+（</w:t>
      </w:r>
      <w:r>
        <w:rPr>
          <w:rFonts w:hint="eastAsia" w:ascii="宋体" w:hAnsi="宋体" w:cs="宋体"/>
          <w:b/>
          <w:bCs/>
          <w:color w:val="auto"/>
          <w:position w:val="3"/>
          <w:highlight w:val="none"/>
        </w:rPr>
        <w:t>六</w:t>
      </w:r>
      <w:r>
        <w:rPr>
          <w:rFonts w:ascii="宋体" w:hAnsi="宋体" w:cs="宋体"/>
          <w:b/>
          <w:bCs/>
          <w:color w:val="auto"/>
          <w:position w:val="3"/>
          <w:highlight w:val="none"/>
        </w:rPr>
        <w:t>）</w:t>
      </w:r>
    </w:p>
    <w:p>
      <w:pPr>
        <w:spacing w:after="0" w:line="240" w:lineRule="exact"/>
        <w:ind w:left="137"/>
        <w:rPr>
          <w:color w:val="auto"/>
          <w:highlight w:val="none"/>
        </w:rPr>
      </w:pPr>
    </w:p>
    <w:p>
      <w:pPr>
        <w:spacing w:after="0" w:line="225" w:lineRule="exact"/>
        <w:ind w:left="137" w:firstLine="420"/>
        <w:rPr>
          <w:color w:val="auto"/>
          <w:highlight w:val="none"/>
        </w:rPr>
      </w:pPr>
      <w:r>
        <w:rPr>
          <w:rFonts w:ascii="宋体" w:hAnsi="宋体" w:cs="宋体"/>
          <w:color w:val="auto"/>
          <w:highlight w:val="none"/>
        </w:rPr>
        <w:t>三、成交候选人推荐原则</w:t>
      </w:r>
    </w:p>
    <w:p>
      <w:pPr>
        <w:spacing w:after="0" w:line="240" w:lineRule="exact"/>
        <w:ind w:left="137" w:firstLine="420"/>
        <w:rPr>
          <w:color w:val="auto"/>
          <w:highlight w:val="none"/>
        </w:rPr>
      </w:pPr>
    </w:p>
    <w:p>
      <w:pPr>
        <w:spacing w:after="0" w:line="259" w:lineRule="exact"/>
        <w:ind w:left="137" w:firstLine="420"/>
        <w:rPr>
          <w:color w:val="auto"/>
          <w:highlight w:val="none"/>
        </w:rPr>
      </w:pPr>
      <w:r>
        <w:rPr>
          <w:rFonts w:ascii="宋体" w:hAnsi="宋体" w:eastAsia="宋体" w:cs="宋体"/>
          <w:color w:val="auto"/>
          <w:spacing w:val="-1"/>
          <w:highlight w:val="none"/>
        </w:rPr>
        <w:t>1.磋商小组应当根据综合评分情况，按照评审得分由高到低顺序推荐</w:t>
      </w:r>
      <w:r>
        <w:rPr>
          <w:rFonts w:ascii="Calibri" w:hAnsi="Calibri" w:cs="Calibri"/>
          <w:color w:val="auto"/>
          <w:spacing w:val="4"/>
          <w:highlight w:val="none"/>
        </w:rPr>
        <w:t> </w:t>
      </w:r>
      <w:r>
        <w:rPr>
          <w:rFonts w:ascii="宋体" w:hAnsi="宋体" w:cs="宋体"/>
          <w:color w:val="auto"/>
          <w:spacing w:val="-1"/>
          <w:highlight w:val="none"/>
        </w:rPr>
        <w:t>3</w:t>
      </w:r>
      <w:r>
        <w:rPr>
          <w:rFonts w:ascii="Calibri" w:hAnsi="Calibri" w:cs="Calibri"/>
          <w:color w:val="auto"/>
          <w:spacing w:val="5"/>
          <w:highlight w:val="none"/>
        </w:rPr>
        <w:t> </w:t>
      </w:r>
      <w:r>
        <w:rPr>
          <w:rFonts w:ascii="宋体" w:hAnsi="宋体" w:eastAsia="宋体" w:cs="宋体"/>
          <w:color w:val="auto"/>
          <w:spacing w:val="-2"/>
          <w:highlight w:val="none"/>
        </w:rPr>
        <w:t>名成交候选供应商，并</w:t>
      </w:r>
    </w:p>
    <w:p>
      <w:pPr>
        <w:spacing w:after="0" w:line="240" w:lineRule="exact"/>
        <w:ind w:left="137" w:firstLine="420"/>
        <w:rPr>
          <w:color w:val="auto"/>
          <w:highlight w:val="none"/>
        </w:rPr>
      </w:pPr>
    </w:p>
    <w:p>
      <w:pPr>
        <w:spacing w:after="0" w:line="262" w:lineRule="exact"/>
        <w:ind w:left="137"/>
        <w:rPr>
          <w:color w:val="auto"/>
          <w:highlight w:val="none"/>
        </w:rPr>
      </w:pPr>
      <w:r>
        <w:rPr>
          <w:rFonts w:ascii="宋体" w:hAnsi="宋体" w:cs="宋体"/>
          <w:color w:val="auto"/>
          <w:spacing w:val="-1"/>
          <w:highlight w:val="none"/>
        </w:rPr>
        <w:t>编写评审报告。评审得分相同的，以磋商响应报价由低到高顺序排列；若得分相同且响应报价相同</w:t>
      </w:r>
    </w:p>
    <w:p>
      <w:pPr>
        <w:spacing w:after="0" w:line="240" w:lineRule="exact"/>
        <w:ind w:left="137"/>
        <w:rPr>
          <w:color w:val="auto"/>
          <w:highlight w:val="none"/>
        </w:rPr>
      </w:pPr>
    </w:p>
    <w:p>
      <w:pPr>
        <w:spacing w:after="0" w:line="259" w:lineRule="exact"/>
        <w:ind w:left="137"/>
        <w:rPr>
          <w:color w:val="auto"/>
          <w:highlight w:val="none"/>
        </w:rPr>
      </w:pPr>
      <w:r>
        <w:rPr>
          <w:rFonts w:ascii="宋体" w:hAnsi="宋体" w:cs="宋体"/>
          <w:color w:val="auto"/>
          <w:spacing w:val="-4"/>
          <w:highlight w:val="none"/>
        </w:rPr>
        <w:t>的，按照最终报价由低到高的顺序推荐；若仍相同的，按照</w:t>
      </w:r>
      <w:r>
        <w:rPr>
          <w:rFonts w:hint="eastAsia" w:ascii="宋体" w:hAnsi="宋体" w:cs="宋体"/>
          <w:color w:val="auto"/>
          <w:spacing w:val="-4"/>
          <w:highlight w:val="none"/>
        </w:rPr>
        <w:t>监理大纲</w:t>
      </w:r>
      <w:r>
        <w:rPr>
          <w:rFonts w:ascii="宋体" w:hAnsi="宋体" w:cs="宋体"/>
          <w:color w:val="auto"/>
          <w:spacing w:val="-4"/>
          <w:highlight w:val="none"/>
        </w:rPr>
        <w:t>（技术方案）优劣顺序推荐。</w:t>
      </w:r>
    </w:p>
    <w:p>
      <w:pPr>
        <w:spacing w:after="0" w:line="240" w:lineRule="exact"/>
        <w:ind w:left="137"/>
        <w:rPr>
          <w:color w:val="auto"/>
          <w:highlight w:val="none"/>
        </w:rPr>
      </w:pPr>
    </w:p>
    <w:p>
      <w:pPr>
        <w:spacing w:after="0" w:line="259" w:lineRule="exact"/>
        <w:ind w:left="137" w:firstLine="420"/>
        <w:rPr>
          <w:color w:val="auto"/>
          <w:highlight w:val="none"/>
        </w:rPr>
      </w:pPr>
      <w:r>
        <w:rPr>
          <w:rFonts w:ascii="宋体" w:hAnsi="宋体" w:eastAsia="宋体" w:cs="宋体"/>
          <w:color w:val="auto"/>
          <w:spacing w:val="-1"/>
          <w:highlight w:val="none"/>
        </w:rPr>
        <w:t>2.第一名供应商放弃成交或因不可抗力等原因提出不能履行合同，采购单位可以确定排名次位</w:t>
      </w:r>
    </w:p>
    <w:p>
      <w:pPr>
        <w:spacing w:after="0" w:line="240" w:lineRule="exact"/>
        <w:ind w:left="137" w:firstLine="420"/>
        <w:rPr>
          <w:color w:val="auto"/>
          <w:highlight w:val="none"/>
        </w:rPr>
      </w:pPr>
    </w:p>
    <w:p>
      <w:pPr>
        <w:spacing w:after="0" w:line="262" w:lineRule="exact"/>
        <w:ind w:left="137"/>
        <w:rPr>
          <w:color w:val="auto"/>
          <w:highlight w:val="none"/>
        </w:rPr>
      </w:pPr>
      <w:r>
        <w:rPr>
          <w:rFonts w:ascii="宋体" w:hAnsi="宋体" w:cs="宋体"/>
          <w:color w:val="auto"/>
          <w:spacing w:val="-4"/>
          <w:highlight w:val="none"/>
        </w:rPr>
        <w:t>的供应商为成交人，以此类推。但确定为成交人的供应商放弃成交时，采购人也可以重新开展磋商。</w:t>
      </w:r>
    </w:p>
    <w:p>
      <w:pPr>
        <w:spacing w:after="0" w:line="240" w:lineRule="exact"/>
        <w:rPr>
          <w:color w:val="auto"/>
          <w:highlight w:val="none"/>
        </w:rPr>
      </w:pPr>
      <w:bookmarkStart w:id="140" w:name="32"/>
      <w:bookmarkEnd w:id="140"/>
    </w:p>
    <w:p>
      <w:pPr>
        <w:spacing w:after="0" w:line="268" w:lineRule="exact"/>
        <w:ind w:left="60" w:firstLine="420"/>
        <w:rPr>
          <w:color w:val="auto"/>
          <w:highlight w:val="none"/>
        </w:rPr>
      </w:pPr>
      <w:r>
        <w:rPr>
          <w:rFonts w:ascii="宋体" w:hAnsi="宋体" w:eastAsia="宋体" w:cs="宋体"/>
          <w:color w:val="auto"/>
          <w:spacing w:val="-1"/>
          <w:highlight w:val="none"/>
        </w:rPr>
        <w:t>3.磋商小组认为，某供应商的有效响应报价或者某些分项报价明显不合理或者低于成本，有可</w:t>
      </w:r>
    </w:p>
    <w:p>
      <w:pPr>
        <w:spacing w:after="0" w:line="240" w:lineRule="exact"/>
        <w:ind w:left="60" w:firstLine="420"/>
        <w:rPr>
          <w:color w:val="auto"/>
          <w:highlight w:val="none"/>
        </w:rPr>
      </w:pPr>
    </w:p>
    <w:p>
      <w:pPr>
        <w:spacing w:after="0" w:line="262" w:lineRule="exact"/>
        <w:ind w:left="60"/>
        <w:rPr>
          <w:color w:val="auto"/>
          <w:highlight w:val="none"/>
        </w:rPr>
      </w:pPr>
      <w:r>
        <w:rPr>
          <w:rFonts w:ascii="宋体" w:hAnsi="宋体" w:eastAsia="宋体" w:cs="宋体"/>
          <w:color w:val="auto"/>
          <w:spacing w:val="-1"/>
          <w:highlight w:val="none"/>
        </w:rPr>
        <w:t>能影响商品质量和不能诚信履约的，应要求其在规定的期限内提供书面文件予以解释说明，并提交</w:t>
      </w:r>
    </w:p>
    <w:p>
      <w:pPr>
        <w:spacing w:after="0" w:line="240" w:lineRule="exact"/>
        <w:ind w:left="60"/>
        <w:rPr>
          <w:color w:val="auto"/>
          <w:highlight w:val="none"/>
        </w:rPr>
      </w:pPr>
    </w:p>
    <w:p>
      <w:pPr>
        <w:spacing w:after="0" w:line="259" w:lineRule="exact"/>
        <w:ind w:left="60"/>
        <w:rPr>
          <w:color w:val="auto"/>
          <w:highlight w:val="none"/>
        </w:rPr>
      </w:pPr>
      <w:r>
        <w:rPr>
          <w:rFonts w:ascii="宋体" w:hAnsi="宋体" w:eastAsia="宋体" w:cs="宋体"/>
          <w:color w:val="auto"/>
          <w:spacing w:val="-1"/>
          <w:highlight w:val="none"/>
        </w:rPr>
        <w:t>相关证明材料，否则，磋商小组可以取消该供应商的成交候选资格，按顺序由排在其后面的供应商</w:t>
      </w:r>
    </w:p>
    <w:p>
      <w:pPr>
        <w:spacing w:after="0" w:line="240" w:lineRule="exact"/>
        <w:ind w:left="60"/>
        <w:rPr>
          <w:color w:val="auto"/>
          <w:highlight w:val="none"/>
        </w:rPr>
      </w:pPr>
    </w:p>
    <w:p>
      <w:pPr>
        <w:spacing w:after="0" w:line="259" w:lineRule="exact"/>
        <w:ind w:left="60"/>
        <w:rPr>
          <w:color w:val="auto"/>
          <w:highlight w:val="none"/>
        </w:rPr>
      </w:pPr>
      <w:r>
        <w:rPr>
          <w:rFonts w:ascii="宋体" w:hAnsi="宋体" w:cs="宋体"/>
          <w:color w:val="auto"/>
          <w:spacing w:val="-1"/>
          <w:highlight w:val="none"/>
        </w:rPr>
        <w:t>递补，以此类推。</w: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60"/>
        <w:rPr>
          <w:color w:val="auto"/>
          <w:highlight w:val="none"/>
        </w:rPr>
      </w:pPr>
    </w:p>
    <w:p>
      <w:pPr>
        <w:spacing w:after="0" w:line="240" w:lineRule="exact"/>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582" w:lineRule="exact"/>
        <w:jc w:val="center"/>
        <w:rPr>
          <w:rFonts w:ascii="宋体" w:hAnsi="宋体" w:eastAsia="宋体" w:cs="宋体"/>
          <w:color w:val="auto"/>
          <w:sz w:val="44"/>
          <w:highlight w:val="none"/>
        </w:rPr>
      </w:pPr>
      <w:bookmarkStart w:id="141" w:name="33"/>
      <w:bookmarkEnd w:id="141"/>
    </w:p>
    <w:p>
      <w:pPr>
        <w:spacing w:after="0" w:line="582" w:lineRule="exact"/>
        <w:jc w:val="center"/>
        <w:rPr>
          <w:rFonts w:ascii="宋体" w:hAnsi="宋体" w:eastAsia="宋体" w:cs="宋体"/>
          <w:color w:val="auto"/>
          <w:sz w:val="44"/>
          <w:highlight w:val="none"/>
        </w:rPr>
      </w:pPr>
    </w:p>
    <w:p>
      <w:pPr>
        <w:spacing w:after="0" w:line="582" w:lineRule="exact"/>
        <w:jc w:val="center"/>
        <w:rPr>
          <w:color w:val="auto"/>
          <w:highlight w:val="none"/>
        </w:rPr>
      </w:pPr>
      <w:r>
        <w:rPr>
          <w:rFonts w:ascii="宋体" w:hAnsi="宋体" w:eastAsia="宋体" w:cs="宋体"/>
          <w:color w:val="auto"/>
          <w:sz w:val="44"/>
          <w:highlight w:val="none"/>
        </w:rPr>
        <w:t>第</w:t>
      </w:r>
      <w:r>
        <w:rPr>
          <w:rFonts w:hint="eastAsia" w:ascii="宋体" w:hAnsi="宋体" w:eastAsia="宋体" w:cs="宋体"/>
          <w:color w:val="auto"/>
          <w:sz w:val="44"/>
          <w:highlight w:val="none"/>
        </w:rPr>
        <w:t>六</w:t>
      </w:r>
      <w:r>
        <w:rPr>
          <w:rFonts w:ascii="宋体" w:hAnsi="宋体" w:eastAsia="宋体" w:cs="宋体"/>
          <w:color w:val="auto"/>
          <w:sz w:val="44"/>
          <w:highlight w:val="none"/>
        </w:rPr>
        <w:t>章</w:t>
      </w:r>
      <w:r>
        <w:rPr>
          <w:rFonts w:ascii="Calibri" w:hAnsi="Calibri" w:cs="Calibri"/>
          <w:color w:val="auto"/>
          <w:w w:val="224"/>
          <w:sz w:val="44"/>
          <w:highlight w:val="none"/>
        </w:rPr>
        <w:t> </w:t>
      </w:r>
      <w:r>
        <w:rPr>
          <w:rFonts w:ascii="宋体" w:hAnsi="宋体" w:eastAsia="宋体" w:cs="宋体"/>
          <w:color w:val="auto"/>
          <w:sz w:val="44"/>
          <w:highlight w:val="none"/>
        </w:rPr>
        <w:t>响应文件格式</w:t>
      </w:r>
    </w:p>
    <w:p>
      <w:pPr>
        <w:spacing w:after="0" w:line="240" w:lineRule="exact"/>
        <w:ind w:left="60" w:firstLine="2494"/>
        <w:rPr>
          <w:color w:val="auto"/>
          <w:highlight w:val="none"/>
        </w:rPr>
      </w:pPr>
    </w:p>
    <w:p>
      <w:pPr>
        <w:spacing w:after="0" w:line="240" w:lineRule="exact"/>
        <w:ind w:left="60" w:firstLine="2494"/>
        <w:rPr>
          <w:color w:val="auto"/>
          <w:highlight w:val="none"/>
        </w:rPr>
      </w:pPr>
    </w:p>
    <w:p>
      <w:pPr>
        <w:spacing w:after="0" w:line="240" w:lineRule="exact"/>
        <w:ind w:left="60" w:firstLine="2494"/>
        <w:rPr>
          <w:color w:val="auto"/>
          <w:highlight w:val="none"/>
        </w:rPr>
      </w:pPr>
    </w:p>
    <w:p>
      <w:pPr>
        <w:spacing w:after="0" w:line="591" w:lineRule="exact"/>
        <w:ind w:left="60" w:firstLine="180"/>
        <w:rPr>
          <w:color w:val="auto"/>
          <w:highlight w:val="none"/>
        </w:rPr>
      </w:pPr>
      <w:r>
        <w:rPr>
          <w:rFonts w:ascii="Cambria" w:hAnsi="Cambria" w:cs="Cambria"/>
          <w:color w:val="auto"/>
          <w:sz w:val="32"/>
          <w:highlight w:val="none"/>
        </w:rPr>
        <w:t>1.</w:t>
      </w:r>
      <w:r>
        <w:rPr>
          <w:rFonts w:ascii="宋体" w:hAnsi="宋体" w:eastAsia="宋体" w:cs="宋体"/>
          <w:color w:val="auto"/>
          <w:spacing w:val="-1"/>
          <w:position w:val="6"/>
          <w:sz w:val="32"/>
          <w:highlight w:val="none"/>
        </w:rPr>
        <w:t>响应文件封面格式：</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240" w:lineRule="exact"/>
        <w:ind w:left="60" w:firstLine="180"/>
        <w:rPr>
          <w:color w:val="auto"/>
          <w:highlight w:val="none"/>
        </w:rPr>
      </w:pPr>
    </w:p>
    <w:p>
      <w:pPr>
        <w:spacing w:after="0" w:line="378" w:lineRule="exact"/>
        <w:ind w:left="60" w:firstLine="180"/>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361" w:lineRule="exact"/>
        <w:ind w:left="6720"/>
        <w:rPr>
          <w:color w:val="auto"/>
          <w:highlight w:val="none"/>
        </w:rPr>
      </w:pPr>
      <w:r>
        <w:rPr>
          <w:rFonts w:ascii="宋体" w:hAnsi="宋体" w:eastAsia="宋体" w:cs="宋体"/>
          <w:color w:val="auto"/>
          <w:spacing w:val="-1"/>
          <w:sz w:val="36"/>
          <w:highlight w:val="none"/>
        </w:rPr>
        <w:t>正/副</w:t>
      </w:r>
      <w:r>
        <w:rPr>
          <w:rFonts w:ascii="Calibri" w:hAnsi="Calibri" w:cs="Calibri"/>
          <w:color w:val="auto"/>
          <w:w w:val="221"/>
          <w:sz w:val="36"/>
          <w:highlight w:val="none"/>
        </w:rPr>
        <w:t> </w:t>
      </w:r>
      <w:r>
        <w:rPr>
          <w:rFonts w:ascii="宋体" w:hAnsi="宋体" w:eastAsia="宋体" w:cs="宋体"/>
          <w:color w:val="auto"/>
          <w:spacing w:val="-1"/>
          <w:sz w:val="36"/>
          <w:highlight w:val="none"/>
        </w:rPr>
        <w:t>本</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240" w:lineRule="exact"/>
        <w:ind w:left="6720"/>
        <w:rPr>
          <w:color w:val="auto"/>
          <w:highlight w:val="none"/>
        </w:rPr>
      </w:pPr>
    </w:p>
    <w:p>
      <w:pPr>
        <w:spacing w:after="0" w:line="450" w:lineRule="exact"/>
        <w:ind w:left="6720"/>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722" w:lineRule="exact"/>
        <w:ind w:left="1318"/>
        <w:rPr>
          <w:color w:val="auto"/>
          <w:highlight w:val="none"/>
        </w:rPr>
      </w:pPr>
      <w:r>
        <w:rPr>
          <w:rFonts w:ascii="宋体" w:hAnsi="宋体" w:eastAsia="宋体" w:cs="宋体"/>
          <w:color w:val="auto"/>
          <w:spacing w:val="-1"/>
          <w:sz w:val="72"/>
          <w:highlight w:val="none"/>
        </w:rPr>
        <w:t>竞争性磋商响应文件</w:t>
      </w:r>
    </w:p>
    <w:p>
      <w:pPr>
        <w:spacing w:after="0" w:line="240" w:lineRule="exact"/>
        <w:ind w:left="1318"/>
        <w:rPr>
          <w:color w:val="auto"/>
          <w:highlight w:val="none"/>
        </w:rPr>
      </w:pPr>
    </w:p>
    <w:p>
      <w:pPr>
        <w:spacing w:after="0" w:line="240" w:lineRule="exact"/>
        <w:ind w:left="1318"/>
        <w:rPr>
          <w:color w:val="auto"/>
          <w:highlight w:val="none"/>
        </w:rPr>
      </w:pPr>
    </w:p>
    <w:p>
      <w:pPr>
        <w:spacing w:after="0" w:line="240" w:lineRule="exact"/>
        <w:ind w:left="1318"/>
        <w:rPr>
          <w:color w:val="auto"/>
          <w:highlight w:val="none"/>
        </w:rPr>
      </w:pPr>
    </w:p>
    <w:p>
      <w:pPr>
        <w:spacing w:after="0" w:line="462" w:lineRule="exact"/>
        <w:ind w:left="1318"/>
        <w:rPr>
          <w:color w:val="auto"/>
          <w:highlight w:val="none"/>
        </w:rPr>
      </w:pPr>
    </w:p>
    <w:p>
      <w:pPr>
        <w:spacing w:after="0" w:line="320" w:lineRule="exact"/>
        <w:ind w:left="1318" w:firstLine="1303"/>
        <w:rPr>
          <w:color w:val="auto"/>
          <w:highlight w:val="none"/>
        </w:rPr>
      </w:pPr>
      <w:r>
        <w:rPr>
          <w:rFonts w:ascii="宋体" w:hAnsi="宋体" w:eastAsia="宋体" w:cs="宋体"/>
          <w:color w:val="auto"/>
          <w:spacing w:val="-1"/>
          <w:sz w:val="32"/>
          <w:highlight w:val="none"/>
        </w:rPr>
        <w:t>项目名称：</w:t>
      </w:r>
    </w:p>
    <w:p>
      <w:pPr>
        <w:spacing w:after="0" w:line="179" w:lineRule="exact"/>
        <w:ind w:left="1318" w:firstLine="1303"/>
        <w:rPr>
          <w:color w:val="auto"/>
          <w:highlight w:val="none"/>
        </w:rPr>
      </w:pPr>
    </w:p>
    <w:p>
      <w:pPr>
        <w:spacing w:after="0" w:line="320" w:lineRule="exact"/>
        <w:ind w:left="1318" w:firstLine="1303"/>
        <w:rPr>
          <w:color w:val="auto"/>
          <w:highlight w:val="none"/>
        </w:rPr>
      </w:pPr>
      <w:r>
        <w:rPr>
          <w:rFonts w:ascii="宋体" w:hAnsi="宋体" w:eastAsia="宋体" w:cs="宋体"/>
          <w:color w:val="auto"/>
          <w:spacing w:val="-1"/>
          <w:sz w:val="32"/>
          <w:highlight w:val="none"/>
        </w:rPr>
        <w:t>项目编号：</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40" w:lineRule="exact"/>
        <w:ind w:left="1318" w:firstLine="1303"/>
        <w:rPr>
          <w:color w:val="auto"/>
          <w:highlight w:val="none"/>
        </w:rPr>
      </w:pPr>
    </w:p>
    <w:p>
      <w:pPr>
        <w:spacing w:after="0" w:line="261" w:lineRule="exact"/>
        <w:ind w:left="1318" w:firstLine="1303"/>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spacing w:after="0" w:line="320" w:lineRule="exact"/>
        <w:ind w:left="859"/>
        <w:rPr>
          <w:color w:val="auto"/>
          <w:highlight w:val="none"/>
        </w:rPr>
      </w:pPr>
      <w:r>
        <w:rPr>
          <w:rFonts w:ascii="宋体" w:hAnsi="宋体" w:eastAsia="宋体" w:cs="宋体"/>
          <w:color w:val="auto"/>
          <w:spacing w:val="-1"/>
          <w:sz w:val="32"/>
          <w:highlight w:val="none"/>
        </w:rPr>
        <w:t>供应商：</w:t>
      </w:r>
    </w:p>
    <w:p>
      <w:pPr>
        <w:spacing w:after="0" w:line="179" w:lineRule="exact"/>
        <w:ind w:left="859"/>
        <w:rPr>
          <w:color w:val="auto"/>
          <w:highlight w:val="none"/>
        </w:rPr>
      </w:pPr>
    </w:p>
    <w:p>
      <w:pPr>
        <w:spacing w:after="0" w:line="320" w:lineRule="exact"/>
        <w:ind w:left="859"/>
        <w:rPr>
          <w:color w:val="auto"/>
          <w:highlight w:val="none"/>
        </w:rPr>
      </w:pPr>
      <w:r>
        <w:rPr>
          <w:rFonts w:ascii="宋体" w:hAnsi="宋体" w:eastAsia="宋体" w:cs="宋体"/>
          <w:color w:val="auto"/>
          <w:spacing w:val="-1"/>
          <w:sz w:val="32"/>
          <w:highlight w:val="none"/>
        </w:rPr>
        <w:t>法定代表人或其委托代理人：</w:t>
      </w:r>
    </w:p>
    <w:p>
      <w:pPr>
        <w:spacing w:after="0" w:line="240" w:lineRule="exact"/>
        <w:ind w:left="859"/>
        <w:rPr>
          <w:color w:val="auto"/>
          <w:highlight w:val="none"/>
        </w:rPr>
      </w:pPr>
    </w:p>
    <w:p>
      <w:pPr>
        <w:spacing w:after="0" w:line="441" w:lineRule="exact"/>
        <w:ind w:left="859"/>
        <w:rPr>
          <w:color w:val="auto"/>
          <w:highlight w:val="none"/>
        </w:rPr>
      </w:pPr>
    </w:p>
    <w:p>
      <w:pPr>
        <w:tabs>
          <w:tab w:val="left" w:pos="4478"/>
          <w:tab w:val="left" w:pos="5597"/>
          <w:tab w:val="left" w:pos="6718"/>
        </w:tabs>
        <w:spacing w:after="0" w:line="320" w:lineRule="exact"/>
        <w:ind w:left="859" w:firstLine="1219"/>
        <w:rPr>
          <w:color w:val="auto"/>
          <w:highlight w:val="none"/>
        </w:rPr>
      </w:pPr>
      <w:r>
        <w:rPr>
          <w:rFonts w:ascii="宋体" w:hAnsi="宋体" w:eastAsia="宋体" w:cs="宋体"/>
          <w:color w:val="auto"/>
          <w:spacing w:val="-1"/>
          <w:sz w:val="32"/>
          <w:highlight w:val="none"/>
        </w:rPr>
        <w:t>日期</w:t>
      </w:r>
      <w:r>
        <w:rPr>
          <w:rFonts w:ascii="宋体" w:hAnsi="宋体" w:eastAsia="宋体" w:cs="宋体"/>
          <w:color w:val="auto"/>
          <w:spacing w:val="-2"/>
          <w:sz w:val="32"/>
          <w:highlight w:val="none"/>
        </w:rPr>
        <w:t>：</w:t>
      </w:r>
      <w:r>
        <w:rPr>
          <w:rFonts w:cs="Calibri"/>
          <w:color w:val="auto"/>
          <w:highlight w:val="none"/>
        </w:rPr>
        <w:tab/>
      </w:r>
      <w:r>
        <w:rPr>
          <w:rFonts w:ascii="宋体" w:hAnsi="宋体" w:eastAsia="宋体" w:cs="宋体"/>
          <w:color w:val="auto"/>
          <w:spacing w:val="-2"/>
          <w:sz w:val="32"/>
          <w:highlight w:val="none"/>
        </w:rPr>
        <w:t>年</w:t>
      </w:r>
      <w:r>
        <w:rPr>
          <w:rFonts w:cs="Calibri"/>
          <w:color w:val="auto"/>
          <w:highlight w:val="none"/>
        </w:rPr>
        <w:tab/>
      </w:r>
      <w:r>
        <w:rPr>
          <w:rFonts w:ascii="宋体" w:hAnsi="宋体" w:eastAsia="宋体" w:cs="宋体"/>
          <w:color w:val="auto"/>
          <w:spacing w:val="-2"/>
          <w:sz w:val="32"/>
          <w:highlight w:val="none"/>
        </w:rPr>
        <w:t>月</w:t>
      </w:r>
      <w:r>
        <w:rPr>
          <w:rFonts w:cs="Calibri"/>
          <w:color w:val="auto"/>
          <w:highlight w:val="none"/>
        </w:rPr>
        <w:tab/>
      </w:r>
      <w:r>
        <w:rPr>
          <w:rFonts w:ascii="宋体" w:hAnsi="宋体" w:eastAsia="宋体" w:cs="宋体"/>
          <w:color w:val="auto"/>
          <w:spacing w:val="-2"/>
          <w:sz w:val="32"/>
          <w:highlight w:val="none"/>
        </w:rPr>
        <w:t>日</w:t>
      </w: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240" w:lineRule="exact"/>
        <w:ind w:left="859" w:firstLine="1219"/>
        <w:rPr>
          <w:color w:val="auto"/>
          <w:highlight w:val="none"/>
        </w:rPr>
      </w:pPr>
    </w:p>
    <w:p>
      <w:pPr>
        <w:spacing w:after="0" w:line="371" w:lineRule="exact"/>
        <w:ind w:left="859" w:firstLine="1219"/>
        <w:rPr>
          <w:color w:val="auto"/>
          <w:highlight w:val="none"/>
        </w:rPr>
      </w:pPr>
    </w:p>
    <w:p>
      <w:pPr>
        <w:widowControl/>
        <w:rPr>
          <w:color w:val="auto"/>
          <w:highlight w:val="none"/>
        </w:rPr>
        <w:sectPr>
          <w:type w:val="continuous"/>
          <w:pgSz w:w="11906" w:h="16839"/>
          <w:pgMar w:top="535" w:right="1020" w:bottom="295" w:left="1380" w:header="0" w:footer="0" w:gutter="0"/>
          <w:cols w:space="720" w:num="1"/>
          <w:docGrid w:type="lines" w:linePitch="312" w:charSpace="0"/>
        </w:sectPr>
      </w:pPr>
    </w:p>
    <w:p>
      <w:pPr>
        <w:widowControl/>
        <w:rPr>
          <w:color w:val="auto"/>
          <w:highlight w:val="none"/>
        </w:rPr>
        <w:sectPr>
          <w:type w:val="continuous"/>
          <w:pgSz w:w="11906" w:h="16839"/>
          <w:pgMar w:top="535" w:right="1020" w:bottom="295" w:left="1380" w:header="0" w:footer="0" w:gutter="0"/>
          <w:cols w:equalWidth="0" w:num="1">
            <w:col w:w="9506"/>
          </w:cols>
          <w:docGrid w:type="lines" w:linePitch="312" w:charSpace="0"/>
        </w:sectPr>
      </w:pPr>
    </w:p>
    <w:p>
      <w:pPr>
        <w:tabs>
          <w:tab w:val="left" w:pos="3120"/>
        </w:tabs>
        <w:spacing w:after="0" w:line="241" w:lineRule="exact"/>
        <w:ind w:left="60"/>
        <w:rPr>
          <w:color w:val="auto"/>
          <w:highlight w:val="none"/>
        </w:rPr>
      </w:pPr>
      <w:bookmarkStart w:id="142" w:name="34"/>
      <w:bookmarkEnd w:id="142"/>
      <w:r>
        <w:rPr>
          <w:color w:val="auto"/>
          <w:highlight w:val="none"/>
        </w:rPr>
        <w:pict>
          <v:shape id="自选图形 69" o:spid="_x0000_s1026" o:spt="100" style="position:absolute;left:0pt;margin-left:72pt;margin-top:42pt;height:0.7pt;width:449.85pt;mso-position-horizontal-relative:page;mso-position-vertical-relative:page;z-index:251657216;mso-width-relative:page;mso-height-relative:page;" filled="f" stroked="f" coordsize="21600,21600" o:gfxdata="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UpbeV1wAAAAoBAAAPAAAAAAAAAAEAIAAAACIAAABk&#10;cnMvZG93bnJldi54bWxQSwECFAAUAAAACACHTuJAk/VL2pUBAAAtAwAADgAAAAAAAAABACAAAAAm&#10;AQAAZHJzL2Uyb0RvYy54bWxQSwUGAAAAAAYABgBZAQAALQUAAAAA&#10;">
            <v:fill on="f" focussize="0,0"/>
            <v:stroke on="f"/>
            <v:imagedata o:title=""/>
            <o:lock v:ext="edit"/>
          </v:shape>
        </w:pic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322" w:lineRule="exact"/>
        <w:ind w:left="60"/>
        <w:rPr>
          <w:color w:val="auto"/>
          <w:highlight w:val="none"/>
        </w:rPr>
      </w:pPr>
    </w:p>
    <w:p>
      <w:pPr>
        <w:widowControl/>
        <w:rPr>
          <w:color w:val="auto"/>
          <w:highlight w:val="none"/>
        </w:rPr>
        <w:sectPr>
          <w:type w:val="continuous"/>
          <w:pgSz w:w="11906" w:h="16838"/>
          <w:pgMar w:top="535" w:right="1020" w:bottom="295" w:left="1380" w:header="0" w:footer="0" w:gutter="0"/>
          <w:cols w:space="720" w:num="1"/>
          <w:docGrid w:type="lines" w:linePitch="312" w:charSpace="0"/>
        </w:sectPr>
      </w:pPr>
    </w:p>
    <w:p>
      <w:pPr>
        <w:spacing w:after="0" w:line="440" w:lineRule="exact"/>
        <w:ind w:left="3235"/>
        <w:outlineLvl w:val="0"/>
        <w:rPr>
          <w:color w:val="auto"/>
          <w:highlight w:val="none"/>
        </w:rPr>
      </w:pPr>
      <w:r>
        <w:rPr>
          <w:rFonts w:ascii="宋体" w:hAnsi="宋体" w:cs="宋体"/>
          <w:color w:val="auto"/>
          <w:sz w:val="44"/>
          <w:highlight w:val="none"/>
        </w:rPr>
        <w:t>一、价格文件</w:t>
      </w: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96" w:lineRule="exact"/>
        <w:ind w:left="3235"/>
        <w:rPr>
          <w:color w:val="auto"/>
          <w:highlight w:val="none"/>
        </w:rPr>
      </w:pPr>
    </w:p>
    <w:p>
      <w:pPr>
        <w:widowControl/>
        <w:rPr>
          <w:color w:val="auto"/>
          <w:highlight w:val="none"/>
        </w:rPr>
        <w:sectPr>
          <w:type w:val="continuous"/>
          <w:pgSz w:w="11906" w:h="16838"/>
          <w:pgMar w:top="535" w:right="1020" w:bottom="295" w:left="1380" w:header="0" w:footer="0" w:gutter="0"/>
          <w:cols w:space="720" w:num="1"/>
          <w:docGrid w:type="lines" w:linePitch="312" w:charSpace="0"/>
        </w:sectPr>
      </w:pPr>
    </w:p>
    <w:p>
      <w:pPr>
        <w:widowControl/>
        <w:rPr>
          <w:color w:val="auto"/>
          <w:highlight w:val="none"/>
        </w:rPr>
        <w:sectPr>
          <w:type w:val="continuous"/>
          <w:pgSz w:w="11906" w:h="16838"/>
          <w:pgMar w:top="535" w:right="1020" w:bottom="295" w:left="1380" w:header="0" w:footer="0" w:gutter="0"/>
          <w:cols w:equalWidth="0" w:num="1">
            <w:col w:w="9506"/>
          </w:cols>
          <w:docGrid w:type="lines" w:linePitch="312" w:charSpace="0"/>
        </w:sectPr>
      </w:pPr>
    </w:p>
    <w:tbl>
      <w:tblPr>
        <w:tblStyle w:val="13"/>
        <w:tblpPr w:leftFromText="180" w:rightFromText="180" w:tblpX="134" w:tblpY="3285"/>
        <w:tblW w:w="8820" w:type="dxa"/>
        <w:tblInd w:w="0" w:type="dxa"/>
        <w:tblLayout w:type="fixed"/>
        <w:tblCellMar>
          <w:top w:w="0" w:type="dxa"/>
          <w:left w:w="108" w:type="dxa"/>
          <w:bottom w:w="0" w:type="dxa"/>
          <w:right w:w="108" w:type="dxa"/>
        </w:tblCellMar>
      </w:tblPr>
      <w:tblGrid>
        <w:gridCol w:w="1080"/>
        <w:gridCol w:w="2880"/>
        <w:gridCol w:w="2700"/>
        <w:gridCol w:w="2160"/>
      </w:tblGrid>
      <w:tr>
        <w:tblPrEx>
          <w:tblCellMar>
            <w:top w:w="0" w:type="dxa"/>
            <w:left w:w="108" w:type="dxa"/>
            <w:bottom w:w="0" w:type="dxa"/>
            <w:right w:w="108" w:type="dxa"/>
          </w:tblCellMar>
        </w:tblPrEx>
        <w:trPr>
          <w:trHeight w:val="667"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300" w:right="-239"/>
              <w:rPr>
                <w:color w:val="auto"/>
                <w:highlight w:val="none"/>
              </w:rPr>
            </w:pPr>
            <w:bookmarkStart w:id="143" w:name="35"/>
            <w:bookmarkEnd w:id="143"/>
          </w:p>
          <w:p>
            <w:pPr>
              <w:spacing w:after="0" w:line="277" w:lineRule="exact"/>
              <w:ind w:left="300" w:right="-239"/>
              <w:rPr>
                <w:color w:val="auto"/>
                <w:highlight w:val="none"/>
              </w:rPr>
            </w:pPr>
            <w:r>
              <w:rPr>
                <w:rFonts w:ascii="宋体" w:hAnsi="宋体" w:eastAsia="宋体" w:cs="宋体"/>
                <w:color w:val="auto"/>
                <w:spacing w:val="-1"/>
                <w:sz w:val="24"/>
                <w:highlight w:val="none"/>
              </w:rPr>
              <w:t>序号</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480" w:right="-239"/>
              <w:rPr>
                <w:color w:val="auto"/>
                <w:highlight w:val="none"/>
              </w:rPr>
            </w:pPr>
          </w:p>
          <w:p>
            <w:pPr>
              <w:spacing w:after="0" w:line="277" w:lineRule="exact"/>
              <w:ind w:left="480" w:right="-239"/>
              <w:rPr>
                <w:color w:val="auto"/>
                <w:highlight w:val="none"/>
              </w:rPr>
            </w:pPr>
            <w:r>
              <w:rPr>
                <w:rFonts w:ascii="宋体" w:hAnsi="宋体" w:eastAsia="宋体" w:cs="宋体"/>
                <w:color w:val="auto"/>
                <w:sz w:val="24"/>
                <w:highlight w:val="none"/>
              </w:rPr>
              <w:t>服务名称（明细）</w:t>
            </w: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989" w:right="-239"/>
              <w:rPr>
                <w:color w:val="auto"/>
                <w:highlight w:val="none"/>
              </w:rPr>
            </w:pPr>
          </w:p>
          <w:p>
            <w:pPr>
              <w:spacing w:after="0" w:line="250" w:lineRule="exact"/>
              <w:ind w:left="989" w:right="-239"/>
              <w:rPr>
                <w:color w:val="auto"/>
                <w:highlight w:val="none"/>
              </w:rPr>
            </w:pPr>
            <w:r>
              <w:rPr>
                <w:rFonts w:ascii="宋体" w:hAnsi="宋体" w:eastAsia="宋体" w:cs="宋体"/>
                <w:color w:val="auto"/>
                <w:spacing w:val="-1"/>
                <w:sz w:val="24"/>
                <w:highlight w:val="none"/>
              </w:rPr>
              <w:t>报</w:t>
            </w:r>
            <w:r>
              <w:rPr>
                <w:rFonts w:ascii="Calibri" w:hAnsi="Calibri" w:cs="Calibri"/>
                <w:color w:val="auto"/>
                <w:spacing w:val="5"/>
                <w:sz w:val="24"/>
                <w:highlight w:val="none"/>
              </w:rPr>
              <w:t>    </w:t>
            </w:r>
            <w:r>
              <w:rPr>
                <w:rFonts w:ascii="宋体" w:hAnsi="宋体" w:eastAsia="宋体" w:cs="宋体"/>
                <w:color w:val="auto"/>
                <w:spacing w:val="-1"/>
                <w:sz w:val="24"/>
                <w:highlight w:val="none"/>
              </w:rPr>
              <w:t>价</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780" w:right="-239"/>
              <w:rPr>
                <w:color w:val="auto"/>
                <w:highlight w:val="none"/>
              </w:rPr>
            </w:pPr>
          </w:p>
          <w:p>
            <w:pPr>
              <w:spacing w:after="0" w:line="277" w:lineRule="exact"/>
              <w:ind w:left="780" w:right="-239"/>
              <w:rPr>
                <w:color w:val="auto"/>
                <w:highlight w:val="none"/>
              </w:rPr>
            </w:pPr>
            <w:r>
              <w:rPr>
                <w:rFonts w:ascii="宋体" w:hAnsi="宋体" w:eastAsia="宋体" w:cs="宋体"/>
                <w:color w:val="auto"/>
                <w:spacing w:val="-1"/>
                <w:sz w:val="24"/>
                <w:highlight w:val="none"/>
              </w:rPr>
              <w:t>备</w:t>
            </w:r>
            <w:r>
              <w:rPr>
                <w:rFonts w:ascii="Calibri" w:hAnsi="Calibri" w:cs="Calibri"/>
                <w:color w:val="auto"/>
                <w:w w:val="221"/>
                <w:sz w:val="24"/>
                <w:highlight w:val="none"/>
              </w:rPr>
              <w:t> </w:t>
            </w:r>
            <w:r>
              <w:rPr>
                <w:rFonts w:ascii="宋体" w:hAnsi="宋体" w:eastAsia="宋体" w:cs="宋体"/>
                <w:color w:val="auto"/>
                <w:spacing w:val="-1"/>
                <w:sz w:val="24"/>
                <w:highlight w:val="none"/>
              </w:rPr>
              <w:t>注</w:t>
            </w:r>
          </w:p>
        </w:tc>
      </w:tr>
      <w:tr>
        <w:tblPrEx>
          <w:tblCellMar>
            <w:top w:w="0" w:type="dxa"/>
            <w:left w:w="108" w:type="dxa"/>
            <w:bottom w:w="0" w:type="dxa"/>
            <w:right w:w="108" w:type="dxa"/>
          </w:tblCellMar>
        </w:tblPrEx>
        <w:trPr>
          <w:trHeight w:val="671"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275" w:lineRule="exact"/>
              <w:ind w:left="634" w:right="-239"/>
              <w:rPr>
                <w:color w:val="auto"/>
                <w:highlight w:val="none"/>
              </w:rPr>
            </w:pPr>
            <w:r>
              <w:rPr>
                <w:rFonts w:ascii="宋体" w:hAnsi="宋体" w:cs="宋体"/>
                <w:color w:val="auto"/>
                <w:spacing w:val="-1"/>
                <w:highlight w:val="none"/>
              </w:rPr>
              <w:t>1</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75"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1" w:lineRule="exact"/>
              <w:ind w:left="634" w:right="-239"/>
              <w:rPr>
                <w:color w:val="auto"/>
                <w:highlight w:val="none"/>
              </w:rPr>
            </w:pPr>
            <w:r>
              <w:rPr>
                <w:rFonts w:ascii="宋体" w:hAnsi="宋体" w:cs="宋体"/>
                <w:color w:val="auto"/>
                <w:spacing w:val="-1"/>
                <w:highlight w:val="none"/>
              </w:rPr>
              <w:t>2</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1" w:lineRule="exact"/>
              <w:ind w:left="634" w:right="-239"/>
              <w:rPr>
                <w:color w:val="auto"/>
                <w:highlight w:val="none"/>
              </w:rPr>
            </w:pPr>
            <w:r>
              <w:rPr>
                <w:rFonts w:ascii="宋体" w:hAnsi="宋体" w:cs="宋体"/>
                <w:color w:val="auto"/>
                <w:spacing w:val="-1"/>
                <w:highlight w:val="none"/>
              </w:rPr>
              <w:t>3</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1" w:lineRule="exact"/>
              <w:rPr>
                <w:color w:val="auto"/>
                <w:highlight w:val="none"/>
              </w:rPr>
            </w:pPr>
          </w:p>
        </w:tc>
      </w:tr>
      <w:tr>
        <w:tblPrEx>
          <w:tblCellMar>
            <w:top w:w="0" w:type="dxa"/>
            <w:left w:w="108" w:type="dxa"/>
            <w:bottom w:w="0" w:type="dxa"/>
            <w:right w:w="108" w:type="dxa"/>
          </w:tblCellMar>
        </w:tblPrEx>
        <w:trPr>
          <w:trHeight w:val="766"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323" w:lineRule="exact"/>
              <w:ind w:left="634" w:right="-239"/>
              <w:rPr>
                <w:color w:val="auto"/>
                <w:highlight w:val="none"/>
              </w:rPr>
            </w:pPr>
            <w:r>
              <w:rPr>
                <w:rFonts w:ascii="宋体" w:hAnsi="宋体" w:cs="宋体"/>
                <w:color w:val="auto"/>
                <w:spacing w:val="-2"/>
                <w:highlight w:val="none"/>
              </w:rPr>
              <w:t>…</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23" w:lineRule="exact"/>
              <w:rPr>
                <w:color w:val="auto"/>
                <w:highlight w:val="none"/>
              </w:rPr>
            </w:pPr>
          </w:p>
        </w:tc>
      </w:tr>
      <w:tr>
        <w:tblPrEx>
          <w:tblCellMar>
            <w:top w:w="0" w:type="dxa"/>
            <w:left w:w="108" w:type="dxa"/>
            <w:bottom w:w="0" w:type="dxa"/>
            <w:right w:w="108" w:type="dxa"/>
          </w:tblCellMar>
        </w:tblPrEx>
        <w:trPr>
          <w:trHeight w:val="634" w:hRule="exact"/>
        </w:trPr>
        <w:tc>
          <w:tcPr>
            <w:tcW w:w="10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634" w:right="-239"/>
              <w:rPr>
                <w:color w:val="auto"/>
                <w:highlight w:val="none"/>
              </w:rPr>
            </w:pPr>
          </w:p>
          <w:p>
            <w:pPr>
              <w:spacing w:after="0" w:line="255" w:lineRule="exact"/>
              <w:ind w:left="634" w:right="-239"/>
              <w:rPr>
                <w:color w:val="auto"/>
                <w:highlight w:val="none"/>
              </w:rPr>
            </w:pPr>
            <w:r>
              <w:rPr>
                <w:rFonts w:ascii="宋体" w:hAnsi="宋体" w:cs="宋体"/>
                <w:color w:val="auto"/>
                <w:spacing w:val="-1"/>
                <w:highlight w:val="none"/>
              </w:rPr>
              <w:t>n</w:t>
            </w:r>
          </w:p>
        </w:tc>
        <w:tc>
          <w:tcPr>
            <w:tcW w:w="28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c>
          <w:tcPr>
            <w:tcW w:w="27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55" w:lineRule="exact"/>
              <w:rPr>
                <w:color w:val="auto"/>
                <w:highlight w:val="none"/>
              </w:rPr>
            </w:pP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69" w:lineRule="exact"/>
              <w:ind w:left="108" w:right="-239"/>
              <w:rPr>
                <w:color w:val="auto"/>
                <w:highlight w:val="none"/>
              </w:rPr>
            </w:pPr>
            <w:r>
              <w:rPr>
                <w:rFonts w:hint="eastAsia" w:ascii="宋体" w:hAnsi="宋体" w:eastAsia="宋体" w:cs="宋体"/>
                <w:color w:val="auto"/>
                <w:spacing w:val="-12"/>
                <w:position w:val="3"/>
                <w:highlight w:val="none"/>
              </w:rPr>
              <w:t>磋商</w:t>
            </w:r>
            <w:r>
              <w:rPr>
                <w:rFonts w:ascii="宋体" w:hAnsi="宋体" w:eastAsia="宋体" w:cs="宋体"/>
                <w:color w:val="auto"/>
                <w:spacing w:val="-12"/>
                <w:position w:val="3"/>
                <w:highlight w:val="none"/>
              </w:rPr>
              <w:t>总报价：（大写）人民币</w:t>
            </w:r>
            <w:r>
              <w:rPr>
                <w:rFonts w:ascii="Calibri" w:hAnsi="Calibri" w:cs="Calibri"/>
                <w:color w:val="auto"/>
                <w:highlight w:val="none"/>
              </w:rPr>
              <w:t>                              </w:t>
            </w:r>
            <w:r>
              <w:rPr>
                <w:rFonts w:ascii="宋体" w:hAnsi="宋体" w:eastAsia="宋体" w:cs="宋体"/>
                <w:color w:val="auto"/>
                <w:spacing w:val="-2"/>
                <w:position w:val="3"/>
                <w:highlight w:val="none"/>
              </w:rPr>
              <w:t>元</w:t>
            </w:r>
            <w:r>
              <w:rPr>
                <w:rFonts w:ascii="Calibri" w:hAnsi="Calibri" w:cs="Calibri"/>
                <w:color w:val="auto"/>
                <w:w w:val="222"/>
                <w:highlight w:val="none"/>
              </w:rPr>
              <w:t> </w:t>
            </w:r>
            <w:r>
              <w:rPr>
                <w:rFonts w:ascii="Times New Roman" w:hAnsi="Times New Roman" w:cs="Times New Roman"/>
                <w:color w:val="auto"/>
                <w:spacing w:val="-1"/>
                <w:highlight w:val="none"/>
              </w:rPr>
              <w:t>(</w:t>
            </w:r>
            <w:r>
              <w:rPr>
                <w:rFonts w:hint="eastAsia" w:ascii="宋体" w:hAnsi="宋体" w:eastAsia="宋体" w:cs="宋体"/>
                <w:color w:val="auto"/>
                <w:spacing w:val="-2"/>
                <w:position w:val="3"/>
                <w:highlight w:val="none"/>
              </w:rPr>
              <w:t>¥</w:t>
            </w:r>
            <w:r>
              <w:rPr>
                <w:rFonts w:ascii="Calibri" w:hAnsi="Calibri" w:cs="Calibri"/>
                <w:color w:val="auto"/>
                <w:spacing w:val="1"/>
                <w:highlight w:val="none"/>
              </w:rPr>
              <w:t>                     </w:t>
            </w:r>
            <w:r>
              <w:rPr>
                <w:rFonts w:ascii="Times New Roman" w:hAnsi="Times New Roman" w:cs="Times New Roman"/>
                <w:color w:val="auto"/>
                <w:spacing w:val="-1"/>
                <w:highlight w:val="none"/>
              </w:rPr>
              <w:t>)</w:t>
            </w: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69" w:lineRule="exact"/>
              <w:ind w:left="108" w:right="-239"/>
              <w:rPr>
                <w:rFonts w:ascii="宋体" w:hAnsi="宋体" w:eastAsia="宋体" w:cs="宋体"/>
                <w:color w:val="auto"/>
                <w:spacing w:val="-12"/>
                <w:position w:val="3"/>
                <w:highlight w:val="none"/>
              </w:rPr>
            </w:pPr>
            <w:r>
              <w:rPr>
                <w:rFonts w:hint="eastAsia" w:ascii="宋体" w:hAnsi="宋体" w:eastAsia="宋体" w:cs="宋体"/>
                <w:color w:val="auto"/>
                <w:highlight w:val="none"/>
              </w:rPr>
              <w:t>监理服务期限</w:t>
            </w:r>
            <w:r>
              <w:rPr>
                <w:rFonts w:hint="eastAsia" w:ascii="宋体" w:hAnsi="宋体" w:eastAsia="宋体" w:cs="宋体"/>
                <w:color w:val="auto"/>
                <w:spacing w:val="-12"/>
                <w:position w:val="3"/>
                <w:highlight w:val="none"/>
              </w:rPr>
              <w:t>：</w:t>
            </w:r>
          </w:p>
        </w:tc>
      </w:tr>
      <w:tr>
        <w:tblPrEx>
          <w:tblCellMar>
            <w:top w:w="0" w:type="dxa"/>
            <w:left w:w="108" w:type="dxa"/>
            <w:bottom w:w="0" w:type="dxa"/>
            <w:right w:w="108" w:type="dxa"/>
          </w:tblCellMar>
        </w:tblPrEx>
        <w:trPr>
          <w:trHeight w:val="622"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108" w:right="-239"/>
              <w:rPr>
                <w:color w:val="auto"/>
                <w:highlight w:val="none"/>
              </w:rPr>
            </w:pPr>
          </w:p>
          <w:p>
            <w:pPr>
              <w:spacing w:after="0" w:line="249" w:lineRule="exact"/>
              <w:ind w:left="108" w:right="-239"/>
              <w:rPr>
                <w:rFonts w:eastAsia="宋体"/>
                <w:color w:val="auto"/>
                <w:highlight w:val="none"/>
              </w:rPr>
            </w:pPr>
            <w:r>
              <w:rPr>
                <w:rFonts w:hint="eastAsia" w:ascii="宋体" w:hAnsi="宋体" w:eastAsia="宋体" w:cs="宋体"/>
                <w:color w:val="auto"/>
                <w:spacing w:val="-1"/>
                <w:highlight w:val="none"/>
              </w:rPr>
              <w:t>质量要求</w:t>
            </w:r>
            <w:r>
              <w:rPr>
                <w:rFonts w:ascii="宋体" w:hAnsi="宋体" w:eastAsia="宋体" w:cs="宋体"/>
                <w:color w:val="auto"/>
                <w:spacing w:val="-1"/>
                <w:highlight w:val="none"/>
              </w:rPr>
              <w:t>：</w:t>
            </w:r>
          </w:p>
        </w:tc>
      </w:tr>
      <w:tr>
        <w:tblPrEx>
          <w:tblCellMar>
            <w:top w:w="0" w:type="dxa"/>
            <w:left w:w="108" w:type="dxa"/>
            <w:bottom w:w="0" w:type="dxa"/>
            <w:right w:w="108" w:type="dxa"/>
          </w:tblCellMar>
        </w:tblPrEx>
        <w:trPr>
          <w:trHeight w:val="510" w:hRule="exact"/>
        </w:trPr>
        <w:tc>
          <w:tcPr>
            <w:tcW w:w="8820"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33" w:lineRule="exact"/>
              <w:ind w:left="108" w:right="-239"/>
              <w:rPr>
                <w:color w:val="auto"/>
                <w:highlight w:val="none"/>
              </w:rPr>
            </w:pPr>
            <w:r>
              <w:rPr>
                <w:rFonts w:ascii="宋体" w:hAnsi="宋体" w:eastAsia="宋体" w:cs="宋体"/>
                <w:color w:val="auto"/>
                <w:spacing w:val="-1"/>
                <w:highlight w:val="none"/>
              </w:rPr>
              <w:t>备注：</w:t>
            </w:r>
          </w:p>
        </w:tc>
      </w:tr>
    </w:tbl>
    <w:p>
      <w:pPr>
        <w:spacing w:after="0" w:line="161" w:lineRule="exact"/>
        <w:rPr>
          <w:color w:val="auto"/>
          <w:highlight w:val="none"/>
        </w:rPr>
      </w:pPr>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spacing w:after="0" w:line="240" w:lineRule="exact"/>
        <w:ind w:left="134"/>
        <w:rPr>
          <w:color w:val="auto"/>
          <w:highlight w:val="none"/>
        </w:rPr>
      </w:pPr>
    </w:p>
    <w:p>
      <w:pPr>
        <w:spacing w:after="0" w:line="240" w:lineRule="exact"/>
        <w:ind w:left="134"/>
        <w:rPr>
          <w:color w:val="auto"/>
          <w:highlight w:val="none"/>
        </w:rPr>
      </w:pPr>
    </w:p>
    <w:p>
      <w:pPr>
        <w:tabs>
          <w:tab w:val="left" w:pos="4610"/>
          <w:tab w:val="left" w:pos="5169"/>
        </w:tabs>
        <w:spacing w:after="0" w:line="488" w:lineRule="exact"/>
        <w:ind w:left="134" w:firstLine="3682"/>
        <w:rPr>
          <w:color w:val="auto"/>
          <w:highlight w:val="none"/>
        </w:rPr>
      </w:pPr>
      <w:r>
        <w:rPr>
          <w:rFonts w:ascii="Arial" w:hAnsi="Arial" w:cs="Arial"/>
          <w:b/>
          <w:color w:val="auto"/>
          <w:w w:val="95"/>
          <w:sz w:val="28"/>
          <w:highlight w:val="none"/>
        </w:rPr>
        <w:t>1.</w:t>
      </w:r>
      <w:r>
        <w:rPr>
          <w:rFonts w:ascii="黑体" w:hAnsi="黑体" w:eastAsia="黑体" w:cs="黑体"/>
          <w:color w:val="auto"/>
          <w:position w:val="6"/>
          <w:sz w:val="28"/>
          <w:highlight w:val="none"/>
        </w:rPr>
        <w:t>报</w:t>
      </w:r>
      <w:r>
        <w:rPr>
          <w:rFonts w:cs="Calibri"/>
          <w:color w:val="auto"/>
          <w:highlight w:val="none"/>
        </w:rPr>
        <w:tab/>
      </w:r>
      <w:r>
        <w:rPr>
          <w:rFonts w:ascii="黑体" w:hAnsi="黑体" w:eastAsia="黑体" w:cs="黑体"/>
          <w:color w:val="auto"/>
          <w:position w:val="6"/>
          <w:sz w:val="28"/>
          <w:highlight w:val="none"/>
        </w:rPr>
        <w:t>价</w:t>
      </w:r>
      <w:r>
        <w:rPr>
          <w:rFonts w:cs="Calibri"/>
          <w:color w:val="auto"/>
          <w:highlight w:val="none"/>
        </w:rPr>
        <w:tab/>
      </w:r>
      <w:r>
        <w:rPr>
          <w:rFonts w:ascii="黑体" w:hAnsi="黑体" w:eastAsia="黑体" w:cs="黑体"/>
          <w:color w:val="auto"/>
          <w:position w:val="6"/>
          <w:sz w:val="28"/>
          <w:highlight w:val="none"/>
        </w:rPr>
        <w:t>表</w:t>
      </w:r>
    </w:p>
    <w:p>
      <w:pPr>
        <w:spacing w:after="0" w:line="240" w:lineRule="exact"/>
        <w:ind w:left="134" w:firstLine="3682"/>
        <w:rPr>
          <w:color w:val="auto"/>
          <w:highlight w:val="none"/>
        </w:rPr>
      </w:pPr>
    </w:p>
    <w:p>
      <w:pPr>
        <w:spacing w:after="0" w:line="360" w:lineRule="auto"/>
        <w:ind w:left="134" w:firstLine="3682"/>
        <w:rPr>
          <w:color w:val="auto"/>
          <w:highlight w:val="none"/>
        </w:rPr>
      </w:pPr>
    </w:p>
    <w:p>
      <w:pPr>
        <w:spacing w:after="0" w:line="360" w:lineRule="auto"/>
        <w:ind w:left="134"/>
        <w:rPr>
          <w:color w:val="auto"/>
          <w:highlight w:val="none"/>
        </w:rPr>
      </w:pPr>
      <w:r>
        <w:rPr>
          <w:rFonts w:ascii="宋体" w:hAnsi="宋体" w:eastAsia="宋体" w:cs="宋体"/>
          <w:color w:val="auto"/>
          <w:spacing w:val="-1"/>
          <w:highlight w:val="none"/>
        </w:rPr>
        <w:t>项目编号:</w:t>
      </w:r>
    </w:p>
    <w:p>
      <w:pPr>
        <w:spacing w:after="0" w:line="360" w:lineRule="auto"/>
        <w:ind w:left="134"/>
        <w:rPr>
          <w:color w:val="auto"/>
          <w:highlight w:val="none"/>
        </w:rPr>
      </w:pPr>
      <w:r>
        <w:rPr>
          <w:color w:val="auto"/>
          <w:highlight w:val="none"/>
        </w:rPr>
        <w:pict>
          <v:shape id="wondershare_69" o:spid="_x0000_s1028" o:spt="202" type="#_x0000_t202" style="position:absolute;left:0pt;margin-left:413.3pt;margin-top:165.7pt;height:21.45pt;width:133.75pt;mso-position-horizontal-relative:page;mso-position-vertical-relative:page;z-index:-251658240;mso-width-relative:page;mso-height-relative:page;" filled="f" stroked="f" coordsize="21600,21600" o:gfxdata="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vb7sTbAAAADAEAAA8AAAAAAAAAAQAgAAAAIgAA&#10;AGRycy9kb3ducmV2LnhtbFBLAQIUABQAAAAIAIdO4kB0koZkkwEAACcDAAAOAAAAAAAAAAEAIAAA&#10;ACoBAABkcnMvZTJvRG9jLnhtbFBLBQYAAAAABgAGAFkBAAAvBQAAAAA=&#10;">
            <v:path/>
            <v:fill on="f" focussize="0,0"/>
            <v:stroke on="f" joinstyle="miter"/>
            <v:imagedata o:title=""/>
            <o:lock v:ext="edit"/>
            <v:textbox inset="0mm,0mm,0mm,0mm">
              <w:txbxContent>
                <w:p>
                  <w:pPr>
                    <w:autoSpaceDE w:val="0"/>
                    <w:autoSpaceDN w:val="0"/>
                    <w:adjustRightInd w:val="0"/>
                    <w:spacing w:after="0" w:line="210" w:lineRule="exact"/>
                  </w:pPr>
                </w:p>
              </w:txbxContent>
            </v:textbox>
          </v:shape>
        </w:pict>
      </w:r>
      <w:r>
        <w:rPr>
          <w:rFonts w:ascii="宋体" w:hAnsi="宋体" w:eastAsia="宋体" w:cs="宋体"/>
          <w:color w:val="auto"/>
          <w:spacing w:val="-1"/>
          <w:highlight w:val="none"/>
        </w:rPr>
        <w:t>项目名称:</w:t>
      </w:r>
    </w:p>
    <w:p>
      <w:pPr>
        <w:spacing w:after="0" w:line="360" w:lineRule="auto"/>
        <w:ind w:left="134" w:firstLine="6510" w:firstLineChars="3100"/>
        <w:rPr>
          <w:color w:val="auto"/>
          <w:highlight w:val="none"/>
        </w:rPr>
      </w:pPr>
      <w:r>
        <w:rPr>
          <w:color w:val="auto"/>
          <w:highlight w:val="none"/>
        </w:rPr>
        <w:t>金额单位：人民币（元）</w:t>
      </w:r>
    </w:p>
    <w:p>
      <w:pPr>
        <w:spacing w:after="0" w:line="360" w:lineRule="auto"/>
        <w:ind w:left="134"/>
        <w:rPr>
          <w:color w:val="auto"/>
          <w:highlight w:val="none"/>
        </w:rPr>
      </w:pPr>
    </w:p>
    <w:p>
      <w:pPr>
        <w:spacing w:after="0" w:line="360" w:lineRule="auto"/>
        <w:ind w:left="134"/>
        <w:rPr>
          <w:color w:val="auto"/>
          <w:highlight w:val="none"/>
        </w:rPr>
      </w:pPr>
    </w:p>
    <w:p>
      <w:pPr>
        <w:spacing w:after="0" w:line="360" w:lineRule="auto"/>
        <w:ind w:left="134" w:firstLine="6826"/>
        <w:rPr>
          <w:color w:val="auto"/>
          <w:highlight w:val="none"/>
        </w:rPr>
      </w:pPr>
    </w:p>
    <w:p>
      <w:pPr>
        <w:widowControl/>
        <w:spacing w:line="360" w:lineRule="auto"/>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360" w:lineRule="auto"/>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spacing w:after="0" w:line="240" w:lineRule="exact"/>
        <w:ind w:left="134" w:firstLine="6826"/>
        <w:rPr>
          <w:color w:val="auto"/>
          <w:highlight w:val="none"/>
        </w:rPr>
      </w:pPr>
    </w:p>
    <w:p>
      <w:pPr>
        <w:rPr>
          <w:rFonts w:ascii="宋体" w:hAnsi="宋体"/>
          <w:color w:val="auto"/>
          <w:kern w:val="0"/>
          <w:szCs w:val="21"/>
          <w:highlight w:val="none"/>
        </w:rPr>
      </w:pPr>
      <w:r>
        <w:rPr>
          <w:rFonts w:ascii="宋体" w:hAnsi="宋体" w:eastAsia="宋体" w:cs="宋体"/>
          <w:color w:val="auto"/>
          <w:spacing w:val="-1"/>
          <w:highlight w:val="none"/>
        </w:rPr>
        <w:t>注：</w:t>
      </w:r>
      <w:bookmarkStart w:id="144" w:name="_Toc27976"/>
      <w:bookmarkStart w:id="145" w:name="_Toc7233"/>
      <w:r>
        <w:rPr>
          <w:rFonts w:hint="eastAsia" w:ascii="宋体" w:hAnsi="宋体"/>
          <w:bCs/>
          <w:color w:val="auto"/>
          <w:kern w:val="0"/>
          <w:szCs w:val="21"/>
          <w:highlight w:val="none"/>
        </w:rPr>
        <w:t>1、</w:t>
      </w:r>
      <w:bookmarkEnd w:id="144"/>
      <w:bookmarkEnd w:id="145"/>
      <w:r>
        <w:rPr>
          <w:rFonts w:hint="eastAsia" w:ascii="宋体" w:hAnsi="宋体"/>
          <w:color w:val="auto"/>
          <w:kern w:val="0"/>
          <w:szCs w:val="21"/>
          <w:highlight w:val="none"/>
        </w:rPr>
        <w:t>本项目的总报价应包含数据采集、资料的收集、报告编制、领用涉密文件（测绘成果）、提供成果文件、对本项目所产生的所有开支、人力投入成本、技术投入、利润、税金、交通费、评审费、合同约定的应由中标人承担的开支、责任和风险等所发生的各项费用的总和。</w:t>
      </w:r>
    </w:p>
    <w:p>
      <w:pPr>
        <w:spacing w:after="0" w:line="240" w:lineRule="exact"/>
        <w:ind w:left="134"/>
        <w:rPr>
          <w:color w:val="auto"/>
          <w:highlight w:val="none"/>
        </w:rPr>
      </w:pPr>
      <w:r>
        <w:rPr>
          <w:rFonts w:hint="eastAsia"/>
          <w:color w:val="auto"/>
          <w:highlight w:val="none"/>
        </w:rPr>
        <w:t>2、本项目报价含税金及成交单位提供以上所有服务发生的一切费用。</w:t>
      </w:r>
    </w:p>
    <w:p>
      <w:pPr>
        <w:spacing w:after="0" w:line="240" w:lineRule="exact"/>
        <w:ind w:left="134"/>
        <w:rPr>
          <w:color w:val="auto"/>
          <w:highlight w:val="none"/>
        </w:rPr>
      </w:pPr>
    </w:p>
    <w:p>
      <w:pPr>
        <w:spacing w:after="0" w:line="278" w:lineRule="exact"/>
        <w:ind w:left="134" w:firstLine="3149"/>
        <w:rPr>
          <w:color w:val="auto"/>
          <w:highlight w:val="none"/>
        </w:rPr>
      </w:pPr>
      <w:r>
        <w:rPr>
          <w:rFonts w:ascii="宋体" w:hAnsi="宋体" w:eastAsia="宋体" w:cs="宋体"/>
          <w:color w:val="auto"/>
          <w:spacing w:val="-1"/>
          <w:highlight w:val="none"/>
        </w:rPr>
        <w:t>法定代表人或法定代表人授权代表（签字或盖章）:</w:t>
      </w:r>
    </w:p>
    <w:p>
      <w:pPr>
        <w:spacing w:after="0" w:line="240" w:lineRule="exact"/>
        <w:ind w:left="134" w:firstLine="3149"/>
        <w:rPr>
          <w:color w:val="auto"/>
          <w:highlight w:val="none"/>
        </w:rPr>
      </w:pPr>
    </w:p>
    <w:p>
      <w:pPr>
        <w:spacing w:after="0" w:line="262" w:lineRule="exact"/>
        <w:ind w:left="134" w:firstLine="3149"/>
        <w:rPr>
          <w:color w:val="auto"/>
          <w:highlight w:val="none"/>
        </w:rPr>
      </w:pPr>
      <w:r>
        <w:rPr>
          <w:rFonts w:ascii="宋体" w:hAnsi="宋体" w:eastAsia="宋体" w:cs="宋体"/>
          <w:color w:val="auto"/>
          <w:spacing w:val="-1"/>
          <w:highlight w:val="none"/>
        </w:rPr>
        <w:t>磋商供应商名称（签章）：</w:t>
      </w:r>
    </w:p>
    <w:p>
      <w:pPr>
        <w:spacing w:after="0" w:line="240" w:lineRule="exact"/>
        <w:ind w:left="134" w:firstLine="3149"/>
        <w:rPr>
          <w:color w:val="auto"/>
          <w:highlight w:val="none"/>
        </w:rPr>
      </w:pPr>
    </w:p>
    <w:p>
      <w:pPr>
        <w:tabs>
          <w:tab w:val="left" w:pos="4860"/>
          <w:tab w:val="left" w:pos="5594"/>
          <w:tab w:val="left" w:pos="6223"/>
        </w:tabs>
        <w:spacing w:after="0" w:line="259" w:lineRule="exact"/>
        <w:ind w:left="134" w:firstLine="3149"/>
        <w:rPr>
          <w:color w:val="auto"/>
          <w:highlight w:val="none"/>
        </w:rPr>
      </w:pPr>
      <w:r>
        <w:rPr>
          <w:rFonts w:ascii="宋体" w:hAnsi="宋体" w:eastAsia="宋体" w:cs="宋体"/>
          <w:color w:val="auto"/>
          <w:spacing w:val="-1"/>
          <w:highlight w:val="none"/>
        </w:rPr>
        <w:t>报价时间：</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240" w:lineRule="exact"/>
        <w:ind w:left="134" w:firstLine="3149"/>
        <w:rPr>
          <w:color w:val="auto"/>
          <w:highlight w:val="none"/>
        </w:rPr>
      </w:pPr>
    </w:p>
    <w:p>
      <w:pPr>
        <w:spacing w:after="0" w:line="240" w:lineRule="exact"/>
        <w:rPr>
          <w:color w:val="auto"/>
          <w:highlight w:val="none"/>
        </w:rPr>
      </w:pPr>
    </w:p>
    <w:p>
      <w:pPr>
        <w:spacing w:after="0" w:line="240" w:lineRule="exact"/>
        <w:ind w:left="134" w:firstLine="3149"/>
        <w:rPr>
          <w:color w:val="auto"/>
          <w:highlight w:val="none"/>
        </w:rPr>
      </w:pPr>
    </w:p>
    <w:p>
      <w:pPr>
        <w:spacing w:after="0" w:line="240" w:lineRule="exact"/>
        <w:ind w:left="134" w:firstLine="3149"/>
        <w:rPr>
          <w:color w:val="auto"/>
          <w:highlight w:val="none"/>
        </w:rPr>
      </w:pP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161" w:lineRule="exact"/>
        <w:rPr>
          <w:color w:val="auto"/>
          <w:highlight w:val="none"/>
        </w:rPr>
      </w:pPr>
      <w:bookmarkStart w:id="146" w:name="36"/>
      <w:bookmarkEnd w:id="146"/>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303"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440" w:lineRule="exact"/>
        <w:ind w:left="3235"/>
        <w:outlineLvl w:val="0"/>
        <w:rPr>
          <w:color w:val="auto"/>
          <w:highlight w:val="none"/>
        </w:rPr>
      </w:pPr>
      <w:r>
        <w:rPr>
          <w:rFonts w:ascii="宋体" w:hAnsi="宋体" w:cs="宋体"/>
          <w:color w:val="auto"/>
          <w:sz w:val="44"/>
          <w:highlight w:val="none"/>
        </w:rPr>
        <w:t>二、商务文件</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240" w:lineRule="exact"/>
        <w:ind w:left="3235"/>
        <w:rPr>
          <w:color w:val="auto"/>
          <w:highlight w:val="none"/>
        </w:rPr>
      </w:pPr>
    </w:p>
    <w:p>
      <w:pPr>
        <w:spacing w:after="0" w:line="430" w:lineRule="exact"/>
        <w:ind w:left="3235"/>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161" w:lineRule="exact"/>
        <w:rPr>
          <w:color w:val="auto"/>
          <w:highlight w:val="none"/>
        </w:rPr>
      </w:pPr>
      <w:bookmarkStart w:id="147" w:name="37"/>
      <w:bookmarkEnd w:id="147"/>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spacing w:after="0" w:line="240" w:lineRule="exact"/>
        <w:ind w:left="134"/>
        <w:rPr>
          <w:color w:val="auto"/>
          <w:highlight w:val="none"/>
        </w:rPr>
      </w:pPr>
    </w:p>
    <w:p>
      <w:pPr>
        <w:spacing w:after="0" w:line="446" w:lineRule="exact"/>
        <w:ind w:left="134"/>
        <w:rPr>
          <w:color w:val="auto"/>
          <w:highlight w:val="none"/>
        </w:rPr>
      </w:pPr>
    </w:p>
    <w:p>
      <w:pPr>
        <w:spacing w:after="0" w:line="320" w:lineRule="exact"/>
        <w:ind w:left="134"/>
        <w:rPr>
          <w:color w:val="auto"/>
          <w:highlight w:val="none"/>
        </w:rPr>
      </w:pPr>
      <w:r>
        <w:rPr>
          <w:rFonts w:ascii="宋体" w:hAnsi="宋体" w:eastAsia="宋体" w:cs="宋体"/>
          <w:color w:val="auto"/>
          <w:sz w:val="32"/>
          <w:highlight w:val="none"/>
        </w:rPr>
        <w:t>1.磋商函；</w:t>
      </w:r>
    </w:p>
    <w:p>
      <w:pPr>
        <w:spacing w:after="0" w:line="240" w:lineRule="exact"/>
        <w:ind w:left="134"/>
        <w:rPr>
          <w:color w:val="auto"/>
          <w:highlight w:val="none"/>
        </w:rPr>
      </w:pPr>
    </w:p>
    <w:p>
      <w:pPr>
        <w:spacing w:after="0" w:line="243" w:lineRule="exact"/>
        <w:ind w:left="134" w:firstLine="3569"/>
        <w:rPr>
          <w:color w:val="auto"/>
          <w:highlight w:val="none"/>
        </w:rPr>
      </w:pPr>
      <w:r>
        <w:rPr>
          <w:rFonts w:ascii="宋体" w:hAnsi="宋体" w:eastAsia="宋体" w:cs="宋体"/>
          <w:color w:val="auto"/>
          <w:spacing w:val="-1"/>
          <w:highlight w:val="none"/>
        </w:rPr>
        <w:t>磋商函（格式）</w:t>
      </w:r>
    </w:p>
    <w:p>
      <w:pPr>
        <w:spacing w:after="0" w:line="240" w:lineRule="exact"/>
        <w:ind w:left="134" w:firstLine="3569"/>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2"/>
          <w:highlight w:val="none"/>
        </w:rPr>
        <w:t>致：</w:t>
      </w:r>
    </w:p>
    <w:p>
      <w:pPr>
        <w:spacing w:after="0" w:line="240" w:lineRule="exact"/>
        <w:ind w:left="134" w:firstLine="420"/>
        <w:rPr>
          <w:color w:val="auto"/>
          <w:highlight w:val="none"/>
        </w:rPr>
      </w:pPr>
    </w:p>
    <w:p>
      <w:pPr>
        <w:tabs>
          <w:tab w:val="left" w:pos="3386"/>
          <w:tab w:val="left" w:pos="5059"/>
          <w:tab w:val="left" w:pos="8515"/>
        </w:tabs>
        <w:spacing w:after="0" w:line="259" w:lineRule="exact"/>
        <w:ind w:left="134" w:firstLine="1049"/>
        <w:rPr>
          <w:color w:val="auto"/>
          <w:highlight w:val="none"/>
        </w:rPr>
      </w:pPr>
      <w:r>
        <w:rPr>
          <w:rFonts w:ascii="宋体" w:hAnsi="宋体" w:eastAsia="宋体" w:cs="宋体"/>
          <w:color w:val="auto"/>
          <w:spacing w:val="-1"/>
          <w:highlight w:val="none"/>
        </w:rPr>
        <w:t>根据贵方为</w:t>
      </w:r>
      <w:r>
        <w:rPr>
          <w:rFonts w:cs="Calibri"/>
          <w:color w:val="auto"/>
          <w:highlight w:val="none"/>
          <w:u w:val="single"/>
        </w:rPr>
        <w:tab/>
      </w:r>
      <w:r>
        <w:rPr>
          <w:rFonts w:ascii="宋体" w:hAnsi="宋体" w:eastAsia="宋体" w:cs="宋体"/>
          <w:color w:val="auto"/>
          <w:spacing w:val="-1"/>
          <w:highlight w:val="none"/>
          <w:u w:val="single"/>
        </w:rPr>
        <w:t>（项目名称）</w:t>
      </w:r>
      <w:r>
        <w:rPr>
          <w:rFonts w:cs="Calibri"/>
          <w:color w:val="auto"/>
          <w:highlight w:val="none"/>
          <w:u w:val="single"/>
        </w:rPr>
        <w:tab/>
      </w:r>
      <w:r>
        <w:rPr>
          <w:rFonts w:ascii="宋体" w:hAnsi="宋体" w:eastAsia="宋体" w:cs="宋体"/>
          <w:color w:val="auto"/>
          <w:spacing w:val="-1"/>
          <w:highlight w:val="none"/>
        </w:rPr>
        <w:t>的磋商邀请（项目编号：</w:t>
      </w:r>
      <w:r>
        <w:rPr>
          <w:rFonts w:cs="Calibri"/>
          <w:color w:val="auto"/>
          <w:highlight w:val="none"/>
          <w:u w:val="single"/>
        </w:rPr>
        <w:tab/>
      </w:r>
      <w:r>
        <w:rPr>
          <w:rFonts w:ascii="宋体" w:hAnsi="宋体" w:eastAsia="宋体" w:cs="宋体"/>
          <w:color w:val="auto"/>
          <w:spacing w:val="-4"/>
          <w:highlight w:val="none"/>
        </w:rPr>
        <w:t>），签</w:t>
      </w:r>
    </w:p>
    <w:p>
      <w:pPr>
        <w:spacing w:after="0" w:line="240" w:lineRule="exact"/>
        <w:ind w:left="134" w:firstLine="1049"/>
        <w:rPr>
          <w:color w:val="auto"/>
          <w:highlight w:val="none"/>
        </w:rPr>
      </w:pPr>
    </w:p>
    <w:p>
      <w:pPr>
        <w:tabs>
          <w:tab w:val="left" w:pos="2467"/>
          <w:tab w:val="left" w:pos="8287"/>
        </w:tabs>
        <w:spacing w:after="0" w:line="262" w:lineRule="exact"/>
        <w:ind w:left="134"/>
        <w:rPr>
          <w:color w:val="auto"/>
          <w:highlight w:val="none"/>
          <w:u w:val="single"/>
        </w:rPr>
      </w:pPr>
      <w:r>
        <w:rPr>
          <w:rFonts w:ascii="宋体" w:hAnsi="宋体" w:eastAsia="宋体" w:cs="宋体"/>
          <w:color w:val="auto"/>
          <w:highlight w:val="none"/>
        </w:rPr>
        <w:t>字代表</w:t>
      </w:r>
      <w:r>
        <w:rPr>
          <w:rFonts w:cs="Calibri"/>
          <w:color w:val="auto"/>
          <w:highlight w:val="none"/>
        </w:rPr>
        <w:tab/>
      </w:r>
      <w:r>
        <w:rPr>
          <w:rFonts w:ascii="宋体" w:hAnsi="宋体" w:cs="宋体"/>
          <w:color w:val="auto"/>
          <w:highlight w:val="none"/>
        </w:rPr>
        <w:t>（全名、职务）经正式授权并代表供应商</w:t>
      </w:r>
      <w:r>
        <w:rPr>
          <w:rFonts w:cs="Calibri"/>
          <w:color w:val="auto"/>
          <w:highlight w:val="none"/>
          <w:u w:val="single"/>
        </w:rPr>
        <w:tab/>
      </w:r>
      <w:r>
        <w:rPr>
          <w:rFonts w:ascii="宋体" w:hAnsi="宋体" w:eastAsia="宋体" w:cs="宋体"/>
          <w:color w:val="auto"/>
          <w:highlight w:val="none"/>
          <w:u w:val="single"/>
        </w:rPr>
        <w:t>（供应商</w:t>
      </w:r>
    </w:p>
    <w:p>
      <w:pPr>
        <w:spacing w:after="0" w:line="240" w:lineRule="exact"/>
        <w:ind w:left="134"/>
        <w:rPr>
          <w:color w:val="auto"/>
          <w:highlight w:val="none"/>
          <w:u w:val="single"/>
        </w:rPr>
      </w:pPr>
    </w:p>
    <w:p>
      <w:pPr>
        <w:spacing w:after="0" w:line="259" w:lineRule="exact"/>
        <w:ind w:left="134"/>
        <w:rPr>
          <w:color w:val="auto"/>
          <w:highlight w:val="none"/>
        </w:rPr>
      </w:pPr>
      <w:r>
        <w:rPr>
          <w:rFonts w:ascii="宋体" w:hAnsi="宋体" w:cs="宋体"/>
          <w:color w:val="auto"/>
          <w:spacing w:val="-1"/>
          <w:highlight w:val="none"/>
          <w:u w:val="single"/>
        </w:rPr>
        <w:t>名称）</w:t>
      </w:r>
      <w:r>
        <w:rPr>
          <w:rFonts w:ascii="宋体" w:hAnsi="宋体" w:cs="宋体"/>
          <w:color w:val="auto"/>
          <w:spacing w:val="-1"/>
          <w:highlight w:val="none"/>
        </w:rPr>
        <w:t>提交下述文件正本一份和</w:t>
      </w:r>
      <w:r>
        <w:rPr>
          <w:rFonts w:hint="eastAsia" w:ascii="宋体" w:hAnsi="宋体" w:cs="宋体"/>
          <w:color w:val="auto"/>
          <w:spacing w:val="-1"/>
          <w:highlight w:val="none"/>
        </w:rPr>
        <w:t>副本三份</w:t>
      </w:r>
      <w:r>
        <w:rPr>
          <w:rFonts w:ascii="宋体" w:hAnsi="宋体" w:cs="宋体"/>
          <w:color w:val="auto"/>
          <w:spacing w:val="-1"/>
          <w:highlight w:val="none"/>
        </w:rPr>
        <w:t>。</w:t>
      </w:r>
    </w:p>
    <w:p>
      <w:pPr>
        <w:spacing w:after="0" w:line="240" w:lineRule="exact"/>
        <w:ind w:left="134"/>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1.报价表；</w:t>
      </w:r>
    </w:p>
    <w:p>
      <w:pPr>
        <w:spacing w:after="0" w:line="240" w:lineRule="exact"/>
        <w:ind w:left="134" w:firstLine="420"/>
        <w:rPr>
          <w:color w:val="auto"/>
          <w:highlight w:val="none"/>
        </w:rPr>
      </w:pPr>
    </w:p>
    <w:p>
      <w:pPr>
        <w:spacing w:after="0" w:line="262" w:lineRule="exact"/>
        <w:ind w:left="134" w:firstLine="420"/>
        <w:rPr>
          <w:color w:val="auto"/>
          <w:highlight w:val="none"/>
        </w:rPr>
      </w:pPr>
      <w:r>
        <w:rPr>
          <w:rFonts w:ascii="宋体" w:hAnsi="宋体" w:eastAsia="宋体" w:cs="宋体"/>
          <w:color w:val="auto"/>
          <w:spacing w:val="-1"/>
          <w:highlight w:val="none"/>
        </w:rPr>
        <w:t>2.磋商函；</w:t>
      </w:r>
    </w:p>
    <w:p>
      <w:pPr>
        <w:spacing w:after="0" w:line="240" w:lineRule="exact"/>
        <w:ind w:left="134" w:firstLine="420"/>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3.资格证明文件；</w:t>
      </w:r>
    </w:p>
    <w:p>
      <w:pPr>
        <w:spacing w:after="0" w:line="240" w:lineRule="exact"/>
        <w:ind w:left="134" w:firstLine="420"/>
        <w:rPr>
          <w:color w:val="auto"/>
          <w:highlight w:val="none"/>
        </w:rPr>
      </w:pPr>
    </w:p>
    <w:p>
      <w:pPr>
        <w:spacing w:after="0" w:line="259" w:lineRule="exact"/>
        <w:ind w:left="134" w:firstLine="420"/>
        <w:rPr>
          <w:color w:val="auto"/>
          <w:highlight w:val="none"/>
        </w:rPr>
      </w:pPr>
      <w:r>
        <w:rPr>
          <w:rFonts w:ascii="宋体" w:hAnsi="宋体" w:eastAsia="宋体" w:cs="宋体"/>
          <w:color w:val="auto"/>
          <w:spacing w:val="-1"/>
          <w:highlight w:val="none"/>
        </w:rPr>
        <w:t>4.认为必要提供的证明其满足本项目</w:t>
      </w:r>
      <w:r>
        <w:rPr>
          <w:rFonts w:hint="eastAsia" w:ascii="宋体" w:hAnsi="宋体" w:eastAsia="宋体" w:cs="宋体"/>
          <w:color w:val="auto"/>
          <w:spacing w:val="-1"/>
          <w:highlight w:val="none"/>
        </w:rPr>
        <w:t>磋商</w:t>
      </w:r>
      <w:r>
        <w:rPr>
          <w:rFonts w:ascii="宋体" w:hAnsi="宋体" w:eastAsia="宋体" w:cs="宋体"/>
          <w:color w:val="auto"/>
          <w:spacing w:val="-1"/>
          <w:highlight w:val="none"/>
        </w:rPr>
        <w:t>资格的声明及文件资料；</w:t>
      </w:r>
    </w:p>
    <w:p>
      <w:pPr>
        <w:spacing w:after="0" w:line="389" w:lineRule="exact"/>
        <w:ind w:left="134" w:firstLine="420"/>
        <w:rPr>
          <w:color w:val="auto"/>
          <w:highlight w:val="none"/>
        </w:rPr>
      </w:pPr>
      <w:r>
        <w:rPr>
          <w:rFonts w:ascii="宋体" w:hAnsi="宋体" w:eastAsia="宋体" w:cs="宋体"/>
          <w:color w:val="auto"/>
          <w:spacing w:val="-1"/>
          <w:highlight w:val="none"/>
        </w:rPr>
        <w:t>本公司谨此承诺并声明：</w:t>
      </w:r>
    </w:p>
    <w:p>
      <w:pPr>
        <w:spacing w:after="0" w:line="360" w:lineRule="exact"/>
        <w:ind w:left="134" w:firstLine="420"/>
        <w:rPr>
          <w:color w:val="auto"/>
          <w:highlight w:val="none"/>
        </w:rPr>
      </w:pPr>
      <w:r>
        <w:rPr>
          <w:rFonts w:ascii="宋体" w:hAnsi="宋体" w:cs="宋体"/>
          <w:color w:val="auto"/>
          <w:spacing w:val="-4"/>
          <w:highlight w:val="none"/>
        </w:rPr>
        <w:t>1.同意并接受磋商文件的各项要求，遵守磋商文件中的各项规定，按磋商文件的要求提供报价。</w:t>
      </w:r>
    </w:p>
    <w:p>
      <w:pPr>
        <w:spacing w:after="0" w:line="360" w:lineRule="exact"/>
        <w:ind w:left="134" w:firstLine="420"/>
        <w:rPr>
          <w:color w:val="auto"/>
          <w:highlight w:val="none"/>
        </w:rPr>
      </w:pPr>
      <w:r>
        <w:rPr>
          <w:rFonts w:ascii="宋体" w:hAnsi="宋体" w:eastAsia="宋体" w:cs="宋体"/>
          <w:color w:val="auto"/>
          <w:highlight w:val="none"/>
        </w:rPr>
        <w:t>2.磋商有效期为磋商之日起</w:t>
      </w:r>
      <w:r>
        <w:rPr>
          <w:rFonts w:ascii="Calibri" w:hAnsi="Calibri" w:cs="Calibri"/>
          <w:color w:val="auto"/>
          <w:spacing w:val="6"/>
          <w:highlight w:val="none"/>
        </w:rPr>
        <w:t> </w:t>
      </w:r>
      <w:r>
        <w:rPr>
          <w:rFonts w:ascii="宋体" w:hAnsi="宋体" w:cs="宋体"/>
          <w:color w:val="auto"/>
          <w:highlight w:val="none"/>
        </w:rPr>
        <w:t>60</w:t>
      </w:r>
      <w:r>
        <w:rPr>
          <w:rFonts w:ascii="Calibri" w:hAnsi="Calibri" w:cs="Calibri"/>
          <w:color w:val="auto"/>
          <w:spacing w:val="5"/>
          <w:highlight w:val="none"/>
        </w:rPr>
        <w:t> </w:t>
      </w:r>
      <w:r>
        <w:rPr>
          <w:rFonts w:ascii="宋体" w:hAnsi="宋体" w:eastAsia="宋体" w:cs="宋体"/>
          <w:color w:val="auto"/>
          <w:highlight w:val="none"/>
        </w:rPr>
        <w:t>天，若我单位成为成交供应商，磋商有效期延长至项目验收之</w:t>
      </w:r>
    </w:p>
    <w:p>
      <w:pPr>
        <w:spacing w:after="0" w:line="360" w:lineRule="exact"/>
        <w:ind w:left="134"/>
        <w:rPr>
          <w:color w:val="auto"/>
          <w:highlight w:val="none"/>
        </w:rPr>
      </w:pPr>
      <w:r>
        <w:rPr>
          <w:rFonts w:ascii="宋体" w:hAnsi="宋体" w:cs="宋体"/>
          <w:color w:val="auto"/>
          <w:spacing w:val="-2"/>
          <w:highlight w:val="none"/>
        </w:rPr>
        <w:t>日。</w:t>
      </w:r>
    </w:p>
    <w:p>
      <w:pPr>
        <w:spacing w:after="0" w:line="360" w:lineRule="exact"/>
        <w:ind w:left="134" w:firstLine="420"/>
        <w:rPr>
          <w:color w:val="auto"/>
          <w:highlight w:val="none"/>
        </w:rPr>
      </w:pPr>
      <w:r>
        <w:rPr>
          <w:rFonts w:ascii="宋体" w:hAnsi="宋体" w:cs="宋体"/>
          <w:color w:val="auto"/>
          <w:spacing w:val="-1"/>
          <w:highlight w:val="none"/>
        </w:rPr>
        <w:t>3.我方已经详细地阅读了全部磋商文件及其附件，包括澄清及参考文件(如果有的话)。我方已</w:t>
      </w:r>
    </w:p>
    <w:p>
      <w:pPr>
        <w:spacing w:after="0" w:line="360" w:lineRule="exact"/>
        <w:ind w:left="134"/>
        <w:rPr>
          <w:color w:val="auto"/>
          <w:highlight w:val="none"/>
        </w:rPr>
      </w:pPr>
      <w:r>
        <w:rPr>
          <w:rFonts w:ascii="宋体" w:hAnsi="宋体" w:eastAsia="宋体" w:cs="宋体"/>
          <w:color w:val="auto"/>
          <w:spacing w:val="-1"/>
          <w:highlight w:val="none"/>
        </w:rPr>
        <w:t>完全清晰理解磋商文件的要求，不存在任何含糊不清和误解之处，同意放弃对这些文件所提出的异</w:t>
      </w:r>
    </w:p>
    <w:p>
      <w:pPr>
        <w:spacing w:after="0" w:line="360" w:lineRule="exact"/>
        <w:ind w:left="134"/>
        <w:rPr>
          <w:color w:val="auto"/>
          <w:highlight w:val="none"/>
        </w:rPr>
      </w:pPr>
      <w:r>
        <w:rPr>
          <w:rFonts w:ascii="宋体" w:hAnsi="宋体" w:cs="宋体"/>
          <w:color w:val="auto"/>
          <w:spacing w:val="-1"/>
          <w:highlight w:val="none"/>
        </w:rPr>
        <w:t>议和质疑的权利。</w:t>
      </w:r>
    </w:p>
    <w:p>
      <w:pPr>
        <w:spacing w:after="0" w:line="360" w:lineRule="exact"/>
        <w:ind w:left="134" w:firstLine="420"/>
        <w:rPr>
          <w:color w:val="auto"/>
          <w:highlight w:val="none"/>
        </w:rPr>
      </w:pPr>
      <w:r>
        <w:rPr>
          <w:rFonts w:ascii="宋体" w:hAnsi="宋体" w:cs="宋体"/>
          <w:color w:val="auto"/>
          <w:spacing w:val="-1"/>
          <w:highlight w:val="none"/>
        </w:rPr>
        <w:t>4.我方已毫无保留地向贵方提供一切所需的证明材料。</w:t>
      </w:r>
    </w:p>
    <w:p>
      <w:pPr>
        <w:spacing w:after="0" w:line="360" w:lineRule="exact"/>
        <w:ind w:left="134" w:firstLine="420"/>
        <w:rPr>
          <w:color w:val="auto"/>
          <w:highlight w:val="none"/>
        </w:rPr>
      </w:pPr>
      <w:r>
        <w:rPr>
          <w:rFonts w:ascii="宋体" w:hAnsi="宋体" w:eastAsia="宋体" w:cs="宋体"/>
          <w:color w:val="auto"/>
          <w:spacing w:val="-1"/>
          <w:highlight w:val="none"/>
        </w:rPr>
        <w:t>5.我方承诺在本次磋商中提供的一切文件，无论是原件还是复印件均为真实和准确的，绝无任</w:t>
      </w:r>
    </w:p>
    <w:p>
      <w:pPr>
        <w:spacing w:after="0" w:line="360" w:lineRule="exact"/>
        <w:ind w:left="134"/>
        <w:rPr>
          <w:color w:val="auto"/>
          <w:highlight w:val="none"/>
        </w:rPr>
      </w:pPr>
      <w:r>
        <w:rPr>
          <w:rFonts w:ascii="宋体" w:hAnsi="宋体" w:cs="宋体"/>
          <w:color w:val="auto"/>
          <w:spacing w:val="-1"/>
          <w:highlight w:val="none"/>
        </w:rPr>
        <w:t>何虚假、伪造和夸大的成份，否则，愿承担相应的后果和法律责任。</w:t>
      </w:r>
    </w:p>
    <w:p>
      <w:pPr>
        <w:spacing w:after="0" w:line="360" w:lineRule="exact"/>
        <w:ind w:left="134" w:firstLine="420"/>
        <w:rPr>
          <w:color w:val="auto"/>
          <w:highlight w:val="none"/>
        </w:rPr>
      </w:pPr>
      <w:r>
        <w:rPr>
          <w:rFonts w:ascii="宋体" w:hAnsi="宋体" w:eastAsia="宋体" w:cs="宋体"/>
          <w:color w:val="auto"/>
          <w:spacing w:val="-1"/>
          <w:highlight w:val="none"/>
        </w:rPr>
        <w:t>6.我方完全服从和尊重磋商小组所作的评定结果，同时清楚理解到报价最低并非意味着必定获</w:t>
      </w:r>
    </w:p>
    <w:p>
      <w:pPr>
        <w:spacing w:after="0" w:line="360" w:lineRule="exact"/>
        <w:ind w:left="134"/>
        <w:rPr>
          <w:color w:val="auto"/>
          <w:highlight w:val="none"/>
        </w:rPr>
      </w:pPr>
      <w:r>
        <w:rPr>
          <w:rFonts w:ascii="宋体" w:hAnsi="宋体" w:cs="宋体"/>
          <w:color w:val="auto"/>
          <w:spacing w:val="-1"/>
          <w:highlight w:val="none"/>
        </w:rPr>
        <w:t>得成交资格。</w:t>
      </w:r>
    </w:p>
    <w:p>
      <w:pPr>
        <w:spacing w:after="0" w:line="360" w:lineRule="exact"/>
        <w:ind w:left="134" w:firstLine="420"/>
        <w:rPr>
          <w:color w:val="auto"/>
          <w:highlight w:val="none"/>
        </w:rPr>
      </w:pPr>
      <w:r>
        <w:rPr>
          <w:rFonts w:ascii="宋体" w:hAnsi="宋体" w:cs="宋体"/>
          <w:color w:val="auto"/>
          <w:spacing w:val="-1"/>
          <w:highlight w:val="none"/>
        </w:rPr>
        <w:t>7.我方同意按磋商文件规定向贵公司缴纳代理费。</w:t>
      </w:r>
    </w:p>
    <w:p>
      <w:pPr>
        <w:spacing w:after="0" w:line="360" w:lineRule="exact"/>
        <w:ind w:left="134" w:firstLine="420"/>
        <w:rPr>
          <w:color w:val="auto"/>
          <w:highlight w:val="none"/>
        </w:rPr>
      </w:pPr>
      <w:r>
        <w:rPr>
          <w:rFonts w:ascii="宋体" w:hAnsi="宋体" w:eastAsia="宋体" w:cs="宋体"/>
          <w:color w:val="auto"/>
          <w:spacing w:val="-1"/>
          <w:highlight w:val="none"/>
        </w:rPr>
        <w:t>8.与本应答有关的一切正式往来通讯请寄：</w:t>
      </w:r>
    </w:p>
    <w:p>
      <w:pPr>
        <w:spacing w:after="0" w:line="240" w:lineRule="exact"/>
        <w:ind w:left="134" w:firstLine="420"/>
        <w:rPr>
          <w:color w:val="auto"/>
          <w:highlight w:val="none"/>
        </w:rPr>
      </w:pPr>
    </w:p>
    <w:p>
      <w:pPr>
        <w:spacing w:after="0" w:line="240" w:lineRule="exact"/>
        <w:ind w:left="134" w:firstLine="420"/>
        <w:rPr>
          <w:color w:val="auto"/>
          <w:highlight w:val="none"/>
        </w:rPr>
      </w:pPr>
    </w:p>
    <w:p>
      <w:pPr>
        <w:spacing w:after="0" w:line="240" w:lineRule="exact"/>
        <w:ind w:left="134" w:firstLine="420"/>
        <w:rPr>
          <w:color w:val="auto"/>
          <w:highlight w:val="none"/>
        </w:rPr>
      </w:pPr>
    </w:p>
    <w:p>
      <w:pPr>
        <w:spacing w:after="0" w:line="360" w:lineRule="exact"/>
        <w:ind w:left="134" w:firstLine="5460"/>
        <w:rPr>
          <w:color w:val="auto"/>
          <w:highlight w:val="none"/>
        </w:rPr>
      </w:pPr>
      <w:r>
        <w:rPr>
          <w:rFonts w:ascii="宋体" w:hAnsi="宋体" w:eastAsia="宋体" w:cs="宋体"/>
          <w:color w:val="auto"/>
          <w:spacing w:val="-1"/>
          <w:highlight w:val="none"/>
        </w:rPr>
        <w:t>供应商名称（盖公章）：</w:t>
      </w:r>
    </w:p>
    <w:p>
      <w:pPr>
        <w:spacing w:after="0" w:line="360" w:lineRule="exact"/>
        <w:ind w:left="134" w:firstLine="5460"/>
        <w:rPr>
          <w:color w:val="auto"/>
          <w:highlight w:val="none"/>
        </w:rPr>
      </w:pPr>
      <w:r>
        <w:rPr>
          <w:rFonts w:ascii="宋体" w:hAnsi="宋体" w:eastAsia="宋体" w:cs="宋体"/>
          <w:color w:val="auto"/>
          <w:spacing w:val="-1"/>
          <w:highlight w:val="none"/>
        </w:rPr>
        <w:t>供应商代表姓名（签字或盖章）：</w:t>
      </w:r>
    </w:p>
    <w:p>
      <w:pPr>
        <w:spacing w:after="0" w:line="360" w:lineRule="exact"/>
        <w:ind w:left="134" w:firstLine="5460"/>
        <w:rPr>
          <w:color w:val="auto"/>
          <w:highlight w:val="none"/>
        </w:rPr>
      </w:pPr>
      <w:r>
        <w:rPr>
          <w:rFonts w:ascii="宋体" w:hAnsi="宋体" w:eastAsia="宋体" w:cs="宋体"/>
          <w:color w:val="auto"/>
          <w:spacing w:val="-1"/>
          <w:highlight w:val="none"/>
        </w:rPr>
        <w:t>地址：</w:t>
      </w:r>
    </w:p>
    <w:p>
      <w:pPr>
        <w:spacing w:after="0" w:line="360" w:lineRule="exact"/>
        <w:ind w:left="134" w:firstLine="5460"/>
        <w:rPr>
          <w:color w:val="auto"/>
          <w:highlight w:val="none"/>
        </w:rPr>
      </w:pPr>
      <w:r>
        <w:rPr>
          <w:rFonts w:ascii="宋体" w:hAnsi="宋体" w:eastAsia="宋体" w:cs="宋体"/>
          <w:color w:val="auto"/>
          <w:spacing w:val="-1"/>
          <w:highlight w:val="none"/>
        </w:rPr>
        <w:t>传真：</w:t>
      </w:r>
    </w:p>
    <w:p>
      <w:pPr>
        <w:spacing w:after="0" w:line="360" w:lineRule="exact"/>
        <w:ind w:left="134" w:firstLine="5460"/>
        <w:rPr>
          <w:color w:val="auto"/>
          <w:highlight w:val="none"/>
        </w:rPr>
      </w:pPr>
      <w:r>
        <w:rPr>
          <w:rFonts w:ascii="宋体" w:hAnsi="宋体" w:eastAsia="宋体" w:cs="宋体"/>
          <w:color w:val="auto"/>
          <w:spacing w:val="-1"/>
          <w:highlight w:val="none"/>
        </w:rPr>
        <w:t>电话：</w:t>
      </w:r>
    </w:p>
    <w:p>
      <w:pPr>
        <w:spacing w:after="0" w:line="360" w:lineRule="exact"/>
        <w:ind w:left="134" w:firstLine="5460"/>
        <w:rPr>
          <w:color w:val="auto"/>
          <w:highlight w:val="none"/>
        </w:rPr>
      </w:pPr>
      <w:r>
        <w:rPr>
          <w:rFonts w:ascii="宋体" w:hAnsi="宋体" w:eastAsia="宋体" w:cs="宋体"/>
          <w:color w:val="auto"/>
          <w:spacing w:val="-1"/>
          <w:highlight w:val="none"/>
        </w:rPr>
        <w:t>电子邮件：</w:t>
      </w:r>
    </w:p>
    <w:p>
      <w:pPr>
        <w:tabs>
          <w:tab w:val="left" w:pos="6540"/>
          <w:tab w:val="left" w:pos="7168"/>
          <w:tab w:val="left" w:pos="7800"/>
        </w:tabs>
        <w:spacing w:after="0" w:line="360" w:lineRule="exact"/>
        <w:ind w:left="134" w:firstLine="5460"/>
        <w:rPr>
          <w:color w:val="auto"/>
          <w:highlight w:val="none"/>
        </w:rPr>
      </w:pPr>
      <w:r>
        <w:rPr>
          <w:rFonts w:ascii="宋体" w:hAnsi="宋体" w:eastAsia="宋体" w:cs="宋体"/>
          <w:color w:val="auto"/>
          <w:spacing w:val="-1"/>
          <w:highlight w:val="none"/>
        </w:rPr>
        <w:t>日期：</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240" w:lineRule="exact"/>
        <w:ind w:left="134" w:firstLine="5460"/>
        <w:rPr>
          <w:color w:val="auto"/>
          <w:highlight w:val="none"/>
        </w:rPr>
      </w:pPr>
    </w:p>
    <w:p>
      <w:pPr>
        <w:spacing w:after="0" w:line="336" w:lineRule="exact"/>
        <w:ind w:left="134" w:firstLine="5460"/>
        <w:rPr>
          <w:color w:val="auto"/>
          <w:highlight w:val="none"/>
        </w:rPr>
      </w:pPr>
    </w:p>
    <w:p>
      <w:pPr>
        <w:widowControl/>
        <w:rPr>
          <w:color w:val="auto"/>
          <w:highlight w:val="none"/>
        </w:rPr>
        <w:sectPr>
          <w:type w:val="continuous"/>
          <w:pgSz w:w="11907" w:h="16840"/>
          <w:pgMar w:top="434" w:right="946" w:bottom="194" w:left="1306" w:header="0" w:footer="0" w:gutter="0"/>
          <w:cols w:space="720" w:num="1"/>
          <w:docGrid w:type="lines" w:linePitch="312" w:charSpace="0"/>
        </w:sectPr>
      </w:pPr>
    </w:p>
    <w:p>
      <w:pPr>
        <w:widowControl/>
        <w:rPr>
          <w:color w:val="auto"/>
          <w:highlight w:val="none"/>
        </w:rPr>
        <w:sectPr>
          <w:type w:val="continuous"/>
          <w:pgSz w:w="11907" w:h="16840"/>
          <w:pgMar w:top="434" w:right="946" w:bottom="194" w:left="1306" w:header="0" w:footer="0" w:gutter="0"/>
          <w:cols w:equalWidth="0" w:num="1">
            <w:col w:w="9655"/>
          </w:cols>
          <w:docGrid w:type="lines" w:linePitch="312" w:charSpace="0"/>
        </w:sectPr>
      </w:pPr>
    </w:p>
    <w:tbl>
      <w:tblPr>
        <w:tblStyle w:val="13"/>
        <w:tblpPr w:leftFromText="180" w:rightFromText="180" w:tblpX="-39" w:tblpY="2076"/>
        <w:tblW w:w="9400" w:type="dxa"/>
        <w:tblInd w:w="0" w:type="dxa"/>
        <w:tblLayout w:type="fixed"/>
        <w:tblCellMar>
          <w:top w:w="0" w:type="dxa"/>
          <w:left w:w="108" w:type="dxa"/>
          <w:bottom w:w="0" w:type="dxa"/>
          <w:right w:w="108" w:type="dxa"/>
        </w:tblCellMar>
      </w:tblPr>
      <w:tblGrid>
        <w:gridCol w:w="1888"/>
        <w:gridCol w:w="3398"/>
        <w:gridCol w:w="1252"/>
        <w:gridCol w:w="2862"/>
      </w:tblGrid>
      <w:tr>
        <w:tblPrEx>
          <w:tblCellMar>
            <w:top w:w="0" w:type="dxa"/>
            <w:left w:w="108" w:type="dxa"/>
            <w:bottom w:w="0" w:type="dxa"/>
            <w:right w:w="108" w:type="dxa"/>
          </w:tblCellMar>
        </w:tblPrEx>
        <w:trPr>
          <w:trHeight w:val="642"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744" w:right="-239"/>
              <w:rPr>
                <w:color w:val="auto"/>
                <w:highlight w:val="none"/>
              </w:rPr>
            </w:pPr>
            <w:bookmarkStart w:id="148" w:name="38"/>
            <w:bookmarkEnd w:id="148"/>
          </w:p>
          <w:p>
            <w:pPr>
              <w:spacing w:after="0" w:line="327" w:lineRule="exact"/>
              <w:ind w:left="744" w:right="-239"/>
              <w:rPr>
                <w:color w:val="auto"/>
                <w:highlight w:val="none"/>
              </w:rPr>
            </w:pPr>
            <w:r>
              <w:rPr>
                <w:rFonts w:ascii="宋体" w:hAnsi="宋体" w:eastAsia="宋体" w:cs="宋体"/>
                <w:color w:val="auto"/>
                <w:spacing w:val="-2"/>
                <w:highlight w:val="none"/>
              </w:rPr>
              <w:t>项目</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1289" w:right="-239"/>
              <w:rPr>
                <w:color w:val="auto"/>
                <w:highlight w:val="none"/>
              </w:rPr>
            </w:pPr>
          </w:p>
          <w:p>
            <w:pPr>
              <w:spacing w:after="0" w:line="327" w:lineRule="exact"/>
              <w:ind w:left="1289" w:right="-239"/>
              <w:rPr>
                <w:color w:val="auto"/>
                <w:highlight w:val="none"/>
              </w:rPr>
            </w:pPr>
            <w:r>
              <w:rPr>
                <w:rFonts w:ascii="宋体" w:hAnsi="宋体" w:eastAsia="宋体" w:cs="宋体"/>
                <w:color w:val="auto"/>
                <w:spacing w:val="-1"/>
                <w:highlight w:val="none"/>
              </w:rPr>
              <w:t>文件要求</w:t>
            </w: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209" w:right="-239"/>
              <w:rPr>
                <w:color w:val="auto"/>
                <w:highlight w:val="none"/>
              </w:rPr>
            </w:pPr>
          </w:p>
          <w:p>
            <w:pPr>
              <w:spacing w:after="0" w:line="327" w:lineRule="exact"/>
              <w:ind w:left="209" w:right="-239"/>
              <w:rPr>
                <w:color w:val="auto"/>
                <w:highlight w:val="none"/>
              </w:rPr>
            </w:pPr>
            <w:r>
              <w:rPr>
                <w:rFonts w:ascii="宋体" w:hAnsi="宋体" w:eastAsia="宋体" w:cs="宋体"/>
                <w:color w:val="auto"/>
                <w:spacing w:val="-1"/>
                <w:highlight w:val="none"/>
              </w:rPr>
              <w:t>是否响应</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494" w:right="-239"/>
              <w:rPr>
                <w:color w:val="auto"/>
                <w:highlight w:val="none"/>
              </w:rPr>
            </w:pPr>
          </w:p>
          <w:p>
            <w:pPr>
              <w:spacing w:after="0" w:line="327" w:lineRule="exact"/>
              <w:ind w:left="494" w:right="-239"/>
              <w:rPr>
                <w:color w:val="auto"/>
                <w:highlight w:val="none"/>
              </w:rPr>
            </w:pPr>
            <w:r>
              <w:rPr>
                <w:rFonts w:ascii="宋体" w:hAnsi="宋体" w:eastAsia="宋体" w:cs="宋体"/>
                <w:color w:val="auto"/>
                <w:spacing w:val="-1"/>
                <w:highlight w:val="none"/>
              </w:rPr>
              <w:t>供应商的承诺或说明</w:t>
            </w:r>
          </w:p>
        </w:tc>
      </w:tr>
      <w:tr>
        <w:tblPrEx>
          <w:tblCellMar>
            <w:top w:w="0" w:type="dxa"/>
            <w:left w:w="108" w:type="dxa"/>
            <w:bottom w:w="0" w:type="dxa"/>
            <w:right w:w="108" w:type="dxa"/>
          </w:tblCellMar>
        </w:tblPrEx>
        <w:trPr>
          <w:trHeight w:val="65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533" w:right="-239"/>
              <w:rPr>
                <w:color w:val="auto"/>
                <w:highlight w:val="none"/>
              </w:rPr>
            </w:pPr>
          </w:p>
          <w:p>
            <w:pPr>
              <w:spacing w:after="0" w:line="335" w:lineRule="exact"/>
              <w:ind w:left="533" w:right="-239"/>
              <w:rPr>
                <w:color w:val="auto"/>
                <w:highlight w:val="none"/>
              </w:rPr>
            </w:pPr>
            <w:r>
              <w:rPr>
                <w:rFonts w:hint="eastAsia" w:ascii="宋体" w:hAnsi="宋体" w:eastAsia="宋体" w:cs="宋体"/>
                <w:color w:val="auto"/>
                <w:highlight w:val="none"/>
              </w:rPr>
              <w:t>监理服务范围</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35" w:lineRule="exact"/>
              <w:rPr>
                <w:color w:val="auto"/>
                <w:highlight w:val="none"/>
              </w:rPr>
            </w:pPr>
          </w:p>
        </w:tc>
      </w:tr>
      <w:tr>
        <w:tblPrEx>
          <w:tblCellMar>
            <w:top w:w="0" w:type="dxa"/>
            <w:left w:w="108" w:type="dxa"/>
            <w:bottom w:w="0" w:type="dxa"/>
            <w:right w:w="108" w:type="dxa"/>
          </w:tblCellMar>
        </w:tblPrEx>
        <w:trPr>
          <w:trHeight w:val="916"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80" w:lineRule="exact"/>
              <w:ind w:left="533" w:right="-239"/>
              <w:rPr>
                <w:color w:val="auto"/>
                <w:highlight w:val="none"/>
              </w:rPr>
            </w:pPr>
          </w:p>
          <w:p>
            <w:pPr>
              <w:spacing w:after="0" w:line="226" w:lineRule="exact"/>
              <w:ind w:left="533" w:right="-239"/>
              <w:rPr>
                <w:color w:val="auto"/>
                <w:highlight w:val="none"/>
              </w:rPr>
            </w:pPr>
            <w:r>
              <w:rPr>
                <w:rFonts w:hint="eastAsia" w:ascii="宋体" w:hAnsi="宋体" w:eastAsia="宋体" w:cs="宋体"/>
                <w:color w:val="auto"/>
                <w:highlight w:val="none"/>
              </w:rPr>
              <w:t>监理服务期限</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p>
            <w:pPr>
              <w:spacing w:line="226"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26" w:lineRule="exact"/>
              <w:rPr>
                <w:color w:val="auto"/>
                <w:highlight w:val="none"/>
              </w:rPr>
            </w:pPr>
          </w:p>
        </w:tc>
      </w:tr>
      <w:tr>
        <w:tblPrEx>
          <w:tblCellMar>
            <w:top w:w="0" w:type="dxa"/>
            <w:left w:w="108" w:type="dxa"/>
            <w:bottom w:w="0" w:type="dxa"/>
            <w:right w:w="108" w:type="dxa"/>
          </w:tblCellMar>
        </w:tblPrEx>
        <w:trPr>
          <w:trHeight w:val="1059"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480" w:lineRule="exact"/>
              <w:ind w:left="324" w:right="-239"/>
              <w:rPr>
                <w:color w:val="auto"/>
                <w:highlight w:val="none"/>
              </w:rPr>
            </w:pPr>
          </w:p>
          <w:p>
            <w:pPr>
              <w:spacing w:after="0" w:line="297" w:lineRule="exact"/>
              <w:ind w:left="324" w:right="-239" w:firstLine="420" w:firstLineChars="200"/>
              <w:rPr>
                <w:color w:val="auto"/>
                <w:highlight w:val="none"/>
              </w:rPr>
            </w:pPr>
            <w:r>
              <w:rPr>
                <w:rFonts w:hint="eastAsia" w:ascii="宋体" w:hAnsi="宋体" w:eastAsia="宋体" w:cs="宋体"/>
                <w:color w:val="auto"/>
                <w:highlight w:val="none"/>
              </w:rPr>
              <w:t>质量</w:t>
            </w:r>
            <w:r>
              <w:rPr>
                <w:rFonts w:ascii="宋体" w:hAnsi="宋体" w:eastAsia="宋体" w:cs="宋体"/>
                <w:color w:val="auto"/>
                <w:highlight w:val="none"/>
              </w:rPr>
              <w:t>要求</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p>
            <w:pPr>
              <w:spacing w:line="297" w:lineRule="exact"/>
              <w:jc w:val="both"/>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297"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0" w:line="240" w:lineRule="exact"/>
              <w:ind w:left="218" w:right="-239"/>
              <w:rPr>
                <w:color w:val="auto"/>
                <w:highlight w:val="none"/>
              </w:rPr>
            </w:pPr>
          </w:p>
          <w:p>
            <w:pPr>
              <w:spacing w:after="0" w:line="395" w:lineRule="exact"/>
              <w:ind w:left="218" w:right="-239"/>
              <w:rPr>
                <w:color w:val="auto"/>
                <w:highlight w:val="none"/>
              </w:rPr>
            </w:pPr>
            <w:r>
              <w:rPr>
                <w:rFonts w:ascii="宋体" w:hAnsi="宋体" w:eastAsia="宋体" w:cs="宋体"/>
                <w:color w:val="auto"/>
                <w:highlight w:val="none"/>
              </w:rPr>
              <w:t>付款方式和条件</w:t>
            </w: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33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778" w:hRule="exact"/>
        </w:trPr>
        <w:tc>
          <w:tcPr>
            <w:tcW w:w="1888"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3398"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1252"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c>
          <w:tcPr>
            <w:tcW w:w="2862" w:type="dxa"/>
            <w:tcBorders>
              <w:top w:val="single" w:color="000000" w:sz="6" w:space="0"/>
              <w:left w:val="single" w:color="000000" w:sz="6" w:space="0"/>
              <w:bottom w:val="single" w:color="auto" w:sz="4" w:space="0"/>
              <w:right w:val="single" w:color="000000" w:sz="6" w:space="0"/>
            </w:tcBorders>
            <w:shd w:val="clear" w:color="auto" w:fill="auto"/>
            <w:tcMar>
              <w:left w:w="0" w:type="dxa"/>
              <w:right w:w="0" w:type="dxa"/>
            </w:tcMar>
          </w:tcPr>
          <w:p>
            <w:pPr>
              <w:spacing w:line="395" w:lineRule="exact"/>
              <w:rPr>
                <w:color w:val="auto"/>
                <w:highlight w:val="none"/>
              </w:rPr>
            </w:pPr>
          </w:p>
        </w:tc>
      </w:tr>
      <w:tr>
        <w:tblPrEx>
          <w:tblCellMar>
            <w:top w:w="0" w:type="dxa"/>
            <w:left w:w="108" w:type="dxa"/>
            <w:bottom w:w="0" w:type="dxa"/>
            <w:right w:w="108" w:type="dxa"/>
          </w:tblCellMar>
        </w:tblPrEx>
        <w:trPr>
          <w:trHeight w:val="903" w:hRule="exact"/>
        </w:trPr>
        <w:tc>
          <w:tcPr>
            <w:tcW w:w="18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after="0" w:line="240" w:lineRule="exact"/>
              <w:ind w:left="850" w:right="-239"/>
              <w:rPr>
                <w:color w:val="auto"/>
                <w:highlight w:val="none"/>
              </w:rPr>
            </w:pPr>
          </w:p>
          <w:p>
            <w:pPr>
              <w:spacing w:after="0" w:line="396" w:lineRule="exact"/>
              <w:ind w:left="850" w:right="-239"/>
              <w:rPr>
                <w:color w:val="auto"/>
                <w:highlight w:val="none"/>
              </w:rPr>
            </w:pPr>
            <w:r>
              <w:rPr>
                <w:rFonts w:ascii="宋体" w:hAnsi="宋体" w:cs="宋体"/>
                <w:color w:val="auto"/>
                <w:spacing w:val="-2"/>
                <w:highlight w:val="none"/>
              </w:rPr>
              <w:t>…</w:t>
            </w:r>
          </w:p>
        </w:tc>
        <w:tc>
          <w:tcPr>
            <w:tcW w:w="33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c>
          <w:tcPr>
            <w:tcW w:w="125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c>
          <w:tcPr>
            <w:tcW w:w="286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spacing w:line="396" w:lineRule="exact"/>
              <w:rPr>
                <w:color w:val="auto"/>
                <w:highlight w:val="none"/>
              </w:rPr>
            </w:pPr>
          </w:p>
        </w:tc>
      </w:tr>
    </w:tbl>
    <w:p>
      <w:pPr>
        <w:spacing w:after="0" w:line="161" w:lineRule="exact"/>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tabs>
          <w:tab w:val="left" w:pos="3120"/>
        </w:tabs>
        <w:spacing w:after="0" w:line="181" w:lineRule="exact"/>
        <w:ind w:left="60"/>
        <w:rPr>
          <w:color w:val="auto"/>
          <w:highlight w:val="none"/>
        </w:rPr>
      </w:pPr>
      <w:r>
        <w:rPr>
          <w:color w:val="auto"/>
          <w:highlight w:val="none"/>
        </w:rPr>
        <w:pict>
          <v:shape id="自选图形 442" o:spid="_x0000_s1027" o:spt="100" style="position:absolute;left:0pt;margin-left:0pt;margin-top:0pt;height:50pt;width:50pt;visibility:hidden;z-index:251658240;mso-width-relative:page;mso-height-relative:page;" coordsize="44990,72" o:gfxdata="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xNE2jPAAAABQEAAA8AAAAAAAAAAQAgAAAAIgAAAGRy&#10;cy9kb3ducmV2LnhtbFBLAQIUABQAAAAIAIdO4kCGms+ORwIAAOwEAAAOAAAAAAAAAAEAIAAAAB4B&#10;AABkcnMvZTJvRG9jLnhtbFBLBQYAAAAABgAGAFkBAADXBQAAAAA=&#10;" path="m0,36l0,36,44990,36e">
            <v:path o:connecttype="segments"/>
            <v:fill focussize="0,0"/>
            <v:stroke joinstyle="miter"/>
            <v:imagedata o:title=""/>
            <o:lock v:ext="edit" selection="t"/>
          </v:shape>
        </w:pict>
      </w:r>
    </w:p>
    <w:p>
      <w:pPr>
        <w:spacing w:after="0" w:line="240" w:lineRule="exact"/>
        <w:rPr>
          <w:color w:val="auto"/>
          <w:highlight w:val="none"/>
        </w:rPr>
      </w:pPr>
    </w:p>
    <w:p>
      <w:pPr>
        <w:spacing w:after="0" w:line="446" w:lineRule="exact"/>
        <w:ind w:left="60"/>
        <w:rPr>
          <w:color w:val="auto"/>
          <w:highlight w:val="none"/>
        </w:rPr>
      </w:pPr>
    </w:p>
    <w:p>
      <w:pPr>
        <w:spacing w:after="0" w:line="324" w:lineRule="exact"/>
        <w:ind w:left="60"/>
        <w:rPr>
          <w:color w:val="auto"/>
          <w:highlight w:val="none"/>
        </w:rPr>
      </w:pPr>
      <w:r>
        <w:rPr>
          <w:rFonts w:ascii="黑体" w:hAnsi="黑体" w:eastAsia="黑体" w:cs="黑体"/>
          <w:color w:val="auto"/>
          <w:sz w:val="32"/>
          <w:highlight w:val="none"/>
        </w:rPr>
        <w:t>2.响应表格式：</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91"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210" w:lineRule="exact"/>
        <w:ind w:left="480"/>
        <w:rPr>
          <w:rFonts w:ascii="宋体" w:hAnsi="宋体" w:eastAsia="宋体" w:cs="宋体"/>
          <w:color w:val="auto"/>
          <w:spacing w:val="-1"/>
          <w:highlight w:val="none"/>
        </w:rPr>
      </w:pPr>
    </w:p>
    <w:p>
      <w:pPr>
        <w:spacing w:after="0" w:line="360" w:lineRule="auto"/>
        <w:ind w:left="480"/>
        <w:rPr>
          <w:color w:val="auto"/>
          <w:highlight w:val="none"/>
        </w:rPr>
        <w:sectPr>
          <w:type w:val="continuous"/>
          <w:pgSz w:w="11907" w:h="16839"/>
          <w:pgMar w:top="434" w:right="1020" w:bottom="194" w:left="1380" w:header="0" w:footer="0" w:gutter="0"/>
          <w:cols w:equalWidth="0" w:num="1">
            <w:col w:w="9507"/>
          </w:cols>
          <w:docGrid w:type="lines" w:linePitch="312" w:charSpace="0"/>
        </w:sectPr>
      </w:pPr>
      <w:r>
        <w:rPr>
          <w:rFonts w:ascii="宋体" w:hAnsi="宋体" w:eastAsia="宋体" w:cs="宋体"/>
          <w:color w:val="auto"/>
          <w:spacing w:val="-1"/>
          <w:highlight w:val="none"/>
        </w:rPr>
        <w:t>注：根据竞争性磋商文件</w:t>
      </w:r>
      <w:r>
        <w:rPr>
          <w:rFonts w:ascii="Calibri" w:hAnsi="Calibri" w:cs="Calibri"/>
          <w:color w:val="auto"/>
          <w:w w:val="222"/>
          <w:highlight w:val="none"/>
        </w:rPr>
        <w:t> </w:t>
      </w:r>
      <w:r>
        <w:rPr>
          <w:rFonts w:ascii="宋体" w:hAnsi="宋体" w:cs="宋体"/>
          <w:color w:val="auto"/>
          <w:highlight w:val="none"/>
        </w:rPr>
        <w:t>“第三章</w:t>
      </w:r>
      <w:r>
        <w:rPr>
          <w:rFonts w:ascii="Calibri" w:hAnsi="Calibri" w:cs="Calibri"/>
          <w:color w:val="auto"/>
          <w:w w:val="222"/>
          <w:highlight w:val="none"/>
        </w:rPr>
        <w:t> </w:t>
      </w:r>
      <w:r>
        <w:rPr>
          <w:rFonts w:ascii="宋体" w:hAnsi="宋体" w:cs="宋体"/>
          <w:color w:val="auto"/>
          <w:spacing w:val="-1"/>
          <w:highlight w:val="none"/>
        </w:rPr>
        <w:t>项目服务需求”</w:t>
      </w:r>
      <w:r>
        <w:rPr>
          <w:rFonts w:ascii="Calibri" w:hAnsi="Calibri" w:cs="Calibri"/>
          <w:color w:val="auto"/>
          <w:w w:val="222"/>
          <w:highlight w:val="none"/>
        </w:rPr>
        <w:t> </w:t>
      </w:r>
      <w:r>
        <w:rPr>
          <w:rFonts w:ascii="宋体" w:hAnsi="宋体" w:cs="宋体"/>
          <w:color w:val="auto"/>
          <w:spacing w:val="-1"/>
          <w:highlight w:val="none"/>
        </w:rPr>
        <w:t>内容进行逐一响应。</w:t>
      </w:r>
    </w:p>
    <w:p>
      <w:pPr>
        <w:spacing w:after="0" w:line="240" w:lineRule="exact"/>
        <w:rPr>
          <w:color w:val="auto"/>
          <w:highlight w:val="none"/>
        </w:rPr>
      </w:pPr>
    </w:p>
    <w:p>
      <w:pPr>
        <w:spacing w:after="0" w:line="324" w:lineRule="exact"/>
        <w:ind w:left="60"/>
        <w:rPr>
          <w:color w:val="auto"/>
          <w:highlight w:val="none"/>
        </w:rPr>
      </w:pPr>
      <w:bookmarkStart w:id="149" w:name="39"/>
      <w:bookmarkEnd w:id="149"/>
      <w:r>
        <w:rPr>
          <w:rFonts w:ascii="黑体" w:hAnsi="黑体" w:eastAsia="黑体" w:cs="黑体"/>
          <w:color w:val="auto"/>
          <w:sz w:val="32"/>
          <w:highlight w:val="none"/>
        </w:rPr>
        <w:t>3.供应商资格证明文件</w:t>
      </w:r>
    </w:p>
    <w:p>
      <w:pPr>
        <w:spacing w:after="0" w:line="432" w:lineRule="exact"/>
        <w:ind w:left="60" w:firstLine="209"/>
        <w:outlineLvl w:val="0"/>
        <w:rPr>
          <w:color w:val="auto"/>
          <w:highlight w:val="none"/>
        </w:rPr>
      </w:pPr>
      <w:r>
        <w:rPr>
          <w:rFonts w:ascii="宋体" w:hAnsi="宋体" w:cs="宋体"/>
          <w:color w:val="auto"/>
          <w:spacing w:val="-1"/>
          <w:highlight w:val="none"/>
        </w:rPr>
        <w:t>①磋商保证金；</w:t>
      </w:r>
    </w:p>
    <w:p>
      <w:pPr>
        <w:spacing w:after="0" w:line="439" w:lineRule="exact"/>
        <w:ind w:left="60" w:firstLine="209"/>
        <w:rPr>
          <w:color w:val="auto"/>
          <w:highlight w:val="none"/>
        </w:rPr>
      </w:pPr>
      <w:r>
        <w:rPr>
          <w:rFonts w:ascii="宋体" w:hAnsi="宋体" w:cs="宋体"/>
          <w:color w:val="auto"/>
          <w:spacing w:val="-1"/>
          <w:highlight w:val="none"/>
        </w:rPr>
        <w:t>②有效的营业执照、组织机构代码证、税务登记证（或有统一社会信用代码的‘三证合一’营业</w:t>
      </w:r>
    </w:p>
    <w:p>
      <w:pPr>
        <w:spacing w:after="0" w:line="439" w:lineRule="exact"/>
        <w:ind w:left="60"/>
        <w:rPr>
          <w:color w:val="auto"/>
          <w:highlight w:val="none"/>
        </w:rPr>
      </w:pPr>
      <w:r>
        <w:rPr>
          <w:rFonts w:ascii="宋体" w:hAnsi="宋体" w:eastAsia="宋体" w:cs="宋体"/>
          <w:color w:val="auto"/>
          <w:highlight w:val="none"/>
        </w:rPr>
        <w:t>执照）复印件（必须提供，复印件加盖单位公章）；</w:t>
      </w:r>
    </w:p>
    <w:p>
      <w:pPr>
        <w:spacing w:after="0" w:line="240" w:lineRule="exact"/>
        <w:ind w:left="60"/>
        <w:rPr>
          <w:color w:val="auto"/>
          <w:highlight w:val="none"/>
        </w:rPr>
      </w:pPr>
    </w:p>
    <w:p>
      <w:pPr>
        <w:spacing w:after="0" w:line="240" w:lineRule="exact"/>
        <w:ind w:left="60"/>
        <w:rPr>
          <w:color w:val="auto"/>
          <w:highlight w:val="none"/>
        </w:rPr>
      </w:pPr>
    </w:p>
    <w:p>
      <w:pPr>
        <w:spacing w:after="0" w:line="401" w:lineRule="exact"/>
        <w:ind w:left="60" w:firstLine="209"/>
        <w:rPr>
          <w:color w:val="auto"/>
          <w:highlight w:val="none"/>
        </w:rPr>
      </w:pPr>
      <w:r>
        <w:rPr>
          <w:rFonts w:hint="eastAsia" w:ascii="宋体" w:hAnsi="宋体" w:cs="宋体"/>
          <w:color w:val="auto"/>
          <w:spacing w:val="-1"/>
          <w:highlight w:val="none"/>
        </w:rPr>
        <w:t>③有效的企业资质证书副本复印件，（必须提供，复印件加盖单位公章）；</w:t>
      </w:r>
      <w:r>
        <w:rPr>
          <w:rFonts w:ascii="宋体" w:hAnsi="宋体" w:eastAsia="宋体" w:cs="宋体"/>
          <w:color w:val="auto"/>
          <w:highlight w:val="none"/>
        </w:rPr>
        <w:t>；</w:t>
      </w:r>
    </w:p>
    <w:p>
      <w:pPr>
        <w:spacing w:after="0" w:line="240" w:lineRule="exact"/>
        <w:ind w:left="60"/>
        <w:rPr>
          <w:color w:val="auto"/>
          <w:highlight w:val="none"/>
        </w:rPr>
      </w:pPr>
    </w:p>
    <w:p>
      <w:pPr>
        <w:spacing w:after="0" w:line="240" w:lineRule="exact"/>
        <w:ind w:left="60"/>
        <w:rPr>
          <w:color w:val="auto"/>
          <w:highlight w:val="none"/>
        </w:rPr>
      </w:pPr>
    </w:p>
    <w:p>
      <w:pPr>
        <w:spacing w:after="0" w:line="401" w:lineRule="exact"/>
        <w:ind w:left="60" w:firstLine="209"/>
        <w:rPr>
          <w:color w:val="auto"/>
          <w:highlight w:val="none"/>
        </w:rPr>
      </w:pPr>
      <w:r>
        <w:rPr>
          <w:rFonts w:ascii="宋体" w:hAnsi="宋体" w:cs="宋体"/>
          <w:color w:val="auto"/>
          <w:highlight w:val="none"/>
        </w:rPr>
        <w:t>④法定代表人身份证复印件（必须提供，复印件加盖单位公章）；</w:t>
      </w:r>
    </w:p>
    <w:p>
      <w:pPr>
        <w:spacing w:after="0" w:line="240" w:lineRule="exact"/>
        <w:ind w:left="60" w:firstLine="209"/>
        <w:rPr>
          <w:color w:val="auto"/>
          <w:highlight w:val="none"/>
        </w:rPr>
      </w:pPr>
    </w:p>
    <w:p>
      <w:pPr>
        <w:spacing w:after="0" w:line="240" w:lineRule="exact"/>
        <w:ind w:left="60" w:firstLine="209"/>
        <w:rPr>
          <w:color w:val="auto"/>
          <w:highlight w:val="none"/>
        </w:rPr>
      </w:pPr>
    </w:p>
    <w:p>
      <w:pPr>
        <w:spacing w:after="0" w:line="401" w:lineRule="exact"/>
        <w:ind w:left="60" w:firstLine="209"/>
        <w:rPr>
          <w:color w:val="auto"/>
          <w:highlight w:val="none"/>
        </w:rPr>
      </w:pPr>
      <w:r>
        <w:rPr>
          <w:rFonts w:ascii="宋体" w:hAnsi="宋体" w:cs="宋体"/>
          <w:color w:val="auto"/>
          <w:highlight w:val="none"/>
        </w:rPr>
        <w:t>⑤法定代表人授权委托书和委托代理人身份证复印件（委托代理时必须提供，格式见后）；</w:t>
      </w:r>
    </w:p>
    <w:p>
      <w:pPr>
        <w:spacing w:after="0" w:line="240" w:lineRule="exact"/>
        <w:ind w:left="60" w:firstLine="209"/>
        <w:rPr>
          <w:color w:val="auto"/>
          <w:highlight w:val="none"/>
        </w:rPr>
      </w:pPr>
    </w:p>
    <w:p>
      <w:pPr>
        <w:spacing w:after="0" w:line="240" w:lineRule="exact"/>
        <w:ind w:left="60" w:firstLine="209"/>
        <w:rPr>
          <w:color w:val="auto"/>
          <w:highlight w:val="none"/>
        </w:rPr>
      </w:pPr>
    </w:p>
    <w:p>
      <w:pPr>
        <w:spacing w:after="0" w:line="581" w:lineRule="exact"/>
        <w:ind w:left="60" w:firstLine="2258"/>
        <w:rPr>
          <w:color w:val="auto"/>
          <w:highlight w:val="none"/>
        </w:rPr>
      </w:pPr>
      <w:r>
        <w:rPr>
          <w:rFonts w:ascii="Arial Unicode MS" w:hAnsi="Arial Unicode MS" w:eastAsia="Arial Unicode MS" w:cs="Arial Unicode MS"/>
          <w:color w:val="auto"/>
          <w:sz w:val="32"/>
          <w:highlight w:val="none"/>
        </w:rPr>
        <w:t>法定代表人授权委托书（格式）</w:t>
      </w:r>
    </w:p>
    <w:p>
      <w:pPr>
        <w:spacing w:after="0" w:line="240" w:lineRule="exact"/>
        <w:ind w:left="60" w:firstLine="2258"/>
        <w:rPr>
          <w:color w:val="auto"/>
          <w:highlight w:val="none"/>
        </w:rPr>
      </w:pPr>
    </w:p>
    <w:p>
      <w:pPr>
        <w:spacing w:after="0" w:line="240" w:lineRule="exact"/>
        <w:ind w:left="60" w:firstLine="2258"/>
        <w:rPr>
          <w:color w:val="auto"/>
          <w:highlight w:val="none"/>
        </w:rPr>
      </w:pPr>
    </w:p>
    <w:p>
      <w:pPr>
        <w:spacing w:after="0" w:line="446" w:lineRule="exact"/>
        <w:ind w:left="60" w:firstLine="106"/>
        <w:rPr>
          <w:color w:val="auto"/>
          <w:highlight w:val="none"/>
        </w:rPr>
      </w:pPr>
      <w:r>
        <w:rPr>
          <w:rFonts w:hint="eastAsia" w:ascii="宋体" w:hAnsi="宋体" w:eastAsia="宋体" w:cs="宋体"/>
          <w:color w:val="auto"/>
          <w:spacing w:val="-1"/>
          <w:highlight w:val="none"/>
          <w:lang w:eastAsia="zh-CN"/>
        </w:rPr>
        <w:t>广西博行弈工程项目管理有限公司</w:t>
      </w:r>
      <w:r>
        <w:rPr>
          <w:rFonts w:ascii="宋体" w:hAnsi="宋体" w:eastAsia="宋体" w:cs="宋体"/>
          <w:color w:val="auto"/>
          <w:spacing w:val="-1"/>
          <w:highlight w:val="none"/>
        </w:rPr>
        <w:t>：</w:t>
      </w:r>
    </w:p>
    <w:p>
      <w:pPr>
        <w:spacing w:after="0" w:line="240" w:lineRule="exact"/>
        <w:ind w:left="60" w:firstLine="106"/>
        <w:rPr>
          <w:color w:val="auto"/>
          <w:highlight w:val="none"/>
        </w:rPr>
      </w:pPr>
    </w:p>
    <w:p>
      <w:pPr>
        <w:tabs>
          <w:tab w:val="left" w:pos="2160"/>
          <w:tab w:val="left" w:pos="5405"/>
        </w:tabs>
        <w:spacing w:after="0" w:line="360" w:lineRule="auto"/>
        <w:ind w:left="60" w:firstLine="420"/>
        <w:rPr>
          <w:color w:val="auto"/>
          <w:highlight w:val="none"/>
          <w:u w:val="single"/>
        </w:rPr>
      </w:pPr>
      <w:r>
        <w:rPr>
          <w:rFonts w:ascii="宋体" w:hAnsi="宋体" w:eastAsia="宋体" w:cs="宋体"/>
          <w:color w:val="auto"/>
          <w:spacing w:val="-1"/>
          <w:highlight w:val="none"/>
        </w:rPr>
        <w:t>兹授权</w:t>
      </w:r>
      <w:r>
        <w:rPr>
          <w:rFonts w:cs="Calibri"/>
          <w:color w:val="auto"/>
          <w:highlight w:val="none"/>
          <w:u w:val="single"/>
        </w:rPr>
        <w:tab/>
      </w:r>
      <w:r>
        <w:rPr>
          <w:rFonts w:ascii="宋体" w:hAnsi="宋体" w:eastAsia="宋体" w:cs="宋体"/>
          <w:color w:val="auto"/>
          <w:highlight w:val="none"/>
        </w:rPr>
        <w:t>同志为我公司参加贵单位组织的</w:t>
      </w:r>
      <w:r>
        <w:rPr>
          <w:rFonts w:cs="Calibri"/>
          <w:color w:val="auto"/>
          <w:highlight w:val="none"/>
          <w:u w:val="single"/>
        </w:rPr>
        <w:tab/>
      </w:r>
      <w:r>
        <w:rPr>
          <w:rFonts w:ascii="宋体" w:hAnsi="宋体" w:cs="宋体"/>
          <w:color w:val="auto"/>
          <w:spacing w:val="-2"/>
          <w:highlight w:val="none"/>
          <w:u w:val="single"/>
        </w:rPr>
        <w:t>（项目名称、项目编号）</w:t>
      </w:r>
      <w:r>
        <w:rPr>
          <w:rFonts w:ascii="宋体" w:hAnsi="宋体" w:cs="宋体"/>
          <w:color w:val="auto"/>
          <w:spacing w:val="-2"/>
          <w:highlight w:val="none"/>
        </w:rPr>
        <w:t>竞争性磋商</w:t>
      </w:r>
      <w:r>
        <w:rPr>
          <w:rFonts w:ascii="Calibri" w:hAnsi="Calibri" w:cs="Calibri"/>
          <w:color w:val="auto"/>
          <w:w w:val="227"/>
          <w:highlight w:val="none"/>
        </w:rPr>
        <w:t> </w:t>
      </w:r>
      <w:r>
        <w:rPr>
          <w:rFonts w:ascii="宋体" w:hAnsi="宋体" w:eastAsia="宋体" w:cs="宋体"/>
          <w:color w:val="auto"/>
          <w:spacing w:val="-2"/>
          <w:highlight w:val="none"/>
        </w:rPr>
        <w:t>采</w:t>
      </w:r>
      <w:r>
        <w:rPr>
          <w:rFonts w:ascii="宋体" w:hAnsi="宋体" w:cs="宋体"/>
          <w:color w:val="auto"/>
          <w:spacing w:val="7"/>
          <w:highlight w:val="none"/>
        </w:rPr>
        <w:t>购活动的</w:t>
      </w:r>
      <w:r>
        <w:rPr>
          <w:rFonts w:hint="eastAsia" w:ascii="宋体" w:hAnsi="宋体" w:cs="宋体"/>
          <w:color w:val="auto"/>
          <w:spacing w:val="7"/>
          <w:highlight w:val="none"/>
        </w:rPr>
        <w:t>磋商</w:t>
      </w:r>
      <w:r>
        <w:rPr>
          <w:rFonts w:ascii="宋体" w:hAnsi="宋体" w:cs="宋体"/>
          <w:color w:val="auto"/>
          <w:spacing w:val="7"/>
          <w:highlight w:val="none"/>
        </w:rPr>
        <w:t>代表人，全权代表我公司处理在该项目活动中的一切事宜。代理期限从</w:t>
      </w:r>
      <w:r>
        <w:rPr>
          <w:rFonts w:cs="Calibri"/>
          <w:color w:val="auto"/>
          <w:highlight w:val="none"/>
          <w:u w:val="single"/>
        </w:rPr>
        <w:tab/>
      </w:r>
      <w:r>
        <w:rPr>
          <w:rFonts w:ascii="宋体" w:hAnsi="宋体" w:eastAsia="宋体" w:cs="宋体"/>
          <w:color w:val="auto"/>
          <w:spacing w:val="-2"/>
          <w:highlight w:val="none"/>
        </w:rPr>
        <w:t>年</w:t>
      </w:r>
    </w:p>
    <w:p>
      <w:pPr>
        <w:tabs>
          <w:tab w:val="left" w:pos="586"/>
          <w:tab w:val="left" w:pos="1846"/>
          <w:tab w:val="left" w:pos="2474"/>
          <w:tab w:val="left" w:pos="3106"/>
        </w:tabs>
        <w:spacing w:after="0" w:line="360" w:lineRule="auto"/>
        <w:ind w:left="60"/>
        <w:rPr>
          <w:color w:val="auto"/>
          <w:highlight w:val="none"/>
        </w:rPr>
      </w:pPr>
      <w:r>
        <w:rPr>
          <w:rFonts w:ascii="宋体" w:hAnsi="宋体" w:eastAsia="宋体" w:cs="宋体"/>
          <w:color w:val="auto"/>
          <w:spacing w:val="-2"/>
          <w:highlight w:val="none"/>
        </w:rPr>
        <w:t>月</w:t>
      </w:r>
      <w:r>
        <w:rPr>
          <w:rFonts w:cs="Calibri"/>
          <w:color w:val="auto"/>
          <w:highlight w:val="none"/>
          <w:u w:val="single"/>
        </w:rPr>
        <w:tab/>
      </w:r>
      <w:r>
        <w:rPr>
          <w:rFonts w:ascii="宋体" w:hAnsi="宋体" w:eastAsia="宋体" w:cs="宋体"/>
          <w:color w:val="auto"/>
          <w:spacing w:val="-1"/>
          <w:highlight w:val="none"/>
        </w:rPr>
        <w:t>日</w:t>
      </w:r>
      <w:r>
        <w:rPr>
          <w:rFonts w:ascii="宋体" w:hAnsi="宋体" w:eastAsia="宋体" w:cs="宋体"/>
          <w:color w:val="auto"/>
          <w:spacing w:val="-1"/>
          <w:highlight w:val="none"/>
          <w:u w:val="single"/>
        </w:rPr>
        <w:t>起至</w:t>
      </w:r>
      <w:r>
        <w:rPr>
          <w:rFonts w:cs="Calibri"/>
          <w:color w:val="auto"/>
          <w:highlight w:val="none"/>
          <w:u w:val="single"/>
        </w:rPr>
        <w:tab/>
      </w:r>
      <w:r>
        <w:rPr>
          <w:rFonts w:ascii="宋体" w:hAnsi="宋体" w:eastAsia="宋体" w:cs="宋体"/>
          <w:color w:val="auto"/>
          <w:spacing w:val="-2"/>
          <w:highlight w:val="none"/>
        </w:rPr>
        <w:t>年</w:t>
      </w:r>
      <w:r>
        <w:rPr>
          <w:rFonts w:cs="Calibri"/>
          <w:color w:val="auto"/>
          <w:highlight w:val="none"/>
          <w:u w:val="single"/>
        </w:rPr>
        <w:tab/>
      </w:r>
      <w:r>
        <w:rPr>
          <w:rFonts w:ascii="宋体" w:hAnsi="宋体" w:eastAsia="宋体" w:cs="宋体"/>
          <w:color w:val="auto"/>
          <w:spacing w:val="-2"/>
          <w:highlight w:val="none"/>
        </w:rPr>
        <w:t>月</w:t>
      </w:r>
      <w:r>
        <w:rPr>
          <w:rFonts w:cs="Calibri"/>
          <w:color w:val="auto"/>
          <w:highlight w:val="none"/>
          <w:u w:val="single"/>
        </w:rPr>
        <w:tab/>
      </w:r>
      <w:r>
        <w:rPr>
          <w:rFonts w:ascii="宋体" w:hAnsi="宋体" w:cs="宋体"/>
          <w:color w:val="auto"/>
          <w:spacing w:val="-1"/>
          <w:highlight w:val="none"/>
        </w:rPr>
        <w:t>日止。</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81" w:lineRule="exact"/>
        <w:ind w:left="60" w:firstLine="4409"/>
        <w:rPr>
          <w:color w:val="auto"/>
          <w:highlight w:val="none"/>
        </w:rPr>
      </w:pPr>
      <w:r>
        <w:rPr>
          <w:rFonts w:ascii="宋体" w:hAnsi="宋体" w:eastAsia="宋体" w:cs="宋体"/>
          <w:color w:val="auto"/>
          <w:spacing w:val="-1"/>
          <w:highlight w:val="none"/>
        </w:rPr>
        <w:t>授权单位（签章）：</w:t>
      </w:r>
    </w:p>
    <w:p>
      <w:pPr>
        <w:spacing w:after="0" w:line="240" w:lineRule="exact"/>
        <w:ind w:left="60" w:firstLine="4409"/>
        <w:rPr>
          <w:color w:val="auto"/>
          <w:highlight w:val="none"/>
        </w:rPr>
      </w:pPr>
    </w:p>
    <w:p>
      <w:pPr>
        <w:spacing w:after="0" w:line="259" w:lineRule="exact"/>
        <w:ind w:left="60" w:firstLine="4409"/>
        <w:rPr>
          <w:color w:val="auto"/>
          <w:highlight w:val="none"/>
        </w:rPr>
      </w:pPr>
      <w:r>
        <w:rPr>
          <w:rFonts w:ascii="宋体" w:hAnsi="宋体" w:eastAsia="宋体" w:cs="宋体"/>
          <w:color w:val="auto"/>
          <w:spacing w:val="-1"/>
          <w:highlight w:val="none"/>
        </w:rPr>
        <w:t>法定代表人（签字或盖章）：</w:t>
      </w:r>
    </w:p>
    <w:p>
      <w:pPr>
        <w:spacing w:after="0" w:line="240" w:lineRule="exact"/>
        <w:ind w:left="60" w:firstLine="4409"/>
        <w:rPr>
          <w:color w:val="auto"/>
          <w:highlight w:val="none"/>
        </w:rPr>
      </w:pPr>
    </w:p>
    <w:p>
      <w:pPr>
        <w:tabs>
          <w:tab w:val="left" w:pos="6360"/>
          <w:tab w:val="left" w:pos="7200"/>
          <w:tab w:val="left" w:pos="8040"/>
        </w:tabs>
        <w:spacing w:after="0" w:line="259" w:lineRule="exact"/>
        <w:ind w:left="60" w:firstLine="4409"/>
        <w:rPr>
          <w:color w:val="auto"/>
          <w:highlight w:val="none"/>
        </w:rPr>
      </w:pPr>
      <w:r>
        <w:rPr>
          <w:rFonts w:ascii="宋体" w:hAnsi="宋体" w:eastAsia="宋体" w:cs="宋体"/>
          <w:color w:val="auto"/>
          <w:spacing w:val="-1"/>
          <w:highlight w:val="none"/>
        </w:rPr>
        <w:t>签发日期：</w:t>
      </w:r>
      <w:r>
        <w:rPr>
          <w:rFonts w:cs="Calibri"/>
          <w:color w:val="auto"/>
          <w:highlight w:val="none"/>
        </w:rPr>
        <w:tab/>
      </w:r>
      <w:r>
        <w:rPr>
          <w:rFonts w:ascii="宋体" w:hAnsi="宋体" w:eastAsia="宋体" w:cs="宋体"/>
          <w:color w:val="auto"/>
          <w:spacing w:val="-2"/>
          <w:highlight w:val="none"/>
        </w:rPr>
        <w:t>年</w:t>
      </w:r>
      <w:r>
        <w:rPr>
          <w:rFonts w:cs="Calibri"/>
          <w:color w:val="auto"/>
          <w:highlight w:val="none"/>
        </w:rPr>
        <w:tab/>
      </w:r>
      <w:r>
        <w:rPr>
          <w:rFonts w:ascii="宋体" w:hAnsi="宋体" w:eastAsia="宋体" w:cs="宋体"/>
          <w:color w:val="auto"/>
          <w:spacing w:val="-2"/>
          <w:highlight w:val="none"/>
        </w:rPr>
        <w:t>月</w:t>
      </w:r>
      <w:r>
        <w:rPr>
          <w:rFonts w:cs="Calibri"/>
          <w:color w:val="auto"/>
          <w:highlight w:val="none"/>
        </w:rPr>
        <w:tab/>
      </w:r>
      <w:r>
        <w:rPr>
          <w:rFonts w:ascii="宋体" w:hAnsi="宋体" w:eastAsia="宋体" w:cs="宋体"/>
          <w:color w:val="auto"/>
          <w:spacing w:val="-2"/>
          <w:highlight w:val="none"/>
        </w:rPr>
        <w:t>日</w:t>
      </w:r>
    </w:p>
    <w:p>
      <w:pPr>
        <w:spacing w:after="0" w:line="240" w:lineRule="exact"/>
        <w:ind w:left="60" w:firstLine="4409"/>
        <w:rPr>
          <w:color w:val="auto"/>
          <w:highlight w:val="none"/>
        </w:rPr>
      </w:pPr>
    </w:p>
    <w:p>
      <w:pPr>
        <w:spacing w:after="0" w:line="240" w:lineRule="exact"/>
        <w:ind w:left="60" w:firstLine="4409"/>
        <w:rPr>
          <w:color w:val="auto"/>
          <w:highlight w:val="none"/>
        </w:rPr>
      </w:pPr>
    </w:p>
    <w:p>
      <w:pPr>
        <w:spacing w:after="0" w:line="240" w:lineRule="exact"/>
        <w:ind w:left="60" w:firstLine="4409"/>
        <w:rPr>
          <w:color w:val="auto"/>
          <w:highlight w:val="none"/>
        </w:rPr>
      </w:pPr>
    </w:p>
    <w:p>
      <w:pPr>
        <w:spacing w:after="0" w:line="281" w:lineRule="exact"/>
        <w:ind w:left="60" w:firstLine="420"/>
        <w:rPr>
          <w:color w:val="auto"/>
          <w:highlight w:val="none"/>
        </w:rPr>
      </w:pPr>
      <w:r>
        <w:rPr>
          <w:rFonts w:ascii="宋体" w:hAnsi="宋体" w:eastAsia="宋体" w:cs="宋体"/>
          <w:color w:val="auto"/>
          <w:spacing w:val="-1"/>
          <w:highlight w:val="none"/>
        </w:rPr>
        <w:t>附：被授权人身份证（复印件）</w:t>
      </w: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240" w:lineRule="exact"/>
        <w:ind w:left="60" w:firstLine="420"/>
        <w:rPr>
          <w:color w:val="auto"/>
          <w:highlight w:val="none"/>
        </w:rPr>
      </w:pPr>
    </w:p>
    <w:p>
      <w:pPr>
        <w:spacing w:after="0" w:line="324" w:lineRule="exact"/>
        <w:ind w:left="60" w:firstLine="420"/>
        <w:rPr>
          <w:color w:val="auto"/>
          <w:highlight w:val="none"/>
        </w:rPr>
      </w:pPr>
    </w:p>
    <w:p>
      <w:pPr>
        <w:widowControl/>
        <w:rPr>
          <w:color w:val="auto"/>
          <w:highlight w:val="none"/>
        </w:rPr>
        <w:sectPr>
          <w:type w:val="continuous"/>
          <w:pgSz w:w="11907" w:h="16840"/>
          <w:pgMar w:top="434" w:right="1020" w:bottom="194" w:left="1380" w:header="0" w:footer="0" w:gutter="0"/>
          <w:cols w:space="720" w:num="1"/>
          <w:docGrid w:type="lines" w:linePitch="312" w:charSpace="0"/>
        </w:sectPr>
      </w:pP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bookmarkStart w:id="150" w:name="40"/>
      <w:bookmarkEnd w:id="150"/>
    </w:p>
    <w:p>
      <w:pPr>
        <w:spacing w:after="0" w:line="240" w:lineRule="exact"/>
        <w:ind w:left="60"/>
        <w:rPr>
          <w:color w:val="auto"/>
          <w:highlight w:val="none"/>
        </w:rPr>
      </w:pPr>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⑥总监理工程师须具备国家注册监理工程师执业资格证（</w:t>
      </w:r>
      <w:r>
        <w:rPr>
          <w:rFonts w:hint="eastAsia" w:ascii="宋体" w:hAnsi="宋体" w:cs="宋体"/>
          <w:color w:val="auto"/>
          <w:spacing w:val="-2"/>
          <w:position w:val="3"/>
          <w:highlight w:val="none"/>
          <w:lang w:eastAsia="zh-CN"/>
        </w:rPr>
        <w:t>房屋建筑</w:t>
      </w:r>
      <w:r>
        <w:rPr>
          <w:rFonts w:hint="eastAsia" w:ascii="宋体" w:hAnsi="宋体" w:cs="宋体"/>
          <w:color w:val="auto"/>
          <w:spacing w:val="-2"/>
          <w:position w:val="3"/>
          <w:highlight w:val="none"/>
        </w:rPr>
        <w:t>工程注册专业）复印件（必须提供，复印件加盖单位公章）；</w:t>
      </w:r>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⑦供应商2020年3月至2020年6月依法纳税的完税证明复印件或电子缴税付款凭证复印件或税务征收机关出具的依法缴纳税收证明复印件（必须提供，复印件加盖单位公章）；</w:t>
      </w:r>
    </w:p>
    <w:p>
      <w:pPr>
        <w:spacing w:after="0" w:line="473" w:lineRule="exact"/>
        <w:ind w:left="60" w:firstLine="209"/>
        <w:rPr>
          <w:rFonts w:ascii="宋体" w:hAnsi="宋体" w:cs="宋体"/>
          <w:color w:val="auto"/>
          <w:spacing w:val="-2"/>
          <w:position w:val="3"/>
          <w:highlight w:val="none"/>
        </w:rPr>
      </w:pPr>
      <w:r>
        <w:rPr>
          <w:rFonts w:hint="eastAsia" w:ascii="宋体" w:hAnsi="宋体" w:cs="宋体"/>
          <w:color w:val="auto"/>
          <w:spacing w:val="-2"/>
          <w:position w:val="3"/>
          <w:highlight w:val="none"/>
        </w:rPr>
        <w:t>⑧供应商2020年3月至2020年6月在职员工依法缴纳的“社会保险基金专用收款收据”复印件或人力资源与社会保障局（社保中心或劳动监察部门）出具的依法缴纳社保证明复印件（必须提供，复印件加盖单位公章）；</w:t>
      </w:r>
    </w:p>
    <w:p>
      <w:pPr>
        <w:spacing w:after="0" w:line="473" w:lineRule="exact"/>
        <w:ind w:left="60" w:firstLine="209"/>
        <w:rPr>
          <w:color w:val="auto"/>
          <w:highlight w:val="none"/>
        </w:rPr>
      </w:pPr>
      <w:r>
        <w:rPr>
          <w:rFonts w:hint="eastAsia" w:ascii="宋体" w:hAnsi="宋体" w:cs="宋体"/>
          <w:color w:val="auto"/>
          <w:highlight w:val="none"/>
        </w:rPr>
        <w:t>⑨</w:t>
      </w:r>
      <w:r>
        <w:rPr>
          <w:rFonts w:hint="eastAsia" w:ascii="宋体" w:hAnsi="宋体" w:eastAsia="宋体" w:cs="宋体"/>
          <w:color w:val="auto"/>
          <w:highlight w:val="none"/>
        </w:rPr>
        <w:t>供应商2019年通过中介审计的有效财务审计报告复印件</w:t>
      </w:r>
      <w:r>
        <w:rPr>
          <w:rFonts w:hint="eastAsia" w:ascii="宋体" w:hAnsi="宋体" w:cs="宋体"/>
          <w:color w:val="auto"/>
          <w:highlight w:val="none"/>
        </w:rPr>
        <w:t>（如为2020年1月以后新成立的磋商单位请按月/季度/半年等实际情况依法提供财务报表复印件）（必须提供，加盖单位公章）</w:t>
      </w:r>
      <w:r>
        <w:rPr>
          <w:rFonts w:ascii="宋体" w:hAnsi="宋体" w:cs="宋体"/>
          <w:color w:val="auto"/>
          <w:highlight w:val="none"/>
        </w:rPr>
        <w:t>；</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442" w:lineRule="exact"/>
        <w:ind w:left="140" w:firstLine="209"/>
        <w:rPr>
          <w:rFonts w:ascii="宋体" w:hAnsi="宋体" w:cs="宋体"/>
          <w:color w:val="auto"/>
          <w:highlight w:val="none"/>
        </w:rPr>
      </w:pPr>
      <w:r>
        <w:rPr>
          <w:rFonts w:hint="eastAsia" w:ascii="宋体" w:hAnsi="宋体" w:eastAsia="宋体" w:cs="宋体"/>
          <w:color w:val="auto"/>
          <w:highlight w:val="none"/>
        </w:rPr>
        <w:t>⑩</w:t>
      </w:r>
      <w:r>
        <w:rPr>
          <w:rFonts w:ascii="宋体" w:hAnsi="宋体" w:eastAsia="宋体" w:cs="宋体"/>
          <w:color w:val="auto"/>
          <w:highlight w:val="none"/>
        </w:rPr>
        <w:t>供应商</w:t>
      </w:r>
      <w:r>
        <w:rPr>
          <w:rFonts w:hint="eastAsia" w:ascii="宋体" w:hAnsi="宋体" w:cs="宋体"/>
          <w:color w:val="auto"/>
          <w:highlight w:val="none"/>
        </w:rPr>
        <w:t>在“信用中国”网站(www.creditchina.gov.cn)或国家企业信用信息公示系统（http://www.gsxt.gov.cn/index.html）和中国政府采购网(www.ccgp.gov.cn)等渠道列入失信被执行人、重大税收违法案件当事人名单、政府采购严重违法失信行为记录名单网上截图（截图时间须在本项目采购公告发布期间）（必须提供，加盖单位公章）；</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52" w:lineRule="exact"/>
        <w:ind w:left="6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324" w:lineRule="exact"/>
        <w:ind w:left="60"/>
        <w:rPr>
          <w:color w:val="auto"/>
          <w:highlight w:val="none"/>
        </w:rPr>
      </w:pPr>
      <w:r>
        <w:rPr>
          <w:rFonts w:ascii="黑体" w:hAnsi="黑体" w:cs="黑体"/>
          <w:color w:val="auto"/>
          <w:spacing w:val="-5"/>
          <w:sz w:val="32"/>
          <w:highlight w:val="none"/>
        </w:rPr>
        <w:t>4、供应商认为有必要提供的证明其满足本项目</w:t>
      </w:r>
      <w:r>
        <w:rPr>
          <w:rFonts w:hint="eastAsia" w:ascii="黑体" w:hAnsi="黑体" w:cs="黑体"/>
          <w:color w:val="auto"/>
          <w:spacing w:val="-5"/>
          <w:sz w:val="32"/>
          <w:highlight w:val="none"/>
        </w:rPr>
        <w:t>磋商</w:t>
      </w:r>
      <w:r>
        <w:rPr>
          <w:rFonts w:ascii="黑体" w:hAnsi="黑体" w:cs="黑体"/>
          <w:color w:val="auto"/>
          <w:spacing w:val="-5"/>
          <w:sz w:val="32"/>
          <w:highlight w:val="none"/>
        </w:rPr>
        <w:t>资格的声明及</w:t>
      </w:r>
    </w:p>
    <w:p>
      <w:pPr>
        <w:spacing w:after="0" w:line="175" w:lineRule="exact"/>
        <w:ind w:left="60"/>
        <w:rPr>
          <w:color w:val="auto"/>
          <w:highlight w:val="none"/>
        </w:rPr>
      </w:pPr>
    </w:p>
    <w:p>
      <w:pPr>
        <w:spacing w:after="0" w:line="324" w:lineRule="exact"/>
        <w:ind w:left="60"/>
        <w:rPr>
          <w:color w:val="auto"/>
          <w:highlight w:val="none"/>
        </w:rPr>
      </w:pPr>
      <w:r>
        <w:rPr>
          <w:rFonts w:ascii="黑体" w:hAnsi="黑体" w:eastAsia="黑体" w:cs="黑体"/>
          <w:color w:val="auto"/>
          <w:spacing w:val="-2"/>
          <w:sz w:val="32"/>
          <w:highlight w:val="none"/>
        </w:rPr>
        <w:t>文件资</w:t>
      </w:r>
      <w:r>
        <w:rPr>
          <w:rFonts w:ascii="黑体" w:hAnsi="黑体" w:cs="黑体"/>
          <w:color w:val="auto"/>
          <w:spacing w:val="-1"/>
          <w:sz w:val="32"/>
          <w:highlight w:val="none"/>
        </w:rPr>
        <w:t>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bookmarkStart w:id="151" w:name="41"/>
      <w:bookmarkEnd w:id="151"/>
    </w:p>
    <w:p>
      <w:pPr>
        <w:spacing w:after="0" w:line="240" w:lineRule="exact"/>
        <w:ind w:left="60"/>
        <w:rPr>
          <w:color w:val="auto"/>
          <w:highlight w:val="none"/>
        </w:rPr>
      </w:pPr>
    </w:p>
    <w:p>
      <w:pPr>
        <w:spacing w:after="0" w:line="240" w:lineRule="exact"/>
        <w:ind w:left="60"/>
        <w:rPr>
          <w:color w:val="auto"/>
          <w:highlight w:val="none"/>
        </w:rPr>
      </w:pPr>
    </w:p>
    <w:p>
      <w:pPr>
        <w:spacing w:after="0" w:line="250" w:lineRule="exact"/>
        <w:ind w:left="60"/>
        <w:rPr>
          <w:color w:val="auto"/>
          <w:highlight w:val="none"/>
        </w:rPr>
      </w:pPr>
    </w:p>
    <w:p>
      <w:pPr>
        <w:widowControl/>
        <w:rPr>
          <w:color w:val="auto"/>
          <w:highlight w:val="none"/>
        </w:rPr>
        <w:sectPr>
          <w:type w:val="continuous"/>
          <w:pgSz w:w="11907" w:h="16840"/>
          <w:pgMar w:top="434" w:right="1020" w:bottom="194" w:left="1380" w:header="0" w:footer="0" w:gutter="0"/>
          <w:cols w:space="720" w:num="1"/>
          <w:docGrid w:type="lines" w:linePitch="312" w:charSpace="0"/>
        </w:sectPr>
      </w:pPr>
    </w:p>
    <w:p>
      <w:pPr>
        <w:spacing w:after="0" w:line="361" w:lineRule="exact"/>
        <w:ind w:left="3552"/>
        <w:outlineLvl w:val="0"/>
        <w:rPr>
          <w:color w:val="auto"/>
          <w:highlight w:val="none"/>
        </w:rPr>
      </w:pPr>
      <w:r>
        <w:rPr>
          <w:rFonts w:ascii="宋体" w:hAnsi="宋体" w:cs="宋体"/>
          <w:color w:val="auto"/>
          <w:sz w:val="36"/>
          <w:highlight w:val="none"/>
        </w:rPr>
        <w:t>三、技术文件</w:t>
      </w:r>
    </w:p>
    <w:p>
      <w:pPr>
        <w:widowControl/>
        <w:rPr>
          <w:color w:val="auto"/>
          <w:highlight w:val="none"/>
        </w:rPr>
        <w:sectPr>
          <w:type w:val="continuous"/>
          <w:pgSz w:w="11907" w:h="16840"/>
          <w:pgMar w:top="434" w:right="1020" w:bottom="194" w:left="1380" w:header="0" w:footer="0" w:gutter="0"/>
          <w:cols w:equalWidth="0" w:num="1">
            <w:col w:w="9507"/>
          </w:cols>
          <w:docGrid w:type="lines" w:linePitch="312" w:charSpace="0"/>
        </w:sectPr>
      </w:pPr>
    </w:p>
    <w:p>
      <w:pPr>
        <w:spacing w:after="0" w:line="240" w:lineRule="exact"/>
        <w:ind w:left="60"/>
        <w:rPr>
          <w:color w:val="auto"/>
          <w:highlight w:val="none"/>
        </w:rPr>
      </w:pPr>
      <w:bookmarkStart w:id="152" w:name="42"/>
      <w:bookmarkEnd w:id="152"/>
    </w:p>
    <w:p>
      <w:pPr>
        <w:spacing w:after="0" w:line="470" w:lineRule="exact"/>
        <w:ind w:left="60" w:firstLine="1829"/>
        <w:rPr>
          <w:color w:val="auto"/>
          <w:highlight w:val="none"/>
        </w:rPr>
      </w:pPr>
      <w:r>
        <w:rPr>
          <w:rFonts w:ascii="Tahoma" w:hAnsi="Tahoma" w:cs="Tahoma"/>
          <w:b/>
          <w:color w:val="auto"/>
          <w:spacing w:val="-1"/>
          <w:w w:val="95"/>
          <w:sz w:val="32"/>
          <w:highlight w:val="none"/>
        </w:rPr>
        <w:t>1</w:t>
      </w:r>
      <w:r>
        <w:rPr>
          <w:rFonts w:ascii="宋体" w:hAnsi="宋体" w:cs="宋体"/>
          <w:color w:val="auto"/>
          <w:spacing w:val="-2"/>
          <w:position w:val="2"/>
          <w:sz w:val="32"/>
          <w:highlight w:val="none"/>
        </w:rPr>
        <w:t>、</w:t>
      </w:r>
      <w:r>
        <w:rPr>
          <w:rFonts w:hint="eastAsia" w:ascii="宋体" w:hAnsi="宋体" w:eastAsia="宋体" w:cs="宋体"/>
          <w:color w:val="auto"/>
          <w:spacing w:val="-2"/>
          <w:position w:val="2"/>
          <w:sz w:val="32"/>
          <w:highlight w:val="none"/>
        </w:rPr>
        <w:t>监理大纲</w:t>
      </w:r>
      <w:r>
        <w:rPr>
          <w:rFonts w:ascii="宋体" w:hAnsi="宋体" w:eastAsia="宋体" w:cs="宋体"/>
          <w:color w:val="auto"/>
          <w:spacing w:val="-2"/>
          <w:position w:val="2"/>
          <w:sz w:val="32"/>
          <w:highlight w:val="none"/>
        </w:rPr>
        <w:t>（技术方案）（格式）</w:t>
      </w:r>
    </w:p>
    <w:p>
      <w:pPr>
        <w:spacing w:after="0" w:line="240" w:lineRule="exact"/>
        <w:ind w:left="60" w:firstLine="1829"/>
        <w:rPr>
          <w:color w:val="auto"/>
          <w:highlight w:val="none"/>
        </w:rPr>
      </w:pPr>
    </w:p>
    <w:p>
      <w:pPr>
        <w:spacing w:after="0" w:line="240" w:lineRule="exact"/>
        <w:ind w:left="60" w:firstLine="1829"/>
        <w:rPr>
          <w:color w:val="auto"/>
          <w:highlight w:val="none"/>
        </w:rPr>
      </w:pPr>
    </w:p>
    <w:p>
      <w:pPr>
        <w:spacing w:after="0" w:line="240" w:lineRule="exact"/>
        <w:ind w:left="60" w:firstLine="1829"/>
        <w:rPr>
          <w:color w:val="auto"/>
          <w:highlight w:val="none"/>
        </w:rPr>
      </w:pPr>
    </w:p>
    <w:p>
      <w:pPr>
        <w:spacing w:after="0" w:line="283" w:lineRule="exact"/>
        <w:ind w:left="60" w:firstLine="3170"/>
        <w:rPr>
          <w:color w:val="auto"/>
          <w:highlight w:val="none"/>
        </w:rPr>
      </w:pPr>
      <w:r>
        <w:rPr>
          <w:rFonts w:ascii="Times New Roman" w:hAnsi="Times New Roman" w:cs="Times New Roman"/>
          <w:color w:val="auto"/>
          <w:spacing w:val="-1"/>
          <w:highlight w:val="none"/>
        </w:rPr>
        <w:t>(</w:t>
      </w:r>
      <w:r>
        <w:rPr>
          <w:rFonts w:ascii="宋体" w:hAnsi="宋体" w:eastAsia="宋体" w:cs="宋体"/>
          <w:color w:val="auto"/>
          <w:spacing w:val="-1"/>
          <w:position w:val="3"/>
          <w:highlight w:val="none"/>
        </w:rPr>
        <w:t>由供应商根据项目要求自行填写</w:t>
      </w:r>
      <w:r>
        <w:rPr>
          <w:rFonts w:ascii="Times New Roman" w:hAnsi="Times New Roman" w:cs="Times New Roman"/>
          <w:color w:val="auto"/>
          <w:spacing w:val="-1"/>
          <w:highlight w:val="none"/>
        </w:rPr>
        <w:t>)</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240" w:lineRule="exact"/>
        <w:ind w:left="60" w:firstLine="3170"/>
        <w:rPr>
          <w:color w:val="auto"/>
          <w:highlight w:val="none"/>
        </w:rPr>
      </w:pPr>
    </w:p>
    <w:p>
      <w:pPr>
        <w:spacing w:after="0" w:line="448" w:lineRule="exact"/>
        <w:ind w:left="60" w:firstLine="3170"/>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408" w:lineRule="exact"/>
        <w:ind w:left="60" w:firstLine="3595"/>
        <w:rPr>
          <w:color w:val="auto"/>
          <w:highlight w:val="none"/>
        </w:rPr>
      </w:pPr>
      <w:r>
        <w:rPr>
          <w:rFonts w:ascii="Tahoma" w:hAnsi="Tahoma" w:cs="Tahoma"/>
          <w:b/>
          <w:color w:val="auto"/>
          <w:spacing w:val="-1"/>
          <w:w w:val="95"/>
          <w:sz w:val="32"/>
          <w:highlight w:val="none"/>
        </w:rPr>
        <w:t>2</w:t>
      </w:r>
      <w:r>
        <w:rPr>
          <w:rFonts w:ascii="宋体" w:hAnsi="宋体" w:cs="宋体"/>
          <w:color w:val="auto"/>
          <w:position w:val="2"/>
          <w:sz w:val="32"/>
          <w:highlight w:val="none"/>
        </w:rPr>
        <w:t>、人员配置</w:t>
      </w:r>
    </w:p>
    <w:p>
      <w:pPr>
        <w:spacing w:after="0" w:line="240" w:lineRule="exact"/>
        <w:ind w:left="60" w:firstLine="3595"/>
        <w:rPr>
          <w:color w:val="auto"/>
          <w:highlight w:val="none"/>
        </w:rPr>
      </w:pPr>
    </w:p>
    <w:p>
      <w:pPr>
        <w:spacing w:after="0" w:line="240" w:lineRule="exact"/>
        <w:ind w:left="60" w:firstLine="3595"/>
        <w:rPr>
          <w:color w:val="auto"/>
          <w:highlight w:val="none"/>
        </w:rPr>
      </w:pPr>
    </w:p>
    <w:p>
      <w:pPr>
        <w:spacing w:after="0" w:line="350" w:lineRule="exact"/>
        <w:ind w:left="60"/>
        <w:rPr>
          <w:color w:val="auto"/>
          <w:highlight w:val="none"/>
        </w:rPr>
      </w:pPr>
      <w:r>
        <w:rPr>
          <w:rFonts w:ascii="宋体" w:hAnsi="宋体" w:eastAsia="宋体" w:cs="宋体"/>
          <w:color w:val="auto"/>
          <w:spacing w:val="-1"/>
          <w:highlight w:val="none"/>
        </w:rPr>
        <w:t>需提供项目组成员职称证复印件及</w:t>
      </w:r>
      <w:r>
        <w:rPr>
          <w:rFonts w:ascii="Calibri" w:hAnsi="Calibri" w:cs="Calibri"/>
          <w:color w:val="auto"/>
          <w:spacing w:val="1"/>
          <w:highlight w:val="none"/>
        </w:rPr>
        <w:t> </w:t>
      </w:r>
      <w:r>
        <w:rPr>
          <w:rFonts w:ascii="宋体" w:hAnsi="宋体" w:cs="宋体"/>
          <w:color w:val="auto"/>
          <w:highlight w:val="none"/>
        </w:rPr>
        <w:t>20</w:t>
      </w:r>
      <w:r>
        <w:rPr>
          <w:rFonts w:hint="eastAsia" w:ascii="宋体" w:hAnsi="宋体" w:cs="宋体"/>
          <w:color w:val="auto"/>
          <w:highlight w:val="none"/>
        </w:rPr>
        <w:t>20</w:t>
      </w:r>
      <w:r>
        <w:rPr>
          <w:rFonts w:ascii="宋体" w:hAnsi="宋体" w:eastAsia="宋体" w:cs="宋体"/>
          <w:color w:val="auto"/>
          <w:spacing w:val="-2"/>
          <w:highlight w:val="none"/>
        </w:rPr>
        <w:t>年</w:t>
      </w:r>
      <w:r>
        <w:rPr>
          <w:rFonts w:hint="eastAsia" w:ascii="宋体" w:hAnsi="宋体" w:eastAsia="宋体" w:cs="宋体"/>
          <w:color w:val="auto"/>
          <w:spacing w:val="-1"/>
          <w:highlight w:val="none"/>
        </w:rPr>
        <w:t>3</w:t>
      </w:r>
      <w:r>
        <w:rPr>
          <w:rFonts w:ascii="宋体" w:hAnsi="宋体" w:eastAsia="宋体" w:cs="宋体"/>
          <w:color w:val="auto"/>
          <w:spacing w:val="-2"/>
          <w:highlight w:val="none"/>
        </w:rPr>
        <w:t>月至</w:t>
      </w:r>
      <w:r>
        <w:rPr>
          <w:rFonts w:ascii="Calibri" w:hAnsi="Calibri" w:cs="Calibri"/>
          <w:color w:val="auto"/>
          <w:spacing w:val="1"/>
          <w:highlight w:val="none"/>
        </w:rPr>
        <w:t> </w:t>
      </w:r>
      <w:r>
        <w:rPr>
          <w:rFonts w:ascii="宋体" w:hAnsi="宋体" w:cs="宋体"/>
          <w:color w:val="auto"/>
          <w:highlight w:val="none"/>
        </w:rPr>
        <w:t>20</w:t>
      </w:r>
      <w:r>
        <w:rPr>
          <w:rFonts w:hint="eastAsia" w:ascii="宋体" w:hAnsi="宋体" w:cs="宋体"/>
          <w:color w:val="auto"/>
          <w:highlight w:val="none"/>
        </w:rPr>
        <w:t>20</w:t>
      </w:r>
      <w:r>
        <w:rPr>
          <w:rFonts w:ascii="Calibri" w:hAnsi="Calibri" w:cs="Calibri"/>
          <w:color w:val="auto"/>
          <w:highlight w:val="none"/>
        </w:rPr>
        <w:t> </w:t>
      </w:r>
      <w:r>
        <w:rPr>
          <w:rFonts w:ascii="宋体" w:hAnsi="宋体" w:eastAsia="宋体" w:cs="宋体"/>
          <w:color w:val="auto"/>
          <w:spacing w:val="-2"/>
          <w:highlight w:val="none"/>
        </w:rPr>
        <w:t>年</w:t>
      </w:r>
      <w:r>
        <w:rPr>
          <w:rFonts w:hint="eastAsia" w:ascii="宋体" w:hAnsi="宋体" w:eastAsia="宋体" w:cs="宋体"/>
          <w:color w:val="auto"/>
          <w:spacing w:val="-2"/>
          <w:highlight w:val="none"/>
        </w:rPr>
        <w:t>6</w:t>
      </w:r>
      <w:r>
        <w:rPr>
          <w:rFonts w:ascii="宋体" w:hAnsi="宋体" w:eastAsia="宋体" w:cs="宋体"/>
          <w:color w:val="auto"/>
          <w:highlight w:val="none"/>
        </w:rPr>
        <w:t>月供应商为其缴纳社保的证明材料复印</w:t>
      </w:r>
    </w:p>
    <w:p>
      <w:pPr>
        <w:spacing w:after="0" w:line="271" w:lineRule="exact"/>
        <w:ind w:left="60"/>
        <w:rPr>
          <w:color w:val="auto"/>
          <w:highlight w:val="none"/>
        </w:rPr>
      </w:pPr>
      <w:r>
        <w:rPr>
          <w:rFonts w:ascii="宋体" w:hAnsi="宋体" w:eastAsia="宋体" w:cs="宋体"/>
          <w:color w:val="auto"/>
          <w:spacing w:val="-2"/>
          <w:highlight w:val="none"/>
        </w:rPr>
        <w:t>件</w:t>
      </w: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240" w:lineRule="exact"/>
        <w:ind w:left="60"/>
        <w:rPr>
          <w:color w:val="auto"/>
          <w:highlight w:val="none"/>
        </w:rPr>
      </w:pPr>
    </w:p>
    <w:p>
      <w:pPr>
        <w:spacing w:after="0" w:line="413" w:lineRule="exact"/>
        <w:ind w:left="60" w:firstLine="2880"/>
        <w:rPr>
          <w:color w:val="auto"/>
          <w:highlight w:val="none"/>
        </w:rPr>
      </w:pPr>
      <w:r>
        <w:rPr>
          <w:rFonts w:ascii="Tahoma" w:hAnsi="Tahoma" w:cs="Tahoma"/>
          <w:b/>
          <w:color w:val="auto"/>
          <w:spacing w:val="-1"/>
          <w:w w:val="95"/>
          <w:sz w:val="32"/>
          <w:highlight w:val="none"/>
        </w:rPr>
        <w:t>3</w:t>
      </w:r>
      <w:r>
        <w:rPr>
          <w:rFonts w:ascii="宋体" w:hAnsi="宋体" w:cs="宋体"/>
          <w:color w:val="auto"/>
          <w:spacing w:val="-2"/>
          <w:position w:val="2"/>
          <w:sz w:val="32"/>
          <w:highlight w:val="none"/>
        </w:rPr>
        <w:t>、</w:t>
      </w:r>
      <w:r>
        <w:rPr>
          <w:rFonts w:ascii="宋体" w:hAnsi="宋体" w:eastAsia="宋体" w:cs="宋体"/>
          <w:color w:val="auto"/>
          <w:spacing w:val="-2"/>
          <w:position w:val="2"/>
          <w:sz w:val="32"/>
          <w:highlight w:val="none"/>
        </w:rPr>
        <w:t>项目</w:t>
      </w:r>
      <w:r>
        <w:rPr>
          <w:rFonts w:ascii="宋体" w:hAnsi="宋体" w:eastAsia="宋体" w:cs="宋体"/>
          <w:color w:val="auto"/>
          <w:spacing w:val="-1"/>
          <w:position w:val="2"/>
          <w:sz w:val="32"/>
          <w:highlight w:val="none"/>
        </w:rPr>
        <w:t>服务</w:t>
      </w:r>
      <w:r>
        <w:rPr>
          <w:rFonts w:ascii="宋体" w:hAnsi="宋体" w:eastAsia="宋体" w:cs="宋体"/>
          <w:color w:val="auto"/>
          <w:spacing w:val="-2"/>
          <w:position w:val="2"/>
          <w:sz w:val="32"/>
          <w:highlight w:val="none"/>
        </w:rPr>
        <w:t>承诺书</w:t>
      </w:r>
    </w:p>
    <w:p>
      <w:pPr>
        <w:spacing w:after="0" w:line="240" w:lineRule="exact"/>
        <w:ind w:left="60" w:firstLine="2880"/>
        <w:rPr>
          <w:color w:val="auto"/>
          <w:highlight w:val="none"/>
        </w:rPr>
      </w:pPr>
    </w:p>
    <w:p>
      <w:pPr>
        <w:spacing w:after="0" w:line="240" w:lineRule="exact"/>
        <w:ind w:left="60" w:firstLine="2880"/>
        <w:rPr>
          <w:color w:val="auto"/>
          <w:highlight w:val="none"/>
        </w:rPr>
      </w:pPr>
    </w:p>
    <w:p>
      <w:pPr>
        <w:spacing w:after="0" w:line="444" w:lineRule="exact"/>
        <w:ind w:left="60" w:firstLine="2731"/>
        <w:rPr>
          <w:color w:val="auto"/>
          <w:highlight w:val="none"/>
        </w:rPr>
      </w:pPr>
      <w:r>
        <w:rPr>
          <w:rFonts w:ascii="宋体" w:hAnsi="宋体" w:eastAsia="宋体" w:cs="宋体"/>
          <w:color w:val="auto"/>
          <w:spacing w:val="-1"/>
          <w:highlight w:val="none"/>
        </w:rPr>
        <w:t>（由</w:t>
      </w:r>
      <w:r>
        <w:rPr>
          <w:rFonts w:ascii="宋体" w:hAnsi="宋体" w:eastAsia="宋体" w:cs="宋体"/>
          <w:color w:val="auto"/>
          <w:highlight w:val="none"/>
        </w:rPr>
        <w:t>供应商</w:t>
      </w:r>
      <w:r>
        <w:rPr>
          <w:rFonts w:ascii="宋体" w:hAnsi="宋体" w:eastAsia="宋体" w:cs="宋体"/>
          <w:color w:val="auto"/>
          <w:spacing w:val="-1"/>
          <w:highlight w:val="none"/>
        </w:rPr>
        <w:t>就本项目完成承诺书填写）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240" w:lineRule="exact"/>
        <w:ind w:left="60" w:firstLine="2731"/>
        <w:rPr>
          <w:color w:val="auto"/>
          <w:highlight w:val="none"/>
        </w:rPr>
      </w:pPr>
    </w:p>
    <w:p>
      <w:pPr>
        <w:spacing w:after="0" w:line="413" w:lineRule="exact"/>
        <w:ind w:left="60" w:firstLine="2880"/>
        <w:rPr>
          <w:rFonts w:ascii="Tahoma" w:hAnsi="Tahoma" w:cs="Tahoma"/>
          <w:b/>
          <w:color w:val="auto"/>
          <w:spacing w:val="-1"/>
          <w:w w:val="95"/>
          <w:sz w:val="32"/>
          <w:highlight w:val="none"/>
        </w:rPr>
      </w:pPr>
    </w:p>
    <w:p>
      <w:pPr>
        <w:spacing w:after="0" w:line="413" w:lineRule="exact"/>
        <w:ind w:left="60" w:firstLine="2880"/>
        <w:rPr>
          <w:rFonts w:ascii="Tahoma" w:hAnsi="Tahoma" w:cs="Tahoma"/>
          <w:b/>
          <w:color w:val="auto"/>
          <w:spacing w:val="-1"/>
          <w:w w:val="95"/>
          <w:sz w:val="32"/>
          <w:highlight w:val="none"/>
        </w:rPr>
        <w:sectPr>
          <w:type w:val="continuous"/>
          <w:pgSz w:w="11907" w:h="16839"/>
          <w:pgMar w:top="434" w:right="1020" w:bottom="194" w:left="1380" w:header="0" w:footer="0" w:gutter="0"/>
          <w:cols w:space="720" w:num="1"/>
          <w:docGrid w:type="lines" w:linePitch="312" w:charSpace="0"/>
        </w:sectPr>
      </w:pPr>
    </w:p>
    <w:p>
      <w:pPr>
        <w:spacing w:after="0" w:line="413" w:lineRule="exact"/>
        <w:ind w:left="60" w:firstLine="2880"/>
        <w:rPr>
          <w:rFonts w:ascii="Tahoma" w:hAnsi="Tahoma" w:cs="Tahoma"/>
          <w:b/>
          <w:color w:val="auto"/>
          <w:spacing w:val="-1"/>
          <w:w w:val="95"/>
          <w:sz w:val="32"/>
          <w:highlight w:val="none"/>
        </w:rPr>
      </w:pPr>
      <w:r>
        <w:rPr>
          <w:rFonts w:ascii="Tahoma" w:hAnsi="Tahoma" w:cs="Tahoma"/>
          <w:b/>
          <w:color w:val="auto"/>
          <w:spacing w:val="-1"/>
          <w:w w:val="95"/>
          <w:sz w:val="32"/>
          <w:highlight w:val="none"/>
        </w:rPr>
        <w:t>4、其它文件及资料。</w:t>
      </w:r>
    </w:p>
    <w:p>
      <w:pPr>
        <w:widowControl/>
        <w:rPr>
          <w:color w:val="auto"/>
          <w:highlight w:val="none"/>
        </w:rPr>
        <w:sectPr>
          <w:type w:val="continuous"/>
          <w:pgSz w:w="11907" w:h="16839"/>
          <w:pgMar w:top="434" w:right="1020" w:bottom="194" w:left="1380" w:header="0" w:footer="0" w:gutter="0"/>
          <w:cols w:equalWidth="0" w:num="1">
            <w:col w:w="9507"/>
          </w:cols>
          <w:docGrid w:type="lines" w:linePitch="312" w:charSpace="0"/>
        </w:sect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40" w:lineRule="exact"/>
        <w:ind w:left="3336"/>
        <w:rPr>
          <w:color w:val="auto"/>
          <w:highlight w:val="none"/>
        </w:rPr>
      </w:pPr>
    </w:p>
    <w:p>
      <w:pPr>
        <w:spacing w:after="0" w:line="259" w:lineRule="exact"/>
        <w:ind w:left="3336"/>
        <w:rPr>
          <w:color w:val="auto"/>
          <w:highlight w:val="none"/>
        </w:rPr>
      </w:pPr>
    </w:p>
    <w:p>
      <w:pPr>
        <w:widowControl/>
        <w:rPr>
          <w:color w:val="auto"/>
          <w:highlight w:val="none"/>
        </w:rPr>
        <w:sectPr>
          <w:type w:val="continuous"/>
          <w:pgSz w:w="11907" w:h="16839"/>
          <w:pgMar w:top="434" w:right="1020" w:bottom="194" w:left="1380" w:header="0" w:footer="0" w:gutter="0"/>
          <w:cols w:space="720" w:num="1"/>
          <w:docGrid w:type="lines" w:linePitch="312" w:charSpace="0"/>
        </w:sectPr>
      </w:pPr>
    </w:p>
    <w:p>
      <w:pPr>
        <w:spacing w:after="0" w:line="236" w:lineRule="exact"/>
        <w:ind w:left="4469"/>
        <w:rPr>
          <w:color w:val="auto"/>
          <w:highlight w:val="none"/>
        </w:rPr>
      </w:pPr>
    </w:p>
    <w:sectPr>
      <w:type w:val="continuous"/>
      <w:pgSz w:w="11907" w:h="16839"/>
      <w:pgMar w:top="434" w:right="1020" w:bottom="194" w:left="1380" w:header="0" w:footer="0" w:gutter="0"/>
      <w:cols w:equalWidth="0" w:num="1">
        <w:col w:w="950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4469"/>
    </w:sdtPr>
    <w:sdtContent>
      <w:p>
        <w:pPr>
          <w:pStyle w:val="10"/>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68ACB"/>
    <w:multiLevelType w:val="singleLevel"/>
    <w:tmpl w:val="A4F68ACB"/>
    <w:lvl w:ilvl="0" w:tentative="0">
      <w:start w:val="1"/>
      <w:numFmt w:val="chineseCounting"/>
      <w:suff w:val="nothing"/>
      <w:lvlText w:val="(%1）"/>
      <w:lvlJc w:val="left"/>
      <w:rPr>
        <w:rFonts w:hint="eastAsia"/>
      </w:rPr>
    </w:lvl>
  </w:abstractNum>
  <w:abstractNum w:abstractNumId="1">
    <w:nsid w:val="CE68976C"/>
    <w:multiLevelType w:val="singleLevel"/>
    <w:tmpl w:val="CE68976C"/>
    <w:lvl w:ilvl="0" w:tentative="0">
      <w:start w:val="1"/>
      <w:numFmt w:val="decimal"/>
      <w:suff w:val="nothing"/>
      <w:lvlText w:val="（%1）"/>
      <w:lvlJc w:val="left"/>
    </w:lvl>
  </w:abstractNum>
  <w:abstractNum w:abstractNumId="2">
    <w:nsid w:val="2DF24D71"/>
    <w:multiLevelType w:val="multilevel"/>
    <w:tmpl w:val="2DF24D71"/>
    <w:lvl w:ilvl="0" w:tentative="0">
      <w:start w:val="3"/>
      <w:numFmt w:val="japaneseCounting"/>
      <w:lvlText w:val="(%1）"/>
      <w:lvlJc w:val="left"/>
      <w:pPr>
        <w:ind w:left="1279" w:hanging="720"/>
      </w:pPr>
      <w:rPr>
        <w:rFonts w:hint="default"/>
      </w:rPr>
    </w:lvl>
    <w:lvl w:ilvl="1" w:tentative="0">
      <w:start w:val="1"/>
      <w:numFmt w:val="lowerLetter"/>
      <w:lvlText w:val="%2)"/>
      <w:lvlJc w:val="left"/>
      <w:pPr>
        <w:ind w:left="1399" w:hanging="420"/>
      </w:pPr>
    </w:lvl>
    <w:lvl w:ilvl="2" w:tentative="0">
      <w:start w:val="1"/>
      <w:numFmt w:val="lowerRoman"/>
      <w:lvlText w:val="%3."/>
      <w:lvlJc w:val="right"/>
      <w:pPr>
        <w:ind w:left="1819" w:hanging="420"/>
      </w:pPr>
    </w:lvl>
    <w:lvl w:ilvl="3" w:tentative="0">
      <w:start w:val="1"/>
      <w:numFmt w:val="decimal"/>
      <w:lvlText w:val="%4."/>
      <w:lvlJc w:val="left"/>
      <w:pPr>
        <w:ind w:left="2239" w:hanging="420"/>
      </w:pPr>
    </w:lvl>
    <w:lvl w:ilvl="4" w:tentative="0">
      <w:start w:val="1"/>
      <w:numFmt w:val="lowerLetter"/>
      <w:lvlText w:val="%5)"/>
      <w:lvlJc w:val="left"/>
      <w:pPr>
        <w:ind w:left="2659" w:hanging="420"/>
      </w:pPr>
    </w:lvl>
    <w:lvl w:ilvl="5" w:tentative="0">
      <w:start w:val="1"/>
      <w:numFmt w:val="lowerRoman"/>
      <w:lvlText w:val="%6."/>
      <w:lvlJc w:val="right"/>
      <w:pPr>
        <w:ind w:left="3079" w:hanging="420"/>
      </w:pPr>
    </w:lvl>
    <w:lvl w:ilvl="6" w:tentative="0">
      <w:start w:val="1"/>
      <w:numFmt w:val="decimal"/>
      <w:lvlText w:val="%7."/>
      <w:lvlJc w:val="left"/>
      <w:pPr>
        <w:ind w:left="3499" w:hanging="420"/>
      </w:pPr>
    </w:lvl>
    <w:lvl w:ilvl="7" w:tentative="0">
      <w:start w:val="1"/>
      <w:numFmt w:val="lowerLetter"/>
      <w:lvlText w:val="%8)"/>
      <w:lvlJc w:val="left"/>
      <w:pPr>
        <w:ind w:left="3919" w:hanging="420"/>
      </w:pPr>
    </w:lvl>
    <w:lvl w:ilvl="8" w:tentative="0">
      <w:start w:val="1"/>
      <w:numFmt w:val="lowerRoman"/>
      <w:lvlText w:val="%9."/>
      <w:lvlJc w:val="right"/>
      <w:pPr>
        <w:ind w:left="4339" w:hanging="420"/>
      </w:pPr>
    </w:lvl>
  </w:abstractNum>
  <w:abstractNum w:abstractNumId="3">
    <w:nsid w:val="31559422"/>
    <w:multiLevelType w:val="singleLevel"/>
    <w:tmpl w:val="31559422"/>
    <w:lvl w:ilvl="0" w:tentative="0">
      <w:start w:val="2"/>
      <w:numFmt w:val="decimal"/>
      <w:suff w:val="space"/>
      <w:lvlText w:val="（%1）"/>
      <w:lvlJc w:val="left"/>
    </w:lvl>
  </w:abstractNum>
  <w:abstractNum w:abstractNumId="4">
    <w:nsid w:val="6DD4C3AD"/>
    <w:multiLevelType w:val="singleLevel"/>
    <w:tmpl w:val="6DD4C3AD"/>
    <w:lvl w:ilvl="0" w:tentative="0">
      <w:start w:val="7"/>
      <w:numFmt w:val="chineseCounting"/>
      <w:suff w:val="nothing"/>
      <w:lvlText w:val="%1、"/>
      <w:lvlJc w:val="left"/>
      <w:rPr>
        <w:rFonts w:hint="eastAsia"/>
      </w:rPr>
    </w:lvl>
  </w:abstractNum>
  <w:abstractNum w:abstractNumId="5">
    <w:nsid w:val="7A010C0D"/>
    <w:multiLevelType w:val="singleLevel"/>
    <w:tmpl w:val="7A010C0D"/>
    <w:lvl w:ilvl="0" w:tentative="0">
      <w:start w:val="1"/>
      <w:numFmt w:val="chineseCounting"/>
      <w:suff w:val="nothing"/>
      <w:lvlText w:val="%1、"/>
      <w:lvlJc w:val="left"/>
      <w:rPr>
        <w:rFonts w:hint="eastAsia"/>
      </w:rPr>
    </w:lvl>
  </w:abstractNum>
  <w:abstractNum w:abstractNumId="6">
    <w:nsid w:val="7B4E4DA1"/>
    <w:multiLevelType w:val="singleLevel"/>
    <w:tmpl w:val="7B4E4DA1"/>
    <w:lvl w:ilvl="0" w:tentative="0">
      <w:start w:val="4"/>
      <w:numFmt w:val="chineseCounting"/>
      <w:suff w:val="nothing"/>
      <w:lvlText w:val="（%1）"/>
      <w:lvlJc w:val="left"/>
      <w:rPr>
        <w:rFonts w:hint="eastAsia"/>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5E2F"/>
    <w:rsid w:val="0000268A"/>
    <w:rsid w:val="00007C2D"/>
    <w:rsid w:val="00014B65"/>
    <w:rsid w:val="000164F4"/>
    <w:rsid w:val="00032810"/>
    <w:rsid w:val="000950CF"/>
    <w:rsid w:val="000B5A27"/>
    <w:rsid w:val="000D31EF"/>
    <w:rsid w:val="000F4B7D"/>
    <w:rsid w:val="00102A97"/>
    <w:rsid w:val="00107979"/>
    <w:rsid w:val="00112A60"/>
    <w:rsid w:val="00114CE2"/>
    <w:rsid w:val="00150848"/>
    <w:rsid w:val="0017317C"/>
    <w:rsid w:val="001B5BBF"/>
    <w:rsid w:val="001C3D48"/>
    <w:rsid w:val="001D3637"/>
    <w:rsid w:val="001F389E"/>
    <w:rsid w:val="001F3EB3"/>
    <w:rsid w:val="00204839"/>
    <w:rsid w:val="00233C3E"/>
    <w:rsid w:val="002344CE"/>
    <w:rsid w:val="0024405F"/>
    <w:rsid w:val="00256C52"/>
    <w:rsid w:val="00276880"/>
    <w:rsid w:val="002850B4"/>
    <w:rsid w:val="002F08DD"/>
    <w:rsid w:val="00302B81"/>
    <w:rsid w:val="00304DC0"/>
    <w:rsid w:val="003075BA"/>
    <w:rsid w:val="00320645"/>
    <w:rsid w:val="00325DEF"/>
    <w:rsid w:val="00325E2F"/>
    <w:rsid w:val="003736C3"/>
    <w:rsid w:val="0039540D"/>
    <w:rsid w:val="003B042F"/>
    <w:rsid w:val="003B27DA"/>
    <w:rsid w:val="003C554F"/>
    <w:rsid w:val="003D6783"/>
    <w:rsid w:val="00416F66"/>
    <w:rsid w:val="0044397F"/>
    <w:rsid w:val="0044785F"/>
    <w:rsid w:val="00465C10"/>
    <w:rsid w:val="004726F9"/>
    <w:rsid w:val="00492693"/>
    <w:rsid w:val="004B6F14"/>
    <w:rsid w:val="004E13F0"/>
    <w:rsid w:val="00523004"/>
    <w:rsid w:val="00554868"/>
    <w:rsid w:val="00574975"/>
    <w:rsid w:val="005835D4"/>
    <w:rsid w:val="00587E50"/>
    <w:rsid w:val="005B2916"/>
    <w:rsid w:val="005B48AC"/>
    <w:rsid w:val="005E1EAD"/>
    <w:rsid w:val="005E4A8A"/>
    <w:rsid w:val="006214F2"/>
    <w:rsid w:val="0062224E"/>
    <w:rsid w:val="0063028E"/>
    <w:rsid w:val="00630F42"/>
    <w:rsid w:val="006347E3"/>
    <w:rsid w:val="00650175"/>
    <w:rsid w:val="00665B2A"/>
    <w:rsid w:val="00672BC2"/>
    <w:rsid w:val="006A0387"/>
    <w:rsid w:val="006A235D"/>
    <w:rsid w:val="006B31C8"/>
    <w:rsid w:val="00733529"/>
    <w:rsid w:val="00770807"/>
    <w:rsid w:val="0077148D"/>
    <w:rsid w:val="00774450"/>
    <w:rsid w:val="00796F87"/>
    <w:rsid w:val="007A279D"/>
    <w:rsid w:val="007A2D42"/>
    <w:rsid w:val="007A61AF"/>
    <w:rsid w:val="007B6571"/>
    <w:rsid w:val="007B706C"/>
    <w:rsid w:val="007C2279"/>
    <w:rsid w:val="007C7731"/>
    <w:rsid w:val="007D59D2"/>
    <w:rsid w:val="007D5E02"/>
    <w:rsid w:val="007F1C1F"/>
    <w:rsid w:val="007F3D04"/>
    <w:rsid w:val="008212CA"/>
    <w:rsid w:val="00852BB6"/>
    <w:rsid w:val="00861EAE"/>
    <w:rsid w:val="00863850"/>
    <w:rsid w:val="0087663B"/>
    <w:rsid w:val="00881B00"/>
    <w:rsid w:val="00885AAC"/>
    <w:rsid w:val="008E4295"/>
    <w:rsid w:val="00901956"/>
    <w:rsid w:val="00901AC0"/>
    <w:rsid w:val="00903E9F"/>
    <w:rsid w:val="00906E9A"/>
    <w:rsid w:val="00926E96"/>
    <w:rsid w:val="0095196E"/>
    <w:rsid w:val="00961D1E"/>
    <w:rsid w:val="00971349"/>
    <w:rsid w:val="00971CFF"/>
    <w:rsid w:val="009D099D"/>
    <w:rsid w:val="00A2674E"/>
    <w:rsid w:val="00A4596B"/>
    <w:rsid w:val="00A511A4"/>
    <w:rsid w:val="00A562CF"/>
    <w:rsid w:val="00A71D5D"/>
    <w:rsid w:val="00A763E0"/>
    <w:rsid w:val="00AF0295"/>
    <w:rsid w:val="00B27132"/>
    <w:rsid w:val="00B313DA"/>
    <w:rsid w:val="00B61C2B"/>
    <w:rsid w:val="00B660BD"/>
    <w:rsid w:val="00B912BA"/>
    <w:rsid w:val="00B96845"/>
    <w:rsid w:val="00BA21FE"/>
    <w:rsid w:val="00BC0B7F"/>
    <w:rsid w:val="00BD4E09"/>
    <w:rsid w:val="00BF4983"/>
    <w:rsid w:val="00BF57FB"/>
    <w:rsid w:val="00C002B5"/>
    <w:rsid w:val="00C225E4"/>
    <w:rsid w:val="00C62D73"/>
    <w:rsid w:val="00C85AFF"/>
    <w:rsid w:val="00C938DD"/>
    <w:rsid w:val="00CA33FF"/>
    <w:rsid w:val="00D0260B"/>
    <w:rsid w:val="00D65F69"/>
    <w:rsid w:val="00D73B34"/>
    <w:rsid w:val="00D90FD6"/>
    <w:rsid w:val="00DC611F"/>
    <w:rsid w:val="00DF4550"/>
    <w:rsid w:val="00E111D2"/>
    <w:rsid w:val="00E227E1"/>
    <w:rsid w:val="00E32871"/>
    <w:rsid w:val="00E40E08"/>
    <w:rsid w:val="00E70866"/>
    <w:rsid w:val="00E72932"/>
    <w:rsid w:val="00E746FD"/>
    <w:rsid w:val="00E76189"/>
    <w:rsid w:val="00E91236"/>
    <w:rsid w:val="00E9470B"/>
    <w:rsid w:val="00E94B21"/>
    <w:rsid w:val="00EA44AC"/>
    <w:rsid w:val="00EB27B6"/>
    <w:rsid w:val="00EB4A9F"/>
    <w:rsid w:val="00EE6F6D"/>
    <w:rsid w:val="00F03E5D"/>
    <w:rsid w:val="00F2131B"/>
    <w:rsid w:val="00F33064"/>
    <w:rsid w:val="00F372C9"/>
    <w:rsid w:val="00F5075A"/>
    <w:rsid w:val="00F671C0"/>
    <w:rsid w:val="00F750B9"/>
    <w:rsid w:val="00F9484C"/>
    <w:rsid w:val="00FA5AA3"/>
    <w:rsid w:val="00FA77C9"/>
    <w:rsid w:val="00FC63CE"/>
    <w:rsid w:val="00FE6946"/>
    <w:rsid w:val="00FF027F"/>
    <w:rsid w:val="030A2DE1"/>
    <w:rsid w:val="03137256"/>
    <w:rsid w:val="03E53619"/>
    <w:rsid w:val="05586B95"/>
    <w:rsid w:val="05995993"/>
    <w:rsid w:val="05C27ED4"/>
    <w:rsid w:val="073E5EEE"/>
    <w:rsid w:val="084B75C9"/>
    <w:rsid w:val="08D17063"/>
    <w:rsid w:val="08EE0529"/>
    <w:rsid w:val="09241272"/>
    <w:rsid w:val="09406599"/>
    <w:rsid w:val="09BA6B04"/>
    <w:rsid w:val="09E4339E"/>
    <w:rsid w:val="0A5A7EE7"/>
    <w:rsid w:val="0B11375F"/>
    <w:rsid w:val="0B8D1285"/>
    <w:rsid w:val="0C3F3EAA"/>
    <w:rsid w:val="0C5A22DA"/>
    <w:rsid w:val="0C945653"/>
    <w:rsid w:val="0D05306C"/>
    <w:rsid w:val="0DBF1894"/>
    <w:rsid w:val="0E4C6690"/>
    <w:rsid w:val="0E7B3521"/>
    <w:rsid w:val="0E9D7238"/>
    <w:rsid w:val="0EA2551E"/>
    <w:rsid w:val="10136CEC"/>
    <w:rsid w:val="10956815"/>
    <w:rsid w:val="11171297"/>
    <w:rsid w:val="113C541A"/>
    <w:rsid w:val="118D5625"/>
    <w:rsid w:val="12B425DE"/>
    <w:rsid w:val="136F336B"/>
    <w:rsid w:val="13B52E44"/>
    <w:rsid w:val="148A741C"/>
    <w:rsid w:val="14AC1E76"/>
    <w:rsid w:val="15653A19"/>
    <w:rsid w:val="15707824"/>
    <w:rsid w:val="167E04ED"/>
    <w:rsid w:val="17AF2654"/>
    <w:rsid w:val="17F9538D"/>
    <w:rsid w:val="181801FE"/>
    <w:rsid w:val="18924D28"/>
    <w:rsid w:val="18AD22AC"/>
    <w:rsid w:val="18B63C2C"/>
    <w:rsid w:val="194A7B67"/>
    <w:rsid w:val="1A38635C"/>
    <w:rsid w:val="1AC73A6E"/>
    <w:rsid w:val="1AEC0FF1"/>
    <w:rsid w:val="1C9E33F4"/>
    <w:rsid w:val="1D546468"/>
    <w:rsid w:val="1D6F2414"/>
    <w:rsid w:val="1D7F516E"/>
    <w:rsid w:val="1D901E7F"/>
    <w:rsid w:val="1EA5605B"/>
    <w:rsid w:val="1EFF1F07"/>
    <w:rsid w:val="1F194212"/>
    <w:rsid w:val="1F2C42A3"/>
    <w:rsid w:val="1F8B4D90"/>
    <w:rsid w:val="1FD502CF"/>
    <w:rsid w:val="201076BE"/>
    <w:rsid w:val="204D4F4C"/>
    <w:rsid w:val="20F00C50"/>
    <w:rsid w:val="212A41BD"/>
    <w:rsid w:val="218160C3"/>
    <w:rsid w:val="22B51072"/>
    <w:rsid w:val="230B2EED"/>
    <w:rsid w:val="23525246"/>
    <w:rsid w:val="23736B26"/>
    <w:rsid w:val="238B294F"/>
    <w:rsid w:val="23F42DD8"/>
    <w:rsid w:val="24E82262"/>
    <w:rsid w:val="25065620"/>
    <w:rsid w:val="25CB036F"/>
    <w:rsid w:val="26C5308D"/>
    <w:rsid w:val="26C63769"/>
    <w:rsid w:val="26D95C8F"/>
    <w:rsid w:val="27745A1A"/>
    <w:rsid w:val="27BE4926"/>
    <w:rsid w:val="28340DC1"/>
    <w:rsid w:val="28951DDB"/>
    <w:rsid w:val="2A17450F"/>
    <w:rsid w:val="2A510F97"/>
    <w:rsid w:val="2AD717B7"/>
    <w:rsid w:val="2AE40F9F"/>
    <w:rsid w:val="2B1F1FE6"/>
    <w:rsid w:val="2B883CEB"/>
    <w:rsid w:val="2C7260CF"/>
    <w:rsid w:val="2C9D34B3"/>
    <w:rsid w:val="2C9E060E"/>
    <w:rsid w:val="2D14475C"/>
    <w:rsid w:val="2D8042CE"/>
    <w:rsid w:val="2D956675"/>
    <w:rsid w:val="2DB72CCA"/>
    <w:rsid w:val="2E4A5A9F"/>
    <w:rsid w:val="2EB259E9"/>
    <w:rsid w:val="2F1462A6"/>
    <w:rsid w:val="302C68C0"/>
    <w:rsid w:val="308B0DF6"/>
    <w:rsid w:val="30967378"/>
    <w:rsid w:val="30E4441B"/>
    <w:rsid w:val="319D3DD2"/>
    <w:rsid w:val="31D806E4"/>
    <w:rsid w:val="31ED6060"/>
    <w:rsid w:val="321876B7"/>
    <w:rsid w:val="328F4B2F"/>
    <w:rsid w:val="32DB6FEE"/>
    <w:rsid w:val="336D5BE0"/>
    <w:rsid w:val="33971339"/>
    <w:rsid w:val="346F02C5"/>
    <w:rsid w:val="3507105D"/>
    <w:rsid w:val="35374D8B"/>
    <w:rsid w:val="358A23ED"/>
    <w:rsid w:val="359A6AEB"/>
    <w:rsid w:val="35EE7851"/>
    <w:rsid w:val="36743E52"/>
    <w:rsid w:val="36825E34"/>
    <w:rsid w:val="36AE575A"/>
    <w:rsid w:val="36BA16AD"/>
    <w:rsid w:val="36FF31E8"/>
    <w:rsid w:val="375A0719"/>
    <w:rsid w:val="37D87EA9"/>
    <w:rsid w:val="39B1061A"/>
    <w:rsid w:val="39D206E8"/>
    <w:rsid w:val="39F93987"/>
    <w:rsid w:val="3A3D2108"/>
    <w:rsid w:val="3B4568EB"/>
    <w:rsid w:val="3D9169D7"/>
    <w:rsid w:val="3EF95FDC"/>
    <w:rsid w:val="4009662F"/>
    <w:rsid w:val="406C2365"/>
    <w:rsid w:val="417D5E7D"/>
    <w:rsid w:val="419518B9"/>
    <w:rsid w:val="427751BD"/>
    <w:rsid w:val="431D438B"/>
    <w:rsid w:val="43C94B0E"/>
    <w:rsid w:val="45461914"/>
    <w:rsid w:val="45A2238B"/>
    <w:rsid w:val="45B02F79"/>
    <w:rsid w:val="45F3039E"/>
    <w:rsid w:val="46411E5F"/>
    <w:rsid w:val="47920C74"/>
    <w:rsid w:val="47E04B3C"/>
    <w:rsid w:val="481F6125"/>
    <w:rsid w:val="48686CEE"/>
    <w:rsid w:val="48815CE7"/>
    <w:rsid w:val="490F5322"/>
    <w:rsid w:val="49E75089"/>
    <w:rsid w:val="4A5D3AF4"/>
    <w:rsid w:val="4A685F9E"/>
    <w:rsid w:val="4AB962F6"/>
    <w:rsid w:val="4AD8339F"/>
    <w:rsid w:val="4AF36C3A"/>
    <w:rsid w:val="4C0C4FBD"/>
    <w:rsid w:val="4D145BF9"/>
    <w:rsid w:val="4E90101E"/>
    <w:rsid w:val="4EF672F5"/>
    <w:rsid w:val="4EFA283E"/>
    <w:rsid w:val="4F087806"/>
    <w:rsid w:val="4F4E18E1"/>
    <w:rsid w:val="50793188"/>
    <w:rsid w:val="512C6C45"/>
    <w:rsid w:val="516E4025"/>
    <w:rsid w:val="52860AA9"/>
    <w:rsid w:val="53135EDB"/>
    <w:rsid w:val="542D611D"/>
    <w:rsid w:val="54C25E1A"/>
    <w:rsid w:val="55CB3D82"/>
    <w:rsid w:val="571778FE"/>
    <w:rsid w:val="571E524F"/>
    <w:rsid w:val="57693AD1"/>
    <w:rsid w:val="57E75C73"/>
    <w:rsid w:val="57F44D4B"/>
    <w:rsid w:val="58194C1A"/>
    <w:rsid w:val="58B45F6E"/>
    <w:rsid w:val="5A7A4DED"/>
    <w:rsid w:val="5AF96B54"/>
    <w:rsid w:val="5B022CC5"/>
    <w:rsid w:val="5B192266"/>
    <w:rsid w:val="5C4F226F"/>
    <w:rsid w:val="5C523EC3"/>
    <w:rsid w:val="5CB2025F"/>
    <w:rsid w:val="5E3F79A0"/>
    <w:rsid w:val="60180E77"/>
    <w:rsid w:val="60195BC1"/>
    <w:rsid w:val="620C4E8F"/>
    <w:rsid w:val="62736389"/>
    <w:rsid w:val="63630DBF"/>
    <w:rsid w:val="668E47D2"/>
    <w:rsid w:val="676D7A39"/>
    <w:rsid w:val="68B83AED"/>
    <w:rsid w:val="69517B36"/>
    <w:rsid w:val="697A688D"/>
    <w:rsid w:val="69AB58FA"/>
    <w:rsid w:val="6AAF2D4B"/>
    <w:rsid w:val="6AAF38C4"/>
    <w:rsid w:val="6AD02D72"/>
    <w:rsid w:val="6B1E08A8"/>
    <w:rsid w:val="6B3E667B"/>
    <w:rsid w:val="6B555FB9"/>
    <w:rsid w:val="6B6C6B01"/>
    <w:rsid w:val="6B8441A4"/>
    <w:rsid w:val="6BED5E87"/>
    <w:rsid w:val="6C3F27AC"/>
    <w:rsid w:val="6C4C2395"/>
    <w:rsid w:val="6C5C11A1"/>
    <w:rsid w:val="6D395410"/>
    <w:rsid w:val="6DAA5B44"/>
    <w:rsid w:val="6EBE60C4"/>
    <w:rsid w:val="6F294768"/>
    <w:rsid w:val="6F4C66E5"/>
    <w:rsid w:val="6F581938"/>
    <w:rsid w:val="6F6548BA"/>
    <w:rsid w:val="6F6D7E9D"/>
    <w:rsid w:val="704731E5"/>
    <w:rsid w:val="706E23EA"/>
    <w:rsid w:val="70E24E0C"/>
    <w:rsid w:val="719102F0"/>
    <w:rsid w:val="71B17A1C"/>
    <w:rsid w:val="7371051A"/>
    <w:rsid w:val="73760762"/>
    <w:rsid w:val="73CD3D4F"/>
    <w:rsid w:val="74115181"/>
    <w:rsid w:val="741F7874"/>
    <w:rsid w:val="75AD6D73"/>
    <w:rsid w:val="76BD0748"/>
    <w:rsid w:val="77143049"/>
    <w:rsid w:val="776F2BA6"/>
    <w:rsid w:val="77E35F06"/>
    <w:rsid w:val="78173AB2"/>
    <w:rsid w:val="78D61C35"/>
    <w:rsid w:val="78DE5473"/>
    <w:rsid w:val="79510D25"/>
    <w:rsid w:val="7A886544"/>
    <w:rsid w:val="7AA67FCB"/>
    <w:rsid w:val="7B81098A"/>
    <w:rsid w:val="7BE25958"/>
    <w:rsid w:val="7CA4430F"/>
    <w:rsid w:val="7CB66BDC"/>
    <w:rsid w:val="7E82463D"/>
    <w:rsid w:val="7F36508B"/>
    <w:rsid w:val="7FC4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jc w:val="center"/>
      <w:outlineLvl w:val="0"/>
    </w:pPr>
    <w:rPr>
      <w:b/>
      <w:bCs/>
      <w:kern w:val="44"/>
      <w:sz w:val="32"/>
      <w:szCs w:val="32"/>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7"/>
    <w:semiHidden/>
    <w:unhideWhenUsed/>
    <w:qFormat/>
    <w:uiPriority w:val="99"/>
    <w:rPr>
      <w:rFonts w:ascii="宋体" w:eastAsia="宋体"/>
      <w:sz w:val="18"/>
      <w:szCs w:val="18"/>
    </w:rPr>
  </w:style>
  <w:style w:type="paragraph" w:styleId="6">
    <w:name w:val="annotation text"/>
    <w:basedOn w:val="1"/>
    <w:link w:val="27"/>
    <w:qFormat/>
    <w:uiPriority w:val="0"/>
    <w:pPr>
      <w:spacing w:after="0" w:line="240" w:lineRule="auto"/>
    </w:pPr>
    <w:rPr>
      <w:rFonts w:ascii="Times New Roman" w:hAnsi="Times New Roman" w:eastAsia="宋体" w:cs="Times New Roman"/>
      <w:szCs w:val="20"/>
    </w:rPr>
  </w:style>
  <w:style w:type="paragraph" w:styleId="7">
    <w:name w:val="Body Text"/>
    <w:basedOn w:val="1"/>
    <w:link w:val="19"/>
    <w:qFormat/>
    <w:uiPriority w:val="0"/>
    <w:pPr>
      <w:spacing w:after="0" w:line="240" w:lineRule="auto"/>
      <w:jc w:val="center"/>
    </w:pPr>
    <w:rPr>
      <w:rFonts w:ascii="Times New Roman" w:hAnsi="Times New Roman" w:eastAsia="宋体" w:cs="Times New Roman"/>
      <w:sz w:val="52"/>
      <w:szCs w:val="24"/>
    </w:rPr>
  </w:style>
  <w:style w:type="paragraph" w:styleId="8">
    <w:name w:val="Plain Text"/>
    <w:basedOn w:val="1"/>
    <w:link w:val="21"/>
    <w:qFormat/>
    <w:uiPriority w:val="0"/>
    <w:pPr>
      <w:adjustRightInd w:val="0"/>
      <w:spacing w:after="0" w:line="312" w:lineRule="atLeast"/>
      <w:jc w:val="both"/>
      <w:textAlignment w:val="baseline"/>
    </w:pPr>
    <w:rPr>
      <w:rFonts w:ascii="宋体" w:hAnsi="Courier New" w:eastAsia="宋体"/>
    </w:rPr>
  </w:style>
  <w:style w:type="paragraph" w:styleId="9">
    <w:name w:val="Balloon Text"/>
    <w:basedOn w:val="1"/>
    <w:link w:val="28"/>
    <w:semiHidden/>
    <w:unhideWhenUsed/>
    <w:qFormat/>
    <w:uiPriority w:val="99"/>
    <w:pPr>
      <w:spacing w:after="0" w:line="240" w:lineRule="auto"/>
    </w:pPr>
    <w:rPr>
      <w:sz w:val="18"/>
      <w:szCs w:val="18"/>
    </w:rPr>
  </w:style>
  <w:style w:type="paragraph" w:styleId="10">
    <w:name w:val="footer"/>
    <w:basedOn w:val="1"/>
    <w:link w:val="24"/>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semiHidden/>
    <w:unhideWhenUsed/>
    <w:qFormat/>
    <w:uiPriority w:val="99"/>
    <w:pPr>
      <w:spacing w:beforeAutospacing="1" w:after="0" w:afterAutospacing="1"/>
    </w:pPr>
    <w:rPr>
      <w:rFonts w:cs="Times New Roman"/>
      <w:kern w:val="0"/>
      <w:sz w:val="24"/>
    </w:rPr>
  </w:style>
  <w:style w:type="character" w:styleId="15">
    <w:name w:val="FollowedHyperlink"/>
    <w:basedOn w:val="14"/>
    <w:semiHidden/>
    <w:unhideWhenUsed/>
    <w:qFormat/>
    <w:uiPriority w:val="99"/>
    <w:rPr>
      <w:color w:val="333333"/>
      <w:u w:val="none"/>
    </w:rPr>
  </w:style>
  <w:style w:type="character" w:styleId="16">
    <w:name w:val="Hyperlink"/>
    <w:semiHidden/>
    <w:unhideWhenUsed/>
    <w:qFormat/>
    <w:uiPriority w:val="99"/>
    <w:rPr>
      <w:color w:val="0000FF" w:themeColor="hyperlink"/>
      <w:u w:val="single"/>
    </w:rPr>
  </w:style>
  <w:style w:type="character" w:customStyle="1" w:styleId="17">
    <w:name w:val="文档结构图 Char"/>
    <w:basedOn w:val="14"/>
    <w:link w:val="5"/>
    <w:semiHidden/>
    <w:qFormat/>
    <w:uiPriority w:val="99"/>
    <w:rPr>
      <w:rFonts w:ascii="宋体" w:eastAsia="宋体"/>
      <w:sz w:val="18"/>
      <w:szCs w:val="18"/>
    </w:rPr>
  </w:style>
  <w:style w:type="character" w:customStyle="1" w:styleId="18">
    <w:name w:val="正文文本 Char"/>
    <w:qFormat/>
    <w:uiPriority w:val="0"/>
    <w:rPr>
      <w:rFonts w:ascii="Times New Roman" w:hAnsi="Times New Roman" w:eastAsia="宋体" w:cs="Times New Roman"/>
      <w:sz w:val="52"/>
      <w:szCs w:val="24"/>
    </w:rPr>
  </w:style>
  <w:style w:type="character" w:customStyle="1" w:styleId="19">
    <w:name w:val="正文文本 Char1"/>
    <w:basedOn w:val="14"/>
    <w:link w:val="7"/>
    <w:semiHidden/>
    <w:qFormat/>
    <w:uiPriority w:val="99"/>
  </w:style>
  <w:style w:type="character" w:customStyle="1" w:styleId="20">
    <w:name w:val="纯文本 Char"/>
    <w:qFormat/>
    <w:uiPriority w:val="0"/>
    <w:rPr>
      <w:rFonts w:ascii="宋体" w:hAnsi="Courier New" w:eastAsia="宋体"/>
    </w:rPr>
  </w:style>
  <w:style w:type="character" w:customStyle="1" w:styleId="21">
    <w:name w:val="纯文本 Char1"/>
    <w:basedOn w:val="14"/>
    <w:link w:val="8"/>
    <w:semiHidden/>
    <w:qFormat/>
    <w:uiPriority w:val="99"/>
    <w:rPr>
      <w:rFonts w:ascii="宋体" w:hAnsi="Courier New" w:eastAsia="宋体" w:cs="Courier New"/>
      <w:szCs w:val="21"/>
    </w:rPr>
  </w:style>
  <w:style w:type="character" w:customStyle="1" w:styleId="22">
    <w:name w:val="标题 2 Char"/>
    <w:basedOn w:val="14"/>
    <w:link w:val="4"/>
    <w:qFormat/>
    <w:uiPriority w:val="9"/>
    <w:rPr>
      <w:rFonts w:asciiTheme="majorHAnsi" w:hAnsiTheme="majorHAnsi" w:eastAsiaTheme="majorEastAsia" w:cstheme="majorBidi"/>
      <w:b/>
      <w:bCs/>
      <w:sz w:val="32"/>
      <w:szCs w:val="32"/>
    </w:rPr>
  </w:style>
  <w:style w:type="character" w:customStyle="1" w:styleId="23">
    <w:name w:val="页眉 Char"/>
    <w:basedOn w:val="14"/>
    <w:link w:val="11"/>
    <w:qFormat/>
    <w:uiPriority w:val="99"/>
    <w:rPr>
      <w:sz w:val="18"/>
      <w:szCs w:val="18"/>
    </w:rPr>
  </w:style>
  <w:style w:type="character" w:customStyle="1" w:styleId="24">
    <w:name w:val="页脚 Char"/>
    <w:basedOn w:val="14"/>
    <w:link w:val="10"/>
    <w:qFormat/>
    <w:uiPriority w:val="99"/>
    <w:rPr>
      <w:sz w:val="18"/>
      <w:szCs w:val="18"/>
    </w:rPr>
  </w:style>
  <w:style w:type="character" w:customStyle="1" w:styleId="25">
    <w:name w:val="纯文本 Char3"/>
    <w:qFormat/>
    <w:uiPriority w:val="0"/>
    <w:rPr>
      <w:rFonts w:ascii="宋体" w:hAnsi="Courier New" w:eastAsia="宋体" w:cs="Courier New"/>
      <w:szCs w:val="21"/>
    </w:rPr>
  </w:style>
  <w:style w:type="character" w:customStyle="1" w:styleId="26">
    <w:name w:val="批注文字 Char1"/>
    <w:qFormat/>
    <w:uiPriority w:val="0"/>
    <w:rPr>
      <w:kern w:val="2"/>
      <w:sz w:val="21"/>
    </w:rPr>
  </w:style>
  <w:style w:type="character" w:customStyle="1" w:styleId="27">
    <w:name w:val="批注文字 Char"/>
    <w:basedOn w:val="14"/>
    <w:link w:val="6"/>
    <w:semiHidden/>
    <w:qFormat/>
    <w:uiPriority w:val="99"/>
    <w:rPr>
      <w:rFonts w:asciiTheme="minorHAnsi" w:hAnsiTheme="minorHAnsi" w:eastAsiaTheme="minorEastAsia" w:cstheme="minorBidi"/>
      <w:kern w:val="2"/>
      <w:sz w:val="21"/>
      <w:szCs w:val="22"/>
    </w:rPr>
  </w:style>
  <w:style w:type="character" w:customStyle="1" w:styleId="28">
    <w:name w:val="批注框文本 Char"/>
    <w:basedOn w:val="14"/>
    <w:link w:val="9"/>
    <w:semiHidden/>
    <w:qFormat/>
    <w:uiPriority w:val="99"/>
    <w:rPr>
      <w:rFonts w:asciiTheme="minorHAnsi" w:hAnsiTheme="minorHAnsi" w:eastAsiaTheme="minorEastAsia" w:cstheme="minorBidi"/>
      <w:kern w:val="2"/>
      <w:sz w:val="18"/>
      <w:szCs w:val="18"/>
    </w:rPr>
  </w:style>
  <w:style w:type="paragraph" w:styleId="29">
    <w:name w:val="List Paragraph"/>
    <w:basedOn w:val="1"/>
    <w:unhideWhenUsed/>
    <w:qFormat/>
    <w:uiPriority w:val="99"/>
    <w:pPr>
      <w:ind w:firstLine="420" w:firstLineChars="200"/>
    </w:pPr>
  </w:style>
  <w:style w:type="character" w:customStyle="1" w:styleId="30">
    <w:name w:val="hover"/>
    <w:basedOn w:val="14"/>
    <w:qFormat/>
    <w:uiPriority w:val="0"/>
    <w:rPr>
      <w:shd w:val="clear" w:fill="9370DB"/>
    </w:rPr>
  </w:style>
  <w:style w:type="character" w:customStyle="1" w:styleId="31">
    <w:name w:val="hover1"/>
    <w:basedOn w:val="14"/>
    <w:qFormat/>
    <w:uiPriority w:val="0"/>
    <w:rPr>
      <w:shd w:val="clear" w:fill="9370D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3849</Words>
  <Characters>21944</Characters>
  <Lines>182</Lines>
  <Paragraphs>51</Paragraphs>
  <TotalTime>3</TotalTime>
  <ScaleCrop>false</ScaleCrop>
  <LinksUpToDate>false</LinksUpToDate>
  <CharactersWithSpaces>25742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2019-03-28T09:21:00Z</dcterms:created>
  <dc:creator>Administrator</dc:creator>
  <cp:lastModifiedBy>淼</cp:lastModifiedBy>
  <cp:lastPrinted>2020-07-16T07:40:00Z</cp:lastPrinted>
  <dcterms:modified xsi:type="dcterms:W3CDTF">2020-07-27T08:55:50Z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