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91" w:lineRule="exact"/>
      </w:pPr>
    </w:p>
    <w:p>
      <w:pPr>
        <w:jc w:val="center"/>
        <w:rPr>
          <w:rFonts w:ascii="仿宋_GB2312" w:eastAsia="仿宋_GB2312"/>
          <w:b/>
          <w:bCs/>
          <w:sz w:val="44"/>
          <w:szCs w:val="44"/>
        </w:rPr>
      </w:pPr>
    </w:p>
    <w:p>
      <w:pPr>
        <w:pStyle w:val="7"/>
        <w:rPr>
          <w:rFonts w:ascii="仿宋_GB2312" w:eastAsia="仿宋_GB2312"/>
          <w:sz w:val="72"/>
        </w:rPr>
      </w:pPr>
    </w:p>
    <w:p>
      <w:pPr>
        <w:pStyle w:val="7"/>
        <w:rPr>
          <w:rFonts w:ascii="宋体" w:hAnsi="宋体" w:cs="宋体"/>
          <w:b/>
          <w:sz w:val="84"/>
          <w:szCs w:val="84"/>
        </w:rPr>
      </w:pPr>
      <w:r>
        <w:rPr>
          <w:rFonts w:hint="eastAsia" w:ascii="宋体" w:hAnsi="宋体" w:cs="宋体"/>
          <w:b/>
          <w:sz w:val="84"/>
          <w:szCs w:val="84"/>
        </w:rPr>
        <w:t>竞争性磋商文件</w:t>
      </w:r>
    </w:p>
    <w:p>
      <w:pPr>
        <w:pStyle w:val="7"/>
        <w:rPr>
          <w:rFonts w:ascii="仿宋_GB2312" w:eastAsia="仿宋_GB2312"/>
          <w:sz w:val="21"/>
          <w:szCs w:val="21"/>
        </w:rPr>
      </w:pPr>
    </w:p>
    <w:p>
      <w:pPr>
        <w:pStyle w:val="7"/>
        <w:rPr>
          <w:rFonts w:ascii="仿宋_GB2312" w:eastAsia="仿宋_GB2312"/>
          <w:sz w:val="21"/>
          <w:szCs w:val="21"/>
        </w:rPr>
      </w:pPr>
    </w:p>
    <w:p>
      <w:pPr>
        <w:pStyle w:val="7"/>
        <w:rPr>
          <w:rFonts w:ascii="仿宋_GB2312" w:eastAsia="仿宋_GB2312"/>
          <w:sz w:val="21"/>
          <w:szCs w:val="21"/>
        </w:rPr>
      </w:pPr>
    </w:p>
    <w:p>
      <w:pPr>
        <w:pStyle w:val="7"/>
        <w:jc w:val="both"/>
        <w:rPr>
          <w:rFonts w:ascii="仿宋_GB2312" w:eastAsia="仿宋_GB2312"/>
          <w:sz w:val="21"/>
          <w:szCs w:val="21"/>
        </w:rPr>
      </w:pPr>
    </w:p>
    <w:p>
      <w:pPr>
        <w:pStyle w:val="7"/>
        <w:jc w:val="left"/>
        <w:rPr>
          <w:rFonts w:ascii="仿宋_GB2312" w:eastAsia="仿宋_GB2312"/>
          <w:sz w:val="21"/>
          <w:szCs w:val="21"/>
        </w:rPr>
      </w:pPr>
    </w:p>
    <w:p>
      <w:pPr>
        <w:spacing w:after="0" w:line="240" w:lineRule="exact"/>
        <w:ind w:left="110" w:firstLine="1531"/>
      </w:pPr>
    </w:p>
    <w:p>
      <w:pPr>
        <w:spacing w:after="0" w:line="240" w:lineRule="exact"/>
        <w:ind w:left="110" w:firstLine="1531"/>
      </w:pPr>
    </w:p>
    <w:p>
      <w:pPr>
        <w:spacing w:after="0" w:line="398" w:lineRule="exact"/>
        <w:ind w:firstLine="640" w:firstLineChars="200"/>
        <w:rPr>
          <w:rFonts w:ascii="宋体" w:hAnsi="宋体" w:eastAsia="宋体" w:cs="宋体"/>
          <w:sz w:val="32"/>
          <w:szCs w:val="32"/>
        </w:rPr>
      </w:pPr>
    </w:p>
    <w:p>
      <w:pPr>
        <w:spacing w:after="0" w:line="398" w:lineRule="exact"/>
        <w:ind w:firstLine="640" w:firstLineChars="200"/>
        <w:rPr>
          <w:rFonts w:ascii="宋体" w:hAnsi="宋体" w:eastAsia="宋体" w:cs="宋体"/>
          <w:sz w:val="32"/>
          <w:szCs w:val="32"/>
        </w:rPr>
      </w:pPr>
    </w:p>
    <w:p>
      <w:pPr>
        <w:spacing w:after="0" w:line="398" w:lineRule="exact"/>
        <w:ind w:firstLine="640" w:firstLineChars="200"/>
        <w:rPr>
          <w:rFonts w:ascii="宋体" w:hAnsi="宋体" w:eastAsia="宋体" w:cs="宋体"/>
          <w:sz w:val="32"/>
          <w:szCs w:val="32"/>
        </w:rPr>
        <w:sectPr>
          <w:type w:val="continuous"/>
          <w:pgSz w:w="11905" w:h="16838"/>
          <w:pgMar w:top="1417" w:right="1134" w:bottom="1134" w:left="1134" w:header="0" w:footer="0" w:gutter="0"/>
          <w:cols w:space="425" w:num="1"/>
          <w:rtlGutter w:val="0"/>
          <w:docGrid w:type="lines" w:linePitch="312" w:charSpace="0"/>
        </w:sectPr>
      </w:pPr>
    </w:p>
    <w:p>
      <w:pPr>
        <w:spacing w:after="0" w:line="398" w:lineRule="exact"/>
        <w:ind w:left="2318" w:leftChars="304" w:hanging="1680" w:hangingChars="525"/>
        <w:rPr>
          <w:rFonts w:ascii="宋体" w:hAnsi="宋体" w:eastAsia="宋体" w:cs="宋体"/>
          <w:sz w:val="32"/>
          <w:szCs w:val="32"/>
        </w:rPr>
      </w:pPr>
      <w:r>
        <w:rPr>
          <w:rFonts w:hint="eastAsia" w:ascii="宋体" w:hAnsi="宋体" w:eastAsia="宋体" w:cs="宋体"/>
          <w:sz w:val="32"/>
          <w:szCs w:val="32"/>
        </w:rPr>
        <w:t>项目名称：港南区工业园区江五路（城东大道-安澜路）基础设施建设项目监理服务</w:t>
      </w:r>
    </w:p>
    <w:p>
      <w:pPr>
        <w:spacing w:after="0" w:line="240" w:lineRule="exact"/>
        <w:ind w:left="2071" w:firstLine="1694"/>
        <w:rPr>
          <w:sz w:val="32"/>
          <w:szCs w:val="32"/>
        </w:rPr>
      </w:pPr>
    </w:p>
    <w:p>
      <w:pPr>
        <w:spacing w:after="0" w:line="398" w:lineRule="exact"/>
        <w:ind w:firstLine="640" w:firstLineChars="200"/>
        <w:rPr>
          <w:rFonts w:hint="eastAsia" w:eastAsia="宋体"/>
          <w:lang w:eastAsia="zh-CN"/>
        </w:rPr>
      </w:pPr>
      <w:r>
        <w:rPr>
          <w:rFonts w:hint="eastAsia" w:ascii="宋体" w:hAnsi="宋体" w:eastAsia="宋体" w:cs="宋体"/>
          <w:sz w:val="32"/>
          <w:szCs w:val="32"/>
        </w:rPr>
        <w:t>项目编号</w:t>
      </w:r>
      <w:r>
        <w:rPr>
          <w:rFonts w:ascii="宋体" w:hAnsi="宋体" w:eastAsia="宋体" w:cs="宋体"/>
          <w:sz w:val="32"/>
        </w:rPr>
        <w:t>：</w:t>
      </w:r>
      <w:r>
        <w:rPr>
          <w:rFonts w:hint="eastAsia" w:ascii="宋体" w:hAnsi="宋体" w:eastAsia="宋体" w:cs="宋体"/>
          <w:sz w:val="32"/>
          <w:lang w:eastAsia="zh-CN"/>
        </w:rPr>
        <w:t>GGZC2020-C3-30058-GXBX</w:t>
      </w:r>
    </w:p>
    <w:p>
      <w:pPr>
        <w:widowControl/>
        <w:sectPr>
          <w:footerReference r:id="rId3" w:type="default"/>
          <w:type w:val="continuous"/>
          <w:pgSz w:w="11905" w:h="16838"/>
          <w:pgMar w:top="1417" w:right="1134" w:bottom="1134" w:left="1134" w:header="0" w:footer="0" w:gutter="0"/>
          <w:cols w:space="425" w:num="1"/>
          <w:rtlGutter w:val="0"/>
          <w:docGrid w:type="lines" w:linePitch="312" w:charSpace="0"/>
        </w:sectPr>
      </w:pPr>
    </w:p>
    <w:p>
      <w:pPr>
        <w:spacing w:after="0" w:line="240" w:lineRule="exact"/>
        <w:ind w:left="2071"/>
      </w:pPr>
    </w:p>
    <w:p>
      <w:pPr>
        <w:spacing w:after="0" w:line="240" w:lineRule="exact"/>
        <w:ind w:left="2071"/>
      </w:pPr>
    </w:p>
    <w:p>
      <w:pPr>
        <w:spacing w:after="0" w:line="240" w:lineRule="exact"/>
        <w:ind w:left="2071"/>
      </w:pPr>
    </w:p>
    <w:p>
      <w:pPr>
        <w:spacing w:after="0" w:line="240" w:lineRule="exact"/>
        <w:ind w:left="2071"/>
      </w:pPr>
    </w:p>
    <w:p>
      <w:pPr>
        <w:spacing w:after="0" w:line="240" w:lineRule="exact"/>
        <w:ind w:left="2071"/>
      </w:pPr>
    </w:p>
    <w:p>
      <w:pPr>
        <w:spacing w:after="0" w:line="240" w:lineRule="exact"/>
      </w:pPr>
    </w:p>
    <w:p>
      <w:pPr>
        <w:spacing w:after="0" w:line="240" w:lineRule="exact"/>
      </w:pPr>
    </w:p>
    <w:p>
      <w:pPr>
        <w:spacing w:after="0" w:line="240" w:lineRule="exact"/>
      </w:pPr>
    </w:p>
    <w:p>
      <w:pPr>
        <w:spacing w:after="0" w:line="240" w:lineRule="exact"/>
      </w:pPr>
    </w:p>
    <w:p>
      <w:pPr>
        <w:spacing w:after="0" w:line="240" w:lineRule="exact"/>
      </w:pPr>
    </w:p>
    <w:p>
      <w:pPr>
        <w:spacing w:after="0" w:line="240" w:lineRule="exact"/>
      </w:pPr>
    </w:p>
    <w:p>
      <w:pPr>
        <w:spacing w:after="0" w:line="240" w:lineRule="exact"/>
      </w:pPr>
    </w:p>
    <w:p>
      <w:pPr>
        <w:spacing w:after="0" w:line="240" w:lineRule="exact"/>
      </w:pPr>
    </w:p>
    <w:p>
      <w:pPr>
        <w:spacing w:after="0" w:line="240" w:lineRule="exact"/>
      </w:pPr>
    </w:p>
    <w:p>
      <w:pPr>
        <w:spacing w:after="0" w:line="240" w:lineRule="exact"/>
      </w:pPr>
    </w:p>
    <w:p>
      <w:pPr>
        <w:spacing w:after="0" w:line="360" w:lineRule="auto"/>
        <w:ind w:left="2071"/>
      </w:pPr>
    </w:p>
    <w:p>
      <w:pPr>
        <w:widowControl/>
        <w:spacing w:line="360" w:lineRule="auto"/>
        <w:sectPr>
          <w:type w:val="continuous"/>
          <w:pgSz w:w="11905" w:h="16838"/>
          <w:pgMar w:top="1417" w:right="1134" w:bottom="1134" w:left="1134" w:header="0" w:footer="0" w:gutter="0"/>
          <w:cols w:space="425" w:num="1"/>
          <w:rtlGutter w:val="0"/>
          <w:docGrid w:type="lines" w:linePitch="312" w:charSpace="0"/>
        </w:sectPr>
      </w:pPr>
    </w:p>
    <w:p>
      <w:pPr>
        <w:spacing w:after="0" w:line="360" w:lineRule="auto"/>
        <w:ind w:left="2083"/>
        <w:rPr>
          <w:rFonts w:eastAsia="宋体"/>
        </w:rPr>
      </w:pPr>
      <w:r>
        <w:rPr>
          <w:rFonts w:ascii="宋体" w:hAnsi="宋体" w:eastAsia="宋体" w:cs="宋体"/>
          <w:sz w:val="30"/>
        </w:rPr>
        <w:t>采购单位：</w:t>
      </w:r>
      <w:r>
        <w:rPr>
          <w:rFonts w:hint="eastAsia" w:ascii="宋体" w:hAnsi="宋体" w:eastAsia="宋体" w:cs="宋体"/>
          <w:sz w:val="30"/>
        </w:rPr>
        <w:t>贵港市港南区工业园区管理委员会</w:t>
      </w:r>
    </w:p>
    <w:p>
      <w:pPr>
        <w:spacing w:after="0" w:line="360" w:lineRule="auto"/>
        <w:ind w:left="2083"/>
        <w:rPr>
          <w:rFonts w:eastAsia="宋体"/>
        </w:rPr>
      </w:pPr>
      <w:r>
        <w:rPr>
          <w:rFonts w:ascii="宋体" w:hAnsi="宋体" w:eastAsia="宋体" w:cs="宋体"/>
          <w:sz w:val="30"/>
        </w:rPr>
        <w:t>采购代理机构：</w:t>
      </w:r>
      <w:r>
        <w:rPr>
          <w:rFonts w:hint="eastAsia" w:ascii="宋体" w:hAnsi="宋体" w:eastAsia="宋体" w:cs="宋体"/>
          <w:sz w:val="30"/>
        </w:rPr>
        <w:t>广西博行弈工程项目管理有限公司</w:t>
      </w:r>
    </w:p>
    <w:p>
      <w:pPr>
        <w:spacing w:after="0" w:line="240" w:lineRule="exact"/>
        <w:ind w:left="2083"/>
      </w:pPr>
    </w:p>
    <w:p>
      <w:pPr>
        <w:spacing w:after="0" w:line="461" w:lineRule="exact"/>
        <w:ind w:left="2083" w:firstLine="1930"/>
      </w:pPr>
      <w:r>
        <w:rPr>
          <w:rFonts w:ascii="宋体" w:hAnsi="宋体" w:cs="宋体"/>
          <w:sz w:val="30"/>
        </w:rPr>
        <w:t>20</w:t>
      </w:r>
      <w:r>
        <w:rPr>
          <w:rFonts w:hint="eastAsia" w:ascii="宋体" w:hAnsi="宋体" w:cs="宋体"/>
          <w:sz w:val="30"/>
        </w:rPr>
        <w:t>20</w:t>
      </w:r>
      <w:r>
        <w:rPr>
          <w:rFonts w:ascii="宋体" w:hAnsi="宋体" w:eastAsia="宋体" w:cs="宋体"/>
          <w:spacing w:val="-1"/>
          <w:sz w:val="30"/>
        </w:rPr>
        <w:t>年</w:t>
      </w:r>
      <w:r>
        <w:rPr>
          <w:rFonts w:hint="eastAsia" w:ascii="宋体" w:hAnsi="宋体" w:eastAsia="宋体" w:cs="宋体"/>
          <w:spacing w:val="-1"/>
          <w:sz w:val="30"/>
        </w:rPr>
        <w:t>11</w:t>
      </w:r>
      <w:r>
        <w:rPr>
          <w:rFonts w:ascii="宋体" w:hAnsi="宋体" w:eastAsia="宋体" w:cs="宋体"/>
          <w:spacing w:val="-1"/>
          <w:sz w:val="30"/>
        </w:rPr>
        <w:t>月</w:t>
      </w:r>
    </w:p>
    <w:p>
      <w:pPr>
        <w:spacing w:before="0" w:beforeLines="0" w:after="0" w:afterLines="0" w:line="240" w:lineRule="auto"/>
        <w:ind w:left="0" w:leftChars="0" w:right="0" w:rightChars="0" w:firstLine="0" w:firstLineChars="0"/>
        <w:jc w:val="center"/>
        <w:rPr>
          <w:rFonts w:ascii="宋体" w:hAnsi="宋体" w:eastAsia="宋体" w:cstheme="minorBidi"/>
          <w:kern w:val="2"/>
          <w:sz w:val="36"/>
          <w:szCs w:val="36"/>
          <w:lang w:val="en-US" w:eastAsia="zh-CN" w:bidi="ar-SA"/>
        </w:rPr>
      </w:pPr>
    </w:p>
    <w:sdt>
      <w:sdtPr>
        <w:rPr>
          <w:rFonts w:ascii="宋体" w:hAnsi="宋体" w:eastAsia="宋体" w:cstheme="minorBidi"/>
          <w:kern w:val="2"/>
          <w:sz w:val="36"/>
          <w:szCs w:val="36"/>
          <w:lang w:val="en-US" w:eastAsia="zh-CN" w:bidi="ar-SA"/>
        </w:rPr>
        <w:id w:val="147467577"/>
        <w15:color w:val="DBDBDB"/>
        <w:docPartObj>
          <w:docPartGallery w:val="Table of Contents"/>
          <w:docPartUnique/>
        </w:docPartObj>
      </w:sdtPr>
      <w:sdtEndPr>
        <w:rPr>
          <w:rFonts w:asciiTheme="minorHAnsi" w:hAnsiTheme="minorHAnsi" w:eastAsiaTheme="minorEastAsia"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目录</w:t>
          </w:r>
        </w:p>
        <w:p>
          <w:pPr>
            <w:pStyle w:val="14"/>
            <w:tabs>
              <w:tab w:val="right" w:leader="dot" w:pos="963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_Toc31484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_Toc31484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63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_Toc22286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磋商须知前附表及磋商须知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_Toc22286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63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_Toc10104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项目服务需求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_Toc10104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63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_Toc23559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第四章合同书格式及条款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_Toc23559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63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_Toc4580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评定标准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_Toc4580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637"/>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_Toc26335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_Toc26335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r>
            <w:rPr>
              <w:rFonts w:hint="eastAsia" w:ascii="宋体" w:hAnsi="宋体" w:eastAsia="宋体" w:cs="宋体"/>
              <w:sz w:val="28"/>
              <w:szCs w:val="28"/>
            </w:rPr>
            <w:fldChar w:fldCharType="end"/>
          </w:r>
        </w:p>
      </w:sdtContent>
    </w:sdt>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240" w:lineRule="exact"/>
        <w:ind w:left="60" w:firstLine="420"/>
      </w:pPr>
    </w:p>
    <w:p>
      <w:pPr>
        <w:spacing w:after="0" w:line="324" w:lineRule="exact"/>
        <w:ind w:left="60" w:firstLine="420"/>
      </w:pPr>
    </w:p>
    <w:p>
      <w:pPr>
        <w:widowControl/>
        <w:sectPr>
          <w:footerReference r:id="rId4" w:type="default"/>
          <w:type w:val="continuous"/>
          <w:pgSz w:w="11905" w:h="16838"/>
          <w:pgMar w:top="1417" w:right="1134" w:bottom="1134" w:left="1134" w:header="0" w:footer="0" w:gutter="0"/>
          <w:cols w:space="425" w:num="1"/>
          <w:rtlGutter w:val="0"/>
          <w:docGrid w:type="lines" w:linePitch="312" w:charSpace="0"/>
        </w:sectPr>
      </w:pPr>
    </w:p>
    <w:p>
      <w:pPr>
        <w:tabs>
          <w:tab w:val="left" w:pos="4359"/>
        </w:tabs>
        <w:spacing w:after="0" w:line="594" w:lineRule="exact"/>
        <w:rPr>
          <w:rFonts w:ascii="宋体" w:hAnsi="宋体" w:eastAsia="宋体" w:cs="宋体"/>
          <w:sz w:val="44"/>
        </w:rPr>
        <w:sectPr>
          <w:footerReference r:id="rId5" w:type="default"/>
          <w:type w:val="continuous"/>
          <w:pgSz w:w="11905" w:h="16838"/>
          <w:pgMar w:top="1417" w:right="1134" w:bottom="1134" w:left="1134" w:header="0" w:footer="0" w:gutter="0"/>
          <w:cols w:space="425" w:num="1"/>
          <w:rtlGutter w:val="0"/>
          <w:docGrid w:type="lines" w:linePitch="312" w:charSpace="0"/>
        </w:sectPr>
      </w:pPr>
      <w:bookmarkStart w:id="0" w:name="3"/>
      <w:bookmarkEnd w:id="0"/>
    </w:p>
    <w:p>
      <w:pPr>
        <w:keepNext w:val="0"/>
        <w:keepLines w:val="0"/>
        <w:pageBreakBefore w:val="0"/>
        <w:widowControl w:val="0"/>
        <w:tabs>
          <w:tab w:val="left" w:pos="4359"/>
        </w:tabs>
        <w:kinsoku/>
        <w:wordWrap/>
        <w:overflowPunct/>
        <w:topLinePunct w:val="0"/>
        <w:autoSpaceDE/>
        <w:autoSpaceDN/>
        <w:bidi w:val="0"/>
        <w:adjustRightInd/>
        <w:snapToGrid/>
        <w:spacing w:after="0" w:line="360" w:lineRule="auto"/>
        <w:ind w:left="0" w:firstLine="0"/>
        <w:jc w:val="center"/>
        <w:textAlignment w:val="auto"/>
        <w:outlineLvl w:val="0"/>
        <w:rPr>
          <w:sz w:val="36"/>
          <w:szCs w:val="36"/>
        </w:rPr>
      </w:pPr>
      <w:bookmarkStart w:id="1" w:name="_Toc31484"/>
      <w:r>
        <w:rPr>
          <w:rFonts w:ascii="宋体" w:hAnsi="宋体" w:eastAsia="宋体" w:cs="宋体"/>
          <w:sz w:val="36"/>
          <w:szCs w:val="36"/>
        </w:rPr>
        <w:t>第一章</w:t>
      </w:r>
      <w:r>
        <w:rPr>
          <w:rFonts w:hint="eastAsia" w:ascii="宋体" w:hAnsi="宋体" w:eastAsia="宋体" w:cs="宋体"/>
          <w:sz w:val="36"/>
          <w:szCs w:val="36"/>
          <w:lang w:val="en-US" w:eastAsia="zh-CN"/>
        </w:rPr>
        <w:t xml:space="preserve"> </w:t>
      </w:r>
      <w:r>
        <w:rPr>
          <w:rFonts w:ascii="宋体" w:hAnsi="宋体" w:eastAsia="宋体" w:cs="宋体"/>
          <w:sz w:val="36"/>
          <w:szCs w:val="36"/>
        </w:rPr>
        <w:t>竞争性磋商公告</w:t>
      </w:r>
      <w:bookmarkEnd w:id="1"/>
    </w:p>
    <w:p>
      <w:pPr>
        <w:pageBreakBefore w:val="0"/>
        <w:kinsoku/>
        <w:wordWrap/>
        <w:overflowPunct/>
        <w:topLinePunct w:val="0"/>
        <w:autoSpaceDE/>
        <w:autoSpaceDN/>
        <w:bidi w:val="0"/>
        <w:adjustRightInd/>
        <w:snapToGrid/>
        <w:spacing w:after="0" w:line="360" w:lineRule="auto"/>
        <w:ind w:hanging="11"/>
        <w:jc w:val="center"/>
        <w:textAlignment w:val="auto"/>
        <w:outlineLvl w:val="9"/>
      </w:pPr>
      <w:r>
        <w:rPr>
          <w:rFonts w:hint="eastAsia" w:ascii="宋体" w:hAnsi="宋体" w:eastAsia="宋体" w:cs="宋体"/>
          <w:b/>
          <w:sz w:val="32"/>
          <w:szCs w:val="32"/>
        </w:rPr>
        <w:t>广西博行弈工程项目管理有限公司港南区工业园区江五路（城东大道-安澜路）基础设施建设项目监理服务【项目编号：</w:t>
      </w:r>
      <w:r>
        <w:rPr>
          <w:rFonts w:hint="eastAsia" w:ascii="宋体" w:hAnsi="宋体" w:eastAsia="宋体" w:cs="宋体"/>
          <w:b/>
          <w:sz w:val="32"/>
          <w:szCs w:val="32"/>
          <w:lang w:eastAsia="zh-CN"/>
        </w:rPr>
        <w:t>GGZC2020-C3-30058-GXBX</w:t>
      </w:r>
      <w:r>
        <w:rPr>
          <w:rFonts w:hint="eastAsia" w:ascii="宋体" w:hAnsi="宋体" w:eastAsia="宋体" w:cs="宋体"/>
          <w:b/>
          <w:sz w:val="32"/>
          <w:szCs w:val="32"/>
        </w:rPr>
        <w:t>】</w:t>
      </w:r>
      <w:r>
        <w:rPr>
          <w:rFonts w:ascii="宋体" w:hAnsi="宋体" w:eastAsia="宋体" w:cs="宋体"/>
          <w:b/>
          <w:sz w:val="32"/>
          <w:szCs w:val="32"/>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港南区工业园区江五路（城东大道-安澜路）基础设施建设项目监理服务项目采购的潜在供应商应在</w:t>
      </w:r>
      <w:r>
        <w:rPr>
          <w:rFonts w:hint="eastAsia" w:ascii="宋体" w:hAnsi="宋体" w:eastAsia="宋体" w:cs="宋体"/>
          <w:kern w:val="0"/>
          <w:sz w:val="24"/>
          <w:szCs w:val="24"/>
        </w:rPr>
        <w:t>贵港市政府采购网“供应商注册入口”完成账号注册后，登录政采云平台“项目采购—获取采购文件”模块自行下载</w:t>
      </w:r>
      <w:r>
        <w:rPr>
          <w:rFonts w:hint="eastAsia" w:ascii="宋体" w:hAnsi="宋体" w:eastAsia="宋体" w:cs="宋体"/>
          <w:sz w:val="24"/>
          <w:szCs w:val="24"/>
        </w:rPr>
        <w:t>免费获取采购文件，并于</w:t>
      </w:r>
      <w:r>
        <w:rPr>
          <w:rFonts w:hint="eastAsia" w:ascii="宋体" w:hAnsi="宋体" w:eastAsia="宋体" w:cs="宋体"/>
          <w:sz w:val="24"/>
          <w:szCs w:val="24"/>
          <w:u w:val="single"/>
        </w:rPr>
        <w:t>2020年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sz w:val="24"/>
          <w:szCs w:val="24"/>
        </w:rPr>
        <w:t>（北京时间）前提交响应文件。</w:t>
      </w:r>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bookmarkStart w:id="2" w:name="_Toc35393629"/>
      <w:bookmarkStart w:id="3" w:name="_Toc28359012"/>
      <w:bookmarkStart w:id="4" w:name="_Toc35393798"/>
      <w:bookmarkStart w:id="5" w:name="_Toc28359089"/>
      <w:r>
        <w:rPr>
          <w:rFonts w:hint="eastAsia" w:ascii="宋体" w:hAnsi="宋体" w:eastAsia="宋体" w:cs="宋体"/>
          <w:sz w:val="24"/>
          <w:szCs w:val="24"/>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GGZC2020-C3-30058-GXBX</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采购计划文号：GNZC2020-C3-02</w:t>
      </w:r>
      <w:r>
        <w:rPr>
          <w:rFonts w:hint="eastAsia" w:ascii="宋体" w:hAnsi="宋体" w:eastAsia="宋体" w:cs="宋体"/>
          <w:sz w:val="24"/>
          <w:szCs w:val="24"/>
          <w:highlight w:val="none"/>
          <w:lang w:val="en-US" w:eastAsia="zh-CN"/>
        </w:rPr>
        <w:t>602</w:t>
      </w:r>
      <w:r>
        <w:rPr>
          <w:rFonts w:hint="eastAsia" w:ascii="宋体" w:hAnsi="宋体" w:eastAsia="宋体" w:cs="宋体"/>
          <w:sz w:val="24"/>
          <w:szCs w:val="24"/>
          <w:highlight w:val="none"/>
        </w:rPr>
        <w:t>-001</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项目名称：港南区工业园区江五路（城东大道-安澜路）基础设施建设项目监理服务</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采购方式：竞争性磋商</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预算金额（人民币）：</w:t>
      </w:r>
      <w:r>
        <w:rPr>
          <w:rFonts w:hint="eastAsia" w:ascii="宋体" w:hAnsi="宋体" w:eastAsia="宋体" w:cs="宋体"/>
          <w:sz w:val="24"/>
          <w:szCs w:val="24"/>
          <w:lang w:eastAsia="zh-CN"/>
        </w:rPr>
        <w:t>柒拾伍万贰仟陆佰元整（¥752600.00）</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rPr>
        <w:t>采购需求：港南区工业园区江五路（城东大道-安澜路）基础设施建设项目监理服务1项，项目建设地址：贵港市港南区工业园区内。项目建设规模：</w:t>
      </w:r>
      <w:r>
        <w:rPr>
          <w:rFonts w:hint="eastAsia" w:ascii="宋体" w:hAnsi="宋体" w:eastAsia="宋体" w:cs="宋体"/>
          <w:sz w:val="24"/>
          <w:szCs w:val="24"/>
          <w:u w:val="single"/>
        </w:rPr>
        <w:t>新建城市次干路1199.522米，道路红线宽度为30米，建设内容包括道路工程、桥梁工程、给排水工程、电力工程、电信工程、照明工程、交通工程、绿化工程及相关配套设施建设。</w:t>
      </w:r>
      <w:r>
        <w:rPr>
          <w:rFonts w:hint="eastAsia" w:ascii="宋体" w:hAnsi="宋体" w:eastAsia="宋体" w:cs="宋体"/>
          <w:sz w:val="24"/>
          <w:szCs w:val="24"/>
        </w:rPr>
        <w:t>详见竞争性磋商采购文件。</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监理服务范围：本项目包括但不限于工程施工合同及图纸（含设计变更）所包含的全部施工内容直至质保期满全过程监理 (含质量控制、进度控制、投资控制、合同管理、信息管理及现场组织协调）。施工阶段：施工过程中的质量、进度、造价控制，安全生产监理、合同、信息等方面的协调管理。保修阶段：检查和记录工程质量缺陷，对缺陷原因进行调查分析并确定责任归属，审核修复方案，监督修复过程并验收，审核修复费用等施工阶段的监理。</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监理质量要求：严格按照国家有关监理规范要求全过程监督工程质量，确保工程质量达到合格以上。</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监理服务期限：自合同签订之日起开始实施，至工程竣工验收合格，保修期满完毕（监理工期与施工工期一致）。 </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项目总投资估算（建安费）：48503830.71元。</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资金来源：政府专项债资金及上级财政资金。</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监理</w:t>
      </w:r>
      <w:bookmarkStart w:id="6" w:name="OLE_LINK1"/>
      <w:r>
        <w:rPr>
          <w:rFonts w:hint="eastAsia" w:ascii="宋体" w:hAnsi="宋体" w:eastAsia="宋体" w:cs="宋体"/>
          <w:sz w:val="24"/>
          <w:szCs w:val="24"/>
        </w:rPr>
        <w:t>酬金</w:t>
      </w:r>
      <w:bookmarkEnd w:id="6"/>
      <w:r>
        <w:rPr>
          <w:rFonts w:hint="eastAsia" w:ascii="宋体" w:hAnsi="宋体" w:eastAsia="宋体" w:cs="宋体"/>
          <w:sz w:val="24"/>
          <w:szCs w:val="24"/>
        </w:rPr>
        <w:t>支付：</w:t>
      </w:r>
      <w:bookmarkStart w:id="7" w:name="OLE_LINK2"/>
      <w:r>
        <w:rPr>
          <w:rFonts w:hint="eastAsia" w:ascii="宋体" w:hAnsi="宋体" w:eastAsia="宋体" w:cs="宋体"/>
          <w:sz w:val="24"/>
          <w:szCs w:val="24"/>
        </w:rPr>
        <w:t>（1）本工程监理费预付款为：中标金额的30%，签订监理合同后一周內支付。（2）其余监理酬金，监理人员进场并正常开展监理业务后，委托人原则上与施工进度款同步支付：监理酬金进度款=实际完成施工进度投资÷施工合同价×监理中标价×70%。（3）在工程通过竣工验收合格后支付至合同监理酬金总额的97%，工程竣工结算审定后一个月内再支付至100%。</w:t>
      </w:r>
    </w:p>
    <w:bookmarkEnd w:id="7"/>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如需进一步了解详细内容，详见竞争性磋商文件。</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本项目不接受联合体。</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b w:val="0"/>
          <w:bCs w:val="0"/>
          <w:sz w:val="24"/>
          <w:szCs w:val="24"/>
        </w:rPr>
      </w:pPr>
      <w:bookmarkStart w:id="8" w:name="_Toc28359013"/>
      <w:bookmarkStart w:id="9" w:name="_Toc28359090"/>
      <w:bookmarkStart w:id="10" w:name="_Toc35393799"/>
      <w:bookmarkStart w:id="11" w:name="_Toc35393630"/>
      <w:r>
        <w:rPr>
          <w:rFonts w:hint="eastAsia" w:ascii="宋体" w:hAnsi="宋体" w:eastAsia="宋体" w:cs="宋体"/>
          <w:b w:val="0"/>
          <w:bCs w:val="0"/>
          <w:sz w:val="24"/>
          <w:szCs w:val="24"/>
        </w:rPr>
        <w:t>二</w:t>
      </w:r>
      <w:r>
        <w:rPr>
          <w:rFonts w:hint="eastAsia" w:ascii="宋体" w:hAnsi="宋体" w:eastAsia="宋体" w:cs="宋体"/>
          <w:sz w:val="24"/>
          <w:szCs w:val="24"/>
        </w:rPr>
        <w:t>、申请人的资格要求：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满足《中华人民共和国政府采购法》第二十二条的规定；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（4）优先采购环境标志产品、节能产品；</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（5）政府采购扶持不发达地区和少数民族地区；</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（6）本项目为服务采购项目，执行相应政府采购政策。</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3.本项目的特定资格要求：（1）本次采购要求供应商须具备住房城乡建设行政主管部门颁发的</w:t>
      </w:r>
      <w:r>
        <w:rPr>
          <w:rFonts w:hint="eastAsia" w:ascii="宋体" w:hAnsi="宋体" w:eastAsia="宋体" w:cs="宋体"/>
          <w:sz w:val="24"/>
          <w:szCs w:val="24"/>
          <w:u w:val="single"/>
        </w:rPr>
        <w:t>市政公用工程监理</w:t>
      </w:r>
      <w:bookmarkStart w:id="12" w:name="OLE_LINK7"/>
      <w:r>
        <w:rPr>
          <w:rFonts w:hint="eastAsia" w:ascii="宋体" w:hAnsi="宋体" w:eastAsia="宋体" w:cs="宋体"/>
          <w:sz w:val="24"/>
          <w:szCs w:val="24"/>
          <w:u w:val="single"/>
        </w:rPr>
        <w:t>乙级</w:t>
      </w:r>
      <w:bookmarkEnd w:id="12"/>
      <w:r>
        <w:rPr>
          <w:rFonts w:hint="eastAsia" w:ascii="宋体" w:hAnsi="宋体" w:eastAsia="宋体" w:cs="宋体"/>
          <w:sz w:val="24"/>
          <w:szCs w:val="24"/>
          <w:u w:val="single"/>
        </w:rPr>
        <w:t>（含乙级）以上资质或工程监理综合资质</w:t>
      </w:r>
      <w:r>
        <w:rPr>
          <w:rFonts w:hint="eastAsia" w:ascii="宋体" w:hAnsi="宋体" w:eastAsia="宋体" w:cs="宋体"/>
          <w:sz w:val="24"/>
          <w:szCs w:val="24"/>
        </w:rPr>
        <w:t>，并在人员、设备、资金等方面具备相应的工程监理能力。其中，供应商拟派总监理工程师须具备国家注册监理工程师执业资格证</w:t>
      </w:r>
      <w:r>
        <w:rPr>
          <w:rFonts w:hint="eastAsia" w:ascii="宋体" w:hAnsi="宋体" w:eastAsia="宋体" w:cs="宋体"/>
          <w:sz w:val="24"/>
          <w:szCs w:val="24"/>
          <w:u w:val="single"/>
        </w:rPr>
        <w:t>（市政公用工程注册专业）</w:t>
      </w:r>
      <w:r>
        <w:rPr>
          <w:rFonts w:hint="eastAsia" w:ascii="宋体" w:hAnsi="宋体" w:eastAsia="宋体" w:cs="宋体"/>
          <w:sz w:val="24"/>
          <w:szCs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bookmarkStart w:id="13" w:name="_Toc35393631"/>
      <w:bookmarkStart w:id="14" w:name="_Toc28359091"/>
      <w:bookmarkStart w:id="15" w:name="_Toc28359014"/>
      <w:bookmarkStart w:id="16" w:name="_Toc35393800"/>
    </w:p>
    <w:p>
      <w:pPr>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13"/>
      <w:bookmarkEnd w:id="14"/>
      <w:bookmarkEnd w:id="15"/>
      <w:bookmarkEnd w:id="16"/>
      <w:bookmarkStart w:id="17" w:name="_Toc28359015"/>
      <w:bookmarkStart w:id="18" w:name="_Toc35393801"/>
      <w:bookmarkStart w:id="19" w:name="_Toc28359092"/>
      <w:bookmarkStart w:id="20" w:name="_Toc35393632"/>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b w:val="0"/>
          <w:kern w:val="0"/>
          <w:sz w:val="24"/>
          <w:szCs w:val="24"/>
        </w:rPr>
      </w:pPr>
      <w:r>
        <w:rPr>
          <w:rFonts w:hint="eastAsia" w:ascii="宋体" w:hAnsi="宋体" w:eastAsia="宋体" w:cs="宋体"/>
          <w:b w:val="0"/>
          <w:kern w:val="0"/>
          <w:sz w:val="24"/>
          <w:szCs w:val="24"/>
        </w:rPr>
        <w:t>时间：2020年</w:t>
      </w:r>
      <w:r>
        <w:rPr>
          <w:rFonts w:hint="eastAsia" w:ascii="宋体" w:hAnsi="宋体" w:eastAsia="宋体" w:cs="宋体"/>
          <w:b w:val="0"/>
          <w:kern w:val="0"/>
          <w:sz w:val="24"/>
          <w:szCs w:val="24"/>
          <w:lang w:val="en-US" w:eastAsia="zh-CN"/>
        </w:rPr>
        <w:t>11</w:t>
      </w:r>
      <w:r>
        <w:rPr>
          <w:rFonts w:hint="eastAsia" w:ascii="宋体" w:hAnsi="宋体" w:eastAsia="宋体" w:cs="宋体"/>
          <w:b w:val="0"/>
          <w:kern w:val="0"/>
          <w:sz w:val="24"/>
          <w:szCs w:val="24"/>
        </w:rPr>
        <w:t>月</w:t>
      </w:r>
      <w:r>
        <w:rPr>
          <w:rFonts w:hint="eastAsia" w:ascii="宋体" w:hAnsi="宋体" w:eastAsia="宋体" w:cs="宋体"/>
          <w:b w:val="0"/>
          <w:kern w:val="0"/>
          <w:sz w:val="24"/>
          <w:szCs w:val="24"/>
          <w:lang w:val="en-US" w:eastAsia="zh-CN"/>
        </w:rPr>
        <w:t>5</w:t>
      </w:r>
      <w:r>
        <w:rPr>
          <w:rFonts w:hint="eastAsia" w:ascii="宋体" w:hAnsi="宋体" w:eastAsia="宋体" w:cs="宋体"/>
          <w:b w:val="0"/>
          <w:kern w:val="0"/>
          <w:sz w:val="24"/>
          <w:szCs w:val="24"/>
        </w:rPr>
        <w:t>日至响应文件递交的截止时间止；</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b w:val="0"/>
          <w:kern w:val="0"/>
          <w:sz w:val="24"/>
          <w:szCs w:val="24"/>
        </w:rPr>
      </w:pPr>
      <w:r>
        <w:rPr>
          <w:rFonts w:hint="eastAsia" w:ascii="宋体" w:hAnsi="宋体" w:eastAsia="宋体" w:cs="宋体"/>
          <w:b w:val="0"/>
          <w:kern w:val="0"/>
          <w:sz w:val="24"/>
          <w:szCs w:val="24"/>
        </w:rPr>
        <w:t>地点：http://zfcg.czj.gxgg.gov.cn（贵港市政府采购网）；</w:t>
      </w:r>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b w:val="0"/>
          <w:kern w:val="0"/>
          <w:sz w:val="24"/>
          <w:szCs w:val="24"/>
        </w:rPr>
        <w:t>方式：采购文件获取方式为网上自行下载，潜在供应商通过政采云“供应商注册入口”完成账号注册后，登录政采云平台“项目采购—获取采购文件”模块免费自行下载采购文件电子版，未注册的供应商可在完成注册后进行下载。</w:t>
      </w:r>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b w:val="0"/>
          <w:kern w:val="0"/>
          <w:sz w:val="24"/>
          <w:szCs w:val="24"/>
        </w:rPr>
        <w:t>售价：0元</w:t>
      </w:r>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四、响应文件提交</w:t>
      </w:r>
      <w:bookmarkEnd w:id="17"/>
      <w:bookmarkEnd w:id="18"/>
      <w:bookmarkEnd w:id="19"/>
      <w:bookmarkEnd w:id="20"/>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rPr>
        <w:t>2020年</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点</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sz w:val="24"/>
          <w:szCs w:val="24"/>
        </w:rPr>
        <w:t>（北京时间）（从磋商文件开始发出之日起至供应商提交首次响应文件截止之日止不得少于10日）。</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地点：贵港市公共资源交易中心(贵港市港北区金城商业步行街与金田路交叉口东南150米水利大厦)。</w:t>
      </w:r>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bookmarkStart w:id="21" w:name="_Toc28359093"/>
      <w:bookmarkStart w:id="22" w:name="_Toc35393802"/>
      <w:bookmarkStart w:id="23" w:name="_Toc35393633"/>
      <w:bookmarkStart w:id="24" w:name="_Toc28359016"/>
      <w:r>
        <w:rPr>
          <w:rFonts w:hint="eastAsia" w:ascii="宋体" w:hAnsi="宋体" w:eastAsia="宋体" w:cs="宋体"/>
          <w:sz w:val="24"/>
          <w:szCs w:val="24"/>
        </w:rPr>
        <w:t>五、开启</w:t>
      </w:r>
      <w:bookmarkEnd w:id="21"/>
      <w:bookmarkEnd w:id="22"/>
      <w:bookmarkEnd w:id="23"/>
      <w:bookmarkEnd w:id="24"/>
      <w:bookmarkStart w:id="25" w:name="_Toc35393634"/>
      <w:bookmarkStart w:id="26" w:name="_Toc28359017"/>
      <w:bookmarkStart w:id="27" w:name="_Toc35393803"/>
      <w:bookmarkStart w:id="28" w:name="_Toc28359094"/>
      <w:r>
        <w:rPr>
          <w:rFonts w:hint="eastAsia" w:ascii="宋体" w:hAnsi="宋体" w:eastAsia="宋体" w:cs="宋体"/>
          <w:sz w:val="24"/>
          <w:szCs w:val="24"/>
        </w:rPr>
        <w:t>（磋商时间及地点）：</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响应文件递交截止时间后为磋商小组与磋商供应商磋商时间，具体时间由采购代理机构另行通知。地点：贵港市公共资源交易中心(贵港市港北区金城商业步行街与金田路交叉口东南150米水利大厦)。参加磋商的法定代表人、负责人、自然人或相应的委托代理人必须持有效证件【法定代表人（负责人、自然人）凭身份证或相应的委托代理人凭授权委托书原件和身份证】依时到达指定地点等候当面磋商。响应文件递交截止时间后，磋商小组在评标室启封响应文件。</w:t>
      </w:r>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六、公告期限</w:t>
      </w:r>
      <w:bookmarkEnd w:id="25"/>
      <w:bookmarkEnd w:id="26"/>
      <w:bookmarkEnd w:id="27"/>
      <w:bookmarkEnd w:id="28"/>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自本公告发布之日起10日。</w:t>
      </w:r>
    </w:p>
    <w:p>
      <w:pPr>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bookmarkStart w:id="29" w:name="_Toc35393635"/>
      <w:bookmarkStart w:id="30" w:name="_Toc35393804"/>
      <w:r>
        <w:rPr>
          <w:rFonts w:hint="eastAsia" w:ascii="宋体" w:hAnsi="宋体" w:eastAsia="宋体" w:cs="宋体"/>
          <w:sz w:val="24"/>
          <w:szCs w:val="24"/>
        </w:rPr>
        <w:t>其他补充事宜</w:t>
      </w:r>
      <w:bookmarkEnd w:id="29"/>
      <w:bookmarkEnd w:id="30"/>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信息公告发布媒体：http://www.ccgp.gov.cn（中国政府采购网）、http://zfcg.gxzf.gov.cn（广西壮族自治区政府采购网）、http://zfcg.czj.gxgg.gov.cn（贵港市政府采购网）、http://ggggjy.gxgg.gov.cn:9005（贵港市公共资源交易中心网） 。</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2.政府采购监督管理机构：贵港市港南区财政局政府采购监督管理股，联系电话：0775-4327666</w:t>
      </w:r>
    </w:p>
    <w:p>
      <w:pPr>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bookmarkStart w:id="31" w:name="_Toc35393636"/>
      <w:bookmarkStart w:id="32" w:name="_Toc28359018"/>
      <w:bookmarkStart w:id="33" w:name="_Toc28359095"/>
      <w:bookmarkStart w:id="34" w:name="_Toc35393805"/>
      <w:r>
        <w:rPr>
          <w:rFonts w:hint="eastAsia" w:ascii="宋体" w:hAnsi="宋体" w:eastAsia="宋体" w:cs="宋体"/>
          <w:sz w:val="24"/>
          <w:szCs w:val="24"/>
        </w:rPr>
        <w:t>凡对本次采购提出询问，请按以下方式联系。</w:t>
      </w:r>
      <w:bookmarkEnd w:id="31"/>
      <w:bookmarkEnd w:id="32"/>
      <w:bookmarkEnd w:id="33"/>
      <w:bookmarkEnd w:id="34"/>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bookmarkStart w:id="35" w:name="_Toc35393637"/>
      <w:bookmarkStart w:id="36" w:name="_Toc35393806"/>
      <w:bookmarkStart w:id="37" w:name="_Toc28359096"/>
      <w:bookmarkStart w:id="38" w:name="_Toc28359019"/>
      <w:r>
        <w:rPr>
          <w:rFonts w:hint="eastAsia" w:ascii="宋体" w:hAnsi="宋体" w:eastAsia="宋体" w:cs="宋体"/>
          <w:sz w:val="24"/>
          <w:szCs w:val="24"/>
        </w:rPr>
        <w:t>1.采购人信息</w:t>
      </w:r>
      <w:bookmarkEnd w:id="35"/>
      <w:bookmarkEnd w:id="36"/>
      <w:bookmarkEnd w:id="37"/>
      <w:bookmarkEnd w:id="38"/>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名    称：贵港市港南区工业园区管理委员会</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地    址：贵港市港南区行政中心综合楼</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bookmarkStart w:id="39" w:name="_Toc35393807"/>
      <w:bookmarkStart w:id="40" w:name="_Toc28359020"/>
      <w:bookmarkStart w:id="41" w:name="_Toc35393638"/>
      <w:bookmarkStart w:id="42" w:name="_Toc28359097"/>
      <w:r>
        <w:rPr>
          <w:rFonts w:hint="eastAsia" w:ascii="宋体" w:hAnsi="宋体" w:eastAsia="宋体" w:cs="宋体"/>
          <w:sz w:val="24"/>
          <w:szCs w:val="24"/>
        </w:rPr>
        <w:t>联系电话: 0775-4353218</w:t>
      </w:r>
    </w:p>
    <w:p>
      <w:pPr>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bookmarkEnd w:id="39"/>
      <w:bookmarkEnd w:id="40"/>
      <w:bookmarkEnd w:id="41"/>
      <w:bookmarkEnd w:id="42"/>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名    称：广西博行弈工程项目管理有限公司</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地　　址：贵港市港北区金港大道万豪丽城2栋3单元3405</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联系电话：0775-4218878</w:t>
      </w:r>
    </w:p>
    <w:p>
      <w:pPr>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ascii="宋体" w:hAnsi="宋体" w:eastAsia="宋体" w:cs="宋体"/>
          <w:sz w:val="24"/>
          <w:szCs w:val="24"/>
        </w:rPr>
      </w:pPr>
      <w:bookmarkStart w:id="43" w:name="_Toc28359021"/>
      <w:bookmarkStart w:id="44" w:name="_Toc28359098"/>
      <w:bookmarkStart w:id="45" w:name="_Toc35393808"/>
      <w:bookmarkStart w:id="46" w:name="_Toc35393639"/>
      <w:r>
        <w:rPr>
          <w:rFonts w:hint="eastAsia" w:ascii="宋体" w:hAnsi="宋体" w:eastAsia="宋体" w:cs="宋体"/>
          <w:b/>
          <w:bCs/>
          <w:sz w:val="24"/>
          <w:szCs w:val="24"/>
        </w:rPr>
        <w:t>3.</w:t>
      </w:r>
      <w:bookmarkEnd w:id="43"/>
      <w:bookmarkEnd w:id="44"/>
      <w:bookmarkEnd w:id="45"/>
      <w:bookmarkEnd w:id="46"/>
      <w:r>
        <w:rPr>
          <w:rFonts w:hint="eastAsia" w:ascii="宋体" w:hAnsi="宋体" w:eastAsia="宋体" w:cs="宋体"/>
          <w:b/>
          <w:bCs/>
          <w:sz w:val="24"/>
          <w:szCs w:val="24"/>
        </w:rPr>
        <w:t>项目联系方式</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项目联系人：小贾</w:t>
      </w:r>
    </w:p>
    <w:p>
      <w:pPr>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联系电话：0775-4218878</w:t>
      </w:r>
    </w:p>
    <w:p>
      <w:pPr>
        <w:pageBreakBefore w:val="0"/>
        <w:widowControl w:val="0"/>
        <w:kinsoku/>
        <w:wordWrap/>
        <w:overflowPunct/>
        <w:topLinePunct w:val="0"/>
        <w:autoSpaceDE/>
        <w:autoSpaceDN/>
        <w:bidi w:val="0"/>
        <w:adjustRightInd/>
        <w:snapToGrid/>
        <w:spacing w:after="0" w:line="360" w:lineRule="auto"/>
        <w:ind w:left="0" w:leftChars="0" w:firstLine="480" w:firstLineChars="2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广西博行弈工程项目管理有限公司</w:t>
      </w:r>
    </w:p>
    <w:p>
      <w:pPr>
        <w:pageBreakBefore w:val="0"/>
        <w:widowControl w:val="0"/>
        <w:kinsoku/>
        <w:wordWrap/>
        <w:overflowPunct/>
        <w:topLinePunct w:val="0"/>
        <w:autoSpaceDE/>
        <w:autoSpaceDN/>
        <w:bidi w:val="0"/>
        <w:adjustRightInd/>
        <w:snapToGrid/>
        <w:spacing w:after="0" w:line="360" w:lineRule="auto"/>
        <w:ind w:left="0" w:leftChars="0" w:firstLine="480" w:firstLineChars="20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p>
    <w:p>
      <w:pPr>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sz w:val="24"/>
          <w:szCs w:val="24"/>
        </w:rPr>
        <w:sectPr>
          <w:footerReference r:id="rId6" w:type="default"/>
          <w:pgSz w:w="11905" w:h="16838"/>
          <w:pgMar w:top="1417" w:right="1134" w:bottom="1134" w:left="1134" w:header="0" w:footer="0" w:gutter="0"/>
          <w:pgNumType w:start="1"/>
          <w:cols w:space="425" w:num="1"/>
          <w:rtlGutter w:val="0"/>
          <w:docGrid w:type="lines" w:linePitch="312" w:charSpace="0"/>
        </w:sectPr>
      </w:pPr>
    </w:p>
    <w:p>
      <w:pPr>
        <w:spacing w:after="0" w:line="240" w:lineRule="exact"/>
        <w:rPr>
          <w:sz w:val="30"/>
          <w:szCs w:val="30"/>
        </w:rPr>
      </w:pPr>
      <w:bookmarkStart w:id="47" w:name="6"/>
      <w:bookmarkEnd w:id="47"/>
    </w:p>
    <w:p>
      <w:pPr>
        <w:spacing w:after="0" w:line="464" w:lineRule="exact"/>
        <w:ind w:left="60" w:firstLine="2301" w:firstLineChars="767"/>
        <w:rPr>
          <w:rFonts w:ascii="宋体" w:hAnsi="宋体" w:eastAsia="宋体" w:cs="宋体"/>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widowControl w:val="0"/>
        <w:tabs>
          <w:tab w:val="left" w:pos="4359"/>
        </w:tabs>
        <w:kinsoku/>
        <w:wordWrap/>
        <w:overflowPunct/>
        <w:topLinePunct w:val="0"/>
        <w:autoSpaceDE/>
        <w:autoSpaceDN/>
        <w:bidi w:val="0"/>
        <w:adjustRightInd/>
        <w:snapToGrid/>
        <w:spacing w:after="0" w:line="360" w:lineRule="auto"/>
        <w:ind w:left="0" w:firstLine="0"/>
        <w:jc w:val="center"/>
        <w:textAlignment w:val="auto"/>
        <w:outlineLvl w:val="0"/>
        <w:rPr>
          <w:rFonts w:ascii="宋体" w:hAnsi="宋体" w:eastAsia="宋体" w:cs="宋体"/>
          <w:sz w:val="36"/>
          <w:szCs w:val="36"/>
        </w:rPr>
      </w:pPr>
      <w:bookmarkStart w:id="48" w:name="_Toc22286"/>
      <w:r>
        <w:rPr>
          <w:rFonts w:ascii="宋体" w:hAnsi="宋体" w:eastAsia="宋体" w:cs="宋体"/>
          <w:sz w:val="36"/>
          <w:szCs w:val="36"/>
        </w:rPr>
        <w:t>第二章 磋商须知前附表及磋商须知</w:t>
      </w:r>
      <w:bookmarkEnd w:id="48"/>
    </w:p>
    <w:p>
      <w:pPr>
        <w:pageBreakBefore w:val="0"/>
        <w:widowControl w:val="0"/>
        <w:kinsoku/>
        <w:wordWrap/>
        <w:overflowPunct/>
        <w:topLinePunct w:val="0"/>
        <w:autoSpaceDE/>
        <w:autoSpaceDN/>
        <w:bidi w:val="0"/>
        <w:adjustRightInd/>
        <w:snapToGrid/>
        <w:spacing w:before="0" w:line="360" w:lineRule="auto"/>
        <w:jc w:val="center"/>
        <w:textAlignment w:val="auto"/>
        <w:outlineLvl w:val="9"/>
        <w:rPr>
          <w:b w:val="0"/>
          <w:kern w:val="0"/>
          <w:sz w:val="30"/>
          <w:szCs w:val="30"/>
        </w:rPr>
      </w:pPr>
      <w:r>
        <w:rPr>
          <w:rFonts w:hint="eastAsia"/>
          <w:b w:val="0"/>
          <w:kern w:val="0"/>
          <w:sz w:val="30"/>
          <w:szCs w:val="30"/>
        </w:rPr>
        <w:t>磋商须知前附表</w:t>
      </w:r>
    </w:p>
    <w:tbl>
      <w:tblPr>
        <w:tblStyle w:val="19"/>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32"/>
        <w:gridCol w:w="8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项号</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8213"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１</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8213" w:type="dxa"/>
            <w:vAlign w:val="center"/>
          </w:tcPr>
          <w:p>
            <w:pPr>
              <w:keepNext w:val="0"/>
              <w:keepLines w:val="0"/>
              <w:pageBreakBefore w:val="0"/>
              <w:widowControl w:val="0"/>
              <w:kinsoku/>
              <w:wordWrap/>
              <w:overflowPunct/>
              <w:topLinePunct w:val="0"/>
              <w:autoSpaceDE w:val="0"/>
              <w:autoSpaceDN w:val="0"/>
              <w:bidi w:val="0"/>
              <w:snapToGrid w:val="0"/>
              <w:spacing w:after="0" w:line="360" w:lineRule="auto"/>
              <w:ind w:right="0"/>
              <w:outlineLvl w:val="9"/>
              <w:rPr>
                <w:rFonts w:hint="eastAsia" w:ascii="宋体" w:hAnsi="宋体" w:eastAsia="宋体" w:cs="宋体"/>
                <w:kern w:val="0"/>
                <w:sz w:val="24"/>
                <w:szCs w:val="24"/>
              </w:rPr>
            </w:pPr>
            <w:r>
              <w:rPr>
                <w:rFonts w:hint="eastAsia" w:ascii="宋体" w:hAnsi="宋体" w:eastAsia="宋体" w:cs="宋体"/>
                <w:b/>
                <w:kern w:val="0"/>
                <w:sz w:val="24"/>
                <w:szCs w:val="24"/>
              </w:rPr>
              <w:t>综合说明</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val="0"/>
              <w:autoSpaceDN w:val="0"/>
              <w:bidi w:val="0"/>
              <w:snapToGrid w:val="0"/>
              <w:spacing w:after="0" w:line="360" w:lineRule="auto"/>
              <w:ind w:right="0"/>
              <w:outlineLvl w:val="9"/>
              <w:rPr>
                <w:rFonts w:hint="eastAsia" w:ascii="宋体" w:hAnsi="宋体" w:eastAsia="宋体" w:cs="宋体"/>
                <w:sz w:val="24"/>
                <w:szCs w:val="24"/>
              </w:rPr>
            </w:pPr>
            <w:r>
              <w:rPr>
                <w:rFonts w:hint="eastAsia" w:ascii="宋体" w:hAnsi="宋体" w:eastAsia="宋体" w:cs="宋体"/>
                <w:b/>
                <w:kern w:val="0"/>
                <w:sz w:val="24"/>
                <w:szCs w:val="24"/>
              </w:rPr>
              <w:t>项目名称：</w:t>
            </w:r>
            <w:r>
              <w:rPr>
                <w:rFonts w:hint="eastAsia" w:ascii="宋体" w:hAnsi="宋体" w:eastAsia="宋体" w:cs="宋体"/>
                <w:sz w:val="24"/>
                <w:szCs w:val="24"/>
              </w:rPr>
              <w:t>港南区工业园区江五路（城东大道-安澜路）基础设施建设项目监理服务</w:t>
            </w:r>
          </w:p>
          <w:p>
            <w:pPr>
              <w:keepNext w:val="0"/>
              <w:keepLines w:val="0"/>
              <w:pageBreakBefore w:val="0"/>
              <w:widowControl w:val="0"/>
              <w:kinsoku/>
              <w:wordWrap/>
              <w:overflowPunct/>
              <w:topLinePunct w:val="0"/>
              <w:autoSpaceDE w:val="0"/>
              <w:autoSpaceDN w:val="0"/>
              <w:bidi w:val="0"/>
              <w:snapToGrid w:val="0"/>
              <w:spacing w:after="0" w:line="360" w:lineRule="auto"/>
              <w:ind w:right="0"/>
              <w:outlineLvl w:val="9"/>
              <w:rPr>
                <w:rFonts w:hint="eastAsia" w:ascii="宋体" w:hAnsi="宋体" w:eastAsia="宋体" w:cs="宋体"/>
                <w:kern w:val="0"/>
                <w:sz w:val="24"/>
                <w:szCs w:val="24"/>
                <w:lang w:eastAsia="zh-CN"/>
              </w:rPr>
            </w:pPr>
            <w:r>
              <w:rPr>
                <w:rFonts w:hint="eastAsia" w:ascii="宋体" w:hAnsi="宋体" w:eastAsia="宋体" w:cs="宋体"/>
                <w:b/>
                <w:kern w:val="0"/>
                <w:sz w:val="24"/>
                <w:szCs w:val="24"/>
              </w:rPr>
              <w:t>项目编号：</w:t>
            </w:r>
            <w:r>
              <w:rPr>
                <w:rFonts w:hint="eastAsia" w:ascii="宋体" w:hAnsi="宋体" w:eastAsia="宋体" w:cs="宋体"/>
                <w:sz w:val="24"/>
                <w:szCs w:val="24"/>
                <w:lang w:eastAsia="zh-CN"/>
              </w:rPr>
              <w:t>GGZC2020-C3-30058-GXBX</w:t>
            </w:r>
          </w:p>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sz w:val="24"/>
                <w:szCs w:val="24"/>
                <w:shd w:val="clear" w:color="auto" w:fill="FFFFFF"/>
              </w:rPr>
            </w:pPr>
            <w:r>
              <w:rPr>
                <w:rFonts w:hint="eastAsia" w:ascii="宋体" w:hAnsi="宋体" w:eastAsia="宋体" w:cs="宋体"/>
                <w:b/>
                <w:kern w:val="0"/>
                <w:sz w:val="24"/>
                <w:szCs w:val="24"/>
              </w:rPr>
              <w:t>采购需求：</w:t>
            </w:r>
            <w:r>
              <w:rPr>
                <w:rFonts w:hint="eastAsia" w:ascii="宋体" w:hAnsi="宋体" w:eastAsia="宋体" w:cs="宋体"/>
                <w:sz w:val="24"/>
                <w:szCs w:val="24"/>
              </w:rPr>
              <w:t>港南区工业园区江五路（城东大道-安澜路）基础设施建设项目监理服务1项，项目建设地址：贵港市港南区工业园区内。项目建设规模：</w:t>
            </w:r>
            <w:r>
              <w:rPr>
                <w:rFonts w:hint="eastAsia" w:ascii="宋体" w:hAnsi="宋体" w:eastAsia="宋体" w:cs="宋体"/>
                <w:sz w:val="24"/>
                <w:szCs w:val="24"/>
                <w:u w:val="single"/>
              </w:rPr>
              <w:t>新建城市次干路1199.522米，道路红线宽度为30米，建设内容包括道路工程、桥梁工程、给排水工程、电力工程、电信工程、照明工程、交通工程、绿化工程及相关配套设施建设。</w:t>
            </w:r>
            <w:r>
              <w:rPr>
                <w:rFonts w:hint="eastAsia" w:ascii="宋体" w:hAnsi="宋体" w:eastAsia="宋体" w:cs="宋体"/>
                <w:sz w:val="24"/>
                <w:szCs w:val="24"/>
              </w:rPr>
              <w:t>详见竞争性磋商采购文件。</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监理服务范围：本项目包括但不限于工程施工合同及图纸（含设计变更）所包含的全部施工内容直至质保期满全过程监理 (含质量控制、进度控制、投资控制、合同管理、信息管理及现场组织协调）。施工阶段：施工过程中的质量、进度、造价控制，安全生产监理、合同、信息等方面的协调管理。保修阶段：检查和记录工程质量缺陷，对缺陷原因进行调查分析并确定责任归属，审核修复方案，监督修复过程并验收，审核修复费用等施工阶段的监理。</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监理质量要求：严格按照国家有关监理规范要求全过程监督工程质量，确保工程质量达到合格以上。</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监理服务期限：自合同签订之日起开始实施，至工程竣工验收合格，保修期满完毕（监理工期与施工工期一致）。 </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项目总投资估算（建安费）：48503830.71元。</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资金来源：政府专项债资金及上级财政资金。</w:t>
            </w:r>
          </w:p>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bCs/>
                <w:kern w:val="0"/>
                <w:sz w:val="24"/>
                <w:szCs w:val="24"/>
              </w:rPr>
            </w:pPr>
            <w:r>
              <w:rPr>
                <w:rFonts w:hint="eastAsia" w:ascii="宋体" w:hAnsi="宋体" w:eastAsia="宋体" w:cs="宋体"/>
                <w:sz w:val="24"/>
                <w:szCs w:val="24"/>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213" w:type="dxa"/>
            <w:vAlign w:val="center"/>
          </w:tcPr>
          <w:p>
            <w:pPr>
              <w:keepNext w:val="0"/>
              <w:keepLines w:val="0"/>
              <w:pageBreakBefore w:val="0"/>
              <w:widowControl w:val="0"/>
              <w:kinsoku/>
              <w:wordWrap/>
              <w:overflowPunct/>
              <w:topLinePunct w:val="0"/>
              <w:bidi w:val="0"/>
              <w:adjustRightInd w:val="0"/>
              <w:spacing w:after="0" w:line="360" w:lineRule="auto"/>
              <w:ind w:right="0"/>
              <w:textAlignment w:val="baseline"/>
              <w:outlineLvl w:val="9"/>
              <w:rPr>
                <w:rFonts w:hint="eastAsia" w:ascii="宋体" w:hAnsi="宋体" w:eastAsia="宋体" w:cs="宋体"/>
                <w:kern w:val="0"/>
                <w:sz w:val="24"/>
                <w:szCs w:val="24"/>
              </w:rPr>
            </w:pPr>
            <w:r>
              <w:rPr>
                <w:rFonts w:hint="eastAsia" w:ascii="宋体" w:hAnsi="宋体" w:eastAsia="宋体" w:cs="宋体"/>
                <w:b/>
                <w:kern w:val="0"/>
                <w:sz w:val="24"/>
                <w:szCs w:val="24"/>
              </w:rPr>
              <w:t>合同名称</w:t>
            </w:r>
            <w:r>
              <w:rPr>
                <w:rFonts w:hint="eastAsia" w:ascii="宋体" w:hAnsi="宋体" w:eastAsia="宋体" w:cs="宋体"/>
                <w:kern w:val="0"/>
                <w:sz w:val="24"/>
                <w:szCs w:val="24"/>
              </w:rPr>
              <w:t>：</w:t>
            </w:r>
            <w:r>
              <w:rPr>
                <w:rFonts w:hint="eastAsia" w:ascii="宋体" w:hAnsi="宋体" w:eastAsia="宋体" w:cs="宋体"/>
                <w:sz w:val="24"/>
                <w:szCs w:val="24"/>
              </w:rPr>
              <w:t>港南区工业园区江五路（城东大道-安澜路）基础设施建设项目监理服务合同。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8213" w:type="dxa"/>
            <w:vAlign w:val="center"/>
          </w:tcPr>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sz w:val="24"/>
                <w:szCs w:val="24"/>
              </w:rPr>
            </w:pPr>
            <w:r>
              <w:rPr>
                <w:rFonts w:hint="eastAsia" w:ascii="宋体" w:hAnsi="宋体" w:eastAsia="宋体" w:cs="宋体"/>
                <w:b/>
                <w:kern w:val="0"/>
                <w:sz w:val="24"/>
                <w:szCs w:val="24"/>
              </w:rPr>
              <w:t>本项目采购预算金额为：</w:t>
            </w:r>
            <w:r>
              <w:rPr>
                <w:rFonts w:hint="eastAsia" w:ascii="宋体" w:hAnsi="宋体" w:eastAsia="宋体" w:cs="宋体"/>
                <w:b/>
                <w:kern w:val="0"/>
                <w:sz w:val="24"/>
                <w:szCs w:val="24"/>
                <w:lang w:eastAsia="zh-CN"/>
              </w:rPr>
              <w:t>柒拾伍万贰仟陆佰元整（¥752600.00）</w:t>
            </w:r>
            <w:r>
              <w:rPr>
                <w:rFonts w:hint="eastAsia" w:ascii="宋体" w:hAnsi="宋体" w:eastAsia="宋体" w:cs="宋体"/>
                <w:b/>
                <w:sz w:val="24"/>
                <w:szCs w:val="24"/>
              </w:rPr>
              <w:t>；</w:t>
            </w:r>
          </w:p>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kern w:val="0"/>
                <w:sz w:val="24"/>
                <w:szCs w:val="24"/>
              </w:rPr>
            </w:pPr>
            <w:r>
              <w:rPr>
                <w:rFonts w:hint="eastAsia" w:ascii="宋体" w:hAnsi="宋体" w:eastAsia="宋体" w:cs="宋体"/>
                <w:b/>
                <w:kern w:val="0"/>
                <w:sz w:val="24"/>
                <w:szCs w:val="24"/>
              </w:rPr>
              <w:t>资金来源</w:t>
            </w:r>
            <w:r>
              <w:rPr>
                <w:rFonts w:hint="eastAsia" w:ascii="宋体" w:hAnsi="宋体" w:eastAsia="宋体" w:cs="宋体"/>
                <w:kern w:val="0"/>
                <w:sz w:val="24"/>
                <w:szCs w:val="24"/>
              </w:rPr>
              <w:t>：</w:t>
            </w:r>
            <w:r>
              <w:rPr>
                <w:rFonts w:hint="eastAsia" w:ascii="宋体" w:hAnsi="宋体" w:eastAsia="宋体" w:cs="宋体"/>
                <w:sz w:val="24"/>
                <w:szCs w:val="24"/>
              </w:rPr>
              <w:t>政府专项债资金及上级财政资金。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8213" w:type="dxa"/>
            <w:vAlign w:val="center"/>
          </w:tcPr>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 满足《中华人民共和国政府采购法》第二十二条的规定；</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（1）《政府采购促进中小企业发展暂行办法》（财库[2011]181号）；</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（2）《关于政府采购支持监狱企业发展有关问题的通知》（财库[2014]68号）；</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（3）《关于促进残疾人就业政府采购政策的通知》（财库[2017]141号）；</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（4）优先采购环境标志产品、节能产品；</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（5）政府采购扶持不发达地区和少数民族地区；</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（6）本项目为服务采购项目，执行相应政府采购政策。</w:t>
            </w:r>
          </w:p>
          <w:p>
            <w:pPr>
              <w:keepNext w:val="0"/>
              <w:keepLines w:val="0"/>
              <w:pageBreakBefore w:val="0"/>
              <w:widowControl w:val="0"/>
              <w:kinsoku/>
              <w:wordWrap/>
              <w:overflowPunct/>
              <w:topLinePunct w:val="0"/>
              <w:bidi w:val="0"/>
              <w:spacing w:after="0" w:line="360" w:lineRule="auto"/>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本项目的特定资格要求：（1）本次采购要求供应商须具备住房城乡建设行政主管部门颁发的市政公用工程监理乙级（含乙级）以上资质或工程监理综合资质，并在人员、设备、资金等方面具备相应的工程监理能力。其中，供应商拟派总监理工程师须具备国家注册监理工程师执业资格证（市政公用工程注册专业）。（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8.2</w:t>
            </w:r>
          </w:p>
        </w:tc>
        <w:tc>
          <w:tcPr>
            <w:tcW w:w="8213" w:type="dxa"/>
            <w:vAlign w:val="center"/>
          </w:tcPr>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sz w:val="24"/>
                <w:szCs w:val="24"/>
              </w:rPr>
            </w:pPr>
            <w:r>
              <w:rPr>
                <w:rFonts w:hint="eastAsia" w:ascii="宋体" w:hAnsi="宋体" w:eastAsia="宋体" w:cs="宋体"/>
                <w:spacing w:val="-1"/>
                <w:sz w:val="24"/>
                <w:szCs w:val="24"/>
              </w:rPr>
              <w:t>磋商有效期：60天。</w:t>
            </w:r>
          </w:p>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sz w:val="24"/>
                <w:szCs w:val="24"/>
              </w:rPr>
            </w:pPr>
            <w:r>
              <w:rPr>
                <w:rFonts w:hint="eastAsia" w:ascii="宋体" w:hAnsi="宋体" w:eastAsia="宋体" w:cs="宋体"/>
                <w:sz w:val="24"/>
                <w:szCs w:val="24"/>
              </w:rPr>
              <w:t>1.未成交的响应文件磋商有效期内均应保持有效。</w:t>
            </w:r>
          </w:p>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b/>
                <w:sz w:val="24"/>
                <w:szCs w:val="24"/>
              </w:rPr>
            </w:pPr>
            <w:r>
              <w:rPr>
                <w:rFonts w:hint="eastAsia" w:ascii="宋体" w:hAnsi="宋体" w:eastAsia="宋体" w:cs="宋体"/>
                <w:spacing w:val="-1"/>
                <w:sz w:val="24"/>
                <w:szCs w:val="24"/>
              </w:rPr>
              <w:t>2.成交供应商的响应文件自开标之日起至合同履行完毕止均应保持有效。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0" w:type="dxa"/>
            <w:vAlign w:val="center"/>
          </w:tcPr>
          <w:p>
            <w:pPr>
              <w:keepNext w:val="0"/>
              <w:keepLines w:val="0"/>
              <w:pageBreakBefore w:val="0"/>
              <w:widowControl w:val="0"/>
              <w:kinsoku/>
              <w:wordWrap/>
              <w:overflowPunct/>
              <w:topLinePunct w:val="0"/>
              <w:autoSpaceDE w:val="0"/>
              <w:autoSpaceDN w:val="0"/>
              <w:bidi w:val="0"/>
              <w:spacing w:after="0" w:line="360" w:lineRule="auto"/>
              <w:ind w:right="0"/>
              <w:jc w:val="center"/>
              <w:outlineLvl w:val="9"/>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32" w:type="dxa"/>
            <w:vAlign w:val="center"/>
          </w:tcPr>
          <w:p>
            <w:pPr>
              <w:keepNext w:val="0"/>
              <w:keepLines w:val="0"/>
              <w:pageBreakBefore w:val="0"/>
              <w:widowControl w:val="0"/>
              <w:kinsoku/>
              <w:wordWrap/>
              <w:overflowPunct/>
              <w:topLinePunct w:val="0"/>
              <w:autoSpaceDE w:val="0"/>
              <w:autoSpaceDN w:val="0"/>
              <w:bidi w:val="0"/>
              <w:spacing w:after="0" w:line="360" w:lineRule="auto"/>
              <w:ind w:right="0"/>
              <w:jc w:val="center"/>
              <w:outlineLvl w:val="9"/>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213" w:type="dxa"/>
            <w:vAlign w:val="center"/>
          </w:tcPr>
          <w:p>
            <w:pPr>
              <w:keepNext w:val="0"/>
              <w:keepLines w:val="0"/>
              <w:pageBreakBefore w:val="0"/>
              <w:widowControl w:val="0"/>
              <w:kinsoku/>
              <w:wordWrap/>
              <w:overflowPunct/>
              <w:topLinePunct w:val="0"/>
              <w:autoSpaceDE w:val="0"/>
              <w:autoSpaceDN w:val="0"/>
              <w:bidi w:val="0"/>
              <w:adjustRightInd w:val="0"/>
              <w:spacing w:after="0" w:line="360" w:lineRule="auto"/>
              <w:ind w:right="0"/>
              <w:outlineLvl w:val="9"/>
              <w:rPr>
                <w:rFonts w:hint="eastAsia" w:ascii="宋体" w:hAnsi="宋体" w:eastAsia="宋体" w:cs="宋体"/>
                <w:sz w:val="24"/>
                <w:szCs w:val="24"/>
              </w:rPr>
            </w:pPr>
            <w:r>
              <w:rPr>
                <w:rFonts w:hint="eastAsia" w:ascii="宋体" w:hAnsi="宋体" w:eastAsia="宋体" w:cs="宋体"/>
                <w:kern w:val="0"/>
                <w:sz w:val="24"/>
                <w:szCs w:val="24"/>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10.1</w:t>
            </w:r>
          </w:p>
        </w:tc>
        <w:tc>
          <w:tcPr>
            <w:tcW w:w="8213" w:type="dxa"/>
            <w:vAlign w:val="center"/>
          </w:tcPr>
          <w:p>
            <w:pPr>
              <w:keepNext w:val="0"/>
              <w:keepLines w:val="0"/>
              <w:pageBreakBefore w:val="0"/>
              <w:widowControl w:val="0"/>
              <w:kinsoku/>
              <w:wordWrap/>
              <w:overflowPunct/>
              <w:topLinePunct w:val="0"/>
              <w:bidi w:val="0"/>
              <w:adjustRightInd w:val="0"/>
              <w:spacing w:after="0" w:line="360" w:lineRule="auto"/>
              <w:ind w:right="0"/>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磋商报价：供应商必须就所投项目的全部内容作完整唯一报价，报价采用人民币报价，本次磋商为总价包干。漏项报价的或有选择的或有条件的报价，其磋商将视为无效。磋商报价为二次报价，在最终报价不超出采购预算价的范围内为有效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10.2</w:t>
            </w:r>
          </w:p>
        </w:tc>
        <w:tc>
          <w:tcPr>
            <w:tcW w:w="8213" w:type="dxa"/>
            <w:vAlign w:val="center"/>
          </w:tcPr>
          <w:p>
            <w:pPr>
              <w:keepNext w:val="0"/>
              <w:keepLines w:val="0"/>
              <w:pageBreakBefore w:val="0"/>
              <w:widowControl w:val="0"/>
              <w:kinsoku/>
              <w:wordWrap/>
              <w:overflowPunct/>
              <w:topLinePunct w:val="0"/>
              <w:bidi w:val="0"/>
              <w:adjustRightInd w:val="0"/>
              <w:spacing w:after="0" w:line="360" w:lineRule="auto"/>
              <w:ind w:right="0"/>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响应文件份数：正本一份、副本三份。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8213" w:type="dxa"/>
            <w:vAlign w:val="center"/>
          </w:tcPr>
          <w:p>
            <w:pPr>
              <w:keepNext w:val="0"/>
              <w:keepLines w:val="0"/>
              <w:pageBreakBefore w:val="0"/>
              <w:widowControl w:val="0"/>
              <w:kinsoku/>
              <w:wordWrap/>
              <w:overflowPunct/>
              <w:topLinePunct w:val="0"/>
              <w:bidi w:val="0"/>
              <w:adjustRightInd w:val="0"/>
              <w:spacing w:after="0" w:line="360" w:lineRule="auto"/>
              <w:ind w:right="0"/>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响应文件递交及截止时间：2020年</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时</w:t>
            </w:r>
            <w:r>
              <w:rPr>
                <w:rFonts w:hint="eastAsia" w:ascii="宋体" w:hAnsi="宋体" w:eastAsia="宋体" w:cs="宋体"/>
                <w:kern w:val="0"/>
                <w:sz w:val="24"/>
                <w:szCs w:val="24"/>
                <w:lang w:val="en-US" w:eastAsia="zh-CN"/>
              </w:rPr>
              <w:t>30</w:t>
            </w:r>
            <w:bookmarkStart w:id="161" w:name="_GoBack"/>
            <w:bookmarkEnd w:id="161"/>
            <w:r>
              <w:rPr>
                <w:rFonts w:hint="eastAsia" w:ascii="宋体" w:hAnsi="宋体" w:eastAsia="宋体" w:cs="宋体"/>
                <w:kern w:val="0"/>
                <w:sz w:val="24"/>
                <w:szCs w:val="24"/>
              </w:rPr>
              <w:t>分；</w:t>
            </w:r>
          </w:p>
          <w:p>
            <w:pPr>
              <w:keepNext w:val="0"/>
              <w:keepLines w:val="0"/>
              <w:pageBreakBefore w:val="0"/>
              <w:widowControl w:val="0"/>
              <w:kinsoku/>
              <w:wordWrap/>
              <w:overflowPunct/>
              <w:topLinePunct w:val="0"/>
              <w:bidi w:val="0"/>
              <w:adjustRightInd w:val="0"/>
              <w:spacing w:after="0" w:line="360" w:lineRule="auto"/>
              <w:ind w:right="0"/>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供应商应按竞争性磋商文件中规定的响应截止时间前递交响应文件。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15.4</w:t>
            </w:r>
          </w:p>
        </w:tc>
        <w:tc>
          <w:tcPr>
            <w:tcW w:w="8213" w:type="dxa"/>
            <w:vAlign w:val="center"/>
          </w:tcPr>
          <w:p>
            <w:pPr>
              <w:keepNext w:val="0"/>
              <w:keepLines w:val="0"/>
              <w:pageBreakBefore w:val="0"/>
              <w:widowControl w:val="0"/>
              <w:kinsoku/>
              <w:wordWrap/>
              <w:overflowPunct/>
              <w:topLinePunct w:val="0"/>
              <w:bidi w:val="0"/>
              <w:adjustRightInd w:val="0"/>
              <w:spacing w:after="0" w:line="360" w:lineRule="auto"/>
              <w:ind w:right="0"/>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供应商递交响应文件的地点：贵港市公共资源交易中心(贵港市港北区金城商业步行街与金田路交叉口东南150米水利大厦)交易厅，由采购代理公司工作人员签收。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15.1</w:t>
            </w:r>
          </w:p>
        </w:tc>
        <w:tc>
          <w:tcPr>
            <w:tcW w:w="8213" w:type="dxa"/>
            <w:vAlign w:val="center"/>
          </w:tcPr>
          <w:p>
            <w:pPr>
              <w:keepNext w:val="0"/>
              <w:keepLines w:val="0"/>
              <w:pageBreakBefore w:val="0"/>
              <w:widowControl w:val="0"/>
              <w:kinsoku/>
              <w:wordWrap/>
              <w:overflowPunct/>
              <w:topLinePunct w:val="0"/>
              <w:bidi w:val="0"/>
              <w:adjustRightInd w:val="0"/>
              <w:spacing w:after="0" w:line="360" w:lineRule="auto"/>
              <w:ind w:right="0"/>
              <w:textAlignment w:val="baseline"/>
              <w:outlineLvl w:val="9"/>
              <w:rPr>
                <w:rFonts w:hint="eastAsia" w:ascii="宋体" w:hAnsi="宋体" w:eastAsia="宋体" w:cs="宋体"/>
                <w:kern w:val="0"/>
                <w:sz w:val="24"/>
                <w:szCs w:val="24"/>
              </w:rPr>
            </w:pPr>
            <w:r>
              <w:rPr>
                <w:rFonts w:hint="eastAsia" w:ascii="宋体" w:hAnsi="宋体" w:eastAsia="宋体" w:cs="宋体"/>
                <w:spacing w:val="-1"/>
                <w:sz w:val="24"/>
                <w:szCs w:val="24"/>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0"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832" w:type="dxa"/>
            <w:vAlign w:val="center"/>
          </w:tcPr>
          <w:p>
            <w:pPr>
              <w:keepNext w:val="0"/>
              <w:keepLines w:val="0"/>
              <w:pageBreakBefore w:val="0"/>
              <w:widowControl w:val="0"/>
              <w:kinsoku/>
              <w:wordWrap/>
              <w:overflowPunct/>
              <w:topLinePunct w:val="0"/>
              <w:bidi w:val="0"/>
              <w:adjustRightInd w:val="0"/>
              <w:spacing w:after="0" w:line="360" w:lineRule="auto"/>
              <w:ind w:right="0"/>
              <w:jc w:val="center"/>
              <w:textAlignment w:val="baseline"/>
              <w:outlineLvl w:val="9"/>
              <w:rPr>
                <w:rFonts w:hint="eastAsia" w:ascii="宋体" w:hAnsi="宋体" w:eastAsia="宋体" w:cs="宋体"/>
                <w:kern w:val="0"/>
                <w:sz w:val="24"/>
                <w:szCs w:val="24"/>
              </w:rPr>
            </w:pPr>
            <w:r>
              <w:rPr>
                <w:rFonts w:hint="eastAsia" w:ascii="宋体" w:hAnsi="宋体" w:eastAsia="宋体" w:cs="宋体"/>
                <w:kern w:val="0"/>
                <w:sz w:val="24"/>
                <w:szCs w:val="24"/>
              </w:rPr>
              <w:t>19.1</w:t>
            </w:r>
          </w:p>
        </w:tc>
        <w:tc>
          <w:tcPr>
            <w:tcW w:w="8213" w:type="dxa"/>
            <w:vAlign w:val="center"/>
          </w:tcPr>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kern w:val="0"/>
                <w:sz w:val="24"/>
                <w:szCs w:val="24"/>
              </w:rPr>
            </w:pPr>
            <w:r>
              <w:rPr>
                <w:rFonts w:hint="eastAsia" w:ascii="宋体" w:hAnsi="宋体" w:eastAsia="宋体" w:cs="宋体"/>
                <w:spacing w:val="-4"/>
                <w:position w:val="3"/>
                <w:sz w:val="24"/>
                <w:szCs w:val="24"/>
              </w:rPr>
              <w:t>招标代理服务费：</w:t>
            </w:r>
            <w:r>
              <w:rPr>
                <w:rFonts w:hint="eastAsia" w:ascii="宋体" w:hAnsi="宋体" w:eastAsia="宋体" w:cs="宋体"/>
                <w:sz w:val="24"/>
                <w:szCs w:val="24"/>
              </w:rPr>
              <w:t>本项目的招标代理服务费按发改价格〔2015〕299</w:t>
            </w:r>
            <w:r>
              <w:rPr>
                <w:rFonts w:hint="eastAsia" w:ascii="宋体" w:hAnsi="宋体" w:eastAsia="宋体" w:cs="宋体"/>
                <w:spacing w:val="5"/>
                <w:sz w:val="24"/>
                <w:szCs w:val="24"/>
              </w:rPr>
              <w:t> </w:t>
            </w:r>
            <w:r>
              <w:rPr>
                <w:rFonts w:hint="eastAsia" w:ascii="宋体" w:hAnsi="宋体" w:eastAsia="宋体" w:cs="宋体"/>
                <w:sz w:val="24"/>
                <w:szCs w:val="24"/>
              </w:rPr>
              <w:t>号文执行。支付方式为由成交人向采购代理机构支付。在成交通知书发出前，成交人应向</w:t>
            </w:r>
            <w:r>
              <w:rPr>
                <w:rFonts w:hint="eastAsia" w:ascii="宋体" w:hAnsi="宋体" w:eastAsia="宋体" w:cs="宋体"/>
                <w:spacing w:val="-1"/>
                <w:sz w:val="24"/>
                <w:szCs w:val="24"/>
              </w:rPr>
              <w:t>采购代理机构一次付清采购代理服务费。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40" w:type="dxa"/>
            <w:vAlign w:val="center"/>
          </w:tcPr>
          <w:p>
            <w:pPr>
              <w:pStyle w:val="10"/>
              <w:keepNext w:val="0"/>
              <w:keepLines w:val="0"/>
              <w:pageBreakBefore w:val="0"/>
              <w:widowControl w:val="0"/>
              <w:kinsoku/>
              <w:wordWrap/>
              <w:overflowPunct/>
              <w:topLinePunct w:val="0"/>
              <w:bidi w:val="0"/>
              <w:snapToGrid w:val="0"/>
              <w:spacing w:after="0" w:line="360" w:lineRule="auto"/>
              <w:ind w:right="0"/>
              <w:jc w:val="center"/>
              <w:outlineLvl w:val="9"/>
              <w:rPr>
                <w:rFonts w:hint="eastAsia" w:ascii="宋体" w:hAnsi="宋体" w:eastAsia="宋体" w:cs="宋体"/>
                <w:sz w:val="24"/>
                <w:szCs w:val="24"/>
              </w:rPr>
            </w:pPr>
            <w:r>
              <w:rPr>
                <w:rFonts w:hint="eastAsia" w:ascii="宋体" w:hAnsi="宋体" w:eastAsia="宋体" w:cs="宋体"/>
                <w:sz w:val="24"/>
                <w:szCs w:val="24"/>
              </w:rPr>
              <w:t>12</w:t>
            </w:r>
          </w:p>
        </w:tc>
        <w:tc>
          <w:tcPr>
            <w:tcW w:w="832" w:type="dxa"/>
            <w:vAlign w:val="center"/>
          </w:tcPr>
          <w:p>
            <w:pPr>
              <w:pStyle w:val="10"/>
              <w:keepNext w:val="0"/>
              <w:keepLines w:val="0"/>
              <w:pageBreakBefore w:val="0"/>
              <w:widowControl w:val="0"/>
              <w:kinsoku/>
              <w:wordWrap/>
              <w:overflowPunct/>
              <w:topLinePunct w:val="0"/>
              <w:bidi w:val="0"/>
              <w:snapToGrid w:val="0"/>
              <w:spacing w:after="0" w:line="360" w:lineRule="auto"/>
              <w:ind w:right="0"/>
              <w:jc w:val="center"/>
              <w:outlineLvl w:val="9"/>
              <w:rPr>
                <w:rFonts w:hint="eastAsia" w:ascii="宋体" w:hAnsi="宋体" w:eastAsia="宋体" w:cs="宋体"/>
                <w:sz w:val="24"/>
                <w:szCs w:val="24"/>
              </w:rPr>
            </w:pPr>
          </w:p>
        </w:tc>
        <w:tc>
          <w:tcPr>
            <w:tcW w:w="8213" w:type="dxa"/>
            <w:vAlign w:val="center"/>
          </w:tcPr>
          <w:p>
            <w:pPr>
              <w:pStyle w:val="10"/>
              <w:keepNext w:val="0"/>
              <w:keepLines w:val="0"/>
              <w:pageBreakBefore w:val="0"/>
              <w:widowControl w:val="0"/>
              <w:kinsoku/>
              <w:wordWrap/>
              <w:overflowPunct/>
              <w:topLinePunct w:val="0"/>
              <w:bidi w:val="0"/>
              <w:snapToGrid w:val="0"/>
              <w:spacing w:after="0" w:line="360" w:lineRule="auto"/>
              <w:ind w:right="0"/>
              <w:jc w:val="left"/>
              <w:outlineLvl w:val="9"/>
              <w:rPr>
                <w:rFonts w:hint="eastAsia" w:ascii="宋体" w:hAnsi="宋体" w:eastAsia="宋体" w:cs="宋体"/>
                <w:sz w:val="24"/>
                <w:szCs w:val="24"/>
              </w:rPr>
            </w:pPr>
            <w:r>
              <w:rPr>
                <w:rFonts w:hint="eastAsia" w:ascii="宋体" w:hAnsi="宋体" w:eastAsia="宋体" w:cs="宋体"/>
                <w:sz w:val="24"/>
                <w:szCs w:val="24"/>
              </w:rPr>
              <w:t>接收质疑函方式：接受以现场递交或以邮递方式送达的书面质疑</w:t>
            </w:r>
          </w:p>
          <w:p>
            <w:pPr>
              <w:pStyle w:val="10"/>
              <w:keepNext w:val="0"/>
              <w:keepLines w:val="0"/>
              <w:pageBreakBefore w:val="0"/>
              <w:widowControl w:val="0"/>
              <w:kinsoku/>
              <w:wordWrap/>
              <w:overflowPunct/>
              <w:topLinePunct w:val="0"/>
              <w:bidi w:val="0"/>
              <w:snapToGrid w:val="0"/>
              <w:spacing w:after="0" w:line="360" w:lineRule="auto"/>
              <w:ind w:right="0"/>
              <w:jc w:val="left"/>
              <w:outlineLvl w:val="9"/>
              <w:rPr>
                <w:rFonts w:hint="eastAsia" w:ascii="宋体" w:hAnsi="宋体" w:eastAsia="宋体" w:cs="宋体"/>
                <w:sz w:val="24"/>
                <w:szCs w:val="24"/>
              </w:rPr>
            </w:pPr>
            <w:r>
              <w:rPr>
                <w:rFonts w:hint="eastAsia" w:ascii="宋体" w:hAnsi="宋体" w:eastAsia="宋体" w:cs="宋体"/>
                <w:sz w:val="24"/>
                <w:szCs w:val="24"/>
              </w:rPr>
              <w:t>质疑联系部门：广西博行弈工程项目管理有限公司，联系人：小贾,联系电话：0775-4218878，通讯地址：贵港市港北区金港大道万豪丽城2栋3单元3405。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40" w:type="dxa"/>
            <w:vAlign w:val="center"/>
          </w:tcPr>
          <w:p>
            <w:pPr>
              <w:pStyle w:val="10"/>
              <w:keepNext w:val="0"/>
              <w:keepLines w:val="0"/>
              <w:pageBreakBefore w:val="0"/>
              <w:widowControl w:val="0"/>
              <w:kinsoku/>
              <w:wordWrap/>
              <w:overflowPunct/>
              <w:topLinePunct w:val="0"/>
              <w:bidi w:val="0"/>
              <w:snapToGrid w:val="0"/>
              <w:spacing w:after="0" w:line="360" w:lineRule="auto"/>
              <w:ind w:right="0"/>
              <w:jc w:val="center"/>
              <w:outlineLvl w:val="9"/>
              <w:rPr>
                <w:rFonts w:hint="eastAsia" w:ascii="宋体" w:hAnsi="宋体" w:eastAsia="宋体" w:cs="宋体"/>
                <w:sz w:val="24"/>
                <w:szCs w:val="24"/>
              </w:rPr>
            </w:pPr>
            <w:r>
              <w:rPr>
                <w:rFonts w:hint="eastAsia" w:ascii="宋体" w:hAnsi="宋体" w:eastAsia="宋体" w:cs="宋体"/>
                <w:sz w:val="24"/>
                <w:szCs w:val="24"/>
              </w:rPr>
              <w:t>13</w:t>
            </w:r>
          </w:p>
        </w:tc>
        <w:tc>
          <w:tcPr>
            <w:tcW w:w="832" w:type="dxa"/>
            <w:vAlign w:val="center"/>
          </w:tcPr>
          <w:p>
            <w:pPr>
              <w:pStyle w:val="10"/>
              <w:keepNext w:val="0"/>
              <w:keepLines w:val="0"/>
              <w:pageBreakBefore w:val="0"/>
              <w:widowControl w:val="0"/>
              <w:kinsoku/>
              <w:wordWrap/>
              <w:overflowPunct/>
              <w:topLinePunct w:val="0"/>
              <w:bidi w:val="0"/>
              <w:snapToGrid w:val="0"/>
              <w:spacing w:after="0" w:line="360" w:lineRule="auto"/>
              <w:ind w:right="0"/>
              <w:jc w:val="center"/>
              <w:outlineLvl w:val="9"/>
              <w:rPr>
                <w:rFonts w:hint="eastAsia" w:ascii="宋体" w:hAnsi="宋体" w:eastAsia="宋体" w:cs="宋体"/>
                <w:sz w:val="24"/>
                <w:szCs w:val="24"/>
              </w:rPr>
            </w:pPr>
          </w:p>
        </w:tc>
        <w:tc>
          <w:tcPr>
            <w:tcW w:w="8213" w:type="dxa"/>
            <w:vAlign w:val="center"/>
          </w:tcPr>
          <w:p>
            <w:pPr>
              <w:keepNext w:val="0"/>
              <w:keepLines w:val="0"/>
              <w:pageBreakBefore w:val="0"/>
              <w:widowControl w:val="0"/>
              <w:kinsoku/>
              <w:wordWrap/>
              <w:overflowPunct/>
              <w:topLinePunct w:val="0"/>
              <w:bidi w:val="0"/>
              <w:spacing w:after="0" w:line="360" w:lineRule="auto"/>
              <w:ind w:right="0"/>
              <w:outlineLvl w:val="9"/>
              <w:rPr>
                <w:rFonts w:hint="eastAsia" w:ascii="宋体" w:hAnsi="宋体" w:eastAsia="宋体" w:cs="宋体"/>
                <w:spacing w:val="2"/>
                <w:sz w:val="24"/>
                <w:szCs w:val="24"/>
              </w:rPr>
            </w:pPr>
            <w:r>
              <w:rPr>
                <w:rFonts w:hint="eastAsia" w:ascii="宋体" w:hAnsi="宋体" w:eastAsia="宋体" w:cs="宋体"/>
                <w:spacing w:val="2"/>
                <w:sz w:val="24"/>
                <w:szCs w:val="24"/>
              </w:rPr>
              <w:t>1、本文件中描述磋商单位的“公章”是指根据我国对公章的管理规定，用磋商单位法定主体行为名称制作的印章，除本文件有特殊规定外，磋商单位的财务章、部门章、分公司章、工会章、合同章、投标专用章、业务专用章及银行的转账章、现金收讫章、现金付讫章等其它形式印章均不能代替公章。</w:t>
            </w:r>
          </w:p>
          <w:p>
            <w:pPr>
              <w:pStyle w:val="10"/>
              <w:keepNext w:val="0"/>
              <w:keepLines w:val="0"/>
              <w:pageBreakBefore w:val="0"/>
              <w:widowControl w:val="0"/>
              <w:kinsoku/>
              <w:wordWrap/>
              <w:overflowPunct/>
              <w:topLinePunct w:val="0"/>
              <w:bidi w:val="0"/>
              <w:snapToGrid w:val="0"/>
              <w:spacing w:after="0" w:line="360" w:lineRule="auto"/>
              <w:ind w:right="0"/>
              <w:jc w:val="left"/>
              <w:outlineLvl w:val="9"/>
              <w:rPr>
                <w:rFonts w:hint="eastAsia" w:ascii="宋体" w:hAnsi="宋体" w:eastAsia="宋体" w:cs="宋体"/>
                <w:sz w:val="24"/>
                <w:szCs w:val="24"/>
              </w:rPr>
            </w:pPr>
            <w:r>
              <w:rPr>
                <w:rFonts w:hint="eastAsia" w:ascii="宋体" w:hAnsi="宋体" w:eastAsia="宋体" w:cs="宋体"/>
                <w:spacing w:val="2"/>
                <w:sz w:val="24"/>
                <w:szCs w:val="24"/>
              </w:rPr>
              <w:t>2、本竞争性磋商采购文件中描述磋商单位的“签字”是指磋商单位的法定代表人或委托代理人亲自在采购文件规定签署处亲笔写上个人的名字的行为，私章、签字章、印鉴、影印等其它形式均不能代替亲笔签字。</w:t>
            </w:r>
          </w:p>
        </w:tc>
      </w:tr>
    </w:tbl>
    <w:p>
      <w:pPr>
        <w:pageBreakBefore w:val="0"/>
        <w:widowControl/>
        <w:kinsoku/>
        <w:wordWrap/>
        <w:overflowPunct/>
        <w:topLinePunct w:val="0"/>
        <w:bidi w:val="0"/>
        <w:outlineLvl w:val="9"/>
        <w:rPr>
          <w:sz w:val="30"/>
          <w:szCs w:val="30"/>
        </w:rPr>
        <w:sectPr>
          <w:pgSz w:w="11905" w:h="16838"/>
          <w:pgMar w:top="1417" w:right="1134" w:bottom="1134" w:left="1134" w:header="0" w:footer="0" w:gutter="0"/>
          <w:cols w:space="425" w:num="1"/>
          <w:rtlGutter w:val="0"/>
          <w:docGrid w:type="lines" w:linePitch="312" w:charSpace="0"/>
        </w:sectPr>
      </w:pPr>
    </w:p>
    <w:p>
      <w:pPr>
        <w:pageBreakBefore w:val="0"/>
        <w:kinsoku/>
        <w:wordWrap/>
        <w:overflowPunct/>
        <w:topLinePunct w:val="0"/>
        <w:bidi w:val="0"/>
        <w:spacing w:after="0" w:line="446" w:lineRule="exact"/>
        <w:outlineLvl w:val="9"/>
        <w:rPr>
          <w:sz w:val="30"/>
          <w:szCs w:val="30"/>
        </w:rPr>
      </w:pPr>
      <w:bookmarkStart w:id="49" w:name="1"/>
      <w:bookmarkEnd w:id="49"/>
      <w:bookmarkStart w:id="50" w:name="7"/>
      <w:bookmarkEnd w:id="50"/>
    </w:p>
    <w:p>
      <w:pPr>
        <w:pageBreakBefore w:val="0"/>
        <w:kinsoku/>
        <w:wordWrap/>
        <w:overflowPunct/>
        <w:topLinePunct w:val="0"/>
        <w:bidi w:val="0"/>
        <w:spacing w:after="0" w:line="320" w:lineRule="exact"/>
        <w:ind w:left="65" w:firstLine="3857"/>
        <w:outlineLvl w:val="9"/>
        <w:rPr>
          <w:rFonts w:ascii="宋体" w:hAnsi="宋体" w:eastAsia="宋体" w:cs="宋体"/>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after="0" w:line="360" w:lineRule="auto"/>
        <w:ind w:left="0" w:firstLine="602" w:firstLineChars="200"/>
        <w:jc w:val="center"/>
        <w:textAlignment w:val="auto"/>
        <w:outlineLvl w:val="9"/>
        <w:rPr>
          <w:b/>
          <w:bCs/>
          <w:sz w:val="30"/>
          <w:szCs w:val="30"/>
        </w:rPr>
      </w:pPr>
      <w:r>
        <w:rPr>
          <w:rFonts w:ascii="宋体" w:hAnsi="宋体" w:eastAsia="宋体" w:cs="宋体"/>
          <w:b/>
          <w:bCs/>
          <w:sz w:val="30"/>
          <w:szCs w:val="30"/>
        </w:rPr>
        <w:t>磋商须知</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一、总</w:t>
      </w:r>
      <w:r>
        <w:rPr>
          <w:rFonts w:hint="eastAsia" w:ascii="宋体" w:hAnsi="宋体" w:eastAsia="宋体" w:cs="宋体"/>
          <w:b/>
          <w:bCs/>
          <w:sz w:val="24"/>
          <w:szCs w:val="24"/>
          <w:lang w:val="en-US" w:eastAsia="zh-CN"/>
        </w:rPr>
        <w:t xml:space="preserve"> </w:t>
      </w:r>
      <w:r>
        <w:rPr>
          <w:rFonts w:hint="eastAsia" w:ascii="宋体" w:hAnsi="宋体" w:eastAsia="宋体" w:cs="宋体"/>
          <w:b/>
          <w:bCs/>
          <w:spacing w:val="-2"/>
          <w:sz w:val="24"/>
          <w:szCs w:val="24"/>
        </w:rPr>
        <w:t>则</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1.综合说明:</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pacing w:val="3"/>
          <w:sz w:val="24"/>
          <w:szCs w:val="24"/>
        </w:rPr>
        <w:t>项目名称</w:t>
      </w:r>
      <w:r>
        <w:rPr>
          <w:rFonts w:hint="eastAsia" w:ascii="宋体" w:hAnsi="宋体" w:eastAsia="宋体" w:cs="宋体"/>
          <w:spacing w:val="-1"/>
          <w:sz w:val="24"/>
          <w:szCs w:val="24"/>
        </w:rPr>
        <w:t>：港南区工业园区江五路（城东大道-安澜路）基础设施建设项目监理服务</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pacing w:val="-1"/>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eastAsia="zh-CN"/>
        </w:rPr>
        <w:t>GGZC2020-C3-30058-GXBX</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采购需求</w:t>
      </w:r>
      <w:r>
        <w:rPr>
          <w:rFonts w:hint="eastAsia" w:ascii="宋体" w:hAnsi="宋体" w:eastAsia="宋体" w:cs="宋体"/>
          <w:spacing w:val="-2"/>
          <w:position w:val="3"/>
          <w:sz w:val="24"/>
          <w:szCs w:val="24"/>
        </w:rPr>
        <w:t>：</w:t>
      </w:r>
      <w:r>
        <w:rPr>
          <w:rFonts w:hint="eastAsia" w:ascii="宋体" w:hAnsi="宋体" w:eastAsia="宋体" w:cs="宋体"/>
          <w:sz w:val="24"/>
          <w:szCs w:val="24"/>
        </w:rPr>
        <w:t>港南区工业园区江五路（城东大道-安澜路）基础设施建设项目监理服务1项，项目建设地址：贵港市港南区工业园区内。项目建设规模：新建城市次干路1199.522米，道路红线宽度为30米，建设内容包括道路工程、桥梁工程、给排水工程、电力工程、电信工程、照明工程、交通工程、绿化工程及相关配套设施建设。</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监理服务范围：本项目包括但不限于工程施工合同及图纸（含设计变更）所包含的全部施工内容直至质保期满全过程监理 (含质量控制、进度控制、投资控制、合同管理、信息管理及现场组织协调）。施工阶段：施工过程中的质量、进度、造价控制，安全生产监督管理、合同、信息等方面的协调管理。保修阶段：检查和记录工程质量缺陷，对缺陷原因进行调查分析并确定责任归属，审核修复方案，监督修复过程并验收，审核修复费用等施工阶段的监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监理质量要求：严格按照国家有关监理规范要求全过程监督工程质量，确保工程质量达到合格以上。</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监理服务期限：自合同签订之日起开始实施，至工程竣工验收合格，保修期满完毕（监理工期与施工工期一致）。 </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项目总投资估算（建安费）：48503830.71元。</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资金来源：政府专项债资金及上级财政资金。</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本项目不接受联合体。</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招标方式：竞争性磋商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本文件仅适用于本文件中所叙述的货物、服务类采购项目。</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定义</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2.1“采购人”是指：依法进行采购的国家机关、事业单位、团体组织。</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2.2“采购代理</w:t>
      </w:r>
      <w:r>
        <w:rPr>
          <w:rFonts w:hint="eastAsia" w:ascii="宋体" w:hAnsi="宋体" w:eastAsia="宋体" w:cs="宋体"/>
          <w:spacing w:val="-1"/>
          <w:sz w:val="24"/>
          <w:szCs w:val="24"/>
        </w:rPr>
        <w:t>机构”是指：广西博行弈工程项目管理有限公司</w:t>
      </w:r>
    </w:p>
    <w:p>
      <w:pPr>
        <w:keepNext w:val="0"/>
        <w:keepLines w:val="0"/>
        <w:pageBreakBefore w:val="0"/>
        <w:widowControl w:val="0"/>
        <w:kinsoku/>
        <w:wordWrap/>
        <w:overflowPunct/>
        <w:topLinePunct w:val="0"/>
        <w:autoSpaceDE/>
        <w:autoSpaceDN/>
        <w:bidi w:val="0"/>
        <w:adjustRightInd/>
        <w:snapToGrid/>
        <w:spacing w:after="0" w:line="360" w:lineRule="auto"/>
        <w:ind w:left="0" w:firstLine="484"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2.3“供应商”是指响应本文件要求，参加磋商的法人或者其他组织。如果该供应商在本次磋商中</w:t>
      </w:r>
      <w:r>
        <w:rPr>
          <w:rFonts w:hint="eastAsia" w:ascii="宋体" w:hAnsi="宋体" w:eastAsia="宋体" w:cs="宋体"/>
          <w:sz w:val="24"/>
          <w:szCs w:val="24"/>
        </w:rPr>
        <w:t>成交，即成为“成交人”。</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2.4“货物”是指各种形态和种类的物品，包括原材料、燃料、设备、产品等。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2.5“服务”是指除货物和工程以外的其他采购对象。</w:t>
      </w:r>
    </w:p>
    <w:p>
      <w:pPr>
        <w:keepNext w:val="0"/>
        <w:keepLines w:val="0"/>
        <w:pageBreakBefore w:val="0"/>
        <w:widowControl w:val="0"/>
        <w:kinsoku/>
        <w:wordWrap/>
        <w:overflowPunct/>
        <w:topLinePunct w:val="0"/>
        <w:autoSpaceDE/>
        <w:autoSpaceDN/>
        <w:bidi w:val="0"/>
        <w:adjustRightInd/>
        <w:snapToGrid/>
        <w:spacing w:after="0" w:line="360" w:lineRule="auto"/>
        <w:ind w:left="0" w:firstLine="404" w:firstLineChars="200"/>
        <w:textAlignment w:val="auto"/>
        <w:outlineLvl w:val="9"/>
        <w:rPr>
          <w:rFonts w:hint="eastAsia" w:ascii="宋体" w:hAnsi="宋体" w:eastAsia="宋体" w:cs="宋体"/>
          <w:sz w:val="24"/>
          <w:szCs w:val="24"/>
        </w:rPr>
      </w:pPr>
      <w:r>
        <w:rPr>
          <w:rFonts w:hint="eastAsia" w:ascii="宋体" w:hAnsi="宋体" w:eastAsia="宋体" w:cs="宋体"/>
          <w:spacing w:val="-19"/>
          <w:sz w:val="24"/>
          <w:szCs w:val="24"/>
        </w:rPr>
        <w:t>2.6“响应文件”是指：供应商根据本文件要求，编制包含报价、技术和服务等所有内容的响应文件。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
          <w:sz w:val="24"/>
          <w:szCs w:val="24"/>
        </w:rPr>
        <w:t>供应商的基本条件：见磋商须知前附表。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1"/>
          <w:sz w:val="24"/>
          <w:szCs w:val="24"/>
        </w:rPr>
        <w:t>磋商费用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pacing w:val="-1"/>
          <w:sz w:val="24"/>
          <w:szCs w:val="24"/>
        </w:rPr>
        <w:t>供应商应自行承担所有与编写和提交响应文件有关的费用，不论磋商结果如何，采购人和采购代理机构在任何情况下无义务和责任承担此类费用。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pacing w:val="3"/>
          <w:sz w:val="24"/>
          <w:szCs w:val="24"/>
        </w:rPr>
        <w:t> </w:t>
      </w:r>
      <w:r>
        <w:rPr>
          <w:rFonts w:hint="eastAsia" w:ascii="宋体" w:hAnsi="宋体" w:eastAsia="宋体" w:cs="宋体"/>
          <w:spacing w:val="-1"/>
          <w:sz w:val="24"/>
          <w:szCs w:val="24"/>
        </w:rPr>
        <w:t>本项目代理服务费：见磋商须知前附表。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1"/>
          <w:sz w:val="24"/>
          <w:szCs w:val="24"/>
        </w:rPr>
        <w:t>竞争性磋商文件（以下简称磋商文件）的澄清与修改、公告</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pacing w:val="-1"/>
          <w:sz w:val="24"/>
          <w:szCs w:val="24"/>
        </w:rPr>
        <w:t>提交首次响应文件截止之日前，采购人、采购代理机构或者磋商小组可以对已发出的磋商文件进行必要的澄清或者修改，澄清或者修改的内容作为磋商文件的组成部分。澄清或者修改的内容可</w:t>
      </w:r>
      <w:bookmarkStart w:id="51" w:name="9"/>
      <w:bookmarkEnd w:id="51"/>
      <w:r>
        <w:rPr>
          <w:rFonts w:hint="eastAsia" w:ascii="宋体" w:hAnsi="宋体" w:eastAsia="宋体" w:cs="宋体"/>
          <w:spacing w:val="-1"/>
          <w:sz w:val="24"/>
          <w:szCs w:val="24"/>
        </w:rPr>
        <w:t>能影响响应文件编制的，采购人、采购代理机构应当在提交首次响应文件截止时间至少5</w:t>
      </w:r>
      <w:r>
        <w:rPr>
          <w:rFonts w:hint="eastAsia" w:ascii="宋体" w:hAnsi="宋体" w:eastAsia="宋体" w:cs="宋体"/>
          <w:spacing w:val="-3"/>
          <w:sz w:val="24"/>
          <w:szCs w:val="24"/>
        </w:rPr>
        <w:t>日前，以</w:t>
      </w:r>
      <w:r>
        <w:rPr>
          <w:rFonts w:hint="eastAsia" w:ascii="宋体" w:hAnsi="宋体" w:eastAsia="宋体" w:cs="宋体"/>
          <w:spacing w:val="-1"/>
          <w:sz w:val="24"/>
          <w:szCs w:val="24"/>
        </w:rPr>
        <w:t>书面形式通知所有获取磋商文件的供应商；不足5日的，采购人、采购代理机构应当顺延提交首次响应文件截止时间。</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pacing w:val="3"/>
          <w:sz w:val="24"/>
          <w:szCs w:val="24"/>
        </w:rPr>
        <w:t>竞争性磋商</w:t>
      </w:r>
      <w:r>
        <w:rPr>
          <w:rFonts w:hint="eastAsia" w:ascii="宋体" w:hAnsi="宋体" w:eastAsia="宋体" w:cs="宋体"/>
          <w:spacing w:val="-9"/>
          <w:sz w:val="24"/>
          <w:szCs w:val="24"/>
        </w:rPr>
        <w:t>公告见：http://www.ccgp.gov.cn（中国政府采购网）、http://zfcg.gxzf.gov.cn（广西壮族自治区政府采购网）、http://zfcg.czj.gxgg.gov.cn（贵港市政府采购网）、http://ggggjy.gxgg.gov.cn:9005（贵港市公共资源交易中心网）。</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二、响应文件的编制</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
          <w:sz w:val="24"/>
          <w:szCs w:val="24"/>
        </w:rPr>
        <w:t>响应文件编制基本要求</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pacing w:val="3"/>
          <w:sz w:val="24"/>
          <w:szCs w:val="24"/>
        </w:rPr>
        <w:t> </w:t>
      </w:r>
      <w:r>
        <w:rPr>
          <w:rFonts w:hint="eastAsia" w:ascii="宋体" w:hAnsi="宋体" w:eastAsia="宋体" w:cs="宋体"/>
          <w:spacing w:val="-1"/>
          <w:sz w:val="24"/>
          <w:szCs w:val="24"/>
        </w:rPr>
        <w:t>供应商对响应文件的编制应按要求装订和封装。</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pacing w:val="3"/>
          <w:sz w:val="24"/>
          <w:szCs w:val="24"/>
        </w:rPr>
        <w:t> </w:t>
      </w:r>
      <w:r>
        <w:rPr>
          <w:rFonts w:hint="eastAsia" w:ascii="宋体" w:hAnsi="宋体" w:eastAsia="宋体" w:cs="宋体"/>
          <w:sz w:val="24"/>
          <w:szCs w:val="24"/>
        </w:rPr>
        <w:t>供应商提交的响应文件以及供应商与采购代理机构和采购人就有关磋商的所有来往函电均应使</w:t>
      </w:r>
      <w:r>
        <w:rPr>
          <w:rFonts w:hint="eastAsia" w:ascii="宋体" w:hAnsi="宋体" w:eastAsia="宋体" w:cs="宋体"/>
          <w:spacing w:val="-1"/>
          <w:sz w:val="24"/>
          <w:szCs w:val="24"/>
        </w:rPr>
        <w:t>用中文。供应商提交的支持文件和印刷的文献可以使用别的语言，但其相应内容必须附有中文翻译文本，在解释响应文件时以翻译文本为主。</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pacing w:val="3"/>
          <w:sz w:val="24"/>
          <w:szCs w:val="24"/>
        </w:rPr>
        <w:t> </w:t>
      </w:r>
      <w:r>
        <w:rPr>
          <w:rFonts w:hint="eastAsia" w:ascii="宋体" w:hAnsi="宋体" w:eastAsia="宋体" w:cs="宋体"/>
          <w:sz w:val="24"/>
          <w:szCs w:val="24"/>
        </w:rPr>
        <w:t>供应商应认真阅读、并充分理解本文件的全部内容（包括所有的补充、修改内容），承诺并履</w:t>
      </w:r>
      <w:r>
        <w:rPr>
          <w:rFonts w:hint="eastAsia" w:ascii="宋体" w:hAnsi="宋体" w:eastAsia="宋体" w:cs="宋体"/>
          <w:spacing w:val="-1"/>
          <w:sz w:val="24"/>
          <w:szCs w:val="24"/>
        </w:rPr>
        <w:t>行本文件中各项条款规定及要求。</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6.4</w:t>
      </w:r>
      <w:r>
        <w:rPr>
          <w:rFonts w:hint="eastAsia" w:ascii="宋体" w:hAnsi="宋体" w:eastAsia="宋体" w:cs="宋体"/>
          <w:spacing w:val="3"/>
          <w:sz w:val="24"/>
          <w:szCs w:val="24"/>
        </w:rPr>
        <w:t> </w:t>
      </w:r>
      <w:r>
        <w:rPr>
          <w:rFonts w:hint="eastAsia" w:ascii="宋体" w:hAnsi="宋体" w:eastAsia="宋体" w:cs="宋体"/>
          <w:spacing w:val="-1"/>
          <w:sz w:val="24"/>
          <w:szCs w:val="24"/>
        </w:rPr>
        <w:t>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6.5</w:t>
      </w:r>
      <w:r>
        <w:rPr>
          <w:rFonts w:hint="eastAsia" w:ascii="宋体" w:hAnsi="宋体" w:eastAsia="宋体" w:cs="宋体"/>
          <w:spacing w:val="3"/>
          <w:sz w:val="24"/>
          <w:szCs w:val="24"/>
        </w:rPr>
        <w:t> </w:t>
      </w:r>
      <w:r>
        <w:rPr>
          <w:rFonts w:hint="eastAsia" w:ascii="宋体" w:hAnsi="宋体" w:eastAsia="宋体" w:cs="宋体"/>
          <w:sz w:val="24"/>
          <w:szCs w:val="24"/>
        </w:rPr>
        <w:t>如因供应商只填写和提供了本文件要求的部分内容和附件，而给评审造成困难，其可能导致的</w:t>
      </w:r>
      <w:r>
        <w:rPr>
          <w:rFonts w:hint="eastAsia" w:ascii="宋体" w:hAnsi="宋体" w:eastAsia="宋体" w:cs="宋体"/>
          <w:spacing w:val="-1"/>
          <w:sz w:val="24"/>
          <w:szCs w:val="24"/>
        </w:rPr>
        <w:t>结果和责任由供应商自行承担。</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w:t>
      </w:r>
      <w:r>
        <w:rPr>
          <w:rFonts w:hint="eastAsia" w:ascii="宋体" w:hAnsi="宋体" w:eastAsia="宋体" w:cs="宋体"/>
          <w:spacing w:val="3"/>
          <w:sz w:val="24"/>
          <w:szCs w:val="24"/>
        </w:rPr>
        <w:t> </w:t>
      </w:r>
      <w:r>
        <w:rPr>
          <w:rFonts w:hint="eastAsia" w:ascii="宋体" w:hAnsi="宋体" w:eastAsia="宋体" w:cs="宋体"/>
          <w:sz w:val="24"/>
          <w:szCs w:val="24"/>
        </w:rPr>
        <w:t>响应文件的组成：响应文件应分为价格文件、商务文件、技术文件三个部分组成。</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6.6.1价格文件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报价表；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6.6.2</w:t>
      </w:r>
      <w:r>
        <w:rPr>
          <w:rFonts w:hint="eastAsia" w:ascii="宋体" w:hAnsi="宋体" w:eastAsia="宋体" w:cs="宋体"/>
          <w:spacing w:val="3"/>
          <w:sz w:val="24"/>
          <w:szCs w:val="24"/>
        </w:rPr>
        <w:t> </w:t>
      </w:r>
      <w:r>
        <w:rPr>
          <w:rFonts w:hint="eastAsia" w:ascii="宋体" w:hAnsi="宋体" w:eastAsia="宋体" w:cs="宋体"/>
          <w:sz w:val="24"/>
          <w:szCs w:val="24"/>
        </w:rPr>
        <w:t>商务文件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72" w:firstLineChars="200"/>
        <w:textAlignment w:val="auto"/>
        <w:outlineLvl w:val="9"/>
        <w:rPr>
          <w:rFonts w:hint="eastAsia" w:ascii="宋体" w:hAnsi="宋体" w:eastAsia="宋体" w:cs="宋体"/>
          <w:sz w:val="24"/>
          <w:szCs w:val="24"/>
        </w:rPr>
      </w:pPr>
      <w:r>
        <w:rPr>
          <w:rFonts w:hint="eastAsia" w:ascii="宋体" w:hAnsi="宋体" w:eastAsia="宋体" w:cs="宋体"/>
          <w:spacing w:val="-2"/>
          <w:position w:val="3"/>
          <w:sz w:val="24"/>
          <w:szCs w:val="24"/>
        </w:rPr>
        <w:t>（</w:t>
      </w:r>
      <w:r>
        <w:rPr>
          <w:rFonts w:hint="eastAsia" w:ascii="宋体" w:hAnsi="宋体" w:eastAsia="宋体" w:cs="宋体"/>
          <w:spacing w:val="-1"/>
          <w:sz w:val="24"/>
          <w:szCs w:val="24"/>
        </w:rPr>
        <w:t>1</w:t>
      </w:r>
      <w:r>
        <w:rPr>
          <w:rFonts w:hint="eastAsia" w:ascii="宋体" w:hAnsi="宋体" w:eastAsia="宋体" w:cs="宋体"/>
          <w:position w:val="3"/>
          <w:sz w:val="24"/>
          <w:szCs w:val="24"/>
        </w:rPr>
        <w:t>）磋商函</w:t>
      </w:r>
      <w:r>
        <w:rPr>
          <w:rFonts w:hint="eastAsia" w:ascii="宋体" w:hAnsi="宋体" w:eastAsia="宋体" w:cs="宋体"/>
          <w:sz w:val="24"/>
          <w:szCs w:val="24"/>
        </w:rPr>
        <w:t>（必须提供）</w:t>
      </w:r>
      <w:r>
        <w:rPr>
          <w:rFonts w:hint="eastAsia" w:ascii="宋体" w:hAnsi="宋体" w:eastAsia="宋体" w:cs="宋体"/>
          <w:position w:val="3"/>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）供应商资格证明文件: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pacing w:val="-1"/>
          <w:sz w:val="24"/>
          <w:szCs w:val="24"/>
        </w:rPr>
        <w:t>有效的营业执照或事业单位法人证书、组织机构代码证、税务登记证（或有统一社会信用代码</w:t>
      </w:r>
      <w:r>
        <w:rPr>
          <w:rFonts w:hint="eastAsia" w:ascii="宋体" w:hAnsi="宋体" w:eastAsia="宋体" w:cs="宋体"/>
          <w:sz w:val="24"/>
          <w:szCs w:val="24"/>
        </w:rPr>
        <w:t>的‘三证合一’营业执照、事业单位法人证书）复印件（必须提供，复印件加盖单位公章）；</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②有效的企业资质证书副本复印件，（必须提供，复印件加盖单位公章）；</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法定代表人身份证复印件（必须提供，复印件加盖单位公章）；</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rPr>
        <w:t>法定代表人授权委托书和委托代理人身份证复印件（委托代理时必须提供，格式见后）；</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⑤</w:t>
      </w:r>
      <w:r>
        <w:rPr>
          <w:rFonts w:hint="eastAsia" w:ascii="宋体" w:hAnsi="宋体" w:eastAsia="宋体" w:cs="宋体"/>
          <w:sz w:val="24"/>
          <w:szCs w:val="24"/>
        </w:rPr>
        <w:t>总监理工程师须具备国家注册监理工程师执业资格证（市政公用工程注册专业）复印件（必须提供，复印件加盖单位公章）；</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⑥</w:t>
      </w:r>
      <w:r>
        <w:rPr>
          <w:rFonts w:hint="eastAsia" w:ascii="宋体" w:hAnsi="宋体" w:eastAsia="宋体" w:cs="宋体"/>
          <w:sz w:val="24"/>
          <w:szCs w:val="24"/>
        </w:rPr>
        <w:t>《贵港市政府采购项目投标资格承诺函》（格式附后）；</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）供应商认为有必要提供的证明其满足本项目磋商资格的声明及文件资料。</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6.6.3</w:t>
      </w:r>
      <w:r>
        <w:rPr>
          <w:rFonts w:hint="eastAsia" w:ascii="宋体" w:hAnsi="宋体" w:eastAsia="宋体" w:cs="宋体"/>
          <w:spacing w:val="3"/>
          <w:sz w:val="24"/>
          <w:szCs w:val="24"/>
        </w:rPr>
        <w:t> </w:t>
      </w:r>
      <w:r>
        <w:rPr>
          <w:rFonts w:hint="eastAsia" w:ascii="宋体" w:hAnsi="宋体" w:eastAsia="宋体" w:cs="宋体"/>
          <w:sz w:val="24"/>
          <w:szCs w:val="24"/>
        </w:rPr>
        <w:t>技术文件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（1）监理大纲（技术方案）</w:t>
      </w:r>
      <w:r>
        <w:rPr>
          <w:rFonts w:hint="eastAsia" w:ascii="宋体" w:hAnsi="宋体" w:eastAsia="宋体" w:cs="宋体"/>
          <w:sz w:val="24"/>
          <w:szCs w:val="24"/>
        </w:rPr>
        <w:t>（必须提供）；</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（2）人员配置</w:t>
      </w:r>
      <w:r>
        <w:rPr>
          <w:rFonts w:hint="eastAsia" w:ascii="宋体" w:hAnsi="宋体" w:eastAsia="宋体" w:cs="宋体"/>
          <w:sz w:val="24"/>
          <w:szCs w:val="24"/>
        </w:rPr>
        <w:t>（必须提供）；</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（3）服务承诺书</w:t>
      </w:r>
      <w:r>
        <w:rPr>
          <w:rFonts w:hint="eastAsia" w:ascii="宋体" w:hAnsi="宋体" w:eastAsia="宋体" w:cs="宋体"/>
          <w:sz w:val="24"/>
          <w:szCs w:val="24"/>
        </w:rPr>
        <w:t>（必须提供）；</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（4）其它文件及资料。</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（5）供应商认为必要提供的证明其满足本项目磋商资格的声明及文件资料。</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6.7</w:t>
      </w:r>
      <w:r>
        <w:rPr>
          <w:rFonts w:hint="eastAsia" w:ascii="宋体" w:hAnsi="宋体" w:eastAsia="宋体" w:cs="宋体"/>
          <w:spacing w:val="3"/>
          <w:sz w:val="24"/>
          <w:szCs w:val="24"/>
        </w:rPr>
        <w:t> </w:t>
      </w:r>
      <w:r>
        <w:rPr>
          <w:rFonts w:hint="eastAsia" w:ascii="宋体" w:hAnsi="宋体" w:eastAsia="宋体" w:cs="宋体"/>
          <w:spacing w:val="-1"/>
          <w:sz w:val="24"/>
          <w:szCs w:val="24"/>
        </w:rPr>
        <w:t>响应文件有效期：见磋商须知前附表。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6.8</w:t>
      </w:r>
      <w:r>
        <w:rPr>
          <w:rFonts w:hint="eastAsia" w:ascii="宋体" w:hAnsi="宋体" w:eastAsia="宋体" w:cs="宋体"/>
          <w:spacing w:val="3"/>
          <w:sz w:val="24"/>
          <w:szCs w:val="24"/>
        </w:rPr>
        <w:t> </w:t>
      </w:r>
      <w:r>
        <w:rPr>
          <w:rFonts w:hint="eastAsia" w:ascii="宋体" w:hAnsi="宋体" w:eastAsia="宋体" w:cs="宋体"/>
          <w:spacing w:val="-1"/>
          <w:sz w:val="24"/>
          <w:szCs w:val="24"/>
        </w:rPr>
        <w:t>磋商保证金：见磋商须知前附表。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1"/>
          <w:sz w:val="24"/>
          <w:szCs w:val="24"/>
        </w:rPr>
        <w:t>计量单位</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pacing w:val="3"/>
          <w:sz w:val="24"/>
          <w:szCs w:val="24"/>
        </w:rPr>
        <w:t> </w:t>
      </w:r>
      <w:r>
        <w:rPr>
          <w:rFonts w:hint="eastAsia" w:ascii="宋体" w:hAnsi="宋体" w:eastAsia="宋体" w:cs="宋体"/>
          <w:spacing w:val="-1"/>
          <w:sz w:val="24"/>
          <w:szCs w:val="24"/>
        </w:rPr>
        <w:t>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三、磋商报价及采购预算</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8.1</w:t>
      </w:r>
      <w:r>
        <w:rPr>
          <w:rFonts w:hint="eastAsia" w:ascii="宋体" w:hAnsi="宋体" w:eastAsia="宋体" w:cs="宋体"/>
          <w:spacing w:val="3"/>
          <w:sz w:val="24"/>
          <w:szCs w:val="24"/>
        </w:rPr>
        <w:t> </w:t>
      </w:r>
      <w:r>
        <w:rPr>
          <w:rFonts w:hint="eastAsia" w:ascii="宋体" w:hAnsi="宋体" w:eastAsia="宋体" w:cs="宋体"/>
          <w:sz w:val="24"/>
          <w:szCs w:val="24"/>
        </w:rPr>
        <w:t>对于本文件中未列明，而供应商认为必需的费用也需列入总报价。在合同实施时，采购人将不</w:t>
      </w:r>
      <w:r>
        <w:rPr>
          <w:rFonts w:hint="eastAsia" w:ascii="宋体" w:hAnsi="宋体" w:eastAsia="宋体" w:cs="宋体"/>
          <w:spacing w:val="-1"/>
          <w:sz w:val="24"/>
          <w:szCs w:val="24"/>
        </w:rPr>
        <w:t>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8.2</w:t>
      </w:r>
      <w:r>
        <w:rPr>
          <w:rFonts w:hint="eastAsia" w:ascii="宋体" w:hAnsi="宋体" w:eastAsia="宋体" w:cs="宋体"/>
          <w:spacing w:val="3"/>
          <w:sz w:val="24"/>
          <w:szCs w:val="24"/>
        </w:rPr>
        <w:t> </w:t>
      </w:r>
      <w:r>
        <w:rPr>
          <w:rFonts w:hint="eastAsia" w:ascii="宋体" w:hAnsi="宋体" w:eastAsia="宋体" w:cs="宋体"/>
          <w:sz w:val="24"/>
          <w:szCs w:val="24"/>
        </w:rPr>
        <w:t>供应商必须就所竞分标的全部内容作完整唯一报价，报价采用人民币报价，本次磋商为总价包干。漏项报价的或有选择的或有条件的报价，</w:t>
      </w:r>
      <w:r>
        <w:rPr>
          <w:rFonts w:hint="eastAsia" w:ascii="宋体" w:hAnsi="宋体" w:eastAsia="宋体" w:cs="宋体"/>
          <w:spacing w:val="-1"/>
          <w:sz w:val="24"/>
          <w:szCs w:val="24"/>
        </w:rPr>
        <w:t>其磋商将视为无效。</w:t>
      </w:r>
      <w:r>
        <w:rPr>
          <w:rFonts w:hint="eastAsia" w:ascii="宋体" w:hAnsi="宋体" w:eastAsia="宋体" w:cs="宋体"/>
          <w:kern w:val="0"/>
          <w:sz w:val="24"/>
          <w:szCs w:val="24"/>
        </w:rPr>
        <w:t xml:space="preserve">磋商报价为二次报价，在最终报价不超出采购预算价的范围内为有效报价。 </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四、响应文件的份数、封装和递交</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1"/>
          <w:sz w:val="24"/>
          <w:szCs w:val="24"/>
        </w:rPr>
        <w:t>磋商响应文件的份数和封装</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pacing w:val="-5"/>
          <w:sz w:val="24"/>
          <w:szCs w:val="24"/>
        </w:rPr>
        <w:t>供应商应将竞争性磋商响应文件中“价格文件”、“商务文件”和“技术文件”装订成一本（三</w:t>
      </w:r>
      <w:bookmarkStart w:id="52" w:name="11"/>
      <w:bookmarkEnd w:id="52"/>
      <w:r>
        <w:rPr>
          <w:rFonts w:hint="eastAsia" w:ascii="宋体" w:hAnsi="宋体" w:eastAsia="宋体" w:cs="宋体"/>
          <w:spacing w:val="-1"/>
          <w:sz w:val="24"/>
          <w:szCs w:val="24"/>
        </w:rPr>
        <w:t>个文件相隔之间用封面标识，封面写明“价格文件”、“商务文件”、“技术文件”字样）。供应商将竞争性磋商响应文件按正、副本分别装订成册，副本可以采用正本的复印件。在每个正、副本封面上标明“正本”或“副本”，以及项目名称、项目编号、供应商名称等内容。</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pacing w:val="3"/>
          <w:sz w:val="24"/>
          <w:szCs w:val="24"/>
        </w:rPr>
        <w:t> </w:t>
      </w:r>
      <w:r>
        <w:rPr>
          <w:rFonts w:hint="eastAsia" w:ascii="宋体" w:hAnsi="宋体" w:eastAsia="宋体" w:cs="宋体"/>
          <w:sz w:val="24"/>
          <w:szCs w:val="24"/>
        </w:rPr>
        <w:t>供应商应将竞争性磋商响应文件正、副本（正本一份，副本三份）装入到一个竞争性磋商响应</w:t>
      </w:r>
      <w:r>
        <w:rPr>
          <w:rFonts w:hint="eastAsia" w:ascii="宋体" w:hAnsi="宋体" w:eastAsia="宋体" w:cs="宋体"/>
          <w:spacing w:val="-1"/>
          <w:sz w:val="24"/>
          <w:szCs w:val="24"/>
        </w:rPr>
        <w:t>文件袋内，所有封贴处必须密封后签字【法定代表人或其委托代理人签字均可，当为代理人签字时由代理人随身携带授权书原件以备核验，要求文件袋无明显缝隙露出袋内文件】并加盖单位公章或密封章。</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文件袋外层封面上应写明：</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1）项目编号；</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2）项目名称；</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3）供应商名称；</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4）开标时才能启封。</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pacing w:val="-1"/>
          <w:sz w:val="24"/>
          <w:szCs w:val="24"/>
        </w:rPr>
        <w:t>响应文件的递交</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pacing w:val="-1"/>
          <w:sz w:val="24"/>
          <w:szCs w:val="24"/>
        </w:rPr>
        <w:t>响应文件递交起止时间及磋商截止时间：见磋商须知前附表。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响应文件递交起止时间：见磋商须知前附表。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磋商截止时间：见磋商须知前附表。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供应商应按竞争性磋商文件中规定的磋商截止时间前递交响应文件。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pacing w:val="-1"/>
          <w:sz w:val="24"/>
          <w:szCs w:val="24"/>
        </w:rPr>
        <w:t>供应商递交响应文件的地点：见磋商须知前附表。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10.3供应商在提交响应文件截止时间前，可以对所提交的响应文件进行补充、修改或者撤回，并</w:t>
      </w:r>
      <w:r>
        <w:rPr>
          <w:rFonts w:hint="eastAsia" w:ascii="宋体" w:hAnsi="宋体" w:eastAsia="宋体" w:cs="宋体"/>
          <w:spacing w:val="-1"/>
          <w:sz w:val="24"/>
          <w:szCs w:val="24"/>
        </w:rPr>
        <w:t>书面通知采购人、采购代理机构。补充、修改的内容作为响应文件的组成部分。补充、修改的内容与响应文件不一致的，以补充、修改的内容为准。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pacing w:val="3"/>
          <w:sz w:val="24"/>
          <w:szCs w:val="24"/>
        </w:rPr>
        <w:t> </w:t>
      </w:r>
      <w:r>
        <w:rPr>
          <w:rFonts w:hint="eastAsia" w:ascii="宋体" w:hAnsi="宋体" w:eastAsia="宋体" w:cs="宋体"/>
          <w:spacing w:val="-1"/>
          <w:sz w:val="24"/>
          <w:szCs w:val="24"/>
        </w:rPr>
        <w:t>迟交的响应文件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广西博行弈工程项目管理有限公司拒绝或原封退回在其规定的递交响应文件截止时间之后收到的任何响应文件。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五、竞争性磋商（简称磋商）与评审</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11.磋商小组组成及磋商时间、地点、人员</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pacing w:val="-1"/>
          <w:sz w:val="24"/>
          <w:szCs w:val="24"/>
        </w:rPr>
        <w:t>磋商小组构成：本项目的磋商小组由评审专家以及业主评委共3人以上单数组成。</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pacing w:val="-1"/>
          <w:sz w:val="24"/>
          <w:szCs w:val="24"/>
        </w:rPr>
        <w:t>具体的磋商时间、地点、人员见磋商须知前附表，参加磋商的法定代表人或委托代理人必须持证件（法定代表人凭身份证或委托代理人凭法人授权委托书和身份证）依时到达指定地点等候当面磋商。</w:t>
      </w:r>
      <w:bookmarkStart w:id="53" w:name="12"/>
      <w:bookmarkEnd w:id="53"/>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12．评审原则和评审办法</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pacing w:val="-1"/>
          <w:sz w:val="24"/>
          <w:szCs w:val="24"/>
        </w:rPr>
        <w:t>具体评审原则和评审办法见评分标准。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13.响应文件评审及磋商的步骤</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pacing w:val="-3"/>
          <w:sz w:val="24"/>
          <w:szCs w:val="24"/>
        </w:rPr>
        <w:t>资格或符合性审查：磋商小组对磋商资格条件及响应文件进行评审，并从符合竞争性磋商文件</w:t>
      </w:r>
      <w:r>
        <w:rPr>
          <w:rFonts w:hint="eastAsia" w:ascii="宋体" w:hAnsi="宋体" w:eastAsia="宋体" w:cs="宋体"/>
          <w:spacing w:val="-1"/>
          <w:sz w:val="24"/>
          <w:szCs w:val="24"/>
        </w:rPr>
        <w:t>规定的相应资格条件的供应商名单中确定不少于3</w:t>
      </w:r>
      <w:r>
        <w:rPr>
          <w:rFonts w:hint="eastAsia" w:ascii="宋体" w:hAnsi="宋体" w:eastAsia="宋体" w:cs="宋体"/>
          <w:spacing w:val="-2"/>
          <w:sz w:val="24"/>
          <w:szCs w:val="24"/>
        </w:rPr>
        <w:t>家的供应商参加磋商。资格条件不符合的供应商</w:t>
      </w:r>
      <w:r>
        <w:rPr>
          <w:rFonts w:hint="eastAsia" w:ascii="宋体" w:hAnsi="宋体" w:eastAsia="宋体" w:cs="宋体"/>
          <w:spacing w:val="-1"/>
          <w:sz w:val="24"/>
          <w:szCs w:val="24"/>
        </w:rPr>
        <w:t>或未实质性响应磋商文件的响应文件按无效响应处理，磋商小组应当告知有关供应商。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13.2第一轮磋商</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磋商小组按已确定的磋商顺序，磋商小组所有成员应当集中与单一供应商分别进行磋商，并给予所有参加磋商的供应商平等的磋商机会。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在磋商过程中，磋商小组可以根据磋商文件和磋商情况实质性变动采购需求中的技术、服务要求以及合同草案条款，但不得变动磋商文件中的其他内容。实质性变动的内容，须经采购人代表确</w:t>
      </w:r>
      <w:r>
        <w:rPr>
          <w:rFonts w:hint="eastAsia" w:ascii="宋体" w:hAnsi="宋体" w:eastAsia="宋体" w:cs="宋体"/>
          <w:spacing w:val="-2"/>
          <w:sz w:val="24"/>
          <w:szCs w:val="24"/>
        </w:rPr>
        <w:t>认。</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供应商应当按照磋商文件的变动情况和磋商小组的要求重新提交响应文件，并由其法定代表人或授权代表签字或者加盖公章。由授权代表签字的，应当附法定代表人授权书。</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磋商小组一致确定响应供应商符合磋商文件要求的，按磋商文件设定的方法和标准确定成交候选人。第一轮磋商磋商小组未能确定成交候选人的，对磋商文件修正后进行第二轮磋商。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pacing w:val="3"/>
          <w:sz w:val="24"/>
          <w:szCs w:val="24"/>
        </w:rPr>
        <w:t> </w:t>
      </w:r>
      <w:r>
        <w:rPr>
          <w:rFonts w:hint="eastAsia" w:ascii="宋体" w:hAnsi="宋体" w:eastAsia="宋体" w:cs="宋体"/>
          <w:spacing w:val="-1"/>
          <w:sz w:val="24"/>
          <w:szCs w:val="24"/>
        </w:rPr>
        <w:t>磋商文件修正</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⑴第一轮磋商结束后，各响应供应商退场等候，磋商小组进行合议。根据第一轮磋商掌握的情况，磋商小组可以对磋商文件进行修改，确定采购内容的详细规格或具体要求，优化采购方案。</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⑵采购代理机构通知响应供应商集中，磋商小组强调调整后的采购要求，将磋商文件的修改结果以书面形式通知响应供应商，向响应供应商提供较充分的修正时间。</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⑶响应供应商根据第一轮磋商情况和磋商文件修改书面通知，对原响应文件进行修正，并将修</w:t>
      </w:r>
      <w:r>
        <w:rPr>
          <w:rFonts w:hint="eastAsia" w:ascii="宋体" w:hAnsi="宋体" w:eastAsia="宋体" w:cs="宋体"/>
          <w:spacing w:val="-4"/>
          <w:sz w:val="24"/>
          <w:szCs w:val="24"/>
        </w:rPr>
        <w:t>正文件签字后密封送交磋商小组。逾时不交的，视同放弃磋商。修正文件与响应文件同具法律效力。</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pacing w:val="3"/>
          <w:sz w:val="24"/>
          <w:szCs w:val="24"/>
        </w:rPr>
        <w:t> </w:t>
      </w:r>
      <w:r>
        <w:rPr>
          <w:rFonts w:hint="eastAsia" w:ascii="宋体" w:hAnsi="宋体" w:eastAsia="宋体" w:cs="宋体"/>
          <w:sz w:val="24"/>
          <w:szCs w:val="24"/>
        </w:rPr>
        <w:t>第二轮磋商</w:t>
      </w:r>
      <w:bookmarkStart w:id="54" w:name="13"/>
      <w:bookmarkEnd w:id="54"/>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磋商小组就修正后的磋商文件与响应供应商分别进行磋商。采购代理机构对磋商过程和重要磋商内容进行记录，磋商双方在记录上签字确认。磋商小组按磋商文件设定的方法和标准确定成交候选人。</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第二轮磋商磋商小组未能确定成交候选人的，对磋商文件修正后进行第三轮磋商。以此类推。</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13.5最后报价</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13.5.1</w:t>
      </w:r>
      <w:r>
        <w:rPr>
          <w:rFonts w:hint="eastAsia" w:ascii="宋体" w:hAnsi="宋体" w:eastAsia="宋体" w:cs="宋体"/>
          <w:spacing w:val="-3"/>
          <w:sz w:val="24"/>
          <w:szCs w:val="24"/>
        </w:rPr>
        <w:t>磋商文件能够详细列明采购标的的技术、服务要求的，磋商结束后，磋商小组应当要求所有继续参加磋商的供应商在规定时间内密封提交最后报价，提交最后报价的供应商不得少于</w:t>
      </w:r>
      <w:r>
        <w:rPr>
          <w:rFonts w:hint="eastAsia" w:ascii="宋体" w:hAnsi="宋体" w:eastAsia="宋体" w:cs="宋体"/>
          <w:spacing w:val="-1"/>
          <w:sz w:val="24"/>
          <w:szCs w:val="24"/>
          <w:lang w:val="en-US" w:eastAsia="zh-CN"/>
        </w:rPr>
        <w:t>3</w:t>
      </w:r>
      <w:r>
        <w:rPr>
          <w:rFonts w:hint="eastAsia" w:ascii="宋体" w:hAnsi="宋体" w:eastAsia="宋体" w:cs="宋体"/>
          <w:sz w:val="24"/>
          <w:szCs w:val="24"/>
        </w:rPr>
        <w:t>家。</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13.5.2</w:t>
      </w:r>
      <w:r>
        <w:rPr>
          <w:rFonts w:hint="eastAsia" w:ascii="宋体" w:hAnsi="宋体" w:eastAsia="宋体" w:cs="宋体"/>
          <w:spacing w:val="3"/>
          <w:sz w:val="24"/>
          <w:szCs w:val="24"/>
        </w:rPr>
        <w:t> </w:t>
      </w:r>
      <w:r>
        <w:rPr>
          <w:rFonts w:hint="eastAsia" w:ascii="宋体" w:hAnsi="宋体" w:eastAsia="宋体" w:cs="宋体"/>
          <w:spacing w:val="-3"/>
          <w:sz w:val="24"/>
          <w:szCs w:val="24"/>
        </w:rPr>
        <w:t>磋商文件不能详细列明采购标的的技术、服务要求，需经磋商由供应商提供最终设计方</w:t>
      </w:r>
      <w:r>
        <w:rPr>
          <w:rFonts w:hint="eastAsia" w:ascii="宋体" w:hAnsi="宋体" w:eastAsia="宋体" w:cs="宋体"/>
          <w:spacing w:val="-1"/>
          <w:sz w:val="24"/>
          <w:szCs w:val="24"/>
        </w:rPr>
        <w:t>案或解决方案的，磋商结束后，磋商小组应当按照少数服从多数的原则投票</w:t>
      </w:r>
      <w:r>
        <w:rPr>
          <w:rFonts w:hint="eastAsia" w:ascii="宋体" w:hAnsi="宋体" w:eastAsia="宋体" w:cs="宋体"/>
          <w:spacing w:val="-1"/>
          <w:sz w:val="24"/>
          <w:szCs w:val="24"/>
          <w:lang w:val="en-US" w:eastAsia="zh-CN"/>
        </w:rPr>
        <w:t>推荐</w:t>
      </w:r>
      <w:r>
        <w:rPr>
          <w:rFonts w:hint="eastAsia" w:ascii="宋体" w:hAnsi="宋体" w:eastAsia="宋体" w:cs="宋体"/>
          <w:spacing w:val="-1"/>
          <w:sz w:val="24"/>
          <w:szCs w:val="24"/>
        </w:rPr>
        <w:t>3家以上供应商的设计方案或者解决方案，并要求其在规定时间内密封提交最后报价。</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13.5.3</w:t>
      </w:r>
      <w:r>
        <w:rPr>
          <w:rFonts w:hint="eastAsia" w:ascii="宋体" w:hAnsi="宋体" w:eastAsia="宋体" w:cs="宋体"/>
          <w:spacing w:val="-1"/>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13.5.4</w:t>
      </w:r>
      <w:r>
        <w:rPr>
          <w:rFonts w:hint="eastAsia" w:ascii="宋体" w:hAnsi="宋体" w:eastAsia="宋体" w:cs="宋体"/>
          <w:spacing w:val="-1"/>
          <w:sz w:val="24"/>
          <w:szCs w:val="24"/>
        </w:rPr>
        <w:t>已经提交响应文件的供应商，在提交最后报价之前，如有变动磋商文件中的其他内容可以根据磋商情况退出磋商，否则采购人、采购代理机构将退还退出磋商的供应商的保证金。</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13.5.5</w:t>
      </w:r>
      <w:r>
        <w:rPr>
          <w:rFonts w:hint="eastAsia" w:ascii="宋体" w:hAnsi="宋体" w:eastAsia="宋体" w:cs="宋体"/>
          <w:spacing w:val="3"/>
          <w:sz w:val="24"/>
          <w:szCs w:val="24"/>
        </w:rPr>
        <w:t> </w:t>
      </w:r>
      <w:r>
        <w:rPr>
          <w:rFonts w:hint="eastAsia" w:ascii="宋体" w:hAnsi="宋体" w:eastAsia="宋体" w:cs="宋体"/>
          <w:spacing w:val="-3"/>
          <w:sz w:val="24"/>
          <w:szCs w:val="24"/>
        </w:rPr>
        <w:t>综合评分：经磋商确定最终采购需求和提交最后报价的供应商后，由磋商小组采用综合</w:t>
      </w:r>
      <w:r>
        <w:rPr>
          <w:rFonts w:hint="eastAsia" w:ascii="宋体" w:hAnsi="宋体" w:eastAsia="宋体" w:cs="宋体"/>
          <w:spacing w:val="-1"/>
          <w:sz w:val="24"/>
          <w:szCs w:val="24"/>
        </w:rPr>
        <w:t>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磋商小组应当根据综合评分情况，按照评审得分由高到低顺序推荐</w:t>
      </w:r>
      <w:r>
        <w:rPr>
          <w:rFonts w:hint="eastAsia" w:ascii="宋体" w:hAnsi="宋体" w:eastAsia="宋体" w:cs="宋体"/>
          <w:spacing w:val="-1"/>
          <w:sz w:val="24"/>
          <w:szCs w:val="24"/>
        </w:rPr>
        <w:t>3</w:t>
      </w:r>
      <w:r>
        <w:rPr>
          <w:rFonts w:hint="eastAsia" w:ascii="宋体" w:hAnsi="宋体" w:eastAsia="宋体" w:cs="宋体"/>
          <w:sz w:val="24"/>
          <w:szCs w:val="24"/>
        </w:rPr>
        <w:t>名成交候选供应商，并</w:t>
      </w:r>
      <w:r>
        <w:rPr>
          <w:rFonts w:hint="eastAsia" w:ascii="宋体" w:hAnsi="宋体" w:eastAsia="宋体" w:cs="宋体"/>
          <w:spacing w:val="-2"/>
          <w:sz w:val="24"/>
          <w:szCs w:val="24"/>
        </w:rPr>
        <w:t>编</w:t>
      </w:r>
      <w:r>
        <w:rPr>
          <w:rFonts w:hint="eastAsia" w:ascii="宋体" w:hAnsi="宋体" w:eastAsia="宋体" w:cs="宋体"/>
          <w:sz w:val="24"/>
          <w:szCs w:val="24"/>
        </w:rPr>
        <w:t>写评审报告。符合《政府采购竞争性磋商采购方式管理暂行办法》（财库﹝2014﹞214</w:t>
      </w:r>
      <w:r>
        <w:rPr>
          <w:rFonts w:hint="eastAsia" w:ascii="宋体" w:hAnsi="宋体" w:eastAsia="宋体" w:cs="宋体"/>
          <w:spacing w:val="3"/>
          <w:sz w:val="24"/>
          <w:szCs w:val="24"/>
        </w:rPr>
        <w:t> </w:t>
      </w:r>
      <w:r>
        <w:rPr>
          <w:rFonts w:hint="eastAsia" w:ascii="宋体" w:hAnsi="宋体" w:eastAsia="宋体" w:cs="宋体"/>
          <w:sz w:val="24"/>
          <w:szCs w:val="24"/>
        </w:rPr>
        <w:t>号）第二十一条第三款情形和财库〔2015〕124</w:t>
      </w:r>
      <w:r>
        <w:rPr>
          <w:rFonts w:hint="eastAsia" w:ascii="宋体" w:hAnsi="宋体" w:eastAsia="宋体" w:cs="宋体"/>
          <w:spacing w:val="5"/>
          <w:sz w:val="24"/>
          <w:szCs w:val="24"/>
        </w:rPr>
        <w:t> </w:t>
      </w:r>
      <w:r>
        <w:rPr>
          <w:rFonts w:hint="eastAsia" w:ascii="宋体" w:hAnsi="宋体" w:eastAsia="宋体" w:cs="宋体"/>
          <w:sz w:val="24"/>
          <w:szCs w:val="24"/>
        </w:rPr>
        <w:t>号的，可以推荐</w:t>
      </w:r>
      <w:r>
        <w:rPr>
          <w:rFonts w:hint="eastAsia" w:ascii="宋体" w:hAnsi="宋体" w:eastAsia="宋体" w:cs="宋体"/>
          <w:spacing w:val="-1"/>
          <w:sz w:val="24"/>
          <w:szCs w:val="24"/>
        </w:rPr>
        <w:t>3</w:t>
      </w:r>
      <w:r>
        <w:rPr>
          <w:rFonts w:hint="eastAsia" w:ascii="宋体" w:hAnsi="宋体" w:eastAsia="宋体" w:cs="宋体"/>
          <w:sz w:val="24"/>
          <w:szCs w:val="24"/>
        </w:rPr>
        <w:t>家成交候选供应商。评审得分相同的，按照</w:t>
      </w:r>
      <w:r>
        <w:rPr>
          <w:rFonts w:hint="eastAsia" w:ascii="宋体" w:hAnsi="宋体" w:eastAsia="宋体" w:cs="宋体"/>
          <w:spacing w:val="-1"/>
          <w:sz w:val="24"/>
          <w:szCs w:val="24"/>
        </w:rPr>
        <w:t>最后报价由低到高的顺序推荐。评审得分且最后报价相同的，则按照监理大纲（技术方案）优劣顺序推荐。</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13.6</w:t>
      </w:r>
      <w:r>
        <w:rPr>
          <w:rFonts w:hint="eastAsia" w:ascii="宋体" w:hAnsi="宋体" w:eastAsia="宋体" w:cs="宋体"/>
          <w:spacing w:val="3"/>
          <w:sz w:val="24"/>
          <w:szCs w:val="24"/>
        </w:rPr>
        <w:t> </w:t>
      </w:r>
      <w:r>
        <w:rPr>
          <w:rFonts w:hint="eastAsia" w:ascii="宋体" w:hAnsi="宋体" w:eastAsia="宋体" w:cs="宋体"/>
          <w:spacing w:val="-1"/>
          <w:sz w:val="24"/>
          <w:szCs w:val="24"/>
        </w:rPr>
        <w:t>响应供应商的报价均超过了采购预算，采购人不能支付的，磋商活动终止。</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13.7</w:t>
      </w:r>
      <w:r>
        <w:rPr>
          <w:rFonts w:hint="eastAsia" w:ascii="宋体" w:hAnsi="宋体" w:eastAsia="宋体" w:cs="宋体"/>
          <w:spacing w:val="3"/>
          <w:sz w:val="24"/>
          <w:szCs w:val="24"/>
        </w:rPr>
        <w:t> </w:t>
      </w:r>
      <w:r>
        <w:rPr>
          <w:rFonts w:hint="eastAsia" w:ascii="宋体" w:hAnsi="宋体" w:eastAsia="宋体" w:cs="宋体"/>
          <w:spacing w:val="-3"/>
          <w:sz w:val="24"/>
          <w:szCs w:val="24"/>
        </w:rPr>
        <w:t>在评标过程中出现法律法规和磋商文件均没有明确规定的情形时，由磋商小组现场协商解</w:t>
      </w:r>
      <w:r>
        <w:rPr>
          <w:rFonts w:hint="eastAsia" w:ascii="宋体" w:hAnsi="宋体" w:eastAsia="宋体" w:cs="宋体"/>
          <w:spacing w:val="-1"/>
          <w:sz w:val="24"/>
          <w:szCs w:val="24"/>
        </w:rPr>
        <w:t>决，协商不一致的，由全体磋商小组投票表决，以得票率半数以上专家的意见为准。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13.8</w:t>
      </w:r>
      <w:r>
        <w:rPr>
          <w:rFonts w:hint="eastAsia" w:ascii="宋体" w:hAnsi="宋体" w:eastAsia="宋体" w:cs="宋体"/>
          <w:spacing w:val="3"/>
          <w:sz w:val="24"/>
          <w:szCs w:val="24"/>
        </w:rPr>
        <w:t> </w:t>
      </w:r>
      <w:r>
        <w:rPr>
          <w:rFonts w:hint="eastAsia" w:ascii="宋体" w:hAnsi="宋体" w:eastAsia="宋体" w:cs="宋体"/>
          <w:spacing w:val="-1"/>
          <w:sz w:val="24"/>
          <w:szCs w:val="24"/>
        </w:rPr>
        <w:t>特别说明：</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（1）供应商磋商所使用的资格、信誉、荣誉、业绩与企业认证必须为本法人所拥有（特殊要求除外）。供应商磋商所使用的采购项目实施人员必须为本法人员工（或必须为本法人或控股公司正式员工）。</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（2）供应商应仔细阅读竞争性磋商文件的所有内容，按照竞争性磋商文件的要求提交响应文件，并对所提供的全部资料的真实性承担法律责任。</w:t>
      </w:r>
      <w:bookmarkStart w:id="55" w:name="14"/>
      <w:bookmarkEnd w:id="55"/>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（3）供应商在磋商活动中提供任何虚假材料，其磋商无效，并报监管部门查处；成交后发现的，</w:t>
      </w:r>
      <w:r>
        <w:rPr>
          <w:rFonts w:hint="eastAsia" w:ascii="宋体" w:hAnsi="宋体" w:eastAsia="宋体" w:cs="宋体"/>
          <w:spacing w:val="-4"/>
          <w:sz w:val="24"/>
          <w:szCs w:val="24"/>
        </w:rPr>
        <w:t>成交供应商须依照《中华人民共和国消费者权益保护法》第五十五条第一款之规定三倍赔偿采购人，</w:t>
      </w:r>
      <w:r>
        <w:rPr>
          <w:rFonts w:hint="eastAsia" w:ascii="宋体" w:hAnsi="宋体" w:eastAsia="宋体" w:cs="宋体"/>
          <w:spacing w:val="-1"/>
          <w:sz w:val="24"/>
          <w:szCs w:val="24"/>
        </w:rPr>
        <w:t>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13.9</w:t>
      </w:r>
      <w:r>
        <w:rPr>
          <w:rFonts w:hint="eastAsia" w:ascii="宋体" w:hAnsi="宋体" w:eastAsia="宋体" w:cs="宋体"/>
          <w:spacing w:val="3"/>
          <w:sz w:val="24"/>
          <w:szCs w:val="24"/>
        </w:rPr>
        <w:t> </w:t>
      </w:r>
      <w:r>
        <w:rPr>
          <w:rFonts w:hint="eastAsia" w:ascii="宋体" w:hAnsi="宋体" w:eastAsia="宋体" w:cs="宋体"/>
          <w:spacing w:val="-1"/>
          <w:sz w:val="24"/>
          <w:szCs w:val="24"/>
        </w:rPr>
        <w:t>低于成本报价</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13.10</w:t>
      </w:r>
      <w:r>
        <w:rPr>
          <w:rFonts w:hint="eastAsia" w:ascii="宋体" w:hAnsi="宋体" w:eastAsia="宋体" w:cs="宋体"/>
          <w:spacing w:val="3"/>
          <w:sz w:val="24"/>
          <w:szCs w:val="24"/>
        </w:rPr>
        <w:t> </w:t>
      </w:r>
      <w:r>
        <w:rPr>
          <w:rFonts w:hint="eastAsia" w:ascii="宋体" w:hAnsi="宋体" w:eastAsia="宋体" w:cs="宋体"/>
          <w:spacing w:val="-1"/>
          <w:sz w:val="24"/>
          <w:szCs w:val="24"/>
        </w:rPr>
        <w:t>最终磋商结束后，磋商小组不得再与供应商进行任何形式的商谈。</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13.11</w:t>
      </w:r>
      <w:r>
        <w:rPr>
          <w:rFonts w:hint="eastAsia" w:ascii="宋体" w:hAnsi="宋体" w:eastAsia="宋体" w:cs="宋体"/>
          <w:spacing w:val="3"/>
          <w:sz w:val="24"/>
          <w:szCs w:val="24"/>
        </w:rPr>
        <w:t> </w:t>
      </w:r>
      <w:r>
        <w:rPr>
          <w:rFonts w:hint="eastAsia" w:ascii="宋体" w:hAnsi="宋体" w:eastAsia="宋体" w:cs="宋体"/>
          <w:sz w:val="24"/>
          <w:szCs w:val="24"/>
        </w:rPr>
        <w:t>供应商有下列情形之一的，磋商保证金将不予退还：</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（1）供应商在提交响应文件截止时间后撤回响应文件的；</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（2）供应商在响应文件中提供虚假材料的；</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（3）除因不可抗力或磋商文件认可的情形以外，成交供应商不与采购人签订合同的；</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（4）供应商与采购人、其他供应商或者采购代理机构恶意串通的；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（5）磋商文件规定的其他情形。</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六、确定成交供应商办法及结果公告</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14.1采购代理机构应当在评审结束后</w:t>
      </w:r>
      <w:r>
        <w:rPr>
          <w:rFonts w:hint="eastAsia" w:ascii="宋体" w:hAnsi="宋体" w:eastAsia="宋体" w:cs="宋体"/>
          <w:spacing w:val="-1"/>
          <w:sz w:val="24"/>
          <w:szCs w:val="24"/>
        </w:rPr>
        <w:t>2</w:t>
      </w:r>
      <w:r>
        <w:rPr>
          <w:rFonts w:hint="eastAsia" w:ascii="宋体" w:hAnsi="宋体" w:eastAsia="宋体" w:cs="宋体"/>
          <w:sz w:val="24"/>
          <w:szCs w:val="24"/>
        </w:rPr>
        <w:t>个工作日内将评审报告送采购人确认。采购人应当在收到</w:t>
      </w:r>
      <w:r>
        <w:rPr>
          <w:rFonts w:hint="eastAsia" w:ascii="宋体" w:hAnsi="宋体" w:eastAsia="宋体" w:cs="宋体"/>
          <w:spacing w:val="-1"/>
          <w:sz w:val="24"/>
          <w:szCs w:val="24"/>
        </w:rPr>
        <w:t>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pacing w:val="3"/>
          <w:sz w:val="24"/>
          <w:szCs w:val="24"/>
        </w:rPr>
        <w:t> </w:t>
      </w:r>
      <w:r>
        <w:rPr>
          <w:rFonts w:hint="eastAsia" w:ascii="宋体" w:hAnsi="宋体" w:eastAsia="宋体" w:cs="宋体"/>
          <w:spacing w:val="-1"/>
          <w:sz w:val="24"/>
          <w:szCs w:val="24"/>
        </w:rPr>
        <w:t>采购代理机构应当在成交供应商确定后2</w:t>
      </w:r>
      <w:r>
        <w:rPr>
          <w:rFonts w:hint="eastAsia" w:ascii="宋体" w:hAnsi="宋体" w:eastAsia="宋体" w:cs="宋体"/>
          <w:spacing w:val="-4"/>
          <w:sz w:val="24"/>
          <w:szCs w:val="24"/>
        </w:rPr>
        <w:t>个工作日内，在竞争性磋商公告发布媒体上公告成交</w:t>
      </w:r>
      <w:r>
        <w:rPr>
          <w:rFonts w:hint="eastAsia" w:ascii="宋体" w:hAnsi="宋体" w:eastAsia="宋体" w:cs="宋体"/>
          <w:spacing w:val="-1"/>
          <w:sz w:val="24"/>
          <w:szCs w:val="24"/>
        </w:rPr>
        <w:t>结果，同时向成交供应商发出成交通知书。</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七、询问、质疑和投诉</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15.1 供应商对政府采购活动事项有疑问的，可以向采购人、采购代理机构提出询问。</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15.2 供应商认为采购文件、采购过程或成交结果使自己的合法权益受到损害的，应当在知道或者应知其权益受到损害之日起七个工作日内，以书面形式向采购人、采购代理机构提出质疑。具体计算时间如下：</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（1）对可以质疑的采购文件提出质疑的，为收到采购文件之日；</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15.3 质疑、投诉应当采用书面形式，质疑书、投诉书均应明确阐述采购文件、采购过程、成交结果中使自己合法权益受到损害的实质性内容，提供相关事实、明确的请求、必要的证明材料，便于有关单位调查、答复和处理。</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供应商提出质疑应当提交质疑函和必要的证明材料，针对同一采购程序环节的质疑必须在法定质疑期内一次性提出。且其质疑行为和质疑函内容应当符合《政府采购质疑和投诉办法》（中华人民共和国财政部令第 94 号）规定。</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八、履约保证金</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无。</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九、签订合同</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16.1合同签订时间：自成交通知书发出之日起7天内。</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16.2</w:t>
      </w:r>
      <w:r>
        <w:rPr>
          <w:rFonts w:hint="eastAsia" w:ascii="宋体" w:hAnsi="宋体" w:eastAsia="宋体" w:cs="宋体"/>
          <w:spacing w:val="-1"/>
          <w:sz w:val="24"/>
          <w:szCs w:val="24"/>
        </w:rPr>
        <w:t>成交供应商在收到成交通知书后，按规定与采购人签订采购合同。</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16.3</w:t>
      </w:r>
      <w:r>
        <w:rPr>
          <w:rFonts w:hint="eastAsia" w:ascii="宋体" w:hAnsi="宋体" w:eastAsia="宋体" w:cs="宋体"/>
          <w:spacing w:val="3"/>
          <w:sz w:val="24"/>
          <w:szCs w:val="24"/>
        </w:rPr>
        <w:t> </w:t>
      </w:r>
      <w:r>
        <w:rPr>
          <w:rFonts w:hint="eastAsia" w:ascii="宋体" w:hAnsi="宋体" w:eastAsia="宋体" w:cs="宋体"/>
          <w:spacing w:val="-3"/>
          <w:sz w:val="24"/>
          <w:szCs w:val="24"/>
        </w:rPr>
        <w:t>成交供应商拒绝签订采购合同的，采购人可以按本项目确定成交供应商办法确定其他供应商作</w:t>
      </w:r>
      <w:r>
        <w:rPr>
          <w:rFonts w:hint="eastAsia" w:ascii="宋体" w:hAnsi="宋体" w:eastAsia="宋体" w:cs="宋体"/>
          <w:spacing w:val="-1"/>
          <w:sz w:val="24"/>
          <w:szCs w:val="24"/>
        </w:rPr>
        <w:t>为成交供应商并签订采购合同，也可以重新开展采购活动。拒绝签订采购合同的成交供应商不得参加对该项目重新开展的采购活动。</w:t>
      </w:r>
      <w:bookmarkStart w:id="56" w:name="15"/>
      <w:bookmarkEnd w:id="56"/>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十、政府采购合同公告</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pacing w:val="3"/>
          <w:sz w:val="24"/>
          <w:szCs w:val="24"/>
        </w:rPr>
        <w:t> </w:t>
      </w:r>
      <w:r>
        <w:rPr>
          <w:rFonts w:hint="eastAsia" w:ascii="宋体" w:hAnsi="宋体" w:eastAsia="宋体" w:cs="宋体"/>
          <w:spacing w:val="-3"/>
          <w:sz w:val="24"/>
          <w:szCs w:val="24"/>
        </w:rPr>
        <w:t>根据《中华人民共和国政府采购法实施条例》第五十条规定，采购人应当自政府采购合同签订</w:t>
      </w:r>
      <w:r>
        <w:rPr>
          <w:rFonts w:hint="eastAsia" w:ascii="宋体" w:hAnsi="宋体" w:eastAsia="宋体" w:cs="宋体"/>
          <w:spacing w:val="-1"/>
          <w:sz w:val="24"/>
          <w:szCs w:val="24"/>
        </w:rPr>
        <w:t>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pacing w:val="-1"/>
          <w:sz w:val="24"/>
          <w:szCs w:val="24"/>
        </w:rPr>
        <w:t>采购当事人的一切活动均适用于《中华人民共和国政府采购法》、《中华人民共和国政府合同法》、《政府采购竞争性磋商采购方式管理暂行办法》及相关规定。</w:t>
      </w:r>
    </w:p>
    <w:p>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十一、其他事项</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19.1本项目的招标代理服务费按发改价格〔2015〕299号文执行，方式为由成交人向采购代理机构支付。领取成交通知书前，成交人应向</w:t>
      </w:r>
      <w:r>
        <w:rPr>
          <w:rFonts w:hint="eastAsia" w:ascii="宋体" w:hAnsi="宋体" w:eastAsia="宋体" w:cs="宋体"/>
          <w:spacing w:val="-1"/>
          <w:sz w:val="24"/>
          <w:szCs w:val="24"/>
        </w:rPr>
        <w:t>采购代理机构一次付清采购代理服务费。</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19.2.解释权</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解释权属本采购代理机构。</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19.3</w:t>
      </w:r>
      <w:r>
        <w:rPr>
          <w:rFonts w:hint="eastAsia" w:ascii="宋体" w:hAnsi="宋体" w:eastAsia="宋体" w:cs="宋体"/>
          <w:spacing w:val="3"/>
          <w:sz w:val="24"/>
          <w:szCs w:val="24"/>
        </w:rPr>
        <w:t> </w:t>
      </w:r>
      <w:r>
        <w:rPr>
          <w:rFonts w:hint="eastAsia" w:ascii="宋体" w:hAnsi="宋体" w:eastAsia="宋体" w:cs="宋体"/>
          <w:sz w:val="24"/>
          <w:szCs w:val="24"/>
        </w:rPr>
        <w:t>有关事宜</w:t>
      </w:r>
    </w:p>
    <w:p>
      <w:pPr>
        <w:keepNext w:val="0"/>
        <w:keepLines w:val="0"/>
        <w:pageBreakBefore w:val="0"/>
        <w:widowControl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所有与本磋商文件有关的函件请按下列通讯地址联系：</w:t>
      </w:r>
    </w:p>
    <w:p>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电话：0775-4218878</w:t>
      </w:r>
    </w:p>
    <w:p>
      <w:pPr>
        <w:keepNext w:val="0"/>
        <w:keepLines w:val="0"/>
        <w:pageBreakBefore w:val="0"/>
        <w:widowControl w:val="0"/>
        <w:kinsoku/>
        <w:wordWrap/>
        <w:overflowPunct/>
        <w:topLinePunct w:val="0"/>
        <w:autoSpaceDE/>
        <w:autoSpaceDN/>
        <w:bidi w:val="0"/>
        <w:adjustRightInd/>
        <w:snapToGrid/>
        <w:spacing w:after="0" w:line="360" w:lineRule="auto"/>
        <w:ind w:left="0" w:firstLine="472" w:firstLineChars="200"/>
        <w:textAlignment w:val="auto"/>
        <w:outlineLvl w:val="9"/>
        <w:rPr>
          <w:rFonts w:hint="eastAsia" w:ascii="宋体" w:hAnsi="宋体" w:eastAsia="宋体" w:cs="宋体"/>
          <w:sz w:val="24"/>
          <w:szCs w:val="24"/>
        </w:rPr>
      </w:pPr>
      <w:r>
        <w:rPr>
          <w:rFonts w:hint="eastAsia" w:ascii="宋体" w:hAnsi="宋体" w:eastAsia="宋体" w:cs="宋体"/>
          <w:spacing w:val="-2"/>
          <w:sz w:val="24"/>
          <w:szCs w:val="24"/>
        </w:rPr>
        <w:t>联系</w:t>
      </w:r>
      <w:r>
        <w:rPr>
          <w:rFonts w:hint="eastAsia" w:ascii="宋体" w:hAnsi="宋体" w:eastAsia="宋体" w:cs="宋体"/>
          <w:spacing w:val="-1"/>
          <w:sz w:val="24"/>
          <w:szCs w:val="24"/>
        </w:rPr>
        <w:t>人：小贾</w:t>
      </w:r>
    </w:p>
    <w:p>
      <w:pPr>
        <w:keepNext w:val="0"/>
        <w:keepLines w:val="0"/>
        <w:pageBreakBefore w:val="0"/>
        <w:widowControl w:val="0"/>
        <w:tabs>
          <w:tab w:val="left" w:pos="1320"/>
        </w:tabs>
        <w:kinsoku/>
        <w:wordWrap/>
        <w:overflowPunct/>
        <w:topLinePunct w:val="0"/>
        <w:autoSpaceDE/>
        <w:autoSpaceDN/>
        <w:bidi w:val="0"/>
        <w:adjustRightInd/>
        <w:snapToGrid/>
        <w:spacing w:after="0" w:line="360" w:lineRule="auto"/>
        <w:ind w:left="0" w:firstLine="472" w:firstLineChars="200"/>
        <w:textAlignment w:val="auto"/>
        <w:outlineLvl w:val="9"/>
        <w:rPr>
          <w:rFonts w:hint="eastAsia" w:ascii="宋体" w:hAnsi="宋体" w:eastAsia="宋体" w:cs="宋体"/>
          <w:spacing w:val="-1"/>
          <w:sz w:val="24"/>
          <w:szCs w:val="24"/>
        </w:rPr>
      </w:pPr>
      <w:r>
        <w:rPr>
          <w:rFonts w:hint="eastAsia" w:ascii="宋体" w:hAnsi="宋体" w:eastAsia="宋体" w:cs="宋体"/>
          <w:spacing w:val="-2"/>
          <w:sz w:val="24"/>
          <w:szCs w:val="24"/>
        </w:rPr>
        <w:t>地</w:t>
      </w:r>
      <w:r>
        <w:rPr>
          <w:rFonts w:hint="eastAsia" w:ascii="宋体" w:hAnsi="宋体" w:eastAsia="宋体" w:cs="宋体"/>
          <w:spacing w:val="-1"/>
          <w:sz w:val="24"/>
          <w:szCs w:val="24"/>
        </w:rPr>
        <w:t>址：贵港市港北区金港大道万豪丽城2栋3单元3405</w:t>
      </w:r>
    </w:p>
    <w:p>
      <w:pPr>
        <w:keepNext w:val="0"/>
        <w:keepLines w:val="0"/>
        <w:pageBreakBefore w:val="0"/>
        <w:widowControl w:val="0"/>
        <w:tabs>
          <w:tab w:val="left" w:pos="1320"/>
        </w:tabs>
        <w:kinsoku/>
        <w:wordWrap/>
        <w:overflowPunct/>
        <w:topLinePunct w:val="0"/>
        <w:autoSpaceDE/>
        <w:autoSpaceDN/>
        <w:bidi w:val="0"/>
        <w:adjustRightInd/>
        <w:snapToGrid/>
        <w:spacing w:after="0" w:line="360" w:lineRule="auto"/>
        <w:ind w:left="0" w:firstLine="472" w:firstLineChars="200"/>
        <w:textAlignment w:val="auto"/>
        <w:outlineLvl w:val="9"/>
        <w:rPr>
          <w:rFonts w:hint="eastAsia" w:ascii="宋体" w:hAnsi="宋体" w:eastAsia="宋体" w:cs="宋体"/>
          <w:sz w:val="24"/>
          <w:szCs w:val="24"/>
        </w:rPr>
        <w:sectPr>
          <w:pgSz w:w="11905" w:h="16838"/>
          <w:pgMar w:top="1417" w:right="1134" w:bottom="1134" w:left="1134" w:header="0" w:footer="0" w:gutter="0"/>
          <w:cols w:space="425" w:num="1"/>
          <w:rtlGutter w:val="0"/>
          <w:docGrid w:type="lines" w:linePitch="312" w:charSpace="0"/>
        </w:sectPr>
      </w:pPr>
      <w:r>
        <w:rPr>
          <w:rFonts w:hint="eastAsia" w:ascii="宋体" w:hAnsi="宋体" w:eastAsia="宋体" w:cs="宋体"/>
          <w:spacing w:val="-2"/>
          <w:sz w:val="24"/>
          <w:szCs w:val="24"/>
        </w:rPr>
        <w:t>邮</w:t>
      </w:r>
      <w:r>
        <w:rPr>
          <w:rFonts w:hint="eastAsia" w:ascii="宋体" w:hAnsi="宋体" w:eastAsia="宋体" w:cs="宋体"/>
          <w:sz w:val="24"/>
          <w:szCs w:val="24"/>
        </w:rPr>
        <w:t>编：537100</w:t>
      </w:r>
    </w:p>
    <w:p>
      <w:pPr>
        <w:keepNext w:val="0"/>
        <w:keepLines w:val="0"/>
        <w:pageBreakBefore w:val="0"/>
        <w:widowControl/>
        <w:kinsoku/>
        <w:wordWrap/>
        <w:overflowPunct/>
        <w:topLinePunct w:val="0"/>
        <w:autoSpaceDE/>
        <w:autoSpaceDN/>
        <w:bidi w:val="0"/>
        <w:adjustRightInd/>
        <w:snapToGrid/>
        <w:spacing w:line="360" w:lineRule="auto"/>
        <w:ind w:left="0" w:firstLine="600" w:firstLineChars="200"/>
        <w:textAlignment w:val="auto"/>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after="0" w:line="360" w:lineRule="auto"/>
        <w:ind w:left="0" w:firstLine="600" w:firstLineChars="200"/>
        <w:textAlignment w:val="auto"/>
        <w:rPr>
          <w:sz w:val="30"/>
          <w:szCs w:val="30"/>
        </w:rPr>
      </w:pPr>
      <w:bookmarkStart w:id="57" w:name="16"/>
      <w:bookmarkEnd w:id="57"/>
    </w:p>
    <w:p>
      <w:pPr>
        <w:keepNext w:val="0"/>
        <w:keepLines w:val="0"/>
        <w:pageBreakBefore w:val="0"/>
        <w:kinsoku/>
        <w:wordWrap/>
        <w:overflowPunct/>
        <w:topLinePunct w:val="0"/>
        <w:autoSpaceDE/>
        <w:autoSpaceDN/>
        <w:bidi w:val="0"/>
        <w:adjustRightInd/>
        <w:snapToGrid/>
        <w:spacing w:after="0" w:line="360" w:lineRule="auto"/>
        <w:ind w:left="0" w:firstLine="600" w:firstLineChars="200"/>
        <w:textAlignment w:val="auto"/>
        <w:rPr>
          <w:sz w:val="30"/>
          <w:szCs w:val="30"/>
        </w:rPr>
      </w:pPr>
    </w:p>
    <w:p>
      <w:pPr>
        <w:pStyle w:val="7"/>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sz w:val="30"/>
          <w:szCs w:val="30"/>
        </w:rPr>
      </w:pPr>
    </w:p>
    <w:p>
      <w:pPr>
        <w:pStyle w:val="7"/>
        <w:rPr>
          <w:sz w:val="30"/>
          <w:szCs w:val="30"/>
        </w:rPr>
      </w:pPr>
    </w:p>
    <w:p>
      <w:pPr>
        <w:pStyle w:val="7"/>
        <w:rPr>
          <w:sz w:val="30"/>
          <w:szCs w:val="30"/>
        </w:rPr>
      </w:pPr>
    </w:p>
    <w:p>
      <w:pPr>
        <w:pStyle w:val="7"/>
        <w:rPr>
          <w:sz w:val="30"/>
          <w:szCs w:val="30"/>
        </w:rPr>
      </w:pPr>
    </w:p>
    <w:p>
      <w:pPr>
        <w:spacing w:after="0" w:line="541" w:lineRule="exact"/>
        <w:ind w:left="63" w:firstLine="2405"/>
        <w:rPr>
          <w:rFonts w:ascii="宋体" w:hAnsi="宋体" w:eastAsia="宋体" w:cs="宋体"/>
          <w:b/>
          <w:bCs/>
          <w:sz w:val="44"/>
          <w:szCs w:val="44"/>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widowControl w:val="0"/>
        <w:tabs>
          <w:tab w:val="left" w:pos="4359"/>
        </w:tabs>
        <w:kinsoku/>
        <w:wordWrap/>
        <w:overflowPunct/>
        <w:topLinePunct w:val="0"/>
        <w:autoSpaceDE/>
        <w:autoSpaceDN/>
        <w:bidi w:val="0"/>
        <w:adjustRightInd/>
        <w:snapToGrid/>
        <w:spacing w:after="0" w:line="360" w:lineRule="auto"/>
        <w:ind w:left="0" w:firstLine="0"/>
        <w:jc w:val="center"/>
        <w:textAlignment w:val="auto"/>
        <w:outlineLvl w:val="0"/>
        <w:rPr>
          <w:rFonts w:ascii="宋体" w:hAnsi="宋体" w:eastAsia="宋体" w:cs="宋体"/>
          <w:sz w:val="36"/>
          <w:szCs w:val="36"/>
        </w:rPr>
      </w:pPr>
      <w:bookmarkStart w:id="58" w:name="_Toc10104"/>
      <w:r>
        <w:rPr>
          <w:rFonts w:ascii="宋体" w:hAnsi="宋体" w:eastAsia="宋体" w:cs="宋体"/>
          <w:sz w:val="36"/>
          <w:szCs w:val="36"/>
        </w:rPr>
        <w:t>第三章 项目服务需求</w:t>
      </w:r>
      <w:bookmarkEnd w:id="58"/>
    </w:p>
    <w:p>
      <w:pPr>
        <w:spacing w:after="0" w:line="240" w:lineRule="exact"/>
        <w:ind w:left="63" w:firstLine="2405"/>
        <w:rPr>
          <w:sz w:val="30"/>
          <w:szCs w:val="30"/>
        </w:rPr>
      </w:pPr>
    </w:p>
    <w:p>
      <w:pPr>
        <w:keepNext w:val="0"/>
        <w:keepLines w:val="0"/>
        <w:pageBreakBefore w:val="0"/>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项目名称：港南区工业园区江五路（城东大道-安澜路）基础设施建设项目监理服务</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GGZC2020-C3-30058-GXBX</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项目建设地址：贵港市港南区工业园区内。</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项目建设规模：</w:t>
      </w:r>
      <w:r>
        <w:rPr>
          <w:rFonts w:hint="eastAsia" w:ascii="宋体" w:hAnsi="宋体" w:eastAsia="宋体" w:cs="宋体"/>
          <w:sz w:val="24"/>
          <w:szCs w:val="24"/>
          <w:u w:val="single"/>
        </w:rPr>
        <w:t>新建城市次干路1199.522米，道路红线宽度为30米，建设内容包括道路工程、桥梁工程、给排水工程、电力工程、电信工程、照明工程、交通工程、绿化工程及相关配套设施建设</w:t>
      </w:r>
      <w:r>
        <w:rPr>
          <w:rFonts w:hint="eastAsia" w:ascii="宋体" w:hAnsi="宋体" w:eastAsia="宋体" w:cs="宋体"/>
          <w:sz w:val="24"/>
          <w:szCs w:val="24"/>
        </w:rPr>
        <w:t>。</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监理服务范围：本项目包括但不限于工程施工合同及图纸（含设计变更）所包含的全部施工内容直至质保期满全过程监理 (含质量控制、进度控制、投资控制、合同管理、信息管理及现场组织协调）。施工阶段：施工过程中的质量、进度、造价控制，安全生产监理、合同、信息等方面的协调管理。保修阶段：检查和记录工程质量缺陷，对缺陷原因进行调查分析并确定责任归属，审核修复方案，监督修复过程并验收，审核修复费用等施工阶段的监理。 </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监理质量要求：严格按照国家有关监理规范要求全过程监督工程质量，确保工程质量达到合格以上。</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监理服务期限：自合同签订之日起开始实施，至工程竣工验收合格，保修期满完毕（监理工期与施工工期一致）。 </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项目总投资估算（建安费）：48503830.71元。</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本项目的报价为总价包干，供应商的报价，包括了实施和完成本项目全部工作所需的劳务费、技术服务费、测量、交通、通讯、保险、税费和利润等业务有关的一切费用，除非上述费用在合同中另有说明。</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资金来源：政府专项债资金及上级财政资金。</w:t>
      </w:r>
    </w:p>
    <w:p>
      <w:pPr>
        <w:keepNext w:val="0"/>
        <w:keepLines w:val="0"/>
        <w:pageBreakBefore w:val="0"/>
        <w:widowControl/>
        <w:numPr>
          <w:ilvl w:val="0"/>
          <w:numId w:val="2"/>
        </w:numPr>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人员最低配备要求：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847"/>
        <w:gridCol w:w="2121"/>
        <w:gridCol w:w="389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岗位</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人数</w:t>
            </w:r>
          </w:p>
        </w:tc>
        <w:tc>
          <w:tcPr>
            <w:tcW w:w="2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学历专业要求</w:t>
            </w:r>
          </w:p>
        </w:tc>
        <w:tc>
          <w:tcPr>
            <w:tcW w:w="3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持证上岗要求</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总监理工程师</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 名</w:t>
            </w:r>
          </w:p>
        </w:tc>
        <w:tc>
          <w:tcPr>
            <w:tcW w:w="2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大专及以上学历</w:t>
            </w:r>
          </w:p>
        </w:tc>
        <w:tc>
          <w:tcPr>
            <w:tcW w:w="3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具备市政公用工程的国家注册监理工程师</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监理工程师</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 名</w:t>
            </w:r>
          </w:p>
        </w:tc>
        <w:tc>
          <w:tcPr>
            <w:tcW w:w="2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大专及以上学历</w:t>
            </w:r>
          </w:p>
        </w:tc>
        <w:tc>
          <w:tcPr>
            <w:tcW w:w="3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具备市政公用工程的国家注册监理工程师或省（自治区、直辖市）级建设工程监理工程师培训合格证</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监理员</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1名</w:t>
            </w:r>
          </w:p>
        </w:tc>
        <w:tc>
          <w:tcPr>
            <w:tcW w:w="2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中专及以上学历</w:t>
            </w:r>
          </w:p>
        </w:tc>
        <w:tc>
          <w:tcPr>
            <w:tcW w:w="3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省（自治区、直辖市）级建设工程监理工程师培训合格证或省（自治区、直辖市）级监理员证</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见证员</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1名</w:t>
            </w:r>
          </w:p>
        </w:tc>
        <w:tc>
          <w:tcPr>
            <w:tcW w:w="2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中专及以上学历</w:t>
            </w:r>
          </w:p>
        </w:tc>
        <w:tc>
          <w:tcPr>
            <w:tcW w:w="3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省（自治区、直辖市）级见证员证</w:t>
            </w: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总计</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4名</w:t>
            </w:r>
          </w:p>
        </w:tc>
        <w:tc>
          <w:tcPr>
            <w:tcW w:w="2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firstLine="480" w:firstLineChars="200"/>
              <w:jc w:val="center"/>
              <w:textAlignment w:val="auto"/>
              <w:outlineLvl w:val="9"/>
              <w:rPr>
                <w:rFonts w:hint="eastAsia" w:ascii="宋体" w:hAnsi="宋体" w:eastAsia="宋体" w:cs="宋体"/>
                <w:sz w:val="24"/>
                <w:szCs w:val="24"/>
              </w:rPr>
            </w:pPr>
          </w:p>
        </w:tc>
        <w:tc>
          <w:tcPr>
            <w:tcW w:w="3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napToGrid w:val="0"/>
              <w:spacing w:after="0" w:line="360" w:lineRule="auto"/>
              <w:ind w:right="0" w:rightChars="0" w:firstLine="480" w:firstLineChars="200"/>
              <w:jc w:val="center"/>
              <w:textAlignment w:val="auto"/>
              <w:outlineLvl w:val="9"/>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autoSpaceDE/>
              <w:autoSpaceDN/>
              <w:bidi w:val="0"/>
              <w:adjustRightInd/>
              <w:spacing w:after="0" w:line="360" w:lineRule="auto"/>
              <w:ind w:right="0" w:rightChars="0" w:firstLine="480" w:firstLineChars="200"/>
              <w:jc w:val="center"/>
              <w:textAlignment w:val="auto"/>
              <w:outlineLvl w:val="9"/>
              <w:rPr>
                <w:rFonts w:hint="eastAsia" w:ascii="宋体" w:hAnsi="宋体" w:eastAsia="宋体" w:cs="宋体"/>
                <w:sz w:val="24"/>
                <w:szCs w:val="24"/>
              </w:rPr>
            </w:pPr>
          </w:p>
        </w:tc>
      </w:tr>
    </w:tbl>
    <w:p>
      <w:pPr>
        <w:keepNext w:val="0"/>
        <w:keepLines w:val="0"/>
        <w:pageBreakBefore w:val="0"/>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二</w:t>
      </w:r>
      <w:r>
        <w:rPr>
          <w:rFonts w:hint="eastAsia" w:ascii="宋体" w:hAnsi="宋体" w:eastAsia="宋体" w:cs="宋体"/>
          <w:sz w:val="24"/>
          <w:szCs w:val="24"/>
        </w:rPr>
        <w:t>、监理酬金支付：</w:t>
      </w:r>
      <w:bookmarkStart w:id="59" w:name="19"/>
      <w:bookmarkEnd w:id="59"/>
      <w:bookmarkStart w:id="60" w:name="OLE_LINK3"/>
      <w:r>
        <w:rPr>
          <w:rFonts w:hint="eastAsia" w:ascii="宋体" w:hAnsi="宋体" w:eastAsia="宋体" w:cs="宋体"/>
          <w:sz w:val="24"/>
          <w:szCs w:val="24"/>
        </w:rPr>
        <w:t>（1）本工程监理费预付款为：中标金额的30%，签订监理合同后一周內支付。（2）其余监理酬金，监理人员进场并正常开展监理业务后，委托人原则上与施工进度款同步支付：监理酬金进度款=实际完成施工进度投资÷施工合同价×监理中标价×70%。（3）在工程通过竣工验收合格后支付至合同监理酬金总额的97%，工程竣工结算审定后一个月内再支付至100%。</w:t>
      </w:r>
    </w:p>
    <w:p>
      <w:pPr>
        <w:keepNext w:val="0"/>
        <w:keepLines w:val="0"/>
        <w:pageBreakBefore w:val="0"/>
        <w:widowControl/>
        <w:kinsoku/>
        <w:overflowPunct/>
        <w:autoSpaceDE/>
        <w:autoSpaceDN/>
        <w:bidi w:val="0"/>
        <w:adjustRightInd/>
        <w:spacing w:after="0" w:line="360" w:lineRule="auto"/>
        <w:ind w:right="0" w:rightChars="0" w:firstLine="480" w:firstLineChars="200"/>
        <w:textAlignment w:val="auto"/>
        <w:outlineLvl w:val="9"/>
        <w:rPr>
          <w:rFonts w:hint="eastAsia" w:ascii="宋体" w:hAnsi="宋体" w:eastAsia="宋体" w:cs="宋体"/>
          <w:sz w:val="24"/>
          <w:szCs w:val="24"/>
        </w:rPr>
        <w:sectPr>
          <w:pgSz w:w="11905" w:h="16838"/>
          <w:pgMar w:top="1417" w:right="1134" w:bottom="1134" w:left="1134" w:header="0" w:footer="0" w:gutter="0"/>
          <w:cols w:space="425" w:num="1"/>
          <w:rtlGutter w:val="0"/>
          <w:docGrid w:type="lines" w:linePitch="312" w:charSpace="0"/>
        </w:sectPr>
      </w:pPr>
    </w:p>
    <w:p>
      <w:pPr>
        <w:spacing w:after="0" w:line="240" w:lineRule="exact"/>
        <w:rPr>
          <w:sz w:val="30"/>
          <w:szCs w:val="30"/>
        </w:rPr>
      </w:pPr>
    </w:p>
    <w:bookmarkEnd w:id="60"/>
    <w:p>
      <w:pPr>
        <w:spacing w:after="0" w:line="240" w:lineRule="exact"/>
        <w:ind w:left="60"/>
        <w:rPr>
          <w:sz w:val="30"/>
          <w:szCs w:val="30"/>
        </w:rPr>
      </w:pPr>
    </w:p>
    <w:p>
      <w:pPr>
        <w:spacing w:after="0" w:line="240" w:lineRule="exact"/>
        <w:ind w:left="60"/>
        <w:rPr>
          <w:sz w:val="30"/>
          <w:szCs w:val="30"/>
        </w:rPr>
      </w:pPr>
    </w:p>
    <w:p>
      <w:pPr>
        <w:spacing w:after="0" w:line="288" w:lineRule="exact"/>
        <w:ind w:left="60"/>
        <w:rPr>
          <w:sz w:val="30"/>
          <w:szCs w:val="30"/>
        </w:rPr>
      </w:pPr>
    </w:p>
    <w:p>
      <w:pPr>
        <w:keepNext w:val="0"/>
        <w:keepLines w:val="0"/>
        <w:pageBreakBefore w:val="0"/>
        <w:widowControl w:val="0"/>
        <w:tabs>
          <w:tab w:val="left" w:pos="4359"/>
        </w:tabs>
        <w:kinsoku/>
        <w:wordWrap/>
        <w:overflowPunct/>
        <w:topLinePunct w:val="0"/>
        <w:autoSpaceDE/>
        <w:autoSpaceDN/>
        <w:bidi w:val="0"/>
        <w:adjustRightInd/>
        <w:snapToGrid/>
        <w:spacing w:after="0" w:line="360" w:lineRule="auto"/>
        <w:ind w:left="0" w:firstLine="0"/>
        <w:jc w:val="center"/>
        <w:textAlignment w:val="auto"/>
        <w:outlineLvl w:val="0"/>
        <w:rPr>
          <w:rFonts w:ascii="宋体" w:hAnsi="宋体" w:eastAsia="宋体" w:cs="宋体"/>
          <w:sz w:val="36"/>
          <w:szCs w:val="36"/>
        </w:rPr>
      </w:pPr>
      <w:bookmarkStart w:id="61" w:name="_Toc23559"/>
      <w:r>
        <w:rPr>
          <w:rFonts w:ascii="宋体" w:hAnsi="宋体" w:eastAsia="宋体" w:cs="宋体"/>
          <w:sz w:val="36"/>
          <w:szCs w:val="36"/>
        </w:rPr>
        <w:t>第</w:t>
      </w:r>
      <w:r>
        <w:rPr>
          <w:rFonts w:hint="eastAsia" w:ascii="宋体" w:hAnsi="宋体" w:eastAsia="宋体" w:cs="宋体"/>
          <w:sz w:val="36"/>
          <w:szCs w:val="36"/>
        </w:rPr>
        <w:t>四</w:t>
      </w:r>
      <w:r>
        <w:rPr>
          <w:rFonts w:ascii="宋体" w:hAnsi="宋体" w:eastAsia="宋体" w:cs="宋体"/>
          <w:sz w:val="36"/>
          <w:szCs w:val="36"/>
        </w:rPr>
        <w:t>章合同书格式</w:t>
      </w:r>
      <w:r>
        <w:rPr>
          <w:rFonts w:hint="eastAsia" w:ascii="宋体" w:hAnsi="宋体" w:eastAsia="宋体" w:cs="宋体"/>
          <w:sz w:val="36"/>
          <w:szCs w:val="36"/>
        </w:rPr>
        <w:t>及条款</w:t>
      </w:r>
      <w:bookmarkEnd w:id="61"/>
    </w:p>
    <w:p>
      <w:pPr>
        <w:keepNext w:val="0"/>
        <w:keepLines w:val="0"/>
        <w:pageBreakBefore w:val="0"/>
        <w:widowControl w:val="0"/>
        <w:tabs>
          <w:tab w:val="left" w:pos="4359"/>
        </w:tabs>
        <w:kinsoku/>
        <w:wordWrap/>
        <w:overflowPunct/>
        <w:topLinePunct w:val="0"/>
        <w:autoSpaceDE/>
        <w:autoSpaceDN/>
        <w:bidi w:val="0"/>
        <w:adjustRightInd/>
        <w:snapToGrid/>
        <w:spacing w:after="0" w:line="360" w:lineRule="auto"/>
        <w:ind w:left="0" w:firstLine="0"/>
        <w:jc w:val="center"/>
        <w:textAlignment w:val="auto"/>
        <w:outlineLvl w:val="0"/>
        <w:rPr>
          <w:rFonts w:ascii="宋体" w:hAnsi="宋体" w:eastAsia="宋体" w:cs="宋体"/>
          <w:sz w:val="36"/>
          <w:szCs w:val="36"/>
        </w:rPr>
        <w:sectPr>
          <w:pgSz w:w="11905" w:h="16838"/>
          <w:pgMar w:top="1417" w:right="1134" w:bottom="1134" w:left="1134" w:header="0" w:footer="0" w:gutter="0"/>
          <w:cols w:space="425" w:num="1"/>
          <w:rtlGutter w:val="0"/>
          <w:docGrid w:type="lines" w:linePitch="312" w:charSpace="0"/>
        </w:sect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rFonts w:hint="eastAsia" w:eastAsiaTheme="minorEastAsia"/>
          <w:sz w:val="30"/>
          <w:szCs w:val="30"/>
          <w:lang w:eastAsia="zh-CN"/>
        </w:rPr>
      </w:pPr>
    </w:p>
    <w:p>
      <w:pPr>
        <w:pStyle w:val="2"/>
        <w:rPr>
          <w:rFonts w:hint="eastAsia" w:eastAsiaTheme="minorEastAsia"/>
          <w:sz w:val="30"/>
          <w:szCs w:val="30"/>
          <w:lang w:eastAsia="zh-CN"/>
        </w:rPr>
      </w:pPr>
    </w:p>
    <w:p>
      <w:pPr>
        <w:rPr>
          <w:rFonts w:hint="eastAsia" w:eastAsiaTheme="minorEastAsia"/>
          <w:sz w:val="30"/>
          <w:szCs w:val="30"/>
          <w:lang w:eastAsia="zh-CN"/>
        </w:rPr>
      </w:pPr>
    </w:p>
    <w:p>
      <w:pPr>
        <w:pStyle w:val="2"/>
        <w:rPr>
          <w:rFonts w:hint="eastAsia" w:eastAsiaTheme="minorEastAsia"/>
          <w:sz w:val="30"/>
          <w:szCs w:val="30"/>
          <w:lang w:eastAsia="zh-CN"/>
        </w:rPr>
      </w:pPr>
    </w:p>
    <w:p>
      <w:pPr>
        <w:rPr>
          <w:rFonts w:hint="eastAsia" w:eastAsiaTheme="minorEastAsia"/>
          <w:sz w:val="30"/>
          <w:szCs w:val="30"/>
          <w:lang w:eastAsia="zh-CN"/>
        </w:rPr>
      </w:pPr>
    </w:p>
    <w:p>
      <w:pPr>
        <w:pStyle w:val="2"/>
        <w:rPr>
          <w:rFonts w:hint="eastAsia" w:eastAsiaTheme="minorEastAsia"/>
          <w:sz w:val="30"/>
          <w:szCs w:val="30"/>
          <w:lang w:eastAsia="zh-CN"/>
        </w:rPr>
      </w:pPr>
    </w:p>
    <w:p>
      <w:pPr>
        <w:rPr>
          <w:rFonts w:hint="eastAsia" w:eastAsiaTheme="minorEastAsia"/>
          <w:sz w:val="30"/>
          <w:szCs w:val="30"/>
          <w:lang w:eastAsia="zh-CN"/>
        </w:rPr>
      </w:pPr>
    </w:p>
    <w:p>
      <w:pPr>
        <w:pStyle w:val="2"/>
        <w:rPr>
          <w:rFonts w:hint="eastAsia" w:eastAsiaTheme="minorEastAsia"/>
          <w:sz w:val="30"/>
          <w:szCs w:val="30"/>
          <w:lang w:eastAsia="zh-CN"/>
        </w:rPr>
      </w:pPr>
    </w:p>
    <w:p>
      <w:pPr>
        <w:rPr>
          <w:rFonts w:hint="eastAsia"/>
          <w:lang w:eastAsia="zh-CN"/>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ind w:left="2462"/>
        <w:rPr>
          <w:sz w:val="30"/>
          <w:szCs w:val="30"/>
        </w:rPr>
      </w:pPr>
    </w:p>
    <w:p>
      <w:pPr>
        <w:spacing w:after="0" w:line="240" w:lineRule="exact"/>
        <w:rPr>
          <w:sz w:val="30"/>
          <w:szCs w:val="30"/>
        </w:rPr>
      </w:pPr>
    </w:p>
    <w:p>
      <w:pPr>
        <w:widowControl/>
        <w:rPr>
          <w:sz w:val="30"/>
          <w:szCs w:val="30"/>
        </w:rPr>
        <w:sectPr>
          <w:type w:val="continuous"/>
          <w:pgSz w:w="11905" w:h="16838"/>
          <w:pgMar w:top="1417" w:right="1134" w:bottom="1134" w:left="1134" w:header="0" w:footer="0" w:gutter="0"/>
          <w:cols w:space="425" w:num="1"/>
          <w:rtlGutter w:val="0"/>
          <w:docGrid w:type="lines" w:linePitch="312" w:charSpace="0"/>
        </w:sectPr>
      </w:pPr>
    </w:p>
    <w:p>
      <w:pPr>
        <w:pageBreakBefore w:val="0"/>
        <w:kinsoku/>
        <w:wordWrap/>
        <w:overflowPunct/>
        <w:topLinePunct w:val="0"/>
        <w:autoSpaceDE/>
        <w:autoSpaceDN/>
        <w:bidi w:val="0"/>
        <w:spacing w:line="360" w:lineRule="auto"/>
        <w:textAlignment w:val="auto"/>
        <w:outlineLvl w:val="9"/>
        <w:rPr>
          <w:b/>
          <w:bCs/>
          <w:sz w:val="30"/>
          <w:szCs w:val="30"/>
        </w:rPr>
      </w:pPr>
      <w:bookmarkStart w:id="62" w:name="20"/>
      <w:bookmarkEnd w:id="62"/>
      <w:r>
        <w:rPr>
          <w:rFonts w:hint="eastAsia" w:hAnsi="宋体" w:cs="宋体"/>
          <w:b/>
          <w:bCs/>
          <w:sz w:val="30"/>
          <w:szCs w:val="30"/>
        </w:rPr>
        <w:t>（ＧＦ－</w:t>
      </w:r>
      <w:r>
        <w:rPr>
          <w:b/>
          <w:bCs/>
          <w:sz w:val="30"/>
          <w:szCs w:val="30"/>
        </w:rPr>
        <w:t>2012</w:t>
      </w:r>
      <w:r>
        <w:rPr>
          <w:rFonts w:hint="eastAsia" w:hAnsi="宋体" w:cs="宋体"/>
          <w:b/>
          <w:bCs/>
          <w:sz w:val="30"/>
          <w:szCs w:val="30"/>
        </w:rPr>
        <w:t>－</w:t>
      </w:r>
      <w:r>
        <w:rPr>
          <w:b/>
          <w:bCs/>
          <w:sz w:val="30"/>
          <w:szCs w:val="30"/>
        </w:rPr>
        <w:t>0202</w:t>
      </w:r>
      <w:r>
        <w:rPr>
          <w:rFonts w:hint="eastAsia" w:hAnsi="宋体" w:cs="宋体"/>
          <w:b/>
          <w:bCs/>
          <w:sz w:val="30"/>
          <w:szCs w:val="30"/>
        </w:rPr>
        <w:t>）</w:t>
      </w:r>
    </w:p>
    <w:p>
      <w:pPr>
        <w:pageBreakBefore w:val="0"/>
        <w:kinsoku/>
        <w:wordWrap/>
        <w:overflowPunct/>
        <w:topLinePunct w:val="0"/>
        <w:autoSpaceDE/>
        <w:autoSpaceDN/>
        <w:bidi w:val="0"/>
        <w:spacing w:line="360" w:lineRule="auto"/>
        <w:jc w:val="center"/>
        <w:textAlignment w:val="auto"/>
        <w:outlineLvl w:val="9"/>
        <w:rPr>
          <w:b/>
          <w:bCs/>
          <w:sz w:val="30"/>
          <w:szCs w:val="30"/>
        </w:rPr>
      </w:pPr>
    </w:p>
    <w:p>
      <w:pPr>
        <w:pageBreakBefore w:val="0"/>
        <w:kinsoku/>
        <w:wordWrap/>
        <w:overflowPunct/>
        <w:topLinePunct w:val="0"/>
        <w:autoSpaceDE/>
        <w:autoSpaceDN/>
        <w:bidi w:val="0"/>
        <w:spacing w:line="360" w:lineRule="auto"/>
        <w:jc w:val="center"/>
        <w:textAlignment w:val="auto"/>
        <w:outlineLvl w:val="9"/>
        <w:rPr>
          <w:b/>
          <w:bCs/>
          <w:sz w:val="30"/>
          <w:szCs w:val="30"/>
        </w:rPr>
      </w:pPr>
    </w:p>
    <w:p>
      <w:pPr>
        <w:pageBreakBefore w:val="0"/>
        <w:kinsoku/>
        <w:wordWrap/>
        <w:overflowPunct/>
        <w:topLinePunct w:val="0"/>
        <w:autoSpaceDE/>
        <w:autoSpaceDN/>
        <w:bidi w:val="0"/>
        <w:spacing w:line="360" w:lineRule="auto"/>
        <w:jc w:val="center"/>
        <w:textAlignment w:val="auto"/>
        <w:outlineLvl w:val="9"/>
        <w:rPr>
          <w:b/>
          <w:bCs/>
          <w:sz w:val="30"/>
          <w:szCs w:val="30"/>
        </w:rPr>
      </w:pPr>
    </w:p>
    <w:p>
      <w:pPr>
        <w:pageBreakBefore w:val="0"/>
        <w:kinsoku/>
        <w:wordWrap/>
        <w:overflowPunct/>
        <w:topLinePunct w:val="0"/>
        <w:autoSpaceDE/>
        <w:autoSpaceDN/>
        <w:bidi w:val="0"/>
        <w:spacing w:line="360" w:lineRule="auto"/>
        <w:jc w:val="center"/>
        <w:textAlignment w:val="auto"/>
        <w:outlineLvl w:val="9"/>
        <w:rPr>
          <w:b/>
          <w:bCs/>
          <w:sz w:val="44"/>
          <w:szCs w:val="44"/>
        </w:rPr>
      </w:pPr>
      <w:r>
        <w:rPr>
          <w:rFonts w:hint="eastAsia" w:hAnsi="宋体" w:cs="宋体"/>
          <w:b/>
          <w:bCs/>
          <w:sz w:val="44"/>
          <w:szCs w:val="44"/>
        </w:rPr>
        <w:t>建设工程监理合同</w:t>
      </w:r>
    </w:p>
    <w:p>
      <w:pPr>
        <w:pageBreakBefore w:val="0"/>
        <w:kinsoku/>
        <w:wordWrap/>
        <w:overflowPunct/>
        <w:topLinePunct w:val="0"/>
        <w:autoSpaceDE/>
        <w:autoSpaceDN/>
        <w:bidi w:val="0"/>
        <w:spacing w:line="360" w:lineRule="auto"/>
        <w:jc w:val="both"/>
        <w:textAlignment w:val="auto"/>
        <w:outlineLvl w:val="9"/>
        <w:rPr>
          <w:b/>
          <w:bCs/>
          <w:sz w:val="30"/>
          <w:szCs w:val="30"/>
        </w:rPr>
      </w:pPr>
    </w:p>
    <w:p>
      <w:pPr>
        <w:pageBreakBefore w:val="0"/>
        <w:kinsoku/>
        <w:wordWrap/>
        <w:overflowPunct/>
        <w:topLinePunct w:val="0"/>
        <w:autoSpaceDE/>
        <w:autoSpaceDN/>
        <w:bidi w:val="0"/>
        <w:spacing w:line="360" w:lineRule="auto"/>
        <w:jc w:val="center"/>
        <w:textAlignment w:val="auto"/>
        <w:outlineLvl w:val="9"/>
        <w:rPr>
          <w:b/>
          <w:bCs/>
          <w:sz w:val="30"/>
          <w:szCs w:val="30"/>
        </w:rPr>
      </w:pPr>
    </w:p>
    <w:p>
      <w:pPr>
        <w:pageBreakBefore w:val="0"/>
        <w:kinsoku/>
        <w:wordWrap/>
        <w:overflowPunct/>
        <w:topLinePunct w:val="0"/>
        <w:autoSpaceDE/>
        <w:autoSpaceDN/>
        <w:bidi w:val="0"/>
        <w:spacing w:line="360" w:lineRule="auto"/>
        <w:jc w:val="center"/>
        <w:textAlignment w:val="auto"/>
        <w:outlineLvl w:val="9"/>
        <w:rPr>
          <w:b/>
          <w:bCs/>
          <w:sz w:val="30"/>
          <w:szCs w:val="30"/>
        </w:rPr>
      </w:pPr>
    </w:p>
    <w:p>
      <w:pPr>
        <w:pageBreakBefore w:val="0"/>
        <w:kinsoku/>
        <w:wordWrap/>
        <w:overflowPunct/>
        <w:topLinePunct w:val="0"/>
        <w:autoSpaceDE/>
        <w:autoSpaceDN/>
        <w:bidi w:val="0"/>
        <w:spacing w:line="360" w:lineRule="auto"/>
        <w:jc w:val="center"/>
        <w:textAlignment w:val="auto"/>
        <w:outlineLvl w:val="9"/>
        <w:rPr>
          <w:b/>
          <w:bCs/>
          <w:sz w:val="30"/>
          <w:szCs w:val="30"/>
        </w:rPr>
      </w:pPr>
    </w:p>
    <w:p>
      <w:pPr>
        <w:pageBreakBefore w:val="0"/>
        <w:kinsoku/>
        <w:wordWrap/>
        <w:overflowPunct/>
        <w:topLinePunct w:val="0"/>
        <w:autoSpaceDE/>
        <w:autoSpaceDN/>
        <w:bidi w:val="0"/>
        <w:spacing w:line="360" w:lineRule="auto"/>
        <w:textAlignment w:val="auto"/>
        <w:outlineLvl w:val="9"/>
        <w:rPr>
          <w:b/>
          <w:bCs/>
          <w:sz w:val="30"/>
          <w:szCs w:val="30"/>
        </w:rPr>
      </w:pPr>
    </w:p>
    <w:p>
      <w:pPr>
        <w:pageBreakBefore w:val="0"/>
        <w:kinsoku/>
        <w:wordWrap/>
        <w:overflowPunct/>
        <w:topLinePunct w:val="0"/>
        <w:autoSpaceDE/>
        <w:autoSpaceDN/>
        <w:bidi w:val="0"/>
        <w:spacing w:line="360" w:lineRule="auto"/>
        <w:textAlignment w:val="auto"/>
        <w:outlineLvl w:val="9"/>
        <w:rPr>
          <w:b/>
          <w:bCs/>
          <w:sz w:val="30"/>
          <w:szCs w:val="30"/>
        </w:rPr>
      </w:pPr>
    </w:p>
    <w:p>
      <w:pPr>
        <w:pageBreakBefore w:val="0"/>
        <w:kinsoku/>
        <w:wordWrap/>
        <w:overflowPunct/>
        <w:topLinePunct w:val="0"/>
        <w:autoSpaceDE/>
        <w:autoSpaceDN/>
        <w:bidi w:val="0"/>
        <w:spacing w:line="360" w:lineRule="auto"/>
        <w:textAlignment w:val="auto"/>
        <w:outlineLvl w:val="9"/>
        <w:rPr>
          <w:b/>
          <w:bCs/>
          <w:sz w:val="30"/>
          <w:szCs w:val="30"/>
        </w:rPr>
      </w:pPr>
    </w:p>
    <w:p>
      <w:pPr>
        <w:pageBreakBefore w:val="0"/>
        <w:kinsoku/>
        <w:wordWrap/>
        <w:overflowPunct/>
        <w:topLinePunct w:val="0"/>
        <w:autoSpaceDE/>
        <w:autoSpaceDN/>
        <w:bidi w:val="0"/>
        <w:jc w:val="center"/>
        <w:textAlignment w:val="auto"/>
        <w:outlineLvl w:val="9"/>
        <w:rPr>
          <w:b/>
          <w:bCs/>
          <w:sz w:val="30"/>
          <w:szCs w:val="30"/>
        </w:rPr>
      </w:pPr>
      <w:r>
        <w:rPr>
          <w:rFonts w:hint="eastAsia" w:hAnsi="宋体" w:cs="宋体"/>
          <w:b/>
          <w:bCs/>
          <w:sz w:val="30"/>
          <w:szCs w:val="30"/>
        </w:rPr>
        <w:t>住房和城乡建设部</w:t>
      </w:r>
    </w:p>
    <w:p>
      <w:pPr>
        <w:pageBreakBefore w:val="0"/>
        <w:kinsoku/>
        <w:wordWrap/>
        <w:overflowPunct/>
        <w:topLinePunct w:val="0"/>
        <w:autoSpaceDE/>
        <w:autoSpaceDN/>
        <w:bidi w:val="0"/>
        <w:jc w:val="center"/>
        <w:textAlignment w:val="auto"/>
        <w:outlineLvl w:val="9"/>
        <w:rPr>
          <w:b/>
          <w:bCs/>
          <w:sz w:val="30"/>
          <w:szCs w:val="30"/>
        </w:rPr>
      </w:pPr>
      <w:r>
        <w:rPr>
          <w:rFonts w:hint="eastAsia" w:hAnsi="宋体" w:cs="宋体"/>
          <w:b/>
          <w:bCs/>
          <w:sz w:val="30"/>
          <w:szCs w:val="30"/>
        </w:rPr>
        <w:t xml:space="preserve">                           制定</w:t>
      </w:r>
    </w:p>
    <w:p>
      <w:pPr>
        <w:pageBreakBefore w:val="0"/>
        <w:kinsoku/>
        <w:wordWrap/>
        <w:overflowPunct/>
        <w:topLinePunct w:val="0"/>
        <w:autoSpaceDE/>
        <w:autoSpaceDN/>
        <w:bidi w:val="0"/>
        <w:jc w:val="center"/>
        <w:textAlignment w:val="auto"/>
        <w:outlineLvl w:val="9"/>
        <w:rPr>
          <w:sz w:val="30"/>
          <w:szCs w:val="30"/>
        </w:rPr>
        <w:sectPr>
          <w:type w:val="continuous"/>
          <w:pgSz w:w="11905" w:h="16838"/>
          <w:pgMar w:top="1417" w:right="1134" w:bottom="1134" w:left="1134" w:header="0" w:footer="0" w:gutter="0"/>
          <w:cols w:space="425" w:num="1"/>
          <w:rtlGutter w:val="0"/>
          <w:docGrid w:type="lines" w:linePitch="312" w:charSpace="0"/>
        </w:sectPr>
      </w:pPr>
      <w:r>
        <w:rPr>
          <w:rFonts w:hint="eastAsia" w:hAnsi="宋体" w:cs="宋体"/>
          <w:b/>
          <w:bCs/>
          <w:sz w:val="30"/>
          <w:szCs w:val="30"/>
        </w:rPr>
        <w:t>国家工商行政管理总局</w:t>
      </w:r>
    </w:p>
    <w:p>
      <w:pPr>
        <w:pageBreakBefore w:val="0"/>
        <w:kinsoku/>
        <w:wordWrap/>
        <w:overflowPunct/>
        <w:topLinePunct w:val="0"/>
        <w:autoSpaceDE/>
        <w:autoSpaceDN/>
        <w:bidi w:val="0"/>
        <w:spacing w:before="0" w:after="0" w:line="360" w:lineRule="auto"/>
        <w:ind w:right="0" w:rightChars="0" w:firstLine="560" w:firstLineChars="200"/>
        <w:textAlignment w:val="auto"/>
        <w:outlineLvl w:val="9"/>
        <w:rPr>
          <w:rFonts w:hint="eastAsia" w:ascii="宋体" w:hAnsi="宋体" w:eastAsia="宋体" w:cs="宋体"/>
          <w:sz w:val="28"/>
          <w:szCs w:val="28"/>
        </w:rPr>
      </w:pPr>
      <w:bookmarkStart w:id="63" w:name="_Toc22983"/>
      <w:bookmarkStart w:id="64" w:name="_Toc392940990"/>
      <w:bookmarkStart w:id="65" w:name="_Toc459567800"/>
      <w:r>
        <w:rPr>
          <w:rFonts w:hint="eastAsia" w:ascii="宋体" w:hAnsi="宋体" w:eastAsia="宋体" w:cs="宋体"/>
          <w:sz w:val="28"/>
          <w:szCs w:val="28"/>
        </w:rPr>
        <w:t>第一部分  协议书</w:t>
      </w:r>
      <w:bookmarkEnd w:id="63"/>
      <w:bookmarkEnd w:id="64"/>
      <w:bookmarkEnd w:id="65"/>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委托人（全称）：</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监理人（全称）：</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b/>
          <w:sz w:val="24"/>
          <w:szCs w:val="24"/>
        </w:rPr>
      </w:pPr>
      <w:r>
        <w:rPr>
          <w:rFonts w:hint="eastAsia" w:ascii="宋体" w:hAnsi="宋体" w:eastAsia="宋体" w:cs="宋体"/>
          <w:sz w:val="24"/>
          <w:szCs w:val="24"/>
        </w:rPr>
        <w:t>根据《中华人民共和国合同法》、《中华人民共和国建筑法》及其他有关法律、法规，遵循平等、自愿、公平和诚信的原则，双方就下述工程委托监理与相关服务事项协商一致，订立本合同</w:t>
      </w:r>
      <w:r>
        <w:rPr>
          <w:rFonts w:hint="eastAsia" w:ascii="宋体" w:hAnsi="宋体" w:eastAsia="宋体" w:cs="宋体"/>
          <w:b/>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66" w:name="_Toc349554752"/>
      <w:bookmarkStart w:id="67" w:name="_Toc473030494"/>
      <w:bookmarkStart w:id="68" w:name="_Toc30067"/>
      <w:bookmarkStart w:id="69" w:name="_Toc459567801"/>
      <w:r>
        <w:rPr>
          <w:rFonts w:hint="eastAsia" w:ascii="宋体" w:hAnsi="宋体" w:eastAsia="宋体" w:cs="宋体"/>
          <w:b/>
          <w:sz w:val="24"/>
          <w:szCs w:val="24"/>
        </w:rPr>
        <w:t>一、工程概况</w:t>
      </w:r>
      <w:bookmarkEnd w:id="66"/>
      <w:bookmarkEnd w:id="67"/>
      <w:bookmarkEnd w:id="68"/>
      <w:bookmarkEnd w:id="69"/>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项目名称：；</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工程地点：；</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 工程规模：；</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 工程</w:t>
      </w:r>
      <w:r>
        <w:rPr>
          <w:rFonts w:hint="eastAsia" w:ascii="宋体" w:hAnsi="宋体" w:eastAsia="宋体" w:cs="宋体"/>
          <w:kern w:val="0"/>
          <w:sz w:val="24"/>
          <w:szCs w:val="24"/>
        </w:rPr>
        <w:t>概算投资额（或建筑安装工程费）</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70" w:name="_Toc3271"/>
      <w:bookmarkStart w:id="71" w:name="_Toc459567802"/>
      <w:bookmarkStart w:id="72" w:name="_Toc473030495"/>
      <w:r>
        <w:rPr>
          <w:rFonts w:hint="eastAsia" w:ascii="宋体" w:hAnsi="宋体" w:eastAsia="宋体" w:cs="宋体"/>
          <w:b/>
          <w:sz w:val="24"/>
          <w:szCs w:val="24"/>
        </w:rPr>
        <w:t>二、词语限定</w:t>
      </w:r>
      <w:bookmarkEnd w:id="70"/>
      <w:bookmarkEnd w:id="71"/>
      <w:bookmarkEnd w:id="72"/>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协议书中相关词语的含义与通用条件中的定义与解释相同。</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73" w:name="_Toc22577"/>
      <w:bookmarkStart w:id="74" w:name="_Toc349554753"/>
      <w:bookmarkStart w:id="75" w:name="_Toc473030496"/>
      <w:bookmarkStart w:id="76" w:name="_Toc459567803"/>
      <w:r>
        <w:rPr>
          <w:rFonts w:hint="eastAsia" w:ascii="宋体" w:hAnsi="宋体" w:eastAsia="宋体" w:cs="宋体"/>
          <w:b/>
          <w:sz w:val="24"/>
          <w:szCs w:val="24"/>
        </w:rPr>
        <w:t>三、组成本合同的文件</w:t>
      </w:r>
      <w:bookmarkEnd w:id="73"/>
      <w:bookmarkEnd w:id="74"/>
      <w:bookmarkEnd w:id="75"/>
      <w:bookmarkEnd w:id="76"/>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协议书；</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中标通知书（适用于招标工程）或委托书（适用于非招标工程）；</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 投标文件（适用于招标工程）或监理与相关服务建议书（适用于非招标工程）；</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 专用条件；</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 通用条件；</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 附录，即：</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附录A  相关服务的范围和内容</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附录B  委托人派遣的人员和提供的</w:t>
      </w:r>
      <w:r>
        <w:rPr>
          <w:rFonts w:hint="eastAsia" w:ascii="宋体" w:hAnsi="宋体" w:eastAsia="宋体" w:cs="宋体"/>
          <w:bCs/>
          <w:sz w:val="24"/>
          <w:szCs w:val="24"/>
        </w:rPr>
        <w:t>房屋、资料</w:t>
      </w:r>
      <w:r>
        <w:rPr>
          <w:rFonts w:hint="eastAsia" w:ascii="宋体" w:hAnsi="宋体" w:eastAsia="宋体" w:cs="宋体"/>
          <w:sz w:val="24"/>
          <w:szCs w:val="24"/>
        </w:rPr>
        <w:t>、设备</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本合同签订后，双方依法签订的补充协议也是本合同文件的组成部分。</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77" w:name="_Toc473030497"/>
      <w:bookmarkStart w:id="78" w:name="_Toc4215"/>
      <w:bookmarkStart w:id="79" w:name="_Toc459567804"/>
      <w:bookmarkStart w:id="80" w:name="_Toc349554754"/>
      <w:r>
        <w:rPr>
          <w:rFonts w:hint="eastAsia" w:ascii="宋体" w:hAnsi="宋体" w:eastAsia="宋体" w:cs="宋体"/>
          <w:b/>
          <w:sz w:val="24"/>
          <w:szCs w:val="24"/>
        </w:rPr>
        <w:t>四、总监理工程师</w:t>
      </w:r>
      <w:bookmarkEnd w:id="77"/>
      <w:bookmarkEnd w:id="78"/>
      <w:bookmarkEnd w:id="79"/>
      <w:bookmarkEnd w:id="80"/>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总监理工程师姓名：，身份证号码：，注册号：。</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81" w:name="_Toc473030498"/>
      <w:bookmarkStart w:id="82" w:name="_Toc459567805"/>
      <w:bookmarkStart w:id="83" w:name="_Toc349554755"/>
      <w:bookmarkStart w:id="84" w:name="_Toc27655"/>
      <w:r>
        <w:rPr>
          <w:rFonts w:hint="eastAsia" w:ascii="宋体" w:hAnsi="宋体" w:eastAsia="宋体" w:cs="宋体"/>
          <w:b/>
          <w:sz w:val="24"/>
          <w:szCs w:val="24"/>
        </w:rPr>
        <w:t>五、签约酬金</w:t>
      </w:r>
      <w:bookmarkEnd w:id="81"/>
      <w:bookmarkEnd w:id="82"/>
      <w:bookmarkEnd w:id="83"/>
      <w:bookmarkEnd w:id="84"/>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签约酬金（大写）：（¥        ）。</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包括：</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施工阶段监理酬金：</w:t>
      </w:r>
      <w:r>
        <w:rPr>
          <w:rFonts w:hint="eastAsia" w:ascii="宋体" w:hAnsi="宋体" w:eastAsia="宋体" w:cs="宋体"/>
          <w:sz w:val="24"/>
          <w:szCs w:val="24"/>
          <w:u w:val="single"/>
        </w:rPr>
        <w:t xml:space="preserve"> 100%  </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相关服务酬金：</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其中：</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（1）勘察阶段服务</w:t>
      </w:r>
      <w:r>
        <w:rPr>
          <w:rFonts w:hint="eastAsia" w:ascii="宋体" w:hAnsi="宋体" w:eastAsia="宋体" w:cs="宋体"/>
          <w:sz w:val="24"/>
          <w:szCs w:val="24"/>
        </w:rPr>
        <w:t>酬金：</w:t>
      </w:r>
      <w:r>
        <w:rPr>
          <w:rFonts w:hint="eastAsia" w:ascii="宋体" w:hAnsi="宋体" w:eastAsia="宋体" w:cs="宋体"/>
          <w:sz w:val="24"/>
          <w:szCs w:val="24"/>
          <w:u w:val="single"/>
        </w:rPr>
        <w:t>/</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（2）设计阶段服务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（3）保修阶段服务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其他相关服务酬金：</w:t>
      </w:r>
      <w:bookmarkStart w:id="85" w:name="_Toc349554756"/>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六、期限</w:t>
      </w:r>
      <w:bookmarkEnd w:id="85"/>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1. 施工阶段</w:t>
      </w:r>
      <w:r>
        <w:rPr>
          <w:rFonts w:hint="eastAsia" w:ascii="宋体" w:hAnsi="宋体" w:eastAsia="宋体" w:cs="宋体"/>
          <w:sz w:val="24"/>
          <w:szCs w:val="24"/>
        </w:rPr>
        <w:t>监理服务期限：</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自年月日始，至年月日止。（施工阶段监理服务期限应为自委托人通知监理进场之日始至工程竣工验收合格之日止，原则上招标人应设定为与所监理项目的施工工期一致，特殊情况下施工阶段监理服务期均不能大于施工工期的110%。如施工工期超过110%，施工阶段监理服务期相应延长但要追加延期费用。）</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 xml:space="preserve">2. </w:t>
      </w:r>
      <w:r>
        <w:rPr>
          <w:rFonts w:hint="eastAsia" w:ascii="宋体" w:hAnsi="宋体" w:eastAsia="宋体" w:cs="宋体"/>
          <w:sz w:val="24"/>
          <w:szCs w:val="24"/>
        </w:rPr>
        <w:t>相关服务期限：</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（1）勘察阶段</w:t>
      </w:r>
      <w:r>
        <w:rPr>
          <w:rFonts w:hint="eastAsia" w:ascii="宋体" w:hAnsi="宋体" w:eastAsia="宋体" w:cs="宋体"/>
          <w:sz w:val="24"/>
          <w:szCs w:val="24"/>
        </w:rPr>
        <w:t>服务期限自年月日始，至年月日止。</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（2）设计阶段</w:t>
      </w:r>
      <w:r>
        <w:rPr>
          <w:rFonts w:hint="eastAsia" w:ascii="宋体" w:hAnsi="宋体" w:eastAsia="宋体" w:cs="宋体"/>
          <w:sz w:val="24"/>
          <w:szCs w:val="24"/>
        </w:rPr>
        <w:t>服务期限自年月日始，至年月日止。</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（3）保修阶段</w:t>
      </w:r>
      <w:r>
        <w:rPr>
          <w:rFonts w:hint="eastAsia" w:ascii="宋体" w:hAnsi="宋体" w:eastAsia="宋体" w:cs="宋体"/>
          <w:sz w:val="24"/>
          <w:szCs w:val="24"/>
        </w:rPr>
        <w:t>服务期限自年月日始，至年月日止。</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其他相关服务期限自年月日始，至年月日止。</w:t>
      </w:r>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86" w:name="_Toc4188"/>
      <w:bookmarkStart w:id="87" w:name="_Toc349554757"/>
      <w:bookmarkStart w:id="88" w:name="_Toc459567806"/>
      <w:bookmarkStart w:id="89" w:name="_Toc473030499"/>
      <w:r>
        <w:rPr>
          <w:rFonts w:hint="eastAsia" w:ascii="宋体" w:hAnsi="宋体" w:eastAsia="宋体" w:cs="宋体"/>
          <w:b/>
          <w:sz w:val="24"/>
          <w:szCs w:val="24"/>
        </w:rPr>
        <w:t>七、双方承诺</w:t>
      </w:r>
      <w:bookmarkEnd w:id="86"/>
      <w:bookmarkEnd w:id="87"/>
      <w:bookmarkEnd w:id="88"/>
      <w:bookmarkEnd w:id="89"/>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bookmarkStart w:id="90" w:name="_Toc349554758"/>
      <w:r>
        <w:rPr>
          <w:rFonts w:hint="eastAsia" w:ascii="宋体" w:hAnsi="宋体" w:eastAsia="宋体" w:cs="宋体"/>
          <w:sz w:val="24"/>
          <w:szCs w:val="24"/>
        </w:rPr>
        <w:t>1. 监理人向委托人承诺，按照本合同约定提供监理与相关服务。</w:t>
      </w:r>
      <w:bookmarkEnd w:id="90"/>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bookmarkStart w:id="91" w:name="_Toc349554759"/>
      <w:r>
        <w:rPr>
          <w:rFonts w:hint="eastAsia" w:ascii="宋体" w:hAnsi="宋体" w:eastAsia="宋体" w:cs="宋体"/>
          <w:sz w:val="24"/>
          <w:szCs w:val="24"/>
        </w:rPr>
        <w:t>2. 委托人向监理人承诺，按照本合同约定派遣相应的人员，提供房屋、资料、设备，并按本合同约定支付酬金。</w:t>
      </w:r>
      <w:bookmarkEnd w:id="91"/>
    </w:p>
    <w:p>
      <w:pPr>
        <w:pageBreakBefore w:val="0"/>
        <w:kinsoku/>
        <w:wordWrap/>
        <w:overflowPunct/>
        <w:topLinePunct w:val="0"/>
        <w:autoSpaceDE/>
        <w:autoSpaceDN/>
        <w:bidi w:val="0"/>
        <w:adjustRightInd w:val="0"/>
        <w:snapToGrid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92" w:name="_Toc473030500"/>
      <w:bookmarkStart w:id="93" w:name="_Toc349554760"/>
      <w:bookmarkStart w:id="94" w:name="_Toc29116"/>
      <w:bookmarkStart w:id="95" w:name="_Toc459567807"/>
      <w:r>
        <w:rPr>
          <w:rFonts w:hint="eastAsia" w:ascii="宋体" w:hAnsi="宋体" w:eastAsia="宋体" w:cs="宋体"/>
          <w:b/>
          <w:sz w:val="24"/>
          <w:szCs w:val="24"/>
        </w:rPr>
        <w:t>八、合同订立</w:t>
      </w:r>
      <w:bookmarkEnd w:id="92"/>
      <w:bookmarkEnd w:id="93"/>
      <w:bookmarkEnd w:id="94"/>
      <w:bookmarkEnd w:id="95"/>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 本合同一式份，均具有同等法律效力，双方各执份。</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委托人：</w:t>
      </w:r>
      <w:r>
        <w:rPr>
          <w:rFonts w:hint="eastAsia" w:ascii="宋体" w:hAnsi="宋体" w:eastAsia="宋体" w:cs="宋体"/>
          <w:sz w:val="24"/>
          <w:szCs w:val="24"/>
          <w:u w:val="single"/>
        </w:rPr>
        <w:t>（盖章）</w:t>
      </w:r>
      <w:r>
        <w:rPr>
          <w:rFonts w:hint="eastAsia" w:ascii="宋体" w:hAnsi="宋体" w:eastAsia="宋体" w:cs="宋体"/>
          <w:sz w:val="24"/>
          <w:szCs w:val="24"/>
        </w:rPr>
        <w:t>监理人：</w:t>
      </w:r>
      <w:r>
        <w:rPr>
          <w:rFonts w:hint="eastAsia" w:ascii="宋体" w:hAnsi="宋体" w:eastAsia="宋体" w:cs="宋体"/>
          <w:sz w:val="24"/>
          <w:szCs w:val="24"/>
          <w:u w:val="single"/>
        </w:rPr>
        <w:t>（盖章）</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住所：住所：住所：住所：</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邮政编码：邮政编码：</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法定代表人或法定代表人或</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其授权代理人：</w:t>
      </w:r>
      <w:r>
        <w:rPr>
          <w:rFonts w:hint="eastAsia" w:ascii="宋体" w:hAnsi="宋体" w:eastAsia="宋体" w:cs="宋体"/>
          <w:sz w:val="24"/>
          <w:szCs w:val="24"/>
          <w:u w:val="single"/>
        </w:rPr>
        <w:t>（签字）</w:t>
      </w:r>
      <w:r>
        <w:rPr>
          <w:rFonts w:hint="eastAsia" w:ascii="宋体" w:hAnsi="宋体" w:eastAsia="宋体" w:cs="宋体"/>
          <w:sz w:val="24"/>
          <w:szCs w:val="24"/>
        </w:rPr>
        <w:t>其授权代理人：</w:t>
      </w:r>
      <w:r>
        <w:rPr>
          <w:rFonts w:hint="eastAsia" w:ascii="宋体" w:hAnsi="宋体" w:eastAsia="宋体" w:cs="宋体"/>
          <w:sz w:val="24"/>
          <w:szCs w:val="24"/>
          <w:u w:val="single"/>
        </w:rPr>
        <w:t>（签字）</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开户银行：开户银行：</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账号：账号：</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电话：电话：</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传真：传真：</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电子邮箱：电子邮箱：</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Style w:val="7"/>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Style w:val="7"/>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u w:val="single"/>
        </w:rPr>
      </w:pP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sectPr>
          <w:pgSz w:w="11905" w:h="16838"/>
          <w:pgMar w:top="1417" w:right="1134" w:bottom="1134" w:left="1134" w:header="0" w:footer="0" w:gutter="0"/>
          <w:cols w:space="425" w:num="1"/>
          <w:rtlGutter w:val="0"/>
          <w:docGrid w:type="lines" w:linePitch="312" w:charSpace="0"/>
        </w:sectPr>
      </w:pPr>
      <w:bookmarkStart w:id="96" w:name="_Toc459567808"/>
      <w:bookmarkStart w:id="97" w:name="_Toc18484"/>
    </w:p>
    <w:p>
      <w:pPr>
        <w:pageBreakBefore w:val="0"/>
        <w:kinsoku/>
        <w:wordWrap/>
        <w:overflowPunct/>
        <w:topLinePunct w:val="0"/>
        <w:autoSpaceDE/>
        <w:autoSpaceDN/>
        <w:bidi w:val="0"/>
        <w:spacing w:before="0" w:after="0" w:line="360" w:lineRule="auto"/>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第二部分  通用条件</w:t>
      </w:r>
      <w:bookmarkEnd w:id="96"/>
      <w:bookmarkEnd w:id="97"/>
    </w:p>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采用《建设工程监理合同（示范文本）》（ＧＦ－2012－0202）。</w:t>
      </w:r>
    </w:p>
    <w:p>
      <w:pPr>
        <w:pageBreakBefore w:val="0"/>
        <w:kinsoku/>
        <w:wordWrap/>
        <w:overflowPunct/>
        <w:topLinePunct w:val="0"/>
        <w:autoSpaceDE/>
        <w:autoSpaceDN/>
        <w:bidi w:val="0"/>
        <w:spacing w:before="0" w:after="0" w:line="360" w:lineRule="auto"/>
        <w:ind w:right="0" w:rightChars="0" w:firstLine="560" w:firstLineChars="200"/>
        <w:textAlignment w:val="auto"/>
        <w:outlineLvl w:val="9"/>
        <w:rPr>
          <w:rFonts w:hint="eastAsia" w:ascii="宋体" w:hAnsi="宋体" w:eastAsia="宋体" w:cs="宋体"/>
          <w:sz w:val="28"/>
          <w:szCs w:val="28"/>
        </w:rPr>
      </w:pPr>
      <w:bookmarkStart w:id="98" w:name="_Toc459567809"/>
      <w:bookmarkStart w:id="99" w:name="_Toc25589"/>
      <w:r>
        <w:rPr>
          <w:rFonts w:hint="eastAsia" w:ascii="宋体" w:hAnsi="宋体" w:eastAsia="宋体" w:cs="宋体"/>
          <w:sz w:val="28"/>
          <w:szCs w:val="28"/>
        </w:rPr>
        <w:t>第三部分  专用条件</w:t>
      </w:r>
      <w:bookmarkEnd w:id="98"/>
      <w:bookmarkEnd w:id="99"/>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bookmarkStart w:id="100" w:name="_Toc18018"/>
      <w:bookmarkStart w:id="101" w:name="_Toc459567810"/>
      <w:r>
        <w:rPr>
          <w:rFonts w:hint="eastAsia" w:ascii="宋体" w:hAnsi="宋体" w:eastAsia="宋体" w:cs="宋体"/>
          <w:sz w:val="24"/>
          <w:szCs w:val="24"/>
        </w:rPr>
        <w:t>1. 定义与解释</w:t>
      </w:r>
      <w:bookmarkEnd w:id="100"/>
      <w:bookmarkEnd w:id="101"/>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  解释</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1.2.1 本合同文件除使用中文外，还可用。</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1.2.2 约定本合同文件的解释顺序为：。</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bookmarkStart w:id="102" w:name="_Toc1150"/>
      <w:bookmarkStart w:id="103" w:name="_Toc459567811"/>
      <w:r>
        <w:rPr>
          <w:rFonts w:hint="eastAsia" w:ascii="宋体" w:hAnsi="宋体" w:eastAsia="宋体" w:cs="宋体"/>
          <w:sz w:val="24"/>
          <w:szCs w:val="24"/>
        </w:rPr>
        <w:t>2. 监理人义务</w:t>
      </w:r>
      <w:bookmarkEnd w:id="102"/>
      <w:bookmarkEnd w:id="103"/>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bookmarkStart w:id="104" w:name="_Toc459567812"/>
      <w:bookmarkStart w:id="105" w:name="_Toc18097"/>
      <w:bookmarkStart w:id="106" w:name="_Toc473030505"/>
      <w:r>
        <w:rPr>
          <w:rFonts w:hint="eastAsia" w:ascii="宋体" w:hAnsi="宋体" w:eastAsia="宋体" w:cs="宋体"/>
          <w:sz w:val="24"/>
          <w:szCs w:val="24"/>
        </w:rPr>
        <w:t>2.1 监理的范围和</w:t>
      </w:r>
      <w:r>
        <w:rPr>
          <w:rFonts w:hint="eastAsia" w:ascii="宋体" w:hAnsi="宋体" w:eastAsia="宋体" w:cs="宋体"/>
          <w:bCs/>
          <w:sz w:val="24"/>
          <w:szCs w:val="24"/>
        </w:rPr>
        <w:t>内容</w:t>
      </w:r>
      <w:bookmarkEnd w:id="104"/>
      <w:bookmarkEnd w:id="105"/>
      <w:bookmarkEnd w:id="106"/>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2.1.1 监理范围包括：本合同约定的监理服务，</w:t>
      </w:r>
      <w:r>
        <w:rPr>
          <w:rFonts w:hint="eastAsia" w:ascii="宋体" w:hAnsi="宋体" w:eastAsia="宋体" w:cs="宋体"/>
          <w:b/>
          <w:bCs/>
          <w:sz w:val="24"/>
          <w:szCs w:val="24"/>
        </w:rPr>
        <w:t>包括阶段的监理，</w:t>
      </w:r>
      <w:r>
        <w:rPr>
          <w:rFonts w:hint="eastAsia" w:ascii="宋体" w:hAnsi="宋体" w:eastAsia="宋体" w:cs="宋体"/>
          <w:sz w:val="24"/>
          <w:szCs w:val="24"/>
        </w:rPr>
        <w:t>但不包括非监理人原因引起的工程延期阶段的监理服务。</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2.1.2 监理工作内容还包括：。</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bookmarkStart w:id="107" w:name="_Toc473030506"/>
      <w:bookmarkStart w:id="108" w:name="_Toc17526"/>
      <w:bookmarkStart w:id="109" w:name="_Toc459567813"/>
      <w:r>
        <w:rPr>
          <w:rFonts w:hint="eastAsia" w:ascii="宋体" w:hAnsi="宋体" w:eastAsia="宋体" w:cs="宋体"/>
          <w:sz w:val="24"/>
          <w:szCs w:val="24"/>
        </w:rPr>
        <w:t>2.2 监理与相关服务依据</w:t>
      </w:r>
      <w:bookmarkEnd w:id="107"/>
      <w:bookmarkEnd w:id="108"/>
      <w:bookmarkEnd w:id="109"/>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2.2.1 监理依据包括：。</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dstrike/>
          <w:sz w:val="24"/>
          <w:szCs w:val="24"/>
        </w:rPr>
      </w:pPr>
      <w:r>
        <w:rPr>
          <w:rFonts w:hint="eastAsia" w:ascii="宋体" w:hAnsi="宋体" w:eastAsia="宋体" w:cs="宋体"/>
          <w:sz w:val="24"/>
          <w:szCs w:val="24"/>
        </w:rPr>
        <w:t>2.2.2 相关服务依据包括：。</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kern w:val="0"/>
          <w:sz w:val="24"/>
          <w:szCs w:val="24"/>
        </w:rPr>
        <w:t>项目监理机构和人员</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更换监理人员的其他情形：</w:t>
      </w:r>
      <w:r>
        <w:rPr>
          <w:rFonts w:hint="eastAsia" w:ascii="宋体" w:hAnsi="宋体" w:eastAsia="宋体" w:cs="宋体"/>
          <w:kern w:val="0"/>
          <w:sz w:val="24"/>
          <w:szCs w:val="24"/>
          <w:u w:val="single"/>
        </w:rPr>
        <w:t>如监理人需要调换施工现场监理人员时，须经委托人与监理人双方协商，报委托人同意后生效</w:t>
      </w:r>
      <w:r>
        <w:rPr>
          <w:rFonts w:hint="eastAsia" w:ascii="宋体" w:hAnsi="宋体" w:eastAsia="宋体" w:cs="宋体"/>
          <w:kern w:val="0"/>
          <w:sz w:val="24"/>
          <w:szCs w:val="24"/>
        </w:rPr>
        <w:t>。</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bookmarkStart w:id="110" w:name="_Toc473030507"/>
      <w:bookmarkStart w:id="111" w:name="_Toc459567814"/>
      <w:bookmarkStart w:id="112" w:name="_Toc4153"/>
      <w:r>
        <w:rPr>
          <w:rFonts w:hint="eastAsia" w:ascii="宋体" w:hAnsi="宋体" w:eastAsia="宋体" w:cs="宋体"/>
          <w:sz w:val="24"/>
          <w:szCs w:val="24"/>
        </w:rPr>
        <w:t xml:space="preserve">2.4 </w:t>
      </w:r>
      <w:r>
        <w:rPr>
          <w:rFonts w:hint="eastAsia" w:ascii="宋体" w:hAnsi="宋体" w:eastAsia="宋体" w:cs="宋体"/>
          <w:kern w:val="0"/>
          <w:sz w:val="24"/>
          <w:szCs w:val="24"/>
        </w:rPr>
        <w:t>履行职责</w:t>
      </w:r>
      <w:bookmarkEnd w:id="110"/>
      <w:bookmarkEnd w:id="111"/>
      <w:bookmarkEnd w:id="112"/>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2.4.1对监理人的授权范围：。</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在涉及工程延期天内和（或）金额万元内的变更，监理人不需请示委托人即可向承包人发布变更通知。</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2.4.2监理人有权要求承包人调换其人员</w:t>
      </w:r>
      <w:r>
        <w:rPr>
          <w:rFonts w:hint="eastAsia" w:ascii="宋体" w:hAnsi="宋体" w:eastAsia="宋体" w:cs="宋体"/>
          <w:sz w:val="24"/>
          <w:szCs w:val="24"/>
        </w:rPr>
        <w:t>的限制条件：。</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bookmarkStart w:id="113" w:name="_Toc26406"/>
      <w:bookmarkStart w:id="114" w:name="_Toc473030508"/>
      <w:bookmarkStart w:id="115" w:name="_Toc459567815"/>
      <w:r>
        <w:rPr>
          <w:rFonts w:hint="eastAsia" w:ascii="宋体" w:hAnsi="宋体" w:eastAsia="宋体" w:cs="宋体"/>
          <w:kern w:val="0"/>
          <w:sz w:val="24"/>
          <w:szCs w:val="24"/>
        </w:rPr>
        <w:t xml:space="preserve">2.5 </w:t>
      </w:r>
      <w:r>
        <w:rPr>
          <w:rFonts w:hint="eastAsia" w:ascii="宋体" w:hAnsi="宋体" w:eastAsia="宋体" w:cs="宋体"/>
          <w:sz w:val="24"/>
          <w:szCs w:val="24"/>
        </w:rPr>
        <w:t>提交</w:t>
      </w:r>
      <w:r>
        <w:rPr>
          <w:rFonts w:hint="eastAsia" w:ascii="宋体" w:hAnsi="宋体" w:eastAsia="宋体" w:cs="宋体"/>
          <w:kern w:val="0"/>
          <w:sz w:val="24"/>
          <w:szCs w:val="24"/>
        </w:rPr>
        <w:t>报告</w:t>
      </w:r>
      <w:bookmarkEnd w:id="113"/>
      <w:bookmarkEnd w:id="114"/>
      <w:bookmarkEnd w:id="115"/>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监理人应提交报告的种类（</w:t>
      </w:r>
      <w:r>
        <w:rPr>
          <w:rFonts w:hint="eastAsia" w:ascii="宋体" w:hAnsi="宋体" w:eastAsia="宋体" w:cs="宋体"/>
          <w:kern w:val="0"/>
          <w:sz w:val="24"/>
          <w:szCs w:val="24"/>
        </w:rPr>
        <w:t>包括监理规划、监理月报及约定的专项报告）</w:t>
      </w:r>
      <w:r>
        <w:rPr>
          <w:rFonts w:hint="eastAsia" w:ascii="宋体" w:hAnsi="宋体" w:eastAsia="宋体" w:cs="宋体"/>
          <w:sz w:val="24"/>
          <w:szCs w:val="24"/>
        </w:rPr>
        <w:t>、时间和份数</w:t>
      </w:r>
      <w:r>
        <w:rPr>
          <w:rFonts w:hint="eastAsia" w:ascii="宋体" w:hAnsi="宋体" w:eastAsia="宋体" w:cs="宋体"/>
          <w:kern w:val="0"/>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0" w:firstLineChars="20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bookmarkStart w:id="116" w:name="_Toc22384"/>
      <w:bookmarkStart w:id="117" w:name="_Toc473030509"/>
      <w:bookmarkStart w:id="118" w:name="_Toc459567816"/>
      <w:r>
        <w:rPr>
          <w:rFonts w:hint="eastAsia" w:ascii="宋体" w:hAnsi="宋体" w:eastAsia="宋体" w:cs="宋体"/>
          <w:kern w:val="0"/>
          <w:sz w:val="24"/>
          <w:szCs w:val="24"/>
        </w:rPr>
        <w:t>2.6使用委托人的财产</w:t>
      </w:r>
      <w:bookmarkEnd w:id="116"/>
      <w:bookmarkEnd w:id="117"/>
      <w:bookmarkEnd w:id="118"/>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附录B中由委托人无偿提供的房屋、设备的所有权属于：。</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监理人应在本合同终止后天内移交委托人无偿提供的房屋、设备，移交的时间和方式为：。</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bookmarkStart w:id="119" w:name="_Toc459567817"/>
      <w:bookmarkStart w:id="120" w:name="_Toc31824"/>
      <w:r>
        <w:rPr>
          <w:rFonts w:hint="eastAsia" w:ascii="宋体" w:hAnsi="宋体" w:eastAsia="宋体" w:cs="宋体"/>
          <w:sz w:val="24"/>
          <w:szCs w:val="24"/>
        </w:rPr>
        <w:t>3. 委托人义务</w:t>
      </w:r>
      <w:bookmarkEnd w:id="119"/>
      <w:bookmarkEnd w:id="120"/>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3.1委托人代表</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委托人代表为：。</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3.2答复</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委托人同意在天内，对监理人书面提交并要求做出决定的事宜给予书面答复。</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bookmarkStart w:id="121" w:name="_Toc459567818"/>
      <w:bookmarkStart w:id="122" w:name="_Toc28070"/>
      <w:r>
        <w:rPr>
          <w:rFonts w:hint="eastAsia" w:ascii="宋体" w:hAnsi="宋体" w:eastAsia="宋体" w:cs="宋体"/>
          <w:sz w:val="24"/>
          <w:szCs w:val="24"/>
        </w:rPr>
        <w:t>4. 违约责任</w:t>
      </w:r>
      <w:bookmarkEnd w:id="121"/>
      <w:bookmarkEnd w:id="122"/>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4.1 监理人的违约责任</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监理人赔偿金额按下列方法确定：</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赔偿金＝直接经济损失×正常工作酬金÷工程概算</w:t>
      </w:r>
      <w:r>
        <w:rPr>
          <w:rFonts w:hint="eastAsia" w:ascii="宋体" w:hAnsi="宋体" w:eastAsia="宋体" w:cs="宋体"/>
          <w:kern w:val="0"/>
          <w:sz w:val="24"/>
          <w:szCs w:val="24"/>
        </w:rPr>
        <w:t>投资额（或建筑安装工程费）</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4.2 委托人的违约责任</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委托人</w:t>
      </w:r>
      <w:r>
        <w:rPr>
          <w:rFonts w:hint="eastAsia" w:ascii="宋体" w:hAnsi="宋体" w:eastAsia="宋体" w:cs="宋体"/>
          <w:kern w:val="0"/>
          <w:sz w:val="24"/>
          <w:szCs w:val="24"/>
        </w:rPr>
        <w:t>逾期付款利息按下列方法确定：</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逾期付款利息＝当期应付款总额×银行同期贷款日利率×拖延支付天数</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bookmarkStart w:id="123" w:name="_Toc30262"/>
      <w:bookmarkStart w:id="124" w:name="_Toc459567819"/>
      <w:r>
        <w:rPr>
          <w:rFonts w:hint="eastAsia" w:ascii="宋体" w:hAnsi="宋体" w:eastAsia="宋体" w:cs="宋体"/>
          <w:sz w:val="24"/>
          <w:szCs w:val="24"/>
        </w:rPr>
        <w:t>5. 支付</w:t>
      </w:r>
      <w:bookmarkEnd w:id="123"/>
      <w:bookmarkEnd w:id="124"/>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sz w:val="24"/>
          <w:szCs w:val="24"/>
        </w:rPr>
        <w:t xml:space="preserve">5.1 </w:t>
      </w:r>
      <w:r>
        <w:rPr>
          <w:rFonts w:hint="eastAsia" w:ascii="宋体" w:hAnsi="宋体" w:eastAsia="宋体" w:cs="宋体"/>
          <w:bCs/>
          <w:sz w:val="24"/>
          <w:szCs w:val="24"/>
        </w:rPr>
        <w:t>支付货币</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u w:val="single"/>
        </w:rPr>
        <w:t>人民币</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5.2支付酬金</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委托人同意按以下的计算方法、支付时间与金额，支付监理人的酬金：</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5.2.1监理酬金计算方法：</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监理酬金以</w:t>
      </w:r>
      <w:r>
        <w:rPr>
          <w:rFonts w:hint="eastAsia" w:ascii="宋体" w:hAnsi="宋体" w:eastAsia="宋体" w:cs="宋体"/>
          <w:kern w:val="0"/>
          <w:sz w:val="24"/>
          <w:szCs w:val="24"/>
          <w:u w:val="single"/>
        </w:rPr>
        <w:t xml:space="preserve">               （建筑安装工程费最终工程结算价或项目概算投资额）</w:t>
      </w:r>
      <w:r>
        <w:rPr>
          <w:rFonts w:hint="eastAsia" w:ascii="宋体" w:hAnsi="宋体" w:eastAsia="宋体" w:cs="宋体"/>
          <w:kern w:val="0"/>
          <w:sz w:val="24"/>
          <w:szCs w:val="24"/>
        </w:rPr>
        <w:t>为计费基数，或按</w:t>
      </w:r>
      <w:r>
        <w:rPr>
          <w:rFonts w:hint="eastAsia" w:ascii="宋体" w:hAnsi="宋体" w:eastAsia="宋体" w:cs="宋体"/>
          <w:kern w:val="0"/>
          <w:sz w:val="24"/>
          <w:szCs w:val="24"/>
          <w:u w:val="single"/>
        </w:rPr>
        <w:t xml:space="preserve">           （固定数）</w:t>
      </w:r>
      <w:r>
        <w:rPr>
          <w:rFonts w:hint="eastAsia" w:ascii="宋体" w:hAnsi="宋体" w:eastAsia="宋体" w:cs="宋体"/>
          <w:kern w:val="0"/>
          <w:sz w:val="24"/>
          <w:szCs w:val="24"/>
        </w:rPr>
        <w:t>计算，结合中标人的投标报价方式进行计算。</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5.2.2施工阶段监理酬金支付时间与金额：</w:t>
      </w:r>
    </w:p>
    <w:p>
      <w:pPr>
        <w:pageBreakBefore w:val="0"/>
        <w:numPr>
          <w:ilvl w:val="0"/>
          <w:numId w:val="3"/>
        </w:numPr>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bookmarkStart w:id="125" w:name="_Toc459567820"/>
      <w:bookmarkStart w:id="126" w:name="_Toc4477"/>
      <w:r>
        <w:rPr>
          <w:rFonts w:hint="eastAsia" w:ascii="宋体" w:hAnsi="宋体" w:eastAsia="宋体" w:cs="宋体"/>
          <w:sz w:val="24"/>
          <w:szCs w:val="24"/>
        </w:rPr>
        <w:t>本工程监理费预付款为：中标金额的30%，签订监理合同后一周內支付。</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（2）其余监理酬金，监理人员进场并正常开展监理业务后，委托人原则上与施工进度款同步支付：监理酬金进度款=实际完成施工进度投资÷施工合同价×监理中标价×70%。</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（3）在工程通过竣工验收合格后支付至合同监理酬金总额的97%，工程竣工结算审定后一个月内再支付至100%。</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 合同生效、变更、暂停、解除与终止</w:t>
      </w:r>
      <w:bookmarkEnd w:id="125"/>
      <w:bookmarkEnd w:id="126"/>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6.1 生效</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本合同生效条件：。</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 变更</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6.2.1除不可抗力外，因非监理人原因导致本合同期限延长时，附加工作酬金按下列方法确定：</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附加工作</w:t>
      </w:r>
      <w:r>
        <w:rPr>
          <w:rFonts w:hint="eastAsia" w:ascii="宋体" w:hAnsi="宋体" w:eastAsia="宋体" w:cs="宋体"/>
          <w:sz w:val="24"/>
          <w:szCs w:val="24"/>
        </w:rPr>
        <w:t>酬金</w:t>
      </w:r>
      <w:r>
        <w:rPr>
          <w:rFonts w:hint="eastAsia" w:ascii="宋体" w:hAnsi="宋体" w:eastAsia="宋体" w:cs="宋体"/>
          <w:kern w:val="0"/>
          <w:sz w:val="24"/>
          <w:szCs w:val="24"/>
        </w:rPr>
        <w:t>=</w:t>
      </w:r>
      <w:r>
        <w:rPr>
          <w:rFonts w:hint="eastAsia" w:ascii="宋体" w:hAnsi="宋体" w:eastAsia="宋体" w:cs="宋体"/>
          <w:sz w:val="24"/>
          <w:szCs w:val="24"/>
        </w:rPr>
        <w:t>本合同期限延长</w:t>
      </w:r>
      <w:r>
        <w:rPr>
          <w:rFonts w:hint="eastAsia" w:ascii="宋体" w:hAnsi="宋体" w:eastAsia="宋体" w:cs="宋体"/>
          <w:kern w:val="0"/>
          <w:sz w:val="24"/>
          <w:szCs w:val="24"/>
        </w:rPr>
        <w:t>时间（天）×正常工作酬金÷</w:t>
      </w:r>
      <w:r>
        <w:rPr>
          <w:rFonts w:hint="eastAsia" w:ascii="宋体" w:hAnsi="宋体" w:eastAsia="宋体" w:cs="宋体"/>
          <w:sz w:val="24"/>
          <w:szCs w:val="24"/>
        </w:rPr>
        <w:t>协议书约定的监理工期</w:t>
      </w:r>
      <w:r>
        <w:rPr>
          <w:rFonts w:hint="eastAsia" w:ascii="宋体" w:hAnsi="宋体" w:eastAsia="宋体" w:cs="宋体"/>
          <w:kern w:val="0"/>
          <w:sz w:val="24"/>
          <w:szCs w:val="24"/>
        </w:rPr>
        <w:t>（天）</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6.2.2 附加工作酬金按下列方法确定：</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附加工作</w:t>
      </w:r>
      <w:r>
        <w:rPr>
          <w:rFonts w:hint="eastAsia" w:ascii="宋体" w:hAnsi="宋体" w:eastAsia="宋体" w:cs="宋体"/>
          <w:sz w:val="24"/>
          <w:szCs w:val="24"/>
        </w:rPr>
        <w:t>酬金</w:t>
      </w:r>
      <w:r>
        <w:rPr>
          <w:rFonts w:hint="eastAsia" w:ascii="宋体" w:hAnsi="宋体" w:eastAsia="宋体" w:cs="宋体"/>
          <w:kern w:val="0"/>
          <w:sz w:val="24"/>
          <w:szCs w:val="24"/>
        </w:rPr>
        <w:t>=善后工作及恢复服务的准备工作时间（天）×正常工作酬金÷</w:t>
      </w:r>
      <w:r>
        <w:rPr>
          <w:rFonts w:hint="eastAsia" w:ascii="宋体" w:hAnsi="宋体" w:eastAsia="宋体" w:cs="宋体"/>
          <w:sz w:val="24"/>
          <w:szCs w:val="24"/>
        </w:rPr>
        <w:t>协议书约定的监理与相关服务期限</w:t>
      </w:r>
      <w:r>
        <w:rPr>
          <w:rFonts w:hint="eastAsia" w:ascii="宋体" w:hAnsi="宋体" w:eastAsia="宋体" w:cs="宋体"/>
          <w:kern w:val="0"/>
          <w:sz w:val="24"/>
          <w:szCs w:val="24"/>
        </w:rPr>
        <w:t>（天）</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6.2.3正常工作酬金增加额按下列方法确定：</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正常工作酬金增加额</w:t>
      </w:r>
      <w:r>
        <w:rPr>
          <w:rFonts w:hint="eastAsia" w:ascii="宋体" w:hAnsi="宋体" w:eastAsia="宋体" w:cs="宋体"/>
          <w:kern w:val="0"/>
          <w:sz w:val="24"/>
          <w:szCs w:val="24"/>
        </w:rPr>
        <w:t>=工程增加投资额×正常工作酬金÷工程概算投资额（或建筑安装工程费）</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6.2.4因工程规模、监理范围的变化导致监理人的正常工作量减少时，按减少工作量的比例从协议书约定的正常工作酬金中扣减相同比例的酬金。</w:t>
      </w:r>
      <w:r>
        <w:rPr>
          <w:rFonts w:hint="eastAsia" w:ascii="宋体" w:hAnsi="宋体" w:eastAsia="宋体" w:cs="宋体"/>
          <w:sz w:val="24"/>
          <w:szCs w:val="24"/>
          <w:u w:val="single"/>
        </w:rPr>
        <w:t>（包干费应取消此条）</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bookmarkStart w:id="127" w:name="_Toc459567821"/>
      <w:bookmarkStart w:id="128" w:name="_Toc178"/>
      <w:r>
        <w:rPr>
          <w:rFonts w:hint="eastAsia" w:ascii="宋体" w:hAnsi="宋体" w:eastAsia="宋体" w:cs="宋体"/>
          <w:sz w:val="24"/>
          <w:szCs w:val="24"/>
        </w:rPr>
        <w:t>7. 争议解决</w:t>
      </w:r>
      <w:bookmarkEnd w:id="127"/>
      <w:bookmarkEnd w:id="128"/>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bCs/>
          <w:sz w:val="24"/>
          <w:szCs w:val="24"/>
        </w:rPr>
        <w:t>调解</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本合同争议进行调解时，可提交进行调解。</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bCs/>
          <w:sz w:val="24"/>
          <w:szCs w:val="24"/>
        </w:rPr>
        <w:t>仲裁或诉讼</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合同争议的最终解决方式为下列第种方式：</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贵港市港南区</w:t>
      </w:r>
      <w:r>
        <w:rPr>
          <w:rFonts w:hint="eastAsia" w:ascii="宋体" w:hAnsi="宋体" w:eastAsia="宋体" w:cs="宋体"/>
          <w:sz w:val="24"/>
          <w:szCs w:val="24"/>
        </w:rPr>
        <w:t>仲裁委员会进行仲裁。</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贵港市港南区</w:t>
      </w:r>
      <w:r>
        <w:rPr>
          <w:rFonts w:hint="eastAsia" w:ascii="宋体" w:hAnsi="宋体" w:eastAsia="宋体" w:cs="宋体"/>
          <w:sz w:val="24"/>
          <w:szCs w:val="24"/>
        </w:rPr>
        <w:t>人民法院提起诉讼。</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rPr>
      </w:pPr>
      <w:bookmarkStart w:id="129" w:name="_Toc459567822"/>
      <w:bookmarkStart w:id="130" w:name="_Toc4133"/>
      <w:r>
        <w:rPr>
          <w:rFonts w:hint="eastAsia" w:ascii="宋体" w:hAnsi="宋体" w:eastAsia="宋体" w:cs="宋体"/>
          <w:sz w:val="24"/>
          <w:szCs w:val="24"/>
        </w:rPr>
        <w:t>8. 其他</w:t>
      </w:r>
      <w:bookmarkEnd w:id="129"/>
      <w:bookmarkEnd w:id="130"/>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8.1检测费用</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委托人应在检测工作完成后天内支付检测费用。</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8.2咨询费用</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委托人应在咨询工作完成后天内支付咨询费用。</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8.3奖励</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合理化建议的奖励金额按下列方法确定为：</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奖励金额＝工程投资节省额×奖励金额的比率；</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奖励金额的比率为%。</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8.4保密</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委托人申明的保密事项和期限：。</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监理人申明的保密事项和期限：。</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第三方申明的保密事项和期限：。</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bCs/>
          <w:sz w:val="24"/>
          <w:szCs w:val="24"/>
        </w:rPr>
      </w:pPr>
      <w:r>
        <w:rPr>
          <w:rFonts w:hint="eastAsia" w:ascii="宋体" w:hAnsi="宋体" w:eastAsia="宋体" w:cs="宋体"/>
          <w:sz w:val="24"/>
          <w:szCs w:val="24"/>
        </w:rPr>
        <w:t>8.5</w:t>
      </w:r>
      <w:r>
        <w:rPr>
          <w:rFonts w:hint="eastAsia" w:ascii="宋体" w:hAnsi="宋体" w:eastAsia="宋体" w:cs="宋体"/>
          <w:bCs/>
          <w:sz w:val="24"/>
          <w:szCs w:val="24"/>
        </w:rPr>
        <w:t>著作权</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监理人在本合同履行期间及本合同终止后两年内出版涉及本工程的有关监理与相关服务的资料的限制条件：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pageBreakBefore w:val="0"/>
        <w:kinsoku/>
        <w:wordWrap/>
        <w:overflowPunct/>
        <w:topLinePunct w:val="0"/>
        <w:autoSpaceDE/>
        <w:autoSpaceDN/>
        <w:bidi w:val="0"/>
        <w:spacing w:before="0" w:after="0" w:line="360" w:lineRule="auto"/>
        <w:ind w:right="0" w:rightChars="0" w:firstLine="480" w:firstLineChars="200"/>
        <w:textAlignment w:val="auto"/>
        <w:outlineLvl w:val="9"/>
        <w:rPr>
          <w:rFonts w:hint="eastAsia" w:ascii="宋体" w:hAnsi="宋体" w:eastAsia="宋体" w:cs="宋体"/>
          <w:sz w:val="24"/>
          <w:szCs w:val="24"/>
          <w:u w:val="single"/>
        </w:rPr>
      </w:pPr>
      <w:bookmarkStart w:id="131" w:name="_Toc10759"/>
      <w:bookmarkStart w:id="132" w:name="_Toc459567823"/>
      <w:r>
        <w:rPr>
          <w:rFonts w:hint="eastAsia" w:ascii="宋体" w:hAnsi="宋体" w:eastAsia="宋体" w:cs="宋体"/>
          <w:sz w:val="24"/>
          <w:szCs w:val="24"/>
        </w:rPr>
        <w:t>9. 补充条款</w:t>
      </w:r>
      <w:bookmarkEnd w:id="131"/>
      <w:bookmarkEnd w:id="132"/>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9.1</w:t>
      </w:r>
      <w:r>
        <w:rPr>
          <w:rFonts w:hint="eastAsia" w:ascii="宋体" w:hAnsi="宋体" w:eastAsia="宋体" w:cs="宋体"/>
          <w:sz w:val="24"/>
          <w:szCs w:val="24"/>
          <w:u w:val="single"/>
        </w:rPr>
        <w:t>委托人应向监理人无偿提供开展监理服务工作所必需的办公用房、生活用房</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9.2</w:t>
      </w:r>
      <w:r>
        <w:rPr>
          <w:rFonts w:hint="eastAsia" w:ascii="宋体" w:hAnsi="宋体" w:eastAsia="宋体" w:cs="宋体"/>
          <w:sz w:val="24"/>
          <w:szCs w:val="24"/>
          <w:u w:val="single"/>
        </w:rPr>
        <w:t>委托人在监理服务期满后/天内将履约保证金退还给监理人</w:t>
      </w:r>
      <w:r>
        <w:rPr>
          <w:rFonts w:hint="eastAsia" w:ascii="宋体" w:hAnsi="宋体" w:eastAsia="宋体" w:cs="宋体"/>
          <w:sz w:val="24"/>
          <w:szCs w:val="24"/>
        </w:rPr>
        <w:t>。</w:t>
      </w:r>
    </w:p>
    <w:p>
      <w:pPr>
        <w:pageBreakBefore w:val="0"/>
        <w:kinsoku/>
        <w:wordWrap/>
        <w:overflowPunct/>
        <w:topLinePunct w:val="0"/>
        <w:autoSpaceDE/>
        <w:autoSpaceDN/>
        <w:bidi w:val="0"/>
        <w:adjustRightInd w:val="0"/>
        <w:snapToGrid w:val="0"/>
        <w:spacing w:after="0" w:line="360" w:lineRule="auto"/>
        <w:ind w:right="0" w:rightChars="0" w:firstLine="480" w:firstLineChars="200"/>
        <w:textAlignment w:val="auto"/>
        <w:outlineLvl w:val="9"/>
        <w:rPr>
          <w:rFonts w:hint="eastAsia" w:ascii="宋体" w:hAnsi="宋体" w:eastAsia="宋体" w:cs="宋体"/>
          <w:sz w:val="24"/>
          <w:szCs w:val="24"/>
        </w:rPr>
        <w:sectPr>
          <w:pgSz w:w="11905" w:h="16838"/>
          <w:pgMar w:top="1417" w:right="1134" w:bottom="1134" w:left="1134" w:header="0" w:footer="0" w:gutter="0"/>
          <w:cols w:space="425" w:num="1"/>
          <w:rtlGutter w:val="0"/>
          <w:docGrid w:type="lines" w:linePitch="312" w:charSpace="0"/>
        </w:sectPr>
      </w:pPr>
    </w:p>
    <w:p>
      <w:pPr>
        <w:pageBreakBefore w:val="0"/>
        <w:kinsoku/>
        <w:wordWrap/>
        <w:overflowPunct/>
        <w:topLinePunct w:val="0"/>
        <w:autoSpaceDE/>
        <w:autoSpaceDN/>
        <w:bidi w:val="0"/>
        <w:spacing w:before="0" w:after="0" w:line="360" w:lineRule="auto"/>
        <w:ind w:right="0" w:rightChars="0" w:firstLine="480" w:firstLineChars="200"/>
        <w:jc w:val="center"/>
        <w:textAlignment w:val="auto"/>
        <w:outlineLvl w:val="9"/>
        <w:rPr>
          <w:rFonts w:hint="eastAsia" w:ascii="宋体" w:hAnsi="宋体" w:eastAsia="宋体" w:cs="宋体"/>
          <w:sz w:val="24"/>
          <w:szCs w:val="24"/>
        </w:rPr>
      </w:pPr>
      <w:bookmarkStart w:id="133" w:name="_Toc9564"/>
      <w:bookmarkStart w:id="134" w:name="_Toc459567824"/>
      <w:r>
        <w:rPr>
          <w:rFonts w:hint="eastAsia" w:ascii="宋体" w:hAnsi="宋体" w:eastAsia="宋体" w:cs="宋体"/>
          <w:sz w:val="24"/>
          <w:szCs w:val="24"/>
        </w:rPr>
        <w:t>附录A  相关服务的范围和内容</w:t>
      </w:r>
      <w:bookmarkEnd w:id="133"/>
      <w:bookmarkEnd w:id="134"/>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A-1 勘察阶段：</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A-2 设计阶段：</w:t>
      </w:r>
      <w:r>
        <w:rPr>
          <w:rFonts w:hint="eastAsia" w:ascii="宋体" w:hAnsi="宋体" w:eastAsia="宋体" w:cs="宋体"/>
          <w:kern w:val="0"/>
          <w:sz w:val="24"/>
          <w:szCs w:val="24"/>
          <w:lang w:val="en-US" w:eastAsia="zh-CN"/>
        </w:rPr>
        <w:t xml:space="preserve">                    </w:t>
      </w:r>
      <w:r>
        <w:rPr>
          <w:rFonts w:hint="eastAsia" w:ascii="宋体" w:hAnsi="宋体" w:eastAsia="宋体" w:cs="宋体"/>
          <w:sz w:val="24"/>
          <w:szCs w:val="24"/>
        </w:rPr>
        <w:t>。</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A-3 保修阶段：</w:t>
      </w:r>
      <w:r>
        <w:rPr>
          <w:rFonts w:hint="eastAsia" w:ascii="宋体" w:hAnsi="宋体" w:eastAsia="宋体" w:cs="宋体"/>
          <w:kern w:val="0"/>
          <w:sz w:val="24"/>
          <w:szCs w:val="24"/>
          <w:lang w:val="en-US" w:eastAsia="zh-CN"/>
        </w:rPr>
        <w:t xml:space="preserve">                     </w:t>
      </w:r>
      <w:r>
        <w:rPr>
          <w:rFonts w:hint="eastAsia" w:ascii="宋体" w:hAnsi="宋体" w:eastAsia="宋体" w:cs="宋体"/>
          <w:sz w:val="24"/>
          <w:szCs w:val="24"/>
        </w:rPr>
        <w:t>。</w:t>
      </w:r>
    </w:p>
    <w:p>
      <w:pPr>
        <w:pageBreakBefore w:val="0"/>
        <w:kinsoku/>
        <w:wordWrap/>
        <w:overflowPunct/>
        <w:topLinePunct w:val="0"/>
        <w:autoSpaceDE/>
        <w:autoSpaceDN/>
        <w:bidi w:val="0"/>
        <w:snapToGrid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 xml:space="preserve">A-4 </w:t>
      </w:r>
      <w:r>
        <w:rPr>
          <w:rFonts w:hint="eastAsia" w:ascii="宋体" w:hAnsi="宋体" w:eastAsia="宋体" w:cs="宋体"/>
          <w:sz w:val="24"/>
          <w:szCs w:val="24"/>
        </w:rPr>
        <w:t>其他（专业技术咨询、外部协调工作等）：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bCs/>
          <w:sz w:val="24"/>
          <w:szCs w:val="24"/>
        </w:rPr>
      </w:pPr>
    </w:p>
    <w:p>
      <w:pPr>
        <w:pageBreakBefore w:val="0"/>
        <w:kinsoku/>
        <w:wordWrap/>
        <w:overflowPunct/>
        <w:topLinePunct w:val="0"/>
        <w:autoSpaceDE/>
        <w:autoSpaceDN/>
        <w:bidi w:val="0"/>
        <w:spacing w:before="0" w:after="0" w:line="360" w:lineRule="auto"/>
        <w:ind w:right="0" w:rightChars="0" w:firstLine="480" w:firstLineChars="200"/>
        <w:jc w:val="center"/>
        <w:textAlignment w:val="auto"/>
        <w:outlineLvl w:val="9"/>
        <w:rPr>
          <w:rFonts w:hint="eastAsia" w:ascii="宋体" w:hAnsi="宋体" w:eastAsia="宋体" w:cs="宋体"/>
          <w:sz w:val="24"/>
          <w:szCs w:val="24"/>
        </w:rPr>
        <w:sectPr>
          <w:pgSz w:w="11905" w:h="16838"/>
          <w:pgMar w:top="1417" w:right="1134" w:bottom="1134" w:left="1134" w:header="0" w:footer="0" w:gutter="0"/>
          <w:cols w:space="425" w:num="1"/>
          <w:rtlGutter w:val="0"/>
          <w:docGrid w:type="lines" w:linePitch="312" w:charSpace="0"/>
        </w:sectPr>
      </w:pPr>
      <w:bookmarkStart w:id="135" w:name="_Toc13151"/>
      <w:bookmarkStart w:id="136" w:name="_Toc459567825"/>
    </w:p>
    <w:p>
      <w:pPr>
        <w:pageBreakBefore w:val="0"/>
        <w:kinsoku/>
        <w:wordWrap/>
        <w:overflowPunct/>
        <w:topLinePunct w:val="0"/>
        <w:autoSpaceDE/>
        <w:autoSpaceDN/>
        <w:bidi w:val="0"/>
        <w:spacing w:before="0"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附录B  委托人派遣的人员和提供的房屋、资料、设备</w:t>
      </w:r>
      <w:bookmarkEnd w:id="135"/>
      <w:bookmarkEnd w:id="136"/>
    </w:p>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kern w:val="0"/>
          <w:sz w:val="24"/>
          <w:szCs w:val="24"/>
        </w:rPr>
      </w:pPr>
      <w:bookmarkStart w:id="137" w:name="_Toc14465"/>
      <w:bookmarkStart w:id="138" w:name="_Toc459567826"/>
      <w:r>
        <w:rPr>
          <w:rFonts w:hint="eastAsia" w:ascii="宋体" w:hAnsi="宋体" w:eastAsia="宋体" w:cs="宋体"/>
          <w:b/>
          <w:kern w:val="0"/>
          <w:sz w:val="24"/>
          <w:szCs w:val="24"/>
        </w:rPr>
        <w:t>B-1  委托人派遣的人员</w:t>
      </w:r>
      <w:bookmarkEnd w:id="137"/>
      <w:bookmarkEnd w:id="138"/>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1770"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2130"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工作要求</w:t>
            </w:r>
          </w:p>
        </w:tc>
        <w:tc>
          <w:tcPr>
            <w:tcW w:w="2505"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工程技术人员</w:t>
            </w:r>
          </w:p>
        </w:tc>
        <w:tc>
          <w:tcPr>
            <w:tcW w:w="177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辅助工作人员</w:t>
            </w:r>
          </w:p>
        </w:tc>
        <w:tc>
          <w:tcPr>
            <w:tcW w:w="177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 其他人员</w:t>
            </w:r>
          </w:p>
        </w:tc>
        <w:tc>
          <w:tcPr>
            <w:tcW w:w="177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177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bl>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139" w:name="_Toc459567827"/>
      <w:bookmarkStart w:id="140" w:name="_Toc19981"/>
      <w:r>
        <w:rPr>
          <w:rFonts w:hint="eastAsia" w:ascii="宋体" w:hAnsi="宋体" w:eastAsia="宋体" w:cs="宋体"/>
          <w:b/>
          <w:sz w:val="24"/>
          <w:szCs w:val="24"/>
        </w:rPr>
        <w:t>B-2  委托人提供的房屋</w:t>
      </w:r>
      <w:bookmarkEnd w:id="139"/>
      <w:bookmarkEnd w:id="14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2130"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2130"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面积</w:t>
            </w:r>
          </w:p>
        </w:tc>
        <w:tc>
          <w:tcPr>
            <w:tcW w:w="2505" w:type="dxa"/>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办公用房</w:t>
            </w: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生活用房</w:t>
            </w: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dstrike/>
                <w:sz w:val="24"/>
                <w:szCs w:val="24"/>
              </w:rPr>
            </w:pPr>
            <w:r>
              <w:rPr>
                <w:rFonts w:hint="eastAsia" w:ascii="宋体" w:hAnsi="宋体" w:eastAsia="宋体" w:cs="宋体"/>
                <w:sz w:val="24"/>
                <w:szCs w:val="24"/>
              </w:rPr>
              <w:t>3. 试验用房</w:t>
            </w: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 样品用房</w:t>
            </w: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505"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用餐及其他生活条件</w:t>
            </w:r>
          </w:p>
        </w:tc>
        <w:tc>
          <w:tcPr>
            <w:tcW w:w="6765" w:type="dxa"/>
            <w:gridSpan w:val="3"/>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bl>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kern w:val="0"/>
          <w:sz w:val="24"/>
          <w:szCs w:val="24"/>
        </w:rPr>
      </w:pPr>
    </w:p>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141" w:name="_Toc459567828"/>
      <w:bookmarkStart w:id="142" w:name="_Toc18240"/>
      <w:r>
        <w:rPr>
          <w:rFonts w:hint="eastAsia" w:ascii="宋体" w:hAnsi="宋体" w:eastAsia="宋体" w:cs="宋体"/>
          <w:b/>
          <w:sz w:val="24"/>
          <w:szCs w:val="24"/>
        </w:rPr>
        <w:t>B-3  委托人提供的资料</w:t>
      </w:r>
      <w:bookmarkEnd w:id="141"/>
      <w:bookmarkEnd w:id="142"/>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1215"/>
        <w:gridCol w:w="1862"/>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提供时间</w:t>
            </w: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 工程立项文件</w:t>
            </w: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 工程勘察文件</w:t>
            </w: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 工程设计及施工图纸</w:t>
            </w: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 工程承包合同及其他相关合同</w:t>
            </w: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 施工许可文件</w:t>
            </w: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 其他文件</w:t>
            </w: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215"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1862"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c>
          <w:tcPr>
            <w:tcW w:w="2803"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kern w:val="0"/>
                <w:sz w:val="24"/>
                <w:szCs w:val="24"/>
              </w:rPr>
            </w:pPr>
          </w:p>
        </w:tc>
      </w:tr>
    </w:tbl>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sz w:val="24"/>
          <w:szCs w:val="24"/>
        </w:rPr>
      </w:pPr>
      <w:bookmarkStart w:id="143" w:name="_Toc29710"/>
      <w:bookmarkStart w:id="144" w:name="_Toc459567829"/>
    </w:p>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sz w:val="24"/>
          <w:szCs w:val="24"/>
        </w:rPr>
      </w:pPr>
    </w:p>
    <w:p>
      <w:pPr>
        <w:pageBreakBefore w:val="0"/>
        <w:kinsoku/>
        <w:wordWrap/>
        <w:overflowPunct/>
        <w:topLinePunct w:val="0"/>
        <w:autoSpaceDE/>
        <w:autoSpaceDN/>
        <w:bidi w:val="0"/>
        <w:spacing w:after="0" w:line="360" w:lineRule="auto"/>
        <w:ind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B-4 委托人提供的设备</w:t>
      </w:r>
      <w:bookmarkEnd w:id="143"/>
      <w:bookmarkEnd w:id="14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1590"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数量</w:t>
            </w:r>
          </w:p>
        </w:tc>
        <w:tc>
          <w:tcPr>
            <w:tcW w:w="2130"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型号与规格</w:t>
            </w:r>
          </w:p>
        </w:tc>
        <w:tc>
          <w:tcPr>
            <w:tcW w:w="1860" w:type="dxa"/>
            <w:vAlign w:val="center"/>
          </w:tcPr>
          <w:p>
            <w:pPr>
              <w:pageBreakBefore w:val="0"/>
              <w:kinsoku/>
              <w:wordWrap/>
              <w:overflowPunct/>
              <w:topLinePunct w:val="0"/>
              <w:autoSpaceDE/>
              <w:autoSpaceDN/>
              <w:bidi w:val="0"/>
              <w:spacing w:after="0" w:line="360" w:lineRule="auto"/>
              <w:ind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 通讯设备</w:t>
            </w:r>
          </w:p>
        </w:tc>
        <w:tc>
          <w:tcPr>
            <w:tcW w:w="159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186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 办公设备</w:t>
            </w:r>
          </w:p>
        </w:tc>
        <w:tc>
          <w:tcPr>
            <w:tcW w:w="159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186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 交通工具</w:t>
            </w:r>
          </w:p>
        </w:tc>
        <w:tc>
          <w:tcPr>
            <w:tcW w:w="159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186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 检测和试验设备</w:t>
            </w:r>
          </w:p>
        </w:tc>
        <w:tc>
          <w:tcPr>
            <w:tcW w:w="159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186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159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213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c>
          <w:tcPr>
            <w:tcW w:w="1860" w:type="dxa"/>
            <w:vAlign w:val="center"/>
          </w:tcPr>
          <w:p>
            <w:pPr>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宋体" w:hAnsi="宋体" w:eastAsia="宋体" w:cs="宋体"/>
                <w:sz w:val="24"/>
                <w:szCs w:val="24"/>
              </w:rPr>
            </w:pPr>
          </w:p>
        </w:tc>
      </w:tr>
    </w:tbl>
    <w:p>
      <w:pPr>
        <w:pageBreakBefore w:val="0"/>
        <w:kinsoku/>
        <w:wordWrap/>
        <w:overflowPunct/>
        <w:topLinePunct w:val="0"/>
        <w:autoSpaceDE/>
        <w:autoSpaceDN/>
        <w:bidi w:val="0"/>
        <w:spacing w:line="360" w:lineRule="auto"/>
        <w:textAlignment w:val="auto"/>
        <w:outlineLvl w:val="9"/>
        <w:rPr>
          <w:rFonts w:ascii="宋体" w:hAnsi="宋体"/>
          <w:sz w:val="30"/>
          <w:szCs w:val="30"/>
        </w:rPr>
        <w:sectPr>
          <w:pgSz w:w="11905" w:h="16838"/>
          <w:pgMar w:top="1417" w:right="1134" w:bottom="1134" w:left="1134" w:header="0" w:footer="0" w:gutter="0"/>
          <w:cols w:space="425" w:num="1"/>
          <w:rtlGutter w:val="0"/>
          <w:docGrid w:type="lines" w:linePitch="312" w:charSpace="0"/>
        </w:sectPr>
      </w:pPr>
    </w:p>
    <w:p>
      <w:pPr>
        <w:pageBreakBefore w:val="0"/>
        <w:kinsoku/>
        <w:wordWrap/>
        <w:overflowPunct/>
        <w:topLinePunct w:val="0"/>
        <w:autoSpaceDE/>
        <w:autoSpaceDN/>
        <w:bidi w:val="0"/>
        <w:spacing w:after="0" w:line="240" w:lineRule="exact"/>
        <w:textAlignment w:val="auto"/>
        <w:outlineLvl w:val="9"/>
        <w:rPr>
          <w:sz w:val="30"/>
          <w:szCs w:val="30"/>
        </w:rPr>
      </w:pPr>
    </w:p>
    <w:p>
      <w:pPr>
        <w:pageBreakBefore w:val="0"/>
        <w:widowControl/>
        <w:kinsoku/>
        <w:wordWrap/>
        <w:overflowPunct/>
        <w:topLinePunct w:val="0"/>
        <w:autoSpaceDE/>
        <w:autoSpaceDN/>
        <w:bidi w:val="0"/>
        <w:textAlignment w:val="auto"/>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pageBreakBefore w:val="0"/>
        <w:kinsoku/>
        <w:wordWrap/>
        <w:overflowPunct/>
        <w:topLinePunct w:val="0"/>
        <w:autoSpaceDE/>
        <w:autoSpaceDN/>
        <w:bidi w:val="0"/>
        <w:spacing w:after="0" w:line="240" w:lineRule="exact"/>
        <w:textAlignment w:val="auto"/>
        <w:outlineLvl w:val="9"/>
        <w:rPr>
          <w:sz w:val="30"/>
          <w:szCs w:val="30"/>
        </w:rPr>
      </w:pPr>
      <w:bookmarkStart w:id="145" w:name="29"/>
      <w:bookmarkEnd w:id="145"/>
      <w:bookmarkStart w:id="146" w:name="30"/>
      <w:bookmarkEnd w:id="146"/>
    </w:p>
    <w:p>
      <w:pPr>
        <w:spacing w:after="0" w:line="240" w:lineRule="exact"/>
        <w:ind w:left="60"/>
        <w:rPr>
          <w:sz w:val="30"/>
          <w:szCs w:val="30"/>
        </w:rPr>
      </w:pPr>
    </w:p>
    <w:p>
      <w:pPr>
        <w:spacing w:after="0" w:line="541" w:lineRule="exact"/>
        <w:ind w:left="60" w:firstLine="2844"/>
        <w:rPr>
          <w:rFonts w:ascii="宋体" w:hAnsi="宋体" w:eastAsia="宋体" w:cs="宋体"/>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widowControl w:val="0"/>
        <w:tabs>
          <w:tab w:val="left" w:pos="4359"/>
        </w:tabs>
        <w:kinsoku/>
        <w:wordWrap/>
        <w:overflowPunct/>
        <w:topLinePunct w:val="0"/>
        <w:autoSpaceDE/>
        <w:autoSpaceDN/>
        <w:bidi w:val="0"/>
        <w:adjustRightInd/>
        <w:snapToGrid/>
        <w:spacing w:after="0" w:line="360" w:lineRule="auto"/>
        <w:ind w:left="0" w:firstLine="0"/>
        <w:jc w:val="center"/>
        <w:textAlignment w:val="auto"/>
        <w:outlineLvl w:val="0"/>
        <w:rPr>
          <w:rFonts w:ascii="宋体" w:hAnsi="宋体" w:eastAsia="宋体" w:cs="宋体"/>
          <w:sz w:val="36"/>
          <w:szCs w:val="36"/>
        </w:rPr>
      </w:pPr>
      <w:bookmarkStart w:id="147" w:name="_Toc4580"/>
      <w:r>
        <w:rPr>
          <w:rFonts w:ascii="宋体" w:hAnsi="宋体" w:eastAsia="宋体" w:cs="宋体"/>
          <w:sz w:val="36"/>
          <w:szCs w:val="36"/>
        </w:rPr>
        <w:t>第</w:t>
      </w:r>
      <w:r>
        <w:rPr>
          <w:rFonts w:hint="eastAsia" w:ascii="宋体" w:hAnsi="宋体" w:eastAsia="宋体" w:cs="宋体"/>
          <w:sz w:val="36"/>
          <w:szCs w:val="36"/>
        </w:rPr>
        <w:t>五</w:t>
      </w:r>
      <w:r>
        <w:rPr>
          <w:rFonts w:ascii="宋体" w:hAnsi="宋体" w:eastAsia="宋体" w:cs="宋体"/>
          <w:sz w:val="36"/>
          <w:szCs w:val="36"/>
        </w:rPr>
        <w:t>章 评定标准</w:t>
      </w:r>
      <w:bookmarkEnd w:id="147"/>
    </w:p>
    <w:p>
      <w:pPr>
        <w:keepNext w:val="0"/>
        <w:keepLines w:val="0"/>
        <w:pageBreakBefore w:val="0"/>
        <w:kinsoku/>
        <w:wordWrap/>
        <w:overflowPunct/>
        <w:topLinePunct w:val="0"/>
        <w:autoSpaceDE/>
        <w:autoSpaceDN/>
        <w:bidi w:val="0"/>
        <w:adjustRightInd/>
        <w:snapToGrid/>
        <w:spacing w:after="0" w:line="360" w:lineRule="auto"/>
        <w:ind w:left="0" w:firstLine="562" w:firstLineChars="20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评定标准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一、评标原则</w:t>
      </w:r>
    </w:p>
    <w:p>
      <w:pPr>
        <w:keepNext w:val="0"/>
        <w:keepLines w:val="0"/>
        <w:pageBreakBefore w:val="0"/>
        <w:numPr>
          <w:ilvl w:val="0"/>
          <w:numId w:val="4"/>
        </w:numPr>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磋商小组构成：本项目的磋商小组由评审专家及业主评委共3人以上单数组成，其中评审专家人数不得少于磋商小组成员总数的2/3。</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(二</w:t>
      </w:r>
      <w:r>
        <w:rPr>
          <w:rFonts w:hint="eastAsia" w:ascii="宋体" w:hAnsi="宋体" w:eastAsia="宋体" w:cs="宋体"/>
          <w:spacing w:val="-2"/>
          <w:sz w:val="24"/>
          <w:szCs w:val="24"/>
        </w:rPr>
        <w:t>）评标依据：磋商小组将以竞争性磋商文件和响应文件为评定依据进行评审，对供应商的</w:t>
      </w:r>
      <w:r>
        <w:rPr>
          <w:rFonts w:hint="eastAsia" w:ascii="宋体" w:hAnsi="宋体" w:eastAsia="宋体" w:cs="宋体"/>
          <w:spacing w:val="-1"/>
          <w:sz w:val="24"/>
          <w:szCs w:val="24"/>
        </w:rPr>
        <w:t>报价、监理大纲、项目监理人员机构情况、投标人资质情况、业绩、企业信誉及能力等内容按百分制打分。</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(三）评标方法：综合评分法。</w:t>
      </w:r>
    </w:p>
    <w:p>
      <w:pPr>
        <w:keepNext w:val="0"/>
        <w:keepLines w:val="0"/>
        <w:pageBreakBefore w:val="0"/>
        <w:kinsoku/>
        <w:wordWrap/>
        <w:overflowPunct/>
        <w:topLinePunct w:val="0"/>
        <w:autoSpaceDE/>
        <w:autoSpaceDN/>
        <w:bidi w:val="0"/>
        <w:adjustRightInd/>
        <w:snapToGrid/>
        <w:spacing w:after="0" w:line="360" w:lineRule="auto"/>
        <w:ind w:left="0" w:firstLine="468" w:firstLineChars="200"/>
        <w:textAlignment w:val="auto"/>
        <w:outlineLvl w:val="9"/>
        <w:rPr>
          <w:rFonts w:hint="eastAsia" w:ascii="宋体" w:hAnsi="宋体" w:eastAsia="宋体" w:cs="宋体"/>
          <w:sz w:val="24"/>
          <w:szCs w:val="24"/>
        </w:rPr>
      </w:pPr>
      <w:r>
        <w:rPr>
          <w:rFonts w:hint="eastAsia" w:ascii="宋体" w:hAnsi="宋体" w:eastAsia="宋体" w:cs="宋体"/>
          <w:spacing w:val="-3"/>
          <w:sz w:val="24"/>
          <w:szCs w:val="24"/>
        </w:rPr>
        <w:t>（四）以进入评标的最低的评标报价为</w:t>
      </w:r>
      <w:r>
        <w:rPr>
          <w:rFonts w:hint="eastAsia" w:ascii="宋体" w:hAnsi="宋体" w:eastAsia="宋体" w:cs="宋体"/>
          <w:spacing w:val="4"/>
          <w:sz w:val="24"/>
          <w:szCs w:val="24"/>
        </w:rPr>
        <w:t>1</w:t>
      </w:r>
      <w:r>
        <w:rPr>
          <w:rFonts w:hint="eastAsia" w:ascii="宋体" w:hAnsi="宋体" w:eastAsia="宋体" w:cs="宋体"/>
          <w:sz w:val="24"/>
          <w:szCs w:val="24"/>
        </w:rPr>
        <w:t>0</w:t>
      </w:r>
      <w:r>
        <w:rPr>
          <w:rFonts w:hint="eastAsia" w:ascii="宋体" w:hAnsi="宋体" w:eastAsia="宋体" w:cs="宋体"/>
          <w:spacing w:val="-9"/>
          <w:sz w:val="24"/>
          <w:szCs w:val="24"/>
        </w:rPr>
        <w:t>分。按照《政府采购促进中小企业发展暂行办法》（财</w:t>
      </w:r>
      <w:r>
        <w:rPr>
          <w:rFonts w:hint="eastAsia" w:ascii="宋体" w:hAnsi="宋体" w:eastAsia="宋体" w:cs="宋体"/>
          <w:spacing w:val="-1"/>
          <w:sz w:val="24"/>
          <w:szCs w:val="24"/>
        </w:rPr>
        <w:t>库[2011]181</w:t>
      </w:r>
      <w:r>
        <w:rPr>
          <w:rFonts w:hint="eastAsia" w:ascii="宋体" w:hAnsi="宋体" w:eastAsia="宋体" w:cs="宋体"/>
          <w:sz w:val="24"/>
          <w:szCs w:val="24"/>
        </w:rPr>
        <w:t>号），磋商单位认定为小型和微型企业（以磋商文件提供的符合规定的有关证明材料</w:t>
      </w:r>
      <w:r>
        <w:rPr>
          <w:rFonts w:hint="eastAsia" w:ascii="宋体" w:hAnsi="宋体" w:eastAsia="宋体" w:cs="宋体"/>
          <w:spacing w:val="-1"/>
          <w:sz w:val="24"/>
          <w:szCs w:val="24"/>
        </w:rPr>
        <w:t>为准）且所投产品均为小型和微型企业产品的，以及《关于政府采购支持监狱企业发展有关问题的</w:t>
      </w:r>
      <w:r>
        <w:rPr>
          <w:rFonts w:hint="eastAsia" w:ascii="宋体" w:hAnsi="宋体" w:eastAsia="宋体" w:cs="宋体"/>
          <w:sz w:val="24"/>
          <w:szCs w:val="24"/>
        </w:rPr>
        <w:t>通知》(财库[2014]68号)认定为监狱企业的，视同小型、微型企业。对其最终报价给予10%的扣除，扣</w:t>
      </w:r>
      <w:r>
        <w:rPr>
          <w:rFonts w:hint="eastAsia" w:ascii="宋体" w:hAnsi="宋体" w:eastAsia="宋体" w:cs="宋体"/>
          <w:spacing w:val="-1"/>
          <w:sz w:val="24"/>
          <w:szCs w:val="24"/>
        </w:rPr>
        <w:t>除后的价格为评标报价，即评标报价=最终报价×（1-10%）；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除上述情况外，评标报价=最终报价。</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二、评标方法</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pacing w:val="-1"/>
          <w:sz w:val="24"/>
          <w:szCs w:val="24"/>
        </w:rPr>
      </w:pPr>
      <w:r>
        <w:rPr>
          <w:rFonts w:hint="eastAsia" w:ascii="宋体" w:hAnsi="宋体" w:eastAsia="宋体" w:cs="宋体"/>
          <w:sz w:val="24"/>
          <w:szCs w:val="24"/>
        </w:rPr>
        <w:t>对进入详评的，磋商小组将以竞争性磋商文</w:t>
      </w:r>
      <w:r>
        <w:rPr>
          <w:rFonts w:hint="eastAsia" w:ascii="宋体" w:hAnsi="宋体" w:eastAsia="宋体" w:cs="宋体"/>
          <w:spacing w:val="-2"/>
          <w:sz w:val="24"/>
          <w:szCs w:val="24"/>
        </w:rPr>
        <w:t>件</w:t>
      </w:r>
      <w:r>
        <w:rPr>
          <w:rFonts w:hint="eastAsia" w:ascii="宋体" w:hAnsi="宋体" w:eastAsia="宋体" w:cs="宋体"/>
          <w:sz w:val="24"/>
          <w:szCs w:val="24"/>
        </w:rPr>
        <w:t>、响应文件为评定依据，采用百分制综合评</w:t>
      </w:r>
      <w:r>
        <w:rPr>
          <w:rFonts w:hint="eastAsia" w:ascii="宋体" w:hAnsi="宋体" w:eastAsia="宋体" w:cs="宋体"/>
          <w:spacing w:val="-2"/>
          <w:sz w:val="24"/>
          <w:szCs w:val="24"/>
        </w:rPr>
        <w:t>分</w:t>
      </w:r>
      <w:r>
        <w:rPr>
          <w:rFonts w:hint="eastAsia" w:ascii="宋体" w:hAnsi="宋体" w:eastAsia="宋体" w:cs="宋体"/>
          <w:spacing w:val="-1"/>
          <w:sz w:val="24"/>
          <w:szCs w:val="24"/>
        </w:rPr>
        <w:t>法计分办法（按四舍五入取至百分位）；</w:t>
      </w:r>
    </w:p>
    <w:p>
      <w:pPr>
        <w:keepNext w:val="0"/>
        <w:keepLines w:val="0"/>
        <w:pageBreakBefore w:val="0"/>
        <w:kinsoku/>
        <w:wordWrap/>
        <w:overflowPunct/>
        <w:topLinePunct w:val="0"/>
        <w:autoSpaceDE/>
        <w:autoSpaceDN/>
        <w:bidi w:val="0"/>
        <w:adjustRightInd/>
        <w:snapToGrid/>
        <w:spacing w:after="0" w:line="36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position w:val="3"/>
          <w:sz w:val="24"/>
          <w:szCs w:val="24"/>
        </w:rPr>
        <w:t>（一）价格分</w:t>
      </w:r>
      <w:r>
        <w:rPr>
          <w:rFonts w:hint="eastAsia" w:ascii="宋体" w:hAnsi="宋体" w:eastAsia="宋体" w:cs="宋体"/>
          <w:b/>
          <w:bCs/>
          <w:sz w:val="24"/>
          <w:szCs w:val="24"/>
        </w:rPr>
        <w:t>……………………………………………………………………………</w:t>
      </w:r>
      <w:r>
        <w:rPr>
          <w:rFonts w:hint="eastAsia" w:ascii="宋体" w:hAnsi="宋体" w:eastAsia="宋体" w:cs="宋体"/>
          <w:b/>
          <w:bCs/>
          <w:position w:val="3"/>
          <w:sz w:val="24"/>
          <w:szCs w:val="24"/>
        </w:rPr>
        <w:t>10分</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报价评分以最后总价评标价为依据。</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超出预算价和未通过资格（符合性）审查的供应商，其报价无效。</w:t>
      </w:r>
    </w:p>
    <w:p>
      <w:pPr>
        <w:keepNext w:val="0"/>
        <w:keepLines w:val="0"/>
        <w:pageBreakBefore w:val="0"/>
        <w:kinsoku/>
        <w:wordWrap/>
        <w:overflowPunct/>
        <w:topLinePunct w:val="0"/>
        <w:autoSpaceDE/>
        <w:autoSpaceDN/>
        <w:bidi w:val="0"/>
        <w:adjustRightInd/>
        <w:snapToGrid/>
        <w:spacing w:after="0" w:line="360" w:lineRule="auto"/>
        <w:ind w:firstLine="2856" w:firstLineChars="1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有效供应商的最低评标报价</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某供应商价格分=------------------------------</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 xml:space="preserve"> </w:t>
      </w:r>
      <w:r>
        <w:rPr>
          <w:rFonts w:hint="eastAsia" w:ascii="宋体" w:hAnsi="宋体" w:eastAsia="宋体" w:cs="宋体"/>
          <w:sz w:val="24"/>
          <w:szCs w:val="24"/>
        </w:rPr>
        <w:t>10</w:t>
      </w:r>
      <w:r>
        <w:rPr>
          <w:rFonts w:hint="eastAsia" w:ascii="宋体" w:hAnsi="宋体" w:eastAsia="宋体" w:cs="宋体"/>
          <w:spacing w:val="-2"/>
          <w:sz w:val="24"/>
          <w:szCs w:val="24"/>
        </w:rPr>
        <w:t>分</w:t>
      </w:r>
    </w:p>
    <w:p>
      <w:pPr>
        <w:keepNext w:val="0"/>
        <w:keepLines w:val="0"/>
        <w:pageBreakBefore w:val="0"/>
        <w:kinsoku/>
        <w:wordWrap/>
        <w:overflowPunct/>
        <w:topLinePunct w:val="0"/>
        <w:autoSpaceDE/>
        <w:autoSpaceDN/>
        <w:bidi w:val="0"/>
        <w:adjustRightInd/>
        <w:snapToGrid/>
        <w:spacing w:after="0" w:line="360" w:lineRule="auto"/>
        <w:ind w:left="0" w:firstLine="3094" w:firstLineChars="13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某供应商评标报价</w:t>
      </w:r>
    </w:p>
    <w:p>
      <w:pPr>
        <w:keepNext w:val="0"/>
        <w:keepLines w:val="0"/>
        <w:pageBreakBefore w:val="0"/>
        <w:kinsoku/>
        <w:wordWrap/>
        <w:overflowPunct/>
        <w:topLinePunct w:val="0"/>
        <w:autoSpaceDE/>
        <w:autoSpaceDN/>
        <w:bidi w:val="0"/>
        <w:adjustRightInd/>
        <w:snapToGrid/>
        <w:spacing w:after="0" w:line="36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position w:val="3"/>
          <w:sz w:val="24"/>
          <w:szCs w:val="24"/>
        </w:rPr>
        <w:t>（二）技术分（监理大纲）</w:t>
      </w:r>
      <w:r>
        <w:rPr>
          <w:rFonts w:hint="eastAsia" w:ascii="宋体" w:hAnsi="宋体" w:eastAsia="宋体" w:cs="宋体"/>
          <w:b/>
          <w:bCs/>
          <w:sz w:val="24"/>
          <w:szCs w:val="24"/>
        </w:rPr>
        <w:t>……………………………………………………………</w:t>
      </w:r>
      <w:r>
        <w:rPr>
          <w:rFonts w:hint="eastAsia" w:ascii="宋体" w:hAnsi="宋体" w:eastAsia="宋体" w:cs="宋体"/>
          <w:b/>
          <w:bCs/>
          <w:position w:val="3"/>
          <w:sz w:val="24"/>
          <w:szCs w:val="24"/>
          <w:lang w:val="en-US" w:eastAsia="zh-CN"/>
        </w:rPr>
        <w:t>7</w:t>
      </w:r>
      <w:r>
        <w:rPr>
          <w:rFonts w:hint="eastAsia" w:ascii="宋体" w:hAnsi="宋体" w:eastAsia="宋体" w:cs="宋体"/>
          <w:b/>
          <w:bCs/>
          <w:position w:val="3"/>
          <w:sz w:val="24"/>
          <w:szCs w:val="24"/>
        </w:rPr>
        <w:t>0分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（1）工程特点、难点分析及监理对策（满分 10 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档（</w:t>
      </w:r>
      <w:r>
        <w:rPr>
          <w:rFonts w:hint="eastAsia" w:ascii="宋体" w:hAnsi="宋体" w:eastAsia="宋体" w:cs="宋体"/>
          <w:sz w:val="24"/>
          <w:szCs w:val="24"/>
          <w:lang w:val="en-US" w:eastAsia="zh-CN"/>
        </w:rPr>
        <w:t>3</w:t>
      </w:r>
      <w:r>
        <w:rPr>
          <w:rFonts w:hint="eastAsia" w:ascii="宋体" w:hAnsi="宋体" w:eastAsia="宋体" w:cs="宋体"/>
          <w:sz w:val="24"/>
          <w:szCs w:val="24"/>
        </w:rPr>
        <w:t>分）：针对项目特点、难点有一定的了解，有监理建议一般可行。</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档（</w:t>
      </w:r>
      <w:r>
        <w:rPr>
          <w:rFonts w:hint="eastAsia" w:ascii="宋体" w:hAnsi="宋体" w:eastAsia="宋体" w:cs="宋体"/>
          <w:sz w:val="24"/>
          <w:szCs w:val="24"/>
          <w:lang w:val="en-US" w:eastAsia="zh-CN"/>
        </w:rPr>
        <w:t>6</w:t>
      </w:r>
      <w:r>
        <w:rPr>
          <w:rFonts w:hint="eastAsia" w:ascii="宋体" w:hAnsi="宋体" w:eastAsia="宋体" w:cs="宋体"/>
          <w:sz w:val="24"/>
          <w:szCs w:val="24"/>
        </w:rPr>
        <w:t>分）：针对项目特点、难点分析全面，合理的监理对策基本可行。</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档（</w:t>
      </w:r>
      <w:r>
        <w:rPr>
          <w:rFonts w:hint="eastAsia" w:ascii="宋体" w:hAnsi="宋体" w:eastAsia="宋体" w:cs="宋体"/>
          <w:sz w:val="24"/>
          <w:szCs w:val="24"/>
          <w:lang w:val="en-US" w:eastAsia="zh-CN"/>
        </w:rPr>
        <w:t>10</w:t>
      </w:r>
      <w:r>
        <w:rPr>
          <w:rFonts w:hint="eastAsia" w:ascii="宋体" w:hAnsi="宋体" w:eastAsia="宋体" w:cs="宋体"/>
          <w:sz w:val="24"/>
          <w:szCs w:val="24"/>
        </w:rPr>
        <w:t>分）：结合现场状况，工程特点、难点分析准确到位，针对本工程特点难点的监理对策的基本内容全面、合理、可行。针对本工程特点难点的具体监理措施全面、合理、可行。</w:t>
      </w:r>
    </w:p>
    <w:p>
      <w:pPr>
        <w:keepNext w:val="0"/>
        <w:keepLines w:val="0"/>
        <w:pageBreakBefore w:val="0"/>
        <w:numPr>
          <w:ilvl w:val="0"/>
          <w:numId w:val="5"/>
        </w:numPr>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质量控制重点及监理措施（1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一档</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分）：制定的质量控制重点基本符合项目实际，质量控制措施基本可行， 基本能满足采购文件的质量控制要求一般可行。</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二档</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分）：制定的质量控制重点符合项目实际，质量控制措施合理，满足采购文件的质量控制要求基本可行。</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三挡</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分）本工程质量控制的工作目标和原则明确，质量控制重点分析合理， 针对本工程质量控制重点的监理措施合理可行。工程质量监理的基本措施合理可行。</w:t>
      </w:r>
    </w:p>
    <w:p>
      <w:pPr>
        <w:keepNext w:val="0"/>
        <w:keepLines w:val="0"/>
        <w:pageBreakBefore w:val="0"/>
        <w:numPr>
          <w:ilvl w:val="0"/>
          <w:numId w:val="5"/>
        </w:numPr>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进度控制重点及监理措施（1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一档</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分）：进度控制措施基本合理，关键节点的控制措施一般可行。</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二档</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分）：进度控制措施可行，关键节点的控制合理、基本可行。</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三档</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分）：进度控制的工作目标和原则明确、进度控制重点分析准确，关键节点的设置与进度控制控制路线的确定合理可行，本工程进度控制重点的分析到位，针对本工程进度控制重点的监理措施合理可行。</w:t>
      </w:r>
    </w:p>
    <w:p>
      <w:pPr>
        <w:keepNext w:val="0"/>
        <w:keepLines w:val="0"/>
        <w:pageBreakBefore w:val="0"/>
        <w:numPr>
          <w:ilvl w:val="0"/>
          <w:numId w:val="5"/>
        </w:numPr>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造价控制重点及监理措施（10分）：</w:t>
      </w:r>
    </w:p>
    <w:p>
      <w:pPr>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一档</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分）：造价控制措施基本齐全、基本合理，造价目标风险分析基本到位，制定防范性对策基本可行。</w:t>
      </w:r>
    </w:p>
    <w:p>
      <w:pPr>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二档（</w:t>
      </w:r>
      <w:r>
        <w:rPr>
          <w:rFonts w:hint="eastAsia" w:ascii="宋体" w:hAnsi="宋体" w:eastAsia="宋体" w:cs="宋体"/>
          <w:sz w:val="24"/>
          <w:szCs w:val="24"/>
          <w:lang w:val="en-US" w:eastAsia="zh-CN"/>
        </w:rPr>
        <w:t>6</w:t>
      </w:r>
      <w:r>
        <w:rPr>
          <w:rFonts w:hint="eastAsia" w:ascii="宋体" w:hAnsi="宋体" w:eastAsia="宋体" w:cs="宋体"/>
          <w:sz w:val="24"/>
          <w:szCs w:val="24"/>
        </w:rPr>
        <w:t>分）：造价控制措施全面、可行，造价目标风险分析到位，制定防范性对策符合项目实际。</w:t>
      </w:r>
    </w:p>
    <w:p>
      <w:pPr>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三档</w:t>
      </w:r>
      <w:r>
        <w:rPr>
          <w:rFonts w:hint="eastAsia" w:ascii="宋体" w:hAnsi="宋体" w:eastAsia="宋体" w:cs="宋体"/>
          <w:sz w:val="24"/>
          <w:szCs w:val="24"/>
        </w:rPr>
        <w:t>（10分）：造价控制措施全面、科学，造价目标风险分析全面、科学，制定防范性对策针对性强。</w:t>
      </w:r>
    </w:p>
    <w:p>
      <w:pPr>
        <w:keepNext w:val="0"/>
        <w:keepLines w:val="0"/>
        <w:pageBreakBefore w:val="0"/>
        <w:numPr>
          <w:ilvl w:val="0"/>
          <w:numId w:val="5"/>
        </w:numPr>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合同及信息管理措施（</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对合同管理中的工程暂停及复工、工程变更管理、费用索赔的处理、工程延期及延误的处理、合同争议的调解以及监理资料、信息管理制定具体措施。</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一档</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分）：合同管理内容基本齐全、管理措施基本可行；信息管理内容基本齐全、管理措施基本可行。 </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二档</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分）：合同管理内容全面，措施可行；资料、信息管理内容全面、管理措施可行。</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三档</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分）：合同管理内容全面，管理措施科学、操作性、针对性强；资料、信息管理内容全面，管理措施科学、操作性、针对性强。</w:t>
      </w:r>
    </w:p>
    <w:p>
      <w:pPr>
        <w:keepNext w:val="0"/>
        <w:keepLines w:val="0"/>
        <w:pageBreakBefore w:val="0"/>
        <w:numPr>
          <w:ilvl w:val="0"/>
          <w:numId w:val="5"/>
        </w:numPr>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监理工作协调（</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一档</w:t>
      </w:r>
      <w:r>
        <w:rPr>
          <w:rFonts w:hint="eastAsia" w:ascii="宋体" w:hAnsi="宋体" w:eastAsia="宋体" w:cs="宋体"/>
          <w:sz w:val="24"/>
          <w:szCs w:val="24"/>
        </w:rPr>
        <w:t>（2分）：监理工作基本合理协调的。</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二档</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分）：针对项目实际情况，监理工作协调具体、完整、可行的。</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三档</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分）：针对项目实际情况，监理工作协调具体、完整、可行的，并合理、有效的。</w:t>
      </w:r>
    </w:p>
    <w:p>
      <w:pPr>
        <w:keepNext w:val="0"/>
        <w:keepLines w:val="0"/>
        <w:pageBreakBefore w:val="0"/>
        <w:numPr>
          <w:ilvl w:val="0"/>
          <w:numId w:val="5"/>
        </w:numPr>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环境保护及文明施工监理措施（5分）：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一档</w:t>
      </w:r>
      <w:r>
        <w:rPr>
          <w:rFonts w:hint="eastAsia" w:ascii="宋体" w:hAnsi="宋体" w:eastAsia="宋体" w:cs="宋体"/>
          <w:sz w:val="24"/>
          <w:szCs w:val="24"/>
        </w:rPr>
        <w:t>（2分）：文明施工及环境保护措施采用规范基本正确，监理措施基本合理有效，满足采购文件要求。</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二档</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分）：文明施工及环境保护措施采用规范正确，监理措施合理有效，符合采购文件要求。</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三档</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分）：文明施工及环境保护措施采用规范正确，监理措施科学、得力， 高于采购文件要求。</w:t>
      </w:r>
    </w:p>
    <w:p>
      <w:pPr>
        <w:pStyle w:val="45"/>
        <w:keepNext w:val="0"/>
        <w:keepLines w:val="0"/>
        <w:pageBreakBefore w:val="0"/>
        <w:numPr>
          <w:ilvl w:val="0"/>
          <w:numId w:val="6"/>
        </w:numPr>
        <w:kinsoku/>
        <w:wordWrap/>
        <w:overflowPunct/>
        <w:topLinePunct w:val="0"/>
        <w:autoSpaceDE/>
        <w:autoSpaceDN/>
        <w:bidi w:val="0"/>
        <w:adjustRightInd/>
        <w:snapToGrid/>
        <w:spacing w:after="0" w:line="360" w:lineRule="auto"/>
        <w:ind w:left="0" w:firstLine="482" w:firstLineChars="200"/>
        <w:textAlignment w:val="auto"/>
        <w:outlineLvl w:val="9"/>
        <w:rPr>
          <w:rFonts w:hint="eastAsia" w:ascii="宋体" w:hAnsi="宋体" w:eastAsia="宋体" w:cs="宋体"/>
          <w:b/>
          <w:bCs/>
          <w:position w:val="3"/>
          <w:sz w:val="24"/>
          <w:szCs w:val="24"/>
        </w:rPr>
      </w:pPr>
      <w:r>
        <w:rPr>
          <w:rFonts w:hint="eastAsia" w:ascii="宋体" w:hAnsi="宋体" w:eastAsia="宋体" w:cs="宋体"/>
          <w:b/>
          <w:bCs/>
          <w:position w:val="3"/>
          <w:sz w:val="24"/>
          <w:szCs w:val="24"/>
        </w:rPr>
        <w:t>项目监理人员机构情况</w:t>
      </w:r>
      <w:r>
        <w:rPr>
          <w:rFonts w:hint="eastAsia" w:ascii="宋体" w:hAnsi="宋体" w:eastAsia="宋体" w:cs="宋体"/>
          <w:b/>
          <w:bCs/>
          <w:sz w:val="24"/>
          <w:szCs w:val="24"/>
        </w:rPr>
        <w:t>………………………………………………………</w:t>
      </w:r>
      <w:r>
        <w:rPr>
          <w:rFonts w:hint="eastAsia" w:ascii="宋体" w:hAnsi="宋体" w:eastAsia="宋体" w:cs="宋体"/>
          <w:b/>
          <w:bCs/>
          <w:spacing w:val="6"/>
          <w:sz w:val="24"/>
          <w:szCs w:val="24"/>
        </w:rPr>
        <w:t> </w:t>
      </w:r>
      <w:r>
        <w:rPr>
          <w:rFonts w:hint="eastAsia" w:ascii="宋体" w:hAnsi="宋体" w:eastAsia="宋体" w:cs="宋体"/>
          <w:b/>
          <w:bCs/>
          <w:position w:val="3"/>
          <w:sz w:val="24"/>
          <w:szCs w:val="24"/>
        </w:rPr>
        <w:t>10分</w:t>
      </w:r>
    </w:p>
    <w:p>
      <w:pPr>
        <w:pStyle w:val="7"/>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rPr>
        <w:t>1</w:t>
      </w:r>
      <w:r>
        <w:rPr>
          <w:rFonts w:hint="eastAsia" w:ascii="宋体" w:hAnsi="宋体" w:eastAsia="宋体" w:cs="宋体"/>
          <w:b/>
          <w:bCs/>
          <w:spacing w:val="-5"/>
          <w:sz w:val="28"/>
          <w:szCs w:val="28"/>
          <w:lang w:val="en-US" w:eastAsia="zh-CN"/>
        </w:rPr>
        <w:t>.</w:t>
      </w:r>
      <w:r>
        <w:rPr>
          <w:rFonts w:hint="eastAsia" w:ascii="宋体" w:hAnsi="宋体" w:eastAsia="宋体" w:cs="宋体"/>
          <w:position w:val="3"/>
          <w:sz w:val="24"/>
          <w:szCs w:val="24"/>
        </w:rPr>
        <w:t xml:space="preserve">总监理工程师须持有国家建设部颁发的《注册监理工程师注册执业证书》注册专业为市政公用工程，具有大专及以上学历的得 2 分，具有中级以上职称的得 </w:t>
      </w:r>
      <w:r>
        <w:rPr>
          <w:rFonts w:hint="eastAsia" w:ascii="宋体" w:hAnsi="宋体" w:cs="宋体"/>
          <w:position w:val="3"/>
          <w:sz w:val="24"/>
          <w:szCs w:val="24"/>
          <w:lang w:val="en-US" w:eastAsia="zh-CN"/>
        </w:rPr>
        <w:t>1</w:t>
      </w:r>
      <w:r>
        <w:rPr>
          <w:rFonts w:hint="eastAsia" w:ascii="宋体" w:hAnsi="宋体" w:eastAsia="宋体" w:cs="宋体"/>
          <w:position w:val="3"/>
          <w:sz w:val="24"/>
          <w:szCs w:val="24"/>
        </w:rPr>
        <w:t xml:space="preserve"> 分。（此项满分 </w:t>
      </w:r>
      <w:r>
        <w:rPr>
          <w:rFonts w:hint="eastAsia" w:ascii="宋体" w:hAnsi="宋体" w:cs="宋体"/>
          <w:position w:val="3"/>
          <w:sz w:val="24"/>
          <w:szCs w:val="24"/>
          <w:lang w:val="en-US" w:eastAsia="zh-CN"/>
        </w:rPr>
        <w:t>3</w:t>
      </w:r>
      <w:r>
        <w:rPr>
          <w:rFonts w:hint="eastAsia" w:ascii="宋体" w:hAnsi="宋体" w:eastAsia="宋体" w:cs="宋体"/>
          <w:position w:val="3"/>
          <w:sz w:val="24"/>
          <w:szCs w:val="24"/>
        </w:rPr>
        <w:t xml:space="preserve"> 分）</w:t>
      </w:r>
    </w:p>
    <w:p>
      <w:pPr>
        <w:pStyle w:val="7"/>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rPr>
        <w:t>2</w:t>
      </w:r>
      <w:r>
        <w:rPr>
          <w:rFonts w:hint="eastAsia" w:ascii="宋体" w:hAnsi="宋体" w:eastAsia="宋体" w:cs="宋体"/>
          <w:b/>
          <w:bCs/>
          <w:spacing w:val="-5"/>
          <w:sz w:val="28"/>
          <w:szCs w:val="28"/>
          <w:lang w:val="en-US" w:eastAsia="zh-CN"/>
        </w:rPr>
        <w:t>.</w:t>
      </w:r>
      <w:r>
        <w:rPr>
          <w:rFonts w:hint="eastAsia" w:ascii="宋体" w:hAnsi="宋体" w:eastAsia="宋体" w:cs="宋体"/>
          <w:position w:val="3"/>
          <w:sz w:val="24"/>
          <w:szCs w:val="24"/>
        </w:rPr>
        <w:t xml:space="preserve">专业监理工程师： </w:t>
      </w:r>
    </w:p>
    <w:p>
      <w:pPr>
        <w:pStyle w:val="7"/>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rPr>
        <w:t>需具有中级及以上（含中级）专业技术职称；须持有国家建设部颁发的注册监理工程师注册执业证书或省级建设行政主管部门颁发的监理工程师证书，专业监理工程师在最低配备基础上，增加1名造价专业监理工程师得2分（造价专业监理工程师需同时具有注册监理工程师及注册造价工程师）；增加1名给排水专业注册监理工程师得</w:t>
      </w:r>
      <w:r>
        <w:rPr>
          <w:rFonts w:hint="eastAsia" w:ascii="宋体" w:hAnsi="宋体" w:cs="宋体"/>
          <w:position w:val="3"/>
          <w:sz w:val="24"/>
          <w:szCs w:val="24"/>
          <w:lang w:val="en-US" w:eastAsia="zh-CN"/>
        </w:rPr>
        <w:t>3</w:t>
      </w:r>
      <w:r>
        <w:rPr>
          <w:rFonts w:hint="eastAsia" w:ascii="宋体" w:hAnsi="宋体" w:eastAsia="宋体" w:cs="宋体"/>
          <w:position w:val="3"/>
          <w:sz w:val="24"/>
          <w:szCs w:val="24"/>
        </w:rPr>
        <w:t>分（专业以职称证或学历证为准）。（此项满分</w:t>
      </w:r>
      <w:r>
        <w:rPr>
          <w:rFonts w:hint="eastAsia" w:ascii="宋体" w:hAnsi="宋体" w:cs="宋体"/>
          <w:position w:val="3"/>
          <w:sz w:val="24"/>
          <w:szCs w:val="24"/>
          <w:lang w:val="en-US" w:eastAsia="zh-CN"/>
        </w:rPr>
        <w:t>5</w:t>
      </w:r>
      <w:r>
        <w:rPr>
          <w:rFonts w:hint="eastAsia" w:ascii="宋体" w:hAnsi="宋体" w:eastAsia="宋体" w:cs="宋体"/>
          <w:position w:val="3"/>
          <w:sz w:val="24"/>
          <w:szCs w:val="24"/>
        </w:rPr>
        <w:t>分）</w:t>
      </w:r>
    </w:p>
    <w:p>
      <w:pPr>
        <w:pStyle w:val="7"/>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rPr>
        <w:t xml:space="preserve"> 3</w:t>
      </w:r>
      <w:r>
        <w:rPr>
          <w:rFonts w:hint="eastAsia" w:ascii="宋体" w:hAnsi="宋体" w:eastAsia="宋体" w:cs="宋体"/>
          <w:b/>
          <w:bCs/>
          <w:spacing w:val="-5"/>
          <w:sz w:val="28"/>
          <w:szCs w:val="28"/>
          <w:lang w:val="en-US" w:eastAsia="zh-CN"/>
        </w:rPr>
        <w:t>.</w:t>
      </w:r>
      <w:r>
        <w:rPr>
          <w:rFonts w:hint="eastAsia" w:ascii="宋体" w:hAnsi="宋体" w:eastAsia="宋体" w:cs="宋体"/>
          <w:position w:val="3"/>
          <w:sz w:val="24"/>
          <w:szCs w:val="24"/>
        </w:rPr>
        <w:t>监理员：</w:t>
      </w:r>
    </w:p>
    <w:p>
      <w:pPr>
        <w:pStyle w:val="7"/>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position w:val="3"/>
          <w:sz w:val="24"/>
          <w:szCs w:val="24"/>
        </w:rPr>
        <w:t>具有助理工程师及以上专业技术职称；持有省级建设行政主管部门颁发的监理工程师证书或省级建设行政主管部门颁发的监理员岗位证书，每配备 1 人得 1 分。（此项满分 2 分）</w:t>
      </w:r>
    </w:p>
    <w:p>
      <w:pPr>
        <w:keepNext w:val="0"/>
        <w:keepLines w:val="0"/>
        <w:pageBreakBefore w:val="0"/>
        <w:numPr>
          <w:ilvl w:val="0"/>
          <w:numId w:val="7"/>
        </w:numPr>
        <w:kinsoku/>
        <w:wordWrap/>
        <w:overflowPunct/>
        <w:topLinePunct w:val="0"/>
        <w:autoSpaceDE/>
        <w:autoSpaceDN/>
        <w:bidi w:val="0"/>
        <w:adjustRightInd/>
        <w:snapToGrid/>
        <w:spacing w:after="0" w:line="360" w:lineRule="auto"/>
        <w:ind w:left="0" w:firstLine="482" w:firstLineChars="200"/>
        <w:textAlignment w:val="auto"/>
        <w:outlineLvl w:val="9"/>
        <w:rPr>
          <w:rFonts w:hint="eastAsia" w:ascii="宋体" w:hAnsi="宋体" w:eastAsia="宋体" w:cs="宋体"/>
          <w:b/>
          <w:bCs/>
          <w:position w:val="3"/>
          <w:sz w:val="24"/>
          <w:szCs w:val="24"/>
        </w:rPr>
      </w:pPr>
      <w:r>
        <w:rPr>
          <w:rFonts w:hint="eastAsia" w:ascii="宋体" w:hAnsi="宋体" w:eastAsia="宋体" w:cs="宋体"/>
          <w:b/>
          <w:bCs/>
          <w:position w:val="3"/>
          <w:sz w:val="24"/>
          <w:szCs w:val="24"/>
        </w:rPr>
        <w:t>服务承诺分</w:t>
      </w:r>
      <w:r>
        <w:rPr>
          <w:rFonts w:hint="eastAsia" w:ascii="宋体" w:hAnsi="宋体" w:eastAsia="宋体" w:cs="宋体"/>
          <w:b/>
          <w:bCs/>
          <w:sz w:val="24"/>
          <w:szCs w:val="24"/>
        </w:rPr>
        <w:t>…………………………………………………………………</w:t>
      </w:r>
      <w:r>
        <w:rPr>
          <w:rFonts w:hint="eastAsia" w:ascii="宋体" w:hAnsi="宋体" w:eastAsia="宋体" w:cs="宋体"/>
          <w:b/>
          <w:bCs/>
          <w:spacing w:val="6"/>
          <w:sz w:val="24"/>
          <w:szCs w:val="24"/>
        </w:rPr>
        <w:t> </w:t>
      </w:r>
      <w:r>
        <w:rPr>
          <w:rFonts w:hint="eastAsia" w:ascii="宋体" w:hAnsi="宋体" w:eastAsia="宋体" w:cs="宋体"/>
          <w:b/>
          <w:bCs/>
          <w:position w:val="3"/>
          <w:sz w:val="24"/>
          <w:szCs w:val="24"/>
          <w:lang w:val="en-US" w:eastAsia="zh-CN"/>
        </w:rPr>
        <w:t>8</w:t>
      </w:r>
      <w:r>
        <w:rPr>
          <w:rFonts w:hint="eastAsia" w:ascii="宋体" w:hAnsi="宋体" w:eastAsia="宋体" w:cs="宋体"/>
          <w:b/>
          <w:bCs/>
          <w:position w:val="3"/>
          <w:sz w:val="24"/>
          <w:szCs w:val="24"/>
        </w:rPr>
        <w:t>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rPr>
        <w:t xml:space="preserve">由评委按下列标准各自确定投标人所属档次后，在相应档次内由评委独立打分。 </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lang w:val="en-US" w:eastAsia="zh-CN"/>
        </w:rPr>
        <w:t>一档</w:t>
      </w:r>
      <w:r>
        <w:rPr>
          <w:rFonts w:hint="eastAsia" w:ascii="宋体" w:hAnsi="宋体" w:eastAsia="宋体" w:cs="宋体"/>
          <w:position w:val="3"/>
          <w:sz w:val="24"/>
          <w:szCs w:val="24"/>
        </w:rPr>
        <w:t>（</w:t>
      </w:r>
      <w:r>
        <w:rPr>
          <w:rFonts w:hint="eastAsia" w:ascii="宋体" w:hAnsi="宋体" w:eastAsia="宋体" w:cs="宋体"/>
          <w:position w:val="3"/>
          <w:sz w:val="24"/>
          <w:szCs w:val="24"/>
          <w:lang w:val="en-US" w:eastAsia="zh-CN"/>
        </w:rPr>
        <w:t>2</w:t>
      </w:r>
      <w:r>
        <w:rPr>
          <w:rFonts w:hint="eastAsia" w:ascii="宋体" w:hAnsi="宋体" w:eastAsia="宋体" w:cs="宋体"/>
          <w:position w:val="3"/>
          <w:sz w:val="24"/>
          <w:szCs w:val="24"/>
        </w:rPr>
        <w:t xml:space="preserve">分）：服务承诺基本合理 </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lang w:val="en-US" w:eastAsia="zh-CN"/>
        </w:rPr>
        <w:t>二档</w:t>
      </w:r>
      <w:r>
        <w:rPr>
          <w:rFonts w:hint="eastAsia" w:ascii="宋体" w:hAnsi="宋体" w:eastAsia="宋体" w:cs="宋体"/>
          <w:position w:val="3"/>
          <w:sz w:val="24"/>
          <w:szCs w:val="24"/>
        </w:rPr>
        <w:t>（</w:t>
      </w:r>
      <w:r>
        <w:rPr>
          <w:rFonts w:hint="eastAsia" w:ascii="宋体" w:hAnsi="宋体" w:eastAsia="宋体" w:cs="宋体"/>
          <w:position w:val="3"/>
          <w:sz w:val="24"/>
          <w:szCs w:val="24"/>
          <w:lang w:val="en-US" w:eastAsia="zh-CN"/>
        </w:rPr>
        <w:t>5</w:t>
      </w:r>
      <w:r>
        <w:rPr>
          <w:rFonts w:hint="eastAsia" w:ascii="宋体" w:hAnsi="宋体" w:eastAsia="宋体" w:cs="宋体"/>
          <w:position w:val="3"/>
          <w:sz w:val="24"/>
          <w:szCs w:val="24"/>
        </w:rPr>
        <w:t xml:space="preserve"> 分）：有完善的服务承诺，描述比较具体。 </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lang w:val="en-US" w:eastAsia="zh-CN"/>
        </w:rPr>
        <w:t>三档</w:t>
      </w:r>
      <w:r>
        <w:rPr>
          <w:rFonts w:hint="eastAsia" w:ascii="宋体" w:hAnsi="宋体" w:eastAsia="宋体" w:cs="宋体"/>
          <w:position w:val="3"/>
          <w:sz w:val="24"/>
          <w:szCs w:val="24"/>
        </w:rPr>
        <w:t>（</w:t>
      </w:r>
      <w:r>
        <w:rPr>
          <w:rFonts w:hint="eastAsia" w:ascii="宋体" w:hAnsi="宋体" w:eastAsia="宋体" w:cs="宋体"/>
          <w:position w:val="3"/>
          <w:sz w:val="24"/>
          <w:szCs w:val="24"/>
          <w:lang w:val="en-US" w:eastAsia="zh-CN"/>
        </w:rPr>
        <w:t>8</w:t>
      </w:r>
      <w:r>
        <w:rPr>
          <w:rFonts w:hint="eastAsia" w:ascii="宋体" w:hAnsi="宋体" w:eastAsia="宋体" w:cs="宋体"/>
          <w:position w:val="3"/>
          <w:sz w:val="24"/>
          <w:szCs w:val="24"/>
        </w:rPr>
        <w:t>分）：服务承诺非常合理，有详细的服务承诺、能全面满足本项目需求。</w:t>
      </w:r>
    </w:p>
    <w:p>
      <w:pPr>
        <w:keepNext w:val="0"/>
        <w:keepLines w:val="0"/>
        <w:pageBreakBefore w:val="0"/>
        <w:numPr>
          <w:ilvl w:val="0"/>
          <w:numId w:val="7"/>
        </w:numPr>
        <w:kinsoku/>
        <w:wordWrap/>
        <w:overflowPunct/>
        <w:topLinePunct w:val="0"/>
        <w:autoSpaceDE/>
        <w:autoSpaceDN/>
        <w:bidi w:val="0"/>
        <w:adjustRightInd/>
        <w:snapToGrid/>
        <w:spacing w:after="0" w:line="360" w:lineRule="auto"/>
        <w:ind w:left="0" w:firstLine="482" w:firstLineChars="200"/>
        <w:textAlignment w:val="auto"/>
        <w:outlineLvl w:val="9"/>
        <w:rPr>
          <w:rFonts w:hint="eastAsia" w:ascii="宋体" w:hAnsi="宋体" w:eastAsia="宋体" w:cs="宋体"/>
          <w:b/>
          <w:bCs/>
          <w:position w:val="3"/>
          <w:sz w:val="24"/>
          <w:szCs w:val="24"/>
        </w:rPr>
      </w:pPr>
      <w:r>
        <w:rPr>
          <w:rFonts w:hint="eastAsia" w:ascii="宋体" w:hAnsi="宋体" w:eastAsia="宋体" w:cs="宋体"/>
          <w:b/>
          <w:bCs/>
          <w:position w:val="3"/>
          <w:sz w:val="24"/>
          <w:szCs w:val="24"/>
        </w:rPr>
        <w:t>业绩分</w:t>
      </w:r>
      <w:r>
        <w:rPr>
          <w:rFonts w:hint="eastAsia" w:ascii="宋体" w:hAnsi="宋体" w:eastAsia="宋体" w:cs="宋体"/>
          <w:b/>
          <w:bCs/>
          <w:sz w:val="24"/>
          <w:szCs w:val="24"/>
        </w:rPr>
        <w:t>…………………………………………………………………………</w:t>
      </w:r>
      <w:r>
        <w:rPr>
          <w:rFonts w:hint="eastAsia" w:ascii="宋体" w:hAnsi="宋体" w:eastAsia="宋体" w:cs="宋体"/>
          <w:b/>
          <w:bCs/>
          <w:position w:val="3"/>
          <w:sz w:val="24"/>
          <w:szCs w:val="24"/>
          <w:lang w:val="en-US" w:eastAsia="zh-CN"/>
        </w:rPr>
        <w:t>2</w:t>
      </w:r>
      <w:r>
        <w:rPr>
          <w:rFonts w:hint="eastAsia" w:ascii="宋体" w:hAnsi="宋体" w:eastAsia="宋体" w:cs="宋体"/>
          <w:b/>
          <w:bCs/>
          <w:position w:val="3"/>
          <w:sz w:val="24"/>
          <w:szCs w:val="24"/>
        </w:rPr>
        <w:t>分</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position w:val="3"/>
          <w:sz w:val="24"/>
          <w:szCs w:val="24"/>
        </w:rPr>
      </w:pPr>
      <w:r>
        <w:rPr>
          <w:rFonts w:hint="eastAsia" w:ascii="宋体" w:hAnsi="宋体" w:eastAsia="宋体" w:cs="宋体"/>
          <w:position w:val="3"/>
          <w:sz w:val="24"/>
          <w:szCs w:val="24"/>
        </w:rPr>
        <w:t>供应商2017年1月1日以来完成过质量合格的</w:t>
      </w:r>
      <w:r>
        <w:rPr>
          <w:rFonts w:hint="eastAsia" w:ascii="宋体" w:hAnsi="宋体" w:eastAsia="宋体" w:cs="宋体"/>
          <w:position w:val="3"/>
          <w:sz w:val="24"/>
          <w:szCs w:val="24"/>
          <w:lang w:val="en-US" w:eastAsia="zh-CN"/>
        </w:rPr>
        <w:t>75</w:t>
      </w:r>
      <w:r>
        <w:rPr>
          <w:rFonts w:hint="eastAsia" w:ascii="宋体" w:hAnsi="宋体" w:eastAsia="宋体" w:cs="宋体"/>
          <w:position w:val="3"/>
          <w:sz w:val="24"/>
          <w:szCs w:val="24"/>
        </w:rPr>
        <w:t>万元以上（含</w:t>
      </w:r>
      <w:r>
        <w:rPr>
          <w:rFonts w:hint="eastAsia" w:ascii="宋体" w:hAnsi="宋体" w:eastAsia="宋体" w:cs="宋体"/>
          <w:position w:val="3"/>
          <w:sz w:val="24"/>
          <w:szCs w:val="24"/>
          <w:lang w:val="en-US" w:eastAsia="zh-CN"/>
        </w:rPr>
        <w:t>75万</w:t>
      </w:r>
      <w:r>
        <w:rPr>
          <w:rFonts w:hint="eastAsia" w:ascii="宋体" w:hAnsi="宋体" w:eastAsia="宋体" w:cs="宋体"/>
          <w:position w:val="3"/>
          <w:sz w:val="24"/>
          <w:szCs w:val="24"/>
        </w:rPr>
        <w:t>元）市政公用工程项目监理服务的，每个得</w:t>
      </w:r>
      <w:r>
        <w:rPr>
          <w:rFonts w:hint="eastAsia" w:ascii="宋体" w:hAnsi="宋体" w:eastAsia="宋体" w:cs="宋体"/>
          <w:position w:val="3"/>
          <w:sz w:val="24"/>
          <w:szCs w:val="24"/>
          <w:lang w:val="en-US" w:eastAsia="zh-CN"/>
        </w:rPr>
        <w:t>2</w:t>
      </w:r>
      <w:r>
        <w:rPr>
          <w:rFonts w:hint="eastAsia" w:ascii="宋体" w:hAnsi="宋体" w:eastAsia="宋体" w:cs="宋体"/>
          <w:position w:val="3"/>
          <w:sz w:val="24"/>
          <w:szCs w:val="24"/>
        </w:rPr>
        <w:t>分。（满分</w:t>
      </w:r>
      <w:r>
        <w:rPr>
          <w:rFonts w:hint="eastAsia" w:ascii="宋体" w:hAnsi="宋体" w:eastAsia="宋体" w:cs="宋体"/>
          <w:position w:val="3"/>
          <w:sz w:val="24"/>
          <w:szCs w:val="24"/>
          <w:lang w:val="en-US" w:eastAsia="zh-CN"/>
        </w:rPr>
        <w:t>2</w:t>
      </w:r>
      <w:r>
        <w:rPr>
          <w:rFonts w:hint="eastAsia" w:ascii="宋体" w:hAnsi="宋体" w:eastAsia="宋体" w:cs="宋体"/>
          <w:position w:val="3"/>
          <w:sz w:val="24"/>
          <w:szCs w:val="24"/>
        </w:rPr>
        <w:t>分） 需附上中标通知书、监理合同复印件和竣工意见书，并附业主联系电话，合同等材料需真实有效。</w:t>
      </w:r>
    </w:p>
    <w:p>
      <w:pPr>
        <w:keepNext w:val="0"/>
        <w:keepLines w:val="0"/>
        <w:pageBreakBefore w:val="0"/>
        <w:kinsoku/>
        <w:wordWrap/>
        <w:overflowPunct/>
        <w:topLinePunct w:val="0"/>
        <w:autoSpaceDE/>
        <w:autoSpaceDN/>
        <w:bidi w:val="0"/>
        <w:adjustRightInd/>
        <w:snapToGrid/>
        <w:spacing w:after="0" w:line="360" w:lineRule="auto"/>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position w:val="3"/>
          <w:sz w:val="24"/>
          <w:szCs w:val="24"/>
        </w:rPr>
        <w:t>（</w:t>
      </w:r>
      <w:r>
        <w:rPr>
          <w:rFonts w:hint="eastAsia" w:ascii="宋体" w:hAnsi="宋体" w:eastAsia="宋体" w:cs="宋体"/>
          <w:b/>
          <w:bCs/>
          <w:position w:val="3"/>
          <w:sz w:val="24"/>
          <w:szCs w:val="24"/>
          <w:lang w:val="en-US" w:eastAsia="zh-CN"/>
        </w:rPr>
        <w:t>六</w:t>
      </w:r>
      <w:r>
        <w:rPr>
          <w:rFonts w:hint="eastAsia" w:ascii="宋体" w:hAnsi="宋体" w:eastAsia="宋体" w:cs="宋体"/>
          <w:b/>
          <w:bCs/>
          <w:position w:val="3"/>
          <w:sz w:val="24"/>
          <w:szCs w:val="24"/>
        </w:rPr>
        <w:t>）总得分＝（一）＋（二）＋（三）+（四）+（五）</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三、成交候选人推荐原则</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1.磋商小组应当根据综合评分情况，按照评审得分由高到低顺序推荐</w:t>
      </w:r>
      <w:r>
        <w:rPr>
          <w:rFonts w:hint="eastAsia" w:ascii="宋体" w:hAnsi="宋体" w:eastAsia="宋体" w:cs="宋体"/>
          <w:spacing w:val="4"/>
          <w:sz w:val="24"/>
          <w:szCs w:val="24"/>
        </w:rPr>
        <w:t> </w:t>
      </w:r>
      <w:r>
        <w:rPr>
          <w:rFonts w:hint="eastAsia" w:ascii="宋体" w:hAnsi="宋体" w:eastAsia="宋体" w:cs="宋体"/>
          <w:spacing w:val="-1"/>
          <w:sz w:val="24"/>
          <w:szCs w:val="24"/>
        </w:rPr>
        <w:t>3</w:t>
      </w:r>
      <w:r>
        <w:rPr>
          <w:rFonts w:hint="eastAsia" w:ascii="宋体" w:hAnsi="宋体" w:eastAsia="宋体" w:cs="宋体"/>
          <w:spacing w:val="5"/>
          <w:sz w:val="24"/>
          <w:szCs w:val="24"/>
        </w:rPr>
        <w:t> </w:t>
      </w:r>
      <w:r>
        <w:rPr>
          <w:rFonts w:hint="eastAsia" w:ascii="宋体" w:hAnsi="宋体" w:eastAsia="宋体" w:cs="宋体"/>
          <w:spacing w:val="-2"/>
          <w:sz w:val="24"/>
          <w:szCs w:val="24"/>
        </w:rPr>
        <w:t>名成交候选供应商，并</w:t>
      </w:r>
      <w:r>
        <w:rPr>
          <w:rFonts w:hint="eastAsia" w:ascii="宋体" w:hAnsi="宋体" w:eastAsia="宋体" w:cs="宋体"/>
          <w:spacing w:val="-1"/>
          <w:sz w:val="24"/>
          <w:szCs w:val="24"/>
        </w:rPr>
        <w:t>编写评审报告。评审得分相同的，以磋商响应报价由低到高顺序排列；若得分相同且响应报价相同</w:t>
      </w:r>
      <w:r>
        <w:rPr>
          <w:rFonts w:hint="eastAsia" w:ascii="宋体" w:hAnsi="宋体" w:eastAsia="宋体" w:cs="宋体"/>
          <w:spacing w:val="-4"/>
          <w:sz w:val="24"/>
          <w:szCs w:val="24"/>
        </w:rPr>
        <w:t>的，按照最终报价由低到高的顺序推荐；若仍相同的，按照监理大纲（技术方案）优劣顺序推荐。</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2.第一名供应商放弃成交或因不可抗力等原因提出不能履行合同，采购单位可以确定排名次位</w:t>
      </w:r>
      <w:r>
        <w:rPr>
          <w:rFonts w:hint="eastAsia" w:ascii="宋体" w:hAnsi="宋体" w:eastAsia="宋体" w:cs="宋体"/>
          <w:spacing w:val="-4"/>
          <w:sz w:val="24"/>
          <w:szCs w:val="24"/>
        </w:rPr>
        <w:t>的供应商为成交人，以此类推。但确定为成交人的供应商放弃成交时，采购人也可以重新开展磋商。</w:t>
      </w: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bookmarkStart w:id="148" w:name="32"/>
      <w:bookmarkEnd w:id="148"/>
      <w:r>
        <w:rPr>
          <w:rFonts w:hint="eastAsia" w:ascii="宋体" w:hAnsi="宋体" w:eastAsia="宋体" w:cs="宋体"/>
          <w:spacing w:val="-1"/>
          <w:sz w:val="24"/>
          <w:szCs w:val="24"/>
        </w:rPr>
        <w:t>3.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sectPr>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240" w:lineRule="exact"/>
        <w:ind w:left="60"/>
        <w:textAlignment w:val="auto"/>
        <w:outlineLvl w:val="9"/>
        <w:rPr>
          <w:sz w:val="30"/>
          <w:szCs w:val="30"/>
        </w:rPr>
      </w:pPr>
    </w:p>
    <w:p>
      <w:pPr>
        <w:keepNext w:val="0"/>
        <w:keepLines w:val="0"/>
        <w:pageBreakBefore w:val="0"/>
        <w:kinsoku/>
        <w:wordWrap/>
        <w:overflowPunct/>
        <w:topLinePunct w:val="0"/>
        <w:autoSpaceDE/>
        <w:autoSpaceDN/>
        <w:bidi w:val="0"/>
        <w:adjustRightInd/>
        <w:snapToGrid/>
        <w:spacing w:after="0" w:line="240" w:lineRule="exact"/>
        <w:ind w:left="60"/>
        <w:textAlignment w:val="auto"/>
        <w:outlineLvl w:val="9"/>
        <w:rPr>
          <w:sz w:val="30"/>
          <w:szCs w:val="30"/>
        </w:rPr>
      </w:pPr>
    </w:p>
    <w:p>
      <w:pPr>
        <w:spacing w:after="0" w:line="240" w:lineRule="exact"/>
        <w:ind w:left="60"/>
        <w:rPr>
          <w:sz w:val="30"/>
          <w:szCs w:val="30"/>
        </w:rPr>
      </w:pPr>
    </w:p>
    <w:p>
      <w:pPr>
        <w:spacing w:after="0" w:line="240" w:lineRule="exact"/>
        <w:ind w:left="60"/>
        <w:rPr>
          <w:sz w:val="30"/>
          <w:szCs w:val="30"/>
        </w:rPr>
      </w:pPr>
    </w:p>
    <w:p>
      <w:pPr>
        <w:spacing w:after="0" w:line="240" w:lineRule="exact"/>
        <w:ind w:left="60"/>
        <w:rPr>
          <w:sz w:val="30"/>
          <w:szCs w:val="30"/>
        </w:rPr>
      </w:pPr>
    </w:p>
    <w:p>
      <w:pPr>
        <w:spacing w:after="0" w:line="240" w:lineRule="exact"/>
        <w:ind w:left="60"/>
        <w:rPr>
          <w:sz w:val="30"/>
          <w:szCs w:val="30"/>
        </w:rPr>
      </w:pPr>
    </w:p>
    <w:p>
      <w:pPr>
        <w:widowControl/>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widowControl w:val="0"/>
        <w:tabs>
          <w:tab w:val="left" w:pos="4359"/>
        </w:tabs>
        <w:kinsoku/>
        <w:wordWrap/>
        <w:overflowPunct/>
        <w:topLinePunct w:val="0"/>
        <w:autoSpaceDE/>
        <w:autoSpaceDN/>
        <w:bidi w:val="0"/>
        <w:adjustRightInd/>
        <w:snapToGrid/>
        <w:spacing w:after="0" w:line="360" w:lineRule="auto"/>
        <w:ind w:left="0" w:firstLine="0"/>
        <w:jc w:val="center"/>
        <w:textAlignment w:val="auto"/>
        <w:outlineLvl w:val="0"/>
        <w:rPr>
          <w:sz w:val="30"/>
          <w:szCs w:val="30"/>
        </w:rPr>
      </w:pPr>
      <w:bookmarkStart w:id="149" w:name="33"/>
      <w:bookmarkEnd w:id="149"/>
      <w:bookmarkStart w:id="150" w:name="_Toc26335"/>
      <w:r>
        <w:rPr>
          <w:rFonts w:ascii="宋体" w:hAnsi="宋体" w:eastAsia="宋体" w:cs="宋体"/>
          <w:sz w:val="36"/>
          <w:szCs w:val="36"/>
        </w:rPr>
        <w:t>第</w:t>
      </w:r>
      <w:r>
        <w:rPr>
          <w:rFonts w:hint="eastAsia" w:ascii="宋体" w:hAnsi="宋体" w:eastAsia="宋体" w:cs="宋体"/>
          <w:sz w:val="36"/>
          <w:szCs w:val="36"/>
        </w:rPr>
        <w:t>六</w:t>
      </w:r>
      <w:r>
        <w:rPr>
          <w:rFonts w:ascii="宋体" w:hAnsi="宋体" w:eastAsia="宋体" w:cs="宋体"/>
          <w:sz w:val="36"/>
          <w:szCs w:val="36"/>
        </w:rPr>
        <w:t>章 响应文件格式</w:t>
      </w:r>
      <w:bookmarkEnd w:id="150"/>
    </w:p>
    <w:p>
      <w:pPr>
        <w:keepNext w:val="0"/>
        <w:keepLines w:val="0"/>
        <w:pageBreakBefore w:val="0"/>
        <w:widowControl/>
        <w:kinsoku/>
        <w:wordWrap/>
        <w:topLinePunct w:val="0"/>
        <w:bidi w:val="0"/>
        <w:outlineLvl w:val="9"/>
        <w:rPr>
          <w:rFonts w:hint="eastAsia" w:ascii="宋体" w:hAnsi="宋体" w:eastAsia="宋体" w:cs="宋体"/>
          <w:color w:val="auto"/>
          <w:sz w:val="20"/>
          <w:highlight w:val="none"/>
        </w:rPr>
      </w:pPr>
      <w:r>
        <w:rPr>
          <w:rFonts w:hint="eastAsia"/>
          <w:sz w:val="30"/>
          <w:szCs w:val="30"/>
        </w:rPr>
        <w:t>1.响应文件封面格式：</w:t>
      </w:r>
    </w:p>
    <w:p>
      <w:pPr>
        <w:pStyle w:val="7"/>
        <w:keepNext w:val="0"/>
        <w:keepLines w:val="0"/>
        <w:pageBreakBefore w:val="0"/>
        <w:widowControl w:val="0"/>
        <w:kinsoku/>
        <w:wordWrap/>
        <w:topLinePunct w:val="0"/>
        <w:autoSpaceDE w:val="0"/>
        <w:autoSpaceDN w:val="0"/>
        <w:bidi w:val="0"/>
        <w:adjustRightInd/>
        <w:spacing w:before="11"/>
        <w:textAlignment w:val="auto"/>
        <w:outlineLvl w:val="9"/>
        <w:rPr>
          <w:rFonts w:hint="eastAsia" w:ascii="宋体" w:hAnsi="宋体" w:eastAsia="宋体" w:cs="宋体"/>
          <w:color w:val="auto"/>
          <w:sz w:val="23"/>
          <w:highlight w:val="none"/>
        </w:rPr>
      </w:pPr>
    </w:p>
    <w:p>
      <w:pPr>
        <w:keepNext w:val="0"/>
        <w:keepLines w:val="0"/>
        <w:pageBreakBefore w:val="0"/>
        <w:widowControl w:val="0"/>
        <w:kinsoku/>
        <w:wordWrap/>
        <w:topLinePunct w:val="0"/>
        <w:autoSpaceDE w:val="0"/>
        <w:autoSpaceDN w:val="0"/>
        <w:bidi w:val="0"/>
        <w:adjustRightInd/>
        <w:spacing w:before="67"/>
        <w:ind w:left="0" w:right="215"/>
        <w:jc w:val="right"/>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（正 / 副本）</w:t>
      </w:r>
    </w:p>
    <w:p>
      <w:pPr>
        <w:pStyle w:val="7"/>
        <w:keepNext w:val="0"/>
        <w:keepLines w:val="0"/>
        <w:pageBreakBefore w:val="0"/>
        <w:widowControl w:val="0"/>
        <w:kinsoku/>
        <w:wordWrap/>
        <w:topLinePunct w:val="0"/>
        <w:autoSpaceDE w:val="0"/>
        <w:autoSpaceDN w:val="0"/>
        <w:bidi w:val="0"/>
        <w:adjustRightInd/>
        <w:textAlignment w:val="auto"/>
        <w:outlineLvl w:val="9"/>
        <w:rPr>
          <w:rFonts w:hint="eastAsia" w:ascii="宋体" w:hAnsi="宋体" w:eastAsia="宋体" w:cs="宋体"/>
          <w:color w:val="auto"/>
          <w:sz w:val="20"/>
          <w:highlight w:val="none"/>
        </w:rPr>
      </w:pPr>
    </w:p>
    <w:p>
      <w:pPr>
        <w:pStyle w:val="7"/>
        <w:keepNext w:val="0"/>
        <w:keepLines w:val="0"/>
        <w:pageBreakBefore w:val="0"/>
        <w:widowControl w:val="0"/>
        <w:kinsoku/>
        <w:wordWrap/>
        <w:topLinePunct w:val="0"/>
        <w:autoSpaceDE w:val="0"/>
        <w:autoSpaceDN w:val="0"/>
        <w:bidi w:val="0"/>
        <w:adjustRightInd/>
        <w:textAlignment w:val="auto"/>
        <w:outlineLvl w:val="9"/>
        <w:rPr>
          <w:rFonts w:hint="eastAsia" w:ascii="宋体" w:hAnsi="宋体" w:eastAsia="宋体" w:cs="宋体"/>
          <w:color w:val="auto"/>
          <w:sz w:val="20"/>
          <w:highlight w:val="none"/>
        </w:rPr>
      </w:pPr>
    </w:p>
    <w:p>
      <w:pPr>
        <w:keepNext w:val="0"/>
        <w:keepLines w:val="0"/>
        <w:pageBreakBefore w:val="0"/>
        <w:widowControl w:val="0"/>
        <w:kinsoku/>
        <w:wordWrap/>
        <w:topLinePunct w:val="0"/>
        <w:autoSpaceDE w:val="0"/>
        <w:autoSpaceDN w:val="0"/>
        <w:bidi w:val="0"/>
        <w:adjustRightInd/>
        <w:spacing w:before="38"/>
        <w:ind w:left="623" w:right="623" w:firstLine="0"/>
        <w:jc w:val="center"/>
        <w:textAlignment w:val="auto"/>
        <w:outlineLvl w:val="9"/>
        <w:rPr>
          <w:rFonts w:hint="eastAsia" w:ascii="宋体" w:hAnsi="宋体" w:eastAsia="宋体" w:cs="宋体"/>
          <w:b/>
          <w:color w:val="auto"/>
          <w:sz w:val="44"/>
          <w:highlight w:val="none"/>
        </w:rPr>
      </w:pPr>
      <w:bookmarkStart w:id="151" w:name="_Toc14040"/>
      <w:bookmarkStart w:id="152" w:name="_Toc20910"/>
    </w:p>
    <w:p>
      <w:pPr>
        <w:keepNext w:val="0"/>
        <w:keepLines w:val="0"/>
        <w:pageBreakBefore w:val="0"/>
        <w:widowControl w:val="0"/>
        <w:kinsoku/>
        <w:wordWrap/>
        <w:topLinePunct w:val="0"/>
        <w:autoSpaceDE w:val="0"/>
        <w:autoSpaceDN w:val="0"/>
        <w:bidi w:val="0"/>
        <w:adjustRightInd/>
        <w:spacing w:before="38"/>
        <w:ind w:left="623" w:right="623" w:firstLine="0"/>
        <w:jc w:val="center"/>
        <w:textAlignment w:val="auto"/>
        <w:outlineLvl w:val="9"/>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竞争性磋商响应文件</w:t>
      </w:r>
      <w:bookmarkEnd w:id="151"/>
      <w:bookmarkEnd w:id="152"/>
    </w:p>
    <w:p>
      <w:pPr>
        <w:pStyle w:val="7"/>
        <w:keepNext w:val="0"/>
        <w:keepLines w:val="0"/>
        <w:pageBreakBefore w:val="0"/>
        <w:widowControl w:val="0"/>
        <w:kinsoku/>
        <w:wordWrap/>
        <w:topLinePunct w:val="0"/>
        <w:autoSpaceDE w:val="0"/>
        <w:autoSpaceDN w:val="0"/>
        <w:bidi w:val="0"/>
        <w:adjustRightInd/>
        <w:textAlignment w:val="auto"/>
        <w:outlineLvl w:val="9"/>
        <w:rPr>
          <w:rFonts w:hint="eastAsia" w:ascii="宋体" w:hAnsi="宋体" w:eastAsia="宋体" w:cs="宋体"/>
          <w:b/>
          <w:color w:val="auto"/>
          <w:sz w:val="44"/>
          <w:highlight w:val="none"/>
        </w:rPr>
      </w:pPr>
    </w:p>
    <w:p>
      <w:pPr>
        <w:pStyle w:val="7"/>
        <w:keepNext w:val="0"/>
        <w:keepLines w:val="0"/>
        <w:pageBreakBefore w:val="0"/>
        <w:widowControl w:val="0"/>
        <w:kinsoku/>
        <w:wordWrap/>
        <w:topLinePunct w:val="0"/>
        <w:autoSpaceDE w:val="0"/>
        <w:autoSpaceDN w:val="0"/>
        <w:bidi w:val="0"/>
        <w:adjustRightInd/>
        <w:textAlignment w:val="auto"/>
        <w:outlineLvl w:val="9"/>
        <w:rPr>
          <w:rFonts w:hint="eastAsia" w:ascii="宋体" w:hAnsi="宋体" w:eastAsia="宋体" w:cs="宋体"/>
          <w:b/>
          <w:color w:val="auto"/>
          <w:sz w:val="44"/>
          <w:highlight w:val="none"/>
        </w:rPr>
      </w:pPr>
    </w:p>
    <w:p>
      <w:pPr>
        <w:pStyle w:val="7"/>
        <w:keepNext w:val="0"/>
        <w:keepLines w:val="0"/>
        <w:pageBreakBefore w:val="0"/>
        <w:widowControl w:val="0"/>
        <w:kinsoku/>
        <w:wordWrap/>
        <w:topLinePunct w:val="0"/>
        <w:autoSpaceDE w:val="0"/>
        <w:autoSpaceDN w:val="0"/>
        <w:bidi w:val="0"/>
        <w:adjustRightInd/>
        <w:textAlignment w:val="auto"/>
        <w:outlineLvl w:val="9"/>
        <w:rPr>
          <w:rFonts w:hint="eastAsia" w:ascii="宋体" w:hAnsi="宋体" w:eastAsia="宋体" w:cs="宋体"/>
          <w:b/>
          <w:color w:val="auto"/>
          <w:sz w:val="41"/>
          <w:highlight w:val="none"/>
        </w:rPr>
      </w:pPr>
    </w:p>
    <w:p>
      <w:pPr>
        <w:keepNext w:val="0"/>
        <w:keepLines w:val="0"/>
        <w:pageBreakBefore w:val="0"/>
        <w:widowControl w:val="0"/>
        <w:tabs>
          <w:tab w:val="left" w:pos="4475"/>
        </w:tabs>
        <w:kinsoku/>
        <w:wordWrap/>
        <w:overflowPunct/>
        <w:topLinePunct w:val="0"/>
        <w:autoSpaceDE w:val="0"/>
        <w:autoSpaceDN w:val="0"/>
        <w:bidi w:val="0"/>
        <w:adjustRightInd/>
        <w:snapToGrid/>
        <w:ind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w:t>
      </w:r>
    </w:p>
    <w:p>
      <w:pPr>
        <w:pStyle w:val="7"/>
        <w:keepNext w:val="0"/>
        <w:keepLines w:val="0"/>
        <w:pageBreakBefore w:val="0"/>
        <w:widowControl w:val="0"/>
        <w:kinsoku/>
        <w:wordWrap/>
        <w:overflowPunct/>
        <w:topLinePunct w:val="0"/>
        <w:autoSpaceDE w:val="0"/>
        <w:autoSpaceDN w:val="0"/>
        <w:bidi w:val="0"/>
        <w:adjustRightInd/>
        <w:snapToGrid/>
        <w:ind w:firstLine="1200" w:firstLineChars="500"/>
        <w:textAlignment w:val="auto"/>
        <w:outlineLvl w:val="9"/>
        <w:rPr>
          <w:rFonts w:hint="eastAsia" w:ascii="宋体" w:hAnsi="宋体" w:eastAsia="宋体" w:cs="宋体"/>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3"/>
        <w:ind w:firstLine="1200" w:firstLineChars="5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tabs>
          <w:tab w:val="left" w:pos="4475"/>
        </w:tabs>
        <w:kinsoku/>
        <w:wordWrap/>
        <w:overflowPunct/>
        <w:topLinePunct w:val="0"/>
        <w:autoSpaceDE w:val="0"/>
        <w:autoSpaceDN w:val="0"/>
        <w:bidi w:val="0"/>
        <w:adjustRightInd/>
        <w:snapToGrid/>
        <w:spacing w:before="74"/>
        <w:ind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w:t>
      </w:r>
    </w:p>
    <w:p>
      <w:pPr>
        <w:pStyle w:val="7"/>
        <w:keepNext w:val="0"/>
        <w:keepLines w:val="0"/>
        <w:pageBreakBefore w:val="0"/>
        <w:widowControl w:val="0"/>
        <w:kinsoku/>
        <w:wordWrap/>
        <w:overflowPunct/>
        <w:topLinePunct w:val="0"/>
        <w:autoSpaceDE w:val="0"/>
        <w:autoSpaceDN w:val="0"/>
        <w:bidi w:val="0"/>
        <w:adjustRightInd/>
        <w:snapToGrid/>
        <w:ind w:firstLine="1200" w:firstLineChars="500"/>
        <w:textAlignment w:val="auto"/>
        <w:outlineLvl w:val="9"/>
        <w:rPr>
          <w:rFonts w:hint="eastAsia" w:ascii="宋体" w:hAnsi="宋体" w:eastAsia="宋体" w:cs="宋体"/>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3"/>
        <w:ind w:firstLine="1200" w:firstLineChars="5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tabs>
          <w:tab w:val="left" w:pos="5796"/>
        </w:tabs>
        <w:kinsoku/>
        <w:wordWrap/>
        <w:overflowPunct/>
        <w:topLinePunct w:val="0"/>
        <w:autoSpaceDE w:val="0"/>
        <w:autoSpaceDN w:val="0"/>
        <w:bidi w:val="0"/>
        <w:adjustRightInd/>
        <w:snapToGrid/>
        <w:spacing w:before="74"/>
        <w:ind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w:t>
      </w:r>
    </w:p>
    <w:p>
      <w:pPr>
        <w:pStyle w:val="7"/>
        <w:keepNext w:val="0"/>
        <w:keepLines w:val="0"/>
        <w:pageBreakBefore w:val="0"/>
        <w:widowControl w:val="0"/>
        <w:kinsoku/>
        <w:wordWrap/>
        <w:overflowPunct/>
        <w:topLinePunct w:val="0"/>
        <w:autoSpaceDE w:val="0"/>
        <w:autoSpaceDN w:val="0"/>
        <w:bidi w:val="0"/>
        <w:adjustRightInd/>
        <w:snapToGrid/>
        <w:ind w:firstLine="1200" w:firstLineChars="500"/>
        <w:textAlignment w:val="auto"/>
        <w:outlineLvl w:val="9"/>
        <w:rPr>
          <w:rFonts w:hint="eastAsia" w:ascii="宋体" w:hAnsi="宋体" w:eastAsia="宋体" w:cs="宋体"/>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2"/>
        <w:ind w:firstLine="1200" w:firstLineChars="5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tabs>
          <w:tab w:val="left" w:pos="4475"/>
        </w:tabs>
        <w:kinsoku/>
        <w:wordWrap/>
        <w:overflowPunct/>
        <w:topLinePunct w:val="0"/>
        <w:autoSpaceDE w:val="0"/>
        <w:autoSpaceDN w:val="0"/>
        <w:bidi w:val="0"/>
        <w:adjustRightInd/>
        <w:snapToGrid/>
        <w:spacing w:before="74"/>
        <w:ind w:firstLine="1200" w:firstLineChars="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7"/>
        <w:keepNext w:val="0"/>
        <w:keepLines w:val="0"/>
        <w:pageBreakBefore w:val="0"/>
        <w:widowControl w:val="0"/>
        <w:kinsoku/>
        <w:wordWrap/>
        <w:overflowPunct/>
        <w:topLinePunct w:val="0"/>
        <w:autoSpaceDE w:val="0"/>
        <w:autoSpaceDN w:val="0"/>
        <w:bidi w:val="0"/>
        <w:adjustRightInd/>
        <w:snapToGrid/>
        <w:ind w:firstLine="1200" w:firstLineChars="500"/>
        <w:textAlignment w:val="auto"/>
        <w:outlineLvl w:val="9"/>
        <w:rPr>
          <w:rFonts w:hint="eastAsia" w:ascii="宋体" w:hAnsi="宋体" w:eastAsia="宋体" w:cs="宋体"/>
          <w:color w:val="auto"/>
          <w:sz w:val="24"/>
          <w:szCs w:val="24"/>
          <w:highlight w:val="none"/>
        </w:rPr>
      </w:pPr>
    </w:p>
    <w:p>
      <w:pPr>
        <w:pStyle w:val="7"/>
        <w:keepNext w:val="0"/>
        <w:keepLines w:val="0"/>
        <w:pageBreakBefore w:val="0"/>
        <w:widowControl w:val="0"/>
        <w:kinsoku/>
        <w:wordWrap/>
        <w:topLinePunct w:val="0"/>
        <w:autoSpaceDE w:val="0"/>
        <w:autoSpaceDN w:val="0"/>
        <w:bidi w:val="0"/>
        <w:adjustRightInd/>
        <w:textAlignment w:val="auto"/>
        <w:outlineLvl w:val="9"/>
        <w:rPr>
          <w:rFonts w:hint="eastAsia" w:ascii="宋体" w:hAnsi="宋体" w:eastAsia="宋体" w:cs="宋体"/>
          <w:color w:val="auto"/>
          <w:sz w:val="24"/>
          <w:szCs w:val="24"/>
          <w:highlight w:val="none"/>
        </w:rPr>
      </w:pPr>
    </w:p>
    <w:p>
      <w:pPr>
        <w:pStyle w:val="7"/>
        <w:keepNext w:val="0"/>
        <w:keepLines w:val="0"/>
        <w:pageBreakBefore w:val="0"/>
        <w:widowControl w:val="0"/>
        <w:kinsoku/>
        <w:wordWrap/>
        <w:topLinePunct w:val="0"/>
        <w:autoSpaceDE w:val="0"/>
        <w:autoSpaceDN w:val="0"/>
        <w:bidi w:val="0"/>
        <w:adjustRightInd/>
        <w:spacing w:before="5"/>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tabs>
          <w:tab w:val="left" w:pos="5741"/>
          <w:tab w:val="left" w:pos="6701"/>
        </w:tabs>
        <w:kinsoku/>
        <w:wordWrap/>
        <w:topLinePunct w:val="0"/>
        <w:autoSpaceDE w:val="0"/>
        <w:autoSpaceDN w:val="0"/>
        <w:bidi w:val="0"/>
        <w:adjustRightInd/>
        <w:spacing w:before="67"/>
        <w:ind w:left="4781"/>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pPr>
        <w:keepNext w:val="0"/>
        <w:keepLines w:val="0"/>
        <w:pageBreakBefore w:val="0"/>
        <w:widowControl w:val="0"/>
        <w:kinsoku/>
        <w:wordWrap/>
        <w:topLinePunct w:val="0"/>
        <w:autoSpaceDE w:val="0"/>
        <w:autoSpaceDN w:val="0"/>
        <w:bidi w:val="0"/>
        <w:adjustRightInd/>
        <w:spacing w:after="0"/>
        <w:textAlignment w:val="auto"/>
        <w:outlineLvl w:val="9"/>
        <w:rPr>
          <w:rFonts w:hint="eastAsia" w:ascii="宋体" w:hAnsi="宋体" w:eastAsia="宋体" w:cs="宋体"/>
          <w:color w:val="auto"/>
          <w:sz w:val="24"/>
          <w:szCs w:val="24"/>
          <w:highlight w:val="none"/>
        </w:rPr>
        <w:sectPr>
          <w:type w:val="continuous"/>
          <w:pgSz w:w="11911" w:h="16838"/>
          <w:pgMar w:top="1417" w:right="1134" w:bottom="1417" w:left="1134" w:header="873" w:footer="1202" w:gutter="0"/>
          <w:pgNumType w:fmt="decimal"/>
          <w:cols w:space="0" w:num="1"/>
          <w:rtlGutter w:val="0"/>
          <w:docGrid w:linePitch="0" w:charSpace="0"/>
        </w:sect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322" w:lineRule="exact"/>
        <w:ind w:left="60"/>
        <w:outlineLvl w:val="9"/>
        <w:rPr>
          <w:sz w:val="30"/>
          <w:szCs w:val="30"/>
        </w:r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440" w:lineRule="exact"/>
        <w:jc w:val="center"/>
        <w:outlineLvl w:val="9"/>
        <w:rPr>
          <w:b/>
          <w:bCs/>
          <w:sz w:val="32"/>
          <w:szCs w:val="32"/>
        </w:rPr>
      </w:pPr>
      <w:r>
        <w:rPr>
          <w:rFonts w:ascii="宋体" w:hAnsi="宋体" w:cs="宋体"/>
          <w:b/>
          <w:bCs/>
          <w:sz w:val="32"/>
          <w:szCs w:val="32"/>
        </w:rPr>
        <w:t>一、价格文件</w:t>
      </w:r>
    </w:p>
    <w:p>
      <w:pPr>
        <w:keepNext w:val="0"/>
        <w:keepLines w:val="0"/>
        <w:pageBreakBefore w:val="0"/>
        <w:widowControl/>
        <w:kinsoku/>
        <w:wordWrap/>
        <w:topLinePunct w:val="0"/>
        <w:bidi w:val="0"/>
        <w:outlineLvl w:val="9"/>
        <w:rPr>
          <w:b/>
          <w:bCs/>
          <w:sz w:val="32"/>
          <w:szCs w:val="32"/>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96" w:lineRule="exact"/>
        <w:ind w:left="3235"/>
        <w:outlineLvl w:val="9"/>
        <w:rPr>
          <w:sz w:val="30"/>
          <w:szCs w:val="30"/>
        </w:r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tabs>
          <w:tab w:val="left" w:pos="4610"/>
          <w:tab w:val="left" w:pos="5169"/>
        </w:tabs>
        <w:kinsoku/>
        <w:wordWrap/>
        <w:topLinePunct w:val="0"/>
        <w:bidi w:val="0"/>
        <w:spacing w:after="0" w:line="488" w:lineRule="exact"/>
        <w:ind w:left="134" w:firstLine="3682"/>
        <w:outlineLvl w:val="9"/>
        <w:rPr>
          <w:rFonts w:hint="eastAsia" w:asciiTheme="majorEastAsia" w:hAnsiTheme="majorEastAsia" w:eastAsiaTheme="majorEastAsia" w:cstheme="majorEastAsia"/>
          <w:b/>
          <w:bCs/>
          <w:sz w:val="30"/>
          <w:szCs w:val="30"/>
        </w:rPr>
      </w:pPr>
      <w:bookmarkStart w:id="153" w:name="35"/>
      <w:bookmarkEnd w:id="153"/>
      <w:r>
        <w:rPr>
          <w:rFonts w:hint="eastAsia" w:asciiTheme="majorEastAsia" w:hAnsiTheme="majorEastAsia" w:eastAsiaTheme="majorEastAsia" w:cstheme="majorEastAsia"/>
          <w:b/>
          <w:bCs/>
          <w:position w:val="6"/>
          <w:sz w:val="30"/>
          <w:szCs w:val="30"/>
          <w:lang w:val="en-US" w:eastAsia="zh-CN"/>
        </w:rPr>
        <w:t xml:space="preserve">1. </w:t>
      </w:r>
      <w:r>
        <w:rPr>
          <w:rFonts w:hint="eastAsia" w:asciiTheme="majorEastAsia" w:hAnsiTheme="majorEastAsia" w:eastAsiaTheme="majorEastAsia" w:cstheme="majorEastAsia"/>
          <w:b/>
          <w:bCs/>
          <w:position w:val="6"/>
          <w:sz w:val="30"/>
          <w:szCs w:val="30"/>
        </w:rPr>
        <w:t>报</w:t>
      </w:r>
      <w:r>
        <w:rPr>
          <w:rFonts w:hint="eastAsia" w:asciiTheme="majorEastAsia" w:hAnsiTheme="majorEastAsia" w:eastAsiaTheme="majorEastAsia" w:cstheme="majorEastAsia"/>
          <w:b/>
          <w:bCs/>
          <w:sz w:val="30"/>
          <w:szCs w:val="30"/>
        </w:rPr>
        <w:tab/>
      </w:r>
      <w:r>
        <w:rPr>
          <w:rFonts w:hint="eastAsia" w:asciiTheme="majorEastAsia" w:hAnsiTheme="majorEastAsia" w:eastAsiaTheme="majorEastAsia" w:cstheme="majorEastAsia"/>
          <w:b/>
          <w:bCs/>
          <w:position w:val="6"/>
          <w:sz w:val="30"/>
          <w:szCs w:val="30"/>
        </w:rPr>
        <w:t>价表</w:t>
      </w:r>
    </w:p>
    <w:p>
      <w:pPr>
        <w:keepNext w:val="0"/>
        <w:keepLines w:val="0"/>
        <w:pageBreakBefore w:val="0"/>
        <w:kinsoku/>
        <w:wordWrap/>
        <w:topLinePunct w:val="0"/>
        <w:bidi w:val="0"/>
        <w:spacing w:after="0" w:line="240" w:lineRule="exact"/>
        <w:ind w:left="134" w:firstLine="3682"/>
        <w:outlineLvl w:val="9"/>
        <w:rPr>
          <w:sz w:val="30"/>
          <w:szCs w:val="30"/>
        </w:rPr>
      </w:pPr>
    </w:p>
    <w:p>
      <w:pPr>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项目编号:</w:t>
      </w:r>
    </w:p>
    <w:p>
      <w:pPr>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outlineLvl w:val="9"/>
        <w:rPr>
          <w:rFonts w:hint="eastAsia" w:ascii="宋体" w:hAnsi="宋体" w:eastAsia="宋体" w:cs="宋体"/>
          <w:spacing w:val="-1"/>
          <w:sz w:val="24"/>
          <w:szCs w:val="24"/>
        </w:rPr>
      </w:pPr>
      <w:r>
        <w:rPr>
          <w:rFonts w:hint="eastAsia" w:ascii="宋体" w:hAnsi="宋体" w:eastAsia="宋体" w:cs="宋体"/>
          <w:spacing w:val="-1"/>
          <w:sz w:val="24"/>
          <w:szCs w:val="24"/>
        </w:rPr>
        <w:t>项目名称:</w:t>
      </w:r>
    </w:p>
    <w:p>
      <w:pPr>
        <w:keepNext w:val="0"/>
        <w:keepLines w:val="0"/>
        <w:pageBreakBefore w:val="0"/>
        <w:kinsoku/>
        <w:wordWrap/>
        <w:overflowPunct/>
        <w:topLinePunct w:val="0"/>
        <w:autoSpaceDE/>
        <w:autoSpaceDN/>
        <w:bidi w:val="0"/>
        <w:adjustRightInd/>
        <w:snapToGrid/>
        <w:spacing w:after="0" w:line="360" w:lineRule="auto"/>
        <w:ind w:left="0" w:right="0" w:firstLine="480" w:firstLineChars="200"/>
        <w:jc w:val="righ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金</w:t>
      </w:r>
      <w:r>
        <w:rPr>
          <w:rFonts w:hint="eastAsia" w:ascii="宋体" w:hAnsi="宋体" w:eastAsia="宋体" w:cs="宋体"/>
          <w:sz w:val="24"/>
          <w:szCs w:val="24"/>
        </w:rPr>
        <w:t>额单位：人民币（元）</w:t>
      </w:r>
    </w:p>
    <w:tbl>
      <w:tblPr>
        <w:tblStyle w:val="1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391"/>
        <w:gridCol w:w="2642"/>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91"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2642"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p>
        </w:tc>
        <w:tc>
          <w:tcPr>
            <w:tcW w:w="2143"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76"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91"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p>
        </w:tc>
        <w:tc>
          <w:tcPr>
            <w:tcW w:w="2642"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p>
        </w:tc>
        <w:tc>
          <w:tcPr>
            <w:tcW w:w="2143" w:type="dxa"/>
            <w:noWrap w:val="0"/>
            <w:vAlign w:val="center"/>
          </w:tcPr>
          <w:p>
            <w:pPr>
              <w:keepNext w:val="0"/>
              <w:keepLines w:val="0"/>
              <w:pageBreakBefore w:val="0"/>
              <w:widowControl w:val="0"/>
              <w:kinsoku/>
              <w:wordWrap/>
              <w:topLinePunct w:val="0"/>
              <w:autoSpaceDE w:val="0"/>
              <w:autoSpaceDN w:val="0"/>
              <w:bidi w:val="0"/>
              <w:adjustRightInd/>
              <w:spacing w:line="440" w:lineRule="exact"/>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4"/>
            <w:noWrap w:val="0"/>
            <w:vAlign w:val="center"/>
          </w:tcPr>
          <w:p>
            <w:pPr>
              <w:keepNext w:val="0"/>
              <w:keepLines w:val="0"/>
              <w:pageBreakBefore w:val="0"/>
              <w:widowControl w:val="0"/>
              <w:kinsoku/>
              <w:wordWrap/>
              <w:topLinePunct w:val="0"/>
              <w:autoSpaceDE w:val="0"/>
              <w:autoSpaceDN w:val="0"/>
              <w:bidi w:val="0"/>
              <w:adjustRightInd/>
              <w:spacing w:line="440" w:lineRule="exact"/>
              <w:jc w:val="both"/>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lang w:val="en-US" w:eastAsia="zh-CN"/>
              </w:rPr>
              <w:t>总报价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4"/>
            <w:noWrap w:val="0"/>
            <w:vAlign w:val="center"/>
          </w:tcPr>
          <w:p>
            <w:pPr>
              <w:keepNext w:val="0"/>
              <w:keepLines w:val="0"/>
              <w:pageBreakBefore w:val="0"/>
              <w:widowControl w:val="0"/>
              <w:kinsoku/>
              <w:wordWrap/>
              <w:topLinePunct w:val="0"/>
              <w:autoSpaceDE w:val="0"/>
              <w:autoSpaceDN w:val="0"/>
              <w:bidi w:val="0"/>
              <w:adjustRightInd/>
              <w:spacing w:line="440" w:lineRule="exact"/>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监理服务期限：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4"/>
            <w:noWrap w:val="0"/>
            <w:vAlign w:val="center"/>
          </w:tcPr>
          <w:p>
            <w:pPr>
              <w:keepNext w:val="0"/>
              <w:keepLines w:val="0"/>
              <w:pageBreakBefore w:val="0"/>
              <w:widowControl w:val="0"/>
              <w:kinsoku/>
              <w:wordWrap/>
              <w:topLinePunct w:val="0"/>
              <w:autoSpaceDE w:val="0"/>
              <w:autoSpaceDN w:val="0"/>
              <w:bidi w:val="0"/>
              <w:adjustRightInd/>
              <w:spacing w:line="440" w:lineRule="exact"/>
              <w:jc w:val="both"/>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4"/>
            <w:noWrap w:val="0"/>
            <w:vAlign w:val="center"/>
          </w:tcPr>
          <w:p>
            <w:pPr>
              <w:keepNext w:val="0"/>
              <w:keepLines w:val="0"/>
              <w:pageBreakBefore w:val="0"/>
              <w:widowControl w:val="0"/>
              <w:kinsoku/>
              <w:wordWrap/>
              <w:topLinePunct w:val="0"/>
              <w:autoSpaceDE w:val="0"/>
              <w:autoSpaceDN w:val="0"/>
              <w:bidi w:val="0"/>
              <w:adjustRightInd/>
              <w:spacing w:line="440" w:lineRule="exact"/>
              <w:jc w:val="both"/>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备注：</w:t>
            </w:r>
          </w:p>
        </w:tc>
      </w:tr>
    </w:tbl>
    <w:p>
      <w:pPr>
        <w:keepNext w:val="0"/>
        <w:keepLines w:val="0"/>
        <w:pageBreakBefore w:val="0"/>
        <w:widowControl w:val="0"/>
        <w:kinsoku/>
        <w:wordWrap/>
        <w:overflowPunct/>
        <w:topLinePunct w:val="0"/>
        <w:autoSpaceDE/>
        <w:autoSpaceDN/>
        <w:bidi w:val="0"/>
        <w:adjustRightInd/>
        <w:snapToGrid/>
        <w:spacing w:after="0" w:line="360" w:lineRule="auto"/>
        <w:ind w:left="0" w:right="0" w:firstLine="476" w:firstLineChars="200"/>
        <w:textAlignment w:val="auto"/>
        <w:outlineLvl w:val="9"/>
        <w:rPr>
          <w:rFonts w:hint="eastAsia" w:ascii="宋体" w:hAnsi="宋体" w:eastAsia="宋体" w:cs="宋体"/>
          <w:spacing w:val="-1"/>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ind w:right="0"/>
        <w:textAlignment w:val="auto"/>
        <w:outlineLvl w:val="9"/>
        <w:rPr>
          <w:rFonts w:hint="eastAsia" w:ascii="宋体" w:hAnsi="宋体" w:eastAsia="宋体" w:cs="宋体"/>
          <w:kern w:val="0"/>
          <w:sz w:val="22"/>
          <w:szCs w:val="22"/>
        </w:rPr>
      </w:pPr>
      <w:r>
        <w:rPr>
          <w:rFonts w:hint="eastAsia" w:ascii="宋体" w:hAnsi="宋体" w:eastAsia="宋体" w:cs="宋体"/>
          <w:spacing w:val="-1"/>
          <w:sz w:val="22"/>
          <w:szCs w:val="22"/>
        </w:rPr>
        <w:t>注：</w:t>
      </w:r>
      <w:bookmarkStart w:id="154" w:name="_Toc27976"/>
      <w:bookmarkStart w:id="155" w:name="_Toc7233"/>
      <w:r>
        <w:rPr>
          <w:rFonts w:hint="eastAsia" w:ascii="宋体" w:hAnsi="宋体" w:eastAsia="宋体" w:cs="宋体"/>
          <w:bCs/>
          <w:kern w:val="0"/>
          <w:sz w:val="22"/>
          <w:szCs w:val="22"/>
        </w:rPr>
        <w:t>1、</w:t>
      </w:r>
      <w:bookmarkEnd w:id="154"/>
      <w:bookmarkEnd w:id="155"/>
      <w:r>
        <w:rPr>
          <w:rFonts w:hint="eastAsia" w:ascii="宋体" w:hAnsi="宋体" w:eastAsia="宋体" w:cs="宋体"/>
          <w:kern w:val="0"/>
          <w:sz w:val="22"/>
          <w:szCs w:val="22"/>
        </w:rPr>
        <w:t>本项目的总报价应包含数据采集、资料的收集、报告编制、领用涉密文件（测绘成果）、提供成果文件、对本项目所产生的所有开支、人力投入成本、技术投入、利润、税金、交通费、评审费、合同约定的应由中标人承担的开支、责任和风险等所发生的各项费用的总和。</w:t>
      </w:r>
    </w:p>
    <w:p>
      <w:pPr>
        <w:keepNext w:val="0"/>
        <w:keepLines w:val="0"/>
        <w:pageBreakBefore w:val="0"/>
        <w:kinsoku/>
        <w:wordWrap/>
        <w:overflowPunct/>
        <w:topLinePunct w:val="0"/>
        <w:autoSpaceDE/>
        <w:autoSpaceDN/>
        <w:bidi w:val="0"/>
        <w:adjustRightInd/>
        <w:snapToGrid/>
        <w:spacing w:after="0" w:line="360" w:lineRule="auto"/>
        <w:ind w:right="0"/>
        <w:textAlignment w:val="auto"/>
        <w:outlineLvl w:val="9"/>
        <w:rPr>
          <w:rFonts w:hint="eastAsia" w:ascii="宋体" w:hAnsi="宋体" w:eastAsia="宋体" w:cs="宋体"/>
          <w:sz w:val="22"/>
          <w:szCs w:val="22"/>
        </w:rPr>
      </w:pPr>
      <w:r>
        <w:rPr>
          <w:rFonts w:hint="eastAsia" w:ascii="宋体" w:hAnsi="宋体" w:eastAsia="宋体" w:cs="宋体"/>
          <w:sz w:val="22"/>
          <w:szCs w:val="22"/>
        </w:rPr>
        <w:t>2、本项目报价含税金及成交单位提供以上所有服务发生的一切费用。</w:t>
      </w:r>
    </w:p>
    <w:p>
      <w:pPr>
        <w:keepNext w:val="0"/>
        <w:keepLines w:val="0"/>
        <w:pageBreakBefore w:val="0"/>
        <w:kinsoku/>
        <w:wordWrap/>
        <w:overflowPunct/>
        <w:topLinePunct w:val="0"/>
        <w:autoSpaceDE/>
        <w:autoSpaceDN/>
        <w:bidi w:val="0"/>
        <w:adjustRightInd/>
        <w:snapToGrid/>
        <w:spacing w:after="0" w:line="360" w:lineRule="auto"/>
        <w:ind w:left="0" w:right="0" w:firstLine="476" w:firstLineChars="200"/>
        <w:textAlignment w:val="auto"/>
        <w:outlineLvl w:val="9"/>
        <w:rPr>
          <w:rFonts w:hint="eastAsia" w:ascii="宋体" w:hAnsi="宋体" w:eastAsia="宋体" w:cs="宋体"/>
          <w:spacing w:val="-1"/>
          <w:sz w:val="24"/>
          <w:szCs w:val="24"/>
        </w:rPr>
      </w:pPr>
    </w:p>
    <w:p>
      <w:pPr>
        <w:keepNext w:val="0"/>
        <w:keepLines w:val="0"/>
        <w:pageBreakBefore w:val="0"/>
        <w:widowControl w:val="0"/>
        <w:kinsoku/>
        <w:wordWrap/>
        <w:topLinePunct w:val="0"/>
        <w:autoSpaceDE w:val="0"/>
        <w:autoSpaceDN w:val="0"/>
        <w:bidi w:val="0"/>
        <w:adjustRightInd/>
        <w:ind w:left="260"/>
        <w:jc w:val="left"/>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rPr>
        <w:t>（盖单</w:t>
      </w:r>
      <w:r>
        <w:rPr>
          <w:rFonts w:hint="eastAsia" w:ascii="宋体" w:hAnsi="宋体" w:eastAsia="宋体" w:cs="宋体"/>
          <w:color w:val="auto"/>
          <w:spacing w:val="-3"/>
          <w:sz w:val="24"/>
          <w:szCs w:val="24"/>
          <w:highlight w:val="none"/>
          <w:u w:val="single"/>
        </w:rPr>
        <w:t>位章</w:t>
      </w:r>
      <w:r>
        <w:rPr>
          <w:rFonts w:hint="eastAsia" w:ascii="宋体" w:hAnsi="宋体" w:eastAsia="宋体" w:cs="宋体"/>
          <w:color w:val="auto"/>
          <w:spacing w:val="-18"/>
          <w:sz w:val="24"/>
          <w:szCs w:val="24"/>
          <w:highlight w:val="none"/>
          <w:u w:val="single"/>
        </w:rPr>
        <w:t>）</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kinsoku/>
        <w:wordWrap/>
        <w:topLinePunct w:val="0"/>
        <w:autoSpaceDE w:val="0"/>
        <w:autoSpaceDN w:val="0"/>
        <w:bidi w:val="0"/>
        <w:adjustRightInd/>
        <w:ind w:left="260"/>
        <w:jc w:val="left"/>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pacing w:val="-3"/>
          <w:sz w:val="24"/>
          <w:szCs w:val="24"/>
          <w:highlight w:val="none"/>
          <w:u w:val="single"/>
        </w:rPr>
        <w:t>（</w:t>
      </w:r>
      <w:r>
        <w:rPr>
          <w:rFonts w:hint="eastAsia" w:ascii="宋体" w:hAnsi="宋体" w:eastAsia="宋体" w:cs="宋体"/>
          <w:color w:val="auto"/>
          <w:sz w:val="24"/>
          <w:szCs w:val="24"/>
          <w:highlight w:val="none"/>
          <w:u w:val="single"/>
        </w:rPr>
        <w:t>签</w:t>
      </w:r>
      <w:r>
        <w:rPr>
          <w:rFonts w:hint="eastAsia" w:ascii="宋体" w:hAnsi="宋体" w:eastAsia="宋体" w:cs="宋体"/>
          <w:color w:val="auto"/>
          <w:spacing w:val="-3"/>
          <w:sz w:val="24"/>
          <w:szCs w:val="24"/>
          <w:highlight w:val="none"/>
          <w:u w:val="single"/>
        </w:rPr>
        <w:t>字</w:t>
      </w:r>
      <w:r>
        <w:rPr>
          <w:rFonts w:hint="eastAsia" w:ascii="宋体" w:hAnsi="宋体" w:eastAsia="宋体" w:cs="宋体"/>
          <w:color w:val="auto"/>
          <w:sz w:val="24"/>
          <w:szCs w:val="24"/>
          <w:highlight w:val="none"/>
          <w:u w:val="single"/>
        </w:rPr>
        <w:t>或盖</w:t>
      </w:r>
      <w:r>
        <w:rPr>
          <w:rFonts w:hint="eastAsia" w:ascii="宋体" w:hAnsi="宋体" w:eastAsia="宋体" w:cs="宋体"/>
          <w:color w:val="auto"/>
          <w:spacing w:val="-3"/>
          <w:sz w:val="24"/>
          <w:szCs w:val="24"/>
          <w:highlight w:val="none"/>
          <w:u w:val="single"/>
        </w:rPr>
        <w:t>章</w:t>
      </w:r>
      <w:r>
        <w:rPr>
          <w:rFonts w:hint="eastAsia" w:ascii="宋体" w:hAnsi="宋体" w:eastAsia="宋体" w:cs="宋体"/>
          <w:color w:val="auto"/>
          <w:spacing w:val="-15"/>
          <w:sz w:val="24"/>
          <w:szCs w:val="24"/>
          <w:highlight w:val="none"/>
          <w:u w:val="single"/>
        </w:rPr>
        <w:t>）</w:t>
      </w:r>
    </w:p>
    <w:p>
      <w:pPr>
        <w:keepNext w:val="0"/>
        <w:keepLines w:val="0"/>
        <w:pageBreakBefore w:val="0"/>
        <w:widowControl w:val="0"/>
        <w:tabs>
          <w:tab w:val="left" w:pos="720"/>
          <w:tab w:val="left" w:pos="1800"/>
          <w:tab w:val="left" w:pos="2640"/>
          <w:tab w:val="left" w:pos="3480"/>
        </w:tabs>
        <w:kinsoku/>
        <w:wordWrap/>
        <w:topLinePunct w:val="0"/>
        <w:autoSpaceDE w:val="0"/>
        <w:autoSpaceDN w:val="0"/>
        <w:bidi w:val="0"/>
        <w:adjustRightInd/>
        <w:ind w:left="26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日</w:t>
      </w:r>
    </w:p>
    <w:p>
      <w:pPr>
        <w:keepNext w:val="0"/>
        <w:keepLines w:val="0"/>
        <w:pageBreakBefore w:val="0"/>
        <w:widowControl w:val="0"/>
        <w:kinsoku/>
        <w:wordWrap/>
        <w:topLinePunct w:val="0"/>
        <w:autoSpaceDE w:val="0"/>
        <w:autoSpaceDN w:val="0"/>
        <w:bidi w:val="0"/>
        <w:adjustRightInd/>
        <w:spacing w:after="0" w:line="364" w:lineRule="auto"/>
        <w:textAlignment w:val="auto"/>
        <w:outlineLvl w:val="9"/>
        <w:rPr>
          <w:rFonts w:hint="eastAsia" w:ascii="宋体" w:hAnsi="宋体" w:eastAsia="宋体" w:cs="宋体"/>
          <w:color w:val="auto"/>
          <w:highlight w:val="none"/>
        </w:rPr>
        <w:sectPr>
          <w:type w:val="continuous"/>
          <w:pgSz w:w="11911" w:h="16838"/>
          <w:pgMar w:top="1417" w:right="1134" w:bottom="1417" w:left="1134" w:header="873" w:footer="1202" w:gutter="0"/>
          <w:pgNumType w:fmt="decimal"/>
          <w:cols w:space="0" w:num="1"/>
          <w:rtlGutter w:val="0"/>
          <w:docGrid w:linePitch="0" w:charSpace="0"/>
        </w:sectPr>
      </w:pPr>
    </w:p>
    <w:p>
      <w:pPr>
        <w:keepNext w:val="0"/>
        <w:keepLines w:val="0"/>
        <w:pageBreakBefore w:val="0"/>
        <w:kinsoku/>
        <w:wordWrap/>
        <w:topLinePunct w:val="0"/>
        <w:bidi w:val="0"/>
        <w:spacing w:after="0" w:line="161" w:lineRule="exact"/>
        <w:outlineLvl w:val="9"/>
        <w:rPr>
          <w:sz w:val="30"/>
          <w:szCs w:val="30"/>
        </w:rPr>
      </w:pPr>
      <w:bookmarkStart w:id="156" w:name="36"/>
      <w:bookmarkEnd w:id="156"/>
    </w:p>
    <w:p>
      <w:pPr>
        <w:keepNext w:val="0"/>
        <w:keepLines w:val="0"/>
        <w:pageBreakBefore w:val="0"/>
        <w:kinsoku/>
        <w:wordWrap/>
        <w:topLinePunct w:val="0"/>
        <w:bidi w:val="0"/>
        <w:spacing w:after="0" w:line="303" w:lineRule="exact"/>
        <w:ind w:left="60"/>
        <w:outlineLvl w:val="9"/>
        <w:rPr>
          <w:sz w:val="30"/>
          <w:szCs w:val="30"/>
        </w:r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440" w:lineRule="exact"/>
        <w:jc w:val="center"/>
        <w:outlineLvl w:val="9"/>
        <w:rPr>
          <w:b/>
          <w:bCs/>
          <w:sz w:val="32"/>
          <w:szCs w:val="32"/>
        </w:rPr>
      </w:pPr>
      <w:r>
        <w:rPr>
          <w:rFonts w:ascii="宋体" w:hAnsi="宋体" w:cs="宋体"/>
          <w:b/>
          <w:bCs/>
          <w:sz w:val="32"/>
          <w:szCs w:val="32"/>
        </w:rPr>
        <w:t>二、商务文件</w:t>
      </w:r>
    </w:p>
    <w:p>
      <w:pPr>
        <w:keepNext w:val="0"/>
        <w:keepLines w:val="0"/>
        <w:pageBreakBefore w:val="0"/>
        <w:widowControl/>
        <w:kinsoku/>
        <w:wordWrap/>
        <w:topLinePunct w:val="0"/>
        <w:bidi w:val="0"/>
        <w:outlineLvl w:val="9"/>
        <w:rPr>
          <w:b/>
          <w:bCs/>
          <w:sz w:val="32"/>
          <w:szCs w:val="32"/>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pStyle w:val="2"/>
        <w:rPr>
          <w:sz w:val="30"/>
          <w:szCs w:val="30"/>
        </w:rPr>
      </w:pPr>
    </w:p>
    <w:p>
      <w:pPr>
        <w:rPr>
          <w:sz w:val="30"/>
          <w:szCs w:val="30"/>
        </w:rPr>
      </w:pPr>
    </w:p>
    <w:p>
      <w:pPr>
        <w:pStyle w:val="2"/>
        <w:rPr>
          <w:sz w:val="30"/>
          <w:szCs w:val="30"/>
        </w:rPr>
      </w:pPr>
    </w:p>
    <w:p>
      <w:pPr>
        <w:rPr>
          <w:sz w:val="30"/>
          <w:szCs w:val="30"/>
        </w:rPr>
      </w:pPr>
    </w:p>
    <w:p>
      <w:pPr>
        <w:pStyle w:val="2"/>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pStyle w:val="2"/>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240" w:lineRule="exact"/>
        <w:ind w:left="3235"/>
        <w:outlineLvl w:val="9"/>
        <w:rPr>
          <w:sz w:val="30"/>
          <w:szCs w:val="30"/>
        </w:rPr>
      </w:pPr>
    </w:p>
    <w:p>
      <w:pPr>
        <w:keepNext w:val="0"/>
        <w:keepLines w:val="0"/>
        <w:pageBreakBefore w:val="0"/>
        <w:kinsoku/>
        <w:wordWrap/>
        <w:topLinePunct w:val="0"/>
        <w:bidi w:val="0"/>
        <w:spacing w:after="0" w:line="320" w:lineRule="exact"/>
        <w:ind w:left="134" w:firstLine="3614" w:firstLineChars="1200"/>
        <w:outlineLvl w:val="9"/>
        <w:rPr>
          <w:sz w:val="30"/>
          <w:szCs w:val="30"/>
        </w:rPr>
      </w:pPr>
      <w:r>
        <w:rPr>
          <w:rFonts w:ascii="宋体" w:hAnsi="宋体" w:eastAsia="宋体" w:cs="宋体"/>
          <w:b/>
          <w:bCs/>
          <w:sz w:val="30"/>
          <w:szCs w:val="30"/>
        </w:rPr>
        <w:t>1.磋商函</w:t>
      </w:r>
      <w:r>
        <w:rPr>
          <w:rFonts w:ascii="宋体" w:hAnsi="宋体" w:eastAsia="宋体" w:cs="宋体"/>
          <w:sz w:val="30"/>
          <w:szCs w:val="30"/>
        </w:rPr>
        <w:t>；</w:t>
      </w:r>
    </w:p>
    <w:p>
      <w:pPr>
        <w:keepNext w:val="0"/>
        <w:keepLines w:val="0"/>
        <w:pageBreakBefore w:val="0"/>
        <w:kinsoku/>
        <w:wordWrap/>
        <w:topLinePunct w:val="0"/>
        <w:bidi w:val="0"/>
        <w:spacing w:after="0" w:line="240" w:lineRule="exact"/>
        <w:ind w:left="134"/>
        <w:outlineLvl w:val="9"/>
        <w:rPr>
          <w:sz w:val="30"/>
          <w:szCs w:val="30"/>
        </w:rPr>
      </w:pPr>
    </w:p>
    <w:p>
      <w:pPr>
        <w:pStyle w:val="10"/>
        <w:keepNext w:val="0"/>
        <w:keepLines w:val="0"/>
        <w:pageBreakBefore w:val="0"/>
        <w:kinsoku/>
        <w:wordWrap/>
        <w:topLinePunct w:val="0"/>
        <w:bidi w:val="0"/>
        <w:spacing w:line="560" w:lineRule="exact"/>
        <w:outlineLvl w:val="9"/>
        <w:rPr>
          <w:rFonts w:hint="eastAsia" w:hAnsi="宋体"/>
          <w:sz w:val="24"/>
          <w:szCs w:val="24"/>
        </w:rPr>
      </w:pPr>
      <w:r>
        <w:rPr>
          <w:rFonts w:hint="eastAsia" w:hAnsi="宋体" w:cs="Arial"/>
          <w:sz w:val="24"/>
          <w:szCs w:val="24"/>
          <w:u w:val="single"/>
          <w:lang w:eastAsia="zh-CN"/>
        </w:rPr>
        <w:t>广西博行弈工程项目管理有限公司</w:t>
      </w:r>
      <w:r>
        <w:rPr>
          <w:rFonts w:hint="eastAsia" w:hAnsi="宋体"/>
          <w:sz w:val="24"/>
          <w:szCs w:val="24"/>
        </w:rPr>
        <w:t>：</w:t>
      </w:r>
    </w:p>
    <w:p>
      <w:pPr>
        <w:pStyle w:val="10"/>
        <w:keepNext w:val="0"/>
        <w:keepLines w:val="0"/>
        <w:pageBreakBefore w:val="0"/>
        <w:kinsoku/>
        <w:wordWrap/>
        <w:topLinePunct w:val="0"/>
        <w:bidi w:val="0"/>
        <w:spacing w:line="560" w:lineRule="exact"/>
        <w:ind w:firstLine="420"/>
        <w:outlineLvl w:val="9"/>
        <w:rPr>
          <w:rFonts w:hint="eastAsia" w:hAnsi="宋体"/>
          <w:sz w:val="24"/>
          <w:szCs w:val="24"/>
        </w:rPr>
      </w:pPr>
      <w:r>
        <w:rPr>
          <w:rFonts w:hint="eastAsia" w:hAnsi="宋体"/>
          <w:sz w:val="24"/>
          <w:szCs w:val="24"/>
        </w:rPr>
        <w:t>依据贵方</w:t>
      </w:r>
      <w:r>
        <w:rPr>
          <w:rFonts w:hint="eastAsia" w:hAnsi="宋体"/>
          <w:sz w:val="24"/>
          <w:szCs w:val="24"/>
          <w:u w:val="single"/>
        </w:rPr>
        <w:t>港南区工业园区江五路（城东大道-安澜路）基础设施建设项目监理服务</w:t>
      </w:r>
      <w:r>
        <w:rPr>
          <w:rFonts w:hint="eastAsia" w:hAnsi="宋体"/>
          <w:sz w:val="24"/>
          <w:szCs w:val="24"/>
          <w:u w:val="single"/>
          <w:lang w:eastAsia="zh-CN"/>
        </w:rPr>
        <w:t>（</w:t>
      </w:r>
      <w:r>
        <w:rPr>
          <w:rFonts w:hint="eastAsia" w:hAnsi="宋体"/>
          <w:sz w:val="24"/>
          <w:szCs w:val="24"/>
          <w:u w:val="single"/>
        </w:rPr>
        <w:t>项目编号：</w:t>
      </w:r>
      <w:r>
        <w:rPr>
          <w:rFonts w:hint="eastAsia" w:hAnsi="宋体"/>
          <w:sz w:val="24"/>
          <w:szCs w:val="24"/>
          <w:u w:val="single"/>
          <w:lang w:val="en-US" w:eastAsia="zh-CN"/>
        </w:rPr>
        <w:t xml:space="preserve">            ） </w:t>
      </w:r>
      <w:r>
        <w:rPr>
          <w:rFonts w:hint="eastAsia" w:hAnsi="宋体"/>
          <w:sz w:val="24"/>
          <w:szCs w:val="24"/>
        </w:rPr>
        <w:t>项目的磋商邀请，我方</w:t>
      </w:r>
      <w:r>
        <w:rPr>
          <w:rFonts w:hint="eastAsia" w:hAnsi="宋体"/>
          <w:sz w:val="24"/>
          <w:szCs w:val="24"/>
          <w:u w:val="single"/>
          <w:lang w:val="en-US" w:eastAsia="zh-CN"/>
        </w:rPr>
        <w:t xml:space="preserve">        </w:t>
      </w:r>
      <w:r>
        <w:rPr>
          <w:rFonts w:hint="eastAsia" w:hAnsi="宋体"/>
          <w:sz w:val="24"/>
          <w:szCs w:val="24"/>
          <w:u w:val="single"/>
        </w:rPr>
        <w:t>（姓名和职务）</w:t>
      </w:r>
      <w:r>
        <w:rPr>
          <w:rFonts w:hint="eastAsia" w:hAnsi="宋体"/>
          <w:sz w:val="24"/>
          <w:szCs w:val="24"/>
        </w:rPr>
        <w:t>经正式授权并代表供应商</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（供应商名称）</w:t>
      </w:r>
      <w:r>
        <w:rPr>
          <w:rFonts w:hint="eastAsia" w:hAnsi="宋体"/>
          <w:sz w:val="24"/>
          <w:szCs w:val="24"/>
        </w:rPr>
        <w:t>提交下述竞争性磋商响应文件正本一份和副本</w:t>
      </w:r>
      <w:r>
        <w:rPr>
          <w:rFonts w:hint="eastAsia" w:hAnsi="宋体"/>
          <w:sz w:val="24"/>
          <w:szCs w:val="24"/>
          <w:u w:val="single"/>
          <w:lang w:val="en-US" w:eastAsia="zh-CN"/>
        </w:rPr>
        <w:t xml:space="preserve">      </w:t>
      </w:r>
      <w:r>
        <w:rPr>
          <w:rFonts w:hint="eastAsia" w:hAnsi="宋体"/>
          <w:sz w:val="24"/>
          <w:szCs w:val="24"/>
        </w:rPr>
        <w:t>份：</w:t>
      </w:r>
    </w:p>
    <w:p>
      <w:pPr>
        <w:pStyle w:val="10"/>
        <w:keepNext w:val="0"/>
        <w:keepLines w:val="0"/>
        <w:pageBreakBefore w:val="0"/>
        <w:kinsoku/>
        <w:wordWrap/>
        <w:topLinePunct w:val="0"/>
        <w:bidi w:val="0"/>
        <w:spacing w:line="560" w:lineRule="exact"/>
        <w:ind w:firstLine="420"/>
        <w:outlineLvl w:val="9"/>
        <w:rPr>
          <w:rFonts w:hint="eastAsia" w:hAnsi="宋体"/>
          <w:sz w:val="24"/>
          <w:szCs w:val="24"/>
        </w:rPr>
      </w:pPr>
      <w:r>
        <w:rPr>
          <w:rFonts w:hint="eastAsia" w:hAnsi="宋体"/>
          <w:sz w:val="24"/>
          <w:szCs w:val="24"/>
        </w:rPr>
        <w:t>在此，授权代表宣布同意如下：</w:t>
      </w:r>
    </w:p>
    <w:p>
      <w:pPr>
        <w:pStyle w:val="10"/>
        <w:keepNext w:val="0"/>
        <w:keepLines w:val="0"/>
        <w:pageBreakBefore w:val="0"/>
        <w:kinsoku/>
        <w:wordWrap/>
        <w:topLinePunct w:val="0"/>
        <w:bidi w:val="0"/>
        <w:spacing w:line="560" w:lineRule="exact"/>
        <w:ind w:firstLine="480" w:firstLineChars="200"/>
        <w:outlineLvl w:val="9"/>
        <w:rPr>
          <w:rFonts w:hint="eastAsia" w:hAnsi="宋体"/>
          <w:sz w:val="24"/>
          <w:szCs w:val="24"/>
        </w:rPr>
      </w:pPr>
      <w:r>
        <w:rPr>
          <w:rFonts w:hint="eastAsia" w:hAnsi="宋体"/>
          <w:sz w:val="24"/>
          <w:szCs w:val="24"/>
        </w:rPr>
        <w:t>1. 将按竞争性磋商文件的约定履行合同责任和义务；</w:t>
      </w:r>
    </w:p>
    <w:p>
      <w:pPr>
        <w:pStyle w:val="10"/>
        <w:keepNext w:val="0"/>
        <w:keepLines w:val="0"/>
        <w:pageBreakBefore w:val="0"/>
        <w:kinsoku/>
        <w:wordWrap/>
        <w:topLinePunct w:val="0"/>
        <w:bidi w:val="0"/>
        <w:spacing w:line="560" w:lineRule="exact"/>
        <w:ind w:left="839" w:leftChars="228" w:hanging="360" w:hangingChars="150"/>
        <w:outlineLvl w:val="9"/>
        <w:rPr>
          <w:rFonts w:hint="eastAsia" w:hAnsi="宋体"/>
          <w:sz w:val="24"/>
          <w:szCs w:val="24"/>
        </w:rPr>
      </w:pPr>
      <w:r>
        <w:rPr>
          <w:rFonts w:hint="eastAsia" w:hAnsi="宋体"/>
          <w:sz w:val="24"/>
          <w:szCs w:val="24"/>
        </w:rPr>
        <w:t>2. 已详细审查全部竞争性磋商文件，包括</w:t>
      </w:r>
      <w:r>
        <w:rPr>
          <w:rFonts w:hint="eastAsia" w:hAnsi="宋体"/>
          <w:sz w:val="24"/>
          <w:szCs w:val="24"/>
          <w:u w:val="single"/>
        </w:rPr>
        <w:t>（补遗书）（如有）</w:t>
      </w:r>
      <w:r>
        <w:rPr>
          <w:rFonts w:hint="eastAsia" w:hAnsi="宋体"/>
          <w:sz w:val="24"/>
          <w:szCs w:val="24"/>
        </w:rPr>
        <w:t>；我们完全理解并同意放弃对这方面有不明及误解的权力；</w:t>
      </w:r>
    </w:p>
    <w:p>
      <w:pPr>
        <w:pStyle w:val="10"/>
        <w:keepNext w:val="0"/>
        <w:keepLines w:val="0"/>
        <w:pageBreakBefore w:val="0"/>
        <w:kinsoku/>
        <w:wordWrap/>
        <w:topLinePunct w:val="0"/>
        <w:bidi w:val="0"/>
        <w:spacing w:line="560" w:lineRule="exact"/>
        <w:ind w:firstLine="480" w:firstLineChars="200"/>
        <w:outlineLvl w:val="9"/>
        <w:rPr>
          <w:rFonts w:hint="eastAsia" w:hAnsi="宋体"/>
          <w:sz w:val="24"/>
          <w:szCs w:val="24"/>
        </w:rPr>
      </w:pPr>
      <w:r>
        <w:rPr>
          <w:rFonts w:hint="eastAsia" w:hAnsi="宋体"/>
          <w:sz w:val="24"/>
          <w:szCs w:val="24"/>
        </w:rPr>
        <w:t>3. 同意提供按照贵方可能要求的与其磋商有关的一切数据或资料；</w:t>
      </w:r>
    </w:p>
    <w:p>
      <w:pPr>
        <w:pStyle w:val="10"/>
        <w:keepNext w:val="0"/>
        <w:keepLines w:val="0"/>
        <w:pageBreakBefore w:val="0"/>
        <w:kinsoku/>
        <w:wordWrap/>
        <w:topLinePunct w:val="0"/>
        <w:bidi w:val="0"/>
        <w:spacing w:line="560" w:lineRule="exact"/>
        <w:ind w:firstLine="420"/>
        <w:outlineLvl w:val="9"/>
        <w:rPr>
          <w:rFonts w:hint="eastAsia" w:hAnsi="宋体"/>
          <w:sz w:val="24"/>
          <w:szCs w:val="24"/>
          <w:lang w:eastAsia="zh-CN"/>
        </w:rPr>
      </w:pPr>
      <w:r>
        <w:rPr>
          <w:rFonts w:hint="eastAsia" w:hAnsi="宋体"/>
          <w:sz w:val="24"/>
          <w:szCs w:val="24"/>
        </w:rPr>
        <w:t>4. 与本磋商有关的一切正式往来信函请寄：</w:t>
      </w:r>
      <w:r>
        <w:rPr>
          <w:rFonts w:hint="eastAsia" w:hAnsi="宋体"/>
          <w:sz w:val="24"/>
          <w:szCs w:val="24"/>
          <w:u w:val="single"/>
          <w:lang w:val="en-US" w:eastAsia="zh-CN"/>
        </w:rPr>
        <w:t xml:space="preserve">                               </w:t>
      </w:r>
      <w:r>
        <w:rPr>
          <w:rFonts w:hint="eastAsia" w:hAnsi="宋体"/>
          <w:sz w:val="24"/>
          <w:szCs w:val="24"/>
          <w:u w:val="single"/>
        </w:rPr>
        <w:t xml:space="preserve"> </w:t>
      </w:r>
    </w:p>
    <w:p>
      <w:pPr>
        <w:pStyle w:val="10"/>
        <w:keepNext w:val="0"/>
        <w:keepLines w:val="0"/>
        <w:pageBreakBefore w:val="0"/>
        <w:kinsoku/>
        <w:wordWrap/>
        <w:topLinePunct w:val="0"/>
        <w:bidi w:val="0"/>
        <w:spacing w:line="560" w:lineRule="exact"/>
        <w:ind w:firstLine="420"/>
        <w:outlineLvl w:val="9"/>
        <w:rPr>
          <w:rFonts w:hint="eastAsia" w:hAnsi="宋体"/>
          <w:sz w:val="24"/>
          <w:szCs w:val="24"/>
        </w:rPr>
      </w:pPr>
      <w:r>
        <w:rPr>
          <w:rFonts w:hint="eastAsia" w:hAnsi="宋体"/>
          <w:sz w:val="24"/>
          <w:szCs w:val="24"/>
        </w:rPr>
        <w:t>电话/传真：</w:t>
      </w:r>
      <w:r>
        <w:rPr>
          <w:rFonts w:hint="eastAsia" w:hAnsi="宋体"/>
          <w:sz w:val="24"/>
          <w:szCs w:val="24"/>
          <w:u w:val="single"/>
          <w:lang w:val="en-US" w:eastAsia="zh-CN"/>
        </w:rPr>
        <w:t xml:space="preserve">                 </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电子函件：</w:t>
      </w:r>
      <w:r>
        <w:rPr>
          <w:rFonts w:hint="eastAsia" w:hAnsi="宋体"/>
          <w:sz w:val="24"/>
          <w:szCs w:val="24"/>
          <w:u w:val="single"/>
        </w:rPr>
        <w:t xml:space="preserve">   </w:t>
      </w:r>
      <w:r>
        <w:rPr>
          <w:rFonts w:hint="eastAsia"/>
          <w:u w:val="single"/>
          <w:lang w:val="en-US" w:eastAsia="zh-CN"/>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p>
    <w:p>
      <w:pPr>
        <w:pStyle w:val="10"/>
        <w:keepNext w:val="0"/>
        <w:keepLines w:val="0"/>
        <w:pageBreakBefore w:val="0"/>
        <w:kinsoku/>
        <w:wordWrap/>
        <w:topLinePunct w:val="0"/>
        <w:bidi w:val="0"/>
        <w:spacing w:line="560" w:lineRule="exact"/>
        <w:ind w:firstLine="420"/>
        <w:outlineLvl w:val="9"/>
        <w:rPr>
          <w:rFonts w:hint="eastAsia" w:hAnsi="宋体"/>
          <w:sz w:val="24"/>
          <w:szCs w:val="24"/>
          <w:u w:val="single"/>
        </w:rPr>
      </w:pPr>
      <w:r>
        <w:rPr>
          <w:rFonts w:hint="eastAsia" w:hAnsi="宋体"/>
          <w:sz w:val="24"/>
          <w:szCs w:val="24"/>
        </w:rPr>
        <w:t>日期：</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rPr>
        <w:t>日</w:t>
      </w:r>
    </w:p>
    <w:p>
      <w:pPr>
        <w:pStyle w:val="10"/>
        <w:keepNext w:val="0"/>
        <w:keepLines w:val="0"/>
        <w:pageBreakBefore w:val="0"/>
        <w:kinsoku/>
        <w:wordWrap/>
        <w:topLinePunct w:val="0"/>
        <w:bidi w:val="0"/>
        <w:spacing w:line="560" w:lineRule="exact"/>
        <w:ind w:firstLine="420"/>
        <w:outlineLvl w:val="9"/>
        <w:rPr>
          <w:rFonts w:hint="eastAsia" w:hAnsi="宋体"/>
          <w:sz w:val="24"/>
          <w:szCs w:val="24"/>
          <w:u w:val="single"/>
        </w:rPr>
      </w:pPr>
      <w:r>
        <w:rPr>
          <w:rFonts w:hint="eastAsia" w:hAnsi="宋体"/>
          <w:sz w:val="24"/>
          <w:szCs w:val="24"/>
        </w:rPr>
        <w:t>法定代表人或委托代理人（签名或盖章）：</w:t>
      </w:r>
      <w:r>
        <w:rPr>
          <w:rFonts w:hint="eastAsia" w:hAnsi="宋体"/>
          <w:sz w:val="24"/>
          <w:szCs w:val="24"/>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sz w:val="24"/>
          <w:szCs w:val="24"/>
          <w:u w:val="single"/>
          <w:lang w:val="en-US" w:eastAsia="zh-CN"/>
        </w:rPr>
      </w:pPr>
      <w:r>
        <w:rPr>
          <w:rFonts w:hint="eastAsia"/>
          <w:sz w:val="24"/>
          <w:szCs w:val="24"/>
          <w:lang w:val="en-US" w:eastAsia="zh-CN"/>
        </w:rPr>
        <w:t>供应商名称（盖章）：</w:t>
      </w:r>
      <w:r>
        <w:rPr>
          <w:rFonts w:hint="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default"/>
          <w:sz w:val="24"/>
          <w:szCs w:val="24"/>
          <w:u w:val="single"/>
          <w:lang w:val="en-US" w:eastAsia="zh-CN"/>
        </w:rPr>
      </w:pPr>
      <w:r>
        <w:rPr>
          <w:rFonts w:hint="eastAsia"/>
          <w:sz w:val="24"/>
          <w:szCs w:val="24"/>
          <w:lang w:val="en-US" w:eastAsia="zh-CN"/>
        </w:rPr>
        <w:t>开户银行：</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firstLine="480" w:firstLineChars="200"/>
        <w:jc w:val="both"/>
        <w:textAlignment w:val="auto"/>
        <w:outlineLvl w:val="9"/>
        <w:rPr>
          <w:rFonts w:hint="eastAsia"/>
          <w:sz w:val="24"/>
          <w:szCs w:val="24"/>
          <w:u w:val="single"/>
          <w:lang w:val="en-US" w:eastAsia="zh-CN"/>
        </w:rPr>
      </w:pPr>
      <w:r>
        <w:rPr>
          <w:rFonts w:hint="eastAsia"/>
          <w:sz w:val="24"/>
          <w:szCs w:val="24"/>
          <w:lang w:val="en-US" w:eastAsia="zh-CN"/>
        </w:rPr>
        <w:t>账号：</w:t>
      </w:r>
      <w:r>
        <w:rPr>
          <w:rFonts w:hint="eastAsia"/>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sz w:val="24"/>
          <w:szCs w:val="24"/>
          <w:u w:val="single"/>
          <w:lang w:val="en-US" w:eastAsia="zh-CN"/>
        </w:rPr>
        <w:t xml:space="preserve">  </w:t>
      </w:r>
    </w:p>
    <w:p>
      <w:pPr>
        <w:keepNext w:val="0"/>
        <w:keepLines w:val="0"/>
        <w:pageBreakBefore w:val="0"/>
        <w:kinsoku/>
        <w:wordWrap/>
        <w:topLinePunct w:val="0"/>
        <w:bidi w:val="0"/>
        <w:spacing w:after="0" w:line="560" w:lineRule="exact"/>
        <w:ind w:left="134" w:firstLine="5460"/>
        <w:outlineLvl w:val="9"/>
        <w:rPr>
          <w:sz w:val="30"/>
          <w:szCs w:val="30"/>
        </w:rPr>
      </w:pPr>
    </w:p>
    <w:p>
      <w:pPr>
        <w:keepNext w:val="0"/>
        <w:keepLines w:val="0"/>
        <w:pageBreakBefore w:val="0"/>
        <w:kinsoku/>
        <w:wordWrap/>
        <w:topLinePunct w:val="0"/>
        <w:bidi w:val="0"/>
        <w:spacing w:after="0" w:line="240" w:lineRule="exact"/>
        <w:ind w:left="134" w:firstLine="5460"/>
        <w:outlineLvl w:val="9"/>
        <w:rPr>
          <w:sz w:val="30"/>
          <w:szCs w:val="30"/>
        </w:rPr>
      </w:pPr>
    </w:p>
    <w:p>
      <w:pPr>
        <w:keepNext w:val="0"/>
        <w:keepLines w:val="0"/>
        <w:pageBreakBefore w:val="0"/>
        <w:kinsoku/>
        <w:wordWrap/>
        <w:topLinePunct w:val="0"/>
        <w:bidi w:val="0"/>
        <w:spacing w:after="0" w:line="240" w:lineRule="exact"/>
        <w:ind w:left="134" w:firstLine="5460"/>
        <w:outlineLvl w:val="9"/>
        <w:rPr>
          <w:sz w:val="30"/>
          <w:szCs w:val="30"/>
        </w:rPr>
      </w:pPr>
    </w:p>
    <w:p>
      <w:pPr>
        <w:keepNext w:val="0"/>
        <w:keepLines w:val="0"/>
        <w:pageBreakBefore w:val="0"/>
        <w:kinsoku/>
        <w:wordWrap/>
        <w:topLinePunct w:val="0"/>
        <w:bidi w:val="0"/>
        <w:spacing w:after="0" w:line="240" w:lineRule="exact"/>
        <w:ind w:left="134" w:firstLine="5460"/>
        <w:outlineLvl w:val="9"/>
        <w:rPr>
          <w:sz w:val="30"/>
          <w:szCs w:val="30"/>
        </w:rPr>
      </w:pPr>
    </w:p>
    <w:p>
      <w:pPr>
        <w:keepNext w:val="0"/>
        <w:keepLines w:val="0"/>
        <w:pageBreakBefore w:val="0"/>
        <w:kinsoku/>
        <w:wordWrap/>
        <w:topLinePunct w:val="0"/>
        <w:bidi w:val="0"/>
        <w:spacing w:after="0" w:line="240" w:lineRule="exact"/>
        <w:ind w:left="134" w:firstLine="5460"/>
        <w:outlineLvl w:val="9"/>
        <w:rPr>
          <w:sz w:val="30"/>
          <w:szCs w:val="30"/>
        </w:rPr>
      </w:pPr>
    </w:p>
    <w:p>
      <w:pPr>
        <w:keepNext w:val="0"/>
        <w:keepLines w:val="0"/>
        <w:pageBreakBefore w:val="0"/>
        <w:kinsoku/>
        <w:wordWrap/>
        <w:topLinePunct w:val="0"/>
        <w:bidi w:val="0"/>
        <w:spacing w:after="0" w:line="336" w:lineRule="exact"/>
        <w:ind w:left="134" w:firstLine="5460"/>
        <w:outlineLvl w:val="9"/>
        <w:rPr>
          <w:sz w:val="30"/>
          <w:szCs w:val="30"/>
        </w:r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161" w:lineRule="exact"/>
        <w:outlineLvl w:val="9"/>
        <w:rPr>
          <w:sz w:val="30"/>
          <w:szCs w:val="30"/>
        </w:rPr>
      </w:pPr>
      <w:bookmarkStart w:id="157" w:name="38"/>
      <w:bookmarkEnd w:id="157"/>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tabs>
          <w:tab w:val="left" w:pos="3120"/>
        </w:tabs>
        <w:kinsoku/>
        <w:wordWrap/>
        <w:topLinePunct w:val="0"/>
        <w:bidi w:val="0"/>
        <w:spacing w:after="0" w:line="181" w:lineRule="exact"/>
        <w:ind w:left="60"/>
        <w:outlineLvl w:val="9"/>
        <w:rPr>
          <w:sz w:val="30"/>
          <w:szCs w:val="30"/>
        </w:rPr>
      </w:pPr>
      <w:r>
        <w:rPr>
          <w:sz w:val="30"/>
          <w:szCs w:val="30"/>
        </w:rPr>
        <mc:AlternateContent>
          <mc:Choice Requires="wps">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自选图形 4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pathLst>
                            <a:path w="44990" h="72">
                              <a:moveTo>
                                <a:pt x="0" y="36"/>
                              </a:moveTo>
                              <a:lnTo>
                                <a:pt x="0" y="36"/>
                              </a:lnTo>
                              <a:lnTo>
                                <a:pt x="44990" y="36"/>
                              </a:lnTo>
                            </a:path>
                          </a:pathLst>
                        </a:cu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442" o:spid="_x0000_s1026" o:spt="100" style="position:absolute;left:0pt;margin-left:0pt;margin-top:0pt;height:50pt;width:50pt;visibility:hidden;z-index:251658240;mso-width-relative:page;mso-height-relative:page;" fillcolor="#FFFFFF" filled="t" stroked="t" coordsize="44990,72" o:gfxdata="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PviPdAAAAAFAQAADwAAAAAAAAABACAAAAAiAAAAZHJzL2Rvd25yZXYueG1sUEsBAhQAFAAAAAgA&#10;h07iQFfvi/VmAgAAOQUAAA4AAAAAAAAAAQAgAAAAHwEAAGRycy9lMm9Eb2MueG1sUEsFBgAAAAAG&#10;AAYAWQEAAPcFAAAAAA==&#10;" path="m0,36l0,36,44990,36e">
                <v:path textboxrect="0,0,44990,72"/>
                <v:fill on="t" focussize="0,0"/>
                <v:stroke color="#000000" joinstyle="miter"/>
                <v:imagedata o:title=""/>
                <o:lock v:ext="edit" selection="t" aspectratio="f"/>
                <v:textbox>
                  <w:txbxContent>
                    <w:p/>
                  </w:txbxContent>
                </v:textbox>
              </v:shape>
            </w:pict>
          </mc:Fallback>
        </mc:AlternateContent>
      </w:r>
    </w:p>
    <w:p>
      <w:pPr>
        <w:keepNext w:val="0"/>
        <w:keepLines w:val="0"/>
        <w:pageBreakBefore w:val="0"/>
        <w:kinsoku/>
        <w:wordWrap/>
        <w:topLinePunct w:val="0"/>
        <w:bidi w:val="0"/>
        <w:spacing w:after="0" w:line="240" w:lineRule="exact"/>
        <w:outlineLvl w:val="9"/>
        <w:rPr>
          <w:sz w:val="30"/>
          <w:szCs w:val="30"/>
        </w:rPr>
      </w:pPr>
    </w:p>
    <w:p>
      <w:pPr>
        <w:keepNext w:val="0"/>
        <w:keepLines w:val="0"/>
        <w:pageBreakBefore w:val="0"/>
        <w:kinsoku/>
        <w:wordWrap/>
        <w:topLinePunct w:val="0"/>
        <w:bidi w:val="0"/>
        <w:spacing w:after="0" w:line="446"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outlineLvl w:val="9"/>
        <w:rPr>
          <w:sz w:val="30"/>
          <w:szCs w:val="30"/>
        </w:rPr>
      </w:pPr>
    </w:p>
    <w:p>
      <w:pPr>
        <w:keepNext w:val="0"/>
        <w:keepLines w:val="0"/>
        <w:pageBreakBefore w:val="0"/>
        <w:kinsoku/>
        <w:wordWrap/>
        <w:topLinePunct w:val="0"/>
        <w:bidi w:val="0"/>
        <w:spacing w:after="0" w:line="324" w:lineRule="exact"/>
        <w:ind w:left="60" w:firstLine="602" w:firstLineChars="200"/>
        <w:jc w:val="center"/>
        <w:outlineLvl w:val="9"/>
        <w:rPr>
          <w:rFonts w:hint="eastAsia" w:ascii="宋体" w:hAnsi="宋体" w:eastAsia="宋体" w:cs="宋体"/>
          <w:b/>
          <w:bCs/>
          <w:sz w:val="30"/>
          <w:szCs w:val="30"/>
        </w:rPr>
      </w:pPr>
      <w:bookmarkStart w:id="158" w:name="39"/>
      <w:bookmarkEnd w:id="158"/>
      <w:r>
        <w:rPr>
          <w:rFonts w:hint="eastAsia" w:ascii="宋体" w:hAnsi="宋体" w:eastAsia="宋体" w:cs="宋体"/>
          <w:b/>
          <w:bCs/>
          <w:sz w:val="30"/>
          <w:szCs w:val="30"/>
          <w:lang w:val="en-US" w:eastAsia="zh-CN"/>
        </w:rPr>
        <w:t>2</w:t>
      </w:r>
      <w:r>
        <w:rPr>
          <w:rFonts w:hint="eastAsia" w:ascii="宋体" w:hAnsi="宋体" w:eastAsia="宋体" w:cs="宋体"/>
          <w:b/>
          <w:bCs/>
          <w:sz w:val="30"/>
          <w:szCs w:val="30"/>
        </w:rPr>
        <w:t>.供应商资格证明文件</w:t>
      </w:r>
    </w:p>
    <w:p>
      <w:pPr>
        <w:keepNext w:val="0"/>
        <w:keepLines w:val="0"/>
        <w:pageBreakBefore w:val="0"/>
        <w:widowControl w:val="0"/>
        <w:kinsoku/>
        <w:wordWrap/>
        <w:overflowPunct/>
        <w:topLinePunct w:val="0"/>
        <w:autoSpaceDE/>
        <w:autoSpaceDN/>
        <w:bidi w:val="0"/>
        <w:adjustRightInd/>
        <w:snapToGrid/>
        <w:spacing w:after="0" w:line="360" w:lineRule="auto"/>
        <w:ind w:left="0" w:firstLine="558" w:firstLineChars="200"/>
        <w:textAlignment w:val="auto"/>
        <w:outlineLvl w:val="9"/>
        <w:rPr>
          <w:rFonts w:hint="eastAsia" w:ascii="宋体" w:hAnsi="宋体" w:eastAsia="宋体" w:cs="宋体"/>
          <w:b/>
          <w:bCs/>
          <w:sz w:val="28"/>
          <w:szCs w:val="28"/>
        </w:rPr>
      </w:pPr>
      <w:r>
        <w:rPr>
          <w:rFonts w:hint="eastAsia" w:ascii="宋体" w:hAnsi="宋体" w:eastAsia="宋体" w:cs="宋体"/>
          <w:b/>
          <w:bCs/>
          <w:spacing w:val="-1"/>
          <w:sz w:val="28"/>
          <w:szCs w:val="28"/>
        </w:rPr>
        <w:t>①有效的营业执照、组织机构代码证、税务登记证（或有统一社会信用代码的‘三证合一’营业</w:t>
      </w:r>
      <w:r>
        <w:rPr>
          <w:rFonts w:hint="eastAsia" w:ascii="宋体" w:hAnsi="宋体" w:eastAsia="宋体" w:cs="宋体"/>
          <w:b/>
          <w:bCs/>
          <w:sz w:val="28"/>
          <w:szCs w:val="28"/>
        </w:rPr>
        <w:t>执照）复印件（必须提供，复印件加盖单位公章）；</w:t>
      </w:r>
    </w:p>
    <w:p>
      <w:pPr>
        <w:keepNext w:val="0"/>
        <w:keepLines w:val="0"/>
        <w:pageBreakBefore w:val="0"/>
        <w:widowControl w:val="0"/>
        <w:kinsoku/>
        <w:wordWrap/>
        <w:overflowPunct/>
        <w:topLinePunct w:val="0"/>
        <w:autoSpaceDE/>
        <w:autoSpaceDN/>
        <w:bidi w:val="0"/>
        <w:adjustRightInd/>
        <w:snapToGrid/>
        <w:spacing w:after="0" w:line="360" w:lineRule="auto"/>
        <w:ind w:left="0" w:firstLine="558" w:firstLineChars="200"/>
        <w:textAlignment w:val="auto"/>
        <w:outlineLvl w:val="9"/>
        <w:rPr>
          <w:rFonts w:hint="eastAsia" w:ascii="宋体" w:hAnsi="宋体" w:eastAsia="宋体" w:cs="宋体"/>
          <w:b/>
          <w:bCs/>
          <w:sz w:val="28"/>
          <w:szCs w:val="28"/>
        </w:rPr>
      </w:pPr>
      <w:r>
        <w:rPr>
          <w:rFonts w:hint="eastAsia" w:ascii="宋体" w:hAnsi="宋体" w:eastAsia="宋体" w:cs="宋体"/>
          <w:b/>
          <w:bCs/>
          <w:spacing w:val="-1"/>
          <w:sz w:val="28"/>
          <w:szCs w:val="28"/>
        </w:rPr>
        <w:t>②有效的企业资质证书副本复印件，（必须提供，复印件加盖单位公章）；</w:t>
      </w:r>
    </w:p>
    <w:p>
      <w:pPr>
        <w:keepNext w:val="0"/>
        <w:keepLines w:val="0"/>
        <w:pageBreakBefore w:val="0"/>
        <w:widowControl w:val="0"/>
        <w:kinsoku/>
        <w:wordWrap/>
        <w:overflowPunct/>
        <w:topLinePunct w:val="0"/>
        <w:autoSpaceDE/>
        <w:autoSpaceDN/>
        <w:bidi w:val="0"/>
        <w:adjustRightInd/>
        <w:snapToGrid/>
        <w:spacing w:after="0" w:line="360" w:lineRule="auto"/>
        <w:ind w:left="0" w:firstLine="558" w:firstLineChars="200"/>
        <w:textAlignment w:val="auto"/>
        <w:outlineLvl w:val="9"/>
        <w:rPr>
          <w:rFonts w:hint="eastAsia" w:ascii="宋体" w:hAnsi="宋体" w:eastAsia="宋体" w:cs="宋体"/>
          <w:b/>
          <w:bCs/>
          <w:sz w:val="28"/>
          <w:szCs w:val="28"/>
        </w:rPr>
      </w:pPr>
      <w:r>
        <w:rPr>
          <w:rFonts w:hint="eastAsia" w:ascii="宋体" w:hAnsi="宋体" w:eastAsia="宋体" w:cs="宋体"/>
          <w:b/>
          <w:bCs/>
          <w:spacing w:val="-1"/>
          <w:sz w:val="28"/>
          <w:szCs w:val="28"/>
        </w:rPr>
        <w:t>③</w:t>
      </w:r>
      <w:r>
        <w:rPr>
          <w:rFonts w:hint="eastAsia" w:ascii="宋体" w:hAnsi="宋体" w:eastAsia="宋体" w:cs="宋体"/>
          <w:b/>
          <w:bCs/>
          <w:sz w:val="28"/>
          <w:szCs w:val="28"/>
        </w:rPr>
        <w:t>法定代表人身份证复印件（必须提供，复印件加盖单位公章）；</w:t>
      </w:r>
    </w:p>
    <w:p>
      <w:pPr>
        <w:keepNext w:val="0"/>
        <w:keepLines w:val="0"/>
        <w:pageBreakBefore w:val="0"/>
        <w:widowControl w:val="0"/>
        <w:kinsoku/>
        <w:wordWrap/>
        <w:overflowPunct/>
        <w:topLinePunct w:val="0"/>
        <w:autoSpaceDE/>
        <w:autoSpaceDN/>
        <w:bidi w:val="0"/>
        <w:adjustRightInd/>
        <w:snapToGrid/>
        <w:spacing w:after="0" w:line="360" w:lineRule="auto"/>
        <w:ind w:left="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④法定代表人授权委托书和委托代理人身份证复印件（委托代理时必须提供，格式见后）；</w:t>
      </w:r>
    </w:p>
    <w:p>
      <w:pPr>
        <w:keepNext w:val="0"/>
        <w:keepLines w:val="0"/>
        <w:pageBreakBefore w:val="0"/>
        <w:kinsoku/>
        <w:wordWrap/>
        <w:topLinePunct w:val="0"/>
        <w:bidi w:val="0"/>
        <w:spacing w:after="0" w:line="581" w:lineRule="exact"/>
        <w:ind w:left="60" w:firstLine="2258"/>
        <w:outlineLvl w:val="9"/>
        <w:rPr>
          <w:rFonts w:hint="eastAsia" w:ascii="宋体" w:hAnsi="宋体" w:eastAsia="宋体" w:cs="宋体"/>
          <w:b/>
          <w:bCs/>
          <w:sz w:val="30"/>
          <w:szCs w:val="30"/>
        </w:rPr>
      </w:pPr>
      <w:r>
        <w:rPr>
          <w:rFonts w:hint="eastAsia" w:ascii="宋体" w:hAnsi="宋体" w:eastAsia="宋体" w:cs="宋体"/>
          <w:b/>
          <w:bCs/>
          <w:sz w:val="30"/>
          <w:szCs w:val="30"/>
        </w:rPr>
        <w:t>法定代表人授权委托书（格式）</w:t>
      </w:r>
    </w:p>
    <w:p>
      <w:pPr>
        <w:keepNext w:val="0"/>
        <w:keepLines w:val="0"/>
        <w:pageBreakBefore w:val="0"/>
        <w:kinsoku/>
        <w:wordWrap/>
        <w:topLinePunct w:val="0"/>
        <w:bidi w:val="0"/>
        <w:spacing w:after="0" w:line="240" w:lineRule="exact"/>
        <w:ind w:left="60" w:firstLine="2258"/>
        <w:outlineLvl w:val="9"/>
        <w:rPr>
          <w:sz w:val="30"/>
          <w:szCs w:val="30"/>
        </w:rPr>
      </w:pPr>
    </w:p>
    <w:p>
      <w:pPr>
        <w:keepNext w:val="0"/>
        <w:keepLines w:val="0"/>
        <w:pageBreakBefore w:val="0"/>
        <w:kinsoku/>
        <w:wordWrap/>
        <w:topLinePunct w:val="0"/>
        <w:bidi w:val="0"/>
        <w:spacing w:after="0" w:line="240" w:lineRule="exact"/>
        <w:ind w:left="60" w:firstLine="2258"/>
        <w:outlineLvl w:val="9"/>
        <w:rPr>
          <w:sz w:val="30"/>
          <w:szCs w:val="30"/>
        </w:rPr>
      </w:pPr>
    </w:p>
    <w:p>
      <w:pPr>
        <w:keepNext w:val="0"/>
        <w:keepLines w:val="0"/>
        <w:pageBreakBefore w:val="0"/>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广西博行弈工程项目管理有限公司：</w:t>
      </w:r>
    </w:p>
    <w:p>
      <w:pPr>
        <w:keepNext w:val="0"/>
        <w:keepLines w:val="0"/>
        <w:pageBreakBefore w:val="0"/>
        <w:tabs>
          <w:tab w:val="left" w:pos="2160"/>
          <w:tab w:val="left" w:pos="5405"/>
        </w:tabs>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兹授权</w:t>
      </w:r>
      <w:r>
        <w:rPr>
          <w:rFonts w:hint="eastAsia" w:ascii="宋体" w:hAnsi="宋体" w:eastAsia="宋体" w:cs="宋体"/>
          <w:sz w:val="24"/>
          <w:szCs w:val="24"/>
          <w:u w:val="single"/>
        </w:rPr>
        <w:tab/>
      </w:r>
      <w:r>
        <w:rPr>
          <w:rFonts w:hint="eastAsia" w:ascii="宋体" w:hAnsi="宋体" w:eastAsia="宋体" w:cs="宋体"/>
          <w:sz w:val="24"/>
          <w:szCs w:val="24"/>
        </w:rPr>
        <w:t>同志为我公司参加贵单位组织的</w:t>
      </w:r>
      <w:r>
        <w:rPr>
          <w:rFonts w:hint="eastAsia" w:ascii="宋体" w:hAnsi="宋体" w:eastAsia="宋体" w:cs="宋体"/>
          <w:sz w:val="24"/>
          <w:szCs w:val="24"/>
          <w:u w:val="single"/>
        </w:rPr>
        <w:tab/>
      </w:r>
      <w:r>
        <w:rPr>
          <w:rFonts w:hint="eastAsia" w:ascii="宋体" w:hAnsi="宋体" w:eastAsia="宋体" w:cs="宋体"/>
          <w:spacing w:val="-2"/>
          <w:sz w:val="24"/>
          <w:szCs w:val="24"/>
          <w:u w:val="single"/>
        </w:rPr>
        <w:t>（项目名称、项目编号）</w:t>
      </w:r>
      <w:r>
        <w:rPr>
          <w:rFonts w:hint="eastAsia" w:ascii="宋体" w:hAnsi="宋体" w:eastAsia="宋体" w:cs="宋体"/>
          <w:spacing w:val="-2"/>
          <w:sz w:val="24"/>
          <w:szCs w:val="24"/>
        </w:rPr>
        <w:t>竞争性磋商采</w:t>
      </w:r>
      <w:r>
        <w:rPr>
          <w:rFonts w:hint="eastAsia" w:ascii="宋体" w:hAnsi="宋体" w:eastAsia="宋体" w:cs="宋体"/>
          <w:spacing w:val="7"/>
          <w:sz w:val="24"/>
          <w:szCs w:val="24"/>
        </w:rPr>
        <w:t>购活动的磋商代表人，全权代表我公司处理在该项目活动中的一切事宜。代理期限从</w:t>
      </w:r>
      <w:r>
        <w:rPr>
          <w:rFonts w:hint="eastAsia" w:ascii="宋体" w:hAnsi="宋体" w:eastAsia="宋体" w:cs="宋体"/>
          <w:sz w:val="24"/>
          <w:szCs w:val="24"/>
          <w:u w:val="single"/>
        </w:rPr>
        <w:tab/>
      </w:r>
      <w:r>
        <w:rPr>
          <w:rFonts w:hint="eastAsia" w:ascii="宋体" w:hAnsi="宋体" w:eastAsia="宋体" w:cs="宋体"/>
          <w:spacing w:val="-2"/>
          <w:sz w:val="24"/>
          <w:szCs w:val="24"/>
        </w:rPr>
        <w:t>年</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rPr>
        <w:t>月</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1"/>
          <w:sz w:val="24"/>
          <w:szCs w:val="24"/>
        </w:rPr>
        <w:t>日</w:t>
      </w:r>
      <w:r>
        <w:rPr>
          <w:rFonts w:hint="eastAsia" w:ascii="宋体" w:hAnsi="宋体" w:eastAsia="宋体" w:cs="宋体"/>
          <w:spacing w:val="-1"/>
          <w:sz w:val="24"/>
          <w:szCs w:val="24"/>
          <w:u w:val="none"/>
        </w:rPr>
        <w:t>起至</w:t>
      </w:r>
      <w:r>
        <w:rPr>
          <w:rFonts w:hint="eastAsia" w:ascii="宋体" w:hAnsi="宋体" w:eastAsia="宋体" w:cs="宋体"/>
          <w:sz w:val="24"/>
          <w:szCs w:val="24"/>
          <w:u w:val="single"/>
        </w:rPr>
        <w:tab/>
      </w:r>
      <w:r>
        <w:rPr>
          <w:rFonts w:hint="eastAsia" w:ascii="宋体" w:hAnsi="宋体" w:eastAsia="宋体" w:cs="宋体"/>
          <w:spacing w:val="-2"/>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pacing w:val="-2"/>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pacing w:val="-1"/>
          <w:sz w:val="24"/>
          <w:szCs w:val="24"/>
        </w:rPr>
        <w:t>日止。</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授权单位（签章）：</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法定代表人（签字或盖章）：</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tabs>
          <w:tab w:val="left" w:pos="6360"/>
          <w:tab w:val="left" w:pos="7200"/>
          <w:tab w:val="left" w:pos="8040"/>
        </w:tabs>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签发日期：</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2"/>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pacing w:val="-2"/>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pacing w:val="-2"/>
          <w:sz w:val="24"/>
          <w:szCs w:val="24"/>
        </w:rPr>
        <w:t>日</w:t>
      </w: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after="0" w:line="360" w:lineRule="auto"/>
        <w:ind w:left="0" w:firstLine="476" w:firstLineChars="20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附：被授权人身份证（复印件）</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sz w:val="24"/>
          <w:szCs w:val="24"/>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after="0" w:line="360" w:lineRule="auto"/>
        <w:ind w:left="0" w:firstLine="480" w:firstLineChars="200"/>
        <w:textAlignment w:val="auto"/>
        <w:outlineLvl w:val="9"/>
        <w:rPr>
          <w:rFonts w:hint="eastAsia" w:ascii="宋体" w:hAnsi="宋体" w:eastAsia="宋体" w:cs="宋体"/>
          <w:sz w:val="24"/>
          <w:szCs w:val="24"/>
        </w:rPr>
      </w:pPr>
    </w:p>
    <w:p>
      <w:pPr>
        <w:keepNext w:val="0"/>
        <w:keepLines w:val="0"/>
        <w:pageBreakBefore w:val="0"/>
        <w:kinsoku/>
        <w:wordWrap/>
        <w:topLinePunct w:val="0"/>
        <w:bidi w:val="0"/>
        <w:spacing w:after="0" w:line="240" w:lineRule="exact"/>
        <w:ind w:left="60" w:firstLine="420"/>
        <w:outlineLvl w:val="9"/>
        <w:rPr>
          <w:sz w:val="30"/>
          <w:szCs w:val="30"/>
        </w:rPr>
      </w:pPr>
    </w:p>
    <w:p>
      <w:pPr>
        <w:keepNext w:val="0"/>
        <w:keepLines w:val="0"/>
        <w:pageBreakBefore w:val="0"/>
        <w:kinsoku/>
        <w:wordWrap/>
        <w:topLinePunct w:val="0"/>
        <w:bidi w:val="0"/>
        <w:spacing w:after="0" w:line="240" w:lineRule="exact"/>
        <w:ind w:left="60" w:firstLine="420"/>
        <w:outlineLvl w:val="9"/>
        <w:rPr>
          <w:sz w:val="30"/>
          <w:szCs w:val="30"/>
        </w:rPr>
      </w:pPr>
    </w:p>
    <w:p>
      <w:pPr>
        <w:keepNext w:val="0"/>
        <w:keepLines w:val="0"/>
        <w:pageBreakBefore w:val="0"/>
        <w:kinsoku/>
        <w:wordWrap/>
        <w:topLinePunct w:val="0"/>
        <w:bidi w:val="0"/>
        <w:spacing w:after="0" w:line="240" w:lineRule="exact"/>
        <w:ind w:left="60" w:firstLine="420"/>
        <w:outlineLvl w:val="9"/>
        <w:rPr>
          <w:sz w:val="30"/>
          <w:szCs w:val="30"/>
        </w:rPr>
      </w:pPr>
    </w:p>
    <w:p>
      <w:pPr>
        <w:keepNext w:val="0"/>
        <w:keepLines w:val="0"/>
        <w:pageBreakBefore w:val="0"/>
        <w:kinsoku/>
        <w:wordWrap/>
        <w:topLinePunct w:val="0"/>
        <w:bidi w:val="0"/>
        <w:spacing w:after="0" w:line="240" w:lineRule="exact"/>
        <w:ind w:left="60" w:firstLine="420"/>
        <w:outlineLvl w:val="9"/>
        <w:rPr>
          <w:sz w:val="30"/>
          <w:szCs w:val="30"/>
        </w:rPr>
      </w:pPr>
    </w:p>
    <w:p>
      <w:pPr>
        <w:keepNext w:val="0"/>
        <w:keepLines w:val="0"/>
        <w:pageBreakBefore w:val="0"/>
        <w:kinsoku/>
        <w:wordWrap/>
        <w:topLinePunct w:val="0"/>
        <w:bidi w:val="0"/>
        <w:spacing w:after="0" w:line="240" w:lineRule="exact"/>
        <w:ind w:left="60" w:firstLine="420"/>
        <w:outlineLvl w:val="9"/>
        <w:rPr>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left="62"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⑤</w:t>
      </w:r>
      <w:r>
        <w:rPr>
          <w:rFonts w:hint="eastAsia" w:asciiTheme="minorEastAsia" w:hAnsiTheme="minorEastAsia" w:eastAsiaTheme="minorEastAsia" w:cstheme="minorEastAsia"/>
          <w:b/>
          <w:bCs/>
          <w:spacing w:val="-2"/>
          <w:position w:val="3"/>
          <w:sz w:val="28"/>
          <w:szCs w:val="28"/>
        </w:rPr>
        <w:t>总监理工程师须具备国家注册监理工程师执业资格证（</w:t>
      </w:r>
      <w:r>
        <w:rPr>
          <w:rFonts w:hint="eastAsia" w:asciiTheme="minorEastAsia" w:hAnsiTheme="minorEastAsia" w:cstheme="minorEastAsia"/>
          <w:b/>
          <w:bCs/>
          <w:spacing w:val="-2"/>
          <w:position w:val="3"/>
          <w:sz w:val="28"/>
          <w:szCs w:val="28"/>
          <w:lang w:val="en-US" w:eastAsia="zh-CN"/>
        </w:rPr>
        <w:t>市政公用</w:t>
      </w:r>
      <w:r>
        <w:rPr>
          <w:rFonts w:hint="eastAsia" w:asciiTheme="minorEastAsia" w:hAnsiTheme="minorEastAsia" w:eastAsiaTheme="minorEastAsia" w:cstheme="minorEastAsia"/>
          <w:b/>
          <w:bCs/>
          <w:spacing w:val="-2"/>
          <w:position w:val="3"/>
          <w:sz w:val="28"/>
          <w:szCs w:val="28"/>
        </w:rPr>
        <w:t>工程注册专业）复印件（必须提供，复印件加盖单位公章）；</w:t>
      </w:r>
    </w:p>
    <w:p>
      <w:pPr>
        <w:keepNext w:val="0"/>
        <w:keepLines w:val="0"/>
        <w:pageBreakBefore w:val="0"/>
        <w:widowControl w:val="0"/>
        <w:kinsoku/>
        <w:wordWrap/>
        <w:topLinePunct w:val="0"/>
        <w:autoSpaceDE w:val="0"/>
        <w:autoSpaceDN w:val="0"/>
        <w:bidi w:val="0"/>
        <w:adjustRightInd/>
        <w:spacing w:before="61"/>
        <w:ind w:right="623" w:firstLine="562" w:firstLineChars="200"/>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⑥</w:t>
      </w:r>
      <w:r>
        <w:rPr>
          <w:rFonts w:hint="eastAsia" w:ascii="宋体" w:hAnsi="宋体" w:eastAsia="宋体" w:cs="宋体"/>
          <w:b/>
          <w:bCs/>
          <w:color w:val="auto"/>
          <w:sz w:val="28"/>
          <w:szCs w:val="28"/>
          <w:highlight w:val="none"/>
        </w:rPr>
        <w:t>《贵港市政府采购项目投标资格承诺函》；</w:t>
      </w:r>
    </w:p>
    <w:p>
      <w:pPr>
        <w:pStyle w:val="18"/>
        <w:keepNext w:val="0"/>
        <w:keepLines w:val="0"/>
        <w:pageBreakBefore w:val="0"/>
        <w:widowControl w:val="0"/>
        <w:kinsoku/>
        <w:wordWrap/>
        <w:topLinePunct w:val="0"/>
        <w:autoSpaceDE w:val="0"/>
        <w:autoSpaceDN w:val="0"/>
        <w:bidi w:val="0"/>
        <w:adjustRightInd/>
        <w:ind w:left="0" w:leftChars="0" w:firstLine="0" w:firstLineChars="0"/>
        <w:jc w:val="center"/>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贵港市政府采购项目投标资格承诺函</w:t>
      </w:r>
    </w:p>
    <w:p>
      <w:pPr>
        <w:pStyle w:val="18"/>
        <w:keepNext w:val="0"/>
        <w:keepLines w:val="0"/>
        <w:pageBreakBefore w:val="0"/>
        <w:widowControl w:val="0"/>
        <w:kinsoku/>
        <w:wordWrap/>
        <w:topLinePunct w:val="0"/>
        <w:autoSpaceDE w:val="0"/>
        <w:autoSpaceDN w:val="0"/>
        <w:bidi w:val="0"/>
        <w:adjustRightInd/>
        <w:spacing w:line="480" w:lineRule="auto"/>
        <w:ind w:firstLine="56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本公司郑重承诺，根据《中华人民共和国政府采购法》第二十二条的规定，本公司为参加政府采购活动的合格供应商。即本公司同时满足以下条件：</w:t>
      </w:r>
    </w:p>
    <w:p>
      <w:pPr>
        <w:pStyle w:val="18"/>
        <w:keepNext w:val="0"/>
        <w:keepLines w:val="0"/>
        <w:pageBreakBefore w:val="0"/>
        <w:widowControl w:val="0"/>
        <w:kinsoku/>
        <w:wordWrap/>
        <w:topLinePunct w:val="0"/>
        <w:autoSpaceDE w:val="0"/>
        <w:autoSpaceDN w:val="0"/>
        <w:bidi w:val="0"/>
        <w:adjustRightInd/>
        <w:spacing w:line="480" w:lineRule="auto"/>
        <w:ind w:firstLine="56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1.具有独立承担民事责任的能力。</w:t>
      </w:r>
    </w:p>
    <w:p>
      <w:pPr>
        <w:pStyle w:val="18"/>
        <w:keepNext w:val="0"/>
        <w:keepLines w:val="0"/>
        <w:pageBreakBefore w:val="0"/>
        <w:widowControl w:val="0"/>
        <w:kinsoku/>
        <w:wordWrap/>
        <w:topLinePunct w:val="0"/>
        <w:autoSpaceDE w:val="0"/>
        <w:autoSpaceDN w:val="0"/>
        <w:bidi w:val="0"/>
        <w:adjustRightInd/>
        <w:spacing w:line="480" w:lineRule="auto"/>
        <w:ind w:firstLine="56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2.具有良好的商业信誉和健全的财务会计制度。</w:t>
      </w:r>
    </w:p>
    <w:p>
      <w:pPr>
        <w:pStyle w:val="18"/>
        <w:keepNext w:val="0"/>
        <w:keepLines w:val="0"/>
        <w:pageBreakBefore w:val="0"/>
        <w:widowControl w:val="0"/>
        <w:kinsoku/>
        <w:wordWrap/>
        <w:topLinePunct w:val="0"/>
        <w:autoSpaceDE w:val="0"/>
        <w:autoSpaceDN w:val="0"/>
        <w:bidi w:val="0"/>
        <w:adjustRightInd/>
        <w:spacing w:line="480" w:lineRule="auto"/>
        <w:ind w:firstLine="56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3.具有履行合同所必需的设备和专业技术能力。</w:t>
      </w:r>
    </w:p>
    <w:p>
      <w:pPr>
        <w:pStyle w:val="18"/>
        <w:keepNext w:val="0"/>
        <w:keepLines w:val="0"/>
        <w:pageBreakBefore w:val="0"/>
        <w:widowControl w:val="0"/>
        <w:kinsoku/>
        <w:wordWrap/>
        <w:topLinePunct w:val="0"/>
        <w:autoSpaceDE w:val="0"/>
        <w:autoSpaceDN w:val="0"/>
        <w:bidi w:val="0"/>
        <w:adjustRightInd/>
        <w:spacing w:line="480" w:lineRule="auto"/>
        <w:ind w:firstLine="56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4.有依法缴纳税收和社会保障资金的良好记录。</w:t>
      </w:r>
    </w:p>
    <w:p>
      <w:pPr>
        <w:pStyle w:val="18"/>
        <w:keepNext w:val="0"/>
        <w:keepLines w:val="0"/>
        <w:pageBreakBefore w:val="0"/>
        <w:widowControl w:val="0"/>
        <w:kinsoku/>
        <w:wordWrap/>
        <w:topLinePunct w:val="0"/>
        <w:autoSpaceDE w:val="0"/>
        <w:autoSpaceDN w:val="0"/>
        <w:bidi w:val="0"/>
        <w:adjustRightInd/>
        <w:spacing w:line="480" w:lineRule="auto"/>
        <w:ind w:firstLine="56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 提交投标文件截止日期前三年内，在经营活动中没有重大违法记录。</w:t>
      </w:r>
    </w:p>
    <w:p>
      <w:pPr>
        <w:pStyle w:val="18"/>
        <w:keepNext w:val="0"/>
        <w:keepLines w:val="0"/>
        <w:pageBreakBefore w:val="0"/>
        <w:widowControl w:val="0"/>
        <w:kinsoku/>
        <w:wordWrap/>
        <w:topLinePunct w:val="0"/>
        <w:autoSpaceDE w:val="0"/>
        <w:autoSpaceDN w:val="0"/>
        <w:bidi w:val="0"/>
        <w:adjustRightInd/>
        <w:spacing w:line="480" w:lineRule="auto"/>
        <w:ind w:firstLine="56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本公司对上述承诺的真实性负责，并接受政府采购、税务、社会保障等监督管理部门、采购文件规定的资格审查机构、社会公众的监督和检查。如有虚假，将依法承担相应责任。</w:t>
      </w:r>
    </w:p>
    <w:p>
      <w:pPr>
        <w:pStyle w:val="18"/>
        <w:keepNext w:val="0"/>
        <w:keepLines w:val="0"/>
        <w:pageBreakBefore w:val="0"/>
        <w:widowControl w:val="0"/>
        <w:kinsoku/>
        <w:wordWrap/>
        <w:topLinePunct w:val="0"/>
        <w:autoSpaceDE w:val="0"/>
        <w:autoSpaceDN w:val="0"/>
        <w:bidi w:val="0"/>
        <w:adjustRightInd/>
        <w:ind w:firstLine="560"/>
        <w:textAlignment w:val="auto"/>
        <w:outlineLvl w:val="9"/>
        <w:rPr>
          <w:rFonts w:hint="eastAsia" w:ascii="宋体" w:hAnsi="宋体" w:eastAsia="宋体" w:cs="宋体"/>
          <w:bCs/>
          <w:color w:val="auto"/>
          <w:sz w:val="24"/>
          <w:szCs w:val="24"/>
        </w:rPr>
      </w:pPr>
    </w:p>
    <w:p>
      <w:pPr>
        <w:pStyle w:val="18"/>
        <w:keepNext w:val="0"/>
        <w:keepLines w:val="0"/>
        <w:pageBreakBefore w:val="0"/>
        <w:widowControl w:val="0"/>
        <w:kinsoku/>
        <w:wordWrap/>
        <w:topLinePunct w:val="0"/>
        <w:autoSpaceDE w:val="0"/>
        <w:autoSpaceDN w:val="0"/>
        <w:bidi w:val="0"/>
        <w:adjustRightInd/>
        <w:ind w:firstLine="560"/>
        <w:textAlignment w:val="auto"/>
        <w:outlineLvl w:val="9"/>
        <w:rPr>
          <w:rFonts w:hint="eastAsia" w:ascii="宋体" w:hAnsi="宋体" w:eastAsia="宋体" w:cs="宋体"/>
          <w:bCs/>
          <w:color w:val="auto"/>
          <w:sz w:val="24"/>
          <w:szCs w:val="24"/>
        </w:rPr>
      </w:pPr>
    </w:p>
    <w:p>
      <w:pPr>
        <w:pStyle w:val="18"/>
        <w:keepNext w:val="0"/>
        <w:keepLines w:val="0"/>
        <w:pageBreakBefore w:val="0"/>
        <w:widowControl w:val="0"/>
        <w:kinsoku/>
        <w:wordWrap/>
        <w:topLinePunct w:val="0"/>
        <w:autoSpaceDE w:val="0"/>
        <w:autoSpaceDN w:val="0"/>
        <w:bidi w:val="0"/>
        <w:adjustRightInd/>
        <w:ind w:firstLine="56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企业名称（盖章）：</w:t>
      </w:r>
    </w:p>
    <w:p>
      <w:pPr>
        <w:pStyle w:val="18"/>
        <w:keepNext w:val="0"/>
        <w:keepLines w:val="0"/>
        <w:pageBreakBefore w:val="0"/>
        <w:widowControl w:val="0"/>
        <w:kinsoku/>
        <w:wordWrap/>
        <w:topLinePunct w:val="0"/>
        <w:autoSpaceDE w:val="0"/>
        <w:autoSpaceDN w:val="0"/>
        <w:bidi w:val="0"/>
        <w:adjustRightInd/>
        <w:ind w:firstLine="560"/>
        <w:jc w:val="center"/>
        <w:textAlignment w:val="auto"/>
        <w:outlineLvl w:val="9"/>
        <w:rPr>
          <w:rFonts w:hint="eastAsia" w:ascii="宋体" w:hAnsi="宋体" w:eastAsia="宋体" w:cs="宋体"/>
          <w:bCs/>
          <w:color w:val="auto"/>
          <w:sz w:val="24"/>
          <w:szCs w:val="24"/>
        </w:rPr>
      </w:pPr>
    </w:p>
    <w:p>
      <w:pPr>
        <w:pStyle w:val="18"/>
        <w:keepNext w:val="0"/>
        <w:keepLines w:val="0"/>
        <w:pageBreakBefore w:val="0"/>
        <w:widowControl w:val="0"/>
        <w:kinsoku/>
        <w:wordWrap/>
        <w:topLinePunct w:val="0"/>
        <w:autoSpaceDE w:val="0"/>
        <w:autoSpaceDN w:val="0"/>
        <w:bidi w:val="0"/>
        <w:adjustRightInd/>
        <w:ind w:firstLine="56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法定代表人（签名）：</w:t>
      </w:r>
    </w:p>
    <w:p>
      <w:pPr>
        <w:pStyle w:val="18"/>
        <w:keepNext w:val="0"/>
        <w:keepLines w:val="0"/>
        <w:pageBreakBefore w:val="0"/>
        <w:widowControl w:val="0"/>
        <w:kinsoku/>
        <w:wordWrap/>
        <w:topLinePunct w:val="0"/>
        <w:autoSpaceDE w:val="0"/>
        <w:autoSpaceDN w:val="0"/>
        <w:bidi w:val="0"/>
        <w:adjustRightInd/>
        <w:ind w:firstLine="560"/>
        <w:jc w:val="center"/>
        <w:textAlignment w:val="auto"/>
        <w:outlineLvl w:val="9"/>
        <w:rPr>
          <w:rFonts w:hint="eastAsia" w:ascii="宋体" w:hAnsi="宋体" w:eastAsia="宋体" w:cs="宋体"/>
          <w:bCs/>
          <w:color w:val="auto"/>
          <w:sz w:val="24"/>
          <w:szCs w:val="24"/>
        </w:rPr>
      </w:pPr>
    </w:p>
    <w:p>
      <w:pPr>
        <w:pStyle w:val="18"/>
        <w:keepNext w:val="0"/>
        <w:keepLines w:val="0"/>
        <w:pageBreakBefore w:val="0"/>
        <w:widowControl w:val="0"/>
        <w:kinsoku/>
        <w:wordWrap/>
        <w:topLinePunct w:val="0"/>
        <w:autoSpaceDE w:val="0"/>
        <w:autoSpaceDN w:val="0"/>
        <w:bidi w:val="0"/>
        <w:adjustRightInd/>
        <w:ind w:firstLine="560"/>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日期： 年 月 日</w:t>
      </w: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52" w:lineRule="exact"/>
        <w:ind w:left="60"/>
        <w:outlineLvl w:val="9"/>
        <w:rPr>
          <w:sz w:val="30"/>
          <w:szCs w:val="30"/>
        </w:r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324" w:lineRule="exact"/>
        <w:ind w:left="60"/>
        <w:jc w:val="center"/>
        <w:outlineLvl w:val="9"/>
        <w:rPr>
          <w:rFonts w:hint="eastAsia" w:ascii="宋体" w:hAnsi="宋体" w:eastAsia="宋体" w:cs="宋体"/>
          <w:b/>
          <w:bCs/>
          <w:sz w:val="28"/>
          <w:szCs w:val="28"/>
        </w:rPr>
      </w:pPr>
      <w:r>
        <w:rPr>
          <w:rFonts w:hint="eastAsia" w:ascii="宋体" w:hAnsi="宋体" w:eastAsia="宋体" w:cs="宋体"/>
          <w:b/>
          <w:bCs/>
          <w:spacing w:val="-5"/>
          <w:sz w:val="28"/>
          <w:szCs w:val="28"/>
          <w:lang w:val="en-US" w:eastAsia="zh-CN"/>
        </w:rPr>
        <w:t>3.</w:t>
      </w:r>
      <w:r>
        <w:rPr>
          <w:rFonts w:hint="eastAsia" w:ascii="宋体" w:hAnsi="宋体" w:eastAsia="宋体" w:cs="宋体"/>
          <w:b/>
          <w:bCs/>
          <w:spacing w:val="-5"/>
          <w:sz w:val="28"/>
          <w:szCs w:val="28"/>
        </w:rPr>
        <w:t>供应商认为有必要提供的证明其满足本项目磋商资格的声明及</w:t>
      </w:r>
      <w:r>
        <w:rPr>
          <w:rFonts w:hint="eastAsia" w:ascii="宋体" w:hAnsi="宋体" w:eastAsia="宋体" w:cs="宋体"/>
          <w:b/>
          <w:bCs/>
          <w:spacing w:val="-2"/>
          <w:sz w:val="28"/>
          <w:szCs w:val="28"/>
        </w:rPr>
        <w:t>文件资</w:t>
      </w:r>
      <w:r>
        <w:rPr>
          <w:rFonts w:hint="eastAsia" w:ascii="宋体" w:hAnsi="宋体" w:eastAsia="宋体" w:cs="宋体"/>
          <w:b/>
          <w:bCs/>
          <w:spacing w:val="-1"/>
          <w:sz w:val="28"/>
          <w:szCs w:val="28"/>
        </w:rPr>
        <w:t>料。</w:t>
      </w: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bookmarkStart w:id="159" w:name="41"/>
      <w:bookmarkEnd w:id="159"/>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50" w:lineRule="exact"/>
        <w:ind w:left="60"/>
        <w:outlineLvl w:val="9"/>
        <w:rPr>
          <w:sz w:val="30"/>
          <w:szCs w:val="30"/>
        </w:rPr>
      </w:pP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361" w:lineRule="exact"/>
        <w:ind w:left="3552"/>
        <w:outlineLvl w:val="9"/>
        <w:rPr>
          <w:rFonts w:ascii="宋体" w:hAnsi="宋体" w:cs="宋体"/>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361" w:lineRule="exact"/>
        <w:ind w:left="3552"/>
        <w:outlineLvl w:val="9"/>
        <w:rPr>
          <w:rFonts w:ascii="宋体" w:hAnsi="宋体" w:cs="宋体"/>
          <w:sz w:val="30"/>
          <w:szCs w:val="30"/>
        </w:rPr>
      </w:pPr>
    </w:p>
    <w:p>
      <w:pPr>
        <w:keepNext w:val="0"/>
        <w:keepLines w:val="0"/>
        <w:pageBreakBefore w:val="0"/>
        <w:kinsoku/>
        <w:wordWrap/>
        <w:topLinePunct w:val="0"/>
        <w:bidi w:val="0"/>
        <w:spacing w:after="0" w:line="361" w:lineRule="exact"/>
        <w:ind w:left="3552"/>
        <w:outlineLvl w:val="9"/>
        <w:rPr>
          <w:b/>
          <w:bCs/>
          <w:sz w:val="32"/>
          <w:szCs w:val="32"/>
        </w:rPr>
      </w:pPr>
      <w:r>
        <w:rPr>
          <w:rFonts w:ascii="宋体" w:hAnsi="宋体" w:cs="宋体"/>
          <w:b/>
          <w:bCs/>
          <w:sz w:val="32"/>
          <w:szCs w:val="32"/>
        </w:rPr>
        <w:t>三、技术文件</w:t>
      </w:r>
    </w:p>
    <w:p>
      <w:pPr>
        <w:keepNext w:val="0"/>
        <w:keepLines w:val="0"/>
        <w:pageBreakBefore w:val="0"/>
        <w:widowControl/>
        <w:kinsoku/>
        <w:wordWrap/>
        <w:topLinePunct w:val="0"/>
        <w:bidi w:val="0"/>
        <w:outlineLvl w:val="9"/>
        <w:rPr>
          <w:b/>
          <w:bCs/>
          <w:sz w:val="32"/>
          <w:szCs w:val="32"/>
        </w:rPr>
        <w:sectPr>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240" w:lineRule="exact"/>
        <w:ind w:left="60"/>
        <w:outlineLvl w:val="9"/>
        <w:rPr>
          <w:sz w:val="30"/>
          <w:szCs w:val="30"/>
        </w:rPr>
      </w:pPr>
      <w:bookmarkStart w:id="160" w:name="42"/>
      <w:bookmarkEnd w:id="160"/>
    </w:p>
    <w:p>
      <w:pPr>
        <w:keepNext w:val="0"/>
        <w:keepLines w:val="0"/>
        <w:pageBreakBefore w:val="0"/>
        <w:kinsoku/>
        <w:wordWrap/>
        <w:topLinePunct w:val="0"/>
        <w:bidi w:val="0"/>
        <w:spacing w:after="0" w:line="470" w:lineRule="exact"/>
        <w:ind w:left="60" w:firstLine="1829"/>
        <w:outlineLvl w:val="9"/>
        <w:rPr>
          <w:rFonts w:ascii="Tahoma" w:hAnsi="Tahoma" w:cs="Tahoma"/>
          <w:b/>
          <w:spacing w:val="-1"/>
          <w:w w:val="95"/>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470" w:lineRule="exact"/>
        <w:jc w:val="center"/>
        <w:outlineLvl w:val="9"/>
        <w:rPr>
          <w:b/>
          <w:bCs w:val="0"/>
          <w:sz w:val="28"/>
          <w:szCs w:val="28"/>
        </w:rPr>
      </w:pPr>
      <w:r>
        <w:rPr>
          <w:rFonts w:hint="eastAsia" w:ascii="宋体" w:hAnsi="宋体" w:eastAsia="宋体" w:cs="宋体"/>
          <w:b/>
          <w:bCs w:val="0"/>
          <w:spacing w:val="-1"/>
          <w:w w:val="95"/>
          <w:sz w:val="28"/>
          <w:szCs w:val="28"/>
          <w:lang w:val="en-US" w:eastAsia="zh-CN"/>
        </w:rPr>
        <w:t>1.</w:t>
      </w:r>
      <w:r>
        <w:rPr>
          <w:rFonts w:hint="eastAsia" w:ascii="宋体" w:hAnsi="宋体" w:eastAsia="宋体" w:cs="宋体"/>
          <w:b/>
          <w:bCs w:val="0"/>
          <w:spacing w:val="-2"/>
          <w:position w:val="2"/>
          <w:sz w:val="28"/>
          <w:szCs w:val="28"/>
        </w:rPr>
        <w:t>监理大纲</w:t>
      </w:r>
      <w:r>
        <w:rPr>
          <w:rFonts w:ascii="宋体" w:hAnsi="宋体" w:eastAsia="宋体" w:cs="宋体"/>
          <w:b/>
          <w:bCs w:val="0"/>
          <w:spacing w:val="-2"/>
          <w:position w:val="2"/>
          <w:sz w:val="28"/>
          <w:szCs w:val="28"/>
        </w:rPr>
        <w:t>（技术方案）（格式）</w:t>
      </w:r>
    </w:p>
    <w:p>
      <w:pPr>
        <w:keepNext w:val="0"/>
        <w:keepLines w:val="0"/>
        <w:pageBreakBefore w:val="0"/>
        <w:kinsoku/>
        <w:wordWrap/>
        <w:topLinePunct w:val="0"/>
        <w:bidi w:val="0"/>
        <w:spacing w:after="0" w:line="360" w:lineRule="auto"/>
        <w:jc w:val="center"/>
        <w:outlineLvl w:val="9"/>
        <w:rPr>
          <w:rFonts w:hint="eastAsia" w:ascii="宋体" w:hAnsi="宋体" w:eastAsia="宋体" w:cs="宋体"/>
          <w:spacing w:val="-1"/>
          <w:sz w:val="24"/>
          <w:szCs w:val="24"/>
        </w:rPr>
      </w:pPr>
    </w:p>
    <w:p>
      <w:pPr>
        <w:keepNext w:val="0"/>
        <w:keepLines w:val="0"/>
        <w:pageBreakBefore w:val="0"/>
        <w:kinsoku/>
        <w:wordWrap/>
        <w:topLinePunct w:val="0"/>
        <w:bidi w:val="0"/>
        <w:spacing w:after="0" w:line="360" w:lineRule="auto"/>
        <w:jc w:val="center"/>
        <w:outlineLvl w:val="9"/>
        <w:rPr>
          <w:rFonts w:hint="eastAsia" w:ascii="宋体" w:hAnsi="宋体" w:eastAsia="宋体" w:cs="宋体"/>
          <w:sz w:val="24"/>
          <w:szCs w:val="24"/>
        </w:rPr>
      </w:pPr>
      <w:r>
        <w:rPr>
          <w:rFonts w:hint="eastAsia" w:ascii="宋体" w:hAnsi="宋体" w:eastAsia="宋体" w:cs="宋体"/>
          <w:spacing w:val="-1"/>
          <w:sz w:val="24"/>
          <w:szCs w:val="24"/>
        </w:rPr>
        <w:t>(</w:t>
      </w:r>
      <w:r>
        <w:rPr>
          <w:rFonts w:hint="eastAsia" w:ascii="宋体" w:hAnsi="宋体" w:eastAsia="宋体" w:cs="宋体"/>
          <w:spacing w:val="-1"/>
          <w:position w:val="3"/>
          <w:sz w:val="24"/>
          <w:szCs w:val="24"/>
        </w:rPr>
        <w:t>由供应商根据项目要求自行填写</w:t>
      </w:r>
      <w:r>
        <w:rPr>
          <w:rFonts w:hint="eastAsia" w:ascii="宋体" w:hAnsi="宋体" w:eastAsia="宋体" w:cs="宋体"/>
          <w:spacing w:val="-1"/>
          <w:sz w:val="24"/>
          <w:szCs w:val="24"/>
        </w:rPr>
        <w:t>)</w:t>
      </w:r>
    </w:p>
    <w:p>
      <w:pPr>
        <w:keepNext w:val="0"/>
        <w:keepLines w:val="0"/>
        <w:pageBreakBefore w:val="0"/>
        <w:widowControl/>
        <w:kinsoku/>
        <w:wordWrap/>
        <w:topLinePunct w:val="0"/>
        <w:bidi w:val="0"/>
        <w:spacing w:line="360" w:lineRule="auto"/>
        <w:outlineLvl w:val="9"/>
        <w:rPr>
          <w:rFonts w:hint="eastAsia" w:ascii="宋体" w:hAnsi="宋体" w:eastAsia="宋体" w:cs="宋体"/>
          <w:sz w:val="24"/>
          <w:szCs w:val="24"/>
        </w:rPr>
        <w:sectPr>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470" w:lineRule="exact"/>
        <w:jc w:val="center"/>
        <w:outlineLvl w:val="9"/>
        <w:rPr>
          <w:rFonts w:hint="eastAsia" w:ascii="宋体" w:hAnsi="宋体" w:eastAsia="宋体" w:cs="宋体"/>
          <w:b/>
          <w:bCs w:val="0"/>
          <w:spacing w:val="-2"/>
          <w:position w:val="2"/>
          <w:sz w:val="28"/>
          <w:szCs w:val="28"/>
        </w:rPr>
      </w:pPr>
    </w:p>
    <w:p>
      <w:pPr>
        <w:keepNext w:val="0"/>
        <w:keepLines w:val="0"/>
        <w:pageBreakBefore w:val="0"/>
        <w:kinsoku/>
        <w:wordWrap/>
        <w:topLinePunct w:val="0"/>
        <w:bidi w:val="0"/>
        <w:spacing w:after="0" w:line="470" w:lineRule="exact"/>
        <w:jc w:val="center"/>
        <w:outlineLvl w:val="9"/>
        <w:rPr>
          <w:rFonts w:hint="eastAsia" w:ascii="宋体" w:hAnsi="宋体" w:eastAsia="宋体" w:cs="宋体"/>
          <w:b/>
          <w:bCs w:val="0"/>
          <w:spacing w:val="-2"/>
          <w:position w:val="2"/>
          <w:sz w:val="28"/>
          <w:szCs w:val="28"/>
        </w:rPr>
      </w:pPr>
    </w:p>
    <w:p>
      <w:pPr>
        <w:keepNext w:val="0"/>
        <w:keepLines w:val="0"/>
        <w:pageBreakBefore w:val="0"/>
        <w:kinsoku/>
        <w:wordWrap/>
        <w:topLinePunct w:val="0"/>
        <w:bidi w:val="0"/>
        <w:spacing w:after="0" w:line="470" w:lineRule="exact"/>
        <w:jc w:val="center"/>
        <w:outlineLvl w:val="9"/>
        <w:rPr>
          <w:rFonts w:hint="eastAsia" w:ascii="宋体" w:hAnsi="宋体" w:eastAsia="宋体" w:cs="宋体"/>
          <w:b/>
          <w:bCs w:val="0"/>
          <w:spacing w:val="-2"/>
          <w:position w:val="2"/>
          <w:sz w:val="28"/>
          <w:szCs w:val="28"/>
        </w:rPr>
      </w:pPr>
      <w:r>
        <w:rPr>
          <w:rFonts w:hint="eastAsia" w:ascii="宋体" w:hAnsi="宋体" w:eastAsia="宋体" w:cs="宋体"/>
          <w:b/>
          <w:bCs w:val="0"/>
          <w:spacing w:val="-2"/>
          <w:position w:val="2"/>
          <w:sz w:val="28"/>
          <w:szCs w:val="28"/>
        </w:rPr>
        <w:t>2</w:t>
      </w:r>
      <w:r>
        <w:rPr>
          <w:rFonts w:hint="eastAsia" w:ascii="宋体" w:hAnsi="宋体" w:eastAsia="宋体" w:cs="宋体"/>
          <w:b/>
          <w:bCs w:val="0"/>
          <w:spacing w:val="-2"/>
          <w:position w:val="2"/>
          <w:sz w:val="28"/>
          <w:szCs w:val="28"/>
          <w:lang w:eastAsia="zh-CN"/>
        </w:rPr>
        <w:t>.</w:t>
      </w:r>
      <w:r>
        <w:rPr>
          <w:rFonts w:hint="eastAsia" w:ascii="宋体" w:hAnsi="宋体" w:eastAsia="宋体" w:cs="宋体"/>
          <w:b/>
          <w:bCs w:val="0"/>
          <w:spacing w:val="-2"/>
          <w:position w:val="2"/>
          <w:sz w:val="28"/>
          <w:szCs w:val="28"/>
        </w:rPr>
        <w:t>人员配置</w:t>
      </w:r>
    </w:p>
    <w:p>
      <w:pPr>
        <w:keepNext w:val="0"/>
        <w:keepLines w:val="0"/>
        <w:pageBreakBefore w:val="0"/>
        <w:widowControl w:val="0"/>
        <w:kinsoku/>
        <w:wordWrap/>
        <w:topLinePunct w:val="0"/>
        <w:autoSpaceDE w:val="0"/>
        <w:autoSpaceDN w:val="0"/>
        <w:bidi w:val="0"/>
        <w:adjustRightInd/>
        <w:spacing w:before="54" w:line="364" w:lineRule="auto"/>
        <w:ind w:right="266"/>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项目实施人员一览表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34"/>
        <w:gridCol w:w="1483"/>
        <w:gridCol w:w="1400"/>
        <w:gridCol w:w="1633"/>
        <w:gridCol w:w="151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ascii="宋体" w:hAnsi="宋体"/>
                <w:sz w:val="24"/>
                <w:szCs w:val="20"/>
              </w:rPr>
            </w:pPr>
            <w:r>
              <w:rPr>
                <w:rFonts w:hint="eastAsia" w:ascii="宋体" w:hAnsi="宋体"/>
                <w:sz w:val="24"/>
                <w:szCs w:val="20"/>
              </w:rPr>
              <w:t>姓名</w:t>
            </w:r>
          </w:p>
        </w:tc>
        <w:tc>
          <w:tcPr>
            <w:tcW w:w="8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sz w:val="24"/>
                <w:szCs w:val="20"/>
                <w:lang w:val="en-US" w:eastAsia="zh-CN"/>
              </w:rPr>
            </w:pPr>
            <w:r>
              <w:rPr>
                <w:rFonts w:hint="eastAsia" w:ascii="宋体" w:hAnsi="宋体"/>
                <w:sz w:val="24"/>
                <w:szCs w:val="20"/>
                <w:lang w:val="en-US" w:eastAsia="zh-CN"/>
              </w:rPr>
              <w:t>学历</w:t>
            </w:r>
          </w:p>
        </w:tc>
        <w:tc>
          <w:tcPr>
            <w:tcW w:w="14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sz w:val="24"/>
                <w:szCs w:val="20"/>
                <w:lang w:eastAsia="zh-CN"/>
              </w:rPr>
            </w:pPr>
            <w:r>
              <w:rPr>
                <w:rFonts w:hint="eastAsia" w:ascii="宋体" w:hAnsi="宋体"/>
                <w:sz w:val="24"/>
                <w:szCs w:val="20"/>
                <w:lang w:eastAsia="zh-CN"/>
              </w:rPr>
              <w:t>职称</w:t>
            </w:r>
          </w:p>
        </w:tc>
        <w:tc>
          <w:tcPr>
            <w:tcW w:w="14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sz w:val="24"/>
                <w:szCs w:val="20"/>
                <w:lang w:eastAsia="zh-CN"/>
              </w:rPr>
            </w:pPr>
            <w:r>
              <w:rPr>
                <w:rFonts w:hint="eastAsia" w:ascii="宋体" w:hAnsi="宋体"/>
                <w:sz w:val="24"/>
                <w:szCs w:val="20"/>
                <w:lang w:eastAsia="zh-CN"/>
              </w:rPr>
              <w:t>专业</w:t>
            </w:r>
          </w:p>
        </w:tc>
        <w:tc>
          <w:tcPr>
            <w:tcW w:w="31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topLinePunct w:val="0"/>
              <w:bidi w:val="0"/>
              <w:spacing w:line="240" w:lineRule="auto"/>
              <w:ind w:left="0" w:leftChars="0" w:firstLine="0" w:firstLineChars="0"/>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执业资格或岗位（培训）</w:t>
            </w:r>
          </w:p>
          <w:p>
            <w:pPr>
              <w:keepNext w:val="0"/>
              <w:keepLines w:val="0"/>
              <w:pageBreakBefore w:val="0"/>
              <w:numPr>
                <w:ilvl w:val="0"/>
                <w:numId w:val="0"/>
              </w:numPr>
              <w:kinsoku/>
              <w:wordWrap/>
              <w:topLinePunct w:val="0"/>
              <w:bidi w:val="0"/>
              <w:spacing w:line="240" w:lineRule="auto"/>
              <w:ind w:left="0" w:leftChars="0" w:firstLine="0" w:firstLineChars="0"/>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证书</w:t>
            </w:r>
          </w:p>
        </w:tc>
        <w:tc>
          <w:tcPr>
            <w:tcW w:w="13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ascii="宋体" w:hAnsi="宋体"/>
                <w:b w:val="0"/>
                <w:bCs/>
                <w:sz w:val="24"/>
                <w:szCs w:val="20"/>
              </w:rPr>
            </w:pPr>
            <w:r>
              <w:rPr>
                <w:rFonts w:hint="eastAsia" w:ascii="宋体" w:hAnsi="宋体"/>
                <w:b w:val="0"/>
                <w:bCs/>
                <w:sz w:val="24"/>
                <w:szCs w:val="20"/>
              </w:rPr>
              <w:t>拟在本项目任职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3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240" w:lineRule="auto"/>
              <w:ind w:left="0" w:leftChars="0" w:firstLine="0" w:firstLineChars="0"/>
              <w:jc w:val="center"/>
              <w:outlineLvl w:val="9"/>
            </w:pPr>
          </w:p>
        </w:tc>
        <w:tc>
          <w:tcPr>
            <w:tcW w:w="8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240" w:lineRule="auto"/>
              <w:ind w:left="0" w:leftChars="0" w:firstLine="0" w:firstLineChars="0"/>
              <w:jc w:val="center"/>
              <w:outlineLvl w:val="9"/>
            </w:pPr>
          </w:p>
        </w:tc>
        <w:tc>
          <w:tcPr>
            <w:tcW w:w="14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240" w:lineRule="auto"/>
              <w:ind w:left="0" w:leftChars="0" w:firstLine="0" w:firstLineChars="0"/>
              <w:jc w:val="center"/>
              <w:outlineLvl w:val="9"/>
            </w:pPr>
          </w:p>
        </w:tc>
        <w:tc>
          <w:tcPr>
            <w:tcW w:w="14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240" w:lineRule="auto"/>
              <w:ind w:left="0" w:leftChars="0" w:firstLine="0" w:firstLineChars="0"/>
              <w:jc w:val="center"/>
              <w:outlineLvl w:val="9"/>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topLinePunct w:val="0"/>
              <w:bidi w:val="0"/>
              <w:spacing w:line="240" w:lineRule="auto"/>
              <w:ind w:left="0" w:leftChars="0" w:firstLine="0" w:firstLineChars="0"/>
              <w:jc w:val="center"/>
              <w:outlineLvl w:val="9"/>
              <w:rPr>
                <w:sz w:val="24"/>
                <w:szCs w:val="32"/>
              </w:rPr>
            </w:pPr>
            <w:r>
              <w:rPr>
                <w:rFonts w:hint="eastAsia" w:ascii="宋体" w:hAnsi="宋体" w:eastAsia="宋体" w:cs="宋体"/>
                <w:b w:val="0"/>
                <w:bCs w:val="0"/>
                <w:color w:val="auto"/>
                <w:sz w:val="24"/>
                <w:szCs w:val="24"/>
                <w:vertAlign w:val="baseline"/>
                <w:lang w:val="en-US" w:eastAsia="zh-CN"/>
              </w:rPr>
              <w:t>证书名称及</w:t>
            </w:r>
            <w:r>
              <w:rPr>
                <w:rFonts w:hint="eastAsia" w:ascii="宋体" w:hAnsi="宋体" w:cs="宋体"/>
                <w:b w:val="0"/>
                <w:bCs w:val="0"/>
                <w:color w:val="auto"/>
                <w:sz w:val="24"/>
                <w:szCs w:val="24"/>
                <w:vertAlign w:val="baseline"/>
                <w:lang w:val="en-US" w:eastAsia="zh-CN"/>
              </w:rPr>
              <w:t>（注册）</w:t>
            </w:r>
            <w:r>
              <w:rPr>
                <w:rFonts w:hint="eastAsia" w:ascii="宋体" w:hAnsi="宋体" w:eastAsia="宋体" w:cs="宋体"/>
                <w:b w:val="0"/>
                <w:bCs w:val="0"/>
                <w:color w:val="auto"/>
                <w:sz w:val="24"/>
                <w:szCs w:val="24"/>
                <w:vertAlign w:val="baseline"/>
                <w:lang w:val="en-US" w:eastAsia="zh-CN"/>
              </w:rPr>
              <w:t>专业</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topLinePunct w:val="0"/>
              <w:bidi w:val="0"/>
              <w:spacing w:line="240" w:lineRule="auto"/>
              <w:ind w:left="0" w:leftChars="0" w:firstLine="0" w:firstLineChars="0"/>
              <w:jc w:val="center"/>
              <w:outlineLvl w:val="9"/>
              <w:rPr>
                <w:sz w:val="24"/>
                <w:szCs w:val="32"/>
              </w:rPr>
            </w:pPr>
            <w:r>
              <w:rPr>
                <w:rFonts w:hint="eastAsia" w:ascii="宋体" w:hAnsi="宋体" w:eastAsia="宋体" w:cs="宋体"/>
                <w:b w:val="0"/>
                <w:bCs w:val="0"/>
                <w:color w:val="auto"/>
                <w:sz w:val="24"/>
                <w:szCs w:val="24"/>
                <w:vertAlign w:val="baseline"/>
                <w:lang w:val="en-US" w:eastAsia="zh-CN"/>
              </w:rPr>
              <w:t>证书编号</w:t>
            </w:r>
            <w:r>
              <w:rPr>
                <w:rFonts w:hint="eastAsia" w:ascii="宋体" w:hAnsi="宋体" w:cs="宋体"/>
                <w:b w:val="0"/>
                <w:bCs w:val="0"/>
                <w:color w:val="auto"/>
                <w:sz w:val="24"/>
                <w:szCs w:val="24"/>
                <w:vertAlign w:val="baseline"/>
                <w:lang w:val="en-US" w:eastAsia="zh-CN"/>
              </w:rPr>
              <w:t>（和/或注册编号）</w:t>
            </w:r>
          </w:p>
        </w:tc>
        <w:tc>
          <w:tcPr>
            <w:tcW w:w="139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240" w:lineRule="auto"/>
              <w:ind w:left="0" w:leftChars="0" w:firstLine="0" w:firstLineChars="0"/>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cs="Times New Roman"/>
                <w:kern w:val="2"/>
                <w:sz w:val="24"/>
                <w:szCs w:val="20"/>
                <w:lang w:val="en-US" w:eastAsia="zh-CN" w:bidi="ar-SA"/>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cs="Times New Roman"/>
                <w:kern w:val="2"/>
                <w:sz w:val="24"/>
                <w:szCs w:val="20"/>
                <w:lang w:val="en-US" w:eastAsia="zh-CN" w:bidi="ar-SA"/>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cs="Times New Roman"/>
                <w:kern w:val="2"/>
                <w:sz w:val="24"/>
                <w:szCs w:val="20"/>
                <w:lang w:val="en-US" w:eastAsia="zh-CN" w:bidi="ar-SA"/>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cs="Times New Roman"/>
                <w:kern w:val="2"/>
                <w:sz w:val="24"/>
                <w:szCs w:val="20"/>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cs="Times New Roman"/>
                <w:kern w:val="2"/>
                <w:sz w:val="24"/>
                <w:szCs w:val="20"/>
                <w:lang w:val="en-US" w:eastAsia="zh-CN" w:bidi="ar-SA"/>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default" w:ascii="宋体" w:hAnsi="宋体" w:eastAsia="宋体" w:cs="Times New Roman"/>
                <w:kern w:val="2"/>
                <w:sz w:val="24"/>
                <w:szCs w:val="20"/>
                <w:lang w:val="en-US" w:eastAsia="zh-CN" w:bidi="ar-SA"/>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b w:val="0"/>
                <w:bCs/>
                <w:sz w:val="24"/>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sz w:val="24"/>
                <w:szCs w:val="20"/>
                <w:lang w:eastAsia="zh-CN"/>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default" w:ascii="宋体" w:hAnsi="宋体" w:eastAsia="宋体"/>
                <w:sz w:val="24"/>
                <w:szCs w:val="20"/>
                <w:lang w:val="en-US" w:eastAsia="zh-CN"/>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sz w:val="24"/>
                <w:szCs w:val="20"/>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default" w:ascii="宋体" w:hAnsi="宋体"/>
                <w:sz w:val="24"/>
                <w:szCs w:val="20"/>
                <w:lang w:val="en-US" w:eastAsia="zh-CN"/>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sz w:val="24"/>
                <w:szCs w:val="20"/>
                <w:lang w:val="en-US" w:eastAsia="zh-CN"/>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default" w:ascii="宋体" w:hAnsi="宋体" w:eastAsia="宋体"/>
                <w:sz w:val="24"/>
                <w:szCs w:val="20"/>
                <w:lang w:val="en-US" w:eastAsia="zh-CN"/>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b w:val="0"/>
                <w:bCs/>
                <w:sz w:val="24"/>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default" w:ascii="宋体" w:hAnsi="宋体" w:eastAsia="宋体"/>
                <w:sz w:val="24"/>
                <w:szCs w:val="20"/>
                <w:lang w:val="en-US" w:eastAsia="zh-CN"/>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jc w:val="center"/>
              <w:outlineLvl w:val="9"/>
              <w:rPr>
                <w:rFonts w:hint="eastAsia" w:ascii="宋体" w:hAnsi="宋体" w:eastAsia="宋体" w:cs="宋体"/>
                <w:color w:val="auto"/>
                <w:kern w:val="2"/>
                <w:sz w:val="24"/>
                <w:szCs w:val="24"/>
                <w:u w:val="none"/>
                <w:lang w:val="en-US" w:eastAsia="zh-CN" w:bidi="ar-SA"/>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jc w:val="center"/>
              <w:outlineLvl w:val="9"/>
              <w:rPr>
                <w:rFonts w:hint="eastAsia" w:ascii="宋体" w:hAnsi="宋体" w:eastAsia="宋体" w:cs="宋体"/>
                <w:color w:val="auto"/>
                <w:kern w:val="2"/>
                <w:sz w:val="24"/>
                <w:szCs w:val="24"/>
                <w:u w:val="none"/>
                <w:lang w:val="en-US" w:eastAsia="zh-CN" w:bidi="ar-SA"/>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jc w:val="center"/>
              <w:outlineLvl w:val="9"/>
              <w:rPr>
                <w:rFonts w:hint="eastAsia" w:ascii="Times New Roman" w:hAnsi="Times New Roman" w:eastAsia="宋体" w:cs="宋体"/>
                <w:color w:val="auto"/>
                <w:kern w:val="2"/>
                <w:sz w:val="24"/>
                <w:szCs w:val="24"/>
                <w:u w:val="no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jc w:val="center"/>
              <w:outlineLvl w:val="9"/>
              <w:rPr>
                <w:rFonts w:hint="eastAsia" w:ascii="宋体" w:hAnsi="宋体" w:eastAsia="宋体" w:cs="宋体"/>
                <w:color w:val="auto"/>
                <w:kern w:val="2"/>
                <w:sz w:val="24"/>
                <w:szCs w:val="24"/>
                <w:u w:val="none"/>
                <w:lang w:val="en-US" w:eastAsia="zh-CN" w:bidi="ar-SA"/>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jc w:val="center"/>
              <w:outlineLvl w:val="9"/>
              <w:rPr>
                <w:rFonts w:hint="default" w:ascii="Times New Roman" w:hAnsi="Times New Roman" w:eastAsia="宋体" w:cs="宋体"/>
                <w:color w:val="auto"/>
                <w:kern w:val="2"/>
                <w:sz w:val="24"/>
                <w:szCs w:val="24"/>
                <w:u w:val="none"/>
                <w:lang w:val="en-US" w:eastAsia="zh-CN" w:bidi="ar-SA"/>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jc w:val="center"/>
              <w:outlineLvl w:val="9"/>
              <w:rPr>
                <w:rFonts w:hint="eastAsia" w:ascii="宋体" w:hAnsi="宋体" w:eastAsia="宋体"/>
                <w:b w:val="0"/>
                <w:bCs/>
                <w:sz w:val="24"/>
                <w:szCs w:val="20"/>
                <w:lang w:eastAsia="zh-CN"/>
              </w:rPr>
            </w:pPr>
          </w:p>
        </w:tc>
      </w:tr>
    </w:tbl>
    <w:p>
      <w:pPr>
        <w:keepNext w:val="0"/>
        <w:keepLines w:val="0"/>
        <w:pageBreakBefore w:val="0"/>
        <w:kinsoku/>
        <w:wordWrap/>
        <w:topLinePunct w:val="0"/>
        <w:bidi w:val="0"/>
        <w:spacing w:after="0" w:line="240" w:lineRule="exact"/>
        <w:ind w:left="60" w:firstLine="3595"/>
        <w:outlineLvl w:val="9"/>
        <w:rPr>
          <w:sz w:val="30"/>
          <w:szCs w:val="30"/>
        </w:rPr>
      </w:pPr>
    </w:p>
    <w:p>
      <w:pPr>
        <w:keepNext w:val="0"/>
        <w:keepLines w:val="0"/>
        <w:pageBreakBefore w:val="0"/>
        <w:kinsoku/>
        <w:wordWrap/>
        <w:topLinePunct w:val="0"/>
        <w:bidi w:val="0"/>
        <w:spacing w:after="0" w:line="360" w:lineRule="auto"/>
        <w:ind w:left="60"/>
        <w:outlineLvl w:val="9"/>
        <w:rPr>
          <w:sz w:val="28"/>
          <w:szCs w:val="28"/>
        </w:rPr>
      </w:pPr>
      <w:r>
        <w:rPr>
          <w:rFonts w:hint="eastAsia" w:ascii="宋体" w:hAnsi="宋体" w:eastAsia="宋体" w:cs="宋体"/>
          <w:spacing w:val="-1"/>
          <w:sz w:val="28"/>
          <w:szCs w:val="28"/>
        </w:rPr>
        <w:t>后附人员相关材料复印件</w:t>
      </w: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240" w:lineRule="exact"/>
        <w:ind w:left="60"/>
        <w:outlineLvl w:val="9"/>
        <w:rPr>
          <w:sz w:val="30"/>
          <w:szCs w:val="30"/>
        </w:rPr>
      </w:pPr>
    </w:p>
    <w:p>
      <w:pPr>
        <w:keepNext w:val="0"/>
        <w:keepLines w:val="0"/>
        <w:pageBreakBefore w:val="0"/>
        <w:kinsoku/>
        <w:wordWrap/>
        <w:topLinePunct w:val="0"/>
        <w:bidi w:val="0"/>
        <w:spacing w:after="0" w:line="470" w:lineRule="exact"/>
        <w:jc w:val="center"/>
        <w:outlineLvl w:val="9"/>
        <w:rPr>
          <w:rFonts w:hint="eastAsia" w:ascii="宋体" w:hAnsi="宋体" w:eastAsia="宋体" w:cs="宋体"/>
          <w:b/>
          <w:bCs w:val="0"/>
          <w:spacing w:val="-2"/>
          <w:position w:val="2"/>
          <w:sz w:val="28"/>
          <w:szCs w:val="28"/>
        </w:rPr>
      </w:pPr>
      <w:r>
        <w:rPr>
          <w:rFonts w:hint="eastAsia" w:ascii="宋体" w:hAnsi="宋体" w:eastAsia="宋体" w:cs="宋体"/>
          <w:b/>
          <w:bCs w:val="0"/>
          <w:spacing w:val="-2"/>
          <w:position w:val="2"/>
          <w:sz w:val="28"/>
          <w:szCs w:val="28"/>
        </w:rPr>
        <w:t>3</w:t>
      </w:r>
      <w:r>
        <w:rPr>
          <w:rFonts w:hint="eastAsia" w:ascii="宋体" w:hAnsi="宋体" w:eastAsia="宋体" w:cs="宋体"/>
          <w:b/>
          <w:bCs/>
          <w:spacing w:val="-5"/>
          <w:sz w:val="28"/>
          <w:szCs w:val="28"/>
          <w:lang w:val="en-US" w:eastAsia="zh-CN"/>
        </w:rPr>
        <w:t>.</w:t>
      </w:r>
      <w:r>
        <w:rPr>
          <w:rFonts w:hint="eastAsia" w:ascii="宋体" w:hAnsi="宋体" w:eastAsia="宋体" w:cs="宋体"/>
          <w:b/>
          <w:bCs w:val="0"/>
          <w:spacing w:val="-2"/>
          <w:position w:val="2"/>
          <w:sz w:val="28"/>
          <w:szCs w:val="28"/>
        </w:rPr>
        <w:t>项目服务承诺书</w:t>
      </w:r>
    </w:p>
    <w:p>
      <w:pPr>
        <w:keepNext w:val="0"/>
        <w:keepLines w:val="0"/>
        <w:pageBreakBefore w:val="0"/>
        <w:kinsoku/>
        <w:wordWrap/>
        <w:topLinePunct w:val="0"/>
        <w:bidi w:val="0"/>
        <w:spacing w:after="0" w:line="444" w:lineRule="exact"/>
        <w:ind w:left="60" w:firstLine="2731"/>
        <w:outlineLvl w:val="9"/>
        <w:rPr>
          <w:rFonts w:ascii="宋体" w:hAnsi="宋体" w:eastAsia="宋体" w:cs="宋体"/>
          <w:spacing w:val="-1"/>
          <w:sz w:val="30"/>
          <w:szCs w:val="30"/>
        </w:rPr>
      </w:pPr>
    </w:p>
    <w:p>
      <w:pPr>
        <w:keepNext w:val="0"/>
        <w:keepLines w:val="0"/>
        <w:pageBreakBefore w:val="0"/>
        <w:kinsoku/>
        <w:wordWrap/>
        <w:topLinePunct w:val="0"/>
        <w:bidi w:val="0"/>
        <w:spacing w:after="0" w:line="444" w:lineRule="exact"/>
        <w:ind w:left="60" w:firstLine="2731"/>
        <w:outlineLvl w:val="9"/>
        <w:rPr>
          <w:sz w:val="30"/>
          <w:szCs w:val="30"/>
        </w:rPr>
      </w:pPr>
      <w:r>
        <w:rPr>
          <w:rFonts w:hint="eastAsia" w:ascii="宋体" w:hAnsi="宋体" w:eastAsia="宋体" w:cs="宋体"/>
          <w:spacing w:val="-1"/>
          <w:position w:val="3"/>
          <w:sz w:val="24"/>
          <w:szCs w:val="24"/>
        </w:rPr>
        <w:t>（由供应商就本项目完成承诺书填写）</w:t>
      </w:r>
    </w:p>
    <w:p>
      <w:pPr>
        <w:keepNext w:val="0"/>
        <w:keepLines w:val="0"/>
        <w:pageBreakBefore w:val="0"/>
        <w:widowControl/>
        <w:kinsoku/>
        <w:wordWrap/>
        <w:topLinePunct w:val="0"/>
        <w:bidi w:val="0"/>
        <w:outlineLvl w:val="9"/>
        <w:rPr>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240" w:lineRule="exact"/>
        <w:ind w:left="60" w:firstLine="2731"/>
        <w:outlineLvl w:val="9"/>
        <w:rPr>
          <w:sz w:val="30"/>
          <w:szCs w:val="30"/>
        </w:rPr>
      </w:pPr>
    </w:p>
    <w:p>
      <w:pPr>
        <w:keepNext w:val="0"/>
        <w:keepLines w:val="0"/>
        <w:pageBreakBefore w:val="0"/>
        <w:kinsoku/>
        <w:wordWrap/>
        <w:topLinePunct w:val="0"/>
        <w:bidi w:val="0"/>
        <w:spacing w:after="0" w:line="240" w:lineRule="exact"/>
        <w:ind w:left="60" w:firstLine="2731"/>
        <w:outlineLvl w:val="9"/>
        <w:rPr>
          <w:sz w:val="30"/>
          <w:szCs w:val="30"/>
        </w:rPr>
      </w:pPr>
    </w:p>
    <w:p>
      <w:pPr>
        <w:keepNext w:val="0"/>
        <w:keepLines w:val="0"/>
        <w:pageBreakBefore w:val="0"/>
        <w:kinsoku/>
        <w:wordWrap/>
        <w:topLinePunct w:val="0"/>
        <w:bidi w:val="0"/>
        <w:spacing w:after="0" w:line="240" w:lineRule="exact"/>
        <w:ind w:left="60" w:firstLine="2731"/>
        <w:outlineLvl w:val="9"/>
        <w:rPr>
          <w:sz w:val="30"/>
          <w:szCs w:val="30"/>
        </w:rPr>
      </w:pPr>
    </w:p>
    <w:p>
      <w:pPr>
        <w:keepNext w:val="0"/>
        <w:keepLines w:val="0"/>
        <w:pageBreakBefore w:val="0"/>
        <w:kinsoku/>
        <w:wordWrap/>
        <w:topLinePunct w:val="0"/>
        <w:bidi w:val="0"/>
        <w:spacing w:after="0" w:line="413" w:lineRule="exact"/>
        <w:ind w:left="60" w:firstLine="2880"/>
        <w:outlineLvl w:val="9"/>
        <w:rPr>
          <w:rFonts w:ascii="Tahoma" w:hAnsi="Tahoma" w:cs="Tahoma"/>
          <w:b/>
          <w:spacing w:val="-1"/>
          <w:w w:val="95"/>
          <w:sz w:val="30"/>
          <w:szCs w:val="30"/>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470" w:lineRule="exact"/>
        <w:jc w:val="center"/>
        <w:outlineLvl w:val="9"/>
        <w:rPr>
          <w:rFonts w:hint="eastAsia" w:ascii="宋体" w:hAnsi="宋体" w:eastAsia="宋体" w:cs="宋体"/>
          <w:b/>
          <w:bCs w:val="0"/>
          <w:spacing w:val="-2"/>
          <w:position w:val="2"/>
          <w:sz w:val="28"/>
          <w:szCs w:val="28"/>
        </w:rPr>
      </w:pPr>
      <w:r>
        <w:rPr>
          <w:rFonts w:hint="eastAsia" w:ascii="宋体" w:hAnsi="宋体" w:eastAsia="宋体" w:cs="宋体"/>
          <w:b/>
          <w:bCs w:val="0"/>
          <w:spacing w:val="-2"/>
          <w:position w:val="2"/>
          <w:sz w:val="28"/>
          <w:szCs w:val="28"/>
        </w:rPr>
        <w:t>4</w:t>
      </w:r>
      <w:r>
        <w:rPr>
          <w:rFonts w:hint="eastAsia" w:ascii="宋体" w:hAnsi="宋体" w:eastAsia="宋体" w:cs="宋体"/>
          <w:b/>
          <w:bCs/>
          <w:spacing w:val="-5"/>
          <w:sz w:val="28"/>
          <w:szCs w:val="28"/>
          <w:lang w:val="en-US" w:eastAsia="zh-CN"/>
        </w:rPr>
        <w:t>.</w:t>
      </w:r>
      <w:r>
        <w:rPr>
          <w:rFonts w:hint="eastAsia" w:ascii="宋体" w:hAnsi="宋体" w:eastAsia="宋体" w:cs="宋体"/>
          <w:b/>
          <w:bCs w:val="0"/>
          <w:spacing w:val="-2"/>
          <w:position w:val="2"/>
          <w:sz w:val="28"/>
          <w:szCs w:val="28"/>
        </w:rPr>
        <w:t>其它文件及资料。</w:t>
      </w:r>
    </w:p>
    <w:p>
      <w:pPr>
        <w:keepNext w:val="0"/>
        <w:keepLines w:val="0"/>
        <w:pageBreakBefore w:val="0"/>
        <w:kinsoku/>
        <w:wordWrap/>
        <w:topLinePunct w:val="0"/>
        <w:bidi w:val="0"/>
        <w:spacing w:after="0" w:line="470" w:lineRule="exact"/>
        <w:jc w:val="center"/>
        <w:outlineLvl w:val="9"/>
        <w:rPr>
          <w:rFonts w:hint="eastAsia" w:ascii="宋体" w:hAnsi="宋体" w:eastAsia="宋体" w:cs="宋体"/>
          <w:b/>
          <w:bCs w:val="0"/>
          <w:spacing w:val="-2"/>
          <w:position w:val="2"/>
          <w:sz w:val="28"/>
          <w:szCs w:val="28"/>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line="239" w:lineRule="auto"/>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：中小企业声明函格式</w:t>
      </w:r>
    </w:p>
    <w:p>
      <w:pPr>
        <w:keepNext w:val="0"/>
        <w:keepLines w:val="0"/>
        <w:pageBreakBefore w:val="0"/>
        <w:kinsoku/>
        <w:wordWrap/>
        <w:topLinePunct w:val="0"/>
        <w:bidi w:val="0"/>
        <w:spacing w:line="200"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spacing w:line="333"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ind w:left="3300"/>
        <w:jc w:val="left"/>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32"/>
          <w:highlight w:val="none"/>
        </w:rPr>
        <w:t>中小企业声明函</w:t>
      </w:r>
    </w:p>
    <w:p>
      <w:pPr>
        <w:keepNext w:val="0"/>
        <w:keepLines w:val="0"/>
        <w:pageBreakBefore w:val="0"/>
        <w:kinsoku/>
        <w:wordWrap/>
        <w:topLinePunct w:val="0"/>
        <w:bidi w:val="0"/>
        <w:spacing w:line="200"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ind w:left="480"/>
        <w:jc w:val="left"/>
        <w:textAlignment w:val="auto"/>
        <w:outlineLvl w:val="9"/>
        <w:rPr>
          <w:rFonts w:hint="eastAsia" w:ascii="宋体" w:hAnsi="宋体" w:eastAsia="宋体" w:cs="宋体"/>
          <w:bCs/>
          <w:color w:val="auto"/>
          <w:sz w:val="23"/>
          <w:highlight w:val="none"/>
        </w:rPr>
      </w:pPr>
    </w:p>
    <w:p>
      <w:pPr>
        <w:keepNext w:val="0"/>
        <w:keepLines w:val="0"/>
        <w:pageBreakBefore w:val="0"/>
        <w:kinsoku/>
        <w:wordWrap/>
        <w:topLinePunct w:val="0"/>
        <w:bidi w:val="0"/>
        <w:spacing w:line="360" w:lineRule="auto"/>
        <w:ind w:firstLine="46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3"/>
          <w:highlight w:val="none"/>
        </w:rPr>
        <w:t>本公司郑重声明，根据《政府采购促进中小企业发展暂行办法》（财库〔2011〕181</w:t>
      </w:r>
      <w:r>
        <w:rPr>
          <w:rFonts w:hint="eastAsia" w:ascii="宋体" w:hAnsi="宋体" w:eastAsia="宋体" w:cs="宋体"/>
          <w:bCs/>
          <w:color w:val="auto"/>
          <w:sz w:val="24"/>
          <w:highlight w:val="none"/>
        </w:rPr>
        <w:t>号）的规定，本公司为______（请填写：中型、小型、微型）企业。即，本公司同时满足以下条件：</w:t>
      </w:r>
    </w:p>
    <w:p>
      <w:pPr>
        <w:keepNext w:val="0"/>
        <w:keepLines w:val="0"/>
        <w:pageBreakBefore w:val="0"/>
        <w:kinsoku/>
        <w:wordWrap/>
        <w:overflowPunct w:val="0"/>
        <w:topLinePunct w:val="0"/>
        <w:bidi w:val="0"/>
        <w:spacing w:line="360" w:lineRule="auto"/>
        <w:ind w:right="40" w:firstLine="48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1．根据《工业和信息化部、国家统计局、国家发展和改革委员会、财政部关于印发中小企业划型标准规定的通知》（工信部联企业〔2011〕300 号）规定的划分标准，本公司为______（请填写：中型、小型、微型）企业。</w:t>
      </w:r>
    </w:p>
    <w:p>
      <w:pPr>
        <w:keepNext w:val="0"/>
        <w:keepLines w:val="0"/>
        <w:pageBreakBefore w:val="0"/>
        <w:kinsoku/>
        <w:wordWrap/>
        <w:overflowPunct w:val="0"/>
        <w:topLinePunct w:val="0"/>
        <w:bidi w:val="0"/>
        <w:spacing w:line="360" w:lineRule="auto"/>
        <w:ind w:right="20" w:firstLine="48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keepNext w:val="0"/>
        <w:keepLines w:val="0"/>
        <w:pageBreakBefore w:val="0"/>
        <w:kinsoku/>
        <w:wordWrap/>
        <w:topLinePunct w:val="0"/>
        <w:bidi w:val="0"/>
        <w:spacing w:line="360" w:lineRule="auto"/>
        <w:ind w:left="48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本公司对上述声明的真实性负责。如有虚假，将依法承担相应责任。</w:t>
      </w:r>
    </w:p>
    <w:p>
      <w:pPr>
        <w:keepNext w:val="0"/>
        <w:keepLines w:val="0"/>
        <w:pageBreakBefore w:val="0"/>
        <w:kinsoku/>
        <w:wordWrap/>
        <w:topLinePunct w:val="0"/>
        <w:bidi w:val="0"/>
        <w:spacing w:line="360" w:lineRule="auto"/>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spacing w:line="200"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spacing w:line="200"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spacing w:line="328"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overflowPunct w:val="0"/>
        <w:topLinePunct w:val="0"/>
        <w:bidi w:val="0"/>
        <w:spacing w:line="482" w:lineRule="auto"/>
        <w:ind w:right="306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名称（盖章）：</w:t>
      </w:r>
    </w:p>
    <w:p>
      <w:pPr>
        <w:keepNext w:val="0"/>
        <w:keepLines w:val="0"/>
        <w:pageBreakBefore w:val="0"/>
        <w:kinsoku/>
        <w:wordWrap/>
        <w:overflowPunct w:val="0"/>
        <w:topLinePunct w:val="0"/>
        <w:bidi w:val="0"/>
        <w:spacing w:line="482" w:lineRule="auto"/>
        <w:ind w:right="306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keepNext w:val="0"/>
        <w:keepLines w:val="0"/>
        <w:pageBreakBefore w:val="0"/>
        <w:kinsoku/>
        <w:wordWrap/>
        <w:topLinePunct w:val="0"/>
        <w:bidi w:val="0"/>
        <w:spacing w:line="200"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spacing w:line="200" w:lineRule="exact"/>
        <w:jc w:val="left"/>
        <w:textAlignment w:val="auto"/>
        <w:outlineLvl w:val="9"/>
        <w:rPr>
          <w:rFonts w:hint="eastAsia" w:ascii="宋体" w:hAnsi="宋体" w:eastAsia="宋体" w:cs="宋体"/>
          <w:color w:val="auto"/>
          <w:sz w:val="24"/>
          <w:highlight w:val="none"/>
        </w:rPr>
      </w:pPr>
    </w:p>
    <w:p>
      <w:pPr>
        <w:keepNext w:val="0"/>
        <w:keepLines w:val="0"/>
        <w:pageBreakBefore w:val="0"/>
        <w:kinsoku/>
        <w:wordWrap/>
        <w:topLinePunct w:val="0"/>
        <w:bidi w:val="0"/>
        <w:spacing w:line="239" w:lineRule="auto"/>
        <w:jc w:val="left"/>
        <w:textAlignment w:val="auto"/>
        <w:outlineLvl w:val="9"/>
        <w:rPr>
          <w:rFonts w:hint="eastAsia" w:ascii="宋体" w:hAnsi="宋体" w:eastAsia="宋体" w:cs="宋体"/>
          <w:color w:val="auto"/>
          <w:sz w:val="28"/>
          <w:szCs w:val="28"/>
          <w:highlight w:val="none"/>
        </w:rPr>
        <w:sectPr>
          <w:type w:val="continuous"/>
          <w:pgSz w:w="11905" w:h="16838"/>
          <w:pgMar w:top="1417" w:right="1134" w:bottom="1134" w:left="1134" w:header="0" w:footer="0" w:gutter="0"/>
          <w:cols w:space="425" w:num="1"/>
          <w:rtlGutter w:val="0"/>
          <w:docGrid w:type="lines" w:linePitch="312" w:charSpace="0"/>
        </w:sectPr>
      </w:pPr>
    </w:p>
    <w:p>
      <w:pPr>
        <w:keepNext w:val="0"/>
        <w:keepLines w:val="0"/>
        <w:pageBreakBefore w:val="0"/>
        <w:kinsoku/>
        <w:wordWrap/>
        <w:topLinePunct w:val="0"/>
        <w:bidi w:val="0"/>
        <w:spacing w:line="239" w:lineRule="auto"/>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：残疾人福利性单位声明函格式</w:t>
      </w:r>
    </w:p>
    <w:p>
      <w:pPr>
        <w:keepNext w:val="0"/>
        <w:keepLines w:val="0"/>
        <w:pageBreakBefore w:val="0"/>
        <w:kinsoku/>
        <w:wordWrap/>
        <w:topLinePunct w:val="0"/>
        <w:bidi w:val="0"/>
        <w:spacing w:line="239" w:lineRule="auto"/>
        <w:jc w:val="left"/>
        <w:textAlignment w:val="auto"/>
        <w:outlineLvl w:val="9"/>
        <w:rPr>
          <w:rFonts w:hint="eastAsia" w:ascii="宋体" w:hAnsi="宋体" w:eastAsia="宋体" w:cs="宋体"/>
          <w:color w:val="auto"/>
          <w:highlight w:val="none"/>
        </w:rPr>
      </w:pPr>
    </w:p>
    <w:p>
      <w:pPr>
        <w:keepNext w:val="0"/>
        <w:keepLines w:val="0"/>
        <w:pageBreakBefore w:val="0"/>
        <w:kinsoku/>
        <w:wordWrap/>
        <w:topLinePunct w:val="0"/>
        <w:bidi w:val="0"/>
        <w:spacing w:line="239" w:lineRule="auto"/>
        <w:jc w:val="left"/>
        <w:textAlignment w:val="auto"/>
        <w:outlineLvl w:val="9"/>
        <w:rPr>
          <w:rFonts w:hint="eastAsia" w:ascii="宋体" w:hAnsi="宋体" w:eastAsia="宋体" w:cs="宋体"/>
          <w:color w:val="auto"/>
          <w:highlight w:val="none"/>
        </w:rPr>
      </w:pPr>
    </w:p>
    <w:p>
      <w:pPr>
        <w:keepNext w:val="0"/>
        <w:keepLines w:val="0"/>
        <w:pageBreakBefore w:val="0"/>
        <w:kinsoku/>
        <w:wordWrap/>
        <w:topLinePunct w:val="0"/>
        <w:bidi w:val="0"/>
        <w:spacing w:line="239" w:lineRule="auto"/>
        <w:jc w:val="center"/>
        <w:textAlignment w:val="auto"/>
        <w:outlineLvl w:val="9"/>
        <w:rPr>
          <w:rFonts w:hint="eastAsia" w:ascii="宋体" w:hAnsi="宋体" w:eastAsia="宋体" w:cs="宋体"/>
          <w:color w:val="auto"/>
          <w:highlight w:val="none"/>
        </w:rPr>
      </w:pPr>
    </w:p>
    <w:p>
      <w:pPr>
        <w:keepNext w:val="0"/>
        <w:keepLines w:val="0"/>
        <w:pageBreakBefore w:val="0"/>
        <w:kinsoku/>
        <w:wordWrap/>
        <w:topLinePunct w:val="0"/>
        <w:bidi w:val="0"/>
        <w:jc w:val="center"/>
        <w:textAlignment w:val="auto"/>
        <w:outlineLvl w:val="9"/>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残疾人福利性单位声明函</w:t>
      </w:r>
    </w:p>
    <w:p>
      <w:pPr>
        <w:keepNext w:val="0"/>
        <w:keepLines w:val="0"/>
        <w:pageBreakBefore w:val="0"/>
        <w:kinsoku/>
        <w:wordWrap/>
        <w:overflowPunct w:val="0"/>
        <w:topLinePunct w:val="0"/>
        <w:bidi w:val="0"/>
        <w:spacing w:line="377" w:lineRule="auto"/>
        <w:jc w:val="left"/>
        <w:textAlignment w:val="auto"/>
        <w:outlineLvl w:val="9"/>
        <w:rPr>
          <w:rFonts w:hint="eastAsia" w:ascii="宋体" w:hAnsi="宋体" w:eastAsia="宋体" w:cs="宋体"/>
          <w:color w:val="auto"/>
          <w:sz w:val="24"/>
          <w:highlight w:val="none"/>
        </w:rPr>
      </w:pPr>
    </w:p>
    <w:p>
      <w:pPr>
        <w:keepNext w:val="0"/>
        <w:keepLines w:val="0"/>
        <w:pageBreakBefore w:val="0"/>
        <w:kinsoku/>
        <w:wordWrap/>
        <w:overflowPunct w:val="0"/>
        <w:topLinePunct w:val="0"/>
        <w:bidi w:val="0"/>
        <w:spacing w:line="377"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val="0"/>
        <w:topLinePunct w:val="0"/>
        <w:bidi w:val="0"/>
        <w:spacing w:line="377" w:lineRule="auto"/>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本单位对上述声明的真实性负责。如有虚假，将依法承担相应责任。</w:t>
      </w:r>
    </w:p>
    <w:p>
      <w:pPr>
        <w:keepNext w:val="0"/>
        <w:keepLines w:val="0"/>
        <w:pageBreakBefore w:val="0"/>
        <w:kinsoku/>
        <w:wordWrap/>
        <w:overflowPunct w:val="0"/>
        <w:topLinePunct w:val="0"/>
        <w:bidi w:val="0"/>
        <w:spacing w:line="377" w:lineRule="auto"/>
        <w:jc w:val="left"/>
        <w:textAlignment w:val="auto"/>
        <w:outlineLvl w:val="9"/>
        <w:rPr>
          <w:rFonts w:hint="eastAsia" w:ascii="宋体" w:hAnsi="宋体" w:eastAsia="宋体" w:cs="宋体"/>
          <w:color w:val="auto"/>
          <w:sz w:val="24"/>
          <w:highlight w:val="none"/>
        </w:rPr>
      </w:pPr>
    </w:p>
    <w:p>
      <w:pPr>
        <w:keepNext w:val="0"/>
        <w:keepLines w:val="0"/>
        <w:pageBreakBefore w:val="0"/>
        <w:kinsoku/>
        <w:wordWrap/>
        <w:overflowPunct w:val="0"/>
        <w:topLinePunct w:val="0"/>
        <w:bidi w:val="0"/>
        <w:spacing w:line="377" w:lineRule="auto"/>
        <w:jc w:val="left"/>
        <w:textAlignment w:val="auto"/>
        <w:outlineLvl w:val="9"/>
        <w:rPr>
          <w:rFonts w:hint="eastAsia" w:ascii="宋体" w:hAnsi="宋体" w:eastAsia="宋体" w:cs="宋体"/>
          <w:color w:val="auto"/>
          <w:sz w:val="24"/>
          <w:highlight w:val="none"/>
        </w:rPr>
      </w:pPr>
    </w:p>
    <w:p>
      <w:pPr>
        <w:keepNext w:val="0"/>
        <w:keepLines w:val="0"/>
        <w:pageBreakBefore w:val="0"/>
        <w:kinsoku/>
        <w:wordWrap/>
        <w:overflowPunct w:val="0"/>
        <w:topLinePunct w:val="0"/>
        <w:bidi w:val="0"/>
        <w:spacing w:line="377" w:lineRule="auto"/>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单位名称(盖章）：</w:t>
      </w:r>
    </w:p>
    <w:p>
      <w:pPr>
        <w:keepNext w:val="0"/>
        <w:keepLines w:val="0"/>
        <w:pageBreakBefore w:val="0"/>
        <w:kinsoku/>
        <w:wordWrap/>
        <w:topLinePunct w:val="0"/>
        <w:bidi w:val="0"/>
        <w:spacing w:beforeLines="0" w:afterLines="0" w:line="360" w:lineRule="auto"/>
        <w:jc w:val="left"/>
        <w:textAlignment w:val="auto"/>
        <w:outlineLvl w:val="9"/>
        <w:rPr>
          <w:rFonts w:hint="eastAsia" w:ascii="宋体" w:hAnsi="宋体" w:eastAsia="宋体" w:cs="宋体"/>
          <w:color w:val="auto"/>
          <w:sz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  </w:t>
      </w:r>
    </w:p>
    <w:p>
      <w:pPr>
        <w:keepNext w:val="0"/>
        <w:keepLines w:val="0"/>
        <w:pageBreakBefore w:val="0"/>
        <w:kinsoku/>
        <w:wordWrap/>
        <w:topLinePunct w:val="0"/>
        <w:bidi w:val="0"/>
        <w:spacing w:after="0" w:line="240" w:lineRule="exact"/>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keepNext w:val="0"/>
        <w:keepLines w:val="0"/>
        <w:pageBreakBefore w:val="0"/>
        <w:kinsoku/>
        <w:wordWrap/>
        <w:topLinePunct w:val="0"/>
        <w:bidi w:val="0"/>
        <w:spacing w:after="0" w:line="240" w:lineRule="exact"/>
        <w:ind w:left="3336"/>
        <w:outlineLvl w:val="9"/>
        <w:rPr>
          <w:sz w:val="30"/>
          <w:szCs w:val="30"/>
        </w:rPr>
      </w:pPr>
    </w:p>
    <w:p>
      <w:pPr>
        <w:spacing w:after="0" w:line="240" w:lineRule="exact"/>
        <w:ind w:left="3336"/>
        <w:rPr>
          <w:sz w:val="30"/>
          <w:szCs w:val="30"/>
        </w:rPr>
      </w:pPr>
    </w:p>
    <w:p>
      <w:pPr>
        <w:spacing w:after="0" w:line="240" w:lineRule="exact"/>
        <w:ind w:left="3336"/>
        <w:rPr>
          <w:sz w:val="30"/>
          <w:szCs w:val="30"/>
        </w:rPr>
      </w:pPr>
    </w:p>
    <w:p>
      <w:pPr>
        <w:spacing w:after="0" w:line="240" w:lineRule="exact"/>
        <w:ind w:left="3336"/>
        <w:rPr>
          <w:sz w:val="30"/>
          <w:szCs w:val="30"/>
        </w:rPr>
      </w:pPr>
    </w:p>
    <w:p>
      <w:pPr>
        <w:spacing w:after="0" w:line="240" w:lineRule="exact"/>
        <w:ind w:left="3336"/>
        <w:rPr>
          <w:sz w:val="30"/>
          <w:szCs w:val="30"/>
        </w:rPr>
      </w:pPr>
    </w:p>
    <w:p>
      <w:pPr>
        <w:widowControl/>
        <w:rPr>
          <w:sz w:val="30"/>
          <w:szCs w:val="30"/>
        </w:rPr>
        <w:sectPr>
          <w:pgSz w:w="11905" w:h="16838"/>
          <w:pgMar w:top="1417" w:right="1134" w:bottom="1134" w:left="1134" w:header="0" w:footer="0" w:gutter="0"/>
          <w:cols w:space="425" w:num="1"/>
          <w:rtlGutter w:val="0"/>
          <w:docGrid w:type="lines" w:linePitch="312" w:charSpace="0"/>
        </w:sectPr>
      </w:pPr>
    </w:p>
    <w:p>
      <w:pPr>
        <w:spacing w:after="0" w:line="236" w:lineRule="exact"/>
        <w:rPr>
          <w:sz w:val="30"/>
          <w:szCs w:val="30"/>
        </w:rPr>
      </w:pPr>
    </w:p>
    <w:sectPr>
      <w:type w:val="continuous"/>
      <w:pgSz w:w="11905" w:h="16838"/>
      <w:pgMar w:top="1417" w:right="1134" w:bottom="1134" w:left="1134" w:header="0" w:footer="0"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4469"/>
    </w:sdtPr>
    <w:sdtContent>
      <w:p>
        <w:pPr>
          <w:pStyle w:val="12"/>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4469"/>
    </w:sdtPr>
    <w:sdtContent>
      <w:p>
        <w:pPr>
          <w:pStyle w:val="12"/>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4469"/>
    </w:sdtPr>
    <w:sdtContent>
      <w:p>
        <w:pPr>
          <w:pStyle w:val="12"/>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68ACB"/>
    <w:multiLevelType w:val="singleLevel"/>
    <w:tmpl w:val="A4F68ACB"/>
    <w:lvl w:ilvl="0" w:tentative="0">
      <w:start w:val="1"/>
      <w:numFmt w:val="chineseCounting"/>
      <w:suff w:val="nothing"/>
      <w:lvlText w:val="(%1）"/>
      <w:lvlJc w:val="left"/>
      <w:rPr>
        <w:rFonts w:hint="eastAsia"/>
      </w:rPr>
    </w:lvl>
  </w:abstractNum>
  <w:abstractNum w:abstractNumId="1">
    <w:nsid w:val="2DF24D71"/>
    <w:multiLevelType w:val="multilevel"/>
    <w:tmpl w:val="2DF24D71"/>
    <w:lvl w:ilvl="0" w:tentative="0">
      <w:start w:val="3"/>
      <w:numFmt w:val="japaneseCounting"/>
      <w:lvlText w:val="(%1）"/>
      <w:lvlJc w:val="left"/>
      <w:pPr>
        <w:ind w:left="1279" w:hanging="720"/>
      </w:pPr>
      <w:rPr>
        <w:rFonts w:hint="default"/>
      </w:rPr>
    </w:lvl>
    <w:lvl w:ilvl="1" w:tentative="0">
      <w:start w:val="1"/>
      <w:numFmt w:val="lowerLetter"/>
      <w:lvlText w:val="%2)"/>
      <w:lvlJc w:val="left"/>
      <w:pPr>
        <w:ind w:left="1399" w:hanging="420"/>
      </w:pPr>
    </w:lvl>
    <w:lvl w:ilvl="2" w:tentative="0">
      <w:start w:val="1"/>
      <w:numFmt w:val="lowerRoman"/>
      <w:lvlText w:val="%3."/>
      <w:lvlJc w:val="right"/>
      <w:pPr>
        <w:ind w:left="1819" w:hanging="420"/>
      </w:pPr>
    </w:lvl>
    <w:lvl w:ilvl="3" w:tentative="0">
      <w:start w:val="1"/>
      <w:numFmt w:val="decimal"/>
      <w:lvlText w:val="%4."/>
      <w:lvlJc w:val="left"/>
      <w:pPr>
        <w:ind w:left="2239" w:hanging="420"/>
      </w:pPr>
    </w:lvl>
    <w:lvl w:ilvl="4" w:tentative="0">
      <w:start w:val="1"/>
      <w:numFmt w:val="lowerLetter"/>
      <w:lvlText w:val="%5)"/>
      <w:lvlJc w:val="left"/>
      <w:pPr>
        <w:ind w:left="2659" w:hanging="420"/>
      </w:pPr>
    </w:lvl>
    <w:lvl w:ilvl="5" w:tentative="0">
      <w:start w:val="1"/>
      <w:numFmt w:val="lowerRoman"/>
      <w:lvlText w:val="%6."/>
      <w:lvlJc w:val="right"/>
      <w:pPr>
        <w:ind w:left="3079" w:hanging="420"/>
      </w:pPr>
    </w:lvl>
    <w:lvl w:ilvl="6" w:tentative="0">
      <w:start w:val="1"/>
      <w:numFmt w:val="decimal"/>
      <w:lvlText w:val="%7."/>
      <w:lvlJc w:val="left"/>
      <w:pPr>
        <w:ind w:left="3499" w:hanging="420"/>
      </w:pPr>
    </w:lvl>
    <w:lvl w:ilvl="7" w:tentative="0">
      <w:start w:val="1"/>
      <w:numFmt w:val="lowerLetter"/>
      <w:lvlText w:val="%8)"/>
      <w:lvlJc w:val="left"/>
      <w:pPr>
        <w:ind w:left="3919" w:hanging="420"/>
      </w:pPr>
    </w:lvl>
    <w:lvl w:ilvl="8" w:tentative="0">
      <w:start w:val="1"/>
      <w:numFmt w:val="lowerRoman"/>
      <w:lvlText w:val="%9."/>
      <w:lvlJc w:val="right"/>
      <w:pPr>
        <w:ind w:left="4339" w:hanging="420"/>
      </w:pPr>
    </w:lvl>
  </w:abstractNum>
  <w:abstractNum w:abstractNumId="2">
    <w:nsid w:val="31559422"/>
    <w:multiLevelType w:val="singleLevel"/>
    <w:tmpl w:val="31559422"/>
    <w:lvl w:ilvl="0" w:tentative="0">
      <w:start w:val="2"/>
      <w:numFmt w:val="decimal"/>
      <w:suff w:val="space"/>
      <w:lvlText w:val="（%1）"/>
      <w:lvlJc w:val="left"/>
    </w:lvl>
  </w:abstractNum>
  <w:abstractNum w:abstractNumId="3">
    <w:nsid w:val="321ED929"/>
    <w:multiLevelType w:val="singleLevel"/>
    <w:tmpl w:val="321ED929"/>
    <w:lvl w:ilvl="0" w:tentative="0">
      <w:start w:val="1"/>
      <w:numFmt w:val="decimal"/>
      <w:suff w:val="nothing"/>
      <w:lvlText w:val="（%1）"/>
      <w:lvlJc w:val="left"/>
    </w:lvl>
  </w:abstractNum>
  <w:abstractNum w:abstractNumId="4">
    <w:nsid w:val="6DD4C3AD"/>
    <w:multiLevelType w:val="singleLevel"/>
    <w:tmpl w:val="6DD4C3AD"/>
    <w:lvl w:ilvl="0" w:tentative="0">
      <w:start w:val="7"/>
      <w:numFmt w:val="chineseCounting"/>
      <w:suff w:val="nothing"/>
      <w:lvlText w:val="%1、"/>
      <w:lvlJc w:val="left"/>
      <w:rPr>
        <w:rFonts w:hint="eastAsia"/>
      </w:rPr>
    </w:lvl>
  </w:abstractNum>
  <w:abstractNum w:abstractNumId="5">
    <w:nsid w:val="7A010C0D"/>
    <w:multiLevelType w:val="singleLevel"/>
    <w:tmpl w:val="7A010C0D"/>
    <w:lvl w:ilvl="0" w:tentative="0">
      <w:start w:val="1"/>
      <w:numFmt w:val="chineseCounting"/>
      <w:suff w:val="nothing"/>
      <w:lvlText w:val="%1、"/>
      <w:lvlJc w:val="left"/>
      <w:rPr>
        <w:rFonts w:hint="eastAsia"/>
      </w:rPr>
    </w:lvl>
  </w:abstractNum>
  <w:abstractNum w:abstractNumId="6">
    <w:nsid w:val="7B4E4DA1"/>
    <w:multiLevelType w:val="singleLevel"/>
    <w:tmpl w:val="7B4E4DA1"/>
    <w:lvl w:ilvl="0" w:tentative="0">
      <w:start w:val="4"/>
      <w:numFmt w:val="chineseCounting"/>
      <w:suff w:val="nothing"/>
      <w:lvlText w:val="（%1）"/>
      <w:lvlJc w:val="left"/>
      <w:rPr>
        <w:rFonts w:hint="eastAsia"/>
      </w:r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0268A"/>
    <w:rsid w:val="00007C2D"/>
    <w:rsid w:val="00014B65"/>
    <w:rsid w:val="000164F4"/>
    <w:rsid w:val="00032810"/>
    <w:rsid w:val="0008507C"/>
    <w:rsid w:val="000950CF"/>
    <w:rsid w:val="000B5A27"/>
    <w:rsid w:val="000D31EF"/>
    <w:rsid w:val="000F4B7D"/>
    <w:rsid w:val="00102A97"/>
    <w:rsid w:val="00107979"/>
    <w:rsid w:val="00112A60"/>
    <w:rsid w:val="00114CE2"/>
    <w:rsid w:val="00150848"/>
    <w:rsid w:val="0017317C"/>
    <w:rsid w:val="001B5BBF"/>
    <w:rsid w:val="001C3D48"/>
    <w:rsid w:val="001D3637"/>
    <w:rsid w:val="001F389E"/>
    <w:rsid w:val="001F3EB3"/>
    <w:rsid w:val="00204839"/>
    <w:rsid w:val="00233C3E"/>
    <w:rsid w:val="0023441E"/>
    <w:rsid w:val="002344CE"/>
    <w:rsid w:val="0024405F"/>
    <w:rsid w:val="00256C52"/>
    <w:rsid w:val="00276880"/>
    <w:rsid w:val="002850B4"/>
    <w:rsid w:val="002F08DD"/>
    <w:rsid w:val="00302B81"/>
    <w:rsid w:val="00304DC0"/>
    <w:rsid w:val="003075BA"/>
    <w:rsid w:val="00320645"/>
    <w:rsid w:val="00325DEF"/>
    <w:rsid w:val="00325E2F"/>
    <w:rsid w:val="003736C3"/>
    <w:rsid w:val="0039540D"/>
    <w:rsid w:val="003B042F"/>
    <w:rsid w:val="003B27DA"/>
    <w:rsid w:val="003C554F"/>
    <w:rsid w:val="003D6783"/>
    <w:rsid w:val="00416F66"/>
    <w:rsid w:val="0044397F"/>
    <w:rsid w:val="0044785F"/>
    <w:rsid w:val="00465C10"/>
    <w:rsid w:val="004726F9"/>
    <w:rsid w:val="00492693"/>
    <w:rsid w:val="004B6F14"/>
    <w:rsid w:val="004E13F0"/>
    <w:rsid w:val="00523004"/>
    <w:rsid w:val="00554868"/>
    <w:rsid w:val="00574975"/>
    <w:rsid w:val="005835D4"/>
    <w:rsid w:val="00587E50"/>
    <w:rsid w:val="005B2916"/>
    <w:rsid w:val="005B48AC"/>
    <w:rsid w:val="005E1EAD"/>
    <w:rsid w:val="005E4A8A"/>
    <w:rsid w:val="006214F2"/>
    <w:rsid w:val="0062224E"/>
    <w:rsid w:val="0063028E"/>
    <w:rsid w:val="00630F42"/>
    <w:rsid w:val="006347E3"/>
    <w:rsid w:val="00650175"/>
    <w:rsid w:val="00665B2A"/>
    <w:rsid w:val="00672BC2"/>
    <w:rsid w:val="006A0387"/>
    <w:rsid w:val="006A235D"/>
    <w:rsid w:val="006B31C8"/>
    <w:rsid w:val="00733529"/>
    <w:rsid w:val="00770807"/>
    <w:rsid w:val="0077148D"/>
    <w:rsid w:val="00774450"/>
    <w:rsid w:val="00796CA0"/>
    <w:rsid w:val="00796F87"/>
    <w:rsid w:val="007A279D"/>
    <w:rsid w:val="007A2D42"/>
    <w:rsid w:val="007A61AF"/>
    <w:rsid w:val="007B6571"/>
    <w:rsid w:val="007B706C"/>
    <w:rsid w:val="007C2279"/>
    <w:rsid w:val="007C7731"/>
    <w:rsid w:val="007D59D2"/>
    <w:rsid w:val="007D5E02"/>
    <w:rsid w:val="007F1C1F"/>
    <w:rsid w:val="007F3D04"/>
    <w:rsid w:val="008212CA"/>
    <w:rsid w:val="00852BB6"/>
    <w:rsid w:val="00861EAE"/>
    <w:rsid w:val="00863850"/>
    <w:rsid w:val="0087663B"/>
    <w:rsid w:val="00881B00"/>
    <w:rsid w:val="00885AAC"/>
    <w:rsid w:val="008E4295"/>
    <w:rsid w:val="00901956"/>
    <w:rsid w:val="00901AC0"/>
    <w:rsid w:val="00903E9F"/>
    <w:rsid w:val="00906E9A"/>
    <w:rsid w:val="00926E96"/>
    <w:rsid w:val="0095196E"/>
    <w:rsid w:val="00961D1E"/>
    <w:rsid w:val="00964576"/>
    <w:rsid w:val="00971349"/>
    <w:rsid w:val="00971CFF"/>
    <w:rsid w:val="009D099D"/>
    <w:rsid w:val="00A2674E"/>
    <w:rsid w:val="00A4596B"/>
    <w:rsid w:val="00A511A4"/>
    <w:rsid w:val="00A562CF"/>
    <w:rsid w:val="00A71D5D"/>
    <w:rsid w:val="00A763E0"/>
    <w:rsid w:val="00AF0295"/>
    <w:rsid w:val="00B27132"/>
    <w:rsid w:val="00B313DA"/>
    <w:rsid w:val="00B61C2B"/>
    <w:rsid w:val="00B660BD"/>
    <w:rsid w:val="00B912BA"/>
    <w:rsid w:val="00B96845"/>
    <w:rsid w:val="00BA21FE"/>
    <w:rsid w:val="00BC0B7F"/>
    <w:rsid w:val="00BD4E09"/>
    <w:rsid w:val="00BF4983"/>
    <w:rsid w:val="00BF57FB"/>
    <w:rsid w:val="00C002B5"/>
    <w:rsid w:val="00C225E4"/>
    <w:rsid w:val="00C62D73"/>
    <w:rsid w:val="00C85AFF"/>
    <w:rsid w:val="00C938DD"/>
    <w:rsid w:val="00CA33FF"/>
    <w:rsid w:val="00CD4377"/>
    <w:rsid w:val="00D0260B"/>
    <w:rsid w:val="00D65F69"/>
    <w:rsid w:val="00D73B34"/>
    <w:rsid w:val="00D90FD6"/>
    <w:rsid w:val="00DC611F"/>
    <w:rsid w:val="00DF4550"/>
    <w:rsid w:val="00E111D2"/>
    <w:rsid w:val="00E227E1"/>
    <w:rsid w:val="00E32871"/>
    <w:rsid w:val="00E40E08"/>
    <w:rsid w:val="00E70866"/>
    <w:rsid w:val="00E72932"/>
    <w:rsid w:val="00E746FD"/>
    <w:rsid w:val="00E76189"/>
    <w:rsid w:val="00E91236"/>
    <w:rsid w:val="00E9470B"/>
    <w:rsid w:val="00E94B21"/>
    <w:rsid w:val="00EA44AC"/>
    <w:rsid w:val="00EB27B6"/>
    <w:rsid w:val="00EB4A9F"/>
    <w:rsid w:val="00EE6F6D"/>
    <w:rsid w:val="00EF713C"/>
    <w:rsid w:val="00F03E5D"/>
    <w:rsid w:val="00F2131B"/>
    <w:rsid w:val="00F33064"/>
    <w:rsid w:val="00F372C9"/>
    <w:rsid w:val="00F5075A"/>
    <w:rsid w:val="00F671C0"/>
    <w:rsid w:val="00F750B9"/>
    <w:rsid w:val="00F9484C"/>
    <w:rsid w:val="00FA5AA3"/>
    <w:rsid w:val="00FA77C9"/>
    <w:rsid w:val="00FC63CE"/>
    <w:rsid w:val="00FE6946"/>
    <w:rsid w:val="00FF027F"/>
    <w:rsid w:val="00FF1981"/>
    <w:rsid w:val="01060D44"/>
    <w:rsid w:val="019015ED"/>
    <w:rsid w:val="023840D4"/>
    <w:rsid w:val="026D7291"/>
    <w:rsid w:val="02831E53"/>
    <w:rsid w:val="03137256"/>
    <w:rsid w:val="032904DB"/>
    <w:rsid w:val="0329325D"/>
    <w:rsid w:val="03E53619"/>
    <w:rsid w:val="05905521"/>
    <w:rsid w:val="05995993"/>
    <w:rsid w:val="05C27ED4"/>
    <w:rsid w:val="06041FDC"/>
    <w:rsid w:val="06B800EC"/>
    <w:rsid w:val="073E5EEE"/>
    <w:rsid w:val="084B75C9"/>
    <w:rsid w:val="08D17063"/>
    <w:rsid w:val="08EE0529"/>
    <w:rsid w:val="091E7129"/>
    <w:rsid w:val="09241272"/>
    <w:rsid w:val="09406599"/>
    <w:rsid w:val="09BA6B04"/>
    <w:rsid w:val="09E4339E"/>
    <w:rsid w:val="09E65CAB"/>
    <w:rsid w:val="0A2F0851"/>
    <w:rsid w:val="0A4E5CEB"/>
    <w:rsid w:val="0A5A7EE7"/>
    <w:rsid w:val="0B11375F"/>
    <w:rsid w:val="0B8D1285"/>
    <w:rsid w:val="0C3F3EAA"/>
    <w:rsid w:val="0C4B694A"/>
    <w:rsid w:val="0C5A22DA"/>
    <w:rsid w:val="0C945653"/>
    <w:rsid w:val="0CCC3CF6"/>
    <w:rsid w:val="0D05306C"/>
    <w:rsid w:val="0DB66E07"/>
    <w:rsid w:val="0DBF1894"/>
    <w:rsid w:val="0DD97706"/>
    <w:rsid w:val="0E4C6690"/>
    <w:rsid w:val="0E9D7238"/>
    <w:rsid w:val="0EA2551E"/>
    <w:rsid w:val="0F321360"/>
    <w:rsid w:val="10136CEC"/>
    <w:rsid w:val="10956815"/>
    <w:rsid w:val="113C541A"/>
    <w:rsid w:val="11557C04"/>
    <w:rsid w:val="118D5625"/>
    <w:rsid w:val="127D77EC"/>
    <w:rsid w:val="12B425DE"/>
    <w:rsid w:val="130729B3"/>
    <w:rsid w:val="136F336B"/>
    <w:rsid w:val="13B52E44"/>
    <w:rsid w:val="148A741C"/>
    <w:rsid w:val="14AC1E76"/>
    <w:rsid w:val="14F5671B"/>
    <w:rsid w:val="15653A19"/>
    <w:rsid w:val="15707824"/>
    <w:rsid w:val="15D346E2"/>
    <w:rsid w:val="15F15011"/>
    <w:rsid w:val="16525825"/>
    <w:rsid w:val="167E04ED"/>
    <w:rsid w:val="17240C65"/>
    <w:rsid w:val="17AF2654"/>
    <w:rsid w:val="17CB57CA"/>
    <w:rsid w:val="181801FE"/>
    <w:rsid w:val="18924D28"/>
    <w:rsid w:val="18B63C2C"/>
    <w:rsid w:val="194A7B67"/>
    <w:rsid w:val="199E52D4"/>
    <w:rsid w:val="1A38635C"/>
    <w:rsid w:val="1AC73A6E"/>
    <w:rsid w:val="1AEC0FF1"/>
    <w:rsid w:val="1C9E33F4"/>
    <w:rsid w:val="1CE25B00"/>
    <w:rsid w:val="1D546468"/>
    <w:rsid w:val="1D6E46A7"/>
    <w:rsid w:val="1D6E7630"/>
    <w:rsid w:val="1D6F2414"/>
    <w:rsid w:val="1D901E7F"/>
    <w:rsid w:val="1E436AEC"/>
    <w:rsid w:val="1EA5605B"/>
    <w:rsid w:val="1EF76399"/>
    <w:rsid w:val="1EFF1F07"/>
    <w:rsid w:val="1F2C42A3"/>
    <w:rsid w:val="1F8B4D90"/>
    <w:rsid w:val="1FC07D70"/>
    <w:rsid w:val="1FD502CF"/>
    <w:rsid w:val="201076BE"/>
    <w:rsid w:val="20F00C50"/>
    <w:rsid w:val="21D3375E"/>
    <w:rsid w:val="22B51072"/>
    <w:rsid w:val="22DA4A13"/>
    <w:rsid w:val="230B2EED"/>
    <w:rsid w:val="23525246"/>
    <w:rsid w:val="23736B26"/>
    <w:rsid w:val="238B294F"/>
    <w:rsid w:val="23F42DD8"/>
    <w:rsid w:val="26A01F1D"/>
    <w:rsid w:val="26C5308D"/>
    <w:rsid w:val="26C63769"/>
    <w:rsid w:val="26D95C8F"/>
    <w:rsid w:val="27745A1A"/>
    <w:rsid w:val="278E729C"/>
    <w:rsid w:val="27BE4926"/>
    <w:rsid w:val="28340DC1"/>
    <w:rsid w:val="28712540"/>
    <w:rsid w:val="28951DDB"/>
    <w:rsid w:val="28E05B21"/>
    <w:rsid w:val="29986967"/>
    <w:rsid w:val="2A17450F"/>
    <w:rsid w:val="2A510F97"/>
    <w:rsid w:val="2A5119DA"/>
    <w:rsid w:val="2AD717B7"/>
    <w:rsid w:val="2AE40F9F"/>
    <w:rsid w:val="2B1F1FE6"/>
    <w:rsid w:val="2B883CEB"/>
    <w:rsid w:val="2C2E38BF"/>
    <w:rsid w:val="2C9D34B3"/>
    <w:rsid w:val="2C9E060E"/>
    <w:rsid w:val="2D14475C"/>
    <w:rsid w:val="2D37620C"/>
    <w:rsid w:val="2D8042CE"/>
    <w:rsid w:val="2D956675"/>
    <w:rsid w:val="2E4A5A9F"/>
    <w:rsid w:val="2EB259E9"/>
    <w:rsid w:val="2EC16ABA"/>
    <w:rsid w:val="2F1462A6"/>
    <w:rsid w:val="2FB64804"/>
    <w:rsid w:val="301571E3"/>
    <w:rsid w:val="302C68C0"/>
    <w:rsid w:val="308B0DF6"/>
    <w:rsid w:val="30967378"/>
    <w:rsid w:val="309B1049"/>
    <w:rsid w:val="30E4441B"/>
    <w:rsid w:val="319D3DD2"/>
    <w:rsid w:val="31D806E4"/>
    <w:rsid w:val="31ED6060"/>
    <w:rsid w:val="320F4D33"/>
    <w:rsid w:val="321876B7"/>
    <w:rsid w:val="321A30B9"/>
    <w:rsid w:val="328F4B2F"/>
    <w:rsid w:val="336D5BE0"/>
    <w:rsid w:val="336F3E9C"/>
    <w:rsid w:val="33FC4094"/>
    <w:rsid w:val="34304122"/>
    <w:rsid w:val="346F02C5"/>
    <w:rsid w:val="34E55FEC"/>
    <w:rsid w:val="3507105D"/>
    <w:rsid w:val="358A23ED"/>
    <w:rsid w:val="359A6AEB"/>
    <w:rsid w:val="35CA3379"/>
    <w:rsid w:val="35EE7851"/>
    <w:rsid w:val="36743E52"/>
    <w:rsid w:val="36825E34"/>
    <w:rsid w:val="36AE575A"/>
    <w:rsid w:val="36BA16AD"/>
    <w:rsid w:val="36FF31E8"/>
    <w:rsid w:val="37D87EA9"/>
    <w:rsid w:val="384F04EA"/>
    <w:rsid w:val="38946012"/>
    <w:rsid w:val="39B1061A"/>
    <w:rsid w:val="39F93987"/>
    <w:rsid w:val="3A3D2108"/>
    <w:rsid w:val="3B4568EB"/>
    <w:rsid w:val="3CD26028"/>
    <w:rsid w:val="3D732799"/>
    <w:rsid w:val="3D9169D7"/>
    <w:rsid w:val="3E262F92"/>
    <w:rsid w:val="3E54585B"/>
    <w:rsid w:val="3EF95FDC"/>
    <w:rsid w:val="3F995D8B"/>
    <w:rsid w:val="3FB14B67"/>
    <w:rsid w:val="4009662F"/>
    <w:rsid w:val="406C2365"/>
    <w:rsid w:val="40A63832"/>
    <w:rsid w:val="415D0F29"/>
    <w:rsid w:val="417D5E7D"/>
    <w:rsid w:val="419518B9"/>
    <w:rsid w:val="42282566"/>
    <w:rsid w:val="423E4E97"/>
    <w:rsid w:val="425F5D7B"/>
    <w:rsid w:val="429A6F46"/>
    <w:rsid w:val="431D438B"/>
    <w:rsid w:val="435266E7"/>
    <w:rsid w:val="43776521"/>
    <w:rsid w:val="43C94B0E"/>
    <w:rsid w:val="44324BB0"/>
    <w:rsid w:val="446A54BF"/>
    <w:rsid w:val="45461914"/>
    <w:rsid w:val="457744C9"/>
    <w:rsid w:val="45A2238B"/>
    <w:rsid w:val="45B02F79"/>
    <w:rsid w:val="45F3039E"/>
    <w:rsid w:val="46411E5F"/>
    <w:rsid w:val="47540D43"/>
    <w:rsid w:val="47920C74"/>
    <w:rsid w:val="47E04B3C"/>
    <w:rsid w:val="47E70046"/>
    <w:rsid w:val="481F6125"/>
    <w:rsid w:val="48686CEE"/>
    <w:rsid w:val="48815CE7"/>
    <w:rsid w:val="490F5322"/>
    <w:rsid w:val="49E75089"/>
    <w:rsid w:val="49FF2E71"/>
    <w:rsid w:val="4A5D3AF4"/>
    <w:rsid w:val="4A685F9E"/>
    <w:rsid w:val="4AB75532"/>
    <w:rsid w:val="4AB962F6"/>
    <w:rsid w:val="4AD8339F"/>
    <w:rsid w:val="4B8938C0"/>
    <w:rsid w:val="4BCC3128"/>
    <w:rsid w:val="4C1A783E"/>
    <w:rsid w:val="4D145BF9"/>
    <w:rsid w:val="4DD42EFF"/>
    <w:rsid w:val="4E193ED9"/>
    <w:rsid w:val="4E560282"/>
    <w:rsid w:val="4E7B0C39"/>
    <w:rsid w:val="4E90101E"/>
    <w:rsid w:val="4EE9367E"/>
    <w:rsid w:val="4EF672F5"/>
    <w:rsid w:val="4EFA283E"/>
    <w:rsid w:val="4F087806"/>
    <w:rsid w:val="4F4E18E1"/>
    <w:rsid w:val="4F610FE6"/>
    <w:rsid w:val="50793188"/>
    <w:rsid w:val="507B791E"/>
    <w:rsid w:val="50C22EB4"/>
    <w:rsid w:val="512C6C45"/>
    <w:rsid w:val="524835C9"/>
    <w:rsid w:val="53135EDB"/>
    <w:rsid w:val="54C25E1A"/>
    <w:rsid w:val="55A577C9"/>
    <w:rsid w:val="55D04FF9"/>
    <w:rsid w:val="55D32AA8"/>
    <w:rsid w:val="564E06BD"/>
    <w:rsid w:val="571E524F"/>
    <w:rsid w:val="572B6F86"/>
    <w:rsid w:val="57693AD1"/>
    <w:rsid w:val="57D2046E"/>
    <w:rsid w:val="57E75C73"/>
    <w:rsid w:val="58194C1A"/>
    <w:rsid w:val="58B45F6E"/>
    <w:rsid w:val="58DF3AC2"/>
    <w:rsid w:val="5A5C588C"/>
    <w:rsid w:val="5A7A4DED"/>
    <w:rsid w:val="5AF96B54"/>
    <w:rsid w:val="5B022CC5"/>
    <w:rsid w:val="5B192266"/>
    <w:rsid w:val="5BED3A09"/>
    <w:rsid w:val="5C4F226F"/>
    <w:rsid w:val="5C523EC3"/>
    <w:rsid w:val="5CB2025F"/>
    <w:rsid w:val="5CF739E7"/>
    <w:rsid w:val="5DDC464B"/>
    <w:rsid w:val="5DDE3569"/>
    <w:rsid w:val="60180E77"/>
    <w:rsid w:val="60195BC1"/>
    <w:rsid w:val="60304EB1"/>
    <w:rsid w:val="61A91893"/>
    <w:rsid w:val="620C4E8F"/>
    <w:rsid w:val="623A0845"/>
    <w:rsid w:val="63295783"/>
    <w:rsid w:val="63630DBF"/>
    <w:rsid w:val="63E91949"/>
    <w:rsid w:val="663265F8"/>
    <w:rsid w:val="668E47D2"/>
    <w:rsid w:val="66E5437C"/>
    <w:rsid w:val="66F50835"/>
    <w:rsid w:val="676D7A39"/>
    <w:rsid w:val="68B83AED"/>
    <w:rsid w:val="69293DE5"/>
    <w:rsid w:val="69517B36"/>
    <w:rsid w:val="695B473B"/>
    <w:rsid w:val="697A688D"/>
    <w:rsid w:val="698A21F8"/>
    <w:rsid w:val="69AB58FA"/>
    <w:rsid w:val="69D32790"/>
    <w:rsid w:val="6A7937DD"/>
    <w:rsid w:val="6AAF2D4B"/>
    <w:rsid w:val="6AAF38C4"/>
    <w:rsid w:val="6AD02D72"/>
    <w:rsid w:val="6B1E08A8"/>
    <w:rsid w:val="6B3E667B"/>
    <w:rsid w:val="6B555FB9"/>
    <w:rsid w:val="6B6C6B01"/>
    <w:rsid w:val="6B8441A4"/>
    <w:rsid w:val="6BED5E87"/>
    <w:rsid w:val="6C3F27AC"/>
    <w:rsid w:val="6C4C2395"/>
    <w:rsid w:val="6C5C11A1"/>
    <w:rsid w:val="6D1A1D61"/>
    <w:rsid w:val="6D395410"/>
    <w:rsid w:val="6D3F583C"/>
    <w:rsid w:val="6D69668B"/>
    <w:rsid w:val="6DAA5B44"/>
    <w:rsid w:val="6DE360BA"/>
    <w:rsid w:val="6EBE60C4"/>
    <w:rsid w:val="6F294768"/>
    <w:rsid w:val="6F4C66E5"/>
    <w:rsid w:val="6F6548BA"/>
    <w:rsid w:val="6F6D7E9D"/>
    <w:rsid w:val="70407CA7"/>
    <w:rsid w:val="704731E5"/>
    <w:rsid w:val="706E23EA"/>
    <w:rsid w:val="70C62D2B"/>
    <w:rsid w:val="70E24E0C"/>
    <w:rsid w:val="71B17A1C"/>
    <w:rsid w:val="723315FC"/>
    <w:rsid w:val="7258164D"/>
    <w:rsid w:val="73194E9A"/>
    <w:rsid w:val="73760762"/>
    <w:rsid w:val="738C5FE9"/>
    <w:rsid w:val="73CD3D4F"/>
    <w:rsid w:val="74115181"/>
    <w:rsid w:val="741F7874"/>
    <w:rsid w:val="74BB6C12"/>
    <w:rsid w:val="75541E74"/>
    <w:rsid w:val="75AD6D73"/>
    <w:rsid w:val="7651423D"/>
    <w:rsid w:val="76BD0748"/>
    <w:rsid w:val="770E630D"/>
    <w:rsid w:val="77143049"/>
    <w:rsid w:val="776F2BA6"/>
    <w:rsid w:val="77E35F06"/>
    <w:rsid w:val="780A1D99"/>
    <w:rsid w:val="78173AB2"/>
    <w:rsid w:val="78D61C35"/>
    <w:rsid w:val="78DE5473"/>
    <w:rsid w:val="79510D25"/>
    <w:rsid w:val="79FC440C"/>
    <w:rsid w:val="7A886544"/>
    <w:rsid w:val="7AA67FCB"/>
    <w:rsid w:val="7B81098A"/>
    <w:rsid w:val="7BE25958"/>
    <w:rsid w:val="7C593C2F"/>
    <w:rsid w:val="7CB66BDC"/>
    <w:rsid w:val="7D6F1D46"/>
    <w:rsid w:val="7DA90201"/>
    <w:rsid w:val="7DBD2B67"/>
    <w:rsid w:val="7E702C59"/>
    <w:rsid w:val="7E770EB1"/>
    <w:rsid w:val="7F36508B"/>
    <w:rsid w:val="7FAC778D"/>
    <w:rsid w:val="7FC45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jc w:val="center"/>
      <w:outlineLvl w:val="0"/>
    </w:pPr>
    <w:rPr>
      <w:b/>
      <w:bCs/>
      <w:kern w:val="44"/>
      <w:sz w:val="32"/>
      <w:szCs w:val="32"/>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qFormat/>
    <w:uiPriority w:val="0"/>
    <w:pPr>
      <w:keepNext/>
      <w:keepLines/>
      <w:widowControl/>
      <w:spacing w:line="360" w:lineRule="auto"/>
      <w:jc w:val="center"/>
      <w:outlineLvl w:val="3"/>
    </w:pPr>
    <w:rPr>
      <w:rFonts w:ascii="Arial" w:hAnsi="Arial" w:eastAsia="黑体"/>
      <w:kern w:val="0"/>
      <w:sz w:val="28"/>
      <w:szCs w:val="20"/>
    </w:rPr>
  </w:style>
  <w:style w:type="character" w:default="1" w:styleId="21">
    <w:name w:val="Default Paragraph Font"/>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semiHidden/>
    <w:unhideWhenUsed/>
    <w:qFormat/>
    <w:uiPriority w:val="99"/>
    <w:rPr>
      <w:rFonts w:ascii="宋体" w:eastAsia="宋体"/>
      <w:sz w:val="18"/>
      <w:szCs w:val="18"/>
    </w:rPr>
  </w:style>
  <w:style w:type="paragraph" w:styleId="6">
    <w:name w:val="annotation text"/>
    <w:basedOn w:val="1"/>
    <w:link w:val="43"/>
    <w:qFormat/>
    <w:uiPriority w:val="0"/>
    <w:pPr>
      <w:spacing w:after="0" w:line="240" w:lineRule="auto"/>
    </w:pPr>
    <w:rPr>
      <w:rFonts w:ascii="Times New Roman" w:hAnsi="Times New Roman" w:eastAsia="宋体" w:cs="Times New Roman"/>
      <w:szCs w:val="20"/>
    </w:rPr>
  </w:style>
  <w:style w:type="paragraph" w:styleId="7">
    <w:name w:val="Body Text"/>
    <w:basedOn w:val="1"/>
    <w:link w:val="35"/>
    <w:qFormat/>
    <w:uiPriority w:val="0"/>
    <w:pPr>
      <w:spacing w:after="0" w:line="240" w:lineRule="auto"/>
      <w:jc w:val="center"/>
    </w:pPr>
    <w:rPr>
      <w:rFonts w:ascii="Times New Roman" w:hAnsi="Times New Roman" w:eastAsia="宋体" w:cs="Times New Roman"/>
      <w:sz w:val="52"/>
      <w:szCs w:val="24"/>
    </w:rPr>
  </w:style>
  <w:style w:type="paragraph" w:styleId="8">
    <w:name w:val="Body Text Indent"/>
    <w:basedOn w:val="1"/>
    <w:next w:val="9"/>
    <w:qFormat/>
    <w:uiPriority w:val="0"/>
    <w:pPr>
      <w:ind w:firstLine="830" w:firstLineChars="352"/>
    </w:pPr>
    <w:rPr>
      <w:rFonts w:ascii="仿宋_GB2312" w:eastAsia="仿宋_GB2312"/>
      <w:sz w:val="32"/>
      <w:szCs w:val="20"/>
    </w:rPr>
  </w:style>
  <w:style w:type="paragraph" w:styleId="9">
    <w:name w:val="envelope return"/>
    <w:basedOn w:val="1"/>
    <w:qFormat/>
    <w:uiPriority w:val="0"/>
    <w:pPr>
      <w:snapToGrid w:val="0"/>
    </w:pPr>
    <w:rPr>
      <w:rFonts w:ascii="Arial" w:hAnsi="Arial"/>
    </w:rPr>
  </w:style>
  <w:style w:type="paragraph" w:styleId="10">
    <w:name w:val="Plain Text"/>
    <w:basedOn w:val="1"/>
    <w:link w:val="37"/>
    <w:qFormat/>
    <w:uiPriority w:val="0"/>
    <w:pPr>
      <w:adjustRightInd w:val="0"/>
      <w:spacing w:after="0" w:line="312" w:lineRule="atLeast"/>
      <w:jc w:val="both"/>
      <w:textAlignment w:val="baseline"/>
    </w:pPr>
    <w:rPr>
      <w:rFonts w:ascii="宋体" w:hAnsi="Courier New" w:eastAsia="宋体"/>
    </w:rPr>
  </w:style>
  <w:style w:type="paragraph" w:styleId="11">
    <w:name w:val="Balloon Text"/>
    <w:basedOn w:val="1"/>
    <w:link w:val="44"/>
    <w:semiHidden/>
    <w:unhideWhenUsed/>
    <w:qFormat/>
    <w:uiPriority w:val="99"/>
    <w:pPr>
      <w:spacing w:after="0" w:line="240" w:lineRule="auto"/>
    </w:pPr>
    <w:rPr>
      <w:sz w:val="18"/>
      <w:szCs w:val="18"/>
    </w:rPr>
  </w:style>
  <w:style w:type="paragraph" w:styleId="12">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paragraph" w:styleId="16">
    <w:name w:val="Normal (Web)"/>
    <w:basedOn w:val="1"/>
    <w:semiHidden/>
    <w:unhideWhenUsed/>
    <w:qFormat/>
    <w:uiPriority w:val="99"/>
    <w:pPr>
      <w:spacing w:beforeAutospacing="1" w:after="0" w:afterAutospacing="1"/>
    </w:pPr>
    <w:rPr>
      <w:rFonts w:cs="Times New Roman"/>
      <w:kern w:val="0"/>
      <w:sz w:val="24"/>
    </w:rPr>
  </w:style>
  <w:style w:type="paragraph" w:styleId="17">
    <w:name w:val="annotation subject"/>
    <w:basedOn w:val="6"/>
    <w:next w:val="6"/>
    <w:link w:val="46"/>
    <w:semiHidden/>
    <w:unhideWhenUsed/>
    <w:qFormat/>
    <w:uiPriority w:val="99"/>
    <w:pPr>
      <w:spacing w:after="200" w:line="276" w:lineRule="auto"/>
    </w:pPr>
    <w:rPr>
      <w:rFonts w:asciiTheme="minorHAnsi" w:hAnsiTheme="minorHAnsi" w:eastAsiaTheme="minorEastAsia" w:cstheme="minorBidi"/>
      <w:b/>
      <w:bCs/>
      <w:szCs w:val="22"/>
    </w:rPr>
  </w:style>
  <w:style w:type="paragraph" w:styleId="18">
    <w:name w:val="Body Text First Indent 2"/>
    <w:basedOn w:val="8"/>
    <w:qFormat/>
    <w:uiPriority w:val="0"/>
    <w:pPr>
      <w:widowControl w:val="0"/>
      <w:ind w:firstLine="420" w:firstLineChars="200"/>
      <w:jc w:val="both"/>
    </w:pPr>
    <w:rPr>
      <w:rFonts w:ascii="Calibri" w:hAnsi="Calibri"/>
      <w:kern w:val="2"/>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0088CC"/>
      <w:u w:val="none"/>
    </w:rPr>
  </w:style>
  <w:style w:type="character" w:styleId="23">
    <w:name w:val="HTML Definition"/>
    <w:basedOn w:val="21"/>
    <w:semiHidden/>
    <w:unhideWhenUsed/>
    <w:qFormat/>
    <w:uiPriority w:val="99"/>
  </w:style>
  <w:style w:type="character" w:styleId="24">
    <w:name w:val="HTML Typewriter"/>
    <w:basedOn w:val="21"/>
    <w:semiHidden/>
    <w:unhideWhenUsed/>
    <w:qFormat/>
    <w:uiPriority w:val="99"/>
    <w:rPr>
      <w:rFonts w:hint="default" w:ascii="monospace" w:hAnsi="monospace" w:eastAsia="monospace" w:cs="monospace"/>
      <w:sz w:val="20"/>
    </w:rPr>
  </w:style>
  <w:style w:type="character" w:styleId="25">
    <w:name w:val="HTML Acronym"/>
    <w:basedOn w:val="21"/>
    <w:semiHidden/>
    <w:unhideWhenUsed/>
    <w:qFormat/>
    <w:uiPriority w:val="99"/>
  </w:style>
  <w:style w:type="character" w:styleId="26">
    <w:name w:val="HTML Variable"/>
    <w:basedOn w:val="21"/>
    <w:semiHidden/>
    <w:unhideWhenUsed/>
    <w:uiPriority w:val="99"/>
  </w:style>
  <w:style w:type="character" w:styleId="27">
    <w:name w:val="Hyperlink"/>
    <w:semiHidden/>
    <w:unhideWhenUsed/>
    <w:qFormat/>
    <w:uiPriority w:val="99"/>
    <w:rPr>
      <w:color w:val="0000FF" w:themeColor="hyperlink"/>
      <w:u w:val="single"/>
      <w14:textFill>
        <w14:solidFill>
          <w14:schemeClr w14:val="hlink"/>
        </w14:solidFill>
      </w14:textFill>
    </w:rPr>
  </w:style>
  <w:style w:type="character" w:styleId="28">
    <w:name w:val="HTML Code"/>
    <w:basedOn w:val="21"/>
    <w:semiHidden/>
    <w:unhideWhenUsed/>
    <w:qFormat/>
    <w:uiPriority w:val="99"/>
    <w:rPr>
      <w:rFonts w:hint="default" w:ascii="monospace" w:hAnsi="monospace" w:eastAsia="monospace" w:cs="monospace"/>
      <w:sz w:val="20"/>
    </w:rPr>
  </w:style>
  <w:style w:type="character" w:styleId="29">
    <w:name w:val="annotation reference"/>
    <w:basedOn w:val="21"/>
    <w:semiHidden/>
    <w:unhideWhenUsed/>
    <w:qFormat/>
    <w:uiPriority w:val="99"/>
    <w:rPr>
      <w:sz w:val="21"/>
      <w:szCs w:val="21"/>
    </w:rPr>
  </w:style>
  <w:style w:type="character" w:styleId="30">
    <w:name w:val="HTML Cite"/>
    <w:basedOn w:val="21"/>
    <w:semiHidden/>
    <w:unhideWhenUsed/>
    <w:qFormat/>
    <w:uiPriority w:val="99"/>
  </w:style>
  <w:style w:type="character" w:styleId="31">
    <w:name w:val="HTML Keyboard"/>
    <w:basedOn w:val="21"/>
    <w:semiHidden/>
    <w:unhideWhenUsed/>
    <w:qFormat/>
    <w:uiPriority w:val="99"/>
    <w:rPr>
      <w:rFonts w:hint="default" w:ascii="monospace" w:hAnsi="monospace" w:eastAsia="monospace" w:cs="monospace"/>
      <w:sz w:val="20"/>
    </w:rPr>
  </w:style>
  <w:style w:type="character" w:styleId="32">
    <w:name w:val="HTML Sample"/>
    <w:basedOn w:val="21"/>
    <w:semiHidden/>
    <w:unhideWhenUsed/>
    <w:uiPriority w:val="99"/>
    <w:rPr>
      <w:rFonts w:ascii="monospace" w:hAnsi="monospace" w:eastAsia="monospace" w:cs="monospace"/>
    </w:rPr>
  </w:style>
  <w:style w:type="character" w:customStyle="1" w:styleId="33">
    <w:name w:val="文档结构图 Char"/>
    <w:basedOn w:val="21"/>
    <w:link w:val="5"/>
    <w:semiHidden/>
    <w:qFormat/>
    <w:uiPriority w:val="99"/>
    <w:rPr>
      <w:rFonts w:ascii="宋体" w:eastAsia="宋体"/>
      <w:sz w:val="18"/>
      <w:szCs w:val="18"/>
    </w:rPr>
  </w:style>
  <w:style w:type="character" w:customStyle="1" w:styleId="34">
    <w:name w:val="正文文本 Char"/>
    <w:qFormat/>
    <w:uiPriority w:val="0"/>
    <w:rPr>
      <w:rFonts w:ascii="Times New Roman" w:hAnsi="Times New Roman" w:eastAsia="宋体" w:cs="Times New Roman"/>
      <w:sz w:val="52"/>
      <w:szCs w:val="24"/>
    </w:rPr>
  </w:style>
  <w:style w:type="character" w:customStyle="1" w:styleId="35">
    <w:name w:val="正文文本 Char1"/>
    <w:basedOn w:val="21"/>
    <w:link w:val="7"/>
    <w:semiHidden/>
    <w:qFormat/>
    <w:uiPriority w:val="99"/>
  </w:style>
  <w:style w:type="character" w:customStyle="1" w:styleId="36">
    <w:name w:val="纯文本 Char"/>
    <w:qFormat/>
    <w:uiPriority w:val="0"/>
    <w:rPr>
      <w:rFonts w:ascii="宋体" w:hAnsi="Courier New" w:eastAsia="宋体"/>
    </w:rPr>
  </w:style>
  <w:style w:type="character" w:customStyle="1" w:styleId="37">
    <w:name w:val="纯文本 Char1"/>
    <w:basedOn w:val="21"/>
    <w:link w:val="10"/>
    <w:semiHidden/>
    <w:qFormat/>
    <w:uiPriority w:val="99"/>
    <w:rPr>
      <w:rFonts w:ascii="宋体" w:hAnsi="Courier New" w:eastAsia="宋体" w:cs="Courier New"/>
      <w:szCs w:val="21"/>
    </w:rPr>
  </w:style>
  <w:style w:type="character" w:customStyle="1" w:styleId="38">
    <w:name w:val="标题 2 Char"/>
    <w:basedOn w:val="21"/>
    <w:link w:val="4"/>
    <w:qFormat/>
    <w:uiPriority w:val="9"/>
    <w:rPr>
      <w:rFonts w:asciiTheme="majorHAnsi" w:hAnsiTheme="majorHAnsi" w:eastAsiaTheme="majorEastAsia" w:cstheme="majorBidi"/>
      <w:b/>
      <w:bCs/>
      <w:sz w:val="32"/>
      <w:szCs w:val="32"/>
    </w:rPr>
  </w:style>
  <w:style w:type="character" w:customStyle="1" w:styleId="39">
    <w:name w:val="页眉 Char"/>
    <w:basedOn w:val="21"/>
    <w:link w:val="13"/>
    <w:qFormat/>
    <w:uiPriority w:val="99"/>
    <w:rPr>
      <w:sz w:val="18"/>
      <w:szCs w:val="18"/>
    </w:rPr>
  </w:style>
  <w:style w:type="character" w:customStyle="1" w:styleId="40">
    <w:name w:val="页脚 Char"/>
    <w:basedOn w:val="21"/>
    <w:link w:val="12"/>
    <w:qFormat/>
    <w:uiPriority w:val="99"/>
    <w:rPr>
      <w:sz w:val="18"/>
      <w:szCs w:val="18"/>
    </w:rPr>
  </w:style>
  <w:style w:type="character" w:customStyle="1" w:styleId="41">
    <w:name w:val="纯文本 Char3"/>
    <w:qFormat/>
    <w:uiPriority w:val="0"/>
    <w:rPr>
      <w:rFonts w:ascii="宋体" w:hAnsi="Courier New" w:eastAsia="宋体" w:cs="Courier New"/>
      <w:szCs w:val="21"/>
    </w:rPr>
  </w:style>
  <w:style w:type="character" w:customStyle="1" w:styleId="42">
    <w:name w:val="批注文字 Char1"/>
    <w:qFormat/>
    <w:uiPriority w:val="0"/>
    <w:rPr>
      <w:kern w:val="2"/>
      <w:sz w:val="21"/>
    </w:rPr>
  </w:style>
  <w:style w:type="character" w:customStyle="1" w:styleId="43">
    <w:name w:val="批注文字 Char"/>
    <w:basedOn w:val="21"/>
    <w:link w:val="6"/>
    <w:semiHidden/>
    <w:qFormat/>
    <w:uiPriority w:val="99"/>
    <w:rPr>
      <w:rFonts w:asciiTheme="minorHAnsi" w:hAnsiTheme="minorHAnsi" w:eastAsiaTheme="minorEastAsia" w:cstheme="minorBidi"/>
      <w:kern w:val="2"/>
      <w:sz w:val="21"/>
      <w:szCs w:val="22"/>
    </w:rPr>
  </w:style>
  <w:style w:type="character" w:customStyle="1" w:styleId="44">
    <w:name w:val="批注框文本 Char"/>
    <w:basedOn w:val="21"/>
    <w:link w:val="11"/>
    <w:semiHidden/>
    <w:qFormat/>
    <w:uiPriority w:val="99"/>
    <w:rPr>
      <w:rFonts w:asciiTheme="minorHAnsi" w:hAnsiTheme="minorHAnsi" w:eastAsiaTheme="minorEastAsia" w:cstheme="minorBidi"/>
      <w:kern w:val="2"/>
      <w:sz w:val="18"/>
      <w:szCs w:val="18"/>
    </w:rPr>
  </w:style>
  <w:style w:type="paragraph" w:styleId="45">
    <w:name w:val="List Paragraph"/>
    <w:basedOn w:val="1"/>
    <w:unhideWhenUsed/>
    <w:qFormat/>
    <w:uiPriority w:val="99"/>
    <w:pPr>
      <w:ind w:firstLine="420" w:firstLineChars="200"/>
    </w:pPr>
  </w:style>
  <w:style w:type="character" w:customStyle="1" w:styleId="46">
    <w:name w:val="批注主题 Char"/>
    <w:basedOn w:val="43"/>
    <w:link w:val="17"/>
    <w:semiHidden/>
    <w:qFormat/>
    <w:uiPriority w:val="99"/>
    <w:rPr>
      <w:b/>
      <w:bCs/>
    </w:rPr>
  </w:style>
  <w:style w:type="character" w:customStyle="1" w:styleId="47">
    <w:name w:val="l"/>
    <w:basedOn w:val="21"/>
    <w:qFormat/>
    <w:uiPriority w:val="0"/>
  </w:style>
  <w:style w:type="character" w:customStyle="1" w:styleId="48">
    <w:name w:val="r"/>
    <w:basedOn w:val="21"/>
    <w:qFormat/>
    <w:uiPriority w:val="0"/>
  </w:style>
  <w:style w:type="character" w:customStyle="1" w:styleId="49">
    <w:name w:val="r2"/>
    <w:basedOn w:val="21"/>
    <w:qFormat/>
    <w:uiPriority w:val="0"/>
  </w:style>
  <w:style w:type="character" w:customStyle="1" w:styleId="50">
    <w:name w:val="l2"/>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3811</Words>
  <Characters>21725</Characters>
  <Lines>181</Lines>
  <Paragraphs>50</Paragraphs>
  <TotalTime>14</TotalTime>
  <ScaleCrop>false</ScaleCrop>
  <LinksUpToDate>false</LinksUpToDate>
  <CharactersWithSpaces>25486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2020-10-14T08:42:00Z</dcterms:created>
  <dc:creator>Administrator</dc:creator>
  <cp:lastModifiedBy>淼</cp:lastModifiedBy>
  <cp:lastPrinted>2020-11-01T03:25:00Z</cp:lastPrinted>
  <dcterms:modified xsi:type="dcterms:W3CDTF">2020-11-04T08:54:04Z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