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jc w:val="both"/>
        <w:rPr>
          <w:rFonts w:ascii="仿宋_GB2312" w:eastAsia="仿宋_GB2312"/>
          <w:color w:val="auto"/>
          <w:sz w:val="72"/>
          <w:highlight w:val="none"/>
          <w14:shadow w14:blurRad="50800" w14:dist="38100" w14:dir="2700000" w14:sx="100000" w14:sy="100000" w14:kx="0" w14:ky="0" w14:algn="tl">
            <w14:srgbClr w14:val="000000">
              <w14:alpha w14:val="60000"/>
            </w14:srgbClr>
          </w14:shadow>
        </w:rPr>
      </w:pPr>
      <w:r>
        <w:rPr>
          <w:rFonts w:hint="eastAsia" w:ascii="仿宋_GB2312" w:eastAsia="仿宋_GB2312"/>
          <w:b/>
          <w:bCs/>
          <w:color w:val="auto"/>
          <w:sz w:val="10"/>
          <w:highlight w:val="none"/>
        </w:rPr>
        <w:t xml:space="preserve">                                                                                                                                                                                       </w:t>
      </w:r>
    </w:p>
    <w:p>
      <w:pPr>
        <w:pStyle w:val="9"/>
        <w:rPr>
          <w:rFonts w:ascii="宋体" w:hAnsi="宋体" w:cs="宋体"/>
          <w:b/>
          <w:color w:val="auto"/>
          <w:sz w:val="84"/>
          <w:szCs w:val="84"/>
          <w:highlight w:val="none"/>
          <w14:shadow w14:blurRad="50800" w14:dist="38100" w14:dir="2700000" w14:sx="100000" w14:sy="100000" w14:kx="0" w14:ky="0" w14:algn="tl">
            <w14:srgbClr w14:val="000000">
              <w14:alpha w14:val="60000"/>
            </w14:srgbClr>
          </w14:shadow>
        </w:rPr>
      </w:pPr>
      <w:r>
        <w:rPr>
          <w:rFonts w:hint="eastAsia" w:ascii="宋体" w:hAnsi="宋体" w:cs="宋体"/>
          <w:b/>
          <w:color w:val="auto"/>
          <w:sz w:val="84"/>
          <w:szCs w:val="84"/>
          <w:highlight w:val="none"/>
          <w14:shadow w14:blurRad="50800" w14:dist="38100" w14:dir="2700000" w14:sx="100000" w14:sy="100000" w14:kx="0" w14:ky="0" w14:algn="tl">
            <w14:srgbClr w14:val="000000">
              <w14:alpha w14:val="60000"/>
            </w14:srgbClr>
          </w14:shadow>
        </w:rPr>
        <w:t>竞争性磋商文件</w:t>
      </w:r>
    </w:p>
    <w:p>
      <w:pPr>
        <w:pStyle w:val="9"/>
        <w:rPr>
          <w:rFonts w:hint="eastAsia" w:ascii="仿宋_GB2312" w:eastAsia="仿宋_GB2312"/>
          <w:color w:val="auto"/>
          <w:sz w:val="21"/>
          <w:szCs w:val="21"/>
          <w:highlight w:val="none"/>
          <w:lang w:eastAsia="zh-CN"/>
          <w14:shadow w14:blurRad="50800" w14:dist="38100" w14:dir="2700000" w14:sx="100000" w14:sy="100000" w14:kx="0" w14:ky="0" w14:algn="tl">
            <w14:srgbClr w14:val="000000">
              <w14:alpha w14:val="60000"/>
            </w14:srgbClr>
          </w14:shadow>
        </w:rPr>
      </w:pPr>
    </w:p>
    <w:p>
      <w:pPr>
        <w:pStyle w:val="9"/>
        <w:rPr>
          <w:rFonts w:hint="eastAsia" w:ascii="仿宋_GB2312" w:eastAsia="仿宋_GB2312"/>
          <w:color w:val="auto"/>
          <w:sz w:val="21"/>
          <w:szCs w:val="21"/>
          <w:highlight w:val="none"/>
          <w:lang w:eastAsia="zh-CN"/>
          <w14:shadow w14:blurRad="50800" w14:dist="38100" w14:dir="2700000" w14:sx="100000" w14:sy="100000" w14:kx="0" w14:ky="0" w14:algn="tl">
            <w14:srgbClr w14:val="000000">
              <w14:alpha w14:val="60000"/>
            </w14:srgbClr>
          </w14:shadow>
        </w:rPr>
      </w:pPr>
      <w:r>
        <w:rPr>
          <w:rFonts w:hint="eastAsia" w:ascii="仿宋_GB2312" w:eastAsia="仿宋_GB2312"/>
          <w:color w:val="auto"/>
          <w:sz w:val="21"/>
          <w:szCs w:val="21"/>
          <w:highlight w:val="none"/>
          <w:lang w:eastAsia="zh-CN"/>
          <w14:shadow w14:blurRad="50800" w14:dist="38100" w14:dir="2700000" w14:sx="100000" w14:sy="100000" w14:kx="0" w14:ky="0" w14:algn="tl">
            <w14:srgbClr w14:val="000000">
              <w14:alpha w14:val="60000"/>
            </w14:srgbClr>
          </w14:shadow>
        </w:rPr>
        <w:drawing>
          <wp:inline distT="0" distB="0" distL="114300" distR="114300">
            <wp:extent cx="1486535" cy="2113915"/>
            <wp:effectExtent l="0" t="0" r="18415" b="635"/>
            <wp:docPr id="6" name="图片 6" descr="公司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公司LOGO"/>
                    <pic:cNvPicPr>
                      <a:picLocks noChangeAspect="1"/>
                    </pic:cNvPicPr>
                  </pic:nvPicPr>
                  <pic:blipFill>
                    <a:blip r:embed="rId7"/>
                    <a:stretch>
                      <a:fillRect/>
                    </a:stretch>
                  </pic:blipFill>
                  <pic:spPr>
                    <a:xfrm>
                      <a:off x="0" y="0"/>
                      <a:ext cx="1486535" cy="2113915"/>
                    </a:xfrm>
                    <a:prstGeom prst="rect">
                      <a:avLst/>
                    </a:prstGeom>
                  </pic:spPr>
                </pic:pic>
              </a:graphicData>
            </a:graphic>
          </wp:inline>
        </w:drawing>
      </w:r>
    </w:p>
    <w:p>
      <w:pPr>
        <w:pStyle w:val="9"/>
        <w:rPr>
          <w:rFonts w:ascii="仿宋_GB2312" w:eastAsia="仿宋_GB2312"/>
          <w:color w:val="auto"/>
          <w:sz w:val="21"/>
          <w:szCs w:val="21"/>
          <w:highlight w:val="none"/>
          <w14:shadow w14:blurRad="50800" w14:dist="38100" w14:dir="2700000" w14:sx="100000" w14:sy="100000" w14:kx="0" w14:ky="0" w14:algn="tl">
            <w14:srgbClr w14:val="000000">
              <w14:alpha w14:val="60000"/>
            </w14:srgbClr>
          </w14:shadow>
        </w:rPr>
      </w:pPr>
    </w:p>
    <w:p>
      <w:pPr>
        <w:pStyle w:val="9"/>
        <w:jc w:val="left"/>
        <w:rPr>
          <w:rFonts w:ascii="仿宋_GB2312" w:eastAsia="仿宋_GB2312"/>
          <w:color w:val="auto"/>
          <w:sz w:val="21"/>
          <w:szCs w:val="21"/>
          <w:highlight w:val="none"/>
          <w14:shadow w14:blurRad="50800" w14:dist="38100" w14:dir="2700000" w14:sx="100000" w14:sy="100000" w14:kx="0" w14:ky="0" w14:algn="tl">
            <w14:srgbClr w14:val="000000">
              <w14:alpha w14:val="60000"/>
            </w14:srgbClr>
          </w14:shadow>
        </w:rPr>
      </w:pPr>
    </w:p>
    <w:p>
      <w:pPr>
        <w:spacing w:after="0" w:line="240" w:lineRule="exact"/>
        <w:ind w:left="110" w:firstLine="1531"/>
        <w:rPr>
          <w:color w:val="auto"/>
          <w:highlight w:val="none"/>
        </w:rPr>
      </w:pPr>
    </w:p>
    <w:p>
      <w:pPr>
        <w:spacing w:after="0" w:line="240" w:lineRule="exact"/>
        <w:ind w:left="110" w:firstLine="1531"/>
        <w:rPr>
          <w:color w:val="auto"/>
          <w:highlight w:val="none"/>
        </w:rPr>
      </w:pPr>
    </w:p>
    <w:p>
      <w:pPr>
        <w:spacing w:after="0" w:line="261" w:lineRule="exact"/>
        <w:ind w:left="110" w:firstLine="1531"/>
        <w:rPr>
          <w:color w:val="auto"/>
          <w:highlight w:val="none"/>
        </w:rPr>
      </w:pPr>
    </w:p>
    <w:p>
      <w:pPr>
        <w:spacing w:after="0" w:line="398" w:lineRule="exact"/>
        <w:ind w:firstLine="640" w:firstLineChars="200"/>
        <w:rPr>
          <w:rFonts w:ascii="宋体" w:hAnsi="宋体" w:eastAsia="宋体" w:cs="宋体"/>
          <w:color w:val="auto"/>
          <w:sz w:val="32"/>
          <w:szCs w:val="32"/>
          <w:highlight w:val="none"/>
        </w:rPr>
        <w:sectPr>
          <w:footerReference r:id="rId3" w:type="default"/>
          <w:type w:val="continuous"/>
          <w:pgSz w:w="11906" w:h="16839"/>
          <w:pgMar w:top="1440" w:right="790" w:bottom="1200" w:left="1150" w:header="0" w:footer="0" w:gutter="0"/>
          <w:cols w:space="720" w:num="1"/>
          <w:docGrid w:type="lines" w:linePitch="312" w:charSpace="0"/>
        </w:sectPr>
      </w:pPr>
    </w:p>
    <w:p>
      <w:pPr>
        <w:spacing w:after="0" w:line="398" w:lineRule="exact"/>
        <w:ind w:firstLine="640" w:firstLineChars="200"/>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项目名称：桂平市垌心至金田公路工程监理服务</w:t>
      </w:r>
    </w:p>
    <w:p>
      <w:pPr>
        <w:spacing w:after="0" w:line="240" w:lineRule="exact"/>
        <w:ind w:left="2071" w:firstLine="1694"/>
        <w:rPr>
          <w:color w:val="auto"/>
          <w:sz w:val="32"/>
          <w:szCs w:val="32"/>
          <w:highlight w:val="none"/>
        </w:rPr>
      </w:pPr>
    </w:p>
    <w:p>
      <w:pPr>
        <w:spacing w:after="0" w:line="398" w:lineRule="exact"/>
        <w:ind w:firstLine="640" w:firstLineChars="200"/>
        <w:rPr>
          <w:rFonts w:hint="eastAsia" w:eastAsia="宋体"/>
          <w:color w:val="auto"/>
          <w:highlight w:val="none"/>
          <w:lang w:eastAsia="zh-CN"/>
        </w:rPr>
      </w:pPr>
      <w:r>
        <w:rPr>
          <w:rFonts w:hint="eastAsia" w:ascii="宋体" w:hAnsi="宋体" w:eastAsia="宋体" w:cs="宋体"/>
          <w:color w:val="auto"/>
          <w:sz w:val="32"/>
          <w:szCs w:val="32"/>
          <w:highlight w:val="none"/>
        </w:rPr>
        <w:t>项目编号</w:t>
      </w:r>
      <w:r>
        <w:rPr>
          <w:rFonts w:ascii="宋体" w:hAnsi="宋体" w:eastAsia="宋体" w:cs="宋体"/>
          <w:color w:val="auto"/>
          <w:sz w:val="32"/>
          <w:highlight w:val="none"/>
        </w:rPr>
        <w:t>：</w:t>
      </w:r>
      <w:r>
        <w:rPr>
          <w:rFonts w:hint="eastAsia" w:ascii="宋体" w:hAnsi="宋体" w:eastAsia="宋体" w:cs="宋体"/>
          <w:color w:val="auto"/>
          <w:sz w:val="32"/>
          <w:highlight w:val="none"/>
          <w:lang w:eastAsia="zh-CN"/>
        </w:rPr>
        <w:t>GGZC2020-C3-50127-GXBX</w:t>
      </w:r>
    </w:p>
    <w:p>
      <w:pPr>
        <w:widowControl/>
        <w:rPr>
          <w:color w:val="auto"/>
          <w:highlight w:val="none"/>
        </w:rPr>
        <w:sectPr>
          <w:type w:val="continuous"/>
          <w:pgSz w:w="11906" w:h="16839"/>
          <w:pgMar w:top="1440" w:right="1517" w:bottom="1200" w:left="1150" w:header="0" w:footer="0" w:gutter="0"/>
          <w:cols w:equalWidth="0" w:num="1">
            <w:col w:w="9967"/>
          </w:cols>
          <w:docGrid w:type="lines" w:linePitch="312" w:charSpace="0"/>
        </w:sectPr>
      </w:pPr>
    </w:p>
    <w:p>
      <w:pPr>
        <w:spacing w:after="0" w:line="240" w:lineRule="exact"/>
        <w:ind w:left="2071"/>
        <w:rPr>
          <w:color w:val="auto"/>
          <w:highlight w:val="none"/>
        </w:rPr>
      </w:pPr>
    </w:p>
    <w:p>
      <w:pPr>
        <w:spacing w:after="0" w:line="240" w:lineRule="exact"/>
        <w:ind w:left="2071"/>
        <w:rPr>
          <w:color w:val="auto"/>
          <w:highlight w:val="none"/>
        </w:rPr>
      </w:pPr>
    </w:p>
    <w:p>
      <w:pPr>
        <w:spacing w:after="0" w:line="240" w:lineRule="exact"/>
        <w:rPr>
          <w:color w:val="auto"/>
          <w:highlight w:val="none"/>
        </w:rPr>
      </w:pPr>
    </w:p>
    <w:p>
      <w:pPr>
        <w:spacing w:after="0" w:line="240" w:lineRule="exact"/>
        <w:ind w:left="2071"/>
        <w:rPr>
          <w:color w:val="auto"/>
          <w:highlight w:val="none"/>
        </w:rPr>
      </w:pPr>
    </w:p>
    <w:p>
      <w:pPr>
        <w:spacing w:after="0" w:line="240" w:lineRule="exact"/>
        <w:rPr>
          <w:color w:val="auto"/>
          <w:highlight w:val="none"/>
        </w:rPr>
      </w:pPr>
    </w:p>
    <w:p>
      <w:pPr>
        <w:spacing w:after="0" w:line="360" w:lineRule="auto"/>
        <w:ind w:left="2071"/>
        <w:rPr>
          <w:color w:val="auto"/>
          <w:highlight w:val="none"/>
        </w:rPr>
      </w:pPr>
    </w:p>
    <w:p>
      <w:pPr>
        <w:widowControl/>
        <w:spacing w:line="360" w:lineRule="auto"/>
        <w:rPr>
          <w:color w:val="auto"/>
          <w:highlight w:val="none"/>
        </w:rPr>
        <w:sectPr>
          <w:type w:val="continuous"/>
          <w:pgSz w:w="11906" w:h="16839"/>
          <w:pgMar w:top="1440" w:right="790" w:bottom="1200" w:left="1150" w:header="0" w:footer="0" w:gutter="0"/>
          <w:cols w:space="720" w:num="1"/>
          <w:docGrid w:type="lines" w:linePitch="312" w:charSpace="0"/>
        </w:sectPr>
      </w:pPr>
    </w:p>
    <w:p>
      <w:pPr>
        <w:spacing w:after="0" w:line="360" w:lineRule="auto"/>
        <w:ind w:left="2083"/>
        <w:rPr>
          <w:color w:val="auto"/>
          <w:highlight w:val="none"/>
        </w:rPr>
      </w:pPr>
      <w:r>
        <w:rPr>
          <w:rFonts w:ascii="宋体" w:hAnsi="宋体" w:eastAsia="宋体" w:cs="宋体"/>
          <w:color w:val="auto"/>
          <w:sz w:val="30"/>
          <w:highlight w:val="none"/>
        </w:rPr>
        <w:t>采购单位：</w:t>
      </w:r>
      <w:r>
        <w:rPr>
          <w:rFonts w:hint="eastAsia" w:ascii="宋体" w:hAnsi="宋体" w:eastAsia="宋体" w:cs="宋体"/>
          <w:color w:val="auto"/>
          <w:sz w:val="30"/>
          <w:highlight w:val="none"/>
        </w:rPr>
        <w:t>桂平市交通运输局</w:t>
      </w:r>
    </w:p>
    <w:p>
      <w:pPr>
        <w:spacing w:after="0" w:line="360" w:lineRule="auto"/>
        <w:ind w:left="2083"/>
        <w:rPr>
          <w:rFonts w:eastAsia="宋体"/>
          <w:color w:val="auto"/>
          <w:highlight w:val="none"/>
        </w:rPr>
      </w:pPr>
      <w:r>
        <w:rPr>
          <w:rFonts w:ascii="宋体" w:hAnsi="宋体" w:eastAsia="宋体" w:cs="宋体"/>
          <w:color w:val="auto"/>
          <w:sz w:val="30"/>
          <w:highlight w:val="none"/>
        </w:rPr>
        <w:t>采购代理机构：</w:t>
      </w:r>
      <w:r>
        <w:rPr>
          <w:rFonts w:hint="eastAsia" w:ascii="宋体" w:hAnsi="宋体" w:eastAsia="宋体" w:cs="宋体"/>
          <w:color w:val="auto"/>
          <w:sz w:val="30"/>
          <w:highlight w:val="none"/>
        </w:rPr>
        <w:t>广西博行弈工程项目管理有限公司</w:t>
      </w:r>
    </w:p>
    <w:p>
      <w:pPr>
        <w:spacing w:after="0" w:line="240" w:lineRule="exact"/>
        <w:ind w:left="2083"/>
        <w:rPr>
          <w:color w:val="auto"/>
          <w:highlight w:val="none"/>
        </w:rPr>
      </w:pPr>
    </w:p>
    <w:p>
      <w:pPr>
        <w:spacing w:after="0" w:line="461" w:lineRule="exact"/>
        <w:ind w:left="2083" w:firstLine="1930"/>
        <w:rPr>
          <w:color w:val="auto"/>
          <w:highlight w:val="none"/>
        </w:rPr>
      </w:pPr>
      <w:r>
        <w:rPr>
          <w:rFonts w:ascii="宋体" w:hAnsi="宋体" w:cs="宋体"/>
          <w:color w:val="auto"/>
          <w:sz w:val="30"/>
          <w:highlight w:val="none"/>
        </w:rPr>
        <w:t>20</w:t>
      </w:r>
      <w:r>
        <w:rPr>
          <w:rFonts w:hint="eastAsia" w:ascii="宋体" w:hAnsi="宋体" w:cs="宋体"/>
          <w:color w:val="auto"/>
          <w:sz w:val="30"/>
          <w:highlight w:val="none"/>
        </w:rPr>
        <w:t>20</w:t>
      </w:r>
      <w:r>
        <w:rPr>
          <w:rFonts w:ascii="宋体" w:hAnsi="宋体" w:eastAsia="宋体" w:cs="宋体"/>
          <w:color w:val="auto"/>
          <w:spacing w:val="-1"/>
          <w:sz w:val="30"/>
          <w:highlight w:val="none"/>
        </w:rPr>
        <w:t>年</w:t>
      </w:r>
      <w:r>
        <w:rPr>
          <w:rFonts w:hint="eastAsia" w:ascii="Calibri" w:hAnsi="Calibri" w:eastAsia="宋体" w:cs="Calibri"/>
          <w:color w:val="auto"/>
          <w:spacing w:val="5"/>
          <w:sz w:val="30"/>
          <w:highlight w:val="none"/>
          <w:lang w:val="en-US" w:eastAsia="zh-CN"/>
        </w:rPr>
        <w:t>7</w:t>
      </w:r>
      <w:r>
        <w:rPr>
          <w:rFonts w:ascii="宋体" w:hAnsi="宋体" w:eastAsia="宋体" w:cs="宋体"/>
          <w:color w:val="auto"/>
          <w:spacing w:val="-1"/>
          <w:sz w:val="30"/>
          <w:highlight w:val="none"/>
        </w:rPr>
        <w:t>月</w:t>
      </w:r>
    </w:p>
    <w:p>
      <w:pPr>
        <w:widowControl/>
        <w:rPr>
          <w:color w:val="auto"/>
          <w:highlight w:val="none"/>
        </w:rPr>
        <w:sectPr>
          <w:type w:val="continuous"/>
          <w:pgSz w:w="11906" w:h="16839"/>
          <w:pgMar w:top="1440" w:right="790" w:bottom="1200" w:left="1150" w:header="0" w:footer="0" w:gutter="0"/>
          <w:cols w:equalWidth="0" w:num="1">
            <w:col w:w="9967"/>
          </w:cols>
          <w:docGrid w:type="lines" w:linePitch="312" w:charSpace="0"/>
        </w:sectPr>
      </w:pPr>
    </w:p>
    <w:p>
      <w:pPr>
        <w:tabs>
          <w:tab w:val="left" w:pos="5213"/>
        </w:tabs>
        <w:spacing w:after="0" w:line="594" w:lineRule="exact"/>
        <w:ind w:left="60" w:firstLine="4049"/>
        <w:rPr>
          <w:color w:val="auto"/>
          <w:highlight w:val="none"/>
        </w:rPr>
      </w:pPr>
      <w:bookmarkStart w:id="0" w:name="2"/>
      <w:bookmarkEnd w:id="0"/>
      <w:r>
        <w:rPr>
          <w:rFonts w:ascii="宋体" w:hAnsi="宋体" w:eastAsia="宋体" w:cs="宋体"/>
          <w:color w:val="auto"/>
          <w:spacing w:val="-1"/>
          <w:sz w:val="44"/>
          <w:highlight w:val="none"/>
        </w:rPr>
        <w:t>目</w:t>
      </w:r>
      <w:r>
        <w:rPr>
          <w:rFonts w:cs="Calibri"/>
          <w:color w:val="auto"/>
          <w:highlight w:val="none"/>
        </w:rPr>
        <w:tab/>
      </w:r>
      <w:r>
        <w:rPr>
          <w:rFonts w:ascii="宋体" w:hAnsi="宋体" w:eastAsia="宋体" w:cs="宋体"/>
          <w:color w:val="auto"/>
          <w:spacing w:val="-1"/>
          <w:sz w:val="44"/>
          <w:highlight w:val="none"/>
        </w:rPr>
        <w:t>录</w:t>
      </w:r>
    </w:p>
    <w:p>
      <w:pPr>
        <w:spacing w:after="0" w:line="240" w:lineRule="exact"/>
        <w:ind w:left="60" w:firstLine="4049"/>
        <w:rPr>
          <w:color w:val="auto"/>
          <w:highlight w:val="none"/>
        </w:rPr>
      </w:pPr>
    </w:p>
    <w:p>
      <w:pPr>
        <w:spacing w:after="0" w:line="240" w:lineRule="exact"/>
        <w:ind w:left="60" w:firstLine="4049"/>
        <w:rPr>
          <w:color w:val="auto"/>
          <w:highlight w:val="none"/>
        </w:rPr>
      </w:pPr>
    </w:p>
    <w:p>
      <w:pPr>
        <w:tabs>
          <w:tab w:val="left" w:pos="9528"/>
        </w:tabs>
        <w:spacing w:after="0" w:line="454" w:lineRule="exact"/>
        <w:ind w:left="60" w:firstLine="420"/>
        <w:rPr>
          <w:color w:val="auto"/>
          <w:highlight w:val="none"/>
        </w:rPr>
      </w:pPr>
      <w:r>
        <w:rPr>
          <w:color w:val="auto"/>
          <w:highlight w:val="none"/>
        </w:rPr>
        <w:fldChar w:fldCharType="begin"/>
      </w:r>
      <w:r>
        <w:rPr>
          <w:color w:val="auto"/>
          <w:highlight w:val="none"/>
        </w:rPr>
        <w:instrText xml:space="preserve"> HYPERLINK \l "3" </w:instrText>
      </w:r>
      <w:r>
        <w:rPr>
          <w:color w:val="auto"/>
          <w:highlight w:val="none"/>
        </w:rPr>
        <w:fldChar w:fldCharType="separate"/>
      </w:r>
      <w:r>
        <w:rPr>
          <w:rStyle w:val="18"/>
          <w:rFonts w:ascii="宋体" w:hAnsi="宋体" w:eastAsia="宋体" w:cs="宋体"/>
          <w:color w:val="auto"/>
          <w:spacing w:val="-1"/>
          <w:position w:val="2"/>
          <w:sz w:val="32"/>
          <w:highlight w:val="none"/>
          <w:u w:val="none"/>
        </w:rPr>
        <w:t>第一章</w:t>
      </w:r>
      <w:r>
        <w:rPr>
          <w:rStyle w:val="18"/>
          <w:rFonts w:ascii="宋体" w:hAnsi="宋体" w:eastAsia="宋体" w:cs="宋体"/>
          <w:color w:val="auto"/>
          <w:spacing w:val="-1"/>
          <w:position w:val="2"/>
          <w:sz w:val="32"/>
          <w:highlight w:val="none"/>
          <w:u w:val="none"/>
        </w:rPr>
        <w:fldChar w:fldCharType="end"/>
      </w:r>
      <w:r>
        <w:rPr>
          <w:rFonts w:ascii="Calibri" w:hAnsi="Calibri" w:cs="Calibri"/>
          <w:color w:val="auto"/>
          <w:w w:val="222"/>
          <w:sz w:val="32"/>
          <w:highlight w:val="none"/>
        </w:rPr>
        <w:t> </w:t>
      </w:r>
      <w:r>
        <w:rPr>
          <w:color w:val="auto"/>
          <w:highlight w:val="none"/>
        </w:rPr>
        <w:fldChar w:fldCharType="begin"/>
      </w:r>
      <w:r>
        <w:rPr>
          <w:color w:val="auto"/>
          <w:highlight w:val="none"/>
        </w:rPr>
        <w:instrText xml:space="preserve"> HYPERLINK \l "3" </w:instrText>
      </w:r>
      <w:r>
        <w:rPr>
          <w:color w:val="auto"/>
          <w:highlight w:val="none"/>
        </w:rPr>
        <w:fldChar w:fldCharType="separate"/>
      </w:r>
      <w:r>
        <w:rPr>
          <w:rStyle w:val="18"/>
          <w:rFonts w:ascii="宋体" w:hAnsi="宋体" w:eastAsia="宋体" w:cs="宋体"/>
          <w:color w:val="auto"/>
          <w:spacing w:val="-1"/>
          <w:position w:val="2"/>
          <w:sz w:val="32"/>
          <w:highlight w:val="none"/>
          <w:u w:val="none"/>
        </w:rPr>
        <w:t>竞争性磋商公告</w:t>
      </w:r>
      <w:r>
        <w:rPr>
          <w:rStyle w:val="18"/>
          <w:rFonts w:ascii="宋体" w:hAnsi="宋体" w:eastAsia="宋体" w:cs="宋体"/>
          <w:color w:val="auto"/>
          <w:spacing w:val="-1"/>
          <w:position w:val="2"/>
          <w:sz w:val="32"/>
          <w:highlight w:val="none"/>
          <w:u w:val="none"/>
        </w:rPr>
        <w:fldChar w:fldCharType="end"/>
      </w:r>
      <w:r>
        <w:rPr>
          <w:color w:val="auto"/>
          <w:highlight w:val="none"/>
        </w:rPr>
        <w:fldChar w:fldCharType="begin"/>
      </w:r>
      <w:r>
        <w:rPr>
          <w:color w:val="auto"/>
          <w:highlight w:val="none"/>
        </w:rPr>
        <w:instrText xml:space="preserve"> HYPERLINK \l "3" </w:instrText>
      </w:r>
      <w:r>
        <w:rPr>
          <w:color w:val="auto"/>
          <w:highlight w:val="none"/>
        </w:rPr>
        <w:fldChar w:fldCharType="separate"/>
      </w:r>
      <w:r>
        <w:rPr>
          <w:rStyle w:val="18"/>
          <w:rFonts w:ascii="Times New Roman" w:hAnsi="Times New Roman" w:cs="Times New Roman"/>
          <w:color w:val="auto"/>
          <w:spacing w:val="-1"/>
          <w:sz w:val="32"/>
          <w:highlight w:val="none"/>
          <w:u w:val="none"/>
        </w:rPr>
        <w:t>........................................................................</w:t>
      </w:r>
      <w:r>
        <w:rPr>
          <w:rStyle w:val="18"/>
          <w:rFonts w:ascii="Times New Roman" w:hAnsi="Times New Roman" w:cs="Times New Roman"/>
          <w:color w:val="auto"/>
          <w:spacing w:val="-1"/>
          <w:sz w:val="32"/>
          <w:highlight w:val="none"/>
          <w:u w:val="none"/>
        </w:rPr>
        <w:fldChar w:fldCharType="end"/>
      </w:r>
      <w:r>
        <w:rPr>
          <w:rFonts w:cs="Calibri"/>
          <w:color w:val="auto"/>
          <w:highlight w:val="none"/>
        </w:rPr>
        <w:tab/>
      </w:r>
      <w:r>
        <w:rPr>
          <w:color w:val="auto"/>
          <w:highlight w:val="none"/>
        </w:rPr>
        <w:fldChar w:fldCharType="begin"/>
      </w:r>
      <w:r>
        <w:rPr>
          <w:color w:val="auto"/>
          <w:highlight w:val="none"/>
        </w:rPr>
        <w:instrText xml:space="preserve"> HYPERLINK \l "3" </w:instrText>
      </w:r>
      <w:r>
        <w:rPr>
          <w:color w:val="auto"/>
          <w:highlight w:val="none"/>
        </w:rPr>
        <w:fldChar w:fldCharType="separate"/>
      </w:r>
      <w:r>
        <w:rPr>
          <w:rStyle w:val="18"/>
          <w:rFonts w:ascii="黑体" w:hAnsi="黑体" w:cs="黑体"/>
          <w:color w:val="auto"/>
          <w:spacing w:val="-1"/>
          <w:position w:val="2"/>
          <w:sz w:val="32"/>
          <w:highlight w:val="none"/>
          <w:u w:val="none"/>
        </w:rPr>
        <w:t>3</w:t>
      </w:r>
      <w:r>
        <w:rPr>
          <w:rStyle w:val="18"/>
          <w:rFonts w:ascii="黑体" w:hAnsi="黑体" w:cs="黑体"/>
          <w:color w:val="auto"/>
          <w:spacing w:val="-1"/>
          <w:position w:val="2"/>
          <w:sz w:val="32"/>
          <w:highlight w:val="none"/>
          <w:u w:val="none"/>
        </w:rPr>
        <w:fldChar w:fldCharType="end"/>
      </w:r>
    </w:p>
    <w:p>
      <w:pPr>
        <w:tabs>
          <w:tab w:val="left" w:pos="9528"/>
        </w:tabs>
        <w:spacing w:after="0" w:line="622" w:lineRule="exact"/>
        <w:ind w:left="60" w:firstLine="420"/>
        <w:rPr>
          <w:color w:val="auto"/>
          <w:highlight w:val="none"/>
        </w:rPr>
      </w:pPr>
      <w:r>
        <w:rPr>
          <w:color w:val="auto"/>
          <w:highlight w:val="none"/>
        </w:rPr>
        <w:fldChar w:fldCharType="begin"/>
      </w:r>
      <w:r>
        <w:rPr>
          <w:color w:val="auto"/>
          <w:highlight w:val="none"/>
        </w:rPr>
        <w:instrText xml:space="preserve"> HYPERLINK \l "6" </w:instrText>
      </w:r>
      <w:r>
        <w:rPr>
          <w:color w:val="auto"/>
          <w:highlight w:val="none"/>
        </w:rPr>
        <w:fldChar w:fldCharType="separate"/>
      </w:r>
      <w:r>
        <w:rPr>
          <w:rStyle w:val="18"/>
          <w:rFonts w:ascii="宋体" w:hAnsi="宋体" w:eastAsia="宋体" w:cs="宋体"/>
          <w:color w:val="auto"/>
          <w:spacing w:val="-1"/>
          <w:position w:val="2"/>
          <w:sz w:val="32"/>
          <w:highlight w:val="none"/>
          <w:u w:val="none"/>
        </w:rPr>
        <w:t>第二章</w:t>
      </w:r>
      <w:r>
        <w:rPr>
          <w:rStyle w:val="18"/>
          <w:rFonts w:ascii="宋体" w:hAnsi="宋体" w:eastAsia="宋体" w:cs="宋体"/>
          <w:color w:val="auto"/>
          <w:spacing w:val="-1"/>
          <w:position w:val="2"/>
          <w:sz w:val="32"/>
          <w:highlight w:val="none"/>
          <w:u w:val="none"/>
        </w:rPr>
        <w:fldChar w:fldCharType="end"/>
      </w:r>
      <w:r>
        <w:rPr>
          <w:rFonts w:ascii="Calibri" w:hAnsi="Calibri" w:cs="Calibri"/>
          <w:color w:val="auto"/>
          <w:w w:val="222"/>
          <w:sz w:val="32"/>
          <w:highlight w:val="none"/>
        </w:rPr>
        <w:t> </w:t>
      </w:r>
      <w:r>
        <w:rPr>
          <w:rStyle w:val="18"/>
          <w:rFonts w:ascii="宋体" w:hAnsi="宋体" w:eastAsia="宋体" w:cs="宋体"/>
          <w:color w:val="auto"/>
          <w:spacing w:val="-1"/>
          <w:position w:val="2"/>
          <w:sz w:val="32"/>
          <w:highlight w:val="none"/>
          <w:u w:val="none"/>
        </w:rPr>
        <w:t>磋商须知前附表及磋商须知</w:t>
      </w:r>
      <w:r>
        <w:rPr>
          <w:rStyle w:val="18"/>
          <w:rFonts w:ascii="Times New Roman" w:hAnsi="Times New Roman" w:cs="Times New Roman"/>
          <w:color w:val="auto"/>
          <w:spacing w:val="-1"/>
          <w:sz w:val="32"/>
          <w:highlight w:val="none"/>
          <w:u w:val="none"/>
        </w:rPr>
        <w:t>....................................................</w:t>
      </w:r>
      <w:r>
        <w:rPr>
          <w:color w:val="auto"/>
          <w:highlight w:val="none"/>
        </w:rPr>
        <w:fldChar w:fldCharType="begin"/>
      </w:r>
      <w:r>
        <w:rPr>
          <w:color w:val="auto"/>
          <w:highlight w:val="none"/>
        </w:rPr>
        <w:instrText xml:space="preserve"> HYPERLINK \l "6" </w:instrText>
      </w:r>
      <w:r>
        <w:rPr>
          <w:color w:val="auto"/>
          <w:highlight w:val="none"/>
        </w:rPr>
        <w:fldChar w:fldCharType="separate"/>
      </w:r>
      <w:r>
        <w:rPr>
          <w:rStyle w:val="18"/>
          <w:rFonts w:ascii="黑体" w:hAnsi="黑体" w:cs="黑体"/>
          <w:color w:val="auto"/>
          <w:spacing w:val="-1"/>
          <w:position w:val="2"/>
          <w:sz w:val="32"/>
          <w:highlight w:val="none"/>
          <w:u w:val="none"/>
        </w:rPr>
        <w:t>6</w:t>
      </w:r>
      <w:r>
        <w:rPr>
          <w:rStyle w:val="18"/>
          <w:rFonts w:ascii="黑体" w:hAnsi="黑体" w:cs="黑体"/>
          <w:color w:val="auto"/>
          <w:spacing w:val="-1"/>
          <w:position w:val="2"/>
          <w:sz w:val="32"/>
          <w:highlight w:val="none"/>
          <w:u w:val="none"/>
        </w:rPr>
        <w:fldChar w:fldCharType="end"/>
      </w:r>
    </w:p>
    <w:p>
      <w:pPr>
        <w:tabs>
          <w:tab w:val="left" w:pos="9370"/>
        </w:tabs>
        <w:spacing w:after="0" w:line="624" w:lineRule="exact"/>
        <w:ind w:left="60" w:firstLine="420"/>
        <w:rPr>
          <w:color w:val="auto"/>
          <w:highlight w:val="none"/>
        </w:rPr>
      </w:pPr>
      <w:r>
        <w:rPr>
          <w:color w:val="auto"/>
          <w:highlight w:val="none"/>
        </w:rPr>
        <w:fldChar w:fldCharType="begin"/>
      </w:r>
      <w:r>
        <w:rPr>
          <w:color w:val="auto"/>
          <w:highlight w:val="none"/>
        </w:rPr>
        <w:instrText xml:space="preserve"> HYPERLINK \l "16" </w:instrText>
      </w:r>
      <w:r>
        <w:rPr>
          <w:color w:val="auto"/>
          <w:highlight w:val="none"/>
        </w:rPr>
        <w:fldChar w:fldCharType="separate"/>
      </w:r>
      <w:r>
        <w:rPr>
          <w:rStyle w:val="18"/>
          <w:rFonts w:ascii="宋体" w:hAnsi="宋体" w:eastAsia="宋体" w:cs="宋体"/>
          <w:color w:val="auto"/>
          <w:spacing w:val="-1"/>
          <w:position w:val="2"/>
          <w:sz w:val="32"/>
          <w:highlight w:val="none"/>
          <w:u w:val="none"/>
        </w:rPr>
        <w:t>第三章</w:t>
      </w:r>
      <w:r>
        <w:rPr>
          <w:rStyle w:val="18"/>
          <w:rFonts w:ascii="宋体" w:hAnsi="宋体" w:eastAsia="宋体" w:cs="宋体"/>
          <w:color w:val="auto"/>
          <w:spacing w:val="-1"/>
          <w:position w:val="2"/>
          <w:sz w:val="32"/>
          <w:highlight w:val="none"/>
          <w:u w:val="none"/>
        </w:rPr>
        <w:fldChar w:fldCharType="end"/>
      </w:r>
      <w:r>
        <w:rPr>
          <w:rFonts w:ascii="Calibri" w:hAnsi="Calibri" w:cs="Calibri"/>
          <w:color w:val="auto"/>
          <w:w w:val="222"/>
          <w:sz w:val="32"/>
          <w:highlight w:val="none"/>
        </w:rPr>
        <w:t> </w:t>
      </w:r>
      <w:r>
        <w:rPr>
          <w:color w:val="auto"/>
          <w:highlight w:val="none"/>
        </w:rPr>
        <w:fldChar w:fldCharType="begin"/>
      </w:r>
      <w:r>
        <w:rPr>
          <w:color w:val="auto"/>
          <w:highlight w:val="none"/>
        </w:rPr>
        <w:instrText xml:space="preserve"> HYPERLINK \l "16" </w:instrText>
      </w:r>
      <w:r>
        <w:rPr>
          <w:color w:val="auto"/>
          <w:highlight w:val="none"/>
        </w:rPr>
        <w:fldChar w:fldCharType="separate"/>
      </w:r>
      <w:r>
        <w:rPr>
          <w:rStyle w:val="18"/>
          <w:rFonts w:ascii="宋体" w:hAnsi="宋体" w:eastAsia="宋体" w:cs="宋体"/>
          <w:color w:val="auto"/>
          <w:spacing w:val="-1"/>
          <w:position w:val="2"/>
          <w:sz w:val="32"/>
          <w:highlight w:val="none"/>
          <w:u w:val="none"/>
        </w:rPr>
        <w:t>项目服务需求</w:t>
      </w:r>
      <w:r>
        <w:rPr>
          <w:rStyle w:val="18"/>
          <w:rFonts w:ascii="宋体" w:hAnsi="宋体" w:eastAsia="宋体" w:cs="宋体"/>
          <w:color w:val="auto"/>
          <w:spacing w:val="-1"/>
          <w:position w:val="2"/>
          <w:sz w:val="32"/>
          <w:highlight w:val="none"/>
          <w:u w:val="none"/>
        </w:rPr>
        <w:fldChar w:fldCharType="end"/>
      </w:r>
      <w:r>
        <w:rPr>
          <w:color w:val="auto"/>
          <w:highlight w:val="none"/>
        </w:rPr>
        <w:fldChar w:fldCharType="begin"/>
      </w:r>
      <w:r>
        <w:rPr>
          <w:color w:val="auto"/>
          <w:highlight w:val="none"/>
        </w:rPr>
        <w:instrText xml:space="preserve"> HYPERLINK \l "16" </w:instrText>
      </w:r>
      <w:r>
        <w:rPr>
          <w:color w:val="auto"/>
          <w:highlight w:val="none"/>
        </w:rPr>
        <w:fldChar w:fldCharType="separate"/>
      </w:r>
      <w:r>
        <w:rPr>
          <w:rStyle w:val="18"/>
          <w:rFonts w:ascii="Times New Roman" w:hAnsi="Times New Roman" w:cs="Times New Roman"/>
          <w:color w:val="auto"/>
          <w:spacing w:val="-1"/>
          <w:sz w:val="32"/>
          <w:highlight w:val="none"/>
          <w:u w:val="none"/>
        </w:rPr>
        <w:t>..........................................................................</w:t>
      </w:r>
      <w:r>
        <w:rPr>
          <w:rStyle w:val="18"/>
          <w:rFonts w:ascii="Times New Roman" w:hAnsi="Times New Roman" w:cs="Times New Roman"/>
          <w:color w:val="auto"/>
          <w:spacing w:val="-1"/>
          <w:sz w:val="32"/>
          <w:highlight w:val="none"/>
          <w:u w:val="none"/>
        </w:rPr>
        <w:fldChar w:fldCharType="end"/>
      </w:r>
      <w:r>
        <w:rPr>
          <w:rFonts w:cs="Calibri"/>
          <w:color w:val="auto"/>
          <w:highlight w:val="none"/>
        </w:rPr>
        <w:tab/>
      </w:r>
      <w:r>
        <w:rPr>
          <w:color w:val="auto"/>
          <w:highlight w:val="none"/>
        </w:rPr>
        <w:fldChar w:fldCharType="begin"/>
      </w:r>
      <w:r>
        <w:rPr>
          <w:color w:val="auto"/>
          <w:highlight w:val="none"/>
        </w:rPr>
        <w:instrText xml:space="preserve"> HYPERLINK \l "16" </w:instrText>
      </w:r>
      <w:r>
        <w:rPr>
          <w:color w:val="auto"/>
          <w:highlight w:val="none"/>
        </w:rPr>
        <w:fldChar w:fldCharType="separate"/>
      </w:r>
      <w:r>
        <w:rPr>
          <w:rStyle w:val="18"/>
          <w:rFonts w:ascii="黑体" w:hAnsi="黑体" w:cs="黑体"/>
          <w:color w:val="auto"/>
          <w:position w:val="2"/>
          <w:sz w:val="32"/>
          <w:highlight w:val="none"/>
          <w:u w:val="none"/>
        </w:rPr>
        <w:t>16</w:t>
      </w:r>
      <w:r>
        <w:rPr>
          <w:rStyle w:val="18"/>
          <w:rFonts w:ascii="黑体" w:hAnsi="黑体" w:cs="黑体"/>
          <w:color w:val="auto"/>
          <w:position w:val="2"/>
          <w:sz w:val="32"/>
          <w:highlight w:val="none"/>
          <w:u w:val="none"/>
        </w:rPr>
        <w:fldChar w:fldCharType="end"/>
      </w:r>
    </w:p>
    <w:p>
      <w:pPr>
        <w:tabs>
          <w:tab w:val="left" w:pos="9370"/>
        </w:tabs>
        <w:spacing w:after="0" w:line="624" w:lineRule="exact"/>
        <w:ind w:left="60" w:firstLine="420"/>
        <w:rPr>
          <w:color w:val="auto"/>
          <w:highlight w:val="none"/>
        </w:rPr>
      </w:pPr>
      <w:r>
        <w:rPr>
          <w:color w:val="auto"/>
          <w:highlight w:val="none"/>
        </w:rPr>
        <w:fldChar w:fldCharType="begin"/>
      </w:r>
      <w:r>
        <w:rPr>
          <w:color w:val="auto"/>
          <w:highlight w:val="none"/>
        </w:rPr>
        <w:instrText xml:space="preserve"> HYPERLINK \l "16" </w:instrText>
      </w:r>
      <w:r>
        <w:rPr>
          <w:color w:val="auto"/>
          <w:highlight w:val="none"/>
        </w:rPr>
        <w:fldChar w:fldCharType="separate"/>
      </w:r>
      <w:r>
        <w:rPr>
          <w:rStyle w:val="18"/>
          <w:rFonts w:ascii="宋体" w:hAnsi="宋体" w:eastAsia="宋体" w:cs="宋体"/>
          <w:color w:val="auto"/>
          <w:spacing w:val="-1"/>
          <w:position w:val="2"/>
          <w:sz w:val="32"/>
          <w:highlight w:val="none"/>
          <w:u w:val="none"/>
        </w:rPr>
        <w:t>第四章</w:t>
      </w:r>
      <w:r>
        <w:rPr>
          <w:rStyle w:val="18"/>
          <w:rFonts w:ascii="宋体" w:hAnsi="宋体" w:eastAsia="宋体" w:cs="宋体"/>
          <w:color w:val="auto"/>
          <w:spacing w:val="-1"/>
          <w:position w:val="2"/>
          <w:sz w:val="32"/>
          <w:highlight w:val="none"/>
          <w:u w:val="none"/>
        </w:rPr>
        <w:fldChar w:fldCharType="end"/>
      </w:r>
      <w:r>
        <w:rPr>
          <w:rFonts w:ascii="Calibri" w:hAnsi="Calibri" w:cs="Calibri"/>
          <w:color w:val="auto"/>
          <w:w w:val="222"/>
          <w:sz w:val="32"/>
          <w:highlight w:val="none"/>
        </w:rPr>
        <w:t> </w:t>
      </w:r>
      <w:r>
        <w:rPr>
          <w:rStyle w:val="18"/>
          <w:rFonts w:ascii="宋体" w:hAnsi="宋体" w:eastAsia="宋体" w:cs="宋体"/>
          <w:color w:val="auto"/>
          <w:spacing w:val="-1"/>
          <w:position w:val="2"/>
          <w:sz w:val="32"/>
          <w:highlight w:val="none"/>
          <w:u w:val="none"/>
        </w:rPr>
        <w:t>合同书格式</w:t>
      </w:r>
      <w:r>
        <w:rPr>
          <w:color w:val="auto"/>
          <w:highlight w:val="none"/>
        </w:rPr>
        <w:fldChar w:fldCharType="begin"/>
      </w:r>
      <w:r>
        <w:rPr>
          <w:color w:val="auto"/>
          <w:highlight w:val="none"/>
        </w:rPr>
        <w:instrText xml:space="preserve"> HYPERLINK \l "16" </w:instrText>
      </w:r>
      <w:r>
        <w:rPr>
          <w:color w:val="auto"/>
          <w:highlight w:val="none"/>
        </w:rPr>
        <w:fldChar w:fldCharType="separate"/>
      </w:r>
      <w:r>
        <w:rPr>
          <w:rStyle w:val="18"/>
          <w:rFonts w:ascii="Times New Roman" w:hAnsi="Times New Roman" w:cs="Times New Roman"/>
          <w:color w:val="auto"/>
          <w:spacing w:val="-1"/>
          <w:sz w:val="32"/>
          <w:highlight w:val="none"/>
          <w:u w:val="none"/>
        </w:rPr>
        <w:t>..............................................................................</w:t>
      </w:r>
      <w:r>
        <w:rPr>
          <w:rStyle w:val="18"/>
          <w:rFonts w:ascii="Times New Roman" w:hAnsi="Times New Roman" w:cs="Times New Roman"/>
          <w:color w:val="auto"/>
          <w:spacing w:val="-1"/>
          <w:sz w:val="32"/>
          <w:highlight w:val="none"/>
          <w:u w:val="none"/>
        </w:rPr>
        <w:fldChar w:fldCharType="end"/>
      </w:r>
      <w:r>
        <w:rPr>
          <w:color w:val="auto"/>
          <w:highlight w:val="none"/>
        </w:rPr>
        <w:fldChar w:fldCharType="begin"/>
      </w:r>
      <w:r>
        <w:rPr>
          <w:color w:val="auto"/>
          <w:highlight w:val="none"/>
        </w:rPr>
        <w:instrText xml:space="preserve"> HYPERLINK \l "16" </w:instrText>
      </w:r>
      <w:r>
        <w:rPr>
          <w:color w:val="auto"/>
          <w:highlight w:val="none"/>
        </w:rPr>
        <w:fldChar w:fldCharType="separate"/>
      </w:r>
      <w:r>
        <w:rPr>
          <w:rStyle w:val="18"/>
          <w:rFonts w:ascii="黑体" w:hAnsi="黑体" w:cs="黑体"/>
          <w:color w:val="auto"/>
          <w:position w:val="2"/>
          <w:sz w:val="32"/>
          <w:highlight w:val="none"/>
          <w:u w:val="none"/>
        </w:rPr>
        <w:t>1</w:t>
      </w:r>
      <w:r>
        <w:rPr>
          <w:rStyle w:val="18"/>
          <w:rFonts w:hint="eastAsia" w:ascii="黑体" w:hAnsi="黑体" w:cs="黑体"/>
          <w:color w:val="auto"/>
          <w:position w:val="2"/>
          <w:sz w:val="32"/>
          <w:highlight w:val="none"/>
          <w:u w:val="none"/>
        </w:rPr>
        <w:t>9</w:t>
      </w:r>
      <w:r>
        <w:rPr>
          <w:rStyle w:val="18"/>
          <w:rFonts w:hint="eastAsia" w:ascii="黑体" w:hAnsi="黑体" w:cs="黑体"/>
          <w:color w:val="auto"/>
          <w:position w:val="2"/>
          <w:sz w:val="32"/>
          <w:highlight w:val="none"/>
          <w:u w:val="none"/>
        </w:rPr>
        <w:fldChar w:fldCharType="end"/>
      </w:r>
    </w:p>
    <w:p>
      <w:pPr>
        <w:tabs>
          <w:tab w:val="left" w:pos="9370"/>
        </w:tabs>
        <w:spacing w:after="0" w:line="624" w:lineRule="exact"/>
        <w:ind w:left="60" w:firstLine="420"/>
        <w:rPr>
          <w:color w:val="auto"/>
          <w:highlight w:val="none"/>
        </w:rPr>
      </w:pPr>
      <w:r>
        <w:rPr>
          <w:color w:val="auto"/>
          <w:highlight w:val="none"/>
        </w:rPr>
        <w:fldChar w:fldCharType="begin"/>
      </w:r>
      <w:r>
        <w:rPr>
          <w:color w:val="auto"/>
          <w:highlight w:val="none"/>
        </w:rPr>
        <w:instrText xml:space="preserve"> HYPERLINK \l "33" </w:instrText>
      </w:r>
      <w:r>
        <w:rPr>
          <w:color w:val="auto"/>
          <w:highlight w:val="none"/>
        </w:rPr>
        <w:fldChar w:fldCharType="separate"/>
      </w:r>
      <w:r>
        <w:rPr>
          <w:rStyle w:val="18"/>
          <w:rFonts w:ascii="宋体" w:hAnsi="宋体" w:eastAsia="宋体" w:cs="宋体"/>
          <w:color w:val="auto"/>
          <w:spacing w:val="-1"/>
          <w:position w:val="2"/>
          <w:sz w:val="32"/>
          <w:highlight w:val="none"/>
          <w:u w:val="none"/>
        </w:rPr>
        <w:t>第五章</w:t>
      </w:r>
      <w:r>
        <w:rPr>
          <w:rStyle w:val="18"/>
          <w:rFonts w:ascii="宋体" w:hAnsi="宋体" w:eastAsia="宋体" w:cs="宋体"/>
          <w:color w:val="auto"/>
          <w:spacing w:val="-1"/>
          <w:position w:val="2"/>
          <w:sz w:val="32"/>
          <w:highlight w:val="none"/>
          <w:u w:val="none"/>
        </w:rPr>
        <w:fldChar w:fldCharType="end"/>
      </w:r>
      <w:r>
        <w:rPr>
          <w:rFonts w:ascii="Calibri" w:hAnsi="Calibri" w:cs="Calibri"/>
          <w:color w:val="auto"/>
          <w:w w:val="222"/>
          <w:sz w:val="32"/>
          <w:highlight w:val="none"/>
        </w:rPr>
        <w:t> </w:t>
      </w:r>
      <w:r>
        <w:rPr>
          <w:rStyle w:val="18"/>
          <w:rFonts w:ascii="宋体" w:hAnsi="宋体" w:eastAsia="宋体" w:cs="宋体"/>
          <w:color w:val="auto"/>
          <w:spacing w:val="-1"/>
          <w:position w:val="2"/>
          <w:sz w:val="32"/>
          <w:highlight w:val="none"/>
          <w:u w:val="none"/>
        </w:rPr>
        <w:t>评定标准</w:t>
      </w:r>
      <w:r>
        <w:rPr>
          <w:color w:val="auto"/>
          <w:highlight w:val="none"/>
        </w:rPr>
        <w:fldChar w:fldCharType="begin"/>
      </w:r>
      <w:r>
        <w:rPr>
          <w:color w:val="auto"/>
          <w:highlight w:val="none"/>
        </w:rPr>
        <w:instrText xml:space="preserve"> HYPERLINK \l "33" </w:instrText>
      </w:r>
      <w:r>
        <w:rPr>
          <w:color w:val="auto"/>
          <w:highlight w:val="none"/>
        </w:rPr>
        <w:fldChar w:fldCharType="separate"/>
      </w:r>
      <w:r>
        <w:rPr>
          <w:rStyle w:val="18"/>
          <w:rFonts w:ascii="Times New Roman" w:hAnsi="Times New Roman" w:cs="Times New Roman"/>
          <w:color w:val="auto"/>
          <w:spacing w:val="-1"/>
          <w:sz w:val="32"/>
          <w:highlight w:val="none"/>
          <w:u w:val="none"/>
        </w:rPr>
        <w:t>.................................................</w:t>
      </w:r>
      <w:r>
        <w:rPr>
          <w:rStyle w:val="18"/>
          <w:rFonts w:ascii="Times New Roman" w:hAnsi="Times New Roman" w:cs="Times New Roman"/>
          <w:color w:val="auto"/>
          <w:spacing w:val="-1"/>
          <w:sz w:val="32"/>
          <w:highlight w:val="none"/>
          <w:u w:val="none"/>
        </w:rPr>
        <w:fldChar w:fldCharType="end"/>
      </w:r>
      <w:r>
        <w:rPr>
          <w:color w:val="auto"/>
          <w:highlight w:val="none"/>
        </w:rPr>
        <w:fldChar w:fldCharType="begin"/>
      </w:r>
      <w:r>
        <w:rPr>
          <w:color w:val="auto"/>
          <w:highlight w:val="none"/>
        </w:rPr>
        <w:instrText xml:space="preserve"> HYPERLINK \l "33" </w:instrText>
      </w:r>
      <w:r>
        <w:rPr>
          <w:color w:val="auto"/>
          <w:highlight w:val="none"/>
        </w:rPr>
        <w:fldChar w:fldCharType="separate"/>
      </w:r>
      <w:r>
        <w:rPr>
          <w:rStyle w:val="18"/>
          <w:rFonts w:ascii="Times New Roman" w:hAnsi="Times New Roman" w:cs="Times New Roman"/>
          <w:color w:val="auto"/>
          <w:spacing w:val="-1"/>
          <w:sz w:val="32"/>
          <w:highlight w:val="none"/>
          <w:u w:val="none"/>
        </w:rPr>
        <w:t>.................................</w:t>
      </w:r>
      <w:r>
        <w:rPr>
          <w:rStyle w:val="18"/>
          <w:rFonts w:ascii="Times New Roman" w:hAnsi="Times New Roman" w:cs="Times New Roman"/>
          <w:color w:val="auto"/>
          <w:spacing w:val="-1"/>
          <w:sz w:val="32"/>
          <w:highlight w:val="none"/>
          <w:u w:val="none"/>
        </w:rPr>
        <w:fldChar w:fldCharType="end"/>
      </w:r>
      <w:r>
        <w:rPr>
          <w:rFonts w:ascii="Calibri" w:hAnsi="Calibri" w:cs="Calibri"/>
          <w:color w:val="auto"/>
          <w:spacing w:val="-16"/>
          <w:sz w:val="32"/>
          <w:highlight w:val="none"/>
        </w:rPr>
        <w:t> </w:t>
      </w:r>
      <w:r>
        <w:rPr>
          <w:rStyle w:val="18"/>
          <w:rFonts w:hint="eastAsia" w:ascii="黑体" w:hAnsi="黑体" w:cs="黑体"/>
          <w:color w:val="auto"/>
          <w:position w:val="2"/>
          <w:sz w:val="32"/>
          <w:highlight w:val="none"/>
          <w:u w:val="none"/>
        </w:rPr>
        <w:t>25</w:t>
      </w:r>
    </w:p>
    <w:p>
      <w:pPr>
        <w:tabs>
          <w:tab w:val="left" w:pos="9370"/>
        </w:tabs>
        <w:spacing w:after="0" w:line="622" w:lineRule="exact"/>
        <w:ind w:left="60" w:firstLine="420"/>
        <w:rPr>
          <w:color w:val="auto"/>
          <w:highlight w:val="none"/>
        </w:rPr>
      </w:pPr>
      <w:r>
        <w:rPr>
          <w:color w:val="auto"/>
          <w:highlight w:val="none"/>
        </w:rPr>
        <w:fldChar w:fldCharType="begin"/>
      </w:r>
      <w:r>
        <w:rPr>
          <w:color w:val="auto"/>
          <w:highlight w:val="none"/>
        </w:rPr>
        <w:instrText xml:space="preserve"> HYPERLINK \l "33" </w:instrText>
      </w:r>
      <w:r>
        <w:rPr>
          <w:color w:val="auto"/>
          <w:highlight w:val="none"/>
        </w:rPr>
        <w:fldChar w:fldCharType="separate"/>
      </w:r>
      <w:r>
        <w:rPr>
          <w:rStyle w:val="18"/>
          <w:rFonts w:ascii="宋体" w:hAnsi="宋体" w:eastAsia="宋体" w:cs="宋体"/>
          <w:color w:val="auto"/>
          <w:spacing w:val="-1"/>
          <w:position w:val="2"/>
          <w:sz w:val="32"/>
          <w:highlight w:val="none"/>
          <w:u w:val="none"/>
        </w:rPr>
        <w:t>第六章</w:t>
      </w:r>
      <w:r>
        <w:rPr>
          <w:rStyle w:val="18"/>
          <w:rFonts w:ascii="宋体" w:hAnsi="宋体" w:eastAsia="宋体" w:cs="宋体"/>
          <w:color w:val="auto"/>
          <w:spacing w:val="-1"/>
          <w:position w:val="2"/>
          <w:sz w:val="32"/>
          <w:highlight w:val="none"/>
          <w:u w:val="none"/>
        </w:rPr>
        <w:fldChar w:fldCharType="end"/>
      </w:r>
      <w:r>
        <w:rPr>
          <w:rFonts w:ascii="Calibri" w:hAnsi="Calibri" w:cs="Calibri"/>
          <w:color w:val="auto"/>
          <w:w w:val="222"/>
          <w:sz w:val="32"/>
          <w:highlight w:val="none"/>
        </w:rPr>
        <w:t> </w:t>
      </w:r>
      <w:r>
        <w:rPr>
          <w:color w:val="auto"/>
          <w:highlight w:val="none"/>
        </w:rPr>
        <w:fldChar w:fldCharType="begin"/>
      </w:r>
      <w:r>
        <w:rPr>
          <w:color w:val="auto"/>
          <w:highlight w:val="none"/>
        </w:rPr>
        <w:instrText xml:space="preserve"> HYPERLINK \l "33" </w:instrText>
      </w:r>
      <w:r>
        <w:rPr>
          <w:color w:val="auto"/>
          <w:highlight w:val="none"/>
        </w:rPr>
        <w:fldChar w:fldCharType="separate"/>
      </w:r>
      <w:r>
        <w:rPr>
          <w:rStyle w:val="18"/>
          <w:rFonts w:ascii="宋体" w:hAnsi="宋体" w:eastAsia="宋体" w:cs="宋体"/>
          <w:color w:val="auto"/>
          <w:spacing w:val="-1"/>
          <w:position w:val="2"/>
          <w:sz w:val="32"/>
          <w:highlight w:val="none"/>
          <w:u w:val="none"/>
        </w:rPr>
        <w:t>响应文件格式</w:t>
      </w:r>
      <w:r>
        <w:rPr>
          <w:rStyle w:val="18"/>
          <w:rFonts w:ascii="宋体" w:hAnsi="宋体" w:eastAsia="宋体" w:cs="宋体"/>
          <w:color w:val="auto"/>
          <w:spacing w:val="-1"/>
          <w:position w:val="2"/>
          <w:sz w:val="32"/>
          <w:highlight w:val="none"/>
          <w:u w:val="none"/>
        </w:rPr>
        <w:fldChar w:fldCharType="end"/>
      </w:r>
      <w:r>
        <w:rPr>
          <w:color w:val="auto"/>
          <w:highlight w:val="none"/>
        </w:rPr>
        <w:fldChar w:fldCharType="begin"/>
      </w:r>
      <w:r>
        <w:rPr>
          <w:color w:val="auto"/>
          <w:highlight w:val="none"/>
        </w:rPr>
        <w:instrText xml:space="preserve"> HYPERLINK \l "33" </w:instrText>
      </w:r>
      <w:r>
        <w:rPr>
          <w:color w:val="auto"/>
          <w:highlight w:val="none"/>
        </w:rPr>
        <w:fldChar w:fldCharType="separate"/>
      </w:r>
      <w:r>
        <w:rPr>
          <w:rStyle w:val="18"/>
          <w:rFonts w:ascii="Times New Roman" w:hAnsi="Times New Roman" w:cs="Times New Roman"/>
          <w:color w:val="auto"/>
          <w:spacing w:val="-1"/>
          <w:sz w:val="32"/>
          <w:highlight w:val="none"/>
          <w:u w:val="none"/>
        </w:rPr>
        <w:t>..........................................................................</w:t>
      </w:r>
      <w:r>
        <w:rPr>
          <w:rStyle w:val="18"/>
          <w:rFonts w:ascii="Times New Roman" w:hAnsi="Times New Roman" w:cs="Times New Roman"/>
          <w:color w:val="auto"/>
          <w:spacing w:val="-1"/>
          <w:sz w:val="32"/>
          <w:highlight w:val="none"/>
          <w:u w:val="none"/>
        </w:rPr>
        <w:fldChar w:fldCharType="end"/>
      </w:r>
      <w:r>
        <w:rPr>
          <w:rFonts w:cs="Calibri"/>
          <w:color w:val="auto"/>
          <w:highlight w:val="none"/>
        </w:rPr>
        <w:tab/>
      </w:r>
      <w:r>
        <w:rPr>
          <w:rStyle w:val="18"/>
          <w:rFonts w:hint="eastAsia" w:ascii="黑体" w:hAnsi="黑体" w:cs="黑体"/>
          <w:color w:val="auto"/>
          <w:position w:val="2"/>
          <w:sz w:val="32"/>
          <w:highlight w:val="none"/>
          <w:u w:val="none"/>
        </w:rPr>
        <w:t>28</w:t>
      </w:r>
    </w:p>
    <w:p>
      <w:pPr>
        <w:widowControl/>
        <w:rPr>
          <w:color w:val="auto"/>
          <w:highlight w:val="none"/>
        </w:rPr>
        <w:sectPr>
          <w:type w:val="continuous"/>
          <w:pgSz w:w="11906" w:h="16838"/>
          <w:pgMar w:top="818" w:right="713" w:bottom="578" w:left="1073" w:header="0" w:footer="0" w:gutter="0"/>
          <w:cols w:equalWidth="0" w:num="1">
            <w:col w:w="10120"/>
          </w:cols>
          <w:docGrid w:type="lines" w:linePitch="312" w:charSpace="0"/>
        </w:sectPr>
      </w:pPr>
    </w:p>
    <w:p>
      <w:pPr>
        <w:spacing w:after="0" w:line="240" w:lineRule="exact"/>
        <w:ind w:left="60" w:firstLine="420"/>
        <w:rPr>
          <w:color w:val="auto"/>
          <w:highlight w:val="none"/>
        </w:rPr>
      </w:pPr>
    </w:p>
    <w:p>
      <w:pPr>
        <w:spacing w:after="0" w:line="240" w:lineRule="exact"/>
        <w:ind w:left="60" w:firstLine="420"/>
        <w:rPr>
          <w:color w:val="auto"/>
          <w:highlight w:val="none"/>
        </w:rPr>
      </w:pPr>
    </w:p>
    <w:p>
      <w:pPr>
        <w:spacing w:after="0" w:line="240" w:lineRule="exact"/>
        <w:ind w:left="60" w:firstLine="420"/>
        <w:rPr>
          <w:color w:val="auto"/>
          <w:highlight w:val="none"/>
        </w:rPr>
      </w:pPr>
    </w:p>
    <w:p>
      <w:pPr>
        <w:spacing w:after="0" w:line="240" w:lineRule="exact"/>
        <w:ind w:left="60" w:firstLine="420"/>
        <w:rPr>
          <w:color w:val="auto"/>
          <w:highlight w:val="none"/>
        </w:rPr>
      </w:pPr>
    </w:p>
    <w:p>
      <w:pPr>
        <w:spacing w:after="0" w:line="240" w:lineRule="exact"/>
        <w:ind w:left="60" w:firstLine="420"/>
        <w:rPr>
          <w:color w:val="auto"/>
          <w:highlight w:val="none"/>
        </w:rPr>
      </w:pPr>
    </w:p>
    <w:p>
      <w:pPr>
        <w:spacing w:after="0" w:line="240" w:lineRule="exact"/>
        <w:ind w:left="60" w:firstLine="420"/>
        <w:rPr>
          <w:color w:val="auto"/>
          <w:highlight w:val="none"/>
        </w:rPr>
      </w:pPr>
    </w:p>
    <w:p>
      <w:pPr>
        <w:spacing w:after="0" w:line="240" w:lineRule="exact"/>
        <w:ind w:left="60" w:firstLine="420"/>
        <w:rPr>
          <w:color w:val="auto"/>
          <w:highlight w:val="none"/>
        </w:rPr>
      </w:pPr>
    </w:p>
    <w:p>
      <w:pPr>
        <w:spacing w:after="0" w:line="240" w:lineRule="exact"/>
        <w:ind w:left="60" w:firstLine="420"/>
        <w:rPr>
          <w:color w:val="auto"/>
          <w:highlight w:val="none"/>
        </w:rPr>
      </w:pPr>
    </w:p>
    <w:p>
      <w:pPr>
        <w:spacing w:after="0" w:line="240" w:lineRule="exact"/>
        <w:ind w:left="60" w:firstLine="420"/>
        <w:rPr>
          <w:color w:val="auto"/>
          <w:highlight w:val="none"/>
        </w:rPr>
      </w:pPr>
    </w:p>
    <w:p>
      <w:pPr>
        <w:spacing w:after="0" w:line="240" w:lineRule="exact"/>
        <w:ind w:left="60" w:firstLine="420"/>
        <w:rPr>
          <w:color w:val="auto"/>
          <w:highlight w:val="none"/>
        </w:rPr>
      </w:pPr>
    </w:p>
    <w:p>
      <w:pPr>
        <w:spacing w:after="0" w:line="240" w:lineRule="exact"/>
        <w:ind w:left="60" w:firstLine="420"/>
        <w:rPr>
          <w:color w:val="auto"/>
          <w:highlight w:val="none"/>
        </w:rPr>
      </w:pPr>
    </w:p>
    <w:p>
      <w:pPr>
        <w:spacing w:after="0" w:line="240" w:lineRule="exact"/>
        <w:ind w:left="60" w:firstLine="420"/>
        <w:rPr>
          <w:color w:val="auto"/>
          <w:highlight w:val="none"/>
        </w:rPr>
      </w:pPr>
    </w:p>
    <w:p>
      <w:pPr>
        <w:spacing w:after="0" w:line="240" w:lineRule="exact"/>
        <w:ind w:left="60" w:firstLine="420"/>
        <w:rPr>
          <w:color w:val="auto"/>
          <w:highlight w:val="none"/>
        </w:rPr>
      </w:pPr>
    </w:p>
    <w:p>
      <w:pPr>
        <w:spacing w:after="0" w:line="240" w:lineRule="exact"/>
        <w:ind w:left="60" w:firstLine="420"/>
        <w:rPr>
          <w:color w:val="auto"/>
          <w:highlight w:val="none"/>
        </w:rPr>
      </w:pPr>
    </w:p>
    <w:p>
      <w:pPr>
        <w:spacing w:after="0" w:line="240" w:lineRule="exact"/>
        <w:ind w:left="60" w:firstLine="420"/>
        <w:rPr>
          <w:color w:val="auto"/>
          <w:highlight w:val="none"/>
        </w:rPr>
      </w:pPr>
    </w:p>
    <w:p>
      <w:pPr>
        <w:spacing w:after="0" w:line="240" w:lineRule="exact"/>
        <w:ind w:left="60" w:firstLine="420"/>
        <w:rPr>
          <w:color w:val="auto"/>
          <w:highlight w:val="none"/>
        </w:rPr>
      </w:pPr>
    </w:p>
    <w:p>
      <w:pPr>
        <w:spacing w:after="0" w:line="240" w:lineRule="exact"/>
        <w:ind w:left="60" w:firstLine="420"/>
        <w:rPr>
          <w:color w:val="auto"/>
          <w:highlight w:val="none"/>
        </w:rPr>
      </w:pPr>
    </w:p>
    <w:p>
      <w:pPr>
        <w:spacing w:after="0" w:line="240" w:lineRule="exact"/>
        <w:ind w:left="60" w:firstLine="420"/>
        <w:rPr>
          <w:color w:val="auto"/>
          <w:highlight w:val="none"/>
        </w:rPr>
      </w:pPr>
    </w:p>
    <w:p>
      <w:pPr>
        <w:spacing w:after="0" w:line="240" w:lineRule="exact"/>
        <w:ind w:left="60" w:firstLine="420"/>
        <w:rPr>
          <w:color w:val="auto"/>
          <w:highlight w:val="none"/>
        </w:rPr>
      </w:pPr>
    </w:p>
    <w:p>
      <w:pPr>
        <w:spacing w:after="0" w:line="240" w:lineRule="exact"/>
        <w:ind w:left="60" w:firstLine="420"/>
        <w:rPr>
          <w:color w:val="auto"/>
          <w:highlight w:val="none"/>
        </w:rPr>
      </w:pPr>
    </w:p>
    <w:p>
      <w:pPr>
        <w:spacing w:after="0" w:line="240" w:lineRule="exact"/>
        <w:ind w:left="60" w:firstLine="420"/>
        <w:rPr>
          <w:color w:val="auto"/>
          <w:highlight w:val="none"/>
        </w:rPr>
      </w:pPr>
    </w:p>
    <w:p>
      <w:pPr>
        <w:spacing w:after="0" w:line="240" w:lineRule="exact"/>
        <w:ind w:left="60" w:firstLine="420"/>
        <w:rPr>
          <w:color w:val="auto"/>
          <w:highlight w:val="none"/>
        </w:rPr>
      </w:pPr>
    </w:p>
    <w:p>
      <w:pPr>
        <w:spacing w:after="0" w:line="240" w:lineRule="exact"/>
        <w:ind w:left="60" w:firstLine="420"/>
        <w:rPr>
          <w:color w:val="auto"/>
          <w:highlight w:val="none"/>
        </w:rPr>
      </w:pPr>
    </w:p>
    <w:p>
      <w:pPr>
        <w:spacing w:after="0" w:line="240" w:lineRule="exact"/>
        <w:ind w:left="60" w:firstLine="420"/>
        <w:rPr>
          <w:color w:val="auto"/>
          <w:highlight w:val="none"/>
        </w:rPr>
      </w:pPr>
    </w:p>
    <w:p>
      <w:pPr>
        <w:spacing w:after="0" w:line="240" w:lineRule="exact"/>
        <w:ind w:left="60" w:firstLine="420"/>
        <w:rPr>
          <w:color w:val="auto"/>
          <w:highlight w:val="none"/>
        </w:rPr>
      </w:pPr>
    </w:p>
    <w:p>
      <w:pPr>
        <w:spacing w:after="0" w:line="240" w:lineRule="exact"/>
        <w:ind w:left="60" w:firstLine="420"/>
        <w:rPr>
          <w:color w:val="auto"/>
          <w:highlight w:val="none"/>
        </w:rPr>
      </w:pPr>
    </w:p>
    <w:p>
      <w:pPr>
        <w:spacing w:after="0" w:line="240" w:lineRule="exact"/>
        <w:ind w:left="60" w:firstLine="420"/>
        <w:rPr>
          <w:color w:val="auto"/>
          <w:highlight w:val="none"/>
        </w:rPr>
      </w:pPr>
    </w:p>
    <w:p>
      <w:pPr>
        <w:spacing w:after="0" w:line="240" w:lineRule="exact"/>
        <w:ind w:left="60" w:firstLine="420"/>
        <w:rPr>
          <w:color w:val="auto"/>
          <w:highlight w:val="none"/>
        </w:rPr>
      </w:pPr>
    </w:p>
    <w:p>
      <w:pPr>
        <w:spacing w:after="0" w:line="240" w:lineRule="exact"/>
        <w:ind w:left="60" w:firstLine="420"/>
        <w:rPr>
          <w:color w:val="auto"/>
          <w:highlight w:val="none"/>
        </w:rPr>
      </w:pPr>
    </w:p>
    <w:p>
      <w:pPr>
        <w:spacing w:after="0" w:line="240" w:lineRule="exact"/>
        <w:ind w:left="60" w:firstLine="420"/>
        <w:rPr>
          <w:color w:val="auto"/>
          <w:highlight w:val="none"/>
        </w:rPr>
      </w:pPr>
    </w:p>
    <w:p>
      <w:pPr>
        <w:spacing w:after="0" w:line="240" w:lineRule="exact"/>
        <w:ind w:left="60" w:firstLine="420"/>
        <w:rPr>
          <w:color w:val="auto"/>
          <w:highlight w:val="none"/>
        </w:rPr>
      </w:pPr>
    </w:p>
    <w:p>
      <w:pPr>
        <w:spacing w:after="0" w:line="240" w:lineRule="exact"/>
        <w:ind w:left="60" w:firstLine="420"/>
        <w:rPr>
          <w:color w:val="auto"/>
          <w:highlight w:val="none"/>
        </w:rPr>
      </w:pPr>
    </w:p>
    <w:p>
      <w:pPr>
        <w:spacing w:after="0" w:line="240" w:lineRule="exact"/>
        <w:ind w:left="60" w:firstLine="420"/>
        <w:rPr>
          <w:color w:val="auto"/>
          <w:highlight w:val="none"/>
        </w:rPr>
      </w:pPr>
    </w:p>
    <w:p>
      <w:pPr>
        <w:spacing w:after="0" w:line="240" w:lineRule="exact"/>
        <w:ind w:left="60" w:firstLine="420"/>
        <w:rPr>
          <w:color w:val="auto"/>
          <w:highlight w:val="none"/>
        </w:rPr>
      </w:pPr>
    </w:p>
    <w:p>
      <w:pPr>
        <w:spacing w:after="0" w:line="240" w:lineRule="exact"/>
        <w:ind w:left="60" w:firstLine="420"/>
        <w:rPr>
          <w:color w:val="auto"/>
          <w:highlight w:val="none"/>
        </w:rPr>
      </w:pPr>
    </w:p>
    <w:p>
      <w:pPr>
        <w:spacing w:after="0" w:line="240" w:lineRule="exact"/>
        <w:ind w:left="60" w:firstLine="420"/>
        <w:rPr>
          <w:color w:val="auto"/>
          <w:highlight w:val="none"/>
        </w:rPr>
      </w:pPr>
    </w:p>
    <w:p>
      <w:pPr>
        <w:spacing w:after="0" w:line="240" w:lineRule="exact"/>
        <w:ind w:left="60" w:firstLine="420"/>
        <w:rPr>
          <w:color w:val="auto"/>
          <w:highlight w:val="none"/>
        </w:rPr>
      </w:pPr>
    </w:p>
    <w:p>
      <w:pPr>
        <w:spacing w:after="0" w:line="240" w:lineRule="exact"/>
        <w:ind w:left="60" w:firstLine="420"/>
        <w:rPr>
          <w:color w:val="auto"/>
          <w:highlight w:val="none"/>
        </w:rPr>
      </w:pPr>
    </w:p>
    <w:p>
      <w:pPr>
        <w:spacing w:after="0" w:line="240" w:lineRule="exact"/>
        <w:ind w:left="60" w:firstLine="420"/>
        <w:rPr>
          <w:color w:val="auto"/>
          <w:highlight w:val="none"/>
        </w:rPr>
      </w:pPr>
    </w:p>
    <w:p>
      <w:pPr>
        <w:spacing w:after="0" w:line="240" w:lineRule="exact"/>
        <w:ind w:left="60" w:firstLine="420"/>
        <w:rPr>
          <w:color w:val="auto"/>
          <w:highlight w:val="none"/>
        </w:rPr>
      </w:pPr>
    </w:p>
    <w:p>
      <w:pPr>
        <w:spacing w:after="0" w:line="324" w:lineRule="exact"/>
        <w:ind w:left="60" w:firstLine="420"/>
        <w:rPr>
          <w:color w:val="auto"/>
          <w:highlight w:val="none"/>
        </w:rPr>
      </w:pPr>
    </w:p>
    <w:p>
      <w:pPr>
        <w:widowControl/>
        <w:rPr>
          <w:color w:val="auto"/>
          <w:highlight w:val="none"/>
        </w:rPr>
        <w:sectPr>
          <w:type w:val="continuous"/>
          <w:pgSz w:w="11906" w:h="16838"/>
          <w:pgMar w:top="818" w:right="713" w:bottom="578" w:left="1073" w:header="0" w:footer="0" w:gutter="0"/>
          <w:cols w:space="720" w:num="1"/>
          <w:docGrid w:type="lines" w:linePitch="312" w:charSpace="0"/>
        </w:sectPr>
      </w:pPr>
    </w:p>
    <w:p>
      <w:pPr>
        <w:widowControl/>
        <w:rPr>
          <w:color w:val="auto"/>
          <w:highlight w:val="none"/>
        </w:rPr>
        <w:sectPr>
          <w:type w:val="continuous"/>
          <w:pgSz w:w="11906" w:h="16838"/>
          <w:pgMar w:top="818" w:right="713" w:bottom="578" w:left="1073" w:header="0" w:footer="0" w:gutter="0"/>
          <w:cols w:equalWidth="0" w:num="1">
            <w:col w:w="10120"/>
          </w:cols>
          <w:docGrid w:type="lines" w:linePitch="312" w:charSpace="0"/>
        </w:sectPr>
      </w:pPr>
    </w:p>
    <w:p>
      <w:pPr>
        <w:tabs>
          <w:tab w:val="left" w:pos="4359"/>
        </w:tabs>
        <w:spacing w:after="0" w:line="594" w:lineRule="exact"/>
        <w:ind w:left="200" w:firstLine="2395"/>
        <w:rPr>
          <w:color w:val="auto"/>
          <w:highlight w:val="none"/>
        </w:rPr>
      </w:pPr>
      <w:bookmarkStart w:id="1" w:name="3"/>
      <w:bookmarkEnd w:id="1"/>
      <w:r>
        <w:rPr>
          <w:rFonts w:ascii="宋体" w:hAnsi="宋体" w:eastAsia="宋体" w:cs="宋体"/>
          <w:color w:val="auto"/>
          <w:sz w:val="44"/>
          <w:highlight w:val="none"/>
        </w:rPr>
        <w:t>第一章</w:t>
      </w:r>
      <w:r>
        <w:rPr>
          <w:rFonts w:cs="Calibri"/>
          <w:color w:val="auto"/>
          <w:highlight w:val="none"/>
        </w:rPr>
        <w:tab/>
      </w:r>
      <w:r>
        <w:rPr>
          <w:rFonts w:ascii="宋体" w:hAnsi="宋体" w:eastAsia="宋体" w:cs="宋体"/>
          <w:color w:val="auto"/>
          <w:sz w:val="44"/>
          <w:highlight w:val="none"/>
        </w:rPr>
        <w:t>竞争性磋商公告</w:t>
      </w:r>
    </w:p>
    <w:p>
      <w:pPr>
        <w:spacing w:after="0" w:line="360" w:lineRule="auto"/>
        <w:ind w:left="200" w:firstLine="2395"/>
        <w:rPr>
          <w:color w:val="auto"/>
          <w:highlight w:val="none"/>
        </w:rPr>
      </w:pPr>
    </w:p>
    <w:p>
      <w:pPr>
        <w:spacing w:after="0" w:line="360" w:lineRule="auto"/>
        <w:ind w:hanging="11"/>
        <w:jc w:val="center"/>
        <w:rPr>
          <w:rFonts w:ascii="宋体" w:hAnsi="宋体" w:eastAsia="宋体" w:cs="宋体"/>
          <w:b/>
          <w:color w:val="auto"/>
          <w:spacing w:val="-1"/>
          <w:sz w:val="32"/>
          <w:szCs w:val="32"/>
          <w:highlight w:val="none"/>
        </w:rPr>
      </w:pPr>
      <w:r>
        <w:rPr>
          <w:rFonts w:hint="eastAsia" w:ascii="宋体" w:hAnsi="宋体" w:eastAsia="宋体" w:cs="宋体"/>
          <w:b/>
          <w:color w:val="auto"/>
          <w:sz w:val="32"/>
          <w:szCs w:val="32"/>
          <w:highlight w:val="none"/>
        </w:rPr>
        <w:t>广西博行弈工程项目管理有限公司</w:t>
      </w:r>
      <w:r>
        <w:rPr>
          <w:rFonts w:hint="eastAsia" w:ascii="宋体" w:hAnsi="宋体" w:eastAsia="宋体" w:cs="宋体"/>
          <w:b/>
          <w:color w:val="auto"/>
          <w:spacing w:val="-1"/>
          <w:sz w:val="32"/>
          <w:szCs w:val="32"/>
          <w:highlight w:val="none"/>
        </w:rPr>
        <w:t>桂平市垌心至金田公路工程监理服务</w:t>
      </w:r>
    </w:p>
    <w:p>
      <w:pPr>
        <w:spacing w:after="0" w:line="360" w:lineRule="auto"/>
        <w:ind w:hanging="11"/>
        <w:jc w:val="center"/>
        <w:rPr>
          <w:b/>
          <w:color w:val="auto"/>
          <w:sz w:val="32"/>
          <w:szCs w:val="32"/>
          <w:highlight w:val="none"/>
        </w:rPr>
      </w:pPr>
      <w:r>
        <w:rPr>
          <w:rFonts w:ascii="宋体" w:hAnsi="宋体" w:eastAsia="宋体" w:cs="宋体"/>
          <w:b/>
          <w:color w:val="auto"/>
          <w:sz w:val="32"/>
          <w:szCs w:val="32"/>
          <w:highlight w:val="none"/>
        </w:rPr>
        <w:t>（</w:t>
      </w:r>
      <w:r>
        <w:rPr>
          <w:rFonts w:hint="eastAsia" w:ascii="宋体" w:hAnsi="宋体" w:eastAsia="宋体" w:cs="宋体"/>
          <w:b/>
          <w:color w:val="auto"/>
          <w:sz w:val="32"/>
          <w:szCs w:val="32"/>
          <w:highlight w:val="none"/>
          <w:lang w:eastAsia="zh-CN"/>
        </w:rPr>
        <w:t>GGZC2020-C3-50127-GXBX</w:t>
      </w:r>
      <w:r>
        <w:rPr>
          <w:rFonts w:ascii="宋体" w:hAnsi="宋体" w:eastAsia="宋体" w:cs="宋体"/>
          <w:b/>
          <w:color w:val="auto"/>
          <w:sz w:val="32"/>
          <w:szCs w:val="32"/>
          <w:highlight w:val="none"/>
        </w:rPr>
        <w:t>）竞争性磋商公告</w:t>
      </w:r>
    </w:p>
    <w:p>
      <w:pPr>
        <w:spacing w:after="0" w:line="240" w:lineRule="exact"/>
        <w:ind w:left="73" w:leftChars="35" w:firstLine="2004"/>
        <w:rPr>
          <w:color w:val="auto"/>
          <w:highlight w:val="none"/>
        </w:rPr>
      </w:pPr>
    </w:p>
    <w:p>
      <w:pPr>
        <w:pBdr>
          <w:top w:val="single" w:color="auto" w:sz="4" w:space="1"/>
          <w:left w:val="single" w:color="auto" w:sz="4" w:space="4"/>
          <w:bottom w:val="single" w:color="auto" w:sz="4" w:space="1"/>
          <w:right w:val="single" w:color="auto" w:sz="4" w:space="4"/>
        </w:pBdr>
        <w:ind w:firstLine="422" w:firstLineChars="200"/>
        <w:rPr>
          <w:rFonts w:ascii="宋体" w:hAnsi="宋体" w:cs="宋体"/>
          <w:b/>
          <w:bCs/>
          <w:color w:val="auto"/>
          <w:szCs w:val="21"/>
          <w:highlight w:val="none"/>
        </w:rPr>
      </w:pPr>
      <w:r>
        <w:rPr>
          <w:rFonts w:ascii="宋体" w:hAnsi="宋体" w:cs="宋体"/>
          <w:b/>
          <w:bCs/>
          <w:color w:val="auto"/>
          <w:szCs w:val="21"/>
          <w:highlight w:val="none"/>
        </w:rPr>
        <w:t>项目概况</w:t>
      </w:r>
    </w:p>
    <w:p>
      <w:pPr>
        <w:pBdr>
          <w:top w:val="single" w:color="auto" w:sz="4" w:space="1"/>
          <w:left w:val="single" w:color="auto" w:sz="4" w:space="4"/>
          <w:bottom w:val="single" w:color="auto" w:sz="4" w:space="1"/>
          <w:right w:val="single" w:color="auto" w:sz="4" w:space="4"/>
        </w:pBdr>
        <w:ind w:firstLine="420" w:firstLineChars="200"/>
        <w:rPr>
          <w:rFonts w:ascii="宋体" w:hAnsi="宋体" w:cs="宋体"/>
          <w:color w:val="auto"/>
          <w:szCs w:val="21"/>
          <w:highlight w:val="none"/>
        </w:rPr>
      </w:pPr>
      <w:r>
        <w:rPr>
          <w:rFonts w:hint="eastAsia" w:ascii="宋体" w:hAnsi="宋体" w:cs="宋体"/>
          <w:color w:val="auto"/>
          <w:szCs w:val="21"/>
          <w:highlight w:val="none"/>
        </w:rPr>
        <w:t>桂平市垌心至金田公路工程监理服务</w:t>
      </w:r>
      <w:r>
        <w:rPr>
          <w:rFonts w:ascii="宋体" w:hAnsi="宋体" w:cs="宋体"/>
          <w:color w:val="auto"/>
          <w:szCs w:val="21"/>
          <w:highlight w:val="none"/>
        </w:rPr>
        <w:t>项目采购的潜在供应商应在贵港市公共资源交易平台（</w:t>
      </w:r>
      <w:r>
        <w:rPr>
          <w:color w:val="auto"/>
          <w:highlight w:val="none"/>
        </w:rPr>
        <w:fldChar w:fldCharType="begin"/>
      </w:r>
      <w:r>
        <w:rPr>
          <w:color w:val="auto"/>
          <w:highlight w:val="none"/>
        </w:rPr>
        <w:instrText xml:space="preserve"> HYPERLINK "http://ggggjy.gxgg.gov.cn:9005/" </w:instrText>
      </w:r>
      <w:r>
        <w:rPr>
          <w:color w:val="auto"/>
          <w:highlight w:val="none"/>
        </w:rPr>
        <w:fldChar w:fldCharType="separate"/>
      </w:r>
      <w:r>
        <w:rPr>
          <w:rFonts w:ascii="宋体" w:hAnsi="宋体" w:cs="宋体"/>
          <w:color w:val="auto"/>
          <w:szCs w:val="21"/>
          <w:highlight w:val="none"/>
        </w:rPr>
        <w:t>http://ggggjy.gxgg.gov.cn:9005/</w:t>
      </w:r>
      <w:r>
        <w:rPr>
          <w:rFonts w:ascii="宋体" w:hAnsi="宋体" w:cs="宋体"/>
          <w:color w:val="auto"/>
          <w:szCs w:val="21"/>
          <w:highlight w:val="none"/>
        </w:rPr>
        <w:fldChar w:fldCharType="end"/>
      </w:r>
      <w:r>
        <w:rPr>
          <w:rFonts w:ascii="宋体" w:hAnsi="宋体" w:cs="宋体"/>
          <w:color w:val="auto"/>
          <w:szCs w:val="21"/>
          <w:highlight w:val="none"/>
        </w:rPr>
        <w:t>）免费获取采购文件，并于</w:t>
      </w:r>
      <w:r>
        <w:rPr>
          <w:rFonts w:ascii="宋体" w:hAnsi="宋体" w:cs="宋体"/>
          <w:color w:val="auto"/>
          <w:szCs w:val="21"/>
          <w:highlight w:val="none"/>
          <w:u w:val="single"/>
        </w:rPr>
        <w:t>2020年</w:t>
      </w:r>
      <w:r>
        <w:rPr>
          <w:rFonts w:hint="eastAsia" w:ascii="宋体" w:hAnsi="宋体" w:cs="宋体"/>
          <w:color w:val="auto"/>
          <w:szCs w:val="21"/>
          <w:highlight w:val="none"/>
          <w:u w:val="single"/>
          <w:lang w:val="en-US" w:eastAsia="zh-CN"/>
        </w:rPr>
        <w:t>7</w:t>
      </w:r>
      <w:r>
        <w:rPr>
          <w:rFonts w:ascii="宋体" w:hAnsi="宋体" w:cs="宋体"/>
          <w:color w:val="auto"/>
          <w:szCs w:val="21"/>
          <w:highlight w:val="none"/>
          <w:u w:val="single"/>
        </w:rPr>
        <w:t>月</w:t>
      </w:r>
      <w:r>
        <w:rPr>
          <w:rFonts w:hint="eastAsia" w:ascii="宋体" w:hAnsi="宋体" w:cs="宋体"/>
          <w:color w:val="auto"/>
          <w:szCs w:val="21"/>
          <w:highlight w:val="none"/>
          <w:u w:val="single"/>
          <w:lang w:val="en-US" w:eastAsia="zh-CN"/>
        </w:rPr>
        <w:t>31</w:t>
      </w:r>
      <w:r>
        <w:rPr>
          <w:rFonts w:ascii="宋体" w:hAnsi="宋体" w:cs="宋体"/>
          <w:color w:val="auto"/>
          <w:szCs w:val="21"/>
          <w:highlight w:val="none"/>
          <w:u w:val="single"/>
        </w:rPr>
        <w:t>日9点00分</w:t>
      </w:r>
      <w:r>
        <w:rPr>
          <w:rFonts w:ascii="宋体" w:hAnsi="宋体" w:cs="宋体"/>
          <w:color w:val="auto"/>
          <w:szCs w:val="21"/>
          <w:highlight w:val="none"/>
        </w:rPr>
        <w:t>（北京时间）前提交响应文件。</w:t>
      </w:r>
    </w:p>
    <w:p>
      <w:pPr>
        <w:rPr>
          <w:rFonts w:ascii="宋体" w:hAnsi="宋体" w:cs="宋体"/>
          <w:color w:val="auto"/>
          <w:szCs w:val="21"/>
          <w:highlight w:val="none"/>
        </w:rPr>
      </w:pPr>
    </w:p>
    <w:p>
      <w:pPr>
        <w:pStyle w:val="4"/>
        <w:spacing w:line="240" w:lineRule="auto"/>
        <w:rPr>
          <w:rFonts w:ascii="宋体" w:hAnsi="宋体" w:eastAsia="宋体" w:cs="宋体"/>
          <w:color w:val="auto"/>
          <w:sz w:val="21"/>
          <w:szCs w:val="21"/>
          <w:highlight w:val="none"/>
        </w:rPr>
      </w:pPr>
      <w:bookmarkStart w:id="2" w:name="_Toc28359012"/>
      <w:bookmarkStart w:id="3" w:name="_Toc28359089"/>
      <w:bookmarkStart w:id="4" w:name="_Toc35393798"/>
      <w:bookmarkStart w:id="5" w:name="_Toc35393629"/>
      <w:r>
        <w:rPr>
          <w:rFonts w:ascii="宋体" w:hAnsi="宋体" w:eastAsia="宋体" w:cs="宋体"/>
          <w:color w:val="auto"/>
          <w:sz w:val="21"/>
          <w:szCs w:val="21"/>
          <w:highlight w:val="none"/>
        </w:rPr>
        <w:t>一、项目基本情况</w:t>
      </w:r>
      <w:bookmarkEnd w:id="2"/>
      <w:bookmarkEnd w:id="3"/>
      <w:bookmarkEnd w:id="4"/>
      <w:bookmarkEnd w:id="5"/>
    </w:p>
    <w:p>
      <w:pPr>
        <w:ind w:firstLine="420" w:firstLineChars="200"/>
        <w:rPr>
          <w:rFonts w:ascii="宋体" w:hAnsi="宋体" w:cs="宋体"/>
          <w:color w:val="auto"/>
          <w:szCs w:val="21"/>
          <w:highlight w:val="none"/>
        </w:rPr>
      </w:pPr>
      <w:r>
        <w:rPr>
          <w:rFonts w:ascii="宋体" w:hAnsi="宋体" w:cs="宋体"/>
          <w:color w:val="auto"/>
          <w:szCs w:val="21"/>
          <w:highlight w:val="none"/>
        </w:rPr>
        <w:t>项目编号:</w:t>
      </w:r>
      <w:r>
        <w:rPr>
          <w:rFonts w:hint="eastAsia" w:ascii="宋体" w:hAnsi="宋体" w:cs="宋体"/>
          <w:color w:val="auto"/>
          <w:szCs w:val="21"/>
          <w:highlight w:val="none"/>
        </w:rPr>
        <w:t>GGZC2020-C3-50127-GXBX</w:t>
      </w:r>
    </w:p>
    <w:p>
      <w:pPr>
        <w:ind w:firstLine="420" w:firstLineChars="200"/>
        <w:rPr>
          <w:rFonts w:ascii="宋体" w:hAnsi="宋体" w:cs="宋体"/>
          <w:color w:val="auto"/>
          <w:szCs w:val="21"/>
          <w:highlight w:val="none"/>
          <w:u w:val="single"/>
        </w:rPr>
      </w:pPr>
      <w:r>
        <w:rPr>
          <w:rFonts w:ascii="宋体" w:hAnsi="宋体" w:cs="宋体"/>
          <w:color w:val="auto"/>
          <w:szCs w:val="21"/>
          <w:highlight w:val="none"/>
        </w:rPr>
        <w:t>项目名称：</w:t>
      </w:r>
      <w:r>
        <w:rPr>
          <w:rFonts w:hint="eastAsia" w:ascii="宋体" w:hAnsi="宋体" w:cs="宋体"/>
          <w:color w:val="auto"/>
          <w:szCs w:val="21"/>
          <w:highlight w:val="none"/>
        </w:rPr>
        <w:t>桂平市垌心至金田公路工程监理服务</w:t>
      </w:r>
    </w:p>
    <w:p>
      <w:pPr>
        <w:ind w:firstLine="420" w:firstLineChars="200"/>
        <w:rPr>
          <w:rFonts w:ascii="宋体" w:hAnsi="宋体" w:cs="宋体"/>
          <w:color w:val="auto"/>
          <w:szCs w:val="21"/>
          <w:highlight w:val="none"/>
        </w:rPr>
      </w:pPr>
      <w:r>
        <w:rPr>
          <w:rFonts w:ascii="宋体" w:hAnsi="宋体" w:cs="宋体"/>
          <w:color w:val="auto"/>
          <w:szCs w:val="21"/>
          <w:highlight w:val="none"/>
        </w:rPr>
        <w:t>采购方式：竞争性磋商</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最高投标费率：1.5</w:t>
      </w:r>
      <w:r>
        <w:rPr>
          <w:rFonts w:ascii="宋体" w:hAnsi="宋体" w:cs="宋体"/>
          <w:color w:val="auto"/>
          <w:szCs w:val="21"/>
          <w:highlight w:val="none"/>
        </w:rPr>
        <w:t>%</w:t>
      </w:r>
    </w:p>
    <w:p>
      <w:pPr>
        <w:ind w:firstLine="420" w:firstLineChars="200"/>
        <w:rPr>
          <w:rFonts w:ascii="宋体" w:hAnsi="宋体" w:cs="宋体"/>
          <w:color w:val="auto"/>
          <w:szCs w:val="21"/>
          <w:highlight w:val="none"/>
          <w:shd w:val="clear" w:color="auto" w:fill="FFFFFF"/>
        </w:rPr>
      </w:pPr>
      <w:r>
        <w:rPr>
          <w:rFonts w:ascii="宋体" w:hAnsi="宋体" w:cs="宋体"/>
          <w:color w:val="auto"/>
          <w:szCs w:val="21"/>
          <w:highlight w:val="none"/>
        </w:rPr>
        <w:t>采购需求（采购服务名称、数量、项目基本概况介绍）：</w:t>
      </w:r>
      <w:r>
        <w:rPr>
          <w:rFonts w:hint="eastAsia" w:ascii="宋体" w:hAnsi="宋体" w:cs="宋体"/>
          <w:color w:val="auto"/>
          <w:szCs w:val="21"/>
          <w:highlight w:val="none"/>
        </w:rPr>
        <w:t>桂平市垌心至金田公路工程监理服务1项，本工程线路总体走向为自北向南，起点（</w:t>
      </w:r>
      <w:r>
        <w:rPr>
          <w:rFonts w:ascii="宋体" w:hAnsi="宋体" w:cs="宋体"/>
          <w:color w:val="auto"/>
          <w:szCs w:val="21"/>
          <w:highlight w:val="none"/>
        </w:rPr>
        <w:t>K0+000</w:t>
      </w:r>
      <w:r>
        <w:rPr>
          <w:rFonts w:hint="eastAsia" w:ascii="宋体" w:hAnsi="宋体" w:cs="宋体"/>
          <w:color w:val="auto"/>
          <w:szCs w:val="21"/>
          <w:highlight w:val="none"/>
        </w:rPr>
        <w:t>）与柳梧高速公路大鹏连接线相接，</w:t>
      </w:r>
      <w:r>
        <w:rPr>
          <w:rFonts w:ascii="宋体" w:hAnsi="宋体" w:cs="宋体"/>
          <w:color w:val="auto"/>
          <w:szCs w:val="21"/>
          <w:highlight w:val="none"/>
        </w:rPr>
        <w:t>K0+000-K7+120</w:t>
      </w:r>
      <w:r>
        <w:rPr>
          <w:rFonts w:hint="eastAsia" w:ascii="宋体" w:hAnsi="宋体" w:cs="宋体"/>
          <w:color w:val="auto"/>
          <w:szCs w:val="21"/>
          <w:highlight w:val="none"/>
        </w:rPr>
        <w:t>段完全利用柳梧高速大鹏连接线，新建路段起点（</w:t>
      </w:r>
      <w:r>
        <w:rPr>
          <w:rFonts w:ascii="宋体" w:hAnsi="宋体" w:cs="宋体"/>
          <w:color w:val="auto"/>
          <w:szCs w:val="21"/>
          <w:highlight w:val="none"/>
        </w:rPr>
        <w:t>K0+000</w:t>
      </w:r>
      <w:r>
        <w:rPr>
          <w:rFonts w:hint="eastAsia" w:ascii="宋体" w:hAnsi="宋体" w:cs="宋体"/>
          <w:color w:val="auto"/>
          <w:szCs w:val="21"/>
          <w:highlight w:val="none"/>
        </w:rPr>
        <w:t>）</w:t>
      </w:r>
      <w:r>
        <w:rPr>
          <w:rFonts w:ascii="宋体" w:hAnsi="宋体" w:cs="宋体"/>
          <w:color w:val="auto"/>
          <w:szCs w:val="21"/>
          <w:highlight w:val="none"/>
        </w:rPr>
        <w:t>=</w:t>
      </w:r>
      <w:r>
        <w:rPr>
          <w:rFonts w:hint="eastAsia" w:ascii="宋体" w:hAnsi="宋体" w:cs="宋体"/>
          <w:color w:val="auto"/>
          <w:szCs w:val="21"/>
          <w:highlight w:val="none"/>
        </w:rPr>
        <w:t>完全利用段终点（</w:t>
      </w:r>
      <w:r>
        <w:rPr>
          <w:rFonts w:ascii="宋体" w:hAnsi="宋体" w:cs="宋体"/>
          <w:color w:val="auto"/>
          <w:szCs w:val="21"/>
          <w:highlight w:val="none"/>
        </w:rPr>
        <w:t>K7+120</w:t>
      </w:r>
      <w:r>
        <w:rPr>
          <w:rFonts w:hint="eastAsia" w:ascii="宋体" w:hAnsi="宋体" w:cs="宋体"/>
          <w:color w:val="auto"/>
          <w:szCs w:val="21"/>
          <w:highlight w:val="none"/>
        </w:rPr>
        <w:t>），与大鹏连接线</w:t>
      </w:r>
      <w:r>
        <w:rPr>
          <w:rFonts w:ascii="宋体" w:hAnsi="宋体" w:cs="宋体"/>
          <w:color w:val="auto"/>
          <w:szCs w:val="21"/>
          <w:highlight w:val="none"/>
        </w:rPr>
        <w:t>T</w:t>
      </w:r>
      <w:r>
        <w:rPr>
          <w:rFonts w:hint="eastAsia" w:ascii="宋体" w:hAnsi="宋体" w:cs="宋体"/>
          <w:color w:val="auto"/>
          <w:szCs w:val="21"/>
          <w:highlight w:val="none"/>
        </w:rPr>
        <w:t>型渠化交叉顺接，路线沿旧路</w:t>
      </w:r>
      <w:r>
        <w:rPr>
          <w:rFonts w:ascii="宋体" w:hAnsi="宋体" w:cs="宋体"/>
          <w:color w:val="auto"/>
          <w:szCs w:val="21"/>
          <w:highlight w:val="none"/>
        </w:rPr>
        <w:t>X348</w:t>
      </w:r>
      <w:r>
        <w:rPr>
          <w:rFonts w:hint="eastAsia" w:ascii="宋体" w:hAnsi="宋体" w:cs="宋体"/>
          <w:color w:val="auto"/>
          <w:szCs w:val="21"/>
          <w:highlight w:val="none"/>
        </w:rPr>
        <w:t>县道布线，途经王举屯、桂山屯、中垌屯、垌心屯、理村、新旺村、新燕、终点</w:t>
      </w:r>
      <w:r>
        <w:rPr>
          <w:rFonts w:ascii="宋体" w:hAnsi="宋体" w:cs="宋体"/>
          <w:color w:val="auto"/>
          <w:szCs w:val="21"/>
          <w:highlight w:val="none"/>
        </w:rPr>
        <w:t>K10+245</w:t>
      </w:r>
      <w:r>
        <w:rPr>
          <w:rFonts w:hint="eastAsia" w:ascii="宋体" w:hAnsi="宋体" w:cs="宋体"/>
          <w:color w:val="auto"/>
          <w:szCs w:val="21"/>
          <w:highlight w:val="none"/>
        </w:rPr>
        <w:t>位于金田镇上，与</w:t>
      </w:r>
      <w:r>
        <w:rPr>
          <w:rFonts w:ascii="宋体" w:hAnsi="宋体" w:cs="宋体"/>
          <w:color w:val="auto"/>
          <w:szCs w:val="21"/>
          <w:highlight w:val="none"/>
        </w:rPr>
        <w:t>S323</w:t>
      </w:r>
      <w:r>
        <w:rPr>
          <w:rFonts w:hint="eastAsia" w:ascii="宋体" w:hAnsi="宋体" w:cs="宋体"/>
          <w:color w:val="auto"/>
          <w:szCs w:val="21"/>
          <w:highlight w:val="none"/>
        </w:rPr>
        <w:t>梧州至迁江二级公路成十字型平面交叉相接。路线全长</w:t>
      </w:r>
      <w:r>
        <w:rPr>
          <w:rFonts w:ascii="宋体" w:hAnsi="宋体" w:cs="宋体"/>
          <w:color w:val="auto"/>
          <w:szCs w:val="21"/>
          <w:highlight w:val="none"/>
        </w:rPr>
        <w:t>17.365</w:t>
      </w:r>
      <w:r>
        <w:rPr>
          <w:rFonts w:hint="eastAsia" w:ascii="宋体" w:hAnsi="宋体" w:cs="宋体"/>
          <w:color w:val="auto"/>
          <w:szCs w:val="21"/>
          <w:highlight w:val="none"/>
        </w:rPr>
        <w:t>公里，其中利用段</w:t>
      </w:r>
      <w:r>
        <w:rPr>
          <w:rFonts w:ascii="宋体" w:hAnsi="宋体" w:cs="宋体"/>
          <w:color w:val="auto"/>
          <w:szCs w:val="21"/>
          <w:highlight w:val="none"/>
        </w:rPr>
        <w:t>7.12</w:t>
      </w:r>
      <w:r>
        <w:rPr>
          <w:rFonts w:hint="eastAsia" w:ascii="宋体" w:hAnsi="宋体" w:cs="宋体"/>
          <w:color w:val="auto"/>
          <w:szCs w:val="21"/>
          <w:highlight w:val="none"/>
        </w:rPr>
        <w:t>公里，新建段</w:t>
      </w:r>
      <w:r>
        <w:rPr>
          <w:rFonts w:ascii="宋体" w:hAnsi="宋体" w:cs="宋体"/>
          <w:color w:val="auto"/>
          <w:szCs w:val="21"/>
          <w:highlight w:val="none"/>
        </w:rPr>
        <w:t>10.245</w:t>
      </w:r>
      <w:r>
        <w:rPr>
          <w:rFonts w:hint="eastAsia" w:ascii="宋体" w:hAnsi="宋体" w:cs="宋体"/>
          <w:color w:val="auto"/>
          <w:szCs w:val="21"/>
          <w:highlight w:val="none"/>
        </w:rPr>
        <w:t>公里。设计时速：</w:t>
      </w:r>
      <w:r>
        <w:rPr>
          <w:rFonts w:ascii="宋体" w:hAnsi="宋体" w:cs="宋体"/>
          <w:color w:val="auto"/>
          <w:szCs w:val="21"/>
          <w:highlight w:val="none"/>
        </w:rPr>
        <w:t>60km/h</w:t>
      </w:r>
      <w:r>
        <w:rPr>
          <w:rFonts w:hint="eastAsia" w:ascii="宋体" w:hAnsi="宋体" w:cs="宋体"/>
          <w:color w:val="auto"/>
          <w:szCs w:val="21"/>
          <w:highlight w:val="none"/>
        </w:rPr>
        <w:t>，路基宽度为</w:t>
      </w:r>
      <w:r>
        <w:rPr>
          <w:rFonts w:ascii="宋体" w:hAnsi="宋体" w:cs="宋体"/>
          <w:color w:val="auto"/>
          <w:szCs w:val="21"/>
          <w:highlight w:val="none"/>
        </w:rPr>
        <w:t>10m</w:t>
      </w:r>
      <w:r>
        <w:rPr>
          <w:rFonts w:hint="eastAsia" w:ascii="宋体" w:hAnsi="宋体" w:cs="宋体"/>
          <w:color w:val="auto"/>
          <w:szCs w:val="21"/>
          <w:highlight w:val="none"/>
        </w:rPr>
        <w:t>，其中</w:t>
      </w:r>
      <w:r>
        <w:rPr>
          <w:rFonts w:ascii="宋体" w:hAnsi="宋体" w:cs="宋体"/>
          <w:color w:val="auto"/>
          <w:szCs w:val="21"/>
          <w:highlight w:val="none"/>
        </w:rPr>
        <w:t>K0+000-K0+540</w:t>
      </w:r>
      <w:r>
        <w:rPr>
          <w:rFonts w:hint="eastAsia" w:ascii="宋体" w:hAnsi="宋体" w:cs="宋体"/>
          <w:color w:val="auto"/>
          <w:szCs w:val="21"/>
          <w:highlight w:val="none"/>
        </w:rPr>
        <w:t>、</w:t>
      </w:r>
      <w:r>
        <w:rPr>
          <w:rFonts w:ascii="宋体" w:hAnsi="宋体" w:cs="宋体"/>
          <w:color w:val="auto"/>
          <w:szCs w:val="21"/>
          <w:highlight w:val="none"/>
        </w:rPr>
        <w:t>K4+680-K5+320</w:t>
      </w:r>
      <w:r>
        <w:rPr>
          <w:rFonts w:hint="eastAsia" w:ascii="宋体" w:hAnsi="宋体" w:cs="宋体"/>
          <w:color w:val="auto"/>
          <w:szCs w:val="21"/>
          <w:highlight w:val="none"/>
        </w:rPr>
        <w:t>、</w:t>
      </w:r>
      <w:r>
        <w:rPr>
          <w:rFonts w:ascii="宋体" w:hAnsi="宋体" w:cs="宋体"/>
          <w:color w:val="auto"/>
          <w:szCs w:val="21"/>
          <w:highlight w:val="none"/>
        </w:rPr>
        <w:t>K9+680-K10+245</w:t>
      </w:r>
      <w:r>
        <w:rPr>
          <w:rFonts w:hint="eastAsia" w:ascii="宋体" w:hAnsi="宋体" w:cs="宋体"/>
          <w:color w:val="auto"/>
          <w:szCs w:val="21"/>
          <w:highlight w:val="none"/>
        </w:rPr>
        <w:t>段采用</w:t>
      </w:r>
      <w:r>
        <w:rPr>
          <w:rFonts w:ascii="宋体" w:hAnsi="宋体" w:cs="宋体"/>
          <w:color w:val="auto"/>
          <w:szCs w:val="21"/>
          <w:highlight w:val="none"/>
        </w:rPr>
        <w:t>40km/h</w:t>
      </w:r>
      <w:r>
        <w:rPr>
          <w:rFonts w:hint="eastAsia" w:ascii="宋体" w:hAnsi="宋体" w:cs="宋体"/>
          <w:color w:val="auto"/>
          <w:szCs w:val="21"/>
          <w:highlight w:val="none"/>
        </w:rPr>
        <w:t>，路基宽度为</w:t>
      </w:r>
      <w:r>
        <w:rPr>
          <w:rFonts w:ascii="宋体" w:hAnsi="宋体" w:cs="宋体"/>
          <w:color w:val="auto"/>
          <w:szCs w:val="21"/>
          <w:highlight w:val="none"/>
        </w:rPr>
        <w:t>8.5m</w:t>
      </w:r>
      <w:r>
        <w:rPr>
          <w:rFonts w:hint="eastAsia" w:ascii="宋体" w:hAnsi="宋体" w:cs="宋体"/>
          <w:color w:val="auto"/>
          <w:szCs w:val="21"/>
          <w:highlight w:val="none"/>
        </w:rPr>
        <w:t>；</w:t>
      </w:r>
      <w:r>
        <w:rPr>
          <w:rFonts w:ascii="宋体" w:hAnsi="宋体" w:cs="宋体"/>
          <w:color w:val="auto"/>
          <w:szCs w:val="21"/>
          <w:highlight w:val="none"/>
        </w:rPr>
        <w:t>K1+820-K2+240</w:t>
      </w:r>
      <w:r>
        <w:rPr>
          <w:rFonts w:hint="eastAsia" w:ascii="宋体" w:hAnsi="宋体" w:cs="宋体"/>
          <w:color w:val="auto"/>
          <w:szCs w:val="21"/>
          <w:highlight w:val="none"/>
        </w:rPr>
        <w:t>段采用</w:t>
      </w:r>
      <w:r>
        <w:rPr>
          <w:rFonts w:ascii="宋体" w:hAnsi="宋体" w:cs="宋体"/>
          <w:color w:val="auto"/>
          <w:szCs w:val="21"/>
          <w:highlight w:val="none"/>
        </w:rPr>
        <w:t>40km/h</w:t>
      </w:r>
      <w:r>
        <w:rPr>
          <w:rFonts w:hint="eastAsia" w:ascii="宋体" w:hAnsi="宋体" w:cs="宋体"/>
          <w:color w:val="auto"/>
          <w:szCs w:val="21"/>
          <w:highlight w:val="none"/>
        </w:rPr>
        <w:t>，路基宽度为</w:t>
      </w:r>
      <w:r>
        <w:rPr>
          <w:rFonts w:ascii="宋体" w:hAnsi="宋体" w:cs="宋体"/>
          <w:color w:val="auto"/>
          <w:szCs w:val="21"/>
          <w:highlight w:val="none"/>
        </w:rPr>
        <w:t>10m</w:t>
      </w:r>
      <w:r>
        <w:rPr>
          <w:rFonts w:hint="eastAsia" w:ascii="宋体" w:hAnsi="宋体" w:cs="宋体"/>
          <w:color w:val="auto"/>
          <w:szCs w:val="21"/>
          <w:highlight w:val="none"/>
        </w:rPr>
        <w:t>，其余路段采用</w:t>
      </w:r>
      <w:r>
        <w:rPr>
          <w:rFonts w:ascii="宋体" w:hAnsi="宋体" w:cs="宋体"/>
          <w:color w:val="auto"/>
          <w:szCs w:val="21"/>
          <w:highlight w:val="none"/>
        </w:rPr>
        <w:t>60km/h</w:t>
      </w:r>
      <w:r>
        <w:rPr>
          <w:rFonts w:hint="eastAsia" w:ascii="宋体" w:hAnsi="宋体" w:cs="宋体"/>
          <w:color w:val="auto"/>
          <w:szCs w:val="21"/>
          <w:highlight w:val="none"/>
        </w:rPr>
        <w:t>，路基宽度为</w:t>
      </w:r>
      <w:r>
        <w:rPr>
          <w:rFonts w:ascii="宋体" w:hAnsi="宋体" w:cs="宋体"/>
          <w:color w:val="auto"/>
          <w:szCs w:val="21"/>
          <w:highlight w:val="none"/>
        </w:rPr>
        <w:t>10m</w:t>
      </w:r>
      <w:r>
        <w:rPr>
          <w:rFonts w:hint="eastAsia" w:ascii="宋体" w:hAnsi="宋体" w:cs="宋体"/>
          <w:color w:val="auto"/>
          <w:szCs w:val="21"/>
          <w:highlight w:val="none"/>
        </w:rPr>
        <w:t>，汽车荷载等级为公路</w:t>
      </w:r>
      <w:r>
        <w:rPr>
          <w:rFonts w:ascii="宋体" w:hAnsi="宋体" w:cs="宋体"/>
          <w:color w:val="auto"/>
          <w:szCs w:val="21"/>
          <w:highlight w:val="none"/>
        </w:rPr>
        <w:t>-II</w:t>
      </w:r>
      <w:r>
        <w:rPr>
          <w:rFonts w:hint="eastAsia" w:ascii="宋体" w:hAnsi="宋体" w:cs="宋体"/>
          <w:color w:val="auto"/>
          <w:szCs w:val="21"/>
          <w:highlight w:val="none"/>
        </w:rPr>
        <w:t>级，小桥涵及路基设计洪水频率为</w:t>
      </w:r>
      <w:r>
        <w:rPr>
          <w:rFonts w:ascii="宋体" w:hAnsi="宋体" w:cs="宋体"/>
          <w:color w:val="auto"/>
          <w:szCs w:val="21"/>
          <w:highlight w:val="none"/>
        </w:rPr>
        <w:t>1/50</w:t>
      </w:r>
      <w:r>
        <w:rPr>
          <w:rFonts w:hint="eastAsia" w:ascii="宋体" w:hAnsi="宋体" w:cs="宋体"/>
          <w:color w:val="auto"/>
          <w:szCs w:val="21"/>
          <w:highlight w:val="none"/>
        </w:rPr>
        <w:t>，路面类型为水泥混凝土路面。</w:t>
      </w:r>
      <w:r>
        <w:rPr>
          <w:rFonts w:ascii="宋体" w:hAnsi="宋体" w:cs="宋体"/>
          <w:color w:val="auto"/>
          <w:szCs w:val="21"/>
          <w:highlight w:val="none"/>
          <w:shd w:val="clear" w:color="auto" w:fill="FFFFFF"/>
        </w:rPr>
        <w:t>如需进一步了解详细内容，详见竞争性磋商采购文件。</w:t>
      </w:r>
    </w:p>
    <w:p>
      <w:pPr>
        <w:ind w:firstLine="420" w:firstLineChars="200"/>
        <w:rPr>
          <w:rFonts w:ascii="宋体" w:hAnsi="宋体" w:cs="宋体"/>
          <w:color w:val="auto"/>
          <w:szCs w:val="21"/>
          <w:highlight w:val="none"/>
          <w:shd w:val="clear" w:color="auto" w:fill="FFFFFF"/>
        </w:rPr>
      </w:pPr>
      <w:r>
        <w:rPr>
          <w:rFonts w:ascii="宋体" w:hAnsi="宋体" w:cs="宋体"/>
          <w:color w:val="auto"/>
          <w:szCs w:val="21"/>
          <w:highlight w:val="none"/>
          <w:shd w:val="clear" w:color="auto" w:fill="FFFFFF"/>
        </w:rPr>
        <w:t>监理服务范围：</w:t>
      </w:r>
      <w:r>
        <w:rPr>
          <w:rFonts w:hint="eastAsia" w:ascii="宋体" w:hAnsi="宋体" w:cs="宋体"/>
          <w:color w:val="auto"/>
          <w:szCs w:val="21"/>
          <w:highlight w:val="none"/>
          <w:shd w:val="clear" w:color="auto" w:fill="FFFFFF"/>
        </w:rPr>
        <w:t>桂平市垌心至金田公路工程监理服务</w:t>
      </w:r>
      <w:r>
        <w:rPr>
          <w:rFonts w:ascii="宋体" w:hAnsi="宋体" w:cs="宋体"/>
          <w:color w:val="auto"/>
          <w:szCs w:val="21"/>
          <w:highlight w:val="none"/>
          <w:shd w:val="clear" w:color="auto" w:fill="FFFFFF"/>
        </w:rPr>
        <w:t xml:space="preserve">，包括《公路工程施工监理规范》（JTG G10—2016）规定的隶属于本工程相关的施工监理工作。 </w:t>
      </w:r>
    </w:p>
    <w:p>
      <w:pPr>
        <w:ind w:firstLine="420" w:firstLineChars="200"/>
        <w:rPr>
          <w:rFonts w:ascii="宋体" w:hAnsi="宋体" w:cs="宋体"/>
          <w:color w:val="auto"/>
          <w:szCs w:val="21"/>
          <w:highlight w:val="none"/>
        </w:rPr>
      </w:pPr>
      <w:r>
        <w:rPr>
          <w:rFonts w:ascii="宋体" w:hAnsi="宋体" w:cs="宋体"/>
          <w:color w:val="auto"/>
          <w:szCs w:val="21"/>
          <w:highlight w:val="none"/>
        </w:rPr>
        <w:t>监理质量要求：符合有关国家质量标准、技术规范及规程要求，并通过行业管理部门审批。</w:t>
      </w:r>
    </w:p>
    <w:p>
      <w:pPr>
        <w:ind w:firstLine="420" w:firstLineChars="200"/>
        <w:rPr>
          <w:rFonts w:ascii="宋体" w:hAnsi="宋体" w:cs="宋体"/>
          <w:color w:val="auto"/>
          <w:szCs w:val="21"/>
          <w:highlight w:val="none"/>
        </w:rPr>
      </w:pPr>
      <w:r>
        <w:rPr>
          <w:rFonts w:ascii="宋体" w:hAnsi="宋体" w:cs="宋体"/>
          <w:color w:val="auto"/>
          <w:szCs w:val="21"/>
          <w:highlight w:val="none"/>
        </w:rPr>
        <w:t xml:space="preserve">监理服务期限：自合同签订之日起开始实施，至工程竣工验收合格，保修期满完毕（监理工期与施工工期一致）。 </w:t>
      </w:r>
    </w:p>
    <w:p>
      <w:pPr>
        <w:ind w:firstLine="630" w:firstLineChars="300"/>
        <w:rPr>
          <w:rFonts w:ascii="宋体" w:hAnsi="宋体" w:cs="宋体"/>
          <w:color w:val="auto"/>
          <w:szCs w:val="21"/>
          <w:highlight w:val="none"/>
        </w:rPr>
      </w:pPr>
      <w:r>
        <w:rPr>
          <w:rFonts w:ascii="宋体" w:hAnsi="宋体" w:cs="宋体"/>
          <w:color w:val="auto"/>
          <w:szCs w:val="21"/>
          <w:highlight w:val="none"/>
        </w:rPr>
        <w:t>本项目不接受联合体。</w:t>
      </w:r>
    </w:p>
    <w:p>
      <w:pPr>
        <w:pStyle w:val="4"/>
        <w:spacing w:line="240" w:lineRule="auto"/>
        <w:rPr>
          <w:rFonts w:ascii="宋体" w:hAnsi="宋体" w:eastAsia="宋体" w:cs="宋体"/>
          <w:b w:val="0"/>
          <w:bCs w:val="0"/>
          <w:color w:val="auto"/>
          <w:sz w:val="21"/>
          <w:szCs w:val="21"/>
          <w:highlight w:val="none"/>
        </w:rPr>
      </w:pPr>
      <w:bookmarkStart w:id="6" w:name="_Toc35393630"/>
      <w:bookmarkStart w:id="7" w:name="_Toc28359013"/>
      <w:bookmarkStart w:id="8" w:name="_Toc28359090"/>
      <w:bookmarkStart w:id="9" w:name="_Toc35393799"/>
      <w:r>
        <w:rPr>
          <w:rFonts w:ascii="宋体" w:hAnsi="宋体" w:eastAsia="宋体" w:cs="宋体"/>
          <w:b w:val="0"/>
          <w:bCs w:val="0"/>
          <w:color w:val="auto"/>
          <w:sz w:val="21"/>
          <w:szCs w:val="21"/>
          <w:highlight w:val="none"/>
        </w:rPr>
        <w:t>二</w:t>
      </w:r>
      <w:r>
        <w:rPr>
          <w:rFonts w:ascii="宋体" w:hAnsi="宋体" w:eastAsia="宋体" w:cs="宋体"/>
          <w:color w:val="auto"/>
          <w:sz w:val="21"/>
          <w:szCs w:val="21"/>
          <w:highlight w:val="none"/>
        </w:rPr>
        <w:t>、申请人的资格要求：</w:t>
      </w:r>
      <w:bookmarkEnd w:id="6"/>
      <w:bookmarkEnd w:id="7"/>
      <w:bookmarkEnd w:id="8"/>
      <w:bookmarkEnd w:id="9"/>
    </w:p>
    <w:p>
      <w:pPr>
        <w:ind w:firstLine="420" w:firstLineChars="200"/>
        <w:rPr>
          <w:rFonts w:ascii="宋体" w:hAnsi="宋体" w:cs="宋体"/>
          <w:color w:val="auto"/>
          <w:szCs w:val="21"/>
          <w:highlight w:val="none"/>
        </w:rPr>
      </w:pPr>
      <w:r>
        <w:rPr>
          <w:rFonts w:ascii="宋体" w:hAnsi="宋体" w:cs="宋体"/>
          <w:color w:val="auto"/>
          <w:szCs w:val="21"/>
          <w:highlight w:val="none"/>
        </w:rPr>
        <w:t>1. 符合《中华人民共和国政府采购法》第二十二条和《中华人民共和国政府采购法实施条例》第十八条规定，具备合法资格的供应商；</w:t>
      </w:r>
    </w:p>
    <w:p>
      <w:pPr>
        <w:ind w:firstLine="420" w:firstLineChars="200"/>
        <w:rPr>
          <w:rFonts w:ascii="宋体" w:hAnsi="宋体" w:eastAsia="宋体" w:cs="宋体"/>
          <w:color w:val="auto"/>
          <w:szCs w:val="21"/>
          <w:highlight w:val="none"/>
        </w:rPr>
      </w:pPr>
      <w:r>
        <w:rPr>
          <w:rFonts w:ascii="宋体" w:hAnsi="宋体" w:cs="宋体"/>
          <w:color w:val="auto"/>
          <w:szCs w:val="21"/>
          <w:highlight w:val="none"/>
        </w:rPr>
        <w:t>2.本次采购要求供应商须具备公路工程监理</w:t>
      </w:r>
      <w:r>
        <w:rPr>
          <w:rFonts w:hint="eastAsia" w:ascii="宋体" w:hAnsi="宋体" w:cs="宋体"/>
          <w:color w:val="auto"/>
          <w:szCs w:val="21"/>
          <w:highlight w:val="none"/>
        </w:rPr>
        <w:t>乙</w:t>
      </w:r>
      <w:r>
        <w:rPr>
          <w:rFonts w:ascii="宋体" w:hAnsi="宋体" w:cs="宋体"/>
          <w:color w:val="auto"/>
          <w:szCs w:val="21"/>
          <w:highlight w:val="none"/>
        </w:rPr>
        <w:t>级（含）以上资质</w:t>
      </w:r>
      <w:r>
        <w:rPr>
          <w:rFonts w:hint="eastAsia" w:ascii="宋体" w:hAnsi="宋体" w:cs="宋体"/>
          <w:color w:val="auto"/>
          <w:szCs w:val="21"/>
          <w:highlight w:val="none"/>
        </w:rPr>
        <w:t>的企业</w:t>
      </w:r>
      <w:r>
        <w:rPr>
          <w:rFonts w:ascii="宋体" w:hAnsi="宋体" w:cs="宋体"/>
          <w:color w:val="auto"/>
          <w:szCs w:val="21"/>
          <w:highlight w:val="none"/>
        </w:rPr>
        <w:t>，并在人员、设备、资金等方面具备相应的工程监理能力。其中，供应商拟派总监理工程师须具备</w:t>
      </w:r>
      <w:r>
        <w:rPr>
          <w:rFonts w:hint="eastAsia" w:ascii="宋体" w:hAnsi="宋体" w:eastAsia="宋体" w:cs="宋体"/>
          <w:color w:val="auto"/>
          <w:szCs w:val="21"/>
          <w:highlight w:val="none"/>
        </w:rPr>
        <w:t>交通运输部颁发的监理工程师执业资格证（公路工程）。</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3.投标人应进入交通运输部“ 全国公路建设市场信用信息管理系统（ http ：//glxy.mot.gov.cn）”中的公路工程监理资质企业名录，且投标人名称和资质与该名录中的相应企业名称和资质完全一致。</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4.投标人</w:t>
      </w:r>
      <w:r>
        <w:rPr>
          <w:rFonts w:hint="eastAsia" w:ascii="宋体" w:hAnsi="宋体" w:cs="宋体"/>
          <w:color w:val="auto"/>
          <w:szCs w:val="21"/>
          <w:highlight w:val="none"/>
          <w:lang w:val="en-US" w:eastAsia="zh-CN"/>
        </w:rPr>
        <w:t>2018年度信用评价等</w:t>
      </w:r>
      <w:r>
        <w:rPr>
          <w:rFonts w:hint="eastAsia" w:ascii="宋体" w:hAnsi="宋体" w:cs="宋体"/>
          <w:color w:val="auto"/>
          <w:szCs w:val="21"/>
          <w:highlight w:val="none"/>
        </w:rPr>
        <w:t>级为</w:t>
      </w:r>
      <w:r>
        <w:rPr>
          <w:rFonts w:hint="eastAsia" w:ascii="宋体" w:hAnsi="宋体" w:cs="宋体"/>
          <w:color w:val="auto"/>
          <w:szCs w:val="21"/>
          <w:highlight w:val="none"/>
          <w:lang w:val="en-US" w:eastAsia="zh-CN"/>
        </w:rPr>
        <w:t>C</w:t>
      </w:r>
      <w:r>
        <w:rPr>
          <w:rFonts w:hint="eastAsia" w:ascii="宋体" w:hAnsi="宋体" w:cs="宋体"/>
          <w:color w:val="auto"/>
          <w:szCs w:val="21"/>
          <w:highlight w:val="none"/>
        </w:rPr>
        <w:t>级（含）以上的企业，可对本项目进行投标。投标人的信用评价等级按照《广西壮族自治区交通运输厅关于修订广西公路建设市场监理企业信用评价规则实施细则的通知》（桂交建管发〔2016〕60号）及广西壮族自治区交通运输厅公布的最新年度广西公路建设市场公路监理企业信用评价结果为准。</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5.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6</w:t>
      </w:r>
      <w:r>
        <w:rPr>
          <w:rFonts w:ascii="宋体" w:hAnsi="宋体" w:cs="宋体"/>
          <w:color w:val="auto"/>
          <w:szCs w:val="21"/>
          <w:highlight w:val="none"/>
        </w:rPr>
        <w:t>.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投标人，不得参与政府采购活动。</w:t>
      </w:r>
    </w:p>
    <w:p>
      <w:pPr>
        <w:ind w:firstLine="420" w:firstLineChars="200"/>
        <w:rPr>
          <w:rFonts w:ascii="宋体" w:hAnsi="宋体" w:cs="宋体"/>
          <w:color w:val="auto"/>
          <w:szCs w:val="21"/>
          <w:highlight w:val="none"/>
        </w:rPr>
      </w:pPr>
      <w:bookmarkStart w:id="10" w:name="_Toc28359014"/>
      <w:bookmarkStart w:id="11" w:name="_Toc28359091"/>
      <w:r>
        <w:rPr>
          <w:rFonts w:hint="eastAsia" w:ascii="宋体" w:hAnsi="宋体" w:cs="宋体"/>
          <w:color w:val="auto"/>
          <w:szCs w:val="21"/>
          <w:highlight w:val="none"/>
        </w:rPr>
        <w:t>7</w:t>
      </w:r>
      <w:r>
        <w:rPr>
          <w:rFonts w:ascii="宋体" w:hAnsi="宋体" w:cs="宋体"/>
          <w:color w:val="auto"/>
          <w:szCs w:val="21"/>
          <w:highlight w:val="none"/>
        </w:rPr>
        <w:t>.落实政府采购政策需满足的资格要求：</w:t>
      </w:r>
    </w:p>
    <w:p>
      <w:pPr>
        <w:ind w:firstLine="420" w:firstLineChars="200"/>
        <w:rPr>
          <w:rFonts w:ascii="宋体" w:hAnsi="宋体" w:cs="宋体"/>
          <w:color w:val="auto"/>
          <w:szCs w:val="21"/>
          <w:highlight w:val="none"/>
        </w:rPr>
      </w:pPr>
      <w:r>
        <w:rPr>
          <w:rFonts w:ascii="宋体" w:hAnsi="宋体" w:cs="宋体"/>
          <w:color w:val="auto"/>
          <w:szCs w:val="21"/>
          <w:highlight w:val="none"/>
        </w:rPr>
        <w:t>（1）.《政府采购促进中小企业发展暂行办法》（财库[2011]181号）；</w:t>
      </w:r>
    </w:p>
    <w:p>
      <w:pPr>
        <w:ind w:firstLine="420" w:firstLineChars="200"/>
        <w:rPr>
          <w:rFonts w:ascii="宋体" w:hAnsi="宋体" w:cs="宋体"/>
          <w:color w:val="auto"/>
          <w:szCs w:val="21"/>
          <w:highlight w:val="none"/>
        </w:rPr>
      </w:pPr>
      <w:r>
        <w:rPr>
          <w:rFonts w:ascii="宋体" w:hAnsi="宋体" w:cs="宋体"/>
          <w:color w:val="auto"/>
          <w:szCs w:val="21"/>
          <w:highlight w:val="none"/>
        </w:rPr>
        <w:t>（2）.《关于政府采购支持监狱企业发展有关问题的通知》（财库[2014]68号）；</w:t>
      </w:r>
    </w:p>
    <w:p>
      <w:pPr>
        <w:ind w:firstLine="420" w:firstLineChars="200"/>
        <w:rPr>
          <w:rFonts w:ascii="宋体" w:hAnsi="宋体" w:cs="宋体"/>
          <w:color w:val="auto"/>
          <w:szCs w:val="21"/>
          <w:highlight w:val="none"/>
        </w:rPr>
      </w:pPr>
      <w:r>
        <w:rPr>
          <w:rFonts w:ascii="宋体" w:hAnsi="宋体" w:cs="宋体"/>
          <w:color w:val="auto"/>
          <w:szCs w:val="21"/>
          <w:highlight w:val="none"/>
        </w:rPr>
        <w:t>（3）.《关于促进残疾人就业政府采购政策的通知》（财库[2017]141号）；</w:t>
      </w:r>
    </w:p>
    <w:p>
      <w:pPr>
        <w:ind w:firstLine="420" w:firstLineChars="200"/>
        <w:rPr>
          <w:rFonts w:ascii="宋体" w:hAnsi="宋体" w:cs="宋体"/>
          <w:color w:val="auto"/>
          <w:szCs w:val="21"/>
          <w:highlight w:val="none"/>
        </w:rPr>
      </w:pPr>
      <w:r>
        <w:rPr>
          <w:rFonts w:ascii="宋体" w:hAnsi="宋体" w:cs="宋体"/>
          <w:color w:val="auto"/>
          <w:szCs w:val="21"/>
          <w:highlight w:val="none"/>
        </w:rPr>
        <w:t>（4）. 优先采购环境标志产品、节能产品；</w:t>
      </w:r>
    </w:p>
    <w:p>
      <w:pPr>
        <w:ind w:firstLine="420" w:firstLineChars="200"/>
        <w:rPr>
          <w:rFonts w:ascii="宋体" w:hAnsi="宋体" w:cs="宋体"/>
          <w:color w:val="auto"/>
          <w:szCs w:val="21"/>
          <w:highlight w:val="none"/>
        </w:rPr>
      </w:pPr>
      <w:r>
        <w:rPr>
          <w:rFonts w:ascii="宋体" w:hAnsi="宋体" w:cs="宋体"/>
          <w:color w:val="auto"/>
          <w:szCs w:val="21"/>
          <w:highlight w:val="none"/>
        </w:rPr>
        <w:t>（5）. 政府采购扶持不发达地区和少数民族地区；</w:t>
      </w:r>
    </w:p>
    <w:p>
      <w:pPr>
        <w:ind w:firstLine="420" w:firstLineChars="200"/>
        <w:rPr>
          <w:rFonts w:ascii="宋体" w:hAnsi="宋体" w:cs="宋体"/>
          <w:color w:val="auto"/>
          <w:szCs w:val="21"/>
          <w:highlight w:val="none"/>
        </w:rPr>
      </w:pPr>
      <w:r>
        <w:rPr>
          <w:rFonts w:ascii="宋体" w:hAnsi="宋体" w:cs="宋体"/>
          <w:color w:val="auto"/>
          <w:szCs w:val="21"/>
          <w:highlight w:val="none"/>
        </w:rPr>
        <w:t>（6）. 本项目为服务采购项目，执行相应政府采购政策。</w:t>
      </w:r>
    </w:p>
    <w:p>
      <w:pPr>
        <w:pStyle w:val="4"/>
        <w:spacing w:line="240" w:lineRule="auto"/>
        <w:rPr>
          <w:rFonts w:ascii="宋体" w:hAnsi="宋体" w:eastAsia="宋体" w:cs="宋体"/>
          <w:color w:val="auto"/>
          <w:sz w:val="21"/>
          <w:szCs w:val="21"/>
          <w:highlight w:val="none"/>
        </w:rPr>
      </w:pPr>
      <w:bookmarkStart w:id="12" w:name="_Toc35393800"/>
      <w:bookmarkStart w:id="13" w:name="_Toc35393631"/>
      <w:r>
        <w:rPr>
          <w:rFonts w:ascii="宋体" w:hAnsi="宋体" w:eastAsia="宋体" w:cs="宋体"/>
          <w:color w:val="auto"/>
          <w:sz w:val="21"/>
          <w:szCs w:val="21"/>
          <w:highlight w:val="none"/>
        </w:rPr>
        <w:t>三、获取采购文件</w:t>
      </w:r>
      <w:bookmarkEnd w:id="10"/>
      <w:bookmarkEnd w:id="11"/>
      <w:bookmarkEnd w:id="12"/>
      <w:bookmarkEnd w:id="13"/>
    </w:p>
    <w:p>
      <w:pPr>
        <w:pStyle w:val="4"/>
        <w:spacing w:line="240" w:lineRule="auto"/>
        <w:ind w:firstLine="420" w:firstLineChars="200"/>
        <w:rPr>
          <w:rFonts w:ascii="宋体" w:hAnsi="宋体" w:eastAsia="宋体" w:cs="宋体"/>
          <w:b w:val="0"/>
          <w:bCs w:val="0"/>
          <w:color w:val="auto"/>
          <w:sz w:val="21"/>
          <w:szCs w:val="21"/>
          <w:highlight w:val="none"/>
        </w:rPr>
      </w:pPr>
      <w:bookmarkStart w:id="14" w:name="_Toc28359092"/>
      <w:bookmarkStart w:id="15" w:name="_Toc35393801"/>
      <w:bookmarkStart w:id="16" w:name="_Toc28359015"/>
      <w:bookmarkStart w:id="17" w:name="_Toc35393632"/>
      <w:r>
        <w:rPr>
          <w:rFonts w:hint="eastAsia" w:ascii="宋体" w:hAnsi="宋体" w:eastAsia="宋体" w:cs="宋体"/>
          <w:b w:val="0"/>
          <w:bCs w:val="0"/>
          <w:color w:val="auto"/>
          <w:sz w:val="21"/>
          <w:szCs w:val="21"/>
          <w:highlight w:val="none"/>
        </w:rPr>
        <w:t>采购文件由潜在供应商在招标信息公告网站自行下载。潜在供应商在截标现场签到报名，便认定为本项目的报名人。供应商在签到报名后即可递交投标文件。</w:t>
      </w:r>
    </w:p>
    <w:p>
      <w:pPr>
        <w:pStyle w:val="4"/>
        <w:spacing w:line="240" w:lineRule="auto"/>
        <w:rPr>
          <w:rFonts w:ascii="宋体" w:hAnsi="宋体" w:eastAsia="宋体" w:cs="宋体"/>
          <w:color w:val="auto"/>
          <w:sz w:val="21"/>
          <w:szCs w:val="21"/>
          <w:highlight w:val="none"/>
        </w:rPr>
      </w:pPr>
      <w:r>
        <w:rPr>
          <w:rFonts w:ascii="宋体" w:hAnsi="宋体" w:eastAsia="宋体" w:cs="宋体"/>
          <w:color w:val="auto"/>
          <w:sz w:val="21"/>
          <w:szCs w:val="21"/>
          <w:highlight w:val="none"/>
        </w:rPr>
        <w:t>四、响应文件提交</w:t>
      </w:r>
      <w:bookmarkEnd w:id="14"/>
      <w:bookmarkEnd w:id="15"/>
      <w:bookmarkEnd w:id="16"/>
      <w:bookmarkEnd w:id="17"/>
    </w:p>
    <w:p>
      <w:pPr>
        <w:ind w:firstLine="420" w:firstLineChars="200"/>
        <w:rPr>
          <w:rFonts w:ascii="宋体" w:hAnsi="宋体" w:cs="宋体"/>
          <w:color w:val="auto"/>
          <w:szCs w:val="21"/>
          <w:highlight w:val="none"/>
          <w:u w:val="single"/>
        </w:rPr>
      </w:pPr>
      <w:r>
        <w:rPr>
          <w:rFonts w:ascii="宋体" w:hAnsi="宋体" w:cs="宋体"/>
          <w:color w:val="auto"/>
          <w:szCs w:val="21"/>
          <w:highlight w:val="none"/>
        </w:rPr>
        <w:t>截止时间：</w:t>
      </w:r>
      <w:r>
        <w:rPr>
          <w:rFonts w:ascii="宋体" w:hAnsi="宋体" w:cs="宋体"/>
          <w:color w:val="auto"/>
          <w:szCs w:val="21"/>
          <w:highlight w:val="none"/>
          <w:u w:val="single"/>
        </w:rPr>
        <w:t>2020年</w:t>
      </w:r>
      <w:r>
        <w:rPr>
          <w:rFonts w:hint="eastAsia" w:ascii="宋体" w:hAnsi="宋体" w:cs="宋体"/>
          <w:color w:val="auto"/>
          <w:szCs w:val="21"/>
          <w:highlight w:val="none"/>
          <w:u w:val="single"/>
          <w:lang w:val="en-US" w:eastAsia="zh-CN"/>
        </w:rPr>
        <w:t>7</w:t>
      </w:r>
      <w:r>
        <w:rPr>
          <w:rFonts w:ascii="宋体" w:hAnsi="宋体" w:cs="宋体"/>
          <w:color w:val="auto"/>
          <w:szCs w:val="21"/>
          <w:highlight w:val="none"/>
          <w:u w:val="single"/>
        </w:rPr>
        <w:t>月</w:t>
      </w:r>
      <w:r>
        <w:rPr>
          <w:rFonts w:hint="eastAsia" w:ascii="宋体" w:hAnsi="宋体" w:cs="宋体"/>
          <w:color w:val="auto"/>
          <w:szCs w:val="21"/>
          <w:highlight w:val="none"/>
          <w:u w:val="single"/>
          <w:lang w:val="en-US" w:eastAsia="zh-CN"/>
        </w:rPr>
        <w:t>31</w:t>
      </w:r>
      <w:r>
        <w:rPr>
          <w:rFonts w:ascii="宋体" w:hAnsi="宋体" w:cs="宋体"/>
          <w:color w:val="auto"/>
          <w:szCs w:val="21"/>
          <w:highlight w:val="none"/>
          <w:u w:val="single"/>
        </w:rPr>
        <w:t>日9点00分</w:t>
      </w:r>
      <w:r>
        <w:rPr>
          <w:rFonts w:ascii="宋体" w:hAnsi="宋体" w:cs="宋体"/>
          <w:color w:val="auto"/>
          <w:szCs w:val="21"/>
          <w:highlight w:val="none"/>
        </w:rPr>
        <w:t>（北京时间）</w:t>
      </w:r>
      <w:r>
        <w:rPr>
          <w:rFonts w:ascii="宋体" w:hAnsi="宋体" w:cs="宋体"/>
          <w:color w:val="auto"/>
          <w:szCs w:val="21"/>
          <w:highlight w:val="none"/>
          <w:u w:val="single"/>
        </w:rPr>
        <w:t>（</w:t>
      </w:r>
      <w:r>
        <w:rPr>
          <w:rFonts w:ascii="宋体" w:hAnsi="宋体" w:cs="宋体"/>
          <w:i/>
          <w:iCs/>
          <w:color w:val="auto"/>
          <w:szCs w:val="21"/>
          <w:highlight w:val="none"/>
          <w:u w:val="single"/>
        </w:rPr>
        <w:t>从磋商文件开始发出之日起至供应商提交首次响应文件截止之日止不得少于10日</w:t>
      </w:r>
      <w:r>
        <w:rPr>
          <w:rFonts w:ascii="宋体" w:hAnsi="宋体" w:cs="宋体"/>
          <w:color w:val="auto"/>
          <w:szCs w:val="21"/>
          <w:highlight w:val="none"/>
          <w:u w:val="single"/>
        </w:rPr>
        <w:t>）</w:t>
      </w:r>
      <w:r>
        <w:rPr>
          <w:rFonts w:ascii="宋体" w:hAnsi="宋体" w:cs="宋体"/>
          <w:color w:val="auto"/>
          <w:szCs w:val="21"/>
          <w:highlight w:val="none"/>
        </w:rPr>
        <w:t>。</w:t>
      </w:r>
    </w:p>
    <w:p>
      <w:pPr>
        <w:ind w:firstLine="420" w:firstLineChars="200"/>
        <w:rPr>
          <w:rFonts w:ascii="宋体" w:hAnsi="宋体" w:cs="宋体"/>
          <w:color w:val="auto"/>
          <w:szCs w:val="21"/>
          <w:highlight w:val="none"/>
          <w:u w:val="single"/>
        </w:rPr>
      </w:pPr>
      <w:r>
        <w:rPr>
          <w:rFonts w:ascii="宋体" w:hAnsi="宋体" w:cs="宋体"/>
          <w:color w:val="auto"/>
          <w:szCs w:val="21"/>
          <w:highlight w:val="none"/>
        </w:rPr>
        <w:t>地点：</w:t>
      </w:r>
      <w:r>
        <w:rPr>
          <w:rFonts w:hint="eastAsia" w:ascii="宋体" w:hAnsi="宋体" w:cs="宋体"/>
          <w:color w:val="auto"/>
          <w:szCs w:val="21"/>
          <w:highlight w:val="none"/>
        </w:rPr>
        <w:t>桂平市公共资源交易中心【桂江西路政务服务中心新大楼（原国会大厦）五楼】</w:t>
      </w:r>
      <w:r>
        <w:rPr>
          <w:rFonts w:ascii="宋体" w:hAnsi="宋体" w:cs="宋体"/>
          <w:color w:val="auto"/>
          <w:szCs w:val="21"/>
          <w:highlight w:val="none"/>
        </w:rPr>
        <w:t>。</w:t>
      </w:r>
    </w:p>
    <w:p>
      <w:pPr>
        <w:pStyle w:val="4"/>
        <w:spacing w:line="240" w:lineRule="auto"/>
        <w:rPr>
          <w:rFonts w:ascii="宋体" w:hAnsi="宋体" w:eastAsia="宋体" w:cs="宋体"/>
          <w:color w:val="auto"/>
          <w:sz w:val="21"/>
          <w:szCs w:val="21"/>
          <w:highlight w:val="none"/>
        </w:rPr>
      </w:pPr>
      <w:bookmarkStart w:id="18" w:name="_Toc28359016"/>
      <w:bookmarkStart w:id="19" w:name="_Toc35393802"/>
      <w:bookmarkStart w:id="20" w:name="_Toc28359093"/>
      <w:bookmarkStart w:id="21" w:name="_Toc35393633"/>
      <w:r>
        <w:rPr>
          <w:rFonts w:ascii="宋体" w:hAnsi="宋体" w:eastAsia="宋体" w:cs="宋体"/>
          <w:color w:val="auto"/>
          <w:sz w:val="21"/>
          <w:szCs w:val="21"/>
          <w:highlight w:val="none"/>
        </w:rPr>
        <w:t>五、开启</w:t>
      </w:r>
      <w:bookmarkEnd w:id="18"/>
      <w:bookmarkEnd w:id="19"/>
      <w:bookmarkEnd w:id="20"/>
      <w:bookmarkEnd w:id="21"/>
      <w:bookmarkStart w:id="22" w:name="_Toc28359094"/>
      <w:bookmarkStart w:id="23" w:name="_Toc35393634"/>
      <w:bookmarkStart w:id="24" w:name="_Toc35393803"/>
      <w:bookmarkStart w:id="25" w:name="_Toc28359017"/>
      <w:r>
        <w:rPr>
          <w:rFonts w:ascii="宋体" w:hAnsi="宋体" w:eastAsia="宋体" w:cs="宋体"/>
          <w:color w:val="auto"/>
          <w:sz w:val="21"/>
          <w:szCs w:val="21"/>
          <w:highlight w:val="none"/>
        </w:rPr>
        <w:t>（磋商时间及地点）：</w:t>
      </w:r>
    </w:p>
    <w:p>
      <w:pPr>
        <w:ind w:firstLine="420" w:firstLineChars="200"/>
        <w:rPr>
          <w:rFonts w:ascii="宋体" w:hAnsi="宋体" w:cs="宋体"/>
          <w:color w:val="auto"/>
          <w:szCs w:val="21"/>
          <w:highlight w:val="none"/>
        </w:rPr>
      </w:pPr>
      <w:r>
        <w:rPr>
          <w:rFonts w:ascii="宋体" w:hAnsi="宋体" w:cs="宋体"/>
          <w:color w:val="auto"/>
          <w:szCs w:val="21"/>
          <w:highlight w:val="none"/>
        </w:rPr>
        <w:t>响应文件递交截止时间后为磋商小组与磋商供应商磋商时间，具体时间由采购代理机构另行通知。地点：</w:t>
      </w:r>
      <w:r>
        <w:rPr>
          <w:rFonts w:hint="eastAsia" w:ascii="宋体" w:hAnsi="宋体" w:cs="宋体"/>
          <w:color w:val="auto"/>
          <w:szCs w:val="21"/>
          <w:highlight w:val="none"/>
        </w:rPr>
        <w:t>桂平市公共资源交易中心【桂江西路政务服务中心新大楼（原国会大厦）五楼】</w:t>
      </w:r>
      <w:r>
        <w:rPr>
          <w:rFonts w:ascii="宋体" w:hAnsi="宋体" w:cs="宋体"/>
          <w:color w:val="auto"/>
          <w:szCs w:val="21"/>
          <w:highlight w:val="none"/>
        </w:rPr>
        <w:t>。参加磋商的法定代表人、负责人、自然人或相应的委托代理人必须持有效证件【法定代表人（负责人、自然人）凭身份证或相应的委托代理人凭授权委托书原件和身份证】依时到达指定地点等候当面磋商。响应文件递交截止时间后，磋商小组在评标室启封响应文件。</w:t>
      </w:r>
    </w:p>
    <w:p>
      <w:pPr>
        <w:pStyle w:val="4"/>
        <w:spacing w:line="240" w:lineRule="auto"/>
        <w:rPr>
          <w:rFonts w:ascii="宋体" w:hAnsi="宋体" w:eastAsia="宋体" w:cs="宋体"/>
          <w:color w:val="auto"/>
          <w:sz w:val="21"/>
          <w:szCs w:val="21"/>
          <w:highlight w:val="none"/>
        </w:rPr>
      </w:pPr>
      <w:r>
        <w:rPr>
          <w:rFonts w:ascii="宋体" w:hAnsi="宋体" w:eastAsia="宋体" w:cs="宋体"/>
          <w:color w:val="auto"/>
          <w:sz w:val="21"/>
          <w:szCs w:val="21"/>
          <w:highlight w:val="none"/>
        </w:rPr>
        <w:t>六、公告期限</w:t>
      </w:r>
      <w:bookmarkEnd w:id="22"/>
      <w:bookmarkEnd w:id="23"/>
      <w:bookmarkEnd w:id="24"/>
      <w:bookmarkEnd w:id="25"/>
    </w:p>
    <w:p>
      <w:pPr>
        <w:ind w:firstLine="420" w:firstLineChars="200"/>
        <w:rPr>
          <w:rFonts w:ascii="宋体" w:hAnsi="宋体" w:cs="宋体"/>
          <w:color w:val="auto"/>
          <w:kern w:val="0"/>
          <w:szCs w:val="21"/>
          <w:highlight w:val="none"/>
        </w:rPr>
      </w:pPr>
      <w:r>
        <w:rPr>
          <w:rFonts w:ascii="宋体" w:hAnsi="宋体" w:cs="宋体"/>
          <w:color w:val="auto"/>
          <w:kern w:val="0"/>
          <w:szCs w:val="21"/>
          <w:highlight w:val="none"/>
        </w:rPr>
        <w:t>自本公告发布之日起10日。</w:t>
      </w:r>
    </w:p>
    <w:p>
      <w:pPr>
        <w:pStyle w:val="4"/>
        <w:numPr>
          <w:ilvl w:val="0"/>
          <w:numId w:val="1"/>
        </w:numPr>
        <w:spacing w:line="240" w:lineRule="auto"/>
        <w:rPr>
          <w:rFonts w:ascii="宋体" w:hAnsi="宋体" w:eastAsia="宋体" w:cs="宋体"/>
          <w:color w:val="auto"/>
          <w:sz w:val="21"/>
          <w:szCs w:val="21"/>
          <w:highlight w:val="none"/>
        </w:rPr>
      </w:pPr>
      <w:bookmarkStart w:id="26" w:name="_Toc35393635"/>
      <w:bookmarkStart w:id="27" w:name="_Toc35393804"/>
      <w:r>
        <w:rPr>
          <w:rFonts w:ascii="宋体" w:hAnsi="宋体" w:eastAsia="宋体" w:cs="宋体"/>
          <w:color w:val="auto"/>
          <w:sz w:val="21"/>
          <w:szCs w:val="21"/>
          <w:highlight w:val="none"/>
        </w:rPr>
        <w:t>其他补充事宜</w:t>
      </w:r>
      <w:bookmarkEnd w:id="26"/>
      <w:bookmarkEnd w:id="27"/>
    </w:p>
    <w:p>
      <w:pPr>
        <w:ind w:firstLine="420" w:firstLineChars="200"/>
        <w:rPr>
          <w:rFonts w:ascii="宋体" w:hAnsi="宋体" w:cs="宋体"/>
          <w:color w:val="auto"/>
          <w:szCs w:val="21"/>
          <w:highlight w:val="none"/>
        </w:rPr>
      </w:pPr>
      <w:r>
        <w:rPr>
          <w:rFonts w:ascii="宋体" w:hAnsi="宋体" w:cs="宋体"/>
          <w:color w:val="auto"/>
          <w:szCs w:val="21"/>
          <w:highlight w:val="none"/>
        </w:rPr>
        <w:t>信息公告发布媒体：http://www.ccgp.gov.cn（中国政府采购网）、http://zfcg.gxzf.gov.cn（广西壮族自治区政府采购网）、http://zfcg.czj.gxgg.gov.cn（贵港市政府采购网）、http://ggggjy.gxgg.gov.cn:9005（贵港市公共资源交易中心网） 。</w:t>
      </w:r>
    </w:p>
    <w:p>
      <w:pPr>
        <w:pStyle w:val="4"/>
        <w:numPr>
          <w:ilvl w:val="0"/>
          <w:numId w:val="1"/>
        </w:numPr>
        <w:spacing w:line="240" w:lineRule="auto"/>
        <w:rPr>
          <w:rFonts w:ascii="宋体" w:hAnsi="宋体" w:eastAsia="宋体" w:cs="宋体"/>
          <w:color w:val="auto"/>
          <w:sz w:val="21"/>
          <w:szCs w:val="21"/>
          <w:highlight w:val="none"/>
        </w:rPr>
      </w:pPr>
      <w:bookmarkStart w:id="28" w:name="_Toc28359018"/>
      <w:bookmarkStart w:id="29" w:name="_Toc35393805"/>
      <w:bookmarkStart w:id="30" w:name="_Toc28359095"/>
      <w:bookmarkStart w:id="31" w:name="_Toc35393636"/>
      <w:r>
        <w:rPr>
          <w:rFonts w:ascii="宋体" w:hAnsi="宋体" w:eastAsia="宋体" w:cs="宋体"/>
          <w:color w:val="auto"/>
          <w:sz w:val="21"/>
          <w:szCs w:val="21"/>
          <w:highlight w:val="none"/>
        </w:rPr>
        <w:t>凡对本次采购提出询问，请按以下方式联系。</w:t>
      </w:r>
      <w:bookmarkEnd w:id="28"/>
      <w:bookmarkEnd w:id="29"/>
      <w:bookmarkEnd w:id="30"/>
      <w:bookmarkEnd w:id="31"/>
    </w:p>
    <w:p>
      <w:pPr>
        <w:pStyle w:val="4"/>
        <w:spacing w:line="240" w:lineRule="auto"/>
        <w:ind w:firstLine="632" w:firstLineChars="300"/>
        <w:rPr>
          <w:rFonts w:ascii="宋体" w:hAnsi="宋体" w:eastAsia="宋体" w:cs="宋体"/>
          <w:color w:val="auto"/>
          <w:sz w:val="21"/>
          <w:szCs w:val="21"/>
          <w:highlight w:val="none"/>
        </w:rPr>
      </w:pPr>
      <w:bookmarkStart w:id="32" w:name="_Toc28359019"/>
      <w:bookmarkStart w:id="33" w:name="_Toc35393637"/>
      <w:bookmarkStart w:id="34" w:name="_Toc35393806"/>
      <w:bookmarkStart w:id="35" w:name="_Toc28359096"/>
      <w:r>
        <w:rPr>
          <w:rFonts w:ascii="宋体" w:hAnsi="宋体" w:eastAsia="宋体" w:cs="宋体"/>
          <w:color w:val="auto"/>
          <w:sz w:val="21"/>
          <w:szCs w:val="21"/>
          <w:highlight w:val="none"/>
        </w:rPr>
        <w:t>1.采购人信息</w:t>
      </w:r>
      <w:bookmarkEnd w:id="32"/>
      <w:bookmarkEnd w:id="33"/>
      <w:bookmarkEnd w:id="34"/>
      <w:bookmarkEnd w:id="35"/>
    </w:p>
    <w:p>
      <w:pPr>
        <w:ind w:firstLine="630" w:firstLineChars="300"/>
        <w:rPr>
          <w:rFonts w:ascii="宋体" w:hAnsi="宋体" w:cs="宋体"/>
          <w:color w:val="auto"/>
          <w:szCs w:val="21"/>
          <w:highlight w:val="none"/>
        </w:rPr>
      </w:pPr>
      <w:r>
        <w:rPr>
          <w:rFonts w:ascii="宋体" w:hAnsi="宋体" w:cs="宋体"/>
          <w:color w:val="auto"/>
          <w:szCs w:val="21"/>
          <w:highlight w:val="none"/>
        </w:rPr>
        <w:t>名    称：</w:t>
      </w:r>
      <w:r>
        <w:rPr>
          <w:rFonts w:hint="eastAsia" w:ascii="宋体" w:hAnsi="宋体" w:cs="宋体"/>
          <w:color w:val="auto"/>
          <w:szCs w:val="21"/>
          <w:highlight w:val="none"/>
        </w:rPr>
        <w:t>桂平市交通运输局</w:t>
      </w:r>
    </w:p>
    <w:p>
      <w:pPr>
        <w:ind w:firstLine="630" w:firstLineChars="300"/>
        <w:rPr>
          <w:rFonts w:ascii="宋体" w:hAnsi="宋体" w:cs="宋体"/>
          <w:color w:val="auto"/>
          <w:szCs w:val="21"/>
          <w:highlight w:val="none"/>
        </w:rPr>
      </w:pPr>
      <w:r>
        <w:rPr>
          <w:rFonts w:ascii="宋体" w:hAnsi="宋体" w:cs="宋体"/>
          <w:color w:val="auto"/>
          <w:szCs w:val="21"/>
          <w:highlight w:val="none"/>
        </w:rPr>
        <w:t>地    址：</w:t>
      </w:r>
      <w:r>
        <w:rPr>
          <w:rFonts w:hint="eastAsia" w:ascii="宋体" w:hAnsi="宋体" w:cs="宋体"/>
          <w:color w:val="auto"/>
          <w:szCs w:val="21"/>
          <w:highlight w:val="none"/>
          <w:lang w:eastAsia="zh-CN"/>
        </w:rPr>
        <w:t>广西桂平市郁江东路84号</w:t>
      </w:r>
      <w:bookmarkStart w:id="91" w:name="_GoBack"/>
      <w:bookmarkEnd w:id="91"/>
    </w:p>
    <w:p>
      <w:pPr>
        <w:ind w:firstLine="630" w:firstLineChars="300"/>
        <w:rPr>
          <w:rFonts w:ascii="宋体" w:hAnsi="宋体" w:cs="宋体"/>
          <w:color w:val="auto"/>
          <w:szCs w:val="21"/>
          <w:highlight w:val="none"/>
        </w:rPr>
      </w:pPr>
      <w:bookmarkStart w:id="36" w:name="_Toc28359097"/>
      <w:bookmarkStart w:id="37" w:name="_Toc28359020"/>
      <w:bookmarkStart w:id="38" w:name="_Toc35393807"/>
      <w:bookmarkStart w:id="39" w:name="_Toc35393638"/>
      <w:r>
        <w:rPr>
          <w:rFonts w:ascii="宋体" w:hAnsi="宋体" w:cs="宋体"/>
          <w:color w:val="auto"/>
          <w:szCs w:val="21"/>
          <w:highlight w:val="none"/>
        </w:rPr>
        <w:t xml:space="preserve">联系人及电话: </w:t>
      </w:r>
      <w:r>
        <w:rPr>
          <w:rFonts w:hint="eastAsia" w:ascii="宋体" w:hAnsi="宋体" w:cs="宋体"/>
          <w:color w:val="auto"/>
          <w:szCs w:val="21"/>
          <w:highlight w:val="none"/>
        </w:rPr>
        <w:t>邓文红</w:t>
      </w:r>
      <w:r>
        <w:rPr>
          <w:rFonts w:ascii="宋体" w:hAnsi="宋体" w:cs="宋体"/>
          <w:color w:val="auto"/>
          <w:szCs w:val="21"/>
          <w:highlight w:val="none"/>
        </w:rPr>
        <w:t>，</w:t>
      </w:r>
      <w:r>
        <w:rPr>
          <w:rFonts w:hint="eastAsia" w:ascii="宋体" w:hAnsi="宋体" w:cs="宋体"/>
          <w:color w:val="auto"/>
          <w:szCs w:val="21"/>
          <w:highlight w:val="none"/>
        </w:rPr>
        <w:t>0775-3387662</w:t>
      </w:r>
    </w:p>
    <w:p>
      <w:pPr>
        <w:pStyle w:val="4"/>
        <w:spacing w:line="240" w:lineRule="auto"/>
        <w:ind w:firstLine="632" w:firstLineChars="300"/>
        <w:rPr>
          <w:rFonts w:ascii="宋体" w:hAnsi="宋体" w:eastAsia="宋体" w:cs="宋体"/>
          <w:color w:val="auto"/>
          <w:sz w:val="21"/>
          <w:szCs w:val="21"/>
          <w:highlight w:val="none"/>
        </w:rPr>
      </w:pPr>
      <w:r>
        <w:rPr>
          <w:rFonts w:ascii="宋体" w:hAnsi="宋体" w:eastAsia="宋体" w:cs="宋体"/>
          <w:color w:val="auto"/>
          <w:sz w:val="21"/>
          <w:szCs w:val="21"/>
          <w:highlight w:val="none"/>
        </w:rPr>
        <w:t>2.采购代理机构信息</w:t>
      </w:r>
      <w:bookmarkEnd w:id="36"/>
      <w:bookmarkEnd w:id="37"/>
      <w:bookmarkEnd w:id="38"/>
      <w:bookmarkEnd w:id="39"/>
    </w:p>
    <w:p>
      <w:pPr>
        <w:ind w:firstLine="630" w:firstLineChars="300"/>
        <w:rPr>
          <w:rFonts w:ascii="宋体" w:hAnsi="宋体" w:cs="宋体"/>
          <w:color w:val="auto"/>
          <w:szCs w:val="21"/>
          <w:highlight w:val="none"/>
        </w:rPr>
      </w:pPr>
      <w:r>
        <w:rPr>
          <w:rFonts w:ascii="宋体" w:hAnsi="宋体" w:cs="宋体"/>
          <w:color w:val="auto"/>
          <w:szCs w:val="21"/>
          <w:highlight w:val="none"/>
        </w:rPr>
        <w:t>名    称：广西博行弈工程项目管理有限公司</w:t>
      </w:r>
    </w:p>
    <w:p>
      <w:pPr>
        <w:ind w:firstLine="630" w:firstLineChars="300"/>
        <w:rPr>
          <w:rFonts w:ascii="宋体" w:hAnsi="宋体" w:cs="宋体"/>
          <w:color w:val="auto"/>
          <w:szCs w:val="21"/>
          <w:highlight w:val="none"/>
        </w:rPr>
      </w:pPr>
      <w:r>
        <w:rPr>
          <w:rFonts w:ascii="宋体" w:hAnsi="宋体" w:cs="宋体"/>
          <w:color w:val="auto"/>
          <w:szCs w:val="21"/>
          <w:highlight w:val="none"/>
        </w:rPr>
        <w:t>地　　址：贵港市港北区金港大道万豪丽城2栋3单元3405</w:t>
      </w:r>
    </w:p>
    <w:p>
      <w:pPr>
        <w:ind w:firstLine="630" w:firstLineChars="300"/>
        <w:rPr>
          <w:rFonts w:ascii="宋体" w:hAnsi="宋体" w:cs="宋体"/>
          <w:color w:val="auto"/>
          <w:szCs w:val="21"/>
          <w:highlight w:val="none"/>
          <w:u w:val="single"/>
        </w:rPr>
      </w:pPr>
      <w:r>
        <w:rPr>
          <w:rFonts w:ascii="宋体" w:hAnsi="宋体" w:cs="宋体"/>
          <w:color w:val="auto"/>
          <w:szCs w:val="21"/>
          <w:highlight w:val="none"/>
        </w:rPr>
        <w:t>联系人及电话：</w:t>
      </w:r>
      <w:r>
        <w:rPr>
          <w:rFonts w:hint="eastAsia" w:ascii="宋体" w:hAnsi="宋体" w:cs="宋体"/>
          <w:color w:val="auto"/>
          <w:szCs w:val="21"/>
          <w:highlight w:val="none"/>
        </w:rPr>
        <w:t>吴工</w:t>
      </w:r>
      <w:r>
        <w:rPr>
          <w:rFonts w:ascii="宋体" w:hAnsi="宋体" w:cs="宋体"/>
          <w:color w:val="auto"/>
          <w:szCs w:val="21"/>
          <w:highlight w:val="none"/>
        </w:rPr>
        <w:t>， 0775-4218878</w:t>
      </w:r>
    </w:p>
    <w:p>
      <w:pPr>
        <w:ind w:firstLine="632" w:firstLineChars="300"/>
        <w:rPr>
          <w:rFonts w:ascii="宋体" w:hAnsi="宋体" w:cs="宋体"/>
          <w:color w:val="auto"/>
          <w:szCs w:val="21"/>
          <w:highlight w:val="none"/>
        </w:rPr>
      </w:pPr>
      <w:bookmarkStart w:id="40" w:name="_Toc28359098"/>
      <w:bookmarkStart w:id="41" w:name="_Toc35393639"/>
      <w:bookmarkStart w:id="42" w:name="_Toc28359021"/>
      <w:bookmarkStart w:id="43" w:name="_Toc35393808"/>
      <w:r>
        <w:rPr>
          <w:rFonts w:ascii="宋体" w:hAnsi="宋体" w:cs="宋体"/>
          <w:b/>
          <w:bCs/>
          <w:color w:val="auto"/>
          <w:szCs w:val="21"/>
          <w:highlight w:val="none"/>
        </w:rPr>
        <w:t>3.</w:t>
      </w:r>
      <w:bookmarkEnd w:id="40"/>
      <w:bookmarkEnd w:id="41"/>
      <w:bookmarkEnd w:id="42"/>
      <w:bookmarkEnd w:id="43"/>
      <w:r>
        <w:rPr>
          <w:rFonts w:ascii="宋体" w:hAnsi="宋体" w:cs="宋体"/>
          <w:b/>
          <w:bCs/>
          <w:color w:val="auto"/>
          <w:szCs w:val="21"/>
          <w:highlight w:val="none"/>
        </w:rPr>
        <w:t>政府采购监督管理机构</w:t>
      </w:r>
      <w:r>
        <w:rPr>
          <w:rFonts w:ascii="宋体" w:hAnsi="宋体" w:cs="宋体"/>
          <w:color w:val="auto"/>
          <w:szCs w:val="21"/>
          <w:highlight w:val="none"/>
        </w:rPr>
        <w:t>：</w:t>
      </w:r>
      <w:r>
        <w:rPr>
          <w:rFonts w:hint="eastAsia" w:ascii="宋体" w:hAnsi="宋体" w:cs="宋体"/>
          <w:color w:val="auto"/>
          <w:szCs w:val="21"/>
          <w:highlight w:val="none"/>
        </w:rPr>
        <w:t>桂平市财政局政府采购监督管理股</w:t>
      </w:r>
      <w:r>
        <w:rPr>
          <w:rFonts w:ascii="宋体" w:hAnsi="宋体" w:cs="宋体"/>
          <w:color w:val="auto"/>
          <w:szCs w:val="21"/>
          <w:highlight w:val="none"/>
        </w:rPr>
        <w:t xml:space="preserve">      </w:t>
      </w:r>
    </w:p>
    <w:p>
      <w:pPr>
        <w:ind w:firstLine="2100" w:firstLineChars="1000"/>
        <w:rPr>
          <w:rFonts w:ascii="宋体" w:hAnsi="宋体" w:cs="宋体"/>
          <w:color w:val="auto"/>
          <w:szCs w:val="21"/>
          <w:highlight w:val="none"/>
        </w:rPr>
      </w:pPr>
      <w:r>
        <w:rPr>
          <w:rFonts w:ascii="宋体" w:hAnsi="宋体" w:cs="宋体"/>
          <w:color w:val="auto"/>
          <w:szCs w:val="21"/>
          <w:highlight w:val="none"/>
        </w:rPr>
        <w:t xml:space="preserve">联系电话： </w:t>
      </w:r>
      <w:r>
        <w:rPr>
          <w:rFonts w:hint="eastAsia" w:ascii="宋体" w:hAnsi="宋体" w:cs="宋体"/>
          <w:color w:val="auto"/>
          <w:szCs w:val="21"/>
          <w:highlight w:val="none"/>
          <w:lang w:val="zh-CN"/>
        </w:rPr>
        <w:t>0775-3380263</w:t>
      </w:r>
    </w:p>
    <w:p>
      <w:pPr>
        <w:ind w:firstLine="5565" w:firstLineChars="2650"/>
        <w:rPr>
          <w:rFonts w:ascii="宋体" w:hAnsi="宋体" w:cs="宋体"/>
          <w:color w:val="auto"/>
          <w:szCs w:val="21"/>
          <w:highlight w:val="none"/>
        </w:rPr>
      </w:pPr>
    </w:p>
    <w:p>
      <w:pPr>
        <w:ind w:firstLine="5565" w:firstLineChars="2650"/>
        <w:rPr>
          <w:rFonts w:ascii="宋体" w:hAnsi="宋体" w:cs="宋体"/>
          <w:color w:val="auto"/>
          <w:szCs w:val="21"/>
          <w:highlight w:val="none"/>
        </w:rPr>
      </w:pPr>
    </w:p>
    <w:p>
      <w:pPr>
        <w:ind w:firstLine="5670" w:firstLineChars="2700"/>
        <w:rPr>
          <w:rFonts w:ascii="宋体" w:hAnsi="宋体" w:cs="宋体"/>
          <w:color w:val="auto"/>
          <w:szCs w:val="21"/>
          <w:highlight w:val="none"/>
        </w:rPr>
      </w:pPr>
      <w:r>
        <w:rPr>
          <w:rFonts w:ascii="宋体" w:hAnsi="宋体" w:cs="宋体"/>
          <w:color w:val="auto"/>
          <w:szCs w:val="21"/>
          <w:highlight w:val="none"/>
        </w:rPr>
        <w:t>广西博行弈工程项目管理有限公司</w:t>
      </w:r>
    </w:p>
    <w:p>
      <w:pPr>
        <w:ind w:firstLine="7140" w:firstLineChars="3400"/>
        <w:rPr>
          <w:rFonts w:ascii="宋体" w:hAnsi="宋体" w:cs="宋体"/>
          <w:color w:val="auto"/>
          <w:szCs w:val="21"/>
          <w:highlight w:val="none"/>
        </w:rPr>
      </w:pPr>
      <w:r>
        <w:rPr>
          <w:rFonts w:ascii="宋体" w:hAnsi="宋体" w:cs="宋体"/>
          <w:color w:val="auto"/>
          <w:szCs w:val="21"/>
          <w:highlight w:val="none"/>
        </w:rPr>
        <w:t>2020年</w:t>
      </w:r>
      <w:r>
        <w:rPr>
          <w:rFonts w:hint="eastAsia" w:ascii="宋体" w:hAnsi="宋体" w:cs="宋体"/>
          <w:color w:val="auto"/>
          <w:szCs w:val="21"/>
          <w:highlight w:val="none"/>
          <w:lang w:val="en-US" w:eastAsia="zh-CN"/>
        </w:rPr>
        <w:t>7</w:t>
      </w:r>
      <w:r>
        <w:rPr>
          <w:rFonts w:ascii="宋体" w:hAnsi="宋体" w:cs="宋体"/>
          <w:color w:val="auto"/>
          <w:szCs w:val="21"/>
          <w:highlight w:val="none"/>
        </w:rPr>
        <w:t>月</w:t>
      </w:r>
      <w:r>
        <w:rPr>
          <w:rFonts w:hint="eastAsia" w:ascii="宋体" w:hAnsi="宋体" w:cs="宋体"/>
          <w:color w:val="auto"/>
          <w:szCs w:val="21"/>
          <w:highlight w:val="none"/>
          <w:lang w:val="en-US" w:eastAsia="zh-CN"/>
        </w:rPr>
        <w:t>20</w:t>
      </w:r>
      <w:r>
        <w:rPr>
          <w:rFonts w:ascii="宋体" w:hAnsi="宋体" w:cs="宋体"/>
          <w:color w:val="auto"/>
          <w:szCs w:val="21"/>
          <w:highlight w:val="none"/>
        </w:rPr>
        <w:t>日</w:t>
      </w:r>
    </w:p>
    <w:p>
      <w:pPr>
        <w:spacing w:after="0" w:line="240" w:lineRule="exact"/>
        <w:ind w:left="60" w:firstLine="5986"/>
        <w:rPr>
          <w:color w:val="auto"/>
          <w:highlight w:val="none"/>
        </w:rPr>
      </w:pPr>
    </w:p>
    <w:p>
      <w:pPr>
        <w:spacing w:after="0" w:line="240" w:lineRule="exact"/>
        <w:ind w:left="60" w:firstLine="5986"/>
        <w:rPr>
          <w:color w:val="auto"/>
          <w:highlight w:val="none"/>
        </w:rPr>
      </w:pPr>
    </w:p>
    <w:p>
      <w:pPr>
        <w:spacing w:after="0" w:line="240" w:lineRule="exact"/>
        <w:ind w:left="60" w:firstLine="5986"/>
        <w:rPr>
          <w:color w:val="auto"/>
          <w:highlight w:val="none"/>
        </w:rPr>
      </w:pPr>
    </w:p>
    <w:p>
      <w:pPr>
        <w:spacing w:after="0" w:line="240" w:lineRule="exact"/>
        <w:rPr>
          <w:color w:val="auto"/>
          <w:highlight w:val="none"/>
        </w:rPr>
      </w:pPr>
    </w:p>
    <w:p>
      <w:pPr>
        <w:widowControl/>
        <w:rPr>
          <w:color w:val="auto"/>
          <w:highlight w:val="none"/>
        </w:rPr>
        <w:sectPr>
          <w:type w:val="continuous"/>
          <w:pgSz w:w="11906" w:h="16839"/>
          <w:pgMar w:top="818" w:right="713" w:bottom="578" w:left="1073" w:header="0" w:footer="0" w:gutter="0"/>
          <w:cols w:space="720" w:num="1"/>
          <w:docGrid w:type="lines" w:linePitch="312" w:charSpace="0"/>
        </w:sectPr>
      </w:pPr>
    </w:p>
    <w:p>
      <w:pPr>
        <w:spacing w:after="0" w:line="240" w:lineRule="exact"/>
        <w:rPr>
          <w:color w:val="auto"/>
          <w:highlight w:val="none"/>
        </w:rPr>
      </w:pPr>
      <w:bookmarkStart w:id="44" w:name="6"/>
      <w:bookmarkEnd w:id="44"/>
    </w:p>
    <w:p>
      <w:pPr>
        <w:spacing w:after="0" w:line="464" w:lineRule="exact"/>
        <w:ind w:left="60" w:firstLine="1402"/>
        <w:rPr>
          <w:rFonts w:ascii="宋体" w:hAnsi="宋体" w:eastAsia="宋体" w:cs="宋体"/>
          <w:color w:val="auto"/>
          <w:spacing w:val="-1"/>
          <w:sz w:val="44"/>
          <w:highlight w:val="none"/>
        </w:rPr>
      </w:pPr>
      <w:r>
        <w:rPr>
          <w:rFonts w:ascii="宋体" w:hAnsi="宋体" w:eastAsia="宋体" w:cs="宋体"/>
          <w:color w:val="auto"/>
          <w:sz w:val="44"/>
          <w:highlight w:val="none"/>
        </w:rPr>
        <w:t>第二章</w:t>
      </w:r>
      <w:r>
        <w:rPr>
          <w:rFonts w:ascii="Calibri" w:hAnsi="Calibri" w:cs="Calibri"/>
          <w:color w:val="auto"/>
          <w:w w:val="224"/>
          <w:sz w:val="44"/>
          <w:highlight w:val="none"/>
        </w:rPr>
        <w:t> </w:t>
      </w:r>
      <w:r>
        <w:rPr>
          <w:rFonts w:ascii="宋体" w:hAnsi="宋体" w:eastAsia="宋体" w:cs="宋体"/>
          <w:color w:val="auto"/>
          <w:sz w:val="44"/>
          <w:highlight w:val="none"/>
        </w:rPr>
        <w:t>磋商须知前附表及磋商须</w:t>
      </w:r>
      <w:r>
        <w:rPr>
          <w:rFonts w:ascii="宋体" w:hAnsi="宋体" w:eastAsia="宋体" w:cs="宋体"/>
          <w:color w:val="auto"/>
          <w:spacing w:val="-1"/>
          <w:sz w:val="44"/>
          <w:highlight w:val="none"/>
        </w:rPr>
        <w:t>知</w:t>
      </w:r>
    </w:p>
    <w:p>
      <w:pPr>
        <w:pStyle w:val="4"/>
        <w:jc w:val="center"/>
        <w:rPr>
          <w:b w:val="0"/>
          <w:color w:val="auto"/>
          <w:kern w:val="0"/>
          <w:highlight w:val="none"/>
        </w:rPr>
      </w:pPr>
      <w:r>
        <w:rPr>
          <w:rFonts w:hint="eastAsia"/>
          <w:b w:val="0"/>
          <w:color w:val="auto"/>
          <w:kern w:val="0"/>
          <w:highlight w:val="none"/>
        </w:rPr>
        <w:t>磋商须知前附表</w:t>
      </w:r>
    </w:p>
    <w:tbl>
      <w:tblPr>
        <w:tblStyle w:val="16"/>
        <w:tblW w:w="97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928"/>
        <w:gridCol w:w="8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740" w:type="dxa"/>
            <w:vAlign w:val="center"/>
          </w:tcPr>
          <w:p>
            <w:pPr>
              <w:adjustRightInd w:val="0"/>
              <w:spacing w:line="400" w:lineRule="exact"/>
              <w:jc w:val="center"/>
              <w:textAlignment w:val="baseline"/>
              <w:rPr>
                <w:rFonts w:ascii="宋体" w:hAnsi="宋体"/>
                <w:color w:val="auto"/>
                <w:kern w:val="0"/>
                <w:highlight w:val="none"/>
              </w:rPr>
            </w:pPr>
            <w:r>
              <w:rPr>
                <w:rFonts w:hint="eastAsia" w:ascii="宋体" w:hAnsi="宋体"/>
                <w:color w:val="auto"/>
                <w:kern w:val="0"/>
                <w:highlight w:val="none"/>
              </w:rPr>
              <w:t>项号</w:t>
            </w:r>
          </w:p>
        </w:tc>
        <w:tc>
          <w:tcPr>
            <w:tcW w:w="928" w:type="dxa"/>
            <w:vAlign w:val="center"/>
          </w:tcPr>
          <w:p>
            <w:pPr>
              <w:adjustRightInd w:val="0"/>
              <w:spacing w:line="400" w:lineRule="exact"/>
              <w:jc w:val="center"/>
              <w:textAlignment w:val="baseline"/>
              <w:rPr>
                <w:rFonts w:ascii="宋体" w:hAnsi="宋体"/>
                <w:color w:val="auto"/>
                <w:kern w:val="0"/>
                <w:highlight w:val="none"/>
              </w:rPr>
            </w:pPr>
            <w:r>
              <w:rPr>
                <w:rFonts w:hint="eastAsia" w:ascii="宋体" w:hAnsi="宋体"/>
                <w:color w:val="auto"/>
                <w:kern w:val="0"/>
                <w:highlight w:val="none"/>
              </w:rPr>
              <w:t>条款号</w:t>
            </w:r>
          </w:p>
        </w:tc>
        <w:tc>
          <w:tcPr>
            <w:tcW w:w="8117" w:type="dxa"/>
            <w:vAlign w:val="center"/>
          </w:tcPr>
          <w:p>
            <w:pPr>
              <w:adjustRightInd w:val="0"/>
              <w:spacing w:line="400" w:lineRule="exact"/>
              <w:jc w:val="center"/>
              <w:textAlignment w:val="baseline"/>
              <w:rPr>
                <w:rFonts w:ascii="宋体" w:hAnsi="宋体"/>
                <w:color w:val="auto"/>
                <w:kern w:val="0"/>
                <w:highlight w:val="none"/>
              </w:rPr>
            </w:pPr>
            <w:r>
              <w:rPr>
                <w:rFonts w:hint="eastAsia" w:ascii="宋体" w:hAnsi="宋体"/>
                <w:color w:val="auto"/>
                <w:kern w:val="0"/>
                <w:highlight w:val="none"/>
              </w:rPr>
              <w:t>内</w:t>
            </w:r>
            <w:r>
              <w:rPr>
                <w:rFonts w:ascii="宋体" w:hAnsi="宋体"/>
                <w:color w:val="auto"/>
                <w:kern w:val="0"/>
                <w:highlight w:val="none"/>
              </w:rPr>
              <w:t xml:space="preserve">     </w:t>
            </w:r>
            <w:r>
              <w:rPr>
                <w:rFonts w:hint="eastAsia" w:ascii="宋体" w:hAnsi="宋体"/>
                <w:color w:val="auto"/>
                <w:kern w:val="0"/>
                <w:highlight w:val="none"/>
              </w:rPr>
              <w:t>容</w:t>
            </w:r>
            <w:r>
              <w:rPr>
                <w:rFonts w:ascii="宋体" w:hAnsi="宋体"/>
                <w:color w:val="auto"/>
                <w:kern w:val="0"/>
                <w:highlight w:val="none"/>
              </w:rPr>
              <w:t xml:space="preserve">    </w:t>
            </w:r>
            <w:r>
              <w:rPr>
                <w:rFonts w:hint="eastAsia" w:ascii="宋体" w:hAnsi="宋体"/>
                <w:color w:val="auto"/>
                <w:kern w:val="0"/>
                <w:highlight w:val="none"/>
              </w:rPr>
              <w:t>规</w:t>
            </w:r>
            <w:r>
              <w:rPr>
                <w:rFonts w:ascii="宋体" w:hAnsi="宋体"/>
                <w:color w:val="auto"/>
                <w:kern w:val="0"/>
                <w:highlight w:val="none"/>
              </w:rPr>
              <w:t xml:space="preserve">    </w:t>
            </w:r>
            <w:r>
              <w:rPr>
                <w:rFonts w:hint="eastAsia" w:ascii="宋体" w:hAnsi="宋体"/>
                <w:color w:val="auto"/>
                <w:kern w:val="0"/>
                <w:highlight w:val="none"/>
              </w:rPr>
              <w:t>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5" w:hRule="atLeast"/>
        </w:trPr>
        <w:tc>
          <w:tcPr>
            <w:tcW w:w="740" w:type="dxa"/>
            <w:vAlign w:val="center"/>
          </w:tcPr>
          <w:p>
            <w:pPr>
              <w:adjustRightInd w:val="0"/>
              <w:spacing w:line="400" w:lineRule="exact"/>
              <w:jc w:val="center"/>
              <w:textAlignment w:val="baseline"/>
              <w:rPr>
                <w:rFonts w:ascii="宋体" w:hAnsi="宋体"/>
                <w:color w:val="auto"/>
                <w:kern w:val="0"/>
                <w:highlight w:val="none"/>
              </w:rPr>
            </w:pPr>
            <w:r>
              <w:rPr>
                <w:rFonts w:hint="eastAsia" w:ascii="宋体" w:hAnsi="宋体"/>
                <w:color w:val="auto"/>
                <w:kern w:val="0"/>
                <w:highlight w:val="none"/>
              </w:rPr>
              <w:t>１</w:t>
            </w:r>
          </w:p>
        </w:tc>
        <w:tc>
          <w:tcPr>
            <w:tcW w:w="928" w:type="dxa"/>
            <w:vAlign w:val="center"/>
          </w:tcPr>
          <w:p>
            <w:pPr>
              <w:adjustRightInd w:val="0"/>
              <w:spacing w:line="400" w:lineRule="exact"/>
              <w:jc w:val="center"/>
              <w:textAlignment w:val="baseline"/>
              <w:rPr>
                <w:rFonts w:ascii="宋体" w:hAnsi="宋体"/>
                <w:color w:val="auto"/>
                <w:kern w:val="0"/>
                <w:highlight w:val="none"/>
              </w:rPr>
            </w:pPr>
            <w:r>
              <w:rPr>
                <w:rFonts w:ascii="宋体" w:hAnsi="宋体"/>
                <w:color w:val="auto"/>
                <w:kern w:val="0"/>
                <w:highlight w:val="none"/>
              </w:rPr>
              <w:t>1.1</w:t>
            </w:r>
          </w:p>
        </w:tc>
        <w:tc>
          <w:tcPr>
            <w:tcW w:w="8117" w:type="dxa"/>
            <w:vAlign w:val="center"/>
          </w:tcPr>
          <w:p>
            <w:pPr>
              <w:autoSpaceDE w:val="0"/>
              <w:autoSpaceDN w:val="0"/>
              <w:snapToGrid w:val="0"/>
              <w:spacing w:line="400" w:lineRule="exact"/>
              <w:rPr>
                <w:rFonts w:ascii="宋体" w:hAnsi="宋体"/>
                <w:color w:val="auto"/>
                <w:kern w:val="0"/>
                <w:highlight w:val="none"/>
              </w:rPr>
            </w:pPr>
            <w:r>
              <w:rPr>
                <w:rFonts w:hint="eastAsia" w:ascii="宋体" w:hAnsi="宋体"/>
                <w:b/>
                <w:color w:val="auto"/>
                <w:kern w:val="0"/>
                <w:highlight w:val="none"/>
              </w:rPr>
              <w:t>综合说明</w:t>
            </w:r>
            <w:r>
              <w:rPr>
                <w:rFonts w:hint="eastAsia" w:ascii="宋体" w:hAnsi="宋体"/>
                <w:color w:val="auto"/>
                <w:kern w:val="0"/>
                <w:highlight w:val="none"/>
              </w:rPr>
              <w:t>：</w:t>
            </w:r>
          </w:p>
          <w:p>
            <w:pPr>
              <w:autoSpaceDE w:val="0"/>
              <w:autoSpaceDN w:val="0"/>
              <w:snapToGrid w:val="0"/>
              <w:spacing w:line="400" w:lineRule="exact"/>
              <w:rPr>
                <w:color w:val="auto"/>
                <w:highlight w:val="none"/>
              </w:rPr>
            </w:pPr>
            <w:r>
              <w:rPr>
                <w:rFonts w:hint="eastAsia" w:ascii="宋体" w:hAnsi="宋体"/>
                <w:b/>
                <w:color w:val="auto"/>
                <w:kern w:val="0"/>
                <w:highlight w:val="none"/>
              </w:rPr>
              <w:t>项目名称：</w:t>
            </w:r>
            <w:r>
              <w:rPr>
                <w:rFonts w:hint="eastAsia"/>
                <w:color w:val="auto"/>
                <w:highlight w:val="none"/>
              </w:rPr>
              <w:t>桂平市垌心至金田公路工程监理服务</w:t>
            </w:r>
          </w:p>
          <w:p>
            <w:pPr>
              <w:autoSpaceDE w:val="0"/>
              <w:autoSpaceDN w:val="0"/>
              <w:snapToGrid w:val="0"/>
              <w:spacing w:line="400" w:lineRule="exact"/>
              <w:rPr>
                <w:rFonts w:hint="eastAsia" w:ascii="宋体" w:hAnsi="宋体" w:eastAsiaTheme="minorEastAsia"/>
                <w:color w:val="auto"/>
                <w:kern w:val="0"/>
                <w:highlight w:val="none"/>
                <w:lang w:eastAsia="zh-CN"/>
              </w:rPr>
            </w:pPr>
            <w:r>
              <w:rPr>
                <w:rFonts w:hint="eastAsia" w:ascii="宋体" w:hAnsi="宋体"/>
                <w:b/>
                <w:color w:val="auto"/>
                <w:kern w:val="0"/>
                <w:highlight w:val="none"/>
              </w:rPr>
              <w:t>项目编号：</w:t>
            </w:r>
            <w:r>
              <w:rPr>
                <w:rFonts w:hint="eastAsia"/>
                <w:color w:val="auto"/>
                <w:highlight w:val="none"/>
                <w:lang w:eastAsia="zh-CN"/>
              </w:rPr>
              <w:t>GGZC2020-C3-50127-GXBX</w:t>
            </w:r>
          </w:p>
          <w:p>
            <w:pPr>
              <w:spacing w:line="400" w:lineRule="exact"/>
              <w:rPr>
                <w:rFonts w:ascii="宋体" w:hAnsi="宋体"/>
                <w:bCs/>
                <w:color w:val="auto"/>
                <w:kern w:val="0"/>
                <w:highlight w:val="none"/>
              </w:rPr>
            </w:pPr>
            <w:r>
              <w:rPr>
                <w:rFonts w:hint="eastAsia" w:ascii="宋体" w:hAnsi="宋体"/>
                <w:b/>
                <w:color w:val="auto"/>
                <w:kern w:val="0"/>
                <w:highlight w:val="none"/>
              </w:rPr>
              <w:t>采购项目的名称、数量、简要规格描述或项目基本概况介绍：</w:t>
            </w:r>
            <w:r>
              <w:rPr>
                <w:rFonts w:hint="eastAsia" w:ascii="宋体" w:hAnsi="宋体"/>
                <w:bCs/>
                <w:color w:val="auto"/>
                <w:kern w:val="0"/>
                <w:highlight w:val="none"/>
              </w:rPr>
              <w:t>桂平市垌心至金田公路工程监理服务1项，本工程线路总体走向为自北向南，起点（K0+000）与柳梧高速公路大鹏连接线相接，K0+000-K7+120段完全利用柳梧高速大鹏连接线，新建路段起点（K0+000）=完全利用段终点（K7+120），与大鹏连接线T型渠化交叉顺接，路线沿旧路X348县道布线，途经王举屯、桂山屯、中垌屯、垌心屯、理村、新旺村、新燕、终点K10+245位于金田镇上，与S323梧州至迁江二级公路成十字型平面交叉相接。路线全长17.365公里，其中利用段7.12公里，新建段10.245公里。设计时速：60km/h，路基宽度为10m，其中K0+000-K0+540、K4+680-K5+320、K9+680-K10+245段采用40km/h，路基宽度为8.5m；K1+820-K2+240段采用40km/h，路基宽度为10m，其余路段采用60km/h，路基宽度为10m，汽车荷载等级为公路-II级，小桥涵及路基设计洪水频率为1/50，路面类型为水泥混凝土路面。如需进一步了解详细内容，详见竞争性磋商采购文件。</w:t>
            </w:r>
          </w:p>
          <w:p>
            <w:pPr>
              <w:spacing w:line="400" w:lineRule="exact"/>
              <w:rPr>
                <w:rFonts w:ascii="宋体" w:hAnsi="宋体"/>
                <w:bCs/>
                <w:color w:val="auto"/>
                <w:kern w:val="0"/>
                <w:highlight w:val="none"/>
              </w:rPr>
            </w:pPr>
            <w:r>
              <w:rPr>
                <w:rFonts w:hint="eastAsia" w:ascii="宋体" w:hAnsi="宋体"/>
                <w:bCs/>
                <w:color w:val="auto"/>
                <w:kern w:val="0"/>
                <w:highlight w:val="none"/>
              </w:rPr>
              <w:t xml:space="preserve">监理服务范围：桂平市垌心至金田公路工程监理服务，包括《公路工程施工监理规范》（JTG G10—2016）规定的隶属于本工程相关的施工监理工作。 </w:t>
            </w:r>
          </w:p>
          <w:p>
            <w:pPr>
              <w:spacing w:line="400" w:lineRule="exact"/>
              <w:rPr>
                <w:rFonts w:ascii="宋体" w:hAnsi="宋体"/>
                <w:bCs/>
                <w:color w:val="auto"/>
                <w:kern w:val="0"/>
                <w:highlight w:val="none"/>
              </w:rPr>
            </w:pPr>
            <w:r>
              <w:rPr>
                <w:rFonts w:hint="eastAsia" w:ascii="宋体" w:hAnsi="宋体"/>
                <w:bCs/>
                <w:color w:val="auto"/>
                <w:kern w:val="0"/>
                <w:highlight w:val="none"/>
              </w:rPr>
              <w:t>监理质量要求：符合有关国家质量标准、技术规范及规程要求，并通过行业管理部门审批。</w:t>
            </w:r>
          </w:p>
          <w:p>
            <w:pPr>
              <w:spacing w:line="400" w:lineRule="exact"/>
              <w:rPr>
                <w:rFonts w:ascii="宋体" w:hAnsi="宋体"/>
                <w:bCs/>
                <w:color w:val="auto"/>
                <w:kern w:val="0"/>
                <w:highlight w:val="none"/>
              </w:rPr>
            </w:pPr>
            <w:r>
              <w:rPr>
                <w:rFonts w:hint="eastAsia" w:ascii="宋体" w:hAnsi="宋体"/>
                <w:bCs/>
                <w:color w:val="auto"/>
                <w:kern w:val="0"/>
                <w:highlight w:val="none"/>
              </w:rPr>
              <w:t xml:space="preserve">监理服务期限：自合同签订之日起开始实施，至工程竣工验收合格，保修期满完毕（监理工期与施工工期一致）。  </w:t>
            </w:r>
          </w:p>
          <w:p>
            <w:pPr>
              <w:spacing w:line="400" w:lineRule="exact"/>
              <w:rPr>
                <w:rFonts w:ascii="宋体" w:hAnsi="宋体"/>
                <w:bCs/>
                <w:color w:val="auto"/>
                <w:kern w:val="0"/>
                <w:highlight w:val="none"/>
              </w:rPr>
            </w:pPr>
            <w:r>
              <w:rPr>
                <w:rFonts w:hint="eastAsia" w:ascii="宋体" w:hAnsi="宋体"/>
                <w:bCs/>
                <w:color w:val="auto"/>
                <w:kern w:val="0"/>
                <w:highlight w:val="none"/>
              </w:rPr>
              <w:t xml:space="preserve">本项目不接受联合体。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40" w:type="dxa"/>
            <w:vAlign w:val="center"/>
          </w:tcPr>
          <w:p>
            <w:pPr>
              <w:adjustRightInd w:val="0"/>
              <w:spacing w:line="400" w:lineRule="exact"/>
              <w:jc w:val="center"/>
              <w:textAlignment w:val="baseline"/>
              <w:rPr>
                <w:rFonts w:ascii="宋体" w:hAnsi="宋体"/>
                <w:color w:val="auto"/>
                <w:kern w:val="0"/>
                <w:highlight w:val="none"/>
              </w:rPr>
            </w:pPr>
            <w:r>
              <w:rPr>
                <w:rFonts w:ascii="宋体" w:hAnsi="宋体"/>
                <w:color w:val="auto"/>
                <w:kern w:val="0"/>
                <w:highlight w:val="none"/>
              </w:rPr>
              <w:t>2</w:t>
            </w:r>
          </w:p>
        </w:tc>
        <w:tc>
          <w:tcPr>
            <w:tcW w:w="928" w:type="dxa"/>
            <w:vAlign w:val="center"/>
          </w:tcPr>
          <w:p>
            <w:pPr>
              <w:adjustRightInd w:val="0"/>
              <w:spacing w:line="400" w:lineRule="exact"/>
              <w:jc w:val="center"/>
              <w:textAlignment w:val="baseline"/>
              <w:rPr>
                <w:rFonts w:ascii="宋体" w:hAnsi="宋体"/>
                <w:color w:val="auto"/>
                <w:kern w:val="0"/>
                <w:highlight w:val="none"/>
              </w:rPr>
            </w:pPr>
            <w:r>
              <w:rPr>
                <w:rFonts w:hint="eastAsia" w:ascii="宋体" w:hAnsi="宋体"/>
                <w:color w:val="auto"/>
                <w:kern w:val="0"/>
                <w:highlight w:val="none"/>
              </w:rPr>
              <w:t>3</w:t>
            </w:r>
          </w:p>
        </w:tc>
        <w:tc>
          <w:tcPr>
            <w:tcW w:w="8117" w:type="dxa"/>
            <w:vAlign w:val="center"/>
          </w:tcPr>
          <w:p>
            <w:pPr>
              <w:adjustRightInd w:val="0"/>
              <w:spacing w:line="400" w:lineRule="exact"/>
              <w:textAlignment w:val="baseline"/>
              <w:rPr>
                <w:rFonts w:ascii="宋体" w:hAnsi="宋体"/>
                <w:color w:val="auto"/>
                <w:kern w:val="0"/>
                <w:highlight w:val="none"/>
              </w:rPr>
            </w:pPr>
            <w:r>
              <w:rPr>
                <w:rFonts w:hint="eastAsia" w:ascii="宋体" w:hAnsi="宋体"/>
                <w:b/>
                <w:color w:val="auto"/>
                <w:kern w:val="0"/>
                <w:highlight w:val="none"/>
              </w:rPr>
              <w:t>合同名称</w:t>
            </w:r>
            <w:r>
              <w:rPr>
                <w:rFonts w:hint="eastAsia" w:ascii="宋体" w:hAnsi="宋体"/>
                <w:color w:val="auto"/>
                <w:kern w:val="0"/>
                <w:highlight w:val="none"/>
              </w:rPr>
              <w:t>：</w:t>
            </w:r>
            <w:r>
              <w:rPr>
                <w:rFonts w:hint="eastAsia"/>
                <w:color w:val="auto"/>
                <w:highlight w:val="none"/>
              </w:rPr>
              <w:t>桂平市垌心至金田公路工程监理服务合同。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740" w:type="dxa"/>
            <w:vAlign w:val="center"/>
          </w:tcPr>
          <w:p>
            <w:pPr>
              <w:adjustRightInd w:val="0"/>
              <w:spacing w:line="400" w:lineRule="exact"/>
              <w:jc w:val="center"/>
              <w:textAlignment w:val="baseline"/>
              <w:rPr>
                <w:rFonts w:ascii="宋体" w:hAnsi="宋体"/>
                <w:color w:val="auto"/>
                <w:kern w:val="0"/>
                <w:highlight w:val="none"/>
              </w:rPr>
            </w:pPr>
            <w:r>
              <w:rPr>
                <w:rFonts w:ascii="宋体" w:hAnsi="宋体"/>
                <w:color w:val="auto"/>
                <w:kern w:val="0"/>
                <w:highlight w:val="none"/>
              </w:rPr>
              <w:t>3</w:t>
            </w:r>
          </w:p>
        </w:tc>
        <w:tc>
          <w:tcPr>
            <w:tcW w:w="928" w:type="dxa"/>
            <w:vAlign w:val="center"/>
          </w:tcPr>
          <w:p>
            <w:pPr>
              <w:adjustRightInd w:val="0"/>
              <w:spacing w:line="400" w:lineRule="exact"/>
              <w:jc w:val="center"/>
              <w:textAlignment w:val="baseline"/>
              <w:rPr>
                <w:rFonts w:ascii="宋体" w:hAnsi="宋体"/>
                <w:color w:val="auto"/>
                <w:kern w:val="0"/>
                <w:highlight w:val="none"/>
              </w:rPr>
            </w:pPr>
            <w:r>
              <w:rPr>
                <w:rFonts w:hint="eastAsia" w:ascii="宋体" w:hAnsi="宋体"/>
                <w:color w:val="auto"/>
                <w:kern w:val="0"/>
                <w:highlight w:val="none"/>
              </w:rPr>
              <w:t>6.7</w:t>
            </w:r>
          </w:p>
        </w:tc>
        <w:tc>
          <w:tcPr>
            <w:tcW w:w="8117" w:type="dxa"/>
            <w:vAlign w:val="center"/>
          </w:tcPr>
          <w:p>
            <w:pPr>
              <w:spacing w:line="400" w:lineRule="exact"/>
              <w:rPr>
                <w:rFonts w:ascii="宋体" w:hAnsi="宋体"/>
                <w:color w:val="auto"/>
                <w:szCs w:val="21"/>
                <w:highlight w:val="none"/>
              </w:rPr>
            </w:pPr>
            <w:r>
              <w:rPr>
                <w:rFonts w:hint="eastAsia" w:ascii="宋体" w:hAnsi="宋体"/>
                <w:b/>
                <w:color w:val="auto"/>
                <w:kern w:val="0"/>
                <w:highlight w:val="none"/>
              </w:rPr>
              <w:t>最高投标费率（采购预算价）：1.5%</w:t>
            </w:r>
          </w:p>
          <w:p>
            <w:pPr>
              <w:spacing w:line="400" w:lineRule="exact"/>
              <w:rPr>
                <w:rFonts w:ascii="宋体" w:hAnsi="宋体"/>
                <w:color w:val="auto"/>
                <w:kern w:val="0"/>
                <w:highlight w:val="none"/>
              </w:rPr>
            </w:pPr>
            <w:r>
              <w:rPr>
                <w:rFonts w:hint="eastAsia" w:ascii="宋体" w:hAnsi="宋体"/>
                <w:b/>
                <w:color w:val="auto"/>
                <w:kern w:val="0"/>
                <w:highlight w:val="none"/>
              </w:rPr>
              <w:t>资金来源</w:t>
            </w:r>
            <w:r>
              <w:rPr>
                <w:rFonts w:hint="eastAsia" w:ascii="宋体" w:hAnsi="宋体"/>
                <w:color w:val="auto"/>
                <w:kern w:val="0"/>
                <w:highlight w:val="none"/>
              </w:rPr>
              <w:t>：财政资金</w:t>
            </w:r>
            <w:r>
              <w:rPr>
                <w:rFonts w:hint="eastAsia" w:ascii="宋体" w:hAnsi="宋体"/>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40" w:type="dxa"/>
            <w:vAlign w:val="center"/>
          </w:tcPr>
          <w:p>
            <w:pPr>
              <w:adjustRightInd w:val="0"/>
              <w:spacing w:line="400" w:lineRule="exact"/>
              <w:jc w:val="center"/>
              <w:textAlignment w:val="baseline"/>
              <w:rPr>
                <w:rFonts w:ascii="宋体" w:hAnsi="宋体"/>
                <w:color w:val="auto"/>
                <w:kern w:val="0"/>
                <w:highlight w:val="none"/>
              </w:rPr>
            </w:pPr>
            <w:r>
              <w:rPr>
                <w:rFonts w:ascii="宋体" w:hAnsi="宋体"/>
                <w:color w:val="auto"/>
                <w:kern w:val="0"/>
                <w:highlight w:val="none"/>
              </w:rPr>
              <w:t>4</w:t>
            </w:r>
          </w:p>
        </w:tc>
        <w:tc>
          <w:tcPr>
            <w:tcW w:w="928" w:type="dxa"/>
            <w:vAlign w:val="center"/>
          </w:tcPr>
          <w:p>
            <w:pPr>
              <w:adjustRightInd w:val="0"/>
              <w:spacing w:line="400" w:lineRule="exact"/>
              <w:jc w:val="center"/>
              <w:textAlignment w:val="baseline"/>
              <w:rPr>
                <w:rFonts w:ascii="宋体" w:hAnsi="宋体"/>
                <w:color w:val="auto"/>
                <w:kern w:val="0"/>
                <w:highlight w:val="none"/>
              </w:rPr>
            </w:pPr>
            <w:r>
              <w:rPr>
                <w:rFonts w:hint="eastAsia" w:ascii="宋体" w:hAnsi="宋体"/>
                <w:color w:val="auto"/>
                <w:kern w:val="0"/>
                <w:highlight w:val="none"/>
              </w:rPr>
              <w:t>6.8</w:t>
            </w:r>
          </w:p>
        </w:tc>
        <w:tc>
          <w:tcPr>
            <w:tcW w:w="8117" w:type="dxa"/>
            <w:vAlign w:val="center"/>
          </w:tcPr>
          <w:p>
            <w:pPr>
              <w:spacing w:line="400" w:lineRule="exact"/>
              <w:rPr>
                <w:rFonts w:ascii="宋体" w:hAnsi="宋体"/>
                <w:b/>
                <w:color w:val="auto"/>
                <w:spacing w:val="-3"/>
                <w:highlight w:val="none"/>
              </w:rPr>
            </w:pPr>
            <w:r>
              <w:rPr>
                <w:rFonts w:ascii="宋体" w:hAnsi="宋体" w:cs="宋体"/>
                <w:b/>
                <w:color w:val="auto"/>
                <w:highlight w:val="none"/>
              </w:rPr>
              <w:t>磋商供应商资格</w:t>
            </w:r>
            <w:r>
              <w:rPr>
                <w:rFonts w:hint="eastAsia" w:ascii="宋体" w:hAnsi="宋体"/>
                <w:b/>
                <w:color w:val="auto"/>
                <w:spacing w:val="-3"/>
                <w:highlight w:val="none"/>
              </w:rPr>
              <w:t>：</w:t>
            </w:r>
          </w:p>
          <w:p>
            <w:pPr>
              <w:spacing w:after="0" w:line="360" w:lineRule="auto"/>
              <w:ind w:firstLine="420" w:firstLineChars="200"/>
              <w:rPr>
                <w:rFonts w:ascii="宋体" w:hAnsi="宋体" w:cs="宋体"/>
                <w:color w:val="auto"/>
                <w:szCs w:val="21"/>
                <w:highlight w:val="none"/>
              </w:rPr>
            </w:pPr>
            <w:r>
              <w:rPr>
                <w:rFonts w:ascii="宋体" w:hAnsi="宋体" w:cs="宋体"/>
                <w:color w:val="auto"/>
                <w:szCs w:val="21"/>
                <w:highlight w:val="none"/>
              </w:rPr>
              <w:t>1. 符合《中华人民共和国政府采购法》第二十二条和《中华人民共和国政府采购法实施条例》第十八条规定，具备合法资格的供应商；</w:t>
            </w:r>
          </w:p>
          <w:p>
            <w:pPr>
              <w:spacing w:after="0" w:line="360" w:lineRule="auto"/>
              <w:ind w:firstLine="420" w:firstLineChars="200"/>
              <w:rPr>
                <w:rFonts w:ascii="宋体" w:hAnsi="宋体" w:eastAsia="宋体" w:cs="宋体"/>
                <w:color w:val="auto"/>
                <w:szCs w:val="21"/>
                <w:highlight w:val="none"/>
              </w:rPr>
            </w:pPr>
            <w:r>
              <w:rPr>
                <w:rFonts w:ascii="宋体" w:hAnsi="宋体" w:cs="宋体"/>
                <w:color w:val="auto"/>
                <w:szCs w:val="21"/>
                <w:highlight w:val="none"/>
              </w:rPr>
              <w:t>2.本次采购要求供应商须具备公路工程监理</w:t>
            </w:r>
            <w:r>
              <w:rPr>
                <w:rFonts w:hint="eastAsia" w:ascii="宋体" w:hAnsi="宋体" w:cs="宋体"/>
                <w:color w:val="auto"/>
                <w:szCs w:val="21"/>
                <w:highlight w:val="none"/>
              </w:rPr>
              <w:t>乙</w:t>
            </w:r>
            <w:r>
              <w:rPr>
                <w:rFonts w:ascii="宋体" w:hAnsi="宋体" w:cs="宋体"/>
                <w:color w:val="auto"/>
                <w:szCs w:val="21"/>
                <w:highlight w:val="none"/>
              </w:rPr>
              <w:t>级（含）以上资质</w:t>
            </w:r>
            <w:r>
              <w:rPr>
                <w:rFonts w:hint="eastAsia" w:ascii="宋体" w:hAnsi="宋体" w:cs="宋体"/>
                <w:color w:val="auto"/>
                <w:szCs w:val="21"/>
                <w:highlight w:val="none"/>
              </w:rPr>
              <w:t>的企业</w:t>
            </w:r>
            <w:r>
              <w:rPr>
                <w:rFonts w:ascii="宋体" w:hAnsi="宋体" w:cs="宋体"/>
                <w:color w:val="auto"/>
                <w:szCs w:val="21"/>
                <w:highlight w:val="none"/>
              </w:rPr>
              <w:t>，并在人员、设备、资金等方面具备相应的工程监理能力。其中，供应商拟派总监理工程师须具备</w:t>
            </w:r>
            <w:r>
              <w:rPr>
                <w:rFonts w:hint="eastAsia" w:ascii="宋体" w:hAnsi="宋体" w:eastAsia="宋体" w:cs="宋体"/>
                <w:color w:val="auto"/>
                <w:szCs w:val="21"/>
                <w:highlight w:val="none"/>
              </w:rPr>
              <w:t>交通运输部颁发的监理工程师执业资格证（公路工程）；</w:t>
            </w:r>
          </w:p>
          <w:p>
            <w:pPr>
              <w:spacing w:after="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3.投标人应进入交通运输部“ 全国公路建设市场信用信息管理系统（ http ：//glxy.mot.gov.cn）”中的公路工程监理资质企业名录，且投标人名称和资质与该名录中的相应企业名称和资质完全一致。</w:t>
            </w:r>
          </w:p>
          <w:p>
            <w:pPr>
              <w:spacing w:after="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4.投标人</w:t>
            </w:r>
            <w:r>
              <w:rPr>
                <w:rFonts w:hint="eastAsia" w:ascii="宋体" w:hAnsi="宋体" w:cs="宋体"/>
                <w:color w:val="auto"/>
                <w:szCs w:val="21"/>
                <w:highlight w:val="none"/>
                <w:lang w:val="en-US" w:eastAsia="zh-CN"/>
              </w:rPr>
              <w:t>2018年度信用评价等</w:t>
            </w:r>
            <w:r>
              <w:rPr>
                <w:rFonts w:hint="eastAsia" w:ascii="宋体" w:hAnsi="宋体" w:cs="宋体"/>
                <w:color w:val="auto"/>
                <w:szCs w:val="21"/>
                <w:highlight w:val="none"/>
              </w:rPr>
              <w:t>级为</w:t>
            </w:r>
            <w:r>
              <w:rPr>
                <w:rFonts w:hint="eastAsia" w:ascii="宋体" w:hAnsi="宋体" w:cs="宋体"/>
                <w:color w:val="auto"/>
                <w:szCs w:val="21"/>
                <w:highlight w:val="none"/>
                <w:lang w:val="en-US" w:eastAsia="zh-CN"/>
              </w:rPr>
              <w:t>C</w:t>
            </w:r>
            <w:r>
              <w:rPr>
                <w:rFonts w:hint="eastAsia" w:ascii="宋体" w:hAnsi="宋体" w:cs="宋体"/>
                <w:color w:val="auto"/>
                <w:szCs w:val="21"/>
                <w:highlight w:val="none"/>
              </w:rPr>
              <w:t>级（含）以上的企业，可对本项目进行投标。投标人的信用评价等级按照《广西壮族自治区交通运输厅关于修订广西公路建设市场监理企业信用评价规则实施细则的通知》（桂交建管发〔2016〕60号）及广西壮族自治区交通运输厅公布的最新年度广西公路建设市场公路监理企业信用评价结果为准。</w:t>
            </w:r>
          </w:p>
          <w:p>
            <w:pPr>
              <w:spacing w:after="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spacing w:after="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w:t>
            </w:r>
            <w:r>
              <w:rPr>
                <w:rFonts w:ascii="宋体" w:hAnsi="宋体" w:cs="宋体"/>
                <w:color w:val="auto"/>
                <w:szCs w:val="21"/>
                <w:highlight w:val="none"/>
              </w:rPr>
              <w:t>.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投标人，不得参与政府采购活动。</w:t>
            </w:r>
          </w:p>
          <w:p>
            <w:pPr>
              <w:spacing w:after="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w:t>
            </w:r>
            <w:r>
              <w:rPr>
                <w:rFonts w:ascii="宋体" w:hAnsi="宋体" w:cs="宋体"/>
                <w:color w:val="auto"/>
                <w:szCs w:val="21"/>
                <w:highlight w:val="none"/>
              </w:rPr>
              <w:t>.落实政府采购政策需满足的资格要求：</w:t>
            </w:r>
          </w:p>
          <w:p>
            <w:pPr>
              <w:spacing w:after="0" w:line="360" w:lineRule="auto"/>
              <w:ind w:firstLine="420" w:firstLineChars="200"/>
              <w:rPr>
                <w:rFonts w:ascii="宋体" w:hAnsi="宋体" w:cs="宋体"/>
                <w:color w:val="auto"/>
                <w:szCs w:val="21"/>
                <w:highlight w:val="none"/>
              </w:rPr>
            </w:pPr>
            <w:r>
              <w:rPr>
                <w:rFonts w:ascii="宋体" w:hAnsi="宋体" w:cs="宋体"/>
                <w:color w:val="auto"/>
                <w:szCs w:val="21"/>
                <w:highlight w:val="none"/>
              </w:rPr>
              <w:t>（1）.《政府采购促进中小企业发展暂行办法》（财库[2011]181号）；</w:t>
            </w:r>
          </w:p>
          <w:p>
            <w:pPr>
              <w:spacing w:after="0" w:line="360" w:lineRule="auto"/>
              <w:ind w:firstLine="420" w:firstLineChars="200"/>
              <w:rPr>
                <w:rFonts w:ascii="宋体" w:hAnsi="宋体" w:cs="宋体"/>
                <w:color w:val="auto"/>
                <w:szCs w:val="21"/>
                <w:highlight w:val="none"/>
              </w:rPr>
            </w:pPr>
            <w:r>
              <w:rPr>
                <w:rFonts w:ascii="宋体" w:hAnsi="宋体" w:cs="宋体"/>
                <w:color w:val="auto"/>
                <w:szCs w:val="21"/>
                <w:highlight w:val="none"/>
              </w:rPr>
              <w:t>（2）.《关于政府采购支持监狱企业发展有关问题的通知》（财库[2014]68号）；</w:t>
            </w:r>
          </w:p>
          <w:p>
            <w:pPr>
              <w:spacing w:after="0" w:line="360" w:lineRule="auto"/>
              <w:ind w:firstLine="420" w:firstLineChars="200"/>
              <w:rPr>
                <w:rFonts w:ascii="宋体" w:hAnsi="宋体" w:cs="宋体"/>
                <w:color w:val="auto"/>
                <w:szCs w:val="21"/>
                <w:highlight w:val="none"/>
              </w:rPr>
            </w:pPr>
            <w:r>
              <w:rPr>
                <w:rFonts w:ascii="宋体" w:hAnsi="宋体" w:cs="宋体"/>
                <w:color w:val="auto"/>
                <w:szCs w:val="21"/>
                <w:highlight w:val="none"/>
              </w:rPr>
              <w:t>（3）.《关于促进残疾人就业政府采购政策的通知》（财库[2017]141号）；</w:t>
            </w:r>
          </w:p>
          <w:p>
            <w:pPr>
              <w:spacing w:after="0" w:line="360" w:lineRule="auto"/>
              <w:ind w:firstLine="420" w:firstLineChars="200"/>
              <w:rPr>
                <w:rFonts w:ascii="宋体" w:hAnsi="宋体" w:cs="宋体"/>
                <w:color w:val="auto"/>
                <w:szCs w:val="21"/>
                <w:highlight w:val="none"/>
              </w:rPr>
            </w:pPr>
            <w:r>
              <w:rPr>
                <w:rFonts w:ascii="宋体" w:hAnsi="宋体" w:cs="宋体"/>
                <w:color w:val="auto"/>
                <w:szCs w:val="21"/>
                <w:highlight w:val="none"/>
              </w:rPr>
              <w:t>（4）. 优先采购环境标志产品、节能产品；</w:t>
            </w:r>
          </w:p>
          <w:p>
            <w:pPr>
              <w:spacing w:after="0" w:line="360" w:lineRule="auto"/>
              <w:ind w:firstLine="420" w:firstLineChars="200"/>
              <w:rPr>
                <w:rFonts w:ascii="宋体" w:hAnsi="宋体" w:cs="宋体"/>
                <w:color w:val="auto"/>
                <w:szCs w:val="21"/>
                <w:highlight w:val="none"/>
              </w:rPr>
            </w:pPr>
            <w:r>
              <w:rPr>
                <w:rFonts w:ascii="宋体" w:hAnsi="宋体" w:cs="宋体"/>
                <w:color w:val="auto"/>
                <w:szCs w:val="21"/>
                <w:highlight w:val="none"/>
              </w:rPr>
              <w:t>（5）. 政府采购扶持不发达地区和少数民族地区；</w:t>
            </w:r>
          </w:p>
          <w:p>
            <w:pPr>
              <w:spacing w:after="0" w:line="360" w:lineRule="auto"/>
              <w:ind w:firstLine="420" w:firstLineChars="200"/>
              <w:rPr>
                <w:color w:val="auto"/>
                <w:highlight w:val="none"/>
              </w:rPr>
            </w:pPr>
            <w:r>
              <w:rPr>
                <w:rFonts w:ascii="宋体" w:hAnsi="宋体" w:cs="宋体"/>
                <w:color w:val="auto"/>
                <w:szCs w:val="21"/>
                <w:highlight w:val="none"/>
              </w:rPr>
              <w:t>（6）. 本项目为服务采购项目，执行相应政府采购政策。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40" w:type="dxa"/>
            <w:vAlign w:val="center"/>
          </w:tcPr>
          <w:p>
            <w:pPr>
              <w:adjustRightInd w:val="0"/>
              <w:spacing w:line="400" w:lineRule="exact"/>
              <w:jc w:val="center"/>
              <w:textAlignment w:val="baseline"/>
              <w:rPr>
                <w:rFonts w:ascii="宋体" w:hAnsi="宋体"/>
                <w:color w:val="auto"/>
                <w:kern w:val="0"/>
                <w:highlight w:val="none"/>
              </w:rPr>
            </w:pPr>
            <w:r>
              <w:rPr>
                <w:rFonts w:hint="eastAsia" w:ascii="宋体" w:hAnsi="宋体"/>
                <w:color w:val="auto"/>
                <w:kern w:val="0"/>
                <w:highlight w:val="none"/>
              </w:rPr>
              <w:t>5</w:t>
            </w:r>
          </w:p>
        </w:tc>
        <w:tc>
          <w:tcPr>
            <w:tcW w:w="928" w:type="dxa"/>
            <w:vAlign w:val="center"/>
          </w:tcPr>
          <w:p>
            <w:pPr>
              <w:adjustRightInd w:val="0"/>
              <w:spacing w:line="400" w:lineRule="exact"/>
              <w:jc w:val="center"/>
              <w:textAlignment w:val="baseline"/>
              <w:rPr>
                <w:rFonts w:ascii="宋体" w:hAnsi="宋体"/>
                <w:color w:val="auto"/>
                <w:kern w:val="0"/>
                <w:highlight w:val="none"/>
              </w:rPr>
            </w:pPr>
            <w:r>
              <w:rPr>
                <w:rFonts w:hint="eastAsia" w:ascii="宋体" w:hAnsi="宋体"/>
                <w:color w:val="auto"/>
                <w:kern w:val="0"/>
                <w:highlight w:val="none"/>
              </w:rPr>
              <w:t>8.2</w:t>
            </w:r>
          </w:p>
        </w:tc>
        <w:tc>
          <w:tcPr>
            <w:tcW w:w="8117" w:type="dxa"/>
            <w:vAlign w:val="center"/>
          </w:tcPr>
          <w:p>
            <w:pPr>
              <w:spacing w:after="0" w:line="355" w:lineRule="exact"/>
              <w:ind w:left="107" w:right="-239"/>
              <w:rPr>
                <w:color w:val="auto"/>
                <w:highlight w:val="none"/>
              </w:rPr>
            </w:pPr>
            <w:r>
              <w:rPr>
                <w:rFonts w:ascii="宋体" w:hAnsi="宋体" w:cs="宋体"/>
                <w:color w:val="auto"/>
                <w:spacing w:val="-1"/>
                <w:highlight w:val="none"/>
              </w:rPr>
              <w:t>磋商有效期：磋商之日起 60 天。</w:t>
            </w:r>
          </w:p>
          <w:p>
            <w:pPr>
              <w:spacing w:after="0" w:line="401" w:lineRule="exact"/>
              <w:ind w:right="-239"/>
              <w:rPr>
                <w:color w:val="auto"/>
                <w:highlight w:val="none"/>
              </w:rPr>
            </w:pPr>
            <w:r>
              <w:rPr>
                <w:rFonts w:ascii="宋体" w:hAnsi="宋体" w:cs="宋体"/>
                <w:color w:val="auto"/>
                <w:highlight w:val="none"/>
              </w:rPr>
              <w:t>1.未成交的响应文件磋商有效期内均应保持有效。</w:t>
            </w:r>
          </w:p>
          <w:p>
            <w:pPr>
              <w:spacing w:line="400" w:lineRule="exact"/>
              <w:rPr>
                <w:rFonts w:ascii="宋体" w:hAnsi="宋体" w:cs="宋体"/>
                <w:b/>
                <w:color w:val="auto"/>
                <w:highlight w:val="none"/>
              </w:rPr>
            </w:pPr>
            <w:r>
              <w:rPr>
                <w:rFonts w:ascii="宋体" w:hAnsi="宋体" w:cs="宋体"/>
                <w:color w:val="auto"/>
                <w:spacing w:val="-1"/>
                <w:highlight w:val="none"/>
              </w:rPr>
              <w:t>2.成交供应商的响应文件自开标之日起至合同履行完毕止均应保持有效。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740" w:type="dxa"/>
            <w:vAlign w:val="center"/>
          </w:tcPr>
          <w:p>
            <w:pPr>
              <w:autoSpaceDE w:val="0"/>
              <w:autoSpaceDN w:val="0"/>
              <w:spacing w:line="400" w:lineRule="exact"/>
              <w:jc w:val="center"/>
              <w:rPr>
                <w:rFonts w:ascii="宋体" w:hAnsi="宋体"/>
                <w:color w:val="auto"/>
                <w:kern w:val="0"/>
                <w:highlight w:val="none"/>
              </w:rPr>
            </w:pPr>
            <w:r>
              <w:rPr>
                <w:rFonts w:hint="eastAsia" w:ascii="宋体" w:hAnsi="宋体"/>
                <w:color w:val="auto"/>
                <w:kern w:val="0"/>
                <w:highlight w:val="none"/>
              </w:rPr>
              <w:t>6</w:t>
            </w:r>
          </w:p>
        </w:tc>
        <w:tc>
          <w:tcPr>
            <w:tcW w:w="928" w:type="dxa"/>
            <w:vAlign w:val="center"/>
          </w:tcPr>
          <w:p>
            <w:pPr>
              <w:autoSpaceDE w:val="0"/>
              <w:autoSpaceDN w:val="0"/>
              <w:spacing w:line="400" w:lineRule="exact"/>
              <w:jc w:val="center"/>
              <w:rPr>
                <w:rFonts w:ascii="宋体" w:hAnsi="宋体"/>
                <w:color w:val="auto"/>
                <w:kern w:val="0"/>
                <w:highlight w:val="none"/>
              </w:rPr>
            </w:pPr>
            <w:r>
              <w:rPr>
                <w:rFonts w:hint="eastAsia" w:ascii="宋体" w:hAnsi="宋体"/>
                <w:color w:val="auto"/>
                <w:kern w:val="0"/>
                <w:highlight w:val="none"/>
              </w:rPr>
              <w:t>9</w:t>
            </w:r>
          </w:p>
        </w:tc>
        <w:tc>
          <w:tcPr>
            <w:tcW w:w="8117" w:type="dxa"/>
            <w:vAlign w:val="center"/>
          </w:tcPr>
          <w:p>
            <w:pPr>
              <w:autoSpaceDE w:val="0"/>
              <w:autoSpaceDN w:val="0"/>
              <w:adjustRightInd w:val="0"/>
              <w:spacing w:line="400" w:lineRule="exact"/>
              <w:rPr>
                <w:color w:val="auto"/>
                <w:highlight w:val="none"/>
              </w:rPr>
            </w:pPr>
            <w:r>
              <w:rPr>
                <w:rFonts w:hint="eastAsia" w:ascii="宋体" w:hAnsi="宋体"/>
                <w:color w:val="auto"/>
                <w:kern w:val="0"/>
                <w:highlight w:val="none"/>
              </w:rPr>
              <w:t>磋商保证金：无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40" w:type="dxa"/>
            <w:vAlign w:val="center"/>
          </w:tcPr>
          <w:p>
            <w:pPr>
              <w:adjustRightInd w:val="0"/>
              <w:spacing w:line="400" w:lineRule="exact"/>
              <w:jc w:val="center"/>
              <w:textAlignment w:val="baseline"/>
              <w:rPr>
                <w:rFonts w:ascii="宋体" w:hAnsi="宋体"/>
                <w:color w:val="auto"/>
                <w:kern w:val="0"/>
                <w:highlight w:val="none"/>
              </w:rPr>
            </w:pPr>
            <w:r>
              <w:rPr>
                <w:rFonts w:hint="eastAsia" w:ascii="宋体" w:hAnsi="宋体"/>
                <w:color w:val="auto"/>
                <w:kern w:val="0"/>
                <w:highlight w:val="none"/>
              </w:rPr>
              <w:t>7</w:t>
            </w:r>
          </w:p>
        </w:tc>
        <w:tc>
          <w:tcPr>
            <w:tcW w:w="928" w:type="dxa"/>
            <w:vAlign w:val="center"/>
          </w:tcPr>
          <w:p>
            <w:pPr>
              <w:adjustRightInd w:val="0"/>
              <w:spacing w:line="400" w:lineRule="exact"/>
              <w:jc w:val="center"/>
              <w:textAlignment w:val="baseline"/>
              <w:rPr>
                <w:rFonts w:ascii="宋体" w:hAnsi="宋体"/>
                <w:color w:val="auto"/>
                <w:kern w:val="0"/>
                <w:highlight w:val="none"/>
              </w:rPr>
            </w:pPr>
            <w:r>
              <w:rPr>
                <w:rFonts w:hint="eastAsia" w:ascii="宋体" w:hAnsi="宋体"/>
                <w:color w:val="auto"/>
                <w:kern w:val="0"/>
                <w:highlight w:val="none"/>
              </w:rPr>
              <w:t>10.1</w:t>
            </w:r>
          </w:p>
        </w:tc>
        <w:tc>
          <w:tcPr>
            <w:tcW w:w="8117" w:type="dxa"/>
            <w:vAlign w:val="center"/>
          </w:tcPr>
          <w:p>
            <w:pPr>
              <w:adjustRightInd w:val="0"/>
              <w:spacing w:line="400" w:lineRule="exact"/>
              <w:textAlignment w:val="baseline"/>
              <w:rPr>
                <w:rFonts w:ascii="宋体" w:hAnsi="宋体"/>
                <w:color w:val="auto"/>
                <w:kern w:val="0"/>
                <w:highlight w:val="none"/>
              </w:rPr>
            </w:pPr>
            <w:r>
              <w:rPr>
                <w:rFonts w:hint="eastAsia" w:ascii="宋体" w:hAnsi="宋体"/>
                <w:color w:val="auto"/>
                <w:kern w:val="0"/>
                <w:highlight w:val="none"/>
              </w:rPr>
              <w:t>磋商报价：供应商必须就所投项目的全部内容作完整唯一报价，</w:t>
            </w:r>
            <w:r>
              <w:rPr>
                <w:rFonts w:hint="eastAsia" w:ascii="宋体" w:hAnsi="宋体"/>
                <w:color w:val="auto"/>
                <w:kern w:val="0"/>
                <w:szCs w:val="21"/>
                <w:highlight w:val="none"/>
              </w:rPr>
              <w:t>报价采用费率报价，</w:t>
            </w:r>
            <w:r>
              <w:rPr>
                <w:rFonts w:hint="eastAsia" w:ascii="宋体" w:hAnsi="宋体"/>
                <w:color w:val="auto"/>
                <w:kern w:val="0"/>
                <w:highlight w:val="none"/>
              </w:rPr>
              <w:t xml:space="preserve">漏项报价的或有选择的或有条件的报价，其磋商将视为无效。磋商报价为二次报价，在最终报价不超出最高投标费率（采购预算价）的范围内为有效报价。 </w:t>
            </w:r>
          </w:p>
          <w:p>
            <w:pPr>
              <w:adjustRightInd w:val="0"/>
              <w:spacing w:line="400" w:lineRule="exact"/>
              <w:textAlignment w:val="baseline"/>
              <w:rPr>
                <w:rFonts w:ascii="宋体" w:hAnsi="宋体"/>
                <w:color w:val="auto"/>
                <w:kern w:val="0"/>
                <w:highlight w:val="none"/>
              </w:rPr>
            </w:pPr>
            <w:r>
              <w:rPr>
                <w:rFonts w:hint="eastAsia" w:ascii="宋体" w:hAnsi="宋体"/>
                <w:color w:val="auto"/>
                <w:kern w:val="0"/>
                <w:szCs w:val="21"/>
                <w:highlight w:val="none"/>
              </w:rPr>
              <w:t>监理服务费：以实际施工中完成的工程量款乘以中标费率为结算。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740" w:type="dxa"/>
            <w:vAlign w:val="center"/>
          </w:tcPr>
          <w:p>
            <w:pPr>
              <w:adjustRightInd w:val="0"/>
              <w:spacing w:line="400" w:lineRule="exact"/>
              <w:jc w:val="center"/>
              <w:textAlignment w:val="baseline"/>
              <w:rPr>
                <w:rFonts w:ascii="宋体" w:hAnsi="宋体"/>
                <w:color w:val="auto"/>
                <w:kern w:val="0"/>
                <w:highlight w:val="none"/>
              </w:rPr>
            </w:pPr>
            <w:r>
              <w:rPr>
                <w:rFonts w:hint="eastAsia" w:ascii="宋体" w:hAnsi="宋体"/>
                <w:color w:val="auto"/>
                <w:kern w:val="0"/>
                <w:highlight w:val="none"/>
              </w:rPr>
              <w:t>8</w:t>
            </w:r>
          </w:p>
        </w:tc>
        <w:tc>
          <w:tcPr>
            <w:tcW w:w="928" w:type="dxa"/>
            <w:vAlign w:val="center"/>
          </w:tcPr>
          <w:p>
            <w:pPr>
              <w:adjustRightInd w:val="0"/>
              <w:spacing w:line="400" w:lineRule="exact"/>
              <w:jc w:val="center"/>
              <w:textAlignment w:val="baseline"/>
              <w:rPr>
                <w:rFonts w:ascii="宋体" w:hAnsi="宋体"/>
                <w:color w:val="auto"/>
                <w:kern w:val="0"/>
                <w:highlight w:val="none"/>
              </w:rPr>
            </w:pPr>
            <w:r>
              <w:rPr>
                <w:rFonts w:hint="eastAsia" w:ascii="宋体" w:hAnsi="宋体"/>
                <w:color w:val="auto"/>
                <w:kern w:val="0"/>
                <w:highlight w:val="none"/>
              </w:rPr>
              <w:t>10.2</w:t>
            </w:r>
          </w:p>
        </w:tc>
        <w:tc>
          <w:tcPr>
            <w:tcW w:w="8117" w:type="dxa"/>
            <w:vAlign w:val="center"/>
          </w:tcPr>
          <w:p>
            <w:pPr>
              <w:adjustRightInd w:val="0"/>
              <w:spacing w:line="400" w:lineRule="exact"/>
              <w:textAlignment w:val="baseline"/>
              <w:rPr>
                <w:rFonts w:ascii="宋体" w:hAnsi="宋体"/>
                <w:color w:val="auto"/>
                <w:kern w:val="0"/>
                <w:highlight w:val="none"/>
              </w:rPr>
            </w:pPr>
            <w:r>
              <w:rPr>
                <w:rFonts w:hint="eastAsia" w:ascii="宋体" w:hAnsi="宋体"/>
                <w:color w:val="auto"/>
                <w:kern w:val="0"/>
                <w:highlight w:val="none"/>
              </w:rPr>
              <w:t>响应文件份数：正本一份、副本三份。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40" w:type="dxa"/>
            <w:vAlign w:val="center"/>
          </w:tcPr>
          <w:p>
            <w:pPr>
              <w:adjustRightInd w:val="0"/>
              <w:spacing w:line="400" w:lineRule="exact"/>
              <w:jc w:val="center"/>
              <w:textAlignment w:val="baseline"/>
              <w:rPr>
                <w:rFonts w:ascii="宋体" w:hAnsi="宋体"/>
                <w:color w:val="auto"/>
                <w:kern w:val="0"/>
                <w:highlight w:val="none"/>
              </w:rPr>
            </w:pPr>
            <w:r>
              <w:rPr>
                <w:rFonts w:hint="eastAsia" w:ascii="宋体" w:hAnsi="宋体"/>
                <w:color w:val="auto"/>
                <w:kern w:val="0"/>
                <w:highlight w:val="none"/>
              </w:rPr>
              <w:t>9</w:t>
            </w:r>
          </w:p>
        </w:tc>
        <w:tc>
          <w:tcPr>
            <w:tcW w:w="928" w:type="dxa"/>
            <w:vAlign w:val="center"/>
          </w:tcPr>
          <w:p>
            <w:pPr>
              <w:adjustRightInd w:val="0"/>
              <w:spacing w:line="400" w:lineRule="exact"/>
              <w:jc w:val="center"/>
              <w:textAlignment w:val="baseline"/>
              <w:rPr>
                <w:rFonts w:ascii="宋体" w:hAnsi="宋体"/>
                <w:color w:val="auto"/>
                <w:kern w:val="0"/>
                <w:highlight w:val="none"/>
              </w:rPr>
            </w:pPr>
            <w:r>
              <w:rPr>
                <w:rFonts w:hint="eastAsia" w:ascii="宋体" w:hAnsi="宋体"/>
                <w:color w:val="auto"/>
                <w:kern w:val="0"/>
                <w:highlight w:val="none"/>
              </w:rPr>
              <w:t>11.2</w:t>
            </w:r>
          </w:p>
        </w:tc>
        <w:tc>
          <w:tcPr>
            <w:tcW w:w="8117" w:type="dxa"/>
            <w:vAlign w:val="center"/>
          </w:tcPr>
          <w:p>
            <w:pPr>
              <w:adjustRightInd w:val="0"/>
              <w:spacing w:line="400" w:lineRule="exact"/>
              <w:textAlignment w:val="baseline"/>
              <w:rPr>
                <w:rFonts w:ascii="宋体" w:hAnsi="宋体"/>
                <w:color w:val="auto"/>
                <w:kern w:val="0"/>
                <w:highlight w:val="none"/>
              </w:rPr>
            </w:pPr>
            <w:r>
              <w:rPr>
                <w:rFonts w:hint="eastAsia" w:ascii="宋体" w:hAnsi="宋体"/>
                <w:color w:val="auto"/>
                <w:kern w:val="0"/>
                <w:highlight w:val="none"/>
              </w:rPr>
              <w:t>响应文件递交及截止时间：2020年</w:t>
            </w:r>
            <w:r>
              <w:rPr>
                <w:rFonts w:hint="eastAsia" w:ascii="宋体" w:hAnsi="宋体"/>
                <w:color w:val="auto"/>
                <w:kern w:val="0"/>
                <w:highlight w:val="none"/>
                <w:lang w:val="en-US" w:eastAsia="zh-CN"/>
              </w:rPr>
              <w:t>7</w:t>
            </w:r>
            <w:r>
              <w:rPr>
                <w:rFonts w:hint="eastAsia" w:ascii="宋体" w:hAnsi="宋体"/>
                <w:color w:val="auto"/>
                <w:kern w:val="0"/>
                <w:highlight w:val="none"/>
              </w:rPr>
              <w:t>月</w:t>
            </w:r>
            <w:r>
              <w:rPr>
                <w:rFonts w:hint="eastAsia" w:ascii="宋体" w:hAnsi="宋体"/>
                <w:color w:val="auto"/>
                <w:kern w:val="0"/>
                <w:highlight w:val="none"/>
                <w:lang w:val="en-US" w:eastAsia="zh-CN"/>
              </w:rPr>
              <w:t>31</w:t>
            </w:r>
            <w:r>
              <w:rPr>
                <w:rFonts w:hint="eastAsia" w:ascii="宋体" w:hAnsi="宋体"/>
                <w:color w:val="auto"/>
                <w:kern w:val="0"/>
                <w:highlight w:val="none"/>
              </w:rPr>
              <w:t>日</w:t>
            </w:r>
            <w:r>
              <w:rPr>
                <w:rFonts w:hint="eastAsia" w:ascii="宋体" w:hAnsi="宋体"/>
                <w:color w:val="auto"/>
                <w:kern w:val="0"/>
                <w:highlight w:val="none"/>
                <w:lang w:val="en-US" w:eastAsia="zh-CN"/>
              </w:rPr>
              <w:t>9</w:t>
            </w:r>
            <w:r>
              <w:rPr>
                <w:rFonts w:hint="eastAsia" w:ascii="宋体" w:hAnsi="宋体"/>
                <w:color w:val="auto"/>
                <w:kern w:val="0"/>
                <w:highlight w:val="none"/>
              </w:rPr>
              <w:t>时</w:t>
            </w:r>
            <w:r>
              <w:rPr>
                <w:rFonts w:hint="eastAsia" w:ascii="宋体" w:hAnsi="宋体"/>
                <w:color w:val="auto"/>
                <w:kern w:val="0"/>
                <w:highlight w:val="none"/>
                <w:lang w:val="en-US" w:eastAsia="zh-CN"/>
              </w:rPr>
              <w:t>00</w:t>
            </w:r>
            <w:r>
              <w:rPr>
                <w:rFonts w:hint="eastAsia" w:ascii="宋体" w:hAnsi="宋体"/>
                <w:color w:val="auto"/>
                <w:kern w:val="0"/>
                <w:highlight w:val="none"/>
              </w:rPr>
              <w:t>分；</w:t>
            </w:r>
          </w:p>
          <w:p>
            <w:pPr>
              <w:adjustRightInd w:val="0"/>
              <w:spacing w:line="400" w:lineRule="exact"/>
              <w:textAlignment w:val="baseline"/>
              <w:rPr>
                <w:rFonts w:ascii="宋体" w:hAnsi="宋体"/>
                <w:color w:val="auto"/>
                <w:kern w:val="0"/>
                <w:highlight w:val="none"/>
              </w:rPr>
            </w:pPr>
            <w:r>
              <w:rPr>
                <w:rFonts w:hint="eastAsia" w:ascii="宋体" w:hAnsi="宋体"/>
                <w:color w:val="auto"/>
                <w:kern w:val="0"/>
                <w:highlight w:val="none"/>
              </w:rPr>
              <w:t>供应商应按竞争性磋商文件中规定的响应截止时间前递交响应文件。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740" w:type="dxa"/>
            <w:vAlign w:val="center"/>
          </w:tcPr>
          <w:p>
            <w:pPr>
              <w:adjustRightInd w:val="0"/>
              <w:spacing w:line="400" w:lineRule="exact"/>
              <w:jc w:val="center"/>
              <w:textAlignment w:val="baseline"/>
              <w:rPr>
                <w:rFonts w:ascii="宋体" w:hAnsi="宋体"/>
                <w:color w:val="auto"/>
                <w:kern w:val="0"/>
                <w:highlight w:val="none"/>
              </w:rPr>
            </w:pPr>
            <w:r>
              <w:rPr>
                <w:rFonts w:ascii="宋体" w:hAnsi="宋体"/>
                <w:color w:val="auto"/>
                <w:kern w:val="0"/>
                <w:highlight w:val="none"/>
              </w:rPr>
              <w:t>9</w:t>
            </w:r>
          </w:p>
        </w:tc>
        <w:tc>
          <w:tcPr>
            <w:tcW w:w="928" w:type="dxa"/>
            <w:vAlign w:val="center"/>
          </w:tcPr>
          <w:p>
            <w:pPr>
              <w:adjustRightInd w:val="0"/>
              <w:spacing w:line="400" w:lineRule="exact"/>
              <w:jc w:val="center"/>
              <w:textAlignment w:val="baseline"/>
              <w:rPr>
                <w:rFonts w:ascii="宋体" w:hAnsi="宋体"/>
                <w:color w:val="auto"/>
                <w:kern w:val="0"/>
                <w:highlight w:val="none"/>
              </w:rPr>
            </w:pPr>
            <w:r>
              <w:rPr>
                <w:rFonts w:hint="eastAsia" w:ascii="宋体" w:hAnsi="宋体"/>
                <w:color w:val="auto"/>
                <w:kern w:val="0"/>
                <w:highlight w:val="none"/>
              </w:rPr>
              <w:t>15.4</w:t>
            </w:r>
          </w:p>
        </w:tc>
        <w:tc>
          <w:tcPr>
            <w:tcW w:w="8117" w:type="dxa"/>
            <w:vAlign w:val="center"/>
          </w:tcPr>
          <w:p>
            <w:pPr>
              <w:adjustRightInd w:val="0"/>
              <w:spacing w:line="400" w:lineRule="exact"/>
              <w:textAlignment w:val="baseline"/>
              <w:rPr>
                <w:rFonts w:ascii="宋体" w:hAnsi="宋体"/>
                <w:color w:val="auto"/>
                <w:kern w:val="0"/>
                <w:highlight w:val="none"/>
              </w:rPr>
            </w:pPr>
            <w:r>
              <w:rPr>
                <w:rFonts w:hint="eastAsia" w:ascii="宋体" w:hAnsi="宋体"/>
                <w:color w:val="auto"/>
                <w:kern w:val="0"/>
                <w:highlight w:val="none"/>
              </w:rPr>
              <w:t>供应商递交响应文件的地点：桂平市公共资源交易中心【桂江西路政务服务中心新大楼（原国会大厦）五楼】开标室，由采购代理公司工作人员签收。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740" w:type="dxa"/>
            <w:vAlign w:val="center"/>
          </w:tcPr>
          <w:p>
            <w:pPr>
              <w:adjustRightInd w:val="0"/>
              <w:spacing w:line="400" w:lineRule="exact"/>
              <w:jc w:val="center"/>
              <w:textAlignment w:val="baseline"/>
              <w:rPr>
                <w:rFonts w:ascii="宋体" w:hAnsi="宋体"/>
                <w:color w:val="auto"/>
                <w:kern w:val="0"/>
                <w:highlight w:val="none"/>
              </w:rPr>
            </w:pPr>
            <w:r>
              <w:rPr>
                <w:rFonts w:hint="eastAsia" w:ascii="宋体" w:hAnsi="宋体"/>
                <w:color w:val="auto"/>
                <w:kern w:val="0"/>
                <w:highlight w:val="none"/>
              </w:rPr>
              <w:t>10</w:t>
            </w:r>
          </w:p>
        </w:tc>
        <w:tc>
          <w:tcPr>
            <w:tcW w:w="928" w:type="dxa"/>
            <w:vAlign w:val="center"/>
          </w:tcPr>
          <w:p>
            <w:pPr>
              <w:adjustRightInd w:val="0"/>
              <w:spacing w:line="400" w:lineRule="exact"/>
              <w:jc w:val="center"/>
              <w:textAlignment w:val="baseline"/>
              <w:rPr>
                <w:rFonts w:ascii="宋体" w:hAnsi="宋体"/>
                <w:color w:val="auto"/>
                <w:kern w:val="0"/>
                <w:highlight w:val="none"/>
              </w:rPr>
            </w:pPr>
            <w:r>
              <w:rPr>
                <w:rFonts w:hint="eastAsia" w:ascii="宋体" w:hAnsi="宋体"/>
                <w:color w:val="auto"/>
                <w:kern w:val="0"/>
                <w:highlight w:val="none"/>
              </w:rPr>
              <w:t>15.1</w:t>
            </w:r>
          </w:p>
        </w:tc>
        <w:tc>
          <w:tcPr>
            <w:tcW w:w="8117" w:type="dxa"/>
            <w:vAlign w:val="center"/>
          </w:tcPr>
          <w:p>
            <w:pPr>
              <w:adjustRightInd w:val="0"/>
              <w:spacing w:line="400" w:lineRule="exact"/>
              <w:textAlignment w:val="baseline"/>
              <w:rPr>
                <w:rFonts w:ascii="宋体" w:hAnsi="宋体"/>
                <w:color w:val="auto"/>
                <w:kern w:val="0"/>
                <w:highlight w:val="none"/>
              </w:rPr>
            </w:pPr>
            <w:r>
              <w:rPr>
                <w:rFonts w:ascii="宋体" w:hAnsi="宋体" w:eastAsia="宋体" w:cs="宋体"/>
                <w:color w:val="auto"/>
                <w:spacing w:val="-1"/>
                <w:highlight w:val="none"/>
              </w:rPr>
              <w:t>履约保证金：无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740" w:type="dxa"/>
            <w:vAlign w:val="center"/>
          </w:tcPr>
          <w:p>
            <w:pPr>
              <w:adjustRightInd w:val="0"/>
              <w:spacing w:line="400" w:lineRule="exact"/>
              <w:jc w:val="center"/>
              <w:textAlignment w:val="baseline"/>
              <w:rPr>
                <w:rFonts w:ascii="宋体" w:hAnsi="宋体"/>
                <w:color w:val="auto"/>
                <w:kern w:val="0"/>
                <w:highlight w:val="none"/>
              </w:rPr>
            </w:pPr>
            <w:r>
              <w:rPr>
                <w:rFonts w:hint="eastAsia" w:ascii="宋体" w:hAnsi="宋体"/>
                <w:color w:val="auto"/>
                <w:kern w:val="0"/>
                <w:highlight w:val="none"/>
              </w:rPr>
              <w:t>11</w:t>
            </w:r>
          </w:p>
        </w:tc>
        <w:tc>
          <w:tcPr>
            <w:tcW w:w="928" w:type="dxa"/>
            <w:vAlign w:val="center"/>
          </w:tcPr>
          <w:p>
            <w:pPr>
              <w:adjustRightInd w:val="0"/>
              <w:spacing w:line="400" w:lineRule="exact"/>
              <w:jc w:val="center"/>
              <w:textAlignment w:val="baseline"/>
              <w:rPr>
                <w:rFonts w:ascii="宋体" w:hAnsi="宋体"/>
                <w:color w:val="auto"/>
                <w:kern w:val="0"/>
                <w:highlight w:val="none"/>
              </w:rPr>
            </w:pPr>
            <w:r>
              <w:rPr>
                <w:rFonts w:hint="eastAsia" w:ascii="宋体" w:hAnsi="宋体"/>
                <w:color w:val="auto"/>
                <w:kern w:val="0"/>
                <w:highlight w:val="none"/>
              </w:rPr>
              <w:t>19.1</w:t>
            </w:r>
          </w:p>
        </w:tc>
        <w:tc>
          <w:tcPr>
            <w:tcW w:w="8117" w:type="dxa"/>
            <w:vAlign w:val="center"/>
          </w:tcPr>
          <w:p>
            <w:pPr>
              <w:spacing w:after="0" w:line="360" w:lineRule="auto"/>
              <w:ind w:left="60" w:firstLine="209"/>
              <w:rPr>
                <w:rFonts w:ascii="宋体" w:hAnsi="宋体"/>
                <w:color w:val="auto"/>
                <w:kern w:val="0"/>
                <w:highlight w:val="none"/>
              </w:rPr>
            </w:pPr>
            <w:r>
              <w:rPr>
                <w:rFonts w:ascii="宋体" w:hAnsi="宋体" w:cs="宋体"/>
                <w:color w:val="auto"/>
                <w:spacing w:val="-4"/>
                <w:position w:val="3"/>
                <w:highlight w:val="none"/>
              </w:rPr>
              <w:t>招标代理服务费：</w:t>
            </w:r>
            <w:r>
              <w:rPr>
                <w:rFonts w:ascii="宋体" w:hAnsi="宋体" w:cs="宋体"/>
                <w:color w:val="auto"/>
                <w:highlight w:val="none"/>
              </w:rPr>
              <w:t>本项目的招标代理服务费按发改价格〔2015〕299</w:t>
            </w:r>
            <w:r>
              <w:rPr>
                <w:rFonts w:ascii="Calibri" w:hAnsi="Calibri" w:cs="Calibri"/>
                <w:color w:val="auto"/>
                <w:spacing w:val="5"/>
                <w:highlight w:val="none"/>
              </w:rPr>
              <w:t> </w:t>
            </w:r>
            <w:r>
              <w:rPr>
                <w:rFonts w:ascii="宋体" w:hAnsi="宋体" w:cs="宋体"/>
                <w:color w:val="auto"/>
                <w:highlight w:val="none"/>
              </w:rPr>
              <w:t>号文执行，金额为</w:t>
            </w:r>
            <w:r>
              <w:rPr>
                <w:rFonts w:hint="eastAsia" w:ascii="宋体" w:hAnsi="宋体" w:cs="宋体"/>
                <w:color w:val="auto"/>
                <w:highlight w:val="none"/>
              </w:rPr>
              <w:t>人民币壹万壹仟元整（¥11000.00）</w:t>
            </w:r>
            <w:r>
              <w:rPr>
                <w:rFonts w:ascii="宋体" w:hAnsi="宋体" w:cs="宋体"/>
                <w:color w:val="auto"/>
                <w:highlight w:val="none"/>
              </w:rPr>
              <w:t>。方式为由成交人向采购代理机构支付。领取成交通知书前，成交人应向</w:t>
            </w:r>
            <w:r>
              <w:rPr>
                <w:rFonts w:ascii="宋体" w:hAnsi="宋体" w:cs="宋体"/>
                <w:color w:val="auto"/>
                <w:spacing w:val="-1"/>
                <w:highlight w:val="none"/>
              </w:rPr>
              <w:t>采购代理机构一次付清采购代理服务费。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740" w:type="dxa"/>
            <w:vAlign w:val="center"/>
          </w:tcPr>
          <w:p>
            <w:pPr>
              <w:pStyle w:val="10"/>
              <w:snapToGrid w:val="0"/>
              <w:spacing w:line="340" w:lineRule="exact"/>
              <w:jc w:val="center"/>
              <w:rPr>
                <w:rFonts w:hAnsi="宋体" w:cs="Times New Roman"/>
                <w:color w:val="auto"/>
                <w:highlight w:val="none"/>
              </w:rPr>
            </w:pPr>
            <w:r>
              <w:rPr>
                <w:rFonts w:hint="eastAsia" w:hAnsi="宋体" w:cs="Times New Roman"/>
                <w:color w:val="auto"/>
                <w:highlight w:val="none"/>
              </w:rPr>
              <w:t>12</w:t>
            </w:r>
          </w:p>
        </w:tc>
        <w:tc>
          <w:tcPr>
            <w:tcW w:w="928" w:type="dxa"/>
            <w:vAlign w:val="center"/>
          </w:tcPr>
          <w:p>
            <w:pPr>
              <w:pStyle w:val="10"/>
              <w:snapToGrid w:val="0"/>
              <w:spacing w:line="340" w:lineRule="exact"/>
              <w:jc w:val="center"/>
              <w:rPr>
                <w:rFonts w:hAnsi="宋体" w:cs="Times New Roman"/>
                <w:color w:val="auto"/>
                <w:highlight w:val="none"/>
              </w:rPr>
            </w:pPr>
          </w:p>
        </w:tc>
        <w:tc>
          <w:tcPr>
            <w:tcW w:w="8117" w:type="dxa"/>
            <w:vAlign w:val="center"/>
          </w:tcPr>
          <w:p>
            <w:pPr>
              <w:pStyle w:val="10"/>
              <w:snapToGrid w:val="0"/>
              <w:spacing w:line="340" w:lineRule="exact"/>
              <w:jc w:val="left"/>
              <w:rPr>
                <w:rFonts w:hAnsi="宋体"/>
                <w:color w:val="auto"/>
                <w:highlight w:val="none"/>
              </w:rPr>
            </w:pPr>
            <w:r>
              <w:rPr>
                <w:rFonts w:hint="eastAsia" w:hAnsi="宋体"/>
                <w:color w:val="auto"/>
                <w:highlight w:val="none"/>
              </w:rPr>
              <w:t>接收质疑函方式：接受以现场递交或以邮递方式送达的书面质疑</w:t>
            </w:r>
          </w:p>
          <w:p>
            <w:pPr>
              <w:pStyle w:val="10"/>
              <w:snapToGrid w:val="0"/>
              <w:spacing w:line="340" w:lineRule="exact"/>
              <w:jc w:val="left"/>
              <w:rPr>
                <w:rFonts w:hAnsi="宋体" w:cs="Times New Roman"/>
                <w:color w:val="auto"/>
                <w:highlight w:val="none"/>
              </w:rPr>
            </w:pPr>
            <w:r>
              <w:rPr>
                <w:rFonts w:hint="eastAsia" w:hAnsi="宋体"/>
                <w:color w:val="auto"/>
                <w:highlight w:val="none"/>
              </w:rPr>
              <w:t>质疑联系部门：广西博行弈工程项目管理有限公司，联系人：吴工,联系电话：0775-4218878，通讯地址：贵港市港北区金港大道万豪丽城2栋3单元3405。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740" w:type="dxa"/>
            <w:vAlign w:val="center"/>
          </w:tcPr>
          <w:p>
            <w:pPr>
              <w:pStyle w:val="10"/>
              <w:snapToGrid w:val="0"/>
              <w:spacing w:line="340" w:lineRule="exact"/>
              <w:jc w:val="center"/>
              <w:rPr>
                <w:rFonts w:hAnsi="宋体"/>
                <w:color w:val="auto"/>
                <w:highlight w:val="none"/>
              </w:rPr>
            </w:pPr>
            <w:r>
              <w:rPr>
                <w:rFonts w:hint="eastAsia" w:hAnsi="宋体"/>
                <w:color w:val="auto"/>
                <w:highlight w:val="none"/>
              </w:rPr>
              <w:t>13</w:t>
            </w:r>
          </w:p>
        </w:tc>
        <w:tc>
          <w:tcPr>
            <w:tcW w:w="928" w:type="dxa"/>
            <w:vAlign w:val="center"/>
          </w:tcPr>
          <w:p>
            <w:pPr>
              <w:pStyle w:val="10"/>
              <w:snapToGrid w:val="0"/>
              <w:spacing w:line="340" w:lineRule="exact"/>
              <w:jc w:val="center"/>
              <w:rPr>
                <w:rFonts w:hAnsi="宋体"/>
                <w:color w:val="auto"/>
                <w:highlight w:val="none"/>
              </w:rPr>
            </w:pPr>
          </w:p>
        </w:tc>
        <w:tc>
          <w:tcPr>
            <w:tcW w:w="8117" w:type="dxa"/>
            <w:vAlign w:val="center"/>
          </w:tcPr>
          <w:p>
            <w:pPr>
              <w:spacing w:line="400" w:lineRule="exact"/>
              <w:rPr>
                <w:rFonts w:ascii="宋体" w:hAnsi="宋体" w:cs="Courier New"/>
                <w:color w:val="auto"/>
                <w:spacing w:val="2"/>
                <w:szCs w:val="21"/>
                <w:highlight w:val="none"/>
              </w:rPr>
            </w:pPr>
            <w:r>
              <w:rPr>
                <w:rFonts w:hint="eastAsia" w:ascii="宋体" w:hAnsi="宋体" w:cs="Courier New"/>
                <w:color w:val="auto"/>
                <w:spacing w:val="2"/>
                <w:szCs w:val="21"/>
                <w:highlight w:val="none"/>
              </w:rPr>
              <w:t>1、</w:t>
            </w:r>
            <w:r>
              <w:rPr>
                <w:rFonts w:ascii="宋体" w:hAnsi="宋体" w:cs="Courier New"/>
                <w:color w:val="auto"/>
                <w:spacing w:val="2"/>
                <w:szCs w:val="21"/>
                <w:highlight w:val="none"/>
              </w:rPr>
              <w:t>本文件中描述</w:t>
            </w:r>
            <w:r>
              <w:rPr>
                <w:rFonts w:hint="eastAsia" w:ascii="宋体" w:hAnsi="宋体" w:cs="Courier New"/>
                <w:color w:val="auto"/>
                <w:spacing w:val="2"/>
                <w:szCs w:val="21"/>
                <w:highlight w:val="none"/>
              </w:rPr>
              <w:t>磋商单位</w:t>
            </w:r>
            <w:r>
              <w:rPr>
                <w:rFonts w:ascii="宋体" w:hAnsi="宋体" w:cs="Courier New"/>
                <w:color w:val="auto"/>
                <w:spacing w:val="2"/>
                <w:szCs w:val="21"/>
                <w:highlight w:val="none"/>
              </w:rPr>
              <w:t>的“公章”是指根据我国对公章的管理规定，用</w:t>
            </w:r>
            <w:r>
              <w:rPr>
                <w:rFonts w:hint="eastAsia" w:ascii="宋体" w:hAnsi="宋体" w:cs="Courier New"/>
                <w:color w:val="auto"/>
                <w:spacing w:val="2"/>
                <w:szCs w:val="21"/>
                <w:highlight w:val="none"/>
              </w:rPr>
              <w:t>磋商单位</w:t>
            </w:r>
            <w:r>
              <w:rPr>
                <w:rFonts w:ascii="宋体" w:hAnsi="宋体" w:cs="Courier New"/>
                <w:color w:val="auto"/>
                <w:spacing w:val="2"/>
                <w:szCs w:val="21"/>
                <w:highlight w:val="none"/>
              </w:rPr>
              <w:t>法定主体行为名称制作的印章，除本文件有特殊规定外，</w:t>
            </w:r>
            <w:r>
              <w:rPr>
                <w:rFonts w:hint="eastAsia" w:ascii="宋体" w:hAnsi="宋体" w:cs="Courier New"/>
                <w:color w:val="auto"/>
                <w:spacing w:val="2"/>
                <w:szCs w:val="21"/>
                <w:highlight w:val="none"/>
              </w:rPr>
              <w:t>磋商单位</w:t>
            </w:r>
            <w:r>
              <w:rPr>
                <w:rFonts w:ascii="宋体" w:hAnsi="宋体" w:cs="Courier New"/>
                <w:color w:val="auto"/>
                <w:spacing w:val="2"/>
                <w:szCs w:val="21"/>
                <w:highlight w:val="none"/>
              </w:rPr>
              <w:t>的财务章、部门章、分公司章、工会章、合同章、投标专用章、业务专用章及银行的转账章、现金收讫章、现金付讫章等其它形式印章均不能代替公章</w:t>
            </w:r>
            <w:r>
              <w:rPr>
                <w:rFonts w:hint="eastAsia" w:ascii="宋体" w:hAnsi="宋体" w:cs="Courier New"/>
                <w:color w:val="auto"/>
                <w:spacing w:val="2"/>
                <w:szCs w:val="21"/>
                <w:highlight w:val="none"/>
              </w:rPr>
              <w:t>。</w:t>
            </w:r>
          </w:p>
          <w:p>
            <w:pPr>
              <w:pStyle w:val="10"/>
              <w:snapToGrid w:val="0"/>
              <w:spacing w:line="340" w:lineRule="exact"/>
              <w:jc w:val="left"/>
              <w:rPr>
                <w:rFonts w:hAnsi="宋体"/>
                <w:color w:val="auto"/>
                <w:highlight w:val="none"/>
              </w:rPr>
            </w:pPr>
            <w:r>
              <w:rPr>
                <w:rFonts w:hint="eastAsia" w:hAnsi="宋体" w:cs="Courier New"/>
                <w:color w:val="auto"/>
                <w:spacing w:val="2"/>
                <w:szCs w:val="21"/>
                <w:highlight w:val="none"/>
              </w:rPr>
              <w:t>2、</w:t>
            </w:r>
            <w:r>
              <w:rPr>
                <w:rFonts w:hAnsi="宋体" w:cs="Courier New"/>
                <w:color w:val="auto"/>
                <w:spacing w:val="2"/>
                <w:szCs w:val="21"/>
                <w:highlight w:val="none"/>
              </w:rPr>
              <w:t>本</w:t>
            </w:r>
            <w:r>
              <w:rPr>
                <w:rFonts w:hint="eastAsia" w:hAnsi="宋体" w:cs="Courier New"/>
                <w:color w:val="auto"/>
                <w:spacing w:val="2"/>
                <w:szCs w:val="21"/>
                <w:highlight w:val="none"/>
              </w:rPr>
              <w:t>竞争性磋商采购文件</w:t>
            </w:r>
            <w:r>
              <w:rPr>
                <w:rFonts w:hAnsi="宋体" w:cs="Courier New"/>
                <w:color w:val="auto"/>
                <w:spacing w:val="2"/>
                <w:szCs w:val="21"/>
                <w:highlight w:val="none"/>
              </w:rPr>
              <w:t>中描述</w:t>
            </w:r>
            <w:r>
              <w:rPr>
                <w:rFonts w:hint="eastAsia" w:hAnsi="宋体" w:cs="Courier New"/>
                <w:color w:val="auto"/>
                <w:spacing w:val="2"/>
                <w:szCs w:val="21"/>
                <w:highlight w:val="none"/>
              </w:rPr>
              <w:t>磋商单位</w:t>
            </w:r>
            <w:r>
              <w:rPr>
                <w:rFonts w:hAnsi="宋体" w:cs="Courier New"/>
                <w:color w:val="auto"/>
                <w:spacing w:val="2"/>
                <w:szCs w:val="21"/>
                <w:highlight w:val="none"/>
              </w:rPr>
              <w:t>的“</w:t>
            </w:r>
            <w:r>
              <w:rPr>
                <w:rFonts w:hint="eastAsia" w:hAnsi="宋体" w:cs="Courier New"/>
                <w:color w:val="auto"/>
                <w:spacing w:val="2"/>
                <w:szCs w:val="21"/>
                <w:highlight w:val="none"/>
              </w:rPr>
              <w:t>签字</w:t>
            </w:r>
            <w:r>
              <w:rPr>
                <w:rFonts w:hAnsi="宋体" w:cs="Courier New"/>
                <w:color w:val="auto"/>
                <w:spacing w:val="2"/>
                <w:szCs w:val="21"/>
                <w:highlight w:val="none"/>
              </w:rPr>
              <w:t>”是指</w:t>
            </w:r>
            <w:r>
              <w:rPr>
                <w:rFonts w:hint="eastAsia" w:hAnsi="宋体" w:cs="Courier New"/>
                <w:color w:val="auto"/>
                <w:spacing w:val="2"/>
                <w:szCs w:val="21"/>
                <w:highlight w:val="none"/>
              </w:rPr>
              <w:t>磋商单位的法定代表人或委托代理人亲自在采购文件规定签署处亲笔写上个人的名字的行为，私章、签字章、印鉴、影印等其它形式</w:t>
            </w:r>
            <w:r>
              <w:rPr>
                <w:rFonts w:hAnsi="宋体" w:cs="Courier New"/>
                <w:color w:val="auto"/>
                <w:spacing w:val="2"/>
                <w:szCs w:val="21"/>
                <w:highlight w:val="none"/>
              </w:rPr>
              <w:t>均不能代替</w:t>
            </w:r>
            <w:r>
              <w:rPr>
                <w:rFonts w:hint="eastAsia" w:hAnsi="宋体" w:cs="Courier New"/>
                <w:color w:val="auto"/>
                <w:spacing w:val="2"/>
                <w:szCs w:val="21"/>
                <w:highlight w:val="none"/>
              </w:rPr>
              <w:t>亲笔签字</w:t>
            </w:r>
            <w:r>
              <w:rPr>
                <w:rFonts w:hAnsi="宋体" w:cs="Courier New"/>
                <w:color w:val="auto"/>
                <w:spacing w:val="2"/>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740" w:type="dxa"/>
            <w:vAlign w:val="center"/>
          </w:tcPr>
          <w:p>
            <w:pPr>
              <w:pStyle w:val="10"/>
              <w:snapToGrid w:val="0"/>
              <w:spacing w:line="340" w:lineRule="exact"/>
              <w:jc w:val="center"/>
              <w:rPr>
                <w:rFonts w:hAnsi="宋体"/>
                <w:color w:val="auto"/>
                <w:highlight w:val="none"/>
              </w:rPr>
            </w:pPr>
            <w:r>
              <w:rPr>
                <w:rFonts w:hint="eastAsia" w:hAnsi="宋体"/>
                <w:color w:val="auto"/>
                <w:highlight w:val="none"/>
              </w:rPr>
              <w:t>14</w:t>
            </w:r>
          </w:p>
        </w:tc>
        <w:tc>
          <w:tcPr>
            <w:tcW w:w="928" w:type="dxa"/>
            <w:vAlign w:val="center"/>
          </w:tcPr>
          <w:p>
            <w:pPr>
              <w:pStyle w:val="10"/>
              <w:snapToGrid w:val="0"/>
              <w:spacing w:line="340" w:lineRule="exact"/>
              <w:jc w:val="center"/>
              <w:rPr>
                <w:rFonts w:hAnsi="宋体"/>
                <w:color w:val="auto"/>
                <w:highlight w:val="none"/>
              </w:rPr>
            </w:pPr>
          </w:p>
        </w:tc>
        <w:tc>
          <w:tcPr>
            <w:tcW w:w="8117" w:type="dxa"/>
            <w:vAlign w:val="center"/>
          </w:tcPr>
          <w:p>
            <w:pPr>
              <w:spacing w:line="400" w:lineRule="exact"/>
              <w:rPr>
                <w:rFonts w:ascii="宋体" w:hAnsi="宋体" w:cs="Courier New"/>
                <w:color w:val="auto"/>
                <w:spacing w:val="2"/>
                <w:szCs w:val="21"/>
                <w:highlight w:val="none"/>
              </w:rPr>
            </w:pPr>
            <w:r>
              <w:rPr>
                <w:rFonts w:hint="eastAsia" w:ascii="宋体" w:hAnsi="宋体" w:cs="Courier New"/>
                <w:color w:val="auto"/>
                <w:spacing w:val="2"/>
                <w:szCs w:val="21"/>
                <w:highlight w:val="none"/>
              </w:rPr>
              <w:t>在对磋商单位资格审查时进行信用查询查询渠道：“信用中国”网站(www.creditchina.gov.cn)、中国政府采购网(www.ccgp.gov.cn)等；</w:t>
            </w:r>
          </w:p>
          <w:p>
            <w:pPr>
              <w:spacing w:line="400" w:lineRule="exact"/>
              <w:rPr>
                <w:rFonts w:ascii="宋体" w:hAnsi="宋体" w:cs="Courier New"/>
                <w:color w:val="auto"/>
                <w:spacing w:val="2"/>
                <w:szCs w:val="21"/>
                <w:highlight w:val="none"/>
              </w:rPr>
            </w:pPr>
            <w:r>
              <w:rPr>
                <w:rFonts w:hint="eastAsia" w:ascii="宋体" w:hAnsi="宋体" w:cs="Courier New"/>
                <w:color w:val="auto"/>
                <w:spacing w:val="2"/>
                <w:szCs w:val="21"/>
                <w:highlight w:val="none"/>
              </w:rPr>
              <w:t>查询起止时间：自磋商单位成立之日至磋商截止时间查询记录和证据留存方式：在查询网站中直接打印查询记录，打印材料作为评审资料保存。</w:t>
            </w:r>
          </w:p>
          <w:p>
            <w:pPr>
              <w:spacing w:line="400" w:lineRule="exact"/>
              <w:rPr>
                <w:rFonts w:ascii="宋体" w:hAnsi="宋体" w:cs="Courier New"/>
                <w:color w:val="auto"/>
                <w:spacing w:val="2"/>
                <w:szCs w:val="21"/>
                <w:highlight w:val="none"/>
              </w:rPr>
            </w:pPr>
            <w:r>
              <w:rPr>
                <w:rFonts w:hint="eastAsia" w:ascii="宋体" w:hAnsi="宋体" w:cs="Courier New"/>
                <w:color w:val="auto"/>
                <w:spacing w:val="2"/>
                <w:szCs w:val="21"/>
                <w:highlight w:val="none"/>
              </w:rPr>
              <w:t>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bl>
    <w:p>
      <w:pPr>
        <w:widowControl/>
        <w:rPr>
          <w:color w:val="auto"/>
          <w:highlight w:val="none"/>
        </w:rPr>
        <w:sectPr>
          <w:type w:val="continuous"/>
          <w:pgSz w:w="11906" w:h="16838"/>
          <w:pgMar w:top="818" w:right="713" w:bottom="578" w:left="1073" w:header="0" w:footer="0" w:gutter="0"/>
          <w:cols w:equalWidth="0" w:num="1">
            <w:col w:w="10120"/>
          </w:cols>
          <w:docGrid w:type="lines" w:linePitch="312" w:charSpace="0"/>
        </w:sectPr>
      </w:pPr>
    </w:p>
    <w:p>
      <w:pPr>
        <w:spacing w:after="0" w:line="446" w:lineRule="exact"/>
        <w:rPr>
          <w:color w:val="auto"/>
          <w:highlight w:val="none"/>
        </w:rPr>
      </w:pPr>
      <w:bookmarkStart w:id="45" w:name="1"/>
      <w:bookmarkEnd w:id="45"/>
      <w:bookmarkStart w:id="46" w:name="7"/>
      <w:bookmarkEnd w:id="46"/>
    </w:p>
    <w:p>
      <w:pPr>
        <w:spacing w:after="0" w:line="320" w:lineRule="exact"/>
        <w:ind w:left="65" w:firstLine="3857"/>
        <w:rPr>
          <w:color w:val="auto"/>
          <w:highlight w:val="none"/>
        </w:rPr>
      </w:pPr>
      <w:r>
        <w:rPr>
          <w:rFonts w:ascii="宋体" w:hAnsi="宋体" w:eastAsia="宋体" w:cs="宋体"/>
          <w:color w:val="auto"/>
          <w:sz w:val="32"/>
          <w:highlight w:val="none"/>
        </w:rPr>
        <w:t>磋商须知</w:t>
      </w:r>
    </w:p>
    <w:p>
      <w:pPr>
        <w:spacing w:after="0" w:line="360" w:lineRule="auto"/>
        <w:ind w:left="65" w:firstLine="3857"/>
        <w:rPr>
          <w:color w:val="auto"/>
          <w:highlight w:val="none"/>
        </w:rPr>
      </w:pPr>
    </w:p>
    <w:p>
      <w:pPr>
        <w:spacing w:after="0" w:line="360" w:lineRule="auto"/>
        <w:rPr>
          <w:b/>
          <w:bCs/>
          <w:color w:val="auto"/>
          <w:highlight w:val="none"/>
        </w:rPr>
      </w:pPr>
      <w:r>
        <w:rPr>
          <w:rFonts w:ascii="宋体" w:hAnsi="宋体" w:cs="宋体"/>
          <w:b/>
          <w:bCs/>
          <w:color w:val="auto"/>
          <w:highlight w:val="none"/>
        </w:rPr>
        <w:t>一、总</w:t>
      </w:r>
      <w:r>
        <w:rPr>
          <w:rFonts w:ascii="Calibri" w:hAnsi="Calibri" w:cs="Calibri"/>
          <w:b/>
          <w:bCs/>
          <w:color w:val="auto"/>
          <w:w w:val="194"/>
          <w:sz w:val="24"/>
          <w:highlight w:val="none"/>
        </w:rPr>
        <w:t>  </w:t>
      </w:r>
      <w:r>
        <w:rPr>
          <w:rFonts w:ascii="宋体" w:hAnsi="宋体" w:eastAsia="宋体" w:cs="宋体"/>
          <w:b/>
          <w:bCs/>
          <w:color w:val="auto"/>
          <w:spacing w:val="-2"/>
          <w:highlight w:val="none"/>
        </w:rPr>
        <w:t>则</w:t>
      </w:r>
    </w:p>
    <w:p>
      <w:pPr>
        <w:spacing w:after="0" w:line="360" w:lineRule="auto"/>
        <w:rPr>
          <w:b/>
          <w:color w:val="auto"/>
          <w:highlight w:val="none"/>
        </w:rPr>
      </w:pPr>
      <w:r>
        <w:rPr>
          <w:rFonts w:ascii="宋体" w:hAnsi="宋体" w:cs="宋体"/>
          <w:b/>
          <w:color w:val="auto"/>
          <w:highlight w:val="none"/>
        </w:rPr>
        <w:t>1.</w:t>
      </w:r>
      <w:r>
        <w:rPr>
          <w:rFonts w:ascii="Calibri" w:hAnsi="Calibri" w:cs="Calibri"/>
          <w:b/>
          <w:color w:val="auto"/>
          <w:w w:val="219"/>
          <w:highlight w:val="none"/>
        </w:rPr>
        <w:t> </w:t>
      </w:r>
      <w:r>
        <w:rPr>
          <w:rFonts w:ascii="宋体" w:hAnsi="宋体" w:eastAsia="宋体" w:cs="宋体"/>
          <w:b/>
          <w:color w:val="auto"/>
          <w:highlight w:val="none"/>
        </w:rPr>
        <w:t>综合说明:</w:t>
      </w:r>
    </w:p>
    <w:p>
      <w:pPr>
        <w:spacing w:after="0" w:line="360" w:lineRule="auto"/>
        <w:ind w:firstLine="420" w:firstLineChars="200"/>
        <w:rPr>
          <w:rFonts w:eastAsia="宋体"/>
          <w:color w:val="auto"/>
          <w:highlight w:val="none"/>
        </w:rPr>
      </w:pPr>
      <w:r>
        <w:rPr>
          <w:rFonts w:ascii="宋体" w:hAnsi="宋体" w:cs="宋体"/>
          <w:color w:val="auto"/>
          <w:highlight w:val="none"/>
        </w:rPr>
        <w:t>1.1</w:t>
      </w:r>
      <w:r>
        <w:rPr>
          <w:rFonts w:ascii="Calibri" w:hAnsi="Calibri" w:cs="Calibri"/>
          <w:color w:val="auto"/>
          <w:spacing w:val="3"/>
          <w:highlight w:val="none"/>
        </w:rPr>
        <w:t> </w:t>
      </w:r>
      <w:r>
        <w:rPr>
          <w:rFonts w:hint="eastAsia" w:ascii="Calibri" w:hAnsi="Calibri" w:cs="Calibri"/>
          <w:color w:val="auto"/>
          <w:spacing w:val="3"/>
          <w:highlight w:val="none"/>
        </w:rPr>
        <w:t>项目名称</w:t>
      </w:r>
      <w:r>
        <w:rPr>
          <w:rFonts w:ascii="宋体" w:hAnsi="宋体" w:eastAsia="宋体" w:cs="宋体"/>
          <w:color w:val="auto"/>
          <w:spacing w:val="-1"/>
          <w:highlight w:val="none"/>
        </w:rPr>
        <w:t>：</w:t>
      </w:r>
      <w:r>
        <w:rPr>
          <w:rFonts w:hint="eastAsia" w:ascii="宋体" w:hAnsi="宋体" w:eastAsia="宋体" w:cs="宋体"/>
          <w:color w:val="auto"/>
          <w:spacing w:val="-1"/>
          <w:highlight w:val="none"/>
        </w:rPr>
        <w:t>桂平市垌心至金田公路工程监理服务</w:t>
      </w:r>
    </w:p>
    <w:p>
      <w:pPr>
        <w:spacing w:after="0" w:line="360" w:lineRule="auto"/>
        <w:ind w:firstLine="416" w:firstLineChars="200"/>
        <w:rPr>
          <w:rFonts w:hint="eastAsia" w:eastAsia="宋体"/>
          <w:color w:val="auto"/>
          <w:highlight w:val="none"/>
          <w:lang w:eastAsia="zh-CN"/>
        </w:rPr>
      </w:pPr>
      <w:r>
        <w:rPr>
          <w:rFonts w:hint="eastAsia" w:ascii="宋体" w:hAnsi="宋体" w:eastAsia="宋体" w:cs="宋体"/>
          <w:color w:val="auto"/>
          <w:spacing w:val="-1"/>
          <w:position w:val="3"/>
          <w:highlight w:val="none"/>
        </w:rPr>
        <w:t>项目编号</w:t>
      </w:r>
      <w:r>
        <w:rPr>
          <w:rFonts w:ascii="宋体" w:hAnsi="宋体" w:eastAsia="宋体" w:cs="宋体"/>
          <w:color w:val="auto"/>
          <w:spacing w:val="-1"/>
          <w:position w:val="3"/>
          <w:highlight w:val="none"/>
        </w:rPr>
        <w:t>：</w:t>
      </w:r>
      <w:r>
        <w:rPr>
          <w:rFonts w:hint="eastAsia" w:ascii="宋体" w:hAnsi="宋体" w:eastAsia="宋体" w:cs="宋体"/>
          <w:color w:val="auto"/>
          <w:spacing w:val="-1"/>
          <w:highlight w:val="none"/>
          <w:lang w:eastAsia="zh-CN"/>
        </w:rPr>
        <w:t>GGZC2020-C3-50127-GXBX</w:t>
      </w:r>
    </w:p>
    <w:p>
      <w:pPr>
        <w:spacing w:after="0" w:line="360" w:lineRule="auto"/>
        <w:ind w:firstLine="420" w:firstLineChars="200"/>
        <w:rPr>
          <w:rFonts w:ascii="宋体" w:hAnsi="宋体"/>
          <w:bCs/>
          <w:color w:val="auto"/>
          <w:kern w:val="0"/>
          <w:highlight w:val="none"/>
        </w:rPr>
      </w:pPr>
      <w:r>
        <w:rPr>
          <w:rFonts w:hint="eastAsia" w:ascii="宋体" w:hAnsi="宋体" w:eastAsia="宋体" w:cs="宋体"/>
          <w:color w:val="auto"/>
          <w:szCs w:val="21"/>
          <w:highlight w:val="none"/>
          <w:shd w:val="clear" w:color="auto" w:fill="FFFFFF"/>
        </w:rPr>
        <w:t>采购项目的名称、数量、简要规格描述或项目基本概况介绍</w:t>
      </w:r>
      <w:r>
        <w:rPr>
          <w:rFonts w:hint="eastAsia" w:ascii="宋体" w:hAnsi="宋体" w:cs="宋体"/>
          <w:color w:val="auto"/>
          <w:spacing w:val="-2"/>
          <w:position w:val="3"/>
          <w:highlight w:val="none"/>
        </w:rPr>
        <w:t>：</w:t>
      </w:r>
      <w:r>
        <w:rPr>
          <w:rFonts w:hint="eastAsia" w:ascii="宋体" w:hAnsi="宋体"/>
          <w:bCs/>
          <w:color w:val="auto"/>
          <w:kern w:val="0"/>
          <w:highlight w:val="none"/>
        </w:rPr>
        <w:t>桂平市垌心至金田公路工程监理服务1项，本工程线路总体走向为自北向南，起点（K0+000）与柳梧高速公路大鹏连接线相接，K0+000-K7+120段完全利用柳梧高速大鹏连接线，新建路段起点（K0+000）=完全利用段终点（K7+120），与大鹏连接线T型渠化交叉顺接，路线沿旧路X348县道布线，途经王举屯、桂山屯、中垌屯、垌心屯、理村、新旺村、新燕、终点K10+245位于金田镇上，与S323梧州至迁江二级公路成十字型平面交叉相接。路线全长17.365公里，其中利用段7.12公里，新建段10.245公里。设计时速：60km/h，路基宽度为10m，其中K0+000-K0+540、K4+680-K5+320、K9+680-K10+245段采用40km/h，路基宽度为8.5m；K1+820-K2+240段采用40km/h，路基宽度为10m，其余路段采用60km/h，路基宽度为10m，汽车荷载等级为公路-II级，小桥涵及路基设计洪水频率为1/50，路面类型为水泥混凝土路面。如需进一步了解详细内容，详见竞争性磋商采购文件。</w:t>
      </w:r>
    </w:p>
    <w:p>
      <w:pPr>
        <w:spacing w:after="0" w:line="360" w:lineRule="auto"/>
        <w:ind w:firstLine="420" w:firstLineChars="200"/>
        <w:rPr>
          <w:rFonts w:ascii="宋体" w:hAnsi="宋体"/>
          <w:bCs/>
          <w:color w:val="auto"/>
          <w:kern w:val="0"/>
          <w:highlight w:val="none"/>
        </w:rPr>
      </w:pPr>
      <w:r>
        <w:rPr>
          <w:rFonts w:hint="eastAsia" w:ascii="宋体" w:hAnsi="宋体"/>
          <w:bCs/>
          <w:color w:val="auto"/>
          <w:kern w:val="0"/>
          <w:highlight w:val="none"/>
        </w:rPr>
        <w:t xml:space="preserve">监理服务范围：桂平市垌心至金田公路工程监理服务，包括《公路工程施工监理规范》（JTG G10—2016）规定的隶属于本工程相关的施工监理工作。 </w:t>
      </w:r>
    </w:p>
    <w:p>
      <w:pPr>
        <w:spacing w:after="0" w:line="360" w:lineRule="auto"/>
        <w:ind w:firstLine="420" w:firstLineChars="200"/>
        <w:rPr>
          <w:rFonts w:ascii="宋体" w:hAnsi="宋体"/>
          <w:bCs/>
          <w:color w:val="auto"/>
          <w:kern w:val="0"/>
          <w:highlight w:val="none"/>
        </w:rPr>
      </w:pPr>
      <w:r>
        <w:rPr>
          <w:rFonts w:hint="eastAsia" w:ascii="宋体" w:hAnsi="宋体"/>
          <w:bCs/>
          <w:color w:val="auto"/>
          <w:kern w:val="0"/>
          <w:highlight w:val="none"/>
        </w:rPr>
        <w:t>监理质量要求：符合有关国家质量标准、技术规范及规程要求，并通过行业管理部门审批。</w:t>
      </w:r>
    </w:p>
    <w:p>
      <w:pPr>
        <w:spacing w:after="0" w:line="360" w:lineRule="auto"/>
        <w:ind w:firstLine="420" w:firstLineChars="200"/>
        <w:rPr>
          <w:rFonts w:ascii="宋体" w:hAnsi="宋体"/>
          <w:bCs/>
          <w:color w:val="auto"/>
          <w:kern w:val="0"/>
          <w:highlight w:val="none"/>
        </w:rPr>
      </w:pPr>
      <w:r>
        <w:rPr>
          <w:rFonts w:hint="eastAsia" w:ascii="宋体" w:hAnsi="宋体"/>
          <w:bCs/>
          <w:color w:val="auto"/>
          <w:kern w:val="0"/>
          <w:highlight w:val="none"/>
        </w:rPr>
        <w:t xml:space="preserve">监理服务期限：自合同签订之日起开始实施，至工程竣工验收合格，保修期满完毕（监理工期与施工工期一致）。  </w:t>
      </w:r>
    </w:p>
    <w:p>
      <w:pPr>
        <w:spacing w:after="0" w:line="360" w:lineRule="auto"/>
        <w:ind w:firstLine="420" w:firstLineChars="200"/>
        <w:rPr>
          <w:rFonts w:ascii="宋体" w:hAnsi="宋体" w:cs="宋体"/>
          <w:color w:val="auto"/>
          <w:spacing w:val="-2"/>
          <w:position w:val="3"/>
          <w:highlight w:val="none"/>
        </w:rPr>
      </w:pPr>
      <w:r>
        <w:rPr>
          <w:rFonts w:hint="eastAsia" w:ascii="宋体" w:hAnsi="宋体"/>
          <w:bCs/>
          <w:color w:val="auto"/>
          <w:kern w:val="0"/>
          <w:highlight w:val="none"/>
        </w:rPr>
        <w:t xml:space="preserve">本项目不接受联合体。      </w:t>
      </w:r>
    </w:p>
    <w:p>
      <w:pPr>
        <w:spacing w:after="0" w:line="360" w:lineRule="auto"/>
        <w:ind w:firstLine="420" w:firstLineChars="200"/>
        <w:rPr>
          <w:color w:val="auto"/>
          <w:highlight w:val="none"/>
        </w:rPr>
      </w:pPr>
      <w:r>
        <w:rPr>
          <w:rFonts w:ascii="宋体" w:hAnsi="宋体" w:eastAsia="宋体" w:cs="宋体"/>
          <w:color w:val="auto"/>
          <w:highlight w:val="none"/>
        </w:rPr>
        <w:t>招标方式：竞争性磋商</w:t>
      </w:r>
    </w:p>
    <w:p>
      <w:pPr>
        <w:spacing w:after="0" w:line="360" w:lineRule="auto"/>
        <w:ind w:firstLine="416" w:firstLineChars="200"/>
        <w:rPr>
          <w:color w:val="auto"/>
          <w:highlight w:val="none"/>
        </w:rPr>
      </w:pPr>
      <w:r>
        <w:rPr>
          <w:rFonts w:ascii="宋体" w:hAnsi="宋体" w:cs="宋体"/>
          <w:color w:val="auto"/>
          <w:spacing w:val="-1"/>
          <w:highlight w:val="none"/>
        </w:rPr>
        <w:t>本文件仅适用于本文件中所叙述的货物、服务类采购项目。</w:t>
      </w:r>
    </w:p>
    <w:p>
      <w:pPr>
        <w:spacing w:after="0" w:line="360" w:lineRule="auto"/>
        <w:rPr>
          <w:b/>
          <w:color w:val="auto"/>
          <w:highlight w:val="none"/>
        </w:rPr>
      </w:pPr>
      <w:r>
        <w:rPr>
          <w:rFonts w:ascii="宋体" w:hAnsi="宋体" w:cs="宋体"/>
          <w:b/>
          <w:color w:val="auto"/>
          <w:highlight w:val="none"/>
        </w:rPr>
        <w:t>2.</w:t>
      </w:r>
      <w:r>
        <w:rPr>
          <w:rFonts w:ascii="Calibri" w:hAnsi="Calibri" w:cs="Calibri"/>
          <w:b/>
          <w:color w:val="auto"/>
          <w:w w:val="219"/>
          <w:highlight w:val="none"/>
        </w:rPr>
        <w:t> </w:t>
      </w:r>
      <w:r>
        <w:rPr>
          <w:rFonts w:ascii="宋体" w:hAnsi="宋体" w:eastAsia="宋体" w:cs="宋体"/>
          <w:b/>
          <w:color w:val="auto"/>
          <w:spacing w:val="-2"/>
          <w:highlight w:val="none"/>
        </w:rPr>
        <w:t>定义</w:t>
      </w:r>
    </w:p>
    <w:p>
      <w:pPr>
        <w:spacing w:after="0" w:line="360" w:lineRule="auto"/>
        <w:ind w:firstLine="416" w:firstLineChars="200"/>
        <w:rPr>
          <w:color w:val="auto"/>
          <w:highlight w:val="none"/>
        </w:rPr>
      </w:pPr>
      <w:r>
        <w:rPr>
          <w:rFonts w:ascii="宋体" w:hAnsi="宋体" w:cs="宋体"/>
          <w:color w:val="auto"/>
          <w:spacing w:val="-1"/>
          <w:highlight w:val="none"/>
        </w:rPr>
        <w:t>2.1“采购人”是指：依法进行采购的国家机关、事业单位、团体组织。</w:t>
      </w:r>
    </w:p>
    <w:p>
      <w:pPr>
        <w:spacing w:after="0" w:line="360" w:lineRule="auto"/>
        <w:ind w:firstLine="416" w:firstLineChars="200"/>
        <w:rPr>
          <w:color w:val="auto"/>
          <w:highlight w:val="none"/>
        </w:rPr>
      </w:pPr>
      <w:r>
        <w:rPr>
          <w:rFonts w:ascii="宋体" w:hAnsi="宋体" w:cs="宋体"/>
          <w:color w:val="auto"/>
          <w:spacing w:val="-1"/>
          <w:highlight w:val="none"/>
        </w:rPr>
        <w:t>2.2“采购代理机构”是指：</w:t>
      </w:r>
      <w:r>
        <w:rPr>
          <w:rFonts w:hint="eastAsia" w:ascii="宋体" w:hAnsi="宋体" w:cs="宋体"/>
          <w:color w:val="auto"/>
          <w:szCs w:val="21"/>
          <w:highlight w:val="none"/>
        </w:rPr>
        <w:t>依法设立、从事采购代理业务并提供相关服务的社会中介组织。本项目代理机构为</w:t>
      </w:r>
      <w:r>
        <w:rPr>
          <w:rFonts w:hint="eastAsia" w:ascii="宋体" w:hAnsi="宋体" w:cs="宋体"/>
          <w:color w:val="auto"/>
          <w:spacing w:val="-1"/>
          <w:highlight w:val="none"/>
        </w:rPr>
        <w:t>广西博行弈工程项目管理有限公司。</w:t>
      </w:r>
    </w:p>
    <w:p>
      <w:pPr>
        <w:spacing w:after="0" w:line="360" w:lineRule="auto"/>
        <w:ind w:firstLine="424" w:firstLineChars="200"/>
        <w:rPr>
          <w:color w:val="auto"/>
          <w:highlight w:val="none"/>
        </w:rPr>
      </w:pPr>
      <w:r>
        <w:rPr>
          <w:rFonts w:ascii="宋体" w:hAnsi="宋体" w:cs="宋体"/>
          <w:color w:val="auto"/>
          <w:spacing w:val="1"/>
          <w:highlight w:val="none"/>
        </w:rPr>
        <w:t>2.3“供应商”是指响应本文件要求，参加磋商的法人或者其他组织。如果该供应商在本次磋商中</w:t>
      </w:r>
      <w:r>
        <w:rPr>
          <w:rFonts w:ascii="宋体" w:hAnsi="宋体" w:cs="宋体"/>
          <w:color w:val="auto"/>
          <w:highlight w:val="none"/>
        </w:rPr>
        <w:t>成交，即成为“成交人”。</w:t>
      </w:r>
    </w:p>
    <w:p>
      <w:pPr>
        <w:spacing w:after="0" w:line="360" w:lineRule="auto"/>
        <w:ind w:firstLine="416" w:firstLineChars="200"/>
        <w:rPr>
          <w:color w:val="auto"/>
          <w:highlight w:val="none"/>
        </w:rPr>
      </w:pPr>
      <w:r>
        <w:rPr>
          <w:rFonts w:ascii="宋体" w:hAnsi="宋体" w:cs="宋体"/>
          <w:color w:val="auto"/>
          <w:spacing w:val="-1"/>
          <w:highlight w:val="none"/>
        </w:rPr>
        <w:t>2.4“货物”是指各种形态和种类的物品，包括原材料、燃料、设备、产品等。</w:t>
      </w:r>
    </w:p>
    <w:p>
      <w:pPr>
        <w:spacing w:after="0" w:line="360" w:lineRule="auto"/>
        <w:ind w:firstLine="416" w:firstLineChars="200"/>
        <w:rPr>
          <w:color w:val="auto"/>
          <w:highlight w:val="none"/>
        </w:rPr>
      </w:pPr>
      <w:r>
        <w:rPr>
          <w:rFonts w:ascii="宋体" w:hAnsi="宋体" w:cs="宋体"/>
          <w:color w:val="auto"/>
          <w:spacing w:val="-1"/>
          <w:highlight w:val="none"/>
        </w:rPr>
        <w:t>2.5“服务”是指除货物和工程以外的其他采购对象。</w:t>
      </w:r>
    </w:p>
    <w:p>
      <w:pPr>
        <w:spacing w:after="0" w:line="360" w:lineRule="auto"/>
        <w:ind w:firstLine="344" w:firstLineChars="200"/>
        <w:rPr>
          <w:rFonts w:ascii="宋体" w:hAnsi="宋体" w:eastAsia="宋体" w:cs="宋体"/>
          <w:color w:val="auto"/>
          <w:szCs w:val="21"/>
          <w:highlight w:val="none"/>
        </w:rPr>
      </w:pPr>
      <w:r>
        <w:rPr>
          <w:rFonts w:ascii="宋体" w:hAnsi="宋体" w:cs="宋体"/>
          <w:color w:val="auto"/>
          <w:spacing w:val="-19"/>
          <w:highlight w:val="none"/>
        </w:rPr>
        <w:t>2.6</w:t>
      </w:r>
      <w:r>
        <w:rPr>
          <w:rFonts w:ascii="宋体" w:hAnsi="宋体" w:cs="宋体"/>
          <w:color w:val="auto"/>
          <w:highlight w:val="none"/>
        </w:rPr>
        <w:t>“响应文件”是指：</w:t>
      </w:r>
      <w:r>
        <w:rPr>
          <w:rFonts w:hint="eastAsia" w:ascii="宋体" w:hAnsi="宋体" w:eastAsia="宋体" w:cs="宋体"/>
          <w:color w:val="auto"/>
          <w:szCs w:val="21"/>
          <w:highlight w:val="none"/>
        </w:rPr>
        <w:t>供应商根据本文件要求，编制包含报价、技术和服务方案等的所有内容的文件。</w:t>
      </w:r>
    </w:p>
    <w:p>
      <w:pPr>
        <w:spacing w:after="0" w:line="360" w:lineRule="auto"/>
        <w:rPr>
          <w:b/>
          <w:color w:val="auto"/>
          <w:highlight w:val="none"/>
        </w:rPr>
      </w:pPr>
      <w:r>
        <w:rPr>
          <w:rFonts w:ascii="宋体" w:hAnsi="宋体" w:cs="宋体"/>
          <w:b/>
          <w:color w:val="auto"/>
          <w:highlight w:val="none"/>
        </w:rPr>
        <w:t>3.</w:t>
      </w:r>
      <w:r>
        <w:rPr>
          <w:rFonts w:ascii="Calibri" w:hAnsi="Calibri" w:cs="Calibri"/>
          <w:b/>
          <w:color w:val="auto"/>
          <w:w w:val="219"/>
          <w:highlight w:val="none"/>
        </w:rPr>
        <w:t> </w:t>
      </w:r>
      <w:r>
        <w:rPr>
          <w:rFonts w:ascii="宋体" w:hAnsi="宋体" w:cs="宋体"/>
          <w:b/>
          <w:color w:val="auto"/>
          <w:spacing w:val="-1"/>
          <w:highlight w:val="none"/>
        </w:rPr>
        <w:t>供应商的基本条件：见磋商须知前附表。</w:t>
      </w:r>
    </w:p>
    <w:p>
      <w:pPr>
        <w:spacing w:after="0" w:line="360" w:lineRule="auto"/>
        <w:rPr>
          <w:b/>
          <w:color w:val="auto"/>
          <w:highlight w:val="none"/>
        </w:rPr>
      </w:pPr>
      <w:r>
        <w:rPr>
          <w:rFonts w:ascii="宋体" w:hAnsi="宋体" w:cs="宋体"/>
          <w:b/>
          <w:color w:val="auto"/>
          <w:highlight w:val="none"/>
        </w:rPr>
        <w:t>4.</w:t>
      </w:r>
      <w:r>
        <w:rPr>
          <w:rFonts w:ascii="Calibri" w:hAnsi="Calibri" w:cs="Calibri"/>
          <w:b/>
          <w:color w:val="auto"/>
          <w:w w:val="219"/>
          <w:highlight w:val="none"/>
        </w:rPr>
        <w:t> </w:t>
      </w:r>
      <w:r>
        <w:rPr>
          <w:rFonts w:ascii="宋体" w:hAnsi="宋体" w:eastAsia="宋体" w:cs="宋体"/>
          <w:b/>
          <w:color w:val="auto"/>
          <w:spacing w:val="-1"/>
          <w:highlight w:val="none"/>
        </w:rPr>
        <w:t>磋商费用</w:t>
      </w:r>
    </w:p>
    <w:p>
      <w:pPr>
        <w:spacing w:after="0" w:line="360" w:lineRule="auto"/>
        <w:ind w:firstLine="420" w:firstLineChars="200"/>
        <w:rPr>
          <w:color w:val="auto"/>
          <w:highlight w:val="none"/>
        </w:rPr>
      </w:pPr>
      <w:r>
        <w:rPr>
          <w:rFonts w:ascii="宋体" w:hAnsi="宋体" w:cs="宋体"/>
          <w:color w:val="auto"/>
          <w:highlight w:val="none"/>
        </w:rPr>
        <w:t>4.1</w:t>
      </w:r>
      <w:r>
        <w:rPr>
          <w:rFonts w:ascii="Calibri" w:hAnsi="Calibri" w:cs="Calibri"/>
          <w:color w:val="auto"/>
          <w:w w:val="219"/>
          <w:highlight w:val="none"/>
        </w:rPr>
        <w:t> </w:t>
      </w:r>
      <w:r>
        <w:rPr>
          <w:rFonts w:ascii="宋体" w:hAnsi="宋体" w:eastAsia="宋体" w:cs="宋体"/>
          <w:color w:val="auto"/>
          <w:spacing w:val="-1"/>
          <w:highlight w:val="none"/>
        </w:rPr>
        <w:t>供应商应自行承担所有与编写和提交响应文件有关的费用，不论磋商结果如何，采购人和采购</w:t>
      </w:r>
      <w:r>
        <w:rPr>
          <w:rFonts w:ascii="宋体" w:hAnsi="宋体" w:cs="宋体"/>
          <w:color w:val="auto"/>
          <w:spacing w:val="-1"/>
          <w:highlight w:val="none"/>
        </w:rPr>
        <w:t>代理机构在任何情况下无义务和责任承担此类费用。</w:t>
      </w:r>
    </w:p>
    <w:p>
      <w:pPr>
        <w:spacing w:after="0" w:line="360" w:lineRule="auto"/>
        <w:ind w:firstLine="420" w:firstLineChars="200"/>
        <w:rPr>
          <w:color w:val="auto"/>
          <w:highlight w:val="none"/>
        </w:rPr>
      </w:pPr>
      <w:r>
        <w:rPr>
          <w:rFonts w:ascii="宋体" w:hAnsi="宋体" w:cs="宋体"/>
          <w:color w:val="auto"/>
          <w:highlight w:val="none"/>
        </w:rPr>
        <w:t>4.2</w:t>
      </w:r>
      <w:r>
        <w:rPr>
          <w:rFonts w:ascii="Calibri" w:hAnsi="Calibri" w:cs="Calibri"/>
          <w:color w:val="auto"/>
          <w:spacing w:val="3"/>
          <w:highlight w:val="none"/>
        </w:rPr>
        <w:t> </w:t>
      </w:r>
      <w:r>
        <w:rPr>
          <w:rFonts w:ascii="宋体" w:hAnsi="宋体" w:cs="宋体"/>
          <w:color w:val="auto"/>
          <w:spacing w:val="-1"/>
          <w:highlight w:val="none"/>
        </w:rPr>
        <w:t>本项目代理服务费：见磋商须知前附表。</w:t>
      </w:r>
    </w:p>
    <w:p>
      <w:pPr>
        <w:spacing w:after="0" w:line="360" w:lineRule="auto"/>
        <w:rPr>
          <w:color w:val="auto"/>
          <w:highlight w:val="none"/>
        </w:rPr>
      </w:pPr>
      <w:r>
        <w:rPr>
          <w:rFonts w:ascii="宋体" w:hAnsi="宋体" w:cs="宋体"/>
          <w:b/>
          <w:color w:val="auto"/>
          <w:highlight w:val="none"/>
        </w:rPr>
        <w:t>5.</w:t>
      </w:r>
      <w:r>
        <w:rPr>
          <w:rFonts w:ascii="Calibri" w:hAnsi="Calibri" w:cs="Calibri"/>
          <w:b/>
          <w:color w:val="auto"/>
          <w:w w:val="219"/>
          <w:highlight w:val="none"/>
        </w:rPr>
        <w:t> </w:t>
      </w:r>
      <w:r>
        <w:rPr>
          <w:rFonts w:ascii="宋体" w:hAnsi="宋体" w:eastAsia="宋体" w:cs="宋体"/>
          <w:b/>
          <w:color w:val="auto"/>
          <w:spacing w:val="-1"/>
          <w:highlight w:val="none"/>
        </w:rPr>
        <w:t>竞争性磋商文件（以下简称磋商文件）的澄清与修改</w:t>
      </w:r>
      <w:r>
        <w:rPr>
          <w:rFonts w:ascii="Calibri" w:hAnsi="Calibri" w:cs="Calibri"/>
          <w:b/>
          <w:color w:val="auto"/>
          <w:w w:val="222"/>
          <w:highlight w:val="none"/>
        </w:rPr>
        <w:t> </w:t>
      </w:r>
      <w:r>
        <w:rPr>
          <w:rFonts w:ascii="宋体" w:hAnsi="宋体" w:cs="宋体"/>
          <w:b/>
          <w:color w:val="auto"/>
          <w:spacing w:val="-1"/>
          <w:highlight w:val="none"/>
        </w:rPr>
        <w:t>、公告</w:t>
      </w:r>
    </w:p>
    <w:p>
      <w:pPr>
        <w:spacing w:after="0" w:line="360" w:lineRule="auto"/>
        <w:ind w:firstLine="420" w:firstLineChars="200"/>
        <w:rPr>
          <w:color w:val="auto"/>
          <w:highlight w:val="none"/>
        </w:rPr>
      </w:pPr>
      <w:r>
        <w:rPr>
          <w:rFonts w:ascii="宋体" w:hAnsi="宋体" w:cs="宋体"/>
          <w:color w:val="auto"/>
          <w:highlight w:val="none"/>
        </w:rPr>
        <w:t>5.1</w:t>
      </w:r>
      <w:r>
        <w:rPr>
          <w:rFonts w:ascii="Calibri" w:hAnsi="Calibri" w:cs="Calibri"/>
          <w:color w:val="auto"/>
          <w:w w:val="219"/>
          <w:highlight w:val="none"/>
        </w:rPr>
        <w:t> </w:t>
      </w:r>
      <w:r>
        <w:rPr>
          <w:rFonts w:ascii="宋体" w:hAnsi="宋体" w:cs="宋体"/>
          <w:color w:val="auto"/>
          <w:spacing w:val="-1"/>
          <w:highlight w:val="none"/>
        </w:rPr>
        <w:t>提交首次响应文件截止之日前，采购人、采购代理机构或者磋商小组可以对已发出的磋商文件进行必要的澄清或者修改，澄清或者修改的内容作为磋商文件的组成部分。澄清或者修改的内容可</w:t>
      </w:r>
      <w:bookmarkStart w:id="47" w:name="9"/>
      <w:bookmarkEnd w:id="47"/>
      <w:r>
        <w:rPr>
          <w:rFonts w:ascii="宋体" w:hAnsi="宋体" w:cs="宋体"/>
          <w:color w:val="auto"/>
          <w:spacing w:val="-1"/>
          <w:highlight w:val="none"/>
        </w:rPr>
        <w:t>能影响响应文件编制的，采购人、采购代理机构应当在提交首次响应文件截止时间至少</w:t>
      </w:r>
      <w:r>
        <w:rPr>
          <w:rFonts w:ascii="Calibri" w:hAnsi="Calibri" w:cs="Calibri"/>
          <w:color w:val="auto"/>
          <w:spacing w:val="6"/>
          <w:highlight w:val="none"/>
        </w:rPr>
        <w:t> </w:t>
      </w:r>
      <w:r>
        <w:rPr>
          <w:rFonts w:ascii="宋体" w:hAnsi="宋体" w:cs="宋体"/>
          <w:color w:val="auto"/>
          <w:spacing w:val="-1"/>
          <w:highlight w:val="none"/>
        </w:rPr>
        <w:t>5</w:t>
      </w:r>
      <w:r>
        <w:rPr>
          <w:rFonts w:ascii="Calibri" w:hAnsi="Calibri" w:cs="Calibri"/>
          <w:color w:val="auto"/>
          <w:spacing w:val="3"/>
          <w:highlight w:val="none"/>
        </w:rPr>
        <w:t> </w:t>
      </w:r>
      <w:r>
        <w:rPr>
          <w:rFonts w:ascii="宋体" w:hAnsi="宋体" w:eastAsia="宋体" w:cs="宋体"/>
          <w:color w:val="auto"/>
          <w:spacing w:val="-3"/>
          <w:highlight w:val="none"/>
        </w:rPr>
        <w:t>日前，以</w:t>
      </w:r>
      <w:r>
        <w:rPr>
          <w:rFonts w:ascii="宋体" w:hAnsi="宋体" w:eastAsia="宋体" w:cs="宋体"/>
          <w:color w:val="auto"/>
          <w:spacing w:val="-1"/>
          <w:highlight w:val="none"/>
        </w:rPr>
        <w:t>书面形式通知所有获取磋商文件的供应商；不足</w:t>
      </w:r>
      <w:r>
        <w:rPr>
          <w:rFonts w:ascii="Calibri" w:hAnsi="Calibri" w:cs="Calibri"/>
          <w:color w:val="auto"/>
          <w:spacing w:val="4"/>
          <w:highlight w:val="none"/>
        </w:rPr>
        <w:t> </w:t>
      </w:r>
      <w:r>
        <w:rPr>
          <w:rFonts w:ascii="宋体" w:hAnsi="宋体" w:cs="宋体"/>
          <w:color w:val="auto"/>
          <w:spacing w:val="-1"/>
          <w:highlight w:val="none"/>
        </w:rPr>
        <w:t>5</w:t>
      </w:r>
      <w:r>
        <w:rPr>
          <w:rFonts w:ascii="Calibri" w:hAnsi="Calibri" w:cs="Calibri"/>
          <w:color w:val="auto"/>
          <w:spacing w:val="3"/>
          <w:highlight w:val="none"/>
        </w:rPr>
        <w:t> </w:t>
      </w:r>
      <w:r>
        <w:rPr>
          <w:rFonts w:ascii="宋体" w:hAnsi="宋体" w:cs="宋体"/>
          <w:color w:val="auto"/>
          <w:spacing w:val="-1"/>
          <w:highlight w:val="none"/>
        </w:rPr>
        <w:t>日的，采购人、采购代理机构应当顺延提交首次</w:t>
      </w:r>
    </w:p>
    <w:p>
      <w:pPr>
        <w:spacing w:after="0" w:line="360" w:lineRule="auto"/>
        <w:ind w:firstLine="416" w:firstLineChars="200"/>
        <w:rPr>
          <w:color w:val="auto"/>
          <w:highlight w:val="none"/>
        </w:rPr>
      </w:pPr>
      <w:r>
        <w:rPr>
          <w:rFonts w:ascii="宋体" w:hAnsi="宋体" w:cs="宋体"/>
          <w:color w:val="auto"/>
          <w:spacing w:val="-1"/>
          <w:highlight w:val="none"/>
        </w:rPr>
        <w:t>响应文件截止时间。</w:t>
      </w:r>
    </w:p>
    <w:p>
      <w:pPr>
        <w:spacing w:after="0" w:line="360" w:lineRule="auto"/>
        <w:ind w:firstLine="420" w:firstLineChars="200"/>
        <w:rPr>
          <w:color w:val="auto"/>
          <w:highlight w:val="none"/>
        </w:rPr>
      </w:pPr>
      <w:r>
        <w:rPr>
          <w:rFonts w:ascii="宋体" w:hAnsi="宋体" w:cs="宋体"/>
          <w:color w:val="auto"/>
          <w:highlight w:val="none"/>
        </w:rPr>
        <w:t>5.2</w:t>
      </w:r>
      <w:r>
        <w:rPr>
          <w:rFonts w:ascii="Calibri" w:hAnsi="Calibri" w:cs="Calibri"/>
          <w:color w:val="auto"/>
          <w:spacing w:val="3"/>
          <w:highlight w:val="none"/>
        </w:rPr>
        <w:t> </w:t>
      </w:r>
      <w:r>
        <w:rPr>
          <w:rFonts w:hint="eastAsia" w:ascii="Calibri" w:hAnsi="Calibri" w:cs="Calibri"/>
          <w:color w:val="auto"/>
          <w:spacing w:val="3"/>
          <w:highlight w:val="none"/>
        </w:rPr>
        <w:t>竞争性磋商</w:t>
      </w:r>
      <w:r>
        <w:rPr>
          <w:rFonts w:ascii="宋体" w:hAnsi="宋体" w:cs="宋体"/>
          <w:color w:val="auto"/>
          <w:spacing w:val="-9"/>
          <w:highlight w:val="none"/>
        </w:rPr>
        <w:t>公告见</w:t>
      </w:r>
      <w:r>
        <w:rPr>
          <w:rFonts w:hint="eastAsia" w:ascii="宋体" w:hAnsi="宋体" w:cs="宋体"/>
          <w:color w:val="auto"/>
          <w:spacing w:val="-9"/>
          <w:highlight w:val="none"/>
        </w:rPr>
        <w:t>：http://www.ccgp.gov.cn（中国政府采购网）、http://zfcg.gxzf.gov.cn（广西壮族自治区政府采购网）、http://zfcg.czj.gxgg.gov.cn（贵港市政府采购网）、http://ggggjy.gxgg.gov.cn:9005（贵港市公共资源交易中心网）</w:t>
      </w:r>
      <w:r>
        <w:rPr>
          <w:rFonts w:ascii="宋体" w:hAnsi="宋体" w:cs="宋体"/>
          <w:color w:val="auto"/>
          <w:spacing w:val="-9"/>
          <w:highlight w:val="none"/>
        </w:rPr>
        <w:t>。</w:t>
      </w:r>
    </w:p>
    <w:p>
      <w:pPr>
        <w:spacing w:after="0" w:line="360" w:lineRule="auto"/>
        <w:ind w:left="140"/>
        <w:rPr>
          <w:b/>
          <w:color w:val="auto"/>
          <w:highlight w:val="none"/>
        </w:rPr>
      </w:pPr>
      <w:r>
        <w:rPr>
          <w:rFonts w:ascii="宋体" w:hAnsi="宋体" w:cs="宋体"/>
          <w:b/>
          <w:color w:val="auto"/>
          <w:highlight w:val="none"/>
        </w:rPr>
        <w:t>二、响应文件的编制</w:t>
      </w:r>
    </w:p>
    <w:p>
      <w:pPr>
        <w:spacing w:after="0" w:line="360" w:lineRule="auto"/>
        <w:ind w:firstLine="420" w:firstLineChars="200"/>
        <w:rPr>
          <w:rFonts w:asciiTheme="minorEastAsia" w:hAnsiTheme="minorEastAsia"/>
          <w:color w:val="auto"/>
          <w:highlight w:val="none"/>
        </w:rPr>
      </w:pPr>
      <w:r>
        <w:rPr>
          <w:rFonts w:cs="宋体" w:asciiTheme="minorEastAsia" w:hAnsiTheme="minorEastAsia"/>
          <w:color w:val="auto"/>
          <w:highlight w:val="none"/>
        </w:rPr>
        <w:t>6.</w:t>
      </w:r>
      <w:r>
        <w:rPr>
          <w:rFonts w:cs="宋体" w:asciiTheme="minorEastAsia" w:hAnsiTheme="minorEastAsia"/>
          <w:color w:val="auto"/>
          <w:spacing w:val="-1"/>
          <w:highlight w:val="none"/>
        </w:rPr>
        <w:t>响应文件编制基本要求</w:t>
      </w:r>
    </w:p>
    <w:p>
      <w:pPr>
        <w:spacing w:after="0" w:line="360" w:lineRule="auto"/>
        <w:ind w:firstLine="420" w:firstLineChars="200"/>
        <w:rPr>
          <w:rFonts w:asciiTheme="minorEastAsia" w:hAnsiTheme="minorEastAsia"/>
          <w:color w:val="auto"/>
          <w:highlight w:val="none"/>
        </w:rPr>
      </w:pPr>
      <w:r>
        <w:rPr>
          <w:rFonts w:cs="宋体" w:asciiTheme="minorEastAsia" w:hAnsiTheme="minorEastAsia"/>
          <w:color w:val="auto"/>
          <w:highlight w:val="none"/>
        </w:rPr>
        <w:t>6.1</w:t>
      </w:r>
      <w:r>
        <w:rPr>
          <w:rFonts w:cs="宋体" w:asciiTheme="minorEastAsia" w:hAnsiTheme="minorEastAsia"/>
          <w:color w:val="auto"/>
          <w:spacing w:val="-1"/>
          <w:highlight w:val="none"/>
        </w:rPr>
        <w:t>供应商对响应文件的编制应按要求装订和封装。</w:t>
      </w:r>
    </w:p>
    <w:p>
      <w:pPr>
        <w:spacing w:after="0" w:line="360" w:lineRule="auto"/>
        <w:ind w:firstLine="420" w:firstLineChars="200"/>
        <w:rPr>
          <w:rFonts w:asciiTheme="minorEastAsia" w:hAnsiTheme="minorEastAsia"/>
          <w:color w:val="auto"/>
          <w:highlight w:val="none"/>
        </w:rPr>
      </w:pPr>
      <w:r>
        <w:rPr>
          <w:rFonts w:cs="宋体" w:asciiTheme="minorEastAsia" w:hAnsiTheme="minorEastAsia"/>
          <w:color w:val="auto"/>
          <w:highlight w:val="none"/>
        </w:rPr>
        <w:t>6.2供应商提交的响应文件以及供应商与采购代理机构和采购人就有关磋商的所有来往函电均应使</w:t>
      </w:r>
      <w:r>
        <w:rPr>
          <w:rFonts w:cs="宋体" w:asciiTheme="minorEastAsia" w:hAnsiTheme="minorEastAsia"/>
          <w:color w:val="auto"/>
          <w:spacing w:val="-1"/>
          <w:highlight w:val="none"/>
        </w:rPr>
        <w:t>用中文。供应商提交的支持文件和印刷的文献可以使用别的语言，但其相应内容必须附有中文翻译文本，在解释响应文件时以翻译文本为主。</w:t>
      </w:r>
    </w:p>
    <w:p>
      <w:pPr>
        <w:spacing w:after="0" w:line="360" w:lineRule="auto"/>
        <w:ind w:firstLine="420" w:firstLineChars="200"/>
        <w:rPr>
          <w:rFonts w:asciiTheme="minorEastAsia" w:hAnsiTheme="minorEastAsia"/>
          <w:color w:val="auto"/>
          <w:highlight w:val="none"/>
        </w:rPr>
      </w:pPr>
      <w:r>
        <w:rPr>
          <w:rFonts w:cs="宋体" w:asciiTheme="minorEastAsia" w:hAnsiTheme="minorEastAsia"/>
          <w:color w:val="auto"/>
          <w:highlight w:val="none"/>
        </w:rPr>
        <w:t>6.3供应商应认真阅读、并充分理解本文件的全部内容（包括所有的补充、修改内容），承诺并履</w:t>
      </w:r>
      <w:r>
        <w:rPr>
          <w:rFonts w:cs="宋体" w:asciiTheme="minorEastAsia" w:hAnsiTheme="minorEastAsia"/>
          <w:color w:val="auto"/>
          <w:spacing w:val="-1"/>
          <w:highlight w:val="none"/>
        </w:rPr>
        <w:t>行本文件中各项条款规定及要求。</w:t>
      </w:r>
    </w:p>
    <w:p>
      <w:pPr>
        <w:spacing w:after="0" w:line="360" w:lineRule="auto"/>
        <w:ind w:firstLine="420" w:firstLineChars="200"/>
        <w:rPr>
          <w:rFonts w:asciiTheme="minorEastAsia" w:hAnsiTheme="minorEastAsia"/>
          <w:color w:val="auto"/>
          <w:highlight w:val="none"/>
        </w:rPr>
      </w:pPr>
      <w:r>
        <w:rPr>
          <w:rFonts w:cs="宋体" w:asciiTheme="minorEastAsia" w:hAnsiTheme="minorEastAsia"/>
          <w:color w:val="auto"/>
          <w:highlight w:val="none"/>
        </w:rPr>
        <w:t>6.4</w:t>
      </w:r>
      <w:r>
        <w:rPr>
          <w:rFonts w:cs="宋体" w:asciiTheme="minorEastAsia" w:hAnsiTheme="minorEastAsia"/>
          <w:color w:val="auto"/>
          <w:spacing w:val="-1"/>
          <w:highlight w:val="none"/>
        </w:rPr>
        <w:t>响应文件必须按本文件的全部内容，包括所有的补充通知及附件进行编制。</w:t>
      </w:r>
    </w:p>
    <w:p>
      <w:pPr>
        <w:spacing w:after="0" w:line="360" w:lineRule="auto"/>
        <w:ind w:firstLine="420" w:firstLineChars="200"/>
        <w:rPr>
          <w:rFonts w:asciiTheme="minorEastAsia" w:hAnsiTheme="minorEastAsia"/>
          <w:color w:val="auto"/>
          <w:highlight w:val="none"/>
        </w:rPr>
      </w:pPr>
      <w:r>
        <w:rPr>
          <w:rFonts w:cs="宋体" w:asciiTheme="minorEastAsia" w:hAnsiTheme="minorEastAsia"/>
          <w:color w:val="auto"/>
          <w:highlight w:val="none"/>
        </w:rPr>
        <w:t>6.5如因供应商只填写和提供了本文件要求的部分内容和附件，而给评审造成困难，其可能导致的</w:t>
      </w:r>
      <w:r>
        <w:rPr>
          <w:rFonts w:cs="宋体" w:asciiTheme="minorEastAsia" w:hAnsiTheme="minorEastAsia"/>
          <w:color w:val="auto"/>
          <w:spacing w:val="-1"/>
          <w:highlight w:val="none"/>
        </w:rPr>
        <w:t>结果和责任由供应商自行承担。</w:t>
      </w:r>
    </w:p>
    <w:p>
      <w:pPr>
        <w:spacing w:after="0" w:line="360" w:lineRule="auto"/>
        <w:ind w:firstLine="420" w:firstLineChars="200"/>
        <w:rPr>
          <w:rFonts w:asciiTheme="minorEastAsia" w:hAnsiTheme="minorEastAsia"/>
          <w:color w:val="auto"/>
          <w:highlight w:val="none"/>
        </w:rPr>
      </w:pPr>
      <w:r>
        <w:rPr>
          <w:rFonts w:cs="宋体" w:asciiTheme="minorEastAsia" w:hAnsiTheme="minorEastAsia"/>
          <w:color w:val="auto"/>
          <w:highlight w:val="none"/>
        </w:rPr>
        <w:t>6.6响应文件的组成：响应文件应分为价格文件、商务文件、技术文件三个部分组成。</w:t>
      </w:r>
    </w:p>
    <w:p>
      <w:pPr>
        <w:spacing w:after="0" w:line="360" w:lineRule="auto"/>
        <w:ind w:firstLine="420" w:firstLineChars="200"/>
        <w:rPr>
          <w:rFonts w:asciiTheme="minorEastAsia" w:hAnsiTheme="minorEastAsia"/>
          <w:color w:val="auto"/>
          <w:highlight w:val="none"/>
        </w:rPr>
      </w:pPr>
      <w:r>
        <w:rPr>
          <w:rFonts w:cs="宋体" w:asciiTheme="minorEastAsia" w:hAnsiTheme="minorEastAsia"/>
          <w:color w:val="auto"/>
          <w:highlight w:val="none"/>
        </w:rPr>
        <w:t>6.6.1价格文件</w:t>
      </w:r>
    </w:p>
    <w:p>
      <w:pPr>
        <w:spacing w:after="0" w:line="360" w:lineRule="auto"/>
        <w:ind w:firstLine="1040" w:firstLineChars="500"/>
        <w:rPr>
          <w:rFonts w:asciiTheme="minorEastAsia" w:hAnsiTheme="minorEastAsia"/>
          <w:color w:val="auto"/>
          <w:highlight w:val="none"/>
        </w:rPr>
      </w:pPr>
      <w:r>
        <w:rPr>
          <w:rFonts w:cs="宋体" w:asciiTheme="minorEastAsia" w:hAnsiTheme="minorEastAsia"/>
          <w:color w:val="auto"/>
          <w:spacing w:val="-1"/>
          <w:highlight w:val="none"/>
        </w:rPr>
        <w:t>报价表；</w:t>
      </w:r>
    </w:p>
    <w:p>
      <w:pPr>
        <w:spacing w:after="0" w:line="360" w:lineRule="auto"/>
        <w:ind w:firstLine="420" w:firstLineChars="200"/>
        <w:rPr>
          <w:rFonts w:asciiTheme="minorEastAsia" w:hAnsiTheme="minorEastAsia"/>
          <w:color w:val="auto"/>
          <w:highlight w:val="none"/>
        </w:rPr>
      </w:pPr>
      <w:r>
        <w:rPr>
          <w:rFonts w:cs="宋体" w:asciiTheme="minorEastAsia" w:hAnsiTheme="minorEastAsia"/>
          <w:color w:val="auto"/>
          <w:highlight w:val="none"/>
        </w:rPr>
        <w:t>6.6.2商务文件</w:t>
      </w:r>
    </w:p>
    <w:p>
      <w:pPr>
        <w:spacing w:after="0" w:line="360" w:lineRule="auto"/>
        <w:ind w:firstLine="618" w:firstLineChars="300"/>
        <w:rPr>
          <w:rFonts w:asciiTheme="minorEastAsia" w:hAnsiTheme="minorEastAsia"/>
          <w:color w:val="auto"/>
          <w:highlight w:val="none"/>
        </w:rPr>
      </w:pPr>
      <w:r>
        <w:rPr>
          <w:rFonts w:cs="宋体" w:asciiTheme="minorEastAsia" w:hAnsiTheme="minorEastAsia"/>
          <w:color w:val="auto"/>
          <w:spacing w:val="-2"/>
          <w:position w:val="3"/>
          <w:highlight w:val="none"/>
        </w:rPr>
        <w:t>（</w:t>
      </w:r>
      <w:r>
        <w:rPr>
          <w:rFonts w:cs="Times New Roman" w:asciiTheme="minorEastAsia" w:hAnsiTheme="minorEastAsia"/>
          <w:color w:val="auto"/>
          <w:spacing w:val="-1"/>
          <w:highlight w:val="none"/>
        </w:rPr>
        <w:t>1</w:t>
      </w:r>
      <w:r>
        <w:rPr>
          <w:rFonts w:cs="宋体" w:asciiTheme="minorEastAsia" w:hAnsiTheme="minorEastAsia"/>
          <w:color w:val="auto"/>
          <w:position w:val="3"/>
          <w:highlight w:val="none"/>
        </w:rPr>
        <w:t>）</w:t>
      </w:r>
      <w:r>
        <w:rPr>
          <w:rFonts w:hint="eastAsia" w:cs="宋体" w:asciiTheme="minorEastAsia" w:hAnsiTheme="minorEastAsia"/>
          <w:color w:val="auto"/>
          <w:position w:val="3"/>
          <w:highlight w:val="none"/>
        </w:rPr>
        <w:t>磋商</w:t>
      </w:r>
      <w:r>
        <w:rPr>
          <w:rFonts w:cs="宋体" w:asciiTheme="minorEastAsia" w:hAnsiTheme="minorEastAsia"/>
          <w:color w:val="auto"/>
          <w:position w:val="3"/>
          <w:highlight w:val="none"/>
        </w:rPr>
        <w:t>函；</w:t>
      </w:r>
    </w:p>
    <w:p>
      <w:pPr>
        <w:spacing w:after="0" w:line="360" w:lineRule="auto"/>
        <w:ind w:firstLine="630" w:firstLineChars="300"/>
        <w:rPr>
          <w:rFonts w:asciiTheme="minorEastAsia" w:hAnsiTheme="minorEastAsia"/>
          <w:color w:val="auto"/>
          <w:highlight w:val="none"/>
        </w:rPr>
      </w:pPr>
      <w:r>
        <w:rPr>
          <w:rFonts w:cs="宋体" w:asciiTheme="minorEastAsia" w:hAnsiTheme="minorEastAsia"/>
          <w:color w:val="auto"/>
          <w:highlight w:val="none"/>
        </w:rPr>
        <w:t>（2）响应表；</w:t>
      </w:r>
    </w:p>
    <w:p>
      <w:pPr>
        <w:spacing w:after="0" w:line="360" w:lineRule="auto"/>
        <w:ind w:firstLine="630" w:firstLineChars="300"/>
        <w:rPr>
          <w:rFonts w:asciiTheme="minorEastAsia" w:hAnsiTheme="minorEastAsia"/>
          <w:color w:val="auto"/>
          <w:highlight w:val="none"/>
        </w:rPr>
      </w:pPr>
      <w:r>
        <w:rPr>
          <w:rFonts w:cs="宋体" w:asciiTheme="minorEastAsia" w:hAnsiTheme="minorEastAsia"/>
          <w:color w:val="auto"/>
          <w:highlight w:val="none"/>
        </w:rPr>
        <w:t>（3）供应商资格证明文件:</w:t>
      </w:r>
    </w:p>
    <w:p>
      <w:pPr>
        <w:spacing w:after="0" w:line="360" w:lineRule="auto"/>
        <w:ind w:firstLine="630" w:firstLineChars="300"/>
        <w:rPr>
          <w:rFonts w:asciiTheme="minorEastAsia" w:hAnsiTheme="minorEastAsia"/>
          <w:color w:val="auto"/>
          <w:highlight w:val="none"/>
        </w:rPr>
      </w:pPr>
      <w:r>
        <w:rPr>
          <w:rFonts w:cs="宋体" w:asciiTheme="minorEastAsia" w:hAnsiTheme="minorEastAsia"/>
          <w:color w:val="auto"/>
          <w:highlight w:val="none"/>
        </w:rPr>
        <w:t>①</w:t>
      </w:r>
      <w:r>
        <w:rPr>
          <w:rFonts w:cs="宋体" w:asciiTheme="minorEastAsia" w:hAnsiTheme="minorEastAsia"/>
          <w:color w:val="auto"/>
          <w:spacing w:val="-1"/>
          <w:highlight w:val="none"/>
        </w:rPr>
        <w:t>有效的营业执照或事业单位法人证书、组织机构代码证、税务登记证（或有统一社会信用代码</w:t>
      </w:r>
      <w:r>
        <w:rPr>
          <w:rFonts w:cs="宋体" w:asciiTheme="minorEastAsia" w:hAnsiTheme="minorEastAsia"/>
          <w:color w:val="auto"/>
          <w:highlight w:val="none"/>
        </w:rPr>
        <w:t>的‘三证合一’营业执照、事业单位法人证书）复印件（必须提供，复印件加盖单位公章）；</w:t>
      </w:r>
    </w:p>
    <w:p>
      <w:pPr>
        <w:spacing w:after="0" w:line="360" w:lineRule="auto"/>
        <w:ind w:firstLine="624" w:firstLineChars="300"/>
        <w:rPr>
          <w:rFonts w:asciiTheme="minorEastAsia" w:hAnsiTheme="minorEastAsia"/>
          <w:color w:val="auto"/>
          <w:highlight w:val="none"/>
        </w:rPr>
      </w:pPr>
      <w:r>
        <w:rPr>
          <w:rFonts w:cs="宋体" w:asciiTheme="minorEastAsia" w:hAnsiTheme="minorEastAsia"/>
          <w:color w:val="auto"/>
          <w:spacing w:val="-1"/>
          <w:highlight w:val="none"/>
        </w:rPr>
        <w:t>②</w:t>
      </w:r>
      <w:r>
        <w:rPr>
          <w:rFonts w:cs="宋体" w:asciiTheme="minorEastAsia" w:hAnsiTheme="minorEastAsia"/>
          <w:color w:val="auto"/>
          <w:highlight w:val="none"/>
        </w:rPr>
        <w:t>有效的企业资质证书副本复印件，（必须提供，复印件加盖单位公章）；</w:t>
      </w:r>
    </w:p>
    <w:p>
      <w:pPr>
        <w:spacing w:after="0" w:line="360" w:lineRule="auto"/>
        <w:ind w:firstLine="630" w:firstLineChars="300"/>
        <w:rPr>
          <w:rFonts w:cs="宋体" w:asciiTheme="minorEastAsia" w:hAnsiTheme="minorEastAsia"/>
          <w:color w:val="auto"/>
          <w:highlight w:val="none"/>
        </w:rPr>
      </w:pPr>
      <w:r>
        <w:rPr>
          <w:rFonts w:cs="宋体" w:asciiTheme="minorEastAsia" w:hAnsiTheme="minorEastAsia"/>
          <w:color w:val="auto"/>
          <w:highlight w:val="none"/>
        </w:rPr>
        <w:t>③法定代表人身份证复印件（必须提供，复印件加盖单位公章）；</w:t>
      </w:r>
    </w:p>
    <w:p>
      <w:pPr>
        <w:spacing w:after="0" w:line="360" w:lineRule="auto"/>
        <w:ind w:firstLine="630" w:firstLineChars="300"/>
        <w:rPr>
          <w:rFonts w:cs="宋体" w:asciiTheme="minorEastAsia" w:hAnsiTheme="minorEastAsia"/>
          <w:color w:val="auto"/>
          <w:highlight w:val="none"/>
        </w:rPr>
      </w:pPr>
      <w:r>
        <w:rPr>
          <w:rFonts w:cs="宋体" w:asciiTheme="minorEastAsia" w:hAnsiTheme="minorEastAsia"/>
          <w:color w:val="auto"/>
          <w:highlight w:val="none"/>
        </w:rPr>
        <w:t>④法定代表人授权委托书和委托代理人身份证复印件（委托代理时</w:t>
      </w:r>
      <w:r>
        <w:rPr>
          <w:rFonts w:hint="eastAsia" w:cs="宋体" w:asciiTheme="minorEastAsia" w:hAnsiTheme="minorEastAsia"/>
          <w:color w:val="auto"/>
          <w:highlight w:val="none"/>
        </w:rPr>
        <w:t>必须提供</w:t>
      </w:r>
      <w:r>
        <w:rPr>
          <w:rFonts w:cs="宋体" w:asciiTheme="minorEastAsia" w:hAnsiTheme="minorEastAsia"/>
          <w:color w:val="auto"/>
          <w:highlight w:val="none"/>
        </w:rPr>
        <w:t>，格式见后）；</w:t>
      </w:r>
    </w:p>
    <w:p>
      <w:pPr>
        <w:spacing w:after="0" w:line="360" w:lineRule="auto"/>
        <w:ind w:firstLine="630" w:firstLineChars="300"/>
        <w:rPr>
          <w:rFonts w:ascii="宋体" w:hAnsi="宋体" w:eastAsia="宋体" w:cs="宋体"/>
          <w:color w:val="auto"/>
          <w:szCs w:val="21"/>
          <w:highlight w:val="none"/>
        </w:rPr>
      </w:pPr>
      <w:r>
        <w:rPr>
          <w:rFonts w:cs="宋体" w:asciiTheme="minorEastAsia" w:hAnsiTheme="minorEastAsia"/>
          <w:color w:val="auto"/>
          <w:highlight w:val="none"/>
        </w:rPr>
        <w:t>⑤</w:t>
      </w:r>
      <w:r>
        <w:rPr>
          <w:rFonts w:cs="宋体" w:asciiTheme="minorEastAsia" w:hAnsiTheme="minorEastAsia"/>
          <w:color w:val="auto"/>
          <w:szCs w:val="21"/>
          <w:highlight w:val="none"/>
        </w:rPr>
        <w:t>总监理工程师须具备</w:t>
      </w:r>
      <w:r>
        <w:rPr>
          <w:rFonts w:hint="eastAsia" w:ascii="宋体" w:hAnsi="宋体" w:eastAsia="宋体" w:cs="宋体"/>
          <w:color w:val="auto"/>
          <w:szCs w:val="21"/>
          <w:highlight w:val="none"/>
        </w:rPr>
        <w:t>交通运输部颁发的监理工程师执业资格证（公路工程）</w:t>
      </w:r>
      <w:r>
        <w:rPr>
          <w:rFonts w:cs="宋体" w:asciiTheme="minorEastAsia" w:hAnsiTheme="minorEastAsia"/>
          <w:color w:val="auto"/>
          <w:highlight w:val="none"/>
        </w:rPr>
        <w:t>（必须提供，复印件加盖单位公章）</w:t>
      </w:r>
      <w:r>
        <w:rPr>
          <w:rFonts w:hint="eastAsia" w:cs="宋体" w:asciiTheme="minorEastAsia" w:hAnsiTheme="minorEastAsia"/>
          <w:color w:val="auto"/>
          <w:highlight w:val="none"/>
        </w:rPr>
        <w:t>；</w:t>
      </w:r>
    </w:p>
    <w:p>
      <w:pPr>
        <w:spacing w:after="0" w:line="360" w:lineRule="auto"/>
        <w:ind w:firstLine="630" w:firstLineChars="300"/>
        <w:rPr>
          <w:rFonts w:cs="宋体" w:asciiTheme="minorEastAsia" w:hAnsiTheme="minorEastAsia"/>
          <w:color w:val="auto"/>
          <w:highlight w:val="none"/>
        </w:rPr>
      </w:pPr>
      <w:r>
        <w:rPr>
          <w:rFonts w:hint="eastAsia" w:cs="宋体" w:asciiTheme="minorEastAsia" w:hAnsiTheme="minorEastAsia"/>
          <w:color w:val="auto"/>
          <w:highlight w:val="none"/>
        </w:rPr>
        <w:t>⑥</w:t>
      </w:r>
      <w:r>
        <w:rPr>
          <w:rFonts w:cs="宋体" w:asciiTheme="minorEastAsia" w:hAnsiTheme="minorEastAsia"/>
          <w:color w:val="auto"/>
          <w:highlight w:val="none"/>
        </w:rPr>
        <w:t>供应商</w:t>
      </w:r>
      <w:r>
        <w:rPr>
          <w:rFonts w:hint="eastAsia" w:cs="宋体" w:asciiTheme="minorEastAsia" w:hAnsiTheme="minorEastAsia"/>
          <w:color w:val="auto"/>
          <w:highlight w:val="none"/>
        </w:rPr>
        <w:t>2020年3月至2020年6月</w:t>
      </w:r>
      <w:r>
        <w:rPr>
          <w:rFonts w:cs="宋体" w:asciiTheme="minorEastAsia" w:hAnsiTheme="minorEastAsia"/>
          <w:color w:val="auto"/>
          <w:highlight w:val="none"/>
        </w:rPr>
        <w:t>依法纳税的完税证明复印件或电子缴税付款凭证复印件或税务征收机关出具的依法缴纳税收证明复印件（必须提供，复印件加盖单位公章）；</w:t>
      </w:r>
    </w:p>
    <w:p>
      <w:pPr>
        <w:spacing w:after="0" w:line="360" w:lineRule="auto"/>
        <w:ind w:firstLine="630" w:firstLineChars="300"/>
        <w:rPr>
          <w:rFonts w:cs="宋体" w:asciiTheme="minorEastAsia" w:hAnsiTheme="minorEastAsia"/>
          <w:color w:val="auto"/>
          <w:highlight w:val="none"/>
        </w:rPr>
      </w:pPr>
      <w:r>
        <w:rPr>
          <w:rFonts w:hint="eastAsia" w:cs="宋体" w:asciiTheme="minorEastAsia" w:hAnsiTheme="minorEastAsia"/>
          <w:color w:val="auto"/>
          <w:highlight w:val="none"/>
        </w:rPr>
        <w:t>⑦</w:t>
      </w:r>
      <w:r>
        <w:rPr>
          <w:rFonts w:cs="宋体" w:asciiTheme="minorEastAsia" w:hAnsiTheme="minorEastAsia"/>
          <w:color w:val="auto"/>
          <w:highlight w:val="none"/>
        </w:rPr>
        <w:t>供应商</w:t>
      </w:r>
      <w:r>
        <w:rPr>
          <w:rFonts w:hint="eastAsia" w:cs="宋体" w:asciiTheme="minorEastAsia" w:hAnsiTheme="minorEastAsia"/>
          <w:color w:val="auto"/>
          <w:highlight w:val="none"/>
        </w:rPr>
        <w:t>2020年3月至2020年6月</w:t>
      </w:r>
      <w:r>
        <w:rPr>
          <w:rFonts w:cs="宋体" w:asciiTheme="minorEastAsia" w:hAnsiTheme="minorEastAsia"/>
          <w:color w:val="auto"/>
          <w:highlight w:val="none"/>
        </w:rPr>
        <w:t>在职员工依法缴纳的“社会保险基金专用收款收据”复印件或人力资源与社会保障局（社保中心或劳动监察部门）出具的依法缴纳社保证明复印件（必须提供，复印件加盖单位公章）；</w:t>
      </w:r>
    </w:p>
    <w:p>
      <w:pPr>
        <w:spacing w:after="0" w:line="360" w:lineRule="auto"/>
        <w:ind w:firstLine="630" w:firstLineChars="300"/>
        <w:rPr>
          <w:rFonts w:cs="宋体" w:asciiTheme="minorEastAsia" w:hAnsiTheme="minorEastAsia"/>
          <w:color w:val="auto"/>
          <w:highlight w:val="none"/>
        </w:rPr>
      </w:pPr>
      <w:r>
        <w:rPr>
          <w:rFonts w:hint="eastAsia" w:cs="宋体" w:asciiTheme="minorEastAsia" w:hAnsiTheme="minorEastAsia"/>
          <w:color w:val="auto"/>
          <w:highlight w:val="none"/>
        </w:rPr>
        <w:t>⑧</w:t>
      </w:r>
      <w:r>
        <w:rPr>
          <w:rFonts w:cs="宋体" w:asciiTheme="minorEastAsia" w:hAnsiTheme="minorEastAsia"/>
          <w:color w:val="auto"/>
          <w:highlight w:val="none"/>
        </w:rPr>
        <w:t>供应商</w:t>
      </w:r>
      <w:r>
        <w:rPr>
          <w:rFonts w:hint="eastAsia" w:cs="宋体" w:asciiTheme="minorEastAsia" w:hAnsiTheme="minorEastAsia"/>
          <w:color w:val="auto"/>
          <w:highlight w:val="none"/>
        </w:rPr>
        <w:t>投标人2019年经审计的财务报告（复印件加盖公章）新成立公司，按实际月份提供（必须提交，加盖投标单位公章）；</w:t>
      </w:r>
    </w:p>
    <w:p>
      <w:pPr>
        <w:spacing w:after="0" w:line="360" w:lineRule="auto"/>
        <w:ind w:firstLine="630" w:firstLineChars="300"/>
        <w:rPr>
          <w:rFonts w:cs="宋体" w:asciiTheme="minorEastAsia" w:hAnsiTheme="minorEastAsia"/>
          <w:color w:val="auto"/>
          <w:highlight w:val="none"/>
        </w:rPr>
      </w:pPr>
      <w:r>
        <w:rPr>
          <w:rFonts w:hint="eastAsia" w:cs="宋体" w:asciiTheme="minorEastAsia" w:hAnsiTheme="minorEastAsia"/>
          <w:color w:val="auto"/>
          <w:highlight w:val="none"/>
        </w:rPr>
        <w:t>⑨供应商</w:t>
      </w:r>
      <w:r>
        <w:rPr>
          <w:rFonts w:hint="eastAsia" w:cs="宋体" w:asciiTheme="minorEastAsia" w:hAnsiTheme="minorEastAsia"/>
          <w:color w:val="auto"/>
          <w:highlight w:val="none"/>
          <w:lang w:val="en-US" w:eastAsia="zh-CN"/>
        </w:rPr>
        <w:t>2018</w:t>
      </w:r>
      <w:r>
        <w:rPr>
          <w:rFonts w:hint="eastAsia" w:cs="宋体" w:asciiTheme="minorEastAsia" w:hAnsiTheme="minorEastAsia"/>
          <w:color w:val="auto"/>
          <w:highlight w:val="none"/>
        </w:rPr>
        <w:t>年度</w:t>
      </w:r>
      <w:r>
        <w:rPr>
          <w:rFonts w:hint="eastAsia" w:ascii="宋体" w:hAnsi="宋体" w:cs="宋体"/>
          <w:color w:val="auto"/>
          <w:szCs w:val="21"/>
          <w:highlight w:val="none"/>
        </w:rPr>
        <w:t>全国公路建设市场信用评价结果</w:t>
      </w:r>
      <w:r>
        <w:rPr>
          <w:rFonts w:hint="eastAsia" w:ascii="宋体" w:hAnsi="宋体" w:cs="宋体"/>
          <w:color w:val="auto"/>
          <w:szCs w:val="21"/>
          <w:highlight w:val="none"/>
          <w:lang w:val="en-US" w:eastAsia="zh-CN"/>
        </w:rPr>
        <w:t>或</w:t>
      </w:r>
      <w:r>
        <w:rPr>
          <w:rFonts w:hint="eastAsia" w:cs="宋体" w:asciiTheme="minorEastAsia" w:hAnsiTheme="minorEastAsia"/>
          <w:color w:val="auto"/>
          <w:highlight w:val="none"/>
        </w:rPr>
        <w:t>广西公路建设市场公路监理企业信用评价结果</w:t>
      </w:r>
      <w:r>
        <w:rPr>
          <w:rFonts w:hint="eastAsia" w:cs="宋体" w:asciiTheme="minorEastAsia" w:hAnsiTheme="minorEastAsia"/>
          <w:color w:val="auto"/>
          <w:highlight w:val="none"/>
          <w:lang w:val="en-US" w:eastAsia="zh-CN"/>
        </w:rPr>
        <w:t>为</w:t>
      </w:r>
      <w:r>
        <w:rPr>
          <w:rFonts w:hint="eastAsia" w:ascii="宋体" w:hAnsi="宋体" w:cs="宋体"/>
          <w:color w:val="auto"/>
          <w:szCs w:val="21"/>
          <w:highlight w:val="none"/>
          <w:lang w:val="en-US" w:eastAsia="zh-CN"/>
        </w:rPr>
        <w:t>C</w:t>
      </w:r>
      <w:r>
        <w:rPr>
          <w:rFonts w:hint="eastAsia" w:ascii="宋体" w:hAnsi="宋体" w:cs="宋体"/>
          <w:color w:val="auto"/>
          <w:szCs w:val="21"/>
          <w:highlight w:val="none"/>
        </w:rPr>
        <w:t>级（含）以上</w:t>
      </w:r>
      <w:r>
        <w:rPr>
          <w:rFonts w:hint="eastAsia" w:cs="宋体" w:asciiTheme="minorEastAsia" w:hAnsiTheme="minorEastAsia"/>
          <w:color w:val="auto"/>
          <w:highlight w:val="none"/>
        </w:rPr>
        <w:t>复印件（必须提交，加盖投标单位公章）</w:t>
      </w:r>
      <w:r>
        <w:rPr>
          <w:rFonts w:cs="宋体" w:asciiTheme="minorEastAsia" w:hAnsiTheme="minorEastAsia"/>
          <w:color w:val="auto"/>
          <w:highlight w:val="none"/>
        </w:rPr>
        <w:t>；</w:t>
      </w:r>
    </w:p>
    <w:p>
      <w:pPr>
        <w:spacing w:after="0" w:line="360" w:lineRule="auto"/>
        <w:ind w:firstLine="630" w:firstLineChars="300"/>
        <w:rPr>
          <w:rFonts w:cs="宋体" w:asciiTheme="minorEastAsia" w:hAnsiTheme="minorEastAsia"/>
          <w:color w:val="auto"/>
          <w:highlight w:val="none"/>
        </w:rPr>
      </w:pPr>
      <w:r>
        <w:rPr>
          <w:rFonts w:hint="eastAsia" w:cs="宋体" w:asciiTheme="minorEastAsia" w:hAnsiTheme="minorEastAsia"/>
          <w:color w:val="auto"/>
          <w:highlight w:val="none"/>
        </w:rPr>
        <w:t>⑩</w:t>
      </w:r>
      <w:r>
        <w:rPr>
          <w:rFonts w:cs="宋体" w:asciiTheme="minorEastAsia" w:hAnsiTheme="minorEastAsia"/>
          <w:color w:val="auto"/>
          <w:highlight w:val="none"/>
        </w:rPr>
        <w:t>供应商</w:t>
      </w:r>
      <w:r>
        <w:rPr>
          <w:rFonts w:hint="eastAsia" w:cs="宋体" w:asciiTheme="minorEastAsia" w:hAnsiTheme="minorEastAsia"/>
          <w:color w:val="auto"/>
          <w:highlight w:val="none"/>
        </w:rPr>
        <w:t>在“信用中国”网站(www.creditchina.gov.cn)或国家企业信用信息公示系统（http://www.gsxt.gov.cn/index.html）和中国政府采购网(www.ccgp.gov.cn)等渠道列入失信被执行人、重大税收违法案件当事人名单、政府采购严重违法失信行为记录名单网上截图（截图时间须在本项目采购公告发布期间）（必须提供，加盖单位公章）；</w:t>
      </w:r>
    </w:p>
    <w:p>
      <w:pPr>
        <w:spacing w:after="0" w:line="360" w:lineRule="auto"/>
        <w:ind w:firstLine="420" w:firstLineChars="200"/>
        <w:rPr>
          <w:rFonts w:cs="宋体" w:asciiTheme="minorEastAsia" w:hAnsiTheme="minorEastAsia"/>
          <w:color w:val="auto"/>
          <w:highlight w:val="none"/>
        </w:rPr>
      </w:pPr>
      <w:r>
        <w:rPr>
          <w:rFonts w:hint="eastAsia" w:cs="宋体" w:asciiTheme="minorEastAsia" w:hAnsiTheme="minorEastAsia"/>
          <w:color w:val="auto"/>
          <w:highlight w:val="none"/>
        </w:rPr>
        <w:t>（4）供应商认为有必要提供的证明其满足本项目磋商资格的声明及文件资料。</w:t>
      </w:r>
    </w:p>
    <w:p>
      <w:pPr>
        <w:spacing w:after="0" w:line="360" w:lineRule="auto"/>
        <w:ind w:firstLine="420" w:firstLineChars="200"/>
        <w:rPr>
          <w:rFonts w:asciiTheme="minorEastAsia" w:hAnsiTheme="minorEastAsia"/>
          <w:color w:val="auto"/>
          <w:highlight w:val="none"/>
        </w:rPr>
      </w:pPr>
      <w:r>
        <w:rPr>
          <w:rFonts w:cs="宋体" w:asciiTheme="minorEastAsia" w:hAnsiTheme="minorEastAsia"/>
          <w:color w:val="auto"/>
          <w:highlight w:val="none"/>
        </w:rPr>
        <w:t>6.6.3</w:t>
      </w:r>
      <w:r>
        <w:rPr>
          <w:rFonts w:cs="Calibri" w:asciiTheme="minorEastAsia" w:hAnsiTheme="minorEastAsia"/>
          <w:color w:val="auto"/>
          <w:spacing w:val="3"/>
          <w:highlight w:val="none"/>
        </w:rPr>
        <w:t> </w:t>
      </w:r>
      <w:r>
        <w:rPr>
          <w:rFonts w:cs="宋体" w:asciiTheme="minorEastAsia" w:hAnsiTheme="minorEastAsia"/>
          <w:color w:val="auto"/>
          <w:highlight w:val="none"/>
        </w:rPr>
        <w:t>技术文件</w:t>
      </w:r>
    </w:p>
    <w:p>
      <w:pPr>
        <w:spacing w:after="0" w:line="360" w:lineRule="auto"/>
        <w:ind w:firstLine="416" w:firstLineChars="200"/>
        <w:rPr>
          <w:color w:val="auto"/>
          <w:highlight w:val="none"/>
        </w:rPr>
      </w:pPr>
      <w:r>
        <w:rPr>
          <w:rFonts w:ascii="宋体" w:hAnsi="宋体" w:eastAsia="宋体" w:cs="宋体"/>
          <w:color w:val="auto"/>
          <w:spacing w:val="-1"/>
          <w:highlight w:val="none"/>
        </w:rPr>
        <w:t>（1）</w:t>
      </w:r>
      <w:r>
        <w:rPr>
          <w:rFonts w:hint="eastAsia" w:ascii="宋体" w:hAnsi="宋体" w:eastAsia="宋体" w:cs="宋体"/>
          <w:color w:val="auto"/>
          <w:spacing w:val="-1"/>
          <w:highlight w:val="none"/>
        </w:rPr>
        <w:t>监理大纲</w:t>
      </w:r>
      <w:r>
        <w:rPr>
          <w:rFonts w:ascii="宋体" w:hAnsi="宋体" w:eastAsia="宋体" w:cs="宋体"/>
          <w:color w:val="auto"/>
          <w:spacing w:val="-1"/>
          <w:highlight w:val="none"/>
        </w:rPr>
        <w:t>（技术方案）</w:t>
      </w:r>
    </w:p>
    <w:p>
      <w:pPr>
        <w:spacing w:after="0" w:line="360" w:lineRule="auto"/>
        <w:ind w:firstLine="416" w:firstLineChars="200"/>
        <w:rPr>
          <w:color w:val="auto"/>
          <w:highlight w:val="none"/>
        </w:rPr>
      </w:pPr>
      <w:r>
        <w:rPr>
          <w:rFonts w:ascii="宋体" w:hAnsi="宋体" w:eastAsia="宋体" w:cs="宋体"/>
          <w:color w:val="auto"/>
          <w:spacing w:val="-1"/>
          <w:highlight w:val="none"/>
        </w:rPr>
        <w:t>（2）人员配置</w:t>
      </w:r>
    </w:p>
    <w:p>
      <w:pPr>
        <w:spacing w:after="0" w:line="360" w:lineRule="auto"/>
        <w:ind w:firstLine="416" w:firstLineChars="200"/>
        <w:rPr>
          <w:color w:val="auto"/>
          <w:highlight w:val="none"/>
        </w:rPr>
      </w:pPr>
      <w:r>
        <w:rPr>
          <w:rFonts w:ascii="宋体" w:hAnsi="宋体" w:eastAsia="宋体" w:cs="宋体"/>
          <w:color w:val="auto"/>
          <w:spacing w:val="-1"/>
          <w:highlight w:val="none"/>
        </w:rPr>
        <w:t>（3）服务承诺书</w:t>
      </w:r>
    </w:p>
    <w:p>
      <w:pPr>
        <w:spacing w:after="0" w:line="360" w:lineRule="auto"/>
        <w:ind w:firstLine="416" w:firstLineChars="200"/>
        <w:rPr>
          <w:color w:val="auto"/>
          <w:highlight w:val="none"/>
        </w:rPr>
      </w:pPr>
      <w:r>
        <w:rPr>
          <w:rFonts w:ascii="宋体" w:hAnsi="宋体" w:cs="宋体"/>
          <w:color w:val="auto"/>
          <w:spacing w:val="-1"/>
          <w:highlight w:val="none"/>
        </w:rPr>
        <w:t>（4）其它文件及资料。</w:t>
      </w:r>
    </w:p>
    <w:p>
      <w:pPr>
        <w:spacing w:after="0" w:line="360" w:lineRule="auto"/>
        <w:ind w:firstLine="420" w:firstLineChars="200"/>
        <w:rPr>
          <w:color w:val="auto"/>
          <w:highlight w:val="none"/>
        </w:rPr>
      </w:pPr>
      <w:r>
        <w:rPr>
          <w:rFonts w:ascii="宋体" w:hAnsi="宋体" w:cs="宋体"/>
          <w:color w:val="auto"/>
          <w:highlight w:val="none"/>
        </w:rPr>
        <w:t>（5）供应商认为必要提供的证明其满足本项目</w:t>
      </w:r>
      <w:r>
        <w:rPr>
          <w:rFonts w:hint="eastAsia" w:ascii="宋体" w:hAnsi="宋体" w:cs="宋体"/>
          <w:color w:val="auto"/>
          <w:highlight w:val="none"/>
        </w:rPr>
        <w:t>磋商</w:t>
      </w:r>
      <w:r>
        <w:rPr>
          <w:rFonts w:ascii="宋体" w:hAnsi="宋体" w:cs="宋体"/>
          <w:color w:val="auto"/>
          <w:highlight w:val="none"/>
        </w:rPr>
        <w:t>资格的声明及文件资料。</w:t>
      </w:r>
    </w:p>
    <w:p>
      <w:pPr>
        <w:spacing w:after="0" w:line="360" w:lineRule="auto"/>
        <w:ind w:firstLine="420" w:firstLineChars="200"/>
        <w:rPr>
          <w:rFonts w:asciiTheme="minorEastAsia" w:hAnsiTheme="minorEastAsia"/>
          <w:color w:val="auto"/>
          <w:szCs w:val="21"/>
          <w:highlight w:val="none"/>
        </w:rPr>
      </w:pPr>
      <w:r>
        <w:rPr>
          <w:rFonts w:cs="宋体" w:asciiTheme="minorEastAsia" w:hAnsiTheme="minorEastAsia"/>
          <w:color w:val="auto"/>
          <w:szCs w:val="21"/>
          <w:highlight w:val="none"/>
        </w:rPr>
        <w:t>6.7</w:t>
      </w:r>
      <w:r>
        <w:rPr>
          <w:rFonts w:cs="Calibri" w:asciiTheme="minorEastAsia" w:hAnsiTheme="minorEastAsia"/>
          <w:color w:val="auto"/>
          <w:spacing w:val="3"/>
          <w:szCs w:val="21"/>
          <w:highlight w:val="none"/>
        </w:rPr>
        <w:t> </w:t>
      </w:r>
      <w:r>
        <w:rPr>
          <w:rFonts w:cs="宋体" w:asciiTheme="minorEastAsia" w:hAnsiTheme="minorEastAsia"/>
          <w:color w:val="auto"/>
          <w:spacing w:val="-1"/>
          <w:szCs w:val="21"/>
          <w:highlight w:val="none"/>
        </w:rPr>
        <w:t>响应文件有效期：见磋商须知前附表。</w:t>
      </w:r>
    </w:p>
    <w:p>
      <w:pPr>
        <w:spacing w:after="0" w:line="360" w:lineRule="auto"/>
        <w:ind w:firstLine="420" w:firstLineChars="200"/>
        <w:rPr>
          <w:rFonts w:asciiTheme="minorEastAsia" w:hAnsiTheme="minorEastAsia"/>
          <w:color w:val="auto"/>
          <w:szCs w:val="21"/>
          <w:highlight w:val="none"/>
        </w:rPr>
      </w:pPr>
      <w:r>
        <w:rPr>
          <w:rFonts w:cs="宋体" w:asciiTheme="minorEastAsia" w:hAnsiTheme="minorEastAsia"/>
          <w:color w:val="auto"/>
          <w:szCs w:val="21"/>
          <w:highlight w:val="none"/>
        </w:rPr>
        <w:t>6.8</w:t>
      </w:r>
      <w:r>
        <w:rPr>
          <w:rFonts w:cs="Calibri" w:asciiTheme="minorEastAsia" w:hAnsiTheme="minorEastAsia"/>
          <w:color w:val="auto"/>
          <w:spacing w:val="3"/>
          <w:szCs w:val="21"/>
          <w:highlight w:val="none"/>
        </w:rPr>
        <w:t> </w:t>
      </w:r>
      <w:r>
        <w:rPr>
          <w:rFonts w:cs="宋体" w:asciiTheme="minorEastAsia" w:hAnsiTheme="minorEastAsia"/>
          <w:color w:val="auto"/>
          <w:spacing w:val="-1"/>
          <w:szCs w:val="21"/>
          <w:highlight w:val="none"/>
        </w:rPr>
        <w:t>磋商保证金：见磋商须知前附表。</w:t>
      </w:r>
    </w:p>
    <w:p>
      <w:pPr>
        <w:spacing w:after="0" w:line="360" w:lineRule="auto"/>
        <w:ind w:firstLine="420" w:firstLineChars="200"/>
        <w:rPr>
          <w:rFonts w:asciiTheme="minorEastAsia" w:hAnsiTheme="minorEastAsia"/>
          <w:color w:val="auto"/>
          <w:szCs w:val="21"/>
          <w:highlight w:val="none"/>
        </w:rPr>
      </w:pPr>
      <w:r>
        <w:rPr>
          <w:rFonts w:cs="宋体" w:asciiTheme="minorEastAsia" w:hAnsiTheme="minorEastAsia"/>
          <w:color w:val="auto"/>
          <w:szCs w:val="21"/>
          <w:highlight w:val="none"/>
        </w:rPr>
        <w:t>7.</w:t>
      </w:r>
      <w:r>
        <w:rPr>
          <w:rFonts w:cs="宋体" w:asciiTheme="minorEastAsia" w:hAnsiTheme="minorEastAsia"/>
          <w:color w:val="auto"/>
          <w:spacing w:val="-1"/>
          <w:szCs w:val="21"/>
          <w:highlight w:val="none"/>
        </w:rPr>
        <w:t>计量单位</w:t>
      </w:r>
    </w:p>
    <w:p>
      <w:pPr>
        <w:spacing w:after="0" w:line="360" w:lineRule="auto"/>
        <w:ind w:firstLine="420" w:firstLineChars="200"/>
        <w:rPr>
          <w:rFonts w:asciiTheme="minorEastAsia" w:hAnsiTheme="minorEastAsia"/>
          <w:color w:val="auto"/>
          <w:szCs w:val="21"/>
          <w:highlight w:val="none"/>
        </w:rPr>
      </w:pPr>
      <w:r>
        <w:rPr>
          <w:rFonts w:cs="宋体" w:asciiTheme="minorEastAsia" w:hAnsiTheme="minorEastAsia"/>
          <w:color w:val="auto"/>
          <w:szCs w:val="21"/>
          <w:highlight w:val="none"/>
        </w:rPr>
        <w:t>7.1</w:t>
      </w:r>
      <w:r>
        <w:rPr>
          <w:rFonts w:cs="Calibri" w:asciiTheme="minorEastAsia" w:hAnsiTheme="minorEastAsia"/>
          <w:color w:val="auto"/>
          <w:spacing w:val="3"/>
          <w:szCs w:val="21"/>
          <w:highlight w:val="none"/>
        </w:rPr>
        <w:t> </w:t>
      </w:r>
      <w:r>
        <w:rPr>
          <w:rFonts w:cs="宋体" w:asciiTheme="minorEastAsia" w:hAnsiTheme="minorEastAsia"/>
          <w:color w:val="auto"/>
          <w:spacing w:val="-1"/>
          <w:szCs w:val="21"/>
          <w:highlight w:val="none"/>
        </w:rPr>
        <w:t>除技术要求中另有规定外，本文件所要求使用的计量单位均应采用国家法定计量单位。</w:t>
      </w:r>
    </w:p>
    <w:p>
      <w:pPr>
        <w:spacing w:after="0" w:line="360" w:lineRule="auto"/>
        <w:rPr>
          <w:rFonts w:asciiTheme="minorEastAsia" w:hAnsiTheme="minorEastAsia"/>
          <w:b/>
          <w:color w:val="auto"/>
          <w:szCs w:val="21"/>
          <w:highlight w:val="none"/>
        </w:rPr>
      </w:pPr>
      <w:r>
        <w:rPr>
          <w:rFonts w:cs="宋体" w:asciiTheme="minorEastAsia" w:hAnsiTheme="minorEastAsia"/>
          <w:b/>
          <w:color w:val="auto"/>
          <w:szCs w:val="21"/>
          <w:highlight w:val="none"/>
        </w:rPr>
        <w:t>三、磋商报价及采购预算</w:t>
      </w:r>
    </w:p>
    <w:p>
      <w:pPr>
        <w:spacing w:after="0" w:line="360" w:lineRule="auto"/>
        <w:ind w:firstLine="420" w:firstLineChars="200"/>
        <w:rPr>
          <w:rFonts w:asciiTheme="minorEastAsia" w:hAnsiTheme="minorEastAsia"/>
          <w:color w:val="auto"/>
          <w:szCs w:val="21"/>
          <w:highlight w:val="none"/>
        </w:rPr>
      </w:pPr>
      <w:r>
        <w:rPr>
          <w:rFonts w:cs="宋体" w:asciiTheme="minorEastAsia" w:hAnsiTheme="minorEastAsia"/>
          <w:color w:val="auto"/>
          <w:szCs w:val="21"/>
          <w:highlight w:val="none"/>
        </w:rPr>
        <w:t>8.1</w:t>
      </w:r>
      <w:r>
        <w:rPr>
          <w:rFonts w:cs="Calibri" w:asciiTheme="minorEastAsia" w:hAnsiTheme="minorEastAsia"/>
          <w:color w:val="auto"/>
          <w:spacing w:val="3"/>
          <w:szCs w:val="21"/>
          <w:highlight w:val="none"/>
        </w:rPr>
        <w:t> </w:t>
      </w:r>
      <w:r>
        <w:rPr>
          <w:rFonts w:cs="宋体" w:asciiTheme="minorEastAsia" w:hAnsiTheme="minorEastAsia"/>
          <w:color w:val="auto"/>
          <w:szCs w:val="21"/>
          <w:highlight w:val="none"/>
        </w:rPr>
        <w:t>对于本文件中未列明，而供应商认为必需的费用也需列入总报价。在合同实施时，采购人将不</w:t>
      </w:r>
      <w:r>
        <w:rPr>
          <w:rFonts w:cs="宋体" w:asciiTheme="minorEastAsia" w:hAnsiTheme="minorEastAsia"/>
          <w:color w:val="auto"/>
          <w:spacing w:val="-1"/>
          <w:szCs w:val="21"/>
          <w:highlight w:val="none"/>
        </w:rPr>
        <w:t>予支付成交供应商没有列入的项目费用，并认为此项目的费用已包括在总报价中。</w:t>
      </w:r>
    </w:p>
    <w:p>
      <w:pPr>
        <w:adjustRightInd w:val="0"/>
        <w:spacing w:after="0" w:line="360" w:lineRule="auto"/>
        <w:ind w:firstLine="420" w:firstLineChars="200"/>
        <w:textAlignment w:val="baseline"/>
        <w:rPr>
          <w:rFonts w:asciiTheme="minorEastAsia" w:hAnsiTheme="minorEastAsia"/>
          <w:color w:val="auto"/>
          <w:kern w:val="0"/>
          <w:szCs w:val="21"/>
          <w:highlight w:val="none"/>
        </w:rPr>
      </w:pPr>
      <w:r>
        <w:rPr>
          <w:rFonts w:cs="宋体" w:asciiTheme="minorEastAsia" w:hAnsiTheme="minorEastAsia"/>
          <w:color w:val="auto"/>
          <w:szCs w:val="21"/>
          <w:highlight w:val="none"/>
        </w:rPr>
        <w:t>8.2</w:t>
      </w:r>
      <w:r>
        <w:rPr>
          <w:rFonts w:cs="Calibri" w:asciiTheme="minorEastAsia" w:hAnsiTheme="minorEastAsia"/>
          <w:color w:val="auto"/>
          <w:spacing w:val="3"/>
          <w:szCs w:val="21"/>
          <w:highlight w:val="none"/>
        </w:rPr>
        <w:t> </w:t>
      </w:r>
      <w:r>
        <w:rPr>
          <w:rFonts w:cs="宋体" w:asciiTheme="minorEastAsia" w:hAnsiTheme="minorEastAsia"/>
          <w:color w:val="auto"/>
          <w:szCs w:val="21"/>
          <w:highlight w:val="none"/>
        </w:rPr>
        <w:t>供应商必须就所竞分标的全部内容作完整唯一报价，</w:t>
      </w:r>
      <w:r>
        <w:rPr>
          <w:rFonts w:hint="eastAsia" w:cs="宋体" w:asciiTheme="minorEastAsia" w:hAnsiTheme="minorEastAsia"/>
          <w:color w:val="auto"/>
          <w:szCs w:val="21"/>
          <w:highlight w:val="none"/>
        </w:rPr>
        <w:t>报价采用费率报价，</w:t>
      </w:r>
      <w:r>
        <w:rPr>
          <w:rFonts w:cs="宋体" w:asciiTheme="minorEastAsia" w:hAnsiTheme="minorEastAsia"/>
          <w:color w:val="auto"/>
          <w:szCs w:val="21"/>
          <w:highlight w:val="none"/>
        </w:rPr>
        <w:t>漏项报价的或有选择的或有条件的报价，</w:t>
      </w:r>
      <w:r>
        <w:rPr>
          <w:rFonts w:cs="宋体" w:asciiTheme="minorEastAsia" w:hAnsiTheme="minorEastAsia"/>
          <w:color w:val="auto"/>
          <w:spacing w:val="-1"/>
          <w:szCs w:val="21"/>
          <w:highlight w:val="none"/>
        </w:rPr>
        <w:t>其</w:t>
      </w:r>
      <w:r>
        <w:rPr>
          <w:rFonts w:hint="eastAsia" w:cs="宋体" w:asciiTheme="minorEastAsia" w:hAnsiTheme="minorEastAsia"/>
          <w:color w:val="auto"/>
          <w:spacing w:val="-1"/>
          <w:szCs w:val="21"/>
          <w:highlight w:val="none"/>
        </w:rPr>
        <w:t>磋商</w:t>
      </w:r>
      <w:r>
        <w:rPr>
          <w:rFonts w:cs="宋体" w:asciiTheme="minorEastAsia" w:hAnsiTheme="minorEastAsia"/>
          <w:color w:val="auto"/>
          <w:spacing w:val="-1"/>
          <w:szCs w:val="21"/>
          <w:highlight w:val="none"/>
        </w:rPr>
        <w:t>将视为无效。</w:t>
      </w:r>
      <w:r>
        <w:rPr>
          <w:rFonts w:hint="eastAsia" w:asciiTheme="minorEastAsia" w:hAnsiTheme="minorEastAsia"/>
          <w:color w:val="auto"/>
          <w:kern w:val="0"/>
          <w:szCs w:val="21"/>
          <w:highlight w:val="none"/>
        </w:rPr>
        <w:t xml:space="preserve">磋商报价为二次报价，在最终报价不超出最高投标费率（采购预算价）的范围内为有效报价。 </w:t>
      </w:r>
    </w:p>
    <w:p>
      <w:pPr>
        <w:spacing w:after="0" w:line="360" w:lineRule="auto"/>
        <w:ind w:firstLine="420" w:firstLineChars="200"/>
        <w:rPr>
          <w:rFonts w:asciiTheme="minorEastAsia" w:hAnsiTheme="minorEastAsia"/>
          <w:color w:val="auto"/>
          <w:szCs w:val="21"/>
          <w:highlight w:val="none"/>
        </w:rPr>
      </w:pPr>
      <w:r>
        <w:rPr>
          <w:rFonts w:hint="eastAsia" w:asciiTheme="minorEastAsia" w:hAnsiTheme="minorEastAsia"/>
          <w:color w:val="auto"/>
          <w:kern w:val="0"/>
          <w:szCs w:val="21"/>
          <w:highlight w:val="none"/>
        </w:rPr>
        <w:t>监理服务费：以实际施工中完成的工程量款乘以中标费率为结算。</w:t>
      </w:r>
    </w:p>
    <w:p>
      <w:pPr>
        <w:spacing w:after="0" w:line="360" w:lineRule="auto"/>
        <w:rPr>
          <w:rFonts w:asciiTheme="minorEastAsia" w:hAnsiTheme="minorEastAsia"/>
          <w:b/>
          <w:color w:val="auto"/>
          <w:szCs w:val="21"/>
          <w:highlight w:val="none"/>
        </w:rPr>
      </w:pPr>
      <w:r>
        <w:rPr>
          <w:rFonts w:cs="宋体" w:asciiTheme="minorEastAsia" w:hAnsiTheme="minorEastAsia"/>
          <w:b/>
          <w:color w:val="auto"/>
          <w:szCs w:val="21"/>
          <w:highlight w:val="none"/>
        </w:rPr>
        <w:t>四、响应文件的份数、封装和递交</w:t>
      </w:r>
    </w:p>
    <w:p>
      <w:pPr>
        <w:spacing w:after="0" w:line="360" w:lineRule="auto"/>
        <w:ind w:firstLine="420" w:firstLineChars="200"/>
        <w:rPr>
          <w:rFonts w:asciiTheme="minorEastAsia" w:hAnsiTheme="minorEastAsia"/>
          <w:color w:val="auto"/>
          <w:szCs w:val="21"/>
          <w:highlight w:val="none"/>
        </w:rPr>
      </w:pPr>
      <w:r>
        <w:rPr>
          <w:rFonts w:cs="宋体" w:asciiTheme="minorEastAsia" w:hAnsiTheme="minorEastAsia"/>
          <w:color w:val="auto"/>
          <w:szCs w:val="21"/>
          <w:highlight w:val="none"/>
        </w:rPr>
        <w:t>9.</w:t>
      </w:r>
      <w:r>
        <w:rPr>
          <w:rFonts w:cs="宋体" w:asciiTheme="minorEastAsia" w:hAnsiTheme="minorEastAsia"/>
          <w:color w:val="auto"/>
          <w:spacing w:val="-1"/>
          <w:szCs w:val="21"/>
          <w:highlight w:val="none"/>
        </w:rPr>
        <w:t>磋商响应文件的份数和封装</w:t>
      </w:r>
    </w:p>
    <w:p>
      <w:pPr>
        <w:spacing w:after="0" w:line="360" w:lineRule="auto"/>
        <w:ind w:firstLine="420" w:firstLineChars="200"/>
        <w:rPr>
          <w:rFonts w:cs="宋体" w:asciiTheme="minorEastAsia" w:hAnsiTheme="minorEastAsia"/>
          <w:color w:val="auto"/>
          <w:szCs w:val="21"/>
          <w:highlight w:val="none"/>
        </w:rPr>
      </w:pPr>
      <w:r>
        <w:rPr>
          <w:rFonts w:cs="宋体" w:asciiTheme="minorEastAsia" w:hAnsiTheme="minorEastAsia"/>
          <w:color w:val="auto"/>
          <w:szCs w:val="21"/>
          <w:highlight w:val="none"/>
        </w:rPr>
        <w:t>9.1</w:t>
      </w:r>
      <w:r>
        <w:rPr>
          <w:rFonts w:cs="宋体" w:asciiTheme="minorEastAsia" w:hAnsiTheme="minorEastAsia"/>
          <w:color w:val="auto"/>
          <w:spacing w:val="-5"/>
          <w:szCs w:val="21"/>
          <w:highlight w:val="none"/>
        </w:rPr>
        <w:t>供应商应将竞争性磋商响应文件中“价格文件”、“商务文件”和“技术文件”装订成一本（三</w:t>
      </w:r>
      <w:bookmarkStart w:id="48" w:name="11"/>
      <w:bookmarkEnd w:id="48"/>
      <w:r>
        <w:rPr>
          <w:rFonts w:cs="宋体" w:asciiTheme="minorEastAsia" w:hAnsiTheme="minorEastAsia"/>
          <w:color w:val="auto"/>
          <w:spacing w:val="-1"/>
          <w:szCs w:val="21"/>
          <w:highlight w:val="none"/>
        </w:rPr>
        <w:t>个文件相隔之间用封面标识，封面写明“价格文件”、“商务文件”、“技术文件”字样）。供应商将竞争性磋商响应文件按正、副本分别装订成册，副本可以采用正本的复印件。在每个正、副本封面上标明“正本”或“副本”，以及项目名称、项目编号、供应商名称等内容。</w:t>
      </w:r>
    </w:p>
    <w:p>
      <w:pPr>
        <w:spacing w:after="0" w:line="360" w:lineRule="auto"/>
        <w:ind w:firstLine="420" w:firstLineChars="200"/>
        <w:rPr>
          <w:rFonts w:asciiTheme="minorEastAsia" w:hAnsiTheme="minorEastAsia"/>
          <w:color w:val="auto"/>
          <w:szCs w:val="21"/>
          <w:highlight w:val="none"/>
        </w:rPr>
      </w:pPr>
      <w:r>
        <w:rPr>
          <w:rFonts w:cs="宋体" w:asciiTheme="minorEastAsia" w:hAnsiTheme="minorEastAsia"/>
          <w:color w:val="auto"/>
          <w:szCs w:val="21"/>
          <w:highlight w:val="none"/>
        </w:rPr>
        <w:t>9.2</w:t>
      </w:r>
      <w:r>
        <w:rPr>
          <w:rFonts w:cs="Calibri" w:asciiTheme="minorEastAsia" w:hAnsiTheme="minorEastAsia"/>
          <w:color w:val="auto"/>
          <w:spacing w:val="3"/>
          <w:szCs w:val="21"/>
          <w:highlight w:val="none"/>
        </w:rPr>
        <w:t> </w:t>
      </w:r>
      <w:r>
        <w:rPr>
          <w:rFonts w:cs="宋体" w:asciiTheme="minorEastAsia" w:hAnsiTheme="minorEastAsia"/>
          <w:color w:val="auto"/>
          <w:szCs w:val="21"/>
          <w:highlight w:val="none"/>
        </w:rPr>
        <w:t>供应商应将竞争性磋商响应文件正、副本（正本一份，</w:t>
      </w:r>
      <w:r>
        <w:rPr>
          <w:rFonts w:hint="eastAsia" w:cs="宋体" w:asciiTheme="minorEastAsia" w:hAnsiTheme="minorEastAsia"/>
          <w:color w:val="auto"/>
          <w:szCs w:val="21"/>
          <w:highlight w:val="none"/>
        </w:rPr>
        <w:t>副本三份</w:t>
      </w:r>
      <w:r>
        <w:rPr>
          <w:rFonts w:cs="宋体" w:asciiTheme="minorEastAsia" w:hAnsiTheme="minorEastAsia"/>
          <w:color w:val="auto"/>
          <w:szCs w:val="21"/>
          <w:highlight w:val="none"/>
        </w:rPr>
        <w:t>）装入到一个竞争性磋商响应</w:t>
      </w:r>
      <w:r>
        <w:rPr>
          <w:rFonts w:cs="宋体" w:asciiTheme="minorEastAsia" w:hAnsiTheme="minorEastAsia"/>
          <w:color w:val="auto"/>
          <w:spacing w:val="-1"/>
          <w:szCs w:val="21"/>
          <w:highlight w:val="none"/>
        </w:rPr>
        <w:t>文件袋内，所有封贴处必须密封后签字【法定代表人或其委托代理人签字均可，当为代理人签字时由代理人随身携带授权书原件以备核验，要求文件袋无明显缝隙露出袋内文件】并加盖单位公章或密封章。</w:t>
      </w:r>
    </w:p>
    <w:p>
      <w:pPr>
        <w:spacing w:after="0" w:line="360" w:lineRule="auto"/>
        <w:ind w:firstLine="416" w:firstLineChars="200"/>
        <w:rPr>
          <w:rFonts w:asciiTheme="minorEastAsia" w:hAnsiTheme="minorEastAsia"/>
          <w:color w:val="auto"/>
          <w:szCs w:val="21"/>
          <w:highlight w:val="none"/>
        </w:rPr>
      </w:pPr>
      <w:r>
        <w:rPr>
          <w:rFonts w:cs="宋体" w:asciiTheme="minorEastAsia" w:hAnsiTheme="minorEastAsia"/>
          <w:color w:val="auto"/>
          <w:spacing w:val="-1"/>
          <w:szCs w:val="21"/>
          <w:highlight w:val="none"/>
        </w:rPr>
        <w:t>文件袋外层封面上应写明：</w:t>
      </w:r>
    </w:p>
    <w:p>
      <w:pPr>
        <w:spacing w:after="0" w:line="360" w:lineRule="auto"/>
        <w:ind w:firstLine="624" w:firstLineChars="300"/>
        <w:rPr>
          <w:rFonts w:asciiTheme="minorEastAsia" w:hAnsiTheme="minorEastAsia"/>
          <w:color w:val="auto"/>
          <w:szCs w:val="21"/>
          <w:highlight w:val="none"/>
        </w:rPr>
      </w:pPr>
      <w:r>
        <w:rPr>
          <w:rFonts w:cs="宋体" w:asciiTheme="minorEastAsia" w:hAnsiTheme="minorEastAsia"/>
          <w:color w:val="auto"/>
          <w:spacing w:val="-1"/>
          <w:szCs w:val="21"/>
          <w:highlight w:val="none"/>
        </w:rPr>
        <w:t>1）</w:t>
      </w:r>
      <w:r>
        <w:rPr>
          <w:rFonts w:hint="eastAsia" w:cs="宋体" w:asciiTheme="minorEastAsia" w:hAnsiTheme="minorEastAsia"/>
          <w:color w:val="auto"/>
          <w:spacing w:val="-1"/>
          <w:szCs w:val="21"/>
          <w:highlight w:val="none"/>
        </w:rPr>
        <w:t>项目编号</w:t>
      </w:r>
      <w:r>
        <w:rPr>
          <w:rFonts w:cs="宋体" w:asciiTheme="minorEastAsia" w:hAnsiTheme="minorEastAsia"/>
          <w:color w:val="auto"/>
          <w:spacing w:val="-1"/>
          <w:szCs w:val="21"/>
          <w:highlight w:val="none"/>
        </w:rPr>
        <w:t>；</w:t>
      </w:r>
    </w:p>
    <w:p>
      <w:pPr>
        <w:spacing w:after="0" w:line="360" w:lineRule="auto"/>
        <w:ind w:firstLine="624" w:firstLineChars="300"/>
        <w:rPr>
          <w:rFonts w:asciiTheme="minorEastAsia" w:hAnsiTheme="minorEastAsia"/>
          <w:color w:val="auto"/>
          <w:szCs w:val="21"/>
          <w:highlight w:val="none"/>
        </w:rPr>
      </w:pPr>
      <w:r>
        <w:rPr>
          <w:rFonts w:cs="宋体" w:asciiTheme="minorEastAsia" w:hAnsiTheme="minorEastAsia"/>
          <w:color w:val="auto"/>
          <w:spacing w:val="-1"/>
          <w:szCs w:val="21"/>
          <w:highlight w:val="none"/>
        </w:rPr>
        <w:t>2）</w:t>
      </w:r>
      <w:r>
        <w:rPr>
          <w:rFonts w:hint="eastAsia" w:cs="宋体" w:asciiTheme="minorEastAsia" w:hAnsiTheme="minorEastAsia"/>
          <w:color w:val="auto"/>
          <w:spacing w:val="-1"/>
          <w:szCs w:val="21"/>
          <w:highlight w:val="none"/>
        </w:rPr>
        <w:t>项目名称</w:t>
      </w:r>
      <w:r>
        <w:rPr>
          <w:rFonts w:cs="宋体" w:asciiTheme="minorEastAsia" w:hAnsiTheme="minorEastAsia"/>
          <w:color w:val="auto"/>
          <w:spacing w:val="-1"/>
          <w:szCs w:val="21"/>
          <w:highlight w:val="none"/>
        </w:rPr>
        <w:t>；</w:t>
      </w:r>
    </w:p>
    <w:p>
      <w:pPr>
        <w:spacing w:after="0" w:line="360" w:lineRule="auto"/>
        <w:ind w:firstLine="624" w:firstLineChars="300"/>
        <w:rPr>
          <w:rFonts w:asciiTheme="minorEastAsia" w:hAnsiTheme="minorEastAsia"/>
          <w:color w:val="auto"/>
          <w:szCs w:val="21"/>
          <w:highlight w:val="none"/>
        </w:rPr>
      </w:pPr>
      <w:r>
        <w:rPr>
          <w:rFonts w:cs="宋体" w:asciiTheme="minorEastAsia" w:hAnsiTheme="minorEastAsia"/>
          <w:color w:val="auto"/>
          <w:spacing w:val="-1"/>
          <w:szCs w:val="21"/>
          <w:highlight w:val="none"/>
        </w:rPr>
        <w:t>3）供应商名称；</w:t>
      </w:r>
    </w:p>
    <w:p>
      <w:pPr>
        <w:spacing w:after="0" w:line="360" w:lineRule="auto"/>
        <w:ind w:firstLine="624" w:firstLineChars="300"/>
        <w:rPr>
          <w:rFonts w:asciiTheme="minorEastAsia" w:hAnsiTheme="minorEastAsia"/>
          <w:color w:val="auto"/>
          <w:szCs w:val="21"/>
          <w:highlight w:val="none"/>
        </w:rPr>
      </w:pPr>
      <w:r>
        <w:rPr>
          <w:rFonts w:cs="宋体" w:asciiTheme="minorEastAsia" w:hAnsiTheme="minorEastAsia"/>
          <w:color w:val="auto"/>
          <w:spacing w:val="-1"/>
          <w:szCs w:val="21"/>
          <w:highlight w:val="none"/>
        </w:rPr>
        <w:t>4）开标时才能启封。</w:t>
      </w:r>
    </w:p>
    <w:p>
      <w:pPr>
        <w:spacing w:after="0" w:line="360" w:lineRule="auto"/>
        <w:ind w:firstLine="420" w:firstLineChars="200"/>
        <w:rPr>
          <w:rFonts w:asciiTheme="minorEastAsia" w:hAnsiTheme="minorEastAsia"/>
          <w:color w:val="auto"/>
          <w:szCs w:val="21"/>
          <w:highlight w:val="none"/>
        </w:rPr>
      </w:pPr>
      <w:r>
        <w:rPr>
          <w:rFonts w:cs="宋体" w:asciiTheme="minorEastAsia" w:hAnsiTheme="minorEastAsia"/>
          <w:color w:val="auto"/>
          <w:szCs w:val="21"/>
          <w:highlight w:val="none"/>
        </w:rPr>
        <w:t>10.</w:t>
      </w:r>
      <w:r>
        <w:rPr>
          <w:rFonts w:cs="宋体" w:asciiTheme="minorEastAsia" w:hAnsiTheme="minorEastAsia"/>
          <w:color w:val="auto"/>
          <w:spacing w:val="-1"/>
          <w:szCs w:val="21"/>
          <w:highlight w:val="none"/>
        </w:rPr>
        <w:t>响应文件的递交</w:t>
      </w:r>
    </w:p>
    <w:p>
      <w:pPr>
        <w:spacing w:after="0" w:line="360" w:lineRule="auto"/>
        <w:ind w:firstLine="420" w:firstLineChars="200"/>
        <w:rPr>
          <w:rFonts w:asciiTheme="minorEastAsia" w:hAnsiTheme="minorEastAsia"/>
          <w:color w:val="auto"/>
          <w:szCs w:val="21"/>
          <w:highlight w:val="none"/>
        </w:rPr>
      </w:pPr>
      <w:r>
        <w:rPr>
          <w:rFonts w:cs="宋体" w:asciiTheme="minorEastAsia" w:hAnsiTheme="minorEastAsia"/>
          <w:color w:val="auto"/>
          <w:szCs w:val="21"/>
          <w:highlight w:val="none"/>
        </w:rPr>
        <w:t>10.1</w:t>
      </w:r>
      <w:r>
        <w:rPr>
          <w:rFonts w:cs="宋体" w:asciiTheme="minorEastAsia" w:hAnsiTheme="minorEastAsia"/>
          <w:color w:val="auto"/>
          <w:spacing w:val="-1"/>
          <w:szCs w:val="21"/>
          <w:highlight w:val="none"/>
        </w:rPr>
        <w:t>响应文件递交起止时间及磋商截止时间：见磋商须知前附表。</w:t>
      </w:r>
    </w:p>
    <w:p>
      <w:pPr>
        <w:spacing w:after="0" w:line="360" w:lineRule="auto"/>
        <w:ind w:firstLine="832" w:firstLineChars="400"/>
        <w:rPr>
          <w:rFonts w:asciiTheme="minorEastAsia" w:hAnsiTheme="minorEastAsia"/>
          <w:color w:val="auto"/>
          <w:szCs w:val="21"/>
          <w:highlight w:val="none"/>
        </w:rPr>
      </w:pPr>
      <w:r>
        <w:rPr>
          <w:rFonts w:cs="宋体" w:asciiTheme="minorEastAsia" w:hAnsiTheme="minorEastAsia"/>
          <w:color w:val="auto"/>
          <w:spacing w:val="-1"/>
          <w:szCs w:val="21"/>
          <w:highlight w:val="none"/>
        </w:rPr>
        <w:t>响应文件递交起止时间：见磋商须知前附表。</w:t>
      </w:r>
    </w:p>
    <w:p>
      <w:pPr>
        <w:spacing w:after="0" w:line="360" w:lineRule="auto"/>
        <w:ind w:firstLine="832" w:firstLineChars="400"/>
        <w:rPr>
          <w:rFonts w:asciiTheme="minorEastAsia" w:hAnsiTheme="minorEastAsia"/>
          <w:color w:val="auto"/>
          <w:szCs w:val="21"/>
          <w:highlight w:val="none"/>
        </w:rPr>
      </w:pPr>
      <w:r>
        <w:rPr>
          <w:rFonts w:cs="宋体" w:asciiTheme="minorEastAsia" w:hAnsiTheme="minorEastAsia"/>
          <w:color w:val="auto"/>
          <w:spacing w:val="-1"/>
          <w:szCs w:val="21"/>
          <w:highlight w:val="none"/>
        </w:rPr>
        <w:t>磋商截止时间：见磋商须知前附表。</w:t>
      </w:r>
    </w:p>
    <w:p>
      <w:pPr>
        <w:spacing w:after="0" w:line="360" w:lineRule="auto"/>
        <w:ind w:firstLine="832" w:firstLineChars="400"/>
        <w:rPr>
          <w:rFonts w:asciiTheme="minorEastAsia" w:hAnsiTheme="minorEastAsia"/>
          <w:color w:val="auto"/>
          <w:szCs w:val="21"/>
          <w:highlight w:val="none"/>
        </w:rPr>
      </w:pPr>
      <w:r>
        <w:rPr>
          <w:rFonts w:cs="宋体" w:asciiTheme="minorEastAsia" w:hAnsiTheme="minorEastAsia"/>
          <w:color w:val="auto"/>
          <w:spacing w:val="-1"/>
          <w:szCs w:val="21"/>
          <w:highlight w:val="none"/>
        </w:rPr>
        <w:t>供应商应按竞争性磋商文件中规定的磋商截止时间前递交响应文件。</w:t>
      </w:r>
    </w:p>
    <w:p>
      <w:pPr>
        <w:spacing w:after="0" w:line="360" w:lineRule="auto"/>
        <w:ind w:firstLine="420" w:firstLineChars="200"/>
        <w:rPr>
          <w:rFonts w:asciiTheme="minorEastAsia" w:hAnsiTheme="minorEastAsia"/>
          <w:color w:val="auto"/>
          <w:szCs w:val="21"/>
          <w:highlight w:val="none"/>
        </w:rPr>
      </w:pPr>
      <w:r>
        <w:rPr>
          <w:rFonts w:cs="宋体" w:asciiTheme="minorEastAsia" w:hAnsiTheme="minorEastAsia"/>
          <w:color w:val="auto"/>
          <w:szCs w:val="21"/>
          <w:highlight w:val="none"/>
        </w:rPr>
        <w:t>10.2</w:t>
      </w:r>
      <w:r>
        <w:rPr>
          <w:rFonts w:cs="宋体" w:asciiTheme="minorEastAsia" w:hAnsiTheme="minorEastAsia"/>
          <w:color w:val="auto"/>
          <w:spacing w:val="-1"/>
          <w:szCs w:val="21"/>
          <w:highlight w:val="none"/>
        </w:rPr>
        <w:t>供应商递交响应文件的地点：见磋商须知前附表。</w:t>
      </w:r>
    </w:p>
    <w:p>
      <w:pPr>
        <w:spacing w:after="0" w:line="360" w:lineRule="auto"/>
        <w:ind w:firstLine="420" w:firstLineChars="200"/>
        <w:rPr>
          <w:rFonts w:asciiTheme="minorEastAsia" w:hAnsiTheme="minorEastAsia"/>
          <w:color w:val="auto"/>
          <w:szCs w:val="21"/>
          <w:highlight w:val="none"/>
        </w:rPr>
      </w:pPr>
      <w:r>
        <w:rPr>
          <w:rFonts w:cs="宋体" w:asciiTheme="minorEastAsia" w:hAnsiTheme="minorEastAsia"/>
          <w:color w:val="auto"/>
          <w:szCs w:val="21"/>
          <w:highlight w:val="none"/>
        </w:rPr>
        <w:t>10.3供应商在提交响应文件截止时间前，可以对所提交的响应文件进行补充、修改或者撤回，并</w:t>
      </w:r>
      <w:r>
        <w:rPr>
          <w:rFonts w:cs="宋体" w:asciiTheme="minorEastAsia" w:hAnsiTheme="minorEastAsia"/>
          <w:color w:val="auto"/>
          <w:spacing w:val="-1"/>
          <w:szCs w:val="21"/>
          <w:highlight w:val="none"/>
        </w:rPr>
        <w:t>书面通知采购人、采购代理机构。补充、修改的内容作为响应文件的组成部分。补充、修改的内容与响应文件不一致的，以补充、修改的内容为准。</w:t>
      </w:r>
    </w:p>
    <w:p>
      <w:pPr>
        <w:spacing w:after="0" w:line="360" w:lineRule="auto"/>
        <w:ind w:firstLine="420" w:firstLineChars="200"/>
        <w:rPr>
          <w:rFonts w:asciiTheme="minorEastAsia" w:hAnsiTheme="minorEastAsia"/>
          <w:color w:val="auto"/>
          <w:szCs w:val="21"/>
          <w:highlight w:val="none"/>
        </w:rPr>
      </w:pPr>
      <w:r>
        <w:rPr>
          <w:rFonts w:cs="宋体" w:asciiTheme="minorEastAsia" w:hAnsiTheme="minorEastAsia"/>
          <w:color w:val="auto"/>
          <w:szCs w:val="21"/>
          <w:highlight w:val="none"/>
        </w:rPr>
        <w:t>10.4</w:t>
      </w:r>
      <w:r>
        <w:rPr>
          <w:rFonts w:cs="宋体" w:asciiTheme="minorEastAsia" w:hAnsiTheme="minorEastAsia"/>
          <w:color w:val="auto"/>
          <w:spacing w:val="-1"/>
          <w:szCs w:val="21"/>
          <w:highlight w:val="none"/>
        </w:rPr>
        <w:t>迟交的响应文件</w:t>
      </w:r>
    </w:p>
    <w:p>
      <w:pPr>
        <w:spacing w:after="0" w:line="360" w:lineRule="auto"/>
        <w:ind w:firstLine="420" w:firstLineChars="200"/>
        <w:rPr>
          <w:rFonts w:cs="宋体" w:asciiTheme="minorEastAsia" w:hAnsiTheme="minorEastAsia"/>
          <w:color w:val="auto"/>
          <w:szCs w:val="21"/>
          <w:highlight w:val="none"/>
        </w:rPr>
      </w:pPr>
      <w:r>
        <w:rPr>
          <w:rFonts w:hint="eastAsia" w:cs="宋体" w:asciiTheme="minorEastAsia" w:hAnsiTheme="minorEastAsia"/>
          <w:color w:val="auto"/>
          <w:szCs w:val="21"/>
          <w:highlight w:val="none"/>
        </w:rPr>
        <w:t>广西博行弈工程项目管理有限公司</w:t>
      </w:r>
      <w:r>
        <w:rPr>
          <w:rFonts w:cs="宋体" w:asciiTheme="minorEastAsia" w:hAnsiTheme="minorEastAsia"/>
          <w:color w:val="auto"/>
          <w:szCs w:val="21"/>
          <w:highlight w:val="none"/>
        </w:rPr>
        <w:t>拒绝或原封退回在其规定的递交响应文件截止时间之后收到的任何响应文件。</w:t>
      </w:r>
    </w:p>
    <w:p>
      <w:pPr>
        <w:spacing w:after="0" w:line="360" w:lineRule="auto"/>
        <w:rPr>
          <w:rFonts w:cs="宋体" w:asciiTheme="minorEastAsia" w:hAnsiTheme="minorEastAsia"/>
          <w:color w:val="auto"/>
          <w:szCs w:val="21"/>
          <w:highlight w:val="none"/>
        </w:rPr>
      </w:pPr>
      <w:r>
        <w:rPr>
          <w:rFonts w:cs="宋体" w:asciiTheme="minorEastAsia" w:hAnsiTheme="minorEastAsia"/>
          <w:b/>
          <w:color w:val="auto"/>
          <w:szCs w:val="21"/>
          <w:highlight w:val="none"/>
        </w:rPr>
        <w:t>五、竞争性磋商（简称磋商）与评审</w:t>
      </w:r>
    </w:p>
    <w:p>
      <w:pPr>
        <w:spacing w:after="0" w:line="360" w:lineRule="auto"/>
        <w:ind w:firstLine="420" w:firstLineChars="200"/>
        <w:rPr>
          <w:rFonts w:asciiTheme="minorEastAsia" w:hAnsiTheme="minorEastAsia"/>
          <w:color w:val="auto"/>
          <w:szCs w:val="21"/>
          <w:highlight w:val="none"/>
        </w:rPr>
      </w:pPr>
      <w:r>
        <w:rPr>
          <w:rFonts w:cs="宋体" w:asciiTheme="minorEastAsia" w:hAnsiTheme="minorEastAsia"/>
          <w:color w:val="auto"/>
          <w:szCs w:val="21"/>
          <w:highlight w:val="none"/>
        </w:rPr>
        <w:t>11.磋商小组组成及磋商时间、地点、人员</w:t>
      </w:r>
    </w:p>
    <w:p>
      <w:pPr>
        <w:spacing w:after="0" w:line="360" w:lineRule="auto"/>
        <w:ind w:firstLine="420" w:firstLineChars="200"/>
        <w:rPr>
          <w:rFonts w:asciiTheme="minorEastAsia" w:hAnsiTheme="minorEastAsia"/>
          <w:color w:val="auto"/>
          <w:szCs w:val="21"/>
          <w:highlight w:val="none"/>
        </w:rPr>
      </w:pPr>
      <w:r>
        <w:rPr>
          <w:rFonts w:cs="宋体" w:asciiTheme="minorEastAsia" w:hAnsiTheme="minorEastAsia"/>
          <w:color w:val="auto"/>
          <w:szCs w:val="21"/>
          <w:highlight w:val="none"/>
        </w:rPr>
        <w:t>11.1</w:t>
      </w:r>
      <w:r>
        <w:rPr>
          <w:rFonts w:cs="宋体" w:asciiTheme="minorEastAsia" w:hAnsiTheme="minorEastAsia"/>
          <w:color w:val="auto"/>
          <w:spacing w:val="-1"/>
          <w:szCs w:val="21"/>
          <w:highlight w:val="none"/>
        </w:rPr>
        <w:t>磋商小组构成：本项目的磋商小组由评审专家共</w:t>
      </w:r>
      <w:r>
        <w:rPr>
          <w:rFonts w:cs="Calibri" w:asciiTheme="minorEastAsia" w:hAnsiTheme="minorEastAsia"/>
          <w:color w:val="auto"/>
          <w:spacing w:val="4"/>
          <w:szCs w:val="21"/>
          <w:highlight w:val="none"/>
        </w:rPr>
        <w:t> </w:t>
      </w:r>
      <w:r>
        <w:rPr>
          <w:rFonts w:cs="宋体" w:asciiTheme="minorEastAsia" w:hAnsiTheme="minorEastAsia"/>
          <w:color w:val="auto"/>
          <w:spacing w:val="-1"/>
          <w:szCs w:val="21"/>
          <w:highlight w:val="none"/>
        </w:rPr>
        <w:t>3</w:t>
      </w:r>
      <w:r>
        <w:rPr>
          <w:rFonts w:cs="Calibri" w:asciiTheme="minorEastAsia" w:hAnsiTheme="minorEastAsia"/>
          <w:color w:val="auto"/>
          <w:spacing w:val="5"/>
          <w:szCs w:val="21"/>
          <w:highlight w:val="none"/>
        </w:rPr>
        <w:t> </w:t>
      </w:r>
      <w:r>
        <w:rPr>
          <w:rFonts w:cs="宋体" w:asciiTheme="minorEastAsia" w:hAnsiTheme="minorEastAsia"/>
          <w:color w:val="auto"/>
          <w:spacing w:val="-1"/>
          <w:szCs w:val="21"/>
          <w:highlight w:val="none"/>
        </w:rPr>
        <w:t>人以上单数组成。</w:t>
      </w:r>
    </w:p>
    <w:p>
      <w:pPr>
        <w:spacing w:after="0" w:line="360" w:lineRule="auto"/>
        <w:ind w:firstLine="420" w:firstLineChars="200"/>
        <w:rPr>
          <w:rFonts w:asciiTheme="minorEastAsia" w:hAnsiTheme="minorEastAsia"/>
          <w:color w:val="auto"/>
          <w:szCs w:val="21"/>
          <w:highlight w:val="none"/>
        </w:rPr>
      </w:pPr>
      <w:r>
        <w:rPr>
          <w:rFonts w:cs="宋体" w:asciiTheme="minorEastAsia" w:hAnsiTheme="minorEastAsia"/>
          <w:color w:val="auto"/>
          <w:szCs w:val="21"/>
          <w:highlight w:val="none"/>
        </w:rPr>
        <w:t>11.2</w:t>
      </w:r>
      <w:r>
        <w:rPr>
          <w:rFonts w:cs="宋体" w:asciiTheme="minorEastAsia" w:hAnsiTheme="minorEastAsia"/>
          <w:color w:val="auto"/>
          <w:spacing w:val="-1"/>
          <w:szCs w:val="21"/>
          <w:highlight w:val="none"/>
        </w:rPr>
        <w:t>具体的磋商时间、地点、人员见磋商须知前附表，参加磋商的法定代表人或委托代理人必须持证件（法定代表人凭身份证或委托代理人凭法人授权委托书和身份证）依时到达指定地点等候当面磋商。</w:t>
      </w:r>
      <w:bookmarkStart w:id="49" w:name="12"/>
      <w:bookmarkEnd w:id="49"/>
    </w:p>
    <w:p>
      <w:pPr>
        <w:spacing w:after="0" w:line="360" w:lineRule="auto"/>
        <w:ind w:firstLine="420" w:firstLineChars="200"/>
        <w:rPr>
          <w:rFonts w:asciiTheme="minorEastAsia" w:hAnsiTheme="minorEastAsia"/>
          <w:color w:val="auto"/>
          <w:szCs w:val="21"/>
          <w:highlight w:val="none"/>
        </w:rPr>
      </w:pPr>
      <w:r>
        <w:rPr>
          <w:rFonts w:cs="宋体" w:asciiTheme="minorEastAsia" w:hAnsiTheme="minorEastAsia"/>
          <w:color w:val="auto"/>
          <w:szCs w:val="21"/>
          <w:highlight w:val="none"/>
        </w:rPr>
        <w:t>12.评审原则和评审办法</w:t>
      </w:r>
    </w:p>
    <w:p>
      <w:pPr>
        <w:spacing w:after="0" w:line="360" w:lineRule="auto"/>
        <w:ind w:firstLine="420" w:firstLineChars="200"/>
        <w:rPr>
          <w:rFonts w:asciiTheme="minorEastAsia" w:hAnsiTheme="minorEastAsia"/>
          <w:color w:val="auto"/>
          <w:szCs w:val="21"/>
          <w:highlight w:val="none"/>
        </w:rPr>
      </w:pPr>
      <w:r>
        <w:rPr>
          <w:rFonts w:cs="宋体" w:asciiTheme="minorEastAsia" w:hAnsiTheme="minorEastAsia"/>
          <w:color w:val="auto"/>
          <w:szCs w:val="21"/>
          <w:highlight w:val="none"/>
        </w:rPr>
        <w:t>12.1</w:t>
      </w:r>
      <w:r>
        <w:rPr>
          <w:rFonts w:cs="宋体" w:asciiTheme="minorEastAsia" w:hAnsiTheme="minorEastAsia"/>
          <w:color w:val="auto"/>
          <w:spacing w:val="-1"/>
          <w:szCs w:val="21"/>
          <w:highlight w:val="none"/>
        </w:rPr>
        <w:t>具体评审原则和评审办法见评分标准。</w:t>
      </w:r>
    </w:p>
    <w:p>
      <w:pPr>
        <w:spacing w:after="0" w:line="360" w:lineRule="auto"/>
        <w:ind w:firstLine="420" w:firstLineChars="200"/>
        <w:rPr>
          <w:rFonts w:asciiTheme="minorEastAsia" w:hAnsiTheme="minorEastAsia"/>
          <w:color w:val="auto"/>
          <w:szCs w:val="21"/>
          <w:highlight w:val="none"/>
        </w:rPr>
      </w:pPr>
      <w:r>
        <w:rPr>
          <w:rFonts w:cs="宋体" w:asciiTheme="minorEastAsia" w:hAnsiTheme="minorEastAsia"/>
          <w:color w:val="auto"/>
          <w:szCs w:val="21"/>
          <w:highlight w:val="none"/>
        </w:rPr>
        <w:t>13.响应文件评审及磋商的步骤</w:t>
      </w:r>
    </w:p>
    <w:p>
      <w:pPr>
        <w:spacing w:after="0" w:line="360" w:lineRule="auto"/>
        <w:ind w:firstLine="420" w:firstLineChars="200"/>
        <w:rPr>
          <w:rFonts w:asciiTheme="minorEastAsia" w:hAnsiTheme="minorEastAsia"/>
          <w:color w:val="auto"/>
          <w:szCs w:val="21"/>
          <w:highlight w:val="none"/>
        </w:rPr>
      </w:pPr>
      <w:r>
        <w:rPr>
          <w:rFonts w:cs="宋体" w:asciiTheme="minorEastAsia" w:hAnsiTheme="minorEastAsia"/>
          <w:color w:val="auto"/>
          <w:szCs w:val="21"/>
          <w:highlight w:val="none"/>
        </w:rPr>
        <w:t>13.1</w:t>
      </w:r>
      <w:r>
        <w:rPr>
          <w:rFonts w:cs="宋体" w:asciiTheme="minorEastAsia" w:hAnsiTheme="minorEastAsia"/>
          <w:color w:val="auto"/>
          <w:spacing w:val="-3"/>
          <w:szCs w:val="21"/>
          <w:highlight w:val="none"/>
        </w:rPr>
        <w:t>资格或符合性审查：磋商小组对磋商资格条件及响应文件进行评审，并从符合竞争性磋商文件</w:t>
      </w:r>
      <w:r>
        <w:rPr>
          <w:rFonts w:cs="宋体" w:asciiTheme="minorEastAsia" w:hAnsiTheme="minorEastAsia"/>
          <w:color w:val="auto"/>
          <w:spacing w:val="-1"/>
          <w:szCs w:val="21"/>
          <w:highlight w:val="none"/>
        </w:rPr>
        <w:t>规定的相应资格条件的供应商名单中确定不少于</w:t>
      </w:r>
      <w:r>
        <w:rPr>
          <w:rFonts w:cs="Calibri" w:asciiTheme="minorEastAsia" w:hAnsiTheme="minorEastAsia"/>
          <w:color w:val="auto"/>
          <w:spacing w:val="4"/>
          <w:szCs w:val="21"/>
          <w:highlight w:val="none"/>
        </w:rPr>
        <w:t> </w:t>
      </w:r>
      <w:r>
        <w:rPr>
          <w:rFonts w:cs="宋体" w:asciiTheme="minorEastAsia" w:hAnsiTheme="minorEastAsia"/>
          <w:color w:val="auto"/>
          <w:spacing w:val="-1"/>
          <w:szCs w:val="21"/>
          <w:highlight w:val="none"/>
        </w:rPr>
        <w:t>3</w:t>
      </w:r>
      <w:r>
        <w:rPr>
          <w:rFonts w:cs="Calibri" w:asciiTheme="minorEastAsia" w:hAnsiTheme="minorEastAsia"/>
          <w:color w:val="auto"/>
          <w:spacing w:val="5"/>
          <w:szCs w:val="21"/>
          <w:highlight w:val="none"/>
        </w:rPr>
        <w:t> </w:t>
      </w:r>
      <w:r>
        <w:rPr>
          <w:rFonts w:cs="宋体" w:asciiTheme="minorEastAsia" w:hAnsiTheme="minorEastAsia"/>
          <w:color w:val="auto"/>
          <w:spacing w:val="-2"/>
          <w:szCs w:val="21"/>
          <w:highlight w:val="none"/>
        </w:rPr>
        <w:t>家的供应商参加磋商。资格条件不符合的供应商</w:t>
      </w:r>
      <w:r>
        <w:rPr>
          <w:rFonts w:cs="宋体" w:asciiTheme="minorEastAsia" w:hAnsiTheme="minorEastAsia"/>
          <w:color w:val="auto"/>
          <w:spacing w:val="-1"/>
          <w:szCs w:val="21"/>
          <w:highlight w:val="none"/>
        </w:rPr>
        <w:t>或未实质性响应磋商文件的响应文件按无效响应处理，磋商小组应当告知有关供应商。</w:t>
      </w:r>
    </w:p>
    <w:p>
      <w:pPr>
        <w:spacing w:after="0" w:line="360" w:lineRule="auto"/>
        <w:ind w:firstLine="420" w:firstLineChars="200"/>
        <w:rPr>
          <w:rFonts w:asciiTheme="minorEastAsia" w:hAnsiTheme="minorEastAsia"/>
          <w:color w:val="auto"/>
          <w:szCs w:val="21"/>
          <w:highlight w:val="none"/>
        </w:rPr>
      </w:pPr>
      <w:r>
        <w:rPr>
          <w:rFonts w:cs="宋体" w:asciiTheme="minorEastAsia" w:hAnsiTheme="minorEastAsia"/>
          <w:color w:val="auto"/>
          <w:szCs w:val="21"/>
          <w:highlight w:val="none"/>
        </w:rPr>
        <w:t>13.2第一轮磋商</w:t>
      </w:r>
    </w:p>
    <w:p>
      <w:pPr>
        <w:spacing w:after="0" w:line="360" w:lineRule="auto"/>
        <w:ind w:firstLine="416" w:firstLineChars="200"/>
        <w:rPr>
          <w:rFonts w:asciiTheme="minorEastAsia" w:hAnsiTheme="minorEastAsia"/>
          <w:color w:val="auto"/>
          <w:szCs w:val="21"/>
          <w:highlight w:val="none"/>
        </w:rPr>
      </w:pPr>
      <w:r>
        <w:rPr>
          <w:rFonts w:cs="宋体" w:asciiTheme="minorEastAsia" w:hAnsiTheme="minorEastAsia"/>
          <w:color w:val="auto"/>
          <w:spacing w:val="-1"/>
          <w:szCs w:val="21"/>
          <w:highlight w:val="none"/>
        </w:rPr>
        <w:t>磋商小组按已确定的磋商顺序，磋商小组所有成员应当集中与单一供应商分别进行磋商，并给予所有参加磋商的供应商平等的磋商机会。</w:t>
      </w:r>
    </w:p>
    <w:p>
      <w:pPr>
        <w:spacing w:after="0" w:line="360" w:lineRule="auto"/>
        <w:ind w:firstLine="416" w:firstLineChars="200"/>
        <w:rPr>
          <w:rFonts w:asciiTheme="minorEastAsia" w:hAnsiTheme="minorEastAsia"/>
          <w:color w:val="auto"/>
          <w:szCs w:val="21"/>
          <w:highlight w:val="none"/>
        </w:rPr>
      </w:pPr>
      <w:r>
        <w:rPr>
          <w:rFonts w:cs="宋体" w:asciiTheme="minorEastAsia" w:hAnsiTheme="minorEastAsia"/>
          <w:color w:val="auto"/>
          <w:spacing w:val="-1"/>
          <w:szCs w:val="21"/>
          <w:highlight w:val="none"/>
        </w:rPr>
        <w:t>在磋商过程中，磋商小组可以根据磋商文件和磋商情况实质性变动采购需求中的技术、服务要求以及合同草案条款，但不得变动磋商文件中的其他内容。实质性变动的内容，须经采购人代表确</w:t>
      </w:r>
      <w:r>
        <w:rPr>
          <w:rFonts w:cs="宋体" w:asciiTheme="minorEastAsia" w:hAnsiTheme="minorEastAsia"/>
          <w:color w:val="auto"/>
          <w:spacing w:val="-2"/>
          <w:szCs w:val="21"/>
          <w:highlight w:val="none"/>
        </w:rPr>
        <w:t>认。</w:t>
      </w:r>
    </w:p>
    <w:p>
      <w:pPr>
        <w:spacing w:after="0" w:line="360" w:lineRule="auto"/>
        <w:ind w:firstLine="416" w:firstLineChars="200"/>
        <w:rPr>
          <w:rFonts w:asciiTheme="minorEastAsia" w:hAnsiTheme="minorEastAsia"/>
          <w:color w:val="auto"/>
          <w:szCs w:val="21"/>
          <w:highlight w:val="none"/>
        </w:rPr>
      </w:pPr>
      <w:r>
        <w:rPr>
          <w:rFonts w:cs="宋体" w:asciiTheme="minorEastAsia" w:hAnsiTheme="minorEastAsia"/>
          <w:color w:val="auto"/>
          <w:spacing w:val="-1"/>
          <w:szCs w:val="21"/>
          <w:highlight w:val="none"/>
        </w:rPr>
        <w:t>对磋商文件作出的实质性变动是磋商文件的有效组成部分，磋商小组应当及时以书面形式同时通知所有参加磋商的供应商。</w:t>
      </w:r>
    </w:p>
    <w:p>
      <w:pPr>
        <w:spacing w:after="0" w:line="360" w:lineRule="auto"/>
        <w:ind w:firstLine="416" w:firstLineChars="200"/>
        <w:rPr>
          <w:rFonts w:asciiTheme="minorEastAsia" w:hAnsiTheme="minorEastAsia"/>
          <w:color w:val="auto"/>
          <w:szCs w:val="21"/>
          <w:highlight w:val="none"/>
        </w:rPr>
      </w:pPr>
      <w:r>
        <w:rPr>
          <w:rFonts w:cs="宋体" w:asciiTheme="minorEastAsia" w:hAnsiTheme="minorEastAsia"/>
          <w:color w:val="auto"/>
          <w:spacing w:val="-1"/>
          <w:szCs w:val="21"/>
          <w:highlight w:val="none"/>
        </w:rPr>
        <w:t>供应商应当按照磋商文件的变动情况和磋商小组的要求重新提交响应文件，并由其法定代表人或授权代表签字或者加盖公章。由授权代表签字的，应当附法定代表人授权书。</w:t>
      </w:r>
    </w:p>
    <w:p>
      <w:pPr>
        <w:spacing w:after="0" w:line="360" w:lineRule="auto"/>
        <w:ind w:firstLine="416" w:firstLineChars="200"/>
        <w:rPr>
          <w:rFonts w:asciiTheme="minorEastAsia" w:hAnsiTheme="minorEastAsia"/>
          <w:color w:val="auto"/>
          <w:szCs w:val="21"/>
          <w:highlight w:val="none"/>
        </w:rPr>
      </w:pPr>
      <w:r>
        <w:rPr>
          <w:rFonts w:cs="宋体" w:asciiTheme="minorEastAsia" w:hAnsiTheme="minorEastAsia"/>
          <w:color w:val="auto"/>
          <w:spacing w:val="-1"/>
          <w:szCs w:val="21"/>
          <w:highlight w:val="none"/>
        </w:rPr>
        <w:t>磋商中，磋商的任何一方不得透露与磋商有关的其他供应商的技术资料、价格和其他信息。</w:t>
      </w:r>
    </w:p>
    <w:p>
      <w:pPr>
        <w:spacing w:after="0" w:line="360" w:lineRule="auto"/>
        <w:ind w:firstLine="416" w:firstLineChars="200"/>
        <w:rPr>
          <w:rFonts w:asciiTheme="minorEastAsia" w:hAnsiTheme="minorEastAsia"/>
          <w:color w:val="auto"/>
          <w:szCs w:val="21"/>
          <w:highlight w:val="none"/>
        </w:rPr>
      </w:pPr>
      <w:r>
        <w:rPr>
          <w:rFonts w:cs="宋体" w:asciiTheme="minorEastAsia" w:hAnsiTheme="minorEastAsia"/>
          <w:color w:val="auto"/>
          <w:spacing w:val="-1"/>
          <w:szCs w:val="21"/>
          <w:highlight w:val="none"/>
        </w:rPr>
        <w:t>采购代理机构对磋商过程和重要磋商内容进行记录，磋商双方在记录上签字确认。</w:t>
      </w:r>
    </w:p>
    <w:p>
      <w:pPr>
        <w:spacing w:after="0" w:line="360" w:lineRule="auto"/>
        <w:ind w:firstLine="416" w:firstLineChars="200"/>
        <w:rPr>
          <w:rFonts w:asciiTheme="minorEastAsia" w:hAnsiTheme="minorEastAsia"/>
          <w:color w:val="auto"/>
          <w:szCs w:val="21"/>
          <w:highlight w:val="none"/>
        </w:rPr>
      </w:pPr>
      <w:r>
        <w:rPr>
          <w:rFonts w:cs="宋体" w:asciiTheme="minorEastAsia" w:hAnsiTheme="minorEastAsia"/>
          <w:color w:val="auto"/>
          <w:spacing w:val="-1"/>
          <w:szCs w:val="21"/>
          <w:highlight w:val="none"/>
        </w:rPr>
        <w:t>磋商小组一致确定响应供应商符合磋商文件要求的，按磋商文件设定的方法和标准确定成交候选人。第一轮磋商磋商小组未能确定成交候选人的，对磋商文件修正后进行第二轮磋商。</w:t>
      </w:r>
    </w:p>
    <w:p>
      <w:pPr>
        <w:spacing w:after="0" w:line="360" w:lineRule="auto"/>
        <w:ind w:firstLine="420" w:firstLineChars="200"/>
        <w:rPr>
          <w:rFonts w:asciiTheme="minorEastAsia" w:hAnsiTheme="minorEastAsia"/>
          <w:color w:val="auto"/>
          <w:szCs w:val="21"/>
          <w:highlight w:val="none"/>
        </w:rPr>
      </w:pPr>
      <w:r>
        <w:rPr>
          <w:rFonts w:cs="宋体" w:asciiTheme="minorEastAsia" w:hAnsiTheme="minorEastAsia"/>
          <w:color w:val="auto"/>
          <w:szCs w:val="21"/>
          <w:highlight w:val="none"/>
        </w:rPr>
        <w:t>13.3</w:t>
      </w:r>
      <w:r>
        <w:rPr>
          <w:rFonts w:cs="宋体" w:asciiTheme="minorEastAsia" w:hAnsiTheme="minorEastAsia"/>
          <w:color w:val="auto"/>
          <w:spacing w:val="-1"/>
          <w:szCs w:val="21"/>
          <w:highlight w:val="none"/>
        </w:rPr>
        <w:t>磋商文件修正</w:t>
      </w:r>
    </w:p>
    <w:p>
      <w:pPr>
        <w:spacing w:after="0" w:line="360" w:lineRule="auto"/>
        <w:ind w:firstLine="624" w:firstLineChars="300"/>
        <w:rPr>
          <w:rFonts w:asciiTheme="minorEastAsia" w:hAnsiTheme="minorEastAsia"/>
          <w:color w:val="auto"/>
          <w:szCs w:val="21"/>
          <w:highlight w:val="none"/>
        </w:rPr>
      </w:pPr>
      <w:r>
        <w:rPr>
          <w:rFonts w:cs="宋体" w:asciiTheme="minorEastAsia" w:hAnsiTheme="minorEastAsia"/>
          <w:color w:val="auto"/>
          <w:spacing w:val="-1"/>
          <w:szCs w:val="21"/>
          <w:highlight w:val="none"/>
        </w:rPr>
        <w:t>⑴第一轮磋商结束后，各响应供应商退场等候，磋商小组进行合议。根据第一轮磋商掌握的情况，磋商小组可以对磋商文件进行修改，确定采购内容的详细规格或具体要求，优化采购方案。</w:t>
      </w:r>
    </w:p>
    <w:p>
      <w:pPr>
        <w:spacing w:after="0" w:line="360" w:lineRule="auto"/>
        <w:ind w:firstLine="624" w:firstLineChars="300"/>
        <w:rPr>
          <w:rFonts w:asciiTheme="minorEastAsia" w:hAnsiTheme="minorEastAsia"/>
          <w:color w:val="auto"/>
          <w:szCs w:val="21"/>
          <w:highlight w:val="none"/>
        </w:rPr>
      </w:pPr>
      <w:r>
        <w:rPr>
          <w:rFonts w:cs="宋体" w:asciiTheme="minorEastAsia" w:hAnsiTheme="minorEastAsia"/>
          <w:color w:val="auto"/>
          <w:spacing w:val="-1"/>
          <w:szCs w:val="21"/>
          <w:highlight w:val="none"/>
        </w:rPr>
        <w:t>⑵采购代理机构通知响应供应商集中，磋商小组强调调整后的采购要求，将磋商文件的修改结果以书面形式通知响应供应商，向响应供应商提供较充分的修正时间。</w:t>
      </w:r>
    </w:p>
    <w:p>
      <w:pPr>
        <w:spacing w:after="0" w:line="360" w:lineRule="auto"/>
        <w:ind w:firstLine="624" w:firstLineChars="300"/>
        <w:rPr>
          <w:rFonts w:asciiTheme="minorEastAsia" w:hAnsiTheme="minorEastAsia"/>
          <w:color w:val="auto"/>
          <w:szCs w:val="21"/>
          <w:highlight w:val="none"/>
        </w:rPr>
      </w:pPr>
      <w:r>
        <w:rPr>
          <w:rFonts w:cs="宋体" w:asciiTheme="minorEastAsia" w:hAnsiTheme="minorEastAsia"/>
          <w:color w:val="auto"/>
          <w:spacing w:val="-1"/>
          <w:szCs w:val="21"/>
          <w:highlight w:val="none"/>
        </w:rPr>
        <w:t>⑶响应供应商根据第一轮磋商情况和磋商文件修改书面通知，对原响应文件进行修正，并将修</w:t>
      </w:r>
      <w:r>
        <w:rPr>
          <w:rFonts w:cs="宋体" w:asciiTheme="minorEastAsia" w:hAnsiTheme="minorEastAsia"/>
          <w:color w:val="auto"/>
          <w:spacing w:val="-4"/>
          <w:szCs w:val="21"/>
          <w:highlight w:val="none"/>
        </w:rPr>
        <w:t>正文件签字后密封送交磋商小组。逾时不交的，视同放弃磋商。修正文件与响应文件同具法律效力。</w:t>
      </w:r>
    </w:p>
    <w:p>
      <w:pPr>
        <w:spacing w:after="0" w:line="360" w:lineRule="auto"/>
        <w:ind w:firstLine="420" w:firstLineChars="200"/>
        <w:rPr>
          <w:rFonts w:asciiTheme="minorEastAsia" w:hAnsiTheme="minorEastAsia"/>
          <w:color w:val="auto"/>
          <w:szCs w:val="21"/>
          <w:highlight w:val="none"/>
        </w:rPr>
      </w:pPr>
      <w:r>
        <w:rPr>
          <w:rFonts w:cs="宋体" w:asciiTheme="minorEastAsia" w:hAnsiTheme="minorEastAsia"/>
          <w:color w:val="auto"/>
          <w:szCs w:val="21"/>
          <w:highlight w:val="none"/>
        </w:rPr>
        <w:t>13.4第二轮磋商</w:t>
      </w:r>
      <w:bookmarkStart w:id="50" w:name="13"/>
      <w:bookmarkEnd w:id="50"/>
    </w:p>
    <w:p>
      <w:pPr>
        <w:spacing w:after="0" w:line="360" w:lineRule="auto"/>
        <w:ind w:firstLine="416" w:firstLineChars="200"/>
        <w:rPr>
          <w:rFonts w:asciiTheme="minorEastAsia" w:hAnsiTheme="minorEastAsia"/>
          <w:color w:val="auto"/>
          <w:szCs w:val="21"/>
          <w:highlight w:val="none"/>
        </w:rPr>
      </w:pPr>
      <w:r>
        <w:rPr>
          <w:rFonts w:cs="宋体" w:asciiTheme="minorEastAsia" w:hAnsiTheme="minorEastAsia"/>
          <w:color w:val="auto"/>
          <w:spacing w:val="-1"/>
          <w:szCs w:val="21"/>
          <w:highlight w:val="none"/>
        </w:rPr>
        <w:t>磋商小组就修正后的磋商文件与响应供应商分别进行磋商。采购代理机构对磋商过程和重要磋商内容进行记录，磋商双方在记录上签字确认。磋商小组按磋商文件设定的方法和标准确定成交候选人。</w:t>
      </w:r>
    </w:p>
    <w:p>
      <w:pPr>
        <w:spacing w:after="0" w:line="360" w:lineRule="auto"/>
        <w:ind w:firstLine="416" w:firstLineChars="200"/>
        <w:rPr>
          <w:rFonts w:asciiTheme="minorEastAsia" w:hAnsiTheme="minorEastAsia"/>
          <w:color w:val="auto"/>
          <w:szCs w:val="21"/>
          <w:highlight w:val="none"/>
        </w:rPr>
      </w:pPr>
      <w:r>
        <w:rPr>
          <w:rFonts w:cs="宋体" w:asciiTheme="minorEastAsia" w:hAnsiTheme="minorEastAsia"/>
          <w:color w:val="auto"/>
          <w:spacing w:val="-1"/>
          <w:szCs w:val="21"/>
          <w:highlight w:val="none"/>
        </w:rPr>
        <w:t>第二轮磋商磋商小组未能确定成交候选人的，对磋商文件修正后进行第三轮磋商。以此类推。</w:t>
      </w:r>
    </w:p>
    <w:p>
      <w:pPr>
        <w:spacing w:after="0" w:line="360" w:lineRule="auto"/>
        <w:ind w:firstLine="420" w:firstLineChars="200"/>
        <w:rPr>
          <w:rFonts w:asciiTheme="minorEastAsia" w:hAnsiTheme="minorEastAsia"/>
          <w:color w:val="auto"/>
          <w:szCs w:val="21"/>
          <w:highlight w:val="none"/>
        </w:rPr>
      </w:pPr>
      <w:r>
        <w:rPr>
          <w:rFonts w:cs="宋体" w:asciiTheme="minorEastAsia" w:hAnsiTheme="minorEastAsia"/>
          <w:color w:val="auto"/>
          <w:szCs w:val="21"/>
          <w:highlight w:val="none"/>
        </w:rPr>
        <w:t>13.5最后报价</w:t>
      </w:r>
    </w:p>
    <w:p>
      <w:pPr>
        <w:spacing w:after="0" w:line="360" w:lineRule="auto"/>
        <w:ind w:firstLine="420" w:firstLineChars="200"/>
        <w:rPr>
          <w:rFonts w:asciiTheme="minorEastAsia" w:hAnsiTheme="minorEastAsia"/>
          <w:color w:val="auto"/>
          <w:szCs w:val="21"/>
          <w:highlight w:val="none"/>
        </w:rPr>
      </w:pPr>
      <w:r>
        <w:rPr>
          <w:rFonts w:cs="宋体" w:asciiTheme="minorEastAsia" w:hAnsiTheme="minorEastAsia"/>
          <w:color w:val="auto"/>
          <w:szCs w:val="21"/>
          <w:highlight w:val="none"/>
        </w:rPr>
        <w:t>13.5.1</w:t>
      </w:r>
      <w:r>
        <w:rPr>
          <w:rFonts w:cs="宋体" w:asciiTheme="minorEastAsia" w:hAnsiTheme="minorEastAsia"/>
          <w:color w:val="auto"/>
          <w:spacing w:val="-3"/>
          <w:szCs w:val="21"/>
          <w:highlight w:val="none"/>
        </w:rPr>
        <w:t>磋商文件能够详细列明采购标的的技术、服务要求的，磋商结束后，磋商小组应当要求所有继续参加磋商的供应商在规定时间内密封提交最后报价，提交最后报价的供应商不得少于</w:t>
      </w:r>
      <w:r>
        <w:rPr>
          <w:rFonts w:cs="Calibri" w:asciiTheme="minorEastAsia" w:hAnsiTheme="minorEastAsia"/>
          <w:color w:val="auto"/>
          <w:spacing w:val="-10"/>
          <w:szCs w:val="21"/>
          <w:highlight w:val="none"/>
        </w:rPr>
        <w:t> </w:t>
      </w:r>
      <w:r>
        <w:rPr>
          <w:rFonts w:cs="宋体" w:asciiTheme="minorEastAsia" w:hAnsiTheme="minorEastAsia"/>
          <w:color w:val="auto"/>
          <w:spacing w:val="-1"/>
          <w:szCs w:val="21"/>
          <w:highlight w:val="none"/>
        </w:rPr>
        <w:t>3</w:t>
      </w:r>
      <w:r>
        <w:rPr>
          <w:rFonts w:cs="Calibri" w:asciiTheme="minorEastAsia" w:hAnsiTheme="minorEastAsia"/>
          <w:color w:val="auto"/>
          <w:spacing w:val="-13"/>
          <w:szCs w:val="21"/>
          <w:highlight w:val="none"/>
        </w:rPr>
        <w:t> </w:t>
      </w:r>
      <w:r>
        <w:rPr>
          <w:rFonts w:cs="宋体" w:asciiTheme="minorEastAsia" w:hAnsiTheme="minorEastAsia"/>
          <w:color w:val="auto"/>
          <w:szCs w:val="21"/>
          <w:highlight w:val="none"/>
        </w:rPr>
        <w:t>家。</w:t>
      </w:r>
    </w:p>
    <w:p>
      <w:pPr>
        <w:spacing w:after="0" w:line="360" w:lineRule="auto"/>
        <w:ind w:firstLine="420" w:firstLineChars="200"/>
        <w:rPr>
          <w:rFonts w:asciiTheme="minorEastAsia" w:hAnsiTheme="minorEastAsia"/>
          <w:color w:val="auto"/>
          <w:szCs w:val="21"/>
          <w:highlight w:val="none"/>
        </w:rPr>
      </w:pPr>
      <w:r>
        <w:rPr>
          <w:rFonts w:cs="宋体" w:asciiTheme="minorEastAsia" w:hAnsiTheme="minorEastAsia"/>
          <w:color w:val="auto"/>
          <w:szCs w:val="21"/>
          <w:highlight w:val="none"/>
        </w:rPr>
        <w:t>13.5.2</w:t>
      </w:r>
      <w:r>
        <w:rPr>
          <w:rFonts w:cs="宋体" w:asciiTheme="minorEastAsia" w:hAnsiTheme="minorEastAsia"/>
          <w:color w:val="auto"/>
          <w:spacing w:val="-3"/>
          <w:szCs w:val="21"/>
          <w:highlight w:val="none"/>
        </w:rPr>
        <w:t>磋商文件不能详细列明采购标的的技术、服务要求，需经磋商由供应商提供最终设计方</w:t>
      </w:r>
      <w:r>
        <w:rPr>
          <w:rFonts w:cs="宋体" w:asciiTheme="minorEastAsia" w:hAnsiTheme="minorEastAsia"/>
          <w:color w:val="auto"/>
          <w:spacing w:val="-1"/>
          <w:szCs w:val="21"/>
          <w:highlight w:val="none"/>
        </w:rPr>
        <w:t>案或解决方案的，磋商结束后，磋商小组应当按照少数服从多数的原则投票推荐</w:t>
      </w:r>
      <w:r>
        <w:rPr>
          <w:rFonts w:cs="Calibri" w:asciiTheme="minorEastAsia" w:hAnsiTheme="minorEastAsia"/>
          <w:color w:val="auto"/>
          <w:spacing w:val="4"/>
          <w:szCs w:val="21"/>
          <w:highlight w:val="none"/>
        </w:rPr>
        <w:t> </w:t>
      </w:r>
      <w:r>
        <w:rPr>
          <w:rFonts w:cs="宋体" w:asciiTheme="minorEastAsia" w:hAnsiTheme="minorEastAsia"/>
          <w:color w:val="auto"/>
          <w:spacing w:val="-1"/>
          <w:szCs w:val="21"/>
          <w:highlight w:val="none"/>
        </w:rPr>
        <w:t>3</w:t>
      </w:r>
      <w:r>
        <w:rPr>
          <w:rFonts w:cs="Calibri" w:asciiTheme="minorEastAsia" w:hAnsiTheme="minorEastAsia"/>
          <w:color w:val="auto"/>
          <w:spacing w:val="5"/>
          <w:szCs w:val="21"/>
          <w:highlight w:val="none"/>
        </w:rPr>
        <w:t> </w:t>
      </w:r>
      <w:r>
        <w:rPr>
          <w:rFonts w:cs="宋体" w:asciiTheme="minorEastAsia" w:hAnsiTheme="minorEastAsia"/>
          <w:color w:val="auto"/>
          <w:spacing w:val="-1"/>
          <w:szCs w:val="21"/>
          <w:highlight w:val="none"/>
        </w:rPr>
        <w:t>家以上供应商的设计方案或者解决方案，并要求其在规定时间内密封提交最后报价。</w:t>
      </w:r>
    </w:p>
    <w:p>
      <w:pPr>
        <w:spacing w:after="0" w:line="360" w:lineRule="auto"/>
        <w:ind w:firstLine="420" w:firstLineChars="200"/>
        <w:rPr>
          <w:rFonts w:asciiTheme="minorEastAsia" w:hAnsiTheme="minorEastAsia"/>
          <w:color w:val="auto"/>
          <w:szCs w:val="21"/>
          <w:highlight w:val="none"/>
        </w:rPr>
      </w:pPr>
      <w:r>
        <w:rPr>
          <w:rFonts w:cs="宋体" w:asciiTheme="minorEastAsia" w:hAnsiTheme="minorEastAsia"/>
          <w:color w:val="auto"/>
          <w:szCs w:val="21"/>
          <w:highlight w:val="none"/>
        </w:rPr>
        <w:t>13.5.3</w:t>
      </w:r>
      <w:r>
        <w:rPr>
          <w:rFonts w:cs="宋体" w:asciiTheme="minorEastAsia" w:hAnsiTheme="minorEastAsia"/>
          <w:color w:val="auto"/>
          <w:spacing w:val="-1"/>
          <w:szCs w:val="21"/>
          <w:highlight w:val="none"/>
        </w:rPr>
        <w:t>最后报价是供应商响应文件的有效组成部分。</w:t>
      </w:r>
    </w:p>
    <w:p>
      <w:pPr>
        <w:spacing w:after="0" w:line="360" w:lineRule="auto"/>
        <w:ind w:firstLine="420" w:firstLineChars="200"/>
        <w:rPr>
          <w:rFonts w:asciiTheme="minorEastAsia" w:hAnsiTheme="minorEastAsia"/>
          <w:color w:val="auto"/>
          <w:szCs w:val="21"/>
          <w:highlight w:val="none"/>
        </w:rPr>
      </w:pPr>
      <w:r>
        <w:rPr>
          <w:rFonts w:cs="宋体" w:asciiTheme="minorEastAsia" w:hAnsiTheme="minorEastAsia"/>
          <w:color w:val="auto"/>
          <w:szCs w:val="21"/>
          <w:highlight w:val="none"/>
        </w:rPr>
        <w:t>13.5.4</w:t>
      </w:r>
      <w:r>
        <w:rPr>
          <w:rFonts w:cs="宋体" w:asciiTheme="minorEastAsia" w:hAnsiTheme="minorEastAsia"/>
          <w:color w:val="auto"/>
          <w:spacing w:val="-1"/>
          <w:szCs w:val="21"/>
          <w:highlight w:val="none"/>
        </w:rPr>
        <w:t>已经提交响应文件的供应商，在提交最后报价之前，如有变动磋商文件中的其他内容可以根据磋商情况退出磋商。</w:t>
      </w:r>
    </w:p>
    <w:p>
      <w:pPr>
        <w:spacing w:after="0" w:line="360" w:lineRule="auto"/>
        <w:ind w:firstLine="420" w:firstLineChars="200"/>
        <w:rPr>
          <w:rFonts w:asciiTheme="minorEastAsia" w:hAnsiTheme="minorEastAsia"/>
          <w:color w:val="auto"/>
          <w:szCs w:val="21"/>
          <w:highlight w:val="none"/>
        </w:rPr>
      </w:pPr>
      <w:r>
        <w:rPr>
          <w:rFonts w:cs="宋体" w:asciiTheme="minorEastAsia" w:hAnsiTheme="minorEastAsia"/>
          <w:color w:val="auto"/>
          <w:szCs w:val="21"/>
          <w:highlight w:val="none"/>
        </w:rPr>
        <w:t>13.5.5</w:t>
      </w:r>
      <w:r>
        <w:rPr>
          <w:rFonts w:cs="宋体" w:asciiTheme="minorEastAsia" w:hAnsiTheme="minorEastAsia"/>
          <w:color w:val="auto"/>
          <w:spacing w:val="-3"/>
          <w:szCs w:val="21"/>
          <w:highlight w:val="none"/>
        </w:rPr>
        <w:t>综合评分：经磋商确定最终采购需求和提交最后报价的供应商后，由磋商小组采用综合</w:t>
      </w:r>
      <w:r>
        <w:rPr>
          <w:rFonts w:cs="宋体" w:asciiTheme="minorEastAsia" w:hAnsiTheme="minorEastAsia"/>
          <w:color w:val="auto"/>
          <w:spacing w:val="-1"/>
          <w:szCs w:val="21"/>
          <w:highlight w:val="none"/>
        </w:rPr>
        <w:t>评分法对提交最后报价的供应商的响应文件和最后报价进行综合评分。</w:t>
      </w:r>
    </w:p>
    <w:p>
      <w:pPr>
        <w:spacing w:after="0" w:line="360" w:lineRule="auto"/>
        <w:ind w:firstLine="420" w:firstLineChars="200"/>
        <w:rPr>
          <w:rFonts w:asciiTheme="minorEastAsia" w:hAnsiTheme="minorEastAsia"/>
          <w:color w:val="auto"/>
          <w:szCs w:val="21"/>
          <w:highlight w:val="none"/>
        </w:rPr>
      </w:pPr>
      <w:r>
        <w:rPr>
          <w:rFonts w:cs="宋体" w:asciiTheme="minorEastAsia" w:hAnsiTheme="minorEastAsia"/>
          <w:color w:val="auto"/>
          <w:szCs w:val="21"/>
          <w:highlight w:val="none"/>
        </w:rPr>
        <w:t>磋商小组应当根据综合评分情况，按照评审得分由高到低顺序推荐</w:t>
      </w:r>
      <w:r>
        <w:rPr>
          <w:rFonts w:cs="Calibri" w:asciiTheme="minorEastAsia" w:hAnsiTheme="minorEastAsia"/>
          <w:color w:val="auto"/>
          <w:spacing w:val="6"/>
          <w:szCs w:val="21"/>
          <w:highlight w:val="none"/>
        </w:rPr>
        <w:t> </w:t>
      </w:r>
      <w:r>
        <w:rPr>
          <w:rFonts w:cs="宋体" w:asciiTheme="minorEastAsia" w:hAnsiTheme="minorEastAsia"/>
          <w:color w:val="auto"/>
          <w:spacing w:val="-1"/>
          <w:szCs w:val="21"/>
          <w:highlight w:val="none"/>
        </w:rPr>
        <w:t>3</w:t>
      </w:r>
      <w:r>
        <w:rPr>
          <w:rFonts w:cs="Calibri" w:asciiTheme="minorEastAsia" w:hAnsiTheme="minorEastAsia"/>
          <w:color w:val="auto"/>
          <w:spacing w:val="7"/>
          <w:szCs w:val="21"/>
          <w:highlight w:val="none"/>
        </w:rPr>
        <w:t> </w:t>
      </w:r>
      <w:r>
        <w:rPr>
          <w:rFonts w:cs="宋体" w:asciiTheme="minorEastAsia" w:hAnsiTheme="minorEastAsia"/>
          <w:color w:val="auto"/>
          <w:szCs w:val="21"/>
          <w:highlight w:val="none"/>
        </w:rPr>
        <w:t>名成交候选供应商，并</w:t>
      </w:r>
      <w:r>
        <w:rPr>
          <w:rFonts w:cs="宋体" w:asciiTheme="minorEastAsia" w:hAnsiTheme="minorEastAsia"/>
          <w:color w:val="auto"/>
          <w:spacing w:val="-2"/>
          <w:szCs w:val="21"/>
          <w:highlight w:val="none"/>
        </w:rPr>
        <w:t>编</w:t>
      </w:r>
      <w:r>
        <w:rPr>
          <w:rFonts w:cs="宋体" w:asciiTheme="minorEastAsia" w:hAnsiTheme="minorEastAsia"/>
          <w:color w:val="auto"/>
          <w:szCs w:val="21"/>
          <w:highlight w:val="none"/>
        </w:rPr>
        <w:t>写评审报告。符合《政府采购竞争性磋商采购方式管理暂行办法》（财库﹝2014﹞214</w:t>
      </w:r>
      <w:r>
        <w:rPr>
          <w:rFonts w:cs="Calibri" w:asciiTheme="minorEastAsia" w:hAnsiTheme="minorEastAsia"/>
          <w:color w:val="auto"/>
          <w:spacing w:val="3"/>
          <w:szCs w:val="21"/>
          <w:highlight w:val="none"/>
        </w:rPr>
        <w:t> </w:t>
      </w:r>
      <w:r>
        <w:rPr>
          <w:rFonts w:cs="宋体" w:asciiTheme="minorEastAsia" w:hAnsiTheme="minorEastAsia"/>
          <w:color w:val="auto"/>
          <w:szCs w:val="21"/>
          <w:highlight w:val="none"/>
        </w:rPr>
        <w:t>号）第二十一条第三款情形和财库〔2015〕124</w:t>
      </w:r>
      <w:r>
        <w:rPr>
          <w:rFonts w:cs="Calibri" w:asciiTheme="minorEastAsia" w:hAnsiTheme="minorEastAsia"/>
          <w:color w:val="auto"/>
          <w:spacing w:val="5"/>
          <w:szCs w:val="21"/>
          <w:highlight w:val="none"/>
        </w:rPr>
        <w:t> </w:t>
      </w:r>
      <w:r>
        <w:rPr>
          <w:rFonts w:cs="宋体" w:asciiTheme="minorEastAsia" w:hAnsiTheme="minorEastAsia"/>
          <w:color w:val="auto"/>
          <w:szCs w:val="21"/>
          <w:highlight w:val="none"/>
        </w:rPr>
        <w:t>号的，可以推荐</w:t>
      </w:r>
      <w:r>
        <w:rPr>
          <w:rFonts w:cs="Calibri" w:asciiTheme="minorEastAsia" w:hAnsiTheme="minorEastAsia"/>
          <w:color w:val="auto"/>
          <w:spacing w:val="6"/>
          <w:szCs w:val="21"/>
          <w:highlight w:val="none"/>
        </w:rPr>
        <w:t> </w:t>
      </w:r>
      <w:r>
        <w:rPr>
          <w:rFonts w:cs="宋体" w:asciiTheme="minorEastAsia" w:hAnsiTheme="minorEastAsia"/>
          <w:color w:val="auto"/>
          <w:spacing w:val="-1"/>
          <w:szCs w:val="21"/>
          <w:highlight w:val="none"/>
        </w:rPr>
        <w:t>3</w:t>
      </w:r>
      <w:r>
        <w:rPr>
          <w:rFonts w:cs="Calibri" w:asciiTheme="minorEastAsia" w:hAnsiTheme="minorEastAsia"/>
          <w:color w:val="auto"/>
          <w:spacing w:val="5"/>
          <w:szCs w:val="21"/>
          <w:highlight w:val="none"/>
        </w:rPr>
        <w:t> </w:t>
      </w:r>
      <w:r>
        <w:rPr>
          <w:rFonts w:cs="宋体" w:asciiTheme="minorEastAsia" w:hAnsiTheme="minorEastAsia"/>
          <w:color w:val="auto"/>
          <w:szCs w:val="21"/>
          <w:highlight w:val="none"/>
        </w:rPr>
        <w:t>家成交候选供应商。评审得分相同的，按照</w:t>
      </w:r>
      <w:r>
        <w:rPr>
          <w:rFonts w:cs="宋体" w:asciiTheme="minorEastAsia" w:hAnsiTheme="minorEastAsia"/>
          <w:color w:val="auto"/>
          <w:spacing w:val="-1"/>
          <w:szCs w:val="21"/>
          <w:highlight w:val="none"/>
        </w:rPr>
        <w:t>最后报价由低到高的顺序推荐。评审得分且最后报价相同的，则按照</w:t>
      </w:r>
      <w:r>
        <w:rPr>
          <w:rFonts w:hint="eastAsia" w:cs="宋体" w:asciiTheme="minorEastAsia" w:hAnsiTheme="minorEastAsia"/>
          <w:color w:val="auto"/>
          <w:spacing w:val="-1"/>
          <w:szCs w:val="21"/>
          <w:highlight w:val="none"/>
        </w:rPr>
        <w:t>监理大纲</w:t>
      </w:r>
      <w:r>
        <w:rPr>
          <w:rFonts w:cs="宋体" w:asciiTheme="minorEastAsia" w:hAnsiTheme="minorEastAsia"/>
          <w:color w:val="auto"/>
          <w:spacing w:val="-1"/>
          <w:szCs w:val="21"/>
          <w:highlight w:val="none"/>
        </w:rPr>
        <w:t>（技术方案）优劣顺序推荐。</w:t>
      </w:r>
    </w:p>
    <w:p>
      <w:pPr>
        <w:spacing w:after="0" w:line="360" w:lineRule="auto"/>
        <w:ind w:firstLine="420" w:firstLineChars="200"/>
        <w:rPr>
          <w:rFonts w:asciiTheme="minorEastAsia" w:hAnsiTheme="minorEastAsia"/>
          <w:color w:val="auto"/>
          <w:szCs w:val="21"/>
          <w:highlight w:val="none"/>
        </w:rPr>
      </w:pPr>
      <w:r>
        <w:rPr>
          <w:rFonts w:cs="宋体" w:asciiTheme="minorEastAsia" w:hAnsiTheme="minorEastAsia"/>
          <w:color w:val="auto"/>
          <w:szCs w:val="21"/>
          <w:highlight w:val="none"/>
        </w:rPr>
        <w:t>13.6</w:t>
      </w:r>
      <w:r>
        <w:rPr>
          <w:rFonts w:cs="Calibri" w:asciiTheme="minorEastAsia" w:hAnsiTheme="minorEastAsia"/>
          <w:color w:val="auto"/>
          <w:spacing w:val="3"/>
          <w:szCs w:val="21"/>
          <w:highlight w:val="none"/>
        </w:rPr>
        <w:t> </w:t>
      </w:r>
      <w:r>
        <w:rPr>
          <w:rFonts w:cs="宋体" w:asciiTheme="minorEastAsia" w:hAnsiTheme="minorEastAsia"/>
          <w:color w:val="auto"/>
          <w:spacing w:val="-1"/>
          <w:szCs w:val="21"/>
          <w:highlight w:val="none"/>
        </w:rPr>
        <w:t>响应供应商的报价均超过了采购预算，采购人不能支付的，磋商活动终止。</w:t>
      </w:r>
    </w:p>
    <w:p>
      <w:pPr>
        <w:spacing w:after="0" w:line="360" w:lineRule="auto"/>
        <w:ind w:firstLine="420" w:firstLineChars="200"/>
        <w:rPr>
          <w:rFonts w:asciiTheme="minorEastAsia" w:hAnsiTheme="minorEastAsia"/>
          <w:color w:val="auto"/>
          <w:szCs w:val="21"/>
          <w:highlight w:val="none"/>
        </w:rPr>
      </w:pPr>
      <w:r>
        <w:rPr>
          <w:rFonts w:cs="宋体" w:asciiTheme="minorEastAsia" w:hAnsiTheme="minorEastAsia"/>
          <w:color w:val="auto"/>
          <w:szCs w:val="21"/>
          <w:highlight w:val="none"/>
        </w:rPr>
        <w:t>13.7</w:t>
      </w:r>
      <w:r>
        <w:rPr>
          <w:rFonts w:cs="Calibri" w:asciiTheme="minorEastAsia" w:hAnsiTheme="minorEastAsia"/>
          <w:color w:val="auto"/>
          <w:spacing w:val="3"/>
          <w:szCs w:val="21"/>
          <w:highlight w:val="none"/>
        </w:rPr>
        <w:t> </w:t>
      </w:r>
      <w:r>
        <w:rPr>
          <w:rFonts w:cs="宋体" w:asciiTheme="minorEastAsia" w:hAnsiTheme="minorEastAsia"/>
          <w:color w:val="auto"/>
          <w:spacing w:val="-3"/>
          <w:szCs w:val="21"/>
          <w:highlight w:val="none"/>
        </w:rPr>
        <w:t>在评标过程中出现法律法规和磋商文件均没有明确规定的情形时，由磋商小组现场协商解</w:t>
      </w:r>
      <w:r>
        <w:rPr>
          <w:rFonts w:cs="宋体" w:asciiTheme="minorEastAsia" w:hAnsiTheme="minorEastAsia"/>
          <w:color w:val="auto"/>
          <w:spacing w:val="-1"/>
          <w:szCs w:val="21"/>
          <w:highlight w:val="none"/>
        </w:rPr>
        <w:t>决，协商不一致的，由全体磋商小组投票表决，以得票率半数以上专家的意见为准。</w:t>
      </w:r>
    </w:p>
    <w:p>
      <w:pPr>
        <w:spacing w:after="0" w:line="360" w:lineRule="auto"/>
        <w:ind w:firstLine="420" w:firstLineChars="200"/>
        <w:rPr>
          <w:rFonts w:asciiTheme="minorEastAsia" w:hAnsiTheme="minorEastAsia"/>
          <w:color w:val="auto"/>
          <w:szCs w:val="21"/>
          <w:highlight w:val="none"/>
        </w:rPr>
      </w:pPr>
      <w:r>
        <w:rPr>
          <w:rFonts w:cs="宋体" w:asciiTheme="minorEastAsia" w:hAnsiTheme="minorEastAsia"/>
          <w:color w:val="auto"/>
          <w:szCs w:val="21"/>
          <w:highlight w:val="none"/>
        </w:rPr>
        <w:t>13.8</w:t>
      </w:r>
      <w:r>
        <w:rPr>
          <w:rFonts w:cs="Calibri" w:asciiTheme="minorEastAsia" w:hAnsiTheme="minorEastAsia"/>
          <w:color w:val="auto"/>
          <w:spacing w:val="3"/>
          <w:szCs w:val="21"/>
          <w:highlight w:val="none"/>
        </w:rPr>
        <w:t> </w:t>
      </w:r>
      <w:r>
        <w:rPr>
          <w:rFonts w:cs="宋体" w:asciiTheme="minorEastAsia" w:hAnsiTheme="minorEastAsia"/>
          <w:color w:val="auto"/>
          <w:spacing w:val="-1"/>
          <w:szCs w:val="21"/>
          <w:highlight w:val="none"/>
        </w:rPr>
        <w:t>特别说明：</w:t>
      </w:r>
    </w:p>
    <w:p>
      <w:pPr>
        <w:spacing w:after="0" w:line="360" w:lineRule="auto"/>
        <w:ind w:firstLine="416" w:firstLineChars="200"/>
        <w:rPr>
          <w:rFonts w:asciiTheme="minorEastAsia" w:hAnsiTheme="minorEastAsia"/>
          <w:color w:val="auto"/>
          <w:szCs w:val="21"/>
          <w:highlight w:val="none"/>
        </w:rPr>
      </w:pPr>
      <w:r>
        <w:rPr>
          <w:rFonts w:cs="宋体" w:asciiTheme="minorEastAsia" w:hAnsiTheme="minorEastAsia"/>
          <w:color w:val="auto"/>
          <w:spacing w:val="-1"/>
          <w:szCs w:val="21"/>
          <w:highlight w:val="none"/>
        </w:rPr>
        <w:t>1.供应商</w:t>
      </w:r>
      <w:r>
        <w:rPr>
          <w:rFonts w:hint="eastAsia" w:cs="宋体" w:asciiTheme="minorEastAsia" w:hAnsiTheme="minorEastAsia"/>
          <w:color w:val="auto"/>
          <w:spacing w:val="-1"/>
          <w:szCs w:val="21"/>
          <w:highlight w:val="none"/>
        </w:rPr>
        <w:t>磋商</w:t>
      </w:r>
      <w:r>
        <w:rPr>
          <w:rFonts w:cs="宋体" w:asciiTheme="minorEastAsia" w:hAnsiTheme="minorEastAsia"/>
          <w:color w:val="auto"/>
          <w:spacing w:val="-1"/>
          <w:szCs w:val="21"/>
          <w:highlight w:val="none"/>
        </w:rPr>
        <w:t>所使用的资格、信誉、荣誉、业绩与企业认证必须为本法人所拥有（特殊要求除外）。供应商</w:t>
      </w:r>
      <w:r>
        <w:rPr>
          <w:rFonts w:hint="eastAsia" w:cs="宋体" w:asciiTheme="minorEastAsia" w:hAnsiTheme="minorEastAsia"/>
          <w:color w:val="auto"/>
          <w:spacing w:val="-1"/>
          <w:szCs w:val="21"/>
          <w:highlight w:val="none"/>
        </w:rPr>
        <w:t>磋商</w:t>
      </w:r>
      <w:r>
        <w:rPr>
          <w:rFonts w:cs="宋体" w:asciiTheme="minorEastAsia" w:hAnsiTheme="minorEastAsia"/>
          <w:color w:val="auto"/>
          <w:spacing w:val="-1"/>
          <w:szCs w:val="21"/>
          <w:highlight w:val="none"/>
        </w:rPr>
        <w:t>所使用的采购项目实施人员必须为本法人员工（或必须为本法人或控股公司正式员工）。</w:t>
      </w:r>
    </w:p>
    <w:p>
      <w:pPr>
        <w:spacing w:after="0" w:line="360" w:lineRule="auto"/>
        <w:ind w:firstLine="416" w:firstLineChars="200"/>
        <w:rPr>
          <w:rFonts w:asciiTheme="minorEastAsia" w:hAnsiTheme="minorEastAsia"/>
          <w:color w:val="auto"/>
          <w:szCs w:val="21"/>
          <w:highlight w:val="none"/>
        </w:rPr>
      </w:pPr>
      <w:r>
        <w:rPr>
          <w:rFonts w:cs="宋体" w:asciiTheme="minorEastAsia" w:hAnsiTheme="minorEastAsia"/>
          <w:color w:val="auto"/>
          <w:spacing w:val="-1"/>
          <w:szCs w:val="21"/>
          <w:highlight w:val="none"/>
        </w:rPr>
        <w:t>2.供应商应仔细阅读竞争性磋商文件的所有内容，按照竞争性磋商文件的要求提交响应文件，并对所提供的全部资料的真实性承担法律责任。</w:t>
      </w:r>
      <w:bookmarkStart w:id="51" w:name="14"/>
      <w:bookmarkEnd w:id="51"/>
    </w:p>
    <w:p>
      <w:pPr>
        <w:spacing w:after="0" w:line="360" w:lineRule="auto"/>
        <w:ind w:firstLine="416" w:firstLineChars="200"/>
        <w:rPr>
          <w:rFonts w:asciiTheme="minorEastAsia" w:hAnsiTheme="minorEastAsia"/>
          <w:color w:val="auto"/>
          <w:szCs w:val="21"/>
          <w:highlight w:val="none"/>
        </w:rPr>
      </w:pPr>
      <w:r>
        <w:rPr>
          <w:rFonts w:cs="宋体" w:asciiTheme="minorEastAsia" w:hAnsiTheme="minorEastAsia"/>
          <w:color w:val="auto"/>
          <w:spacing w:val="-1"/>
          <w:szCs w:val="21"/>
          <w:highlight w:val="none"/>
        </w:rPr>
        <w:t>3.供应商在磋商活动中提供任何虚假材料，其磋商无效，并报监管部门查处；成交后发现的，</w:t>
      </w:r>
      <w:r>
        <w:rPr>
          <w:rFonts w:cs="宋体" w:asciiTheme="minorEastAsia" w:hAnsiTheme="minorEastAsia"/>
          <w:color w:val="auto"/>
          <w:spacing w:val="-4"/>
          <w:szCs w:val="21"/>
          <w:highlight w:val="none"/>
        </w:rPr>
        <w:t>成交供应商须依照《中华人民共和国消费者权益保护法》第五十五条第一款之规定三倍赔偿采购人，</w:t>
      </w:r>
      <w:r>
        <w:rPr>
          <w:rFonts w:cs="宋体" w:asciiTheme="minorEastAsia" w:hAnsiTheme="minorEastAsia"/>
          <w:color w:val="auto"/>
          <w:spacing w:val="-1"/>
          <w:szCs w:val="21"/>
          <w:highlight w:val="none"/>
        </w:rPr>
        <w:t>且民事赔偿并不免除违法供应商的行政与刑事责任。</w:t>
      </w:r>
    </w:p>
    <w:p>
      <w:pPr>
        <w:spacing w:after="0" w:line="360" w:lineRule="auto"/>
        <w:ind w:firstLine="420" w:firstLineChars="200"/>
        <w:rPr>
          <w:rFonts w:asciiTheme="minorEastAsia" w:hAnsiTheme="minorEastAsia"/>
          <w:color w:val="auto"/>
          <w:szCs w:val="21"/>
          <w:highlight w:val="none"/>
        </w:rPr>
      </w:pPr>
      <w:r>
        <w:rPr>
          <w:rFonts w:cs="宋体" w:asciiTheme="minorEastAsia" w:hAnsiTheme="minorEastAsia"/>
          <w:color w:val="auto"/>
          <w:szCs w:val="21"/>
          <w:highlight w:val="none"/>
        </w:rPr>
        <w:t>13.9</w:t>
      </w:r>
      <w:r>
        <w:rPr>
          <w:rFonts w:cs="Calibri" w:asciiTheme="minorEastAsia" w:hAnsiTheme="minorEastAsia"/>
          <w:color w:val="auto"/>
          <w:spacing w:val="3"/>
          <w:szCs w:val="21"/>
          <w:highlight w:val="none"/>
        </w:rPr>
        <w:t> </w:t>
      </w:r>
      <w:r>
        <w:rPr>
          <w:rFonts w:cs="宋体" w:asciiTheme="minorEastAsia" w:hAnsiTheme="minorEastAsia"/>
          <w:color w:val="auto"/>
          <w:spacing w:val="-1"/>
          <w:szCs w:val="21"/>
          <w:highlight w:val="none"/>
        </w:rPr>
        <w:t>低于成本报价</w:t>
      </w:r>
    </w:p>
    <w:p>
      <w:pPr>
        <w:spacing w:after="0" w:line="360" w:lineRule="auto"/>
        <w:ind w:firstLine="416" w:firstLineChars="200"/>
        <w:rPr>
          <w:rFonts w:asciiTheme="minorEastAsia" w:hAnsiTheme="minorEastAsia"/>
          <w:color w:val="auto"/>
          <w:szCs w:val="21"/>
          <w:highlight w:val="none"/>
        </w:rPr>
      </w:pPr>
      <w:r>
        <w:rPr>
          <w:rFonts w:cs="宋体" w:asciiTheme="minorEastAsia" w:hAnsiTheme="minorEastAsia"/>
          <w:color w:val="auto"/>
          <w:spacing w:val="-1"/>
          <w:szCs w:val="21"/>
          <w:highlight w:val="none"/>
        </w:rPr>
        <w:t>磋商小组在评审过程中发现供应商的总报价明显低于其他供应商的总报价或者明显低于采购预算价，有理由怀疑其总报价可能低于其成本的，应当要求该供应商做出书面说明并提供相关证明材料。供应商不能合理说明或者不能提供相关证明材料的，视作该供应商以低于成本报价磋商，其磋商无效。</w:t>
      </w:r>
    </w:p>
    <w:p>
      <w:pPr>
        <w:spacing w:after="0" w:line="360" w:lineRule="auto"/>
        <w:ind w:firstLine="416" w:firstLineChars="200"/>
        <w:rPr>
          <w:rFonts w:asciiTheme="minorEastAsia" w:hAnsiTheme="minorEastAsia"/>
          <w:color w:val="auto"/>
          <w:szCs w:val="21"/>
          <w:highlight w:val="none"/>
        </w:rPr>
      </w:pPr>
      <w:r>
        <w:rPr>
          <w:rFonts w:cs="宋体" w:asciiTheme="minorEastAsia" w:hAnsiTheme="minorEastAsia"/>
          <w:color w:val="auto"/>
          <w:spacing w:val="-1"/>
          <w:szCs w:val="21"/>
          <w:highlight w:val="none"/>
        </w:rPr>
        <w:t>13.10最终磋商结束后，磋商小组不得再与供应商进行任何形式的商谈。</w:t>
      </w:r>
    </w:p>
    <w:p>
      <w:pPr>
        <w:spacing w:after="0" w:line="360" w:lineRule="auto"/>
        <w:rPr>
          <w:rFonts w:asciiTheme="minorEastAsia" w:hAnsiTheme="minorEastAsia"/>
          <w:b/>
          <w:color w:val="auto"/>
          <w:szCs w:val="21"/>
          <w:highlight w:val="none"/>
        </w:rPr>
      </w:pPr>
      <w:r>
        <w:rPr>
          <w:rFonts w:cs="宋体" w:asciiTheme="minorEastAsia" w:hAnsiTheme="minorEastAsia"/>
          <w:b/>
          <w:color w:val="auto"/>
          <w:szCs w:val="21"/>
          <w:highlight w:val="none"/>
        </w:rPr>
        <w:t>六、确定成交供应商办法及结果公告</w:t>
      </w:r>
    </w:p>
    <w:p>
      <w:pPr>
        <w:spacing w:after="0" w:line="360" w:lineRule="auto"/>
        <w:ind w:firstLine="420" w:firstLineChars="200"/>
        <w:rPr>
          <w:rFonts w:asciiTheme="minorEastAsia" w:hAnsiTheme="minorEastAsia"/>
          <w:color w:val="auto"/>
          <w:szCs w:val="21"/>
          <w:highlight w:val="none"/>
        </w:rPr>
      </w:pPr>
      <w:r>
        <w:rPr>
          <w:rFonts w:cs="宋体" w:asciiTheme="minorEastAsia" w:hAnsiTheme="minorEastAsia"/>
          <w:color w:val="auto"/>
          <w:szCs w:val="21"/>
          <w:highlight w:val="none"/>
        </w:rPr>
        <w:t>14.1采购代理机构应当在评审结束后</w:t>
      </w:r>
      <w:r>
        <w:rPr>
          <w:rFonts w:cs="Calibri" w:asciiTheme="minorEastAsia" w:hAnsiTheme="minorEastAsia"/>
          <w:color w:val="auto"/>
          <w:spacing w:val="6"/>
          <w:szCs w:val="21"/>
          <w:highlight w:val="none"/>
        </w:rPr>
        <w:t> </w:t>
      </w:r>
      <w:r>
        <w:rPr>
          <w:rFonts w:cs="宋体" w:asciiTheme="minorEastAsia" w:hAnsiTheme="minorEastAsia"/>
          <w:color w:val="auto"/>
          <w:spacing w:val="-1"/>
          <w:szCs w:val="21"/>
          <w:highlight w:val="none"/>
        </w:rPr>
        <w:t>2</w:t>
      </w:r>
      <w:r>
        <w:rPr>
          <w:rFonts w:cs="Calibri" w:asciiTheme="minorEastAsia" w:hAnsiTheme="minorEastAsia"/>
          <w:color w:val="auto"/>
          <w:spacing w:val="5"/>
          <w:szCs w:val="21"/>
          <w:highlight w:val="none"/>
        </w:rPr>
        <w:t> </w:t>
      </w:r>
      <w:r>
        <w:rPr>
          <w:rFonts w:cs="宋体" w:asciiTheme="minorEastAsia" w:hAnsiTheme="minorEastAsia"/>
          <w:color w:val="auto"/>
          <w:szCs w:val="21"/>
          <w:highlight w:val="none"/>
        </w:rPr>
        <w:t>个工作日内将评审报告送采购人确认。采购人应当在收到</w:t>
      </w:r>
      <w:r>
        <w:rPr>
          <w:rFonts w:cs="宋体" w:asciiTheme="minorEastAsia" w:hAnsiTheme="minorEastAsia"/>
          <w:color w:val="auto"/>
          <w:spacing w:val="-1"/>
          <w:szCs w:val="21"/>
          <w:highlight w:val="none"/>
        </w:rPr>
        <w:t>评审报告后</w:t>
      </w:r>
      <w:r>
        <w:rPr>
          <w:rFonts w:cs="Calibri" w:asciiTheme="minorEastAsia" w:hAnsiTheme="minorEastAsia"/>
          <w:color w:val="auto"/>
          <w:spacing w:val="4"/>
          <w:szCs w:val="21"/>
          <w:highlight w:val="none"/>
        </w:rPr>
        <w:t> </w:t>
      </w:r>
      <w:r>
        <w:rPr>
          <w:rFonts w:cs="宋体" w:asciiTheme="minorEastAsia" w:hAnsiTheme="minorEastAsia"/>
          <w:color w:val="auto"/>
          <w:spacing w:val="-1"/>
          <w:szCs w:val="21"/>
          <w:highlight w:val="none"/>
        </w:rPr>
        <w:t>5</w:t>
      </w:r>
      <w:r>
        <w:rPr>
          <w:rFonts w:cs="Calibri" w:asciiTheme="minorEastAsia" w:hAnsiTheme="minorEastAsia"/>
          <w:color w:val="auto"/>
          <w:spacing w:val="5"/>
          <w:szCs w:val="21"/>
          <w:highlight w:val="none"/>
        </w:rPr>
        <w:t> </w:t>
      </w:r>
      <w:r>
        <w:rPr>
          <w:rFonts w:cs="宋体" w:asciiTheme="minorEastAsia" w:hAnsiTheme="minorEastAsia"/>
          <w:color w:val="auto"/>
          <w:spacing w:val="-1"/>
          <w:szCs w:val="21"/>
          <w:highlight w:val="none"/>
        </w:rPr>
        <w:t>个工作日，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pPr>
        <w:spacing w:after="0" w:line="360" w:lineRule="auto"/>
        <w:ind w:firstLine="420" w:firstLineChars="200"/>
        <w:rPr>
          <w:rFonts w:asciiTheme="minorEastAsia" w:hAnsiTheme="minorEastAsia"/>
          <w:color w:val="auto"/>
          <w:szCs w:val="21"/>
          <w:highlight w:val="none"/>
        </w:rPr>
      </w:pPr>
      <w:r>
        <w:rPr>
          <w:rFonts w:cs="宋体" w:asciiTheme="minorEastAsia" w:hAnsiTheme="minorEastAsia"/>
          <w:color w:val="auto"/>
          <w:szCs w:val="21"/>
          <w:highlight w:val="none"/>
        </w:rPr>
        <w:t>14.2</w:t>
      </w:r>
      <w:r>
        <w:rPr>
          <w:rFonts w:cs="宋体" w:asciiTheme="minorEastAsia" w:hAnsiTheme="minorEastAsia"/>
          <w:color w:val="auto"/>
          <w:spacing w:val="-1"/>
          <w:szCs w:val="21"/>
          <w:highlight w:val="none"/>
        </w:rPr>
        <w:t>采购代理机构应当在成交供应商确定后</w:t>
      </w:r>
      <w:r>
        <w:rPr>
          <w:rFonts w:cs="Calibri" w:asciiTheme="minorEastAsia" w:hAnsiTheme="minorEastAsia"/>
          <w:color w:val="auto"/>
          <w:spacing w:val="4"/>
          <w:szCs w:val="21"/>
          <w:highlight w:val="none"/>
        </w:rPr>
        <w:t> </w:t>
      </w:r>
      <w:r>
        <w:rPr>
          <w:rFonts w:cs="宋体" w:asciiTheme="minorEastAsia" w:hAnsiTheme="minorEastAsia"/>
          <w:color w:val="auto"/>
          <w:spacing w:val="-1"/>
          <w:szCs w:val="21"/>
          <w:highlight w:val="none"/>
        </w:rPr>
        <w:t>2</w:t>
      </w:r>
      <w:r>
        <w:rPr>
          <w:rFonts w:cs="Calibri" w:asciiTheme="minorEastAsia" w:hAnsiTheme="minorEastAsia"/>
          <w:color w:val="auto"/>
          <w:spacing w:val="5"/>
          <w:szCs w:val="21"/>
          <w:highlight w:val="none"/>
        </w:rPr>
        <w:t> </w:t>
      </w:r>
      <w:r>
        <w:rPr>
          <w:rFonts w:cs="宋体" w:asciiTheme="minorEastAsia" w:hAnsiTheme="minorEastAsia"/>
          <w:color w:val="auto"/>
          <w:spacing w:val="-4"/>
          <w:szCs w:val="21"/>
          <w:highlight w:val="none"/>
        </w:rPr>
        <w:t>个工作日内，在竞争性磋商公告发布媒体上公告成交</w:t>
      </w:r>
      <w:r>
        <w:rPr>
          <w:rFonts w:cs="宋体" w:asciiTheme="minorEastAsia" w:hAnsiTheme="minorEastAsia"/>
          <w:color w:val="auto"/>
          <w:spacing w:val="-1"/>
          <w:szCs w:val="21"/>
          <w:highlight w:val="none"/>
        </w:rPr>
        <w:t>结果，同时向成交供应商发出成交通知书。</w:t>
      </w:r>
    </w:p>
    <w:p>
      <w:pPr>
        <w:spacing w:after="0" w:line="360" w:lineRule="auto"/>
        <w:rPr>
          <w:rFonts w:asciiTheme="minorEastAsia" w:hAnsiTheme="minorEastAsia"/>
          <w:b/>
          <w:color w:val="auto"/>
          <w:szCs w:val="21"/>
          <w:highlight w:val="none"/>
        </w:rPr>
      </w:pPr>
      <w:r>
        <w:rPr>
          <w:rFonts w:cs="宋体" w:asciiTheme="minorEastAsia" w:hAnsiTheme="minorEastAsia"/>
          <w:b/>
          <w:color w:val="auto"/>
          <w:szCs w:val="21"/>
          <w:highlight w:val="none"/>
        </w:rPr>
        <w:t>七、履约保证金</w:t>
      </w:r>
    </w:p>
    <w:p>
      <w:pPr>
        <w:spacing w:after="0" w:line="360" w:lineRule="auto"/>
        <w:ind w:firstLine="420" w:firstLineChars="200"/>
        <w:rPr>
          <w:rFonts w:asciiTheme="minorEastAsia" w:hAnsiTheme="minorEastAsia"/>
          <w:color w:val="auto"/>
          <w:szCs w:val="21"/>
          <w:highlight w:val="none"/>
        </w:rPr>
      </w:pPr>
      <w:r>
        <w:rPr>
          <w:rFonts w:cs="宋体" w:asciiTheme="minorEastAsia" w:hAnsiTheme="minorEastAsia"/>
          <w:color w:val="auto"/>
          <w:szCs w:val="21"/>
          <w:highlight w:val="none"/>
        </w:rPr>
        <w:t>无。</w:t>
      </w:r>
    </w:p>
    <w:p>
      <w:pPr>
        <w:spacing w:after="0" w:line="360" w:lineRule="auto"/>
        <w:rPr>
          <w:rFonts w:asciiTheme="minorEastAsia" w:hAnsiTheme="minorEastAsia"/>
          <w:b/>
          <w:color w:val="auto"/>
          <w:szCs w:val="21"/>
          <w:highlight w:val="none"/>
        </w:rPr>
      </w:pPr>
      <w:r>
        <w:rPr>
          <w:rFonts w:cs="宋体" w:asciiTheme="minorEastAsia" w:hAnsiTheme="minorEastAsia"/>
          <w:b/>
          <w:color w:val="auto"/>
          <w:szCs w:val="21"/>
          <w:highlight w:val="none"/>
        </w:rPr>
        <w:t>八、签订合同</w:t>
      </w:r>
    </w:p>
    <w:p>
      <w:pPr>
        <w:spacing w:after="0" w:line="360" w:lineRule="auto"/>
        <w:ind w:firstLine="420" w:firstLineChars="200"/>
        <w:rPr>
          <w:rFonts w:asciiTheme="minorEastAsia" w:hAnsiTheme="minorEastAsia"/>
          <w:color w:val="auto"/>
          <w:szCs w:val="21"/>
          <w:highlight w:val="none"/>
        </w:rPr>
      </w:pPr>
      <w:r>
        <w:rPr>
          <w:rFonts w:cs="宋体" w:asciiTheme="minorEastAsia" w:hAnsiTheme="minorEastAsia"/>
          <w:color w:val="auto"/>
          <w:szCs w:val="21"/>
          <w:highlight w:val="none"/>
        </w:rPr>
        <w:t>16.1</w:t>
      </w:r>
      <w:r>
        <w:rPr>
          <w:rFonts w:cs="宋体" w:asciiTheme="minorEastAsia" w:hAnsiTheme="minorEastAsia"/>
          <w:color w:val="auto"/>
          <w:spacing w:val="-1"/>
          <w:szCs w:val="21"/>
          <w:highlight w:val="none"/>
        </w:rPr>
        <w:t>成交供应商在收到成交通知书后，按规定与采购人签订采购合同。</w:t>
      </w:r>
    </w:p>
    <w:p>
      <w:pPr>
        <w:spacing w:after="0" w:line="360" w:lineRule="auto"/>
        <w:ind w:firstLine="420" w:firstLineChars="200"/>
        <w:rPr>
          <w:rFonts w:asciiTheme="minorEastAsia" w:hAnsiTheme="minorEastAsia"/>
          <w:color w:val="auto"/>
          <w:szCs w:val="21"/>
          <w:highlight w:val="none"/>
        </w:rPr>
      </w:pPr>
      <w:r>
        <w:rPr>
          <w:rFonts w:cs="宋体" w:asciiTheme="minorEastAsia" w:hAnsiTheme="minorEastAsia"/>
          <w:color w:val="auto"/>
          <w:szCs w:val="21"/>
          <w:highlight w:val="none"/>
        </w:rPr>
        <w:t>16.2</w:t>
      </w:r>
      <w:r>
        <w:rPr>
          <w:rFonts w:cs="宋体" w:asciiTheme="minorEastAsia" w:hAnsiTheme="minorEastAsia"/>
          <w:color w:val="auto"/>
          <w:spacing w:val="-3"/>
          <w:szCs w:val="21"/>
          <w:highlight w:val="none"/>
        </w:rPr>
        <w:t>成交供应商拒绝签订采购合同的，采购人可以按本项目确定成交供应商办法确定其他供应商作</w:t>
      </w:r>
      <w:r>
        <w:rPr>
          <w:rFonts w:cs="宋体" w:asciiTheme="minorEastAsia" w:hAnsiTheme="minorEastAsia"/>
          <w:color w:val="auto"/>
          <w:spacing w:val="-1"/>
          <w:szCs w:val="21"/>
          <w:highlight w:val="none"/>
        </w:rPr>
        <w:t>为成交供应商并签订采购合同，也可以重新开展采购活动。拒绝签订采购合同的成交供应商不得参加对该项目重新开展的采购活动。</w:t>
      </w:r>
      <w:bookmarkStart w:id="52" w:name="15"/>
      <w:bookmarkEnd w:id="52"/>
    </w:p>
    <w:p>
      <w:pPr>
        <w:spacing w:after="0" w:line="360" w:lineRule="auto"/>
        <w:rPr>
          <w:rFonts w:asciiTheme="minorEastAsia" w:hAnsiTheme="minorEastAsia"/>
          <w:b/>
          <w:color w:val="auto"/>
          <w:szCs w:val="21"/>
          <w:highlight w:val="none"/>
        </w:rPr>
      </w:pPr>
      <w:r>
        <w:rPr>
          <w:rFonts w:cs="宋体" w:asciiTheme="minorEastAsia" w:hAnsiTheme="minorEastAsia"/>
          <w:b/>
          <w:color w:val="auto"/>
          <w:szCs w:val="21"/>
          <w:highlight w:val="none"/>
        </w:rPr>
        <w:t>九、政府采购合同公告</w:t>
      </w:r>
    </w:p>
    <w:p>
      <w:pPr>
        <w:spacing w:after="0" w:line="360" w:lineRule="auto"/>
        <w:ind w:firstLine="420" w:firstLineChars="200"/>
        <w:rPr>
          <w:rFonts w:asciiTheme="minorEastAsia" w:hAnsiTheme="minorEastAsia"/>
          <w:color w:val="auto"/>
          <w:szCs w:val="21"/>
          <w:highlight w:val="none"/>
        </w:rPr>
      </w:pPr>
      <w:r>
        <w:rPr>
          <w:rFonts w:cs="宋体" w:asciiTheme="minorEastAsia" w:hAnsiTheme="minorEastAsia"/>
          <w:color w:val="auto"/>
          <w:szCs w:val="21"/>
          <w:highlight w:val="none"/>
        </w:rPr>
        <w:t>17.1</w:t>
      </w:r>
      <w:r>
        <w:rPr>
          <w:rFonts w:cs="宋体" w:asciiTheme="minorEastAsia" w:hAnsiTheme="minorEastAsia"/>
          <w:color w:val="auto"/>
          <w:spacing w:val="-3"/>
          <w:szCs w:val="21"/>
          <w:highlight w:val="none"/>
        </w:rPr>
        <w:t>根据《中华人民共和国政府采购法实施条例》第五十条规定，采购人应当自政府采购合同签订</w:t>
      </w:r>
      <w:r>
        <w:rPr>
          <w:rFonts w:cs="宋体" w:asciiTheme="minorEastAsia" w:hAnsiTheme="minorEastAsia"/>
          <w:color w:val="auto"/>
          <w:spacing w:val="-1"/>
          <w:szCs w:val="21"/>
          <w:highlight w:val="none"/>
        </w:rPr>
        <w:t>之日起</w:t>
      </w:r>
      <w:r>
        <w:rPr>
          <w:rFonts w:cs="Calibri" w:asciiTheme="minorEastAsia" w:hAnsiTheme="minorEastAsia"/>
          <w:color w:val="auto"/>
          <w:spacing w:val="4"/>
          <w:szCs w:val="21"/>
          <w:highlight w:val="none"/>
        </w:rPr>
        <w:t> </w:t>
      </w:r>
      <w:r>
        <w:rPr>
          <w:rFonts w:cs="宋体" w:asciiTheme="minorEastAsia" w:hAnsiTheme="minorEastAsia"/>
          <w:color w:val="auto"/>
          <w:spacing w:val="-1"/>
          <w:szCs w:val="21"/>
          <w:highlight w:val="none"/>
        </w:rPr>
        <w:t>2</w:t>
      </w:r>
      <w:r>
        <w:rPr>
          <w:rFonts w:cs="Calibri" w:asciiTheme="minorEastAsia" w:hAnsiTheme="minorEastAsia"/>
          <w:color w:val="auto"/>
          <w:spacing w:val="5"/>
          <w:szCs w:val="21"/>
          <w:highlight w:val="none"/>
        </w:rPr>
        <w:t> </w:t>
      </w:r>
      <w:r>
        <w:rPr>
          <w:rFonts w:cs="宋体" w:asciiTheme="minorEastAsia" w:hAnsiTheme="minorEastAsia"/>
          <w:color w:val="auto"/>
          <w:spacing w:val="-1"/>
          <w:szCs w:val="21"/>
          <w:highlight w:val="none"/>
        </w:rPr>
        <w:t>个工作日内，将政府采购合同在省级以上人民政府财政部门指定的媒体上公告，但政府采购合同中涉及国家秘密、商业秘密的内容除外。</w:t>
      </w:r>
    </w:p>
    <w:p>
      <w:pPr>
        <w:spacing w:after="0" w:line="360" w:lineRule="auto"/>
        <w:rPr>
          <w:rFonts w:asciiTheme="minorEastAsia" w:hAnsiTheme="minorEastAsia"/>
          <w:b/>
          <w:color w:val="auto"/>
          <w:szCs w:val="21"/>
          <w:highlight w:val="none"/>
        </w:rPr>
      </w:pPr>
      <w:r>
        <w:rPr>
          <w:rFonts w:cs="宋体" w:asciiTheme="minorEastAsia" w:hAnsiTheme="minorEastAsia"/>
          <w:b/>
          <w:color w:val="auto"/>
          <w:szCs w:val="21"/>
          <w:highlight w:val="none"/>
        </w:rPr>
        <w:t>九、适用法律</w:t>
      </w:r>
    </w:p>
    <w:p>
      <w:pPr>
        <w:spacing w:after="0" w:line="360" w:lineRule="auto"/>
        <w:ind w:firstLine="420" w:firstLineChars="200"/>
        <w:rPr>
          <w:rFonts w:asciiTheme="minorEastAsia" w:hAnsiTheme="minorEastAsia"/>
          <w:color w:val="auto"/>
          <w:szCs w:val="21"/>
          <w:highlight w:val="none"/>
        </w:rPr>
      </w:pPr>
      <w:r>
        <w:rPr>
          <w:rFonts w:cs="宋体" w:asciiTheme="minorEastAsia" w:hAnsiTheme="minorEastAsia"/>
          <w:color w:val="auto"/>
          <w:szCs w:val="21"/>
          <w:highlight w:val="none"/>
        </w:rPr>
        <w:t>18.</w:t>
      </w:r>
      <w:r>
        <w:rPr>
          <w:rFonts w:cs="宋体" w:asciiTheme="minorEastAsia" w:hAnsiTheme="minorEastAsia"/>
          <w:color w:val="auto"/>
          <w:spacing w:val="-1"/>
          <w:szCs w:val="21"/>
          <w:highlight w:val="none"/>
        </w:rPr>
        <w:t>采购当事人的一切活动均适用于《中华人民共和国政府采购法》、《中华人民共和国政府合同法》、《政府采购竞争性磋商采购方式管理暂行办法》及相关规定。</w:t>
      </w:r>
    </w:p>
    <w:p>
      <w:pPr>
        <w:spacing w:after="0" w:line="360" w:lineRule="auto"/>
        <w:rPr>
          <w:rFonts w:asciiTheme="minorEastAsia" w:hAnsiTheme="minorEastAsia"/>
          <w:b/>
          <w:color w:val="auto"/>
          <w:szCs w:val="21"/>
          <w:highlight w:val="none"/>
        </w:rPr>
      </w:pPr>
      <w:r>
        <w:rPr>
          <w:rFonts w:cs="宋体" w:asciiTheme="minorEastAsia" w:hAnsiTheme="minorEastAsia"/>
          <w:b/>
          <w:color w:val="auto"/>
          <w:szCs w:val="21"/>
          <w:highlight w:val="none"/>
        </w:rPr>
        <w:t>十、其他事项</w:t>
      </w:r>
    </w:p>
    <w:p>
      <w:pPr>
        <w:spacing w:after="0" w:line="360" w:lineRule="auto"/>
        <w:ind w:firstLine="420" w:firstLineChars="200"/>
        <w:rPr>
          <w:rFonts w:asciiTheme="minorEastAsia" w:hAnsiTheme="minorEastAsia"/>
          <w:color w:val="auto"/>
          <w:szCs w:val="21"/>
          <w:highlight w:val="none"/>
        </w:rPr>
      </w:pPr>
      <w:r>
        <w:rPr>
          <w:rFonts w:hint="eastAsia" w:cs="宋体" w:asciiTheme="minorEastAsia" w:hAnsiTheme="minorEastAsia"/>
          <w:color w:val="auto"/>
          <w:szCs w:val="21"/>
          <w:highlight w:val="none"/>
        </w:rPr>
        <w:t>1</w:t>
      </w:r>
      <w:r>
        <w:rPr>
          <w:rFonts w:cs="宋体" w:asciiTheme="minorEastAsia" w:hAnsiTheme="minorEastAsia"/>
          <w:color w:val="auto"/>
          <w:szCs w:val="21"/>
          <w:highlight w:val="none"/>
        </w:rPr>
        <w:t>9.1</w:t>
      </w:r>
      <w:r>
        <w:rPr>
          <w:rFonts w:cs="宋体" w:asciiTheme="minorEastAsia" w:hAnsiTheme="minorEastAsia"/>
          <w:color w:val="auto"/>
          <w:spacing w:val="-1"/>
          <w:position w:val="3"/>
          <w:szCs w:val="21"/>
          <w:highlight w:val="none"/>
        </w:rPr>
        <w:t>签订合同前，成交供应商须向本中心一次付清成交服务费。</w:t>
      </w:r>
    </w:p>
    <w:p>
      <w:pPr>
        <w:spacing w:after="0" w:line="360" w:lineRule="auto"/>
        <w:ind w:firstLine="420" w:firstLineChars="200"/>
        <w:rPr>
          <w:rFonts w:asciiTheme="minorEastAsia" w:hAnsiTheme="minorEastAsia"/>
          <w:color w:val="auto"/>
          <w:szCs w:val="21"/>
          <w:highlight w:val="none"/>
        </w:rPr>
      </w:pPr>
      <w:r>
        <w:rPr>
          <w:rFonts w:cs="宋体" w:asciiTheme="minorEastAsia" w:hAnsiTheme="minorEastAsia"/>
          <w:color w:val="auto"/>
          <w:szCs w:val="21"/>
          <w:highlight w:val="none"/>
        </w:rPr>
        <w:t>本项目的招标代理服务费按发改价格〔2015〕299</w:t>
      </w:r>
      <w:r>
        <w:rPr>
          <w:rFonts w:cs="Calibri" w:asciiTheme="minorEastAsia" w:hAnsiTheme="minorEastAsia"/>
          <w:color w:val="auto"/>
          <w:spacing w:val="5"/>
          <w:szCs w:val="21"/>
          <w:highlight w:val="none"/>
        </w:rPr>
        <w:t> </w:t>
      </w:r>
      <w:r>
        <w:rPr>
          <w:rFonts w:cs="宋体" w:asciiTheme="minorEastAsia" w:hAnsiTheme="minorEastAsia"/>
          <w:color w:val="auto"/>
          <w:szCs w:val="21"/>
          <w:highlight w:val="none"/>
        </w:rPr>
        <w:t>号文执行，金额为</w:t>
      </w:r>
      <w:r>
        <w:rPr>
          <w:rFonts w:hint="eastAsia" w:cs="宋体" w:asciiTheme="minorEastAsia" w:hAnsiTheme="minorEastAsia"/>
          <w:color w:val="auto"/>
          <w:szCs w:val="21"/>
          <w:highlight w:val="none"/>
        </w:rPr>
        <w:t>人民币壹万壹仟元整（¥11000.00）</w:t>
      </w:r>
      <w:r>
        <w:rPr>
          <w:rFonts w:cs="宋体" w:asciiTheme="minorEastAsia" w:hAnsiTheme="minorEastAsia"/>
          <w:color w:val="auto"/>
          <w:szCs w:val="21"/>
          <w:highlight w:val="none"/>
        </w:rPr>
        <w:t>。方式为由成交人向采购代理机构支付。领取成交通知书前，成交人应向</w:t>
      </w:r>
      <w:r>
        <w:rPr>
          <w:rFonts w:cs="宋体" w:asciiTheme="minorEastAsia" w:hAnsiTheme="minorEastAsia"/>
          <w:color w:val="auto"/>
          <w:spacing w:val="-1"/>
          <w:szCs w:val="21"/>
          <w:highlight w:val="none"/>
        </w:rPr>
        <w:t>采购代理机构一次付清采购代理服务费。</w:t>
      </w:r>
    </w:p>
    <w:p>
      <w:pPr>
        <w:spacing w:after="0" w:line="360" w:lineRule="auto"/>
        <w:ind w:firstLine="420" w:firstLineChars="200"/>
        <w:rPr>
          <w:rFonts w:asciiTheme="minorEastAsia" w:hAnsiTheme="minorEastAsia"/>
          <w:color w:val="auto"/>
          <w:szCs w:val="21"/>
          <w:highlight w:val="none"/>
        </w:rPr>
      </w:pPr>
      <w:r>
        <w:rPr>
          <w:rFonts w:cs="宋体" w:asciiTheme="minorEastAsia" w:hAnsiTheme="minorEastAsia"/>
          <w:color w:val="auto"/>
          <w:szCs w:val="21"/>
          <w:highlight w:val="none"/>
        </w:rPr>
        <w:t>19.2.解释权</w:t>
      </w:r>
    </w:p>
    <w:p>
      <w:pPr>
        <w:spacing w:after="0" w:line="360" w:lineRule="auto"/>
        <w:ind w:left="60" w:firstLine="832" w:firstLineChars="400"/>
        <w:rPr>
          <w:rFonts w:asciiTheme="minorEastAsia" w:hAnsiTheme="minorEastAsia"/>
          <w:color w:val="auto"/>
          <w:szCs w:val="21"/>
          <w:highlight w:val="none"/>
        </w:rPr>
      </w:pPr>
      <w:r>
        <w:rPr>
          <w:rFonts w:cs="宋体" w:asciiTheme="minorEastAsia" w:hAnsiTheme="minorEastAsia"/>
          <w:color w:val="auto"/>
          <w:spacing w:val="-1"/>
          <w:szCs w:val="21"/>
          <w:highlight w:val="none"/>
        </w:rPr>
        <w:t>解释权属本采购代理机构。</w:t>
      </w:r>
    </w:p>
    <w:p>
      <w:pPr>
        <w:spacing w:after="0" w:line="360" w:lineRule="auto"/>
        <w:ind w:firstLine="420" w:firstLineChars="200"/>
        <w:rPr>
          <w:rFonts w:asciiTheme="minorEastAsia" w:hAnsiTheme="minorEastAsia"/>
          <w:color w:val="auto"/>
          <w:szCs w:val="21"/>
          <w:highlight w:val="none"/>
        </w:rPr>
      </w:pPr>
      <w:r>
        <w:rPr>
          <w:rFonts w:cs="宋体" w:asciiTheme="minorEastAsia" w:hAnsiTheme="minorEastAsia"/>
          <w:color w:val="auto"/>
          <w:szCs w:val="21"/>
          <w:highlight w:val="none"/>
        </w:rPr>
        <w:t>19.3有关事宜</w:t>
      </w:r>
    </w:p>
    <w:p>
      <w:pPr>
        <w:spacing w:after="0" w:line="360" w:lineRule="auto"/>
        <w:ind w:left="60" w:firstLine="832" w:firstLineChars="400"/>
        <w:rPr>
          <w:rFonts w:asciiTheme="minorEastAsia" w:hAnsiTheme="minorEastAsia"/>
          <w:color w:val="auto"/>
          <w:szCs w:val="21"/>
          <w:highlight w:val="none"/>
        </w:rPr>
      </w:pPr>
      <w:r>
        <w:rPr>
          <w:rFonts w:cs="宋体" w:asciiTheme="minorEastAsia" w:hAnsiTheme="minorEastAsia"/>
          <w:color w:val="auto"/>
          <w:spacing w:val="-1"/>
          <w:szCs w:val="21"/>
          <w:highlight w:val="none"/>
        </w:rPr>
        <w:t>所有与本磋商文件有关的函件请按下列通讯地址联系：</w:t>
      </w:r>
    </w:p>
    <w:p>
      <w:pPr>
        <w:spacing w:after="0" w:line="360" w:lineRule="auto"/>
        <w:ind w:left="60" w:firstLine="840" w:firstLineChars="400"/>
        <w:rPr>
          <w:rFonts w:asciiTheme="minorEastAsia" w:hAnsiTheme="minorEastAsia"/>
          <w:color w:val="auto"/>
          <w:szCs w:val="21"/>
          <w:highlight w:val="none"/>
        </w:rPr>
      </w:pPr>
      <w:r>
        <w:rPr>
          <w:rFonts w:cs="宋体" w:asciiTheme="minorEastAsia" w:hAnsiTheme="minorEastAsia"/>
          <w:color w:val="auto"/>
          <w:szCs w:val="21"/>
          <w:highlight w:val="none"/>
        </w:rPr>
        <w:t>电话：</w:t>
      </w:r>
      <w:r>
        <w:rPr>
          <w:rFonts w:hint="eastAsia" w:cs="宋体" w:asciiTheme="minorEastAsia" w:hAnsiTheme="minorEastAsia"/>
          <w:color w:val="auto"/>
          <w:szCs w:val="21"/>
          <w:highlight w:val="none"/>
        </w:rPr>
        <w:t>0775-4218878</w:t>
      </w:r>
    </w:p>
    <w:p>
      <w:pPr>
        <w:spacing w:after="0" w:line="360" w:lineRule="auto"/>
        <w:ind w:left="60" w:firstLine="824" w:firstLineChars="400"/>
        <w:rPr>
          <w:rFonts w:asciiTheme="minorEastAsia" w:hAnsiTheme="minorEastAsia"/>
          <w:color w:val="auto"/>
          <w:szCs w:val="21"/>
          <w:highlight w:val="none"/>
        </w:rPr>
      </w:pPr>
      <w:r>
        <w:rPr>
          <w:rFonts w:cs="宋体" w:asciiTheme="minorEastAsia" w:hAnsiTheme="minorEastAsia"/>
          <w:color w:val="auto"/>
          <w:spacing w:val="-2"/>
          <w:szCs w:val="21"/>
          <w:highlight w:val="none"/>
        </w:rPr>
        <w:t>联</w:t>
      </w:r>
      <w:r>
        <w:rPr>
          <w:rFonts w:hint="eastAsia" w:cs="Calibri" w:asciiTheme="minorEastAsia" w:hAnsiTheme="minorEastAsia"/>
          <w:color w:val="auto"/>
          <w:w w:val="227"/>
          <w:szCs w:val="21"/>
          <w:highlight w:val="none"/>
        </w:rPr>
        <w:t xml:space="preserve"> </w:t>
      </w:r>
      <w:r>
        <w:rPr>
          <w:rFonts w:cs="宋体" w:asciiTheme="minorEastAsia" w:hAnsiTheme="minorEastAsia"/>
          <w:color w:val="auto"/>
          <w:spacing w:val="-2"/>
          <w:szCs w:val="21"/>
          <w:highlight w:val="none"/>
        </w:rPr>
        <w:t>系</w:t>
      </w:r>
      <w:r>
        <w:rPr>
          <w:rFonts w:hint="eastAsia" w:cs="Calibri" w:asciiTheme="minorEastAsia" w:hAnsiTheme="minorEastAsia"/>
          <w:color w:val="auto"/>
          <w:w w:val="222"/>
          <w:szCs w:val="21"/>
          <w:highlight w:val="none"/>
        </w:rPr>
        <w:t xml:space="preserve"> </w:t>
      </w:r>
      <w:r>
        <w:rPr>
          <w:rFonts w:cs="宋体" w:asciiTheme="minorEastAsia" w:hAnsiTheme="minorEastAsia"/>
          <w:color w:val="auto"/>
          <w:spacing w:val="-1"/>
          <w:szCs w:val="21"/>
          <w:highlight w:val="none"/>
        </w:rPr>
        <w:t>人：</w:t>
      </w:r>
      <w:r>
        <w:rPr>
          <w:rFonts w:hint="eastAsia" w:cs="宋体" w:asciiTheme="minorEastAsia" w:hAnsiTheme="minorEastAsia"/>
          <w:color w:val="auto"/>
          <w:spacing w:val="-1"/>
          <w:szCs w:val="21"/>
          <w:highlight w:val="none"/>
        </w:rPr>
        <w:t>吴工</w:t>
      </w:r>
    </w:p>
    <w:p>
      <w:pPr>
        <w:tabs>
          <w:tab w:val="left" w:pos="1320"/>
        </w:tabs>
        <w:spacing w:after="0" w:line="360" w:lineRule="auto"/>
        <w:ind w:left="60" w:firstLine="824" w:firstLineChars="400"/>
        <w:rPr>
          <w:rFonts w:cs="宋体" w:asciiTheme="minorEastAsia" w:hAnsiTheme="minorEastAsia"/>
          <w:color w:val="auto"/>
          <w:spacing w:val="-1"/>
          <w:szCs w:val="21"/>
          <w:highlight w:val="none"/>
        </w:rPr>
      </w:pPr>
      <w:r>
        <w:rPr>
          <w:rFonts w:cs="宋体" w:asciiTheme="minorEastAsia" w:hAnsiTheme="minorEastAsia"/>
          <w:color w:val="auto"/>
          <w:spacing w:val="-2"/>
          <w:szCs w:val="21"/>
          <w:highlight w:val="none"/>
        </w:rPr>
        <w:t>地</w:t>
      </w:r>
      <w:r>
        <w:rPr>
          <w:rFonts w:cs="Calibri" w:asciiTheme="minorEastAsia" w:hAnsiTheme="minorEastAsia"/>
          <w:color w:val="auto"/>
          <w:szCs w:val="21"/>
          <w:highlight w:val="none"/>
        </w:rPr>
        <w:tab/>
      </w:r>
      <w:r>
        <w:rPr>
          <w:rFonts w:cs="宋体" w:asciiTheme="minorEastAsia" w:hAnsiTheme="minorEastAsia"/>
          <w:color w:val="auto"/>
          <w:spacing w:val="-1"/>
          <w:szCs w:val="21"/>
          <w:highlight w:val="none"/>
        </w:rPr>
        <w:t>址：</w:t>
      </w:r>
      <w:r>
        <w:rPr>
          <w:rFonts w:hint="eastAsia" w:cs="宋体" w:asciiTheme="minorEastAsia" w:hAnsiTheme="minorEastAsia"/>
          <w:color w:val="auto"/>
          <w:spacing w:val="-1"/>
          <w:szCs w:val="21"/>
          <w:highlight w:val="none"/>
        </w:rPr>
        <w:t>贵港市港北区金港大道万豪丽城2栋3单元3405</w:t>
      </w:r>
    </w:p>
    <w:p>
      <w:pPr>
        <w:tabs>
          <w:tab w:val="left" w:pos="1320"/>
        </w:tabs>
        <w:spacing w:after="0" w:line="360" w:lineRule="auto"/>
        <w:ind w:left="60" w:firstLine="824" w:firstLineChars="400"/>
        <w:rPr>
          <w:rFonts w:asciiTheme="minorEastAsia" w:hAnsiTheme="minorEastAsia"/>
          <w:color w:val="auto"/>
          <w:szCs w:val="21"/>
          <w:highlight w:val="none"/>
        </w:rPr>
        <w:sectPr>
          <w:type w:val="continuous"/>
          <w:pgSz w:w="11906" w:h="16839"/>
          <w:pgMar w:top="535" w:right="1020" w:bottom="295" w:left="1380" w:header="0" w:footer="0" w:gutter="0"/>
          <w:cols w:equalWidth="0" w:num="1">
            <w:col w:w="9506"/>
          </w:cols>
          <w:docGrid w:type="lines" w:linePitch="312" w:charSpace="0"/>
        </w:sectPr>
      </w:pPr>
      <w:r>
        <w:rPr>
          <w:rFonts w:cs="宋体" w:asciiTheme="minorEastAsia" w:hAnsiTheme="minorEastAsia"/>
          <w:color w:val="auto"/>
          <w:spacing w:val="-2"/>
          <w:szCs w:val="21"/>
          <w:highlight w:val="none"/>
        </w:rPr>
        <w:t>邮</w:t>
      </w:r>
      <w:r>
        <w:rPr>
          <w:rFonts w:cs="Calibri" w:asciiTheme="minorEastAsia" w:hAnsiTheme="minorEastAsia"/>
          <w:color w:val="auto"/>
          <w:szCs w:val="21"/>
          <w:highlight w:val="none"/>
        </w:rPr>
        <w:tab/>
      </w:r>
      <w:r>
        <w:rPr>
          <w:rFonts w:cs="宋体" w:asciiTheme="minorEastAsia" w:hAnsiTheme="minorEastAsia"/>
          <w:color w:val="auto"/>
          <w:szCs w:val="21"/>
          <w:highlight w:val="none"/>
        </w:rPr>
        <w:t>编：53710</w:t>
      </w:r>
    </w:p>
    <w:p>
      <w:pPr>
        <w:widowControl/>
        <w:rPr>
          <w:color w:val="auto"/>
          <w:highlight w:val="none"/>
        </w:rPr>
        <w:sectPr>
          <w:type w:val="continuous"/>
          <w:pgSz w:w="11906" w:h="16839"/>
          <w:pgMar w:top="535" w:right="1020" w:bottom="295" w:left="1380" w:header="0" w:footer="0" w:gutter="0"/>
          <w:cols w:equalWidth="0" w:num="1">
            <w:col w:w="9506"/>
          </w:cols>
          <w:docGrid w:type="lines" w:linePitch="312" w:charSpace="0"/>
        </w:sectPr>
      </w:pPr>
    </w:p>
    <w:p>
      <w:pPr>
        <w:spacing w:after="0" w:line="541" w:lineRule="exact"/>
        <w:ind w:left="63" w:firstLine="2405"/>
        <w:rPr>
          <w:color w:val="auto"/>
          <w:highlight w:val="none"/>
        </w:rPr>
      </w:pPr>
      <w:bookmarkStart w:id="53" w:name="16"/>
      <w:bookmarkEnd w:id="53"/>
      <w:r>
        <w:rPr>
          <w:rFonts w:ascii="宋体" w:hAnsi="宋体" w:eastAsia="宋体" w:cs="宋体"/>
          <w:color w:val="auto"/>
          <w:sz w:val="44"/>
          <w:highlight w:val="none"/>
        </w:rPr>
        <w:t>第三章</w:t>
      </w:r>
      <w:r>
        <w:rPr>
          <w:rFonts w:ascii="Calibri" w:hAnsi="Calibri" w:cs="Calibri"/>
          <w:color w:val="auto"/>
          <w:w w:val="222"/>
          <w:sz w:val="44"/>
          <w:highlight w:val="none"/>
        </w:rPr>
        <w:t> </w:t>
      </w:r>
      <w:r>
        <w:rPr>
          <w:rFonts w:ascii="宋体" w:hAnsi="宋体" w:eastAsia="宋体" w:cs="宋体"/>
          <w:color w:val="auto"/>
          <w:sz w:val="44"/>
          <w:highlight w:val="none"/>
        </w:rPr>
        <w:t>项目服务需求</w:t>
      </w:r>
    </w:p>
    <w:p>
      <w:pPr>
        <w:spacing w:after="0" w:line="240" w:lineRule="exact"/>
        <w:ind w:left="63" w:firstLine="2405"/>
        <w:rPr>
          <w:color w:val="auto"/>
          <w:highlight w:val="none"/>
        </w:rPr>
      </w:pPr>
    </w:p>
    <w:p>
      <w:pPr>
        <w:numPr>
          <w:ilvl w:val="0"/>
          <w:numId w:val="2"/>
        </w:numPr>
        <w:spacing w:after="0" w:line="360" w:lineRule="auto"/>
        <w:ind w:firstLine="420" w:firstLineChars="200"/>
        <w:rPr>
          <w:color w:val="auto"/>
          <w:highlight w:val="none"/>
        </w:rPr>
      </w:pPr>
      <w:r>
        <w:rPr>
          <w:rFonts w:hint="eastAsia"/>
          <w:color w:val="auto"/>
          <w:highlight w:val="none"/>
        </w:rPr>
        <w:t>项目名称：桂平市垌心至金田公路工程监理服务</w:t>
      </w:r>
    </w:p>
    <w:p>
      <w:pPr>
        <w:widowControl/>
        <w:numPr>
          <w:ilvl w:val="0"/>
          <w:numId w:val="2"/>
        </w:numPr>
        <w:spacing w:after="0" w:line="360" w:lineRule="auto"/>
        <w:ind w:firstLine="420" w:firstLineChars="200"/>
        <w:rPr>
          <w:rFonts w:ascii="宋体" w:hAnsi="宋体" w:eastAsia="宋体" w:cs="宋体"/>
          <w:color w:val="auto"/>
          <w:highlight w:val="none"/>
        </w:rPr>
      </w:pPr>
      <w:r>
        <w:rPr>
          <w:rFonts w:hint="eastAsia"/>
          <w:color w:val="auto"/>
          <w:highlight w:val="none"/>
        </w:rPr>
        <w:t>项目编号：</w:t>
      </w:r>
      <w:r>
        <w:rPr>
          <w:rFonts w:hint="eastAsia"/>
          <w:color w:val="auto"/>
          <w:highlight w:val="none"/>
          <w:lang w:eastAsia="zh-CN"/>
        </w:rPr>
        <w:t>GGZC2020-C3-50127-GXBX</w:t>
      </w:r>
    </w:p>
    <w:p>
      <w:pPr>
        <w:widowControl/>
        <w:numPr>
          <w:ilvl w:val="0"/>
          <w:numId w:val="2"/>
        </w:numPr>
        <w:spacing w:after="0"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项目地点：广西桂平市。</w:t>
      </w:r>
    </w:p>
    <w:p>
      <w:pPr>
        <w:widowControl/>
        <w:numPr>
          <w:ilvl w:val="0"/>
          <w:numId w:val="2"/>
        </w:numPr>
        <w:spacing w:after="0" w:line="360" w:lineRule="auto"/>
        <w:ind w:firstLine="420" w:firstLineChars="200"/>
        <w:rPr>
          <w:color w:val="auto"/>
          <w:highlight w:val="none"/>
        </w:rPr>
      </w:pPr>
      <w:r>
        <w:rPr>
          <w:rFonts w:hint="eastAsia"/>
          <w:color w:val="auto"/>
          <w:highlight w:val="none"/>
        </w:rPr>
        <w:t>本工程工程建设规模：桂平市垌心至金田公路工程监理服务1项，本工程线路总体走向为自北向南，起点（K0+000）与柳梧高速公路大鹏连接线相接，K0+000-K7+120段完全利用柳梧高速大鹏连接线，新建路段起点（K0+000）=完全利用段终点（K7+120），与大鹏连接线T型渠化交叉顺接，路线沿旧路X348县道布线，途经王举屯、桂山屯、中垌屯、垌心屯、理村、新旺村、新燕、终点K10+245位于金田镇上，与S323梧州至迁江二级公路成十字型平面交叉相接。路线全长17.365公里，其中利用段7.12公里，新建段10.245公里。设计时速：60km/h，路基宽度为10m，其中K0+000-K0+540、K4+680-K5+320、K9+680-K10+245段采用40km/h，路基宽度为8.5m；K1+820-K2+240段采用40km/h，路基宽度为10m，其余路段采用60km/h，路基宽度为10m，汽车荷载等级为公路-II级，小桥涵及路基设计洪水频率为1/50，路面类型为水泥混凝土路面。</w:t>
      </w:r>
    </w:p>
    <w:p>
      <w:pPr>
        <w:widowControl/>
        <w:numPr>
          <w:ilvl w:val="0"/>
          <w:numId w:val="2"/>
        </w:numPr>
        <w:spacing w:after="0" w:line="360" w:lineRule="auto"/>
        <w:ind w:firstLine="420" w:firstLineChars="200"/>
        <w:rPr>
          <w:color w:val="auto"/>
          <w:highlight w:val="none"/>
        </w:rPr>
      </w:pPr>
      <w:r>
        <w:rPr>
          <w:rFonts w:hint="eastAsia"/>
          <w:color w:val="auto"/>
          <w:highlight w:val="none"/>
        </w:rPr>
        <w:t xml:space="preserve">监理服务范围：桂平市垌心至金田公路工程监理服务，包括《公路工程施工监理规范》（JTG G10—2016）规定的隶属于本工程相关的施工监理工作。 </w:t>
      </w:r>
    </w:p>
    <w:p>
      <w:pPr>
        <w:widowControl/>
        <w:numPr>
          <w:ilvl w:val="0"/>
          <w:numId w:val="2"/>
        </w:numPr>
        <w:spacing w:after="0" w:line="360" w:lineRule="auto"/>
        <w:ind w:firstLine="420" w:firstLineChars="200"/>
        <w:rPr>
          <w:color w:val="auto"/>
          <w:highlight w:val="none"/>
        </w:rPr>
      </w:pPr>
      <w:r>
        <w:rPr>
          <w:rFonts w:hint="eastAsia"/>
          <w:color w:val="auto"/>
          <w:highlight w:val="none"/>
        </w:rPr>
        <w:t>监理质量要求：符合有关国家质量标准、技术规范及规程要求，并通过行业管理部门审批。</w:t>
      </w:r>
    </w:p>
    <w:p>
      <w:pPr>
        <w:widowControl/>
        <w:numPr>
          <w:ilvl w:val="0"/>
          <w:numId w:val="2"/>
        </w:numPr>
        <w:spacing w:after="0" w:line="360" w:lineRule="auto"/>
        <w:ind w:firstLine="420" w:firstLineChars="200"/>
        <w:rPr>
          <w:color w:val="auto"/>
          <w:highlight w:val="none"/>
        </w:rPr>
      </w:pPr>
      <w:r>
        <w:rPr>
          <w:rFonts w:hint="eastAsia"/>
          <w:color w:val="auto"/>
          <w:highlight w:val="none"/>
        </w:rPr>
        <w:t xml:space="preserve">监理服务期限：自合同签订之日起开始实施，至工程竣工验收合格，保修期满完毕（监理工期与施工工期一致）。  </w:t>
      </w:r>
    </w:p>
    <w:p>
      <w:pPr>
        <w:widowControl/>
        <w:numPr>
          <w:ilvl w:val="0"/>
          <w:numId w:val="2"/>
        </w:numPr>
        <w:spacing w:after="0"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本项目的报价为</w:t>
      </w:r>
      <w:r>
        <w:rPr>
          <w:rFonts w:hint="eastAsia" w:ascii="宋体" w:hAnsi="宋体" w:eastAsia="宋体" w:cs="宋体"/>
          <w:color w:val="auto"/>
          <w:highlight w:val="none"/>
          <w:lang w:eastAsia="zh-CN"/>
        </w:rPr>
        <w:t>费率报价</w:t>
      </w:r>
      <w:r>
        <w:rPr>
          <w:rFonts w:hint="eastAsia" w:ascii="宋体" w:hAnsi="宋体" w:eastAsia="宋体" w:cs="宋体"/>
          <w:color w:val="auto"/>
          <w:highlight w:val="none"/>
        </w:rPr>
        <w:t>，采购预算价为：</w:t>
      </w:r>
      <w:r>
        <w:rPr>
          <w:rFonts w:hint="eastAsia" w:ascii="宋体" w:hAnsi="宋体" w:eastAsia="宋体" w:cs="宋体"/>
          <w:color w:val="auto"/>
          <w:highlight w:val="none"/>
          <w:lang w:eastAsia="zh-CN"/>
        </w:rPr>
        <w:t>不大于建安费</w:t>
      </w:r>
      <w:r>
        <w:rPr>
          <w:rFonts w:hint="eastAsia" w:ascii="宋体" w:hAnsi="宋体" w:eastAsia="宋体" w:cs="宋体"/>
          <w:color w:val="auto"/>
          <w:highlight w:val="none"/>
          <w:lang w:val="en-US" w:eastAsia="zh-CN"/>
        </w:rPr>
        <w:t>48160547.51（财政评审价）的1.5%</w:t>
      </w:r>
      <w:r>
        <w:rPr>
          <w:rFonts w:hint="eastAsia" w:ascii="宋体" w:hAnsi="宋体" w:eastAsia="宋体" w:cs="宋体"/>
          <w:color w:val="auto"/>
          <w:highlight w:val="none"/>
        </w:rPr>
        <w:t>。竞标人的报价，包括了实施和完成本项目全部工作所需的劳务费、技术费、测量、交通、通讯、保险、税费和利润等业务有关的一切费用，除非上述费用在合同中另有说明。</w:t>
      </w:r>
    </w:p>
    <w:p>
      <w:pPr>
        <w:widowControl/>
        <w:numPr>
          <w:ilvl w:val="0"/>
          <w:numId w:val="2"/>
        </w:numPr>
        <w:spacing w:after="0"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监理服务期限：从签订委托监理合同之日始至竣工验收外加工程缺陷责任期满止（其中现场监理服务与施工合同期一致）。</w:t>
      </w:r>
    </w:p>
    <w:p>
      <w:pPr>
        <w:pStyle w:val="35"/>
        <w:spacing w:beforeLines="0" w:afterLines="0" w:line="400" w:lineRule="exact"/>
        <w:rPr>
          <w:rFonts w:hint="default" w:ascii="宋体" w:hAnsi="宋体" w:eastAsia="宋体"/>
          <w:color w:val="auto"/>
          <w:sz w:val="28"/>
          <w:highlight w:val="none"/>
        </w:rPr>
      </w:pPr>
      <w:r>
        <w:rPr>
          <w:rFonts w:hint="eastAsia" w:ascii="宋体" w:hAnsi="宋体" w:eastAsia="宋体" w:cs="宋体"/>
          <w:color w:val="auto"/>
          <w:highlight w:val="none"/>
        </w:rPr>
        <w:t>付款方式：</w:t>
      </w:r>
      <w:r>
        <w:rPr>
          <w:rFonts w:hint="eastAsia" w:ascii="宋体" w:hAnsi="宋体" w:eastAsia="宋体"/>
          <w:color w:val="auto"/>
          <w:sz w:val="28"/>
          <w:highlight w:val="none"/>
        </w:rPr>
        <w:t>根据施工单位申请工程进度款时，按进度同步申请支付至合同款的80%监理服务费，在项目通过交（竣）工验收合格后支付至合同款的95%；在施工缺陷期满后支付合同款的5%。</w:t>
      </w:r>
    </w:p>
    <w:p>
      <w:pPr>
        <w:widowControl/>
        <w:numPr>
          <w:ilvl w:val="0"/>
          <w:numId w:val="0"/>
        </w:numPr>
        <w:spacing w:after="0" w:line="360" w:lineRule="auto"/>
        <w:rPr>
          <w:rFonts w:ascii="宋体" w:hAnsi="宋体" w:eastAsia="宋体" w:cs="宋体"/>
          <w:color w:val="auto"/>
          <w:highlight w:val="none"/>
        </w:rPr>
      </w:pPr>
    </w:p>
    <w:p>
      <w:pPr>
        <w:spacing w:line="360" w:lineRule="auto"/>
        <w:ind w:firstLine="420" w:firstLineChars="200"/>
        <w:outlineLvl w:val="0"/>
        <w:rPr>
          <w:color w:val="auto"/>
          <w:highlight w:val="none"/>
        </w:rPr>
      </w:pPr>
      <w:r>
        <w:rPr>
          <w:rFonts w:hint="eastAsia" w:ascii="宋体" w:hAnsi="宋体" w:eastAsia="宋体" w:cs="宋体"/>
          <w:color w:val="auto"/>
          <w:highlight w:val="none"/>
        </w:rPr>
        <w:t xml:space="preserve"> </w:t>
      </w:r>
    </w:p>
    <w:p>
      <w:pPr>
        <w:spacing w:after="0" w:line="240" w:lineRule="exact"/>
        <w:ind w:left="135"/>
        <w:rPr>
          <w:rFonts w:hint="eastAsia"/>
          <w:color w:val="auto"/>
          <w:highlight w:val="none"/>
        </w:rPr>
      </w:pPr>
    </w:p>
    <w:p>
      <w:pPr>
        <w:rPr>
          <w:rFonts w:hint="eastAsia"/>
          <w:color w:val="auto"/>
          <w:highlight w:val="none"/>
        </w:rPr>
      </w:pPr>
    </w:p>
    <w:p>
      <w:pPr>
        <w:rPr>
          <w:color w:val="auto"/>
          <w:highlight w:val="none"/>
        </w:rPr>
      </w:pPr>
    </w:p>
    <w:p>
      <w:pPr>
        <w:pStyle w:val="3"/>
        <w:tabs>
          <w:tab w:val="left" w:pos="2239"/>
        </w:tabs>
        <w:ind w:right="42"/>
        <w:rPr>
          <w:color w:val="auto"/>
          <w:highlight w:val="none"/>
        </w:rPr>
      </w:pPr>
      <w:bookmarkStart w:id="54" w:name="19"/>
      <w:bookmarkEnd w:id="54"/>
      <w:r>
        <w:rPr>
          <w:rFonts w:ascii="宋体" w:hAnsi="宋体" w:eastAsia="宋体" w:cs="宋体"/>
          <w:color w:val="auto"/>
          <w:sz w:val="44"/>
          <w:highlight w:val="none"/>
        </w:rPr>
        <w:t>第三章</w:t>
      </w:r>
      <w:r>
        <w:rPr>
          <w:rFonts w:cs="Calibri"/>
          <w:color w:val="auto"/>
          <w:highlight w:val="none"/>
        </w:rPr>
        <w:tab/>
      </w:r>
      <w:r>
        <w:rPr>
          <w:color w:val="auto"/>
          <w:highlight w:val="none"/>
        </w:rPr>
        <w:t>合同条款及格式</w:t>
      </w:r>
    </w:p>
    <w:p>
      <w:pPr>
        <w:spacing w:after="0"/>
        <w:rPr>
          <w:color w:val="auto"/>
          <w:highlight w:val="none"/>
        </w:rPr>
        <w:sectPr>
          <w:type w:val="continuous"/>
          <w:pgSz w:w="11910" w:h="16850"/>
          <w:pgMar w:top="1460" w:right="1120" w:bottom="1280" w:left="1220" w:header="882" w:footer="1093" w:gutter="0"/>
          <w:cols w:space="720" w:num="1"/>
        </w:sectPr>
      </w:pPr>
    </w:p>
    <w:p>
      <w:pPr>
        <w:pStyle w:val="9"/>
        <w:rPr>
          <w:rFonts w:ascii="黑体"/>
          <w:color w:val="auto"/>
          <w:sz w:val="20"/>
          <w:highlight w:val="none"/>
        </w:rPr>
      </w:pPr>
    </w:p>
    <w:p>
      <w:pPr>
        <w:pStyle w:val="9"/>
        <w:rPr>
          <w:rFonts w:ascii="黑体"/>
          <w:color w:val="auto"/>
          <w:sz w:val="20"/>
          <w:highlight w:val="none"/>
        </w:rPr>
      </w:pPr>
    </w:p>
    <w:p>
      <w:pPr>
        <w:pStyle w:val="9"/>
        <w:rPr>
          <w:rFonts w:ascii="黑体"/>
          <w:color w:val="auto"/>
          <w:sz w:val="20"/>
          <w:highlight w:val="none"/>
        </w:rPr>
      </w:pPr>
    </w:p>
    <w:p>
      <w:pPr>
        <w:pStyle w:val="9"/>
        <w:rPr>
          <w:rFonts w:ascii="黑体"/>
          <w:color w:val="auto"/>
          <w:sz w:val="20"/>
          <w:highlight w:val="none"/>
        </w:rPr>
      </w:pPr>
    </w:p>
    <w:p>
      <w:pPr>
        <w:pStyle w:val="9"/>
        <w:rPr>
          <w:rFonts w:ascii="黑体"/>
          <w:color w:val="auto"/>
          <w:sz w:val="20"/>
          <w:highlight w:val="none"/>
        </w:rPr>
      </w:pPr>
    </w:p>
    <w:p>
      <w:pPr>
        <w:pStyle w:val="9"/>
        <w:rPr>
          <w:rFonts w:ascii="黑体"/>
          <w:color w:val="auto"/>
          <w:sz w:val="20"/>
          <w:highlight w:val="none"/>
        </w:rPr>
      </w:pPr>
    </w:p>
    <w:p>
      <w:pPr>
        <w:pStyle w:val="9"/>
        <w:rPr>
          <w:rFonts w:ascii="黑体"/>
          <w:color w:val="auto"/>
          <w:sz w:val="20"/>
          <w:highlight w:val="none"/>
        </w:rPr>
      </w:pPr>
    </w:p>
    <w:p>
      <w:pPr>
        <w:pStyle w:val="9"/>
        <w:rPr>
          <w:rFonts w:ascii="黑体"/>
          <w:color w:val="auto"/>
          <w:sz w:val="20"/>
          <w:highlight w:val="none"/>
        </w:rPr>
      </w:pPr>
    </w:p>
    <w:p>
      <w:pPr>
        <w:pStyle w:val="9"/>
        <w:rPr>
          <w:rFonts w:ascii="黑体"/>
          <w:color w:val="auto"/>
          <w:sz w:val="20"/>
          <w:highlight w:val="none"/>
        </w:rPr>
      </w:pPr>
    </w:p>
    <w:p>
      <w:pPr>
        <w:pStyle w:val="9"/>
        <w:rPr>
          <w:rFonts w:ascii="黑体"/>
          <w:color w:val="auto"/>
          <w:sz w:val="20"/>
          <w:highlight w:val="none"/>
        </w:rPr>
      </w:pPr>
    </w:p>
    <w:p>
      <w:pPr>
        <w:pStyle w:val="9"/>
        <w:rPr>
          <w:rFonts w:ascii="黑体"/>
          <w:color w:val="auto"/>
          <w:sz w:val="20"/>
          <w:highlight w:val="none"/>
        </w:rPr>
      </w:pPr>
    </w:p>
    <w:p>
      <w:pPr>
        <w:pStyle w:val="9"/>
        <w:rPr>
          <w:rFonts w:ascii="黑体"/>
          <w:color w:val="auto"/>
          <w:sz w:val="20"/>
          <w:highlight w:val="none"/>
        </w:rPr>
      </w:pPr>
    </w:p>
    <w:p>
      <w:pPr>
        <w:pStyle w:val="9"/>
        <w:rPr>
          <w:rFonts w:ascii="黑体"/>
          <w:color w:val="auto"/>
          <w:sz w:val="20"/>
          <w:highlight w:val="none"/>
        </w:rPr>
      </w:pPr>
    </w:p>
    <w:p>
      <w:pPr>
        <w:pStyle w:val="9"/>
        <w:rPr>
          <w:rFonts w:ascii="黑体"/>
          <w:color w:val="auto"/>
          <w:sz w:val="20"/>
          <w:highlight w:val="none"/>
        </w:rPr>
      </w:pPr>
    </w:p>
    <w:p>
      <w:pPr>
        <w:pStyle w:val="9"/>
        <w:rPr>
          <w:rFonts w:ascii="黑体"/>
          <w:color w:val="auto"/>
          <w:sz w:val="20"/>
          <w:highlight w:val="none"/>
        </w:rPr>
      </w:pPr>
    </w:p>
    <w:p>
      <w:pPr>
        <w:pStyle w:val="9"/>
        <w:rPr>
          <w:rFonts w:ascii="黑体"/>
          <w:color w:val="auto"/>
          <w:sz w:val="20"/>
          <w:highlight w:val="none"/>
        </w:rPr>
      </w:pPr>
    </w:p>
    <w:p>
      <w:pPr>
        <w:pStyle w:val="9"/>
        <w:rPr>
          <w:rFonts w:ascii="黑体"/>
          <w:color w:val="auto"/>
          <w:sz w:val="20"/>
          <w:highlight w:val="none"/>
        </w:rPr>
      </w:pPr>
    </w:p>
    <w:p>
      <w:pPr>
        <w:pStyle w:val="9"/>
        <w:rPr>
          <w:rFonts w:ascii="黑体"/>
          <w:color w:val="auto"/>
          <w:sz w:val="20"/>
          <w:highlight w:val="none"/>
        </w:rPr>
      </w:pPr>
    </w:p>
    <w:p>
      <w:pPr>
        <w:pStyle w:val="9"/>
        <w:rPr>
          <w:rFonts w:ascii="黑体"/>
          <w:color w:val="auto"/>
          <w:sz w:val="20"/>
          <w:highlight w:val="none"/>
        </w:rPr>
      </w:pPr>
    </w:p>
    <w:p>
      <w:pPr>
        <w:pStyle w:val="9"/>
        <w:rPr>
          <w:rFonts w:ascii="黑体"/>
          <w:color w:val="auto"/>
          <w:sz w:val="20"/>
          <w:highlight w:val="none"/>
        </w:rPr>
      </w:pPr>
    </w:p>
    <w:p>
      <w:pPr>
        <w:pStyle w:val="9"/>
        <w:spacing w:before="12"/>
        <w:rPr>
          <w:rFonts w:ascii="黑体"/>
          <w:color w:val="auto"/>
          <w:sz w:val="21"/>
          <w:highlight w:val="none"/>
        </w:rPr>
      </w:pPr>
    </w:p>
    <w:p>
      <w:pPr>
        <w:tabs>
          <w:tab w:val="left" w:pos="1607"/>
        </w:tabs>
        <w:spacing w:before="44"/>
        <w:ind w:right="38"/>
        <w:jc w:val="center"/>
        <w:rPr>
          <w:b/>
          <w:color w:val="auto"/>
          <w:sz w:val="40"/>
          <w:highlight w:val="none"/>
        </w:rPr>
      </w:pPr>
      <w:bookmarkStart w:id="55" w:name="_bookmark106"/>
      <w:bookmarkEnd w:id="55"/>
      <w:r>
        <w:rPr>
          <w:b/>
          <w:color w:val="auto"/>
          <w:sz w:val="40"/>
          <w:highlight w:val="none"/>
        </w:rPr>
        <w:t>第一节</w:t>
      </w:r>
      <w:r>
        <w:rPr>
          <w:b/>
          <w:color w:val="auto"/>
          <w:sz w:val="40"/>
          <w:highlight w:val="none"/>
        </w:rPr>
        <w:tab/>
      </w:r>
      <w:r>
        <w:rPr>
          <w:b/>
          <w:color w:val="auto"/>
          <w:sz w:val="40"/>
          <w:highlight w:val="none"/>
        </w:rPr>
        <w:t>通用合同条款</w:t>
      </w:r>
    </w:p>
    <w:p>
      <w:pPr>
        <w:spacing w:after="0"/>
        <w:jc w:val="center"/>
        <w:rPr>
          <w:color w:val="auto"/>
          <w:sz w:val="40"/>
          <w:highlight w:val="none"/>
        </w:rPr>
        <w:sectPr>
          <w:pgSz w:w="11910" w:h="16850"/>
          <w:pgMar w:top="1460" w:right="1120" w:bottom="1280" w:left="1220" w:header="882" w:footer="1093" w:gutter="0"/>
          <w:cols w:space="720" w:num="1"/>
        </w:sectPr>
      </w:pPr>
    </w:p>
    <w:p>
      <w:pPr>
        <w:pStyle w:val="6"/>
        <w:spacing w:before="144"/>
        <w:ind w:left="958" w:right="358" w:firstLine="0"/>
        <w:jc w:val="center"/>
        <w:rPr>
          <w:rFonts w:ascii="宋体" w:hAnsi="宋体" w:eastAsia="宋体"/>
          <w:b w:val="0"/>
          <w:color w:val="auto"/>
          <w:sz w:val="16"/>
          <w:highlight w:val="none"/>
        </w:rPr>
      </w:pPr>
      <w:r>
        <w:rPr>
          <w:color w:val="auto"/>
          <w:highlight w:val="none"/>
        </w:rPr>
        <w:t>通用合同条款</w:t>
      </w:r>
      <w:r>
        <w:rPr>
          <w:rFonts w:hint="eastAsia" w:ascii="宋体" w:hAnsi="宋体" w:eastAsia="宋体"/>
          <w:b w:val="0"/>
          <w:color w:val="auto"/>
          <w:position w:val="15"/>
          <w:sz w:val="16"/>
          <w:highlight w:val="none"/>
        </w:rPr>
        <w:t>①</w:t>
      </w:r>
    </w:p>
    <w:p>
      <w:pPr>
        <w:pStyle w:val="32"/>
        <w:numPr>
          <w:ilvl w:val="0"/>
          <w:numId w:val="3"/>
        </w:numPr>
        <w:tabs>
          <w:tab w:val="left" w:pos="826"/>
        </w:tabs>
        <w:spacing w:before="233" w:after="0" w:line="240" w:lineRule="auto"/>
        <w:ind w:hanging="402"/>
        <w:rPr>
          <w:rFonts w:ascii="黑体" w:eastAsia="黑体"/>
          <w:b/>
          <w:color w:val="auto"/>
          <w:szCs w:val="21"/>
          <w:highlight w:val="none"/>
        </w:rPr>
      </w:pPr>
      <w:bookmarkStart w:id="56" w:name="_bookmark107"/>
      <w:bookmarkEnd w:id="56"/>
      <w:r>
        <w:rPr>
          <w:rFonts w:hint="eastAsia" w:ascii="黑体" w:eastAsia="黑体"/>
          <w:b/>
          <w:color w:val="auto"/>
          <w:w w:val="95"/>
          <w:szCs w:val="21"/>
          <w:highlight w:val="none"/>
        </w:rPr>
        <w:t>一般约定</w:t>
      </w:r>
    </w:p>
    <w:p>
      <w:pPr>
        <w:pStyle w:val="9"/>
        <w:spacing w:before="5"/>
        <w:rPr>
          <w:rFonts w:ascii="黑体"/>
          <w:b/>
          <w:color w:val="auto"/>
          <w:sz w:val="21"/>
          <w:szCs w:val="21"/>
          <w:highlight w:val="none"/>
        </w:rPr>
      </w:pPr>
    </w:p>
    <w:p>
      <w:pPr>
        <w:numPr>
          <w:ilvl w:val="1"/>
          <w:numId w:val="3"/>
        </w:numPr>
        <w:tabs>
          <w:tab w:val="left" w:pos="914"/>
        </w:tabs>
        <w:spacing w:before="71"/>
        <w:rPr>
          <w:rFonts w:ascii="黑体" w:eastAsia="黑体"/>
          <w:b/>
          <w:color w:val="auto"/>
          <w:szCs w:val="21"/>
          <w:highlight w:val="none"/>
        </w:rPr>
      </w:pPr>
      <w:r>
        <w:rPr>
          <w:rFonts w:hint="eastAsia" w:ascii="黑体" w:eastAsia="黑体"/>
          <w:b/>
          <w:color w:val="auto"/>
          <w:szCs w:val="21"/>
          <w:highlight w:val="none"/>
        </w:rPr>
        <w:t>词语定义</w:t>
      </w:r>
    </w:p>
    <w:p>
      <w:pPr>
        <w:spacing w:before="123"/>
        <w:ind w:left="863"/>
        <w:rPr>
          <w:color w:val="auto"/>
          <w:szCs w:val="21"/>
          <w:highlight w:val="none"/>
        </w:rPr>
      </w:pPr>
      <w:r>
        <w:rPr>
          <w:color w:val="auto"/>
          <w:szCs w:val="21"/>
          <w:highlight w:val="none"/>
        </w:rPr>
        <w:t>通用合同条款、专用合同条款中的下列词语应具有本款所赋予的含义。</w:t>
      </w:r>
    </w:p>
    <w:p>
      <w:pPr>
        <w:pStyle w:val="32"/>
        <w:numPr>
          <w:ilvl w:val="2"/>
          <w:numId w:val="3"/>
        </w:numPr>
        <w:tabs>
          <w:tab w:val="left" w:pos="1416"/>
        </w:tabs>
        <w:spacing w:before="138" w:after="0" w:line="240" w:lineRule="auto"/>
        <w:ind w:hanging="553"/>
        <w:rPr>
          <w:color w:val="auto"/>
          <w:szCs w:val="21"/>
          <w:highlight w:val="none"/>
        </w:rPr>
      </w:pPr>
      <w:r>
        <w:rPr>
          <w:color w:val="auto"/>
          <w:szCs w:val="21"/>
          <w:highlight w:val="none"/>
        </w:rPr>
        <w:t>合同</w:t>
      </w:r>
    </w:p>
    <w:p>
      <w:pPr>
        <w:pStyle w:val="32"/>
        <w:numPr>
          <w:ilvl w:val="3"/>
          <w:numId w:val="3"/>
        </w:numPr>
        <w:tabs>
          <w:tab w:val="left" w:pos="1582"/>
        </w:tabs>
        <w:spacing w:before="139" w:after="0" w:line="357" w:lineRule="auto"/>
        <w:ind w:right="461" w:firstLine="439"/>
        <w:jc w:val="both"/>
        <w:rPr>
          <w:color w:val="auto"/>
          <w:szCs w:val="21"/>
          <w:highlight w:val="none"/>
        </w:rPr>
      </w:pPr>
      <w:r>
        <w:rPr>
          <w:color w:val="auto"/>
          <w:spacing w:val="-6"/>
          <w:szCs w:val="21"/>
          <w:highlight w:val="none"/>
        </w:rPr>
        <w:t>合同文件</w:t>
      </w:r>
      <w:r>
        <w:rPr>
          <w:color w:val="auto"/>
          <w:szCs w:val="21"/>
          <w:highlight w:val="none"/>
        </w:rPr>
        <w:t>（</w:t>
      </w:r>
      <w:r>
        <w:rPr>
          <w:color w:val="auto"/>
          <w:spacing w:val="-2"/>
          <w:szCs w:val="21"/>
          <w:highlight w:val="none"/>
        </w:rPr>
        <w:t>或称合同</w:t>
      </w:r>
      <w:r>
        <w:rPr>
          <w:color w:val="auto"/>
          <w:spacing w:val="-111"/>
          <w:szCs w:val="21"/>
          <w:highlight w:val="none"/>
        </w:rPr>
        <w:t>）</w:t>
      </w:r>
      <w:r>
        <w:rPr>
          <w:color w:val="auto"/>
          <w:spacing w:val="-9"/>
          <w:szCs w:val="21"/>
          <w:highlight w:val="none"/>
        </w:rPr>
        <w:t>：指合同协议书、中标通知书、投标函和投标函附录、专用合同条款、通用合同条款、委托人要求、监理报酬清单、监理大纲，以及其他构成合同</w:t>
      </w:r>
      <w:r>
        <w:rPr>
          <w:color w:val="auto"/>
          <w:spacing w:val="-6"/>
          <w:szCs w:val="21"/>
          <w:highlight w:val="none"/>
        </w:rPr>
        <w:t>组成部分的文件。</w:t>
      </w:r>
    </w:p>
    <w:p>
      <w:pPr>
        <w:pStyle w:val="32"/>
        <w:numPr>
          <w:ilvl w:val="3"/>
          <w:numId w:val="3"/>
        </w:numPr>
        <w:tabs>
          <w:tab w:val="left" w:pos="1582"/>
        </w:tabs>
        <w:spacing w:after="0" w:line="240" w:lineRule="auto"/>
        <w:ind w:left="1581" w:hanging="719"/>
        <w:rPr>
          <w:color w:val="auto"/>
          <w:szCs w:val="21"/>
          <w:highlight w:val="none"/>
        </w:rPr>
      </w:pPr>
      <w:r>
        <w:rPr>
          <w:color w:val="auto"/>
          <w:spacing w:val="-3"/>
          <w:szCs w:val="21"/>
          <w:highlight w:val="none"/>
        </w:rPr>
        <w:t>合同协议书：指委托人和监理人共同签署的合同协议书。</w:t>
      </w:r>
    </w:p>
    <w:p>
      <w:pPr>
        <w:pStyle w:val="32"/>
        <w:numPr>
          <w:ilvl w:val="3"/>
          <w:numId w:val="3"/>
        </w:numPr>
        <w:tabs>
          <w:tab w:val="left" w:pos="1582"/>
        </w:tabs>
        <w:spacing w:before="138" w:after="0" w:line="240" w:lineRule="auto"/>
        <w:ind w:left="1581" w:hanging="719"/>
        <w:rPr>
          <w:color w:val="auto"/>
          <w:szCs w:val="21"/>
          <w:highlight w:val="none"/>
        </w:rPr>
      </w:pPr>
      <w:r>
        <w:rPr>
          <w:color w:val="auto"/>
          <w:spacing w:val="-3"/>
          <w:szCs w:val="21"/>
          <w:highlight w:val="none"/>
        </w:rPr>
        <w:t>中标通知书：指委托人通知监理人中标的函件。</w:t>
      </w:r>
    </w:p>
    <w:p>
      <w:pPr>
        <w:pStyle w:val="32"/>
        <w:numPr>
          <w:ilvl w:val="3"/>
          <w:numId w:val="3"/>
        </w:numPr>
        <w:tabs>
          <w:tab w:val="left" w:pos="1582"/>
        </w:tabs>
        <w:spacing w:before="138" w:after="0" w:line="240" w:lineRule="auto"/>
        <w:ind w:left="1581" w:hanging="719"/>
        <w:rPr>
          <w:color w:val="auto"/>
          <w:szCs w:val="21"/>
          <w:highlight w:val="none"/>
        </w:rPr>
      </w:pPr>
      <w:r>
        <w:rPr>
          <w:color w:val="auto"/>
          <w:spacing w:val="-3"/>
          <w:szCs w:val="21"/>
          <w:highlight w:val="none"/>
        </w:rPr>
        <w:t>投标函：指由监理人填写并签署的，名为</w:t>
      </w:r>
      <w:r>
        <w:rPr>
          <w:rFonts w:ascii="Times New Roman" w:hAnsi="Times New Roman" w:eastAsia="Times New Roman"/>
          <w:color w:val="auto"/>
          <w:szCs w:val="21"/>
          <w:highlight w:val="none"/>
        </w:rPr>
        <w:t>“</w:t>
      </w:r>
      <w:r>
        <w:rPr>
          <w:color w:val="auto"/>
          <w:spacing w:val="-1"/>
          <w:szCs w:val="21"/>
          <w:highlight w:val="none"/>
        </w:rPr>
        <w:t>投标函</w:t>
      </w:r>
      <w:r>
        <w:rPr>
          <w:rFonts w:ascii="Times New Roman" w:hAnsi="Times New Roman" w:eastAsia="Times New Roman"/>
          <w:color w:val="auto"/>
          <w:szCs w:val="21"/>
          <w:highlight w:val="none"/>
        </w:rPr>
        <w:t>”</w:t>
      </w:r>
      <w:r>
        <w:rPr>
          <w:color w:val="auto"/>
          <w:spacing w:val="-2"/>
          <w:szCs w:val="21"/>
          <w:highlight w:val="none"/>
        </w:rPr>
        <w:t>的函件。</w:t>
      </w:r>
    </w:p>
    <w:p>
      <w:pPr>
        <w:pStyle w:val="32"/>
        <w:numPr>
          <w:ilvl w:val="3"/>
          <w:numId w:val="3"/>
        </w:numPr>
        <w:tabs>
          <w:tab w:val="left" w:pos="1582"/>
        </w:tabs>
        <w:spacing w:before="139" w:after="0" w:line="357" w:lineRule="auto"/>
        <w:ind w:right="460" w:firstLine="439"/>
        <w:rPr>
          <w:color w:val="auto"/>
          <w:szCs w:val="21"/>
          <w:highlight w:val="none"/>
        </w:rPr>
      </w:pPr>
      <w:r>
        <w:rPr>
          <w:color w:val="auto"/>
          <w:szCs w:val="21"/>
          <w:highlight w:val="none"/>
        </w:rPr>
        <w:t>投标函附录：指由监理人填写并签署的、附在投标函后，名为</w:t>
      </w:r>
      <w:r>
        <w:rPr>
          <w:rFonts w:ascii="Times New Roman" w:hAnsi="Times New Roman" w:eastAsia="Times New Roman"/>
          <w:color w:val="auto"/>
          <w:spacing w:val="3"/>
          <w:szCs w:val="21"/>
          <w:highlight w:val="none"/>
        </w:rPr>
        <w:t>“</w:t>
      </w:r>
      <w:r>
        <w:rPr>
          <w:color w:val="auto"/>
          <w:szCs w:val="21"/>
          <w:highlight w:val="none"/>
        </w:rPr>
        <w:t>投标函附录</w:t>
      </w:r>
      <w:r>
        <w:rPr>
          <w:rFonts w:ascii="Times New Roman" w:hAnsi="Times New Roman" w:eastAsia="Times New Roman"/>
          <w:color w:val="auto"/>
          <w:szCs w:val="21"/>
          <w:highlight w:val="none"/>
        </w:rPr>
        <w:t>”</w:t>
      </w:r>
      <w:r>
        <w:rPr>
          <w:color w:val="auto"/>
          <w:spacing w:val="-12"/>
          <w:szCs w:val="21"/>
          <w:highlight w:val="none"/>
        </w:rPr>
        <w:t>的</w:t>
      </w:r>
      <w:r>
        <w:rPr>
          <w:color w:val="auto"/>
          <w:szCs w:val="21"/>
          <w:highlight w:val="none"/>
        </w:rPr>
        <w:t>函件。</w:t>
      </w:r>
    </w:p>
    <w:p>
      <w:pPr>
        <w:pStyle w:val="32"/>
        <w:numPr>
          <w:ilvl w:val="3"/>
          <w:numId w:val="3"/>
        </w:numPr>
        <w:tabs>
          <w:tab w:val="left" w:pos="1582"/>
        </w:tabs>
        <w:spacing w:after="0" w:line="240" w:lineRule="auto"/>
        <w:ind w:left="1581" w:hanging="719"/>
        <w:rPr>
          <w:color w:val="auto"/>
          <w:szCs w:val="21"/>
          <w:highlight w:val="none"/>
        </w:rPr>
      </w:pPr>
      <w:r>
        <w:rPr>
          <w:color w:val="auto"/>
          <w:spacing w:val="-3"/>
          <w:szCs w:val="21"/>
          <w:highlight w:val="none"/>
        </w:rPr>
        <w:t>委托人要求：指合同文件中名为</w:t>
      </w:r>
      <w:r>
        <w:rPr>
          <w:rFonts w:ascii="Times New Roman" w:hAnsi="Times New Roman" w:eastAsia="Times New Roman"/>
          <w:color w:val="auto"/>
          <w:szCs w:val="21"/>
          <w:highlight w:val="none"/>
        </w:rPr>
        <w:t>“</w:t>
      </w:r>
      <w:r>
        <w:rPr>
          <w:color w:val="auto"/>
          <w:spacing w:val="-3"/>
          <w:szCs w:val="21"/>
          <w:highlight w:val="none"/>
        </w:rPr>
        <w:t>委托人要求</w:t>
      </w:r>
      <w:r>
        <w:rPr>
          <w:rFonts w:ascii="Times New Roman" w:hAnsi="Times New Roman" w:eastAsia="Times New Roman"/>
          <w:color w:val="auto"/>
          <w:szCs w:val="21"/>
          <w:highlight w:val="none"/>
        </w:rPr>
        <w:t>”</w:t>
      </w:r>
      <w:r>
        <w:rPr>
          <w:color w:val="auto"/>
          <w:spacing w:val="-2"/>
          <w:szCs w:val="21"/>
          <w:highlight w:val="none"/>
        </w:rPr>
        <w:t>的文件。</w:t>
      </w:r>
    </w:p>
    <w:p>
      <w:pPr>
        <w:pStyle w:val="32"/>
        <w:numPr>
          <w:ilvl w:val="3"/>
          <w:numId w:val="3"/>
        </w:numPr>
        <w:tabs>
          <w:tab w:val="left" w:pos="1582"/>
        </w:tabs>
        <w:spacing w:before="138" w:after="0" w:line="240" w:lineRule="auto"/>
        <w:ind w:left="1581" w:hanging="719"/>
        <w:rPr>
          <w:color w:val="auto"/>
          <w:szCs w:val="21"/>
          <w:highlight w:val="none"/>
        </w:rPr>
      </w:pPr>
      <w:r>
        <w:rPr>
          <w:color w:val="auto"/>
          <w:spacing w:val="-3"/>
          <w:szCs w:val="21"/>
          <w:highlight w:val="none"/>
        </w:rPr>
        <w:t>监理大纲：指监理人在投标文件中的监理大纲。</w:t>
      </w:r>
    </w:p>
    <w:p>
      <w:pPr>
        <w:pStyle w:val="32"/>
        <w:numPr>
          <w:ilvl w:val="3"/>
          <w:numId w:val="3"/>
        </w:numPr>
        <w:tabs>
          <w:tab w:val="left" w:pos="1582"/>
        </w:tabs>
        <w:spacing w:before="138" w:after="0" w:line="240" w:lineRule="auto"/>
        <w:ind w:left="1581" w:hanging="719"/>
        <w:rPr>
          <w:color w:val="auto"/>
          <w:szCs w:val="21"/>
          <w:highlight w:val="none"/>
        </w:rPr>
      </w:pPr>
      <w:r>
        <w:rPr>
          <w:color w:val="auto"/>
          <w:spacing w:val="-3"/>
          <w:szCs w:val="21"/>
          <w:highlight w:val="none"/>
        </w:rPr>
        <w:t>监理报酬清单：指监理人投标文件中的监理报酬清单。</w:t>
      </w:r>
    </w:p>
    <w:p>
      <w:pPr>
        <w:pStyle w:val="32"/>
        <w:numPr>
          <w:ilvl w:val="3"/>
          <w:numId w:val="3"/>
        </w:numPr>
        <w:tabs>
          <w:tab w:val="left" w:pos="1582"/>
        </w:tabs>
        <w:spacing w:before="138" w:after="0" w:line="240" w:lineRule="auto"/>
        <w:ind w:left="1581" w:hanging="719"/>
        <w:rPr>
          <w:color w:val="auto"/>
          <w:szCs w:val="21"/>
          <w:highlight w:val="none"/>
        </w:rPr>
      </w:pPr>
      <w:r>
        <w:rPr>
          <w:color w:val="auto"/>
          <w:spacing w:val="-3"/>
          <w:szCs w:val="21"/>
          <w:highlight w:val="none"/>
        </w:rPr>
        <w:t>其他合同文件：指经合同双方当事人确认构成合同文件的其他文件。</w:t>
      </w:r>
    </w:p>
    <w:p>
      <w:pPr>
        <w:pStyle w:val="32"/>
        <w:numPr>
          <w:ilvl w:val="2"/>
          <w:numId w:val="3"/>
        </w:numPr>
        <w:tabs>
          <w:tab w:val="left" w:pos="1416"/>
        </w:tabs>
        <w:spacing w:before="138" w:after="0" w:line="240" w:lineRule="auto"/>
        <w:ind w:hanging="553"/>
        <w:rPr>
          <w:color w:val="auto"/>
          <w:szCs w:val="21"/>
          <w:highlight w:val="none"/>
        </w:rPr>
      </w:pPr>
      <w:r>
        <w:rPr>
          <w:color w:val="auto"/>
          <w:spacing w:val="-3"/>
          <w:szCs w:val="21"/>
          <w:highlight w:val="none"/>
        </w:rPr>
        <w:t>合同当事人和人员</w:t>
      </w:r>
    </w:p>
    <w:p>
      <w:pPr>
        <w:pStyle w:val="32"/>
        <w:numPr>
          <w:ilvl w:val="3"/>
          <w:numId w:val="3"/>
        </w:numPr>
        <w:tabs>
          <w:tab w:val="left" w:pos="1582"/>
        </w:tabs>
        <w:spacing w:before="139" w:after="0" w:line="240" w:lineRule="auto"/>
        <w:ind w:left="1581" w:hanging="719"/>
        <w:rPr>
          <w:color w:val="auto"/>
          <w:szCs w:val="21"/>
          <w:highlight w:val="none"/>
        </w:rPr>
      </w:pPr>
      <w:r>
        <w:rPr>
          <w:color w:val="auto"/>
          <w:spacing w:val="-3"/>
          <w:szCs w:val="21"/>
          <w:highlight w:val="none"/>
        </w:rPr>
        <w:t>合同当事人：指委托人和</w:t>
      </w:r>
      <w:r>
        <w:rPr>
          <w:color w:val="auto"/>
          <w:szCs w:val="21"/>
          <w:highlight w:val="none"/>
        </w:rPr>
        <w:t>（或</w:t>
      </w:r>
      <w:r>
        <w:rPr>
          <w:color w:val="auto"/>
          <w:spacing w:val="-3"/>
          <w:szCs w:val="21"/>
          <w:highlight w:val="none"/>
        </w:rPr>
        <w:t>）</w:t>
      </w:r>
      <w:r>
        <w:rPr>
          <w:color w:val="auto"/>
          <w:spacing w:val="-1"/>
          <w:szCs w:val="21"/>
          <w:highlight w:val="none"/>
        </w:rPr>
        <w:t>监理人。</w:t>
      </w:r>
    </w:p>
    <w:p>
      <w:pPr>
        <w:pStyle w:val="32"/>
        <w:numPr>
          <w:ilvl w:val="3"/>
          <w:numId w:val="3"/>
        </w:numPr>
        <w:tabs>
          <w:tab w:val="left" w:pos="1582"/>
        </w:tabs>
        <w:spacing w:before="138" w:after="0" w:line="240" w:lineRule="auto"/>
        <w:ind w:left="1581" w:hanging="719"/>
        <w:rPr>
          <w:color w:val="auto"/>
          <w:szCs w:val="21"/>
          <w:highlight w:val="none"/>
        </w:rPr>
      </w:pPr>
      <w:r>
        <w:rPr>
          <w:color w:val="auto"/>
          <w:spacing w:val="-3"/>
          <w:szCs w:val="21"/>
          <w:highlight w:val="none"/>
        </w:rPr>
        <w:t>委托人：指与监理人签订合同协议书的当事人，及其合法继承人。</w:t>
      </w:r>
    </w:p>
    <w:p>
      <w:pPr>
        <w:pStyle w:val="32"/>
        <w:numPr>
          <w:ilvl w:val="3"/>
          <w:numId w:val="3"/>
        </w:numPr>
        <w:tabs>
          <w:tab w:val="left" w:pos="1582"/>
        </w:tabs>
        <w:spacing w:before="138" w:after="0" w:line="240" w:lineRule="auto"/>
        <w:ind w:left="1581" w:hanging="719"/>
        <w:rPr>
          <w:color w:val="auto"/>
          <w:szCs w:val="21"/>
          <w:highlight w:val="none"/>
        </w:rPr>
      </w:pPr>
      <w:r>
        <w:rPr>
          <w:color w:val="auto"/>
          <w:spacing w:val="-3"/>
          <w:szCs w:val="21"/>
          <w:highlight w:val="none"/>
        </w:rPr>
        <w:t>监理人：指与委托人签订合同协议书的当事人，及其合法继承人。</w:t>
      </w:r>
    </w:p>
    <w:p>
      <w:pPr>
        <w:pStyle w:val="32"/>
        <w:numPr>
          <w:ilvl w:val="3"/>
          <w:numId w:val="3"/>
        </w:numPr>
        <w:tabs>
          <w:tab w:val="left" w:pos="1582"/>
        </w:tabs>
        <w:spacing w:before="139" w:after="0" w:line="357" w:lineRule="auto"/>
        <w:ind w:right="464" w:firstLine="439"/>
        <w:rPr>
          <w:color w:val="auto"/>
          <w:szCs w:val="21"/>
          <w:highlight w:val="none"/>
        </w:rPr>
      </w:pPr>
      <w:r>
        <w:rPr>
          <w:color w:val="auto"/>
          <w:spacing w:val="-1"/>
          <w:szCs w:val="21"/>
          <w:highlight w:val="none"/>
        </w:rPr>
        <w:t>委托人代表：指由委托人任命，并在授权范围和期限内代表委托人行使权利和</w:t>
      </w:r>
      <w:r>
        <w:rPr>
          <w:color w:val="auto"/>
          <w:spacing w:val="-3"/>
          <w:szCs w:val="21"/>
          <w:highlight w:val="none"/>
        </w:rPr>
        <w:t>履行义务的全权负责人。</w:t>
      </w:r>
    </w:p>
    <w:p>
      <w:pPr>
        <w:pStyle w:val="32"/>
        <w:numPr>
          <w:ilvl w:val="3"/>
          <w:numId w:val="3"/>
        </w:numPr>
        <w:tabs>
          <w:tab w:val="left" w:pos="1582"/>
        </w:tabs>
        <w:spacing w:after="0" w:line="357" w:lineRule="auto"/>
        <w:ind w:right="464" w:firstLine="439"/>
        <w:rPr>
          <w:color w:val="auto"/>
          <w:szCs w:val="21"/>
          <w:highlight w:val="none"/>
        </w:rPr>
      </w:pPr>
      <w:r>
        <w:rPr>
          <w:color w:val="auto"/>
          <w:spacing w:val="-1"/>
          <w:szCs w:val="21"/>
          <w:highlight w:val="none"/>
        </w:rPr>
        <w:t>总监理工程师：指由监理人任命，代表监理人行使权利和履行义务的全权负责</w:t>
      </w:r>
      <w:r>
        <w:rPr>
          <w:color w:val="auto"/>
          <w:szCs w:val="21"/>
          <w:highlight w:val="none"/>
        </w:rPr>
        <w:t>人。</w:t>
      </w:r>
    </w:p>
    <w:p>
      <w:pPr>
        <w:pStyle w:val="32"/>
        <w:numPr>
          <w:ilvl w:val="3"/>
          <w:numId w:val="3"/>
        </w:numPr>
        <w:tabs>
          <w:tab w:val="left" w:pos="1582"/>
        </w:tabs>
        <w:spacing w:after="0" w:line="357" w:lineRule="auto"/>
        <w:ind w:right="464" w:firstLine="439"/>
        <w:rPr>
          <w:color w:val="auto"/>
          <w:szCs w:val="21"/>
          <w:highlight w:val="none"/>
        </w:rPr>
      </w:pPr>
      <w:r>
        <w:rPr>
          <w:color w:val="auto"/>
          <w:spacing w:val="-1"/>
          <w:szCs w:val="21"/>
          <w:highlight w:val="none"/>
        </w:rPr>
        <w:t>承包人：指在本工程监理范围内，与委托人签订勘察、设计、施工承包合同的</w:t>
      </w:r>
      <w:r>
        <w:rPr>
          <w:color w:val="auto"/>
          <w:szCs w:val="21"/>
          <w:highlight w:val="none"/>
        </w:rPr>
        <w:t>当事人。</w:t>
      </w:r>
    </w:p>
    <w:p>
      <w:pPr>
        <w:pStyle w:val="32"/>
        <w:numPr>
          <w:ilvl w:val="2"/>
          <w:numId w:val="3"/>
        </w:numPr>
        <w:tabs>
          <w:tab w:val="left" w:pos="1416"/>
        </w:tabs>
        <w:spacing w:after="0" w:line="240" w:lineRule="auto"/>
        <w:ind w:hanging="553"/>
        <w:rPr>
          <w:color w:val="auto"/>
          <w:szCs w:val="21"/>
          <w:highlight w:val="none"/>
        </w:rPr>
      </w:pPr>
      <w:r>
        <w:rPr>
          <w:color w:val="auto"/>
          <w:spacing w:val="-2"/>
          <w:szCs w:val="21"/>
          <w:highlight w:val="none"/>
        </w:rPr>
        <w:t>工程和监理</w:t>
      </w:r>
    </w:p>
    <w:p>
      <w:pPr>
        <w:pStyle w:val="32"/>
        <w:numPr>
          <w:ilvl w:val="3"/>
          <w:numId w:val="3"/>
        </w:numPr>
        <w:tabs>
          <w:tab w:val="left" w:pos="1582"/>
        </w:tabs>
        <w:spacing w:before="138" w:after="0" w:line="240" w:lineRule="auto"/>
        <w:ind w:left="1581" w:hanging="719"/>
        <w:rPr>
          <w:color w:val="auto"/>
          <w:szCs w:val="21"/>
          <w:highlight w:val="none"/>
        </w:rPr>
      </w:pPr>
      <w:r>
        <w:rPr>
          <w:color w:val="auto"/>
          <w:spacing w:val="-3"/>
          <w:szCs w:val="21"/>
          <w:highlight w:val="none"/>
        </w:rPr>
        <w:t>工程：指永久工程和</w:t>
      </w:r>
      <w:r>
        <w:rPr>
          <w:color w:val="auto"/>
          <w:szCs w:val="21"/>
          <w:highlight w:val="none"/>
        </w:rPr>
        <w:t>（</w:t>
      </w:r>
      <w:r>
        <w:rPr>
          <w:color w:val="auto"/>
          <w:spacing w:val="-3"/>
          <w:szCs w:val="21"/>
          <w:highlight w:val="none"/>
        </w:rPr>
        <w:t>或</w:t>
      </w:r>
      <w:r>
        <w:rPr>
          <w:color w:val="auto"/>
          <w:szCs w:val="21"/>
          <w:highlight w:val="none"/>
        </w:rPr>
        <w:t>）</w:t>
      </w:r>
      <w:r>
        <w:rPr>
          <w:color w:val="auto"/>
          <w:spacing w:val="-2"/>
          <w:szCs w:val="21"/>
          <w:highlight w:val="none"/>
        </w:rPr>
        <w:t>临时工程。</w:t>
      </w:r>
    </w:p>
    <w:p>
      <w:pPr>
        <w:pStyle w:val="32"/>
        <w:numPr>
          <w:ilvl w:val="3"/>
          <w:numId w:val="3"/>
        </w:numPr>
        <w:tabs>
          <w:tab w:val="left" w:pos="1582"/>
        </w:tabs>
        <w:spacing w:after="0" w:line="357" w:lineRule="auto"/>
        <w:ind w:right="464" w:firstLine="439"/>
        <w:jc w:val="both"/>
        <w:rPr>
          <w:color w:val="auto"/>
          <w:spacing w:val="-1"/>
          <w:szCs w:val="21"/>
          <w:highlight w:val="none"/>
        </w:rPr>
      </w:pPr>
      <w:r>
        <w:rPr>
          <w:color w:val="auto"/>
          <w:spacing w:val="-1"/>
          <w:szCs w:val="21"/>
          <w:highlight w:val="none"/>
        </w:rPr>
        <w:t>监理服务：指监理人接受委托人的委托，依照法律、规范标准和监理合同等，对建设工程勘察、设计或施工等阶段进行质量控制、进度控制、投资控制、合同管理、信息管理、组织协调和安全监理、环保监理的服务活动。</w:t>
      </w:r>
    </w:p>
    <w:p>
      <w:pPr>
        <w:pStyle w:val="32"/>
        <w:numPr>
          <w:ilvl w:val="3"/>
          <w:numId w:val="3"/>
        </w:numPr>
        <w:tabs>
          <w:tab w:val="left" w:pos="1582"/>
        </w:tabs>
        <w:spacing w:after="0" w:line="357" w:lineRule="auto"/>
        <w:ind w:right="464" w:firstLine="439"/>
        <w:jc w:val="both"/>
        <w:rPr>
          <w:color w:val="auto"/>
          <w:szCs w:val="21"/>
          <w:highlight w:val="none"/>
        </w:rPr>
      </w:pPr>
      <w:r>
        <w:rPr>
          <w:color w:val="auto"/>
          <w:spacing w:val="-1"/>
          <w:szCs w:val="21"/>
          <w:highlight w:val="none"/>
        </w:rPr>
        <w:t>监理资料：是委托人按合同约定向监理人提供的，用于完成监理范围与内容所需要的资料。</w:t>
      </w:r>
    </w:p>
    <w:p>
      <w:pPr>
        <w:pStyle w:val="32"/>
        <w:numPr>
          <w:ilvl w:val="3"/>
          <w:numId w:val="3"/>
        </w:numPr>
        <w:tabs>
          <w:tab w:val="left" w:pos="1582"/>
        </w:tabs>
        <w:spacing w:after="0" w:line="357" w:lineRule="auto"/>
        <w:ind w:right="463" w:firstLine="439"/>
        <w:jc w:val="both"/>
        <w:rPr>
          <w:color w:val="auto"/>
          <w:szCs w:val="21"/>
          <w:highlight w:val="none"/>
        </w:rPr>
      </w:pPr>
      <w:r>
        <w:rPr>
          <w:color w:val="auto"/>
          <w:spacing w:val="-1"/>
          <w:szCs w:val="21"/>
          <w:highlight w:val="none"/>
        </w:rPr>
        <w:t>监理文件：指监理人按合同约定向委托人提交的监理大纲、监理规划、监理实</w:t>
      </w:r>
      <w:r>
        <w:rPr>
          <w:color w:val="auto"/>
          <w:szCs w:val="21"/>
          <w:highlight w:val="none"/>
        </w:rPr>
        <w:t>施细则、监理日志、监理报告、工程质量评估报告、事故处理文件、监理工作总结和其他</w:t>
      </w:r>
      <w:r>
        <w:rPr>
          <w:color w:val="auto"/>
          <w:spacing w:val="-3"/>
          <w:szCs w:val="21"/>
          <w:highlight w:val="none"/>
        </w:rPr>
        <w:t>文件等，包括阶段性文件和最终文件，且应当采用合同中双方约定的格式和载体。</w:t>
      </w:r>
    </w:p>
    <w:p>
      <w:pPr>
        <w:pStyle w:val="32"/>
        <w:numPr>
          <w:ilvl w:val="2"/>
          <w:numId w:val="3"/>
        </w:numPr>
        <w:tabs>
          <w:tab w:val="left" w:pos="1416"/>
        </w:tabs>
        <w:spacing w:after="0" w:line="240" w:lineRule="auto"/>
        <w:ind w:hanging="553"/>
        <w:rPr>
          <w:color w:val="auto"/>
          <w:szCs w:val="21"/>
          <w:highlight w:val="none"/>
        </w:rPr>
      </w:pPr>
      <w:r>
        <w:rPr>
          <w:color w:val="auto"/>
          <w:szCs w:val="21"/>
          <w:highlight w:val="none"/>
        </w:rPr>
        <w:t>日期</w:t>
      </w:r>
    </w:p>
    <w:p>
      <w:pPr>
        <w:pStyle w:val="32"/>
        <w:numPr>
          <w:ilvl w:val="3"/>
          <w:numId w:val="3"/>
        </w:numPr>
        <w:tabs>
          <w:tab w:val="left" w:pos="1582"/>
        </w:tabs>
        <w:spacing w:before="138" w:after="0" w:line="240" w:lineRule="auto"/>
        <w:ind w:left="1581" w:hanging="719"/>
        <w:rPr>
          <w:color w:val="auto"/>
          <w:szCs w:val="21"/>
          <w:highlight w:val="none"/>
        </w:rPr>
      </w:pPr>
      <w:r>
        <w:rPr>
          <w:color w:val="auto"/>
          <w:spacing w:val="-7"/>
          <w:szCs w:val="21"/>
          <w:highlight w:val="none"/>
        </w:rPr>
        <w:t xml:space="preserve">开始监理通知：指委托人按第 </w:t>
      </w:r>
      <w:r>
        <w:rPr>
          <w:rFonts w:ascii="Times New Roman" w:eastAsia="Times New Roman"/>
          <w:color w:val="auto"/>
          <w:szCs w:val="21"/>
          <w:highlight w:val="none"/>
        </w:rPr>
        <w:t>6.1</w:t>
      </w:r>
      <w:r>
        <w:rPr>
          <w:rFonts w:ascii="Times New Roman" w:eastAsia="Times New Roman"/>
          <w:color w:val="auto"/>
          <w:spacing w:val="1"/>
          <w:szCs w:val="21"/>
          <w:highlight w:val="none"/>
        </w:rPr>
        <w:t xml:space="preserve"> </w:t>
      </w:r>
      <w:r>
        <w:rPr>
          <w:color w:val="auto"/>
          <w:spacing w:val="-3"/>
          <w:szCs w:val="21"/>
          <w:highlight w:val="none"/>
        </w:rPr>
        <w:t>款通知监理人开始监理的函件。</w:t>
      </w:r>
    </w:p>
    <w:p>
      <w:pPr>
        <w:pStyle w:val="32"/>
        <w:numPr>
          <w:ilvl w:val="3"/>
          <w:numId w:val="3"/>
        </w:numPr>
        <w:tabs>
          <w:tab w:val="left" w:pos="1582"/>
        </w:tabs>
        <w:spacing w:before="138" w:after="0" w:line="357" w:lineRule="auto"/>
        <w:ind w:right="463" w:firstLine="439"/>
        <w:rPr>
          <w:color w:val="auto"/>
          <w:szCs w:val="21"/>
          <w:highlight w:val="none"/>
        </w:rPr>
      </w:pPr>
      <w:r>
        <w:rPr>
          <w:color w:val="auto"/>
          <w:spacing w:val="-3"/>
          <w:szCs w:val="21"/>
          <w:highlight w:val="none"/>
        </w:rPr>
        <w:t xml:space="preserve">开始监理日期：指委托人按第 </w:t>
      </w:r>
      <w:r>
        <w:rPr>
          <w:rFonts w:ascii="Times New Roman" w:eastAsia="Times New Roman"/>
          <w:color w:val="auto"/>
          <w:szCs w:val="21"/>
          <w:highlight w:val="none"/>
        </w:rPr>
        <w:t>6.1</w:t>
      </w:r>
      <w:r>
        <w:rPr>
          <w:rFonts w:ascii="Times New Roman" w:eastAsia="Times New Roman"/>
          <w:color w:val="auto"/>
          <w:spacing w:val="4"/>
          <w:szCs w:val="21"/>
          <w:highlight w:val="none"/>
        </w:rPr>
        <w:t xml:space="preserve"> </w:t>
      </w:r>
      <w:r>
        <w:rPr>
          <w:color w:val="auto"/>
          <w:spacing w:val="-3"/>
          <w:szCs w:val="21"/>
          <w:highlight w:val="none"/>
        </w:rPr>
        <w:t>款发出的开始监理通知中写明的开始监理日期。</w:t>
      </w:r>
    </w:p>
    <w:p>
      <w:pPr>
        <w:pStyle w:val="32"/>
        <w:numPr>
          <w:ilvl w:val="3"/>
          <w:numId w:val="3"/>
        </w:numPr>
        <w:tabs>
          <w:tab w:val="left" w:pos="1582"/>
        </w:tabs>
        <w:spacing w:after="0" w:line="357" w:lineRule="auto"/>
        <w:ind w:right="464" w:firstLine="439"/>
        <w:rPr>
          <w:color w:val="auto"/>
          <w:szCs w:val="21"/>
          <w:highlight w:val="none"/>
        </w:rPr>
      </w:pPr>
      <w:r>
        <w:rPr>
          <w:color w:val="auto"/>
          <w:spacing w:val="-1"/>
          <w:szCs w:val="21"/>
          <w:highlight w:val="none"/>
        </w:rPr>
        <w:t>监理服务期限：指监理人在投标函中承诺的完成合同监理服务所需的期限，包</w:t>
      </w:r>
      <w:r>
        <w:rPr>
          <w:color w:val="auto"/>
          <w:spacing w:val="-14"/>
          <w:szCs w:val="21"/>
          <w:highlight w:val="none"/>
        </w:rPr>
        <w:t xml:space="preserve">括按第 </w:t>
      </w:r>
      <w:r>
        <w:rPr>
          <w:rFonts w:ascii="Times New Roman" w:eastAsia="Times New Roman"/>
          <w:color w:val="auto"/>
          <w:szCs w:val="21"/>
          <w:highlight w:val="none"/>
        </w:rPr>
        <w:t xml:space="preserve">6.2 </w:t>
      </w:r>
      <w:r>
        <w:rPr>
          <w:color w:val="auto"/>
          <w:spacing w:val="-3"/>
          <w:szCs w:val="21"/>
          <w:highlight w:val="none"/>
        </w:rPr>
        <w:t>款约定所做的调整。</w:t>
      </w:r>
    </w:p>
    <w:p>
      <w:pPr>
        <w:pStyle w:val="32"/>
        <w:numPr>
          <w:ilvl w:val="3"/>
          <w:numId w:val="3"/>
        </w:numPr>
        <w:tabs>
          <w:tab w:val="left" w:pos="1582"/>
        </w:tabs>
        <w:spacing w:after="0" w:line="240" w:lineRule="auto"/>
        <w:ind w:left="1581" w:hanging="719"/>
        <w:rPr>
          <w:color w:val="auto"/>
          <w:szCs w:val="21"/>
          <w:highlight w:val="none"/>
        </w:rPr>
      </w:pPr>
      <w:r>
        <w:rPr>
          <w:color w:val="auto"/>
          <w:spacing w:val="-9"/>
          <w:szCs w:val="21"/>
          <w:highlight w:val="none"/>
        </w:rPr>
        <w:t xml:space="preserve">完成监理日期：指第 </w:t>
      </w:r>
      <w:r>
        <w:rPr>
          <w:rFonts w:ascii="Times New Roman" w:eastAsia="Times New Roman"/>
          <w:color w:val="auto"/>
          <w:szCs w:val="21"/>
          <w:highlight w:val="none"/>
        </w:rPr>
        <w:t>1.1.4.3</w:t>
      </w:r>
      <w:r>
        <w:rPr>
          <w:rFonts w:ascii="Times New Roman" w:eastAsia="Times New Roman"/>
          <w:color w:val="auto"/>
          <w:spacing w:val="1"/>
          <w:szCs w:val="21"/>
          <w:highlight w:val="none"/>
        </w:rPr>
        <w:t xml:space="preserve"> </w:t>
      </w:r>
      <w:r>
        <w:rPr>
          <w:color w:val="auto"/>
          <w:spacing w:val="-3"/>
          <w:szCs w:val="21"/>
          <w:highlight w:val="none"/>
        </w:rPr>
        <w:t>目约定监理服务期限届满时的日期。</w:t>
      </w:r>
    </w:p>
    <w:p>
      <w:pPr>
        <w:pStyle w:val="32"/>
        <w:numPr>
          <w:ilvl w:val="3"/>
          <w:numId w:val="3"/>
        </w:numPr>
        <w:tabs>
          <w:tab w:val="left" w:pos="1582"/>
        </w:tabs>
        <w:spacing w:before="139" w:after="0" w:line="240" w:lineRule="auto"/>
        <w:ind w:left="1581" w:hanging="719"/>
        <w:rPr>
          <w:color w:val="auto"/>
          <w:szCs w:val="21"/>
          <w:highlight w:val="none"/>
        </w:rPr>
      </w:pPr>
      <w:r>
        <w:rPr>
          <w:color w:val="auto"/>
          <w:spacing w:val="-7"/>
          <w:szCs w:val="21"/>
          <w:highlight w:val="none"/>
        </w:rPr>
        <w:t xml:space="preserve">基准日：指投标截止时间前 </w:t>
      </w:r>
      <w:r>
        <w:rPr>
          <w:rFonts w:ascii="Times New Roman" w:eastAsia="Times New Roman"/>
          <w:color w:val="auto"/>
          <w:szCs w:val="21"/>
          <w:highlight w:val="none"/>
        </w:rPr>
        <w:t xml:space="preserve">28 </w:t>
      </w:r>
      <w:r>
        <w:rPr>
          <w:color w:val="auto"/>
          <w:spacing w:val="-3"/>
          <w:szCs w:val="21"/>
          <w:highlight w:val="none"/>
        </w:rPr>
        <w:t>天的日期。</w:t>
      </w:r>
    </w:p>
    <w:p>
      <w:pPr>
        <w:pStyle w:val="32"/>
        <w:numPr>
          <w:ilvl w:val="3"/>
          <w:numId w:val="3"/>
        </w:numPr>
        <w:tabs>
          <w:tab w:val="left" w:pos="1582"/>
        </w:tabs>
        <w:spacing w:before="138" w:after="0" w:line="357" w:lineRule="auto"/>
        <w:ind w:right="464" w:firstLine="439"/>
        <w:rPr>
          <w:color w:val="auto"/>
          <w:szCs w:val="21"/>
          <w:highlight w:val="none"/>
        </w:rPr>
      </w:pPr>
      <w:r>
        <w:rPr>
          <w:color w:val="auto"/>
          <w:spacing w:val="-1"/>
          <w:szCs w:val="21"/>
          <w:highlight w:val="none"/>
        </w:rPr>
        <w:t>天：除特别指明外，指日历天。合同中按天计算时间的，开始当天不计入，从</w:t>
      </w:r>
      <w:r>
        <w:rPr>
          <w:color w:val="auto"/>
          <w:spacing w:val="-6"/>
          <w:szCs w:val="21"/>
          <w:highlight w:val="none"/>
        </w:rPr>
        <w:t xml:space="preserve">次日开始计算。期限最后一天的截止时间为当天 </w:t>
      </w:r>
      <w:r>
        <w:rPr>
          <w:rFonts w:ascii="Times New Roman" w:eastAsia="Times New Roman"/>
          <w:color w:val="auto"/>
          <w:szCs w:val="21"/>
          <w:highlight w:val="none"/>
        </w:rPr>
        <w:t>24:00</w:t>
      </w:r>
      <w:r>
        <w:rPr>
          <w:color w:val="auto"/>
          <w:szCs w:val="21"/>
          <w:highlight w:val="none"/>
        </w:rPr>
        <w:t>。</w:t>
      </w:r>
    </w:p>
    <w:p>
      <w:pPr>
        <w:pStyle w:val="32"/>
        <w:numPr>
          <w:ilvl w:val="2"/>
          <w:numId w:val="3"/>
        </w:numPr>
        <w:tabs>
          <w:tab w:val="left" w:pos="1416"/>
        </w:tabs>
        <w:spacing w:after="0" w:line="240" w:lineRule="auto"/>
        <w:ind w:hanging="553"/>
        <w:rPr>
          <w:color w:val="auto"/>
          <w:szCs w:val="21"/>
          <w:highlight w:val="none"/>
        </w:rPr>
      </w:pPr>
      <w:r>
        <w:rPr>
          <w:color w:val="auto"/>
          <w:spacing w:val="-3"/>
          <w:szCs w:val="21"/>
          <w:highlight w:val="none"/>
        </w:rPr>
        <w:t>合同价格和费用</w:t>
      </w:r>
    </w:p>
    <w:p>
      <w:pPr>
        <w:pStyle w:val="32"/>
        <w:numPr>
          <w:ilvl w:val="3"/>
          <w:numId w:val="3"/>
        </w:numPr>
        <w:tabs>
          <w:tab w:val="left" w:pos="1582"/>
        </w:tabs>
        <w:spacing w:before="138" w:after="0" w:line="240" w:lineRule="auto"/>
        <w:ind w:left="1581" w:hanging="719"/>
        <w:rPr>
          <w:color w:val="auto"/>
          <w:szCs w:val="21"/>
          <w:highlight w:val="none"/>
        </w:rPr>
      </w:pPr>
      <w:r>
        <w:rPr>
          <w:color w:val="auto"/>
          <w:spacing w:val="-3"/>
          <w:szCs w:val="21"/>
          <w:highlight w:val="none"/>
        </w:rPr>
        <w:t>签约合同价：指签订合同时合同协议书中写明的监理报酬总金额。</w:t>
      </w:r>
    </w:p>
    <w:p>
      <w:pPr>
        <w:pStyle w:val="32"/>
        <w:numPr>
          <w:ilvl w:val="3"/>
          <w:numId w:val="3"/>
        </w:numPr>
        <w:tabs>
          <w:tab w:val="left" w:pos="1582"/>
        </w:tabs>
        <w:spacing w:before="138" w:after="0" w:line="357" w:lineRule="auto"/>
        <w:ind w:right="464" w:firstLine="439"/>
        <w:rPr>
          <w:color w:val="auto"/>
          <w:szCs w:val="21"/>
          <w:highlight w:val="none"/>
        </w:rPr>
      </w:pPr>
      <w:r>
        <w:rPr>
          <w:color w:val="auto"/>
          <w:spacing w:val="-1"/>
          <w:szCs w:val="21"/>
          <w:highlight w:val="none"/>
        </w:rPr>
        <w:t>合同价格：指监理人按合同约定完成了全部监理工作后，委托人应付给监理人</w:t>
      </w:r>
      <w:r>
        <w:rPr>
          <w:color w:val="auto"/>
          <w:spacing w:val="-3"/>
          <w:szCs w:val="21"/>
          <w:highlight w:val="none"/>
        </w:rPr>
        <w:t>的金额，包括在履行合同过程中按合同约定进行的变更和调整。</w:t>
      </w:r>
    </w:p>
    <w:p>
      <w:pPr>
        <w:pStyle w:val="32"/>
        <w:numPr>
          <w:ilvl w:val="3"/>
          <w:numId w:val="3"/>
        </w:numPr>
        <w:tabs>
          <w:tab w:val="left" w:pos="1582"/>
        </w:tabs>
        <w:spacing w:after="0" w:line="357" w:lineRule="auto"/>
        <w:ind w:right="464" w:firstLine="439"/>
        <w:rPr>
          <w:color w:val="auto"/>
          <w:szCs w:val="21"/>
          <w:highlight w:val="none"/>
        </w:rPr>
      </w:pPr>
      <w:r>
        <w:rPr>
          <w:color w:val="auto"/>
          <w:spacing w:val="-1"/>
          <w:szCs w:val="21"/>
          <w:highlight w:val="none"/>
        </w:rPr>
        <w:t>费用：指为履行合同所发生的或将要发生的所有合理开支，包括管理费和应分</w:t>
      </w:r>
      <w:r>
        <w:rPr>
          <w:color w:val="auto"/>
          <w:spacing w:val="-3"/>
          <w:szCs w:val="21"/>
          <w:highlight w:val="none"/>
        </w:rPr>
        <w:t>摊的其他费用，但不包括利润。</w:t>
      </w:r>
    </w:p>
    <w:p>
      <w:pPr>
        <w:pStyle w:val="32"/>
        <w:numPr>
          <w:ilvl w:val="2"/>
          <w:numId w:val="3"/>
        </w:numPr>
        <w:tabs>
          <w:tab w:val="left" w:pos="1416"/>
        </w:tabs>
        <w:spacing w:before="1" w:after="0" w:line="240" w:lineRule="auto"/>
        <w:ind w:hanging="553"/>
        <w:rPr>
          <w:color w:val="auto"/>
          <w:szCs w:val="21"/>
          <w:highlight w:val="none"/>
        </w:rPr>
      </w:pPr>
      <w:r>
        <w:rPr>
          <w:color w:val="auto"/>
          <w:szCs w:val="21"/>
          <w:highlight w:val="none"/>
        </w:rPr>
        <w:t>其他</w:t>
      </w:r>
    </w:p>
    <w:p>
      <w:pPr>
        <w:pStyle w:val="32"/>
        <w:numPr>
          <w:ilvl w:val="3"/>
          <w:numId w:val="3"/>
        </w:numPr>
        <w:tabs>
          <w:tab w:val="left" w:pos="1582"/>
        </w:tabs>
        <w:spacing w:before="138" w:after="0" w:line="357" w:lineRule="auto"/>
        <w:ind w:right="464" w:firstLine="439"/>
        <w:rPr>
          <w:color w:val="auto"/>
          <w:szCs w:val="21"/>
          <w:highlight w:val="none"/>
        </w:rPr>
      </w:pPr>
      <w:r>
        <w:rPr>
          <w:color w:val="auto"/>
          <w:szCs w:val="21"/>
          <w:highlight w:val="none"/>
        </w:rPr>
        <w:t>书面形式：指合同文件、信件和数据电文（</w:t>
      </w:r>
      <w:r>
        <w:rPr>
          <w:color w:val="auto"/>
          <w:spacing w:val="-2"/>
          <w:szCs w:val="21"/>
          <w:highlight w:val="none"/>
        </w:rPr>
        <w:t>包括电报、电传、传真、电子数据交换和电子邮件</w:t>
      </w:r>
      <w:r>
        <w:rPr>
          <w:color w:val="auto"/>
          <w:szCs w:val="21"/>
          <w:highlight w:val="none"/>
        </w:rPr>
        <w:t>）</w:t>
      </w:r>
      <w:r>
        <w:rPr>
          <w:color w:val="auto"/>
          <w:spacing w:val="-3"/>
          <w:szCs w:val="21"/>
          <w:highlight w:val="none"/>
        </w:rPr>
        <w:t>等可以有形地表现所载内容的形式。</w:t>
      </w:r>
    </w:p>
    <w:p>
      <w:pPr>
        <w:numPr>
          <w:ilvl w:val="1"/>
          <w:numId w:val="3"/>
        </w:numPr>
        <w:tabs>
          <w:tab w:val="left" w:pos="914"/>
        </w:tabs>
        <w:spacing w:line="316" w:lineRule="exact"/>
        <w:rPr>
          <w:rFonts w:ascii="黑体" w:eastAsia="黑体"/>
          <w:b/>
          <w:color w:val="auto"/>
          <w:szCs w:val="21"/>
          <w:highlight w:val="none"/>
        </w:rPr>
      </w:pPr>
      <w:r>
        <w:rPr>
          <w:rFonts w:hint="eastAsia" w:ascii="黑体" w:eastAsia="黑体"/>
          <w:b/>
          <w:color w:val="auto"/>
          <w:szCs w:val="21"/>
          <w:highlight w:val="none"/>
        </w:rPr>
        <w:t>语言文字</w:t>
      </w:r>
    </w:p>
    <w:p>
      <w:pPr>
        <w:spacing w:before="124"/>
        <w:ind w:left="863"/>
        <w:rPr>
          <w:color w:val="auto"/>
          <w:szCs w:val="21"/>
          <w:highlight w:val="none"/>
        </w:rPr>
      </w:pPr>
      <w:r>
        <w:rPr>
          <w:color w:val="auto"/>
          <w:szCs w:val="21"/>
          <w:highlight w:val="none"/>
        </w:rPr>
        <w:t>合同使用的语言文字为中文。专用术语使用外文的，应附有中文注释。</w:t>
      </w:r>
    </w:p>
    <w:p>
      <w:pPr>
        <w:numPr>
          <w:ilvl w:val="1"/>
          <w:numId w:val="3"/>
        </w:numPr>
        <w:tabs>
          <w:tab w:val="left" w:pos="914"/>
        </w:tabs>
        <w:spacing w:before="95"/>
        <w:rPr>
          <w:rFonts w:ascii="黑体" w:eastAsia="黑体"/>
          <w:b/>
          <w:color w:val="auto"/>
          <w:szCs w:val="21"/>
          <w:highlight w:val="none"/>
        </w:rPr>
      </w:pPr>
      <w:r>
        <w:rPr>
          <w:rFonts w:hint="eastAsia" w:ascii="黑体" w:eastAsia="黑体"/>
          <w:b/>
          <w:color w:val="auto"/>
          <w:szCs w:val="21"/>
          <w:highlight w:val="none"/>
        </w:rPr>
        <w:t>适用法律</w:t>
      </w:r>
    </w:p>
    <w:p>
      <w:pPr>
        <w:spacing w:before="124" w:line="357" w:lineRule="auto"/>
        <w:ind w:left="424" w:right="467" w:firstLine="439"/>
        <w:rPr>
          <w:color w:val="auto"/>
          <w:szCs w:val="21"/>
          <w:highlight w:val="none"/>
        </w:rPr>
      </w:pPr>
      <w:r>
        <w:rPr>
          <w:color w:val="auto"/>
          <w:szCs w:val="21"/>
          <w:highlight w:val="none"/>
        </w:rPr>
        <w:t>适用于合同的法律包括中华人民共和国法律、行政法规、部门规章，以及工程所在地的地方法规、自治条例、单行条例和地方政府规章。</w:t>
      </w:r>
    </w:p>
    <w:p>
      <w:pPr>
        <w:ind w:left="863"/>
        <w:rPr>
          <w:color w:val="auto"/>
          <w:szCs w:val="21"/>
          <w:highlight w:val="none"/>
        </w:rPr>
      </w:pPr>
      <w:r>
        <w:rPr>
          <w:color w:val="auto"/>
          <w:szCs w:val="21"/>
          <w:highlight w:val="none"/>
        </w:rPr>
        <w:t>本合同适用的其他规范性文件，可在专用合同条款中约定。</w:t>
      </w:r>
    </w:p>
    <w:p>
      <w:pPr>
        <w:numPr>
          <w:ilvl w:val="1"/>
          <w:numId w:val="3"/>
        </w:numPr>
        <w:tabs>
          <w:tab w:val="left" w:pos="914"/>
        </w:tabs>
        <w:spacing w:before="71"/>
        <w:rPr>
          <w:rFonts w:ascii="黑体" w:eastAsia="黑体"/>
          <w:b/>
          <w:color w:val="auto"/>
          <w:szCs w:val="21"/>
          <w:highlight w:val="none"/>
        </w:rPr>
      </w:pPr>
      <w:r>
        <w:rPr>
          <w:rFonts w:hint="eastAsia" w:ascii="黑体" w:eastAsia="黑体"/>
          <w:b/>
          <w:color w:val="auto"/>
          <w:szCs w:val="21"/>
          <w:highlight w:val="none"/>
        </w:rPr>
        <w:br w:type="textWrapping"/>
      </w:r>
      <w:r>
        <w:rPr>
          <w:rFonts w:hint="eastAsia" w:ascii="黑体" w:eastAsia="黑体"/>
          <w:b/>
          <w:color w:val="auto"/>
          <w:szCs w:val="21"/>
          <w:highlight w:val="none"/>
        </w:rPr>
        <w:t>合同文件的优先顺序</w:t>
      </w:r>
    </w:p>
    <w:p>
      <w:pPr>
        <w:spacing w:before="123" w:line="357" w:lineRule="auto"/>
        <w:ind w:left="424" w:right="467" w:firstLine="439"/>
        <w:rPr>
          <w:color w:val="auto"/>
          <w:szCs w:val="21"/>
          <w:highlight w:val="none"/>
        </w:rPr>
      </w:pPr>
      <w:r>
        <w:rPr>
          <w:color w:val="auto"/>
          <w:szCs w:val="21"/>
          <w:highlight w:val="none"/>
        </w:rPr>
        <w:t>组成合同的各项文件应互相解释，互为说明。除专用合同条款另有约定外，解释合同文件的优先顺序如下：</w:t>
      </w:r>
    </w:p>
    <w:p>
      <w:pPr>
        <w:pStyle w:val="32"/>
        <w:numPr>
          <w:ilvl w:val="0"/>
          <w:numId w:val="4"/>
        </w:numPr>
        <w:tabs>
          <w:tab w:val="left" w:pos="1417"/>
        </w:tabs>
        <w:spacing w:after="0" w:line="240" w:lineRule="auto"/>
        <w:ind w:hanging="554"/>
        <w:rPr>
          <w:color w:val="auto"/>
          <w:szCs w:val="21"/>
          <w:highlight w:val="none"/>
        </w:rPr>
      </w:pPr>
      <w:r>
        <w:rPr>
          <w:color w:val="auto"/>
          <w:spacing w:val="-3"/>
          <w:szCs w:val="21"/>
          <w:highlight w:val="none"/>
        </w:rPr>
        <w:t>合同协议书；</w:t>
      </w:r>
    </w:p>
    <w:p>
      <w:pPr>
        <w:pStyle w:val="32"/>
        <w:numPr>
          <w:ilvl w:val="0"/>
          <w:numId w:val="4"/>
        </w:numPr>
        <w:tabs>
          <w:tab w:val="left" w:pos="1417"/>
        </w:tabs>
        <w:spacing w:before="139" w:after="0" w:line="240" w:lineRule="auto"/>
        <w:ind w:hanging="554"/>
        <w:rPr>
          <w:color w:val="auto"/>
          <w:szCs w:val="21"/>
          <w:highlight w:val="none"/>
        </w:rPr>
      </w:pPr>
      <w:r>
        <w:rPr>
          <w:color w:val="auto"/>
          <w:spacing w:val="-3"/>
          <w:szCs w:val="21"/>
          <w:highlight w:val="none"/>
        </w:rPr>
        <w:t>中标通知书；</w:t>
      </w:r>
    </w:p>
    <w:p>
      <w:pPr>
        <w:pStyle w:val="32"/>
        <w:numPr>
          <w:ilvl w:val="0"/>
          <w:numId w:val="4"/>
        </w:numPr>
        <w:tabs>
          <w:tab w:val="left" w:pos="1417"/>
        </w:tabs>
        <w:spacing w:before="138" w:after="0" w:line="240" w:lineRule="auto"/>
        <w:ind w:hanging="554"/>
        <w:rPr>
          <w:color w:val="auto"/>
          <w:szCs w:val="21"/>
          <w:highlight w:val="none"/>
        </w:rPr>
      </w:pPr>
      <w:r>
        <w:rPr>
          <w:color w:val="auto"/>
          <w:spacing w:val="-3"/>
          <w:szCs w:val="21"/>
          <w:highlight w:val="none"/>
        </w:rPr>
        <w:t>投标函及投标函附录；</w:t>
      </w:r>
    </w:p>
    <w:p>
      <w:pPr>
        <w:pStyle w:val="32"/>
        <w:numPr>
          <w:ilvl w:val="0"/>
          <w:numId w:val="4"/>
        </w:numPr>
        <w:tabs>
          <w:tab w:val="left" w:pos="1417"/>
        </w:tabs>
        <w:spacing w:before="138" w:after="0" w:line="240" w:lineRule="auto"/>
        <w:ind w:hanging="554"/>
        <w:rPr>
          <w:color w:val="auto"/>
          <w:szCs w:val="21"/>
          <w:highlight w:val="none"/>
        </w:rPr>
      </w:pPr>
      <w:r>
        <w:rPr>
          <w:color w:val="auto"/>
          <w:spacing w:val="-3"/>
          <w:szCs w:val="21"/>
          <w:highlight w:val="none"/>
        </w:rPr>
        <w:t>专用合同条款；</w:t>
      </w:r>
    </w:p>
    <w:p>
      <w:pPr>
        <w:pStyle w:val="32"/>
        <w:numPr>
          <w:ilvl w:val="0"/>
          <w:numId w:val="4"/>
        </w:numPr>
        <w:tabs>
          <w:tab w:val="left" w:pos="1417"/>
        </w:tabs>
        <w:spacing w:before="139" w:after="0" w:line="240" w:lineRule="auto"/>
        <w:ind w:hanging="554"/>
        <w:rPr>
          <w:color w:val="auto"/>
          <w:szCs w:val="21"/>
          <w:highlight w:val="none"/>
        </w:rPr>
      </w:pPr>
      <w:r>
        <w:rPr>
          <w:color w:val="auto"/>
          <w:spacing w:val="-3"/>
          <w:szCs w:val="21"/>
          <w:highlight w:val="none"/>
        </w:rPr>
        <w:t>通用合同条款；</w:t>
      </w:r>
    </w:p>
    <w:p>
      <w:pPr>
        <w:pStyle w:val="32"/>
        <w:numPr>
          <w:ilvl w:val="0"/>
          <w:numId w:val="4"/>
        </w:numPr>
        <w:tabs>
          <w:tab w:val="left" w:pos="1417"/>
        </w:tabs>
        <w:spacing w:before="138" w:after="0" w:line="240" w:lineRule="auto"/>
        <w:ind w:hanging="554"/>
        <w:rPr>
          <w:color w:val="auto"/>
          <w:szCs w:val="21"/>
          <w:highlight w:val="none"/>
        </w:rPr>
      </w:pPr>
      <w:r>
        <w:rPr>
          <w:color w:val="auto"/>
          <w:spacing w:val="-3"/>
          <w:szCs w:val="21"/>
          <w:highlight w:val="none"/>
        </w:rPr>
        <w:t>委托人要求；</w:t>
      </w:r>
    </w:p>
    <w:p>
      <w:pPr>
        <w:pStyle w:val="32"/>
        <w:numPr>
          <w:ilvl w:val="0"/>
          <w:numId w:val="4"/>
        </w:numPr>
        <w:tabs>
          <w:tab w:val="left" w:pos="1417"/>
        </w:tabs>
        <w:spacing w:before="138" w:after="0" w:line="240" w:lineRule="auto"/>
        <w:ind w:hanging="554"/>
        <w:rPr>
          <w:color w:val="auto"/>
          <w:szCs w:val="21"/>
          <w:highlight w:val="none"/>
        </w:rPr>
      </w:pPr>
      <w:r>
        <w:rPr>
          <w:color w:val="auto"/>
          <w:spacing w:val="-3"/>
          <w:szCs w:val="21"/>
          <w:highlight w:val="none"/>
        </w:rPr>
        <w:t>监理报酬清单；</w:t>
      </w:r>
    </w:p>
    <w:p>
      <w:pPr>
        <w:pStyle w:val="32"/>
        <w:numPr>
          <w:ilvl w:val="0"/>
          <w:numId w:val="4"/>
        </w:numPr>
        <w:tabs>
          <w:tab w:val="left" w:pos="1417"/>
        </w:tabs>
        <w:spacing w:before="138" w:after="0" w:line="240" w:lineRule="auto"/>
        <w:ind w:hanging="554"/>
        <w:rPr>
          <w:color w:val="auto"/>
          <w:szCs w:val="21"/>
          <w:highlight w:val="none"/>
        </w:rPr>
      </w:pPr>
      <w:r>
        <w:rPr>
          <w:color w:val="auto"/>
          <w:spacing w:val="-2"/>
          <w:szCs w:val="21"/>
          <w:highlight w:val="none"/>
        </w:rPr>
        <w:t>监理大纲；</w:t>
      </w:r>
    </w:p>
    <w:p>
      <w:pPr>
        <w:pStyle w:val="32"/>
        <w:numPr>
          <w:ilvl w:val="0"/>
          <w:numId w:val="4"/>
        </w:numPr>
        <w:tabs>
          <w:tab w:val="left" w:pos="1417"/>
        </w:tabs>
        <w:spacing w:before="138" w:after="0" w:line="240" w:lineRule="auto"/>
        <w:ind w:hanging="554"/>
        <w:rPr>
          <w:color w:val="auto"/>
          <w:szCs w:val="21"/>
          <w:highlight w:val="none"/>
        </w:rPr>
      </w:pPr>
      <w:r>
        <w:rPr>
          <w:color w:val="auto"/>
          <w:spacing w:val="-3"/>
          <w:szCs w:val="21"/>
          <w:highlight w:val="none"/>
        </w:rPr>
        <w:t>其他合同文件。</w:t>
      </w:r>
    </w:p>
    <w:p>
      <w:pPr>
        <w:numPr>
          <w:ilvl w:val="1"/>
          <w:numId w:val="3"/>
        </w:numPr>
        <w:tabs>
          <w:tab w:val="left" w:pos="914"/>
        </w:tabs>
        <w:spacing w:before="95"/>
        <w:rPr>
          <w:rFonts w:ascii="黑体" w:eastAsia="黑体"/>
          <w:b/>
          <w:color w:val="auto"/>
          <w:szCs w:val="21"/>
          <w:highlight w:val="none"/>
        </w:rPr>
      </w:pPr>
      <w:r>
        <w:rPr>
          <w:rFonts w:hint="eastAsia" w:ascii="黑体" w:eastAsia="黑体"/>
          <w:b/>
          <w:color w:val="auto"/>
          <w:szCs w:val="21"/>
          <w:highlight w:val="none"/>
        </w:rPr>
        <w:t>合同协议书</w:t>
      </w:r>
    </w:p>
    <w:p>
      <w:pPr>
        <w:spacing w:before="124" w:line="357" w:lineRule="auto"/>
        <w:ind w:left="424" w:right="466" w:firstLine="439"/>
        <w:jc w:val="both"/>
        <w:rPr>
          <w:color w:val="auto"/>
          <w:szCs w:val="21"/>
          <w:highlight w:val="none"/>
        </w:rPr>
      </w:pPr>
      <w:r>
        <w:rPr>
          <w:color w:val="auto"/>
          <w:szCs w:val="21"/>
          <w:highlight w:val="none"/>
        </w:rPr>
        <w:t>监理人按中标通知书规定的时间与委托人签订合同协议书。除法律另有规定或合同另有约定外，委托人和监理人的法定代表人或其委托代理人在合同协议书上签字并盖单位章后，合同生效。</w:t>
      </w:r>
    </w:p>
    <w:p>
      <w:pPr>
        <w:numPr>
          <w:ilvl w:val="1"/>
          <w:numId w:val="3"/>
        </w:numPr>
        <w:tabs>
          <w:tab w:val="left" w:pos="914"/>
        </w:tabs>
        <w:spacing w:line="316" w:lineRule="exact"/>
        <w:rPr>
          <w:rFonts w:ascii="黑体" w:eastAsia="黑体"/>
          <w:b/>
          <w:color w:val="auto"/>
          <w:szCs w:val="21"/>
          <w:highlight w:val="none"/>
        </w:rPr>
      </w:pPr>
      <w:r>
        <w:rPr>
          <w:rFonts w:hint="eastAsia" w:ascii="黑体" w:eastAsia="黑体"/>
          <w:b/>
          <w:color w:val="auto"/>
          <w:szCs w:val="21"/>
          <w:highlight w:val="none"/>
        </w:rPr>
        <w:t>文件的提供和照管</w:t>
      </w:r>
    </w:p>
    <w:p>
      <w:pPr>
        <w:pStyle w:val="32"/>
        <w:numPr>
          <w:ilvl w:val="2"/>
          <w:numId w:val="3"/>
        </w:numPr>
        <w:tabs>
          <w:tab w:val="left" w:pos="1416"/>
        </w:tabs>
        <w:spacing w:before="126" w:after="0" w:line="240" w:lineRule="auto"/>
        <w:ind w:hanging="553"/>
        <w:jc w:val="both"/>
        <w:rPr>
          <w:color w:val="auto"/>
          <w:szCs w:val="21"/>
          <w:highlight w:val="none"/>
        </w:rPr>
      </w:pPr>
      <w:r>
        <w:rPr>
          <w:color w:val="auto"/>
          <w:spacing w:val="-3"/>
          <w:szCs w:val="21"/>
          <w:highlight w:val="none"/>
        </w:rPr>
        <w:t>监理文件的提供</w:t>
      </w:r>
    </w:p>
    <w:p>
      <w:pPr>
        <w:spacing w:before="138" w:line="357" w:lineRule="auto"/>
        <w:ind w:left="424" w:right="466" w:firstLine="439"/>
        <w:jc w:val="both"/>
        <w:rPr>
          <w:color w:val="auto"/>
          <w:szCs w:val="21"/>
          <w:highlight w:val="none"/>
        </w:rPr>
      </w:pPr>
      <w:r>
        <w:rPr>
          <w:color w:val="auto"/>
          <w:szCs w:val="21"/>
          <w:highlight w:val="none"/>
        </w:rPr>
        <w:t>除专用合同条款另有约定外，监理人应在合理的期限内按照合同约定的数量向委托人提供监理文件。合同约定监理文件应经委托人批复的，委托人应当在合同约定的期限内批复或提出修改意见。</w:t>
      </w:r>
    </w:p>
    <w:p>
      <w:pPr>
        <w:pStyle w:val="32"/>
        <w:numPr>
          <w:ilvl w:val="2"/>
          <w:numId w:val="3"/>
        </w:numPr>
        <w:tabs>
          <w:tab w:val="left" w:pos="1416"/>
        </w:tabs>
        <w:spacing w:after="0" w:line="240" w:lineRule="auto"/>
        <w:ind w:hanging="553"/>
        <w:jc w:val="both"/>
        <w:rPr>
          <w:color w:val="auto"/>
          <w:szCs w:val="21"/>
          <w:highlight w:val="none"/>
        </w:rPr>
      </w:pPr>
      <w:r>
        <w:rPr>
          <w:color w:val="auto"/>
          <w:spacing w:val="-3"/>
          <w:szCs w:val="21"/>
          <w:highlight w:val="none"/>
        </w:rPr>
        <w:t>委托人提供的文件</w:t>
      </w:r>
    </w:p>
    <w:p>
      <w:pPr>
        <w:spacing w:before="139" w:line="357" w:lineRule="auto"/>
        <w:ind w:left="424" w:right="466" w:firstLine="439"/>
        <w:jc w:val="both"/>
        <w:rPr>
          <w:color w:val="auto"/>
          <w:szCs w:val="21"/>
          <w:highlight w:val="none"/>
        </w:rPr>
      </w:pPr>
      <w:r>
        <w:rPr>
          <w:color w:val="auto"/>
          <w:szCs w:val="21"/>
          <w:highlight w:val="none"/>
        </w:rPr>
        <w:t xml:space="preserve">按专用合同条款约定由委托人提供的文件，包括规范标准、承包合同、勘察文件、设计文件等，委托人应按约定的数量和期限交给监理人。由于委托人未按时提供文件造成监理服务期限延误的，按第 </w:t>
      </w:r>
      <w:r>
        <w:rPr>
          <w:rFonts w:ascii="Times New Roman" w:eastAsia="Times New Roman"/>
          <w:color w:val="auto"/>
          <w:szCs w:val="21"/>
          <w:highlight w:val="none"/>
        </w:rPr>
        <w:t xml:space="preserve">6.2 </w:t>
      </w:r>
      <w:r>
        <w:rPr>
          <w:color w:val="auto"/>
          <w:szCs w:val="21"/>
          <w:highlight w:val="none"/>
        </w:rPr>
        <w:t>款约定执行。</w:t>
      </w:r>
    </w:p>
    <w:p>
      <w:pPr>
        <w:pStyle w:val="32"/>
        <w:numPr>
          <w:ilvl w:val="2"/>
          <w:numId w:val="3"/>
        </w:numPr>
        <w:tabs>
          <w:tab w:val="left" w:pos="1416"/>
        </w:tabs>
        <w:spacing w:after="0" w:line="240" w:lineRule="auto"/>
        <w:ind w:hanging="553"/>
        <w:jc w:val="both"/>
        <w:rPr>
          <w:color w:val="auto"/>
          <w:szCs w:val="21"/>
          <w:highlight w:val="none"/>
        </w:rPr>
      </w:pPr>
      <w:r>
        <w:rPr>
          <w:color w:val="auto"/>
          <w:spacing w:val="-3"/>
          <w:szCs w:val="21"/>
          <w:highlight w:val="none"/>
        </w:rPr>
        <w:t>文件错误的通知</w:t>
      </w:r>
    </w:p>
    <w:p>
      <w:pPr>
        <w:spacing w:before="138" w:line="357" w:lineRule="auto"/>
        <w:ind w:left="424" w:right="463" w:firstLine="439"/>
        <w:rPr>
          <w:color w:val="auto"/>
          <w:szCs w:val="21"/>
          <w:highlight w:val="none"/>
        </w:rPr>
      </w:pPr>
      <w:r>
        <w:rPr>
          <w:color w:val="auto"/>
          <w:spacing w:val="-1"/>
          <w:szCs w:val="21"/>
          <w:highlight w:val="none"/>
        </w:rPr>
        <w:t>任何一方当事人发现文件中存在的明显错误或疏忽，均应及时通知对方当事人，并应</w:t>
      </w:r>
      <w:r>
        <w:rPr>
          <w:color w:val="auto"/>
          <w:spacing w:val="-3"/>
          <w:szCs w:val="21"/>
          <w:highlight w:val="none"/>
        </w:rPr>
        <w:t>立即采取适当的措施防止损失扩大。</w:t>
      </w:r>
    </w:p>
    <w:p>
      <w:pPr>
        <w:pStyle w:val="32"/>
        <w:numPr>
          <w:ilvl w:val="2"/>
          <w:numId w:val="3"/>
        </w:numPr>
        <w:tabs>
          <w:tab w:val="left" w:pos="1416"/>
        </w:tabs>
        <w:spacing w:after="0" w:line="240" w:lineRule="auto"/>
        <w:ind w:hanging="553"/>
        <w:jc w:val="both"/>
        <w:rPr>
          <w:color w:val="auto"/>
          <w:szCs w:val="21"/>
          <w:highlight w:val="none"/>
        </w:rPr>
      </w:pPr>
      <w:r>
        <w:rPr>
          <w:color w:val="auto"/>
          <w:spacing w:val="-2"/>
          <w:szCs w:val="21"/>
          <w:highlight w:val="none"/>
        </w:rPr>
        <w:t>文件的照管</w:t>
      </w:r>
    </w:p>
    <w:p>
      <w:pPr>
        <w:spacing w:before="138" w:line="357" w:lineRule="auto"/>
        <w:ind w:left="424" w:right="467" w:firstLine="439"/>
        <w:rPr>
          <w:color w:val="auto"/>
          <w:szCs w:val="21"/>
          <w:highlight w:val="none"/>
        </w:rPr>
      </w:pPr>
      <w:r>
        <w:rPr>
          <w:color w:val="auto"/>
          <w:szCs w:val="21"/>
          <w:highlight w:val="none"/>
        </w:rPr>
        <w:t>监理人应在现场保留一份合同文件、监理文件、委托人要求中的所列文件以及其他根据合同收发的往来信函，以备委托人和行政管理部门查阅使用。</w:t>
      </w:r>
    </w:p>
    <w:p>
      <w:pPr>
        <w:numPr>
          <w:ilvl w:val="1"/>
          <w:numId w:val="3"/>
        </w:numPr>
        <w:tabs>
          <w:tab w:val="left" w:pos="914"/>
        </w:tabs>
        <w:spacing w:before="71"/>
        <w:rPr>
          <w:rFonts w:ascii="黑体" w:eastAsia="黑体"/>
          <w:b/>
          <w:color w:val="auto"/>
          <w:szCs w:val="21"/>
          <w:highlight w:val="none"/>
        </w:rPr>
      </w:pPr>
      <w:r>
        <w:rPr>
          <w:rFonts w:hint="eastAsia" w:ascii="黑体" w:eastAsia="黑体"/>
          <w:b/>
          <w:color w:val="auto"/>
          <w:szCs w:val="21"/>
          <w:highlight w:val="none"/>
        </w:rPr>
        <w:t>联络</w:t>
      </w:r>
    </w:p>
    <w:p>
      <w:pPr>
        <w:pStyle w:val="32"/>
        <w:numPr>
          <w:ilvl w:val="2"/>
          <w:numId w:val="3"/>
        </w:numPr>
        <w:tabs>
          <w:tab w:val="left" w:pos="1416"/>
        </w:tabs>
        <w:spacing w:before="123" w:after="0" w:line="357" w:lineRule="auto"/>
        <w:ind w:left="424" w:right="459" w:firstLine="439"/>
        <w:jc w:val="both"/>
        <w:rPr>
          <w:color w:val="auto"/>
          <w:szCs w:val="21"/>
          <w:highlight w:val="none"/>
        </w:rPr>
      </w:pPr>
      <w:r>
        <w:rPr>
          <w:color w:val="auto"/>
          <w:spacing w:val="-5"/>
          <w:szCs w:val="21"/>
          <w:highlight w:val="none"/>
        </w:rPr>
        <w:t>与合同有关的通知、批准、证明、证书、指示、要求、请求、同意、意见、确定</w:t>
      </w:r>
      <w:r>
        <w:rPr>
          <w:color w:val="auto"/>
          <w:spacing w:val="-4"/>
          <w:szCs w:val="21"/>
          <w:highlight w:val="none"/>
        </w:rPr>
        <w:t>和决定等，均应采用书面形式。</w:t>
      </w:r>
    </w:p>
    <w:p>
      <w:pPr>
        <w:pStyle w:val="32"/>
        <w:numPr>
          <w:ilvl w:val="2"/>
          <w:numId w:val="3"/>
        </w:numPr>
        <w:tabs>
          <w:tab w:val="left" w:pos="1416"/>
        </w:tabs>
        <w:spacing w:after="0" w:line="357" w:lineRule="auto"/>
        <w:ind w:left="424" w:right="464" w:firstLine="439"/>
        <w:jc w:val="both"/>
        <w:rPr>
          <w:color w:val="auto"/>
          <w:szCs w:val="21"/>
          <w:highlight w:val="none"/>
        </w:rPr>
      </w:pPr>
      <w:r>
        <w:rPr>
          <w:color w:val="auto"/>
          <w:spacing w:val="-5"/>
          <w:szCs w:val="21"/>
          <w:highlight w:val="none"/>
        </w:rPr>
        <w:t>上述通知、批准、证明、证书、指示、要求、请求、同意、意见、确定和决定等</w:t>
      </w:r>
      <w:r>
        <w:rPr>
          <w:color w:val="auto"/>
          <w:spacing w:val="-4"/>
          <w:szCs w:val="21"/>
          <w:highlight w:val="none"/>
        </w:rPr>
        <w:t>来往函件，均应在合同约定的期限内送达指定的地点和指定的接收人，并办理签收手续。</w:t>
      </w:r>
    </w:p>
    <w:p>
      <w:pPr>
        <w:numPr>
          <w:ilvl w:val="1"/>
          <w:numId w:val="3"/>
        </w:numPr>
        <w:tabs>
          <w:tab w:val="left" w:pos="914"/>
        </w:tabs>
        <w:spacing w:line="316" w:lineRule="exact"/>
        <w:rPr>
          <w:rFonts w:ascii="黑体" w:eastAsia="黑体"/>
          <w:b/>
          <w:color w:val="auto"/>
          <w:szCs w:val="21"/>
          <w:highlight w:val="none"/>
        </w:rPr>
      </w:pPr>
      <w:r>
        <w:rPr>
          <w:rFonts w:hint="eastAsia" w:ascii="黑体" w:eastAsia="黑体"/>
          <w:b/>
          <w:color w:val="auto"/>
          <w:szCs w:val="21"/>
          <w:highlight w:val="none"/>
        </w:rPr>
        <w:t>转让</w:t>
      </w:r>
    </w:p>
    <w:p>
      <w:pPr>
        <w:spacing w:before="124" w:line="357" w:lineRule="auto"/>
        <w:ind w:left="424" w:right="467" w:firstLine="439"/>
        <w:rPr>
          <w:color w:val="auto"/>
          <w:szCs w:val="21"/>
          <w:highlight w:val="none"/>
        </w:rPr>
      </w:pPr>
      <w:r>
        <w:rPr>
          <w:color w:val="auto"/>
          <w:szCs w:val="21"/>
          <w:highlight w:val="none"/>
        </w:rPr>
        <w:t>除专用合同条款另有约定外，未经对方当事人同意，一方当事人不得将合同权利全部或部分转让给第三人，也不得全部或部分转移合同义务。</w:t>
      </w:r>
    </w:p>
    <w:p>
      <w:pPr>
        <w:numPr>
          <w:ilvl w:val="1"/>
          <w:numId w:val="3"/>
        </w:numPr>
        <w:tabs>
          <w:tab w:val="left" w:pos="914"/>
        </w:tabs>
        <w:spacing w:line="316" w:lineRule="exact"/>
        <w:rPr>
          <w:rFonts w:ascii="黑体" w:eastAsia="黑体"/>
          <w:b/>
          <w:color w:val="auto"/>
          <w:szCs w:val="21"/>
          <w:highlight w:val="none"/>
        </w:rPr>
      </w:pPr>
      <w:r>
        <w:rPr>
          <w:rFonts w:hint="eastAsia" w:ascii="黑体" w:eastAsia="黑体"/>
          <w:b/>
          <w:color w:val="auto"/>
          <w:szCs w:val="21"/>
          <w:highlight w:val="none"/>
        </w:rPr>
        <w:t>严禁贿赂</w:t>
      </w:r>
    </w:p>
    <w:p>
      <w:pPr>
        <w:spacing w:before="126" w:line="357" w:lineRule="auto"/>
        <w:ind w:left="424" w:right="467" w:firstLine="439"/>
        <w:rPr>
          <w:color w:val="auto"/>
          <w:szCs w:val="21"/>
          <w:highlight w:val="none"/>
        </w:rPr>
      </w:pPr>
      <w:r>
        <w:rPr>
          <w:color w:val="auto"/>
          <w:szCs w:val="21"/>
          <w:highlight w:val="none"/>
        </w:rPr>
        <w:t>合同双方当事人不得以贿赂或变相贿赂的方式，谋取不当利益或损害对方权益。因贿赂造成对方当事人损失的，行为人应当赔偿损失，并承担相应的法律责任。</w:t>
      </w:r>
    </w:p>
    <w:p>
      <w:pPr>
        <w:numPr>
          <w:ilvl w:val="1"/>
          <w:numId w:val="3"/>
        </w:numPr>
        <w:tabs>
          <w:tab w:val="left" w:pos="1054"/>
        </w:tabs>
        <w:spacing w:line="316" w:lineRule="exact"/>
        <w:ind w:left="1053" w:hanging="630"/>
        <w:rPr>
          <w:rFonts w:ascii="黑体" w:eastAsia="黑体"/>
          <w:b/>
          <w:color w:val="auto"/>
          <w:szCs w:val="21"/>
          <w:highlight w:val="none"/>
        </w:rPr>
      </w:pPr>
      <w:r>
        <w:rPr>
          <w:rFonts w:hint="eastAsia" w:ascii="黑体" w:eastAsia="黑体"/>
          <w:b/>
          <w:color w:val="auto"/>
          <w:szCs w:val="21"/>
          <w:highlight w:val="none"/>
        </w:rPr>
        <w:t>知识产权</w:t>
      </w:r>
    </w:p>
    <w:p>
      <w:pPr>
        <w:pStyle w:val="32"/>
        <w:numPr>
          <w:ilvl w:val="2"/>
          <w:numId w:val="3"/>
        </w:numPr>
        <w:tabs>
          <w:tab w:val="left" w:pos="1471"/>
        </w:tabs>
        <w:spacing w:before="124" w:after="0" w:line="357" w:lineRule="auto"/>
        <w:ind w:left="424" w:right="464" w:firstLine="439"/>
        <w:jc w:val="both"/>
        <w:rPr>
          <w:color w:val="auto"/>
          <w:szCs w:val="21"/>
          <w:highlight w:val="none"/>
        </w:rPr>
      </w:pPr>
      <w:r>
        <w:rPr>
          <w:color w:val="auto"/>
          <w:spacing w:val="-9"/>
          <w:szCs w:val="21"/>
          <w:highlight w:val="none"/>
        </w:rPr>
        <w:t>除专用合同条款另有约定外，监理人完成的监理工作成果，除署名权以外的著作</w:t>
      </w:r>
      <w:r>
        <w:rPr>
          <w:color w:val="auto"/>
          <w:spacing w:val="-3"/>
          <w:szCs w:val="21"/>
          <w:highlight w:val="none"/>
        </w:rPr>
        <w:t>权和其他知识产权均归委托人享有。</w:t>
      </w:r>
    </w:p>
    <w:p>
      <w:pPr>
        <w:pStyle w:val="32"/>
        <w:numPr>
          <w:ilvl w:val="2"/>
          <w:numId w:val="3"/>
        </w:numPr>
        <w:tabs>
          <w:tab w:val="left" w:pos="1529"/>
        </w:tabs>
        <w:spacing w:after="0" w:line="357" w:lineRule="auto"/>
        <w:ind w:left="424" w:right="463" w:firstLine="439"/>
        <w:jc w:val="both"/>
        <w:rPr>
          <w:color w:val="auto"/>
          <w:szCs w:val="21"/>
          <w:highlight w:val="none"/>
        </w:rPr>
      </w:pPr>
      <w:r>
        <w:rPr>
          <w:color w:val="auto"/>
          <w:spacing w:val="-1"/>
          <w:szCs w:val="21"/>
          <w:highlight w:val="none"/>
        </w:rPr>
        <w:t>监理人从事监理活动时不得侵犯他人的知识产权。因侵犯专利权或其他知识产</w:t>
      </w:r>
      <w:r>
        <w:rPr>
          <w:color w:val="auto"/>
          <w:szCs w:val="21"/>
          <w:highlight w:val="none"/>
        </w:rPr>
        <w:t>权所引起的责任，由监理人自行承担。因委托人提供的监理资料导致侵权的，由委托人承担责任。</w:t>
      </w:r>
    </w:p>
    <w:p>
      <w:pPr>
        <w:pStyle w:val="32"/>
        <w:numPr>
          <w:ilvl w:val="2"/>
          <w:numId w:val="3"/>
        </w:numPr>
        <w:tabs>
          <w:tab w:val="left" w:pos="1529"/>
        </w:tabs>
        <w:spacing w:after="0" w:line="357" w:lineRule="auto"/>
        <w:ind w:left="424" w:right="469" w:firstLine="439"/>
        <w:jc w:val="both"/>
        <w:rPr>
          <w:color w:val="auto"/>
          <w:szCs w:val="21"/>
          <w:highlight w:val="none"/>
        </w:rPr>
      </w:pPr>
      <w:r>
        <w:rPr>
          <w:color w:val="auto"/>
          <w:spacing w:val="-1"/>
          <w:szCs w:val="21"/>
          <w:highlight w:val="none"/>
        </w:rPr>
        <w:t>监理人在投标文件中采用专利技术、专有技术的，相应的使用费视为已包含在投标报价之中。</w:t>
      </w:r>
    </w:p>
    <w:p>
      <w:pPr>
        <w:numPr>
          <w:ilvl w:val="1"/>
          <w:numId w:val="3"/>
        </w:numPr>
        <w:tabs>
          <w:tab w:val="left" w:pos="1054"/>
        </w:tabs>
        <w:spacing w:line="316" w:lineRule="exact"/>
        <w:ind w:left="1053" w:hanging="630"/>
        <w:rPr>
          <w:rFonts w:ascii="黑体" w:eastAsia="黑体"/>
          <w:b/>
          <w:color w:val="auto"/>
          <w:szCs w:val="21"/>
          <w:highlight w:val="none"/>
        </w:rPr>
      </w:pPr>
      <w:r>
        <w:rPr>
          <w:rFonts w:hint="eastAsia" w:ascii="黑体" w:eastAsia="黑体"/>
          <w:b/>
          <w:color w:val="auto"/>
          <w:szCs w:val="21"/>
          <w:highlight w:val="none"/>
        </w:rPr>
        <w:t>文件及信息的保密</w:t>
      </w:r>
    </w:p>
    <w:p>
      <w:pPr>
        <w:spacing w:before="124" w:line="357" w:lineRule="auto"/>
        <w:ind w:left="424" w:right="467" w:firstLine="439"/>
        <w:rPr>
          <w:color w:val="auto"/>
          <w:szCs w:val="21"/>
          <w:highlight w:val="none"/>
        </w:rPr>
      </w:pPr>
      <w:r>
        <w:rPr>
          <w:color w:val="auto"/>
          <w:spacing w:val="-1"/>
          <w:szCs w:val="21"/>
          <w:highlight w:val="none"/>
        </w:rPr>
        <w:t>未经对方同意，任何一方当事人不得将有关文件、技术秘密、需要保密的资料和信息</w:t>
      </w:r>
      <w:r>
        <w:rPr>
          <w:color w:val="auto"/>
          <w:spacing w:val="-3"/>
          <w:szCs w:val="21"/>
          <w:highlight w:val="none"/>
        </w:rPr>
        <w:t>泄露给他人或公开发表与引用。</w:t>
      </w:r>
    </w:p>
    <w:p>
      <w:pPr>
        <w:numPr>
          <w:ilvl w:val="1"/>
          <w:numId w:val="3"/>
        </w:numPr>
        <w:tabs>
          <w:tab w:val="left" w:pos="1054"/>
        </w:tabs>
        <w:spacing w:line="316" w:lineRule="exact"/>
        <w:ind w:left="1053" w:hanging="630"/>
        <w:rPr>
          <w:rFonts w:ascii="黑体" w:eastAsia="黑体"/>
          <w:b/>
          <w:color w:val="auto"/>
          <w:szCs w:val="21"/>
          <w:highlight w:val="none"/>
        </w:rPr>
      </w:pPr>
      <w:r>
        <w:rPr>
          <w:rFonts w:hint="eastAsia" w:ascii="黑体" w:eastAsia="黑体"/>
          <w:b/>
          <w:color w:val="auto"/>
          <w:szCs w:val="21"/>
          <w:highlight w:val="none"/>
        </w:rPr>
        <w:t>委托人要求</w:t>
      </w:r>
    </w:p>
    <w:p>
      <w:pPr>
        <w:pStyle w:val="32"/>
        <w:numPr>
          <w:ilvl w:val="2"/>
          <w:numId w:val="3"/>
        </w:numPr>
        <w:tabs>
          <w:tab w:val="left" w:pos="1529"/>
        </w:tabs>
        <w:spacing w:before="126" w:after="0" w:line="357" w:lineRule="auto"/>
        <w:ind w:left="424" w:right="462" w:firstLine="439"/>
        <w:jc w:val="both"/>
        <w:rPr>
          <w:color w:val="auto"/>
          <w:szCs w:val="21"/>
          <w:highlight w:val="none"/>
        </w:rPr>
      </w:pPr>
      <w:r>
        <w:rPr>
          <w:color w:val="auto"/>
          <w:szCs w:val="21"/>
          <w:highlight w:val="none"/>
        </w:rPr>
        <w:t>监理人应认真阅读、复核委托人要求，发现错误的，应及时书面通知委托人。</w:t>
      </w:r>
      <w:r>
        <w:rPr>
          <w:color w:val="auto"/>
          <w:spacing w:val="-3"/>
          <w:szCs w:val="21"/>
          <w:highlight w:val="none"/>
        </w:rPr>
        <w:t xml:space="preserve">无论是否存在错误，委托人均有权修改委托人要求，并在修改后 </w:t>
      </w:r>
      <w:r>
        <w:rPr>
          <w:rFonts w:ascii="Times New Roman" w:eastAsia="Times New Roman"/>
          <w:color w:val="auto"/>
          <w:szCs w:val="21"/>
          <w:highlight w:val="none"/>
        </w:rPr>
        <w:t>3</w:t>
      </w:r>
      <w:r>
        <w:rPr>
          <w:rFonts w:ascii="Times New Roman" w:eastAsia="Times New Roman"/>
          <w:color w:val="auto"/>
          <w:spacing w:val="7"/>
          <w:szCs w:val="21"/>
          <w:highlight w:val="none"/>
        </w:rPr>
        <w:t xml:space="preserve"> </w:t>
      </w:r>
      <w:r>
        <w:rPr>
          <w:color w:val="auto"/>
          <w:spacing w:val="-3"/>
          <w:szCs w:val="21"/>
          <w:highlight w:val="none"/>
        </w:rPr>
        <w:t>天内通知监理人。除专用合同条款另有约定外，由此导致监理人费用增加和</w:t>
      </w:r>
      <w:r>
        <w:rPr>
          <w:color w:val="auto"/>
          <w:szCs w:val="21"/>
          <w:highlight w:val="none"/>
        </w:rPr>
        <w:t>（或）</w:t>
      </w:r>
      <w:r>
        <w:rPr>
          <w:color w:val="auto"/>
          <w:spacing w:val="-1"/>
          <w:szCs w:val="21"/>
          <w:highlight w:val="none"/>
        </w:rPr>
        <w:t>周期延误的，委托人应当相应地增加费用和</w:t>
      </w:r>
      <w:r>
        <w:rPr>
          <w:color w:val="auto"/>
          <w:spacing w:val="-3"/>
          <w:szCs w:val="21"/>
          <w:highlight w:val="none"/>
        </w:rPr>
        <w:t>（</w:t>
      </w:r>
      <w:r>
        <w:rPr>
          <w:color w:val="auto"/>
          <w:szCs w:val="21"/>
          <w:highlight w:val="none"/>
        </w:rPr>
        <w:t>或）</w:t>
      </w:r>
      <w:r>
        <w:rPr>
          <w:color w:val="auto"/>
          <w:spacing w:val="-2"/>
          <w:szCs w:val="21"/>
          <w:highlight w:val="none"/>
        </w:rPr>
        <w:t>延长周期。</w:t>
      </w:r>
    </w:p>
    <w:p>
      <w:pPr>
        <w:pStyle w:val="32"/>
        <w:numPr>
          <w:ilvl w:val="2"/>
          <w:numId w:val="3"/>
        </w:numPr>
        <w:tabs>
          <w:tab w:val="left" w:pos="1529"/>
        </w:tabs>
        <w:spacing w:after="0" w:line="357" w:lineRule="auto"/>
        <w:ind w:left="424" w:right="466" w:firstLine="439"/>
        <w:jc w:val="both"/>
        <w:rPr>
          <w:color w:val="auto"/>
          <w:szCs w:val="21"/>
          <w:highlight w:val="none"/>
        </w:rPr>
      </w:pPr>
      <w:r>
        <w:rPr>
          <w:color w:val="auto"/>
          <w:szCs w:val="21"/>
          <w:highlight w:val="none"/>
        </w:rPr>
        <w:t>如果委托人要求违反法律规定，监理人应在发现后及时书面通知委托人，要求</w:t>
      </w:r>
      <w:r>
        <w:rPr>
          <w:color w:val="auto"/>
          <w:spacing w:val="-1"/>
          <w:szCs w:val="21"/>
          <w:highlight w:val="none"/>
        </w:rPr>
        <w:t>其改正。委托人收到通知书后不予改正或不予答复的，监理人有权拒绝履行合同义务，直</w:t>
      </w:r>
      <w:r>
        <w:rPr>
          <w:color w:val="auto"/>
          <w:spacing w:val="-3"/>
          <w:szCs w:val="21"/>
          <w:highlight w:val="none"/>
        </w:rPr>
        <w:t>至解除合同；由此引起的监理人的全部损失由委托人承担。</w:t>
      </w:r>
    </w:p>
    <w:p>
      <w:pPr>
        <w:pStyle w:val="32"/>
        <w:numPr>
          <w:ilvl w:val="2"/>
          <w:numId w:val="3"/>
        </w:numPr>
        <w:tabs>
          <w:tab w:val="left" w:pos="1529"/>
        </w:tabs>
        <w:spacing w:after="0" w:line="357" w:lineRule="auto"/>
        <w:ind w:left="424" w:right="469" w:firstLine="439"/>
        <w:jc w:val="both"/>
        <w:rPr>
          <w:color w:val="auto"/>
          <w:szCs w:val="21"/>
          <w:highlight w:val="none"/>
        </w:rPr>
      </w:pPr>
      <w:r>
        <w:rPr>
          <w:color w:val="auto"/>
          <w:spacing w:val="-1"/>
          <w:szCs w:val="21"/>
          <w:highlight w:val="none"/>
        </w:rPr>
        <w:t>委托人要求采用国外规范和标准进行监理时，应由委托人负责提供该规范和标</w:t>
      </w:r>
      <w:r>
        <w:rPr>
          <w:color w:val="auto"/>
          <w:spacing w:val="-3"/>
          <w:szCs w:val="21"/>
          <w:highlight w:val="none"/>
        </w:rPr>
        <w:t>准的外国文本和中文译本，提供的时间、份数和其他要求在专用合同条款中约定。</w:t>
      </w:r>
    </w:p>
    <w:p>
      <w:pPr>
        <w:pStyle w:val="6"/>
        <w:numPr>
          <w:ilvl w:val="0"/>
          <w:numId w:val="3"/>
        </w:numPr>
        <w:tabs>
          <w:tab w:val="left" w:pos="826"/>
        </w:tabs>
        <w:spacing w:before="127" w:after="0" w:line="240" w:lineRule="auto"/>
        <w:ind w:hanging="402"/>
        <w:rPr>
          <w:color w:val="auto"/>
          <w:sz w:val="21"/>
          <w:szCs w:val="21"/>
          <w:highlight w:val="none"/>
        </w:rPr>
      </w:pPr>
      <w:bookmarkStart w:id="57" w:name="_bookmark108"/>
      <w:bookmarkEnd w:id="57"/>
      <w:r>
        <w:rPr>
          <w:color w:val="auto"/>
          <w:sz w:val="21"/>
          <w:szCs w:val="21"/>
          <w:highlight w:val="none"/>
        </w:rPr>
        <w:t>委托人义务</w:t>
      </w:r>
    </w:p>
    <w:p>
      <w:pPr>
        <w:pStyle w:val="9"/>
        <w:spacing w:before="11"/>
        <w:rPr>
          <w:rFonts w:ascii="黑体"/>
          <w:b/>
          <w:color w:val="auto"/>
          <w:sz w:val="21"/>
          <w:szCs w:val="21"/>
          <w:highlight w:val="none"/>
        </w:rPr>
      </w:pPr>
    </w:p>
    <w:p>
      <w:pPr>
        <w:numPr>
          <w:ilvl w:val="1"/>
          <w:numId w:val="3"/>
        </w:numPr>
        <w:tabs>
          <w:tab w:val="left" w:pos="914"/>
        </w:tabs>
        <w:spacing w:before="1"/>
        <w:rPr>
          <w:rFonts w:ascii="黑体" w:eastAsia="黑体"/>
          <w:b/>
          <w:color w:val="auto"/>
          <w:szCs w:val="21"/>
          <w:highlight w:val="none"/>
        </w:rPr>
      </w:pPr>
      <w:r>
        <w:rPr>
          <w:rFonts w:hint="eastAsia" w:ascii="黑体" w:eastAsia="黑体"/>
          <w:b/>
          <w:color w:val="auto"/>
          <w:szCs w:val="21"/>
          <w:highlight w:val="none"/>
        </w:rPr>
        <w:t>遵守法律</w:t>
      </w:r>
    </w:p>
    <w:p>
      <w:pPr>
        <w:spacing w:before="123" w:line="357" w:lineRule="auto"/>
        <w:ind w:left="424" w:right="467" w:firstLine="439"/>
        <w:rPr>
          <w:color w:val="auto"/>
          <w:szCs w:val="21"/>
          <w:highlight w:val="none"/>
        </w:rPr>
      </w:pPr>
      <w:r>
        <w:rPr>
          <w:color w:val="auto"/>
          <w:szCs w:val="21"/>
          <w:highlight w:val="none"/>
        </w:rPr>
        <w:t>委托人在履行合同过程中应遵守法律，并保证监理人免于承担因委托人违反法律而引起的任何责任。</w:t>
      </w:r>
    </w:p>
    <w:p>
      <w:pPr>
        <w:numPr>
          <w:ilvl w:val="1"/>
          <w:numId w:val="3"/>
        </w:numPr>
        <w:tabs>
          <w:tab w:val="left" w:pos="914"/>
        </w:tabs>
        <w:spacing w:line="316" w:lineRule="exact"/>
        <w:rPr>
          <w:rFonts w:ascii="黑体" w:eastAsia="黑体"/>
          <w:b/>
          <w:color w:val="auto"/>
          <w:szCs w:val="21"/>
          <w:highlight w:val="none"/>
        </w:rPr>
      </w:pPr>
      <w:r>
        <w:rPr>
          <w:rFonts w:hint="eastAsia" w:ascii="黑体" w:eastAsia="黑体"/>
          <w:b/>
          <w:color w:val="auto"/>
          <w:szCs w:val="21"/>
          <w:highlight w:val="none"/>
        </w:rPr>
        <w:t>发出开始监理通知</w:t>
      </w:r>
    </w:p>
    <w:p>
      <w:pPr>
        <w:spacing w:before="124"/>
        <w:ind w:left="863"/>
        <w:rPr>
          <w:color w:val="auto"/>
          <w:szCs w:val="21"/>
          <w:highlight w:val="none"/>
        </w:rPr>
      </w:pPr>
      <w:r>
        <w:rPr>
          <w:color w:val="auto"/>
          <w:szCs w:val="21"/>
          <w:highlight w:val="none"/>
        </w:rPr>
        <w:t xml:space="preserve">委托人应按第 </w:t>
      </w:r>
      <w:r>
        <w:rPr>
          <w:rFonts w:ascii="Times New Roman" w:eastAsia="Times New Roman"/>
          <w:color w:val="auto"/>
          <w:szCs w:val="21"/>
          <w:highlight w:val="none"/>
        </w:rPr>
        <w:t xml:space="preserve">6.1 </w:t>
      </w:r>
      <w:r>
        <w:rPr>
          <w:color w:val="auto"/>
          <w:szCs w:val="21"/>
          <w:highlight w:val="none"/>
        </w:rPr>
        <w:t>款的约定向监理人发出开始监理通知。</w:t>
      </w:r>
    </w:p>
    <w:p>
      <w:pPr>
        <w:numPr>
          <w:ilvl w:val="1"/>
          <w:numId w:val="3"/>
        </w:numPr>
        <w:tabs>
          <w:tab w:val="left" w:pos="914"/>
        </w:tabs>
        <w:spacing w:before="95"/>
        <w:rPr>
          <w:rFonts w:ascii="黑体" w:eastAsia="黑体"/>
          <w:b/>
          <w:color w:val="auto"/>
          <w:szCs w:val="21"/>
          <w:highlight w:val="none"/>
        </w:rPr>
      </w:pPr>
      <w:r>
        <w:rPr>
          <w:rFonts w:hint="eastAsia" w:ascii="黑体" w:eastAsia="黑体"/>
          <w:b/>
          <w:color w:val="auto"/>
          <w:szCs w:val="21"/>
          <w:highlight w:val="none"/>
        </w:rPr>
        <w:t>提供设备、设施</w:t>
      </w:r>
    </w:p>
    <w:p>
      <w:pPr>
        <w:spacing w:before="126" w:line="357" w:lineRule="auto"/>
        <w:ind w:left="424" w:right="461" w:firstLine="439"/>
        <w:rPr>
          <w:color w:val="auto"/>
          <w:szCs w:val="21"/>
          <w:highlight w:val="none"/>
        </w:rPr>
      </w:pPr>
      <w:r>
        <w:rPr>
          <w:color w:val="auto"/>
          <w:szCs w:val="21"/>
          <w:highlight w:val="none"/>
        </w:rPr>
        <w:t>除专用合同条款另有约定外，委托人应为监理人的现场人员，在监理期间提供办公房间、办公桌椅、互联网接口、冷暖设施、生活设施、进出现场交通服务和其他便利条件。</w:t>
      </w:r>
    </w:p>
    <w:p>
      <w:pPr>
        <w:numPr>
          <w:ilvl w:val="1"/>
          <w:numId w:val="3"/>
        </w:numPr>
        <w:tabs>
          <w:tab w:val="left" w:pos="914"/>
        </w:tabs>
        <w:spacing w:line="316" w:lineRule="exact"/>
        <w:rPr>
          <w:rFonts w:ascii="黑体" w:eastAsia="黑体"/>
          <w:b/>
          <w:color w:val="auto"/>
          <w:szCs w:val="21"/>
          <w:highlight w:val="none"/>
        </w:rPr>
      </w:pPr>
      <w:r>
        <w:rPr>
          <w:rFonts w:hint="eastAsia" w:ascii="黑体" w:eastAsia="黑体"/>
          <w:b/>
          <w:color w:val="auto"/>
          <w:szCs w:val="21"/>
          <w:highlight w:val="none"/>
        </w:rPr>
        <w:t>办理证件和批件</w:t>
      </w:r>
    </w:p>
    <w:p>
      <w:pPr>
        <w:spacing w:before="124" w:line="357" w:lineRule="auto"/>
        <w:ind w:left="424" w:right="467" w:firstLine="439"/>
        <w:rPr>
          <w:color w:val="auto"/>
          <w:szCs w:val="21"/>
          <w:highlight w:val="none"/>
        </w:rPr>
      </w:pPr>
      <w:r>
        <w:rPr>
          <w:color w:val="auto"/>
          <w:szCs w:val="21"/>
          <w:highlight w:val="none"/>
        </w:rPr>
        <w:t>法律规定和（或）合同约定由委托人负责办理的工程建设项目必须履行的各类审批、核准或备案手续，委托人应当按时办理，监理人应给予必要的协助。</w:t>
      </w:r>
    </w:p>
    <w:p>
      <w:pPr>
        <w:spacing w:line="357" w:lineRule="auto"/>
        <w:ind w:left="424" w:right="466" w:firstLine="439"/>
        <w:rPr>
          <w:color w:val="auto"/>
          <w:szCs w:val="21"/>
          <w:highlight w:val="none"/>
        </w:rPr>
      </w:pPr>
      <w:r>
        <w:rPr>
          <w:color w:val="auto"/>
          <w:szCs w:val="21"/>
          <w:highlight w:val="none"/>
        </w:rPr>
        <w:t>法律规定和（或）合同约定由监理人负责办理的监理所需的证件和批件，委托人应给予必要的协助。</w:t>
      </w:r>
    </w:p>
    <w:p>
      <w:pPr>
        <w:numPr>
          <w:ilvl w:val="1"/>
          <w:numId w:val="3"/>
        </w:numPr>
        <w:tabs>
          <w:tab w:val="left" w:pos="914"/>
        </w:tabs>
        <w:spacing w:line="316" w:lineRule="exact"/>
        <w:rPr>
          <w:rFonts w:ascii="黑体" w:eastAsia="黑体"/>
          <w:b/>
          <w:color w:val="auto"/>
          <w:szCs w:val="21"/>
          <w:highlight w:val="none"/>
        </w:rPr>
      </w:pPr>
      <w:r>
        <w:rPr>
          <w:rFonts w:hint="eastAsia" w:ascii="黑体" w:eastAsia="黑体"/>
          <w:b/>
          <w:color w:val="auto"/>
          <w:szCs w:val="21"/>
          <w:highlight w:val="none"/>
        </w:rPr>
        <w:t>支付合同价款</w:t>
      </w:r>
    </w:p>
    <w:p>
      <w:pPr>
        <w:spacing w:before="124"/>
        <w:ind w:left="863"/>
        <w:rPr>
          <w:color w:val="auto"/>
          <w:szCs w:val="21"/>
          <w:highlight w:val="none"/>
        </w:rPr>
      </w:pPr>
      <w:r>
        <w:rPr>
          <w:color w:val="auto"/>
          <w:szCs w:val="21"/>
          <w:highlight w:val="none"/>
        </w:rPr>
        <w:t>委托人应按合同约定向监理人及时支付合同价款。</w:t>
      </w:r>
    </w:p>
    <w:p>
      <w:pPr>
        <w:numPr>
          <w:ilvl w:val="1"/>
          <w:numId w:val="3"/>
        </w:numPr>
        <w:tabs>
          <w:tab w:val="left" w:pos="914"/>
        </w:tabs>
        <w:spacing w:before="95"/>
        <w:rPr>
          <w:rFonts w:ascii="黑体" w:eastAsia="黑体"/>
          <w:b/>
          <w:color w:val="auto"/>
          <w:szCs w:val="21"/>
          <w:highlight w:val="none"/>
        </w:rPr>
      </w:pPr>
      <w:r>
        <w:rPr>
          <w:rFonts w:hint="eastAsia" w:ascii="黑体" w:eastAsia="黑体"/>
          <w:b/>
          <w:color w:val="auto"/>
          <w:szCs w:val="21"/>
          <w:highlight w:val="none"/>
        </w:rPr>
        <w:t>提供监理资料</w:t>
      </w:r>
    </w:p>
    <w:p>
      <w:pPr>
        <w:spacing w:before="126"/>
        <w:ind w:left="863"/>
        <w:rPr>
          <w:color w:val="auto"/>
          <w:szCs w:val="21"/>
          <w:highlight w:val="none"/>
        </w:rPr>
      </w:pPr>
      <w:r>
        <w:rPr>
          <w:color w:val="auto"/>
          <w:szCs w:val="21"/>
          <w:highlight w:val="none"/>
        </w:rPr>
        <w:t xml:space="preserve">委托人应按第 </w:t>
      </w:r>
      <w:r>
        <w:rPr>
          <w:rFonts w:ascii="Times New Roman" w:eastAsia="Times New Roman"/>
          <w:color w:val="auto"/>
          <w:szCs w:val="21"/>
          <w:highlight w:val="none"/>
        </w:rPr>
        <w:t xml:space="preserve">1.6.2 </w:t>
      </w:r>
      <w:r>
        <w:rPr>
          <w:color w:val="auto"/>
          <w:szCs w:val="21"/>
          <w:highlight w:val="none"/>
        </w:rPr>
        <w:t>项的约定向监理人提供监理资料。</w:t>
      </w:r>
    </w:p>
    <w:p>
      <w:pPr>
        <w:numPr>
          <w:ilvl w:val="1"/>
          <w:numId w:val="3"/>
        </w:numPr>
        <w:tabs>
          <w:tab w:val="left" w:pos="914"/>
        </w:tabs>
        <w:spacing w:before="95"/>
        <w:rPr>
          <w:rFonts w:ascii="黑体" w:eastAsia="黑体"/>
          <w:b/>
          <w:color w:val="auto"/>
          <w:szCs w:val="21"/>
          <w:highlight w:val="none"/>
        </w:rPr>
      </w:pPr>
      <w:r>
        <w:rPr>
          <w:rFonts w:hint="eastAsia" w:ascii="黑体" w:eastAsia="黑体"/>
          <w:b/>
          <w:color w:val="auto"/>
          <w:szCs w:val="21"/>
          <w:highlight w:val="none"/>
        </w:rPr>
        <w:t>其他义务</w:t>
      </w:r>
    </w:p>
    <w:p>
      <w:pPr>
        <w:spacing w:before="123"/>
        <w:ind w:left="863"/>
        <w:rPr>
          <w:color w:val="auto"/>
          <w:szCs w:val="21"/>
          <w:highlight w:val="none"/>
        </w:rPr>
      </w:pPr>
      <w:r>
        <w:rPr>
          <w:color w:val="auto"/>
          <w:szCs w:val="21"/>
          <w:highlight w:val="none"/>
        </w:rPr>
        <w:t>委托人应履行合同约定的其他义务。</w:t>
      </w:r>
    </w:p>
    <w:p>
      <w:pPr>
        <w:pStyle w:val="9"/>
        <w:spacing w:before="6"/>
        <w:rPr>
          <w:color w:val="auto"/>
          <w:sz w:val="21"/>
          <w:szCs w:val="21"/>
          <w:highlight w:val="none"/>
        </w:rPr>
      </w:pPr>
    </w:p>
    <w:p>
      <w:pPr>
        <w:pStyle w:val="6"/>
        <w:numPr>
          <w:ilvl w:val="0"/>
          <w:numId w:val="3"/>
        </w:numPr>
        <w:tabs>
          <w:tab w:val="left" w:pos="826"/>
        </w:tabs>
        <w:spacing w:after="0" w:line="240" w:lineRule="auto"/>
        <w:ind w:hanging="402"/>
        <w:rPr>
          <w:color w:val="auto"/>
          <w:sz w:val="21"/>
          <w:szCs w:val="21"/>
          <w:highlight w:val="none"/>
        </w:rPr>
      </w:pPr>
      <w:bookmarkStart w:id="58" w:name="_bookmark109"/>
      <w:bookmarkEnd w:id="58"/>
      <w:r>
        <w:rPr>
          <w:color w:val="auto"/>
          <w:w w:val="95"/>
          <w:sz w:val="21"/>
          <w:szCs w:val="21"/>
          <w:highlight w:val="none"/>
        </w:rPr>
        <w:t>委托人管理</w:t>
      </w:r>
    </w:p>
    <w:p>
      <w:pPr>
        <w:pStyle w:val="9"/>
        <w:spacing w:before="11"/>
        <w:rPr>
          <w:rFonts w:ascii="黑体"/>
          <w:b/>
          <w:color w:val="auto"/>
          <w:sz w:val="21"/>
          <w:szCs w:val="21"/>
          <w:highlight w:val="none"/>
        </w:rPr>
      </w:pPr>
    </w:p>
    <w:p>
      <w:pPr>
        <w:numPr>
          <w:ilvl w:val="1"/>
          <w:numId w:val="3"/>
        </w:numPr>
        <w:tabs>
          <w:tab w:val="left" w:pos="914"/>
        </w:tabs>
        <w:rPr>
          <w:rFonts w:ascii="黑体" w:eastAsia="黑体"/>
          <w:b/>
          <w:color w:val="auto"/>
          <w:szCs w:val="21"/>
          <w:highlight w:val="none"/>
        </w:rPr>
      </w:pPr>
      <w:r>
        <w:rPr>
          <w:rFonts w:hint="eastAsia" w:ascii="黑体" w:eastAsia="黑体"/>
          <w:b/>
          <w:color w:val="auto"/>
          <w:szCs w:val="21"/>
          <w:highlight w:val="none"/>
        </w:rPr>
        <w:t>委托人代表</w:t>
      </w:r>
    </w:p>
    <w:p>
      <w:pPr>
        <w:pStyle w:val="32"/>
        <w:numPr>
          <w:ilvl w:val="2"/>
          <w:numId w:val="3"/>
        </w:numPr>
        <w:tabs>
          <w:tab w:val="left" w:pos="1361"/>
        </w:tabs>
        <w:spacing w:before="124" w:after="0" w:line="357" w:lineRule="auto"/>
        <w:ind w:left="424" w:right="460" w:firstLine="439"/>
        <w:jc w:val="both"/>
        <w:rPr>
          <w:color w:val="auto"/>
          <w:szCs w:val="21"/>
          <w:highlight w:val="none"/>
        </w:rPr>
      </w:pPr>
      <w:r>
        <w:rPr>
          <w:color w:val="auto"/>
          <w:spacing w:val="-8"/>
          <w:szCs w:val="21"/>
          <w:highlight w:val="none"/>
        </w:rPr>
        <w:t xml:space="preserve">除专用合同条款另有约定外，委托人应在合同签订后 </w:t>
      </w:r>
      <w:r>
        <w:rPr>
          <w:rFonts w:ascii="Times New Roman" w:eastAsia="Times New Roman"/>
          <w:color w:val="auto"/>
          <w:szCs w:val="21"/>
          <w:highlight w:val="none"/>
        </w:rPr>
        <w:t>14</w:t>
      </w:r>
      <w:r>
        <w:rPr>
          <w:rFonts w:ascii="Times New Roman" w:eastAsia="Times New Roman"/>
          <w:color w:val="auto"/>
          <w:spacing w:val="12"/>
          <w:szCs w:val="21"/>
          <w:highlight w:val="none"/>
        </w:rPr>
        <w:t xml:space="preserve"> </w:t>
      </w:r>
      <w:r>
        <w:rPr>
          <w:color w:val="auto"/>
          <w:spacing w:val="-8"/>
          <w:szCs w:val="21"/>
          <w:highlight w:val="none"/>
        </w:rPr>
        <w:t>天内，将委托人代表的姓</w:t>
      </w:r>
      <w:r>
        <w:rPr>
          <w:color w:val="auto"/>
          <w:szCs w:val="21"/>
          <w:highlight w:val="none"/>
        </w:rPr>
        <w:t>名、职务、联系方式、授权范围和授权期限书面通知监理人，由委托人代表在其授权范围和授权期限内，代表委托人行使权利、履行义务和处理合同履行中的具体事宜。委托人代</w:t>
      </w:r>
      <w:r>
        <w:rPr>
          <w:color w:val="auto"/>
          <w:spacing w:val="-3"/>
          <w:szCs w:val="21"/>
          <w:highlight w:val="none"/>
        </w:rPr>
        <w:t>表在授权范围内的行为由委托人承担法律责任。</w:t>
      </w:r>
    </w:p>
    <w:p>
      <w:pPr>
        <w:pStyle w:val="32"/>
        <w:numPr>
          <w:ilvl w:val="2"/>
          <w:numId w:val="3"/>
        </w:numPr>
        <w:tabs>
          <w:tab w:val="left" w:pos="1361"/>
        </w:tabs>
        <w:spacing w:after="0" w:line="357" w:lineRule="auto"/>
        <w:ind w:left="424" w:right="353" w:firstLine="439"/>
        <w:rPr>
          <w:color w:val="auto"/>
          <w:szCs w:val="21"/>
          <w:highlight w:val="none"/>
        </w:rPr>
      </w:pPr>
      <w:r>
        <w:rPr>
          <w:color w:val="auto"/>
          <w:spacing w:val="-10"/>
          <w:szCs w:val="21"/>
          <w:highlight w:val="none"/>
        </w:rPr>
        <w:t xml:space="preserve">委托人代表违反法律法规、违背职业道德守则或者不按合同约定履行职责及义务， </w:t>
      </w:r>
      <w:r>
        <w:rPr>
          <w:color w:val="auto"/>
          <w:szCs w:val="21"/>
          <w:highlight w:val="none"/>
        </w:rPr>
        <w:t>导致合同无法继续正常履行的，监理人有权通知委托人更换委托人代表。委托人收到通知</w:t>
      </w:r>
      <w:r>
        <w:rPr>
          <w:color w:val="auto"/>
          <w:spacing w:val="-28"/>
          <w:szCs w:val="21"/>
          <w:highlight w:val="none"/>
        </w:rPr>
        <w:t xml:space="preserve">后 </w:t>
      </w:r>
      <w:r>
        <w:rPr>
          <w:rFonts w:ascii="Times New Roman" w:eastAsia="Times New Roman"/>
          <w:color w:val="auto"/>
          <w:szCs w:val="21"/>
          <w:highlight w:val="none"/>
        </w:rPr>
        <w:t xml:space="preserve">7 </w:t>
      </w:r>
      <w:r>
        <w:rPr>
          <w:color w:val="auto"/>
          <w:spacing w:val="-3"/>
          <w:szCs w:val="21"/>
          <w:highlight w:val="none"/>
        </w:rPr>
        <w:t>天内，应当核实完毕并将处理结果通知监理人。</w:t>
      </w:r>
    </w:p>
    <w:p>
      <w:pPr>
        <w:pStyle w:val="32"/>
        <w:numPr>
          <w:ilvl w:val="2"/>
          <w:numId w:val="3"/>
        </w:numPr>
        <w:tabs>
          <w:tab w:val="left" w:pos="1361"/>
        </w:tabs>
        <w:spacing w:after="0" w:line="357" w:lineRule="auto"/>
        <w:ind w:left="424" w:right="353" w:firstLine="439"/>
        <w:rPr>
          <w:color w:val="auto"/>
          <w:spacing w:val="-10"/>
          <w:szCs w:val="21"/>
          <w:highlight w:val="none"/>
        </w:rPr>
      </w:pPr>
      <w:r>
        <w:rPr>
          <w:color w:val="auto"/>
          <w:spacing w:val="-10"/>
          <w:szCs w:val="21"/>
          <w:highlight w:val="none"/>
        </w:rPr>
        <w:t>委托人更换委托人代表的，应提前 14 天将更换人员的姓名、职务、联系方式、授权范围和授权期限书面通知监理人。委托人代表超过 2 天不能履行职责的，应委派代表代行其职责，并通知监理人。</w:t>
      </w:r>
    </w:p>
    <w:p>
      <w:pPr>
        <w:numPr>
          <w:ilvl w:val="1"/>
          <w:numId w:val="3"/>
        </w:numPr>
        <w:tabs>
          <w:tab w:val="left" w:pos="914"/>
        </w:tabs>
        <w:spacing w:line="316" w:lineRule="exact"/>
        <w:rPr>
          <w:rFonts w:ascii="黑体" w:eastAsia="黑体"/>
          <w:b/>
          <w:color w:val="auto"/>
          <w:szCs w:val="21"/>
          <w:highlight w:val="none"/>
        </w:rPr>
      </w:pPr>
      <w:r>
        <w:rPr>
          <w:rFonts w:hint="eastAsia" w:ascii="黑体" w:eastAsia="黑体"/>
          <w:b/>
          <w:color w:val="auto"/>
          <w:szCs w:val="21"/>
          <w:highlight w:val="none"/>
        </w:rPr>
        <w:t>委托人的指示</w:t>
      </w:r>
    </w:p>
    <w:p>
      <w:pPr>
        <w:pStyle w:val="32"/>
        <w:numPr>
          <w:ilvl w:val="2"/>
          <w:numId w:val="3"/>
        </w:numPr>
        <w:tabs>
          <w:tab w:val="left" w:pos="1416"/>
        </w:tabs>
        <w:spacing w:before="123" w:after="0" w:line="357" w:lineRule="auto"/>
        <w:ind w:left="424" w:right="464" w:firstLine="439"/>
        <w:jc w:val="both"/>
        <w:rPr>
          <w:color w:val="auto"/>
          <w:szCs w:val="21"/>
          <w:highlight w:val="none"/>
        </w:rPr>
      </w:pPr>
      <w:r>
        <w:rPr>
          <w:color w:val="auto"/>
          <w:spacing w:val="-6"/>
          <w:szCs w:val="21"/>
          <w:highlight w:val="none"/>
        </w:rPr>
        <w:t>委托人应按合同约定向监理人发出指示，委托人的指示应盖有委托人单位章，并</w:t>
      </w:r>
      <w:r>
        <w:rPr>
          <w:color w:val="auto"/>
          <w:spacing w:val="-3"/>
          <w:szCs w:val="21"/>
          <w:highlight w:val="none"/>
        </w:rPr>
        <w:t>由委托人代表签字确认。</w:t>
      </w:r>
    </w:p>
    <w:p>
      <w:pPr>
        <w:pStyle w:val="32"/>
        <w:numPr>
          <w:ilvl w:val="2"/>
          <w:numId w:val="3"/>
        </w:numPr>
        <w:tabs>
          <w:tab w:val="left" w:pos="1416"/>
        </w:tabs>
        <w:spacing w:after="0" w:line="240" w:lineRule="auto"/>
        <w:ind w:hanging="553"/>
        <w:jc w:val="both"/>
        <w:rPr>
          <w:color w:val="auto"/>
          <w:szCs w:val="21"/>
          <w:highlight w:val="none"/>
        </w:rPr>
      </w:pPr>
      <w:r>
        <w:rPr>
          <w:color w:val="auto"/>
          <w:spacing w:val="-11"/>
          <w:szCs w:val="21"/>
          <w:highlight w:val="none"/>
        </w:rPr>
        <w:t xml:space="preserve">监理人收到委托人作出的指示后应遵照执行。指示构成变更的，应按第 </w:t>
      </w:r>
      <w:r>
        <w:rPr>
          <w:rFonts w:ascii="Times New Roman" w:eastAsia="Times New Roman"/>
          <w:color w:val="auto"/>
          <w:szCs w:val="21"/>
          <w:highlight w:val="none"/>
        </w:rPr>
        <w:t>8</w:t>
      </w:r>
      <w:r>
        <w:rPr>
          <w:rFonts w:ascii="Times New Roman" w:eastAsia="Times New Roman"/>
          <w:color w:val="auto"/>
          <w:spacing w:val="3"/>
          <w:szCs w:val="21"/>
          <w:highlight w:val="none"/>
        </w:rPr>
        <w:t xml:space="preserve"> </w:t>
      </w:r>
      <w:r>
        <w:rPr>
          <w:color w:val="auto"/>
          <w:spacing w:val="-2"/>
          <w:szCs w:val="21"/>
          <w:highlight w:val="none"/>
        </w:rPr>
        <w:t>条执行。</w:t>
      </w:r>
    </w:p>
    <w:p>
      <w:pPr>
        <w:pStyle w:val="32"/>
        <w:numPr>
          <w:ilvl w:val="2"/>
          <w:numId w:val="3"/>
        </w:numPr>
        <w:tabs>
          <w:tab w:val="left" w:pos="1416"/>
        </w:tabs>
        <w:spacing w:before="138" w:after="0" w:line="357" w:lineRule="auto"/>
        <w:ind w:left="424" w:right="463" w:firstLine="439"/>
        <w:jc w:val="both"/>
        <w:rPr>
          <w:color w:val="auto"/>
          <w:szCs w:val="21"/>
          <w:highlight w:val="none"/>
        </w:rPr>
      </w:pPr>
      <w:r>
        <w:rPr>
          <w:color w:val="auto"/>
          <w:spacing w:val="-5"/>
          <w:szCs w:val="21"/>
          <w:highlight w:val="none"/>
        </w:rPr>
        <w:t>在紧急情况下，委托人代表或其授权人员可以当场签发临时书面指示，监理人应</w:t>
      </w:r>
      <w:r>
        <w:rPr>
          <w:color w:val="auto"/>
          <w:spacing w:val="-7"/>
          <w:szCs w:val="21"/>
          <w:highlight w:val="none"/>
        </w:rPr>
        <w:t xml:space="preserve">遵照执行。委托人代表应在临时书面指示发出后 </w:t>
      </w:r>
      <w:r>
        <w:rPr>
          <w:rFonts w:ascii="Times New Roman" w:eastAsia="Times New Roman"/>
          <w:color w:val="auto"/>
          <w:szCs w:val="21"/>
          <w:highlight w:val="none"/>
        </w:rPr>
        <w:t>24</w:t>
      </w:r>
      <w:r>
        <w:rPr>
          <w:rFonts w:ascii="Times New Roman" w:eastAsia="Times New Roman"/>
          <w:color w:val="auto"/>
          <w:spacing w:val="12"/>
          <w:szCs w:val="21"/>
          <w:highlight w:val="none"/>
        </w:rPr>
        <w:t xml:space="preserve"> </w:t>
      </w:r>
      <w:r>
        <w:rPr>
          <w:color w:val="auto"/>
          <w:spacing w:val="-4"/>
          <w:szCs w:val="21"/>
          <w:highlight w:val="none"/>
        </w:rPr>
        <w:t>小时内发出书面确认函，逾期未发出书面确认函的，该临时书面指示应被视为委托人的正式指示。</w:t>
      </w:r>
    </w:p>
    <w:p>
      <w:pPr>
        <w:pStyle w:val="32"/>
        <w:numPr>
          <w:ilvl w:val="2"/>
          <w:numId w:val="3"/>
        </w:numPr>
        <w:tabs>
          <w:tab w:val="left" w:pos="1416"/>
        </w:tabs>
        <w:spacing w:before="1" w:after="0" w:line="357" w:lineRule="auto"/>
        <w:ind w:left="424" w:right="464" w:firstLine="439"/>
        <w:jc w:val="both"/>
        <w:rPr>
          <w:color w:val="auto"/>
          <w:szCs w:val="21"/>
          <w:highlight w:val="none"/>
        </w:rPr>
      </w:pPr>
      <w:r>
        <w:rPr>
          <w:color w:val="auto"/>
          <w:spacing w:val="-5"/>
          <w:szCs w:val="21"/>
          <w:highlight w:val="none"/>
        </w:rPr>
        <w:t>由于委托人未能按合同约定发出指示、指示延误或指示错误而导致监理人费用增</w:t>
      </w:r>
      <w:r>
        <w:rPr>
          <w:color w:val="auto"/>
          <w:szCs w:val="21"/>
          <w:highlight w:val="none"/>
        </w:rPr>
        <w:t>加和（</w:t>
      </w:r>
      <w:r>
        <w:rPr>
          <w:color w:val="auto"/>
          <w:spacing w:val="-3"/>
          <w:szCs w:val="21"/>
          <w:highlight w:val="none"/>
        </w:rPr>
        <w:t>或</w:t>
      </w:r>
      <w:r>
        <w:rPr>
          <w:color w:val="auto"/>
          <w:szCs w:val="21"/>
          <w:highlight w:val="none"/>
        </w:rPr>
        <w:t>）</w:t>
      </w:r>
      <w:r>
        <w:rPr>
          <w:color w:val="auto"/>
          <w:spacing w:val="-3"/>
          <w:szCs w:val="21"/>
          <w:highlight w:val="none"/>
        </w:rPr>
        <w:t>周期延误的，委托人应承担由此增加的费用和（</w:t>
      </w:r>
      <w:r>
        <w:rPr>
          <w:color w:val="auto"/>
          <w:szCs w:val="21"/>
          <w:highlight w:val="none"/>
        </w:rPr>
        <w:t>或）</w:t>
      </w:r>
      <w:r>
        <w:rPr>
          <w:color w:val="auto"/>
          <w:spacing w:val="-3"/>
          <w:szCs w:val="21"/>
          <w:highlight w:val="none"/>
        </w:rPr>
        <w:t>周期延误。</w:t>
      </w:r>
    </w:p>
    <w:p>
      <w:pPr>
        <w:numPr>
          <w:ilvl w:val="1"/>
          <w:numId w:val="3"/>
        </w:numPr>
        <w:tabs>
          <w:tab w:val="left" w:pos="914"/>
        </w:tabs>
        <w:spacing w:line="316" w:lineRule="exact"/>
        <w:rPr>
          <w:rFonts w:ascii="黑体" w:eastAsia="黑体"/>
          <w:b/>
          <w:color w:val="auto"/>
          <w:szCs w:val="21"/>
          <w:highlight w:val="none"/>
        </w:rPr>
      </w:pPr>
      <w:r>
        <w:rPr>
          <w:rFonts w:hint="eastAsia" w:ascii="黑体" w:eastAsia="黑体"/>
          <w:b/>
          <w:color w:val="auto"/>
          <w:szCs w:val="21"/>
          <w:highlight w:val="none"/>
        </w:rPr>
        <w:t>决定或答复</w:t>
      </w:r>
    </w:p>
    <w:p>
      <w:pPr>
        <w:pStyle w:val="32"/>
        <w:numPr>
          <w:ilvl w:val="2"/>
          <w:numId w:val="3"/>
        </w:numPr>
        <w:tabs>
          <w:tab w:val="left" w:pos="1416"/>
        </w:tabs>
        <w:spacing w:before="124" w:after="0" w:line="357" w:lineRule="auto"/>
        <w:ind w:left="424" w:right="462" w:firstLine="439"/>
        <w:jc w:val="both"/>
        <w:rPr>
          <w:color w:val="auto"/>
          <w:szCs w:val="21"/>
          <w:highlight w:val="none"/>
        </w:rPr>
      </w:pPr>
      <w:r>
        <w:rPr>
          <w:color w:val="auto"/>
          <w:spacing w:val="-4"/>
          <w:szCs w:val="21"/>
          <w:highlight w:val="none"/>
        </w:rPr>
        <w:t>委托人在法律允许的范围内有权对监理人的监理工作和</w:t>
      </w:r>
      <w:r>
        <w:rPr>
          <w:color w:val="auto"/>
          <w:szCs w:val="21"/>
          <w:highlight w:val="none"/>
        </w:rPr>
        <w:t>（</w:t>
      </w:r>
      <w:r>
        <w:rPr>
          <w:color w:val="auto"/>
          <w:spacing w:val="-3"/>
          <w:szCs w:val="21"/>
          <w:highlight w:val="none"/>
        </w:rPr>
        <w:t>或</w:t>
      </w:r>
      <w:r>
        <w:rPr>
          <w:color w:val="auto"/>
          <w:spacing w:val="-8"/>
          <w:szCs w:val="21"/>
          <w:highlight w:val="none"/>
        </w:rPr>
        <w:t>）</w:t>
      </w:r>
      <w:r>
        <w:rPr>
          <w:color w:val="auto"/>
          <w:spacing w:val="-3"/>
          <w:szCs w:val="21"/>
          <w:highlight w:val="none"/>
        </w:rPr>
        <w:t xml:space="preserve">监理文件作出处理决定，监理人应按照委托人的决定执行，涉及监理服务期限或监理报酬等问题按第 </w:t>
      </w:r>
      <w:r>
        <w:rPr>
          <w:rFonts w:ascii="Times New Roman" w:eastAsia="Times New Roman"/>
          <w:color w:val="auto"/>
          <w:szCs w:val="21"/>
          <w:highlight w:val="none"/>
        </w:rPr>
        <w:t>8</w:t>
      </w:r>
      <w:r>
        <w:rPr>
          <w:rFonts w:ascii="Times New Roman" w:eastAsia="Times New Roman"/>
          <w:color w:val="auto"/>
          <w:spacing w:val="7"/>
          <w:szCs w:val="21"/>
          <w:highlight w:val="none"/>
        </w:rPr>
        <w:t xml:space="preserve"> </w:t>
      </w:r>
      <w:r>
        <w:rPr>
          <w:color w:val="auto"/>
          <w:szCs w:val="21"/>
          <w:highlight w:val="none"/>
        </w:rPr>
        <w:t>条的</w:t>
      </w:r>
      <w:r>
        <w:rPr>
          <w:color w:val="auto"/>
          <w:spacing w:val="-1"/>
          <w:szCs w:val="21"/>
          <w:highlight w:val="none"/>
        </w:rPr>
        <w:t>约定处理。</w:t>
      </w:r>
    </w:p>
    <w:p>
      <w:pPr>
        <w:pStyle w:val="32"/>
        <w:numPr>
          <w:ilvl w:val="2"/>
          <w:numId w:val="3"/>
        </w:numPr>
        <w:tabs>
          <w:tab w:val="left" w:pos="1416"/>
        </w:tabs>
        <w:spacing w:after="0" w:line="357" w:lineRule="auto"/>
        <w:ind w:left="424" w:right="464" w:firstLine="439"/>
        <w:jc w:val="both"/>
        <w:rPr>
          <w:color w:val="auto"/>
          <w:szCs w:val="21"/>
          <w:highlight w:val="none"/>
        </w:rPr>
      </w:pPr>
      <w:r>
        <w:rPr>
          <w:color w:val="auto"/>
          <w:spacing w:val="-5"/>
          <w:szCs w:val="21"/>
          <w:highlight w:val="none"/>
        </w:rPr>
        <w:t>委托人应在专用合同条款约定的时间之内，对监理人书面提出的事项作出书面答</w:t>
      </w:r>
      <w:r>
        <w:rPr>
          <w:color w:val="auto"/>
          <w:spacing w:val="-3"/>
          <w:szCs w:val="21"/>
          <w:highlight w:val="none"/>
        </w:rPr>
        <w:t>复；逾期没有作出答复的，视为已获得委托人的批准。</w:t>
      </w:r>
    </w:p>
    <w:p>
      <w:pPr>
        <w:pStyle w:val="6"/>
        <w:numPr>
          <w:ilvl w:val="0"/>
          <w:numId w:val="3"/>
        </w:numPr>
        <w:tabs>
          <w:tab w:val="left" w:pos="826"/>
        </w:tabs>
        <w:spacing w:before="123" w:after="0" w:line="240" w:lineRule="auto"/>
        <w:ind w:hanging="402"/>
        <w:rPr>
          <w:color w:val="auto"/>
          <w:sz w:val="21"/>
          <w:szCs w:val="21"/>
          <w:highlight w:val="none"/>
        </w:rPr>
      </w:pPr>
      <w:bookmarkStart w:id="59" w:name="_bookmark110"/>
      <w:bookmarkEnd w:id="59"/>
      <w:r>
        <w:rPr>
          <w:color w:val="auto"/>
          <w:sz w:val="21"/>
          <w:szCs w:val="21"/>
          <w:highlight w:val="none"/>
        </w:rPr>
        <w:t>监理人义务</w:t>
      </w:r>
    </w:p>
    <w:p>
      <w:pPr>
        <w:pStyle w:val="9"/>
        <w:spacing w:before="11"/>
        <w:rPr>
          <w:rFonts w:ascii="黑体"/>
          <w:b/>
          <w:color w:val="auto"/>
          <w:sz w:val="21"/>
          <w:szCs w:val="21"/>
          <w:highlight w:val="none"/>
        </w:rPr>
      </w:pPr>
    </w:p>
    <w:p>
      <w:pPr>
        <w:numPr>
          <w:ilvl w:val="1"/>
          <w:numId w:val="3"/>
        </w:numPr>
        <w:tabs>
          <w:tab w:val="left" w:pos="914"/>
        </w:tabs>
        <w:spacing w:before="1"/>
        <w:rPr>
          <w:rFonts w:ascii="黑体" w:eastAsia="黑体"/>
          <w:b/>
          <w:color w:val="auto"/>
          <w:szCs w:val="21"/>
          <w:highlight w:val="none"/>
        </w:rPr>
      </w:pPr>
      <w:r>
        <w:rPr>
          <w:rFonts w:hint="eastAsia" w:ascii="黑体" w:eastAsia="黑体"/>
          <w:b/>
          <w:color w:val="auto"/>
          <w:szCs w:val="21"/>
          <w:highlight w:val="none"/>
        </w:rPr>
        <w:t>监理人的一般义务</w:t>
      </w:r>
    </w:p>
    <w:p>
      <w:pPr>
        <w:pStyle w:val="32"/>
        <w:numPr>
          <w:ilvl w:val="2"/>
          <w:numId w:val="3"/>
        </w:numPr>
        <w:tabs>
          <w:tab w:val="left" w:pos="1416"/>
        </w:tabs>
        <w:spacing w:before="126" w:after="0" w:line="240" w:lineRule="auto"/>
        <w:ind w:hanging="553"/>
        <w:rPr>
          <w:color w:val="auto"/>
          <w:szCs w:val="21"/>
          <w:highlight w:val="none"/>
        </w:rPr>
      </w:pPr>
      <w:r>
        <w:rPr>
          <w:color w:val="auto"/>
          <w:spacing w:val="-2"/>
          <w:szCs w:val="21"/>
          <w:highlight w:val="none"/>
        </w:rPr>
        <w:t>遵守法律</w:t>
      </w:r>
    </w:p>
    <w:p>
      <w:pPr>
        <w:spacing w:before="138" w:line="357" w:lineRule="auto"/>
        <w:ind w:left="424" w:right="467" w:firstLine="439"/>
        <w:rPr>
          <w:color w:val="auto"/>
          <w:szCs w:val="21"/>
          <w:highlight w:val="none"/>
        </w:rPr>
      </w:pPr>
      <w:r>
        <w:rPr>
          <w:color w:val="auto"/>
          <w:szCs w:val="21"/>
          <w:highlight w:val="none"/>
        </w:rPr>
        <w:t>监理人在履行合同过程中应遵守法律，并保证委托人免于承担因监理人违反法律而引起的任何责任。</w:t>
      </w:r>
    </w:p>
    <w:p>
      <w:pPr>
        <w:pStyle w:val="32"/>
        <w:numPr>
          <w:ilvl w:val="2"/>
          <w:numId w:val="3"/>
        </w:numPr>
        <w:tabs>
          <w:tab w:val="left" w:pos="1416"/>
        </w:tabs>
        <w:spacing w:after="0" w:line="240" w:lineRule="auto"/>
        <w:ind w:hanging="553"/>
        <w:rPr>
          <w:color w:val="auto"/>
          <w:szCs w:val="21"/>
          <w:highlight w:val="none"/>
        </w:rPr>
      </w:pPr>
      <w:r>
        <w:rPr>
          <w:color w:val="auto"/>
          <w:spacing w:val="-2"/>
          <w:szCs w:val="21"/>
          <w:highlight w:val="none"/>
        </w:rPr>
        <w:t>依法纳税</w:t>
      </w:r>
    </w:p>
    <w:p>
      <w:pPr>
        <w:spacing w:before="138"/>
        <w:ind w:left="863"/>
        <w:rPr>
          <w:color w:val="auto"/>
          <w:szCs w:val="21"/>
          <w:highlight w:val="none"/>
        </w:rPr>
      </w:pPr>
      <w:r>
        <w:rPr>
          <w:color w:val="auto"/>
          <w:szCs w:val="21"/>
          <w:highlight w:val="none"/>
        </w:rPr>
        <w:t>监理人应按有关法律规定纳税，应缴纳的税金（含增值税）包括在合同价格之中。</w:t>
      </w:r>
    </w:p>
    <w:p>
      <w:pPr>
        <w:pStyle w:val="32"/>
        <w:numPr>
          <w:ilvl w:val="2"/>
          <w:numId w:val="3"/>
        </w:numPr>
        <w:tabs>
          <w:tab w:val="left" w:pos="1416"/>
        </w:tabs>
        <w:spacing w:before="139" w:after="0" w:line="240" w:lineRule="auto"/>
        <w:ind w:hanging="553"/>
        <w:rPr>
          <w:color w:val="auto"/>
          <w:szCs w:val="21"/>
          <w:highlight w:val="none"/>
        </w:rPr>
      </w:pPr>
      <w:r>
        <w:rPr>
          <w:color w:val="auto"/>
          <w:spacing w:val="-3"/>
          <w:szCs w:val="21"/>
          <w:highlight w:val="none"/>
        </w:rPr>
        <w:t>完成全部监理工作</w:t>
      </w:r>
    </w:p>
    <w:p>
      <w:pPr>
        <w:spacing w:before="138" w:line="357" w:lineRule="auto"/>
        <w:ind w:left="424" w:right="467" w:firstLine="439"/>
        <w:rPr>
          <w:color w:val="auto"/>
          <w:szCs w:val="21"/>
          <w:highlight w:val="none"/>
        </w:rPr>
      </w:pPr>
      <w:r>
        <w:rPr>
          <w:color w:val="auto"/>
          <w:spacing w:val="-1"/>
          <w:szCs w:val="21"/>
          <w:highlight w:val="none"/>
        </w:rPr>
        <w:t>监理人应按合同约定以及委托人要求，完成合同约定的全部工作，并对工作中的任何</w:t>
      </w:r>
      <w:r>
        <w:rPr>
          <w:color w:val="auto"/>
          <w:spacing w:val="-3"/>
          <w:szCs w:val="21"/>
          <w:highlight w:val="none"/>
        </w:rPr>
        <w:t>缺陷进行整改，使其满足合同约定的目的。</w:t>
      </w:r>
    </w:p>
    <w:p>
      <w:pPr>
        <w:pStyle w:val="32"/>
        <w:numPr>
          <w:ilvl w:val="2"/>
          <w:numId w:val="3"/>
        </w:numPr>
        <w:tabs>
          <w:tab w:val="left" w:pos="1416"/>
        </w:tabs>
        <w:spacing w:after="0" w:line="240" w:lineRule="auto"/>
        <w:ind w:hanging="553"/>
        <w:rPr>
          <w:color w:val="auto"/>
          <w:szCs w:val="21"/>
          <w:highlight w:val="none"/>
        </w:rPr>
      </w:pPr>
      <w:r>
        <w:rPr>
          <w:color w:val="auto"/>
          <w:spacing w:val="-2"/>
          <w:szCs w:val="21"/>
          <w:highlight w:val="none"/>
        </w:rPr>
        <w:t>其他义务</w:t>
      </w:r>
    </w:p>
    <w:p>
      <w:pPr>
        <w:spacing w:before="138"/>
        <w:ind w:left="863"/>
        <w:rPr>
          <w:color w:val="auto"/>
          <w:szCs w:val="21"/>
          <w:highlight w:val="none"/>
        </w:rPr>
      </w:pPr>
      <w:r>
        <w:rPr>
          <w:color w:val="auto"/>
          <w:szCs w:val="21"/>
          <w:highlight w:val="none"/>
        </w:rPr>
        <w:t>监理人应履行合同约定的其他义务。</w:t>
      </w:r>
    </w:p>
    <w:p>
      <w:pPr>
        <w:numPr>
          <w:ilvl w:val="1"/>
          <w:numId w:val="3"/>
        </w:numPr>
        <w:tabs>
          <w:tab w:val="left" w:pos="914"/>
        </w:tabs>
        <w:spacing w:before="95"/>
        <w:rPr>
          <w:rFonts w:ascii="黑体" w:eastAsia="黑体"/>
          <w:b/>
          <w:color w:val="auto"/>
          <w:szCs w:val="21"/>
          <w:highlight w:val="none"/>
        </w:rPr>
      </w:pPr>
      <w:r>
        <w:rPr>
          <w:rFonts w:hint="eastAsia" w:ascii="黑体" w:eastAsia="黑体"/>
          <w:b/>
          <w:color w:val="auto"/>
          <w:szCs w:val="21"/>
          <w:highlight w:val="none"/>
        </w:rPr>
        <w:t>履约保证金</w:t>
      </w:r>
    </w:p>
    <w:p>
      <w:pPr>
        <w:spacing w:before="138" w:line="357" w:lineRule="auto"/>
        <w:ind w:left="424" w:right="467" w:firstLine="439"/>
        <w:rPr>
          <w:color w:val="auto"/>
          <w:spacing w:val="-1"/>
          <w:szCs w:val="21"/>
          <w:highlight w:val="none"/>
        </w:rPr>
      </w:pPr>
      <w:r>
        <w:rPr>
          <w:color w:val="auto"/>
          <w:spacing w:val="-1"/>
          <w:szCs w:val="21"/>
          <w:highlight w:val="none"/>
        </w:rPr>
        <w:t>除专用合同条款另有约定外，履约保证金自合同生效之日起生效，在委托人签发竣工</w:t>
      </w:r>
      <w:r>
        <w:rPr>
          <w:color w:val="auto"/>
          <w:spacing w:val="-1"/>
          <w:szCs w:val="21"/>
          <w:highlight w:val="none"/>
        </w:rPr>
        <w:br w:type="textWrapping"/>
      </w:r>
      <w:r>
        <w:rPr>
          <w:color w:val="auto"/>
          <w:spacing w:val="-1"/>
          <w:szCs w:val="21"/>
          <w:highlight w:val="none"/>
        </w:rPr>
        <w:t>验收证书之日起 28 天后失效。如果监理人不履行合同约定的义务或其履行不符合合同的约定，委托人有权扣划相应金额的履约保证金。</w:t>
      </w:r>
    </w:p>
    <w:p>
      <w:pPr>
        <w:numPr>
          <w:ilvl w:val="1"/>
          <w:numId w:val="3"/>
        </w:numPr>
        <w:tabs>
          <w:tab w:val="left" w:pos="914"/>
        </w:tabs>
        <w:spacing w:line="316" w:lineRule="exact"/>
        <w:rPr>
          <w:rFonts w:ascii="黑体" w:eastAsia="黑体"/>
          <w:b/>
          <w:color w:val="auto"/>
          <w:szCs w:val="21"/>
          <w:highlight w:val="none"/>
        </w:rPr>
      </w:pPr>
      <w:r>
        <w:rPr>
          <w:rFonts w:hint="eastAsia" w:ascii="黑体" w:eastAsia="黑体"/>
          <w:b/>
          <w:color w:val="auto"/>
          <w:szCs w:val="21"/>
          <w:highlight w:val="none"/>
        </w:rPr>
        <w:t>联合体</w:t>
      </w:r>
    </w:p>
    <w:p>
      <w:pPr>
        <w:pStyle w:val="32"/>
        <w:numPr>
          <w:ilvl w:val="2"/>
          <w:numId w:val="3"/>
        </w:numPr>
        <w:tabs>
          <w:tab w:val="left" w:pos="1416"/>
        </w:tabs>
        <w:spacing w:before="123" w:after="0" w:line="240" w:lineRule="auto"/>
        <w:ind w:hanging="553"/>
        <w:rPr>
          <w:color w:val="auto"/>
          <w:szCs w:val="21"/>
          <w:highlight w:val="none"/>
        </w:rPr>
      </w:pPr>
      <w:r>
        <w:rPr>
          <w:color w:val="auto"/>
          <w:spacing w:val="-3"/>
          <w:szCs w:val="21"/>
          <w:highlight w:val="none"/>
        </w:rPr>
        <w:t>联合体各方应共同与委托人签订合同。联合体各方应为履行合同承担连带责任。</w:t>
      </w:r>
    </w:p>
    <w:p>
      <w:pPr>
        <w:pStyle w:val="32"/>
        <w:numPr>
          <w:ilvl w:val="2"/>
          <w:numId w:val="3"/>
        </w:numPr>
        <w:tabs>
          <w:tab w:val="left" w:pos="1416"/>
        </w:tabs>
        <w:spacing w:before="138" w:after="0" w:line="357" w:lineRule="auto"/>
        <w:ind w:left="424" w:right="353" w:firstLine="439"/>
        <w:rPr>
          <w:color w:val="auto"/>
          <w:szCs w:val="21"/>
          <w:highlight w:val="none"/>
        </w:rPr>
      </w:pPr>
      <w:r>
        <w:rPr>
          <w:color w:val="auto"/>
          <w:spacing w:val="-9"/>
          <w:szCs w:val="21"/>
          <w:highlight w:val="none"/>
        </w:rPr>
        <w:t xml:space="preserve">联合体协议经委托人确认后作为合同附件。在履行合同过程中，未经委托人同意， </w:t>
      </w:r>
      <w:r>
        <w:rPr>
          <w:color w:val="auto"/>
          <w:spacing w:val="-6"/>
          <w:szCs w:val="21"/>
          <w:highlight w:val="none"/>
        </w:rPr>
        <w:t>不得修改联合体协议。</w:t>
      </w:r>
    </w:p>
    <w:p>
      <w:pPr>
        <w:pStyle w:val="32"/>
        <w:numPr>
          <w:ilvl w:val="2"/>
          <w:numId w:val="3"/>
        </w:numPr>
        <w:tabs>
          <w:tab w:val="left" w:pos="1416"/>
        </w:tabs>
        <w:spacing w:after="0" w:line="357" w:lineRule="auto"/>
        <w:ind w:left="424" w:right="464" w:firstLine="439"/>
        <w:rPr>
          <w:color w:val="auto"/>
          <w:szCs w:val="21"/>
          <w:highlight w:val="none"/>
        </w:rPr>
      </w:pPr>
      <w:r>
        <w:rPr>
          <w:color w:val="auto"/>
          <w:spacing w:val="-5"/>
          <w:szCs w:val="21"/>
          <w:highlight w:val="none"/>
        </w:rPr>
        <w:t>联合体牵头人负责与委托人联系，并接受指示，负责组织联合体各成员全面履行合同。</w:t>
      </w:r>
    </w:p>
    <w:p>
      <w:pPr>
        <w:numPr>
          <w:ilvl w:val="1"/>
          <w:numId w:val="3"/>
        </w:numPr>
        <w:tabs>
          <w:tab w:val="left" w:pos="914"/>
        </w:tabs>
        <w:spacing w:line="316" w:lineRule="exact"/>
        <w:rPr>
          <w:rFonts w:ascii="黑体" w:eastAsia="黑体"/>
          <w:b/>
          <w:color w:val="auto"/>
          <w:szCs w:val="21"/>
          <w:highlight w:val="none"/>
        </w:rPr>
      </w:pPr>
      <w:r>
        <w:rPr>
          <w:rFonts w:hint="eastAsia" w:ascii="黑体" w:eastAsia="黑体"/>
          <w:b/>
          <w:color w:val="auto"/>
          <w:szCs w:val="21"/>
          <w:highlight w:val="none"/>
        </w:rPr>
        <w:t>总监理工程师</w:t>
      </w:r>
    </w:p>
    <w:p>
      <w:pPr>
        <w:pStyle w:val="32"/>
        <w:numPr>
          <w:ilvl w:val="2"/>
          <w:numId w:val="3"/>
        </w:numPr>
        <w:tabs>
          <w:tab w:val="left" w:pos="1416"/>
        </w:tabs>
        <w:spacing w:before="124" w:after="0" w:line="357" w:lineRule="auto"/>
        <w:ind w:left="424" w:right="460" w:firstLine="439"/>
        <w:jc w:val="both"/>
        <w:rPr>
          <w:color w:val="auto"/>
          <w:szCs w:val="21"/>
          <w:highlight w:val="none"/>
        </w:rPr>
      </w:pPr>
      <w:r>
        <w:rPr>
          <w:color w:val="auto"/>
          <w:spacing w:val="-5"/>
          <w:szCs w:val="21"/>
          <w:highlight w:val="none"/>
        </w:rPr>
        <w:t>监理人应按合同协议书的约定指派总监理工程师，并在约定的期限内到职。监理</w:t>
      </w:r>
      <w:r>
        <w:rPr>
          <w:color w:val="auto"/>
          <w:spacing w:val="-7"/>
          <w:szCs w:val="21"/>
          <w:highlight w:val="none"/>
        </w:rPr>
        <w:t xml:space="preserve">人更换总监理工程师应事先征得委托人同意，并应在更换 </w:t>
      </w:r>
      <w:r>
        <w:rPr>
          <w:rFonts w:ascii="Times New Roman" w:eastAsia="Times New Roman"/>
          <w:color w:val="auto"/>
          <w:szCs w:val="21"/>
          <w:highlight w:val="none"/>
        </w:rPr>
        <w:t>14</w:t>
      </w:r>
      <w:r>
        <w:rPr>
          <w:rFonts w:ascii="Times New Roman" w:eastAsia="Times New Roman"/>
          <w:color w:val="auto"/>
          <w:spacing w:val="10"/>
          <w:szCs w:val="21"/>
          <w:highlight w:val="none"/>
        </w:rPr>
        <w:t xml:space="preserve"> </w:t>
      </w:r>
      <w:r>
        <w:rPr>
          <w:color w:val="auto"/>
          <w:spacing w:val="-3"/>
          <w:szCs w:val="21"/>
          <w:highlight w:val="none"/>
        </w:rPr>
        <w:t xml:space="preserve">天前将拟更换的总监理工程师的姓名和详细资料提交委托人。总监理工程师 </w:t>
      </w:r>
      <w:r>
        <w:rPr>
          <w:rFonts w:ascii="Times New Roman" w:eastAsia="Times New Roman"/>
          <w:color w:val="auto"/>
          <w:szCs w:val="21"/>
          <w:highlight w:val="none"/>
        </w:rPr>
        <w:t>2</w:t>
      </w:r>
      <w:r>
        <w:rPr>
          <w:rFonts w:ascii="Times New Roman" w:eastAsia="Times New Roman"/>
          <w:color w:val="auto"/>
          <w:spacing w:val="4"/>
          <w:szCs w:val="21"/>
          <w:highlight w:val="none"/>
        </w:rPr>
        <w:t xml:space="preserve"> </w:t>
      </w:r>
      <w:r>
        <w:rPr>
          <w:color w:val="auto"/>
          <w:spacing w:val="-3"/>
          <w:szCs w:val="21"/>
          <w:highlight w:val="none"/>
        </w:rPr>
        <w:t>天内不能履行职责的，应事先征得委托人同意，并委派代表代行其职责。</w:t>
      </w:r>
    </w:p>
    <w:p>
      <w:pPr>
        <w:pStyle w:val="32"/>
        <w:numPr>
          <w:ilvl w:val="2"/>
          <w:numId w:val="3"/>
        </w:numPr>
        <w:tabs>
          <w:tab w:val="left" w:pos="1402"/>
        </w:tabs>
        <w:spacing w:after="0" w:line="357" w:lineRule="auto"/>
        <w:ind w:left="424" w:right="464" w:firstLine="439"/>
        <w:jc w:val="both"/>
        <w:rPr>
          <w:color w:val="auto"/>
          <w:szCs w:val="21"/>
          <w:highlight w:val="none"/>
        </w:rPr>
      </w:pPr>
      <w:r>
        <w:rPr>
          <w:color w:val="auto"/>
          <w:spacing w:val="-4"/>
          <w:szCs w:val="21"/>
          <w:highlight w:val="none"/>
        </w:rPr>
        <w:t>总监理工程师应按合同约定以及委托人要求，负责组织合同工作的实施。在情况</w:t>
      </w:r>
      <w:r>
        <w:rPr>
          <w:color w:val="auto"/>
          <w:szCs w:val="21"/>
          <w:highlight w:val="none"/>
        </w:rPr>
        <w:t>紧急且无法与委托人取得联系时，可采取保证工程和人员生命财产安全的紧急措施，并在</w:t>
      </w:r>
      <w:r>
        <w:rPr>
          <w:color w:val="auto"/>
          <w:spacing w:val="-10"/>
          <w:szCs w:val="21"/>
          <w:highlight w:val="none"/>
        </w:rPr>
        <w:t xml:space="preserve">采取措施后 </w:t>
      </w:r>
      <w:r>
        <w:rPr>
          <w:rFonts w:ascii="Times New Roman" w:eastAsia="Times New Roman"/>
          <w:color w:val="auto"/>
          <w:szCs w:val="21"/>
          <w:highlight w:val="none"/>
        </w:rPr>
        <w:t xml:space="preserve">24 </w:t>
      </w:r>
      <w:r>
        <w:rPr>
          <w:color w:val="auto"/>
          <w:spacing w:val="-3"/>
          <w:szCs w:val="21"/>
          <w:highlight w:val="none"/>
        </w:rPr>
        <w:t>小时内向委托人提交书面报告。</w:t>
      </w:r>
    </w:p>
    <w:p>
      <w:pPr>
        <w:pStyle w:val="32"/>
        <w:numPr>
          <w:ilvl w:val="2"/>
          <w:numId w:val="3"/>
        </w:numPr>
        <w:tabs>
          <w:tab w:val="left" w:pos="1421"/>
        </w:tabs>
        <w:spacing w:after="0" w:line="357" w:lineRule="auto"/>
        <w:ind w:left="424" w:right="466" w:firstLine="439"/>
        <w:jc w:val="both"/>
        <w:rPr>
          <w:color w:val="auto"/>
          <w:szCs w:val="21"/>
          <w:highlight w:val="none"/>
        </w:rPr>
      </w:pPr>
      <w:r>
        <w:rPr>
          <w:color w:val="auto"/>
          <w:spacing w:val="3"/>
          <w:szCs w:val="21"/>
          <w:highlight w:val="none"/>
        </w:rPr>
        <w:t>监理人为履行合同发出的一切函件均应盖有监理人单位章或由监理人授权的项</w:t>
      </w:r>
      <w:r>
        <w:rPr>
          <w:color w:val="auto"/>
          <w:spacing w:val="-3"/>
          <w:szCs w:val="21"/>
          <w:highlight w:val="none"/>
        </w:rPr>
        <w:t>目机构章，并由监理人的总监理工程师签字确认。</w:t>
      </w:r>
    </w:p>
    <w:p>
      <w:pPr>
        <w:pStyle w:val="32"/>
        <w:numPr>
          <w:ilvl w:val="2"/>
          <w:numId w:val="3"/>
        </w:numPr>
        <w:tabs>
          <w:tab w:val="left" w:pos="1416"/>
        </w:tabs>
        <w:spacing w:after="0" w:line="357" w:lineRule="auto"/>
        <w:ind w:left="424" w:right="464" w:firstLine="439"/>
        <w:jc w:val="both"/>
        <w:rPr>
          <w:color w:val="auto"/>
          <w:szCs w:val="21"/>
          <w:highlight w:val="none"/>
        </w:rPr>
      </w:pPr>
      <w:r>
        <w:rPr>
          <w:color w:val="auto"/>
          <w:spacing w:val="-5"/>
          <w:szCs w:val="21"/>
          <w:highlight w:val="none"/>
        </w:rPr>
        <w:t>按照专用合同条款约定，总监理工程师可以授权其下属人员履行其某项职责，但</w:t>
      </w:r>
      <w:r>
        <w:rPr>
          <w:color w:val="auto"/>
          <w:spacing w:val="-4"/>
          <w:szCs w:val="21"/>
          <w:highlight w:val="none"/>
        </w:rPr>
        <w:t>事先应将这些人员的姓名和授权范围书面通知委托人和承包人。</w:t>
      </w:r>
    </w:p>
    <w:p>
      <w:pPr>
        <w:numPr>
          <w:ilvl w:val="1"/>
          <w:numId w:val="3"/>
        </w:numPr>
        <w:tabs>
          <w:tab w:val="left" w:pos="914"/>
        </w:tabs>
        <w:spacing w:line="316" w:lineRule="exact"/>
        <w:rPr>
          <w:rFonts w:ascii="黑体" w:eastAsia="黑体"/>
          <w:b/>
          <w:color w:val="auto"/>
          <w:szCs w:val="21"/>
          <w:highlight w:val="none"/>
        </w:rPr>
      </w:pPr>
      <w:r>
        <w:rPr>
          <w:rFonts w:hint="eastAsia" w:ascii="黑体" w:eastAsia="黑体"/>
          <w:b/>
          <w:color w:val="auto"/>
          <w:szCs w:val="21"/>
          <w:highlight w:val="none"/>
        </w:rPr>
        <w:t>监理人员的管理</w:t>
      </w:r>
    </w:p>
    <w:p>
      <w:pPr>
        <w:pStyle w:val="32"/>
        <w:numPr>
          <w:ilvl w:val="2"/>
          <w:numId w:val="3"/>
        </w:numPr>
        <w:tabs>
          <w:tab w:val="left" w:pos="1416"/>
        </w:tabs>
        <w:spacing w:before="126" w:after="0" w:line="357" w:lineRule="auto"/>
        <w:ind w:left="424" w:right="349" w:firstLine="439"/>
        <w:rPr>
          <w:color w:val="auto"/>
          <w:szCs w:val="21"/>
          <w:highlight w:val="none"/>
        </w:rPr>
      </w:pPr>
      <w:r>
        <w:rPr>
          <w:color w:val="auto"/>
          <w:spacing w:val="-6"/>
          <w:szCs w:val="21"/>
          <w:highlight w:val="none"/>
        </w:rPr>
        <w:t xml:space="preserve">监理人应在接到开始监理通知之日起 </w:t>
      </w:r>
      <w:r>
        <w:rPr>
          <w:rFonts w:ascii="Times New Roman" w:eastAsia="Times New Roman"/>
          <w:color w:val="auto"/>
          <w:szCs w:val="21"/>
          <w:highlight w:val="none"/>
        </w:rPr>
        <w:t>7</w:t>
      </w:r>
      <w:r>
        <w:rPr>
          <w:rFonts w:ascii="Times New Roman" w:eastAsia="Times New Roman"/>
          <w:color w:val="auto"/>
          <w:spacing w:val="6"/>
          <w:szCs w:val="21"/>
          <w:highlight w:val="none"/>
        </w:rPr>
        <w:t xml:space="preserve"> </w:t>
      </w:r>
      <w:r>
        <w:rPr>
          <w:color w:val="auto"/>
          <w:spacing w:val="-5"/>
          <w:szCs w:val="21"/>
          <w:highlight w:val="none"/>
        </w:rPr>
        <w:t>天内，向委托人提交监理项目机构以及人</w:t>
      </w:r>
      <w:r>
        <w:rPr>
          <w:color w:val="auto"/>
          <w:spacing w:val="-6"/>
          <w:szCs w:val="21"/>
          <w:highlight w:val="none"/>
        </w:rPr>
        <w:t>员安排的报告，其内容应包括项目机构设置、主要监理人员和其他人员的名单及资格条件。主要监理人员应相对稳定，更换主要监理人员的，应取得委托人的同意，并向委托人提交</w:t>
      </w:r>
      <w:r>
        <w:rPr>
          <w:color w:val="auto"/>
          <w:spacing w:val="-14"/>
          <w:szCs w:val="21"/>
          <w:highlight w:val="none"/>
        </w:rPr>
        <w:t xml:space="preserve">继任人员的资格、管理经验等资料。总监理工程师的更换，应按照本章第 </w:t>
      </w:r>
      <w:r>
        <w:rPr>
          <w:rFonts w:ascii="Times New Roman" w:eastAsia="Times New Roman"/>
          <w:color w:val="auto"/>
          <w:szCs w:val="21"/>
          <w:highlight w:val="none"/>
        </w:rPr>
        <w:t>4.4.1</w:t>
      </w:r>
      <w:r>
        <w:rPr>
          <w:rFonts w:ascii="Times New Roman" w:eastAsia="Times New Roman"/>
          <w:color w:val="auto"/>
          <w:spacing w:val="13"/>
          <w:szCs w:val="21"/>
          <w:highlight w:val="none"/>
        </w:rPr>
        <w:t xml:space="preserve"> </w:t>
      </w:r>
      <w:r>
        <w:rPr>
          <w:color w:val="auto"/>
          <w:spacing w:val="-1"/>
          <w:szCs w:val="21"/>
          <w:highlight w:val="none"/>
        </w:rPr>
        <w:t>项规定执行。</w:t>
      </w:r>
    </w:p>
    <w:p>
      <w:pPr>
        <w:pStyle w:val="32"/>
        <w:numPr>
          <w:ilvl w:val="2"/>
          <w:numId w:val="3"/>
        </w:numPr>
        <w:tabs>
          <w:tab w:val="left" w:pos="1402"/>
        </w:tabs>
        <w:spacing w:before="1" w:after="0" w:line="357" w:lineRule="auto"/>
        <w:ind w:left="424" w:right="464" w:firstLine="439"/>
        <w:rPr>
          <w:color w:val="auto"/>
          <w:szCs w:val="21"/>
          <w:highlight w:val="none"/>
        </w:rPr>
      </w:pPr>
      <w:r>
        <w:rPr>
          <w:color w:val="auto"/>
          <w:spacing w:val="-4"/>
          <w:szCs w:val="21"/>
          <w:highlight w:val="none"/>
        </w:rPr>
        <w:t>除专用合同条款另有约定外，主要监理人员包括总监理工程师、专业监理工程师</w:t>
      </w:r>
      <w:r>
        <w:rPr>
          <w:color w:val="auto"/>
          <w:spacing w:val="-3"/>
          <w:szCs w:val="21"/>
          <w:highlight w:val="none"/>
        </w:rPr>
        <w:t>等；其他人员包括各专业的监理员、资料员等。</w:t>
      </w:r>
    </w:p>
    <w:p>
      <w:pPr>
        <w:pStyle w:val="32"/>
        <w:numPr>
          <w:ilvl w:val="2"/>
          <w:numId w:val="3"/>
        </w:numPr>
        <w:tabs>
          <w:tab w:val="left" w:pos="1402"/>
        </w:tabs>
        <w:spacing w:after="0" w:line="357" w:lineRule="auto"/>
        <w:ind w:left="424" w:right="464" w:firstLine="439"/>
        <w:rPr>
          <w:color w:val="auto"/>
          <w:szCs w:val="21"/>
          <w:highlight w:val="none"/>
        </w:rPr>
      </w:pPr>
      <w:r>
        <w:rPr>
          <w:color w:val="auto"/>
          <w:spacing w:val="-4"/>
          <w:szCs w:val="21"/>
          <w:highlight w:val="none"/>
        </w:rPr>
        <w:t>监理人应保证其主要监理人员在合同期限内的任何时候，都能按时参加委托人组</w:t>
      </w:r>
      <w:r>
        <w:rPr>
          <w:color w:val="auto"/>
          <w:spacing w:val="-1"/>
          <w:szCs w:val="21"/>
          <w:highlight w:val="none"/>
        </w:rPr>
        <w:t>织的工作会议。</w:t>
      </w:r>
    </w:p>
    <w:p>
      <w:pPr>
        <w:pStyle w:val="32"/>
        <w:numPr>
          <w:ilvl w:val="2"/>
          <w:numId w:val="3"/>
        </w:numPr>
        <w:tabs>
          <w:tab w:val="left" w:pos="1416"/>
        </w:tabs>
        <w:spacing w:before="1" w:after="0" w:line="357" w:lineRule="auto"/>
        <w:ind w:left="424" w:right="464" w:firstLine="439"/>
        <w:rPr>
          <w:color w:val="auto"/>
          <w:szCs w:val="21"/>
          <w:highlight w:val="none"/>
        </w:rPr>
      </w:pPr>
      <w:r>
        <w:rPr>
          <w:color w:val="auto"/>
          <w:spacing w:val="-4"/>
          <w:szCs w:val="21"/>
          <w:highlight w:val="none"/>
        </w:rPr>
        <w:t>国家规定应当持证上岗的工作人员均应持有相应的资格证明，委托人有权随时检查。委托人认为有必要时，可以进行现场考核。</w:t>
      </w:r>
    </w:p>
    <w:p>
      <w:pPr>
        <w:numPr>
          <w:ilvl w:val="1"/>
          <w:numId w:val="3"/>
        </w:numPr>
        <w:tabs>
          <w:tab w:val="left" w:pos="914"/>
        </w:tabs>
        <w:spacing w:before="71"/>
        <w:rPr>
          <w:rFonts w:ascii="黑体" w:eastAsia="黑体"/>
          <w:b/>
          <w:color w:val="auto"/>
          <w:szCs w:val="21"/>
          <w:highlight w:val="none"/>
        </w:rPr>
      </w:pPr>
      <w:r>
        <w:rPr>
          <w:rFonts w:hint="eastAsia" w:ascii="黑体" w:eastAsia="黑体"/>
          <w:b/>
          <w:color w:val="auto"/>
          <w:szCs w:val="21"/>
          <w:highlight w:val="none"/>
        </w:rPr>
        <w:t>撤换总监理工程师和其他人员</w:t>
      </w:r>
    </w:p>
    <w:p>
      <w:pPr>
        <w:spacing w:before="123" w:line="357" w:lineRule="auto"/>
        <w:ind w:left="424" w:right="467" w:firstLine="439"/>
        <w:rPr>
          <w:color w:val="auto"/>
          <w:szCs w:val="21"/>
          <w:highlight w:val="none"/>
        </w:rPr>
      </w:pPr>
      <w:r>
        <w:rPr>
          <w:color w:val="auto"/>
          <w:szCs w:val="21"/>
          <w:highlight w:val="none"/>
        </w:rPr>
        <w:t>监理人应对其总监理工程师和其他人员进行有效管理。委托人要求撤换不能胜任本职工作、行为不端或玩忽职守的总监理工程师和其他人员的，监理人应予以撤换。</w:t>
      </w:r>
    </w:p>
    <w:p>
      <w:pPr>
        <w:numPr>
          <w:ilvl w:val="1"/>
          <w:numId w:val="3"/>
        </w:numPr>
        <w:tabs>
          <w:tab w:val="left" w:pos="914"/>
        </w:tabs>
        <w:spacing w:line="316" w:lineRule="exact"/>
        <w:rPr>
          <w:rFonts w:ascii="黑体" w:eastAsia="黑体"/>
          <w:b/>
          <w:color w:val="auto"/>
          <w:szCs w:val="21"/>
          <w:highlight w:val="none"/>
        </w:rPr>
      </w:pPr>
      <w:r>
        <w:rPr>
          <w:rFonts w:hint="eastAsia" w:ascii="黑体" w:eastAsia="黑体"/>
          <w:b/>
          <w:color w:val="auto"/>
          <w:szCs w:val="21"/>
          <w:highlight w:val="none"/>
        </w:rPr>
        <w:t>保障人员的合法权益</w:t>
      </w:r>
    </w:p>
    <w:p>
      <w:pPr>
        <w:pStyle w:val="32"/>
        <w:numPr>
          <w:ilvl w:val="2"/>
          <w:numId w:val="3"/>
        </w:numPr>
        <w:tabs>
          <w:tab w:val="left" w:pos="1416"/>
        </w:tabs>
        <w:spacing w:before="124" w:after="0" w:line="240" w:lineRule="auto"/>
        <w:ind w:hanging="553"/>
        <w:jc w:val="both"/>
        <w:rPr>
          <w:color w:val="auto"/>
          <w:szCs w:val="21"/>
          <w:highlight w:val="none"/>
        </w:rPr>
      </w:pPr>
      <w:r>
        <w:rPr>
          <w:color w:val="auto"/>
          <w:spacing w:val="-3"/>
          <w:szCs w:val="21"/>
          <w:highlight w:val="none"/>
        </w:rPr>
        <w:t>监理人应与其雇用的人员签订劳动合同，并按时发放工资。</w:t>
      </w:r>
    </w:p>
    <w:p>
      <w:pPr>
        <w:pStyle w:val="32"/>
        <w:numPr>
          <w:ilvl w:val="2"/>
          <w:numId w:val="3"/>
        </w:numPr>
        <w:tabs>
          <w:tab w:val="left" w:pos="1421"/>
        </w:tabs>
        <w:spacing w:before="138" w:after="0" w:line="357" w:lineRule="auto"/>
        <w:ind w:left="424" w:right="462" w:firstLine="439"/>
        <w:jc w:val="both"/>
        <w:rPr>
          <w:color w:val="auto"/>
          <w:szCs w:val="21"/>
          <w:highlight w:val="none"/>
        </w:rPr>
      </w:pPr>
      <w:r>
        <w:rPr>
          <w:color w:val="auto"/>
          <w:spacing w:val="3"/>
          <w:szCs w:val="21"/>
          <w:highlight w:val="none"/>
        </w:rPr>
        <w:t>监理人应按劳动法的规定安排工作时间，保证其雇用人员享有休息和休假的权利。因监理需要占用休假日或延长工作时间的，应不超过法律规定的限度，并按法律规定</w:t>
      </w:r>
      <w:r>
        <w:rPr>
          <w:color w:val="auto"/>
          <w:spacing w:val="-1"/>
          <w:szCs w:val="21"/>
          <w:highlight w:val="none"/>
        </w:rPr>
        <w:t>给予补休或付酬。</w:t>
      </w:r>
    </w:p>
    <w:p>
      <w:pPr>
        <w:pStyle w:val="32"/>
        <w:numPr>
          <w:ilvl w:val="2"/>
          <w:numId w:val="3"/>
        </w:numPr>
        <w:tabs>
          <w:tab w:val="left" w:pos="1416"/>
        </w:tabs>
        <w:spacing w:before="1" w:after="0" w:line="240" w:lineRule="auto"/>
        <w:ind w:hanging="553"/>
        <w:jc w:val="both"/>
        <w:rPr>
          <w:color w:val="auto"/>
          <w:szCs w:val="21"/>
          <w:highlight w:val="none"/>
        </w:rPr>
      </w:pPr>
      <w:r>
        <w:rPr>
          <w:color w:val="auto"/>
          <w:spacing w:val="-3"/>
          <w:szCs w:val="21"/>
          <w:highlight w:val="none"/>
        </w:rPr>
        <w:t>监理人应按有关法律规定和合同约定，为其雇用人员办理保险。</w:t>
      </w:r>
    </w:p>
    <w:p>
      <w:pPr>
        <w:numPr>
          <w:ilvl w:val="1"/>
          <w:numId w:val="3"/>
        </w:numPr>
        <w:tabs>
          <w:tab w:val="left" w:pos="914"/>
        </w:tabs>
        <w:spacing w:before="95"/>
        <w:rPr>
          <w:rFonts w:ascii="黑体" w:eastAsia="黑体"/>
          <w:b/>
          <w:color w:val="auto"/>
          <w:szCs w:val="21"/>
          <w:highlight w:val="none"/>
        </w:rPr>
      </w:pPr>
      <w:r>
        <w:rPr>
          <w:rFonts w:hint="eastAsia" w:ascii="黑体" w:eastAsia="黑体"/>
          <w:b/>
          <w:color w:val="auto"/>
          <w:szCs w:val="21"/>
          <w:highlight w:val="none"/>
        </w:rPr>
        <w:t>合同价款应专款专用</w:t>
      </w:r>
    </w:p>
    <w:p>
      <w:pPr>
        <w:spacing w:before="126"/>
        <w:ind w:left="863"/>
        <w:rPr>
          <w:color w:val="auto"/>
          <w:szCs w:val="21"/>
          <w:highlight w:val="none"/>
        </w:rPr>
      </w:pPr>
      <w:r>
        <w:rPr>
          <w:color w:val="auto"/>
          <w:szCs w:val="21"/>
          <w:highlight w:val="none"/>
        </w:rPr>
        <w:t>委托人按合同约定支付给监理人的各项价款，应专用于合同监理工作。</w:t>
      </w:r>
    </w:p>
    <w:p>
      <w:pPr>
        <w:pStyle w:val="6"/>
        <w:numPr>
          <w:ilvl w:val="0"/>
          <w:numId w:val="3"/>
        </w:numPr>
        <w:tabs>
          <w:tab w:val="left" w:pos="826"/>
        </w:tabs>
        <w:spacing w:after="0" w:line="240" w:lineRule="auto"/>
        <w:ind w:hanging="402"/>
        <w:rPr>
          <w:color w:val="auto"/>
          <w:sz w:val="21"/>
          <w:szCs w:val="21"/>
          <w:highlight w:val="none"/>
        </w:rPr>
      </w:pPr>
      <w:bookmarkStart w:id="60" w:name="_bookmark111"/>
      <w:bookmarkEnd w:id="60"/>
      <w:r>
        <w:rPr>
          <w:color w:val="auto"/>
          <w:w w:val="95"/>
          <w:sz w:val="21"/>
          <w:szCs w:val="21"/>
          <w:highlight w:val="none"/>
        </w:rPr>
        <w:t>监理要求</w:t>
      </w:r>
    </w:p>
    <w:p>
      <w:pPr>
        <w:pStyle w:val="9"/>
        <w:spacing w:before="11"/>
        <w:rPr>
          <w:rFonts w:ascii="黑体"/>
          <w:b/>
          <w:color w:val="auto"/>
          <w:sz w:val="21"/>
          <w:szCs w:val="21"/>
          <w:highlight w:val="none"/>
        </w:rPr>
      </w:pPr>
    </w:p>
    <w:p>
      <w:pPr>
        <w:numPr>
          <w:ilvl w:val="1"/>
          <w:numId w:val="3"/>
        </w:numPr>
        <w:tabs>
          <w:tab w:val="left" w:pos="914"/>
        </w:tabs>
        <w:rPr>
          <w:rFonts w:ascii="黑体" w:eastAsia="黑体"/>
          <w:b/>
          <w:color w:val="auto"/>
          <w:szCs w:val="21"/>
          <w:highlight w:val="none"/>
        </w:rPr>
      </w:pPr>
      <w:r>
        <w:rPr>
          <w:rFonts w:hint="eastAsia" w:ascii="黑体" w:eastAsia="黑体"/>
          <w:b/>
          <w:color w:val="auto"/>
          <w:szCs w:val="21"/>
          <w:highlight w:val="none"/>
        </w:rPr>
        <w:t>监理范围</w:t>
      </w:r>
    </w:p>
    <w:p>
      <w:pPr>
        <w:pStyle w:val="32"/>
        <w:numPr>
          <w:ilvl w:val="2"/>
          <w:numId w:val="3"/>
        </w:numPr>
        <w:tabs>
          <w:tab w:val="left" w:pos="1416"/>
        </w:tabs>
        <w:spacing w:before="124" w:after="0" w:line="357" w:lineRule="auto"/>
        <w:ind w:left="424" w:right="463" w:firstLine="439"/>
        <w:rPr>
          <w:color w:val="auto"/>
          <w:szCs w:val="21"/>
          <w:highlight w:val="none"/>
        </w:rPr>
      </w:pPr>
      <w:r>
        <w:rPr>
          <w:color w:val="auto"/>
          <w:spacing w:val="-5"/>
          <w:szCs w:val="21"/>
          <w:highlight w:val="none"/>
        </w:rPr>
        <w:t>本合同的监理范围包括工程范围、阶段范围和工作范围，具体监理范围应当根据</w:t>
      </w:r>
      <w:r>
        <w:rPr>
          <w:color w:val="auto"/>
          <w:spacing w:val="-4"/>
          <w:szCs w:val="21"/>
          <w:highlight w:val="none"/>
        </w:rPr>
        <w:t>三者之间的关联内容进行确定。</w:t>
      </w:r>
    </w:p>
    <w:p>
      <w:pPr>
        <w:pStyle w:val="32"/>
        <w:numPr>
          <w:ilvl w:val="2"/>
          <w:numId w:val="3"/>
        </w:numPr>
        <w:tabs>
          <w:tab w:val="left" w:pos="1416"/>
        </w:tabs>
        <w:spacing w:after="0" w:line="240" w:lineRule="auto"/>
        <w:ind w:hanging="553"/>
        <w:rPr>
          <w:color w:val="auto"/>
          <w:szCs w:val="21"/>
          <w:highlight w:val="none"/>
        </w:rPr>
      </w:pPr>
      <w:r>
        <w:rPr>
          <w:color w:val="auto"/>
          <w:spacing w:val="-3"/>
          <w:szCs w:val="21"/>
          <w:highlight w:val="none"/>
        </w:rPr>
        <w:t>工程范围指所监理工程的建设内容，具体范围在专用合同条款中约定。</w:t>
      </w:r>
    </w:p>
    <w:p>
      <w:pPr>
        <w:pStyle w:val="32"/>
        <w:numPr>
          <w:ilvl w:val="2"/>
          <w:numId w:val="3"/>
        </w:numPr>
        <w:tabs>
          <w:tab w:val="left" w:pos="1416"/>
        </w:tabs>
        <w:spacing w:before="138" w:after="0" w:line="357" w:lineRule="auto"/>
        <w:ind w:left="424" w:right="464" w:firstLine="439"/>
        <w:rPr>
          <w:color w:val="auto"/>
          <w:szCs w:val="21"/>
          <w:highlight w:val="none"/>
        </w:rPr>
      </w:pPr>
      <w:r>
        <w:rPr>
          <w:color w:val="auto"/>
          <w:spacing w:val="-5"/>
          <w:szCs w:val="21"/>
          <w:highlight w:val="none"/>
        </w:rPr>
        <w:t>阶段范围指工程建设程序中的勘察阶段、设计阶段、施工阶段、缺陷责任期及保</w:t>
      </w:r>
      <w:r>
        <w:rPr>
          <w:color w:val="auto"/>
          <w:spacing w:val="-4"/>
          <w:szCs w:val="21"/>
          <w:highlight w:val="none"/>
        </w:rPr>
        <w:t>修阶段中的一个或者多个阶段，具体范围在专用合同条款中约定。</w:t>
      </w:r>
    </w:p>
    <w:p>
      <w:pPr>
        <w:pStyle w:val="32"/>
        <w:numPr>
          <w:ilvl w:val="2"/>
          <w:numId w:val="3"/>
        </w:numPr>
        <w:tabs>
          <w:tab w:val="left" w:pos="1416"/>
        </w:tabs>
        <w:spacing w:after="0" w:line="357" w:lineRule="auto"/>
        <w:ind w:left="424" w:right="353" w:firstLine="439"/>
        <w:rPr>
          <w:color w:val="auto"/>
          <w:szCs w:val="21"/>
          <w:highlight w:val="none"/>
        </w:rPr>
      </w:pPr>
      <w:r>
        <w:rPr>
          <w:color w:val="auto"/>
          <w:spacing w:val="-10"/>
          <w:szCs w:val="21"/>
          <w:highlight w:val="none"/>
        </w:rPr>
        <w:t>工作范围指监理工作中的质量控制、进度控制、投资控制、合同管理、信息管理、</w:t>
      </w:r>
      <w:r>
        <w:rPr>
          <w:color w:val="auto"/>
          <w:spacing w:val="-8"/>
          <w:szCs w:val="21"/>
          <w:highlight w:val="none"/>
        </w:rPr>
        <w:t>组织协调和安全监理、环保监理中的一项或者多项工作，具体范围在专用合同条款中约定。</w:t>
      </w:r>
    </w:p>
    <w:p>
      <w:pPr>
        <w:numPr>
          <w:ilvl w:val="1"/>
          <w:numId w:val="3"/>
        </w:numPr>
        <w:tabs>
          <w:tab w:val="left" w:pos="914"/>
        </w:tabs>
        <w:spacing w:line="316" w:lineRule="exact"/>
        <w:rPr>
          <w:rFonts w:ascii="黑体" w:eastAsia="黑体"/>
          <w:b/>
          <w:color w:val="auto"/>
          <w:szCs w:val="21"/>
          <w:highlight w:val="none"/>
        </w:rPr>
      </w:pPr>
      <w:r>
        <w:rPr>
          <w:rFonts w:hint="eastAsia" w:ascii="黑体" w:eastAsia="黑体"/>
          <w:b/>
          <w:color w:val="auto"/>
          <w:szCs w:val="21"/>
          <w:highlight w:val="none"/>
        </w:rPr>
        <w:t>监理依据</w:t>
      </w:r>
    </w:p>
    <w:p>
      <w:pPr>
        <w:spacing w:before="124"/>
        <w:ind w:left="863"/>
        <w:rPr>
          <w:color w:val="auto"/>
          <w:szCs w:val="21"/>
          <w:highlight w:val="none"/>
        </w:rPr>
      </w:pPr>
      <w:r>
        <w:rPr>
          <w:color w:val="auto"/>
          <w:szCs w:val="21"/>
          <w:highlight w:val="none"/>
        </w:rPr>
        <w:t>除专用合同条款另有约定外，本工程的监理依据如下：</w:t>
      </w:r>
    </w:p>
    <w:p>
      <w:pPr>
        <w:pStyle w:val="32"/>
        <w:numPr>
          <w:ilvl w:val="0"/>
          <w:numId w:val="5"/>
        </w:numPr>
        <w:tabs>
          <w:tab w:val="left" w:pos="1417"/>
        </w:tabs>
        <w:spacing w:before="138" w:after="0" w:line="240" w:lineRule="auto"/>
        <w:ind w:hanging="554"/>
        <w:rPr>
          <w:color w:val="auto"/>
          <w:szCs w:val="21"/>
          <w:highlight w:val="none"/>
        </w:rPr>
      </w:pPr>
      <w:r>
        <w:rPr>
          <w:color w:val="auto"/>
          <w:spacing w:val="-3"/>
          <w:szCs w:val="21"/>
          <w:highlight w:val="none"/>
        </w:rPr>
        <w:t>适用的法律、行政法规及部门规章；</w:t>
      </w:r>
    </w:p>
    <w:p>
      <w:pPr>
        <w:pStyle w:val="32"/>
        <w:numPr>
          <w:ilvl w:val="0"/>
          <w:numId w:val="5"/>
        </w:numPr>
        <w:tabs>
          <w:tab w:val="left" w:pos="1417"/>
        </w:tabs>
        <w:spacing w:before="138" w:after="0" w:line="240" w:lineRule="auto"/>
        <w:ind w:hanging="554"/>
        <w:rPr>
          <w:color w:val="auto"/>
          <w:szCs w:val="21"/>
          <w:highlight w:val="none"/>
        </w:rPr>
      </w:pPr>
      <w:r>
        <w:rPr>
          <w:color w:val="auto"/>
          <w:spacing w:val="-3"/>
          <w:szCs w:val="21"/>
          <w:highlight w:val="none"/>
        </w:rPr>
        <w:t>与工程有关的规范、标准、规程；</w:t>
      </w:r>
    </w:p>
    <w:p>
      <w:pPr>
        <w:pStyle w:val="32"/>
        <w:numPr>
          <w:ilvl w:val="0"/>
          <w:numId w:val="5"/>
        </w:numPr>
        <w:tabs>
          <w:tab w:val="left" w:pos="1417"/>
        </w:tabs>
        <w:spacing w:before="138" w:after="0" w:line="240" w:lineRule="auto"/>
        <w:ind w:hanging="554"/>
        <w:rPr>
          <w:color w:val="auto"/>
          <w:szCs w:val="21"/>
          <w:highlight w:val="none"/>
        </w:rPr>
      </w:pPr>
      <w:r>
        <w:rPr>
          <w:color w:val="auto"/>
          <w:spacing w:val="-3"/>
          <w:szCs w:val="21"/>
          <w:highlight w:val="none"/>
        </w:rPr>
        <w:t>工程勘察文件、设计文件及其他文件；</w:t>
      </w:r>
    </w:p>
    <w:p>
      <w:pPr>
        <w:pStyle w:val="32"/>
        <w:numPr>
          <w:ilvl w:val="0"/>
          <w:numId w:val="5"/>
        </w:numPr>
        <w:tabs>
          <w:tab w:val="left" w:pos="1417"/>
        </w:tabs>
        <w:spacing w:before="139" w:after="0" w:line="240" w:lineRule="auto"/>
        <w:ind w:hanging="554"/>
        <w:rPr>
          <w:color w:val="auto"/>
          <w:szCs w:val="21"/>
          <w:highlight w:val="none"/>
        </w:rPr>
      </w:pPr>
      <w:r>
        <w:rPr>
          <w:color w:val="auto"/>
          <w:spacing w:val="-3"/>
          <w:szCs w:val="21"/>
          <w:highlight w:val="none"/>
        </w:rPr>
        <w:t>本工程监理的委托合同及补充合同；</w:t>
      </w:r>
    </w:p>
    <w:p>
      <w:pPr>
        <w:pStyle w:val="32"/>
        <w:numPr>
          <w:ilvl w:val="0"/>
          <w:numId w:val="5"/>
        </w:numPr>
        <w:tabs>
          <w:tab w:val="left" w:pos="1417"/>
        </w:tabs>
        <w:spacing w:before="138" w:after="0" w:line="240" w:lineRule="auto"/>
        <w:ind w:hanging="554"/>
        <w:rPr>
          <w:color w:val="auto"/>
          <w:szCs w:val="21"/>
          <w:highlight w:val="none"/>
        </w:rPr>
      </w:pPr>
      <w:r>
        <w:rPr>
          <w:color w:val="auto"/>
          <w:spacing w:val="-3"/>
          <w:szCs w:val="21"/>
          <w:highlight w:val="none"/>
        </w:rPr>
        <w:t>委托人签订的勘察、设计和施工承包合同；</w:t>
      </w:r>
    </w:p>
    <w:p>
      <w:pPr>
        <w:pStyle w:val="32"/>
        <w:numPr>
          <w:ilvl w:val="0"/>
          <w:numId w:val="5"/>
        </w:numPr>
        <w:tabs>
          <w:tab w:val="left" w:pos="1417"/>
        </w:tabs>
        <w:spacing w:before="138" w:after="0" w:line="240" w:lineRule="auto"/>
        <w:ind w:hanging="554"/>
        <w:rPr>
          <w:color w:val="auto"/>
          <w:szCs w:val="21"/>
          <w:highlight w:val="none"/>
        </w:rPr>
      </w:pPr>
      <w:r>
        <w:rPr>
          <w:color w:val="auto"/>
          <w:spacing w:val="-3"/>
          <w:szCs w:val="21"/>
          <w:highlight w:val="none"/>
        </w:rPr>
        <w:t>合同履行中与监理服务有关的来往函件；</w:t>
      </w:r>
    </w:p>
    <w:p>
      <w:pPr>
        <w:pStyle w:val="32"/>
        <w:numPr>
          <w:ilvl w:val="0"/>
          <w:numId w:val="5"/>
        </w:numPr>
        <w:tabs>
          <w:tab w:val="left" w:pos="1417"/>
        </w:tabs>
        <w:spacing w:before="138" w:after="0" w:line="240" w:lineRule="auto"/>
        <w:ind w:hanging="554"/>
        <w:rPr>
          <w:color w:val="auto"/>
          <w:szCs w:val="21"/>
          <w:highlight w:val="none"/>
        </w:rPr>
      </w:pPr>
      <w:r>
        <w:rPr>
          <w:color w:val="auto"/>
          <w:spacing w:val="-3"/>
          <w:szCs w:val="21"/>
          <w:highlight w:val="none"/>
        </w:rPr>
        <w:t>其他监理依据。</w:t>
      </w:r>
    </w:p>
    <w:p>
      <w:pPr>
        <w:numPr>
          <w:ilvl w:val="1"/>
          <w:numId w:val="3"/>
        </w:numPr>
        <w:tabs>
          <w:tab w:val="left" w:pos="914"/>
        </w:tabs>
        <w:spacing w:before="95"/>
        <w:rPr>
          <w:rFonts w:ascii="黑体" w:eastAsia="黑体"/>
          <w:b/>
          <w:color w:val="auto"/>
          <w:szCs w:val="21"/>
          <w:highlight w:val="none"/>
        </w:rPr>
      </w:pPr>
      <w:r>
        <w:rPr>
          <w:rFonts w:hint="eastAsia" w:ascii="黑体" w:eastAsia="黑体"/>
          <w:b/>
          <w:color w:val="auto"/>
          <w:szCs w:val="21"/>
          <w:highlight w:val="none"/>
        </w:rPr>
        <w:t>监理内容</w:t>
      </w:r>
    </w:p>
    <w:p>
      <w:pPr>
        <w:spacing w:before="126"/>
        <w:ind w:left="863"/>
        <w:rPr>
          <w:color w:val="auto"/>
          <w:szCs w:val="21"/>
          <w:highlight w:val="none"/>
        </w:rPr>
      </w:pPr>
      <w:r>
        <w:rPr>
          <w:color w:val="auto"/>
          <w:szCs w:val="21"/>
          <w:highlight w:val="none"/>
        </w:rPr>
        <w:t>除专用合同条款另有约定外，监理工作内容包括：</w:t>
      </w:r>
    </w:p>
    <w:p>
      <w:pPr>
        <w:pStyle w:val="32"/>
        <w:numPr>
          <w:ilvl w:val="0"/>
          <w:numId w:val="6"/>
        </w:numPr>
        <w:tabs>
          <w:tab w:val="left" w:pos="1417"/>
        </w:tabs>
        <w:spacing w:before="77" w:after="0" w:line="357" w:lineRule="auto"/>
        <w:ind w:right="463" w:firstLine="439"/>
        <w:rPr>
          <w:color w:val="auto"/>
          <w:szCs w:val="21"/>
          <w:highlight w:val="none"/>
        </w:rPr>
      </w:pPr>
      <w:r>
        <w:rPr>
          <w:color w:val="auto"/>
          <w:spacing w:val="-6"/>
          <w:szCs w:val="21"/>
          <w:highlight w:val="none"/>
        </w:rPr>
        <w:t xml:space="preserve">收到工程设计文件后编制监理规划，并在第一次工地会议 </w:t>
      </w:r>
      <w:r>
        <w:rPr>
          <w:rFonts w:ascii="Times New Roman" w:eastAsia="Times New Roman"/>
          <w:color w:val="auto"/>
          <w:szCs w:val="21"/>
          <w:highlight w:val="none"/>
        </w:rPr>
        <w:t>7</w:t>
      </w:r>
      <w:r>
        <w:rPr>
          <w:rFonts w:ascii="Times New Roman" w:eastAsia="Times New Roman"/>
          <w:color w:val="auto"/>
          <w:spacing w:val="9"/>
          <w:szCs w:val="21"/>
          <w:highlight w:val="none"/>
        </w:rPr>
        <w:t xml:space="preserve"> </w:t>
      </w:r>
      <w:r>
        <w:rPr>
          <w:color w:val="auto"/>
          <w:spacing w:val="-3"/>
          <w:szCs w:val="21"/>
          <w:highlight w:val="none"/>
        </w:rPr>
        <w:t>天前报委托人。根据有关规定和监理工作需要，编制监理实施细则；</w:t>
      </w:r>
    </w:p>
    <w:p>
      <w:pPr>
        <w:pStyle w:val="32"/>
        <w:numPr>
          <w:ilvl w:val="0"/>
          <w:numId w:val="6"/>
        </w:numPr>
        <w:tabs>
          <w:tab w:val="left" w:pos="1417"/>
        </w:tabs>
        <w:spacing w:after="0" w:line="240" w:lineRule="auto"/>
        <w:ind w:left="1416" w:hanging="554"/>
        <w:rPr>
          <w:color w:val="auto"/>
          <w:szCs w:val="21"/>
          <w:highlight w:val="none"/>
        </w:rPr>
      </w:pPr>
      <w:r>
        <w:rPr>
          <w:color w:val="auto"/>
          <w:spacing w:val="-3"/>
          <w:szCs w:val="21"/>
          <w:highlight w:val="none"/>
        </w:rPr>
        <w:t>熟悉工程设计文件，并参加由委托人主持的图纸会审和设计交底会议；</w:t>
      </w:r>
    </w:p>
    <w:p>
      <w:pPr>
        <w:pStyle w:val="32"/>
        <w:numPr>
          <w:ilvl w:val="0"/>
          <w:numId w:val="6"/>
        </w:numPr>
        <w:tabs>
          <w:tab w:val="left" w:pos="1417"/>
        </w:tabs>
        <w:spacing w:before="138" w:after="0" w:line="357" w:lineRule="auto"/>
        <w:ind w:right="464" w:firstLine="439"/>
        <w:rPr>
          <w:color w:val="auto"/>
          <w:szCs w:val="21"/>
          <w:highlight w:val="none"/>
        </w:rPr>
      </w:pPr>
      <w:r>
        <w:rPr>
          <w:color w:val="auto"/>
          <w:spacing w:val="-4"/>
          <w:szCs w:val="21"/>
          <w:highlight w:val="none"/>
        </w:rPr>
        <w:t>参加由委托人主持的第一次工地会议；主持监理例会并根据工程需要主持或参加专题会议；</w:t>
      </w:r>
    </w:p>
    <w:p>
      <w:pPr>
        <w:pStyle w:val="32"/>
        <w:numPr>
          <w:ilvl w:val="0"/>
          <w:numId w:val="6"/>
        </w:numPr>
        <w:tabs>
          <w:tab w:val="left" w:pos="1417"/>
        </w:tabs>
        <w:spacing w:after="0" w:line="357" w:lineRule="auto"/>
        <w:ind w:right="464" w:firstLine="439"/>
        <w:rPr>
          <w:color w:val="auto"/>
          <w:szCs w:val="21"/>
          <w:highlight w:val="none"/>
        </w:rPr>
      </w:pPr>
      <w:r>
        <w:rPr>
          <w:color w:val="auto"/>
          <w:spacing w:val="-5"/>
          <w:szCs w:val="21"/>
          <w:highlight w:val="none"/>
        </w:rPr>
        <w:t>审查施工承包人提交的施工组织设计，重点审查其中的质量安全技术措施、专项</w:t>
      </w:r>
      <w:r>
        <w:rPr>
          <w:color w:val="auto"/>
          <w:spacing w:val="-4"/>
          <w:szCs w:val="21"/>
          <w:highlight w:val="none"/>
        </w:rPr>
        <w:t>施工方案与工程建设强制性标准的符合性；</w:t>
      </w:r>
    </w:p>
    <w:p>
      <w:pPr>
        <w:pStyle w:val="32"/>
        <w:numPr>
          <w:ilvl w:val="0"/>
          <w:numId w:val="6"/>
        </w:numPr>
        <w:tabs>
          <w:tab w:val="left" w:pos="1417"/>
        </w:tabs>
        <w:spacing w:after="0" w:line="240" w:lineRule="auto"/>
        <w:ind w:left="1416" w:hanging="554"/>
        <w:rPr>
          <w:color w:val="auto"/>
          <w:szCs w:val="21"/>
          <w:highlight w:val="none"/>
        </w:rPr>
      </w:pPr>
      <w:r>
        <w:rPr>
          <w:color w:val="auto"/>
          <w:spacing w:val="-3"/>
          <w:szCs w:val="21"/>
          <w:highlight w:val="none"/>
        </w:rPr>
        <w:t>检查施工承包人工程质量、安全生产管理制度及组织机构和人员资格；</w:t>
      </w:r>
    </w:p>
    <w:p>
      <w:pPr>
        <w:pStyle w:val="32"/>
        <w:numPr>
          <w:ilvl w:val="0"/>
          <w:numId w:val="6"/>
        </w:numPr>
        <w:tabs>
          <w:tab w:val="left" w:pos="1417"/>
        </w:tabs>
        <w:spacing w:before="138" w:after="0" w:line="240" w:lineRule="auto"/>
        <w:ind w:left="1416" w:hanging="554"/>
        <w:rPr>
          <w:color w:val="auto"/>
          <w:szCs w:val="21"/>
          <w:highlight w:val="none"/>
        </w:rPr>
      </w:pPr>
      <w:r>
        <w:rPr>
          <w:color w:val="auto"/>
          <w:spacing w:val="-3"/>
          <w:szCs w:val="21"/>
          <w:highlight w:val="none"/>
        </w:rPr>
        <w:t>检查施工承包人专职安全生产管理人员的配备情况；</w:t>
      </w:r>
    </w:p>
    <w:p>
      <w:pPr>
        <w:pStyle w:val="32"/>
        <w:numPr>
          <w:ilvl w:val="0"/>
          <w:numId w:val="6"/>
        </w:numPr>
        <w:tabs>
          <w:tab w:val="left" w:pos="1417"/>
        </w:tabs>
        <w:spacing w:before="139" w:after="0" w:line="240" w:lineRule="auto"/>
        <w:ind w:left="1416" w:hanging="554"/>
        <w:rPr>
          <w:color w:val="auto"/>
          <w:szCs w:val="21"/>
          <w:highlight w:val="none"/>
        </w:rPr>
      </w:pPr>
      <w:r>
        <w:rPr>
          <w:color w:val="auto"/>
          <w:spacing w:val="-3"/>
          <w:szCs w:val="21"/>
          <w:highlight w:val="none"/>
        </w:rPr>
        <w:t>审查施工承包人提交的施工进度计划，核查承包人对施工进度计划的调整；</w:t>
      </w:r>
    </w:p>
    <w:p>
      <w:pPr>
        <w:pStyle w:val="32"/>
        <w:numPr>
          <w:ilvl w:val="0"/>
          <w:numId w:val="6"/>
        </w:numPr>
        <w:tabs>
          <w:tab w:val="left" w:pos="1417"/>
        </w:tabs>
        <w:spacing w:before="138" w:after="0" w:line="240" w:lineRule="auto"/>
        <w:ind w:left="1416" w:hanging="554"/>
        <w:rPr>
          <w:color w:val="auto"/>
          <w:szCs w:val="21"/>
          <w:highlight w:val="none"/>
        </w:rPr>
      </w:pPr>
      <w:r>
        <w:rPr>
          <w:color w:val="auto"/>
          <w:spacing w:val="-3"/>
          <w:szCs w:val="21"/>
          <w:highlight w:val="none"/>
        </w:rPr>
        <w:t>检查施工承包人的试验室；</w:t>
      </w:r>
    </w:p>
    <w:p>
      <w:pPr>
        <w:pStyle w:val="32"/>
        <w:numPr>
          <w:ilvl w:val="0"/>
          <w:numId w:val="6"/>
        </w:numPr>
        <w:tabs>
          <w:tab w:val="left" w:pos="1417"/>
        </w:tabs>
        <w:spacing w:before="138" w:after="0" w:line="240" w:lineRule="auto"/>
        <w:ind w:left="1416" w:hanging="554"/>
        <w:rPr>
          <w:color w:val="auto"/>
          <w:szCs w:val="21"/>
          <w:highlight w:val="none"/>
        </w:rPr>
      </w:pPr>
      <w:r>
        <w:rPr>
          <w:color w:val="auto"/>
          <w:spacing w:val="-3"/>
          <w:szCs w:val="21"/>
          <w:highlight w:val="none"/>
        </w:rPr>
        <w:t>审核施工分包人资质条件；</w:t>
      </w:r>
    </w:p>
    <w:p>
      <w:pPr>
        <w:pStyle w:val="32"/>
        <w:numPr>
          <w:ilvl w:val="0"/>
          <w:numId w:val="6"/>
        </w:numPr>
        <w:tabs>
          <w:tab w:val="left" w:pos="1527"/>
        </w:tabs>
        <w:spacing w:before="138" w:after="0" w:line="240" w:lineRule="auto"/>
        <w:ind w:left="1527" w:hanging="664"/>
        <w:rPr>
          <w:color w:val="auto"/>
          <w:szCs w:val="21"/>
          <w:highlight w:val="none"/>
        </w:rPr>
      </w:pPr>
      <w:r>
        <w:rPr>
          <w:color w:val="auto"/>
          <w:spacing w:val="-3"/>
          <w:szCs w:val="21"/>
          <w:highlight w:val="none"/>
        </w:rPr>
        <w:t>查验施工承包人的施工测量放线成果；</w:t>
      </w:r>
    </w:p>
    <w:p>
      <w:pPr>
        <w:pStyle w:val="32"/>
        <w:numPr>
          <w:ilvl w:val="0"/>
          <w:numId w:val="6"/>
        </w:numPr>
        <w:tabs>
          <w:tab w:val="left" w:pos="1520"/>
        </w:tabs>
        <w:spacing w:before="138" w:after="0" w:line="240" w:lineRule="auto"/>
        <w:ind w:left="1519" w:hanging="657"/>
        <w:rPr>
          <w:color w:val="auto"/>
          <w:szCs w:val="21"/>
          <w:highlight w:val="none"/>
        </w:rPr>
      </w:pPr>
      <w:r>
        <w:rPr>
          <w:color w:val="auto"/>
          <w:spacing w:val="-3"/>
          <w:szCs w:val="21"/>
          <w:highlight w:val="none"/>
        </w:rPr>
        <w:t>审查工程开工条件，对条件具备的签发开工令；</w:t>
      </w:r>
    </w:p>
    <w:p>
      <w:pPr>
        <w:pStyle w:val="32"/>
        <w:numPr>
          <w:ilvl w:val="0"/>
          <w:numId w:val="6"/>
        </w:numPr>
        <w:tabs>
          <w:tab w:val="left" w:pos="1533"/>
        </w:tabs>
        <w:spacing w:before="139" w:after="0" w:line="357" w:lineRule="auto"/>
        <w:ind w:right="466" w:firstLine="439"/>
        <w:rPr>
          <w:color w:val="auto"/>
          <w:szCs w:val="21"/>
          <w:highlight w:val="none"/>
        </w:rPr>
      </w:pPr>
      <w:r>
        <w:rPr>
          <w:color w:val="auto"/>
          <w:spacing w:val="-1"/>
          <w:szCs w:val="21"/>
          <w:highlight w:val="none"/>
        </w:rPr>
        <w:t>审查施工承包人报送的工程材料、构配件、设备质量证明文件的有效性和符合</w:t>
      </w:r>
      <w:r>
        <w:rPr>
          <w:color w:val="auto"/>
          <w:spacing w:val="-3"/>
          <w:szCs w:val="21"/>
          <w:highlight w:val="none"/>
        </w:rPr>
        <w:t>性，并按规定对用于工程的材料采取平行检验或见证取样方式进行抽检；</w:t>
      </w:r>
    </w:p>
    <w:p>
      <w:pPr>
        <w:pStyle w:val="32"/>
        <w:numPr>
          <w:ilvl w:val="0"/>
          <w:numId w:val="6"/>
        </w:numPr>
        <w:tabs>
          <w:tab w:val="left" w:pos="1533"/>
        </w:tabs>
        <w:spacing w:after="0" w:line="357" w:lineRule="auto"/>
        <w:ind w:right="466" w:firstLine="439"/>
        <w:rPr>
          <w:color w:val="auto"/>
          <w:szCs w:val="21"/>
          <w:highlight w:val="none"/>
        </w:rPr>
      </w:pPr>
      <w:r>
        <w:rPr>
          <w:color w:val="auto"/>
          <w:spacing w:val="-1"/>
          <w:szCs w:val="21"/>
          <w:highlight w:val="none"/>
        </w:rPr>
        <w:t>审核施工承包人提交的工程款支付申请，签发或出具工程款支付证书，并报委</w:t>
      </w:r>
      <w:r>
        <w:rPr>
          <w:color w:val="auto"/>
          <w:spacing w:val="-2"/>
          <w:szCs w:val="21"/>
          <w:highlight w:val="none"/>
        </w:rPr>
        <w:t>托人审核、批准；</w:t>
      </w:r>
    </w:p>
    <w:p>
      <w:pPr>
        <w:pStyle w:val="32"/>
        <w:numPr>
          <w:ilvl w:val="0"/>
          <w:numId w:val="6"/>
        </w:numPr>
        <w:tabs>
          <w:tab w:val="left" w:pos="1533"/>
        </w:tabs>
        <w:spacing w:after="0" w:line="357" w:lineRule="auto"/>
        <w:ind w:right="466" w:firstLine="439"/>
        <w:rPr>
          <w:color w:val="auto"/>
          <w:szCs w:val="21"/>
          <w:highlight w:val="none"/>
        </w:rPr>
      </w:pPr>
      <w:r>
        <w:rPr>
          <w:color w:val="auto"/>
          <w:spacing w:val="-1"/>
          <w:szCs w:val="21"/>
          <w:highlight w:val="none"/>
        </w:rPr>
        <w:t>在巡视、旁站和检验过程中，发现工程质量、施工安全存在事故隐患的，要求</w:t>
      </w:r>
      <w:r>
        <w:rPr>
          <w:color w:val="auto"/>
          <w:spacing w:val="-3"/>
          <w:szCs w:val="21"/>
          <w:highlight w:val="none"/>
        </w:rPr>
        <w:t>施工承包人整改并报委托人；</w:t>
      </w:r>
    </w:p>
    <w:p>
      <w:pPr>
        <w:pStyle w:val="32"/>
        <w:numPr>
          <w:ilvl w:val="0"/>
          <w:numId w:val="6"/>
        </w:numPr>
        <w:tabs>
          <w:tab w:val="left" w:pos="1527"/>
        </w:tabs>
        <w:spacing w:after="0" w:line="240" w:lineRule="auto"/>
        <w:ind w:left="1527" w:hanging="664"/>
        <w:rPr>
          <w:color w:val="auto"/>
          <w:szCs w:val="21"/>
          <w:highlight w:val="none"/>
        </w:rPr>
      </w:pPr>
      <w:r>
        <w:rPr>
          <w:color w:val="auto"/>
          <w:spacing w:val="-3"/>
          <w:szCs w:val="21"/>
          <w:highlight w:val="none"/>
        </w:rPr>
        <w:t>经委托人同意，签发工程暂停令和复工令；</w:t>
      </w:r>
    </w:p>
    <w:p>
      <w:pPr>
        <w:pStyle w:val="32"/>
        <w:numPr>
          <w:ilvl w:val="0"/>
          <w:numId w:val="6"/>
        </w:numPr>
        <w:tabs>
          <w:tab w:val="left" w:pos="1533"/>
        </w:tabs>
        <w:spacing w:before="138" w:after="0" w:line="357" w:lineRule="auto"/>
        <w:ind w:right="461" w:firstLine="439"/>
        <w:rPr>
          <w:color w:val="auto"/>
          <w:szCs w:val="21"/>
          <w:highlight w:val="none"/>
        </w:rPr>
      </w:pPr>
      <w:r>
        <w:rPr>
          <w:color w:val="auto"/>
          <w:spacing w:val="-1"/>
          <w:szCs w:val="21"/>
          <w:highlight w:val="none"/>
        </w:rPr>
        <w:t>审查施工承包人提交的采用新材料、新工艺、新技术、新设备的论证材料及相关验收标准；</w:t>
      </w:r>
    </w:p>
    <w:p>
      <w:pPr>
        <w:pStyle w:val="32"/>
        <w:numPr>
          <w:ilvl w:val="0"/>
          <w:numId w:val="6"/>
        </w:numPr>
        <w:tabs>
          <w:tab w:val="left" w:pos="1527"/>
        </w:tabs>
        <w:spacing w:after="0" w:line="240" w:lineRule="auto"/>
        <w:ind w:left="1527" w:hanging="664"/>
        <w:rPr>
          <w:color w:val="auto"/>
          <w:szCs w:val="21"/>
          <w:highlight w:val="none"/>
        </w:rPr>
      </w:pPr>
      <w:r>
        <w:rPr>
          <w:color w:val="auto"/>
          <w:spacing w:val="-3"/>
          <w:szCs w:val="21"/>
          <w:highlight w:val="none"/>
        </w:rPr>
        <w:t>验收隐蔽工程、分部分项工程；</w:t>
      </w:r>
    </w:p>
    <w:p>
      <w:pPr>
        <w:pStyle w:val="32"/>
        <w:numPr>
          <w:ilvl w:val="0"/>
          <w:numId w:val="6"/>
        </w:numPr>
        <w:tabs>
          <w:tab w:val="left" w:pos="1533"/>
        </w:tabs>
        <w:spacing w:before="138" w:after="0" w:line="357" w:lineRule="auto"/>
        <w:ind w:right="466" w:firstLine="439"/>
        <w:rPr>
          <w:color w:val="auto"/>
          <w:szCs w:val="21"/>
          <w:highlight w:val="none"/>
        </w:rPr>
      </w:pPr>
      <w:r>
        <w:rPr>
          <w:color w:val="auto"/>
          <w:spacing w:val="-1"/>
          <w:szCs w:val="21"/>
          <w:highlight w:val="none"/>
        </w:rPr>
        <w:t>审查施工承包人提交的工程变更申请，协调处理施工进度调整、费用索赔、合同争议等事项；</w:t>
      </w:r>
    </w:p>
    <w:p>
      <w:pPr>
        <w:pStyle w:val="32"/>
        <w:numPr>
          <w:ilvl w:val="0"/>
          <w:numId w:val="6"/>
        </w:numPr>
        <w:tabs>
          <w:tab w:val="left" w:pos="1527"/>
        </w:tabs>
        <w:spacing w:after="0" w:line="240" w:lineRule="auto"/>
        <w:ind w:left="1527" w:hanging="664"/>
        <w:rPr>
          <w:color w:val="auto"/>
          <w:szCs w:val="21"/>
          <w:highlight w:val="none"/>
        </w:rPr>
      </w:pPr>
      <w:r>
        <w:rPr>
          <w:color w:val="auto"/>
          <w:spacing w:val="-3"/>
          <w:szCs w:val="21"/>
          <w:highlight w:val="none"/>
        </w:rPr>
        <w:t>审查施工承包人提交的竣工验收申请，编写工程质量评估报告；</w:t>
      </w:r>
    </w:p>
    <w:p>
      <w:pPr>
        <w:pStyle w:val="32"/>
        <w:numPr>
          <w:ilvl w:val="0"/>
          <w:numId w:val="6"/>
        </w:numPr>
        <w:tabs>
          <w:tab w:val="left" w:pos="1527"/>
        </w:tabs>
        <w:spacing w:before="139" w:after="0" w:line="240" w:lineRule="auto"/>
        <w:ind w:left="1527" w:hanging="664"/>
        <w:rPr>
          <w:color w:val="auto"/>
          <w:szCs w:val="21"/>
          <w:highlight w:val="none"/>
        </w:rPr>
      </w:pPr>
      <w:r>
        <w:rPr>
          <w:color w:val="auto"/>
          <w:spacing w:val="-3"/>
          <w:szCs w:val="21"/>
          <w:highlight w:val="none"/>
        </w:rPr>
        <w:t>参加工程竣工验收，签署竣工验收意见；</w:t>
      </w:r>
    </w:p>
    <w:p>
      <w:pPr>
        <w:pStyle w:val="32"/>
        <w:numPr>
          <w:ilvl w:val="0"/>
          <w:numId w:val="6"/>
        </w:numPr>
        <w:tabs>
          <w:tab w:val="left" w:pos="1527"/>
        </w:tabs>
        <w:spacing w:before="138" w:after="0" w:line="240" w:lineRule="auto"/>
        <w:ind w:left="1527" w:hanging="664"/>
        <w:rPr>
          <w:color w:val="auto"/>
          <w:szCs w:val="21"/>
          <w:highlight w:val="none"/>
        </w:rPr>
      </w:pPr>
      <w:r>
        <w:rPr>
          <w:color w:val="auto"/>
          <w:spacing w:val="-3"/>
          <w:szCs w:val="21"/>
          <w:highlight w:val="none"/>
        </w:rPr>
        <w:t>审查施工承包人提交的竣工结算申请并报委托人；</w:t>
      </w:r>
    </w:p>
    <w:p>
      <w:pPr>
        <w:pStyle w:val="32"/>
        <w:numPr>
          <w:ilvl w:val="0"/>
          <w:numId w:val="6"/>
        </w:numPr>
        <w:tabs>
          <w:tab w:val="left" w:pos="1527"/>
        </w:tabs>
        <w:spacing w:before="138" w:after="0" w:line="240" w:lineRule="auto"/>
        <w:ind w:left="1527" w:hanging="664"/>
        <w:rPr>
          <w:color w:val="auto"/>
          <w:szCs w:val="21"/>
          <w:highlight w:val="none"/>
        </w:rPr>
      </w:pPr>
      <w:r>
        <w:rPr>
          <w:color w:val="auto"/>
          <w:spacing w:val="-3"/>
          <w:szCs w:val="21"/>
          <w:highlight w:val="none"/>
        </w:rPr>
        <w:t>编制、整理工程监理归档文件并报委托人。</w:t>
      </w:r>
    </w:p>
    <w:p>
      <w:pPr>
        <w:numPr>
          <w:ilvl w:val="1"/>
          <w:numId w:val="3"/>
        </w:numPr>
        <w:tabs>
          <w:tab w:val="left" w:pos="914"/>
        </w:tabs>
        <w:spacing w:before="95"/>
        <w:rPr>
          <w:rFonts w:ascii="黑体" w:eastAsia="黑体"/>
          <w:b/>
          <w:color w:val="auto"/>
          <w:szCs w:val="21"/>
          <w:highlight w:val="none"/>
        </w:rPr>
      </w:pPr>
      <w:r>
        <w:rPr>
          <w:rFonts w:hint="eastAsia" w:ascii="黑体" w:eastAsia="黑体"/>
          <w:b/>
          <w:color w:val="auto"/>
          <w:szCs w:val="21"/>
          <w:highlight w:val="none"/>
        </w:rPr>
        <w:t>监理文件要求</w:t>
      </w:r>
    </w:p>
    <w:p>
      <w:pPr>
        <w:pStyle w:val="32"/>
        <w:numPr>
          <w:ilvl w:val="2"/>
          <w:numId w:val="3"/>
        </w:numPr>
        <w:tabs>
          <w:tab w:val="left" w:pos="1416"/>
        </w:tabs>
        <w:spacing w:before="138" w:after="0" w:line="357" w:lineRule="auto"/>
        <w:ind w:left="424" w:right="464" w:firstLine="439"/>
        <w:rPr>
          <w:color w:val="auto"/>
          <w:spacing w:val="-5"/>
          <w:szCs w:val="21"/>
          <w:highlight w:val="none"/>
        </w:rPr>
      </w:pPr>
      <w:r>
        <w:rPr>
          <w:color w:val="auto"/>
          <w:spacing w:val="-5"/>
          <w:szCs w:val="21"/>
          <w:highlight w:val="none"/>
        </w:rPr>
        <w:t>监理文件的编制应符合法律、规范标准的强制性规定和委托人要求，相关的监理依据应当完整准确，文件内容和相应数据应当真实可靠。</w:t>
      </w:r>
    </w:p>
    <w:p>
      <w:pPr>
        <w:pStyle w:val="32"/>
        <w:numPr>
          <w:ilvl w:val="2"/>
          <w:numId w:val="3"/>
        </w:numPr>
        <w:tabs>
          <w:tab w:val="left" w:pos="1416"/>
        </w:tabs>
        <w:spacing w:before="138" w:after="0" w:line="357" w:lineRule="auto"/>
        <w:ind w:left="424" w:right="464" w:firstLine="439"/>
        <w:rPr>
          <w:color w:val="auto"/>
          <w:szCs w:val="21"/>
          <w:highlight w:val="none"/>
        </w:rPr>
      </w:pPr>
      <w:r>
        <w:rPr>
          <w:color w:val="auto"/>
          <w:spacing w:val="-5"/>
          <w:szCs w:val="21"/>
          <w:highlight w:val="none"/>
        </w:rPr>
        <w:t>监理文件的深度应满足本阶段相应监理工作的规定要求，满足委托人的下步工作</w:t>
      </w:r>
      <w:r>
        <w:rPr>
          <w:color w:val="auto"/>
          <w:spacing w:val="-3"/>
          <w:szCs w:val="21"/>
          <w:highlight w:val="none"/>
        </w:rPr>
        <w:t>需要，并应符合国家和行业现行规定。</w:t>
      </w:r>
    </w:p>
    <w:p>
      <w:pPr>
        <w:pStyle w:val="32"/>
        <w:numPr>
          <w:ilvl w:val="2"/>
          <w:numId w:val="3"/>
        </w:numPr>
        <w:tabs>
          <w:tab w:val="left" w:pos="1402"/>
        </w:tabs>
        <w:spacing w:after="0" w:line="357" w:lineRule="auto"/>
        <w:ind w:left="424" w:right="463" w:firstLine="439"/>
        <w:rPr>
          <w:color w:val="auto"/>
          <w:szCs w:val="21"/>
          <w:highlight w:val="none"/>
        </w:rPr>
      </w:pPr>
      <w:r>
        <w:rPr>
          <w:color w:val="auto"/>
          <w:spacing w:val="-4"/>
          <w:szCs w:val="21"/>
          <w:highlight w:val="none"/>
        </w:rPr>
        <w:t>本工程监理文件的具体类别、编制要求、编制内容和提交时间等，在专用合同条</w:t>
      </w:r>
      <w:r>
        <w:rPr>
          <w:color w:val="auto"/>
          <w:spacing w:val="-1"/>
          <w:szCs w:val="21"/>
          <w:highlight w:val="none"/>
        </w:rPr>
        <w:t>款中约定。</w:t>
      </w:r>
    </w:p>
    <w:p>
      <w:pPr>
        <w:pStyle w:val="6"/>
        <w:numPr>
          <w:ilvl w:val="0"/>
          <w:numId w:val="3"/>
        </w:numPr>
        <w:tabs>
          <w:tab w:val="left" w:pos="826"/>
        </w:tabs>
        <w:spacing w:before="123" w:after="0" w:line="240" w:lineRule="auto"/>
        <w:ind w:hanging="402"/>
        <w:rPr>
          <w:color w:val="auto"/>
          <w:sz w:val="21"/>
          <w:szCs w:val="21"/>
          <w:highlight w:val="none"/>
        </w:rPr>
      </w:pPr>
      <w:bookmarkStart w:id="61" w:name="_bookmark112"/>
      <w:bookmarkEnd w:id="61"/>
      <w:r>
        <w:rPr>
          <w:color w:val="auto"/>
          <w:sz w:val="21"/>
          <w:szCs w:val="21"/>
          <w:highlight w:val="none"/>
        </w:rPr>
        <w:t>开始监理和完成监理</w:t>
      </w:r>
    </w:p>
    <w:p>
      <w:pPr>
        <w:pStyle w:val="9"/>
        <w:spacing w:before="12"/>
        <w:rPr>
          <w:rFonts w:ascii="黑体"/>
          <w:b/>
          <w:color w:val="auto"/>
          <w:sz w:val="21"/>
          <w:szCs w:val="21"/>
          <w:highlight w:val="none"/>
        </w:rPr>
      </w:pPr>
    </w:p>
    <w:p>
      <w:pPr>
        <w:numPr>
          <w:ilvl w:val="1"/>
          <w:numId w:val="3"/>
        </w:numPr>
        <w:tabs>
          <w:tab w:val="left" w:pos="914"/>
        </w:tabs>
        <w:rPr>
          <w:rFonts w:ascii="黑体" w:eastAsia="黑体"/>
          <w:b/>
          <w:color w:val="auto"/>
          <w:szCs w:val="21"/>
          <w:highlight w:val="none"/>
        </w:rPr>
      </w:pPr>
      <w:r>
        <w:rPr>
          <w:rFonts w:hint="eastAsia" w:ascii="黑体" w:eastAsia="黑体"/>
          <w:b/>
          <w:color w:val="auto"/>
          <w:szCs w:val="21"/>
          <w:highlight w:val="none"/>
        </w:rPr>
        <w:t>开始监理</w:t>
      </w:r>
    </w:p>
    <w:p>
      <w:pPr>
        <w:pStyle w:val="32"/>
        <w:numPr>
          <w:ilvl w:val="2"/>
          <w:numId w:val="3"/>
        </w:numPr>
        <w:tabs>
          <w:tab w:val="left" w:pos="1373"/>
        </w:tabs>
        <w:spacing w:before="123" w:after="0" w:line="357" w:lineRule="auto"/>
        <w:ind w:left="424" w:right="463" w:firstLine="439"/>
        <w:jc w:val="both"/>
        <w:rPr>
          <w:color w:val="auto"/>
          <w:szCs w:val="21"/>
          <w:highlight w:val="none"/>
        </w:rPr>
      </w:pPr>
      <w:r>
        <w:rPr>
          <w:color w:val="auto"/>
          <w:spacing w:val="-5"/>
          <w:szCs w:val="21"/>
          <w:highlight w:val="none"/>
        </w:rPr>
        <w:t xml:space="preserve">符合专用合同条款约定的开始监理条件的，委托人应提前 </w:t>
      </w:r>
      <w:r>
        <w:rPr>
          <w:rFonts w:ascii="Times New Roman" w:eastAsia="Times New Roman"/>
          <w:color w:val="auto"/>
          <w:szCs w:val="21"/>
          <w:highlight w:val="none"/>
        </w:rPr>
        <w:t>7</w:t>
      </w:r>
      <w:r>
        <w:rPr>
          <w:rFonts w:ascii="Times New Roman" w:eastAsia="Times New Roman"/>
          <w:color w:val="auto"/>
          <w:spacing w:val="24"/>
          <w:szCs w:val="21"/>
          <w:highlight w:val="none"/>
        </w:rPr>
        <w:t xml:space="preserve"> </w:t>
      </w:r>
      <w:r>
        <w:rPr>
          <w:color w:val="auto"/>
          <w:spacing w:val="-3"/>
          <w:szCs w:val="21"/>
          <w:highlight w:val="none"/>
        </w:rPr>
        <w:t>天向监理人发出开始监理通知。监理服务期限自开始监理通知中载明的开始监理日期起计算。</w:t>
      </w:r>
    </w:p>
    <w:p>
      <w:pPr>
        <w:pStyle w:val="32"/>
        <w:numPr>
          <w:ilvl w:val="2"/>
          <w:numId w:val="3"/>
        </w:numPr>
        <w:tabs>
          <w:tab w:val="left" w:pos="1361"/>
        </w:tabs>
        <w:spacing w:after="0" w:line="357" w:lineRule="auto"/>
        <w:ind w:left="424" w:right="460" w:firstLine="439"/>
        <w:jc w:val="both"/>
        <w:rPr>
          <w:color w:val="auto"/>
          <w:szCs w:val="21"/>
          <w:highlight w:val="none"/>
        </w:rPr>
      </w:pPr>
      <w:r>
        <w:rPr>
          <w:color w:val="auto"/>
          <w:spacing w:val="-11"/>
          <w:szCs w:val="21"/>
          <w:highlight w:val="none"/>
        </w:rPr>
        <w:t xml:space="preserve">除专用合同条款另有约定外，因委托人原因造成合同签订之日起 </w:t>
      </w:r>
      <w:r>
        <w:rPr>
          <w:rFonts w:ascii="Times New Roman" w:eastAsia="Times New Roman"/>
          <w:color w:val="auto"/>
          <w:szCs w:val="21"/>
          <w:highlight w:val="none"/>
        </w:rPr>
        <w:t>90</w:t>
      </w:r>
      <w:r>
        <w:rPr>
          <w:rFonts w:ascii="Times New Roman" w:eastAsia="Times New Roman"/>
          <w:color w:val="auto"/>
          <w:spacing w:val="9"/>
          <w:szCs w:val="21"/>
          <w:highlight w:val="none"/>
        </w:rPr>
        <w:t xml:space="preserve"> </w:t>
      </w:r>
      <w:r>
        <w:rPr>
          <w:color w:val="auto"/>
          <w:spacing w:val="-3"/>
          <w:szCs w:val="21"/>
          <w:highlight w:val="none"/>
        </w:rPr>
        <w:t>天内未能发出</w:t>
      </w:r>
      <w:r>
        <w:rPr>
          <w:color w:val="auto"/>
          <w:szCs w:val="21"/>
          <w:highlight w:val="none"/>
        </w:rPr>
        <w:t>开始监理通知的，监理人有权提出价格调整要求，或者解除合同。委托人应当承担由此增</w:t>
      </w:r>
      <w:r>
        <w:rPr>
          <w:color w:val="auto"/>
          <w:spacing w:val="-1"/>
          <w:szCs w:val="21"/>
          <w:highlight w:val="none"/>
        </w:rPr>
        <w:t>加的费用和</w:t>
      </w:r>
      <w:r>
        <w:rPr>
          <w:color w:val="auto"/>
          <w:szCs w:val="21"/>
          <w:highlight w:val="none"/>
        </w:rPr>
        <w:t>（</w:t>
      </w:r>
      <w:r>
        <w:rPr>
          <w:color w:val="auto"/>
          <w:spacing w:val="-3"/>
          <w:szCs w:val="21"/>
          <w:highlight w:val="none"/>
        </w:rPr>
        <w:t>或</w:t>
      </w:r>
      <w:r>
        <w:rPr>
          <w:color w:val="auto"/>
          <w:szCs w:val="21"/>
          <w:highlight w:val="none"/>
        </w:rPr>
        <w:t>）</w:t>
      </w:r>
      <w:r>
        <w:rPr>
          <w:color w:val="auto"/>
          <w:spacing w:val="-3"/>
          <w:szCs w:val="21"/>
          <w:highlight w:val="none"/>
        </w:rPr>
        <w:t>周期延误。</w:t>
      </w:r>
    </w:p>
    <w:p>
      <w:pPr>
        <w:numPr>
          <w:ilvl w:val="1"/>
          <w:numId w:val="3"/>
        </w:numPr>
        <w:tabs>
          <w:tab w:val="left" w:pos="914"/>
        </w:tabs>
        <w:spacing w:line="316" w:lineRule="exact"/>
        <w:rPr>
          <w:rFonts w:ascii="黑体" w:eastAsia="黑体"/>
          <w:b/>
          <w:color w:val="auto"/>
          <w:szCs w:val="21"/>
          <w:highlight w:val="none"/>
        </w:rPr>
      </w:pPr>
      <w:r>
        <w:rPr>
          <w:rFonts w:hint="eastAsia" w:ascii="黑体" w:eastAsia="黑体"/>
          <w:b/>
          <w:color w:val="auto"/>
          <w:szCs w:val="21"/>
          <w:highlight w:val="none"/>
        </w:rPr>
        <w:t>监理周期延误</w:t>
      </w:r>
    </w:p>
    <w:p>
      <w:pPr>
        <w:spacing w:before="124" w:line="357" w:lineRule="auto"/>
        <w:ind w:left="424" w:right="457" w:firstLine="439"/>
        <w:rPr>
          <w:color w:val="auto"/>
          <w:szCs w:val="21"/>
          <w:highlight w:val="none"/>
        </w:rPr>
      </w:pPr>
      <w:r>
        <w:rPr>
          <w:color w:val="auto"/>
          <w:szCs w:val="21"/>
          <w:highlight w:val="none"/>
        </w:rPr>
        <w:t>在履行合同过程中，由于下列原因造成监理服务期限延误且属于非监理人责任的，委托人应当延长监理服务期限并增加监理报酬，具体方法在专用合同条款中约定。</w:t>
      </w:r>
    </w:p>
    <w:p>
      <w:pPr>
        <w:pStyle w:val="32"/>
        <w:numPr>
          <w:ilvl w:val="0"/>
          <w:numId w:val="7"/>
        </w:numPr>
        <w:tabs>
          <w:tab w:val="left" w:pos="1417"/>
        </w:tabs>
        <w:spacing w:before="1" w:after="0" w:line="240" w:lineRule="auto"/>
        <w:ind w:hanging="554"/>
        <w:rPr>
          <w:color w:val="auto"/>
          <w:szCs w:val="21"/>
          <w:highlight w:val="none"/>
        </w:rPr>
      </w:pPr>
      <w:r>
        <w:rPr>
          <w:color w:val="auto"/>
          <w:spacing w:val="-2"/>
          <w:szCs w:val="21"/>
          <w:highlight w:val="none"/>
        </w:rPr>
        <w:t>合同变更；</w:t>
      </w:r>
    </w:p>
    <w:p>
      <w:pPr>
        <w:pStyle w:val="32"/>
        <w:numPr>
          <w:ilvl w:val="0"/>
          <w:numId w:val="7"/>
        </w:numPr>
        <w:tabs>
          <w:tab w:val="left" w:pos="1417"/>
        </w:tabs>
        <w:spacing w:before="138" w:after="0" w:line="240" w:lineRule="auto"/>
        <w:ind w:hanging="554"/>
        <w:rPr>
          <w:color w:val="auto"/>
          <w:szCs w:val="21"/>
          <w:highlight w:val="none"/>
        </w:rPr>
      </w:pPr>
      <w:r>
        <w:rPr>
          <w:color w:val="auto"/>
          <w:spacing w:val="-3"/>
          <w:szCs w:val="21"/>
          <w:highlight w:val="none"/>
        </w:rPr>
        <w:t>因委托人原因导致的监理工作暂停；</w:t>
      </w:r>
    </w:p>
    <w:p>
      <w:pPr>
        <w:pStyle w:val="32"/>
        <w:numPr>
          <w:ilvl w:val="0"/>
          <w:numId w:val="7"/>
        </w:numPr>
        <w:tabs>
          <w:tab w:val="left" w:pos="1417"/>
        </w:tabs>
        <w:spacing w:before="138" w:after="0" w:line="240" w:lineRule="auto"/>
        <w:ind w:hanging="554"/>
        <w:rPr>
          <w:color w:val="auto"/>
          <w:szCs w:val="21"/>
          <w:highlight w:val="none"/>
        </w:rPr>
      </w:pPr>
      <w:r>
        <w:rPr>
          <w:color w:val="auto"/>
          <w:spacing w:val="-3"/>
          <w:szCs w:val="21"/>
          <w:highlight w:val="none"/>
        </w:rPr>
        <w:t>未按合同约定及时支付监理报酬；</w:t>
      </w:r>
    </w:p>
    <w:p>
      <w:pPr>
        <w:pStyle w:val="32"/>
        <w:numPr>
          <w:ilvl w:val="0"/>
          <w:numId w:val="7"/>
        </w:numPr>
        <w:tabs>
          <w:tab w:val="left" w:pos="1417"/>
        </w:tabs>
        <w:spacing w:before="138" w:after="0" w:line="240" w:lineRule="auto"/>
        <w:ind w:hanging="554"/>
        <w:rPr>
          <w:color w:val="auto"/>
          <w:szCs w:val="21"/>
          <w:highlight w:val="none"/>
        </w:rPr>
      </w:pPr>
      <w:r>
        <w:rPr>
          <w:color w:val="auto"/>
          <w:spacing w:val="-3"/>
          <w:szCs w:val="21"/>
          <w:highlight w:val="none"/>
        </w:rPr>
        <w:t>未及时履行合同约定的相关义务；</w:t>
      </w:r>
    </w:p>
    <w:p>
      <w:pPr>
        <w:pStyle w:val="32"/>
        <w:numPr>
          <w:ilvl w:val="0"/>
          <w:numId w:val="7"/>
        </w:numPr>
        <w:tabs>
          <w:tab w:val="left" w:pos="1417"/>
        </w:tabs>
        <w:spacing w:before="138" w:after="0" w:line="240" w:lineRule="auto"/>
        <w:ind w:hanging="554"/>
        <w:rPr>
          <w:color w:val="auto"/>
          <w:szCs w:val="21"/>
          <w:highlight w:val="none"/>
        </w:rPr>
      </w:pPr>
      <w:r>
        <w:rPr>
          <w:color w:val="auto"/>
          <w:spacing w:val="-3"/>
          <w:szCs w:val="21"/>
          <w:highlight w:val="none"/>
        </w:rPr>
        <w:t>由于承包人延误、行政管理造成的监理服务期延误；</w:t>
      </w:r>
    </w:p>
    <w:p>
      <w:pPr>
        <w:pStyle w:val="32"/>
        <w:numPr>
          <w:ilvl w:val="0"/>
          <w:numId w:val="7"/>
        </w:numPr>
        <w:tabs>
          <w:tab w:val="left" w:pos="1417"/>
        </w:tabs>
        <w:spacing w:before="139" w:after="0" w:line="240" w:lineRule="auto"/>
        <w:ind w:hanging="554"/>
        <w:rPr>
          <w:color w:val="auto"/>
          <w:szCs w:val="21"/>
          <w:highlight w:val="none"/>
        </w:rPr>
      </w:pPr>
      <w:r>
        <w:rPr>
          <w:color w:val="auto"/>
          <w:spacing w:val="-3"/>
          <w:szCs w:val="21"/>
          <w:highlight w:val="none"/>
        </w:rPr>
        <w:t>造成监理服务期限延误的其他原因。</w:t>
      </w:r>
    </w:p>
    <w:p>
      <w:pPr>
        <w:numPr>
          <w:ilvl w:val="1"/>
          <w:numId w:val="3"/>
        </w:numPr>
        <w:tabs>
          <w:tab w:val="left" w:pos="914"/>
        </w:tabs>
        <w:spacing w:before="95"/>
        <w:rPr>
          <w:rFonts w:ascii="黑体" w:eastAsia="黑体"/>
          <w:b/>
          <w:color w:val="auto"/>
          <w:szCs w:val="21"/>
          <w:highlight w:val="none"/>
        </w:rPr>
      </w:pPr>
      <w:r>
        <w:rPr>
          <w:rFonts w:hint="eastAsia" w:ascii="黑体" w:eastAsia="黑体"/>
          <w:b/>
          <w:color w:val="auto"/>
          <w:szCs w:val="21"/>
          <w:highlight w:val="none"/>
        </w:rPr>
        <w:t>完成监理</w:t>
      </w:r>
    </w:p>
    <w:p>
      <w:pPr>
        <w:pStyle w:val="32"/>
        <w:numPr>
          <w:ilvl w:val="2"/>
          <w:numId w:val="3"/>
        </w:numPr>
        <w:tabs>
          <w:tab w:val="left" w:pos="1416"/>
        </w:tabs>
        <w:spacing w:before="126" w:after="0" w:line="357" w:lineRule="auto"/>
        <w:ind w:left="424" w:right="464" w:firstLine="439"/>
        <w:jc w:val="both"/>
        <w:rPr>
          <w:color w:val="auto"/>
          <w:szCs w:val="21"/>
          <w:highlight w:val="none"/>
        </w:rPr>
      </w:pPr>
      <w:r>
        <w:rPr>
          <w:color w:val="auto"/>
          <w:spacing w:val="-5"/>
          <w:szCs w:val="21"/>
          <w:highlight w:val="none"/>
        </w:rPr>
        <w:t>监理人应当根据法律、规范标准、合同约定和委托人要求实施和完成监理，并编</w:t>
      </w:r>
      <w:r>
        <w:rPr>
          <w:color w:val="auto"/>
          <w:spacing w:val="-4"/>
          <w:szCs w:val="21"/>
          <w:highlight w:val="none"/>
        </w:rPr>
        <w:t>制和移交监理文件。</w:t>
      </w:r>
    </w:p>
    <w:p>
      <w:pPr>
        <w:pStyle w:val="32"/>
        <w:numPr>
          <w:ilvl w:val="2"/>
          <w:numId w:val="3"/>
        </w:numPr>
        <w:tabs>
          <w:tab w:val="left" w:pos="1416"/>
        </w:tabs>
        <w:spacing w:after="0" w:line="357" w:lineRule="auto"/>
        <w:ind w:left="424" w:right="464" w:firstLine="439"/>
        <w:jc w:val="both"/>
        <w:rPr>
          <w:color w:val="auto"/>
          <w:szCs w:val="21"/>
          <w:highlight w:val="none"/>
        </w:rPr>
      </w:pPr>
      <w:r>
        <w:rPr>
          <w:color w:val="auto"/>
          <w:spacing w:val="-5"/>
          <w:szCs w:val="21"/>
          <w:highlight w:val="none"/>
        </w:rPr>
        <w:t>缺陷修复监理指缺陷责任期间，监理人对承包人修复质量缺陷进行的监理。缺陷</w:t>
      </w:r>
      <w:r>
        <w:rPr>
          <w:color w:val="auto"/>
          <w:spacing w:val="-4"/>
          <w:szCs w:val="21"/>
          <w:highlight w:val="none"/>
        </w:rPr>
        <w:t>修复监理的责任由监理人负责。</w:t>
      </w:r>
    </w:p>
    <w:p>
      <w:pPr>
        <w:pStyle w:val="32"/>
        <w:numPr>
          <w:ilvl w:val="2"/>
          <w:numId w:val="3"/>
        </w:numPr>
        <w:tabs>
          <w:tab w:val="left" w:pos="1416"/>
        </w:tabs>
        <w:spacing w:after="0" w:line="357" w:lineRule="auto"/>
        <w:ind w:left="424" w:right="464" w:firstLine="439"/>
        <w:jc w:val="both"/>
        <w:rPr>
          <w:color w:val="auto"/>
          <w:szCs w:val="21"/>
          <w:highlight w:val="none"/>
        </w:rPr>
      </w:pPr>
      <w:r>
        <w:rPr>
          <w:color w:val="auto"/>
          <w:spacing w:val="-5"/>
          <w:szCs w:val="21"/>
          <w:highlight w:val="none"/>
        </w:rPr>
        <w:t>委托人应当及时接收监理人提交的监理文件。如无正当理由拒收的，视为委托人已经接收监理文件。接收监理文件时，委托人应向监理人出具文件签收凭证，凭证内容包括文件名称、文件内容、文件形式、份数、提交和接收日期、提交人与接收人的亲笔签名等。</w:t>
      </w:r>
    </w:p>
    <w:p>
      <w:pPr>
        <w:pStyle w:val="32"/>
        <w:numPr>
          <w:ilvl w:val="2"/>
          <w:numId w:val="3"/>
        </w:numPr>
        <w:tabs>
          <w:tab w:val="left" w:pos="1416"/>
        </w:tabs>
        <w:spacing w:after="0" w:line="357" w:lineRule="auto"/>
        <w:ind w:left="424" w:right="464" w:firstLine="439"/>
        <w:jc w:val="both"/>
        <w:rPr>
          <w:color w:val="auto"/>
          <w:spacing w:val="-5"/>
          <w:szCs w:val="21"/>
          <w:highlight w:val="none"/>
        </w:rPr>
      </w:pPr>
      <w:r>
        <w:rPr>
          <w:color w:val="auto"/>
          <w:spacing w:val="-5"/>
          <w:szCs w:val="21"/>
          <w:highlight w:val="none"/>
        </w:rPr>
        <w:t>除专用合同条款另有约定外，监理文件包括纸质文件和电子文件两种形式，两者若有不一致时，应以纸质文件为准。纸质文件应当加盖单位章和总监理工程师的注册执业印章，具体份数、纸幅、装订格式等要求，应在专用合同条款中约定；电子文件应使用光盘和 U 盘分别贮存。</w:t>
      </w:r>
    </w:p>
    <w:p>
      <w:pPr>
        <w:pStyle w:val="6"/>
        <w:numPr>
          <w:ilvl w:val="0"/>
          <w:numId w:val="3"/>
        </w:numPr>
        <w:tabs>
          <w:tab w:val="left" w:pos="826"/>
        </w:tabs>
        <w:spacing w:before="123" w:after="0" w:line="240" w:lineRule="auto"/>
        <w:ind w:hanging="402"/>
        <w:rPr>
          <w:color w:val="auto"/>
          <w:sz w:val="21"/>
          <w:szCs w:val="21"/>
          <w:highlight w:val="none"/>
        </w:rPr>
      </w:pPr>
      <w:bookmarkStart w:id="62" w:name="_bookmark113"/>
      <w:bookmarkEnd w:id="62"/>
      <w:r>
        <w:rPr>
          <w:color w:val="auto"/>
          <w:sz w:val="21"/>
          <w:szCs w:val="21"/>
          <w:highlight w:val="none"/>
        </w:rPr>
        <w:t>监理责任与保险</w:t>
      </w:r>
    </w:p>
    <w:p>
      <w:pPr>
        <w:pStyle w:val="9"/>
        <w:spacing w:before="11"/>
        <w:rPr>
          <w:rFonts w:ascii="黑体"/>
          <w:b/>
          <w:color w:val="auto"/>
          <w:sz w:val="21"/>
          <w:szCs w:val="21"/>
          <w:highlight w:val="none"/>
        </w:rPr>
      </w:pPr>
    </w:p>
    <w:p>
      <w:pPr>
        <w:numPr>
          <w:ilvl w:val="1"/>
          <w:numId w:val="3"/>
        </w:numPr>
        <w:tabs>
          <w:tab w:val="left" w:pos="914"/>
        </w:tabs>
        <w:rPr>
          <w:rFonts w:ascii="黑体" w:eastAsia="黑体"/>
          <w:b/>
          <w:color w:val="auto"/>
          <w:szCs w:val="21"/>
          <w:highlight w:val="none"/>
        </w:rPr>
      </w:pPr>
      <w:r>
        <w:rPr>
          <w:rFonts w:hint="eastAsia" w:ascii="黑体" w:eastAsia="黑体"/>
          <w:b/>
          <w:color w:val="auto"/>
          <w:szCs w:val="21"/>
          <w:highlight w:val="none"/>
        </w:rPr>
        <w:t>监理责任主体</w:t>
      </w:r>
    </w:p>
    <w:p>
      <w:pPr>
        <w:pStyle w:val="32"/>
        <w:numPr>
          <w:ilvl w:val="2"/>
          <w:numId w:val="3"/>
        </w:numPr>
        <w:tabs>
          <w:tab w:val="left" w:pos="1416"/>
        </w:tabs>
        <w:spacing w:before="124" w:after="0" w:line="357" w:lineRule="auto"/>
        <w:ind w:left="424" w:right="464" w:firstLine="439"/>
        <w:rPr>
          <w:color w:val="auto"/>
          <w:szCs w:val="21"/>
          <w:highlight w:val="none"/>
        </w:rPr>
      </w:pPr>
      <w:r>
        <w:rPr>
          <w:color w:val="auto"/>
          <w:spacing w:val="-5"/>
          <w:szCs w:val="21"/>
          <w:highlight w:val="none"/>
        </w:rPr>
        <w:t>监理人应运用一切合理的专业技术、知识技能和项目经验，按照职业道德准则和</w:t>
      </w:r>
      <w:r>
        <w:rPr>
          <w:color w:val="auto"/>
          <w:spacing w:val="-4"/>
          <w:szCs w:val="21"/>
          <w:highlight w:val="none"/>
        </w:rPr>
        <w:t>行业公认标准尽其全部职责，勤勉、谨慎、公正地履行其在本合同项下的责任和义务。</w:t>
      </w:r>
    </w:p>
    <w:p>
      <w:pPr>
        <w:pStyle w:val="32"/>
        <w:numPr>
          <w:ilvl w:val="2"/>
          <w:numId w:val="3"/>
        </w:numPr>
        <w:tabs>
          <w:tab w:val="left" w:pos="1416"/>
        </w:tabs>
        <w:spacing w:after="0" w:line="357" w:lineRule="auto"/>
        <w:ind w:left="424" w:right="449" w:firstLine="439"/>
        <w:rPr>
          <w:color w:val="auto"/>
          <w:szCs w:val="21"/>
          <w:highlight w:val="none"/>
        </w:rPr>
      </w:pPr>
      <w:r>
        <w:rPr>
          <w:color w:val="auto"/>
          <w:spacing w:val="-3"/>
          <w:szCs w:val="21"/>
          <w:highlight w:val="none"/>
        </w:rPr>
        <w:t>监理责任为监理单位项目负责人终身责任制。总监理工程师应当按照法律法规、有关技术标准、设计文件和工程承包合同进行监理，对施工质量承担监理责任。</w:t>
      </w:r>
    </w:p>
    <w:p>
      <w:pPr>
        <w:pStyle w:val="32"/>
        <w:numPr>
          <w:ilvl w:val="2"/>
          <w:numId w:val="3"/>
        </w:numPr>
        <w:tabs>
          <w:tab w:val="left" w:pos="1421"/>
        </w:tabs>
        <w:spacing w:after="0" w:line="357" w:lineRule="auto"/>
        <w:ind w:left="424" w:right="463" w:firstLine="439"/>
        <w:rPr>
          <w:color w:val="auto"/>
          <w:szCs w:val="21"/>
          <w:highlight w:val="none"/>
        </w:rPr>
      </w:pPr>
      <w:r>
        <w:rPr>
          <w:color w:val="auto"/>
          <w:spacing w:val="3"/>
          <w:szCs w:val="21"/>
          <w:highlight w:val="none"/>
        </w:rPr>
        <w:t>总监理工程师应当按照有关规定在办理工程质量监督手续前签署工程质量终身</w:t>
      </w:r>
      <w:r>
        <w:rPr>
          <w:color w:val="auto"/>
          <w:spacing w:val="-3"/>
          <w:szCs w:val="21"/>
          <w:highlight w:val="none"/>
        </w:rPr>
        <w:t>责任承诺书，连同法定代表人出具的授权书，报工程质量监督机构备案。</w:t>
      </w:r>
    </w:p>
    <w:p>
      <w:pPr>
        <w:numPr>
          <w:ilvl w:val="1"/>
          <w:numId w:val="3"/>
        </w:numPr>
        <w:tabs>
          <w:tab w:val="left" w:pos="914"/>
        </w:tabs>
        <w:spacing w:line="316" w:lineRule="exact"/>
        <w:rPr>
          <w:rFonts w:ascii="黑体" w:eastAsia="黑体"/>
          <w:b/>
          <w:color w:val="auto"/>
          <w:szCs w:val="21"/>
          <w:highlight w:val="none"/>
        </w:rPr>
      </w:pPr>
      <w:r>
        <w:rPr>
          <w:rFonts w:hint="eastAsia" w:ascii="黑体" w:eastAsia="黑体"/>
          <w:b/>
          <w:color w:val="auto"/>
          <w:szCs w:val="21"/>
          <w:highlight w:val="none"/>
        </w:rPr>
        <w:t>监理责任保险</w:t>
      </w:r>
    </w:p>
    <w:p>
      <w:pPr>
        <w:spacing w:before="124" w:line="357" w:lineRule="auto"/>
        <w:ind w:left="424" w:right="463" w:firstLine="439"/>
        <w:rPr>
          <w:color w:val="auto"/>
          <w:szCs w:val="21"/>
          <w:highlight w:val="none"/>
        </w:rPr>
      </w:pPr>
      <w:r>
        <w:rPr>
          <w:color w:val="auto"/>
          <w:szCs w:val="21"/>
          <w:highlight w:val="none"/>
        </w:rPr>
        <w:t>除专用合同条款另有约定外，监理人应根据工程情况对监理责任进行保险，并在合同履行期间保持足额、有效。</w:t>
      </w:r>
    </w:p>
    <w:p>
      <w:pPr>
        <w:pStyle w:val="6"/>
        <w:numPr>
          <w:ilvl w:val="0"/>
          <w:numId w:val="3"/>
        </w:numPr>
        <w:tabs>
          <w:tab w:val="left" w:pos="826"/>
        </w:tabs>
        <w:spacing w:before="124" w:after="0" w:line="240" w:lineRule="auto"/>
        <w:ind w:hanging="402"/>
        <w:rPr>
          <w:color w:val="auto"/>
          <w:sz w:val="21"/>
          <w:szCs w:val="21"/>
          <w:highlight w:val="none"/>
        </w:rPr>
      </w:pPr>
      <w:bookmarkStart w:id="63" w:name="_bookmark114"/>
      <w:bookmarkEnd w:id="63"/>
      <w:r>
        <w:rPr>
          <w:color w:val="auto"/>
          <w:w w:val="95"/>
          <w:sz w:val="21"/>
          <w:szCs w:val="21"/>
          <w:highlight w:val="none"/>
        </w:rPr>
        <w:t>合同变更</w:t>
      </w:r>
    </w:p>
    <w:p>
      <w:pPr>
        <w:pStyle w:val="9"/>
        <w:spacing w:before="11"/>
        <w:rPr>
          <w:rFonts w:ascii="黑体"/>
          <w:b/>
          <w:color w:val="auto"/>
          <w:sz w:val="21"/>
          <w:szCs w:val="21"/>
          <w:highlight w:val="none"/>
        </w:rPr>
      </w:pPr>
    </w:p>
    <w:p>
      <w:pPr>
        <w:numPr>
          <w:ilvl w:val="1"/>
          <w:numId w:val="3"/>
        </w:numPr>
        <w:tabs>
          <w:tab w:val="left" w:pos="914"/>
        </w:tabs>
        <w:rPr>
          <w:rFonts w:ascii="黑体" w:eastAsia="黑体"/>
          <w:b/>
          <w:color w:val="auto"/>
          <w:szCs w:val="21"/>
          <w:highlight w:val="none"/>
        </w:rPr>
      </w:pPr>
      <w:r>
        <w:rPr>
          <w:rFonts w:hint="eastAsia" w:ascii="黑体" w:eastAsia="黑体"/>
          <w:b/>
          <w:color w:val="auto"/>
          <w:szCs w:val="21"/>
          <w:highlight w:val="none"/>
        </w:rPr>
        <w:t>变更情形</w:t>
      </w:r>
    </w:p>
    <w:p>
      <w:pPr>
        <w:pStyle w:val="32"/>
        <w:numPr>
          <w:ilvl w:val="2"/>
          <w:numId w:val="3"/>
        </w:numPr>
        <w:tabs>
          <w:tab w:val="left" w:pos="1416"/>
        </w:tabs>
        <w:spacing w:before="124" w:after="0" w:line="357" w:lineRule="auto"/>
        <w:ind w:left="424" w:right="464" w:firstLine="439"/>
        <w:rPr>
          <w:color w:val="auto"/>
          <w:szCs w:val="21"/>
          <w:highlight w:val="none"/>
        </w:rPr>
      </w:pPr>
      <w:r>
        <w:rPr>
          <w:color w:val="auto"/>
          <w:spacing w:val="-5"/>
          <w:szCs w:val="21"/>
          <w:highlight w:val="none"/>
        </w:rPr>
        <w:t>合同履行中发生下述情形时，合同一方均可向对方提出变更请求，经双方协商一</w:t>
      </w:r>
      <w:r>
        <w:rPr>
          <w:color w:val="auto"/>
          <w:spacing w:val="-4"/>
          <w:szCs w:val="21"/>
          <w:highlight w:val="none"/>
        </w:rPr>
        <w:t>致后进行变更，监理服务期限和监理报酬的调整方法在专用合同条款中约定。</w:t>
      </w:r>
    </w:p>
    <w:p>
      <w:pPr>
        <w:pStyle w:val="32"/>
        <w:numPr>
          <w:ilvl w:val="0"/>
          <w:numId w:val="8"/>
        </w:numPr>
        <w:tabs>
          <w:tab w:val="left" w:pos="1417"/>
        </w:tabs>
        <w:spacing w:after="0" w:line="240" w:lineRule="auto"/>
        <w:ind w:hanging="554"/>
        <w:rPr>
          <w:color w:val="auto"/>
          <w:szCs w:val="21"/>
          <w:highlight w:val="none"/>
        </w:rPr>
      </w:pPr>
      <w:r>
        <w:rPr>
          <w:color w:val="auto"/>
          <w:spacing w:val="-3"/>
          <w:szCs w:val="21"/>
          <w:highlight w:val="none"/>
        </w:rPr>
        <w:t>监理范围发生变化；</w:t>
      </w:r>
    </w:p>
    <w:p>
      <w:pPr>
        <w:pStyle w:val="32"/>
        <w:numPr>
          <w:ilvl w:val="0"/>
          <w:numId w:val="8"/>
        </w:numPr>
        <w:tabs>
          <w:tab w:val="left" w:pos="1417"/>
        </w:tabs>
        <w:spacing w:before="138" w:after="0" w:line="240" w:lineRule="auto"/>
        <w:ind w:hanging="554"/>
        <w:rPr>
          <w:color w:val="auto"/>
          <w:szCs w:val="21"/>
          <w:highlight w:val="none"/>
        </w:rPr>
      </w:pPr>
      <w:r>
        <w:rPr>
          <w:color w:val="auto"/>
          <w:spacing w:val="-3"/>
          <w:szCs w:val="21"/>
          <w:highlight w:val="none"/>
        </w:rPr>
        <w:t>除不可抗力外，非监理人的原因引起的周期延误；</w:t>
      </w:r>
    </w:p>
    <w:p>
      <w:pPr>
        <w:pStyle w:val="32"/>
        <w:numPr>
          <w:ilvl w:val="0"/>
          <w:numId w:val="8"/>
        </w:numPr>
        <w:tabs>
          <w:tab w:val="left" w:pos="1417"/>
        </w:tabs>
        <w:spacing w:before="138" w:after="0" w:line="240" w:lineRule="auto"/>
        <w:ind w:hanging="554"/>
        <w:rPr>
          <w:color w:val="auto"/>
          <w:szCs w:val="21"/>
          <w:highlight w:val="none"/>
        </w:rPr>
      </w:pPr>
      <w:r>
        <w:rPr>
          <w:color w:val="auto"/>
          <w:spacing w:val="-3"/>
          <w:szCs w:val="21"/>
          <w:highlight w:val="none"/>
        </w:rPr>
        <w:t>非监理人的原因，对工程同一部分重复进行监理；</w:t>
      </w:r>
    </w:p>
    <w:p>
      <w:pPr>
        <w:pStyle w:val="32"/>
        <w:numPr>
          <w:ilvl w:val="0"/>
          <w:numId w:val="8"/>
        </w:numPr>
        <w:tabs>
          <w:tab w:val="left" w:pos="1417"/>
        </w:tabs>
        <w:spacing w:before="139" w:after="0" w:line="240" w:lineRule="auto"/>
        <w:ind w:hanging="554"/>
        <w:rPr>
          <w:color w:val="auto"/>
          <w:szCs w:val="21"/>
          <w:highlight w:val="none"/>
        </w:rPr>
      </w:pPr>
      <w:r>
        <w:rPr>
          <w:color w:val="auto"/>
          <w:spacing w:val="-3"/>
          <w:szCs w:val="21"/>
          <w:highlight w:val="none"/>
        </w:rPr>
        <w:t>非监理人的原因，对工程暂停监理及恢复监理。</w:t>
      </w:r>
    </w:p>
    <w:p>
      <w:pPr>
        <w:pStyle w:val="32"/>
        <w:numPr>
          <w:ilvl w:val="2"/>
          <w:numId w:val="3"/>
        </w:numPr>
        <w:tabs>
          <w:tab w:val="left" w:pos="1416"/>
        </w:tabs>
        <w:spacing w:before="138" w:after="0" w:line="357" w:lineRule="auto"/>
        <w:ind w:left="424" w:right="464" w:firstLine="439"/>
        <w:rPr>
          <w:color w:val="auto"/>
          <w:szCs w:val="21"/>
          <w:highlight w:val="none"/>
        </w:rPr>
      </w:pPr>
      <w:r>
        <w:rPr>
          <w:color w:val="auto"/>
          <w:spacing w:val="-5"/>
          <w:szCs w:val="21"/>
          <w:highlight w:val="none"/>
        </w:rPr>
        <w:t>基准日后，因颁布新的或修订原有法律、法规、规范和标准等引发合同变更情形</w:t>
      </w:r>
      <w:r>
        <w:rPr>
          <w:color w:val="auto"/>
          <w:spacing w:val="-4"/>
          <w:szCs w:val="21"/>
          <w:highlight w:val="none"/>
        </w:rPr>
        <w:t>的，按照上述约定进行调整。</w:t>
      </w:r>
    </w:p>
    <w:p>
      <w:pPr>
        <w:numPr>
          <w:ilvl w:val="1"/>
          <w:numId w:val="3"/>
        </w:numPr>
        <w:tabs>
          <w:tab w:val="left" w:pos="914"/>
        </w:tabs>
        <w:spacing w:line="316" w:lineRule="exact"/>
        <w:rPr>
          <w:rFonts w:ascii="黑体" w:eastAsia="黑体"/>
          <w:b/>
          <w:color w:val="auto"/>
          <w:szCs w:val="21"/>
          <w:highlight w:val="none"/>
        </w:rPr>
      </w:pPr>
      <w:r>
        <w:rPr>
          <w:rFonts w:hint="eastAsia" w:ascii="黑体" w:eastAsia="黑体"/>
          <w:b/>
          <w:color w:val="auto"/>
          <w:szCs w:val="21"/>
          <w:highlight w:val="none"/>
        </w:rPr>
        <w:t>合理化建议</w:t>
      </w:r>
    </w:p>
    <w:p>
      <w:pPr>
        <w:pStyle w:val="32"/>
        <w:numPr>
          <w:ilvl w:val="2"/>
          <w:numId w:val="3"/>
        </w:numPr>
        <w:tabs>
          <w:tab w:val="left" w:pos="1416"/>
        </w:tabs>
        <w:spacing w:before="126" w:after="0" w:line="357" w:lineRule="auto"/>
        <w:ind w:left="424" w:right="464" w:firstLine="439"/>
        <w:rPr>
          <w:color w:val="auto"/>
          <w:szCs w:val="21"/>
          <w:highlight w:val="none"/>
        </w:rPr>
      </w:pPr>
      <w:r>
        <w:rPr>
          <w:color w:val="auto"/>
          <w:spacing w:val="-5"/>
          <w:szCs w:val="21"/>
          <w:highlight w:val="none"/>
        </w:rPr>
        <w:t>合同履行中，监理人可对委托人要求提出合理化建议。合理化建议应以书面形式</w:t>
      </w:r>
      <w:r>
        <w:rPr>
          <w:color w:val="auto"/>
          <w:spacing w:val="-7"/>
          <w:szCs w:val="21"/>
          <w:highlight w:val="none"/>
        </w:rPr>
        <w:t xml:space="preserve">提交委托人，被委托人采纳并构成变更的，执行第 </w:t>
      </w:r>
      <w:r>
        <w:rPr>
          <w:rFonts w:ascii="Times New Roman" w:eastAsia="Times New Roman"/>
          <w:color w:val="auto"/>
          <w:szCs w:val="21"/>
          <w:highlight w:val="none"/>
        </w:rPr>
        <w:t xml:space="preserve">8.1 </w:t>
      </w:r>
      <w:r>
        <w:rPr>
          <w:color w:val="auto"/>
          <w:spacing w:val="-2"/>
          <w:szCs w:val="21"/>
          <w:highlight w:val="none"/>
        </w:rPr>
        <w:t>款约定。</w:t>
      </w:r>
    </w:p>
    <w:p>
      <w:pPr>
        <w:pStyle w:val="32"/>
        <w:numPr>
          <w:ilvl w:val="2"/>
          <w:numId w:val="3"/>
        </w:numPr>
        <w:tabs>
          <w:tab w:val="left" w:pos="1416"/>
        </w:tabs>
        <w:spacing w:after="0" w:line="357" w:lineRule="auto"/>
        <w:ind w:left="424" w:right="463" w:firstLine="439"/>
        <w:rPr>
          <w:color w:val="auto"/>
          <w:szCs w:val="21"/>
          <w:highlight w:val="none"/>
        </w:rPr>
      </w:pPr>
      <w:r>
        <w:rPr>
          <w:color w:val="auto"/>
          <w:spacing w:val="-5"/>
          <w:szCs w:val="21"/>
          <w:highlight w:val="none"/>
        </w:rPr>
        <w:t>监理人提出的合理化建议降低了工程投资、缩短了施工期限或者提高了工程经济</w:t>
      </w:r>
      <w:r>
        <w:rPr>
          <w:color w:val="auto"/>
          <w:spacing w:val="-3"/>
          <w:szCs w:val="21"/>
          <w:highlight w:val="none"/>
        </w:rPr>
        <w:t>效益的，委托人应按专用合同条款中的约定给予奖励。</w:t>
      </w:r>
    </w:p>
    <w:p>
      <w:pPr>
        <w:pStyle w:val="6"/>
        <w:numPr>
          <w:ilvl w:val="0"/>
          <w:numId w:val="3"/>
        </w:numPr>
        <w:tabs>
          <w:tab w:val="left" w:pos="826"/>
        </w:tabs>
        <w:spacing w:before="127" w:after="0" w:line="240" w:lineRule="auto"/>
        <w:ind w:hanging="402"/>
        <w:rPr>
          <w:color w:val="auto"/>
          <w:sz w:val="21"/>
          <w:szCs w:val="21"/>
          <w:highlight w:val="none"/>
        </w:rPr>
      </w:pPr>
      <w:bookmarkStart w:id="64" w:name="_bookmark116"/>
      <w:bookmarkEnd w:id="64"/>
      <w:bookmarkStart w:id="65" w:name="_bookmark115"/>
      <w:bookmarkEnd w:id="65"/>
      <w:r>
        <w:rPr>
          <w:color w:val="auto"/>
          <w:sz w:val="21"/>
          <w:szCs w:val="21"/>
          <w:highlight w:val="none"/>
        </w:rPr>
        <w:t>合同价格与支付</w:t>
      </w:r>
    </w:p>
    <w:p>
      <w:pPr>
        <w:pStyle w:val="9"/>
        <w:spacing w:before="11"/>
        <w:rPr>
          <w:rFonts w:ascii="黑体"/>
          <w:b/>
          <w:color w:val="auto"/>
          <w:sz w:val="21"/>
          <w:szCs w:val="21"/>
          <w:highlight w:val="none"/>
        </w:rPr>
      </w:pPr>
    </w:p>
    <w:p>
      <w:pPr>
        <w:numPr>
          <w:ilvl w:val="1"/>
          <w:numId w:val="3"/>
        </w:numPr>
        <w:tabs>
          <w:tab w:val="left" w:pos="914"/>
        </w:tabs>
        <w:spacing w:before="1"/>
        <w:rPr>
          <w:rFonts w:ascii="黑体" w:eastAsia="黑体"/>
          <w:b/>
          <w:color w:val="auto"/>
          <w:szCs w:val="21"/>
          <w:highlight w:val="none"/>
        </w:rPr>
      </w:pPr>
      <w:r>
        <w:rPr>
          <w:rFonts w:hint="eastAsia" w:ascii="黑体" w:eastAsia="黑体"/>
          <w:b/>
          <w:color w:val="auto"/>
          <w:szCs w:val="21"/>
          <w:highlight w:val="none"/>
        </w:rPr>
        <w:t>合同价格</w:t>
      </w:r>
    </w:p>
    <w:p>
      <w:pPr>
        <w:pStyle w:val="32"/>
        <w:numPr>
          <w:ilvl w:val="2"/>
          <w:numId w:val="3"/>
        </w:numPr>
        <w:tabs>
          <w:tab w:val="left" w:pos="1416"/>
        </w:tabs>
        <w:spacing w:before="123" w:after="0" w:line="240" w:lineRule="auto"/>
        <w:ind w:hanging="553"/>
        <w:rPr>
          <w:color w:val="auto"/>
          <w:szCs w:val="21"/>
          <w:highlight w:val="none"/>
        </w:rPr>
      </w:pPr>
      <w:r>
        <w:rPr>
          <w:color w:val="auto"/>
          <w:spacing w:val="-3"/>
          <w:szCs w:val="21"/>
          <w:highlight w:val="none"/>
        </w:rPr>
        <w:t>本合同的价款确定方式、调整方式和风险范围划分，在专用合同条款中约定。</w:t>
      </w:r>
    </w:p>
    <w:p>
      <w:pPr>
        <w:pStyle w:val="32"/>
        <w:numPr>
          <w:ilvl w:val="2"/>
          <w:numId w:val="3"/>
        </w:numPr>
        <w:tabs>
          <w:tab w:val="left" w:pos="1416"/>
        </w:tabs>
        <w:spacing w:before="138" w:after="0" w:line="357" w:lineRule="auto"/>
        <w:ind w:left="424" w:right="351" w:firstLine="439"/>
        <w:rPr>
          <w:color w:val="auto"/>
          <w:szCs w:val="21"/>
          <w:highlight w:val="none"/>
        </w:rPr>
      </w:pPr>
      <w:r>
        <w:rPr>
          <w:color w:val="auto"/>
          <w:spacing w:val="-10"/>
          <w:szCs w:val="21"/>
          <w:highlight w:val="none"/>
        </w:rPr>
        <w:t>除专用合同条款另有约定外，合同价格应当包括收集资料、踏勘现场、制订纲要、</w:t>
      </w:r>
      <w:r>
        <w:rPr>
          <w:color w:val="auto"/>
          <w:spacing w:val="-7"/>
          <w:szCs w:val="21"/>
          <w:highlight w:val="none"/>
        </w:rPr>
        <w:t>实施监理、编制监理文件等全部费用和国家规定的增值税税金。</w:t>
      </w:r>
    </w:p>
    <w:p>
      <w:pPr>
        <w:pStyle w:val="32"/>
        <w:numPr>
          <w:ilvl w:val="2"/>
          <w:numId w:val="3"/>
        </w:numPr>
        <w:tabs>
          <w:tab w:val="left" w:pos="1416"/>
        </w:tabs>
        <w:spacing w:after="0" w:line="357" w:lineRule="auto"/>
        <w:ind w:left="424" w:right="464" w:firstLine="439"/>
        <w:rPr>
          <w:color w:val="auto"/>
          <w:szCs w:val="21"/>
          <w:highlight w:val="none"/>
        </w:rPr>
      </w:pPr>
      <w:r>
        <w:rPr>
          <w:color w:val="auto"/>
          <w:spacing w:val="-5"/>
          <w:szCs w:val="21"/>
          <w:highlight w:val="none"/>
        </w:rPr>
        <w:t>委托人要求监理人进行外出考察、试验检测、专项咨询或专家评审时，相应费用</w:t>
      </w:r>
      <w:r>
        <w:rPr>
          <w:color w:val="auto"/>
          <w:spacing w:val="-4"/>
          <w:szCs w:val="21"/>
          <w:highlight w:val="none"/>
        </w:rPr>
        <w:t>不含在合同价格之中，由委托人另行支付。</w:t>
      </w:r>
    </w:p>
    <w:p>
      <w:pPr>
        <w:numPr>
          <w:ilvl w:val="1"/>
          <w:numId w:val="3"/>
        </w:numPr>
        <w:tabs>
          <w:tab w:val="left" w:pos="914"/>
        </w:tabs>
        <w:spacing w:line="316" w:lineRule="exact"/>
        <w:rPr>
          <w:rFonts w:ascii="黑体" w:eastAsia="黑体"/>
          <w:b/>
          <w:color w:val="auto"/>
          <w:szCs w:val="21"/>
          <w:highlight w:val="none"/>
        </w:rPr>
      </w:pPr>
      <w:r>
        <w:rPr>
          <w:rFonts w:hint="eastAsia" w:ascii="黑体" w:eastAsia="黑体"/>
          <w:b/>
          <w:color w:val="auto"/>
          <w:szCs w:val="21"/>
          <w:highlight w:val="none"/>
        </w:rPr>
        <w:t>预付款</w:t>
      </w:r>
    </w:p>
    <w:p>
      <w:pPr>
        <w:pStyle w:val="32"/>
        <w:numPr>
          <w:ilvl w:val="2"/>
          <w:numId w:val="3"/>
        </w:numPr>
        <w:tabs>
          <w:tab w:val="left" w:pos="1402"/>
        </w:tabs>
        <w:spacing w:before="124" w:after="0" w:line="357" w:lineRule="auto"/>
        <w:ind w:left="424" w:right="462" w:firstLine="439"/>
        <w:rPr>
          <w:color w:val="auto"/>
          <w:szCs w:val="21"/>
          <w:highlight w:val="none"/>
        </w:rPr>
      </w:pPr>
      <w:r>
        <w:rPr>
          <w:color w:val="auto"/>
          <w:spacing w:val="-4"/>
          <w:szCs w:val="21"/>
          <w:highlight w:val="none"/>
        </w:rPr>
        <w:t>预付款应专用于本工程的监理。预付款的额度、支付方式及抵扣方式在专用合同</w:t>
      </w:r>
      <w:r>
        <w:rPr>
          <w:color w:val="auto"/>
          <w:spacing w:val="-1"/>
          <w:szCs w:val="21"/>
          <w:highlight w:val="none"/>
        </w:rPr>
        <w:t>条款中约定。</w:t>
      </w:r>
    </w:p>
    <w:p>
      <w:pPr>
        <w:pStyle w:val="32"/>
        <w:numPr>
          <w:ilvl w:val="2"/>
          <w:numId w:val="3"/>
        </w:numPr>
        <w:tabs>
          <w:tab w:val="left" w:pos="1416"/>
        </w:tabs>
        <w:spacing w:after="0" w:line="357" w:lineRule="auto"/>
        <w:ind w:left="424" w:right="463" w:firstLine="439"/>
        <w:rPr>
          <w:color w:val="auto"/>
          <w:szCs w:val="21"/>
          <w:highlight w:val="none"/>
        </w:rPr>
      </w:pPr>
      <w:r>
        <w:rPr>
          <w:color w:val="auto"/>
          <w:spacing w:val="-3"/>
          <w:szCs w:val="21"/>
          <w:highlight w:val="none"/>
        </w:rPr>
        <w:t xml:space="preserve">委托人应在收到预付款支付申请后 </w:t>
      </w:r>
      <w:r>
        <w:rPr>
          <w:rFonts w:ascii="Times New Roman" w:eastAsia="Times New Roman"/>
          <w:color w:val="auto"/>
          <w:szCs w:val="21"/>
          <w:highlight w:val="none"/>
        </w:rPr>
        <w:t>28</w:t>
      </w:r>
      <w:r>
        <w:rPr>
          <w:rFonts w:ascii="Times New Roman" w:eastAsia="Times New Roman"/>
          <w:color w:val="auto"/>
          <w:spacing w:val="4"/>
          <w:szCs w:val="21"/>
          <w:highlight w:val="none"/>
        </w:rPr>
        <w:t xml:space="preserve"> </w:t>
      </w:r>
      <w:r>
        <w:rPr>
          <w:color w:val="auto"/>
          <w:spacing w:val="-3"/>
          <w:szCs w:val="21"/>
          <w:highlight w:val="none"/>
        </w:rPr>
        <w:t>天内，将预付款支付给监理人；监理人应当提供等额的增值税发票。</w:t>
      </w:r>
    </w:p>
    <w:p>
      <w:pPr>
        <w:numPr>
          <w:ilvl w:val="1"/>
          <w:numId w:val="3"/>
        </w:numPr>
        <w:tabs>
          <w:tab w:val="left" w:pos="914"/>
        </w:tabs>
        <w:spacing w:line="316" w:lineRule="exact"/>
        <w:rPr>
          <w:rFonts w:ascii="黑体" w:eastAsia="黑体"/>
          <w:b/>
          <w:color w:val="auto"/>
          <w:szCs w:val="21"/>
          <w:highlight w:val="none"/>
        </w:rPr>
      </w:pPr>
      <w:r>
        <w:rPr>
          <w:rFonts w:hint="eastAsia" w:ascii="黑体" w:eastAsia="黑体"/>
          <w:b/>
          <w:color w:val="auto"/>
          <w:szCs w:val="21"/>
          <w:highlight w:val="none"/>
        </w:rPr>
        <w:t>中期支付</w:t>
      </w:r>
    </w:p>
    <w:p>
      <w:pPr>
        <w:pStyle w:val="32"/>
        <w:numPr>
          <w:ilvl w:val="2"/>
          <w:numId w:val="3"/>
        </w:numPr>
        <w:tabs>
          <w:tab w:val="left" w:pos="1416"/>
        </w:tabs>
        <w:spacing w:before="126" w:after="0" w:line="357" w:lineRule="auto"/>
        <w:ind w:left="424" w:right="464" w:firstLine="439"/>
        <w:jc w:val="both"/>
        <w:rPr>
          <w:color w:val="auto"/>
          <w:szCs w:val="21"/>
          <w:highlight w:val="none"/>
        </w:rPr>
      </w:pPr>
      <w:r>
        <w:rPr>
          <w:color w:val="auto"/>
          <w:spacing w:val="-4"/>
          <w:szCs w:val="21"/>
          <w:highlight w:val="none"/>
        </w:rPr>
        <w:t>监理人应按委托人批准或专用合同条款约定的格式及份数，向委托人提交中期支付申请，并附相应的支持性证明文件。</w:t>
      </w:r>
    </w:p>
    <w:p>
      <w:pPr>
        <w:pStyle w:val="32"/>
        <w:numPr>
          <w:ilvl w:val="2"/>
          <w:numId w:val="3"/>
        </w:numPr>
        <w:tabs>
          <w:tab w:val="left" w:pos="1416"/>
        </w:tabs>
        <w:spacing w:before="1" w:after="0" w:line="357" w:lineRule="auto"/>
        <w:ind w:left="424" w:right="352" w:firstLine="439"/>
        <w:jc w:val="both"/>
        <w:rPr>
          <w:color w:val="auto"/>
          <w:szCs w:val="21"/>
          <w:highlight w:val="none"/>
        </w:rPr>
      </w:pPr>
      <w:r>
        <w:rPr>
          <w:color w:val="auto"/>
          <w:spacing w:val="-3"/>
          <w:szCs w:val="21"/>
          <w:highlight w:val="none"/>
        </w:rPr>
        <w:t xml:space="preserve">委托人应在收到中期支付申请后的 </w:t>
      </w:r>
      <w:r>
        <w:rPr>
          <w:rFonts w:ascii="Times New Roman" w:eastAsia="Times New Roman"/>
          <w:color w:val="auto"/>
          <w:szCs w:val="21"/>
          <w:highlight w:val="none"/>
        </w:rPr>
        <w:t>28</w:t>
      </w:r>
      <w:r>
        <w:rPr>
          <w:rFonts w:ascii="Times New Roman" w:eastAsia="Times New Roman"/>
          <w:color w:val="auto"/>
          <w:spacing w:val="54"/>
          <w:szCs w:val="21"/>
          <w:highlight w:val="none"/>
        </w:rPr>
        <w:t xml:space="preserve"> </w:t>
      </w:r>
      <w:r>
        <w:rPr>
          <w:color w:val="auto"/>
          <w:spacing w:val="-3"/>
          <w:szCs w:val="21"/>
          <w:highlight w:val="none"/>
        </w:rPr>
        <w:t>天内，将应付款项支付给监理人；监理人应当提供等额的增值税发票。委托人未能在前述时间内完成审批或不予答复的，视为委托</w:t>
      </w:r>
      <w:r>
        <w:rPr>
          <w:color w:val="auto"/>
          <w:spacing w:val="-5"/>
          <w:szCs w:val="21"/>
          <w:highlight w:val="none"/>
        </w:rPr>
        <w:t>人同意中期支付申请。委托人不按期支付的，按专用合同条款的约定支付逾期付款违约金。</w:t>
      </w:r>
    </w:p>
    <w:p>
      <w:pPr>
        <w:pStyle w:val="32"/>
        <w:numPr>
          <w:ilvl w:val="2"/>
          <w:numId w:val="3"/>
        </w:numPr>
        <w:tabs>
          <w:tab w:val="left" w:pos="1416"/>
        </w:tabs>
        <w:spacing w:after="0" w:line="357" w:lineRule="auto"/>
        <w:ind w:left="424" w:right="464" w:firstLine="439"/>
        <w:jc w:val="both"/>
        <w:rPr>
          <w:color w:val="auto"/>
          <w:szCs w:val="21"/>
          <w:highlight w:val="none"/>
        </w:rPr>
      </w:pPr>
      <w:r>
        <w:rPr>
          <w:color w:val="auto"/>
          <w:spacing w:val="-5"/>
          <w:szCs w:val="21"/>
          <w:highlight w:val="none"/>
        </w:rPr>
        <w:t>中期支付涉及政府投资资金的，按照国库集中支付等国家相关规定和专用合同条</w:t>
      </w:r>
      <w:r>
        <w:rPr>
          <w:color w:val="auto"/>
          <w:spacing w:val="-1"/>
          <w:szCs w:val="21"/>
          <w:highlight w:val="none"/>
        </w:rPr>
        <w:t>款的约定执行。</w:t>
      </w:r>
    </w:p>
    <w:p>
      <w:pPr>
        <w:numPr>
          <w:ilvl w:val="1"/>
          <w:numId w:val="3"/>
        </w:numPr>
        <w:tabs>
          <w:tab w:val="left" w:pos="914"/>
        </w:tabs>
        <w:spacing w:line="316" w:lineRule="exact"/>
        <w:rPr>
          <w:rFonts w:ascii="黑体" w:eastAsia="黑体"/>
          <w:b/>
          <w:color w:val="auto"/>
          <w:szCs w:val="21"/>
          <w:highlight w:val="none"/>
        </w:rPr>
      </w:pPr>
      <w:r>
        <w:rPr>
          <w:rFonts w:hint="eastAsia" w:ascii="黑体" w:eastAsia="黑体"/>
          <w:b/>
          <w:color w:val="auto"/>
          <w:szCs w:val="21"/>
          <w:highlight w:val="none"/>
        </w:rPr>
        <w:t>费用结算</w:t>
      </w:r>
    </w:p>
    <w:p>
      <w:pPr>
        <w:pStyle w:val="32"/>
        <w:numPr>
          <w:ilvl w:val="2"/>
          <w:numId w:val="3"/>
        </w:numPr>
        <w:tabs>
          <w:tab w:val="left" w:pos="1416"/>
        </w:tabs>
        <w:spacing w:before="124" w:after="0" w:line="357" w:lineRule="auto"/>
        <w:ind w:left="424" w:right="464" w:firstLine="439"/>
        <w:jc w:val="both"/>
        <w:rPr>
          <w:color w:val="auto"/>
          <w:szCs w:val="21"/>
          <w:highlight w:val="none"/>
        </w:rPr>
      </w:pPr>
      <w:r>
        <w:rPr>
          <w:color w:val="auto"/>
          <w:spacing w:val="-5"/>
          <w:szCs w:val="21"/>
          <w:highlight w:val="none"/>
        </w:rPr>
        <w:t>合同工作完成后，监理人可按专用合同条款约定的份数和期限，向委托人提交监</w:t>
      </w:r>
      <w:r>
        <w:rPr>
          <w:color w:val="auto"/>
          <w:spacing w:val="-4"/>
          <w:szCs w:val="21"/>
          <w:highlight w:val="none"/>
        </w:rPr>
        <w:t>理费用结算申请，并提供相关证明材料。</w:t>
      </w:r>
    </w:p>
    <w:p>
      <w:pPr>
        <w:pStyle w:val="32"/>
        <w:numPr>
          <w:ilvl w:val="2"/>
          <w:numId w:val="3"/>
        </w:numPr>
        <w:tabs>
          <w:tab w:val="left" w:pos="1416"/>
        </w:tabs>
        <w:spacing w:after="0" w:line="357" w:lineRule="auto"/>
        <w:ind w:left="424" w:right="353" w:firstLine="439"/>
        <w:jc w:val="both"/>
        <w:rPr>
          <w:color w:val="auto"/>
          <w:szCs w:val="21"/>
          <w:highlight w:val="none"/>
        </w:rPr>
      </w:pPr>
      <w:r>
        <w:rPr>
          <w:color w:val="auto"/>
          <w:spacing w:val="-3"/>
          <w:szCs w:val="21"/>
          <w:highlight w:val="none"/>
        </w:rPr>
        <w:t xml:space="preserve">委托人应在收到费用结算申请后的 </w:t>
      </w:r>
      <w:r>
        <w:rPr>
          <w:rFonts w:ascii="Times New Roman" w:eastAsia="Times New Roman"/>
          <w:color w:val="auto"/>
          <w:szCs w:val="21"/>
          <w:highlight w:val="none"/>
        </w:rPr>
        <w:t>28</w:t>
      </w:r>
      <w:r>
        <w:rPr>
          <w:rFonts w:ascii="Times New Roman" w:eastAsia="Times New Roman"/>
          <w:color w:val="auto"/>
          <w:spacing w:val="54"/>
          <w:szCs w:val="21"/>
          <w:highlight w:val="none"/>
        </w:rPr>
        <w:t xml:space="preserve"> </w:t>
      </w:r>
      <w:r>
        <w:rPr>
          <w:color w:val="auto"/>
          <w:spacing w:val="-3"/>
          <w:szCs w:val="21"/>
          <w:highlight w:val="none"/>
        </w:rPr>
        <w:t>天内，将应付款项支付给监理人；监理人应当提供等额的增值税发票。委托人未能在前述时间内完成审批或不予答复的，视为委托</w:t>
      </w:r>
      <w:r>
        <w:rPr>
          <w:color w:val="auto"/>
          <w:spacing w:val="-5"/>
          <w:szCs w:val="21"/>
          <w:highlight w:val="none"/>
        </w:rPr>
        <w:t>人同意费用结算申请。委托人不按期支付的，按专用合同条款的约定支付逾期付款违约金。</w:t>
      </w:r>
    </w:p>
    <w:p>
      <w:pPr>
        <w:pStyle w:val="32"/>
        <w:numPr>
          <w:ilvl w:val="2"/>
          <w:numId w:val="3"/>
        </w:numPr>
        <w:tabs>
          <w:tab w:val="left" w:pos="1421"/>
        </w:tabs>
        <w:spacing w:after="0" w:line="357" w:lineRule="auto"/>
        <w:ind w:left="424" w:right="466" w:firstLine="439"/>
        <w:jc w:val="both"/>
        <w:rPr>
          <w:color w:val="auto"/>
          <w:szCs w:val="21"/>
          <w:highlight w:val="none"/>
        </w:rPr>
      </w:pPr>
      <w:r>
        <w:rPr>
          <w:color w:val="auto"/>
          <w:spacing w:val="3"/>
          <w:szCs w:val="21"/>
          <w:highlight w:val="none"/>
        </w:rPr>
        <w:t>委托人对费用结算申请内容有异议的，有权要求监理人进行修正和提供补充资</w:t>
      </w:r>
      <w:r>
        <w:rPr>
          <w:color w:val="auto"/>
          <w:spacing w:val="-6"/>
          <w:szCs w:val="21"/>
          <w:highlight w:val="none"/>
        </w:rPr>
        <w:t xml:space="preserve">料，由监理人重新提交。监理人对此有异议的，按第 </w:t>
      </w:r>
      <w:r>
        <w:rPr>
          <w:rFonts w:ascii="Times New Roman" w:eastAsia="Times New Roman"/>
          <w:color w:val="auto"/>
          <w:szCs w:val="21"/>
          <w:highlight w:val="none"/>
        </w:rPr>
        <w:t>12</w:t>
      </w:r>
      <w:r>
        <w:rPr>
          <w:rFonts w:ascii="Times New Roman" w:eastAsia="Times New Roman"/>
          <w:color w:val="auto"/>
          <w:spacing w:val="1"/>
          <w:szCs w:val="21"/>
          <w:highlight w:val="none"/>
        </w:rPr>
        <w:t xml:space="preserve"> </w:t>
      </w:r>
      <w:r>
        <w:rPr>
          <w:color w:val="auto"/>
          <w:spacing w:val="-3"/>
          <w:szCs w:val="21"/>
          <w:highlight w:val="none"/>
        </w:rPr>
        <w:t>条的约定执行。</w:t>
      </w:r>
    </w:p>
    <w:p>
      <w:pPr>
        <w:pStyle w:val="32"/>
        <w:numPr>
          <w:ilvl w:val="2"/>
          <w:numId w:val="3"/>
        </w:numPr>
        <w:tabs>
          <w:tab w:val="left" w:pos="1416"/>
        </w:tabs>
        <w:spacing w:after="0" w:line="240" w:lineRule="auto"/>
        <w:ind w:hanging="553"/>
        <w:jc w:val="both"/>
        <w:rPr>
          <w:color w:val="auto"/>
          <w:szCs w:val="21"/>
          <w:highlight w:val="none"/>
        </w:rPr>
      </w:pPr>
      <w:r>
        <w:rPr>
          <w:color w:val="auto"/>
          <w:spacing w:val="-6"/>
          <w:szCs w:val="21"/>
          <w:highlight w:val="none"/>
        </w:rPr>
        <w:t xml:space="preserve">最终结清付款涉及政府投资资金的，按第 </w:t>
      </w:r>
      <w:r>
        <w:rPr>
          <w:rFonts w:ascii="Times New Roman" w:eastAsia="Times New Roman"/>
          <w:color w:val="auto"/>
          <w:szCs w:val="21"/>
          <w:highlight w:val="none"/>
        </w:rPr>
        <w:t xml:space="preserve">9.3.3 </w:t>
      </w:r>
      <w:r>
        <w:rPr>
          <w:color w:val="auto"/>
          <w:spacing w:val="-2"/>
          <w:szCs w:val="21"/>
          <w:highlight w:val="none"/>
        </w:rPr>
        <w:t>项的约定执行。</w:t>
      </w:r>
    </w:p>
    <w:p>
      <w:pPr>
        <w:pStyle w:val="6"/>
        <w:numPr>
          <w:ilvl w:val="0"/>
          <w:numId w:val="3"/>
        </w:numPr>
        <w:tabs>
          <w:tab w:val="left" w:pos="984"/>
        </w:tabs>
        <w:spacing w:before="65" w:after="0" w:line="240" w:lineRule="auto"/>
        <w:ind w:left="983" w:hanging="560"/>
        <w:rPr>
          <w:color w:val="auto"/>
          <w:sz w:val="21"/>
          <w:szCs w:val="21"/>
          <w:highlight w:val="none"/>
        </w:rPr>
      </w:pPr>
      <w:r>
        <w:rPr>
          <w:color w:val="auto"/>
          <w:sz w:val="21"/>
          <w:szCs w:val="21"/>
          <w:highlight w:val="none"/>
        </w:rPr>
        <w:t>不可抗力</w:t>
      </w:r>
    </w:p>
    <w:p>
      <w:pPr>
        <w:pStyle w:val="9"/>
        <w:spacing w:before="11"/>
        <w:rPr>
          <w:rFonts w:ascii="黑体"/>
          <w:b/>
          <w:color w:val="auto"/>
          <w:sz w:val="21"/>
          <w:szCs w:val="21"/>
          <w:highlight w:val="none"/>
        </w:rPr>
      </w:pPr>
    </w:p>
    <w:p>
      <w:pPr>
        <w:numPr>
          <w:ilvl w:val="1"/>
          <w:numId w:val="3"/>
        </w:numPr>
        <w:tabs>
          <w:tab w:val="left" w:pos="1054"/>
        </w:tabs>
        <w:ind w:left="1053" w:hanging="630"/>
        <w:rPr>
          <w:rFonts w:ascii="黑体" w:eastAsia="黑体"/>
          <w:b/>
          <w:color w:val="auto"/>
          <w:szCs w:val="21"/>
          <w:highlight w:val="none"/>
        </w:rPr>
      </w:pPr>
      <w:r>
        <w:rPr>
          <w:rFonts w:hint="eastAsia" w:ascii="黑体" w:eastAsia="黑体"/>
          <w:b/>
          <w:color w:val="auto"/>
          <w:szCs w:val="21"/>
          <w:highlight w:val="none"/>
        </w:rPr>
        <w:t>不可抗力的确认</w:t>
      </w:r>
    </w:p>
    <w:p>
      <w:pPr>
        <w:pStyle w:val="32"/>
        <w:numPr>
          <w:ilvl w:val="2"/>
          <w:numId w:val="3"/>
        </w:numPr>
        <w:tabs>
          <w:tab w:val="left" w:pos="1529"/>
        </w:tabs>
        <w:spacing w:before="124" w:after="0" w:line="357" w:lineRule="auto"/>
        <w:ind w:left="424" w:right="466" w:firstLine="439"/>
        <w:jc w:val="both"/>
        <w:rPr>
          <w:color w:val="auto"/>
          <w:szCs w:val="21"/>
          <w:highlight w:val="none"/>
        </w:rPr>
      </w:pPr>
      <w:r>
        <w:rPr>
          <w:color w:val="auto"/>
          <w:szCs w:val="21"/>
          <w:highlight w:val="none"/>
        </w:rPr>
        <w:t>不可抗力是指监理人和委托人在订立合同时不可预见，在履行合同过程中不可</w:t>
      </w:r>
      <w:r>
        <w:rPr>
          <w:color w:val="auto"/>
          <w:spacing w:val="-1"/>
          <w:szCs w:val="21"/>
          <w:highlight w:val="none"/>
        </w:rPr>
        <w:t>避免发生并不能克服的自然灾害和社会性突发事件，如地震、海啸、瘟疫、水灾、骚乱、</w:t>
      </w:r>
      <w:r>
        <w:rPr>
          <w:color w:val="auto"/>
          <w:spacing w:val="-3"/>
          <w:szCs w:val="21"/>
          <w:highlight w:val="none"/>
        </w:rPr>
        <w:t>暴动、战争和专用合同条款约定的其他情形。</w:t>
      </w:r>
    </w:p>
    <w:p>
      <w:pPr>
        <w:pStyle w:val="32"/>
        <w:numPr>
          <w:ilvl w:val="2"/>
          <w:numId w:val="3"/>
        </w:numPr>
        <w:tabs>
          <w:tab w:val="left" w:pos="1529"/>
        </w:tabs>
        <w:spacing w:after="0" w:line="357" w:lineRule="auto"/>
        <w:ind w:left="424" w:right="460" w:firstLine="439"/>
        <w:jc w:val="both"/>
        <w:rPr>
          <w:color w:val="auto"/>
          <w:szCs w:val="21"/>
          <w:highlight w:val="none"/>
        </w:rPr>
      </w:pPr>
      <w:r>
        <w:rPr>
          <w:color w:val="auto"/>
          <w:szCs w:val="21"/>
          <w:highlight w:val="none"/>
        </w:rPr>
        <w:t>不可抗力发生后，委托人和监理人应及时认真统计所造成的损失，收集不可抗力造成损失的证据。合同双方对是否属于不可抗力或其损失的意见不一致的，由合同双方</w:t>
      </w:r>
      <w:r>
        <w:rPr>
          <w:color w:val="auto"/>
          <w:spacing w:val="-1"/>
          <w:szCs w:val="21"/>
          <w:highlight w:val="none"/>
        </w:rPr>
        <w:t>协商确定。</w:t>
      </w:r>
    </w:p>
    <w:p>
      <w:pPr>
        <w:numPr>
          <w:ilvl w:val="1"/>
          <w:numId w:val="3"/>
        </w:numPr>
        <w:tabs>
          <w:tab w:val="left" w:pos="1054"/>
        </w:tabs>
        <w:spacing w:line="316" w:lineRule="exact"/>
        <w:ind w:left="1053" w:hanging="630"/>
        <w:rPr>
          <w:rFonts w:ascii="黑体" w:eastAsia="黑体"/>
          <w:b/>
          <w:color w:val="auto"/>
          <w:szCs w:val="21"/>
          <w:highlight w:val="none"/>
        </w:rPr>
      </w:pPr>
      <w:r>
        <w:rPr>
          <w:rFonts w:hint="eastAsia" w:ascii="黑体" w:eastAsia="黑体"/>
          <w:b/>
          <w:color w:val="auto"/>
          <w:szCs w:val="21"/>
          <w:highlight w:val="none"/>
        </w:rPr>
        <w:t>不可抗力的通知</w:t>
      </w:r>
    </w:p>
    <w:p>
      <w:pPr>
        <w:pStyle w:val="32"/>
        <w:numPr>
          <w:ilvl w:val="2"/>
          <w:numId w:val="3"/>
        </w:numPr>
        <w:tabs>
          <w:tab w:val="left" w:pos="1529"/>
        </w:tabs>
        <w:spacing w:before="123" w:after="0" w:line="357" w:lineRule="auto"/>
        <w:ind w:left="424" w:right="469" w:firstLine="439"/>
        <w:jc w:val="both"/>
        <w:rPr>
          <w:color w:val="auto"/>
          <w:szCs w:val="21"/>
          <w:highlight w:val="none"/>
        </w:rPr>
      </w:pPr>
      <w:r>
        <w:rPr>
          <w:color w:val="auto"/>
          <w:spacing w:val="-1"/>
          <w:szCs w:val="21"/>
          <w:highlight w:val="none"/>
        </w:rPr>
        <w:t>合同一方当事人遇到不可抗力事件，使其履行合同义务受到阻碍时，应立即通</w:t>
      </w:r>
      <w:r>
        <w:rPr>
          <w:color w:val="auto"/>
          <w:spacing w:val="-3"/>
          <w:szCs w:val="21"/>
          <w:highlight w:val="none"/>
        </w:rPr>
        <w:t>知合同另一方当事人，书面说明不可抗力和受阻碍的详细情况，并提供必要的证明。</w:t>
      </w:r>
    </w:p>
    <w:p>
      <w:pPr>
        <w:pStyle w:val="32"/>
        <w:numPr>
          <w:ilvl w:val="2"/>
          <w:numId w:val="3"/>
        </w:numPr>
        <w:tabs>
          <w:tab w:val="left" w:pos="1529"/>
        </w:tabs>
        <w:spacing w:after="0" w:line="357" w:lineRule="auto"/>
        <w:ind w:left="424" w:right="460" w:firstLine="439"/>
        <w:jc w:val="both"/>
        <w:rPr>
          <w:color w:val="auto"/>
          <w:szCs w:val="21"/>
          <w:highlight w:val="none"/>
        </w:rPr>
      </w:pPr>
      <w:r>
        <w:rPr>
          <w:color w:val="auto"/>
          <w:szCs w:val="21"/>
          <w:highlight w:val="none"/>
        </w:rPr>
        <w:t>如不可抗力持续发生，合同一方当事人应及时向合同另一方当事人提交中间报</w:t>
      </w:r>
      <w:r>
        <w:rPr>
          <w:color w:val="auto"/>
          <w:spacing w:val="-6"/>
          <w:szCs w:val="21"/>
          <w:highlight w:val="none"/>
        </w:rPr>
        <w:t xml:space="preserve">告，说明不可抗力和履行合同受阻的情况，并于不可抗力事件结束后 </w:t>
      </w:r>
      <w:r>
        <w:rPr>
          <w:rFonts w:ascii="Times New Roman" w:eastAsia="Times New Roman"/>
          <w:color w:val="auto"/>
          <w:szCs w:val="21"/>
          <w:highlight w:val="none"/>
        </w:rPr>
        <w:t>28</w:t>
      </w:r>
      <w:r>
        <w:rPr>
          <w:rFonts w:ascii="Times New Roman" w:eastAsia="Times New Roman"/>
          <w:color w:val="auto"/>
          <w:spacing w:val="14"/>
          <w:szCs w:val="21"/>
          <w:highlight w:val="none"/>
        </w:rPr>
        <w:t xml:space="preserve"> </w:t>
      </w:r>
      <w:r>
        <w:rPr>
          <w:color w:val="auto"/>
          <w:spacing w:val="-3"/>
          <w:szCs w:val="21"/>
          <w:highlight w:val="none"/>
        </w:rPr>
        <w:t>天内提交最终报告及有关资料。</w:t>
      </w:r>
    </w:p>
    <w:p>
      <w:pPr>
        <w:numPr>
          <w:ilvl w:val="1"/>
          <w:numId w:val="3"/>
        </w:numPr>
        <w:tabs>
          <w:tab w:val="left" w:pos="1054"/>
        </w:tabs>
        <w:spacing w:line="316" w:lineRule="exact"/>
        <w:ind w:left="1053" w:hanging="630"/>
        <w:rPr>
          <w:rFonts w:ascii="黑体" w:eastAsia="黑体"/>
          <w:b/>
          <w:color w:val="auto"/>
          <w:szCs w:val="21"/>
          <w:highlight w:val="none"/>
        </w:rPr>
      </w:pPr>
      <w:r>
        <w:rPr>
          <w:rFonts w:hint="eastAsia" w:ascii="黑体" w:eastAsia="黑体"/>
          <w:b/>
          <w:color w:val="auto"/>
          <w:szCs w:val="21"/>
          <w:highlight w:val="none"/>
        </w:rPr>
        <w:t>不可抗力后果及其处理</w:t>
      </w:r>
    </w:p>
    <w:p>
      <w:pPr>
        <w:pStyle w:val="32"/>
        <w:numPr>
          <w:ilvl w:val="2"/>
          <w:numId w:val="3"/>
        </w:numPr>
        <w:tabs>
          <w:tab w:val="left" w:pos="1529"/>
        </w:tabs>
        <w:spacing w:before="126" w:after="0" w:line="357" w:lineRule="auto"/>
        <w:ind w:left="424" w:right="469" w:firstLine="439"/>
        <w:rPr>
          <w:color w:val="auto"/>
          <w:szCs w:val="21"/>
          <w:highlight w:val="none"/>
        </w:rPr>
      </w:pPr>
      <w:r>
        <w:rPr>
          <w:color w:val="auto"/>
          <w:spacing w:val="-1"/>
          <w:szCs w:val="21"/>
          <w:highlight w:val="none"/>
        </w:rPr>
        <w:t>不可抗力引起的后果及其损失，应由合同当事人依据法律规定各自承担。不可</w:t>
      </w:r>
      <w:r>
        <w:rPr>
          <w:color w:val="auto"/>
          <w:spacing w:val="-3"/>
          <w:szCs w:val="21"/>
          <w:highlight w:val="none"/>
        </w:rPr>
        <w:t>抗力发生前已完成的监理工作，应当按照合同约定进行支付。</w:t>
      </w:r>
    </w:p>
    <w:p>
      <w:pPr>
        <w:pStyle w:val="32"/>
        <w:numPr>
          <w:ilvl w:val="2"/>
          <w:numId w:val="3"/>
        </w:numPr>
        <w:tabs>
          <w:tab w:val="left" w:pos="1529"/>
        </w:tabs>
        <w:spacing w:after="0" w:line="357" w:lineRule="auto"/>
        <w:ind w:left="424" w:right="469" w:firstLine="439"/>
        <w:rPr>
          <w:color w:val="auto"/>
          <w:szCs w:val="21"/>
          <w:highlight w:val="none"/>
        </w:rPr>
      </w:pPr>
      <w:r>
        <w:rPr>
          <w:color w:val="auto"/>
          <w:spacing w:val="-1"/>
          <w:szCs w:val="21"/>
          <w:highlight w:val="none"/>
        </w:rPr>
        <w:t>不可抗力发生后，合同当事人应当采取有效措施避免损失进一步扩大，如未采</w:t>
      </w:r>
      <w:r>
        <w:rPr>
          <w:color w:val="auto"/>
          <w:spacing w:val="-3"/>
          <w:szCs w:val="21"/>
          <w:highlight w:val="none"/>
        </w:rPr>
        <w:t>取有效措施致使损失扩大的，应当自行承担扩大部分的损失。</w:t>
      </w:r>
    </w:p>
    <w:p>
      <w:pPr>
        <w:pStyle w:val="32"/>
        <w:numPr>
          <w:ilvl w:val="2"/>
          <w:numId w:val="3"/>
        </w:numPr>
        <w:tabs>
          <w:tab w:val="left" w:pos="1529"/>
        </w:tabs>
        <w:spacing w:after="0" w:line="357" w:lineRule="auto"/>
        <w:ind w:left="424" w:right="469" w:firstLine="439"/>
        <w:rPr>
          <w:color w:val="auto"/>
          <w:szCs w:val="21"/>
          <w:highlight w:val="none"/>
        </w:rPr>
      </w:pPr>
      <w:r>
        <w:rPr>
          <w:color w:val="auto"/>
          <w:spacing w:val="-1"/>
          <w:szCs w:val="21"/>
          <w:highlight w:val="none"/>
        </w:rPr>
        <w:t>因一方当事人迟延履行合同义务，致使迟延履行期间遭遇不可抗力的，应由该</w:t>
      </w:r>
      <w:r>
        <w:rPr>
          <w:color w:val="auto"/>
          <w:spacing w:val="-2"/>
          <w:szCs w:val="21"/>
          <w:highlight w:val="none"/>
        </w:rPr>
        <w:t>当事人承担全部损失。</w:t>
      </w:r>
    </w:p>
    <w:p>
      <w:pPr>
        <w:pStyle w:val="6"/>
        <w:numPr>
          <w:ilvl w:val="0"/>
          <w:numId w:val="3"/>
        </w:numPr>
        <w:tabs>
          <w:tab w:val="left" w:pos="967"/>
        </w:tabs>
        <w:spacing w:before="124" w:after="0" w:line="240" w:lineRule="auto"/>
        <w:ind w:left="966" w:hanging="543"/>
        <w:rPr>
          <w:color w:val="auto"/>
          <w:sz w:val="21"/>
          <w:szCs w:val="21"/>
          <w:highlight w:val="none"/>
        </w:rPr>
      </w:pPr>
      <w:bookmarkStart w:id="66" w:name="_bookmark117"/>
      <w:bookmarkEnd w:id="66"/>
      <w:r>
        <w:rPr>
          <w:color w:val="auto"/>
          <w:sz w:val="21"/>
          <w:szCs w:val="21"/>
          <w:highlight w:val="none"/>
        </w:rPr>
        <w:t>违约</w:t>
      </w:r>
    </w:p>
    <w:p>
      <w:pPr>
        <w:pStyle w:val="9"/>
        <w:spacing w:before="9"/>
        <w:rPr>
          <w:rFonts w:ascii="黑体"/>
          <w:b/>
          <w:color w:val="auto"/>
          <w:sz w:val="21"/>
          <w:szCs w:val="21"/>
          <w:highlight w:val="none"/>
        </w:rPr>
      </w:pPr>
    </w:p>
    <w:p>
      <w:pPr>
        <w:numPr>
          <w:ilvl w:val="1"/>
          <w:numId w:val="3"/>
        </w:numPr>
        <w:tabs>
          <w:tab w:val="left" w:pos="1054"/>
        </w:tabs>
        <w:ind w:left="1053" w:hanging="630"/>
        <w:rPr>
          <w:rFonts w:ascii="黑体" w:eastAsia="黑体"/>
          <w:b/>
          <w:color w:val="auto"/>
          <w:szCs w:val="21"/>
          <w:highlight w:val="none"/>
        </w:rPr>
      </w:pPr>
      <w:r>
        <w:rPr>
          <w:rFonts w:hint="eastAsia" w:ascii="黑体" w:eastAsia="黑体"/>
          <w:b/>
          <w:color w:val="auto"/>
          <w:szCs w:val="21"/>
          <w:highlight w:val="none"/>
        </w:rPr>
        <w:t>监理人违约</w:t>
      </w:r>
    </w:p>
    <w:p>
      <w:pPr>
        <w:pStyle w:val="32"/>
        <w:numPr>
          <w:ilvl w:val="2"/>
          <w:numId w:val="3"/>
        </w:numPr>
        <w:tabs>
          <w:tab w:val="left" w:pos="1462"/>
        </w:tabs>
        <w:spacing w:before="126" w:after="0" w:line="240" w:lineRule="auto"/>
        <w:ind w:left="1461" w:hanging="599"/>
        <w:rPr>
          <w:color w:val="auto"/>
          <w:szCs w:val="21"/>
          <w:highlight w:val="none"/>
        </w:rPr>
      </w:pPr>
      <w:r>
        <w:rPr>
          <w:color w:val="auto"/>
          <w:spacing w:val="-3"/>
          <w:szCs w:val="21"/>
          <w:highlight w:val="none"/>
        </w:rPr>
        <w:t>合同履行中发生下列情况之一的，属监理人违约：</w:t>
      </w:r>
    </w:p>
    <w:p>
      <w:pPr>
        <w:pStyle w:val="32"/>
        <w:numPr>
          <w:ilvl w:val="0"/>
          <w:numId w:val="9"/>
        </w:numPr>
        <w:tabs>
          <w:tab w:val="left" w:pos="1417"/>
        </w:tabs>
        <w:spacing w:before="138" w:after="0" w:line="240" w:lineRule="auto"/>
        <w:ind w:hanging="554"/>
        <w:rPr>
          <w:color w:val="auto"/>
          <w:szCs w:val="21"/>
          <w:highlight w:val="none"/>
        </w:rPr>
      </w:pPr>
      <w:r>
        <w:rPr>
          <w:color w:val="auto"/>
          <w:spacing w:val="-3"/>
          <w:szCs w:val="21"/>
          <w:highlight w:val="none"/>
        </w:rPr>
        <w:t>监理文件不符合规范标准以及合同约定；</w:t>
      </w:r>
    </w:p>
    <w:p>
      <w:pPr>
        <w:pStyle w:val="32"/>
        <w:numPr>
          <w:ilvl w:val="0"/>
          <w:numId w:val="9"/>
        </w:numPr>
        <w:tabs>
          <w:tab w:val="left" w:pos="1417"/>
        </w:tabs>
        <w:spacing w:before="138" w:after="0" w:line="240" w:lineRule="auto"/>
        <w:ind w:hanging="554"/>
        <w:rPr>
          <w:color w:val="auto"/>
          <w:szCs w:val="21"/>
          <w:highlight w:val="none"/>
        </w:rPr>
      </w:pPr>
      <w:r>
        <w:rPr>
          <w:color w:val="auto"/>
          <w:spacing w:val="-3"/>
          <w:szCs w:val="21"/>
          <w:highlight w:val="none"/>
        </w:rPr>
        <w:t>监理人转让监理工作；</w:t>
      </w:r>
    </w:p>
    <w:p>
      <w:pPr>
        <w:pStyle w:val="32"/>
        <w:numPr>
          <w:ilvl w:val="0"/>
          <w:numId w:val="9"/>
        </w:numPr>
        <w:tabs>
          <w:tab w:val="left" w:pos="1417"/>
        </w:tabs>
        <w:spacing w:before="138" w:after="0" w:line="240" w:lineRule="auto"/>
        <w:ind w:hanging="554"/>
        <w:rPr>
          <w:color w:val="auto"/>
          <w:szCs w:val="21"/>
          <w:highlight w:val="none"/>
        </w:rPr>
      </w:pPr>
      <w:r>
        <w:rPr>
          <w:color w:val="auto"/>
          <w:spacing w:val="-3"/>
          <w:szCs w:val="21"/>
          <w:highlight w:val="none"/>
        </w:rPr>
        <w:t>监理人未按合同约定实施监理并造成工程损失；</w:t>
      </w:r>
    </w:p>
    <w:p>
      <w:pPr>
        <w:pStyle w:val="32"/>
        <w:numPr>
          <w:ilvl w:val="0"/>
          <w:numId w:val="9"/>
        </w:numPr>
        <w:tabs>
          <w:tab w:val="left" w:pos="1417"/>
        </w:tabs>
        <w:spacing w:before="139" w:after="0" w:line="240" w:lineRule="auto"/>
        <w:ind w:hanging="554"/>
        <w:rPr>
          <w:color w:val="auto"/>
          <w:szCs w:val="21"/>
          <w:highlight w:val="none"/>
        </w:rPr>
      </w:pPr>
      <w:r>
        <w:rPr>
          <w:color w:val="auto"/>
          <w:spacing w:val="-3"/>
          <w:szCs w:val="21"/>
          <w:highlight w:val="none"/>
        </w:rPr>
        <w:t>监理人无法履行或停止履行合同；</w:t>
      </w:r>
    </w:p>
    <w:p>
      <w:pPr>
        <w:pStyle w:val="32"/>
        <w:numPr>
          <w:ilvl w:val="0"/>
          <w:numId w:val="9"/>
        </w:numPr>
        <w:tabs>
          <w:tab w:val="left" w:pos="1417"/>
        </w:tabs>
        <w:spacing w:before="138" w:after="0" w:line="240" w:lineRule="auto"/>
        <w:ind w:hanging="554"/>
        <w:rPr>
          <w:color w:val="auto"/>
          <w:szCs w:val="21"/>
          <w:highlight w:val="none"/>
        </w:rPr>
      </w:pPr>
      <w:r>
        <w:rPr>
          <w:color w:val="auto"/>
          <w:spacing w:val="-3"/>
          <w:szCs w:val="21"/>
          <w:highlight w:val="none"/>
        </w:rPr>
        <w:t>监理人不履行合同约定的其他义务。</w:t>
      </w:r>
    </w:p>
    <w:p>
      <w:pPr>
        <w:pStyle w:val="32"/>
        <w:numPr>
          <w:ilvl w:val="2"/>
          <w:numId w:val="3"/>
        </w:numPr>
        <w:tabs>
          <w:tab w:val="left" w:pos="1529"/>
        </w:tabs>
        <w:spacing w:after="0" w:line="357" w:lineRule="auto"/>
        <w:ind w:left="424" w:right="469" w:firstLine="439"/>
        <w:rPr>
          <w:color w:val="auto"/>
          <w:spacing w:val="-1"/>
          <w:szCs w:val="21"/>
          <w:highlight w:val="none"/>
        </w:rPr>
      </w:pPr>
      <w:r>
        <w:rPr>
          <w:color w:val="auto"/>
          <w:spacing w:val="-1"/>
          <w:szCs w:val="21"/>
          <w:highlight w:val="none"/>
        </w:rPr>
        <w:t>监理人发生违约情况时，委托人可向监理人发出整改通知，要求其在限定期限内纠正；逾期仍不纠正的，委托人有权解除合同并向监理人发出解除合同通知。监理人应当承担由于违约所造成的费用增加、周期延误和委托人损失等。</w:t>
      </w:r>
    </w:p>
    <w:p>
      <w:pPr>
        <w:numPr>
          <w:ilvl w:val="1"/>
          <w:numId w:val="3"/>
        </w:numPr>
        <w:tabs>
          <w:tab w:val="left" w:pos="1054"/>
        </w:tabs>
        <w:spacing w:line="316" w:lineRule="exact"/>
        <w:ind w:left="1053" w:hanging="630"/>
        <w:rPr>
          <w:rFonts w:ascii="黑体" w:eastAsia="黑体"/>
          <w:b/>
          <w:color w:val="auto"/>
          <w:szCs w:val="21"/>
          <w:highlight w:val="none"/>
        </w:rPr>
      </w:pPr>
      <w:r>
        <w:rPr>
          <w:rFonts w:hint="eastAsia" w:ascii="黑体" w:eastAsia="黑体"/>
          <w:b/>
          <w:color w:val="auto"/>
          <w:szCs w:val="21"/>
          <w:highlight w:val="none"/>
        </w:rPr>
        <w:t>委托人违约</w:t>
      </w:r>
    </w:p>
    <w:p>
      <w:pPr>
        <w:pStyle w:val="32"/>
        <w:numPr>
          <w:ilvl w:val="2"/>
          <w:numId w:val="3"/>
        </w:numPr>
        <w:tabs>
          <w:tab w:val="left" w:pos="1462"/>
        </w:tabs>
        <w:spacing w:before="123" w:after="0" w:line="240" w:lineRule="auto"/>
        <w:ind w:left="1461" w:hanging="599"/>
        <w:rPr>
          <w:color w:val="auto"/>
          <w:szCs w:val="21"/>
          <w:highlight w:val="none"/>
        </w:rPr>
      </w:pPr>
      <w:r>
        <w:rPr>
          <w:color w:val="auto"/>
          <w:spacing w:val="-3"/>
          <w:szCs w:val="21"/>
          <w:highlight w:val="none"/>
        </w:rPr>
        <w:t>合同履行中发生下列情况之一的，属委托人违约：</w:t>
      </w:r>
    </w:p>
    <w:p>
      <w:pPr>
        <w:pStyle w:val="32"/>
        <w:numPr>
          <w:ilvl w:val="0"/>
          <w:numId w:val="10"/>
        </w:numPr>
        <w:tabs>
          <w:tab w:val="left" w:pos="1417"/>
        </w:tabs>
        <w:spacing w:before="138" w:after="0" w:line="240" w:lineRule="auto"/>
        <w:ind w:hanging="554"/>
        <w:rPr>
          <w:color w:val="auto"/>
          <w:szCs w:val="21"/>
          <w:highlight w:val="none"/>
        </w:rPr>
      </w:pPr>
      <w:r>
        <w:rPr>
          <w:color w:val="auto"/>
          <w:spacing w:val="-3"/>
          <w:szCs w:val="21"/>
          <w:highlight w:val="none"/>
        </w:rPr>
        <w:t>委托人未按合同约定支付监理报酬；</w:t>
      </w:r>
    </w:p>
    <w:p>
      <w:pPr>
        <w:pStyle w:val="32"/>
        <w:numPr>
          <w:ilvl w:val="0"/>
          <w:numId w:val="10"/>
        </w:numPr>
        <w:tabs>
          <w:tab w:val="left" w:pos="1417"/>
        </w:tabs>
        <w:spacing w:before="138" w:after="0" w:line="240" w:lineRule="auto"/>
        <w:ind w:hanging="554"/>
        <w:rPr>
          <w:color w:val="auto"/>
          <w:szCs w:val="21"/>
          <w:highlight w:val="none"/>
        </w:rPr>
      </w:pPr>
      <w:r>
        <w:rPr>
          <w:color w:val="auto"/>
          <w:spacing w:val="-3"/>
          <w:szCs w:val="21"/>
          <w:highlight w:val="none"/>
        </w:rPr>
        <w:t>委托人原因造成监理停止；</w:t>
      </w:r>
    </w:p>
    <w:p>
      <w:pPr>
        <w:pStyle w:val="32"/>
        <w:numPr>
          <w:ilvl w:val="0"/>
          <w:numId w:val="10"/>
        </w:numPr>
        <w:tabs>
          <w:tab w:val="left" w:pos="1417"/>
        </w:tabs>
        <w:spacing w:before="139" w:after="0" w:line="240" w:lineRule="auto"/>
        <w:ind w:hanging="554"/>
        <w:rPr>
          <w:color w:val="auto"/>
          <w:szCs w:val="21"/>
          <w:highlight w:val="none"/>
        </w:rPr>
      </w:pPr>
      <w:r>
        <w:rPr>
          <w:color w:val="auto"/>
          <w:spacing w:val="-3"/>
          <w:szCs w:val="21"/>
          <w:highlight w:val="none"/>
        </w:rPr>
        <w:t>委托人无法履行或停止履行合同；</w:t>
      </w:r>
    </w:p>
    <w:p>
      <w:pPr>
        <w:pStyle w:val="32"/>
        <w:numPr>
          <w:ilvl w:val="0"/>
          <w:numId w:val="10"/>
        </w:numPr>
        <w:tabs>
          <w:tab w:val="left" w:pos="1417"/>
        </w:tabs>
        <w:spacing w:before="138" w:after="0" w:line="240" w:lineRule="auto"/>
        <w:ind w:hanging="554"/>
        <w:rPr>
          <w:color w:val="auto"/>
          <w:szCs w:val="21"/>
          <w:highlight w:val="none"/>
        </w:rPr>
      </w:pPr>
      <w:r>
        <w:rPr>
          <w:color w:val="auto"/>
          <w:spacing w:val="-3"/>
          <w:szCs w:val="21"/>
          <w:highlight w:val="none"/>
        </w:rPr>
        <w:t>委托人不履行合同约定的其他义务。</w:t>
      </w:r>
    </w:p>
    <w:p>
      <w:pPr>
        <w:pStyle w:val="32"/>
        <w:numPr>
          <w:ilvl w:val="2"/>
          <w:numId w:val="3"/>
        </w:numPr>
        <w:tabs>
          <w:tab w:val="left" w:pos="1462"/>
        </w:tabs>
        <w:spacing w:before="138" w:after="0" w:line="357" w:lineRule="auto"/>
        <w:ind w:left="424" w:right="461" w:firstLine="439"/>
        <w:jc w:val="both"/>
        <w:rPr>
          <w:color w:val="auto"/>
          <w:szCs w:val="21"/>
          <w:highlight w:val="none"/>
        </w:rPr>
      </w:pPr>
      <w:r>
        <w:rPr>
          <w:color w:val="auto"/>
          <w:spacing w:val="-7"/>
          <w:szCs w:val="21"/>
          <w:highlight w:val="none"/>
        </w:rPr>
        <w:t>委托人发生违约情况时，监理人可向委托人发出暂停监理通知，要求其在限定期限内纠正；逾期仍不纠正的，监理人有权解除合同并向委托人发出解除合同通知。委托人</w:t>
      </w:r>
      <w:r>
        <w:rPr>
          <w:color w:val="auto"/>
          <w:spacing w:val="-5"/>
          <w:szCs w:val="21"/>
          <w:highlight w:val="none"/>
        </w:rPr>
        <w:t>应当承担由于违约所造成的费用增加、周期延误和监理人损失等。</w:t>
      </w:r>
    </w:p>
    <w:p>
      <w:pPr>
        <w:numPr>
          <w:ilvl w:val="1"/>
          <w:numId w:val="3"/>
        </w:numPr>
        <w:tabs>
          <w:tab w:val="left" w:pos="1054"/>
        </w:tabs>
        <w:spacing w:line="316" w:lineRule="exact"/>
        <w:ind w:left="1053" w:hanging="630"/>
        <w:rPr>
          <w:rFonts w:ascii="黑体" w:eastAsia="黑体"/>
          <w:b/>
          <w:color w:val="auto"/>
          <w:szCs w:val="21"/>
          <w:highlight w:val="none"/>
        </w:rPr>
      </w:pPr>
      <w:r>
        <w:rPr>
          <w:rFonts w:hint="eastAsia" w:ascii="黑体" w:eastAsia="黑体"/>
          <w:b/>
          <w:color w:val="auto"/>
          <w:szCs w:val="21"/>
          <w:highlight w:val="none"/>
        </w:rPr>
        <w:t>第三人造成的违约</w:t>
      </w:r>
    </w:p>
    <w:p>
      <w:pPr>
        <w:spacing w:before="124" w:line="357" w:lineRule="auto"/>
        <w:ind w:left="424" w:right="467" w:firstLine="439"/>
        <w:rPr>
          <w:color w:val="auto"/>
          <w:szCs w:val="21"/>
          <w:highlight w:val="none"/>
        </w:rPr>
      </w:pPr>
      <w:r>
        <w:rPr>
          <w:color w:val="auto"/>
          <w:szCs w:val="21"/>
          <w:highlight w:val="none"/>
        </w:rPr>
        <w:t>在履行合同过程中，一方当事人因第三人的原因造成违约的，应当向对方当事人承担违约责任。一方当事人和第三人之间的纠纷，依照法律规定或者按照约定解决。</w:t>
      </w:r>
    </w:p>
    <w:p>
      <w:pPr>
        <w:pStyle w:val="6"/>
        <w:numPr>
          <w:ilvl w:val="0"/>
          <w:numId w:val="3"/>
        </w:numPr>
        <w:tabs>
          <w:tab w:val="left" w:pos="984"/>
        </w:tabs>
        <w:spacing w:before="124" w:after="0" w:line="240" w:lineRule="auto"/>
        <w:ind w:left="983" w:hanging="560"/>
        <w:rPr>
          <w:color w:val="auto"/>
          <w:sz w:val="21"/>
          <w:szCs w:val="21"/>
          <w:highlight w:val="none"/>
        </w:rPr>
      </w:pPr>
      <w:bookmarkStart w:id="67" w:name="_bookmark118"/>
      <w:bookmarkEnd w:id="67"/>
      <w:r>
        <w:rPr>
          <w:color w:val="auto"/>
          <w:sz w:val="21"/>
          <w:szCs w:val="21"/>
          <w:highlight w:val="none"/>
        </w:rPr>
        <w:t>争议的解决</w:t>
      </w:r>
    </w:p>
    <w:p>
      <w:pPr>
        <w:pStyle w:val="9"/>
        <w:spacing w:before="3"/>
        <w:rPr>
          <w:rFonts w:ascii="黑体"/>
          <w:b/>
          <w:color w:val="auto"/>
          <w:sz w:val="21"/>
          <w:szCs w:val="21"/>
          <w:highlight w:val="none"/>
        </w:rPr>
      </w:pPr>
    </w:p>
    <w:p>
      <w:pPr>
        <w:spacing w:line="357" w:lineRule="auto"/>
        <w:ind w:left="424" w:right="466" w:firstLine="439"/>
        <w:rPr>
          <w:color w:val="auto"/>
          <w:szCs w:val="21"/>
          <w:highlight w:val="none"/>
        </w:rPr>
      </w:pPr>
      <w:r>
        <w:rPr>
          <w:color w:val="auto"/>
          <w:szCs w:val="21"/>
          <w:highlight w:val="none"/>
        </w:rPr>
        <w:t>委托人和监理人在履行合同中发生争议的，可以友好协商解决。合同当事人友好协商解决不成的，可在专用合同条款中约定下列一种方式解决：</w:t>
      </w:r>
    </w:p>
    <w:p>
      <w:pPr>
        <w:pStyle w:val="32"/>
        <w:numPr>
          <w:ilvl w:val="0"/>
          <w:numId w:val="11"/>
        </w:numPr>
        <w:tabs>
          <w:tab w:val="left" w:pos="1417"/>
        </w:tabs>
        <w:spacing w:after="0" w:line="240" w:lineRule="auto"/>
        <w:ind w:hanging="554"/>
        <w:rPr>
          <w:color w:val="auto"/>
          <w:szCs w:val="21"/>
          <w:highlight w:val="none"/>
        </w:rPr>
      </w:pPr>
      <w:r>
        <w:rPr>
          <w:color w:val="auto"/>
          <w:spacing w:val="-3"/>
          <w:szCs w:val="21"/>
          <w:highlight w:val="none"/>
        </w:rPr>
        <w:t>向约定的仲裁委员会申请仲裁；</w:t>
      </w:r>
    </w:p>
    <w:p>
      <w:pPr>
        <w:pStyle w:val="32"/>
        <w:numPr>
          <w:ilvl w:val="0"/>
          <w:numId w:val="11"/>
        </w:numPr>
        <w:tabs>
          <w:tab w:val="left" w:pos="1417"/>
        </w:tabs>
        <w:spacing w:before="138" w:after="0" w:line="240" w:lineRule="auto"/>
        <w:ind w:hanging="554"/>
        <w:rPr>
          <w:color w:val="auto"/>
          <w:szCs w:val="21"/>
          <w:highlight w:val="none"/>
        </w:rPr>
      </w:pPr>
      <w:r>
        <w:rPr>
          <w:color w:val="auto"/>
          <w:spacing w:val="-3"/>
          <w:szCs w:val="21"/>
          <w:highlight w:val="none"/>
        </w:rPr>
        <w:t>向有管辖权的人民法院提起诉讼。</w:t>
      </w:r>
    </w:p>
    <w:p>
      <w:pPr>
        <w:spacing w:after="0" w:line="240" w:lineRule="auto"/>
        <w:rPr>
          <w:color w:val="auto"/>
          <w:szCs w:val="21"/>
          <w:highlight w:val="none"/>
        </w:rPr>
        <w:sectPr>
          <w:headerReference r:id="rId4" w:type="default"/>
          <w:footerReference r:id="rId5" w:type="default"/>
          <w:pgSz w:w="11910" w:h="16850"/>
          <w:pgMar w:top="1460" w:right="1120" w:bottom="1280" w:left="1220" w:header="882" w:footer="1093" w:gutter="0"/>
          <w:cols w:space="720" w:num="1"/>
        </w:sectPr>
      </w:pPr>
    </w:p>
    <w:p>
      <w:pPr>
        <w:pStyle w:val="9"/>
        <w:rPr>
          <w:color w:val="auto"/>
          <w:sz w:val="21"/>
          <w:szCs w:val="21"/>
          <w:highlight w:val="none"/>
        </w:rPr>
      </w:pPr>
    </w:p>
    <w:p>
      <w:pPr>
        <w:pStyle w:val="9"/>
        <w:rPr>
          <w:color w:val="auto"/>
          <w:sz w:val="21"/>
          <w:szCs w:val="21"/>
          <w:highlight w:val="none"/>
        </w:rPr>
      </w:pPr>
    </w:p>
    <w:p>
      <w:pPr>
        <w:pStyle w:val="9"/>
        <w:rPr>
          <w:color w:val="auto"/>
          <w:sz w:val="21"/>
          <w:szCs w:val="21"/>
          <w:highlight w:val="none"/>
        </w:rPr>
      </w:pPr>
    </w:p>
    <w:p>
      <w:pPr>
        <w:pStyle w:val="9"/>
        <w:rPr>
          <w:color w:val="auto"/>
          <w:sz w:val="21"/>
          <w:szCs w:val="21"/>
          <w:highlight w:val="none"/>
        </w:rPr>
      </w:pPr>
    </w:p>
    <w:p>
      <w:pPr>
        <w:pStyle w:val="9"/>
        <w:rPr>
          <w:color w:val="auto"/>
          <w:sz w:val="21"/>
          <w:szCs w:val="21"/>
          <w:highlight w:val="none"/>
        </w:rPr>
      </w:pPr>
    </w:p>
    <w:p>
      <w:pPr>
        <w:pStyle w:val="9"/>
        <w:rPr>
          <w:color w:val="auto"/>
          <w:sz w:val="21"/>
          <w:szCs w:val="21"/>
          <w:highlight w:val="none"/>
        </w:rPr>
      </w:pPr>
    </w:p>
    <w:p>
      <w:pPr>
        <w:pStyle w:val="9"/>
        <w:rPr>
          <w:color w:val="auto"/>
          <w:sz w:val="21"/>
          <w:szCs w:val="21"/>
          <w:highlight w:val="none"/>
        </w:rPr>
      </w:pPr>
    </w:p>
    <w:p>
      <w:pPr>
        <w:pStyle w:val="9"/>
        <w:rPr>
          <w:color w:val="auto"/>
          <w:sz w:val="21"/>
          <w:szCs w:val="21"/>
          <w:highlight w:val="none"/>
        </w:rPr>
      </w:pPr>
    </w:p>
    <w:p>
      <w:pPr>
        <w:pStyle w:val="9"/>
        <w:rPr>
          <w:color w:val="auto"/>
          <w:sz w:val="21"/>
          <w:szCs w:val="21"/>
          <w:highlight w:val="none"/>
        </w:rPr>
      </w:pPr>
    </w:p>
    <w:p>
      <w:pPr>
        <w:pStyle w:val="9"/>
        <w:rPr>
          <w:color w:val="auto"/>
          <w:sz w:val="21"/>
          <w:szCs w:val="21"/>
          <w:highlight w:val="none"/>
        </w:rPr>
      </w:pPr>
    </w:p>
    <w:p>
      <w:pPr>
        <w:pStyle w:val="9"/>
        <w:rPr>
          <w:color w:val="auto"/>
          <w:sz w:val="21"/>
          <w:szCs w:val="21"/>
          <w:highlight w:val="none"/>
        </w:rPr>
      </w:pPr>
    </w:p>
    <w:p>
      <w:pPr>
        <w:pStyle w:val="9"/>
        <w:rPr>
          <w:color w:val="auto"/>
          <w:sz w:val="21"/>
          <w:szCs w:val="21"/>
          <w:highlight w:val="none"/>
        </w:rPr>
      </w:pPr>
    </w:p>
    <w:p>
      <w:pPr>
        <w:pStyle w:val="9"/>
        <w:rPr>
          <w:color w:val="auto"/>
          <w:sz w:val="21"/>
          <w:szCs w:val="21"/>
          <w:highlight w:val="none"/>
        </w:rPr>
      </w:pPr>
    </w:p>
    <w:p>
      <w:pPr>
        <w:pStyle w:val="9"/>
        <w:rPr>
          <w:color w:val="auto"/>
          <w:sz w:val="21"/>
          <w:szCs w:val="21"/>
          <w:highlight w:val="none"/>
        </w:rPr>
      </w:pPr>
    </w:p>
    <w:p>
      <w:pPr>
        <w:pStyle w:val="9"/>
        <w:rPr>
          <w:color w:val="auto"/>
          <w:sz w:val="21"/>
          <w:szCs w:val="21"/>
          <w:highlight w:val="none"/>
        </w:rPr>
      </w:pPr>
    </w:p>
    <w:p>
      <w:pPr>
        <w:pStyle w:val="9"/>
        <w:rPr>
          <w:color w:val="auto"/>
          <w:sz w:val="21"/>
          <w:szCs w:val="21"/>
          <w:highlight w:val="none"/>
        </w:rPr>
      </w:pPr>
    </w:p>
    <w:p>
      <w:pPr>
        <w:pStyle w:val="9"/>
        <w:rPr>
          <w:color w:val="auto"/>
          <w:sz w:val="21"/>
          <w:szCs w:val="21"/>
          <w:highlight w:val="none"/>
        </w:rPr>
      </w:pPr>
    </w:p>
    <w:p>
      <w:pPr>
        <w:pStyle w:val="9"/>
        <w:rPr>
          <w:color w:val="auto"/>
          <w:sz w:val="21"/>
          <w:szCs w:val="21"/>
          <w:highlight w:val="none"/>
        </w:rPr>
      </w:pPr>
    </w:p>
    <w:p>
      <w:pPr>
        <w:pStyle w:val="9"/>
        <w:rPr>
          <w:color w:val="auto"/>
          <w:sz w:val="21"/>
          <w:szCs w:val="21"/>
          <w:highlight w:val="none"/>
        </w:rPr>
      </w:pPr>
    </w:p>
    <w:p>
      <w:pPr>
        <w:pStyle w:val="9"/>
        <w:rPr>
          <w:color w:val="auto"/>
          <w:sz w:val="21"/>
          <w:szCs w:val="21"/>
          <w:highlight w:val="none"/>
        </w:rPr>
      </w:pPr>
    </w:p>
    <w:p>
      <w:pPr>
        <w:pStyle w:val="9"/>
        <w:spacing w:before="3"/>
        <w:rPr>
          <w:color w:val="auto"/>
          <w:sz w:val="21"/>
          <w:szCs w:val="21"/>
          <w:highlight w:val="none"/>
        </w:rPr>
      </w:pPr>
    </w:p>
    <w:p>
      <w:pPr>
        <w:tabs>
          <w:tab w:val="left" w:pos="1600"/>
        </w:tabs>
        <w:spacing w:before="45"/>
        <w:ind w:right="36"/>
        <w:jc w:val="center"/>
        <w:rPr>
          <w:rFonts w:ascii="黑体" w:eastAsia="黑体"/>
          <w:color w:val="auto"/>
          <w:sz w:val="32"/>
          <w:szCs w:val="32"/>
          <w:highlight w:val="none"/>
        </w:rPr>
      </w:pPr>
      <w:bookmarkStart w:id="68" w:name="_bookmark119"/>
      <w:bookmarkEnd w:id="68"/>
      <w:r>
        <w:rPr>
          <w:rFonts w:hint="eastAsia" w:ascii="黑体" w:eastAsia="黑体"/>
          <w:color w:val="auto"/>
          <w:sz w:val="32"/>
          <w:szCs w:val="32"/>
          <w:highlight w:val="none"/>
        </w:rPr>
        <w:t>第二节</w:t>
      </w:r>
      <w:r>
        <w:rPr>
          <w:rFonts w:hint="eastAsia" w:ascii="黑体" w:eastAsia="黑体"/>
          <w:color w:val="auto"/>
          <w:sz w:val="32"/>
          <w:szCs w:val="32"/>
          <w:highlight w:val="none"/>
        </w:rPr>
        <w:tab/>
      </w:r>
      <w:r>
        <w:rPr>
          <w:rFonts w:hint="eastAsia" w:ascii="黑体" w:eastAsia="黑体"/>
          <w:color w:val="auto"/>
          <w:sz w:val="32"/>
          <w:szCs w:val="32"/>
          <w:highlight w:val="none"/>
        </w:rPr>
        <w:t>专</w:t>
      </w:r>
      <w:r>
        <w:rPr>
          <w:rFonts w:hint="eastAsia" w:ascii="黑体" w:eastAsia="黑体"/>
          <w:color w:val="auto"/>
          <w:spacing w:val="-3"/>
          <w:sz w:val="32"/>
          <w:szCs w:val="32"/>
          <w:highlight w:val="none"/>
        </w:rPr>
        <w:t>用</w:t>
      </w:r>
      <w:r>
        <w:rPr>
          <w:rFonts w:hint="eastAsia" w:ascii="黑体" w:eastAsia="黑体"/>
          <w:color w:val="auto"/>
          <w:sz w:val="32"/>
          <w:szCs w:val="32"/>
          <w:highlight w:val="none"/>
        </w:rPr>
        <w:t>合同条款</w:t>
      </w:r>
    </w:p>
    <w:p>
      <w:pPr>
        <w:spacing w:after="0"/>
        <w:jc w:val="center"/>
        <w:rPr>
          <w:rFonts w:ascii="黑体" w:eastAsia="黑体"/>
          <w:color w:val="auto"/>
          <w:szCs w:val="21"/>
          <w:highlight w:val="none"/>
        </w:rPr>
        <w:sectPr>
          <w:pgSz w:w="11910" w:h="16850"/>
          <w:pgMar w:top="1460" w:right="1120" w:bottom="1280" w:left="1220" w:header="882" w:footer="1093" w:gutter="0"/>
          <w:cols w:space="720" w:num="1"/>
        </w:sectPr>
      </w:pPr>
    </w:p>
    <w:p>
      <w:pPr>
        <w:pStyle w:val="6"/>
        <w:numPr>
          <w:ilvl w:val="1"/>
          <w:numId w:val="11"/>
        </w:numPr>
        <w:tabs>
          <w:tab w:val="left" w:pos="3610"/>
        </w:tabs>
        <w:spacing w:before="144" w:after="0" w:line="240" w:lineRule="auto"/>
        <w:jc w:val="left"/>
        <w:rPr>
          <w:color w:val="auto"/>
          <w:sz w:val="21"/>
          <w:szCs w:val="21"/>
          <w:highlight w:val="none"/>
        </w:rPr>
      </w:pPr>
      <w:r>
        <w:rPr>
          <w:color w:val="auto"/>
          <w:sz w:val="21"/>
          <w:szCs w:val="21"/>
          <w:highlight w:val="none"/>
        </w:rPr>
        <w:t>公路工程专用合同条款</w:t>
      </w:r>
    </w:p>
    <w:p>
      <w:pPr>
        <w:pStyle w:val="9"/>
        <w:spacing w:before="6"/>
        <w:jc w:val="both"/>
        <w:rPr>
          <w:rFonts w:ascii="黑体"/>
          <w:b/>
          <w:color w:val="auto"/>
          <w:sz w:val="21"/>
          <w:szCs w:val="21"/>
          <w:highlight w:val="none"/>
        </w:rPr>
      </w:pPr>
    </w:p>
    <w:p>
      <w:pPr>
        <w:pStyle w:val="32"/>
        <w:numPr>
          <w:ilvl w:val="0"/>
          <w:numId w:val="12"/>
        </w:numPr>
        <w:tabs>
          <w:tab w:val="left" w:pos="826"/>
        </w:tabs>
        <w:spacing w:before="65" w:after="0" w:line="240" w:lineRule="auto"/>
        <w:ind w:hanging="402"/>
        <w:rPr>
          <w:rFonts w:ascii="黑体" w:eastAsia="黑体"/>
          <w:b/>
          <w:color w:val="auto"/>
          <w:szCs w:val="21"/>
          <w:highlight w:val="none"/>
        </w:rPr>
      </w:pPr>
      <w:r>
        <w:rPr>
          <w:rFonts w:hint="eastAsia" w:ascii="黑体" w:eastAsia="黑体"/>
          <w:b/>
          <w:color w:val="auto"/>
          <w:w w:val="95"/>
          <w:szCs w:val="21"/>
          <w:highlight w:val="none"/>
        </w:rPr>
        <w:t>一般约定</w:t>
      </w:r>
    </w:p>
    <w:p>
      <w:pPr>
        <w:pStyle w:val="9"/>
        <w:spacing w:before="11"/>
        <w:rPr>
          <w:rFonts w:ascii="黑体"/>
          <w:b/>
          <w:color w:val="auto"/>
          <w:sz w:val="21"/>
          <w:szCs w:val="21"/>
          <w:highlight w:val="none"/>
        </w:rPr>
      </w:pPr>
    </w:p>
    <w:p>
      <w:pPr>
        <w:numPr>
          <w:ilvl w:val="1"/>
          <w:numId w:val="12"/>
        </w:numPr>
        <w:tabs>
          <w:tab w:val="left" w:pos="914"/>
        </w:tabs>
        <w:rPr>
          <w:rFonts w:ascii="黑体" w:eastAsia="黑体"/>
          <w:b/>
          <w:color w:val="auto"/>
          <w:szCs w:val="21"/>
          <w:highlight w:val="none"/>
        </w:rPr>
      </w:pPr>
      <w:r>
        <w:rPr>
          <w:rFonts w:hint="eastAsia" w:ascii="黑体" w:eastAsia="黑体"/>
          <w:b/>
          <w:color w:val="auto"/>
          <w:szCs w:val="21"/>
          <w:highlight w:val="none"/>
        </w:rPr>
        <w:t>词语定义</w:t>
      </w:r>
    </w:p>
    <w:p>
      <w:pPr>
        <w:pStyle w:val="32"/>
        <w:numPr>
          <w:ilvl w:val="2"/>
          <w:numId w:val="12"/>
        </w:numPr>
        <w:tabs>
          <w:tab w:val="left" w:pos="1416"/>
        </w:tabs>
        <w:spacing w:before="124" w:after="0" w:line="240" w:lineRule="auto"/>
        <w:ind w:hanging="553"/>
        <w:rPr>
          <w:color w:val="auto"/>
          <w:szCs w:val="21"/>
          <w:highlight w:val="none"/>
        </w:rPr>
      </w:pPr>
      <w:r>
        <w:rPr>
          <w:color w:val="auto"/>
          <w:szCs w:val="21"/>
          <w:highlight w:val="none"/>
        </w:rPr>
        <w:t>合同</w:t>
      </w:r>
    </w:p>
    <w:p>
      <w:pPr>
        <w:spacing w:before="139"/>
        <w:ind w:left="863"/>
        <w:rPr>
          <w:color w:val="auto"/>
          <w:szCs w:val="21"/>
          <w:highlight w:val="none"/>
        </w:rPr>
      </w:pPr>
      <w:r>
        <w:rPr>
          <w:color w:val="auto"/>
          <w:szCs w:val="21"/>
          <w:highlight w:val="none"/>
        </w:rPr>
        <w:t xml:space="preserve">第 </w:t>
      </w:r>
      <w:r>
        <w:rPr>
          <w:rFonts w:ascii="Times New Roman" w:eastAsia="Times New Roman"/>
          <w:color w:val="auto"/>
          <w:szCs w:val="21"/>
          <w:highlight w:val="none"/>
        </w:rPr>
        <w:t xml:space="preserve">1.1.1.1 </w:t>
      </w:r>
      <w:r>
        <w:rPr>
          <w:color w:val="auto"/>
          <w:szCs w:val="21"/>
          <w:highlight w:val="none"/>
        </w:rPr>
        <w:t>目细化为：</w:t>
      </w:r>
    </w:p>
    <w:p>
      <w:pPr>
        <w:spacing w:before="138" w:line="357" w:lineRule="auto"/>
        <w:ind w:left="424" w:right="460" w:firstLine="439"/>
        <w:jc w:val="both"/>
        <w:rPr>
          <w:color w:val="auto"/>
          <w:szCs w:val="21"/>
          <w:highlight w:val="none"/>
        </w:rPr>
      </w:pPr>
      <w:r>
        <w:rPr>
          <w:color w:val="auto"/>
          <w:spacing w:val="-2"/>
          <w:szCs w:val="21"/>
          <w:highlight w:val="none"/>
        </w:rPr>
        <w:t>合同文件</w:t>
      </w:r>
      <w:r>
        <w:rPr>
          <w:color w:val="auto"/>
          <w:szCs w:val="21"/>
          <w:highlight w:val="none"/>
        </w:rPr>
        <w:t>（</w:t>
      </w:r>
      <w:r>
        <w:rPr>
          <w:color w:val="auto"/>
          <w:spacing w:val="-2"/>
          <w:szCs w:val="21"/>
          <w:highlight w:val="none"/>
        </w:rPr>
        <w:t>或称合同</w:t>
      </w:r>
      <w:r>
        <w:rPr>
          <w:color w:val="auto"/>
          <w:spacing w:val="-113"/>
          <w:szCs w:val="21"/>
          <w:highlight w:val="none"/>
        </w:rPr>
        <w:t>）</w:t>
      </w:r>
      <w:r>
        <w:rPr>
          <w:color w:val="auto"/>
          <w:spacing w:val="-5"/>
          <w:szCs w:val="21"/>
          <w:highlight w:val="none"/>
        </w:rPr>
        <w:t>：指合同协议书及各种合同附件、中标通知书、投标函、项目专用合同条款、公路工程专用合同条款、通用合同条款、委托人要求、监理服务费用清单、</w:t>
      </w:r>
      <w:r>
        <w:rPr>
          <w:color w:val="auto"/>
          <w:spacing w:val="-3"/>
          <w:szCs w:val="21"/>
          <w:highlight w:val="none"/>
        </w:rPr>
        <w:t>监理人有关人员和试验检测设备投入的承诺，以及其他构成合同组成部分的文件。</w:t>
      </w:r>
    </w:p>
    <w:p>
      <w:pPr>
        <w:ind w:left="863"/>
        <w:rPr>
          <w:color w:val="auto"/>
          <w:szCs w:val="21"/>
          <w:highlight w:val="none"/>
        </w:rPr>
      </w:pPr>
      <w:r>
        <w:rPr>
          <w:color w:val="auto"/>
          <w:spacing w:val="-26"/>
          <w:szCs w:val="21"/>
          <w:highlight w:val="none"/>
        </w:rPr>
        <w:t xml:space="preserve">第 </w:t>
      </w:r>
      <w:r>
        <w:rPr>
          <w:rFonts w:ascii="Times New Roman" w:eastAsia="Times New Roman"/>
          <w:color w:val="auto"/>
          <w:szCs w:val="21"/>
          <w:highlight w:val="none"/>
        </w:rPr>
        <w:t>1.1.1.5</w:t>
      </w:r>
      <w:r>
        <w:rPr>
          <w:rFonts w:ascii="Times New Roman" w:eastAsia="Times New Roman"/>
          <w:color w:val="auto"/>
          <w:spacing w:val="1"/>
          <w:szCs w:val="21"/>
          <w:highlight w:val="none"/>
        </w:rPr>
        <w:t xml:space="preserve"> </w:t>
      </w:r>
      <w:r>
        <w:rPr>
          <w:color w:val="auto"/>
          <w:spacing w:val="-1"/>
          <w:szCs w:val="21"/>
          <w:highlight w:val="none"/>
        </w:rPr>
        <w:t>目不适用。</w:t>
      </w:r>
    </w:p>
    <w:p>
      <w:pPr>
        <w:spacing w:before="138"/>
        <w:ind w:left="863"/>
        <w:rPr>
          <w:color w:val="auto"/>
          <w:szCs w:val="21"/>
          <w:highlight w:val="none"/>
        </w:rPr>
      </w:pPr>
      <w:r>
        <w:rPr>
          <w:color w:val="auto"/>
          <w:spacing w:val="-26"/>
          <w:szCs w:val="21"/>
          <w:highlight w:val="none"/>
        </w:rPr>
        <w:t xml:space="preserve">第 </w:t>
      </w:r>
      <w:r>
        <w:rPr>
          <w:rFonts w:ascii="Times New Roman" w:eastAsia="Times New Roman"/>
          <w:color w:val="auto"/>
          <w:szCs w:val="21"/>
          <w:highlight w:val="none"/>
        </w:rPr>
        <w:t>1.1.1.8</w:t>
      </w:r>
      <w:r>
        <w:rPr>
          <w:rFonts w:ascii="Times New Roman" w:eastAsia="Times New Roman"/>
          <w:color w:val="auto"/>
          <w:spacing w:val="1"/>
          <w:szCs w:val="21"/>
          <w:highlight w:val="none"/>
        </w:rPr>
        <w:t xml:space="preserve"> </w:t>
      </w:r>
      <w:r>
        <w:rPr>
          <w:color w:val="auto"/>
          <w:spacing w:val="-1"/>
          <w:szCs w:val="21"/>
          <w:highlight w:val="none"/>
        </w:rPr>
        <w:t>目细化为：</w:t>
      </w:r>
    </w:p>
    <w:p>
      <w:pPr>
        <w:spacing w:before="138"/>
        <w:ind w:left="863"/>
        <w:rPr>
          <w:color w:val="auto"/>
          <w:szCs w:val="21"/>
          <w:highlight w:val="none"/>
        </w:rPr>
      </w:pPr>
      <w:r>
        <w:rPr>
          <w:color w:val="auto"/>
          <w:szCs w:val="21"/>
          <w:highlight w:val="none"/>
        </w:rPr>
        <w:t>监理服务费用清单：指监理人投标文件中的监理服务费用清单。</w:t>
      </w:r>
    </w:p>
    <w:p>
      <w:pPr>
        <w:pStyle w:val="32"/>
        <w:numPr>
          <w:ilvl w:val="2"/>
          <w:numId w:val="12"/>
        </w:numPr>
        <w:tabs>
          <w:tab w:val="left" w:pos="1416"/>
        </w:tabs>
        <w:spacing w:before="138" w:after="0" w:line="240" w:lineRule="auto"/>
        <w:ind w:hanging="553"/>
        <w:rPr>
          <w:color w:val="auto"/>
          <w:szCs w:val="21"/>
          <w:highlight w:val="none"/>
        </w:rPr>
      </w:pPr>
      <w:r>
        <w:rPr>
          <w:color w:val="auto"/>
          <w:spacing w:val="-3"/>
          <w:szCs w:val="21"/>
          <w:highlight w:val="none"/>
        </w:rPr>
        <w:t>合同当事人和人员</w:t>
      </w:r>
    </w:p>
    <w:p>
      <w:pPr>
        <w:spacing w:before="139"/>
        <w:ind w:left="863"/>
        <w:rPr>
          <w:color w:val="auto"/>
          <w:szCs w:val="21"/>
          <w:highlight w:val="none"/>
        </w:rPr>
      </w:pPr>
      <w:r>
        <w:rPr>
          <w:color w:val="auto"/>
          <w:szCs w:val="21"/>
          <w:highlight w:val="none"/>
        </w:rPr>
        <w:t xml:space="preserve">本项补充第 </w:t>
      </w:r>
      <w:r>
        <w:rPr>
          <w:rFonts w:ascii="Times New Roman" w:eastAsia="Times New Roman"/>
          <w:color w:val="auto"/>
          <w:szCs w:val="21"/>
          <w:highlight w:val="none"/>
        </w:rPr>
        <w:t xml:space="preserve">1.1.2.7 </w:t>
      </w:r>
      <w:r>
        <w:rPr>
          <w:color w:val="auto"/>
          <w:szCs w:val="21"/>
          <w:highlight w:val="none"/>
        </w:rPr>
        <w:t xml:space="preserve">目至第 </w:t>
      </w:r>
      <w:r>
        <w:rPr>
          <w:rFonts w:ascii="Times New Roman" w:eastAsia="Times New Roman"/>
          <w:color w:val="auto"/>
          <w:szCs w:val="21"/>
          <w:highlight w:val="none"/>
        </w:rPr>
        <w:t xml:space="preserve">1.1.2.9 </w:t>
      </w:r>
      <w:r>
        <w:rPr>
          <w:color w:val="auto"/>
          <w:szCs w:val="21"/>
          <w:highlight w:val="none"/>
        </w:rPr>
        <w:t>目：</w:t>
      </w:r>
    </w:p>
    <w:p>
      <w:pPr>
        <w:pStyle w:val="32"/>
        <w:numPr>
          <w:ilvl w:val="3"/>
          <w:numId w:val="13"/>
        </w:numPr>
        <w:tabs>
          <w:tab w:val="left" w:pos="1582"/>
        </w:tabs>
        <w:spacing w:before="138" w:after="0" w:line="357" w:lineRule="auto"/>
        <w:ind w:right="462" w:firstLine="439"/>
        <w:rPr>
          <w:color w:val="auto"/>
          <w:szCs w:val="21"/>
          <w:highlight w:val="none"/>
        </w:rPr>
      </w:pPr>
      <w:r>
        <w:rPr>
          <w:color w:val="auto"/>
          <w:spacing w:val="-1"/>
          <w:szCs w:val="21"/>
          <w:highlight w:val="none"/>
        </w:rPr>
        <w:t>监理机构：指由监理人在项目现场设立的履行监理职责的组织，包括总监理工程师办公室</w:t>
      </w:r>
      <w:r>
        <w:rPr>
          <w:color w:val="auto"/>
          <w:szCs w:val="21"/>
          <w:highlight w:val="none"/>
        </w:rPr>
        <w:t>（</w:t>
      </w:r>
      <w:r>
        <w:rPr>
          <w:color w:val="auto"/>
          <w:spacing w:val="-3"/>
          <w:szCs w:val="21"/>
          <w:highlight w:val="none"/>
        </w:rPr>
        <w:t>简称总监办</w:t>
      </w:r>
      <w:r>
        <w:rPr>
          <w:color w:val="auto"/>
          <w:szCs w:val="21"/>
          <w:highlight w:val="none"/>
        </w:rPr>
        <w:t>）</w:t>
      </w:r>
      <w:r>
        <w:rPr>
          <w:color w:val="auto"/>
          <w:spacing w:val="-3"/>
          <w:szCs w:val="21"/>
          <w:highlight w:val="none"/>
        </w:rPr>
        <w:t>及驻地监理工程师办公室</w:t>
      </w:r>
      <w:r>
        <w:rPr>
          <w:color w:val="auto"/>
          <w:szCs w:val="21"/>
          <w:highlight w:val="none"/>
        </w:rPr>
        <w:t>（</w:t>
      </w:r>
      <w:r>
        <w:rPr>
          <w:color w:val="auto"/>
          <w:spacing w:val="-2"/>
          <w:szCs w:val="21"/>
          <w:highlight w:val="none"/>
        </w:rPr>
        <w:t>简称驻地办</w:t>
      </w:r>
      <w:r>
        <w:rPr>
          <w:color w:val="auto"/>
          <w:spacing w:val="-113"/>
          <w:szCs w:val="21"/>
          <w:highlight w:val="none"/>
        </w:rPr>
        <w:t>）</w:t>
      </w:r>
      <w:r>
        <w:rPr>
          <w:color w:val="auto"/>
          <w:szCs w:val="21"/>
          <w:highlight w:val="none"/>
        </w:rPr>
        <w:t>。</w:t>
      </w:r>
    </w:p>
    <w:p>
      <w:pPr>
        <w:pStyle w:val="32"/>
        <w:numPr>
          <w:ilvl w:val="3"/>
          <w:numId w:val="13"/>
        </w:numPr>
        <w:tabs>
          <w:tab w:val="left" w:pos="1582"/>
        </w:tabs>
        <w:spacing w:after="0" w:line="357" w:lineRule="auto"/>
        <w:ind w:right="463" w:firstLine="439"/>
        <w:rPr>
          <w:color w:val="auto"/>
          <w:szCs w:val="21"/>
          <w:highlight w:val="none"/>
        </w:rPr>
      </w:pPr>
      <w:r>
        <w:rPr>
          <w:color w:val="auto"/>
          <w:spacing w:val="-1"/>
          <w:szCs w:val="21"/>
          <w:highlight w:val="none"/>
        </w:rPr>
        <w:t>行政管理部门：指交通运输主管部门或对本工程依法享有行政监督权限的其他政府部门。</w:t>
      </w:r>
    </w:p>
    <w:p>
      <w:pPr>
        <w:pStyle w:val="32"/>
        <w:numPr>
          <w:ilvl w:val="3"/>
          <w:numId w:val="13"/>
        </w:numPr>
        <w:tabs>
          <w:tab w:val="left" w:pos="1582"/>
        </w:tabs>
        <w:spacing w:after="0" w:line="357" w:lineRule="auto"/>
        <w:ind w:right="462" w:firstLine="439"/>
        <w:rPr>
          <w:color w:val="auto"/>
          <w:szCs w:val="21"/>
          <w:highlight w:val="none"/>
        </w:rPr>
      </w:pPr>
      <w:r>
        <w:rPr>
          <w:color w:val="auto"/>
          <w:szCs w:val="21"/>
          <w:highlight w:val="none"/>
        </w:rPr>
        <w:t>第三方：指除委托人、监理人之外，与本工程建设有关的其他当事人（</w:t>
      </w:r>
      <w:r>
        <w:rPr>
          <w:color w:val="auto"/>
          <w:spacing w:val="-5"/>
          <w:szCs w:val="21"/>
          <w:highlight w:val="none"/>
        </w:rPr>
        <w:t>包括承</w:t>
      </w:r>
      <w:r>
        <w:rPr>
          <w:color w:val="auto"/>
          <w:szCs w:val="21"/>
          <w:highlight w:val="none"/>
        </w:rPr>
        <w:t>包人</w:t>
      </w:r>
      <w:r>
        <w:rPr>
          <w:color w:val="auto"/>
          <w:spacing w:val="-111"/>
          <w:szCs w:val="21"/>
          <w:highlight w:val="none"/>
        </w:rPr>
        <w:t>）</w:t>
      </w:r>
      <w:r>
        <w:rPr>
          <w:color w:val="auto"/>
          <w:szCs w:val="21"/>
          <w:highlight w:val="none"/>
        </w:rPr>
        <w:t>。</w:t>
      </w:r>
    </w:p>
    <w:p>
      <w:pPr>
        <w:pStyle w:val="32"/>
        <w:numPr>
          <w:ilvl w:val="2"/>
          <w:numId w:val="12"/>
        </w:numPr>
        <w:tabs>
          <w:tab w:val="left" w:pos="1416"/>
        </w:tabs>
        <w:spacing w:after="0" w:line="240" w:lineRule="auto"/>
        <w:ind w:hanging="553"/>
        <w:rPr>
          <w:color w:val="auto"/>
          <w:szCs w:val="21"/>
          <w:highlight w:val="none"/>
        </w:rPr>
      </w:pPr>
      <w:r>
        <w:rPr>
          <w:color w:val="auto"/>
          <w:spacing w:val="-2"/>
          <w:szCs w:val="21"/>
          <w:highlight w:val="none"/>
        </w:rPr>
        <w:t>工程和监理</w:t>
      </w:r>
    </w:p>
    <w:p>
      <w:pPr>
        <w:spacing w:before="139"/>
        <w:ind w:left="863"/>
        <w:rPr>
          <w:color w:val="auto"/>
          <w:szCs w:val="21"/>
          <w:highlight w:val="none"/>
        </w:rPr>
      </w:pPr>
      <w:r>
        <w:rPr>
          <w:color w:val="auto"/>
          <w:szCs w:val="21"/>
          <w:highlight w:val="none"/>
        </w:rPr>
        <w:t xml:space="preserve">第 </w:t>
      </w:r>
      <w:r>
        <w:rPr>
          <w:rFonts w:ascii="Times New Roman" w:eastAsia="Times New Roman"/>
          <w:color w:val="auto"/>
          <w:szCs w:val="21"/>
          <w:highlight w:val="none"/>
        </w:rPr>
        <w:t xml:space="preserve">1.1.3.1 </w:t>
      </w:r>
      <w:r>
        <w:rPr>
          <w:color w:val="auto"/>
          <w:szCs w:val="21"/>
          <w:highlight w:val="none"/>
        </w:rPr>
        <w:t>目细化为：</w:t>
      </w:r>
    </w:p>
    <w:p>
      <w:pPr>
        <w:spacing w:before="138" w:line="357" w:lineRule="auto"/>
        <w:ind w:left="424" w:right="461" w:firstLine="439"/>
        <w:rPr>
          <w:color w:val="auto"/>
          <w:szCs w:val="21"/>
          <w:highlight w:val="none"/>
        </w:rPr>
      </w:pPr>
      <w:r>
        <w:rPr>
          <w:color w:val="auto"/>
          <w:szCs w:val="21"/>
          <w:highlight w:val="none"/>
        </w:rPr>
        <w:t>工程：指为完成项目所实施的一项或若干项永久或临时工程（包括向委托人提供的物</w:t>
      </w:r>
      <w:r>
        <w:rPr>
          <w:color w:val="auto"/>
          <w:spacing w:val="-1"/>
          <w:szCs w:val="21"/>
          <w:highlight w:val="none"/>
        </w:rPr>
        <w:t>资和设备</w:t>
      </w:r>
      <w:r>
        <w:rPr>
          <w:color w:val="auto"/>
          <w:spacing w:val="-113"/>
          <w:szCs w:val="21"/>
          <w:highlight w:val="none"/>
        </w:rPr>
        <w:t>）</w:t>
      </w:r>
      <w:r>
        <w:rPr>
          <w:color w:val="auto"/>
          <w:spacing w:val="-3"/>
          <w:szCs w:val="21"/>
          <w:highlight w:val="none"/>
        </w:rPr>
        <w:t>，具体情况在项目专用合同条款中指明。</w:t>
      </w:r>
    </w:p>
    <w:p>
      <w:pPr>
        <w:ind w:left="863"/>
        <w:rPr>
          <w:color w:val="auto"/>
          <w:szCs w:val="21"/>
          <w:highlight w:val="none"/>
        </w:rPr>
      </w:pPr>
      <w:r>
        <w:rPr>
          <w:color w:val="auto"/>
          <w:szCs w:val="21"/>
          <w:highlight w:val="none"/>
        </w:rPr>
        <w:t xml:space="preserve">第 </w:t>
      </w:r>
      <w:r>
        <w:rPr>
          <w:rFonts w:ascii="Times New Roman" w:eastAsia="Times New Roman"/>
          <w:color w:val="auto"/>
          <w:szCs w:val="21"/>
          <w:highlight w:val="none"/>
        </w:rPr>
        <w:t xml:space="preserve">1.1.3.2 </w:t>
      </w:r>
      <w:r>
        <w:rPr>
          <w:color w:val="auto"/>
          <w:szCs w:val="21"/>
          <w:highlight w:val="none"/>
        </w:rPr>
        <w:t>目细化为：</w:t>
      </w:r>
    </w:p>
    <w:p>
      <w:pPr>
        <w:spacing w:before="138" w:line="357" w:lineRule="auto"/>
        <w:ind w:left="424" w:right="457" w:firstLine="439"/>
        <w:jc w:val="both"/>
        <w:rPr>
          <w:color w:val="auto"/>
          <w:szCs w:val="21"/>
          <w:highlight w:val="none"/>
        </w:rPr>
      </w:pPr>
      <w:r>
        <w:rPr>
          <w:color w:val="auto"/>
          <w:szCs w:val="21"/>
          <w:highlight w:val="none"/>
        </w:rPr>
        <w:t>监理服务：指监理人接受委托人的委托，依照法律、规范标准和监理合同等，对公路工程施工准备、施工、验收与缺陷责任期等阶段进行质量控制、进度控制、投资控制、合同管理、信息管理、组织协调和安全监理、环保监理的服务活动。</w:t>
      </w:r>
    </w:p>
    <w:p>
      <w:pPr>
        <w:numPr>
          <w:ilvl w:val="1"/>
          <w:numId w:val="14"/>
        </w:numPr>
        <w:tabs>
          <w:tab w:val="left" w:pos="914"/>
        </w:tabs>
        <w:spacing w:before="71"/>
        <w:rPr>
          <w:rFonts w:ascii="黑体" w:eastAsia="黑体"/>
          <w:b/>
          <w:color w:val="auto"/>
          <w:szCs w:val="21"/>
          <w:highlight w:val="none"/>
        </w:rPr>
      </w:pPr>
      <w:r>
        <w:rPr>
          <w:rFonts w:hint="eastAsia" w:ascii="黑体" w:eastAsia="黑体"/>
          <w:b/>
          <w:color w:val="auto"/>
          <w:szCs w:val="21"/>
          <w:highlight w:val="none"/>
        </w:rPr>
        <w:t>合同文件的优先顺序</w:t>
      </w:r>
    </w:p>
    <w:p>
      <w:pPr>
        <w:spacing w:before="123"/>
        <w:ind w:left="863"/>
        <w:rPr>
          <w:color w:val="auto"/>
          <w:szCs w:val="21"/>
          <w:highlight w:val="none"/>
        </w:rPr>
      </w:pPr>
      <w:r>
        <w:rPr>
          <w:color w:val="auto"/>
          <w:szCs w:val="21"/>
          <w:highlight w:val="none"/>
        </w:rPr>
        <w:t>本款细化为：</w:t>
      </w:r>
    </w:p>
    <w:p>
      <w:pPr>
        <w:spacing w:before="139" w:line="357" w:lineRule="auto"/>
        <w:ind w:left="424" w:right="462" w:firstLine="439"/>
        <w:rPr>
          <w:color w:val="auto"/>
          <w:szCs w:val="21"/>
          <w:highlight w:val="none"/>
        </w:rPr>
      </w:pPr>
      <w:r>
        <w:rPr>
          <w:color w:val="auto"/>
          <w:szCs w:val="21"/>
          <w:highlight w:val="none"/>
        </w:rPr>
        <w:t>组成合同的各项文件应互相解释，互为说明。除项目专用合同条款另有约定外，解释合同文件的优先顺序如下：</w:t>
      </w:r>
    </w:p>
    <w:p>
      <w:pPr>
        <w:pStyle w:val="32"/>
        <w:numPr>
          <w:ilvl w:val="2"/>
          <w:numId w:val="14"/>
        </w:numPr>
        <w:tabs>
          <w:tab w:val="left" w:pos="1417"/>
        </w:tabs>
        <w:spacing w:after="0" w:line="240" w:lineRule="auto"/>
        <w:ind w:hanging="554"/>
        <w:rPr>
          <w:color w:val="auto"/>
          <w:szCs w:val="21"/>
          <w:highlight w:val="none"/>
        </w:rPr>
      </w:pPr>
      <w:r>
        <w:rPr>
          <w:color w:val="auto"/>
          <w:spacing w:val="-3"/>
          <w:szCs w:val="21"/>
          <w:highlight w:val="none"/>
        </w:rPr>
        <w:t>合同协议书及各种合同附件；</w:t>
      </w:r>
    </w:p>
    <w:p>
      <w:pPr>
        <w:pStyle w:val="32"/>
        <w:numPr>
          <w:ilvl w:val="2"/>
          <w:numId w:val="14"/>
        </w:numPr>
        <w:tabs>
          <w:tab w:val="left" w:pos="1417"/>
        </w:tabs>
        <w:spacing w:before="138" w:after="0" w:line="240" w:lineRule="auto"/>
        <w:ind w:hanging="554"/>
        <w:rPr>
          <w:color w:val="auto"/>
          <w:szCs w:val="21"/>
          <w:highlight w:val="none"/>
        </w:rPr>
      </w:pPr>
      <w:r>
        <w:rPr>
          <w:color w:val="auto"/>
          <w:spacing w:val="-3"/>
          <w:szCs w:val="21"/>
          <w:highlight w:val="none"/>
        </w:rPr>
        <w:t>中标通知书；</w:t>
      </w:r>
    </w:p>
    <w:p>
      <w:pPr>
        <w:pStyle w:val="32"/>
        <w:numPr>
          <w:ilvl w:val="2"/>
          <w:numId w:val="14"/>
        </w:numPr>
        <w:tabs>
          <w:tab w:val="left" w:pos="1417"/>
        </w:tabs>
        <w:spacing w:before="138" w:after="0" w:line="240" w:lineRule="auto"/>
        <w:ind w:hanging="554"/>
        <w:rPr>
          <w:color w:val="auto"/>
          <w:szCs w:val="21"/>
          <w:highlight w:val="none"/>
        </w:rPr>
      </w:pPr>
      <w:r>
        <w:rPr>
          <w:color w:val="auto"/>
          <w:spacing w:val="-2"/>
          <w:szCs w:val="21"/>
          <w:highlight w:val="none"/>
        </w:rPr>
        <w:t>投标函；</w:t>
      </w:r>
    </w:p>
    <w:p>
      <w:pPr>
        <w:pStyle w:val="32"/>
        <w:numPr>
          <w:ilvl w:val="2"/>
          <w:numId w:val="14"/>
        </w:numPr>
        <w:tabs>
          <w:tab w:val="left" w:pos="1417"/>
        </w:tabs>
        <w:spacing w:before="139" w:after="0" w:line="240" w:lineRule="auto"/>
        <w:ind w:hanging="554"/>
        <w:rPr>
          <w:color w:val="auto"/>
          <w:szCs w:val="21"/>
          <w:highlight w:val="none"/>
        </w:rPr>
      </w:pPr>
      <w:r>
        <w:rPr>
          <w:color w:val="auto"/>
          <w:spacing w:val="-3"/>
          <w:szCs w:val="21"/>
          <w:highlight w:val="none"/>
        </w:rPr>
        <w:t>项目专用合同条款；</w:t>
      </w:r>
    </w:p>
    <w:p>
      <w:pPr>
        <w:pStyle w:val="32"/>
        <w:numPr>
          <w:ilvl w:val="2"/>
          <w:numId w:val="14"/>
        </w:numPr>
        <w:tabs>
          <w:tab w:val="left" w:pos="1417"/>
        </w:tabs>
        <w:spacing w:before="138" w:after="0" w:line="240" w:lineRule="auto"/>
        <w:ind w:hanging="554"/>
        <w:rPr>
          <w:color w:val="auto"/>
          <w:szCs w:val="21"/>
          <w:highlight w:val="none"/>
        </w:rPr>
      </w:pPr>
      <w:r>
        <w:rPr>
          <w:color w:val="auto"/>
          <w:spacing w:val="-3"/>
          <w:szCs w:val="21"/>
          <w:highlight w:val="none"/>
        </w:rPr>
        <w:t>公路工程专用合同条款；</w:t>
      </w:r>
    </w:p>
    <w:p>
      <w:pPr>
        <w:pStyle w:val="32"/>
        <w:numPr>
          <w:ilvl w:val="2"/>
          <w:numId w:val="14"/>
        </w:numPr>
        <w:tabs>
          <w:tab w:val="left" w:pos="1417"/>
        </w:tabs>
        <w:spacing w:before="138" w:after="0" w:line="240" w:lineRule="auto"/>
        <w:ind w:hanging="554"/>
        <w:rPr>
          <w:color w:val="auto"/>
          <w:szCs w:val="21"/>
          <w:highlight w:val="none"/>
        </w:rPr>
      </w:pPr>
      <w:r>
        <w:rPr>
          <w:color w:val="auto"/>
          <w:spacing w:val="-3"/>
          <w:szCs w:val="21"/>
          <w:highlight w:val="none"/>
        </w:rPr>
        <w:t>通用合同条款；</w:t>
      </w:r>
    </w:p>
    <w:p>
      <w:pPr>
        <w:pStyle w:val="32"/>
        <w:numPr>
          <w:ilvl w:val="2"/>
          <w:numId w:val="14"/>
        </w:numPr>
        <w:tabs>
          <w:tab w:val="left" w:pos="1417"/>
        </w:tabs>
        <w:spacing w:before="138" w:after="0" w:line="240" w:lineRule="auto"/>
        <w:ind w:hanging="554"/>
        <w:rPr>
          <w:color w:val="auto"/>
          <w:szCs w:val="21"/>
          <w:highlight w:val="none"/>
        </w:rPr>
      </w:pPr>
      <w:r>
        <w:rPr>
          <w:color w:val="auto"/>
          <w:spacing w:val="-3"/>
          <w:szCs w:val="21"/>
          <w:highlight w:val="none"/>
        </w:rPr>
        <w:t>委托人要求；</w:t>
      </w:r>
    </w:p>
    <w:p>
      <w:pPr>
        <w:pStyle w:val="32"/>
        <w:numPr>
          <w:ilvl w:val="2"/>
          <w:numId w:val="14"/>
        </w:numPr>
        <w:tabs>
          <w:tab w:val="left" w:pos="1417"/>
        </w:tabs>
        <w:spacing w:before="138" w:after="0" w:line="240" w:lineRule="auto"/>
        <w:ind w:hanging="554"/>
        <w:rPr>
          <w:color w:val="auto"/>
          <w:szCs w:val="21"/>
          <w:highlight w:val="none"/>
        </w:rPr>
      </w:pPr>
      <w:r>
        <w:rPr>
          <w:color w:val="auto"/>
          <w:spacing w:val="-3"/>
          <w:szCs w:val="21"/>
          <w:highlight w:val="none"/>
        </w:rPr>
        <w:t>监理服务费用清单；</w:t>
      </w:r>
    </w:p>
    <w:p>
      <w:pPr>
        <w:pStyle w:val="32"/>
        <w:numPr>
          <w:ilvl w:val="2"/>
          <w:numId w:val="14"/>
        </w:numPr>
        <w:tabs>
          <w:tab w:val="left" w:pos="1417"/>
        </w:tabs>
        <w:spacing w:before="138" w:after="0" w:line="240" w:lineRule="auto"/>
        <w:ind w:hanging="554"/>
        <w:rPr>
          <w:color w:val="auto"/>
          <w:szCs w:val="21"/>
          <w:highlight w:val="none"/>
        </w:rPr>
      </w:pPr>
      <w:r>
        <w:rPr>
          <w:color w:val="auto"/>
          <w:spacing w:val="-3"/>
          <w:szCs w:val="21"/>
          <w:highlight w:val="none"/>
        </w:rPr>
        <w:t>监理人有关人员、试验检测设备投入的承诺；</w:t>
      </w:r>
    </w:p>
    <w:p>
      <w:pPr>
        <w:pStyle w:val="32"/>
        <w:numPr>
          <w:ilvl w:val="2"/>
          <w:numId w:val="14"/>
        </w:numPr>
        <w:tabs>
          <w:tab w:val="left" w:pos="1527"/>
        </w:tabs>
        <w:spacing w:before="138" w:after="0" w:line="240" w:lineRule="auto"/>
        <w:ind w:left="1527" w:hanging="664"/>
        <w:rPr>
          <w:color w:val="auto"/>
          <w:szCs w:val="21"/>
          <w:highlight w:val="none"/>
        </w:rPr>
      </w:pPr>
      <w:r>
        <w:rPr>
          <w:color w:val="auto"/>
          <w:spacing w:val="-3"/>
          <w:szCs w:val="21"/>
          <w:highlight w:val="none"/>
        </w:rPr>
        <w:t>其他合同文件。</w:t>
      </w:r>
    </w:p>
    <w:p>
      <w:pPr>
        <w:spacing w:before="139" w:line="357" w:lineRule="auto"/>
        <w:ind w:left="424" w:right="457" w:firstLine="439"/>
        <w:rPr>
          <w:color w:val="auto"/>
          <w:szCs w:val="21"/>
          <w:highlight w:val="none"/>
        </w:rPr>
      </w:pPr>
      <w:r>
        <w:rPr>
          <w:color w:val="auto"/>
          <w:szCs w:val="21"/>
          <w:highlight w:val="none"/>
        </w:rPr>
        <w:t>合同当事人针对各类合同文件所作出的补充和修改亦属于合同文件的组成部分，属于</w:t>
      </w:r>
      <w:r>
        <w:rPr>
          <w:color w:val="auto"/>
          <w:spacing w:val="-3"/>
          <w:szCs w:val="21"/>
          <w:highlight w:val="none"/>
        </w:rPr>
        <w:t>同一类内容的文件，应以最新签署的为准。</w:t>
      </w:r>
    </w:p>
    <w:p>
      <w:pPr>
        <w:numPr>
          <w:ilvl w:val="1"/>
          <w:numId w:val="15"/>
        </w:numPr>
        <w:tabs>
          <w:tab w:val="left" w:pos="914"/>
        </w:tabs>
        <w:spacing w:line="316" w:lineRule="exact"/>
        <w:rPr>
          <w:rFonts w:ascii="黑体" w:eastAsia="黑体"/>
          <w:b/>
          <w:color w:val="auto"/>
          <w:szCs w:val="21"/>
          <w:highlight w:val="none"/>
        </w:rPr>
      </w:pPr>
      <w:r>
        <w:rPr>
          <w:rFonts w:hint="eastAsia" w:ascii="黑体" w:eastAsia="黑体"/>
          <w:b/>
          <w:color w:val="auto"/>
          <w:szCs w:val="21"/>
          <w:highlight w:val="none"/>
        </w:rPr>
        <w:t>文件的提供和照管</w:t>
      </w:r>
    </w:p>
    <w:p>
      <w:pPr>
        <w:pStyle w:val="32"/>
        <w:numPr>
          <w:ilvl w:val="2"/>
          <w:numId w:val="15"/>
        </w:numPr>
        <w:tabs>
          <w:tab w:val="left" w:pos="1416"/>
        </w:tabs>
        <w:spacing w:before="123" w:after="0" w:line="357" w:lineRule="auto"/>
        <w:ind w:right="6608" w:firstLine="0"/>
        <w:jc w:val="both"/>
        <w:rPr>
          <w:color w:val="auto"/>
          <w:szCs w:val="21"/>
          <w:highlight w:val="none"/>
        </w:rPr>
      </w:pPr>
      <w:r>
        <w:rPr>
          <w:color w:val="auto"/>
          <w:spacing w:val="-5"/>
          <w:szCs w:val="21"/>
          <w:highlight w:val="none"/>
        </w:rPr>
        <w:t>监理文件的提供</w:t>
      </w:r>
      <w:r>
        <w:rPr>
          <w:color w:val="auto"/>
          <w:spacing w:val="-1"/>
          <w:szCs w:val="21"/>
          <w:highlight w:val="none"/>
        </w:rPr>
        <w:t>本项细化为：</w:t>
      </w:r>
    </w:p>
    <w:p>
      <w:pPr>
        <w:spacing w:line="357" w:lineRule="auto"/>
        <w:ind w:left="424" w:right="462" w:firstLine="439"/>
        <w:jc w:val="both"/>
        <w:rPr>
          <w:color w:val="auto"/>
          <w:szCs w:val="21"/>
          <w:highlight w:val="none"/>
        </w:rPr>
      </w:pPr>
      <w:r>
        <w:rPr>
          <w:color w:val="auto"/>
          <w:spacing w:val="-9"/>
          <w:szCs w:val="21"/>
          <w:highlight w:val="none"/>
        </w:rPr>
        <w:t>监理人应在合理的期限内按照国家、公路行业现行标准、规范、规定，《公路工程施工</w:t>
      </w:r>
      <w:r>
        <w:rPr>
          <w:color w:val="auto"/>
          <w:spacing w:val="-10"/>
          <w:szCs w:val="21"/>
          <w:highlight w:val="none"/>
        </w:rPr>
        <w:t>监理规范》及施工承包合同约定向委托人提供监理文件。合同约定监理文件应经委托人批</w:t>
      </w:r>
      <w:r>
        <w:rPr>
          <w:color w:val="auto"/>
          <w:spacing w:val="-3"/>
          <w:szCs w:val="21"/>
          <w:highlight w:val="none"/>
        </w:rPr>
        <w:t>复的，委托人应当在合同约定的期限内批复或提出修改意见。</w:t>
      </w:r>
    </w:p>
    <w:p>
      <w:pPr>
        <w:pStyle w:val="32"/>
        <w:numPr>
          <w:ilvl w:val="2"/>
          <w:numId w:val="15"/>
        </w:numPr>
        <w:tabs>
          <w:tab w:val="left" w:pos="1416"/>
        </w:tabs>
        <w:spacing w:before="1" w:after="0" w:line="357" w:lineRule="auto"/>
        <w:ind w:right="6387" w:firstLine="0"/>
        <w:rPr>
          <w:color w:val="auto"/>
          <w:szCs w:val="21"/>
          <w:highlight w:val="none"/>
        </w:rPr>
      </w:pPr>
      <w:r>
        <w:rPr>
          <w:color w:val="auto"/>
          <w:spacing w:val="-5"/>
          <w:szCs w:val="21"/>
          <w:highlight w:val="none"/>
        </w:rPr>
        <w:t>委托人提供的文件</w:t>
      </w:r>
      <w:r>
        <w:rPr>
          <w:color w:val="auto"/>
          <w:spacing w:val="-1"/>
          <w:szCs w:val="21"/>
          <w:highlight w:val="none"/>
        </w:rPr>
        <w:t>本项细化为：</w:t>
      </w:r>
    </w:p>
    <w:p>
      <w:pPr>
        <w:ind w:left="863"/>
        <w:rPr>
          <w:rFonts w:ascii="Times New Roman" w:eastAsia="Times New Roman"/>
          <w:color w:val="auto"/>
          <w:szCs w:val="21"/>
          <w:highlight w:val="none"/>
        </w:rPr>
      </w:pPr>
      <w:r>
        <w:rPr>
          <w:color w:val="auto"/>
          <w:szCs w:val="21"/>
          <w:highlight w:val="none"/>
        </w:rPr>
        <w:t xml:space="preserve">除项目专用合同条款另有约定外，委托人应在监理合同生效且取得相关文件、资料后 </w:t>
      </w:r>
      <w:r>
        <w:rPr>
          <w:rFonts w:ascii="Times New Roman" w:eastAsia="Times New Roman"/>
          <w:color w:val="auto"/>
          <w:szCs w:val="21"/>
          <w:highlight w:val="none"/>
        </w:rPr>
        <w:t>7</w:t>
      </w:r>
    </w:p>
    <w:p>
      <w:pPr>
        <w:spacing w:before="138"/>
        <w:ind w:left="424"/>
        <w:rPr>
          <w:color w:val="auto"/>
          <w:szCs w:val="21"/>
          <w:highlight w:val="none"/>
        </w:rPr>
      </w:pPr>
      <w:r>
        <w:rPr>
          <w:color w:val="auto"/>
          <w:szCs w:val="21"/>
          <w:highlight w:val="none"/>
        </w:rPr>
        <w:t>天内，向监理人免费提供下述文件、资料：</w:t>
      </w:r>
    </w:p>
    <w:p>
      <w:pPr>
        <w:pStyle w:val="32"/>
        <w:numPr>
          <w:ilvl w:val="0"/>
          <w:numId w:val="16"/>
        </w:numPr>
        <w:tabs>
          <w:tab w:val="left" w:pos="1417"/>
        </w:tabs>
        <w:spacing w:before="138" w:after="0" w:line="240" w:lineRule="auto"/>
        <w:ind w:hanging="554"/>
        <w:rPr>
          <w:color w:val="auto"/>
          <w:szCs w:val="21"/>
          <w:highlight w:val="none"/>
        </w:rPr>
      </w:pPr>
      <w:r>
        <w:rPr>
          <w:color w:val="auto"/>
          <w:spacing w:val="-7"/>
          <w:szCs w:val="21"/>
          <w:highlight w:val="none"/>
        </w:rPr>
        <w:t xml:space="preserve">委托人与承包人签订的施工承包合同 </w:t>
      </w:r>
      <w:r>
        <w:rPr>
          <w:rFonts w:ascii="Times New Roman" w:eastAsia="Times New Roman"/>
          <w:color w:val="auto"/>
          <w:szCs w:val="21"/>
          <w:highlight w:val="none"/>
        </w:rPr>
        <w:t xml:space="preserve">1 </w:t>
      </w:r>
      <w:r>
        <w:rPr>
          <w:color w:val="auto"/>
          <w:spacing w:val="-3"/>
          <w:szCs w:val="21"/>
          <w:highlight w:val="none"/>
        </w:rPr>
        <w:t>份。</w:t>
      </w:r>
    </w:p>
    <w:p>
      <w:pPr>
        <w:pStyle w:val="32"/>
        <w:numPr>
          <w:ilvl w:val="0"/>
          <w:numId w:val="16"/>
        </w:numPr>
        <w:tabs>
          <w:tab w:val="left" w:pos="1417"/>
        </w:tabs>
        <w:spacing w:before="138" w:after="0" w:line="240" w:lineRule="auto"/>
        <w:ind w:hanging="554"/>
        <w:rPr>
          <w:color w:val="auto"/>
          <w:szCs w:val="21"/>
          <w:highlight w:val="none"/>
        </w:rPr>
      </w:pPr>
      <w:r>
        <w:rPr>
          <w:color w:val="auto"/>
          <w:spacing w:val="-5"/>
          <w:szCs w:val="21"/>
          <w:highlight w:val="none"/>
        </w:rPr>
        <w:t xml:space="preserve">委托人与承包人共同确认的已标价的工程量清单及其说明 </w:t>
      </w:r>
      <w:r>
        <w:rPr>
          <w:rFonts w:ascii="Times New Roman" w:eastAsia="Times New Roman"/>
          <w:color w:val="auto"/>
          <w:szCs w:val="21"/>
          <w:highlight w:val="none"/>
        </w:rPr>
        <w:t>1</w:t>
      </w:r>
      <w:r>
        <w:rPr>
          <w:rFonts w:ascii="Times New Roman" w:eastAsia="Times New Roman"/>
          <w:color w:val="auto"/>
          <w:spacing w:val="-2"/>
          <w:szCs w:val="21"/>
          <w:highlight w:val="none"/>
        </w:rPr>
        <w:t xml:space="preserve"> </w:t>
      </w:r>
      <w:r>
        <w:rPr>
          <w:color w:val="auto"/>
          <w:szCs w:val="21"/>
          <w:highlight w:val="none"/>
        </w:rPr>
        <w:t>份。</w:t>
      </w:r>
    </w:p>
    <w:p>
      <w:pPr>
        <w:pStyle w:val="32"/>
        <w:numPr>
          <w:ilvl w:val="0"/>
          <w:numId w:val="16"/>
        </w:numPr>
        <w:tabs>
          <w:tab w:val="left" w:pos="1417"/>
        </w:tabs>
        <w:spacing w:before="139" w:after="0" w:line="240" w:lineRule="auto"/>
        <w:ind w:hanging="554"/>
        <w:rPr>
          <w:color w:val="auto"/>
          <w:szCs w:val="21"/>
          <w:highlight w:val="none"/>
        </w:rPr>
      </w:pPr>
      <w:r>
        <w:rPr>
          <w:color w:val="auto"/>
          <w:spacing w:val="-7"/>
          <w:szCs w:val="21"/>
          <w:highlight w:val="none"/>
        </w:rPr>
        <w:t xml:space="preserve">合同图纸和相关的标准图纸及说明 </w:t>
      </w:r>
      <w:r>
        <w:rPr>
          <w:rFonts w:ascii="Times New Roman" w:eastAsia="Times New Roman"/>
          <w:color w:val="auto"/>
          <w:szCs w:val="21"/>
          <w:highlight w:val="none"/>
        </w:rPr>
        <w:t xml:space="preserve">1 </w:t>
      </w:r>
      <w:r>
        <w:rPr>
          <w:color w:val="auto"/>
          <w:szCs w:val="21"/>
          <w:highlight w:val="none"/>
        </w:rPr>
        <w:t>套。</w:t>
      </w:r>
    </w:p>
    <w:p>
      <w:pPr>
        <w:pStyle w:val="32"/>
        <w:numPr>
          <w:ilvl w:val="0"/>
          <w:numId w:val="16"/>
        </w:numPr>
        <w:tabs>
          <w:tab w:val="left" w:pos="1417"/>
        </w:tabs>
        <w:spacing w:before="138" w:after="0" w:line="240" w:lineRule="auto"/>
        <w:ind w:hanging="554"/>
        <w:rPr>
          <w:color w:val="auto"/>
          <w:szCs w:val="21"/>
          <w:highlight w:val="none"/>
        </w:rPr>
      </w:pPr>
      <w:r>
        <w:rPr>
          <w:color w:val="auto"/>
          <w:spacing w:val="-6"/>
          <w:szCs w:val="21"/>
          <w:highlight w:val="none"/>
        </w:rPr>
        <w:t xml:space="preserve">合同指定使用的技术规范、检验评定标准、操作规程 </w:t>
      </w:r>
      <w:r>
        <w:rPr>
          <w:rFonts w:ascii="Times New Roman" w:eastAsia="Times New Roman"/>
          <w:color w:val="auto"/>
          <w:szCs w:val="21"/>
          <w:highlight w:val="none"/>
        </w:rPr>
        <w:t xml:space="preserve">1 </w:t>
      </w:r>
      <w:r>
        <w:rPr>
          <w:color w:val="auto"/>
          <w:szCs w:val="21"/>
          <w:highlight w:val="none"/>
        </w:rPr>
        <w:t>套。</w:t>
      </w:r>
    </w:p>
    <w:p>
      <w:pPr>
        <w:pStyle w:val="32"/>
        <w:numPr>
          <w:ilvl w:val="0"/>
          <w:numId w:val="16"/>
        </w:numPr>
        <w:tabs>
          <w:tab w:val="left" w:pos="1417"/>
        </w:tabs>
        <w:spacing w:before="138" w:after="0" w:line="240" w:lineRule="auto"/>
        <w:ind w:hanging="554"/>
        <w:rPr>
          <w:color w:val="auto"/>
          <w:szCs w:val="21"/>
          <w:highlight w:val="none"/>
        </w:rPr>
      </w:pPr>
      <w:r>
        <w:rPr>
          <w:color w:val="auto"/>
          <w:spacing w:val="-3"/>
          <w:szCs w:val="21"/>
          <w:highlight w:val="none"/>
        </w:rPr>
        <w:t>其他相关资料。</w:t>
      </w:r>
    </w:p>
    <w:p>
      <w:pPr>
        <w:spacing w:before="138"/>
        <w:ind w:left="863"/>
        <w:rPr>
          <w:color w:val="auto"/>
          <w:szCs w:val="21"/>
          <w:highlight w:val="none"/>
        </w:rPr>
      </w:pPr>
      <w:r>
        <w:rPr>
          <w:color w:val="auto"/>
          <w:szCs w:val="21"/>
          <w:highlight w:val="none"/>
        </w:rPr>
        <w:t xml:space="preserve">由于委托人未按时提供文件造成监理服务期限延误的，按第 </w:t>
      </w:r>
      <w:r>
        <w:rPr>
          <w:rFonts w:ascii="Times New Roman" w:eastAsia="Times New Roman"/>
          <w:color w:val="auto"/>
          <w:szCs w:val="21"/>
          <w:highlight w:val="none"/>
        </w:rPr>
        <w:t xml:space="preserve">6.2 </w:t>
      </w:r>
      <w:r>
        <w:rPr>
          <w:color w:val="auto"/>
          <w:szCs w:val="21"/>
          <w:highlight w:val="none"/>
        </w:rPr>
        <w:t>款约定执行。</w:t>
      </w:r>
    </w:p>
    <w:p>
      <w:pPr>
        <w:numPr>
          <w:ilvl w:val="1"/>
          <w:numId w:val="17"/>
        </w:numPr>
        <w:tabs>
          <w:tab w:val="left" w:pos="914"/>
        </w:tabs>
        <w:spacing w:before="71"/>
        <w:rPr>
          <w:rFonts w:ascii="黑体" w:eastAsia="黑体"/>
          <w:b/>
          <w:color w:val="auto"/>
          <w:szCs w:val="21"/>
          <w:highlight w:val="none"/>
        </w:rPr>
      </w:pPr>
      <w:r>
        <w:rPr>
          <w:rFonts w:hint="eastAsia" w:ascii="黑体" w:eastAsia="黑体"/>
          <w:b/>
          <w:color w:val="auto"/>
          <w:szCs w:val="21"/>
          <w:highlight w:val="none"/>
        </w:rPr>
        <w:t>转让和分包</w:t>
      </w:r>
    </w:p>
    <w:p>
      <w:pPr>
        <w:spacing w:before="123"/>
        <w:ind w:left="863"/>
        <w:rPr>
          <w:color w:val="auto"/>
          <w:szCs w:val="21"/>
          <w:highlight w:val="none"/>
        </w:rPr>
      </w:pPr>
      <w:r>
        <w:rPr>
          <w:color w:val="auto"/>
          <w:szCs w:val="21"/>
          <w:highlight w:val="none"/>
        </w:rPr>
        <w:t>本款细化为：</w:t>
      </w:r>
    </w:p>
    <w:p>
      <w:pPr>
        <w:pStyle w:val="32"/>
        <w:numPr>
          <w:ilvl w:val="2"/>
          <w:numId w:val="17"/>
        </w:numPr>
        <w:tabs>
          <w:tab w:val="left" w:pos="1416"/>
        </w:tabs>
        <w:spacing w:before="139" w:after="0" w:line="357" w:lineRule="auto"/>
        <w:ind w:right="464" w:firstLine="439"/>
        <w:rPr>
          <w:color w:val="auto"/>
          <w:szCs w:val="21"/>
          <w:highlight w:val="none"/>
        </w:rPr>
      </w:pPr>
      <w:r>
        <w:rPr>
          <w:color w:val="auto"/>
          <w:spacing w:val="-5"/>
          <w:szCs w:val="21"/>
          <w:highlight w:val="none"/>
        </w:rPr>
        <w:t>除项目专用合同条款另有约定外，未经对方当事人同意，一方当事人不得将合同</w:t>
      </w:r>
      <w:r>
        <w:rPr>
          <w:color w:val="auto"/>
          <w:spacing w:val="-4"/>
          <w:szCs w:val="21"/>
          <w:highlight w:val="none"/>
        </w:rPr>
        <w:t>权利全部或部分转让给第三人，也不得全部或部分转移合同义务。</w:t>
      </w:r>
    </w:p>
    <w:p>
      <w:pPr>
        <w:pStyle w:val="32"/>
        <w:numPr>
          <w:ilvl w:val="2"/>
          <w:numId w:val="17"/>
        </w:numPr>
        <w:tabs>
          <w:tab w:val="left" w:pos="1416"/>
        </w:tabs>
        <w:spacing w:after="0" w:line="357" w:lineRule="auto"/>
        <w:ind w:right="464" w:firstLine="439"/>
        <w:rPr>
          <w:color w:val="auto"/>
          <w:szCs w:val="21"/>
          <w:highlight w:val="none"/>
        </w:rPr>
      </w:pPr>
      <w:r>
        <w:rPr>
          <w:color w:val="auto"/>
          <w:spacing w:val="-6"/>
          <w:szCs w:val="21"/>
          <w:highlight w:val="none"/>
        </w:rPr>
        <w:t>监理人不得将监理服务的任何部分分包。监理人因监理服务的需要，聘用专业技</w:t>
      </w:r>
      <w:r>
        <w:rPr>
          <w:color w:val="auto"/>
          <w:spacing w:val="-3"/>
          <w:szCs w:val="21"/>
          <w:highlight w:val="none"/>
        </w:rPr>
        <w:t>术人员和辅助工作人员不属于分包。</w:t>
      </w:r>
    </w:p>
    <w:p>
      <w:pPr>
        <w:spacing w:line="316" w:lineRule="exact"/>
        <w:ind w:left="424"/>
        <w:rPr>
          <w:rFonts w:ascii="黑体" w:eastAsia="黑体"/>
          <w:b/>
          <w:color w:val="auto"/>
          <w:szCs w:val="21"/>
          <w:highlight w:val="none"/>
        </w:rPr>
      </w:pPr>
      <w:r>
        <w:rPr>
          <w:rFonts w:ascii="Times New Roman" w:eastAsia="Times New Roman"/>
          <w:b/>
          <w:color w:val="auto"/>
          <w:szCs w:val="21"/>
          <w:highlight w:val="none"/>
        </w:rPr>
        <w:t>1.10</w:t>
      </w:r>
      <w:r>
        <w:rPr>
          <w:rFonts w:ascii="Times New Roman" w:eastAsia="Times New Roman"/>
          <w:b/>
          <w:color w:val="auto"/>
          <w:spacing w:val="68"/>
          <w:szCs w:val="21"/>
          <w:highlight w:val="none"/>
        </w:rPr>
        <w:t xml:space="preserve"> </w:t>
      </w:r>
      <w:r>
        <w:rPr>
          <w:rFonts w:hint="eastAsia" w:ascii="黑体" w:eastAsia="黑体"/>
          <w:b/>
          <w:color w:val="auto"/>
          <w:szCs w:val="21"/>
          <w:highlight w:val="none"/>
        </w:rPr>
        <w:t>知识产权</w:t>
      </w:r>
    </w:p>
    <w:p>
      <w:pPr>
        <w:spacing w:before="124"/>
        <w:ind w:left="863"/>
        <w:jc w:val="both"/>
        <w:rPr>
          <w:color w:val="auto"/>
          <w:szCs w:val="21"/>
          <w:highlight w:val="none"/>
        </w:rPr>
      </w:pPr>
      <w:r>
        <w:rPr>
          <w:color w:val="auto"/>
          <w:szCs w:val="21"/>
          <w:highlight w:val="none"/>
        </w:rPr>
        <w:t xml:space="preserve">本款补充第 </w:t>
      </w:r>
      <w:r>
        <w:rPr>
          <w:rFonts w:ascii="Times New Roman" w:eastAsia="Times New Roman"/>
          <w:color w:val="auto"/>
          <w:szCs w:val="21"/>
          <w:highlight w:val="none"/>
        </w:rPr>
        <w:t xml:space="preserve">1.10.4 </w:t>
      </w:r>
      <w:r>
        <w:rPr>
          <w:color w:val="auto"/>
          <w:szCs w:val="21"/>
          <w:highlight w:val="none"/>
        </w:rPr>
        <w:t>项：</w:t>
      </w:r>
    </w:p>
    <w:p>
      <w:pPr>
        <w:spacing w:before="138" w:line="357" w:lineRule="auto"/>
        <w:ind w:left="424" w:right="466" w:firstLine="439"/>
        <w:jc w:val="both"/>
        <w:rPr>
          <w:color w:val="auto"/>
          <w:szCs w:val="21"/>
          <w:highlight w:val="none"/>
        </w:rPr>
      </w:pPr>
      <w:r>
        <w:rPr>
          <w:rFonts w:ascii="Times New Roman" w:eastAsia="Times New Roman"/>
          <w:color w:val="auto"/>
          <w:szCs w:val="21"/>
          <w:highlight w:val="none"/>
        </w:rPr>
        <w:t xml:space="preserve">1.10.4 </w:t>
      </w:r>
      <w:r>
        <w:rPr>
          <w:color w:val="auto"/>
          <w:szCs w:val="21"/>
          <w:highlight w:val="none"/>
        </w:rPr>
        <w:t>除项目专用合同条款另有约定外，监理人有权出版与本项目或本工程监理服务有关的资料。但未经委托人同意，上述出版物中不得涉及委托人的专利、专有技术以及经济情报。</w:t>
      </w:r>
    </w:p>
    <w:p>
      <w:pPr>
        <w:ind w:left="863"/>
        <w:jc w:val="both"/>
        <w:rPr>
          <w:color w:val="auto"/>
          <w:szCs w:val="21"/>
          <w:highlight w:val="none"/>
        </w:rPr>
      </w:pPr>
      <w:r>
        <w:rPr>
          <w:color w:val="auto"/>
          <w:szCs w:val="21"/>
          <w:highlight w:val="none"/>
        </w:rPr>
        <w:t xml:space="preserve">本条补充第 </w:t>
      </w:r>
      <w:r>
        <w:rPr>
          <w:rFonts w:ascii="Times New Roman" w:eastAsia="Times New Roman"/>
          <w:color w:val="auto"/>
          <w:szCs w:val="21"/>
          <w:highlight w:val="none"/>
        </w:rPr>
        <w:t xml:space="preserve">1.13 </w:t>
      </w:r>
      <w:r>
        <w:rPr>
          <w:color w:val="auto"/>
          <w:szCs w:val="21"/>
          <w:highlight w:val="none"/>
        </w:rPr>
        <w:t>款：</w:t>
      </w:r>
    </w:p>
    <w:p>
      <w:pPr>
        <w:spacing w:before="93"/>
        <w:ind w:left="424"/>
        <w:rPr>
          <w:rFonts w:ascii="黑体" w:eastAsia="黑体"/>
          <w:b/>
          <w:color w:val="auto"/>
          <w:szCs w:val="21"/>
          <w:highlight w:val="none"/>
        </w:rPr>
      </w:pPr>
      <w:r>
        <w:rPr>
          <w:rFonts w:ascii="Times New Roman" w:eastAsia="Times New Roman"/>
          <w:b/>
          <w:color w:val="auto"/>
          <w:szCs w:val="21"/>
          <w:highlight w:val="none"/>
        </w:rPr>
        <w:t>1.13</w:t>
      </w:r>
      <w:r>
        <w:rPr>
          <w:rFonts w:ascii="Times New Roman" w:eastAsia="Times New Roman"/>
          <w:b/>
          <w:color w:val="auto"/>
          <w:spacing w:val="68"/>
          <w:szCs w:val="21"/>
          <w:highlight w:val="none"/>
        </w:rPr>
        <w:t xml:space="preserve"> </w:t>
      </w:r>
      <w:r>
        <w:rPr>
          <w:rFonts w:hint="eastAsia" w:ascii="黑体" w:eastAsia="黑体"/>
          <w:b/>
          <w:color w:val="auto"/>
          <w:szCs w:val="21"/>
          <w:highlight w:val="none"/>
        </w:rPr>
        <w:t>避免利益冲突</w:t>
      </w:r>
    </w:p>
    <w:p>
      <w:pPr>
        <w:spacing w:before="107" w:line="340" w:lineRule="auto"/>
        <w:ind w:left="424" w:right="467" w:firstLine="439"/>
        <w:rPr>
          <w:color w:val="auto"/>
          <w:szCs w:val="21"/>
          <w:highlight w:val="none"/>
        </w:rPr>
      </w:pPr>
      <w:r>
        <w:rPr>
          <w:color w:val="auto"/>
          <w:szCs w:val="21"/>
          <w:highlight w:val="none"/>
        </w:rPr>
        <w:t>未经委托人书面同意，监理人不得获取本监理合同约定以外的与本工程有关的任何利益，不得参与与本监理合同约定的委托人利益相冲突的任何活动。</w:t>
      </w:r>
    </w:p>
    <w:p>
      <w:pPr>
        <w:pStyle w:val="6"/>
        <w:numPr>
          <w:ilvl w:val="0"/>
          <w:numId w:val="12"/>
        </w:numPr>
        <w:tabs>
          <w:tab w:val="left" w:pos="826"/>
        </w:tabs>
        <w:spacing w:before="1" w:after="0" w:line="240" w:lineRule="auto"/>
        <w:ind w:hanging="402"/>
        <w:rPr>
          <w:color w:val="auto"/>
          <w:sz w:val="21"/>
          <w:szCs w:val="21"/>
          <w:highlight w:val="none"/>
        </w:rPr>
      </w:pPr>
      <w:r>
        <w:rPr>
          <w:color w:val="auto"/>
          <w:sz w:val="21"/>
          <w:szCs w:val="21"/>
          <w:highlight w:val="none"/>
        </w:rPr>
        <w:t>委托人义务</w:t>
      </w:r>
    </w:p>
    <w:p>
      <w:pPr>
        <w:pStyle w:val="9"/>
        <w:spacing w:before="11"/>
        <w:rPr>
          <w:rFonts w:ascii="黑体"/>
          <w:b/>
          <w:color w:val="auto"/>
          <w:sz w:val="21"/>
          <w:szCs w:val="21"/>
          <w:highlight w:val="none"/>
        </w:rPr>
      </w:pPr>
    </w:p>
    <w:p>
      <w:pPr>
        <w:spacing w:before="1"/>
        <w:ind w:left="863"/>
        <w:rPr>
          <w:color w:val="auto"/>
          <w:szCs w:val="21"/>
          <w:highlight w:val="none"/>
        </w:rPr>
      </w:pPr>
      <w:r>
        <w:rPr>
          <w:color w:val="auto"/>
          <w:szCs w:val="21"/>
          <w:highlight w:val="none"/>
        </w:rPr>
        <w:t xml:space="preserve">本条补充第 </w:t>
      </w:r>
      <w:r>
        <w:rPr>
          <w:rFonts w:ascii="Times New Roman" w:eastAsia="Times New Roman"/>
          <w:color w:val="auto"/>
          <w:szCs w:val="21"/>
          <w:highlight w:val="none"/>
        </w:rPr>
        <w:t xml:space="preserve">2.7 </w:t>
      </w:r>
      <w:r>
        <w:rPr>
          <w:color w:val="auto"/>
          <w:szCs w:val="21"/>
          <w:highlight w:val="none"/>
        </w:rPr>
        <w:t xml:space="preserve">款至第 </w:t>
      </w:r>
      <w:r>
        <w:rPr>
          <w:rFonts w:ascii="Times New Roman" w:eastAsia="Times New Roman"/>
          <w:color w:val="auto"/>
          <w:szCs w:val="21"/>
          <w:highlight w:val="none"/>
        </w:rPr>
        <w:t xml:space="preserve">2.10 </w:t>
      </w:r>
      <w:r>
        <w:rPr>
          <w:color w:val="auto"/>
          <w:szCs w:val="21"/>
          <w:highlight w:val="none"/>
        </w:rPr>
        <w:t>款：</w:t>
      </w:r>
    </w:p>
    <w:p>
      <w:pPr>
        <w:numPr>
          <w:ilvl w:val="1"/>
          <w:numId w:val="18"/>
        </w:numPr>
        <w:tabs>
          <w:tab w:val="left" w:pos="914"/>
        </w:tabs>
        <w:spacing w:before="92"/>
        <w:rPr>
          <w:rFonts w:ascii="黑体" w:eastAsia="黑体"/>
          <w:b/>
          <w:color w:val="auto"/>
          <w:szCs w:val="21"/>
          <w:highlight w:val="none"/>
        </w:rPr>
      </w:pPr>
      <w:r>
        <w:rPr>
          <w:rFonts w:hint="eastAsia" w:ascii="黑体" w:eastAsia="黑体"/>
          <w:b/>
          <w:color w:val="auto"/>
          <w:szCs w:val="21"/>
          <w:highlight w:val="none"/>
        </w:rPr>
        <w:t>协助</w:t>
      </w:r>
    </w:p>
    <w:p>
      <w:pPr>
        <w:spacing w:before="124" w:line="357" w:lineRule="auto"/>
        <w:ind w:left="424" w:right="460" w:firstLine="439"/>
        <w:jc w:val="both"/>
        <w:rPr>
          <w:color w:val="auto"/>
          <w:szCs w:val="21"/>
          <w:highlight w:val="none"/>
        </w:rPr>
      </w:pPr>
      <w:r>
        <w:rPr>
          <w:color w:val="auto"/>
          <w:szCs w:val="21"/>
          <w:highlight w:val="none"/>
        </w:rPr>
        <w:t>委托人在工程所在地向监理人提供进驻现场的相关条件，解决非监理人原因而发生意</w:t>
      </w:r>
      <w:r>
        <w:rPr>
          <w:color w:val="auto"/>
          <w:spacing w:val="-1"/>
          <w:szCs w:val="21"/>
          <w:highlight w:val="none"/>
        </w:rPr>
        <w:t>外事件时，监理工作人员的撤场和相关事宜；并避免监理人根据监理合同提供监理服务而</w:t>
      </w:r>
      <w:r>
        <w:rPr>
          <w:color w:val="auto"/>
          <w:spacing w:val="-2"/>
          <w:szCs w:val="21"/>
          <w:highlight w:val="none"/>
        </w:rPr>
        <w:t>导致的第三方收费</w:t>
      </w:r>
      <w:r>
        <w:rPr>
          <w:color w:val="auto"/>
          <w:szCs w:val="21"/>
          <w:highlight w:val="none"/>
        </w:rPr>
        <w:t>（</w:t>
      </w:r>
      <w:r>
        <w:rPr>
          <w:color w:val="auto"/>
          <w:spacing w:val="-2"/>
          <w:szCs w:val="21"/>
          <w:highlight w:val="none"/>
        </w:rPr>
        <w:t>不含税金</w:t>
      </w:r>
      <w:r>
        <w:rPr>
          <w:color w:val="auto"/>
          <w:spacing w:val="-111"/>
          <w:szCs w:val="21"/>
          <w:highlight w:val="none"/>
        </w:rPr>
        <w:t>）</w:t>
      </w:r>
      <w:r>
        <w:rPr>
          <w:color w:val="auto"/>
          <w:szCs w:val="21"/>
          <w:highlight w:val="none"/>
        </w:rPr>
        <w:t>。</w:t>
      </w:r>
    </w:p>
    <w:p>
      <w:pPr>
        <w:numPr>
          <w:ilvl w:val="1"/>
          <w:numId w:val="18"/>
        </w:numPr>
        <w:tabs>
          <w:tab w:val="left" w:pos="914"/>
        </w:tabs>
        <w:spacing w:line="316" w:lineRule="exact"/>
        <w:rPr>
          <w:rFonts w:ascii="黑体" w:eastAsia="黑体"/>
          <w:b/>
          <w:color w:val="auto"/>
          <w:szCs w:val="21"/>
          <w:highlight w:val="none"/>
        </w:rPr>
      </w:pPr>
      <w:r>
        <w:rPr>
          <w:rFonts w:hint="eastAsia" w:ascii="黑体" w:eastAsia="黑体"/>
          <w:b/>
          <w:color w:val="auto"/>
          <w:szCs w:val="21"/>
          <w:highlight w:val="none"/>
        </w:rPr>
        <w:t>授权通知</w:t>
      </w:r>
    </w:p>
    <w:p>
      <w:pPr>
        <w:spacing w:before="123" w:line="357" w:lineRule="auto"/>
        <w:ind w:left="424" w:right="467" w:firstLine="439"/>
        <w:rPr>
          <w:color w:val="auto"/>
          <w:szCs w:val="21"/>
          <w:highlight w:val="none"/>
        </w:rPr>
      </w:pPr>
      <w:r>
        <w:rPr>
          <w:color w:val="auto"/>
          <w:szCs w:val="21"/>
          <w:highlight w:val="none"/>
        </w:rPr>
        <w:t>委托人必须将履行监理服务的监理人及委托人授予监理人的权力，及时用书面形式通知第三方。</w:t>
      </w:r>
    </w:p>
    <w:p>
      <w:pPr>
        <w:numPr>
          <w:ilvl w:val="1"/>
          <w:numId w:val="18"/>
        </w:numPr>
        <w:tabs>
          <w:tab w:val="left" w:pos="914"/>
        </w:tabs>
        <w:spacing w:line="316" w:lineRule="exact"/>
        <w:rPr>
          <w:rFonts w:ascii="黑体" w:eastAsia="黑体"/>
          <w:b/>
          <w:color w:val="auto"/>
          <w:szCs w:val="21"/>
          <w:highlight w:val="none"/>
        </w:rPr>
      </w:pPr>
      <w:r>
        <w:rPr>
          <w:rFonts w:hint="eastAsia" w:ascii="黑体" w:eastAsia="黑体"/>
          <w:b/>
          <w:color w:val="auto"/>
          <w:szCs w:val="21"/>
          <w:highlight w:val="none"/>
        </w:rPr>
        <w:t>委托人指令的下达</w:t>
      </w:r>
    </w:p>
    <w:p>
      <w:pPr>
        <w:spacing w:before="126" w:line="357" w:lineRule="auto"/>
        <w:ind w:left="424" w:right="467" w:firstLine="439"/>
        <w:rPr>
          <w:color w:val="auto"/>
          <w:szCs w:val="21"/>
          <w:highlight w:val="none"/>
        </w:rPr>
      </w:pPr>
      <w:r>
        <w:rPr>
          <w:color w:val="auto"/>
          <w:szCs w:val="21"/>
          <w:highlight w:val="none"/>
        </w:rPr>
        <w:t>委托人在本合同约定的服务范围内对承包人的任何意见或要求，应通过监理人向承包人提出。</w:t>
      </w:r>
    </w:p>
    <w:p>
      <w:pPr>
        <w:numPr>
          <w:ilvl w:val="1"/>
          <w:numId w:val="18"/>
        </w:numPr>
        <w:tabs>
          <w:tab w:val="left" w:pos="1054"/>
        </w:tabs>
        <w:spacing w:line="316" w:lineRule="exact"/>
        <w:ind w:left="1053" w:hanging="630"/>
        <w:rPr>
          <w:rFonts w:ascii="黑体" w:eastAsia="黑体"/>
          <w:b/>
          <w:color w:val="auto"/>
          <w:szCs w:val="21"/>
          <w:highlight w:val="none"/>
        </w:rPr>
      </w:pPr>
      <w:r>
        <w:rPr>
          <w:rFonts w:hint="eastAsia" w:ascii="黑体" w:eastAsia="黑体"/>
          <w:b/>
          <w:color w:val="auto"/>
          <w:szCs w:val="21"/>
          <w:highlight w:val="none"/>
        </w:rPr>
        <w:t>保障</w:t>
      </w:r>
    </w:p>
    <w:p>
      <w:pPr>
        <w:spacing w:before="126" w:line="357" w:lineRule="auto"/>
        <w:ind w:left="424" w:right="467" w:firstLine="439"/>
        <w:rPr>
          <w:color w:val="auto"/>
          <w:szCs w:val="21"/>
          <w:highlight w:val="none"/>
        </w:rPr>
      </w:pPr>
      <w:r>
        <w:rPr>
          <w:color w:val="auto"/>
          <w:szCs w:val="21"/>
          <w:highlight w:val="none"/>
        </w:rPr>
        <w:t>在监理人不违反有关法律、法规的前提下，委托人应保障监理人免受因履行本监理合</w:t>
      </w:r>
      <w:r>
        <w:rPr>
          <w:color w:val="auto"/>
          <w:szCs w:val="21"/>
          <w:highlight w:val="none"/>
        </w:rPr>
        <w:br w:type="textWrapping"/>
      </w:r>
      <w:r>
        <w:rPr>
          <w:color w:val="auto"/>
          <w:szCs w:val="21"/>
          <w:highlight w:val="none"/>
        </w:rPr>
        <w:t>同而引起的外界索赔或干扰。</w:t>
      </w:r>
    </w:p>
    <w:p>
      <w:pPr>
        <w:pStyle w:val="6"/>
        <w:numPr>
          <w:ilvl w:val="0"/>
          <w:numId w:val="12"/>
        </w:numPr>
        <w:tabs>
          <w:tab w:val="left" w:pos="826"/>
        </w:tabs>
        <w:spacing w:after="0" w:line="240" w:lineRule="auto"/>
        <w:ind w:hanging="402"/>
        <w:rPr>
          <w:color w:val="auto"/>
          <w:sz w:val="21"/>
          <w:szCs w:val="21"/>
          <w:highlight w:val="none"/>
        </w:rPr>
      </w:pPr>
      <w:r>
        <w:rPr>
          <w:color w:val="auto"/>
          <w:w w:val="95"/>
          <w:sz w:val="21"/>
          <w:szCs w:val="21"/>
          <w:highlight w:val="none"/>
        </w:rPr>
        <w:t>委托人管理</w:t>
      </w:r>
    </w:p>
    <w:p>
      <w:pPr>
        <w:pStyle w:val="9"/>
        <w:spacing w:before="11"/>
        <w:rPr>
          <w:rFonts w:ascii="黑体"/>
          <w:b/>
          <w:color w:val="auto"/>
          <w:sz w:val="21"/>
          <w:szCs w:val="21"/>
          <w:highlight w:val="none"/>
        </w:rPr>
      </w:pPr>
    </w:p>
    <w:p>
      <w:pPr>
        <w:ind w:left="424"/>
        <w:rPr>
          <w:rFonts w:ascii="黑体" w:eastAsia="黑体"/>
          <w:b/>
          <w:color w:val="auto"/>
          <w:szCs w:val="21"/>
          <w:highlight w:val="none"/>
        </w:rPr>
      </w:pPr>
      <w:r>
        <w:rPr>
          <w:rFonts w:ascii="Times New Roman" w:eastAsia="Times New Roman"/>
          <w:b/>
          <w:color w:val="auto"/>
          <w:szCs w:val="21"/>
          <w:highlight w:val="none"/>
        </w:rPr>
        <w:t>3.3</w:t>
      </w:r>
      <w:r>
        <w:rPr>
          <w:rFonts w:ascii="Times New Roman" w:eastAsia="Times New Roman"/>
          <w:b/>
          <w:color w:val="auto"/>
          <w:spacing w:val="67"/>
          <w:szCs w:val="21"/>
          <w:highlight w:val="none"/>
        </w:rPr>
        <w:t xml:space="preserve"> </w:t>
      </w:r>
      <w:r>
        <w:rPr>
          <w:rFonts w:hint="eastAsia" w:ascii="黑体" w:eastAsia="黑体"/>
          <w:b/>
          <w:color w:val="auto"/>
          <w:szCs w:val="21"/>
          <w:highlight w:val="none"/>
        </w:rPr>
        <w:t>决定或答复</w:t>
      </w:r>
    </w:p>
    <w:p>
      <w:pPr>
        <w:spacing w:before="124"/>
        <w:ind w:left="863"/>
        <w:jc w:val="both"/>
        <w:rPr>
          <w:color w:val="auto"/>
          <w:szCs w:val="21"/>
          <w:highlight w:val="none"/>
        </w:rPr>
      </w:pPr>
      <w:r>
        <w:rPr>
          <w:color w:val="auto"/>
          <w:szCs w:val="21"/>
          <w:highlight w:val="none"/>
        </w:rPr>
        <w:t xml:space="preserve">第 </w:t>
      </w:r>
      <w:r>
        <w:rPr>
          <w:rFonts w:ascii="Times New Roman" w:eastAsia="Times New Roman"/>
          <w:color w:val="auto"/>
          <w:szCs w:val="21"/>
          <w:highlight w:val="none"/>
        </w:rPr>
        <w:t xml:space="preserve">3.3.2 </w:t>
      </w:r>
      <w:r>
        <w:rPr>
          <w:color w:val="auto"/>
          <w:szCs w:val="21"/>
          <w:highlight w:val="none"/>
        </w:rPr>
        <w:t>项细化为：</w:t>
      </w:r>
    </w:p>
    <w:p>
      <w:pPr>
        <w:spacing w:before="138" w:line="357" w:lineRule="auto"/>
        <w:ind w:left="424" w:right="460" w:firstLine="439"/>
        <w:jc w:val="both"/>
        <w:rPr>
          <w:color w:val="auto"/>
          <w:szCs w:val="21"/>
          <w:highlight w:val="none"/>
        </w:rPr>
      </w:pPr>
      <w:r>
        <w:rPr>
          <w:color w:val="auto"/>
          <w:szCs w:val="21"/>
          <w:highlight w:val="none"/>
        </w:rPr>
        <w:t>委托人对监理人关于本工程的工期、质量、投资、合约和安全等问题提出的请示应及时作出书面答复。除项目专用合同条款另有约定外，对上述请示给予书面答复的期限，自</w:t>
      </w:r>
      <w:r>
        <w:rPr>
          <w:color w:val="auto"/>
          <w:spacing w:val="-6"/>
          <w:szCs w:val="21"/>
          <w:highlight w:val="none"/>
        </w:rPr>
        <w:t xml:space="preserve">收到书面请示之日起最长不超过 </w:t>
      </w:r>
      <w:r>
        <w:rPr>
          <w:rFonts w:ascii="Times New Roman" w:eastAsia="Times New Roman"/>
          <w:color w:val="auto"/>
          <w:szCs w:val="21"/>
          <w:highlight w:val="none"/>
        </w:rPr>
        <w:t xml:space="preserve">7 </w:t>
      </w:r>
      <w:r>
        <w:rPr>
          <w:color w:val="auto"/>
          <w:spacing w:val="-8"/>
          <w:szCs w:val="21"/>
          <w:highlight w:val="none"/>
        </w:rPr>
        <w:t xml:space="preserve">天，重大问题不得超过 </w:t>
      </w:r>
      <w:r>
        <w:rPr>
          <w:rFonts w:ascii="Times New Roman" w:eastAsia="Times New Roman"/>
          <w:color w:val="auto"/>
          <w:szCs w:val="21"/>
          <w:highlight w:val="none"/>
        </w:rPr>
        <w:t xml:space="preserve">28 </w:t>
      </w:r>
      <w:r>
        <w:rPr>
          <w:color w:val="auto"/>
          <w:spacing w:val="-4"/>
          <w:szCs w:val="21"/>
          <w:highlight w:val="none"/>
        </w:rPr>
        <w:t>天。逾期没有作出答复的，视为已获得委托人的批准。</w:t>
      </w:r>
    </w:p>
    <w:p>
      <w:pPr>
        <w:pStyle w:val="6"/>
        <w:numPr>
          <w:ilvl w:val="0"/>
          <w:numId w:val="12"/>
        </w:numPr>
        <w:tabs>
          <w:tab w:val="left" w:pos="826"/>
        </w:tabs>
        <w:spacing w:before="1" w:after="0" w:line="240" w:lineRule="auto"/>
        <w:ind w:hanging="402"/>
        <w:rPr>
          <w:color w:val="auto"/>
          <w:sz w:val="21"/>
          <w:szCs w:val="21"/>
          <w:highlight w:val="none"/>
        </w:rPr>
      </w:pPr>
      <w:r>
        <w:rPr>
          <w:color w:val="auto"/>
          <w:w w:val="95"/>
          <w:sz w:val="21"/>
          <w:szCs w:val="21"/>
          <w:highlight w:val="none"/>
        </w:rPr>
        <w:t>监理人义务</w:t>
      </w:r>
    </w:p>
    <w:p>
      <w:pPr>
        <w:pStyle w:val="9"/>
        <w:spacing w:before="11"/>
        <w:rPr>
          <w:rFonts w:ascii="黑体"/>
          <w:b/>
          <w:color w:val="auto"/>
          <w:sz w:val="21"/>
          <w:szCs w:val="21"/>
          <w:highlight w:val="none"/>
        </w:rPr>
      </w:pPr>
    </w:p>
    <w:p>
      <w:pPr>
        <w:numPr>
          <w:ilvl w:val="1"/>
          <w:numId w:val="19"/>
        </w:numPr>
        <w:tabs>
          <w:tab w:val="left" w:pos="914"/>
        </w:tabs>
        <w:rPr>
          <w:rFonts w:ascii="黑体" w:eastAsia="黑体"/>
          <w:b/>
          <w:color w:val="auto"/>
          <w:szCs w:val="21"/>
          <w:highlight w:val="none"/>
        </w:rPr>
      </w:pPr>
      <w:r>
        <w:rPr>
          <w:rFonts w:hint="eastAsia" w:ascii="黑体" w:eastAsia="黑体"/>
          <w:b/>
          <w:color w:val="auto"/>
          <w:szCs w:val="21"/>
          <w:highlight w:val="none"/>
        </w:rPr>
        <w:t>履约保证金</w:t>
      </w:r>
    </w:p>
    <w:p>
      <w:pPr>
        <w:spacing w:before="107"/>
        <w:ind w:left="863"/>
        <w:rPr>
          <w:color w:val="auto"/>
          <w:szCs w:val="21"/>
          <w:highlight w:val="none"/>
        </w:rPr>
      </w:pPr>
      <w:r>
        <w:rPr>
          <w:color w:val="auto"/>
          <w:szCs w:val="21"/>
          <w:highlight w:val="none"/>
        </w:rPr>
        <w:t>本款细化为：</w:t>
      </w:r>
    </w:p>
    <w:p>
      <w:pPr>
        <w:pStyle w:val="32"/>
        <w:numPr>
          <w:ilvl w:val="2"/>
          <w:numId w:val="19"/>
        </w:numPr>
        <w:tabs>
          <w:tab w:val="left" w:pos="1416"/>
        </w:tabs>
        <w:spacing w:before="119" w:after="0" w:line="340" w:lineRule="auto"/>
        <w:ind w:right="461" w:firstLine="439"/>
        <w:jc w:val="both"/>
        <w:rPr>
          <w:color w:val="auto"/>
          <w:szCs w:val="21"/>
          <w:highlight w:val="none"/>
        </w:rPr>
      </w:pPr>
      <w:r>
        <w:rPr>
          <w:color w:val="auto"/>
          <w:spacing w:val="-5"/>
          <w:szCs w:val="21"/>
          <w:highlight w:val="none"/>
        </w:rPr>
        <w:t>履约保证金自合同生效之日起生效。在签发合同工程交工证书后，监理人应按委托人要求的格式，以项目专用合同条款规定的额度向委托人提交缺陷责任期保函。委托人</w:t>
      </w:r>
      <w:r>
        <w:rPr>
          <w:color w:val="auto"/>
          <w:spacing w:val="-4"/>
          <w:szCs w:val="21"/>
          <w:highlight w:val="none"/>
        </w:rPr>
        <w:t xml:space="preserve">在收到监理人提交的缺陷责任期保函后 </w:t>
      </w:r>
      <w:r>
        <w:rPr>
          <w:rFonts w:ascii="Times New Roman" w:eastAsia="Times New Roman"/>
          <w:color w:val="auto"/>
          <w:szCs w:val="21"/>
          <w:highlight w:val="none"/>
        </w:rPr>
        <w:t>7</w:t>
      </w:r>
      <w:r>
        <w:rPr>
          <w:rFonts w:ascii="Times New Roman" w:eastAsia="Times New Roman"/>
          <w:color w:val="auto"/>
          <w:spacing w:val="7"/>
          <w:szCs w:val="21"/>
          <w:highlight w:val="none"/>
        </w:rPr>
        <w:t xml:space="preserve"> </w:t>
      </w:r>
      <w:r>
        <w:rPr>
          <w:color w:val="auto"/>
          <w:spacing w:val="-3"/>
          <w:szCs w:val="21"/>
          <w:highlight w:val="none"/>
        </w:rPr>
        <w:t>天内向监理人返还履约保证金。在签发工程缺陷</w:t>
      </w:r>
      <w:r>
        <w:rPr>
          <w:color w:val="auto"/>
          <w:spacing w:val="-10"/>
          <w:szCs w:val="21"/>
          <w:highlight w:val="none"/>
        </w:rPr>
        <w:t xml:space="preserve">责任终止证书后 </w:t>
      </w:r>
      <w:r>
        <w:rPr>
          <w:rFonts w:ascii="Times New Roman" w:eastAsia="Times New Roman"/>
          <w:color w:val="auto"/>
          <w:szCs w:val="21"/>
          <w:highlight w:val="none"/>
        </w:rPr>
        <w:t xml:space="preserve">14 </w:t>
      </w:r>
      <w:r>
        <w:rPr>
          <w:color w:val="auto"/>
          <w:spacing w:val="-3"/>
          <w:szCs w:val="21"/>
          <w:highlight w:val="none"/>
        </w:rPr>
        <w:t>天内，委托人向监理人返还缺陷责任期保函。</w:t>
      </w:r>
    </w:p>
    <w:p>
      <w:pPr>
        <w:pStyle w:val="32"/>
        <w:numPr>
          <w:ilvl w:val="2"/>
          <w:numId w:val="19"/>
        </w:numPr>
        <w:tabs>
          <w:tab w:val="left" w:pos="1416"/>
        </w:tabs>
        <w:spacing w:after="0" w:line="340" w:lineRule="auto"/>
        <w:ind w:right="463" w:firstLine="439"/>
        <w:jc w:val="both"/>
        <w:rPr>
          <w:color w:val="auto"/>
          <w:szCs w:val="21"/>
          <w:highlight w:val="none"/>
        </w:rPr>
      </w:pPr>
      <w:r>
        <w:rPr>
          <w:color w:val="auto"/>
          <w:spacing w:val="-4"/>
          <w:szCs w:val="21"/>
          <w:highlight w:val="none"/>
        </w:rPr>
        <w:t>如果监理人不履行合同约定的义务或其履行不符合合同的约定，委托人有权扣划</w:t>
      </w:r>
      <w:r>
        <w:rPr>
          <w:color w:val="auto"/>
          <w:spacing w:val="-1"/>
          <w:szCs w:val="21"/>
          <w:highlight w:val="none"/>
        </w:rPr>
        <w:t>相应金额的履约保证金或缺陷责任期保函，但不影响监理人根据监理合同应当得到的其他款项的支付。</w:t>
      </w:r>
    </w:p>
    <w:p>
      <w:pPr>
        <w:numPr>
          <w:ilvl w:val="1"/>
          <w:numId w:val="19"/>
        </w:numPr>
        <w:tabs>
          <w:tab w:val="left" w:pos="914"/>
        </w:tabs>
        <w:spacing w:line="332" w:lineRule="exact"/>
        <w:rPr>
          <w:rFonts w:ascii="黑体" w:eastAsia="黑体"/>
          <w:b/>
          <w:color w:val="auto"/>
          <w:szCs w:val="21"/>
          <w:highlight w:val="none"/>
        </w:rPr>
      </w:pPr>
      <w:r>
        <w:rPr>
          <w:rFonts w:hint="eastAsia" w:ascii="黑体" w:eastAsia="黑体"/>
          <w:b/>
          <w:color w:val="auto"/>
          <w:szCs w:val="21"/>
          <w:highlight w:val="none"/>
        </w:rPr>
        <w:t>联合体</w:t>
      </w:r>
    </w:p>
    <w:p>
      <w:pPr>
        <w:spacing w:before="107"/>
        <w:ind w:left="863"/>
        <w:jc w:val="both"/>
        <w:rPr>
          <w:color w:val="auto"/>
          <w:szCs w:val="21"/>
          <w:highlight w:val="none"/>
        </w:rPr>
      </w:pPr>
      <w:r>
        <w:rPr>
          <w:color w:val="auto"/>
          <w:szCs w:val="21"/>
          <w:highlight w:val="none"/>
        </w:rPr>
        <w:t xml:space="preserve">第 </w:t>
      </w:r>
      <w:r>
        <w:rPr>
          <w:rFonts w:ascii="Times New Roman" w:eastAsia="Times New Roman"/>
          <w:color w:val="auto"/>
          <w:szCs w:val="21"/>
          <w:highlight w:val="none"/>
        </w:rPr>
        <w:t xml:space="preserve">4.3.3 </w:t>
      </w:r>
      <w:r>
        <w:rPr>
          <w:color w:val="auto"/>
          <w:szCs w:val="21"/>
          <w:highlight w:val="none"/>
        </w:rPr>
        <w:t>项细化为：</w:t>
      </w:r>
    </w:p>
    <w:p>
      <w:pPr>
        <w:spacing w:before="116" w:line="340" w:lineRule="auto"/>
        <w:ind w:left="424" w:right="460" w:firstLine="439"/>
        <w:jc w:val="both"/>
        <w:rPr>
          <w:color w:val="auto"/>
          <w:szCs w:val="21"/>
          <w:highlight w:val="none"/>
        </w:rPr>
      </w:pPr>
      <w:r>
        <w:rPr>
          <w:color w:val="auto"/>
          <w:szCs w:val="21"/>
          <w:highlight w:val="none"/>
        </w:rPr>
        <w:t>联合体牵头人负责与委托人联系并接受指示，负责组织联合体各成员全面履行合同。委托人就本合同工程向联合体牵头人发布的任何指令、指示、通知等均对联合体其他成员具有同等效力。</w:t>
      </w:r>
    </w:p>
    <w:p>
      <w:pPr>
        <w:spacing w:line="281" w:lineRule="exact"/>
        <w:ind w:left="863"/>
        <w:rPr>
          <w:color w:val="auto"/>
          <w:szCs w:val="21"/>
          <w:highlight w:val="none"/>
        </w:rPr>
      </w:pPr>
      <w:r>
        <w:rPr>
          <w:color w:val="auto"/>
          <w:szCs w:val="21"/>
          <w:highlight w:val="none"/>
        </w:rPr>
        <w:t xml:space="preserve">补充第 </w:t>
      </w:r>
      <w:r>
        <w:rPr>
          <w:rFonts w:ascii="Times New Roman" w:eastAsia="Times New Roman"/>
          <w:color w:val="auto"/>
          <w:szCs w:val="21"/>
          <w:highlight w:val="none"/>
        </w:rPr>
        <w:t xml:space="preserve">4.3.4 </w:t>
      </w:r>
      <w:r>
        <w:rPr>
          <w:color w:val="auto"/>
          <w:szCs w:val="21"/>
          <w:highlight w:val="none"/>
        </w:rPr>
        <w:t>项：</w:t>
      </w:r>
    </w:p>
    <w:p>
      <w:pPr>
        <w:spacing w:before="119"/>
        <w:ind w:left="863"/>
        <w:rPr>
          <w:color w:val="auto"/>
          <w:szCs w:val="21"/>
          <w:highlight w:val="none"/>
        </w:rPr>
      </w:pPr>
      <w:r>
        <w:rPr>
          <w:rFonts w:ascii="Times New Roman" w:eastAsia="Times New Roman"/>
          <w:color w:val="auto"/>
          <w:szCs w:val="21"/>
          <w:highlight w:val="none"/>
        </w:rPr>
        <w:t xml:space="preserve">4.3.4 </w:t>
      </w:r>
      <w:r>
        <w:rPr>
          <w:color w:val="auto"/>
          <w:szCs w:val="21"/>
          <w:highlight w:val="none"/>
        </w:rPr>
        <w:t>未经委托人同意，联合体的组成、结构与业务分工均不得变动。</w:t>
      </w:r>
    </w:p>
    <w:p>
      <w:pPr>
        <w:numPr>
          <w:ilvl w:val="1"/>
          <w:numId w:val="19"/>
        </w:numPr>
        <w:tabs>
          <w:tab w:val="left" w:pos="914"/>
        </w:tabs>
        <w:spacing w:before="93"/>
        <w:rPr>
          <w:rFonts w:ascii="黑体" w:eastAsia="黑体"/>
          <w:b/>
          <w:color w:val="auto"/>
          <w:szCs w:val="21"/>
          <w:highlight w:val="none"/>
        </w:rPr>
      </w:pPr>
      <w:r>
        <w:rPr>
          <w:rFonts w:hint="eastAsia" w:ascii="黑体" w:eastAsia="黑体"/>
          <w:b/>
          <w:color w:val="auto"/>
          <w:szCs w:val="21"/>
          <w:highlight w:val="none"/>
        </w:rPr>
        <w:t>总监理工程师</w:t>
      </w:r>
    </w:p>
    <w:p>
      <w:pPr>
        <w:spacing w:before="107"/>
        <w:ind w:left="863"/>
        <w:rPr>
          <w:color w:val="auto"/>
          <w:szCs w:val="21"/>
          <w:highlight w:val="none"/>
        </w:rPr>
      </w:pPr>
      <w:r>
        <w:rPr>
          <w:color w:val="auto"/>
          <w:szCs w:val="21"/>
          <w:highlight w:val="none"/>
        </w:rPr>
        <w:t xml:space="preserve">第 </w:t>
      </w:r>
      <w:r>
        <w:rPr>
          <w:rFonts w:ascii="Times New Roman" w:eastAsia="Times New Roman"/>
          <w:color w:val="auto"/>
          <w:szCs w:val="21"/>
          <w:highlight w:val="none"/>
        </w:rPr>
        <w:t xml:space="preserve">4.4.1 </w:t>
      </w:r>
      <w:r>
        <w:rPr>
          <w:color w:val="auto"/>
          <w:szCs w:val="21"/>
          <w:highlight w:val="none"/>
        </w:rPr>
        <w:t>项细化为：</w:t>
      </w:r>
    </w:p>
    <w:p>
      <w:pPr>
        <w:spacing w:before="119" w:line="338" w:lineRule="auto"/>
        <w:ind w:left="424" w:right="460" w:firstLine="439"/>
        <w:jc w:val="both"/>
        <w:rPr>
          <w:color w:val="auto"/>
          <w:szCs w:val="21"/>
          <w:highlight w:val="none"/>
        </w:rPr>
      </w:pPr>
      <w:r>
        <w:rPr>
          <w:color w:val="auto"/>
          <w:szCs w:val="21"/>
          <w:highlight w:val="none"/>
        </w:rPr>
        <w:t>监理人应按合同协议书的约定指派总监理工程师，并在约定的期限内到职。监理人更</w:t>
      </w:r>
      <w:r>
        <w:rPr>
          <w:color w:val="auto"/>
          <w:spacing w:val="-6"/>
          <w:szCs w:val="21"/>
          <w:highlight w:val="none"/>
        </w:rPr>
        <w:t xml:space="preserve">换总监理工程师应事先征得委托人同意，并应在更换 </w:t>
      </w:r>
      <w:r>
        <w:rPr>
          <w:rFonts w:ascii="Times New Roman" w:eastAsia="Times New Roman"/>
          <w:color w:val="auto"/>
          <w:szCs w:val="21"/>
          <w:highlight w:val="none"/>
        </w:rPr>
        <w:t xml:space="preserve">14 </w:t>
      </w:r>
      <w:r>
        <w:rPr>
          <w:color w:val="auto"/>
          <w:spacing w:val="-3"/>
          <w:szCs w:val="21"/>
          <w:highlight w:val="none"/>
        </w:rPr>
        <w:t>天前将拟更换的总监理工程师的姓</w:t>
      </w:r>
      <w:r>
        <w:rPr>
          <w:color w:val="auto"/>
          <w:szCs w:val="21"/>
          <w:highlight w:val="none"/>
        </w:rPr>
        <w:t>名和详细资料提交委托人，拟更换的总监理工程师资历应不低于原总监理工程师。总监理工程师 2 天内不能履行职责的，应事先征得委托人同意，并委派代表代行其职责。</w:t>
      </w:r>
    </w:p>
    <w:p>
      <w:pPr>
        <w:numPr>
          <w:ilvl w:val="1"/>
          <w:numId w:val="19"/>
        </w:numPr>
        <w:tabs>
          <w:tab w:val="left" w:pos="914"/>
        </w:tabs>
        <w:spacing w:line="337" w:lineRule="exact"/>
        <w:rPr>
          <w:rFonts w:ascii="黑体" w:eastAsia="黑体"/>
          <w:b/>
          <w:color w:val="auto"/>
          <w:szCs w:val="21"/>
          <w:highlight w:val="none"/>
        </w:rPr>
      </w:pPr>
      <w:r>
        <w:rPr>
          <w:rFonts w:hint="eastAsia" w:ascii="黑体" w:eastAsia="黑体"/>
          <w:b/>
          <w:color w:val="auto"/>
          <w:szCs w:val="21"/>
          <w:highlight w:val="none"/>
        </w:rPr>
        <w:t>监理人员的管理</w:t>
      </w:r>
    </w:p>
    <w:p>
      <w:pPr>
        <w:spacing w:before="123"/>
        <w:ind w:left="863"/>
        <w:rPr>
          <w:color w:val="auto"/>
          <w:szCs w:val="21"/>
          <w:highlight w:val="none"/>
        </w:rPr>
      </w:pPr>
      <w:r>
        <w:rPr>
          <w:color w:val="auto"/>
          <w:szCs w:val="21"/>
          <w:highlight w:val="none"/>
        </w:rPr>
        <w:t xml:space="preserve">第 </w:t>
      </w:r>
      <w:r>
        <w:rPr>
          <w:rFonts w:ascii="Times New Roman" w:eastAsia="Times New Roman"/>
          <w:color w:val="auto"/>
          <w:szCs w:val="21"/>
          <w:highlight w:val="none"/>
        </w:rPr>
        <w:t xml:space="preserve">4.5.1 </w:t>
      </w:r>
      <w:r>
        <w:rPr>
          <w:color w:val="auto"/>
          <w:szCs w:val="21"/>
          <w:highlight w:val="none"/>
        </w:rPr>
        <w:t xml:space="preserve">项、第 </w:t>
      </w:r>
      <w:r>
        <w:rPr>
          <w:rFonts w:ascii="Times New Roman" w:eastAsia="Times New Roman"/>
          <w:color w:val="auto"/>
          <w:szCs w:val="21"/>
          <w:highlight w:val="none"/>
        </w:rPr>
        <w:t xml:space="preserve">4.5.2 </w:t>
      </w:r>
      <w:r>
        <w:rPr>
          <w:color w:val="auto"/>
          <w:szCs w:val="21"/>
          <w:highlight w:val="none"/>
        </w:rPr>
        <w:t>项细化为：</w:t>
      </w:r>
    </w:p>
    <w:p>
      <w:pPr>
        <w:pStyle w:val="32"/>
        <w:numPr>
          <w:ilvl w:val="2"/>
          <w:numId w:val="19"/>
        </w:numPr>
        <w:tabs>
          <w:tab w:val="left" w:pos="1416"/>
        </w:tabs>
        <w:spacing w:before="138" w:after="0" w:line="357" w:lineRule="auto"/>
        <w:ind w:right="352" w:firstLine="439"/>
        <w:rPr>
          <w:color w:val="auto"/>
          <w:szCs w:val="21"/>
          <w:highlight w:val="none"/>
        </w:rPr>
      </w:pPr>
      <w:r>
        <w:rPr>
          <w:color w:val="auto"/>
          <w:spacing w:val="-6"/>
          <w:szCs w:val="21"/>
          <w:highlight w:val="none"/>
        </w:rPr>
        <w:t xml:space="preserve">监理人应在接到开始监理通知之日起 </w:t>
      </w:r>
      <w:r>
        <w:rPr>
          <w:rFonts w:ascii="Times New Roman" w:eastAsia="Times New Roman"/>
          <w:color w:val="auto"/>
          <w:szCs w:val="21"/>
          <w:highlight w:val="none"/>
        </w:rPr>
        <w:t>7</w:t>
      </w:r>
      <w:r>
        <w:rPr>
          <w:rFonts w:ascii="Times New Roman" w:eastAsia="Times New Roman"/>
          <w:color w:val="auto"/>
          <w:spacing w:val="6"/>
          <w:szCs w:val="21"/>
          <w:highlight w:val="none"/>
        </w:rPr>
        <w:t xml:space="preserve"> </w:t>
      </w:r>
      <w:r>
        <w:rPr>
          <w:color w:val="auto"/>
          <w:spacing w:val="-5"/>
          <w:szCs w:val="21"/>
          <w:highlight w:val="none"/>
        </w:rPr>
        <w:t>天内，向委托人提交监理项目机构以及人</w:t>
      </w:r>
      <w:r>
        <w:rPr>
          <w:color w:val="auto"/>
          <w:spacing w:val="-6"/>
          <w:szCs w:val="21"/>
          <w:highlight w:val="none"/>
        </w:rPr>
        <w:t>员安排的报告，其内容应包括项目机构设置、主要监理人员和其他人员的名单及资格条件。</w:t>
      </w:r>
      <w:r>
        <w:rPr>
          <w:color w:val="auto"/>
          <w:spacing w:val="-5"/>
          <w:szCs w:val="21"/>
          <w:highlight w:val="none"/>
        </w:rPr>
        <w:t>主要监理人员应常驻现场并相对稳定。更换主要监理人员的，应取得委托人的同意，并向委托人提交继任人员的资格、管理经验等资料，继任人员的资历应不低于原监理人员。总</w:t>
      </w:r>
      <w:r>
        <w:rPr>
          <w:color w:val="auto"/>
          <w:spacing w:val="-8"/>
          <w:szCs w:val="21"/>
          <w:highlight w:val="none"/>
        </w:rPr>
        <w:t xml:space="preserve">监理工程师的更换，应按照本章第 </w:t>
      </w:r>
      <w:r>
        <w:rPr>
          <w:rFonts w:ascii="Times New Roman" w:eastAsia="Times New Roman"/>
          <w:color w:val="auto"/>
          <w:szCs w:val="21"/>
          <w:highlight w:val="none"/>
        </w:rPr>
        <w:t xml:space="preserve">4.4.1 </w:t>
      </w:r>
      <w:r>
        <w:rPr>
          <w:color w:val="auto"/>
          <w:spacing w:val="-3"/>
          <w:szCs w:val="21"/>
          <w:highlight w:val="none"/>
        </w:rPr>
        <w:t>项规定执行。</w:t>
      </w:r>
    </w:p>
    <w:p>
      <w:pPr>
        <w:pStyle w:val="32"/>
        <w:numPr>
          <w:ilvl w:val="2"/>
          <w:numId w:val="19"/>
        </w:numPr>
        <w:tabs>
          <w:tab w:val="left" w:pos="1402"/>
        </w:tabs>
        <w:spacing w:after="0" w:line="266" w:lineRule="exact"/>
        <w:ind w:left="1401" w:hanging="539"/>
        <w:rPr>
          <w:color w:val="auto"/>
          <w:szCs w:val="21"/>
          <w:highlight w:val="none"/>
        </w:rPr>
      </w:pPr>
      <w:r>
        <w:rPr>
          <w:color w:val="auto"/>
          <w:spacing w:val="-3"/>
          <w:szCs w:val="21"/>
          <w:highlight w:val="none"/>
        </w:rPr>
        <w:t>除项目专用合同条款另有约定外，主要监理人员包括总监理工程师、驻地监理工</w:t>
      </w:r>
    </w:p>
    <w:p>
      <w:pPr>
        <w:spacing w:before="119"/>
        <w:ind w:left="424"/>
        <w:rPr>
          <w:color w:val="auto"/>
          <w:szCs w:val="21"/>
          <w:highlight w:val="none"/>
        </w:rPr>
      </w:pPr>
      <w:r>
        <w:rPr>
          <w:color w:val="auto"/>
          <w:szCs w:val="21"/>
          <w:highlight w:val="none"/>
        </w:rPr>
        <w:t>程师、专业监理工程师等；其他人员包括各专业的监理员、试验员、资料员等。</w:t>
      </w:r>
    </w:p>
    <w:p>
      <w:pPr>
        <w:ind w:left="863"/>
        <w:rPr>
          <w:color w:val="auto"/>
          <w:szCs w:val="21"/>
          <w:highlight w:val="none"/>
        </w:rPr>
      </w:pPr>
      <w:r>
        <w:rPr>
          <w:color w:val="auto"/>
          <w:szCs w:val="21"/>
          <w:highlight w:val="none"/>
        </w:rPr>
        <w:t xml:space="preserve">本条补充第 </w:t>
      </w:r>
      <w:r>
        <w:rPr>
          <w:rFonts w:ascii="Times New Roman" w:eastAsia="Times New Roman"/>
          <w:color w:val="auto"/>
          <w:szCs w:val="21"/>
          <w:highlight w:val="none"/>
        </w:rPr>
        <w:t xml:space="preserve">4.9 </w:t>
      </w:r>
      <w:r>
        <w:rPr>
          <w:color w:val="auto"/>
          <w:szCs w:val="21"/>
          <w:highlight w:val="none"/>
        </w:rPr>
        <w:t>款：</w:t>
      </w:r>
    </w:p>
    <w:p>
      <w:pPr>
        <w:spacing w:before="93"/>
        <w:ind w:left="424"/>
        <w:rPr>
          <w:rFonts w:ascii="黑体" w:eastAsia="黑体"/>
          <w:b/>
          <w:color w:val="auto"/>
          <w:szCs w:val="21"/>
          <w:highlight w:val="none"/>
        </w:rPr>
      </w:pPr>
      <w:r>
        <w:rPr>
          <w:rFonts w:ascii="Times New Roman" w:eastAsia="Times New Roman"/>
          <w:b/>
          <w:color w:val="auto"/>
          <w:szCs w:val="21"/>
          <w:highlight w:val="none"/>
        </w:rPr>
        <w:t>4.9</w:t>
      </w:r>
      <w:r>
        <w:rPr>
          <w:rFonts w:ascii="Times New Roman" w:eastAsia="Times New Roman"/>
          <w:b/>
          <w:color w:val="auto"/>
          <w:spacing w:val="67"/>
          <w:szCs w:val="21"/>
          <w:highlight w:val="none"/>
        </w:rPr>
        <w:t xml:space="preserve"> </w:t>
      </w:r>
      <w:r>
        <w:rPr>
          <w:rFonts w:hint="eastAsia" w:ascii="黑体" w:eastAsia="黑体"/>
          <w:b/>
          <w:color w:val="auto"/>
          <w:szCs w:val="21"/>
          <w:highlight w:val="none"/>
        </w:rPr>
        <w:t>党建工作要求</w:t>
      </w:r>
    </w:p>
    <w:p>
      <w:pPr>
        <w:spacing w:before="106" w:line="340" w:lineRule="auto"/>
        <w:ind w:left="424" w:right="460" w:firstLine="439"/>
        <w:jc w:val="both"/>
        <w:rPr>
          <w:color w:val="auto"/>
          <w:szCs w:val="21"/>
          <w:highlight w:val="none"/>
        </w:rPr>
      </w:pPr>
      <w:r>
        <w:rPr>
          <w:color w:val="auto"/>
          <w:szCs w:val="21"/>
          <w:highlight w:val="none"/>
        </w:rPr>
        <w:t>对于政府投资的国家高速公路项目，或监理人为国有控股或参股企业的，监理人应按规定在项目现场设立基层党组织。不满足上述情形的，监理人应创造条件使党员能够参加党组织生活并接受相应管理。</w:t>
      </w:r>
    </w:p>
    <w:p>
      <w:pPr>
        <w:spacing w:line="340" w:lineRule="auto"/>
        <w:ind w:left="424" w:right="461" w:firstLine="439"/>
        <w:jc w:val="both"/>
        <w:rPr>
          <w:color w:val="auto"/>
          <w:szCs w:val="21"/>
          <w:highlight w:val="none"/>
        </w:rPr>
      </w:pPr>
      <w:r>
        <w:rPr>
          <w:color w:val="auto"/>
          <w:szCs w:val="21"/>
          <w:highlight w:val="none"/>
        </w:rPr>
        <w:t>监理人在项目现场设立基层党组织的，应明确党组织机构设置、党组织负责人及党务工作人员配备情况，编制党务工作开展预案，并按照预案要求在项目实施过程中同步开展党务工作，充分发挥基层党组织在项目实施中的作用。</w:t>
      </w:r>
    </w:p>
    <w:p>
      <w:pPr>
        <w:pStyle w:val="6"/>
        <w:numPr>
          <w:ilvl w:val="0"/>
          <w:numId w:val="12"/>
        </w:numPr>
        <w:tabs>
          <w:tab w:val="left" w:pos="826"/>
        </w:tabs>
        <w:spacing w:after="0" w:line="240" w:lineRule="auto"/>
        <w:ind w:hanging="402"/>
        <w:rPr>
          <w:color w:val="auto"/>
          <w:sz w:val="21"/>
          <w:szCs w:val="21"/>
          <w:highlight w:val="none"/>
        </w:rPr>
      </w:pPr>
      <w:r>
        <w:rPr>
          <w:color w:val="auto"/>
          <w:w w:val="95"/>
          <w:sz w:val="21"/>
          <w:szCs w:val="21"/>
          <w:highlight w:val="none"/>
        </w:rPr>
        <w:t>监理要求</w:t>
      </w:r>
    </w:p>
    <w:p>
      <w:pPr>
        <w:pStyle w:val="9"/>
        <w:spacing w:before="12"/>
        <w:rPr>
          <w:rFonts w:ascii="黑体"/>
          <w:b/>
          <w:color w:val="auto"/>
          <w:sz w:val="21"/>
          <w:szCs w:val="21"/>
          <w:highlight w:val="none"/>
        </w:rPr>
      </w:pPr>
    </w:p>
    <w:p>
      <w:pPr>
        <w:numPr>
          <w:ilvl w:val="1"/>
          <w:numId w:val="12"/>
        </w:numPr>
        <w:tabs>
          <w:tab w:val="left" w:pos="914"/>
        </w:tabs>
        <w:rPr>
          <w:rFonts w:ascii="黑体" w:eastAsia="黑体"/>
          <w:b/>
          <w:color w:val="auto"/>
          <w:szCs w:val="21"/>
          <w:highlight w:val="none"/>
        </w:rPr>
      </w:pPr>
      <w:r>
        <w:rPr>
          <w:rFonts w:hint="eastAsia" w:ascii="黑体" w:eastAsia="黑体"/>
          <w:b/>
          <w:color w:val="auto"/>
          <w:szCs w:val="21"/>
          <w:highlight w:val="none"/>
        </w:rPr>
        <w:t>监理范围</w:t>
      </w:r>
    </w:p>
    <w:p>
      <w:pPr>
        <w:spacing w:before="123"/>
        <w:ind w:left="863"/>
        <w:rPr>
          <w:color w:val="auto"/>
          <w:szCs w:val="21"/>
          <w:highlight w:val="none"/>
        </w:rPr>
      </w:pPr>
      <w:r>
        <w:rPr>
          <w:color w:val="auto"/>
          <w:szCs w:val="21"/>
          <w:highlight w:val="none"/>
        </w:rPr>
        <w:t xml:space="preserve">第 </w:t>
      </w:r>
      <w:r>
        <w:rPr>
          <w:rFonts w:ascii="Times New Roman" w:eastAsia="Times New Roman"/>
          <w:color w:val="auto"/>
          <w:szCs w:val="21"/>
          <w:highlight w:val="none"/>
        </w:rPr>
        <w:t xml:space="preserve">5.1.3 </w:t>
      </w:r>
      <w:r>
        <w:rPr>
          <w:color w:val="auto"/>
          <w:szCs w:val="21"/>
          <w:highlight w:val="none"/>
        </w:rPr>
        <w:t>项细化为：</w:t>
      </w:r>
    </w:p>
    <w:p>
      <w:pPr>
        <w:spacing w:before="139" w:line="357" w:lineRule="auto"/>
        <w:ind w:left="424" w:right="457" w:firstLine="439"/>
        <w:rPr>
          <w:color w:val="auto"/>
          <w:szCs w:val="21"/>
          <w:highlight w:val="none"/>
        </w:rPr>
      </w:pPr>
      <w:r>
        <w:rPr>
          <w:color w:val="auto"/>
          <w:szCs w:val="21"/>
          <w:highlight w:val="none"/>
        </w:rPr>
        <w:t>阶段范围指公路工程建设程序中的施工准备阶段、施工阶段、验收与缺陷责任期阶段中的一个或者多个阶段，具体范围在项目专用合同条款中约定。</w:t>
      </w:r>
    </w:p>
    <w:p>
      <w:pPr>
        <w:numPr>
          <w:ilvl w:val="1"/>
          <w:numId w:val="12"/>
        </w:numPr>
        <w:tabs>
          <w:tab w:val="left" w:pos="914"/>
        </w:tabs>
        <w:spacing w:line="316" w:lineRule="exact"/>
        <w:rPr>
          <w:rFonts w:ascii="黑体" w:eastAsia="黑体"/>
          <w:b/>
          <w:color w:val="auto"/>
          <w:szCs w:val="21"/>
          <w:highlight w:val="none"/>
        </w:rPr>
      </w:pPr>
      <w:r>
        <w:rPr>
          <w:rFonts w:hint="eastAsia" w:ascii="黑体" w:eastAsia="黑体"/>
          <w:b/>
          <w:color w:val="auto"/>
          <w:szCs w:val="21"/>
          <w:highlight w:val="none"/>
        </w:rPr>
        <w:t>监理依据</w:t>
      </w:r>
    </w:p>
    <w:p>
      <w:pPr>
        <w:spacing w:before="126"/>
        <w:ind w:left="863"/>
        <w:rPr>
          <w:color w:val="auto"/>
          <w:szCs w:val="21"/>
          <w:highlight w:val="none"/>
        </w:rPr>
      </w:pPr>
      <w:r>
        <w:rPr>
          <w:color w:val="auto"/>
          <w:szCs w:val="21"/>
          <w:highlight w:val="none"/>
        </w:rPr>
        <w:t>本款细化为：</w:t>
      </w:r>
    </w:p>
    <w:p>
      <w:pPr>
        <w:spacing w:before="138"/>
        <w:ind w:left="863"/>
        <w:rPr>
          <w:color w:val="auto"/>
          <w:szCs w:val="21"/>
          <w:highlight w:val="none"/>
        </w:rPr>
      </w:pPr>
      <w:r>
        <w:rPr>
          <w:color w:val="auto"/>
          <w:szCs w:val="21"/>
          <w:highlight w:val="none"/>
        </w:rPr>
        <w:t>除项目专用合同条款另有约定外，本工程的监理依据如下：</w:t>
      </w:r>
    </w:p>
    <w:p>
      <w:pPr>
        <w:pStyle w:val="32"/>
        <w:numPr>
          <w:ilvl w:val="0"/>
          <w:numId w:val="20"/>
        </w:numPr>
        <w:tabs>
          <w:tab w:val="left" w:pos="1417"/>
        </w:tabs>
        <w:spacing w:before="138" w:after="0" w:line="240" w:lineRule="auto"/>
        <w:ind w:hanging="554"/>
        <w:rPr>
          <w:color w:val="auto"/>
          <w:szCs w:val="21"/>
          <w:highlight w:val="none"/>
        </w:rPr>
      </w:pPr>
      <w:r>
        <w:rPr>
          <w:color w:val="auto"/>
          <w:spacing w:val="-3"/>
          <w:szCs w:val="21"/>
          <w:highlight w:val="none"/>
        </w:rPr>
        <w:t>适用的法律、行政法规及部门规章；</w:t>
      </w:r>
    </w:p>
    <w:p>
      <w:pPr>
        <w:pStyle w:val="32"/>
        <w:numPr>
          <w:ilvl w:val="0"/>
          <w:numId w:val="20"/>
        </w:numPr>
        <w:tabs>
          <w:tab w:val="left" w:pos="1417"/>
        </w:tabs>
        <w:spacing w:before="138" w:after="0" w:line="240" w:lineRule="auto"/>
        <w:ind w:hanging="554"/>
        <w:rPr>
          <w:color w:val="auto"/>
          <w:szCs w:val="21"/>
          <w:highlight w:val="none"/>
        </w:rPr>
      </w:pPr>
      <w:r>
        <w:rPr>
          <w:color w:val="auto"/>
          <w:spacing w:val="-3"/>
          <w:szCs w:val="21"/>
          <w:highlight w:val="none"/>
        </w:rPr>
        <w:t>与工程有关的规范、标准、规程；</w:t>
      </w:r>
    </w:p>
    <w:p>
      <w:pPr>
        <w:pStyle w:val="32"/>
        <w:numPr>
          <w:ilvl w:val="0"/>
          <w:numId w:val="20"/>
        </w:numPr>
        <w:tabs>
          <w:tab w:val="left" w:pos="1417"/>
        </w:tabs>
        <w:spacing w:before="139" w:after="0" w:line="240" w:lineRule="auto"/>
        <w:ind w:hanging="554"/>
        <w:rPr>
          <w:color w:val="auto"/>
          <w:szCs w:val="21"/>
          <w:highlight w:val="none"/>
        </w:rPr>
      </w:pPr>
      <w:r>
        <w:rPr>
          <w:color w:val="auto"/>
          <w:spacing w:val="-3"/>
          <w:szCs w:val="21"/>
          <w:highlight w:val="none"/>
        </w:rPr>
        <w:t>工程前期有关文件；</w:t>
      </w:r>
    </w:p>
    <w:p>
      <w:pPr>
        <w:pStyle w:val="32"/>
        <w:numPr>
          <w:ilvl w:val="0"/>
          <w:numId w:val="20"/>
        </w:numPr>
        <w:tabs>
          <w:tab w:val="left" w:pos="1417"/>
        </w:tabs>
        <w:spacing w:before="77" w:after="0" w:line="240" w:lineRule="auto"/>
        <w:ind w:hanging="554"/>
        <w:rPr>
          <w:color w:val="auto"/>
          <w:szCs w:val="21"/>
          <w:highlight w:val="none"/>
        </w:rPr>
      </w:pPr>
      <w:r>
        <w:rPr>
          <w:color w:val="auto"/>
          <w:spacing w:val="-3"/>
          <w:szCs w:val="21"/>
          <w:highlight w:val="none"/>
        </w:rPr>
        <w:t>工程勘察文件、设计文件及其他文件；</w:t>
      </w:r>
    </w:p>
    <w:p>
      <w:pPr>
        <w:pStyle w:val="32"/>
        <w:numPr>
          <w:ilvl w:val="0"/>
          <w:numId w:val="20"/>
        </w:numPr>
        <w:tabs>
          <w:tab w:val="left" w:pos="1417"/>
        </w:tabs>
        <w:spacing w:before="138" w:after="0" w:line="240" w:lineRule="auto"/>
        <w:ind w:hanging="554"/>
        <w:rPr>
          <w:color w:val="auto"/>
          <w:szCs w:val="21"/>
          <w:highlight w:val="none"/>
        </w:rPr>
      </w:pPr>
      <w:r>
        <w:rPr>
          <w:color w:val="auto"/>
          <w:spacing w:val="-3"/>
          <w:szCs w:val="21"/>
          <w:highlight w:val="none"/>
        </w:rPr>
        <w:t>本工程监理的委托合同及补充合同；</w:t>
      </w:r>
    </w:p>
    <w:p>
      <w:pPr>
        <w:pStyle w:val="32"/>
        <w:numPr>
          <w:ilvl w:val="0"/>
          <w:numId w:val="20"/>
        </w:numPr>
        <w:tabs>
          <w:tab w:val="left" w:pos="1417"/>
        </w:tabs>
        <w:spacing w:before="138" w:after="0" w:line="240" w:lineRule="auto"/>
        <w:ind w:hanging="554"/>
        <w:rPr>
          <w:color w:val="auto"/>
          <w:szCs w:val="21"/>
          <w:highlight w:val="none"/>
        </w:rPr>
      </w:pPr>
      <w:r>
        <w:rPr>
          <w:color w:val="auto"/>
          <w:spacing w:val="-3"/>
          <w:szCs w:val="21"/>
          <w:highlight w:val="none"/>
        </w:rPr>
        <w:t>委托人签订的施工承包合同；</w:t>
      </w:r>
    </w:p>
    <w:p>
      <w:pPr>
        <w:pStyle w:val="32"/>
        <w:numPr>
          <w:ilvl w:val="0"/>
          <w:numId w:val="20"/>
        </w:numPr>
        <w:tabs>
          <w:tab w:val="left" w:pos="1417"/>
        </w:tabs>
        <w:spacing w:before="138" w:after="0" w:line="240" w:lineRule="auto"/>
        <w:ind w:hanging="554"/>
        <w:rPr>
          <w:color w:val="auto"/>
          <w:szCs w:val="21"/>
          <w:highlight w:val="none"/>
        </w:rPr>
      </w:pPr>
      <w:r>
        <w:rPr>
          <w:color w:val="auto"/>
          <w:spacing w:val="-3"/>
          <w:szCs w:val="21"/>
          <w:highlight w:val="none"/>
        </w:rPr>
        <w:t>合同履行中与监理服务有关的来往函件；</w:t>
      </w:r>
    </w:p>
    <w:p>
      <w:pPr>
        <w:pStyle w:val="32"/>
        <w:numPr>
          <w:ilvl w:val="0"/>
          <w:numId w:val="20"/>
        </w:numPr>
        <w:tabs>
          <w:tab w:val="left" w:pos="1417"/>
        </w:tabs>
        <w:spacing w:before="138" w:after="0" w:line="240" w:lineRule="auto"/>
        <w:ind w:hanging="554"/>
        <w:rPr>
          <w:color w:val="auto"/>
          <w:szCs w:val="21"/>
          <w:highlight w:val="none"/>
        </w:rPr>
      </w:pPr>
      <w:r>
        <w:rPr>
          <w:color w:val="auto"/>
          <w:spacing w:val="-3"/>
          <w:szCs w:val="21"/>
          <w:highlight w:val="none"/>
        </w:rPr>
        <w:t>其他监理依据。</w:t>
      </w:r>
    </w:p>
    <w:p>
      <w:pPr>
        <w:numPr>
          <w:ilvl w:val="1"/>
          <w:numId w:val="12"/>
        </w:numPr>
        <w:tabs>
          <w:tab w:val="left" w:pos="914"/>
        </w:tabs>
        <w:spacing w:before="95"/>
        <w:rPr>
          <w:rFonts w:ascii="黑体" w:eastAsia="黑体"/>
          <w:b/>
          <w:color w:val="auto"/>
          <w:szCs w:val="21"/>
          <w:highlight w:val="none"/>
        </w:rPr>
      </w:pPr>
      <w:r>
        <w:rPr>
          <w:rFonts w:hint="eastAsia" w:ascii="黑体" w:eastAsia="黑体"/>
          <w:b/>
          <w:color w:val="auto"/>
          <w:szCs w:val="21"/>
          <w:highlight w:val="none"/>
        </w:rPr>
        <w:t>监理内容</w:t>
      </w:r>
    </w:p>
    <w:p>
      <w:pPr>
        <w:spacing w:before="124"/>
        <w:ind w:left="863"/>
        <w:rPr>
          <w:color w:val="auto"/>
          <w:szCs w:val="21"/>
          <w:highlight w:val="none"/>
        </w:rPr>
      </w:pPr>
      <w:r>
        <w:rPr>
          <w:color w:val="auto"/>
          <w:szCs w:val="21"/>
          <w:highlight w:val="none"/>
        </w:rPr>
        <w:t>本款细化为：</w:t>
      </w:r>
    </w:p>
    <w:p>
      <w:pPr>
        <w:spacing w:before="138" w:line="357" w:lineRule="auto"/>
        <w:ind w:left="424" w:right="460" w:firstLine="439"/>
        <w:jc w:val="both"/>
        <w:rPr>
          <w:color w:val="auto"/>
          <w:szCs w:val="21"/>
          <w:highlight w:val="none"/>
        </w:rPr>
      </w:pPr>
      <w:r>
        <w:rPr>
          <w:color w:val="auto"/>
          <w:szCs w:val="21"/>
          <w:highlight w:val="none"/>
        </w:rPr>
        <w:t>监理人应按照《公路工程施工监理规范》及相关法律、法规开展监理服务。委托人须依据《公路工程施工监理规范》要求对监理机构的设置方式进行选择，并在项目专用合同条款中予以约定。各阶段监理服务包括但不限于以下内容，委托人可根据工程实际情况在项目专用合同条款中对其进行调整。</w:t>
      </w:r>
    </w:p>
    <w:p>
      <w:pPr>
        <w:pStyle w:val="32"/>
        <w:numPr>
          <w:ilvl w:val="2"/>
          <w:numId w:val="12"/>
        </w:numPr>
        <w:tabs>
          <w:tab w:val="left" w:pos="1416"/>
        </w:tabs>
        <w:spacing w:after="0" w:line="240" w:lineRule="auto"/>
        <w:ind w:hanging="553"/>
        <w:jc w:val="both"/>
        <w:rPr>
          <w:color w:val="auto"/>
          <w:szCs w:val="21"/>
          <w:highlight w:val="none"/>
        </w:rPr>
      </w:pPr>
      <w:r>
        <w:rPr>
          <w:color w:val="auto"/>
          <w:spacing w:val="-3"/>
          <w:szCs w:val="21"/>
          <w:highlight w:val="none"/>
        </w:rPr>
        <w:t>在工程同时设置总监办和驻地办时，总监办的监理服务内容为：</w:t>
      </w:r>
    </w:p>
    <w:p>
      <w:pPr>
        <w:pStyle w:val="32"/>
        <w:numPr>
          <w:ilvl w:val="0"/>
          <w:numId w:val="21"/>
        </w:numPr>
        <w:tabs>
          <w:tab w:val="left" w:pos="1417"/>
        </w:tabs>
        <w:spacing w:before="138" w:after="0" w:line="357" w:lineRule="auto"/>
        <w:ind w:right="462" w:firstLine="439"/>
        <w:rPr>
          <w:color w:val="auto"/>
          <w:szCs w:val="21"/>
          <w:highlight w:val="none"/>
        </w:rPr>
      </w:pPr>
      <w:r>
        <w:rPr>
          <w:color w:val="auto"/>
          <w:spacing w:val="-4"/>
          <w:szCs w:val="21"/>
          <w:highlight w:val="none"/>
        </w:rPr>
        <w:t>总监办工地试验室按监理合同要求配备常规的试验检测设备，并须达到项目专用合同条款中约定的检查项目及频率要求；</w:t>
      </w:r>
    </w:p>
    <w:p>
      <w:pPr>
        <w:pStyle w:val="32"/>
        <w:numPr>
          <w:ilvl w:val="0"/>
          <w:numId w:val="21"/>
        </w:numPr>
        <w:tabs>
          <w:tab w:val="left" w:pos="1417"/>
        </w:tabs>
        <w:spacing w:before="1" w:after="0" w:line="240" w:lineRule="auto"/>
        <w:ind w:left="1416" w:hanging="554"/>
        <w:rPr>
          <w:color w:val="auto"/>
          <w:szCs w:val="21"/>
          <w:highlight w:val="none"/>
        </w:rPr>
      </w:pPr>
      <w:r>
        <w:rPr>
          <w:color w:val="auto"/>
          <w:spacing w:val="-3"/>
          <w:szCs w:val="21"/>
          <w:highlight w:val="none"/>
        </w:rPr>
        <w:t>熟悉合同文件，调查施工环境条件；</w:t>
      </w:r>
    </w:p>
    <w:p>
      <w:pPr>
        <w:pStyle w:val="32"/>
        <w:numPr>
          <w:ilvl w:val="0"/>
          <w:numId w:val="21"/>
        </w:numPr>
        <w:tabs>
          <w:tab w:val="left" w:pos="1417"/>
        </w:tabs>
        <w:spacing w:before="138" w:after="0" w:line="240" w:lineRule="auto"/>
        <w:ind w:left="1416" w:hanging="554"/>
        <w:rPr>
          <w:color w:val="auto"/>
          <w:szCs w:val="21"/>
          <w:highlight w:val="none"/>
        </w:rPr>
      </w:pPr>
      <w:r>
        <w:rPr>
          <w:color w:val="auto"/>
          <w:spacing w:val="-3"/>
          <w:szCs w:val="21"/>
          <w:highlight w:val="none"/>
        </w:rPr>
        <w:t>在合同约定的期限内主持编制监理计划；</w:t>
      </w:r>
    </w:p>
    <w:p>
      <w:pPr>
        <w:pStyle w:val="32"/>
        <w:numPr>
          <w:ilvl w:val="0"/>
          <w:numId w:val="21"/>
        </w:numPr>
        <w:tabs>
          <w:tab w:val="left" w:pos="1417"/>
        </w:tabs>
        <w:spacing w:before="138" w:after="0" w:line="240" w:lineRule="auto"/>
        <w:ind w:left="1416" w:hanging="554"/>
        <w:rPr>
          <w:color w:val="auto"/>
          <w:szCs w:val="21"/>
          <w:highlight w:val="none"/>
        </w:rPr>
      </w:pPr>
      <w:r>
        <w:rPr>
          <w:color w:val="auto"/>
          <w:spacing w:val="-3"/>
          <w:szCs w:val="21"/>
          <w:highlight w:val="none"/>
        </w:rPr>
        <w:t>审批各驻地办主持编制的监理细则；</w:t>
      </w:r>
    </w:p>
    <w:p>
      <w:pPr>
        <w:pStyle w:val="32"/>
        <w:numPr>
          <w:ilvl w:val="0"/>
          <w:numId w:val="21"/>
        </w:numPr>
        <w:tabs>
          <w:tab w:val="left" w:pos="1417"/>
        </w:tabs>
        <w:spacing w:before="138" w:after="0" w:line="240" w:lineRule="auto"/>
        <w:ind w:left="1416" w:hanging="554"/>
        <w:rPr>
          <w:color w:val="auto"/>
          <w:szCs w:val="21"/>
          <w:highlight w:val="none"/>
        </w:rPr>
      </w:pPr>
      <w:r>
        <w:rPr>
          <w:color w:val="auto"/>
          <w:spacing w:val="-3"/>
          <w:szCs w:val="21"/>
          <w:highlight w:val="none"/>
        </w:rPr>
        <w:t>参加设计交底；</w:t>
      </w:r>
    </w:p>
    <w:p>
      <w:pPr>
        <w:pStyle w:val="32"/>
        <w:numPr>
          <w:ilvl w:val="0"/>
          <w:numId w:val="21"/>
        </w:numPr>
        <w:tabs>
          <w:tab w:val="left" w:pos="1417"/>
        </w:tabs>
        <w:spacing w:before="138" w:after="0" w:line="357" w:lineRule="auto"/>
        <w:ind w:right="464" w:firstLine="439"/>
        <w:rPr>
          <w:color w:val="auto"/>
          <w:szCs w:val="21"/>
          <w:highlight w:val="none"/>
        </w:rPr>
      </w:pPr>
      <w:r>
        <w:rPr>
          <w:color w:val="auto"/>
          <w:spacing w:val="-4"/>
          <w:szCs w:val="21"/>
          <w:highlight w:val="none"/>
        </w:rPr>
        <w:t>在合同约定的期限内审批承包人提交的施工组织设计</w:t>
      </w:r>
      <w:r>
        <w:rPr>
          <w:color w:val="auto"/>
          <w:szCs w:val="21"/>
          <w:highlight w:val="none"/>
        </w:rPr>
        <w:t>（</w:t>
      </w:r>
      <w:r>
        <w:rPr>
          <w:color w:val="auto"/>
          <w:spacing w:val="-4"/>
          <w:szCs w:val="21"/>
          <w:highlight w:val="none"/>
        </w:rPr>
        <w:t>含安全技术措施、应急救援抢险方案、专项施工方案及施工环境保护措施</w:t>
      </w:r>
      <w:r>
        <w:rPr>
          <w:color w:val="auto"/>
          <w:spacing w:val="-113"/>
          <w:szCs w:val="21"/>
          <w:highlight w:val="none"/>
        </w:rPr>
        <w:t>）</w:t>
      </w:r>
      <w:r>
        <w:rPr>
          <w:color w:val="auto"/>
          <w:szCs w:val="21"/>
          <w:highlight w:val="none"/>
        </w:rPr>
        <w:t>；</w:t>
      </w:r>
    </w:p>
    <w:p>
      <w:pPr>
        <w:pStyle w:val="32"/>
        <w:numPr>
          <w:ilvl w:val="0"/>
          <w:numId w:val="21"/>
        </w:numPr>
        <w:tabs>
          <w:tab w:val="left" w:pos="1417"/>
        </w:tabs>
        <w:spacing w:after="0" w:line="240" w:lineRule="auto"/>
        <w:ind w:left="1416" w:hanging="554"/>
        <w:rPr>
          <w:color w:val="auto"/>
          <w:szCs w:val="21"/>
          <w:highlight w:val="none"/>
        </w:rPr>
      </w:pPr>
      <w:r>
        <w:rPr>
          <w:color w:val="auto"/>
          <w:spacing w:val="-3"/>
          <w:szCs w:val="21"/>
          <w:highlight w:val="none"/>
        </w:rPr>
        <w:t>审批承包人提交的总体进度计划，核批承包人对总体进度计划的调整计划；</w:t>
      </w:r>
    </w:p>
    <w:p>
      <w:pPr>
        <w:pStyle w:val="32"/>
        <w:numPr>
          <w:ilvl w:val="0"/>
          <w:numId w:val="21"/>
        </w:numPr>
        <w:tabs>
          <w:tab w:val="left" w:pos="1417"/>
        </w:tabs>
        <w:spacing w:before="139" w:after="0" w:line="240" w:lineRule="auto"/>
        <w:ind w:left="1416" w:hanging="554"/>
        <w:rPr>
          <w:color w:val="auto"/>
          <w:szCs w:val="21"/>
          <w:highlight w:val="none"/>
        </w:rPr>
      </w:pPr>
      <w:r>
        <w:rPr>
          <w:color w:val="auto"/>
          <w:spacing w:val="-3"/>
          <w:szCs w:val="21"/>
          <w:highlight w:val="none"/>
        </w:rPr>
        <w:t>签发开工预付款支付证书；</w:t>
      </w:r>
    </w:p>
    <w:p>
      <w:pPr>
        <w:pStyle w:val="32"/>
        <w:numPr>
          <w:ilvl w:val="0"/>
          <w:numId w:val="21"/>
        </w:numPr>
        <w:tabs>
          <w:tab w:val="left" w:pos="1417"/>
        </w:tabs>
        <w:spacing w:before="138" w:after="0" w:line="240" w:lineRule="auto"/>
        <w:ind w:left="1416" w:hanging="554"/>
        <w:rPr>
          <w:color w:val="auto"/>
          <w:szCs w:val="21"/>
          <w:highlight w:val="none"/>
        </w:rPr>
      </w:pPr>
      <w:r>
        <w:rPr>
          <w:color w:val="auto"/>
          <w:spacing w:val="-3"/>
          <w:szCs w:val="21"/>
          <w:highlight w:val="none"/>
        </w:rPr>
        <w:t>审批承包人提交的分项、分部、单位工程划分；</w:t>
      </w:r>
    </w:p>
    <w:p>
      <w:pPr>
        <w:pStyle w:val="32"/>
        <w:numPr>
          <w:ilvl w:val="0"/>
          <w:numId w:val="21"/>
        </w:numPr>
        <w:tabs>
          <w:tab w:val="left" w:pos="1533"/>
        </w:tabs>
        <w:spacing w:before="138" w:after="0" w:line="357" w:lineRule="auto"/>
        <w:ind w:right="466" w:firstLine="439"/>
        <w:rPr>
          <w:color w:val="auto"/>
          <w:szCs w:val="21"/>
          <w:highlight w:val="none"/>
        </w:rPr>
      </w:pPr>
      <w:r>
        <w:rPr>
          <w:color w:val="auto"/>
          <w:spacing w:val="-1"/>
          <w:szCs w:val="21"/>
          <w:highlight w:val="none"/>
        </w:rPr>
        <w:t>检查承包人的质量、安全和环保等保证体系，审核工地试验室，抽查控制桩点</w:t>
      </w:r>
      <w:r>
        <w:rPr>
          <w:color w:val="auto"/>
          <w:spacing w:val="-3"/>
          <w:szCs w:val="21"/>
          <w:highlight w:val="none"/>
        </w:rPr>
        <w:t>复测、测定地面线和工程划分及驻地办工作；</w:t>
      </w:r>
    </w:p>
    <w:p>
      <w:pPr>
        <w:pStyle w:val="32"/>
        <w:numPr>
          <w:ilvl w:val="0"/>
          <w:numId w:val="21"/>
        </w:numPr>
        <w:tabs>
          <w:tab w:val="left" w:pos="1520"/>
        </w:tabs>
        <w:spacing w:after="0" w:line="240" w:lineRule="auto"/>
        <w:ind w:left="1519" w:hanging="657"/>
        <w:rPr>
          <w:color w:val="auto"/>
          <w:szCs w:val="21"/>
          <w:highlight w:val="none"/>
        </w:rPr>
      </w:pPr>
      <w:r>
        <w:rPr>
          <w:color w:val="auto"/>
          <w:spacing w:val="-3"/>
          <w:szCs w:val="21"/>
          <w:highlight w:val="none"/>
        </w:rPr>
        <w:t>主持召开监理交底会；</w:t>
      </w:r>
    </w:p>
    <w:p>
      <w:pPr>
        <w:pStyle w:val="32"/>
        <w:numPr>
          <w:ilvl w:val="0"/>
          <w:numId w:val="21"/>
        </w:numPr>
        <w:tabs>
          <w:tab w:val="left" w:pos="1527"/>
        </w:tabs>
        <w:spacing w:before="139" w:after="0" w:line="240" w:lineRule="auto"/>
        <w:ind w:left="1527" w:hanging="664"/>
        <w:rPr>
          <w:color w:val="auto"/>
          <w:szCs w:val="21"/>
          <w:highlight w:val="none"/>
        </w:rPr>
      </w:pPr>
      <w:r>
        <w:rPr>
          <w:color w:val="auto"/>
          <w:spacing w:val="-3"/>
          <w:szCs w:val="21"/>
          <w:highlight w:val="none"/>
        </w:rPr>
        <w:t>主持召开第一次工地会议；</w:t>
      </w:r>
    </w:p>
    <w:p>
      <w:pPr>
        <w:pStyle w:val="32"/>
        <w:numPr>
          <w:ilvl w:val="0"/>
          <w:numId w:val="21"/>
        </w:numPr>
        <w:tabs>
          <w:tab w:val="left" w:pos="1527"/>
        </w:tabs>
        <w:spacing w:before="138" w:after="0" w:line="240" w:lineRule="auto"/>
        <w:ind w:left="1527" w:hanging="664"/>
        <w:rPr>
          <w:color w:val="auto"/>
          <w:szCs w:val="21"/>
          <w:highlight w:val="none"/>
        </w:rPr>
      </w:pPr>
      <w:r>
        <w:rPr>
          <w:color w:val="auto"/>
          <w:spacing w:val="-3"/>
          <w:szCs w:val="21"/>
          <w:highlight w:val="none"/>
        </w:rPr>
        <w:t>签发合同工程开工令；</w:t>
      </w:r>
    </w:p>
    <w:p>
      <w:pPr>
        <w:pStyle w:val="32"/>
        <w:numPr>
          <w:ilvl w:val="0"/>
          <w:numId w:val="21"/>
        </w:numPr>
        <w:tabs>
          <w:tab w:val="left" w:pos="1527"/>
        </w:tabs>
        <w:spacing w:before="138" w:after="0" w:line="240" w:lineRule="auto"/>
        <w:ind w:left="1527" w:hanging="664"/>
        <w:rPr>
          <w:color w:val="auto"/>
          <w:szCs w:val="21"/>
          <w:highlight w:val="none"/>
        </w:rPr>
      </w:pPr>
      <w:r>
        <w:rPr>
          <w:color w:val="auto"/>
          <w:spacing w:val="-3"/>
          <w:szCs w:val="21"/>
          <w:highlight w:val="none"/>
        </w:rPr>
        <w:t>审批重要工程材料及混合料配合比；</w:t>
      </w:r>
    </w:p>
    <w:p>
      <w:pPr>
        <w:pStyle w:val="32"/>
        <w:numPr>
          <w:ilvl w:val="0"/>
          <w:numId w:val="21"/>
        </w:numPr>
        <w:tabs>
          <w:tab w:val="left" w:pos="1527"/>
        </w:tabs>
        <w:spacing w:before="138" w:after="0" w:line="240" w:lineRule="auto"/>
        <w:ind w:left="1527" w:hanging="664"/>
        <w:rPr>
          <w:color w:val="auto"/>
          <w:szCs w:val="21"/>
          <w:highlight w:val="none"/>
        </w:rPr>
      </w:pPr>
      <w:r>
        <w:rPr>
          <w:color w:val="auto"/>
          <w:spacing w:val="-3"/>
          <w:szCs w:val="21"/>
          <w:highlight w:val="none"/>
        </w:rPr>
        <w:t>审核工程中期支付申请，签发中期支付证书；</w:t>
      </w:r>
    </w:p>
    <w:p>
      <w:pPr>
        <w:pStyle w:val="32"/>
        <w:numPr>
          <w:ilvl w:val="0"/>
          <w:numId w:val="21"/>
        </w:numPr>
        <w:tabs>
          <w:tab w:val="left" w:pos="1527"/>
        </w:tabs>
        <w:spacing w:before="138" w:after="0" w:line="240" w:lineRule="auto"/>
        <w:ind w:left="1527" w:hanging="664"/>
        <w:rPr>
          <w:color w:val="auto"/>
          <w:szCs w:val="21"/>
          <w:highlight w:val="none"/>
        </w:rPr>
      </w:pPr>
      <w:r>
        <w:rPr>
          <w:color w:val="auto"/>
          <w:spacing w:val="-3"/>
          <w:szCs w:val="21"/>
          <w:highlight w:val="none"/>
        </w:rPr>
        <w:t>签发单位工程或合同工程的暂停令和复工令；</w:t>
      </w:r>
    </w:p>
    <w:p>
      <w:pPr>
        <w:pStyle w:val="32"/>
        <w:numPr>
          <w:ilvl w:val="0"/>
          <w:numId w:val="21"/>
        </w:numPr>
        <w:tabs>
          <w:tab w:val="left" w:pos="1533"/>
        </w:tabs>
        <w:spacing w:before="138" w:after="0" w:line="357" w:lineRule="auto"/>
        <w:ind w:right="457" w:firstLine="439"/>
        <w:rPr>
          <w:color w:val="auto"/>
          <w:szCs w:val="21"/>
          <w:highlight w:val="none"/>
        </w:rPr>
      </w:pPr>
      <w:r>
        <w:rPr>
          <w:color w:val="auto"/>
          <w:szCs w:val="21"/>
          <w:highlight w:val="none"/>
        </w:rPr>
        <w:t>受理合同其他事项的有关事宜，按合同约定审核、评估和处理工程变更、工程延期、费用索赔、价格调整、保险、违约、争端等合同事项；</w:t>
      </w:r>
    </w:p>
    <w:p>
      <w:pPr>
        <w:pStyle w:val="32"/>
        <w:numPr>
          <w:ilvl w:val="0"/>
          <w:numId w:val="21"/>
        </w:numPr>
        <w:tabs>
          <w:tab w:val="left" w:pos="1527"/>
        </w:tabs>
        <w:spacing w:before="138" w:after="0" w:line="240" w:lineRule="auto"/>
        <w:ind w:left="1527" w:hanging="664"/>
        <w:rPr>
          <w:color w:val="auto"/>
          <w:szCs w:val="21"/>
          <w:highlight w:val="none"/>
        </w:rPr>
      </w:pPr>
      <w:r>
        <w:rPr>
          <w:color w:val="auto"/>
          <w:spacing w:val="-3"/>
          <w:szCs w:val="21"/>
          <w:highlight w:val="none"/>
        </w:rPr>
        <w:t>组织编写监理月报；</w:t>
      </w:r>
    </w:p>
    <w:p>
      <w:pPr>
        <w:pStyle w:val="32"/>
        <w:numPr>
          <w:ilvl w:val="0"/>
          <w:numId w:val="21"/>
        </w:numPr>
        <w:tabs>
          <w:tab w:val="left" w:pos="1527"/>
        </w:tabs>
        <w:spacing w:before="138" w:after="0" w:line="240" w:lineRule="auto"/>
        <w:ind w:left="1527" w:hanging="664"/>
        <w:rPr>
          <w:color w:val="auto"/>
          <w:szCs w:val="21"/>
          <w:highlight w:val="none"/>
        </w:rPr>
      </w:pPr>
      <w:r>
        <w:rPr>
          <w:color w:val="auto"/>
          <w:spacing w:val="-3"/>
          <w:szCs w:val="21"/>
          <w:highlight w:val="none"/>
        </w:rPr>
        <w:t>根据工程需要主持召开专题工地会议；</w:t>
      </w:r>
    </w:p>
    <w:p>
      <w:pPr>
        <w:pStyle w:val="32"/>
        <w:numPr>
          <w:ilvl w:val="0"/>
          <w:numId w:val="21"/>
        </w:numPr>
        <w:tabs>
          <w:tab w:val="left" w:pos="1533"/>
        </w:tabs>
        <w:spacing w:before="138" w:after="0" w:line="357" w:lineRule="auto"/>
        <w:ind w:right="457" w:firstLine="439"/>
        <w:rPr>
          <w:color w:val="auto"/>
          <w:szCs w:val="21"/>
          <w:highlight w:val="none"/>
        </w:rPr>
      </w:pPr>
      <w:r>
        <w:rPr>
          <w:color w:val="auto"/>
          <w:szCs w:val="21"/>
          <w:highlight w:val="none"/>
        </w:rPr>
        <w:t>对发生的质量缺陷、质量隐患和质量事故进行调查、处理或督促承包人按规定</w:t>
      </w:r>
      <w:r>
        <w:rPr>
          <w:color w:val="auto"/>
          <w:spacing w:val="-1"/>
          <w:szCs w:val="21"/>
          <w:highlight w:val="none"/>
        </w:rPr>
        <w:t>报告有关部门；</w:t>
      </w:r>
    </w:p>
    <w:p>
      <w:pPr>
        <w:pStyle w:val="32"/>
        <w:numPr>
          <w:ilvl w:val="0"/>
          <w:numId w:val="21"/>
        </w:numPr>
        <w:tabs>
          <w:tab w:val="left" w:pos="1527"/>
        </w:tabs>
        <w:spacing w:after="0" w:line="240" w:lineRule="auto"/>
        <w:ind w:left="1527" w:hanging="664"/>
        <w:rPr>
          <w:color w:val="auto"/>
          <w:szCs w:val="21"/>
          <w:highlight w:val="none"/>
        </w:rPr>
      </w:pPr>
      <w:r>
        <w:rPr>
          <w:color w:val="auto"/>
          <w:spacing w:val="-3"/>
          <w:szCs w:val="21"/>
          <w:highlight w:val="none"/>
        </w:rPr>
        <w:t>协助委托人审查交工验收申请，评定工程质量；</w:t>
      </w:r>
    </w:p>
    <w:p>
      <w:pPr>
        <w:pStyle w:val="32"/>
        <w:numPr>
          <w:ilvl w:val="0"/>
          <w:numId w:val="21"/>
        </w:numPr>
        <w:tabs>
          <w:tab w:val="left" w:pos="1527"/>
        </w:tabs>
        <w:spacing w:before="138" w:after="0" w:line="240" w:lineRule="auto"/>
        <w:ind w:left="1527" w:hanging="664"/>
        <w:rPr>
          <w:color w:val="auto"/>
          <w:szCs w:val="21"/>
          <w:highlight w:val="none"/>
        </w:rPr>
      </w:pPr>
      <w:r>
        <w:rPr>
          <w:color w:val="auto"/>
          <w:spacing w:val="-3"/>
          <w:szCs w:val="21"/>
          <w:highlight w:val="none"/>
        </w:rPr>
        <w:t>参加委托人组织的合同工程交工验收；</w:t>
      </w:r>
    </w:p>
    <w:p>
      <w:pPr>
        <w:pStyle w:val="32"/>
        <w:numPr>
          <w:ilvl w:val="0"/>
          <w:numId w:val="21"/>
        </w:numPr>
        <w:tabs>
          <w:tab w:val="left" w:pos="1527"/>
        </w:tabs>
        <w:spacing w:before="139" w:after="0" w:line="240" w:lineRule="auto"/>
        <w:ind w:left="1527" w:hanging="664"/>
        <w:rPr>
          <w:color w:val="auto"/>
          <w:szCs w:val="21"/>
          <w:highlight w:val="none"/>
        </w:rPr>
      </w:pPr>
      <w:r>
        <w:rPr>
          <w:color w:val="auto"/>
          <w:spacing w:val="-3"/>
          <w:szCs w:val="21"/>
          <w:highlight w:val="none"/>
        </w:rPr>
        <w:t>编写监理工作报告，并提交委托人；</w:t>
      </w:r>
    </w:p>
    <w:p>
      <w:pPr>
        <w:pStyle w:val="32"/>
        <w:numPr>
          <w:ilvl w:val="0"/>
          <w:numId w:val="21"/>
        </w:numPr>
        <w:tabs>
          <w:tab w:val="left" w:pos="1527"/>
        </w:tabs>
        <w:spacing w:before="138" w:after="0" w:line="240" w:lineRule="auto"/>
        <w:ind w:left="1527" w:hanging="664"/>
        <w:rPr>
          <w:color w:val="auto"/>
          <w:szCs w:val="21"/>
          <w:highlight w:val="none"/>
        </w:rPr>
      </w:pPr>
      <w:r>
        <w:rPr>
          <w:color w:val="auto"/>
          <w:spacing w:val="-3"/>
          <w:szCs w:val="21"/>
          <w:highlight w:val="none"/>
        </w:rPr>
        <w:t>签认交工结账证书；</w:t>
      </w:r>
    </w:p>
    <w:p>
      <w:pPr>
        <w:pStyle w:val="32"/>
        <w:numPr>
          <w:ilvl w:val="0"/>
          <w:numId w:val="21"/>
        </w:numPr>
        <w:tabs>
          <w:tab w:val="left" w:pos="1527"/>
        </w:tabs>
        <w:spacing w:before="138" w:after="0" w:line="240" w:lineRule="auto"/>
        <w:ind w:left="1527" w:hanging="664"/>
        <w:rPr>
          <w:color w:val="auto"/>
          <w:szCs w:val="21"/>
          <w:highlight w:val="none"/>
        </w:rPr>
      </w:pPr>
      <w:r>
        <w:rPr>
          <w:color w:val="auto"/>
          <w:spacing w:val="-3"/>
          <w:szCs w:val="21"/>
          <w:highlight w:val="none"/>
        </w:rPr>
        <w:t>组织编制工程监理竣工文件，并督促承包人按合同约定编制和整理竣工资料；</w:t>
      </w:r>
    </w:p>
    <w:p>
      <w:pPr>
        <w:pStyle w:val="32"/>
        <w:numPr>
          <w:ilvl w:val="0"/>
          <w:numId w:val="21"/>
        </w:numPr>
        <w:tabs>
          <w:tab w:val="left" w:pos="1527"/>
        </w:tabs>
        <w:spacing w:before="138" w:after="0" w:line="357" w:lineRule="auto"/>
        <w:ind w:right="354" w:firstLine="439"/>
        <w:rPr>
          <w:color w:val="auto"/>
          <w:szCs w:val="21"/>
          <w:highlight w:val="none"/>
        </w:rPr>
      </w:pPr>
      <w:r>
        <w:rPr>
          <w:color w:val="auto"/>
          <w:spacing w:val="-6"/>
          <w:szCs w:val="21"/>
          <w:highlight w:val="none"/>
        </w:rPr>
        <w:t xml:space="preserve">在合同工程的缺陷责任期内，检查承包人剩余工程的实施；巡视检查已完工程， </w:t>
      </w:r>
      <w:r>
        <w:rPr>
          <w:color w:val="auto"/>
          <w:spacing w:val="-3"/>
          <w:szCs w:val="21"/>
          <w:highlight w:val="none"/>
        </w:rPr>
        <w:t>指示承包人修复发生的工程缺陷，调查、确认缺陷责任及修复费用；</w:t>
      </w:r>
    </w:p>
    <w:p>
      <w:pPr>
        <w:pStyle w:val="32"/>
        <w:numPr>
          <w:ilvl w:val="0"/>
          <w:numId w:val="21"/>
        </w:numPr>
        <w:tabs>
          <w:tab w:val="left" w:pos="1527"/>
        </w:tabs>
        <w:spacing w:after="0" w:line="240" w:lineRule="auto"/>
        <w:ind w:left="1527" w:hanging="664"/>
        <w:rPr>
          <w:color w:val="auto"/>
          <w:szCs w:val="21"/>
          <w:highlight w:val="none"/>
        </w:rPr>
      </w:pPr>
      <w:r>
        <w:rPr>
          <w:color w:val="auto"/>
          <w:spacing w:val="-3"/>
          <w:szCs w:val="21"/>
          <w:highlight w:val="none"/>
        </w:rPr>
        <w:t>缺陷责任期结束，经检查符合条件时，签发合同工程缺陷责任终止证书；</w:t>
      </w:r>
    </w:p>
    <w:p>
      <w:pPr>
        <w:pStyle w:val="32"/>
        <w:numPr>
          <w:ilvl w:val="0"/>
          <w:numId w:val="21"/>
        </w:numPr>
        <w:tabs>
          <w:tab w:val="left" w:pos="1527"/>
        </w:tabs>
        <w:spacing w:before="138" w:after="0" w:line="240" w:lineRule="auto"/>
        <w:ind w:left="1527" w:hanging="664"/>
        <w:rPr>
          <w:color w:val="auto"/>
          <w:szCs w:val="21"/>
          <w:highlight w:val="none"/>
        </w:rPr>
      </w:pPr>
      <w:r>
        <w:rPr>
          <w:color w:val="auto"/>
          <w:spacing w:val="-3"/>
          <w:szCs w:val="21"/>
          <w:highlight w:val="none"/>
        </w:rPr>
        <w:t>签认最后支付证书；</w:t>
      </w:r>
    </w:p>
    <w:p>
      <w:pPr>
        <w:pStyle w:val="32"/>
        <w:numPr>
          <w:ilvl w:val="0"/>
          <w:numId w:val="21"/>
        </w:numPr>
        <w:tabs>
          <w:tab w:val="left" w:pos="1527"/>
        </w:tabs>
        <w:spacing w:before="139" w:after="0" w:line="240" w:lineRule="auto"/>
        <w:ind w:left="1527" w:hanging="664"/>
        <w:rPr>
          <w:color w:val="auto"/>
          <w:szCs w:val="21"/>
          <w:highlight w:val="none"/>
        </w:rPr>
      </w:pPr>
      <w:r>
        <w:rPr>
          <w:color w:val="auto"/>
          <w:spacing w:val="-3"/>
          <w:szCs w:val="21"/>
          <w:highlight w:val="none"/>
        </w:rPr>
        <w:t>参加工程竣工验收；</w:t>
      </w:r>
    </w:p>
    <w:p>
      <w:pPr>
        <w:pStyle w:val="32"/>
        <w:numPr>
          <w:ilvl w:val="0"/>
          <w:numId w:val="21"/>
        </w:numPr>
        <w:tabs>
          <w:tab w:val="left" w:pos="1527"/>
        </w:tabs>
        <w:spacing w:before="138" w:after="0" w:line="240" w:lineRule="auto"/>
        <w:ind w:left="1527" w:hanging="664"/>
        <w:rPr>
          <w:color w:val="auto"/>
          <w:szCs w:val="21"/>
          <w:highlight w:val="none"/>
        </w:rPr>
      </w:pPr>
      <w:r>
        <w:rPr>
          <w:color w:val="auto"/>
          <w:spacing w:val="-3"/>
          <w:szCs w:val="21"/>
          <w:highlight w:val="none"/>
        </w:rPr>
        <w:t>按照项目专用合同条款约定提供其他工程管理咨询服务。</w:t>
      </w:r>
    </w:p>
    <w:p>
      <w:pPr>
        <w:pStyle w:val="32"/>
        <w:numPr>
          <w:ilvl w:val="2"/>
          <w:numId w:val="12"/>
        </w:numPr>
        <w:tabs>
          <w:tab w:val="left" w:pos="1416"/>
        </w:tabs>
        <w:spacing w:before="138" w:after="0" w:line="240" w:lineRule="auto"/>
        <w:ind w:hanging="553"/>
        <w:rPr>
          <w:color w:val="auto"/>
          <w:szCs w:val="21"/>
          <w:highlight w:val="none"/>
        </w:rPr>
      </w:pPr>
      <w:r>
        <w:rPr>
          <w:color w:val="auto"/>
          <w:spacing w:val="-3"/>
          <w:szCs w:val="21"/>
          <w:highlight w:val="none"/>
        </w:rPr>
        <w:t>在工程同时设置总监办和驻地办时，驻地办的监理服务内容为：</w:t>
      </w:r>
    </w:p>
    <w:p>
      <w:pPr>
        <w:pStyle w:val="32"/>
        <w:numPr>
          <w:ilvl w:val="0"/>
          <w:numId w:val="22"/>
        </w:numPr>
        <w:tabs>
          <w:tab w:val="left" w:pos="1417"/>
        </w:tabs>
        <w:spacing w:before="138" w:after="0" w:line="357" w:lineRule="auto"/>
        <w:ind w:right="462" w:firstLine="439"/>
        <w:jc w:val="both"/>
        <w:rPr>
          <w:color w:val="auto"/>
          <w:szCs w:val="21"/>
          <w:highlight w:val="none"/>
        </w:rPr>
      </w:pPr>
      <w:r>
        <w:rPr>
          <w:color w:val="auto"/>
          <w:spacing w:val="-4"/>
          <w:szCs w:val="21"/>
          <w:highlight w:val="none"/>
        </w:rPr>
        <w:t>按项目专用合同条款的约定建立</w:t>
      </w:r>
      <w:r>
        <w:rPr>
          <w:color w:val="auto"/>
          <w:szCs w:val="21"/>
          <w:highlight w:val="none"/>
        </w:rPr>
        <w:t>（</w:t>
      </w:r>
      <w:r>
        <w:rPr>
          <w:color w:val="auto"/>
          <w:spacing w:val="-3"/>
          <w:szCs w:val="21"/>
          <w:highlight w:val="none"/>
        </w:rPr>
        <w:t>或不建立</w:t>
      </w:r>
      <w:r>
        <w:rPr>
          <w:color w:val="auto"/>
          <w:spacing w:val="-5"/>
          <w:szCs w:val="21"/>
          <w:highlight w:val="none"/>
        </w:rPr>
        <w:t>）</w:t>
      </w:r>
      <w:r>
        <w:rPr>
          <w:color w:val="auto"/>
          <w:spacing w:val="-3"/>
          <w:szCs w:val="21"/>
          <w:highlight w:val="none"/>
        </w:rPr>
        <w:t>工地试验室，如需驻地办建立工地</w:t>
      </w:r>
      <w:r>
        <w:rPr>
          <w:color w:val="auto"/>
          <w:spacing w:val="-4"/>
          <w:szCs w:val="21"/>
          <w:highlight w:val="none"/>
        </w:rPr>
        <w:t>试验室，应配备现场抽查常用的试验检测设备，并在项目专用合同条款中明确检查项目和</w:t>
      </w:r>
      <w:r>
        <w:rPr>
          <w:color w:val="auto"/>
          <w:spacing w:val="-1"/>
          <w:szCs w:val="21"/>
          <w:highlight w:val="none"/>
        </w:rPr>
        <w:t>频率的要求；</w:t>
      </w:r>
    </w:p>
    <w:p>
      <w:pPr>
        <w:pStyle w:val="32"/>
        <w:numPr>
          <w:ilvl w:val="0"/>
          <w:numId w:val="22"/>
        </w:numPr>
        <w:tabs>
          <w:tab w:val="left" w:pos="1417"/>
        </w:tabs>
        <w:spacing w:after="0" w:line="240" w:lineRule="auto"/>
        <w:ind w:left="1416" w:hanging="554"/>
        <w:rPr>
          <w:color w:val="auto"/>
          <w:szCs w:val="21"/>
          <w:highlight w:val="none"/>
        </w:rPr>
      </w:pPr>
      <w:r>
        <w:rPr>
          <w:color w:val="auto"/>
          <w:spacing w:val="-3"/>
          <w:szCs w:val="21"/>
          <w:highlight w:val="none"/>
        </w:rPr>
        <w:t>熟悉合同文件，调查施工环境条件；</w:t>
      </w:r>
    </w:p>
    <w:p>
      <w:pPr>
        <w:pStyle w:val="32"/>
        <w:numPr>
          <w:ilvl w:val="0"/>
          <w:numId w:val="22"/>
        </w:numPr>
        <w:tabs>
          <w:tab w:val="left" w:pos="1417"/>
        </w:tabs>
        <w:spacing w:before="138" w:after="0" w:line="240" w:lineRule="auto"/>
        <w:ind w:left="1416" w:hanging="554"/>
        <w:rPr>
          <w:color w:val="auto"/>
          <w:szCs w:val="21"/>
          <w:highlight w:val="none"/>
        </w:rPr>
      </w:pPr>
      <w:r>
        <w:rPr>
          <w:color w:val="auto"/>
          <w:spacing w:val="-3"/>
          <w:szCs w:val="21"/>
          <w:highlight w:val="none"/>
        </w:rPr>
        <w:t>在总监办的安排下，参与编制监理计划，提供本驻地办相关资料；</w:t>
      </w:r>
    </w:p>
    <w:p>
      <w:pPr>
        <w:pStyle w:val="32"/>
        <w:numPr>
          <w:ilvl w:val="0"/>
          <w:numId w:val="22"/>
        </w:numPr>
        <w:tabs>
          <w:tab w:val="left" w:pos="1417"/>
        </w:tabs>
        <w:spacing w:before="139" w:after="0" w:line="240" w:lineRule="auto"/>
        <w:ind w:left="1416" w:hanging="554"/>
        <w:rPr>
          <w:color w:val="auto"/>
          <w:szCs w:val="21"/>
          <w:highlight w:val="none"/>
        </w:rPr>
      </w:pPr>
      <w:r>
        <w:rPr>
          <w:color w:val="auto"/>
          <w:spacing w:val="-3"/>
          <w:szCs w:val="21"/>
          <w:highlight w:val="none"/>
        </w:rPr>
        <w:t>根据监理计划在相应工程开工前主持编制监理细则；</w:t>
      </w:r>
    </w:p>
    <w:p>
      <w:pPr>
        <w:pStyle w:val="32"/>
        <w:numPr>
          <w:ilvl w:val="0"/>
          <w:numId w:val="22"/>
        </w:numPr>
        <w:tabs>
          <w:tab w:val="left" w:pos="1417"/>
        </w:tabs>
        <w:spacing w:before="138" w:after="0" w:line="240" w:lineRule="auto"/>
        <w:ind w:left="1416" w:hanging="554"/>
        <w:rPr>
          <w:color w:val="auto"/>
          <w:szCs w:val="21"/>
          <w:highlight w:val="none"/>
        </w:rPr>
      </w:pPr>
      <w:r>
        <w:rPr>
          <w:color w:val="auto"/>
          <w:spacing w:val="-3"/>
          <w:szCs w:val="21"/>
          <w:highlight w:val="none"/>
        </w:rPr>
        <w:t>参加设计交底；</w:t>
      </w:r>
    </w:p>
    <w:p>
      <w:pPr>
        <w:pStyle w:val="32"/>
        <w:numPr>
          <w:ilvl w:val="0"/>
          <w:numId w:val="22"/>
        </w:numPr>
        <w:tabs>
          <w:tab w:val="left" w:pos="1417"/>
        </w:tabs>
        <w:spacing w:before="138" w:after="0" w:line="357" w:lineRule="auto"/>
        <w:ind w:right="449" w:firstLine="439"/>
        <w:rPr>
          <w:color w:val="auto"/>
          <w:szCs w:val="21"/>
          <w:highlight w:val="none"/>
        </w:rPr>
      </w:pPr>
      <w:r>
        <w:rPr>
          <w:color w:val="auto"/>
          <w:spacing w:val="-3"/>
          <w:szCs w:val="21"/>
          <w:highlight w:val="none"/>
        </w:rPr>
        <w:t>按规定程序初审本驻地监理标段承包人提交的施工组织设计</w:t>
      </w:r>
      <w:r>
        <w:rPr>
          <w:color w:val="auto"/>
          <w:szCs w:val="21"/>
          <w:highlight w:val="none"/>
        </w:rPr>
        <w:t>（</w:t>
      </w:r>
      <w:r>
        <w:rPr>
          <w:color w:val="auto"/>
          <w:spacing w:val="-3"/>
          <w:szCs w:val="21"/>
          <w:highlight w:val="none"/>
        </w:rPr>
        <w:t>含安全技术措施、应急救援抢险方案、专项施工方案及施工环境保护措施</w:t>
      </w:r>
      <w:r>
        <w:rPr>
          <w:color w:val="auto"/>
          <w:spacing w:val="-111"/>
          <w:szCs w:val="21"/>
          <w:highlight w:val="none"/>
        </w:rPr>
        <w:t>）</w:t>
      </w:r>
      <w:r>
        <w:rPr>
          <w:color w:val="auto"/>
          <w:szCs w:val="21"/>
          <w:highlight w:val="none"/>
        </w:rPr>
        <w:t>；</w:t>
      </w:r>
    </w:p>
    <w:p>
      <w:pPr>
        <w:pStyle w:val="32"/>
        <w:numPr>
          <w:ilvl w:val="0"/>
          <w:numId w:val="22"/>
        </w:numPr>
        <w:tabs>
          <w:tab w:val="left" w:pos="1417"/>
        </w:tabs>
        <w:spacing w:after="0" w:line="240" w:lineRule="auto"/>
        <w:ind w:left="1416" w:hanging="554"/>
        <w:rPr>
          <w:color w:val="auto"/>
          <w:szCs w:val="21"/>
          <w:highlight w:val="none"/>
        </w:rPr>
      </w:pPr>
      <w:r>
        <w:rPr>
          <w:color w:val="auto"/>
          <w:spacing w:val="-3"/>
          <w:szCs w:val="21"/>
          <w:highlight w:val="none"/>
        </w:rPr>
        <w:t>初审本驻地监理标段承包人提交的总体进度计划以及施工中进行的调整计划；</w:t>
      </w:r>
    </w:p>
    <w:p>
      <w:pPr>
        <w:pStyle w:val="32"/>
        <w:numPr>
          <w:ilvl w:val="0"/>
          <w:numId w:val="22"/>
        </w:numPr>
        <w:tabs>
          <w:tab w:val="left" w:pos="1417"/>
        </w:tabs>
        <w:spacing w:before="138" w:after="0" w:line="357" w:lineRule="auto"/>
        <w:ind w:right="464" w:firstLine="439"/>
        <w:rPr>
          <w:color w:val="auto"/>
          <w:szCs w:val="21"/>
          <w:highlight w:val="none"/>
        </w:rPr>
      </w:pPr>
      <w:r>
        <w:rPr>
          <w:color w:val="auto"/>
          <w:spacing w:val="-5"/>
          <w:szCs w:val="21"/>
          <w:highlight w:val="none"/>
        </w:rPr>
        <w:t>对承包人提交的原始基准点、基准线和基准高程的复测结果进行平行复测，审核</w:t>
      </w:r>
      <w:r>
        <w:rPr>
          <w:color w:val="auto"/>
          <w:spacing w:val="-4"/>
          <w:szCs w:val="21"/>
          <w:highlight w:val="none"/>
        </w:rPr>
        <w:t>后予以批复；</w:t>
      </w:r>
    </w:p>
    <w:p>
      <w:pPr>
        <w:pStyle w:val="32"/>
        <w:numPr>
          <w:ilvl w:val="0"/>
          <w:numId w:val="22"/>
        </w:numPr>
        <w:tabs>
          <w:tab w:val="left" w:pos="1417"/>
        </w:tabs>
        <w:spacing w:before="1" w:after="0" w:line="240" w:lineRule="auto"/>
        <w:ind w:left="1416" w:hanging="554"/>
        <w:rPr>
          <w:color w:val="auto"/>
          <w:szCs w:val="21"/>
          <w:highlight w:val="none"/>
        </w:rPr>
      </w:pPr>
      <w:r>
        <w:rPr>
          <w:color w:val="auto"/>
          <w:spacing w:val="-3"/>
          <w:szCs w:val="21"/>
          <w:highlight w:val="none"/>
        </w:rPr>
        <w:t>验收承包人测定的地面线；</w:t>
      </w:r>
    </w:p>
    <w:p>
      <w:pPr>
        <w:pStyle w:val="32"/>
        <w:numPr>
          <w:ilvl w:val="0"/>
          <w:numId w:val="22"/>
        </w:numPr>
        <w:tabs>
          <w:tab w:val="left" w:pos="1527"/>
        </w:tabs>
        <w:spacing w:before="138" w:after="0" w:line="240" w:lineRule="auto"/>
        <w:ind w:left="1527" w:hanging="664"/>
        <w:rPr>
          <w:color w:val="auto"/>
          <w:szCs w:val="21"/>
          <w:highlight w:val="none"/>
        </w:rPr>
      </w:pPr>
      <w:r>
        <w:rPr>
          <w:color w:val="auto"/>
          <w:spacing w:val="-3"/>
          <w:szCs w:val="21"/>
          <w:highlight w:val="none"/>
        </w:rPr>
        <w:t>确认承包人提交的场地占用计划；</w:t>
      </w:r>
    </w:p>
    <w:p>
      <w:pPr>
        <w:pStyle w:val="32"/>
        <w:numPr>
          <w:ilvl w:val="0"/>
          <w:numId w:val="22"/>
        </w:numPr>
        <w:tabs>
          <w:tab w:val="left" w:pos="1520"/>
        </w:tabs>
        <w:spacing w:before="138" w:after="0" w:line="240" w:lineRule="auto"/>
        <w:ind w:left="1519" w:hanging="657"/>
        <w:rPr>
          <w:color w:val="auto"/>
          <w:szCs w:val="21"/>
          <w:highlight w:val="none"/>
        </w:rPr>
      </w:pPr>
      <w:r>
        <w:rPr>
          <w:color w:val="auto"/>
          <w:spacing w:val="-3"/>
          <w:szCs w:val="21"/>
          <w:highlight w:val="none"/>
        </w:rPr>
        <w:t>核算承包人对工程量清单的复核结果；</w:t>
      </w:r>
    </w:p>
    <w:p>
      <w:pPr>
        <w:pStyle w:val="32"/>
        <w:numPr>
          <w:ilvl w:val="0"/>
          <w:numId w:val="22"/>
        </w:numPr>
        <w:tabs>
          <w:tab w:val="left" w:pos="1533"/>
        </w:tabs>
        <w:spacing w:before="77" w:after="0" w:line="357" w:lineRule="auto"/>
        <w:ind w:right="466" w:firstLine="439"/>
        <w:rPr>
          <w:color w:val="auto"/>
          <w:szCs w:val="21"/>
          <w:highlight w:val="none"/>
        </w:rPr>
      </w:pPr>
      <w:r>
        <w:rPr>
          <w:color w:val="auto"/>
          <w:spacing w:val="-1"/>
          <w:szCs w:val="21"/>
          <w:highlight w:val="none"/>
        </w:rPr>
        <w:t>按合同约定对工程分包计划和协议进行审查，审查分包合同中是否明确了承包</w:t>
      </w:r>
      <w:r>
        <w:rPr>
          <w:color w:val="auto"/>
          <w:spacing w:val="-3"/>
          <w:szCs w:val="21"/>
          <w:highlight w:val="none"/>
        </w:rPr>
        <w:t>人与分包人各自在安全生产方面的责任；</w:t>
      </w:r>
    </w:p>
    <w:p>
      <w:pPr>
        <w:pStyle w:val="32"/>
        <w:numPr>
          <w:ilvl w:val="0"/>
          <w:numId w:val="22"/>
        </w:numPr>
        <w:tabs>
          <w:tab w:val="left" w:pos="1527"/>
        </w:tabs>
        <w:spacing w:after="0" w:line="240" w:lineRule="auto"/>
        <w:ind w:left="1527" w:hanging="664"/>
        <w:rPr>
          <w:color w:val="auto"/>
          <w:szCs w:val="21"/>
          <w:highlight w:val="none"/>
        </w:rPr>
      </w:pPr>
      <w:r>
        <w:rPr>
          <w:color w:val="auto"/>
          <w:spacing w:val="-3"/>
          <w:szCs w:val="21"/>
          <w:highlight w:val="none"/>
        </w:rPr>
        <w:t>审批施工测量放线；</w:t>
      </w:r>
    </w:p>
    <w:p>
      <w:pPr>
        <w:pStyle w:val="32"/>
        <w:numPr>
          <w:ilvl w:val="0"/>
          <w:numId w:val="22"/>
        </w:numPr>
        <w:tabs>
          <w:tab w:val="left" w:pos="1527"/>
        </w:tabs>
        <w:spacing w:before="138" w:after="0" w:line="240" w:lineRule="auto"/>
        <w:ind w:left="1527" w:hanging="664"/>
        <w:rPr>
          <w:color w:val="auto"/>
          <w:szCs w:val="21"/>
          <w:highlight w:val="none"/>
        </w:rPr>
      </w:pPr>
      <w:r>
        <w:rPr>
          <w:color w:val="auto"/>
          <w:spacing w:val="-3"/>
          <w:szCs w:val="21"/>
          <w:highlight w:val="none"/>
        </w:rPr>
        <w:t>审批一般工程原材料和混合料配合比；</w:t>
      </w:r>
    </w:p>
    <w:p>
      <w:pPr>
        <w:pStyle w:val="32"/>
        <w:numPr>
          <w:ilvl w:val="0"/>
          <w:numId w:val="22"/>
        </w:numPr>
        <w:tabs>
          <w:tab w:val="left" w:pos="1527"/>
        </w:tabs>
        <w:spacing w:before="138" w:after="0" w:line="240" w:lineRule="auto"/>
        <w:ind w:left="1527" w:hanging="664"/>
        <w:rPr>
          <w:color w:val="auto"/>
          <w:szCs w:val="21"/>
          <w:highlight w:val="none"/>
        </w:rPr>
      </w:pPr>
      <w:r>
        <w:rPr>
          <w:color w:val="auto"/>
          <w:spacing w:val="-3"/>
          <w:szCs w:val="21"/>
          <w:highlight w:val="none"/>
        </w:rPr>
        <w:t>审查施工组织及人员配备；</w:t>
      </w:r>
    </w:p>
    <w:p>
      <w:pPr>
        <w:pStyle w:val="32"/>
        <w:numPr>
          <w:ilvl w:val="0"/>
          <w:numId w:val="22"/>
        </w:numPr>
        <w:tabs>
          <w:tab w:val="left" w:pos="1527"/>
        </w:tabs>
        <w:spacing w:before="138" w:after="0" w:line="240" w:lineRule="auto"/>
        <w:ind w:left="1527" w:hanging="664"/>
        <w:rPr>
          <w:color w:val="auto"/>
          <w:szCs w:val="21"/>
          <w:highlight w:val="none"/>
        </w:rPr>
      </w:pPr>
      <w:r>
        <w:rPr>
          <w:color w:val="auto"/>
          <w:spacing w:val="-3"/>
          <w:szCs w:val="21"/>
          <w:highlight w:val="none"/>
        </w:rPr>
        <w:t>审查承包人进场的施工机械设备；</w:t>
      </w:r>
    </w:p>
    <w:p>
      <w:pPr>
        <w:pStyle w:val="32"/>
        <w:numPr>
          <w:ilvl w:val="0"/>
          <w:numId w:val="22"/>
        </w:numPr>
        <w:tabs>
          <w:tab w:val="left" w:pos="1527"/>
        </w:tabs>
        <w:spacing w:before="138" w:after="0" w:line="240" w:lineRule="auto"/>
        <w:ind w:left="1527" w:hanging="664"/>
        <w:rPr>
          <w:color w:val="auto"/>
          <w:szCs w:val="21"/>
          <w:highlight w:val="none"/>
        </w:rPr>
      </w:pPr>
      <w:r>
        <w:rPr>
          <w:color w:val="auto"/>
          <w:spacing w:val="-3"/>
          <w:szCs w:val="21"/>
          <w:highlight w:val="none"/>
        </w:rPr>
        <w:t>审查承包人提交的分项、分部工程的施工方案及主要工艺；</w:t>
      </w:r>
    </w:p>
    <w:p>
      <w:pPr>
        <w:pStyle w:val="32"/>
        <w:numPr>
          <w:ilvl w:val="0"/>
          <w:numId w:val="22"/>
        </w:numPr>
        <w:tabs>
          <w:tab w:val="left" w:pos="1527"/>
        </w:tabs>
        <w:spacing w:before="139" w:after="0" w:line="240" w:lineRule="auto"/>
        <w:ind w:left="1527" w:hanging="664"/>
        <w:rPr>
          <w:color w:val="auto"/>
          <w:szCs w:val="21"/>
          <w:highlight w:val="none"/>
        </w:rPr>
      </w:pPr>
      <w:r>
        <w:rPr>
          <w:color w:val="auto"/>
          <w:spacing w:val="-3"/>
          <w:szCs w:val="21"/>
          <w:highlight w:val="none"/>
        </w:rPr>
        <w:t>审批承包人月进度计划，检查和监督进度计划的实施；</w:t>
      </w:r>
    </w:p>
    <w:p>
      <w:pPr>
        <w:pStyle w:val="32"/>
        <w:numPr>
          <w:ilvl w:val="0"/>
          <w:numId w:val="22"/>
        </w:numPr>
        <w:tabs>
          <w:tab w:val="left" w:pos="1527"/>
        </w:tabs>
        <w:spacing w:before="138" w:after="0" w:line="240" w:lineRule="auto"/>
        <w:ind w:left="1527" w:hanging="664"/>
        <w:rPr>
          <w:color w:val="auto"/>
          <w:szCs w:val="21"/>
          <w:highlight w:val="none"/>
        </w:rPr>
      </w:pPr>
      <w:r>
        <w:rPr>
          <w:color w:val="auto"/>
          <w:spacing w:val="-3"/>
          <w:szCs w:val="21"/>
          <w:highlight w:val="none"/>
        </w:rPr>
        <w:t>审批分项</w:t>
      </w:r>
      <w:r>
        <w:rPr>
          <w:color w:val="auto"/>
          <w:szCs w:val="21"/>
          <w:highlight w:val="none"/>
        </w:rPr>
        <w:t>（部</w:t>
      </w:r>
      <w:r>
        <w:rPr>
          <w:color w:val="auto"/>
          <w:spacing w:val="-3"/>
          <w:szCs w:val="21"/>
          <w:highlight w:val="none"/>
        </w:rPr>
        <w:t>）工程的开工申请，签发分项、分部工程暂停令和复工令；</w:t>
      </w:r>
    </w:p>
    <w:p>
      <w:pPr>
        <w:pStyle w:val="32"/>
        <w:numPr>
          <w:ilvl w:val="0"/>
          <w:numId w:val="22"/>
        </w:numPr>
        <w:tabs>
          <w:tab w:val="left" w:pos="1527"/>
        </w:tabs>
        <w:spacing w:before="138" w:after="0" w:line="240" w:lineRule="auto"/>
        <w:ind w:left="1527" w:hanging="664"/>
        <w:rPr>
          <w:color w:val="auto"/>
          <w:szCs w:val="21"/>
          <w:highlight w:val="none"/>
        </w:rPr>
      </w:pPr>
      <w:r>
        <w:rPr>
          <w:color w:val="auto"/>
          <w:spacing w:val="-3"/>
          <w:szCs w:val="21"/>
          <w:highlight w:val="none"/>
        </w:rPr>
        <w:t>验收构配件或设备；</w:t>
      </w:r>
    </w:p>
    <w:p>
      <w:pPr>
        <w:pStyle w:val="32"/>
        <w:numPr>
          <w:ilvl w:val="0"/>
          <w:numId w:val="22"/>
        </w:numPr>
        <w:tabs>
          <w:tab w:val="left" w:pos="1527"/>
        </w:tabs>
        <w:spacing w:before="138" w:after="0" w:line="240" w:lineRule="auto"/>
        <w:ind w:left="1527" w:hanging="664"/>
        <w:rPr>
          <w:color w:val="auto"/>
          <w:szCs w:val="21"/>
          <w:highlight w:val="none"/>
        </w:rPr>
      </w:pPr>
      <w:r>
        <w:rPr>
          <w:color w:val="auto"/>
          <w:spacing w:val="-3"/>
          <w:szCs w:val="21"/>
          <w:highlight w:val="none"/>
        </w:rPr>
        <w:t>按有关规定和要求对工程进行巡视、旁站和抽检，并做好记录；</w:t>
      </w:r>
    </w:p>
    <w:p>
      <w:pPr>
        <w:pStyle w:val="32"/>
        <w:numPr>
          <w:ilvl w:val="0"/>
          <w:numId w:val="22"/>
        </w:numPr>
        <w:tabs>
          <w:tab w:val="left" w:pos="1527"/>
        </w:tabs>
        <w:spacing w:before="138" w:after="0" w:line="240" w:lineRule="auto"/>
        <w:ind w:left="1527" w:hanging="664"/>
        <w:rPr>
          <w:color w:val="auto"/>
          <w:szCs w:val="21"/>
          <w:highlight w:val="none"/>
        </w:rPr>
      </w:pPr>
      <w:r>
        <w:rPr>
          <w:color w:val="auto"/>
          <w:spacing w:val="-3"/>
          <w:szCs w:val="21"/>
          <w:highlight w:val="none"/>
        </w:rPr>
        <w:t>对关键工序进行签认；</w:t>
      </w:r>
    </w:p>
    <w:p>
      <w:pPr>
        <w:pStyle w:val="32"/>
        <w:numPr>
          <w:ilvl w:val="0"/>
          <w:numId w:val="22"/>
        </w:numPr>
        <w:tabs>
          <w:tab w:val="left" w:pos="1533"/>
        </w:tabs>
        <w:spacing w:before="138" w:after="0" w:line="357" w:lineRule="auto"/>
        <w:ind w:right="462" w:firstLine="439"/>
        <w:rPr>
          <w:color w:val="auto"/>
          <w:szCs w:val="21"/>
          <w:highlight w:val="none"/>
        </w:rPr>
      </w:pPr>
      <w:r>
        <w:rPr>
          <w:color w:val="auto"/>
          <w:spacing w:val="-1"/>
          <w:szCs w:val="21"/>
          <w:highlight w:val="none"/>
        </w:rPr>
        <w:t>对发生的质量缺陷、质量隐患和质量事故进行调查、处理或对不属于监理人权</w:t>
      </w:r>
      <w:r>
        <w:rPr>
          <w:color w:val="auto"/>
          <w:spacing w:val="-3"/>
          <w:szCs w:val="21"/>
          <w:highlight w:val="none"/>
        </w:rPr>
        <w:t>限处理的质量事故督促承包人按规定报告有关部门；</w:t>
      </w:r>
    </w:p>
    <w:p>
      <w:pPr>
        <w:pStyle w:val="32"/>
        <w:numPr>
          <w:ilvl w:val="0"/>
          <w:numId w:val="22"/>
        </w:numPr>
        <w:tabs>
          <w:tab w:val="left" w:pos="1533"/>
        </w:tabs>
        <w:spacing w:before="1" w:after="0" w:line="357" w:lineRule="auto"/>
        <w:ind w:right="466" w:firstLine="439"/>
        <w:rPr>
          <w:color w:val="auto"/>
          <w:szCs w:val="21"/>
          <w:highlight w:val="none"/>
        </w:rPr>
      </w:pPr>
      <w:r>
        <w:rPr>
          <w:color w:val="auto"/>
          <w:spacing w:val="-1"/>
          <w:szCs w:val="21"/>
          <w:highlight w:val="none"/>
        </w:rPr>
        <w:t>对交工的单位、分部、分项工程进行检验和质量等级评定并签发《中间交工证</w:t>
      </w:r>
      <w:r>
        <w:rPr>
          <w:color w:val="auto"/>
          <w:spacing w:val="-38"/>
          <w:szCs w:val="21"/>
          <w:highlight w:val="none"/>
        </w:rPr>
        <w:t>书》；</w:t>
      </w:r>
    </w:p>
    <w:p>
      <w:pPr>
        <w:pStyle w:val="32"/>
        <w:numPr>
          <w:ilvl w:val="0"/>
          <w:numId w:val="22"/>
        </w:numPr>
        <w:tabs>
          <w:tab w:val="left" w:pos="1527"/>
        </w:tabs>
        <w:spacing w:after="0" w:line="240" w:lineRule="auto"/>
        <w:ind w:left="1527" w:hanging="664"/>
        <w:rPr>
          <w:color w:val="auto"/>
          <w:szCs w:val="21"/>
          <w:highlight w:val="none"/>
        </w:rPr>
      </w:pPr>
      <w:r>
        <w:rPr>
          <w:color w:val="auto"/>
          <w:spacing w:val="-3"/>
          <w:szCs w:val="21"/>
          <w:highlight w:val="none"/>
        </w:rPr>
        <w:t>对已完工程按合同约定的方法进行计量；</w:t>
      </w:r>
    </w:p>
    <w:p>
      <w:pPr>
        <w:pStyle w:val="32"/>
        <w:numPr>
          <w:ilvl w:val="0"/>
          <w:numId w:val="22"/>
        </w:numPr>
        <w:tabs>
          <w:tab w:val="left" w:pos="1527"/>
        </w:tabs>
        <w:spacing w:before="138" w:after="0" w:line="240" w:lineRule="auto"/>
        <w:ind w:left="1527" w:hanging="664"/>
        <w:rPr>
          <w:color w:val="auto"/>
          <w:szCs w:val="21"/>
          <w:highlight w:val="none"/>
        </w:rPr>
      </w:pPr>
      <w:r>
        <w:rPr>
          <w:color w:val="auto"/>
          <w:spacing w:val="-3"/>
          <w:szCs w:val="21"/>
          <w:highlight w:val="none"/>
        </w:rPr>
        <w:t>按有关规定及时对已完分部工程、单位工程及合同工程进行质量评定；</w:t>
      </w:r>
    </w:p>
    <w:p>
      <w:pPr>
        <w:pStyle w:val="32"/>
        <w:numPr>
          <w:ilvl w:val="0"/>
          <w:numId w:val="22"/>
        </w:numPr>
        <w:tabs>
          <w:tab w:val="left" w:pos="1527"/>
        </w:tabs>
        <w:spacing w:before="138" w:after="0" w:line="240" w:lineRule="auto"/>
        <w:ind w:left="1527" w:hanging="664"/>
        <w:rPr>
          <w:color w:val="auto"/>
          <w:szCs w:val="21"/>
          <w:highlight w:val="none"/>
        </w:rPr>
      </w:pPr>
      <w:r>
        <w:rPr>
          <w:color w:val="auto"/>
          <w:spacing w:val="-3"/>
          <w:szCs w:val="21"/>
          <w:highlight w:val="none"/>
        </w:rPr>
        <w:t>编写本驻地监理标段的监理月报；</w:t>
      </w:r>
    </w:p>
    <w:p>
      <w:pPr>
        <w:pStyle w:val="32"/>
        <w:numPr>
          <w:ilvl w:val="0"/>
          <w:numId w:val="22"/>
        </w:numPr>
        <w:tabs>
          <w:tab w:val="left" w:pos="1527"/>
        </w:tabs>
        <w:spacing w:before="138" w:after="0" w:line="240" w:lineRule="auto"/>
        <w:ind w:left="1527" w:hanging="664"/>
        <w:rPr>
          <w:color w:val="auto"/>
          <w:szCs w:val="21"/>
          <w:highlight w:val="none"/>
        </w:rPr>
      </w:pPr>
      <w:r>
        <w:rPr>
          <w:color w:val="auto"/>
          <w:spacing w:val="-3"/>
          <w:szCs w:val="21"/>
          <w:highlight w:val="none"/>
        </w:rPr>
        <w:t>主持召开工地会议和根据工程需要主持召开专题工地会议；</w:t>
      </w:r>
    </w:p>
    <w:p>
      <w:pPr>
        <w:pStyle w:val="32"/>
        <w:numPr>
          <w:ilvl w:val="0"/>
          <w:numId w:val="22"/>
        </w:numPr>
        <w:tabs>
          <w:tab w:val="left" w:pos="1527"/>
        </w:tabs>
        <w:spacing w:before="138" w:after="0" w:line="240" w:lineRule="auto"/>
        <w:ind w:left="1527" w:hanging="664"/>
        <w:rPr>
          <w:color w:val="auto"/>
          <w:szCs w:val="21"/>
          <w:highlight w:val="none"/>
        </w:rPr>
      </w:pPr>
      <w:r>
        <w:rPr>
          <w:color w:val="auto"/>
          <w:spacing w:val="-3"/>
          <w:szCs w:val="21"/>
          <w:highlight w:val="none"/>
        </w:rPr>
        <w:t>编制标段监理竣工文件；</w:t>
      </w:r>
    </w:p>
    <w:p>
      <w:pPr>
        <w:pStyle w:val="32"/>
        <w:numPr>
          <w:ilvl w:val="0"/>
          <w:numId w:val="22"/>
        </w:numPr>
        <w:tabs>
          <w:tab w:val="left" w:pos="1527"/>
        </w:tabs>
        <w:spacing w:before="138" w:after="0" w:line="240" w:lineRule="auto"/>
        <w:ind w:left="1527" w:hanging="664"/>
        <w:rPr>
          <w:color w:val="auto"/>
          <w:szCs w:val="21"/>
          <w:highlight w:val="none"/>
        </w:rPr>
      </w:pPr>
      <w:r>
        <w:rPr>
          <w:color w:val="auto"/>
          <w:spacing w:val="-3"/>
          <w:szCs w:val="21"/>
          <w:highlight w:val="none"/>
        </w:rPr>
        <w:t>编写本驻地监理标段的监理工作报告；</w:t>
      </w:r>
    </w:p>
    <w:p>
      <w:pPr>
        <w:pStyle w:val="32"/>
        <w:numPr>
          <w:ilvl w:val="0"/>
          <w:numId w:val="22"/>
        </w:numPr>
        <w:tabs>
          <w:tab w:val="left" w:pos="1527"/>
        </w:tabs>
        <w:spacing w:before="139" w:after="0" w:line="240" w:lineRule="auto"/>
        <w:ind w:left="1527" w:hanging="664"/>
        <w:rPr>
          <w:color w:val="auto"/>
          <w:szCs w:val="21"/>
          <w:highlight w:val="none"/>
        </w:rPr>
      </w:pPr>
      <w:r>
        <w:rPr>
          <w:color w:val="auto"/>
          <w:spacing w:val="-3"/>
          <w:szCs w:val="21"/>
          <w:highlight w:val="none"/>
        </w:rPr>
        <w:t>参加本驻地监理标段合同工程的交工验收；</w:t>
      </w:r>
    </w:p>
    <w:p>
      <w:pPr>
        <w:pStyle w:val="32"/>
        <w:numPr>
          <w:ilvl w:val="0"/>
          <w:numId w:val="22"/>
        </w:numPr>
        <w:tabs>
          <w:tab w:val="left" w:pos="1527"/>
        </w:tabs>
        <w:spacing w:before="138" w:after="0" w:line="240" w:lineRule="auto"/>
        <w:ind w:left="1527" w:hanging="664"/>
        <w:rPr>
          <w:color w:val="auto"/>
          <w:szCs w:val="21"/>
          <w:highlight w:val="none"/>
        </w:rPr>
      </w:pPr>
      <w:r>
        <w:rPr>
          <w:color w:val="auto"/>
          <w:spacing w:val="-3"/>
          <w:szCs w:val="21"/>
          <w:highlight w:val="none"/>
        </w:rPr>
        <w:t>初审交工结账证书；</w:t>
      </w:r>
    </w:p>
    <w:p>
      <w:pPr>
        <w:pStyle w:val="32"/>
        <w:numPr>
          <w:ilvl w:val="0"/>
          <w:numId w:val="22"/>
        </w:numPr>
        <w:tabs>
          <w:tab w:val="left" w:pos="1527"/>
        </w:tabs>
        <w:spacing w:before="138" w:after="0" w:line="240" w:lineRule="auto"/>
        <w:ind w:left="1527" w:hanging="664"/>
        <w:rPr>
          <w:color w:val="auto"/>
          <w:szCs w:val="21"/>
          <w:highlight w:val="none"/>
        </w:rPr>
      </w:pPr>
      <w:r>
        <w:rPr>
          <w:color w:val="auto"/>
          <w:spacing w:val="-3"/>
          <w:szCs w:val="21"/>
          <w:highlight w:val="none"/>
        </w:rPr>
        <w:t>按照项目专用合同条款约定提供其他工程管理咨询服务。</w:t>
      </w:r>
    </w:p>
    <w:p>
      <w:pPr>
        <w:pStyle w:val="32"/>
        <w:numPr>
          <w:ilvl w:val="2"/>
          <w:numId w:val="12"/>
        </w:numPr>
        <w:tabs>
          <w:tab w:val="left" w:pos="1416"/>
        </w:tabs>
        <w:spacing w:before="139" w:after="0" w:line="240" w:lineRule="auto"/>
        <w:ind w:hanging="553"/>
        <w:rPr>
          <w:color w:val="auto"/>
          <w:szCs w:val="21"/>
          <w:highlight w:val="none"/>
        </w:rPr>
      </w:pPr>
      <w:r>
        <w:rPr>
          <w:color w:val="auto"/>
          <w:spacing w:val="-3"/>
          <w:szCs w:val="21"/>
          <w:highlight w:val="none"/>
        </w:rPr>
        <w:t>在工程只设置总监办一级监理机构时，其监理服务内容为：</w:t>
      </w:r>
    </w:p>
    <w:p>
      <w:pPr>
        <w:pStyle w:val="32"/>
        <w:numPr>
          <w:ilvl w:val="0"/>
          <w:numId w:val="23"/>
        </w:numPr>
        <w:tabs>
          <w:tab w:val="left" w:pos="1417"/>
        </w:tabs>
        <w:spacing w:before="138" w:after="0" w:line="357" w:lineRule="auto"/>
        <w:ind w:right="462" w:firstLine="439"/>
        <w:rPr>
          <w:color w:val="auto"/>
          <w:szCs w:val="21"/>
          <w:highlight w:val="none"/>
        </w:rPr>
      </w:pPr>
      <w:r>
        <w:rPr>
          <w:color w:val="auto"/>
          <w:spacing w:val="-5"/>
          <w:szCs w:val="21"/>
          <w:highlight w:val="none"/>
        </w:rPr>
        <w:t>按监理合同要求建立总监办工地试验室，配备常规的试验检测设备，并须达到项</w:t>
      </w:r>
      <w:r>
        <w:rPr>
          <w:color w:val="auto"/>
          <w:spacing w:val="-4"/>
          <w:szCs w:val="21"/>
          <w:highlight w:val="none"/>
        </w:rPr>
        <w:t>目专用合同条款中约定的检查项目及频率要求；</w:t>
      </w:r>
    </w:p>
    <w:p>
      <w:pPr>
        <w:pStyle w:val="32"/>
        <w:numPr>
          <w:ilvl w:val="0"/>
          <w:numId w:val="23"/>
        </w:numPr>
        <w:tabs>
          <w:tab w:val="left" w:pos="1417"/>
        </w:tabs>
        <w:spacing w:after="0" w:line="240" w:lineRule="auto"/>
        <w:ind w:left="1416" w:hanging="554"/>
        <w:rPr>
          <w:color w:val="auto"/>
          <w:szCs w:val="21"/>
          <w:highlight w:val="none"/>
        </w:rPr>
      </w:pPr>
      <w:r>
        <w:rPr>
          <w:color w:val="auto"/>
          <w:spacing w:val="-3"/>
          <w:szCs w:val="21"/>
          <w:highlight w:val="none"/>
        </w:rPr>
        <w:t>熟悉合同文件，调查施工环境条件；</w:t>
      </w:r>
    </w:p>
    <w:p>
      <w:pPr>
        <w:pStyle w:val="32"/>
        <w:numPr>
          <w:ilvl w:val="0"/>
          <w:numId w:val="23"/>
        </w:numPr>
        <w:tabs>
          <w:tab w:val="left" w:pos="1417"/>
        </w:tabs>
        <w:spacing w:before="138" w:after="0" w:line="357" w:lineRule="auto"/>
        <w:ind w:right="464" w:firstLine="439"/>
        <w:rPr>
          <w:color w:val="auto"/>
          <w:szCs w:val="21"/>
          <w:highlight w:val="none"/>
        </w:rPr>
      </w:pPr>
      <w:r>
        <w:rPr>
          <w:color w:val="auto"/>
          <w:spacing w:val="-4"/>
          <w:szCs w:val="21"/>
          <w:highlight w:val="none"/>
        </w:rPr>
        <w:t>在合同约定的期限内编制监理计划，根据监理计划在相应工程开工前编制监理细则；</w:t>
      </w:r>
    </w:p>
    <w:p>
      <w:pPr>
        <w:pStyle w:val="32"/>
        <w:numPr>
          <w:ilvl w:val="0"/>
          <w:numId w:val="23"/>
        </w:numPr>
        <w:tabs>
          <w:tab w:val="left" w:pos="1417"/>
        </w:tabs>
        <w:spacing w:before="138" w:after="0" w:line="357" w:lineRule="auto"/>
        <w:ind w:right="464" w:firstLine="439"/>
        <w:rPr>
          <w:color w:val="auto"/>
          <w:spacing w:val="-5"/>
          <w:szCs w:val="21"/>
          <w:highlight w:val="none"/>
        </w:rPr>
      </w:pPr>
      <w:r>
        <w:rPr>
          <w:color w:val="auto"/>
          <w:spacing w:val="-5"/>
          <w:szCs w:val="21"/>
          <w:highlight w:val="none"/>
        </w:rPr>
        <w:t>在合同约定的期限内审批承包人提交的施工组织设计（含安全技术措施、应急救援抢险方案、专项施工方案及施工环境保护措施）；</w:t>
      </w:r>
    </w:p>
    <w:p>
      <w:pPr>
        <w:pStyle w:val="32"/>
        <w:numPr>
          <w:ilvl w:val="0"/>
          <w:numId w:val="23"/>
        </w:numPr>
        <w:tabs>
          <w:tab w:val="left" w:pos="1417"/>
        </w:tabs>
        <w:spacing w:before="138" w:after="0" w:line="240" w:lineRule="auto"/>
        <w:ind w:left="1416" w:hanging="554"/>
        <w:rPr>
          <w:color w:val="auto"/>
          <w:szCs w:val="21"/>
          <w:highlight w:val="none"/>
        </w:rPr>
      </w:pPr>
      <w:r>
        <w:rPr>
          <w:color w:val="auto"/>
          <w:spacing w:val="-3"/>
          <w:szCs w:val="21"/>
          <w:highlight w:val="none"/>
        </w:rPr>
        <w:t>参加设计交底；</w:t>
      </w:r>
    </w:p>
    <w:p>
      <w:pPr>
        <w:pStyle w:val="32"/>
        <w:numPr>
          <w:ilvl w:val="0"/>
          <w:numId w:val="23"/>
        </w:numPr>
        <w:tabs>
          <w:tab w:val="left" w:pos="1417"/>
        </w:tabs>
        <w:spacing w:before="138" w:after="0" w:line="240" w:lineRule="auto"/>
        <w:ind w:left="1416" w:hanging="554"/>
        <w:rPr>
          <w:color w:val="auto"/>
          <w:szCs w:val="21"/>
          <w:highlight w:val="none"/>
        </w:rPr>
      </w:pPr>
      <w:r>
        <w:rPr>
          <w:color w:val="auto"/>
          <w:spacing w:val="-3"/>
          <w:szCs w:val="21"/>
          <w:highlight w:val="none"/>
        </w:rPr>
        <w:t>审批承包人提交的总体进度计划，核批承包人对总体进度计划的调整计划；</w:t>
      </w:r>
    </w:p>
    <w:p>
      <w:pPr>
        <w:pStyle w:val="32"/>
        <w:numPr>
          <w:ilvl w:val="0"/>
          <w:numId w:val="23"/>
        </w:numPr>
        <w:tabs>
          <w:tab w:val="left" w:pos="1417"/>
        </w:tabs>
        <w:spacing w:before="138" w:after="0" w:line="240" w:lineRule="auto"/>
        <w:ind w:left="1416" w:hanging="554"/>
        <w:rPr>
          <w:color w:val="auto"/>
          <w:szCs w:val="21"/>
          <w:highlight w:val="none"/>
        </w:rPr>
      </w:pPr>
      <w:r>
        <w:rPr>
          <w:color w:val="auto"/>
          <w:spacing w:val="-3"/>
          <w:szCs w:val="21"/>
          <w:highlight w:val="none"/>
        </w:rPr>
        <w:t>检查承包人工程质量、施工安全和施工环境保护等保证体系；</w:t>
      </w:r>
    </w:p>
    <w:p>
      <w:pPr>
        <w:pStyle w:val="32"/>
        <w:numPr>
          <w:ilvl w:val="0"/>
          <w:numId w:val="23"/>
        </w:numPr>
        <w:tabs>
          <w:tab w:val="left" w:pos="1417"/>
        </w:tabs>
        <w:spacing w:before="138" w:after="0" w:line="240" w:lineRule="auto"/>
        <w:ind w:left="1416" w:hanging="554"/>
        <w:rPr>
          <w:color w:val="auto"/>
          <w:szCs w:val="21"/>
          <w:highlight w:val="none"/>
        </w:rPr>
      </w:pPr>
      <w:r>
        <w:rPr>
          <w:color w:val="auto"/>
          <w:spacing w:val="-3"/>
          <w:szCs w:val="21"/>
          <w:highlight w:val="none"/>
        </w:rPr>
        <w:t>审核承包人的工地试验室；</w:t>
      </w:r>
    </w:p>
    <w:p>
      <w:pPr>
        <w:pStyle w:val="32"/>
        <w:numPr>
          <w:ilvl w:val="0"/>
          <w:numId w:val="23"/>
        </w:numPr>
        <w:tabs>
          <w:tab w:val="left" w:pos="1417"/>
        </w:tabs>
        <w:spacing w:before="138" w:after="0" w:line="357" w:lineRule="auto"/>
        <w:ind w:right="464" w:firstLine="439"/>
        <w:rPr>
          <w:color w:val="auto"/>
          <w:szCs w:val="21"/>
          <w:highlight w:val="none"/>
        </w:rPr>
      </w:pPr>
      <w:r>
        <w:rPr>
          <w:color w:val="auto"/>
          <w:spacing w:val="-5"/>
          <w:szCs w:val="21"/>
          <w:highlight w:val="none"/>
        </w:rPr>
        <w:t>对承包人提交的原始基准点、基准线和基准高程的复测结果进行平行复测，审核</w:t>
      </w:r>
      <w:r>
        <w:rPr>
          <w:color w:val="auto"/>
          <w:spacing w:val="-4"/>
          <w:szCs w:val="21"/>
          <w:highlight w:val="none"/>
        </w:rPr>
        <w:t>后予以批复；</w:t>
      </w:r>
    </w:p>
    <w:p>
      <w:pPr>
        <w:pStyle w:val="32"/>
        <w:numPr>
          <w:ilvl w:val="0"/>
          <w:numId w:val="23"/>
        </w:numPr>
        <w:tabs>
          <w:tab w:val="left" w:pos="1527"/>
        </w:tabs>
        <w:spacing w:before="1" w:after="0" w:line="240" w:lineRule="auto"/>
        <w:ind w:left="1527" w:hanging="664"/>
        <w:rPr>
          <w:color w:val="auto"/>
          <w:szCs w:val="21"/>
          <w:highlight w:val="none"/>
        </w:rPr>
      </w:pPr>
      <w:r>
        <w:rPr>
          <w:color w:val="auto"/>
          <w:spacing w:val="-3"/>
          <w:szCs w:val="21"/>
          <w:highlight w:val="none"/>
        </w:rPr>
        <w:t>验收承包人测定的地面线；</w:t>
      </w:r>
    </w:p>
    <w:p>
      <w:pPr>
        <w:pStyle w:val="32"/>
        <w:numPr>
          <w:ilvl w:val="0"/>
          <w:numId w:val="23"/>
        </w:numPr>
        <w:tabs>
          <w:tab w:val="left" w:pos="1520"/>
        </w:tabs>
        <w:spacing w:before="138" w:after="0" w:line="240" w:lineRule="auto"/>
        <w:ind w:left="1519" w:hanging="657"/>
        <w:rPr>
          <w:color w:val="auto"/>
          <w:szCs w:val="21"/>
          <w:highlight w:val="none"/>
        </w:rPr>
      </w:pPr>
      <w:r>
        <w:rPr>
          <w:color w:val="auto"/>
          <w:spacing w:val="-3"/>
          <w:szCs w:val="21"/>
          <w:highlight w:val="none"/>
        </w:rPr>
        <w:t>审批承包人提交的分项、分部、单位工程划分；</w:t>
      </w:r>
    </w:p>
    <w:p>
      <w:pPr>
        <w:pStyle w:val="32"/>
        <w:numPr>
          <w:ilvl w:val="0"/>
          <w:numId w:val="23"/>
        </w:numPr>
        <w:tabs>
          <w:tab w:val="left" w:pos="1527"/>
        </w:tabs>
        <w:spacing w:before="138" w:after="0" w:line="240" w:lineRule="auto"/>
        <w:ind w:left="1527" w:hanging="664"/>
        <w:rPr>
          <w:color w:val="auto"/>
          <w:szCs w:val="21"/>
          <w:highlight w:val="none"/>
        </w:rPr>
      </w:pPr>
      <w:r>
        <w:rPr>
          <w:color w:val="auto"/>
          <w:spacing w:val="-3"/>
          <w:szCs w:val="21"/>
          <w:highlight w:val="none"/>
        </w:rPr>
        <w:t>确认承包人提交的场地占用计划；</w:t>
      </w:r>
    </w:p>
    <w:p>
      <w:pPr>
        <w:pStyle w:val="32"/>
        <w:numPr>
          <w:ilvl w:val="0"/>
          <w:numId w:val="23"/>
        </w:numPr>
        <w:tabs>
          <w:tab w:val="left" w:pos="1527"/>
        </w:tabs>
        <w:spacing w:before="138" w:after="0" w:line="240" w:lineRule="auto"/>
        <w:ind w:left="1527" w:hanging="664"/>
        <w:rPr>
          <w:color w:val="auto"/>
          <w:szCs w:val="21"/>
          <w:highlight w:val="none"/>
        </w:rPr>
      </w:pPr>
      <w:r>
        <w:rPr>
          <w:color w:val="auto"/>
          <w:spacing w:val="-3"/>
          <w:szCs w:val="21"/>
          <w:highlight w:val="none"/>
        </w:rPr>
        <w:t>核算承包人对工程量清单的复核结果；</w:t>
      </w:r>
    </w:p>
    <w:p>
      <w:pPr>
        <w:pStyle w:val="32"/>
        <w:numPr>
          <w:ilvl w:val="0"/>
          <w:numId w:val="23"/>
        </w:numPr>
        <w:tabs>
          <w:tab w:val="left" w:pos="1527"/>
        </w:tabs>
        <w:spacing w:before="138" w:after="0" w:line="240" w:lineRule="auto"/>
        <w:ind w:left="1527" w:hanging="664"/>
        <w:rPr>
          <w:color w:val="auto"/>
          <w:szCs w:val="21"/>
          <w:highlight w:val="none"/>
        </w:rPr>
      </w:pPr>
      <w:r>
        <w:rPr>
          <w:color w:val="auto"/>
          <w:spacing w:val="-3"/>
          <w:szCs w:val="21"/>
          <w:highlight w:val="none"/>
        </w:rPr>
        <w:t>签发开工预付款支付证书；</w:t>
      </w:r>
    </w:p>
    <w:p>
      <w:pPr>
        <w:pStyle w:val="32"/>
        <w:numPr>
          <w:ilvl w:val="0"/>
          <w:numId w:val="23"/>
        </w:numPr>
        <w:tabs>
          <w:tab w:val="left" w:pos="1527"/>
        </w:tabs>
        <w:spacing w:before="138" w:after="0" w:line="240" w:lineRule="auto"/>
        <w:ind w:left="1527" w:hanging="664"/>
        <w:rPr>
          <w:color w:val="auto"/>
          <w:szCs w:val="21"/>
          <w:highlight w:val="none"/>
        </w:rPr>
      </w:pPr>
      <w:r>
        <w:rPr>
          <w:color w:val="auto"/>
          <w:spacing w:val="-3"/>
          <w:szCs w:val="21"/>
          <w:highlight w:val="none"/>
        </w:rPr>
        <w:t>主持召开监理交底会；</w:t>
      </w:r>
    </w:p>
    <w:p>
      <w:pPr>
        <w:pStyle w:val="32"/>
        <w:numPr>
          <w:ilvl w:val="0"/>
          <w:numId w:val="23"/>
        </w:numPr>
        <w:tabs>
          <w:tab w:val="left" w:pos="1527"/>
        </w:tabs>
        <w:spacing w:before="139" w:after="0" w:line="240" w:lineRule="auto"/>
        <w:ind w:left="1527" w:hanging="664"/>
        <w:rPr>
          <w:color w:val="auto"/>
          <w:szCs w:val="21"/>
          <w:highlight w:val="none"/>
        </w:rPr>
      </w:pPr>
      <w:r>
        <w:rPr>
          <w:color w:val="auto"/>
          <w:spacing w:val="-3"/>
          <w:szCs w:val="21"/>
          <w:highlight w:val="none"/>
        </w:rPr>
        <w:t>主持召开第一次工地会议；</w:t>
      </w:r>
    </w:p>
    <w:p>
      <w:pPr>
        <w:pStyle w:val="32"/>
        <w:numPr>
          <w:ilvl w:val="0"/>
          <w:numId w:val="23"/>
        </w:numPr>
        <w:tabs>
          <w:tab w:val="left" w:pos="1527"/>
        </w:tabs>
        <w:spacing w:before="138" w:after="0" w:line="240" w:lineRule="auto"/>
        <w:ind w:left="1527" w:hanging="664"/>
        <w:rPr>
          <w:color w:val="auto"/>
          <w:szCs w:val="21"/>
          <w:highlight w:val="none"/>
        </w:rPr>
      </w:pPr>
      <w:r>
        <w:rPr>
          <w:color w:val="auto"/>
          <w:spacing w:val="-3"/>
          <w:szCs w:val="21"/>
          <w:highlight w:val="none"/>
        </w:rPr>
        <w:t>签发合同工程开工令；</w:t>
      </w:r>
    </w:p>
    <w:p>
      <w:pPr>
        <w:pStyle w:val="32"/>
        <w:numPr>
          <w:ilvl w:val="0"/>
          <w:numId w:val="23"/>
        </w:numPr>
        <w:tabs>
          <w:tab w:val="left" w:pos="1533"/>
        </w:tabs>
        <w:spacing w:before="138" w:after="0" w:line="357" w:lineRule="auto"/>
        <w:ind w:right="466" w:firstLine="439"/>
        <w:rPr>
          <w:color w:val="auto"/>
          <w:szCs w:val="21"/>
          <w:highlight w:val="none"/>
        </w:rPr>
      </w:pPr>
      <w:r>
        <w:rPr>
          <w:color w:val="auto"/>
          <w:spacing w:val="-1"/>
          <w:szCs w:val="21"/>
          <w:highlight w:val="none"/>
        </w:rPr>
        <w:t>按合同约定对工程分包计划和协议进行审查，并审查分包合同中是否明确了承</w:t>
      </w:r>
      <w:r>
        <w:rPr>
          <w:color w:val="auto"/>
          <w:spacing w:val="-3"/>
          <w:szCs w:val="21"/>
          <w:highlight w:val="none"/>
        </w:rPr>
        <w:t>包人与分包单位各自在安全生产方面的责任；</w:t>
      </w:r>
    </w:p>
    <w:p>
      <w:pPr>
        <w:pStyle w:val="32"/>
        <w:numPr>
          <w:ilvl w:val="0"/>
          <w:numId w:val="23"/>
        </w:numPr>
        <w:tabs>
          <w:tab w:val="left" w:pos="1527"/>
        </w:tabs>
        <w:spacing w:after="0" w:line="240" w:lineRule="auto"/>
        <w:ind w:left="1527" w:hanging="664"/>
        <w:rPr>
          <w:color w:val="auto"/>
          <w:szCs w:val="21"/>
          <w:highlight w:val="none"/>
        </w:rPr>
      </w:pPr>
      <w:r>
        <w:rPr>
          <w:color w:val="auto"/>
          <w:spacing w:val="-3"/>
          <w:szCs w:val="21"/>
          <w:highlight w:val="none"/>
        </w:rPr>
        <w:t>审批施工测量放线；</w:t>
      </w:r>
    </w:p>
    <w:p>
      <w:pPr>
        <w:pStyle w:val="32"/>
        <w:numPr>
          <w:ilvl w:val="0"/>
          <w:numId w:val="23"/>
        </w:numPr>
        <w:tabs>
          <w:tab w:val="left" w:pos="1527"/>
        </w:tabs>
        <w:spacing w:before="138" w:after="0" w:line="240" w:lineRule="auto"/>
        <w:ind w:left="1527" w:hanging="664"/>
        <w:rPr>
          <w:color w:val="auto"/>
          <w:szCs w:val="21"/>
          <w:highlight w:val="none"/>
        </w:rPr>
      </w:pPr>
      <w:r>
        <w:rPr>
          <w:color w:val="auto"/>
          <w:spacing w:val="-3"/>
          <w:szCs w:val="21"/>
          <w:highlight w:val="none"/>
        </w:rPr>
        <w:t>审批工程原材料及混合料配合比；</w:t>
      </w:r>
    </w:p>
    <w:p>
      <w:pPr>
        <w:pStyle w:val="32"/>
        <w:numPr>
          <w:ilvl w:val="0"/>
          <w:numId w:val="23"/>
        </w:numPr>
        <w:tabs>
          <w:tab w:val="left" w:pos="1527"/>
        </w:tabs>
        <w:spacing w:before="138" w:after="0" w:line="240" w:lineRule="auto"/>
        <w:ind w:left="1527" w:hanging="664"/>
        <w:rPr>
          <w:color w:val="auto"/>
          <w:szCs w:val="21"/>
          <w:highlight w:val="none"/>
        </w:rPr>
      </w:pPr>
      <w:r>
        <w:rPr>
          <w:color w:val="auto"/>
          <w:spacing w:val="-3"/>
          <w:szCs w:val="21"/>
          <w:highlight w:val="none"/>
        </w:rPr>
        <w:t>审查施工组织及人员配备；</w:t>
      </w:r>
    </w:p>
    <w:p>
      <w:pPr>
        <w:pStyle w:val="32"/>
        <w:numPr>
          <w:ilvl w:val="0"/>
          <w:numId w:val="23"/>
        </w:numPr>
        <w:tabs>
          <w:tab w:val="left" w:pos="1527"/>
        </w:tabs>
        <w:spacing w:before="139" w:after="0" w:line="240" w:lineRule="auto"/>
        <w:ind w:left="1527" w:hanging="664"/>
        <w:rPr>
          <w:color w:val="auto"/>
          <w:szCs w:val="21"/>
          <w:highlight w:val="none"/>
        </w:rPr>
      </w:pPr>
      <w:r>
        <w:rPr>
          <w:color w:val="auto"/>
          <w:spacing w:val="-3"/>
          <w:szCs w:val="21"/>
          <w:highlight w:val="none"/>
        </w:rPr>
        <w:t>审查承包人进场的施工机械设备；</w:t>
      </w:r>
    </w:p>
    <w:p>
      <w:pPr>
        <w:pStyle w:val="32"/>
        <w:numPr>
          <w:ilvl w:val="0"/>
          <w:numId w:val="23"/>
        </w:numPr>
        <w:tabs>
          <w:tab w:val="left" w:pos="1527"/>
        </w:tabs>
        <w:spacing w:before="138" w:after="0" w:line="240" w:lineRule="auto"/>
        <w:ind w:left="1527" w:hanging="664"/>
        <w:rPr>
          <w:color w:val="auto"/>
          <w:szCs w:val="21"/>
          <w:highlight w:val="none"/>
        </w:rPr>
      </w:pPr>
      <w:r>
        <w:rPr>
          <w:color w:val="auto"/>
          <w:spacing w:val="-3"/>
          <w:szCs w:val="21"/>
          <w:highlight w:val="none"/>
        </w:rPr>
        <w:t>审查承包人提交的分项、分部工程的施工方案及主要工艺；</w:t>
      </w:r>
    </w:p>
    <w:p>
      <w:pPr>
        <w:pStyle w:val="32"/>
        <w:numPr>
          <w:ilvl w:val="0"/>
          <w:numId w:val="23"/>
        </w:numPr>
        <w:tabs>
          <w:tab w:val="left" w:pos="1527"/>
        </w:tabs>
        <w:spacing w:before="138" w:after="0" w:line="240" w:lineRule="auto"/>
        <w:ind w:left="1527" w:hanging="664"/>
        <w:rPr>
          <w:color w:val="auto"/>
          <w:szCs w:val="21"/>
          <w:highlight w:val="none"/>
        </w:rPr>
      </w:pPr>
      <w:r>
        <w:rPr>
          <w:color w:val="auto"/>
          <w:spacing w:val="-3"/>
          <w:szCs w:val="21"/>
          <w:highlight w:val="none"/>
        </w:rPr>
        <w:t>审批承包人月进度计划，检查和监督进度计划的实施；</w:t>
      </w:r>
    </w:p>
    <w:p>
      <w:pPr>
        <w:pStyle w:val="32"/>
        <w:numPr>
          <w:ilvl w:val="0"/>
          <w:numId w:val="23"/>
        </w:numPr>
        <w:tabs>
          <w:tab w:val="left" w:pos="1527"/>
        </w:tabs>
        <w:spacing w:before="139" w:after="0" w:line="240" w:lineRule="auto"/>
        <w:ind w:left="1527" w:hanging="664"/>
        <w:rPr>
          <w:color w:val="auto"/>
          <w:szCs w:val="21"/>
          <w:highlight w:val="none"/>
        </w:rPr>
      </w:pPr>
      <w:r>
        <w:rPr>
          <w:color w:val="auto"/>
          <w:spacing w:val="-3"/>
          <w:szCs w:val="21"/>
          <w:highlight w:val="none"/>
        </w:rPr>
        <w:t>审批分项</w:t>
      </w:r>
      <w:r>
        <w:rPr>
          <w:color w:val="auto"/>
          <w:szCs w:val="21"/>
          <w:highlight w:val="none"/>
        </w:rPr>
        <w:t>（</w:t>
      </w:r>
      <w:r>
        <w:rPr>
          <w:color w:val="auto"/>
          <w:spacing w:val="-2"/>
          <w:szCs w:val="21"/>
          <w:highlight w:val="none"/>
        </w:rPr>
        <w:t>分部</w:t>
      </w:r>
      <w:r>
        <w:rPr>
          <w:color w:val="auto"/>
          <w:spacing w:val="-3"/>
          <w:szCs w:val="21"/>
          <w:highlight w:val="none"/>
        </w:rPr>
        <w:t>）</w:t>
      </w:r>
      <w:r>
        <w:rPr>
          <w:color w:val="auto"/>
          <w:spacing w:val="-2"/>
          <w:szCs w:val="21"/>
          <w:highlight w:val="none"/>
        </w:rPr>
        <w:t>工程的开工申请；</w:t>
      </w:r>
    </w:p>
    <w:p>
      <w:pPr>
        <w:pStyle w:val="32"/>
        <w:numPr>
          <w:ilvl w:val="0"/>
          <w:numId w:val="23"/>
        </w:numPr>
        <w:tabs>
          <w:tab w:val="left" w:pos="1527"/>
        </w:tabs>
        <w:spacing w:before="138" w:after="0" w:line="240" w:lineRule="auto"/>
        <w:ind w:left="1527" w:hanging="664"/>
        <w:rPr>
          <w:color w:val="auto"/>
          <w:szCs w:val="21"/>
          <w:highlight w:val="none"/>
        </w:rPr>
      </w:pPr>
      <w:r>
        <w:rPr>
          <w:color w:val="auto"/>
          <w:spacing w:val="-3"/>
          <w:szCs w:val="21"/>
          <w:highlight w:val="none"/>
        </w:rPr>
        <w:t>验收构配件或设备；</w:t>
      </w:r>
    </w:p>
    <w:p>
      <w:pPr>
        <w:pStyle w:val="32"/>
        <w:numPr>
          <w:ilvl w:val="0"/>
          <w:numId w:val="23"/>
        </w:numPr>
        <w:tabs>
          <w:tab w:val="left" w:pos="1527"/>
        </w:tabs>
        <w:spacing w:before="138" w:after="0" w:line="240" w:lineRule="auto"/>
        <w:ind w:left="1527" w:hanging="664"/>
        <w:rPr>
          <w:color w:val="auto"/>
          <w:szCs w:val="21"/>
          <w:highlight w:val="none"/>
        </w:rPr>
      </w:pPr>
      <w:r>
        <w:rPr>
          <w:color w:val="auto"/>
          <w:spacing w:val="-3"/>
          <w:szCs w:val="21"/>
          <w:highlight w:val="none"/>
        </w:rPr>
        <w:t>按有关规定和要求对工程进行巡视、旁站和抽检，并做好记录；</w:t>
      </w:r>
    </w:p>
    <w:p>
      <w:pPr>
        <w:pStyle w:val="32"/>
        <w:numPr>
          <w:ilvl w:val="0"/>
          <w:numId w:val="23"/>
        </w:numPr>
        <w:tabs>
          <w:tab w:val="left" w:pos="1527"/>
        </w:tabs>
        <w:spacing w:before="138" w:after="0" w:line="240" w:lineRule="auto"/>
        <w:ind w:left="1527" w:hanging="664"/>
        <w:rPr>
          <w:color w:val="auto"/>
          <w:szCs w:val="21"/>
          <w:highlight w:val="none"/>
        </w:rPr>
      </w:pPr>
      <w:r>
        <w:rPr>
          <w:color w:val="auto"/>
          <w:spacing w:val="-3"/>
          <w:szCs w:val="21"/>
          <w:highlight w:val="none"/>
        </w:rPr>
        <w:t>对关键工序进行签认；</w:t>
      </w:r>
    </w:p>
    <w:p>
      <w:pPr>
        <w:pStyle w:val="32"/>
        <w:numPr>
          <w:ilvl w:val="0"/>
          <w:numId w:val="23"/>
        </w:numPr>
        <w:tabs>
          <w:tab w:val="left" w:pos="1533"/>
        </w:tabs>
        <w:spacing w:before="138" w:after="0" w:line="357" w:lineRule="auto"/>
        <w:ind w:right="466" w:firstLine="439"/>
        <w:rPr>
          <w:color w:val="auto"/>
          <w:szCs w:val="21"/>
          <w:highlight w:val="none"/>
        </w:rPr>
      </w:pPr>
      <w:r>
        <w:rPr>
          <w:color w:val="auto"/>
          <w:spacing w:val="-1"/>
          <w:szCs w:val="21"/>
          <w:highlight w:val="none"/>
        </w:rPr>
        <w:t>对发生的质量缺陷、质量隐患和质量事故进行调查、处理或对不属于监理人权</w:t>
      </w:r>
      <w:r>
        <w:rPr>
          <w:color w:val="auto"/>
          <w:spacing w:val="-3"/>
          <w:szCs w:val="21"/>
          <w:highlight w:val="none"/>
        </w:rPr>
        <w:t>限处理的质量事故督促承包人按规定报告有关部门；</w:t>
      </w:r>
    </w:p>
    <w:p>
      <w:pPr>
        <w:pStyle w:val="32"/>
        <w:numPr>
          <w:ilvl w:val="0"/>
          <w:numId w:val="23"/>
        </w:numPr>
        <w:tabs>
          <w:tab w:val="left" w:pos="1527"/>
        </w:tabs>
        <w:spacing w:after="0" w:line="240" w:lineRule="auto"/>
        <w:ind w:left="1527" w:hanging="664"/>
        <w:rPr>
          <w:color w:val="auto"/>
          <w:szCs w:val="21"/>
          <w:highlight w:val="none"/>
        </w:rPr>
      </w:pPr>
      <w:r>
        <w:rPr>
          <w:color w:val="auto"/>
          <w:spacing w:val="-3"/>
          <w:szCs w:val="21"/>
          <w:highlight w:val="none"/>
        </w:rPr>
        <w:t>签发单位或合同工程及分部</w:t>
      </w:r>
      <w:r>
        <w:rPr>
          <w:color w:val="auto"/>
          <w:szCs w:val="21"/>
          <w:highlight w:val="none"/>
        </w:rPr>
        <w:t>（</w:t>
      </w:r>
      <w:r>
        <w:rPr>
          <w:color w:val="auto"/>
          <w:spacing w:val="-2"/>
          <w:szCs w:val="21"/>
          <w:highlight w:val="none"/>
        </w:rPr>
        <w:t>分项</w:t>
      </w:r>
      <w:r>
        <w:rPr>
          <w:color w:val="auto"/>
          <w:szCs w:val="21"/>
          <w:highlight w:val="none"/>
        </w:rPr>
        <w:t>）</w:t>
      </w:r>
      <w:r>
        <w:rPr>
          <w:color w:val="auto"/>
          <w:spacing w:val="-3"/>
          <w:szCs w:val="21"/>
          <w:highlight w:val="none"/>
        </w:rPr>
        <w:t>工程的暂停令和复工令；</w:t>
      </w:r>
    </w:p>
    <w:p>
      <w:pPr>
        <w:pStyle w:val="32"/>
        <w:numPr>
          <w:ilvl w:val="0"/>
          <w:numId w:val="23"/>
        </w:numPr>
        <w:tabs>
          <w:tab w:val="left" w:pos="1533"/>
        </w:tabs>
        <w:spacing w:before="139" w:after="0" w:line="357" w:lineRule="auto"/>
        <w:ind w:right="466" w:firstLine="439"/>
        <w:rPr>
          <w:color w:val="auto"/>
          <w:szCs w:val="21"/>
          <w:highlight w:val="none"/>
        </w:rPr>
      </w:pPr>
      <w:r>
        <w:rPr>
          <w:color w:val="auto"/>
          <w:spacing w:val="-1"/>
          <w:szCs w:val="21"/>
          <w:highlight w:val="none"/>
        </w:rPr>
        <w:t>对交工的单位、分部、分项工程进行检验和质量等级评定并签发《中间交工证</w:t>
      </w:r>
      <w:r>
        <w:rPr>
          <w:color w:val="auto"/>
          <w:spacing w:val="-38"/>
          <w:szCs w:val="21"/>
          <w:highlight w:val="none"/>
        </w:rPr>
        <w:t>书》；</w:t>
      </w:r>
    </w:p>
    <w:p>
      <w:pPr>
        <w:pStyle w:val="32"/>
        <w:numPr>
          <w:ilvl w:val="0"/>
          <w:numId w:val="23"/>
        </w:numPr>
        <w:tabs>
          <w:tab w:val="left" w:pos="1527"/>
        </w:tabs>
        <w:spacing w:before="77" w:after="0" w:line="240" w:lineRule="auto"/>
        <w:ind w:left="1527" w:hanging="664"/>
        <w:rPr>
          <w:color w:val="auto"/>
          <w:szCs w:val="21"/>
          <w:highlight w:val="none"/>
        </w:rPr>
      </w:pPr>
      <w:r>
        <w:rPr>
          <w:color w:val="auto"/>
          <w:spacing w:val="-3"/>
          <w:szCs w:val="21"/>
          <w:highlight w:val="none"/>
        </w:rPr>
        <w:t>对已完工程按合同约定的方法进行计量；</w:t>
      </w:r>
    </w:p>
    <w:p>
      <w:pPr>
        <w:pStyle w:val="32"/>
        <w:numPr>
          <w:ilvl w:val="0"/>
          <w:numId w:val="23"/>
        </w:numPr>
        <w:tabs>
          <w:tab w:val="left" w:pos="1527"/>
        </w:tabs>
        <w:spacing w:before="138" w:after="0" w:line="240" w:lineRule="auto"/>
        <w:ind w:left="1527" w:hanging="664"/>
        <w:rPr>
          <w:color w:val="auto"/>
          <w:szCs w:val="21"/>
          <w:highlight w:val="none"/>
        </w:rPr>
      </w:pPr>
      <w:r>
        <w:rPr>
          <w:color w:val="auto"/>
          <w:spacing w:val="-3"/>
          <w:szCs w:val="21"/>
          <w:highlight w:val="none"/>
        </w:rPr>
        <w:t>审核工程中期支付申请，签发中期支付证书；</w:t>
      </w:r>
    </w:p>
    <w:p>
      <w:pPr>
        <w:pStyle w:val="32"/>
        <w:numPr>
          <w:ilvl w:val="0"/>
          <w:numId w:val="23"/>
        </w:numPr>
        <w:tabs>
          <w:tab w:val="left" w:pos="1527"/>
        </w:tabs>
        <w:spacing w:before="138" w:after="0" w:line="240" w:lineRule="auto"/>
        <w:ind w:left="1527" w:hanging="664"/>
        <w:rPr>
          <w:color w:val="auto"/>
          <w:szCs w:val="21"/>
          <w:highlight w:val="none"/>
        </w:rPr>
      </w:pPr>
      <w:r>
        <w:rPr>
          <w:color w:val="auto"/>
          <w:spacing w:val="-3"/>
          <w:szCs w:val="21"/>
          <w:highlight w:val="none"/>
        </w:rPr>
        <w:t>按有关规定及时对已完分部工程、单位工程及合同工程进行质量评定；</w:t>
      </w:r>
    </w:p>
    <w:p>
      <w:pPr>
        <w:pStyle w:val="32"/>
        <w:numPr>
          <w:ilvl w:val="0"/>
          <w:numId w:val="23"/>
        </w:numPr>
        <w:tabs>
          <w:tab w:val="left" w:pos="1527"/>
        </w:tabs>
        <w:spacing w:before="138" w:after="0" w:line="357" w:lineRule="auto"/>
        <w:ind w:right="351" w:firstLine="439"/>
        <w:rPr>
          <w:color w:val="auto"/>
          <w:szCs w:val="21"/>
          <w:highlight w:val="none"/>
        </w:rPr>
      </w:pPr>
      <w:r>
        <w:rPr>
          <w:color w:val="auto"/>
          <w:spacing w:val="-6"/>
          <w:szCs w:val="21"/>
          <w:highlight w:val="none"/>
        </w:rPr>
        <w:t>受理合同其他事项的有关事宜，按合同约定审核、评估和处理工程变更、延期、</w:t>
      </w:r>
      <w:r>
        <w:rPr>
          <w:color w:val="auto"/>
          <w:spacing w:val="-3"/>
          <w:szCs w:val="21"/>
          <w:highlight w:val="none"/>
        </w:rPr>
        <w:t>费用索赔、价格调整、保险、违约、争端等合同事项；</w:t>
      </w:r>
    </w:p>
    <w:p>
      <w:pPr>
        <w:pStyle w:val="32"/>
        <w:numPr>
          <w:ilvl w:val="0"/>
          <w:numId w:val="23"/>
        </w:numPr>
        <w:tabs>
          <w:tab w:val="left" w:pos="1527"/>
        </w:tabs>
        <w:spacing w:after="0" w:line="240" w:lineRule="auto"/>
        <w:ind w:left="1527" w:hanging="664"/>
        <w:rPr>
          <w:color w:val="auto"/>
          <w:szCs w:val="21"/>
          <w:highlight w:val="none"/>
        </w:rPr>
      </w:pPr>
      <w:r>
        <w:rPr>
          <w:color w:val="auto"/>
          <w:spacing w:val="-3"/>
          <w:szCs w:val="21"/>
          <w:highlight w:val="none"/>
        </w:rPr>
        <w:t>组织编写监理月报；</w:t>
      </w:r>
    </w:p>
    <w:p>
      <w:pPr>
        <w:pStyle w:val="32"/>
        <w:numPr>
          <w:ilvl w:val="0"/>
          <w:numId w:val="23"/>
        </w:numPr>
        <w:tabs>
          <w:tab w:val="left" w:pos="1527"/>
        </w:tabs>
        <w:spacing w:before="138" w:after="0" w:line="240" w:lineRule="auto"/>
        <w:ind w:left="1527" w:hanging="664"/>
        <w:rPr>
          <w:color w:val="auto"/>
          <w:szCs w:val="21"/>
          <w:highlight w:val="none"/>
        </w:rPr>
      </w:pPr>
      <w:r>
        <w:rPr>
          <w:color w:val="auto"/>
          <w:spacing w:val="-3"/>
          <w:szCs w:val="21"/>
          <w:highlight w:val="none"/>
        </w:rPr>
        <w:t>主持召开工地例会或根据工程需要主持召开专题工地会议；</w:t>
      </w:r>
    </w:p>
    <w:p>
      <w:pPr>
        <w:pStyle w:val="32"/>
        <w:numPr>
          <w:ilvl w:val="0"/>
          <w:numId w:val="23"/>
        </w:numPr>
        <w:tabs>
          <w:tab w:val="left" w:pos="1527"/>
        </w:tabs>
        <w:spacing w:before="139" w:after="0" w:line="240" w:lineRule="auto"/>
        <w:ind w:left="1527" w:hanging="664"/>
        <w:rPr>
          <w:color w:val="auto"/>
          <w:szCs w:val="21"/>
          <w:highlight w:val="none"/>
        </w:rPr>
      </w:pPr>
      <w:r>
        <w:rPr>
          <w:color w:val="auto"/>
          <w:spacing w:val="-3"/>
          <w:szCs w:val="21"/>
          <w:highlight w:val="none"/>
        </w:rPr>
        <w:t>协助委托人审查交工验收申请，评定工程质量；</w:t>
      </w:r>
    </w:p>
    <w:p>
      <w:pPr>
        <w:pStyle w:val="32"/>
        <w:numPr>
          <w:ilvl w:val="0"/>
          <w:numId w:val="23"/>
        </w:numPr>
        <w:tabs>
          <w:tab w:val="left" w:pos="1527"/>
        </w:tabs>
        <w:spacing w:before="138" w:after="0" w:line="240" w:lineRule="auto"/>
        <w:ind w:left="1527" w:hanging="664"/>
        <w:rPr>
          <w:color w:val="auto"/>
          <w:szCs w:val="21"/>
          <w:highlight w:val="none"/>
        </w:rPr>
      </w:pPr>
      <w:r>
        <w:rPr>
          <w:color w:val="auto"/>
          <w:spacing w:val="-3"/>
          <w:szCs w:val="21"/>
          <w:highlight w:val="none"/>
        </w:rPr>
        <w:t>参加委托人组织的合同工程交工验收；</w:t>
      </w:r>
    </w:p>
    <w:p>
      <w:pPr>
        <w:pStyle w:val="32"/>
        <w:numPr>
          <w:ilvl w:val="0"/>
          <w:numId w:val="23"/>
        </w:numPr>
        <w:tabs>
          <w:tab w:val="left" w:pos="1527"/>
        </w:tabs>
        <w:spacing w:before="138" w:after="0" w:line="240" w:lineRule="auto"/>
        <w:ind w:left="1527" w:hanging="664"/>
        <w:rPr>
          <w:color w:val="auto"/>
          <w:szCs w:val="21"/>
          <w:highlight w:val="none"/>
        </w:rPr>
      </w:pPr>
      <w:r>
        <w:rPr>
          <w:color w:val="auto"/>
          <w:spacing w:val="-3"/>
          <w:szCs w:val="21"/>
          <w:highlight w:val="none"/>
        </w:rPr>
        <w:t>编写监理工作报告，并提交委托人；</w:t>
      </w:r>
    </w:p>
    <w:p>
      <w:pPr>
        <w:pStyle w:val="32"/>
        <w:numPr>
          <w:ilvl w:val="0"/>
          <w:numId w:val="23"/>
        </w:numPr>
        <w:tabs>
          <w:tab w:val="left" w:pos="1527"/>
        </w:tabs>
        <w:spacing w:before="138" w:after="0" w:line="240" w:lineRule="auto"/>
        <w:ind w:left="1527" w:hanging="664"/>
        <w:rPr>
          <w:color w:val="auto"/>
          <w:szCs w:val="21"/>
          <w:highlight w:val="none"/>
        </w:rPr>
      </w:pPr>
      <w:r>
        <w:rPr>
          <w:color w:val="auto"/>
          <w:spacing w:val="-3"/>
          <w:szCs w:val="21"/>
          <w:highlight w:val="none"/>
        </w:rPr>
        <w:t>签认交工结账证书；</w:t>
      </w:r>
    </w:p>
    <w:p>
      <w:pPr>
        <w:pStyle w:val="32"/>
        <w:numPr>
          <w:ilvl w:val="0"/>
          <w:numId w:val="23"/>
        </w:numPr>
        <w:tabs>
          <w:tab w:val="left" w:pos="1527"/>
        </w:tabs>
        <w:spacing w:before="138" w:after="0" w:line="240" w:lineRule="auto"/>
        <w:ind w:left="1527" w:hanging="664"/>
        <w:rPr>
          <w:color w:val="auto"/>
          <w:szCs w:val="21"/>
          <w:highlight w:val="none"/>
        </w:rPr>
      </w:pPr>
      <w:r>
        <w:rPr>
          <w:color w:val="auto"/>
          <w:spacing w:val="-3"/>
          <w:szCs w:val="21"/>
          <w:highlight w:val="none"/>
        </w:rPr>
        <w:t>组织编制工程监理竣工文件，并督促承包人按合同约定编制和整理竣工资料；</w:t>
      </w:r>
    </w:p>
    <w:p>
      <w:pPr>
        <w:pStyle w:val="32"/>
        <w:numPr>
          <w:ilvl w:val="0"/>
          <w:numId w:val="23"/>
        </w:numPr>
        <w:tabs>
          <w:tab w:val="left" w:pos="1527"/>
        </w:tabs>
        <w:spacing w:before="138" w:after="0" w:line="357" w:lineRule="auto"/>
        <w:ind w:right="353" w:firstLine="439"/>
        <w:rPr>
          <w:color w:val="auto"/>
          <w:szCs w:val="21"/>
          <w:highlight w:val="none"/>
        </w:rPr>
      </w:pPr>
      <w:r>
        <w:rPr>
          <w:color w:val="auto"/>
          <w:spacing w:val="-5"/>
          <w:szCs w:val="21"/>
          <w:highlight w:val="none"/>
        </w:rPr>
        <w:t xml:space="preserve">在合同工程的缺陷责任期内，检查承包人剩余工程的实施；巡视检查已完工程， </w:t>
      </w:r>
      <w:r>
        <w:rPr>
          <w:color w:val="auto"/>
          <w:spacing w:val="-4"/>
          <w:szCs w:val="21"/>
          <w:highlight w:val="none"/>
        </w:rPr>
        <w:t>指示承包人修复发生的工程缺陷，调查、确认缺陷责任及修复费用；</w:t>
      </w:r>
    </w:p>
    <w:p>
      <w:pPr>
        <w:pStyle w:val="32"/>
        <w:numPr>
          <w:ilvl w:val="0"/>
          <w:numId w:val="23"/>
        </w:numPr>
        <w:tabs>
          <w:tab w:val="left" w:pos="1527"/>
        </w:tabs>
        <w:spacing w:before="1" w:after="0" w:line="240" w:lineRule="auto"/>
        <w:ind w:left="1527" w:hanging="664"/>
        <w:rPr>
          <w:color w:val="auto"/>
          <w:szCs w:val="21"/>
          <w:highlight w:val="none"/>
        </w:rPr>
      </w:pPr>
      <w:r>
        <w:rPr>
          <w:color w:val="auto"/>
          <w:spacing w:val="-3"/>
          <w:szCs w:val="21"/>
          <w:highlight w:val="none"/>
        </w:rPr>
        <w:t>缺陷责任期结束，经检查符合条件时，签发合同工程缺陷责任终止证书；</w:t>
      </w:r>
    </w:p>
    <w:p>
      <w:pPr>
        <w:pStyle w:val="32"/>
        <w:numPr>
          <w:ilvl w:val="0"/>
          <w:numId w:val="23"/>
        </w:numPr>
        <w:tabs>
          <w:tab w:val="left" w:pos="1527"/>
        </w:tabs>
        <w:spacing w:before="138" w:after="0" w:line="240" w:lineRule="auto"/>
        <w:ind w:left="1527" w:hanging="664"/>
        <w:rPr>
          <w:color w:val="auto"/>
          <w:szCs w:val="21"/>
          <w:highlight w:val="none"/>
        </w:rPr>
      </w:pPr>
      <w:r>
        <w:rPr>
          <w:color w:val="auto"/>
          <w:spacing w:val="-3"/>
          <w:szCs w:val="21"/>
          <w:highlight w:val="none"/>
        </w:rPr>
        <w:t>签认最后支付证书；</w:t>
      </w:r>
    </w:p>
    <w:p>
      <w:pPr>
        <w:pStyle w:val="32"/>
        <w:numPr>
          <w:ilvl w:val="0"/>
          <w:numId w:val="23"/>
        </w:numPr>
        <w:tabs>
          <w:tab w:val="left" w:pos="1527"/>
        </w:tabs>
        <w:spacing w:before="138" w:after="0" w:line="240" w:lineRule="auto"/>
        <w:ind w:left="1527" w:hanging="664"/>
        <w:rPr>
          <w:color w:val="auto"/>
          <w:szCs w:val="21"/>
          <w:highlight w:val="none"/>
        </w:rPr>
      </w:pPr>
      <w:r>
        <w:rPr>
          <w:color w:val="auto"/>
          <w:spacing w:val="-3"/>
          <w:szCs w:val="21"/>
          <w:highlight w:val="none"/>
        </w:rPr>
        <w:t>参加工程竣工验收；</w:t>
      </w:r>
    </w:p>
    <w:p>
      <w:pPr>
        <w:pStyle w:val="32"/>
        <w:numPr>
          <w:ilvl w:val="0"/>
          <w:numId w:val="23"/>
        </w:numPr>
        <w:tabs>
          <w:tab w:val="left" w:pos="1527"/>
        </w:tabs>
        <w:spacing w:before="138" w:after="0" w:line="240" w:lineRule="auto"/>
        <w:ind w:left="1527" w:hanging="664"/>
        <w:rPr>
          <w:color w:val="auto"/>
          <w:szCs w:val="21"/>
          <w:highlight w:val="none"/>
        </w:rPr>
      </w:pPr>
      <w:r>
        <w:rPr>
          <w:color w:val="auto"/>
          <w:spacing w:val="-3"/>
          <w:szCs w:val="21"/>
          <w:highlight w:val="none"/>
        </w:rPr>
        <w:t>按照项目专用合同条款约定提供其他工程管理咨询服务。</w:t>
      </w:r>
    </w:p>
    <w:p>
      <w:pPr>
        <w:numPr>
          <w:ilvl w:val="1"/>
          <w:numId w:val="12"/>
        </w:numPr>
        <w:tabs>
          <w:tab w:val="left" w:pos="914"/>
        </w:tabs>
        <w:spacing w:before="95"/>
        <w:rPr>
          <w:rFonts w:ascii="黑体" w:eastAsia="黑体"/>
          <w:b/>
          <w:color w:val="auto"/>
          <w:szCs w:val="21"/>
          <w:highlight w:val="none"/>
        </w:rPr>
      </w:pPr>
      <w:r>
        <w:rPr>
          <w:rFonts w:hint="eastAsia" w:ascii="黑体" w:eastAsia="黑体"/>
          <w:b/>
          <w:color w:val="auto"/>
          <w:szCs w:val="21"/>
          <w:highlight w:val="none"/>
        </w:rPr>
        <w:t>监理文件要求</w:t>
      </w:r>
    </w:p>
    <w:p>
      <w:pPr>
        <w:spacing w:before="124"/>
        <w:ind w:left="863"/>
        <w:rPr>
          <w:color w:val="auto"/>
          <w:szCs w:val="21"/>
          <w:highlight w:val="none"/>
        </w:rPr>
      </w:pPr>
      <w:r>
        <w:rPr>
          <w:color w:val="auto"/>
          <w:szCs w:val="21"/>
          <w:highlight w:val="none"/>
        </w:rPr>
        <w:t xml:space="preserve">第 </w:t>
      </w:r>
      <w:r>
        <w:rPr>
          <w:rFonts w:ascii="Times New Roman" w:eastAsia="Times New Roman"/>
          <w:color w:val="auto"/>
          <w:szCs w:val="21"/>
          <w:highlight w:val="none"/>
        </w:rPr>
        <w:t xml:space="preserve">5.4.3 </w:t>
      </w:r>
      <w:r>
        <w:rPr>
          <w:color w:val="auto"/>
          <w:szCs w:val="21"/>
          <w:highlight w:val="none"/>
        </w:rPr>
        <w:t>项细化为：</w:t>
      </w:r>
    </w:p>
    <w:p>
      <w:pPr>
        <w:spacing w:before="138" w:line="357" w:lineRule="auto"/>
        <w:ind w:left="424" w:right="349" w:firstLine="439"/>
        <w:rPr>
          <w:color w:val="auto"/>
          <w:szCs w:val="21"/>
          <w:highlight w:val="none"/>
        </w:rPr>
      </w:pPr>
      <w:r>
        <w:rPr>
          <w:color w:val="auto"/>
          <w:spacing w:val="-5"/>
          <w:szCs w:val="21"/>
          <w:highlight w:val="none"/>
        </w:rPr>
        <w:t>除项目专用合同条款另有约定外，本工程监理文件包括监理管理文件、质量监理文件、</w:t>
      </w:r>
      <w:r>
        <w:rPr>
          <w:color w:val="auto"/>
          <w:spacing w:val="-6"/>
          <w:szCs w:val="21"/>
          <w:highlight w:val="none"/>
        </w:rPr>
        <w:t>安全监理文件、环保监理文件、费用与进度监理文件、合同事项管理文件，以及监理日志、</w:t>
      </w:r>
      <w:r>
        <w:rPr>
          <w:color w:val="auto"/>
          <w:spacing w:val="-5"/>
          <w:szCs w:val="21"/>
          <w:highlight w:val="none"/>
        </w:rPr>
        <w:t>巡视记录、旁站记录、监理月报、监理工作报告等其他监理文件和影像资料，具体类别、</w:t>
      </w:r>
      <w:r>
        <w:rPr>
          <w:color w:val="auto"/>
          <w:spacing w:val="-4"/>
          <w:szCs w:val="21"/>
          <w:highlight w:val="none"/>
        </w:rPr>
        <w:t>编制要求、编制内容、提交时间和份数等应满足《公路工程施工监理规范》的规定。</w:t>
      </w:r>
    </w:p>
    <w:p>
      <w:pPr>
        <w:spacing w:before="1"/>
        <w:ind w:left="863"/>
        <w:rPr>
          <w:color w:val="auto"/>
          <w:szCs w:val="21"/>
          <w:highlight w:val="none"/>
        </w:rPr>
      </w:pPr>
      <w:r>
        <w:rPr>
          <w:color w:val="auto"/>
          <w:szCs w:val="21"/>
          <w:highlight w:val="none"/>
        </w:rPr>
        <w:t xml:space="preserve">本条补充第 </w:t>
      </w:r>
      <w:r>
        <w:rPr>
          <w:rFonts w:ascii="Times New Roman" w:eastAsia="Times New Roman"/>
          <w:color w:val="auto"/>
          <w:szCs w:val="21"/>
          <w:highlight w:val="none"/>
        </w:rPr>
        <w:t xml:space="preserve">5.5 </w:t>
      </w:r>
      <w:r>
        <w:rPr>
          <w:color w:val="auto"/>
          <w:szCs w:val="21"/>
          <w:highlight w:val="none"/>
        </w:rPr>
        <w:t xml:space="preserve">款至第 </w:t>
      </w:r>
      <w:r>
        <w:rPr>
          <w:rFonts w:ascii="Times New Roman" w:eastAsia="Times New Roman"/>
          <w:color w:val="auto"/>
          <w:szCs w:val="21"/>
          <w:highlight w:val="none"/>
        </w:rPr>
        <w:t xml:space="preserve">5.7 </w:t>
      </w:r>
      <w:r>
        <w:rPr>
          <w:color w:val="auto"/>
          <w:szCs w:val="21"/>
          <w:highlight w:val="none"/>
        </w:rPr>
        <w:t>款：</w:t>
      </w:r>
    </w:p>
    <w:p>
      <w:pPr>
        <w:numPr>
          <w:ilvl w:val="1"/>
          <w:numId w:val="12"/>
        </w:numPr>
        <w:tabs>
          <w:tab w:val="left" w:pos="914"/>
        </w:tabs>
        <w:spacing w:before="94"/>
        <w:rPr>
          <w:rFonts w:ascii="黑体" w:eastAsia="黑体"/>
          <w:b/>
          <w:color w:val="auto"/>
          <w:szCs w:val="21"/>
          <w:highlight w:val="none"/>
        </w:rPr>
      </w:pPr>
      <w:r>
        <w:rPr>
          <w:rFonts w:hint="eastAsia" w:ascii="黑体" w:eastAsia="黑体"/>
          <w:b/>
          <w:color w:val="auto"/>
          <w:szCs w:val="21"/>
          <w:highlight w:val="none"/>
        </w:rPr>
        <w:t>监理服务形式</w:t>
      </w:r>
    </w:p>
    <w:p>
      <w:pPr>
        <w:spacing w:before="124" w:line="357" w:lineRule="auto"/>
        <w:ind w:left="424" w:right="467" w:firstLine="439"/>
        <w:rPr>
          <w:color w:val="auto"/>
          <w:szCs w:val="21"/>
          <w:highlight w:val="none"/>
        </w:rPr>
      </w:pPr>
      <w:r>
        <w:rPr>
          <w:color w:val="auto"/>
          <w:szCs w:val="21"/>
          <w:highlight w:val="none"/>
        </w:rPr>
        <w:t>监理人应根据工程规模、难易程度、合同工期安排、现场条件等因素设置现场监理的组织机构并满足合同要求。委托人对监理人的机构设置要求在项目专用合同条款中约定。</w:t>
      </w:r>
    </w:p>
    <w:p>
      <w:pPr>
        <w:numPr>
          <w:ilvl w:val="1"/>
          <w:numId w:val="12"/>
        </w:numPr>
        <w:tabs>
          <w:tab w:val="left" w:pos="914"/>
        </w:tabs>
        <w:spacing w:line="316" w:lineRule="exact"/>
        <w:rPr>
          <w:rFonts w:ascii="黑体" w:eastAsia="黑体"/>
          <w:b/>
          <w:color w:val="auto"/>
          <w:szCs w:val="21"/>
          <w:highlight w:val="none"/>
        </w:rPr>
      </w:pPr>
      <w:r>
        <w:rPr>
          <w:rFonts w:hint="eastAsia" w:ascii="黑体" w:eastAsia="黑体"/>
          <w:b/>
          <w:color w:val="auto"/>
          <w:szCs w:val="21"/>
          <w:highlight w:val="none"/>
        </w:rPr>
        <w:t>监理服务目标</w:t>
      </w:r>
    </w:p>
    <w:p>
      <w:pPr>
        <w:pStyle w:val="32"/>
        <w:numPr>
          <w:ilvl w:val="2"/>
          <w:numId w:val="12"/>
        </w:numPr>
        <w:tabs>
          <w:tab w:val="left" w:pos="1416"/>
        </w:tabs>
        <w:spacing w:before="124" w:after="0" w:line="357" w:lineRule="auto"/>
        <w:ind w:left="424" w:right="463" w:firstLine="439"/>
        <w:jc w:val="both"/>
        <w:rPr>
          <w:color w:val="auto"/>
          <w:spacing w:val="-5"/>
          <w:szCs w:val="21"/>
          <w:highlight w:val="none"/>
        </w:rPr>
      </w:pPr>
      <w:r>
        <w:rPr>
          <w:color w:val="auto"/>
          <w:spacing w:val="-5"/>
          <w:szCs w:val="21"/>
          <w:highlight w:val="none"/>
        </w:rPr>
        <w:t>监理服务履约目标：除项目专用合同条款另有约定外，监理人提供的监理服务， 应当符合国家有关法律、法规和标准规范，满足合同约定的服务内容和质量等要求。</w:t>
      </w:r>
      <w:r>
        <w:rPr>
          <w:color w:val="auto"/>
          <w:spacing w:val="-5"/>
          <w:szCs w:val="21"/>
          <w:highlight w:val="none"/>
        </w:rPr>
        <w:br w:type="textWrapping"/>
      </w:r>
      <w:r>
        <w:rPr>
          <w:color w:val="auto"/>
          <w:spacing w:val="-5"/>
          <w:szCs w:val="21"/>
          <w:highlight w:val="none"/>
        </w:rPr>
        <w:t>对承包人履约管理的服务目标：在项目专用合同条款中约定。</w:t>
      </w:r>
    </w:p>
    <w:p>
      <w:pPr>
        <w:numPr>
          <w:ilvl w:val="1"/>
          <w:numId w:val="12"/>
        </w:numPr>
        <w:tabs>
          <w:tab w:val="left" w:pos="914"/>
        </w:tabs>
        <w:spacing w:before="94"/>
        <w:rPr>
          <w:rFonts w:ascii="黑体" w:eastAsia="黑体"/>
          <w:b/>
          <w:color w:val="auto"/>
          <w:szCs w:val="21"/>
          <w:highlight w:val="none"/>
        </w:rPr>
      </w:pPr>
      <w:r>
        <w:rPr>
          <w:rFonts w:hint="eastAsia" w:ascii="黑体" w:eastAsia="黑体"/>
          <w:b/>
          <w:color w:val="auto"/>
          <w:szCs w:val="21"/>
          <w:highlight w:val="none"/>
        </w:rPr>
        <w:t>委托人对监理人的授权</w:t>
      </w:r>
    </w:p>
    <w:p>
      <w:pPr>
        <w:pStyle w:val="32"/>
        <w:numPr>
          <w:ilvl w:val="2"/>
          <w:numId w:val="12"/>
        </w:numPr>
        <w:tabs>
          <w:tab w:val="left" w:pos="1416"/>
        </w:tabs>
        <w:spacing w:before="124" w:after="0" w:line="357" w:lineRule="auto"/>
        <w:ind w:left="424" w:right="463" w:firstLine="439"/>
        <w:jc w:val="both"/>
        <w:rPr>
          <w:color w:val="auto"/>
          <w:szCs w:val="21"/>
          <w:highlight w:val="none"/>
        </w:rPr>
      </w:pPr>
      <w:r>
        <w:rPr>
          <w:color w:val="auto"/>
          <w:spacing w:val="-5"/>
          <w:szCs w:val="21"/>
          <w:highlight w:val="none"/>
        </w:rPr>
        <w:t>监理人根据监理合同提供监理服务时，在委托人授权权限范围内开展工作。授权</w:t>
      </w:r>
      <w:r>
        <w:rPr>
          <w:color w:val="auto"/>
          <w:spacing w:val="-4"/>
          <w:szCs w:val="21"/>
          <w:highlight w:val="none"/>
        </w:rPr>
        <w:t>权限在项目专用合同条款中约定。</w:t>
      </w:r>
    </w:p>
    <w:p>
      <w:pPr>
        <w:pStyle w:val="32"/>
        <w:numPr>
          <w:ilvl w:val="2"/>
          <w:numId w:val="12"/>
        </w:numPr>
        <w:tabs>
          <w:tab w:val="left" w:pos="1416"/>
        </w:tabs>
        <w:spacing w:after="0" w:line="357" w:lineRule="auto"/>
        <w:ind w:left="424" w:right="464" w:firstLine="439"/>
        <w:jc w:val="both"/>
        <w:rPr>
          <w:color w:val="auto"/>
          <w:szCs w:val="21"/>
          <w:highlight w:val="none"/>
        </w:rPr>
      </w:pPr>
      <w:r>
        <w:rPr>
          <w:color w:val="auto"/>
          <w:spacing w:val="-5"/>
          <w:szCs w:val="21"/>
          <w:highlight w:val="none"/>
        </w:rPr>
        <w:t>如果监理人在监理服务过程中行使的权力或所需的授权，来自于委托人和第三方</w:t>
      </w:r>
      <w:r>
        <w:rPr>
          <w:color w:val="auto"/>
          <w:spacing w:val="-1"/>
          <w:szCs w:val="21"/>
          <w:highlight w:val="none"/>
        </w:rPr>
        <w:t xml:space="preserve">签订的工程合同文件，该合同文件应成为本监理合同的组成部分，两者之间如出现矛盾， </w:t>
      </w:r>
      <w:r>
        <w:rPr>
          <w:color w:val="auto"/>
          <w:spacing w:val="-3"/>
          <w:szCs w:val="21"/>
          <w:highlight w:val="none"/>
        </w:rPr>
        <w:t>则应编制补充说明文件一并列入监理合同。监理人应：</w:t>
      </w:r>
    </w:p>
    <w:p>
      <w:pPr>
        <w:pStyle w:val="32"/>
        <w:numPr>
          <w:ilvl w:val="0"/>
          <w:numId w:val="24"/>
        </w:numPr>
        <w:tabs>
          <w:tab w:val="left" w:pos="1417"/>
        </w:tabs>
        <w:spacing w:before="1" w:after="0" w:line="240" w:lineRule="auto"/>
        <w:ind w:hanging="554"/>
        <w:rPr>
          <w:color w:val="auto"/>
          <w:szCs w:val="21"/>
          <w:highlight w:val="none"/>
        </w:rPr>
      </w:pPr>
      <w:r>
        <w:rPr>
          <w:color w:val="auto"/>
          <w:spacing w:val="-3"/>
          <w:szCs w:val="21"/>
          <w:highlight w:val="none"/>
        </w:rPr>
        <w:t>根据监理合同文件和工程合同文件提供监理服务；</w:t>
      </w:r>
    </w:p>
    <w:p>
      <w:pPr>
        <w:pStyle w:val="32"/>
        <w:numPr>
          <w:ilvl w:val="0"/>
          <w:numId w:val="24"/>
        </w:numPr>
        <w:tabs>
          <w:tab w:val="left" w:pos="1417"/>
        </w:tabs>
        <w:spacing w:before="138" w:after="0" w:line="240" w:lineRule="auto"/>
        <w:ind w:hanging="554"/>
        <w:rPr>
          <w:color w:val="auto"/>
          <w:szCs w:val="21"/>
          <w:highlight w:val="none"/>
        </w:rPr>
      </w:pPr>
      <w:r>
        <w:rPr>
          <w:color w:val="auto"/>
          <w:spacing w:val="-10"/>
          <w:szCs w:val="21"/>
          <w:highlight w:val="none"/>
        </w:rPr>
        <w:t>根据职责范围，在委托人和第三方之间独立公正地行使上述合同文件赋予的权力；</w:t>
      </w:r>
    </w:p>
    <w:p>
      <w:pPr>
        <w:pStyle w:val="32"/>
        <w:numPr>
          <w:ilvl w:val="0"/>
          <w:numId w:val="24"/>
        </w:numPr>
        <w:tabs>
          <w:tab w:val="left" w:pos="1417"/>
        </w:tabs>
        <w:spacing w:before="138" w:after="0" w:line="357" w:lineRule="auto"/>
        <w:ind w:left="424" w:right="464" w:firstLine="439"/>
        <w:rPr>
          <w:color w:val="auto"/>
          <w:szCs w:val="21"/>
          <w:highlight w:val="none"/>
        </w:rPr>
      </w:pPr>
      <w:r>
        <w:rPr>
          <w:color w:val="auto"/>
          <w:spacing w:val="-5"/>
          <w:szCs w:val="21"/>
          <w:highlight w:val="none"/>
        </w:rPr>
        <w:t>根据上述合同文件的授权，对相应的工程和合同事宜进行变更，但未经委托人的</w:t>
      </w:r>
      <w:r>
        <w:rPr>
          <w:color w:val="auto"/>
          <w:spacing w:val="-4"/>
          <w:szCs w:val="21"/>
          <w:highlight w:val="none"/>
        </w:rPr>
        <w:t>书面批准，不得变更工程合同文件中约定的工程标准和第三方的责任与义务。</w:t>
      </w:r>
    </w:p>
    <w:p>
      <w:pPr>
        <w:pStyle w:val="6"/>
        <w:numPr>
          <w:ilvl w:val="0"/>
          <w:numId w:val="12"/>
        </w:numPr>
        <w:tabs>
          <w:tab w:val="left" w:pos="826"/>
        </w:tabs>
        <w:spacing w:after="0" w:line="240" w:lineRule="auto"/>
        <w:ind w:hanging="402"/>
        <w:rPr>
          <w:color w:val="auto"/>
          <w:sz w:val="21"/>
          <w:szCs w:val="21"/>
          <w:highlight w:val="none"/>
        </w:rPr>
      </w:pPr>
      <w:r>
        <w:rPr>
          <w:color w:val="auto"/>
          <w:sz w:val="21"/>
          <w:szCs w:val="21"/>
          <w:highlight w:val="none"/>
        </w:rPr>
        <w:t>开始监理和完成监理</w:t>
      </w:r>
    </w:p>
    <w:p>
      <w:pPr>
        <w:pStyle w:val="9"/>
        <w:spacing w:before="12"/>
        <w:rPr>
          <w:rFonts w:ascii="黑体"/>
          <w:b/>
          <w:color w:val="auto"/>
          <w:sz w:val="21"/>
          <w:szCs w:val="21"/>
          <w:highlight w:val="none"/>
        </w:rPr>
      </w:pPr>
    </w:p>
    <w:p>
      <w:pPr>
        <w:numPr>
          <w:ilvl w:val="1"/>
          <w:numId w:val="12"/>
        </w:numPr>
        <w:tabs>
          <w:tab w:val="left" w:pos="914"/>
        </w:tabs>
        <w:rPr>
          <w:rFonts w:ascii="黑体" w:eastAsia="黑体"/>
          <w:b/>
          <w:color w:val="auto"/>
          <w:szCs w:val="21"/>
          <w:highlight w:val="none"/>
        </w:rPr>
      </w:pPr>
      <w:r>
        <w:rPr>
          <w:rFonts w:hint="eastAsia" w:ascii="黑体" w:eastAsia="黑体"/>
          <w:b/>
          <w:color w:val="auto"/>
          <w:szCs w:val="21"/>
          <w:highlight w:val="none"/>
        </w:rPr>
        <w:t>开始监理</w:t>
      </w:r>
    </w:p>
    <w:p>
      <w:pPr>
        <w:spacing w:before="123"/>
        <w:ind w:left="863"/>
        <w:jc w:val="both"/>
        <w:rPr>
          <w:color w:val="auto"/>
          <w:szCs w:val="21"/>
          <w:highlight w:val="none"/>
        </w:rPr>
      </w:pPr>
      <w:r>
        <w:rPr>
          <w:color w:val="auto"/>
          <w:szCs w:val="21"/>
          <w:highlight w:val="none"/>
        </w:rPr>
        <w:t xml:space="preserve">第 </w:t>
      </w:r>
      <w:r>
        <w:rPr>
          <w:rFonts w:ascii="Times New Roman" w:eastAsia="Times New Roman"/>
          <w:color w:val="auto"/>
          <w:szCs w:val="21"/>
          <w:highlight w:val="none"/>
        </w:rPr>
        <w:t xml:space="preserve">6.1.1 </w:t>
      </w:r>
      <w:r>
        <w:rPr>
          <w:color w:val="auto"/>
          <w:szCs w:val="21"/>
          <w:highlight w:val="none"/>
        </w:rPr>
        <w:t>项细化为：</w:t>
      </w:r>
    </w:p>
    <w:p>
      <w:pPr>
        <w:spacing w:before="139" w:line="357" w:lineRule="auto"/>
        <w:ind w:left="424" w:right="463" w:firstLine="439"/>
        <w:jc w:val="both"/>
        <w:rPr>
          <w:color w:val="auto"/>
          <w:szCs w:val="21"/>
          <w:highlight w:val="none"/>
        </w:rPr>
      </w:pPr>
      <w:r>
        <w:rPr>
          <w:color w:val="auto"/>
          <w:szCs w:val="21"/>
          <w:highlight w:val="none"/>
        </w:rPr>
        <w:t xml:space="preserve">符合项目专用合同条款约定的开始监理条件的，委托人应提前 </w:t>
      </w:r>
      <w:r>
        <w:rPr>
          <w:rFonts w:ascii="Times New Roman" w:eastAsia="Times New Roman"/>
          <w:color w:val="auto"/>
          <w:szCs w:val="21"/>
          <w:highlight w:val="none"/>
        </w:rPr>
        <w:t xml:space="preserve">7 </w:t>
      </w:r>
      <w:r>
        <w:rPr>
          <w:color w:val="auto"/>
          <w:szCs w:val="21"/>
          <w:highlight w:val="none"/>
        </w:rPr>
        <w:t>天向监理人发出开始监理通知。监理服务期限自开始监理通知中载明的开始监理日期及监理人首批人员实际进场日期起算，以时间在后者为准。</w:t>
      </w:r>
    </w:p>
    <w:p>
      <w:pPr>
        <w:spacing w:line="357" w:lineRule="auto"/>
        <w:ind w:left="424" w:right="461" w:firstLine="439"/>
        <w:rPr>
          <w:color w:val="auto"/>
          <w:szCs w:val="21"/>
          <w:highlight w:val="none"/>
        </w:rPr>
      </w:pPr>
      <w:r>
        <w:rPr>
          <w:color w:val="auto"/>
          <w:szCs w:val="21"/>
          <w:highlight w:val="none"/>
        </w:rPr>
        <w:t>监理人应按照监理合同约定的时间和有关期限履行和完成监理服务，根据本项目工程的进展情况和委托人批准的人员进场计划，安排监理人员及时进场。</w:t>
      </w:r>
    </w:p>
    <w:p>
      <w:pPr>
        <w:ind w:left="863"/>
        <w:jc w:val="both"/>
        <w:rPr>
          <w:color w:val="auto"/>
          <w:szCs w:val="21"/>
          <w:highlight w:val="none"/>
        </w:rPr>
      </w:pPr>
      <w:r>
        <w:rPr>
          <w:color w:val="auto"/>
          <w:szCs w:val="21"/>
          <w:highlight w:val="none"/>
        </w:rPr>
        <w:t xml:space="preserve">本条补充第 </w:t>
      </w:r>
      <w:r>
        <w:rPr>
          <w:rFonts w:ascii="Times New Roman" w:eastAsia="Times New Roman"/>
          <w:color w:val="auto"/>
          <w:szCs w:val="21"/>
          <w:highlight w:val="none"/>
        </w:rPr>
        <w:t xml:space="preserve">6.4 </w:t>
      </w:r>
      <w:r>
        <w:rPr>
          <w:color w:val="auto"/>
          <w:szCs w:val="21"/>
          <w:highlight w:val="none"/>
        </w:rPr>
        <w:t>款：</w:t>
      </w:r>
    </w:p>
    <w:p>
      <w:pPr>
        <w:numPr>
          <w:ilvl w:val="1"/>
          <w:numId w:val="25"/>
        </w:numPr>
        <w:tabs>
          <w:tab w:val="left" w:pos="914"/>
        </w:tabs>
        <w:spacing w:before="95"/>
        <w:rPr>
          <w:rFonts w:ascii="黑体" w:eastAsia="黑体"/>
          <w:b/>
          <w:color w:val="auto"/>
          <w:szCs w:val="21"/>
          <w:highlight w:val="none"/>
        </w:rPr>
      </w:pPr>
      <w:r>
        <w:rPr>
          <w:rFonts w:hint="eastAsia" w:ascii="黑体" w:eastAsia="黑体"/>
          <w:b/>
          <w:color w:val="auto"/>
          <w:szCs w:val="21"/>
          <w:highlight w:val="none"/>
        </w:rPr>
        <w:t>监理工作的暂停与监理合同的解除</w:t>
      </w:r>
    </w:p>
    <w:p>
      <w:pPr>
        <w:pStyle w:val="32"/>
        <w:numPr>
          <w:ilvl w:val="2"/>
          <w:numId w:val="25"/>
        </w:numPr>
        <w:tabs>
          <w:tab w:val="left" w:pos="1416"/>
        </w:tabs>
        <w:spacing w:before="126" w:after="0" w:line="357" w:lineRule="auto"/>
        <w:ind w:right="352" w:firstLine="439"/>
        <w:rPr>
          <w:color w:val="auto"/>
          <w:szCs w:val="21"/>
          <w:highlight w:val="none"/>
        </w:rPr>
      </w:pPr>
      <w:r>
        <w:rPr>
          <w:color w:val="auto"/>
          <w:spacing w:val="-4"/>
          <w:szCs w:val="21"/>
          <w:highlight w:val="none"/>
        </w:rPr>
        <w:t>出现根据本监理合同的约定不应由监理人负责的情况，且该情况已使监理人不能</w:t>
      </w:r>
      <w:r>
        <w:rPr>
          <w:color w:val="auto"/>
          <w:spacing w:val="-6"/>
          <w:szCs w:val="21"/>
          <w:highlight w:val="none"/>
        </w:rPr>
        <w:t>继续履行全部或部分监理服务时，监理人应立即书面通知委托人，并视情况采取相应措施：</w:t>
      </w:r>
    </w:p>
    <w:p>
      <w:pPr>
        <w:pStyle w:val="32"/>
        <w:numPr>
          <w:ilvl w:val="0"/>
          <w:numId w:val="26"/>
        </w:numPr>
        <w:tabs>
          <w:tab w:val="left" w:pos="1417"/>
        </w:tabs>
        <w:spacing w:after="0" w:line="357" w:lineRule="auto"/>
        <w:ind w:right="464" w:firstLine="439"/>
        <w:rPr>
          <w:color w:val="auto"/>
          <w:szCs w:val="21"/>
          <w:highlight w:val="none"/>
        </w:rPr>
      </w:pPr>
      <w:r>
        <w:rPr>
          <w:color w:val="auto"/>
          <w:spacing w:val="-5"/>
          <w:szCs w:val="21"/>
          <w:highlight w:val="none"/>
        </w:rPr>
        <w:t>不得不暂停或减缓某些监理服务时，则上述服务的完成期限应予以延长，因此增</w:t>
      </w:r>
      <w:r>
        <w:rPr>
          <w:color w:val="auto"/>
          <w:spacing w:val="-4"/>
          <w:szCs w:val="21"/>
          <w:highlight w:val="none"/>
        </w:rPr>
        <w:t>加的监理服务工作量或延长的服务期限，委托人应按合同条款约定进行调整。</w:t>
      </w:r>
    </w:p>
    <w:p>
      <w:pPr>
        <w:pStyle w:val="32"/>
        <w:numPr>
          <w:ilvl w:val="0"/>
          <w:numId w:val="26"/>
        </w:numPr>
        <w:tabs>
          <w:tab w:val="left" w:pos="1417"/>
        </w:tabs>
        <w:spacing w:after="0" w:line="357" w:lineRule="auto"/>
        <w:ind w:right="462" w:firstLine="439"/>
        <w:jc w:val="both"/>
        <w:rPr>
          <w:color w:val="auto"/>
          <w:szCs w:val="21"/>
          <w:highlight w:val="none"/>
        </w:rPr>
      </w:pPr>
      <w:r>
        <w:rPr>
          <w:color w:val="auto"/>
          <w:spacing w:val="-3"/>
          <w:szCs w:val="21"/>
          <w:highlight w:val="none"/>
        </w:rPr>
        <w:t xml:space="preserve">全部监理服务已无法继续履行时，监理人在书面通知委托人 </w:t>
      </w:r>
      <w:r>
        <w:rPr>
          <w:rFonts w:ascii="Times New Roman" w:eastAsia="Times New Roman"/>
          <w:color w:val="auto"/>
          <w:szCs w:val="21"/>
          <w:highlight w:val="none"/>
        </w:rPr>
        <w:t>28</w:t>
      </w:r>
      <w:r>
        <w:rPr>
          <w:rFonts w:ascii="Times New Roman" w:eastAsia="Times New Roman"/>
          <w:color w:val="auto"/>
          <w:spacing w:val="2"/>
          <w:szCs w:val="21"/>
          <w:highlight w:val="none"/>
        </w:rPr>
        <w:t xml:space="preserve"> </w:t>
      </w:r>
      <w:r>
        <w:rPr>
          <w:color w:val="auto"/>
          <w:spacing w:val="-3"/>
          <w:szCs w:val="21"/>
          <w:highlight w:val="none"/>
        </w:rPr>
        <w:t>天之后，有权单方面解除本监理合同，因此增加的监理服务工作量所涉及费用，委托人应按合同条款约定进行调整，同时应及时向监理人返还全部或剩余部分的履约保证金。</w:t>
      </w:r>
    </w:p>
    <w:p>
      <w:pPr>
        <w:pStyle w:val="32"/>
        <w:numPr>
          <w:ilvl w:val="0"/>
          <w:numId w:val="26"/>
        </w:numPr>
        <w:tabs>
          <w:tab w:val="left" w:pos="1417"/>
        </w:tabs>
        <w:spacing w:after="0" w:line="357" w:lineRule="auto"/>
        <w:ind w:right="462" w:firstLine="439"/>
        <w:jc w:val="both"/>
        <w:rPr>
          <w:color w:val="auto"/>
          <w:spacing w:val="-3"/>
          <w:szCs w:val="21"/>
          <w:highlight w:val="none"/>
        </w:rPr>
      </w:pPr>
      <w:r>
        <w:rPr>
          <w:color w:val="auto"/>
          <w:spacing w:val="-3"/>
          <w:szCs w:val="21"/>
          <w:highlight w:val="none"/>
        </w:rPr>
        <w:t>因不可抗力致使本监理合同不能履行或只能部分履行时，应按照本合同第 10 条规定的程序暂停监理服务或解除监理合同。</w:t>
      </w:r>
    </w:p>
    <w:p>
      <w:pPr>
        <w:pStyle w:val="32"/>
        <w:numPr>
          <w:ilvl w:val="2"/>
          <w:numId w:val="25"/>
        </w:numPr>
        <w:tabs>
          <w:tab w:val="left" w:pos="1416"/>
        </w:tabs>
        <w:spacing w:before="138" w:after="0" w:line="357" w:lineRule="auto"/>
        <w:ind w:right="461" w:firstLine="439"/>
        <w:jc w:val="both"/>
        <w:rPr>
          <w:color w:val="auto"/>
          <w:szCs w:val="21"/>
          <w:highlight w:val="none"/>
        </w:rPr>
      </w:pPr>
      <w:r>
        <w:rPr>
          <w:color w:val="auto"/>
          <w:spacing w:val="-3"/>
          <w:szCs w:val="21"/>
          <w:highlight w:val="none"/>
        </w:rPr>
        <w:t xml:space="preserve">委托人要求监理人全部或部分暂停监理服务或解除本监理合同时，必须在 </w:t>
      </w:r>
      <w:r>
        <w:rPr>
          <w:rFonts w:ascii="Times New Roman" w:eastAsia="Times New Roman"/>
          <w:color w:val="auto"/>
          <w:szCs w:val="21"/>
          <w:highlight w:val="none"/>
        </w:rPr>
        <w:t>56</w:t>
      </w:r>
      <w:r>
        <w:rPr>
          <w:rFonts w:ascii="Times New Roman" w:eastAsia="Times New Roman"/>
          <w:color w:val="auto"/>
          <w:spacing w:val="4"/>
          <w:szCs w:val="21"/>
          <w:highlight w:val="none"/>
        </w:rPr>
        <w:t xml:space="preserve"> </w:t>
      </w:r>
      <w:r>
        <w:rPr>
          <w:color w:val="auto"/>
          <w:szCs w:val="21"/>
          <w:highlight w:val="none"/>
        </w:rPr>
        <w:t>天之前发出书面通知。监理人在接到通知后，应立即安排停止全部或部分监理服务并将相关</w:t>
      </w:r>
      <w:r>
        <w:rPr>
          <w:color w:val="auto"/>
          <w:spacing w:val="-1"/>
          <w:szCs w:val="21"/>
          <w:highlight w:val="none"/>
        </w:rPr>
        <w:t>费用开支减至最小。因此增加的监理服务工作量所涉及的费用，委托人应按合同条款约定</w:t>
      </w:r>
      <w:r>
        <w:rPr>
          <w:color w:val="auto"/>
          <w:spacing w:val="-3"/>
          <w:szCs w:val="21"/>
          <w:highlight w:val="none"/>
        </w:rPr>
        <w:t>进行调整，同时及时向监理人返还全部或剩余部分的履约保证金。</w:t>
      </w:r>
    </w:p>
    <w:p>
      <w:pPr>
        <w:pStyle w:val="32"/>
        <w:numPr>
          <w:ilvl w:val="2"/>
          <w:numId w:val="25"/>
        </w:numPr>
        <w:tabs>
          <w:tab w:val="left" w:pos="1416"/>
        </w:tabs>
        <w:spacing w:after="0" w:line="357" w:lineRule="auto"/>
        <w:ind w:right="463" w:firstLine="439"/>
        <w:jc w:val="both"/>
        <w:rPr>
          <w:color w:val="auto"/>
          <w:szCs w:val="21"/>
          <w:highlight w:val="none"/>
        </w:rPr>
      </w:pPr>
      <w:r>
        <w:rPr>
          <w:color w:val="auto"/>
          <w:spacing w:val="-5"/>
          <w:szCs w:val="21"/>
          <w:highlight w:val="none"/>
        </w:rPr>
        <w:t>监理人无正当的理由，未根据监理合同的约定履行全部或部分监理服务，委托人</w:t>
      </w:r>
      <w:r>
        <w:rPr>
          <w:color w:val="auto"/>
          <w:spacing w:val="-8"/>
          <w:szCs w:val="21"/>
          <w:highlight w:val="none"/>
        </w:rPr>
        <w:t xml:space="preserve">可书面要求监理人予以解释。若监理人在 </w:t>
      </w:r>
      <w:r>
        <w:rPr>
          <w:rFonts w:ascii="Times New Roman" w:eastAsia="Times New Roman"/>
          <w:color w:val="auto"/>
          <w:szCs w:val="21"/>
          <w:highlight w:val="none"/>
        </w:rPr>
        <w:t>28</w:t>
      </w:r>
      <w:r>
        <w:rPr>
          <w:rFonts w:ascii="Times New Roman" w:eastAsia="Times New Roman"/>
          <w:color w:val="auto"/>
          <w:spacing w:val="14"/>
          <w:szCs w:val="21"/>
          <w:highlight w:val="none"/>
        </w:rPr>
        <w:t xml:space="preserve"> </w:t>
      </w:r>
      <w:r>
        <w:rPr>
          <w:color w:val="auto"/>
          <w:spacing w:val="-4"/>
          <w:szCs w:val="21"/>
          <w:highlight w:val="none"/>
        </w:rPr>
        <w:t>天内未能根据本监理合同给予合理的答复，委</w:t>
      </w:r>
      <w:r>
        <w:rPr>
          <w:color w:val="auto"/>
          <w:spacing w:val="-7"/>
          <w:szCs w:val="21"/>
          <w:highlight w:val="none"/>
        </w:rPr>
        <w:t xml:space="preserve">托人可在进一步发出书面通知 </w:t>
      </w:r>
      <w:r>
        <w:rPr>
          <w:rFonts w:ascii="Times New Roman" w:eastAsia="Times New Roman"/>
          <w:color w:val="auto"/>
          <w:szCs w:val="21"/>
          <w:highlight w:val="none"/>
        </w:rPr>
        <w:t>14</w:t>
      </w:r>
      <w:r>
        <w:rPr>
          <w:rFonts w:ascii="Times New Roman" w:eastAsia="Times New Roman"/>
          <w:color w:val="auto"/>
          <w:spacing w:val="14"/>
          <w:szCs w:val="21"/>
          <w:highlight w:val="none"/>
        </w:rPr>
        <w:t xml:space="preserve"> </w:t>
      </w:r>
      <w:r>
        <w:rPr>
          <w:color w:val="auto"/>
          <w:spacing w:val="-5"/>
          <w:szCs w:val="21"/>
          <w:highlight w:val="none"/>
        </w:rPr>
        <w:t>天后，单方面解除本监理合同，并视情况对监理人的全部</w:t>
      </w:r>
      <w:r>
        <w:rPr>
          <w:color w:val="auto"/>
          <w:spacing w:val="-4"/>
          <w:szCs w:val="21"/>
          <w:highlight w:val="none"/>
        </w:rPr>
        <w:t>或部分履约保证金不予退还。</w:t>
      </w:r>
    </w:p>
    <w:p>
      <w:pPr>
        <w:pStyle w:val="32"/>
        <w:numPr>
          <w:ilvl w:val="2"/>
          <w:numId w:val="25"/>
        </w:numPr>
        <w:tabs>
          <w:tab w:val="left" w:pos="1416"/>
        </w:tabs>
        <w:spacing w:after="0" w:line="357" w:lineRule="auto"/>
        <w:ind w:right="350" w:firstLine="439"/>
        <w:rPr>
          <w:color w:val="auto"/>
          <w:szCs w:val="21"/>
          <w:highlight w:val="none"/>
        </w:rPr>
      </w:pPr>
      <w:r>
        <w:rPr>
          <w:color w:val="auto"/>
          <w:spacing w:val="-3"/>
          <w:szCs w:val="21"/>
          <w:highlight w:val="none"/>
        </w:rPr>
        <w:t xml:space="preserve">委托人拖延支付监理服务费用，并已超过合同条款约定支付期限后 </w:t>
      </w:r>
      <w:r>
        <w:rPr>
          <w:rFonts w:ascii="Times New Roman" w:eastAsia="Times New Roman"/>
          <w:color w:val="auto"/>
          <w:szCs w:val="21"/>
          <w:highlight w:val="none"/>
        </w:rPr>
        <w:t>28</w:t>
      </w:r>
      <w:r>
        <w:rPr>
          <w:rFonts w:ascii="Times New Roman" w:eastAsia="Times New Roman"/>
          <w:color w:val="auto"/>
          <w:spacing w:val="1"/>
          <w:szCs w:val="21"/>
          <w:highlight w:val="none"/>
        </w:rPr>
        <w:t xml:space="preserve"> </w:t>
      </w:r>
      <w:r>
        <w:rPr>
          <w:color w:val="auto"/>
          <w:spacing w:val="-1"/>
          <w:szCs w:val="21"/>
          <w:highlight w:val="none"/>
        </w:rPr>
        <w:t>天，或根</w:t>
      </w:r>
      <w:r>
        <w:rPr>
          <w:color w:val="auto"/>
          <w:spacing w:val="-11"/>
          <w:szCs w:val="21"/>
          <w:highlight w:val="none"/>
        </w:rPr>
        <w:t xml:space="preserve">据本合同第 </w:t>
      </w:r>
      <w:r>
        <w:rPr>
          <w:rFonts w:ascii="Times New Roman" w:eastAsia="Times New Roman"/>
          <w:color w:val="auto"/>
          <w:szCs w:val="21"/>
          <w:highlight w:val="none"/>
        </w:rPr>
        <w:t xml:space="preserve">6.4.1 </w:t>
      </w:r>
      <w:r>
        <w:rPr>
          <w:color w:val="auto"/>
          <w:spacing w:val="-5"/>
          <w:szCs w:val="21"/>
          <w:highlight w:val="none"/>
        </w:rPr>
        <w:t>项</w:t>
      </w:r>
      <w:r>
        <w:rPr>
          <w:color w:val="auto"/>
          <w:spacing w:val="-3"/>
          <w:szCs w:val="21"/>
          <w:highlight w:val="none"/>
        </w:rPr>
        <w:t>（</w:t>
      </w:r>
      <w:r>
        <w:rPr>
          <w:rFonts w:ascii="Times New Roman" w:eastAsia="Times New Roman"/>
          <w:color w:val="auto"/>
          <w:spacing w:val="-3"/>
          <w:szCs w:val="21"/>
          <w:highlight w:val="none"/>
        </w:rPr>
        <w:t>1</w:t>
      </w:r>
      <w:r>
        <w:rPr>
          <w:color w:val="auto"/>
          <w:spacing w:val="-3"/>
          <w:szCs w:val="21"/>
          <w:highlight w:val="none"/>
        </w:rPr>
        <w:t>）</w:t>
      </w:r>
      <w:r>
        <w:rPr>
          <w:color w:val="auto"/>
          <w:spacing w:val="-13"/>
          <w:szCs w:val="21"/>
          <w:highlight w:val="none"/>
        </w:rPr>
        <w:t xml:space="preserve">目或第 </w:t>
      </w:r>
      <w:r>
        <w:rPr>
          <w:rFonts w:ascii="Times New Roman" w:eastAsia="Times New Roman"/>
          <w:color w:val="auto"/>
          <w:szCs w:val="21"/>
          <w:highlight w:val="none"/>
        </w:rPr>
        <w:t>6.4.2</w:t>
      </w:r>
      <w:r>
        <w:rPr>
          <w:rFonts w:ascii="Times New Roman" w:eastAsia="Times New Roman"/>
          <w:color w:val="auto"/>
          <w:spacing w:val="3"/>
          <w:szCs w:val="21"/>
          <w:highlight w:val="none"/>
        </w:rPr>
        <w:t xml:space="preserve"> </w:t>
      </w:r>
      <w:r>
        <w:rPr>
          <w:color w:val="auto"/>
          <w:spacing w:val="-8"/>
          <w:szCs w:val="21"/>
          <w:highlight w:val="none"/>
        </w:rPr>
        <w:t xml:space="preserve">项的约定，暂停监理服务已超过 </w:t>
      </w:r>
      <w:r>
        <w:rPr>
          <w:rFonts w:ascii="Times New Roman" w:eastAsia="Times New Roman"/>
          <w:color w:val="auto"/>
          <w:szCs w:val="21"/>
          <w:highlight w:val="none"/>
        </w:rPr>
        <w:t xml:space="preserve">6 </w:t>
      </w:r>
      <w:r>
        <w:rPr>
          <w:color w:val="auto"/>
          <w:spacing w:val="-3"/>
          <w:szCs w:val="21"/>
          <w:highlight w:val="none"/>
        </w:rPr>
        <w:t>个月，监理人可书</w:t>
      </w:r>
      <w:r>
        <w:rPr>
          <w:color w:val="auto"/>
          <w:spacing w:val="-7"/>
          <w:szCs w:val="21"/>
          <w:highlight w:val="none"/>
        </w:rPr>
        <w:t xml:space="preserve">面要求委托人予以解释。若委托人在 </w:t>
      </w:r>
      <w:r>
        <w:rPr>
          <w:rFonts w:ascii="Times New Roman" w:eastAsia="Times New Roman"/>
          <w:color w:val="auto"/>
          <w:szCs w:val="21"/>
          <w:highlight w:val="none"/>
        </w:rPr>
        <w:t>28</w:t>
      </w:r>
      <w:r>
        <w:rPr>
          <w:rFonts w:ascii="Times New Roman" w:eastAsia="Times New Roman"/>
          <w:color w:val="auto"/>
          <w:spacing w:val="7"/>
          <w:szCs w:val="21"/>
          <w:highlight w:val="none"/>
        </w:rPr>
        <w:t xml:space="preserve"> </w:t>
      </w:r>
      <w:r>
        <w:rPr>
          <w:color w:val="auto"/>
          <w:spacing w:val="-4"/>
          <w:szCs w:val="21"/>
          <w:highlight w:val="none"/>
        </w:rPr>
        <w:t>天内未能根据本监理合同给予合理的答复，监理人</w:t>
      </w:r>
      <w:r>
        <w:rPr>
          <w:color w:val="auto"/>
          <w:spacing w:val="-8"/>
          <w:szCs w:val="21"/>
          <w:highlight w:val="none"/>
        </w:rPr>
        <w:t xml:space="preserve">可在进一步发出书面通知 </w:t>
      </w:r>
      <w:r>
        <w:rPr>
          <w:rFonts w:ascii="Times New Roman" w:eastAsia="Times New Roman"/>
          <w:color w:val="auto"/>
          <w:szCs w:val="21"/>
          <w:highlight w:val="none"/>
        </w:rPr>
        <w:t>14</w:t>
      </w:r>
      <w:r>
        <w:rPr>
          <w:rFonts w:ascii="Times New Roman" w:eastAsia="Times New Roman"/>
          <w:color w:val="auto"/>
          <w:spacing w:val="7"/>
          <w:szCs w:val="21"/>
          <w:highlight w:val="none"/>
        </w:rPr>
        <w:t xml:space="preserve"> </w:t>
      </w:r>
      <w:r>
        <w:rPr>
          <w:color w:val="auto"/>
          <w:spacing w:val="-12"/>
          <w:szCs w:val="21"/>
          <w:highlight w:val="none"/>
        </w:rPr>
        <w:t>天后，单方面解除本监理合同或自行暂停全部或部分监理服务。因此增加的监理服务工作量所涉及的费用，委托人应按合同条款约定进行调整，同时应及</w:t>
      </w:r>
      <w:r>
        <w:rPr>
          <w:color w:val="auto"/>
          <w:spacing w:val="-7"/>
          <w:szCs w:val="21"/>
          <w:highlight w:val="none"/>
        </w:rPr>
        <w:t>时向监理人返还全部或剩余部分的履约保证金。</w:t>
      </w:r>
    </w:p>
    <w:p>
      <w:pPr>
        <w:pStyle w:val="32"/>
        <w:numPr>
          <w:ilvl w:val="2"/>
          <w:numId w:val="25"/>
        </w:numPr>
        <w:tabs>
          <w:tab w:val="left" w:pos="1416"/>
        </w:tabs>
        <w:spacing w:before="1" w:after="0" w:line="357" w:lineRule="auto"/>
        <w:ind w:right="462" w:firstLine="439"/>
        <w:rPr>
          <w:color w:val="auto"/>
          <w:szCs w:val="21"/>
          <w:highlight w:val="none"/>
        </w:rPr>
      </w:pPr>
      <w:r>
        <w:rPr>
          <w:color w:val="auto"/>
          <w:spacing w:val="-5"/>
          <w:szCs w:val="21"/>
          <w:highlight w:val="none"/>
        </w:rPr>
        <w:t>监理合同的解除，不得损害或影响双方根据本监理合同应有的义务、责任、权利和利益。</w:t>
      </w:r>
    </w:p>
    <w:p>
      <w:pPr>
        <w:pStyle w:val="9"/>
        <w:spacing w:before="5"/>
        <w:jc w:val="both"/>
        <w:rPr>
          <w:color w:val="auto"/>
          <w:sz w:val="21"/>
          <w:szCs w:val="21"/>
          <w:highlight w:val="none"/>
        </w:rPr>
      </w:pPr>
    </w:p>
    <w:p>
      <w:pPr>
        <w:pStyle w:val="6"/>
        <w:numPr>
          <w:ilvl w:val="0"/>
          <w:numId w:val="12"/>
        </w:numPr>
        <w:tabs>
          <w:tab w:val="left" w:pos="826"/>
        </w:tabs>
        <w:spacing w:after="0" w:line="240" w:lineRule="auto"/>
        <w:ind w:hanging="402"/>
        <w:rPr>
          <w:color w:val="auto"/>
          <w:sz w:val="21"/>
          <w:szCs w:val="21"/>
          <w:highlight w:val="none"/>
        </w:rPr>
      </w:pPr>
      <w:r>
        <w:rPr>
          <w:color w:val="auto"/>
          <w:sz w:val="21"/>
          <w:szCs w:val="21"/>
          <w:highlight w:val="none"/>
        </w:rPr>
        <w:t>监理责任与保险</w:t>
      </w:r>
    </w:p>
    <w:p>
      <w:pPr>
        <w:pStyle w:val="9"/>
        <w:spacing w:before="11"/>
        <w:rPr>
          <w:rFonts w:ascii="黑体"/>
          <w:b/>
          <w:color w:val="auto"/>
          <w:sz w:val="21"/>
          <w:szCs w:val="21"/>
          <w:highlight w:val="none"/>
        </w:rPr>
      </w:pPr>
    </w:p>
    <w:p>
      <w:pPr>
        <w:numPr>
          <w:ilvl w:val="1"/>
          <w:numId w:val="12"/>
        </w:numPr>
        <w:tabs>
          <w:tab w:val="left" w:pos="914"/>
        </w:tabs>
        <w:rPr>
          <w:rFonts w:ascii="黑体" w:eastAsia="黑体"/>
          <w:b/>
          <w:color w:val="auto"/>
          <w:szCs w:val="21"/>
          <w:highlight w:val="none"/>
        </w:rPr>
      </w:pPr>
      <w:r>
        <w:rPr>
          <w:rFonts w:hint="eastAsia" w:ascii="黑体" w:eastAsia="黑体"/>
          <w:b/>
          <w:color w:val="auto"/>
          <w:szCs w:val="21"/>
          <w:highlight w:val="none"/>
        </w:rPr>
        <w:t>监理责任主体</w:t>
      </w:r>
    </w:p>
    <w:p>
      <w:pPr>
        <w:spacing w:before="124"/>
        <w:ind w:left="863"/>
        <w:rPr>
          <w:color w:val="auto"/>
          <w:szCs w:val="21"/>
          <w:highlight w:val="none"/>
        </w:rPr>
      </w:pPr>
      <w:r>
        <w:rPr>
          <w:color w:val="auto"/>
          <w:szCs w:val="21"/>
          <w:highlight w:val="none"/>
        </w:rPr>
        <w:t xml:space="preserve">第 </w:t>
      </w:r>
      <w:r>
        <w:rPr>
          <w:rFonts w:ascii="Times New Roman" w:eastAsia="Times New Roman"/>
          <w:color w:val="auto"/>
          <w:szCs w:val="21"/>
          <w:highlight w:val="none"/>
        </w:rPr>
        <w:t xml:space="preserve">7.1.2 </w:t>
      </w:r>
      <w:r>
        <w:rPr>
          <w:color w:val="auto"/>
          <w:szCs w:val="21"/>
          <w:highlight w:val="none"/>
        </w:rPr>
        <w:t xml:space="preserve">项、第 </w:t>
      </w:r>
      <w:r>
        <w:rPr>
          <w:rFonts w:ascii="Times New Roman" w:eastAsia="Times New Roman"/>
          <w:color w:val="auto"/>
          <w:szCs w:val="21"/>
          <w:highlight w:val="none"/>
        </w:rPr>
        <w:t xml:space="preserve">7.1.3 </w:t>
      </w:r>
      <w:r>
        <w:rPr>
          <w:color w:val="auto"/>
          <w:szCs w:val="21"/>
          <w:highlight w:val="none"/>
        </w:rPr>
        <w:t>项细化为：</w:t>
      </w:r>
    </w:p>
    <w:p>
      <w:pPr>
        <w:pStyle w:val="32"/>
        <w:numPr>
          <w:ilvl w:val="2"/>
          <w:numId w:val="27"/>
        </w:numPr>
        <w:tabs>
          <w:tab w:val="left" w:pos="1416"/>
        </w:tabs>
        <w:spacing w:before="139" w:after="0" w:line="357" w:lineRule="auto"/>
        <w:ind w:right="463" w:firstLine="439"/>
        <w:rPr>
          <w:color w:val="auto"/>
          <w:szCs w:val="21"/>
          <w:highlight w:val="none"/>
        </w:rPr>
      </w:pPr>
      <w:r>
        <w:rPr>
          <w:color w:val="auto"/>
          <w:spacing w:val="-5"/>
          <w:szCs w:val="21"/>
          <w:highlight w:val="none"/>
        </w:rPr>
        <w:t>监理人应当建立健全工程质量保证体系，制定质量管理制度，强化工程质量管理</w:t>
      </w:r>
      <w:r>
        <w:rPr>
          <w:color w:val="auto"/>
          <w:spacing w:val="-4"/>
          <w:szCs w:val="21"/>
          <w:highlight w:val="none"/>
        </w:rPr>
        <w:t>措施，完善工程质量目标保障机制。</w:t>
      </w:r>
    </w:p>
    <w:p>
      <w:pPr>
        <w:spacing w:line="357" w:lineRule="auto"/>
        <w:ind w:left="424" w:right="318" w:firstLine="439"/>
        <w:rPr>
          <w:color w:val="auto"/>
          <w:szCs w:val="21"/>
          <w:highlight w:val="none"/>
        </w:rPr>
      </w:pPr>
      <w:r>
        <w:rPr>
          <w:color w:val="auto"/>
          <w:szCs w:val="21"/>
          <w:highlight w:val="none"/>
        </w:rPr>
        <w:t>本工程施行质量责任终身制。监理人应当书面明确相应的总监理工程师和质量负责人。监理人的相关人员按照国家法律法规和有关规定在工程合理使用年限内承担相应的质量责任。</w:t>
      </w:r>
    </w:p>
    <w:p>
      <w:pPr>
        <w:pStyle w:val="32"/>
        <w:numPr>
          <w:ilvl w:val="2"/>
          <w:numId w:val="27"/>
        </w:numPr>
        <w:tabs>
          <w:tab w:val="left" w:pos="1416"/>
        </w:tabs>
        <w:spacing w:after="0" w:line="357" w:lineRule="auto"/>
        <w:ind w:right="464" w:firstLine="439"/>
        <w:jc w:val="both"/>
        <w:rPr>
          <w:color w:val="auto"/>
          <w:szCs w:val="21"/>
          <w:highlight w:val="none"/>
        </w:rPr>
      </w:pPr>
      <w:r>
        <w:rPr>
          <w:color w:val="auto"/>
          <w:spacing w:val="-5"/>
          <w:szCs w:val="21"/>
          <w:highlight w:val="none"/>
        </w:rPr>
        <w:t>监理人对施工质量负监理责任，应当按合同约定设立现场监理机构，按规定程序和标准进行工程质量检查、检测和验收，对发现的质量问题及时督促整改，不得降低工程</w:t>
      </w:r>
      <w:r>
        <w:rPr>
          <w:color w:val="auto"/>
          <w:spacing w:val="-4"/>
          <w:szCs w:val="21"/>
          <w:highlight w:val="none"/>
        </w:rPr>
        <w:t>质量标准。</w:t>
      </w:r>
    </w:p>
    <w:p>
      <w:pPr>
        <w:spacing w:line="357" w:lineRule="auto"/>
        <w:ind w:left="424" w:right="467" w:firstLine="439"/>
        <w:rPr>
          <w:color w:val="auto"/>
          <w:szCs w:val="21"/>
          <w:highlight w:val="none"/>
        </w:rPr>
      </w:pPr>
      <w:r>
        <w:rPr>
          <w:color w:val="auto"/>
          <w:szCs w:val="21"/>
          <w:highlight w:val="none"/>
        </w:rPr>
        <w:t>本工程交工验收前，监理人应当根据有关标准和规范要求对工程质量进行检查验证， 编制工程质量评定或者评估报告，并提交委托人。</w:t>
      </w:r>
      <w:r>
        <w:rPr>
          <w:color w:val="auto"/>
          <w:szCs w:val="21"/>
          <w:highlight w:val="none"/>
        </w:rPr>
        <w:br w:type="textWrapping"/>
      </w:r>
      <w:r>
        <w:rPr>
          <w:color w:val="auto"/>
          <w:szCs w:val="21"/>
          <w:highlight w:val="none"/>
        </w:rPr>
        <w:t xml:space="preserve">本款补充第 </w:t>
      </w:r>
      <w:r>
        <w:rPr>
          <w:rFonts w:ascii="Times New Roman" w:eastAsia="Times New Roman"/>
          <w:color w:val="auto"/>
          <w:szCs w:val="21"/>
          <w:highlight w:val="none"/>
        </w:rPr>
        <w:t xml:space="preserve">7.1.4 </w:t>
      </w:r>
      <w:r>
        <w:rPr>
          <w:color w:val="auto"/>
          <w:szCs w:val="21"/>
          <w:highlight w:val="none"/>
        </w:rPr>
        <w:t>项：</w:t>
      </w:r>
    </w:p>
    <w:p>
      <w:pPr>
        <w:pStyle w:val="32"/>
        <w:numPr>
          <w:ilvl w:val="2"/>
          <w:numId w:val="27"/>
        </w:numPr>
        <w:tabs>
          <w:tab w:val="left" w:pos="1416"/>
        </w:tabs>
        <w:spacing w:before="138" w:after="0" w:line="357" w:lineRule="auto"/>
        <w:ind w:right="464" w:firstLine="439"/>
        <w:rPr>
          <w:color w:val="auto"/>
          <w:szCs w:val="21"/>
          <w:highlight w:val="none"/>
        </w:rPr>
      </w:pPr>
      <w:r>
        <w:rPr>
          <w:color w:val="auto"/>
          <w:spacing w:val="-5"/>
          <w:szCs w:val="21"/>
          <w:highlight w:val="none"/>
        </w:rPr>
        <w:t>监理人应当按照合同约定设立工地临时试验室，严格按照工程技术标准、检测规</w:t>
      </w:r>
      <w:r>
        <w:rPr>
          <w:color w:val="auto"/>
          <w:spacing w:val="-4"/>
          <w:szCs w:val="21"/>
          <w:highlight w:val="none"/>
        </w:rPr>
        <w:t>范和规程，在核定的试验检测参数范围内开展试验检测活动。</w:t>
      </w:r>
    </w:p>
    <w:p>
      <w:pPr>
        <w:spacing w:line="357" w:lineRule="auto"/>
        <w:ind w:left="424" w:right="467" w:firstLine="439"/>
        <w:rPr>
          <w:color w:val="auto"/>
          <w:szCs w:val="21"/>
          <w:highlight w:val="none"/>
        </w:rPr>
      </w:pPr>
      <w:r>
        <w:rPr>
          <w:color w:val="auto"/>
          <w:szCs w:val="21"/>
          <w:highlight w:val="none"/>
        </w:rPr>
        <w:t>监理人应当对其设立的工地临时试验室所出具的试验检测数据和报告的真实性、客观性、准确性负责。</w:t>
      </w:r>
    </w:p>
    <w:p>
      <w:pPr>
        <w:spacing w:before="1"/>
        <w:ind w:left="863"/>
        <w:rPr>
          <w:color w:val="auto"/>
          <w:szCs w:val="21"/>
          <w:highlight w:val="none"/>
        </w:rPr>
      </w:pPr>
      <w:r>
        <w:rPr>
          <w:color w:val="auto"/>
          <w:szCs w:val="21"/>
          <w:highlight w:val="none"/>
        </w:rPr>
        <w:t xml:space="preserve">本条补充第 </w:t>
      </w:r>
      <w:r>
        <w:rPr>
          <w:rFonts w:ascii="Times New Roman" w:eastAsia="Times New Roman"/>
          <w:color w:val="auto"/>
          <w:szCs w:val="21"/>
          <w:highlight w:val="none"/>
        </w:rPr>
        <w:t xml:space="preserve">7.3 </w:t>
      </w:r>
      <w:r>
        <w:rPr>
          <w:color w:val="auto"/>
          <w:szCs w:val="21"/>
          <w:highlight w:val="none"/>
        </w:rPr>
        <w:t>款：</w:t>
      </w:r>
    </w:p>
    <w:p>
      <w:pPr>
        <w:spacing w:before="95"/>
        <w:ind w:left="424"/>
        <w:rPr>
          <w:rFonts w:ascii="黑体" w:eastAsia="黑体"/>
          <w:b/>
          <w:color w:val="auto"/>
          <w:szCs w:val="21"/>
          <w:highlight w:val="none"/>
        </w:rPr>
      </w:pPr>
      <w:r>
        <w:rPr>
          <w:rFonts w:ascii="Times New Roman" w:eastAsia="Times New Roman"/>
          <w:b/>
          <w:color w:val="auto"/>
          <w:szCs w:val="21"/>
          <w:highlight w:val="none"/>
        </w:rPr>
        <w:t>7.3</w:t>
      </w:r>
      <w:r>
        <w:rPr>
          <w:rFonts w:ascii="Times New Roman" w:eastAsia="Times New Roman"/>
          <w:b/>
          <w:color w:val="auto"/>
          <w:spacing w:val="67"/>
          <w:szCs w:val="21"/>
          <w:highlight w:val="none"/>
        </w:rPr>
        <w:t xml:space="preserve"> </w:t>
      </w:r>
      <w:r>
        <w:rPr>
          <w:rFonts w:hint="eastAsia" w:ascii="黑体" w:eastAsia="黑体"/>
          <w:b/>
          <w:color w:val="auto"/>
          <w:szCs w:val="21"/>
          <w:highlight w:val="none"/>
        </w:rPr>
        <w:t>人员和设备保险</w:t>
      </w:r>
    </w:p>
    <w:p>
      <w:pPr>
        <w:spacing w:before="124" w:line="357" w:lineRule="auto"/>
        <w:ind w:left="424" w:right="466" w:firstLine="439"/>
        <w:jc w:val="both"/>
        <w:rPr>
          <w:color w:val="auto"/>
          <w:szCs w:val="21"/>
          <w:highlight w:val="none"/>
        </w:rPr>
      </w:pPr>
      <w:r>
        <w:rPr>
          <w:color w:val="auto"/>
          <w:szCs w:val="21"/>
          <w:highlight w:val="none"/>
        </w:rPr>
        <w:t>监理人应在监理服务期内，自费办理派驻到工程所在地人员的人身和自备财产的有关保险，保险时间应随服务时间的延长而顺延，并在出险后自行办理索赔。如果监理人不办理上述保险，则应对有关风险及后果自负其责。</w:t>
      </w:r>
    </w:p>
    <w:p>
      <w:pPr>
        <w:pStyle w:val="6"/>
        <w:numPr>
          <w:ilvl w:val="0"/>
          <w:numId w:val="12"/>
        </w:numPr>
        <w:tabs>
          <w:tab w:val="left" w:pos="826"/>
        </w:tabs>
        <w:spacing w:after="0" w:line="240" w:lineRule="auto"/>
        <w:ind w:hanging="402"/>
        <w:rPr>
          <w:color w:val="auto"/>
          <w:sz w:val="21"/>
          <w:szCs w:val="21"/>
          <w:highlight w:val="none"/>
        </w:rPr>
      </w:pPr>
      <w:r>
        <w:rPr>
          <w:color w:val="auto"/>
          <w:w w:val="95"/>
          <w:sz w:val="21"/>
          <w:szCs w:val="21"/>
          <w:highlight w:val="none"/>
        </w:rPr>
        <w:t>合同变更</w:t>
      </w:r>
    </w:p>
    <w:p>
      <w:pPr>
        <w:pStyle w:val="9"/>
        <w:spacing w:before="11"/>
        <w:rPr>
          <w:rFonts w:ascii="黑体"/>
          <w:b/>
          <w:color w:val="auto"/>
          <w:sz w:val="21"/>
          <w:szCs w:val="21"/>
          <w:highlight w:val="none"/>
        </w:rPr>
      </w:pPr>
    </w:p>
    <w:p>
      <w:pPr>
        <w:numPr>
          <w:ilvl w:val="1"/>
          <w:numId w:val="12"/>
        </w:numPr>
        <w:tabs>
          <w:tab w:val="left" w:pos="914"/>
        </w:tabs>
        <w:spacing w:before="1"/>
        <w:rPr>
          <w:rFonts w:ascii="黑体" w:eastAsia="黑体"/>
          <w:b/>
          <w:color w:val="auto"/>
          <w:szCs w:val="21"/>
          <w:highlight w:val="none"/>
        </w:rPr>
      </w:pPr>
      <w:r>
        <w:rPr>
          <w:rFonts w:hint="eastAsia" w:ascii="黑体" w:eastAsia="黑体"/>
          <w:b/>
          <w:color w:val="auto"/>
          <w:szCs w:val="21"/>
          <w:highlight w:val="none"/>
        </w:rPr>
        <w:t>变更情形</w:t>
      </w:r>
    </w:p>
    <w:p>
      <w:pPr>
        <w:spacing w:before="123"/>
        <w:ind w:left="863"/>
        <w:rPr>
          <w:color w:val="auto"/>
          <w:szCs w:val="21"/>
          <w:highlight w:val="none"/>
        </w:rPr>
      </w:pPr>
      <w:r>
        <w:rPr>
          <w:color w:val="auto"/>
          <w:szCs w:val="21"/>
          <w:highlight w:val="none"/>
        </w:rPr>
        <w:t xml:space="preserve">第 </w:t>
      </w:r>
      <w:r>
        <w:rPr>
          <w:rFonts w:ascii="Times New Roman" w:eastAsia="Times New Roman"/>
          <w:color w:val="auto"/>
          <w:szCs w:val="21"/>
          <w:highlight w:val="none"/>
        </w:rPr>
        <w:t xml:space="preserve">8.1.1 </w:t>
      </w:r>
      <w:r>
        <w:rPr>
          <w:color w:val="auto"/>
          <w:szCs w:val="21"/>
          <w:highlight w:val="none"/>
        </w:rPr>
        <w:t>项细化为：</w:t>
      </w:r>
    </w:p>
    <w:p>
      <w:pPr>
        <w:spacing w:before="138" w:line="357" w:lineRule="auto"/>
        <w:ind w:left="424" w:right="467" w:firstLine="439"/>
        <w:rPr>
          <w:color w:val="auto"/>
          <w:szCs w:val="21"/>
          <w:highlight w:val="none"/>
        </w:rPr>
      </w:pPr>
      <w:r>
        <w:rPr>
          <w:color w:val="auto"/>
          <w:szCs w:val="21"/>
          <w:highlight w:val="none"/>
        </w:rPr>
        <w:t>合同履行中发生下述情形时，合同一方均可向对方提出变更请求，经双方协商一致后进行变更，监理服务期限和监理报酬的调整方法在项目专用合同条款中约定。</w:t>
      </w:r>
    </w:p>
    <w:p>
      <w:pPr>
        <w:pStyle w:val="32"/>
        <w:numPr>
          <w:ilvl w:val="0"/>
          <w:numId w:val="28"/>
        </w:numPr>
        <w:tabs>
          <w:tab w:val="left" w:pos="1417"/>
        </w:tabs>
        <w:spacing w:after="0" w:line="240" w:lineRule="auto"/>
        <w:ind w:hanging="554"/>
        <w:rPr>
          <w:color w:val="auto"/>
          <w:szCs w:val="21"/>
          <w:highlight w:val="none"/>
        </w:rPr>
      </w:pPr>
      <w:r>
        <w:rPr>
          <w:color w:val="auto"/>
          <w:spacing w:val="-3"/>
          <w:szCs w:val="21"/>
          <w:highlight w:val="none"/>
        </w:rPr>
        <w:t>监理范围发生变化；</w:t>
      </w:r>
    </w:p>
    <w:p>
      <w:pPr>
        <w:pStyle w:val="32"/>
        <w:numPr>
          <w:ilvl w:val="0"/>
          <w:numId w:val="28"/>
        </w:numPr>
        <w:tabs>
          <w:tab w:val="left" w:pos="1417"/>
        </w:tabs>
        <w:spacing w:before="139" w:after="0" w:line="240" w:lineRule="auto"/>
        <w:ind w:hanging="554"/>
        <w:rPr>
          <w:color w:val="auto"/>
          <w:szCs w:val="21"/>
          <w:highlight w:val="none"/>
        </w:rPr>
      </w:pPr>
      <w:r>
        <w:rPr>
          <w:color w:val="auto"/>
          <w:spacing w:val="-3"/>
          <w:szCs w:val="21"/>
          <w:highlight w:val="none"/>
        </w:rPr>
        <w:t>除不可抗力外，非监理人的原因引起的周期延误；</w:t>
      </w:r>
    </w:p>
    <w:p>
      <w:pPr>
        <w:pStyle w:val="32"/>
        <w:numPr>
          <w:ilvl w:val="0"/>
          <w:numId w:val="28"/>
        </w:numPr>
        <w:tabs>
          <w:tab w:val="left" w:pos="1417"/>
        </w:tabs>
        <w:spacing w:before="138" w:after="0" w:line="240" w:lineRule="auto"/>
        <w:ind w:hanging="554"/>
        <w:rPr>
          <w:color w:val="auto"/>
          <w:szCs w:val="21"/>
          <w:highlight w:val="none"/>
        </w:rPr>
      </w:pPr>
      <w:r>
        <w:rPr>
          <w:color w:val="auto"/>
          <w:spacing w:val="-3"/>
          <w:szCs w:val="21"/>
          <w:highlight w:val="none"/>
        </w:rPr>
        <w:t>非监理人的原因，对工程同一部分重复进行监理；</w:t>
      </w:r>
    </w:p>
    <w:p>
      <w:pPr>
        <w:pStyle w:val="32"/>
        <w:numPr>
          <w:ilvl w:val="0"/>
          <w:numId w:val="28"/>
        </w:numPr>
        <w:tabs>
          <w:tab w:val="left" w:pos="1417"/>
        </w:tabs>
        <w:spacing w:before="138" w:after="0" w:line="240" w:lineRule="auto"/>
        <w:ind w:hanging="554"/>
        <w:rPr>
          <w:color w:val="auto"/>
          <w:szCs w:val="21"/>
          <w:highlight w:val="none"/>
        </w:rPr>
      </w:pPr>
      <w:r>
        <w:rPr>
          <w:color w:val="auto"/>
          <w:spacing w:val="-3"/>
          <w:szCs w:val="21"/>
          <w:highlight w:val="none"/>
        </w:rPr>
        <w:t>非监理人的原因，对工程暂停监理及恢复监理；</w:t>
      </w:r>
    </w:p>
    <w:p>
      <w:pPr>
        <w:pStyle w:val="32"/>
        <w:numPr>
          <w:ilvl w:val="0"/>
          <w:numId w:val="28"/>
        </w:numPr>
        <w:tabs>
          <w:tab w:val="left" w:pos="1417"/>
        </w:tabs>
        <w:spacing w:before="139" w:after="0" w:line="240" w:lineRule="auto"/>
        <w:ind w:hanging="554"/>
        <w:rPr>
          <w:color w:val="auto"/>
          <w:szCs w:val="21"/>
          <w:highlight w:val="none"/>
        </w:rPr>
      </w:pPr>
      <w:r>
        <w:rPr>
          <w:color w:val="auto"/>
          <w:spacing w:val="-3"/>
          <w:szCs w:val="21"/>
          <w:highlight w:val="none"/>
        </w:rPr>
        <w:t>监理服务的形式与内容发生变化；</w:t>
      </w:r>
    </w:p>
    <w:p>
      <w:pPr>
        <w:pStyle w:val="32"/>
        <w:numPr>
          <w:ilvl w:val="0"/>
          <w:numId w:val="28"/>
        </w:numPr>
        <w:tabs>
          <w:tab w:val="left" w:pos="1417"/>
        </w:tabs>
        <w:spacing w:before="138" w:after="0" w:line="240" w:lineRule="auto"/>
        <w:ind w:hanging="554"/>
        <w:rPr>
          <w:color w:val="auto"/>
          <w:szCs w:val="21"/>
          <w:highlight w:val="none"/>
        </w:rPr>
      </w:pPr>
      <w:r>
        <w:rPr>
          <w:color w:val="auto"/>
          <w:spacing w:val="-3"/>
          <w:szCs w:val="21"/>
          <w:highlight w:val="none"/>
        </w:rPr>
        <w:t>因委托人或第三方的责任，阻碍或延误了监理人履行监理服务；</w:t>
      </w:r>
    </w:p>
    <w:p>
      <w:pPr>
        <w:pStyle w:val="32"/>
        <w:numPr>
          <w:ilvl w:val="0"/>
          <w:numId w:val="28"/>
        </w:numPr>
        <w:tabs>
          <w:tab w:val="left" w:pos="1417"/>
        </w:tabs>
        <w:spacing w:before="138" w:after="0" w:line="240" w:lineRule="auto"/>
        <w:ind w:hanging="554"/>
        <w:rPr>
          <w:color w:val="auto"/>
          <w:szCs w:val="21"/>
          <w:highlight w:val="none"/>
        </w:rPr>
      </w:pPr>
      <w:r>
        <w:rPr>
          <w:color w:val="auto"/>
          <w:spacing w:val="-3"/>
          <w:szCs w:val="21"/>
          <w:highlight w:val="none"/>
        </w:rPr>
        <w:t>委托人提出高于监理合同约定的服务目标，监理人为完成此目标导致投入增加。</w:t>
      </w:r>
    </w:p>
    <w:p>
      <w:pPr>
        <w:pStyle w:val="9"/>
        <w:spacing w:before="2"/>
        <w:jc w:val="both"/>
        <w:rPr>
          <w:color w:val="auto"/>
          <w:sz w:val="21"/>
          <w:szCs w:val="21"/>
          <w:highlight w:val="none"/>
        </w:rPr>
      </w:pPr>
    </w:p>
    <w:p>
      <w:pPr>
        <w:pStyle w:val="6"/>
        <w:numPr>
          <w:ilvl w:val="0"/>
          <w:numId w:val="12"/>
        </w:numPr>
        <w:tabs>
          <w:tab w:val="left" w:pos="826"/>
        </w:tabs>
        <w:spacing w:after="0" w:line="240" w:lineRule="auto"/>
        <w:ind w:hanging="402"/>
        <w:rPr>
          <w:color w:val="auto"/>
          <w:sz w:val="21"/>
          <w:szCs w:val="21"/>
          <w:highlight w:val="none"/>
        </w:rPr>
      </w:pPr>
      <w:r>
        <w:rPr>
          <w:color w:val="auto"/>
          <w:sz w:val="21"/>
          <w:szCs w:val="21"/>
          <w:highlight w:val="none"/>
        </w:rPr>
        <w:t>合同价格与支付</w:t>
      </w:r>
    </w:p>
    <w:p>
      <w:pPr>
        <w:pStyle w:val="9"/>
        <w:spacing w:before="11"/>
        <w:rPr>
          <w:rFonts w:ascii="黑体"/>
          <w:b/>
          <w:color w:val="auto"/>
          <w:sz w:val="21"/>
          <w:szCs w:val="21"/>
          <w:highlight w:val="none"/>
        </w:rPr>
      </w:pPr>
    </w:p>
    <w:p>
      <w:pPr>
        <w:numPr>
          <w:ilvl w:val="1"/>
          <w:numId w:val="12"/>
        </w:numPr>
        <w:tabs>
          <w:tab w:val="left" w:pos="914"/>
        </w:tabs>
        <w:rPr>
          <w:rFonts w:ascii="黑体" w:eastAsia="黑体"/>
          <w:b/>
          <w:color w:val="auto"/>
          <w:szCs w:val="21"/>
          <w:highlight w:val="none"/>
        </w:rPr>
      </w:pPr>
      <w:r>
        <w:rPr>
          <w:rFonts w:hint="eastAsia" w:ascii="黑体" w:eastAsia="黑体"/>
          <w:b/>
          <w:color w:val="auto"/>
          <w:szCs w:val="21"/>
          <w:highlight w:val="none"/>
        </w:rPr>
        <w:t>合同价格</w:t>
      </w:r>
    </w:p>
    <w:p>
      <w:pPr>
        <w:spacing w:before="124"/>
        <w:ind w:left="863"/>
        <w:rPr>
          <w:color w:val="auto"/>
          <w:szCs w:val="21"/>
          <w:highlight w:val="none"/>
        </w:rPr>
      </w:pPr>
      <w:r>
        <w:rPr>
          <w:color w:val="auto"/>
          <w:szCs w:val="21"/>
          <w:highlight w:val="none"/>
        </w:rPr>
        <w:t xml:space="preserve">第 </w:t>
      </w:r>
      <w:r>
        <w:rPr>
          <w:rFonts w:ascii="Times New Roman" w:eastAsia="Times New Roman"/>
          <w:color w:val="auto"/>
          <w:szCs w:val="21"/>
          <w:highlight w:val="none"/>
        </w:rPr>
        <w:t xml:space="preserve">9.1.1 </w:t>
      </w:r>
      <w:r>
        <w:rPr>
          <w:color w:val="auto"/>
          <w:szCs w:val="21"/>
          <w:highlight w:val="none"/>
        </w:rPr>
        <w:t>项细化为：</w:t>
      </w:r>
    </w:p>
    <w:p>
      <w:pPr>
        <w:spacing w:before="138" w:line="357" w:lineRule="auto"/>
        <w:ind w:left="424" w:right="457" w:firstLine="439"/>
        <w:jc w:val="both"/>
        <w:rPr>
          <w:color w:val="auto"/>
          <w:szCs w:val="21"/>
          <w:highlight w:val="none"/>
        </w:rPr>
      </w:pPr>
      <w:r>
        <w:rPr>
          <w:color w:val="auto"/>
          <w:szCs w:val="21"/>
          <w:highlight w:val="none"/>
        </w:rPr>
        <w:t>本合同的报价方式在项目专用合同条款中约定。合同价格是监理人按照合同约定完成施工准备阶段、施工阶段、验收与缺陷责任期阶段监理服务所需的全部费用，应按投标文件格式中报价清单的内容和格式填报。监理服务费用包括以下组成部分：</w:t>
      </w:r>
    </w:p>
    <w:p>
      <w:pPr>
        <w:pStyle w:val="32"/>
        <w:numPr>
          <w:ilvl w:val="0"/>
          <w:numId w:val="29"/>
        </w:numPr>
        <w:tabs>
          <w:tab w:val="left" w:pos="1417"/>
        </w:tabs>
        <w:spacing w:after="0" w:line="240" w:lineRule="auto"/>
        <w:ind w:hanging="554"/>
        <w:rPr>
          <w:color w:val="auto"/>
          <w:szCs w:val="21"/>
          <w:highlight w:val="none"/>
        </w:rPr>
      </w:pPr>
      <w:r>
        <w:rPr>
          <w:color w:val="auto"/>
          <w:spacing w:val="-3"/>
          <w:szCs w:val="21"/>
          <w:highlight w:val="none"/>
        </w:rPr>
        <w:t>监理人员服务费；</w:t>
      </w:r>
    </w:p>
    <w:p>
      <w:pPr>
        <w:pStyle w:val="32"/>
        <w:numPr>
          <w:ilvl w:val="0"/>
          <w:numId w:val="29"/>
        </w:numPr>
        <w:tabs>
          <w:tab w:val="left" w:pos="1417"/>
        </w:tabs>
        <w:spacing w:before="138" w:after="0" w:line="240" w:lineRule="auto"/>
        <w:ind w:hanging="554"/>
        <w:rPr>
          <w:color w:val="auto"/>
          <w:szCs w:val="21"/>
          <w:highlight w:val="none"/>
        </w:rPr>
      </w:pPr>
      <w:r>
        <w:rPr>
          <w:color w:val="auto"/>
          <w:spacing w:val="-3"/>
          <w:szCs w:val="21"/>
          <w:highlight w:val="none"/>
        </w:rPr>
        <w:t>监理办公设施费；</w:t>
      </w:r>
    </w:p>
    <w:p>
      <w:pPr>
        <w:pStyle w:val="32"/>
        <w:numPr>
          <w:ilvl w:val="0"/>
          <w:numId w:val="29"/>
        </w:numPr>
        <w:tabs>
          <w:tab w:val="left" w:pos="1417"/>
        </w:tabs>
        <w:spacing w:before="138" w:after="0" w:line="240" w:lineRule="auto"/>
        <w:ind w:hanging="554"/>
        <w:rPr>
          <w:color w:val="auto"/>
          <w:szCs w:val="21"/>
          <w:highlight w:val="none"/>
        </w:rPr>
      </w:pPr>
      <w:r>
        <w:rPr>
          <w:color w:val="auto"/>
          <w:spacing w:val="-3"/>
          <w:szCs w:val="21"/>
          <w:highlight w:val="none"/>
        </w:rPr>
        <w:t>监理交通设施费；</w:t>
      </w:r>
    </w:p>
    <w:p>
      <w:pPr>
        <w:pStyle w:val="32"/>
        <w:numPr>
          <w:ilvl w:val="0"/>
          <w:numId w:val="29"/>
        </w:numPr>
        <w:tabs>
          <w:tab w:val="left" w:pos="1417"/>
        </w:tabs>
        <w:spacing w:before="138" w:after="0" w:line="240" w:lineRule="auto"/>
        <w:ind w:hanging="554"/>
        <w:rPr>
          <w:color w:val="auto"/>
          <w:szCs w:val="21"/>
          <w:highlight w:val="none"/>
        </w:rPr>
      </w:pPr>
      <w:r>
        <w:rPr>
          <w:color w:val="auto"/>
          <w:spacing w:val="-3"/>
          <w:szCs w:val="21"/>
          <w:highlight w:val="none"/>
        </w:rPr>
        <w:t>监理试验设施费；</w:t>
      </w:r>
    </w:p>
    <w:p>
      <w:pPr>
        <w:pStyle w:val="32"/>
        <w:numPr>
          <w:ilvl w:val="0"/>
          <w:numId w:val="29"/>
        </w:numPr>
        <w:tabs>
          <w:tab w:val="left" w:pos="1417"/>
        </w:tabs>
        <w:spacing w:before="138" w:after="0" w:line="240" w:lineRule="auto"/>
        <w:ind w:hanging="554"/>
        <w:rPr>
          <w:color w:val="auto"/>
          <w:szCs w:val="21"/>
          <w:highlight w:val="none"/>
        </w:rPr>
      </w:pPr>
      <w:r>
        <w:rPr>
          <w:color w:val="auto"/>
          <w:spacing w:val="-3"/>
          <w:szCs w:val="21"/>
          <w:highlight w:val="none"/>
        </w:rPr>
        <w:t>监理生活设施费；</w:t>
      </w:r>
    </w:p>
    <w:p>
      <w:pPr>
        <w:pStyle w:val="32"/>
        <w:numPr>
          <w:ilvl w:val="0"/>
          <w:numId w:val="29"/>
        </w:numPr>
        <w:tabs>
          <w:tab w:val="left" w:pos="1417"/>
        </w:tabs>
        <w:spacing w:before="139" w:after="0" w:line="240" w:lineRule="auto"/>
        <w:ind w:hanging="554"/>
        <w:rPr>
          <w:color w:val="auto"/>
          <w:szCs w:val="21"/>
          <w:highlight w:val="none"/>
        </w:rPr>
      </w:pPr>
      <w:r>
        <w:rPr>
          <w:color w:val="auto"/>
          <w:spacing w:val="-2"/>
          <w:szCs w:val="21"/>
          <w:highlight w:val="none"/>
        </w:rPr>
        <w:t>利润。</w:t>
      </w:r>
    </w:p>
    <w:p>
      <w:pPr>
        <w:spacing w:before="138" w:line="357" w:lineRule="auto"/>
        <w:ind w:left="424" w:right="457" w:firstLine="439"/>
        <w:jc w:val="both"/>
        <w:rPr>
          <w:color w:val="auto"/>
          <w:szCs w:val="21"/>
          <w:highlight w:val="none"/>
        </w:rPr>
      </w:pPr>
      <w:r>
        <w:rPr>
          <w:color w:val="auto"/>
          <w:szCs w:val="21"/>
          <w:highlight w:val="none"/>
        </w:rPr>
        <w:t>除利润外，以上各项费用应分别按施工期（涵盖施工准备阶段和施工阶段）和缺陷责任期两个阶段填报，其中监理人员服务费应填报各级监理人员的人月单价及为完成监理服务所需要的总人月数量。各类监理人员的人月单价应包括监理人员履行监理服务时由于施工工艺的连续性导致不可避免的加班费用，在上述情况发生时，委托人将不考虑另行支付监理人员的加班费用。</w:t>
      </w:r>
    </w:p>
    <w:p>
      <w:pPr>
        <w:spacing w:line="357" w:lineRule="auto"/>
        <w:ind w:left="424" w:right="461" w:firstLine="439"/>
        <w:rPr>
          <w:color w:val="auto"/>
          <w:szCs w:val="21"/>
          <w:highlight w:val="none"/>
        </w:rPr>
      </w:pPr>
      <w:r>
        <w:rPr>
          <w:color w:val="auto"/>
          <w:szCs w:val="21"/>
          <w:highlight w:val="none"/>
        </w:rPr>
        <w:t>监理人因完成本项目施工监理服务需计取的企业管理费及需缴纳的一切税费均由监理人承担，并包含在所报的各项监理服务费用之内，委托人不单独支付。</w:t>
      </w:r>
    </w:p>
    <w:p>
      <w:pPr>
        <w:spacing w:line="357" w:lineRule="auto"/>
        <w:ind w:left="424" w:right="462" w:firstLine="439"/>
        <w:rPr>
          <w:color w:val="auto"/>
          <w:szCs w:val="21"/>
          <w:highlight w:val="none"/>
        </w:rPr>
      </w:pPr>
      <w:r>
        <w:rPr>
          <w:color w:val="auto"/>
          <w:szCs w:val="21"/>
          <w:highlight w:val="none"/>
        </w:rPr>
        <w:t xml:space="preserve">除本合同第 </w:t>
      </w:r>
      <w:r>
        <w:rPr>
          <w:rFonts w:ascii="Times New Roman" w:eastAsia="Times New Roman"/>
          <w:color w:val="auto"/>
          <w:szCs w:val="21"/>
          <w:highlight w:val="none"/>
        </w:rPr>
        <w:t xml:space="preserve">8 </w:t>
      </w:r>
      <w:r>
        <w:rPr>
          <w:color w:val="auto"/>
          <w:szCs w:val="21"/>
          <w:highlight w:val="none"/>
        </w:rPr>
        <w:t>条约定的变更情形和项目专用合同条款约定的其他情形外，本监理合同的监理服务费用在合同实施期间一律不予调整。</w:t>
      </w:r>
    </w:p>
    <w:p>
      <w:pPr>
        <w:spacing w:line="357" w:lineRule="auto"/>
        <w:ind w:left="424" w:right="457" w:firstLine="439"/>
        <w:jc w:val="both"/>
        <w:rPr>
          <w:color w:val="auto"/>
          <w:szCs w:val="21"/>
          <w:highlight w:val="none"/>
        </w:rPr>
      </w:pPr>
      <w:r>
        <w:rPr>
          <w:color w:val="auto"/>
          <w:szCs w:val="21"/>
          <w:highlight w:val="none"/>
        </w:rPr>
        <w:t>除项目专用合同条款另有约定外，因工程提前完成导致监理服务期限缩短，且在监理人已履行本合同规定义务的情况下，委托人不能以监理人提前完成监理为由而减少监理报酬。</w:t>
      </w:r>
    </w:p>
    <w:p>
      <w:pPr>
        <w:numPr>
          <w:ilvl w:val="1"/>
          <w:numId w:val="12"/>
        </w:numPr>
        <w:tabs>
          <w:tab w:val="left" w:pos="914"/>
        </w:tabs>
        <w:spacing w:line="316" w:lineRule="exact"/>
        <w:rPr>
          <w:rFonts w:ascii="黑体" w:eastAsia="黑体"/>
          <w:b/>
          <w:color w:val="auto"/>
          <w:szCs w:val="21"/>
          <w:highlight w:val="none"/>
        </w:rPr>
      </w:pPr>
      <w:r>
        <w:rPr>
          <w:rFonts w:hint="eastAsia" w:ascii="黑体" w:eastAsia="黑体"/>
          <w:b/>
          <w:color w:val="auto"/>
          <w:szCs w:val="21"/>
          <w:highlight w:val="none"/>
        </w:rPr>
        <w:t>预付款</w:t>
      </w:r>
    </w:p>
    <w:p>
      <w:pPr>
        <w:spacing w:before="124"/>
        <w:ind w:left="863"/>
        <w:rPr>
          <w:color w:val="auto"/>
          <w:szCs w:val="21"/>
          <w:highlight w:val="none"/>
        </w:rPr>
      </w:pPr>
      <w:r>
        <w:rPr>
          <w:color w:val="auto"/>
          <w:szCs w:val="21"/>
          <w:highlight w:val="none"/>
        </w:rPr>
        <w:t>本款细化为：</w:t>
      </w:r>
    </w:p>
    <w:p>
      <w:pPr>
        <w:spacing w:before="139"/>
        <w:ind w:left="863"/>
        <w:rPr>
          <w:color w:val="auto"/>
          <w:szCs w:val="21"/>
          <w:highlight w:val="none"/>
        </w:rPr>
      </w:pPr>
      <w:r>
        <w:rPr>
          <w:color w:val="auto"/>
          <w:spacing w:val="-4"/>
          <w:szCs w:val="21"/>
          <w:highlight w:val="none"/>
        </w:rPr>
        <w:t xml:space="preserve">为使监理服务能够及时开展，委托人应在监理合同签订后 </w:t>
      </w:r>
      <w:r>
        <w:rPr>
          <w:rFonts w:ascii="Times New Roman" w:eastAsia="Times New Roman"/>
          <w:color w:val="auto"/>
          <w:szCs w:val="21"/>
          <w:highlight w:val="none"/>
        </w:rPr>
        <w:t>7</w:t>
      </w:r>
      <w:r>
        <w:rPr>
          <w:rFonts w:ascii="Times New Roman" w:eastAsia="Times New Roman"/>
          <w:color w:val="auto"/>
          <w:spacing w:val="52"/>
          <w:szCs w:val="21"/>
          <w:highlight w:val="none"/>
        </w:rPr>
        <w:t xml:space="preserve"> </w:t>
      </w:r>
      <w:r>
        <w:rPr>
          <w:color w:val="auto"/>
          <w:spacing w:val="-3"/>
          <w:szCs w:val="21"/>
          <w:highlight w:val="none"/>
        </w:rPr>
        <w:t>天内按监理服务费总额的</w:t>
      </w:r>
    </w:p>
    <w:p>
      <w:pPr>
        <w:spacing w:before="138"/>
        <w:ind w:left="424"/>
        <w:rPr>
          <w:color w:val="auto"/>
          <w:szCs w:val="21"/>
          <w:highlight w:val="none"/>
        </w:rPr>
      </w:pPr>
      <w:r>
        <w:rPr>
          <w:rFonts w:ascii="Times New Roman" w:eastAsia="Times New Roman"/>
          <w:color w:val="auto"/>
          <w:szCs w:val="21"/>
          <w:highlight w:val="none"/>
        </w:rPr>
        <w:t>10%</w:t>
      </w:r>
      <w:r>
        <w:rPr>
          <w:color w:val="auto"/>
          <w:szCs w:val="21"/>
          <w:highlight w:val="none"/>
        </w:rPr>
        <w:t>向监理人支付预付款，项目专用合同条款另有约定的除外。</w:t>
      </w:r>
    </w:p>
    <w:p>
      <w:pPr>
        <w:spacing w:before="138" w:line="357" w:lineRule="auto"/>
        <w:ind w:left="424" w:right="463" w:firstLine="439"/>
        <w:rPr>
          <w:color w:val="auto"/>
          <w:szCs w:val="21"/>
          <w:highlight w:val="none"/>
        </w:rPr>
      </w:pPr>
      <w:r>
        <w:rPr>
          <w:color w:val="auto"/>
          <w:szCs w:val="21"/>
          <w:highlight w:val="none"/>
        </w:rPr>
        <w:t xml:space="preserve">预付款在施工阶段监理服务费支付的累计金额达到签约合同价的 </w:t>
      </w:r>
      <w:r>
        <w:rPr>
          <w:rFonts w:ascii="Times New Roman" w:eastAsia="Times New Roman"/>
          <w:color w:val="auto"/>
          <w:szCs w:val="21"/>
          <w:highlight w:val="none"/>
        </w:rPr>
        <w:t>30%</w:t>
      </w:r>
      <w:r>
        <w:rPr>
          <w:color w:val="auto"/>
          <w:szCs w:val="21"/>
          <w:highlight w:val="none"/>
        </w:rPr>
        <w:t xml:space="preserve">时开始抵扣，全部预付款应在施工阶段监理服务费累计支付到签约合同价的 </w:t>
      </w:r>
      <w:r>
        <w:rPr>
          <w:rFonts w:ascii="Times New Roman" w:eastAsia="Times New Roman"/>
          <w:color w:val="auto"/>
          <w:szCs w:val="21"/>
          <w:highlight w:val="none"/>
        </w:rPr>
        <w:t>80%</w:t>
      </w:r>
      <w:r>
        <w:rPr>
          <w:color w:val="auto"/>
          <w:szCs w:val="21"/>
          <w:highlight w:val="none"/>
        </w:rPr>
        <w:t>时扣完。</w:t>
      </w:r>
    </w:p>
    <w:p>
      <w:pPr>
        <w:spacing w:line="357" w:lineRule="auto"/>
        <w:ind w:left="424" w:right="457" w:firstLine="439"/>
        <w:rPr>
          <w:color w:val="auto"/>
          <w:szCs w:val="21"/>
          <w:highlight w:val="none"/>
        </w:rPr>
      </w:pPr>
      <w:r>
        <w:rPr>
          <w:color w:val="auto"/>
          <w:szCs w:val="21"/>
          <w:highlight w:val="none"/>
        </w:rPr>
        <w:t>预付款应专用于本工程的监理。监理人无须向委托人提交预付款保函，但监理人提交的履约保证金对预付款的正常使用承担保证责任。</w:t>
      </w:r>
    </w:p>
    <w:p>
      <w:pPr>
        <w:numPr>
          <w:ilvl w:val="1"/>
          <w:numId w:val="12"/>
        </w:numPr>
        <w:tabs>
          <w:tab w:val="left" w:pos="914"/>
        </w:tabs>
        <w:spacing w:line="316" w:lineRule="exact"/>
        <w:rPr>
          <w:rFonts w:ascii="黑体" w:eastAsia="黑体"/>
          <w:b/>
          <w:color w:val="auto"/>
          <w:szCs w:val="21"/>
          <w:highlight w:val="none"/>
        </w:rPr>
      </w:pPr>
      <w:r>
        <w:rPr>
          <w:rFonts w:hint="eastAsia" w:ascii="黑体" w:eastAsia="黑体"/>
          <w:b/>
          <w:color w:val="auto"/>
          <w:szCs w:val="21"/>
          <w:highlight w:val="none"/>
        </w:rPr>
        <w:t>中期支付</w:t>
      </w:r>
    </w:p>
    <w:p>
      <w:pPr>
        <w:spacing w:before="124"/>
        <w:ind w:left="863"/>
        <w:rPr>
          <w:color w:val="auto"/>
          <w:szCs w:val="21"/>
          <w:highlight w:val="none"/>
        </w:rPr>
      </w:pPr>
      <w:r>
        <w:rPr>
          <w:color w:val="auto"/>
          <w:szCs w:val="21"/>
          <w:highlight w:val="none"/>
        </w:rPr>
        <w:t>本款细化为：</w:t>
      </w:r>
    </w:p>
    <w:p>
      <w:pPr>
        <w:pStyle w:val="32"/>
        <w:numPr>
          <w:ilvl w:val="2"/>
          <w:numId w:val="12"/>
        </w:numPr>
        <w:tabs>
          <w:tab w:val="left" w:pos="1421"/>
        </w:tabs>
        <w:spacing w:before="138" w:after="0" w:line="357" w:lineRule="auto"/>
        <w:ind w:left="424" w:right="353" w:firstLine="439"/>
        <w:rPr>
          <w:color w:val="auto"/>
          <w:szCs w:val="21"/>
          <w:highlight w:val="none"/>
        </w:rPr>
      </w:pPr>
      <w:r>
        <w:rPr>
          <w:color w:val="auto"/>
          <w:spacing w:val="3"/>
          <w:szCs w:val="21"/>
          <w:highlight w:val="none"/>
        </w:rPr>
        <w:t>监理人应在各月末向委托人提交由总监理工程师签署的按委托人批准格式填写</w:t>
      </w:r>
      <w:r>
        <w:rPr>
          <w:color w:val="auto"/>
          <w:spacing w:val="-5"/>
          <w:szCs w:val="21"/>
          <w:highlight w:val="none"/>
        </w:rPr>
        <w:t>的监理服务费付款申请单一式三份，该付款申请单包括以下栏目，监理人应逐项填写清楚：</w:t>
      </w:r>
    </w:p>
    <w:p>
      <w:pPr>
        <w:pStyle w:val="32"/>
        <w:numPr>
          <w:ilvl w:val="0"/>
          <w:numId w:val="30"/>
        </w:numPr>
        <w:tabs>
          <w:tab w:val="left" w:pos="1417"/>
        </w:tabs>
        <w:spacing w:before="77" w:after="0" w:line="240" w:lineRule="auto"/>
        <w:ind w:hanging="554"/>
        <w:rPr>
          <w:color w:val="auto"/>
          <w:szCs w:val="21"/>
          <w:highlight w:val="none"/>
        </w:rPr>
      </w:pPr>
      <w:r>
        <w:rPr>
          <w:color w:val="auto"/>
          <w:spacing w:val="-3"/>
          <w:szCs w:val="21"/>
          <w:highlight w:val="none"/>
        </w:rPr>
        <w:t>本月应向监理人支付的</w:t>
      </w:r>
      <w:r>
        <w:rPr>
          <w:color w:val="auto"/>
          <w:szCs w:val="21"/>
          <w:highlight w:val="none"/>
        </w:rPr>
        <w:t>（</w:t>
      </w:r>
      <w:r>
        <w:rPr>
          <w:color w:val="auto"/>
          <w:spacing w:val="-2"/>
          <w:szCs w:val="21"/>
          <w:highlight w:val="none"/>
        </w:rPr>
        <w:t>结算的</w:t>
      </w:r>
      <w:r>
        <w:rPr>
          <w:color w:val="auto"/>
          <w:spacing w:val="-3"/>
          <w:szCs w:val="21"/>
          <w:highlight w:val="none"/>
        </w:rPr>
        <w:t>）</w:t>
      </w:r>
      <w:r>
        <w:rPr>
          <w:color w:val="auto"/>
          <w:spacing w:val="-2"/>
          <w:szCs w:val="21"/>
          <w:highlight w:val="none"/>
        </w:rPr>
        <w:t>监理服务费用；</w:t>
      </w:r>
    </w:p>
    <w:p>
      <w:pPr>
        <w:pStyle w:val="32"/>
        <w:numPr>
          <w:ilvl w:val="0"/>
          <w:numId w:val="30"/>
        </w:numPr>
        <w:tabs>
          <w:tab w:val="left" w:pos="1417"/>
        </w:tabs>
        <w:spacing w:before="138" w:after="0" w:line="240" w:lineRule="auto"/>
        <w:ind w:hanging="554"/>
        <w:rPr>
          <w:color w:val="auto"/>
          <w:szCs w:val="21"/>
          <w:highlight w:val="none"/>
        </w:rPr>
      </w:pPr>
      <w:r>
        <w:rPr>
          <w:color w:val="auto"/>
          <w:spacing w:val="-3"/>
          <w:szCs w:val="21"/>
          <w:highlight w:val="none"/>
        </w:rPr>
        <w:t>本月应支付的监理服务变更费用；</w:t>
      </w:r>
    </w:p>
    <w:p>
      <w:pPr>
        <w:pStyle w:val="32"/>
        <w:numPr>
          <w:ilvl w:val="0"/>
          <w:numId w:val="30"/>
        </w:numPr>
        <w:tabs>
          <w:tab w:val="left" w:pos="1417"/>
        </w:tabs>
        <w:spacing w:before="138" w:after="0" w:line="240" w:lineRule="auto"/>
        <w:ind w:hanging="554"/>
        <w:rPr>
          <w:color w:val="auto"/>
          <w:szCs w:val="21"/>
          <w:highlight w:val="none"/>
        </w:rPr>
      </w:pPr>
      <w:r>
        <w:rPr>
          <w:color w:val="auto"/>
          <w:spacing w:val="-3"/>
          <w:szCs w:val="21"/>
          <w:highlight w:val="none"/>
        </w:rPr>
        <w:t>本月应支付的预付款；</w:t>
      </w:r>
    </w:p>
    <w:p>
      <w:pPr>
        <w:pStyle w:val="32"/>
        <w:numPr>
          <w:ilvl w:val="0"/>
          <w:numId w:val="30"/>
        </w:numPr>
        <w:tabs>
          <w:tab w:val="left" w:pos="1417"/>
        </w:tabs>
        <w:spacing w:before="138" w:after="0" w:line="240" w:lineRule="auto"/>
        <w:ind w:hanging="554"/>
        <w:rPr>
          <w:color w:val="auto"/>
          <w:szCs w:val="21"/>
          <w:highlight w:val="none"/>
        </w:rPr>
      </w:pPr>
      <w:r>
        <w:rPr>
          <w:color w:val="auto"/>
          <w:spacing w:val="-3"/>
          <w:szCs w:val="21"/>
          <w:highlight w:val="none"/>
        </w:rPr>
        <w:t>根据合同规定，本月应结算的其他款项；</w:t>
      </w:r>
    </w:p>
    <w:p>
      <w:pPr>
        <w:pStyle w:val="32"/>
        <w:numPr>
          <w:ilvl w:val="0"/>
          <w:numId w:val="30"/>
        </w:numPr>
        <w:tabs>
          <w:tab w:val="left" w:pos="1417"/>
        </w:tabs>
        <w:spacing w:before="138" w:after="0" w:line="240" w:lineRule="auto"/>
        <w:ind w:hanging="554"/>
        <w:rPr>
          <w:color w:val="auto"/>
          <w:szCs w:val="21"/>
          <w:highlight w:val="none"/>
        </w:rPr>
      </w:pPr>
      <w:r>
        <w:rPr>
          <w:color w:val="auto"/>
          <w:spacing w:val="-3"/>
          <w:szCs w:val="21"/>
          <w:highlight w:val="none"/>
        </w:rPr>
        <w:t>本月应扣回的预付款；</w:t>
      </w:r>
    </w:p>
    <w:p>
      <w:pPr>
        <w:pStyle w:val="32"/>
        <w:numPr>
          <w:ilvl w:val="0"/>
          <w:numId w:val="30"/>
        </w:numPr>
        <w:tabs>
          <w:tab w:val="left" w:pos="1417"/>
        </w:tabs>
        <w:spacing w:before="138" w:after="0" w:line="240" w:lineRule="auto"/>
        <w:ind w:hanging="554"/>
        <w:rPr>
          <w:color w:val="auto"/>
          <w:szCs w:val="21"/>
          <w:highlight w:val="none"/>
        </w:rPr>
      </w:pPr>
      <w:r>
        <w:rPr>
          <w:color w:val="auto"/>
          <w:spacing w:val="-3"/>
          <w:szCs w:val="21"/>
          <w:highlight w:val="none"/>
        </w:rPr>
        <w:t>根据合同规定，本月应扣除的其他款项。</w:t>
      </w:r>
    </w:p>
    <w:p>
      <w:pPr>
        <w:pStyle w:val="32"/>
        <w:numPr>
          <w:ilvl w:val="2"/>
          <w:numId w:val="12"/>
        </w:numPr>
        <w:tabs>
          <w:tab w:val="left" w:pos="1416"/>
        </w:tabs>
        <w:spacing w:before="138" w:after="0" w:line="357" w:lineRule="auto"/>
        <w:ind w:left="424" w:right="463" w:firstLine="439"/>
        <w:jc w:val="both"/>
        <w:rPr>
          <w:color w:val="auto"/>
          <w:szCs w:val="21"/>
          <w:highlight w:val="none"/>
        </w:rPr>
      </w:pPr>
      <w:r>
        <w:rPr>
          <w:color w:val="auto"/>
          <w:spacing w:val="-3"/>
          <w:szCs w:val="21"/>
          <w:highlight w:val="none"/>
        </w:rPr>
        <w:t xml:space="preserve">委托人将在收到监理人提交的监理服务费付款申请单后 </w:t>
      </w:r>
      <w:r>
        <w:rPr>
          <w:rFonts w:ascii="Times New Roman" w:eastAsia="Times New Roman"/>
          <w:color w:val="auto"/>
          <w:szCs w:val="21"/>
          <w:highlight w:val="none"/>
        </w:rPr>
        <w:t>28</w:t>
      </w:r>
      <w:r>
        <w:rPr>
          <w:rFonts w:ascii="Times New Roman" w:eastAsia="Times New Roman"/>
          <w:color w:val="auto"/>
          <w:spacing w:val="3"/>
          <w:szCs w:val="21"/>
          <w:highlight w:val="none"/>
        </w:rPr>
        <w:t xml:space="preserve"> </w:t>
      </w:r>
      <w:r>
        <w:rPr>
          <w:color w:val="auto"/>
          <w:spacing w:val="-3"/>
          <w:szCs w:val="21"/>
          <w:highlight w:val="none"/>
        </w:rPr>
        <w:t>天内进行核实并予以支付。除项目专用合同条款另有约定外，支付原则如下：</w:t>
      </w:r>
    </w:p>
    <w:p>
      <w:pPr>
        <w:pStyle w:val="32"/>
        <w:numPr>
          <w:ilvl w:val="0"/>
          <w:numId w:val="31"/>
        </w:numPr>
        <w:tabs>
          <w:tab w:val="left" w:pos="1417"/>
        </w:tabs>
        <w:spacing w:before="1" w:after="0" w:line="357" w:lineRule="auto"/>
        <w:ind w:right="464" w:firstLine="439"/>
        <w:jc w:val="both"/>
        <w:rPr>
          <w:color w:val="auto"/>
          <w:szCs w:val="21"/>
          <w:highlight w:val="none"/>
        </w:rPr>
      </w:pPr>
      <w:r>
        <w:rPr>
          <w:color w:val="auto"/>
          <w:spacing w:val="-3"/>
          <w:szCs w:val="21"/>
          <w:highlight w:val="none"/>
        </w:rPr>
        <w:t>施工期间的监理人员服务费根据各级监理人员的人月单价及本月实际完成的监 理服务时间计算并支付（各岗位监理人员的人月数以监理人记录并经委托人签字确认的监理人员出勤情况为依据</w:t>
      </w:r>
      <w:r>
        <w:rPr>
          <w:color w:val="auto"/>
          <w:spacing w:val="-113"/>
          <w:szCs w:val="21"/>
          <w:highlight w:val="none"/>
        </w:rPr>
        <w:t>）</w:t>
      </w:r>
      <w:r>
        <w:rPr>
          <w:color w:val="auto"/>
          <w:spacing w:val="-5"/>
          <w:szCs w:val="21"/>
          <w:highlight w:val="none"/>
        </w:rPr>
        <w:t>。本项目各月累计支付的监理人员服务费总额不得超过监理人在监</w:t>
      </w:r>
      <w:r>
        <w:rPr>
          <w:color w:val="auto"/>
          <w:spacing w:val="-3"/>
          <w:szCs w:val="21"/>
          <w:highlight w:val="none"/>
        </w:rPr>
        <w:t>理服务费报价清单中填报的施工期监理人员服务费合计金额，超过部分委托人将不再予以支付。</w:t>
      </w:r>
      <w:r>
        <w:rPr>
          <w:color w:val="auto"/>
          <w:position w:val="10"/>
          <w:szCs w:val="21"/>
          <w:highlight w:val="none"/>
        </w:rPr>
        <w:t>①</w:t>
      </w:r>
    </w:p>
    <w:p>
      <w:pPr>
        <w:pStyle w:val="32"/>
        <w:numPr>
          <w:ilvl w:val="0"/>
          <w:numId w:val="31"/>
        </w:numPr>
        <w:tabs>
          <w:tab w:val="left" w:pos="1417"/>
        </w:tabs>
        <w:spacing w:after="0" w:line="357" w:lineRule="auto"/>
        <w:ind w:right="462" w:firstLine="439"/>
        <w:jc w:val="both"/>
        <w:rPr>
          <w:color w:val="auto"/>
          <w:szCs w:val="21"/>
          <w:highlight w:val="none"/>
        </w:rPr>
      </w:pPr>
      <w:r>
        <w:rPr>
          <w:color w:val="auto"/>
          <w:spacing w:val="-5"/>
          <w:szCs w:val="21"/>
          <w:highlight w:val="none"/>
        </w:rPr>
        <w:t>施工期间的监理办公设施费、交通设施费、试验设施费及生活设施费由监理人包干使用，上述四项设施费的报价总额按月度等额支付给监理人。监理人必须保证实际投入本项目的办公设施、交通设施、试验设施及生活设施能满足本招标文件的要求和实际工作</w:t>
      </w:r>
      <w:r>
        <w:rPr>
          <w:color w:val="auto"/>
          <w:spacing w:val="-4"/>
          <w:szCs w:val="21"/>
          <w:highlight w:val="none"/>
        </w:rPr>
        <w:t xml:space="preserve">的需要，且不低于监理人投标文件中所列设施，否则委托人将根据本合同第 </w:t>
      </w:r>
      <w:r>
        <w:rPr>
          <w:rFonts w:ascii="Times New Roman" w:eastAsia="Times New Roman"/>
          <w:color w:val="auto"/>
          <w:szCs w:val="21"/>
          <w:highlight w:val="none"/>
        </w:rPr>
        <w:t>11.1.2</w:t>
      </w:r>
      <w:r>
        <w:rPr>
          <w:rFonts w:ascii="Times New Roman" w:eastAsia="Times New Roman"/>
          <w:color w:val="auto"/>
          <w:spacing w:val="6"/>
          <w:szCs w:val="21"/>
          <w:highlight w:val="none"/>
        </w:rPr>
        <w:t xml:space="preserve"> </w:t>
      </w:r>
      <w:r>
        <w:rPr>
          <w:color w:val="auto"/>
          <w:spacing w:val="-2"/>
          <w:szCs w:val="21"/>
          <w:highlight w:val="none"/>
        </w:rPr>
        <w:t>项的规</w:t>
      </w:r>
      <w:r>
        <w:rPr>
          <w:color w:val="auto"/>
          <w:spacing w:val="-3"/>
          <w:szCs w:val="21"/>
          <w:highlight w:val="none"/>
        </w:rPr>
        <w:t>定从其报价总额中扣除违约赔偿金。</w:t>
      </w:r>
    </w:p>
    <w:p>
      <w:pPr>
        <w:pStyle w:val="32"/>
        <w:numPr>
          <w:ilvl w:val="0"/>
          <w:numId w:val="31"/>
        </w:numPr>
        <w:tabs>
          <w:tab w:val="left" w:pos="1417"/>
        </w:tabs>
        <w:spacing w:after="0" w:line="357" w:lineRule="auto"/>
        <w:ind w:right="464" w:firstLine="439"/>
        <w:rPr>
          <w:color w:val="auto"/>
          <w:szCs w:val="21"/>
          <w:highlight w:val="none"/>
        </w:rPr>
      </w:pPr>
      <w:r>
        <w:rPr>
          <w:color w:val="auto"/>
          <w:spacing w:val="-7"/>
          <w:szCs w:val="21"/>
          <w:highlight w:val="none"/>
        </w:rPr>
        <w:t>缺陷责任期内的监理人员服务费、监理办公设施费、交通设施费、试验设施费及</w:t>
      </w:r>
      <w:r>
        <w:rPr>
          <w:color w:val="auto"/>
          <w:spacing w:val="-3"/>
          <w:szCs w:val="21"/>
          <w:highlight w:val="none"/>
        </w:rPr>
        <w:t>生活设施费将在本项目的缺陷责任期开始后，分四次等额支付给监理人。</w:t>
      </w:r>
    </w:p>
    <w:p>
      <w:pPr>
        <w:pStyle w:val="32"/>
        <w:numPr>
          <w:ilvl w:val="0"/>
          <w:numId w:val="31"/>
        </w:numPr>
        <w:tabs>
          <w:tab w:val="left" w:pos="1417"/>
        </w:tabs>
        <w:spacing w:after="0" w:line="357" w:lineRule="auto"/>
        <w:ind w:right="463" w:firstLine="439"/>
        <w:rPr>
          <w:color w:val="auto"/>
          <w:szCs w:val="21"/>
          <w:highlight w:val="none"/>
        </w:rPr>
      </w:pPr>
      <w:r>
        <w:rPr>
          <w:color w:val="auto"/>
          <w:spacing w:val="-4"/>
          <w:szCs w:val="21"/>
          <w:highlight w:val="none"/>
        </w:rPr>
        <w:t>监理服务变更费用经双方协商确认后，在监理服务所对应工作期限内按月平均支付或按双方所签订补充协议约定的支付方式进行支付。</w:t>
      </w:r>
    </w:p>
    <w:p>
      <w:pPr>
        <w:pStyle w:val="32"/>
        <w:numPr>
          <w:ilvl w:val="0"/>
          <w:numId w:val="31"/>
        </w:numPr>
        <w:tabs>
          <w:tab w:val="left" w:pos="1417"/>
        </w:tabs>
        <w:spacing w:before="1" w:after="0" w:line="357" w:lineRule="auto"/>
        <w:ind w:right="463" w:firstLine="439"/>
        <w:rPr>
          <w:color w:val="auto"/>
          <w:szCs w:val="21"/>
          <w:highlight w:val="none"/>
        </w:rPr>
      </w:pPr>
      <w:r>
        <w:rPr>
          <w:color w:val="auto"/>
          <w:spacing w:val="-3"/>
          <w:szCs w:val="21"/>
          <w:highlight w:val="none"/>
        </w:rPr>
        <w:t xml:space="preserve">根据合同条款第 </w:t>
      </w:r>
      <w:r>
        <w:rPr>
          <w:rFonts w:ascii="Times New Roman" w:eastAsia="Times New Roman"/>
          <w:color w:val="auto"/>
          <w:szCs w:val="21"/>
          <w:highlight w:val="none"/>
        </w:rPr>
        <w:t>8.2.2</w:t>
      </w:r>
      <w:r>
        <w:rPr>
          <w:rFonts w:ascii="Times New Roman" w:eastAsia="Times New Roman"/>
          <w:color w:val="auto"/>
          <w:spacing w:val="4"/>
          <w:szCs w:val="21"/>
          <w:highlight w:val="none"/>
        </w:rPr>
        <w:t xml:space="preserve"> </w:t>
      </w:r>
      <w:r>
        <w:rPr>
          <w:color w:val="auto"/>
          <w:spacing w:val="-3"/>
          <w:szCs w:val="21"/>
          <w:highlight w:val="none"/>
        </w:rPr>
        <w:t>项约定对监理人的奖励，委托人应于对监理人的当期支付费用中一次性支付；</w:t>
      </w:r>
    </w:p>
    <w:p>
      <w:pPr>
        <w:pStyle w:val="32"/>
        <w:numPr>
          <w:ilvl w:val="0"/>
          <w:numId w:val="31"/>
        </w:numPr>
        <w:tabs>
          <w:tab w:val="left" w:pos="1417"/>
        </w:tabs>
        <w:spacing w:after="0" w:line="357" w:lineRule="auto"/>
        <w:ind w:right="353" w:firstLine="439"/>
        <w:rPr>
          <w:color w:val="auto"/>
          <w:szCs w:val="21"/>
          <w:highlight w:val="none"/>
        </w:rPr>
      </w:pPr>
      <w:r>
        <w:rPr>
          <w:color w:val="auto"/>
          <w:spacing w:val="-9"/>
          <w:szCs w:val="21"/>
          <w:highlight w:val="none"/>
        </w:rPr>
        <w:t xml:space="preserve">根据合同条款第 </w:t>
      </w:r>
      <w:r>
        <w:rPr>
          <w:rFonts w:ascii="Times New Roman" w:eastAsia="Times New Roman"/>
          <w:color w:val="auto"/>
          <w:spacing w:val="-3"/>
          <w:szCs w:val="21"/>
          <w:highlight w:val="none"/>
        </w:rPr>
        <w:t>11.1</w:t>
      </w:r>
      <w:r>
        <w:rPr>
          <w:rFonts w:ascii="Times New Roman" w:eastAsia="Times New Roman"/>
          <w:color w:val="auto"/>
          <w:spacing w:val="8"/>
          <w:szCs w:val="21"/>
          <w:highlight w:val="none"/>
        </w:rPr>
        <w:t xml:space="preserve"> </w:t>
      </w:r>
      <w:r>
        <w:rPr>
          <w:color w:val="auto"/>
          <w:spacing w:val="-5"/>
          <w:szCs w:val="21"/>
          <w:highlight w:val="none"/>
        </w:rPr>
        <w:t xml:space="preserve">款确定的监理人对委托人的违约赔偿金，由委托人从对监理人的当期监理服务费计量支付报表中予以核减；当期监理服务费不足以抵扣违约赔偿金时， </w:t>
      </w:r>
      <w:r>
        <w:rPr>
          <w:color w:val="auto"/>
          <w:spacing w:val="-4"/>
          <w:szCs w:val="21"/>
          <w:highlight w:val="none"/>
        </w:rPr>
        <w:t>则从后续监理服务费计量支付报表或履约保证金中扣回；</w:t>
      </w:r>
    </w:p>
    <w:p>
      <w:pPr>
        <w:pStyle w:val="32"/>
        <w:numPr>
          <w:ilvl w:val="0"/>
          <w:numId w:val="31"/>
        </w:numPr>
        <w:tabs>
          <w:tab w:val="left" w:pos="1417"/>
        </w:tabs>
        <w:spacing w:after="0" w:line="357" w:lineRule="auto"/>
        <w:ind w:right="461" w:firstLine="439"/>
        <w:rPr>
          <w:color w:val="auto"/>
          <w:szCs w:val="21"/>
          <w:highlight w:val="none"/>
        </w:rPr>
        <w:sectPr>
          <w:pgSz w:w="11910" w:h="16850"/>
          <w:pgMar w:top="1460" w:right="1120" w:bottom="1280" w:left="1220" w:header="882" w:footer="1093" w:gutter="0"/>
          <w:cols w:space="720" w:num="1"/>
        </w:sectPr>
      </w:pPr>
      <w:r>
        <w:rPr>
          <w:color w:val="auto"/>
          <w:spacing w:val="-8"/>
          <w:szCs w:val="21"/>
          <w:highlight w:val="none"/>
        </w:rPr>
        <w:t xml:space="preserve">根据通用合同条款第 </w:t>
      </w:r>
      <w:r>
        <w:rPr>
          <w:rFonts w:ascii="Times New Roman" w:eastAsia="Times New Roman"/>
          <w:color w:val="auto"/>
          <w:szCs w:val="21"/>
          <w:highlight w:val="none"/>
        </w:rPr>
        <w:t xml:space="preserve">11.2 </w:t>
      </w:r>
      <w:r>
        <w:rPr>
          <w:color w:val="auto"/>
          <w:spacing w:val="-5"/>
          <w:szCs w:val="21"/>
          <w:highlight w:val="none"/>
        </w:rPr>
        <w:t>款确定的委托人对监理人的赔偿金，应由委托人与监理人协商确定后在对监理人当期支付费用中一次性支付。</w:t>
      </w:r>
    </w:p>
    <w:p>
      <w:pPr>
        <w:pStyle w:val="9"/>
        <w:spacing w:before="1"/>
        <w:jc w:val="both"/>
        <w:rPr>
          <w:color w:val="auto"/>
          <w:sz w:val="21"/>
          <w:szCs w:val="21"/>
          <w:highlight w:val="none"/>
        </w:rPr>
      </w:pPr>
    </w:p>
    <w:p>
      <w:pPr>
        <w:pStyle w:val="32"/>
        <w:numPr>
          <w:ilvl w:val="2"/>
          <w:numId w:val="12"/>
        </w:numPr>
        <w:tabs>
          <w:tab w:val="left" w:pos="1421"/>
        </w:tabs>
        <w:spacing w:before="77" w:after="0" w:line="357" w:lineRule="auto"/>
        <w:ind w:left="424" w:right="466" w:firstLine="439"/>
        <w:jc w:val="both"/>
        <w:rPr>
          <w:color w:val="auto"/>
          <w:szCs w:val="21"/>
          <w:highlight w:val="none"/>
        </w:rPr>
      </w:pPr>
      <w:r>
        <w:rPr>
          <w:color w:val="auto"/>
          <w:spacing w:val="3"/>
          <w:szCs w:val="21"/>
          <w:highlight w:val="none"/>
        </w:rPr>
        <w:t>委托人在收到监理人提交的书面支付申请且监理人提交了合格的增值税专用发</w:t>
      </w:r>
      <w:r>
        <w:rPr>
          <w:color w:val="auto"/>
          <w:spacing w:val="2"/>
          <w:szCs w:val="21"/>
          <w:highlight w:val="none"/>
        </w:rPr>
        <w:t>票后，应按上述条款约定的支付期限内支付监理服务费用。委托人未能在前述时间内完成</w:t>
      </w:r>
      <w:r>
        <w:rPr>
          <w:color w:val="auto"/>
          <w:spacing w:val="-1"/>
          <w:szCs w:val="21"/>
          <w:highlight w:val="none"/>
        </w:rPr>
        <w:t xml:space="preserve">审批或不予答复的，视为委托人同意中期支付申请。委托人未按期支付到期应付的款项， 应承担违约责任，并支付逾期付款违约金，逾期付款的违约金以到期应付而未付的款项， </w:t>
      </w:r>
      <w:r>
        <w:rPr>
          <w:color w:val="auto"/>
          <w:spacing w:val="-3"/>
          <w:szCs w:val="21"/>
          <w:highlight w:val="none"/>
        </w:rPr>
        <w:t>按照银行同期贷款利率加手续费计算相应的利息，时间自未付款项的应付之日起算。</w:t>
      </w:r>
    </w:p>
    <w:p>
      <w:pPr>
        <w:pStyle w:val="32"/>
        <w:numPr>
          <w:ilvl w:val="2"/>
          <w:numId w:val="12"/>
        </w:numPr>
        <w:tabs>
          <w:tab w:val="left" w:pos="1416"/>
        </w:tabs>
        <w:spacing w:after="0" w:line="357" w:lineRule="auto"/>
        <w:ind w:left="424" w:right="463" w:firstLine="439"/>
        <w:jc w:val="both"/>
        <w:rPr>
          <w:color w:val="auto"/>
          <w:szCs w:val="21"/>
          <w:highlight w:val="none"/>
        </w:rPr>
      </w:pPr>
      <w:r>
        <w:rPr>
          <w:color w:val="auto"/>
          <w:spacing w:val="-4"/>
          <w:szCs w:val="21"/>
          <w:highlight w:val="none"/>
        </w:rPr>
        <w:t>委托人对监理人要求支付的款项中的任何部分有异议的，应在收到监理人提交的</w:t>
      </w:r>
      <w:r>
        <w:rPr>
          <w:color w:val="auto"/>
          <w:spacing w:val="-3"/>
          <w:szCs w:val="21"/>
          <w:highlight w:val="none"/>
        </w:rPr>
        <w:t xml:space="preserve">书面支付申请 </w:t>
      </w:r>
      <w:r>
        <w:rPr>
          <w:rFonts w:ascii="Times New Roman" w:eastAsia="Times New Roman"/>
          <w:color w:val="auto"/>
          <w:szCs w:val="21"/>
          <w:highlight w:val="none"/>
        </w:rPr>
        <w:t>7</w:t>
      </w:r>
      <w:r>
        <w:rPr>
          <w:rFonts w:ascii="Times New Roman" w:eastAsia="Times New Roman"/>
          <w:color w:val="auto"/>
          <w:spacing w:val="7"/>
          <w:szCs w:val="21"/>
          <w:highlight w:val="none"/>
        </w:rPr>
        <w:t xml:space="preserve"> </w:t>
      </w:r>
      <w:r>
        <w:rPr>
          <w:color w:val="auto"/>
          <w:spacing w:val="-3"/>
          <w:szCs w:val="21"/>
          <w:highlight w:val="none"/>
        </w:rPr>
        <w:t>天内发出书面通知说明理由，但不得借此延误对监理人其他应得款项的支付。</w:t>
      </w:r>
    </w:p>
    <w:p>
      <w:pPr>
        <w:pStyle w:val="32"/>
        <w:numPr>
          <w:ilvl w:val="2"/>
          <w:numId w:val="12"/>
        </w:numPr>
        <w:tabs>
          <w:tab w:val="left" w:pos="1416"/>
        </w:tabs>
        <w:spacing w:after="0" w:line="357" w:lineRule="auto"/>
        <w:ind w:left="424" w:right="464" w:firstLine="439"/>
        <w:jc w:val="both"/>
        <w:rPr>
          <w:color w:val="auto"/>
          <w:szCs w:val="21"/>
          <w:highlight w:val="none"/>
        </w:rPr>
      </w:pPr>
      <w:r>
        <w:rPr>
          <w:color w:val="auto"/>
          <w:spacing w:val="-5"/>
          <w:szCs w:val="21"/>
          <w:highlight w:val="none"/>
        </w:rPr>
        <w:t>中期支付涉及政府投资资金的，按照国库集中支付等国家相关规定和项目专用合</w:t>
      </w:r>
      <w:r>
        <w:rPr>
          <w:color w:val="auto"/>
          <w:spacing w:val="-2"/>
          <w:szCs w:val="21"/>
          <w:highlight w:val="none"/>
        </w:rPr>
        <w:t>同条款的约定执行。</w:t>
      </w:r>
    </w:p>
    <w:p>
      <w:pPr>
        <w:numPr>
          <w:ilvl w:val="1"/>
          <w:numId w:val="12"/>
        </w:numPr>
        <w:tabs>
          <w:tab w:val="left" w:pos="914"/>
        </w:tabs>
        <w:spacing w:line="316" w:lineRule="exact"/>
        <w:rPr>
          <w:rFonts w:ascii="黑体" w:eastAsia="黑体"/>
          <w:b/>
          <w:color w:val="auto"/>
          <w:szCs w:val="21"/>
          <w:highlight w:val="none"/>
        </w:rPr>
      </w:pPr>
      <w:r>
        <w:rPr>
          <w:rFonts w:hint="eastAsia" w:ascii="黑体" w:eastAsia="黑体"/>
          <w:b/>
          <w:color w:val="auto"/>
          <w:szCs w:val="21"/>
          <w:highlight w:val="none"/>
        </w:rPr>
        <w:t>费用结算</w:t>
      </w:r>
    </w:p>
    <w:p>
      <w:pPr>
        <w:spacing w:before="124"/>
        <w:ind w:left="863"/>
        <w:rPr>
          <w:color w:val="auto"/>
          <w:szCs w:val="21"/>
          <w:highlight w:val="none"/>
        </w:rPr>
      </w:pPr>
      <w:r>
        <w:rPr>
          <w:color w:val="auto"/>
          <w:szCs w:val="21"/>
          <w:highlight w:val="none"/>
        </w:rPr>
        <w:t>本款细化为：</w:t>
      </w:r>
    </w:p>
    <w:p>
      <w:pPr>
        <w:pStyle w:val="32"/>
        <w:numPr>
          <w:ilvl w:val="2"/>
          <w:numId w:val="12"/>
        </w:numPr>
        <w:tabs>
          <w:tab w:val="left" w:pos="1416"/>
        </w:tabs>
        <w:spacing w:before="138" w:after="0" w:line="357" w:lineRule="auto"/>
        <w:ind w:left="424" w:right="460" w:firstLine="439"/>
        <w:jc w:val="both"/>
        <w:rPr>
          <w:color w:val="auto"/>
          <w:szCs w:val="21"/>
          <w:highlight w:val="none"/>
        </w:rPr>
      </w:pPr>
      <w:r>
        <w:rPr>
          <w:color w:val="auto"/>
          <w:spacing w:val="-6"/>
          <w:szCs w:val="21"/>
          <w:highlight w:val="none"/>
        </w:rPr>
        <w:t xml:space="preserve">在施工阶段监理服务工作结束后 </w:t>
      </w:r>
      <w:r>
        <w:rPr>
          <w:rFonts w:ascii="Times New Roman" w:eastAsia="Times New Roman"/>
          <w:color w:val="auto"/>
          <w:szCs w:val="21"/>
          <w:highlight w:val="none"/>
        </w:rPr>
        <w:t>7</w:t>
      </w:r>
      <w:r>
        <w:rPr>
          <w:rFonts w:ascii="Times New Roman" w:eastAsia="Times New Roman"/>
          <w:color w:val="auto"/>
          <w:spacing w:val="8"/>
          <w:szCs w:val="21"/>
          <w:highlight w:val="none"/>
        </w:rPr>
        <w:t xml:space="preserve"> </w:t>
      </w:r>
      <w:r>
        <w:rPr>
          <w:color w:val="auto"/>
          <w:spacing w:val="-5"/>
          <w:szCs w:val="21"/>
          <w:highlight w:val="none"/>
        </w:rPr>
        <w:t>天内，监理人应将至交工证书申请之日前实际发生的监理服务费用，扣减预付款和监理人赔偿金后余额的支付申请上报至委托人，委托</w:t>
      </w:r>
      <w:r>
        <w:rPr>
          <w:color w:val="auto"/>
          <w:spacing w:val="-8"/>
          <w:szCs w:val="21"/>
          <w:highlight w:val="none"/>
        </w:rPr>
        <w:t xml:space="preserve">人应在收到该支付申请后 </w:t>
      </w:r>
      <w:r>
        <w:rPr>
          <w:rFonts w:ascii="Times New Roman" w:eastAsia="Times New Roman"/>
          <w:color w:val="auto"/>
          <w:szCs w:val="21"/>
          <w:highlight w:val="none"/>
        </w:rPr>
        <w:t>7</w:t>
      </w:r>
      <w:r>
        <w:rPr>
          <w:rFonts w:ascii="Times New Roman" w:eastAsia="Times New Roman"/>
          <w:color w:val="auto"/>
          <w:spacing w:val="7"/>
          <w:szCs w:val="21"/>
          <w:highlight w:val="none"/>
        </w:rPr>
        <w:t xml:space="preserve"> </w:t>
      </w:r>
      <w:r>
        <w:rPr>
          <w:color w:val="auto"/>
          <w:spacing w:val="-8"/>
          <w:szCs w:val="21"/>
          <w:highlight w:val="none"/>
        </w:rPr>
        <w:t xml:space="preserve">天内予以审批，在批复后 </w:t>
      </w:r>
      <w:r>
        <w:rPr>
          <w:rFonts w:ascii="Times New Roman" w:eastAsia="Times New Roman"/>
          <w:color w:val="auto"/>
          <w:szCs w:val="21"/>
          <w:highlight w:val="none"/>
        </w:rPr>
        <w:t>14</w:t>
      </w:r>
      <w:r>
        <w:rPr>
          <w:rFonts w:ascii="Times New Roman" w:eastAsia="Times New Roman"/>
          <w:color w:val="auto"/>
          <w:spacing w:val="7"/>
          <w:szCs w:val="21"/>
          <w:highlight w:val="none"/>
        </w:rPr>
        <w:t xml:space="preserve"> </w:t>
      </w:r>
      <w:r>
        <w:rPr>
          <w:color w:val="auto"/>
          <w:spacing w:val="-4"/>
          <w:szCs w:val="21"/>
          <w:highlight w:val="none"/>
        </w:rPr>
        <w:t>天内向监理人支付费用。监理人在</w:t>
      </w:r>
      <w:r>
        <w:rPr>
          <w:color w:val="auto"/>
          <w:spacing w:val="-8"/>
          <w:szCs w:val="21"/>
          <w:highlight w:val="none"/>
        </w:rPr>
        <w:t xml:space="preserve">提交支付申请的同时，应按合同条款第 </w:t>
      </w:r>
      <w:r>
        <w:rPr>
          <w:rFonts w:ascii="Times New Roman" w:eastAsia="Times New Roman"/>
          <w:color w:val="auto"/>
          <w:szCs w:val="21"/>
          <w:highlight w:val="none"/>
        </w:rPr>
        <w:t>4.2.1</w:t>
      </w:r>
      <w:r>
        <w:rPr>
          <w:rFonts w:ascii="Times New Roman" w:eastAsia="Times New Roman"/>
          <w:color w:val="auto"/>
          <w:spacing w:val="12"/>
          <w:szCs w:val="21"/>
          <w:highlight w:val="none"/>
        </w:rPr>
        <w:t xml:space="preserve"> </w:t>
      </w:r>
      <w:r>
        <w:rPr>
          <w:color w:val="auto"/>
          <w:spacing w:val="-4"/>
          <w:szCs w:val="21"/>
          <w:highlight w:val="none"/>
        </w:rPr>
        <w:t>项的约定向委托人提交缺陷责任期保函，委托</w:t>
      </w:r>
      <w:r>
        <w:rPr>
          <w:color w:val="auto"/>
          <w:spacing w:val="-7"/>
          <w:szCs w:val="21"/>
          <w:highlight w:val="none"/>
        </w:rPr>
        <w:t xml:space="preserve">人在收到监理人提交的缺陷责任期保函后 </w:t>
      </w:r>
      <w:r>
        <w:rPr>
          <w:rFonts w:ascii="Times New Roman" w:eastAsia="Times New Roman"/>
          <w:color w:val="auto"/>
          <w:szCs w:val="21"/>
          <w:highlight w:val="none"/>
        </w:rPr>
        <w:t>7</w:t>
      </w:r>
      <w:r>
        <w:rPr>
          <w:rFonts w:ascii="Times New Roman" w:eastAsia="Times New Roman"/>
          <w:color w:val="auto"/>
          <w:spacing w:val="1"/>
          <w:szCs w:val="21"/>
          <w:highlight w:val="none"/>
        </w:rPr>
        <w:t xml:space="preserve"> </w:t>
      </w:r>
      <w:r>
        <w:rPr>
          <w:color w:val="auto"/>
          <w:spacing w:val="-3"/>
          <w:szCs w:val="21"/>
          <w:highlight w:val="none"/>
        </w:rPr>
        <w:t>天内向监理人返还履约保证金。</w:t>
      </w:r>
    </w:p>
    <w:p>
      <w:pPr>
        <w:pStyle w:val="32"/>
        <w:numPr>
          <w:ilvl w:val="2"/>
          <w:numId w:val="12"/>
        </w:numPr>
        <w:tabs>
          <w:tab w:val="left" w:pos="1416"/>
        </w:tabs>
        <w:spacing w:after="0" w:line="357" w:lineRule="auto"/>
        <w:ind w:left="424" w:right="463" w:firstLine="439"/>
        <w:jc w:val="both"/>
        <w:rPr>
          <w:color w:val="auto"/>
          <w:szCs w:val="21"/>
          <w:highlight w:val="none"/>
        </w:rPr>
      </w:pPr>
      <w:r>
        <w:rPr>
          <w:color w:val="auto"/>
          <w:spacing w:val="-6"/>
          <w:szCs w:val="21"/>
          <w:highlight w:val="none"/>
        </w:rPr>
        <w:t xml:space="preserve">在签发工程缺陷责任终止证书后 </w:t>
      </w:r>
      <w:r>
        <w:rPr>
          <w:rFonts w:ascii="Times New Roman" w:eastAsia="Times New Roman"/>
          <w:color w:val="auto"/>
          <w:szCs w:val="21"/>
          <w:highlight w:val="none"/>
        </w:rPr>
        <w:t>7</w:t>
      </w:r>
      <w:r>
        <w:rPr>
          <w:rFonts w:ascii="Times New Roman" w:eastAsia="Times New Roman"/>
          <w:color w:val="auto"/>
          <w:spacing w:val="9"/>
          <w:szCs w:val="21"/>
          <w:highlight w:val="none"/>
        </w:rPr>
        <w:t xml:space="preserve"> </w:t>
      </w:r>
      <w:r>
        <w:rPr>
          <w:color w:val="auto"/>
          <w:spacing w:val="-5"/>
          <w:szCs w:val="21"/>
          <w:highlight w:val="none"/>
        </w:rPr>
        <w:t>天内，监理人应将工程缺陷责任期内未结清的监理服务费用和其他应由委托人向监理人支付的剩余款项，扣减其他应由委托人从监理人</w:t>
      </w:r>
      <w:r>
        <w:rPr>
          <w:color w:val="auto"/>
          <w:spacing w:val="-4"/>
          <w:szCs w:val="21"/>
          <w:highlight w:val="none"/>
        </w:rPr>
        <w:t xml:space="preserve">扣回款项的支付申请上报至委托人，委托人应在收到该支付申请后 </w:t>
      </w:r>
      <w:r>
        <w:rPr>
          <w:rFonts w:ascii="Times New Roman" w:eastAsia="Times New Roman"/>
          <w:color w:val="auto"/>
          <w:szCs w:val="21"/>
          <w:highlight w:val="none"/>
        </w:rPr>
        <w:t>7</w:t>
      </w:r>
      <w:r>
        <w:rPr>
          <w:rFonts w:ascii="Times New Roman" w:eastAsia="Times New Roman"/>
          <w:color w:val="auto"/>
          <w:spacing w:val="7"/>
          <w:szCs w:val="21"/>
          <w:highlight w:val="none"/>
        </w:rPr>
        <w:t xml:space="preserve"> </w:t>
      </w:r>
      <w:r>
        <w:rPr>
          <w:color w:val="auto"/>
          <w:spacing w:val="-3"/>
          <w:szCs w:val="21"/>
          <w:highlight w:val="none"/>
        </w:rPr>
        <w:t>天内予以审批，在批</w:t>
      </w:r>
      <w:r>
        <w:rPr>
          <w:color w:val="auto"/>
          <w:spacing w:val="-20"/>
          <w:szCs w:val="21"/>
          <w:highlight w:val="none"/>
        </w:rPr>
        <w:t xml:space="preserve">复后 </w:t>
      </w:r>
      <w:r>
        <w:rPr>
          <w:rFonts w:ascii="Times New Roman" w:eastAsia="Times New Roman"/>
          <w:color w:val="auto"/>
          <w:szCs w:val="21"/>
          <w:highlight w:val="none"/>
        </w:rPr>
        <w:t>14</w:t>
      </w:r>
      <w:r>
        <w:rPr>
          <w:rFonts w:ascii="Times New Roman" w:eastAsia="Times New Roman"/>
          <w:color w:val="auto"/>
          <w:spacing w:val="1"/>
          <w:szCs w:val="21"/>
          <w:highlight w:val="none"/>
        </w:rPr>
        <w:t xml:space="preserve"> </w:t>
      </w:r>
      <w:r>
        <w:rPr>
          <w:color w:val="auto"/>
          <w:spacing w:val="-3"/>
          <w:szCs w:val="21"/>
          <w:highlight w:val="none"/>
        </w:rPr>
        <w:t>天内向监理人支付费用，同时委托人向监理人返还缺陷责任期保函。</w:t>
      </w:r>
    </w:p>
    <w:p>
      <w:pPr>
        <w:pStyle w:val="32"/>
        <w:numPr>
          <w:ilvl w:val="2"/>
          <w:numId w:val="12"/>
        </w:numPr>
        <w:tabs>
          <w:tab w:val="left" w:pos="1421"/>
        </w:tabs>
        <w:spacing w:after="0" w:line="357" w:lineRule="auto"/>
        <w:ind w:left="424" w:right="461" w:firstLine="439"/>
        <w:jc w:val="both"/>
        <w:rPr>
          <w:color w:val="auto"/>
          <w:szCs w:val="21"/>
          <w:highlight w:val="none"/>
        </w:rPr>
      </w:pPr>
      <w:r>
        <w:rPr>
          <w:color w:val="auto"/>
          <w:spacing w:val="3"/>
          <w:szCs w:val="21"/>
          <w:highlight w:val="none"/>
        </w:rPr>
        <w:t>委托人在收到监理人提交的书面支付申请且监理人提交了合格的增值税专用发</w:t>
      </w:r>
      <w:r>
        <w:rPr>
          <w:color w:val="auto"/>
          <w:szCs w:val="21"/>
          <w:highlight w:val="none"/>
        </w:rPr>
        <w:t xml:space="preserve">票后，应按上述条款约定的支付期限内支付监理服务费用。委托人未能在前述时间内完成审批或不予答复的，视为委托人同意费用结算申请。委托人未按期支付到期应付的款项， 应承担违约责任，并支付逾期付款违约金，逾期付款的违约金以到期应付而未付的款项， </w:t>
      </w:r>
      <w:r>
        <w:rPr>
          <w:color w:val="auto"/>
          <w:spacing w:val="-3"/>
          <w:szCs w:val="21"/>
          <w:highlight w:val="none"/>
        </w:rPr>
        <w:t>按照银行同期贷款利率加手续费计算相应的利息，时间自未付款项的应付之日起算。</w:t>
      </w:r>
    </w:p>
    <w:p>
      <w:pPr>
        <w:pStyle w:val="32"/>
        <w:numPr>
          <w:ilvl w:val="2"/>
          <w:numId w:val="12"/>
        </w:numPr>
        <w:tabs>
          <w:tab w:val="left" w:pos="1421"/>
        </w:tabs>
        <w:spacing w:before="1" w:after="0" w:line="357" w:lineRule="auto"/>
        <w:ind w:left="424" w:right="466" w:firstLine="439"/>
        <w:jc w:val="both"/>
        <w:rPr>
          <w:color w:val="auto"/>
          <w:szCs w:val="21"/>
          <w:highlight w:val="none"/>
        </w:rPr>
      </w:pPr>
      <w:r>
        <w:rPr>
          <w:color w:val="auto"/>
          <w:spacing w:val="3"/>
          <w:szCs w:val="21"/>
          <w:highlight w:val="none"/>
        </w:rPr>
        <w:t>委托人对费用结算申请内容有异议的，有权要求监理人进行修正和提供补充资</w:t>
      </w:r>
      <w:r>
        <w:rPr>
          <w:color w:val="auto"/>
          <w:spacing w:val="-6"/>
          <w:szCs w:val="21"/>
          <w:highlight w:val="none"/>
        </w:rPr>
        <w:t xml:space="preserve">料，由监理人重新提交。监理人对此有异议的，按第 </w:t>
      </w:r>
      <w:r>
        <w:rPr>
          <w:rFonts w:ascii="Times New Roman" w:eastAsia="Times New Roman"/>
          <w:color w:val="auto"/>
          <w:szCs w:val="21"/>
          <w:highlight w:val="none"/>
        </w:rPr>
        <w:t>12</w:t>
      </w:r>
      <w:r>
        <w:rPr>
          <w:rFonts w:ascii="Times New Roman" w:eastAsia="Times New Roman"/>
          <w:color w:val="auto"/>
          <w:spacing w:val="1"/>
          <w:szCs w:val="21"/>
          <w:highlight w:val="none"/>
        </w:rPr>
        <w:t xml:space="preserve"> </w:t>
      </w:r>
      <w:r>
        <w:rPr>
          <w:color w:val="auto"/>
          <w:spacing w:val="-3"/>
          <w:szCs w:val="21"/>
          <w:highlight w:val="none"/>
        </w:rPr>
        <w:t>条的约定执行。</w:t>
      </w:r>
    </w:p>
    <w:p>
      <w:pPr>
        <w:pStyle w:val="32"/>
        <w:numPr>
          <w:ilvl w:val="2"/>
          <w:numId w:val="12"/>
        </w:numPr>
        <w:tabs>
          <w:tab w:val="left" w:pos="1416"/>
        </w:tabs>
        <w:spacing w:after="0" w:line="240" w:lineRule="auto"/>
        <w:ind w:hanging="553"/>
        <w:jc w:val="both"/>
        <w:rPr>
          <w:color w:val="auto"/>
          <w:szCs w:val="21"/>
          <w:highlight w:val="none"/>
        </w:rPr>
      </w:pPr>
      <w:r>
        <w:rPr>
          <w:color w:val="auto"/>
          <w:spacing w:val="-6"/>
          <w:szCs w:val="21"/>
          <w:highlight w:val="none"/>
        </w:rPr>
        <w:t xml:space="preserve">最终结清付款涉及政府投资资金的，按第 </w:t>
      </w:r>
      <w:r>
        <w:rPr>
          <w:rFonts w:ascii="Times New Roman" w:eastAsia="Times New Roman"/>
          <w:color w:val="auto"/>
          <w:szCs w:val="21"/>
          <w:highlight w:val="none"/>
        </w:rPr>
        <w:t xml:space="preserve">9.3.5 </w:t>
      </w:r>
      <w:r>
        <w:rPr>
          <w:color w:val="auto"/>
          <w:spacing w:val="-2"/>
          <w:szCs w:val="21"/>
          <w:highlight w:val="none"/>
        </w:rPr>
        <w:t>项的约定执行。</w:t>
      </w:r>
    </w:p>
    <w:p>
      <w:pPr>
        <w:spacing w:before="77"/>
        <w:ind w:left="863"/>
        <w:rPr>
          <w:color w:val="auto"/>
          <w:szCs w:val="21"/>
          <w:highlight w:val="none"/>
        </w:rPr>
      </w:pPr>
      <w:r>
        <w:rPr>
          <w:color w:val="auto"/>
          <w:szCs w:val="21"/>
          <w:highlight w:val="none"/>
        </w:rPr>
        <w:br w:type="textWrapping"/>
      </w:r>
      <w:r>
        <w:rPr>
          <w:color w:val="auto"/>
          <w:szCs w:val="21"/>
          <w:highlight w:val="none"/>
        </w:rPr>
        <w:t xml:space="preserve">本条补充第 </w:t>
      </w:r>
      <w:r>
        <w:rPr>
          <w:rFonts w:ascii="Times New Roman" w:eastAsia="Times New Roman"/>
          <w:color w:val="auto"/>
          <w:szCs w:val="21"/>
          <w:highlight w:val="none"/>
        </w:rPr>
        <w:t xml:space="preserve">9.5 </w:t>
      </w:r>
      <w:r>
        <w:rPr>
          <w:color w:val="auto"/>
          <w:szCs w:val="21"/>
          <w:highlight w:val="none"/>
        </w:rPr>
        <w:t xml:space="preserve">款、第 </w:t>
      </w:r>
      <w:r>
        <w:rPr>
          <w:rFonts w:ascii="Times New Roman" w:eastAsia="Times New Roman"/>
          <w:color w:val="auto"/>
          <w:szCs w:val="21"/>
          <w:highlight w:val="none"/>
        </w:rPr>
        <w:t xml:space="preserve">9.6 </w:t>
      </w:r>
      <w:r>
        <w:rPr>
          <w:color w:val="auto"/>
          <w:szCs w:val="21"/>
          <w:highlight w:val="none"/>
        </w:rPr>
        <w:t>款：</w:t>
      </w:r>
    </w:p>
    <w:p>
      <w:pPr>
        <w:numPr>
          <w:ilvl w:val="1"/>
          <w:numId w:val="12"/>
        </w:numPr>
        <w:tabs>
          <w:tab w:val="left" w:pos="914"/>
        </w:tabs>
        <w:spacing w:before="94"/>
        <w:rPr>
          <w:rFonts w:ascii="黑体" w:eastAsia="黑体"/>
          <w:b/>
          <w:color w:val="auto"/>
          <w:szCs w:val="21"/>
          <w:highlight w:val="none"/>
        </w:rPr>
      </w:pPr>
      <w:r>
        <w:rPr>
          <w:rFonts w:hint="eastAsia" w:ascii="黑体" w:eastAsia="黑体"/>
          <w:b/>
          <w:color w:val="auto"/>
          <w:szCs w:val="21"/>
          <w:highlight w:val="none"/>
        </w:rPr>
        <w:t>暂列金额</w:t>
      </w:r>
    </w:p>
    <w:p>
      <w:pPr>
        <w:spacing w:before="124" w:line="357" w:lineRule="auto"/>
        <w:ind w:left="424" w:right="467" w:firstLine="439"/>
        <w:rPr>
          <w:color w:val="auto"/>
          <w:szCs w:val="21"/>
          <w:highlight w:val="none"/>
        </w:rPr>
      </w:pPr>
      <w:r>
        <w:rPr>
          <w:color w:val="auto"/>
          <w:szCs w:val="21"/>
          <w:highlight w:val="none"/>
        </w:rPr>
        <w:t>本合同的暂列金额在项目专用合同条款中约定。暂列金额应按委托人的书面指示全部或部分地使用，或根本不予动用。暂列金额主要用于支付监理服务的变更费用。</w:t>
      </w:r>
    </w:p>
    <w:p>
      <w:pPr>
        <w:numPr>
          <w:ilvl w:val="1"/>
          <w:numId w:val="12"/>
        </w:numPr>
        <w:tabs>
          <w:tab w:val="left" w:pos="914"/>
        </w:tabs>
        <w:spacing w:line="316" w:lineRule="exact"/>
        <w:rPr>
          <w:rFonts w:ascii="黑体" w:eastAsia="黑体"/>
          <w:b/>
          <w:color w:val="auto"/>
          <w:szCs w:val="21"/>
          <w:highlight w:val="none"/>
        </w:rPr>
      </w:pPr>
      <w:r>
        <w:rPr>
          <w:rFonts w:hint="eastAsia" w:ascii="黑体" w:eastAsia="黑体"/>
          <w:b/>
          <w:color w:val="auto"/>
          <w:szCs w:val="21"/>
          <w:highlight w:val="none"/>
        </w:rPr>
        <w:t>货币</w:t>
      </w:r>
    </w:p>
    <w:p>
      <w:pPr>
        <w:spacing w:before="124" w:line="357" w:lineRule="auto"/>
        <w:ind w:left="424" w:right="461" w:firstLine="439"/>
        <w:rPr>
          <w:color w:val="auto"/>
          <w:szCs w:val="21"/>
          <w:highlight w:val="none"/>
        </w:rPr>
      </w:pPr>
      <w:r>
        <w:rPr>
          <w:color w:val="auto"/>
          <w:szCs w:val="21"/>
          <w:highlight w:val="none"/>
        </w:rPr>
        <w:t>除项目专用合同条款另有约定外，委托人采用人民币支付监理服务费用。涉及外币支付的，其货币种类、比例和汇率等事宜，在项目专用合同条款中约定。</w:t>
      </w:r>
    </w:p>
    <w:p>
      <w:pPr>
        <w:pStyle w:val="6"/>
        <w:numPr>
          <w:ilvl w:val="0"/>
          <w:numId w:val="32"/>
        </w:numPr>
        <w:tabs>
          <w:tab w:val="left" w:pos="967"/>
        </w:tabs>
        <w:spacing w:after="0" w:line="240" w:lineRule="auto"/>
        <w:rPr>
          <w:color w:val="auto"/>
          <w:sz w:val="21"/>
          <w:szCs w:val="21"/>
          <w:highlight w:val="none"/>
        </w:rPr>
      </w:pPr>
      <w:r>
        <w:rPr>
          <w:color w:val="auto"/>
          <w:sz w:val="21"/>
          <w:szCs w:val="21"/>
          <w:highlight w:val="none"/>
        </w:rPr>
        <w:t>违约</w:t>
      </w:r>
    </w:p>
    <w:p>
      <w:pPr>
        <w:pStyle w:val="9"/>
        <w:spacing w:before="12"/>
        <w:rPr>
          <w:rFonts w:ascii="黑体"/>
          <w:b/>
          <w:color w:val="auto"/>
          <w:sz w:val="21"/>
          <w:szCs w:val="21"/>
          <w:highlight w:val="none"/>
        </w:rPr>
      </w:pPr>
    </w:p>
    <w:p>
      <w:pPr>
        <w:numPr>
          <w:ilvl w:val="1"/>
          <w:numId w:val="32"/>
        </w:numPr>
        <w:tabs>
          <w:tab w:val="left" w:pos="1054"/>
        </w:tabs>
        <w:ind w:hanging="630"/>
        <w:rPr>
          <w:rFonts w:ascii="黑体" w:eastAsia="黑体"/>
          <w:b/>
          <w:color w:val="auto"/>
          <w:szCs w:val="21"/>
          <w:highlight w:val="none"/>
        </w:rPr>
      </w:pPr>
      <w:r>
        <w:rPr>
          <w:rFonts w:hint="eastAsia" w:ascii="黑体" w:eastAsia="黑体"/>
          <w:b/>
          <w:color w:val="auto"/>
          <w:szCs w:val="21"/>
          <w:highlight w:val="none"/>
        </w:rPr>
        <w:t>监理人违约</w:t>
      </w:r>
    </w:p>
    <w:p>
      <w:pPr>
        <w:spacing w:before="126"/>
        <w:ind w:left="863"/>
        <w:rPr>
          <w:color w:val="auto"/>
          <w:szCs w:val="21"/>
          <w:highlight w:val="none"/>
        </w:rPr>
      </w:pPr>
      <w:r>
        <w:rPr>
          <w:color w:val="auto"/>
          <w:szCs w:val="21"/>
          <w:highlight w:val="none"/>
        </w:rPr>
        <w:t>本款细化为：</w:t>
      </w:r>
    </w:p>
    <w:p>
      <w:pPr>
        <w:pStyle w:val="32"/>
        <w:numPr>
          <w:ilvl w:val="2"/>
          <w:numId w:val="32"/>
        </w:numPr>
        <w:tabs>
          <w:tab w:val="left" w:pos="1517"/>
        </w:tabs>
        <w:spacing w:before="138" w:after="0" w:line="240" w:lineRule="auto"/>
        <w:ind w:hanging="654"/>
        <w:rPr>
          <w:color w:val="auto"/>
          <w:szCs w:val="21"/>
          <w:highlight w:val="none"/>
        </w:rPr>
      </w:pPr>
      <w:r>
        <w:rPr>
          <w:color w:val="auto"/>
          <w:spacing w:val="-3"/>
          <w:szCs w:val="21"/>
          <w:highlight w:val="none"/>
        </w:rPr>
        <w:t>合同履行中发生下列情况之一的，属监理人违约：</w:t>
      </w:r>
    </w:p>
    <w:p>
      <w:pPr>
        <w:pStyle w:val="32"/>
        <w:numPr>
          <w:ilvl w:val="0"/>
          <w:numId w:val="33"/>
        </w:numPr>
        <w:tabs>
          <w:tab w:val="left" w:pos="1417"/>
        </w:tabs>
        <w:spacing w:before="138" w:after="0" w:line="240" w:lineRule="auto"/>
        <w:ind w:hanging="554"/>
        <w:rPr>
          <w:color w:val="auto"/>
          <w:szCs w:val="21"/>
          <w:highlight w:val="none"/>
        </w:rPr>
      </w:pPr>
      <w:r>
        <w:rPr>
          <w:color w:val="auto"/>
          <w:spacing w:val="-3"/>
          <w:szCs w:val="21"/>
          <w:highlight w:val="none"/>
        </w:rPr>
        <w:t>监理文件不符合规范标准以及合同约定；</w:t>
      </w:r>
    </w:p>
    <w:p>
      <w:pPr>
        <w:pStyle w:val="32"/>
        <w:numPr>
          <w:ilvl w:val="0"/>
          <w:numId w:val="33"/>
        </w:numPr>
        <w:tabs>
          <w:tab w:val="left" w:pos="1417"/>
        </w:tabs>
        <w:spacing w:before="139" w:after="0" w:line="240" w:lineRule="auto"/>
        <w:ind w:hanging="554"/>
        <w:rPr>
          <w:color w:val="auto"/>
          <w:szCs w:val="21"/>
          <w:highlight w:val="none"/>
        </w:rPr>
      </w:pPr>
      <w:r>
        <w:rPr>
          <w:color w:val="auto"/>
          <w:spacing w:val="-3"/>
          <w:szCs w:val="21"/>
          <w:highlight w:val="none"/>
        </w:rPr>
        <w:t>监理人转让或分包监理工作；</w:t>
      </w:r>
    </w:p>
    <w:p>
      <w:pPr>
        <w:pStyle w:val="32"/>
        <w:numPr>
          <w:ilvl w:val="0"/>
          <w:numId w:val="33"/>
        </w:numPr>
        <w:tabs>
          <w:tab w:val="left" w:pos="1417"/>
        </w:tabs>
        <w:spacing w:before="138" w:after="0" w:line="240" w:lineRule="auto"/>
        <w:ind w:hanging="554"/>
        <w:rPr>
          <w:color w:val="auto"/>
          <w:szCs w:val="21"/>
          <w:highlight w:val="none"/>
        </w:rPr>
      </w:pPr>
      <w:r>
        <w:rPr>
          <w:color w:val="auto"/>
          <w:spacing w:val="-3"/>
          <w:szCs w:val="21"/>
          <w:highlight w:val="none"/>
        </w:rPr>
        <w:t>监理人未按合同约定实施监理并造成工程损失；</w:t>
      </w:r>
    </w:p>
    <w:p>
      <w:pPr>
        <w:pStyle w:val="32"/>
        <w:numPr>
          <w:ilvl w:val="0"/>
          <w:numId w:val="33"/>
        </w:numPr>
        <w:tabs>
          <w:tab w:val="left" w:pos="1417"/>
        </w:tabs>
        <w:spacing w:before="138" w:after="0" w:line="357" w:lineRule="auto"/>
        <w:ind w:left="424" w:right="464" w:firstLine="439"/>
        <w:rPr>
          <w:color w:val="auto"/>
          <w:szCs w:val="21"/>
          <w:highlight w:val="none"/>
        </w:rPr>
      </w:pPr>
      <w:r>
        <w:rPr>
          <w:color w:val="auto"/>
          <w:spacing w:val="-7"/>
          <w:szCs w:val="21"/>
          <w:highlight w:val="none"/>
        </w:rPr>
        <w:t>监理人向承包人索贿、谋取私利，或与承包人串通损害委托人利益，给委托人造</w:t>
      </w:r>
      <w:r>
        <w:rPr>
          <w:color w:val="auto"/>
          <w:szCs w:val="21"/>
          <w:highlight w:val="none"/>
        </w:rPr>
        <w:t>成损失；</w:t>
      </w:r>
    </w:p>
    <w:p>
      <w:pPr>
        <w:pStyle w:val="32"/>
        <w:numPr>
          <w:ilvl w:val="0"/>
          <w:numId w:val="33"/>
        </w:numPr>
        <w:tabs>
          <w:tab w:val="left" w:pos="1417"/>
        </w:tabs>
        <w:spacing w:after="0" w:line="357" w:lineRule="auto"/>
        <w:ind w:left="424" w:right="449" w:firstLine="439"/>
        <w:rPr>
          <w:color w:val="auto"/>
          <w:szCs w:val="21"/>
          <w:highlight w:val="none"/>
        </w:rPr>
      </w:pPr>
      <w:r>
        <w:rPr>
          <w:color w:val="auto"/>
          <w:spacing w:val="-3"/>
          <w:szCs w:val="21"/>
          <w:highlight w:val="none"/>
        </w:rPr>
        <w:t>监理人未按《公路工程施工监理规范》的规定对主要工程或关键工序进行旁站、巡视或抽检；</w:t>
      </w:r>
    </w:p>
    <w:p>
      <w:pPr>
        <w:pStyle w:val="32"/>
        <w:numPr>
          <w:ilvl w:val="0"/>
          <w:numId w:val="33"/>
        </w:numPr>
        <w:tabs>
          <w:tab w:val="left" w:pos="1417"/>
        </w:tabs>
        <w:spacing w:after="0" w:line="357" w:lineRule="auto"/>
        <w:ind w:left="424" w:right="463" w:firstLine="439"/>
        <w:rPr>
          <w:color w:val="auto"/>
          <w:szCs w:val="21"/>
          <w:highlight w:val="none"/>
        </w:rPr>
      </w:pPr>
      <w:r>
        <w:rPr>
          <w:color w:val="auto"/>
          <w:spacing w:val="-3"/>
          <w:szCs w:val="21"/>
          <w:highlight w:val="none"/>
        </w:rPr>
        <w:t>监理人未能按照投标文件的承诺或合同文件的约定配备满足监理服务需求的人 员或设备；</w:t>
      </w:r>
    </w:p>
    <w:p>
      <w:pPr>
        <w:pStyle w:val="32"/>
        <w:numPr>
          <w:ilvl w:val="0"/>
          <w:numId w:val="33"/>
        </w:numPr>
        <w:tabs>
          <w:tab w:val="left" w:pos="1417"/>
        </w:tabs>
        <w:spacing w:after="0" w:line="240" w:lineRule="auto"/>
        <w:ind w:hanging="554"/>
        <w:rPr>
          <w:color w:val="auto"/>
          <w:szCs w:val="21"/>
          <w:highlight w:val="none"/>
        </w:rPr>
      </w:pPr>
      <w:r>
        <w:rPr>
          <w:color w:val="auto"/>
          <w:spacing w:val="-3"/>
          <w:szCs w:val="21"/>
          <w:highlight w:val="none"/>
        </w:rPr>
        <w:t>监理人无法履行或停止履行合同；</w:t>
      </w:r>
    </w:p>
    <w:p>
      <w:pPr>
        <w:pStyle w:val="32"/>
        <w:numPr>
          <w:ilvl w:val="0"/>
          <w:numId w:val="33"/>
        </w:numPr>
        <w:tabs>
          <w:tab w:val="left" w:pos="1417"/>
        </w:tabs>
        <w:spacing w:before="139" w:after="0" w:line="240" w:lineRule="auto"/>
        <w:ind w:hanging="554"/>
        <w:rPr>
          <w:color w:val="auto"/>
          <w:szCs w:val="21"/>
          <w:highlight w:val="none"/>
        </w:rPr>
      </w:pPr>
      <w:r>
        <w:rPr>
          <w:color w:val="auto"/>
          <w:spacing w:val="-3"/>
          <w:szCs w:val="21"/>
          <w:highlight w:val="none"/>
        </w:rPr>
        <w:t>监理人不履行合同约定的其他义务。</w:t>
      </w:r>
    </w:p>
    <w:p>
      <w:pPr>
        <w:pStyle w:val="32"/>
        <w:numPr>
          <w:ilvl w:val="2"/>
          <w:numId w:val="32"/>
        </w:numPr>
        <w:tabs>
          <w:tab w:val="left" w:pos="1522"/>
        </w:tabs>
        <w:spacing w:before="138" w:after="0" w:line="357" w:lineRule="auto"/>
        <w:ind w:left="424" w:right="462" w:firstLine="439"/>
        <w:jc w:val="both"/>
        <w:rPr>
          <w:color w:val="auto"/>
          <w:szCs w:val="21"/>
          <w:highlight w:val="none"/>
        </w:rPr>
      </w:pPr>
      <w:r>
        <w:rPr>
          <w:color w:val="auto"/>
          <w:szCs w:val="21"/>
          <w:highlight w:val="none"/>
        </w:rPr>
        <w:t>监理人发生违约情况时，委托人可向监理人发出整改通知，要求其在限定期限</w:t>
      </w:r>
      <w:r>
        <w:rPr>
          <w:color w:val="auto"/>
          <w:spacing w:val="-20"/>
          <w:szCs w:val="21"/>
          <w:highlight w:val="none"/>
        </w:rPr>
        <w:t xml:space="preserve">内纠正；逾期仍不纠正的，委托人有权解除合同并向监理人发出解除合同通知。发生第 </w:t>
      </w:r>
      <w:r>
        <w:rPr>
          <w:rFonts w:ascii="Times New Roman" w:eastAsia="Times New Roman"/>
          <w:color w:val="auto"/>
          <w:szCs w:val="21"/>
          <w:highlight w:val="none"/>
        </w:rPr>
        <w:t xml:space="preserve">11.1.1 </w:t>
      </w:r>
      <w:r>
        <w:rPr>
          <w:color w:val="auto"/>
          <w:szCs w:val="21"/>
          <w:highlight w:val="none"/>
        </w:rPr>
        <w:t>项（</w:t>
      </w:r>
      <w:r>
        <w:rPr>
          <w:rFonts w:ascii="Times New Roman" w:eastAsia="Times New Roman"/>
          <w:color w:val="auto"/>
          <w:szCs w:val="21"/>
          <w:highlight w:val="none"/>
        </w:rPr>
        <w:t>2</w:t>
      </w:r>
      <w:r>
        <w:rPr>
          <w:color w:val="auto"/>
          <w:szCs w:val="21"/>
          <w:highlight w:val="none"/>
        </w:rPr>
        <w:t>）</w:t>
      </w:r>
      <w:r>
        <w:rPr>
          <w:color w:val="auto"/>
          <w:spacing w:val="-2"/>
          <w:szCs w:val="21"/>
          <w:highlight w:val="none"/>
        </w:rPr>
        <w:t>目或</w:t>
      </w:r>
      <w:r>
        <w:rPr>
          <w:color w:val="auto"/>
          <w:szCs w:val="21"/>
          <w:highlight w:val="none"/>
        </w:rPr>
        <w:t>（</w:t>
      </w:r>
      <w:r>
        <w:rPr>
          <w:rFonts w:ascii="Times New Roman" w:eastAsia="Times New Roman"/>
          <w:color w:val="auto"/>
          <w:szCs w:val="21"/>
          <w:highlight w:val="none"/>
        </w:rPr>
        <w:t>4</w:t>
      </w:r>
      <w:r>
        <w:rPr>
          <w:color w:val="auto"/>
          <w:szCs w:val="21"/>
          <w:highlight w:val="none"/>
        </w:rPr>
        <w:t>）</w:t>
      </w:r>
      <w:r>
        <w:rPr>
          <w:color w:val="auto"/>
          <w:spacing w:val="-3"/>
          <w:szCs w:val="21"/>
          <w:highlight w:val="none"/>
        </w:rPr>
        <w:t>目情形时，委托人可直接发出解除合同通知。</w:t>
      </w:r>
    </w:p>
    <w:p>
      <w:pPr>
        <w:spacing w:line="357" w:lineRule="auto"/>
        <w:ind w:left="424" w:right="460" w:firstLine="439"/>
        <w:jc w:val="both"/>
        <w:rPr>
          <w:color w:val="auto"/>
          <w:szCs w:val="21"/>
          <w:highlight w:val="none"/>
        </w:rPr>
      </w:pPr>
      <w:r>
        <w:rPr>
          <w:color w:val="auto"/>
          <w:szCs w:val="21"/>
          <w:highlight w:val="none"/>
        </w:rPr>
        <w:t>监理人应当承担由于违约所造成的费用增加、周期延误和委托人损失等。委托人有权向监理人课以项目专用合同条款中约定的违约金，并由委托人将其违约行为上报省级交通运输主管部门，作为不良记录纳入公路建设市场信用信息管理系统。</w:t>
      </w:r>
    </w:p>
    <w:p>
      <w:pPr>
        <w:pStyle w:val="32"/>
        <w:numPr>
          <w:ilvl w:val="2"/>
          <w:numId w:val="32"/>
        </w:numPr>
        <w:tabs>
          <w:tab w:val="left" w:pos="1517"/>
        </w:tabs>
        <w:spacing w:after="0" w:line="240" w:lineRule="auto"/>
        <w:ind w:hanging="654"/>
        <w:jc w:val="both"/>
        <w:rPr>
          <w:color w:val="auto"/>
          <w:szCs w:val="21"/>
          <w:highlight w:val="none"/>
        </w:rPr>
      </w:pPr>
      <w:r>
        <w:rPr>
          <w:color w:val="auto"/>
          <w:spacing w:val="-3"/>
          <w:szCs w:val="21"/>
          <w:highlight w:val="none"/>
        </w:rPr>
        <w:t>监理人对委托人损失的赔偿责任</w:t>
      </w:r>
    </w:p>
    <w:p>
      <w:pPr>
        <w:spacing w:before="138" w:line="357" w:lineRule="auto"/>
        <w:ind w:left="424" w:right="460" w:firstLine="439"/>
        <w:jc w:val="both"/>
        <w:rPr>
          <w:color w:val="auto"/>
          <w:szCs w:val="21"/>
          <w:highlight w:val="none"/>
        </w:rPr>
      </w:pPr>
      <w:r>
        <w:rPr>
          <w:color w:val="auto"/>
          <w:szCs w:val="21"/>
          <w:highlight w:val="none"/>
        </w:rPr>
        <w:t>监理人违反监理合同的约定并造成委托人的经济损失，应向委托人赔偿，除项目专用合同条款另有约定外，赔偿金应按下式计算：</w:t>
      </w:r>
    </w:p>
    <w:p>
      <w:pPr>
        <w:spacing w:before="138"/>
        <w:ind w:left="863"/>
        <w:rPr>
          <w:color w:val="auto"/>
          <w:szCs w:val="21"/>
          <w:highlight w:val="none"/>
        </w:rPr>
      </w:pPr>
      <w:r>
        <w:rPr>
          <w:color w:val="auto"/>
          <w:szCs w:val="21"/>
          <w:highlight w:val="none"/>
        </w:rPr>
        <w:t>赔偿金</w:t>
      </w:r>
      <w:r>
        <w:rPr>
          <w:rFonts w:ascii="Times New Roman" w:hAnsi="Times New Roman" w:eastAsia="Times New Roman"/>
          <w:color w:val="auto"/>
          <w:szCs w:val="21"/>
          <w:highlight w:val="none"/>
        </w:rPr>
        <w:t>=</w:t>
      </w:r>
      <w:r>
        <w:rPr>
          <w:color w:val="auto"/>
          <w:szCs w:val="21"/>
          <w:highlight w:val="none"/>
        </w:rPr>
        <w:t>委托人直接经济损失所对应的监理费</w:t>
      </w:r>
      <w:r>
        <w:rPr>
          <w:rFonts w:ascii="Times New Roman" w:hAnsi="Times New Roman" w:eastAsia="Times New Roman"/>
          <w:color w:val="auto"/>
          <w:szCs w:val="21"/>
          <w:highlight w:val="none"/>
        </w:rPr>
        <w:t>×</w:t>
      </w:r>
      <w:r>
        <w:rPr>
          <w:color w:val="auto"/>
          <w:szCs w:val="21"/>
          <w:highlight w:val="none"/>
        </w:rPr>
        <w:t>监理人应承担责任的比例</w:t>
      </w:r>
    </w:p>
    <w:p>
      <w:pPr>
        <w:spacing w:before="138" w:line="357" w:lineRule="auto"/>
        <w:ind w:left="424" w:right="460" w:firstLine="439"/>
        <w:jc w:val="both"/>
        <w:rPr>
          <w:color w:val="auto"/>
          <w:szCs w:val="21"/>
          <w:highlight w:val="none"/>
        </w:rPr>
      </w:pPr>
      <w:r>
        <w:rPr>
          <w:color w:val="auto"/>
          <w:szCs w:val="21"/>
          <w:highlight w:val="none"/>
        </w:rPr>
        <w:t xml:space="preserve">监理人对由于第三方责任造成的任何经济损失，不承担责任。如果监理人与委托人或第三方对有关经济损失共负责任时，应按责任比例计算赔偿。监理人的上述责任赔偿，均应按照本合同条款第 </w:t>
      </w:r>
      <w:r>
        <w:rPr>
          <w:rFonts w:ascii="Times New Roman" w:eastAsia="Times New Roman"/>
          <w:color w:val="auto"/>
          <w:szCs w:val="21"/>
          <w:highlight w:val="none"/>
        </w:rPr>
        <w:t xml:space="preserve">11.5 </w:t>
      </w:r>
      <w:r>
        <w:rPr>
          <w:color w:val="auto"/>
          <w:szCs w:val="21"/>
          <w:highlight w:val="none"/>
        </w:rPr>
        <w:t>款的约定办理。</w:t>
      </w:r>
    </w:p>
    <w:p>
      <w:pPr>
        <w:pStyle w:val="32"/>
        <w:numPr>
          <w:ilvl w:val="2"/>
          <w:numId w:val="32"/>
        </w:numPr>
        <w:tabs>
          <w:tab w:val="left" w:pos="1517"/>
        </w:tabs>
        <w:spacing w:after="0" w:line="240" w:lineRule="auto"/>
        <w:ind w:hanging="654"/>
        <w:jc w:val="both"/>
        <w:rPr>
          <w:color w:val="auto"/>
          <w:szCs w:val="21"/>
          <w:highlight w:val="none"/>
        </w:rPr>
      </w:pPr>
      <w:r>
        <w:rPr>
          <w:color w:val="auto"/>
          <w:spacing w:val="-3"/>
          <w:szCs w:val="21"/>
          <w:highlight w:val="none"/>
        </w:rPr>
        <w:t>监理人对委托人未授权的监理服务范围不承担监理责任。</w:t>
      </w:r>
    </w:p>
    <w:p>
      <w:pPr>
        <w:numPr>
          <w:ilvl w:val="1"/>
          <w:numId w:val="32"/>
        </w:numPr>
        <w:tabs>
          <w:tab w:val="left" w:pos="1054"/>
        </w:tabs>
        <w:spacing w:before="95"/>
        <w:ind w:hanging="630"/>
        <w:rPr>
          <w:rFonts w:ascii="黑体" w:eastAsia="黑体"/>
          <w:b/>
          <w:color w:val="auto"/>
          <w:szCs w:val="21"/>
          <w:highlight w:val="none"/>
        </w:rPr>
      </w:pPr>
      <w:r>
        <w:rPr>
          <w:rFonts w:hint="eastAsia" w:ascii="黑体" w:eastAsia="黑体"/>
          <w:b/>
          <w:color w:val="auto"/>
          <w:szCs w:val="21"/>
          <w:highlight w:val="none"/>
        </w:rPr>
        <w:t>委托人违约</w:t>
      </w:r>
    </w:p>
    <w:p>
      <w:pPr>
        <w:spacing w:before="124"/>
        <w:ind w:left="863"/>
        <w:rPr>
          <w:color w:val="auto"/>
          <w:szCs w:val="21"/>
          <w:highlight w:val="none"/>
        </w:rPr>
      </w:pPr>
      <w:r>
        <w:rPr>
          <w:color w:val="auto"/>
          <w:szCs w:val="21"/>
          <w:highlight w:val="none"/>
        </w:rPr>
        <w:t>本款细化为：</w:t>
      </w:r>
    </w:p>
    <w:p>
      <w:pPr>
        <w:pStyle w:val="32"/>
        <w:numPr>
          <w:ilvl w:val="2"/>
          <w:numId w:val="32"/>
        </w:numPr>
        <w:tabs>
          <w:tab w:val="left" w:pos="1462"/>
        </w:tabs>
        <w:spacing w:before="138" w:after="0" w:line="240" w:lineRule="auto"/>
        <w:ind w:left="1461" w:hanging="599"/>
        <w:rPr>
          <w:color w:val="auto"/>
          <w:szCs w:val="21"/>
          <w:highlight w:val="none"/>
        </w:rPr>
      </w:pPr>
      <w:r>
        <w:rPr>
          <w:color w:val="auto"/>
          <w:spacing w:val="-3"/>
          <w:szCs w:val="21"/>
          <w:highlight w:val="none"/>
        </w:rPr>
        <w:t>合同履行中发生下列情况之一的，属委托人违约：</w:t>
      </w:r>
    </w:p>
    <w:p>
      <w:pPr>
        <w:pStyle w:val="32"/>
        <w:numPr>
          <w:ilvl w:val="0"/>
          <w:numId w:val="34"/>
        </w:numPr>
        <w:tabs>
          <w:tab w:val="left" w:pos="1417"/>
        </w:tabs>
        <w:spacing w:before="138" w:after="0" w:line="240" w:lineRule="auto"/>
        <w:ind w:hanging="554"/>
        <w:rPr>
          <w:color w:val="auto"/>
          <w:szCs w:val="21"/>
          <w:highlight w:val="none"/>
        </w:rPr>
      </w:pPr>
      <w:r>
        <w:rPr>
          <w:color w:val="auto"/>
          <w:spacing w:val="-3"/>
          <w:szCs w:val="21"/>
          <w:highlight w:val="none"/>
        </w:rPr>
        <w:t>委托人未按合同约定支付监理报酬；</w:t>
      </w:r>
    </w:p>
    <w:p>
      <w:pPr>
        <w:pStyle w:val="32"/>
        <w:numPr>
          <w:ilvl w:val="0"/>
          <w:numId w:val="34"/>
        </w:numPr>
        <w:tabs>
          <w:tab w:val="left" w:pos="1417"/>
        </w:tabs>
        <w:spacing w:before="138" w:after="0" w:line="240" w:lineRule="auto"/>
        <w:ind w:hanging="554"/>
        <w:rPr>
          <w:color w:val="auto"/>
          <w:szCs w:val="21"/>
          <w:highlight w:val="none"/>
        </w:rPr>
      </w:pPr>
      <w:r>
        <w:rPr>
          <w:color w:val="auto"/>
          <w:spacing w:val="-3"/>
          <w:szCs w:val="21"/>
          <w:highlight w:val="none"/>
        </w:rPr>
        <w:t>委托人原因造成监理停止；</w:t>
      </w:r>
    </w:p>
    <w:p>
      <w:pPr>
        <w:pStyle w:val="32"/>
        <w:numPr>
          <w:ilvl w:val="0"/>
          <w:numId w:val="34"/>
        </w:numPr>
        <w:tabs>
          <w:tab w:val="left" w:pos="1417"/>
        </w:tabs>
        <w:spacing w:before="138" w:after="0" w:line="240" w:lineRule="auto"/>
        <w:ind w:hanging="554"/>
        <w:rPr>
          <w:color w:val="auto"/>
          <w:szCs w:val="21"/>
          <w:highlight w:val="none"/>
        </w:rPr>
      </w:pPr>
      <w:r>
        <w:rPr>
          <w:color w:val="auto"/>
          <w:spacing w:val="-3"/>
          <w:szCs w:val="21"/>
          <w:highlight w:val="none"/>
        </w:rPr>
        <w:t>委托人无法履行或停止履行合同；</w:t>
      </w:r>
    </w:p>
    <w:p>
      <w:pPr>
        <w:pStyle w:val="32"/>
        <w:numPr>
          <w:ilvl w:val="0"/>
          <w:numId w:val="34"/>
        </w:numPr>
        <w:tabs>
          <w:tab w:val="left" w:pos="1417"/>
        </w:tabs>
        <w:spacing w:before="139" w:after="0" w:line="240" w:lineRule="auto"/>
        <w:ind w:hanging="554"/>
        <w:rPr>
          <w:color w:val="auto"/>
          <w:szCs w:val="21"/>
          <w:highlight w:val="none"/>
        </w:rPr>
      </w:pPr>
      <w:r>
        <w:rPr>
          <w:color w:val="auto"/>
          <w:spacing w:val="-3"/>
          <w:szCs w:val="21"/>
          <w:highlight w:val="none"/>
        </w:rPr>
        <w:t>委托人无正当理由不按时返还履约保证金或缺陷责任期保函；</w:t>
      </w:r>
    </w:p>
    <w:p>
      <w:pPr>
        <w:pStyle w:val="32"/>
        <w:numPr>
          <w:ilvl w:val="0"/>
          <w:numId w:val="34"/>
        </w:numPr>
        <w:tabs>
          <w:tab w:val="left" w:pos="1417"/>
        </w:tabs>
        <w:spacing w:before="138" w:after="0" w:line="240" w:lineRule="auto"/>
        <w:ind w:hanging="554"/>
        <w:rPr>
          <w:color w:val="auto"/>
          <w:szCs w:val="21"/>
          <w:highlight w:val="none"/>
        </w:rPr>
      </w:pPr>
      <w:r>
        <w:rPr>
          <w:color w:val="auto"/>
          <w:spacing w:val="-3"/>
          <w:szCs w:val="21"/>
          <w:highlight w:val="none"/>
        </w:rPr>
        <w:t>委托人不履行合同约定的其他义务。</w:t>
      </w:r>
    </w:p>
    <w:p>
      <w:pPr>
        <w:pStyle w:val="32"/>
        <w:numPr>
          <w:ilvl w:val="2"/>
          <w:numId w:val="32"/>
        </w:numPr>
        <w:tabs>
          <w:tab w:val="left" w:pos="1462"/>
        </w:tabs>
        <w:spacing w:before="138" w:after="0" w:line="357" w:lineRule="auto"/>
        <w:ind w:left="424" w:right="460" w:firstLine="439"/>
        <w:jc w:val="both"/>
        <w:rPr>
          <w:color w:val="auto"/>
          <w:szCs w:val="21"/>
          <w:highlight w:val="none"/>
        </w:rPr>
      </w:pPr>
      <w:r>
        <w:rPr>
          <w:color w:val="auto"/>
          <w:spacing w:val="-7"/>
          <w:szCs w:val="21"/>
          <w:highlight w:val="none"/>
        </w:rPr>
        <w:t>委托人发生违约情况时，监理人可向委托人发出暂停监理通知，要求其在限定期限内纠正；逾期仍不纠正的，监理人有权解除合同并向委托人发出解除合同通知。委托人</w:t>
      </w:r>
      <w:r>
        <w:rPr>
          <w:color w:val="auto"/>
          <w:spacing w:val="-8"/>
          <w:szCs w:val="21"/>
          <w:highlight w:val="none"/>
        </w:rPr>
        <w:t>应当承担由于违约所造成的费用增加、周期延误和监理人损失等。监理人有权向委托人课</w:t>
      </w:r>
      <w:r>
        <w:rPr>
          <w:color w:val="auto"/>
          <w:spacing w:val="-3"/>
          <w:szCs w:val="21"/>
          <w:highlight w:val="none"/>
        </w:rPr>
        <w:t>以项目专用合同条款中约定的违约金。</w:t>
      </w:r>
    </w:p>
    <w:p>
      <w:pPr>
        <w:pStyle w:val="32"/>
        <w:numPr>
          <w:ilvl w:val="2"/>
          <w:numId w:val="32"/>
        </w:numPr>
        <w:tabs>
          <w:tab w:val="left" w:pos="1517"/>
        </w:tabs>
        <w:spacing w:after="0" w:line="240" w:lineRule="auto"/>
        <w:ind w:hanging="654"/>
        <w:jc w:val="both"/>
        <w:rPr>
          <w:color w:val="auto"/>
          <w:szCs w:val="21"/>
          <w:highlight w:val="none"/>
        </w:rPr>
      </w:pPr>
      <w:r>
        <w:rPr>
          <w:color w:val="auto"/>
          <w:spacing w:val="-3"/>
          <w:szCs w:val="21"/>
          <w:highlight w:val="none"/>
        </w:rPr>
        <w:t>委托人对监理人损失的赔偿责任</w:t>
      </w:r>
    </w:p>
    <w:p>
      <w:pPr>
        <w:spacing w:before="138" w:line="357" w:lineRule="auto"/>
        <w:ind w:left="424" w:right="461" w:firstLine="439"/>
        <w:rPr>
          <w:color w:val="auto"/>
          <w:szCs w:val="21"/>
          <w:highlight w:val="none"/>
        </w:rPr>
      </w:pPr>
      <w:r>
        <w:rPr>
          <w:color w:val="auto"/>
          <w:szCs w:val="21"/>
          <w:highlight w:val="none"/>
        </w:rPr>
        <w:t>委托人违反监理合同的约定并造成监理人的经济损失，除项目专用合同条款另有约定外，委托人应据实赔偿监理人的直接经济损失。</w:t>
      </w:r>
    </w:p>
    <w:p>
      <w:pPr>
        <w:ind w:left="863"/>
        <w:rPr>
          <w:color w:val="auto"/>
          <w:szCs w:val="21"/>
          <w:highlight w:val="none"/>
        </w:rPr>
      </w:pPr>
      <w:r>
        <w:rPr>
          <w:color w:val="auto"/>
          <w:spacing w:val="-10"/>
          <w:szCs w:val="21"/>
          <w:highlight w:val="none"/>
        </w:rPr>
        <w:t xml:space="preserve">本条补充第 </w:t>
      </w:r>
      <w:r>
        <w:rPr>
          <w:rFonts w:ascii="Times New Roman" w:eastAsia="Times New Roman"/>
          <w:color w:val="auto"/>
          <w:spacing w:val="-3"/>
          <w:szCs w:val="21"/>
          <w:highlight w:val="none"/>
        </w:rPr>
        <w:t>11.4</w:t>
      </w:r>
      <w:r>
        <w:rPr>
          <w:rFonts w:ascii="Times New Roman" w:eastAsia="Times New Roman"/>
          <w:color w:val="auto"/>
          <w:spacing w:val="3"/>
          <w:szCs w:val="21"/>
          <w:highlight w:val="none"/>
        </w:rPr>
        <w:t xml:space="preserve"> </w:t>
      </w:r>
      <w:r>
        <w:rPr>
          <w:color w:val="auto"/>
          <w:spacing w:val="-15"/>
          <w:szCs w:val="21"/>
          <w:highlight w:val="none"/>
        </w:rPr>
        <w:t xml:space="preserve">款、第 </w:t>
      </w:r>
      <w:r>
        <w:rPr>
          <w:rFonts w:ascii="Times New Roman" w:eastAsia="Times New Roman"/>
          <w:color w:val="auto"/>
          <w:spacing w:val="-3"/>
          <w:szCs w:val="21"/>
          <w:highlight w:val="none"/>
        </w:rPr>
        <w:t>11.5</w:t>
      </w:r>
      <w:r>
        <w:rPr>
          <w:rFonts w:ascii="Times New Roman" w:eastAsia="Times New Roman"/>
          <w:color w:val="auto"/>
          <w:spacing w:val="3"/>
          <w:szCs w:val="21"/>
          <w:highlight w:val="none"/>
        </w:rPr>
        <w:t xml:space="preserve"> </w:t>
      </w:r>
      <w:r>
        <w:rPr>
          <w:color w:val="auto"/>
          <w:szCs w:val="21"/>
          <w:highlight w:val="none"/>
        </w:rPr>
        <w:t>款：</w:t>
      </w:r>
    </w:p>
    <w:p>
      <w:pPr>
        <w:numPr>
          <w:ilvl w:val="1"/>
          <w:numId w:val="35"/>
        </w:numPr>
        <w:tabs>
          <w:tab w:val="left" w:pos="1054"/>
        </w:tabs>
        <w:spacing w:before="95"/>
        <w:ind w:hanging="630"/>
        <w:rPr>
          <w:rFonts w:ascii="黑体" w:eastAsia="黑体"/>
          <w:b/>
          <w:color w:val="auto"/>
          <w:szCs w:val="21"/>
          <w:highlight w:val="none"/>
        </w:rPr>
      </w:pPr>
      <w:r>
        <w:rPr>
          <w:rFonts w:hint="eastAsia" w:ascii="黑体" w:eastAsia="黑体"/>
          <w:b/>
          <w:color w:val="auto"/>
          <w:szCs w:val="21"/>
          <w:highlight w:val="none"/>
        </w:rPr>
        <w:t>赔偿责任的期限</w:t>
      </w:r>
    </w:p>
    <w:p>
      <w:pPr>
        <w:spacing w:before="124"/>
        <w:ind w:right="462"/>
        <w:jc w:val="right"/>
        <w:rPr>
          <w:color w:val="auto"/>
          <w:szCs w:val="21"/>
          <w:highlight w:val="none"/>
        </w:rPr>
      </w:pPr>
      <w:r>
        <w:rPr>
          <w:color w:val="auto"/>
          <w:spacing w:val="-6"/>
          <w:szCs w:val="21"/>
          <w:highlight w:val="none"/>
        </w:rPr>
        <w:t xml:space="preserve">委托人或监理人任何一方向另一方要求的赔偿，均应在赔偿事件发生后的 </w:t>
      </w:r>
      <w:r>
        <w:rPr>
          <w:rFonts w:ascii="Times New Roman" w:eastAsia="Times New Roman"/>
          <w:color w:val="auto"/>
          <w:szCs w:val="21"/>
          <w:highlight w:val="none"/>
        </w:rPr>
        <w:t>28</w:t>
      </w:r>
      <w:r>
        <w:rPr>
          <w:rFonts w:ascii="Times New Roman" w:eastAsia="Times New Roman"/>
          <w:color w:val="auto"/>
          <w:spacing w:val="13"/>
          <w:szCs w:val="21"/>
          <w:highlight w:val="none"/>
        </w:rPr>
        <w:t xml:space="preserve"> </w:t>
      </w:r>
      <w:r>
        <w:rPr>
          <w:color w:val="auto"/>
          <w:szCs w:val="21"/>
          <w:highlight w:val="none"/>
        </w:rPr>
        <w:t>天之内以</w:t>
      </w:r>
    </w:p>
    <w:p>
      <w:pPr>
        <w:spacing w:before="138"/>
        <w:ind w:right="463"/>
        <w:jc w:val="right"/>
        <w:rPr>
          <w:color w:val="auto"/>
          <w:szCs w:val="21"/>
          <w:highlight w:val="none"/>
        </w:rPr>
      </w:pPr>
      <w:r>
        <w:rPr>
          <w:color w:val="auto"/>
          <w:spacing w:val="-3"/>
          <w:szCs w:val="21"/>
          <w:highlight w:val="none"/>
        </w:rPr>
        <w:t xml:space="preserve">书面形式提出索赔。如果该事件具有持续性，则应在事件首次发生后 </w:t>
      </w:r>
      <w:r>
        <w:rPr>
          <w:rFonts w:ascii="Times New Roman" w:eastAsia="Times New Roman"/>
          <w:color w:val="auto"/>
          <w:szCs w:val="21"/>
          <w:highlight w:val="none"/>
        </w:rPr>
        <w:t>7</w:t>
      </w:r>
      <w:r>
        <w:rPr>
          <w:rFonts w:ascii="Times New Roman" w:eastAsia="Times New Roman"/>
          <w:color w:val="auto"/>
          <w:spacing w:val="2"/>
          <w:szCs w:val="21"/>
          <w:highlight w:val="none"/>
        </w:rPr>
        <w:t xml:space="preserve">  </w:t>
      </w:r>
      <w:r>
        <w:rPr>
          <w:color w:val="auto"/>
          <w:spacing w:val="-3"/>
          <w:szCs w:val="21"/>
          <w:highlight w:val="none"/>
        </w:rPr>
        <w:t>天之内提出索赔意</w:t>
      </w:r>
    </w:p>
    <w:p>
      <w:pPr>
        <w:spacing w:before="138" w:line="357" w:lineRule="auto"/>
        <w:ind w:left="424" w:right="460"/>
        <w:jc w:val="both"/>
        <w:rPr>
          <w:color w:val="auto"/>
          <w:szCs w:val="21"/>
          <w:highlight w:val="none"/>
        </w:rPr>
      </w:pPr>
      <w:r>
        <w:rPr>
          <w:color w:val="auto"/>
          <w:spacing w:val="-11"/>
          <w:szCs w:val="21"/>
          <w:highlight w:val="none"/>
        </w:rPr>
        <w:t xml:space="preserve">向，并每隔 </w:t>
      </w:r>
      <w:r>
        <w:rPr>
          <w:rFonts w:ascii="Times New Roman" w:eastAsia="Times New Roman"/>
          <w:color w:val="auto"/>
          <w:szCs w:val="21"/>
          <w:highlight w:val="none"/>
        </w:rPr>
        <w:t xml:space="preserve">7 </w:t>
      </w:r>
      <w:r>
        <w:rPr>
          <w:color w:val="auto"/>
          <w:spacing w:val="-6"/>
          <w:szCs w:val="21"/>
          <w:highlight w:val="none"/>
        </w:rPr>
        <w:t xml:space="preserve">天提供一次该事件仍在持续发展的证明材料，直至该事件结束后 </w:t>
      </w:r>
      <w:r>
        <w:rPr>
          <w:rFonts w:ascii="Times New Roman" w:eastAsia="Times New Roman"/>
          <w:color w:val="auto"/>
          <w:szCs w:val="21"/>
          <w:highlight w:val="none"/>
        </w:rPr>
        <w:t xml:space="preserve">28 </w:t>
      </w:r>
      <w:r>
        <w:rPr>
          <w:color w:val="auto"/>
          <w:spacing w:val="-2"/>
          <w:szCs w:val="21"/>
          <w:highlight w:val="none"/>
        </w:rPr>
        <w:t>天之内提出正式的索赔文件。无论是委托人还是监理人，逾期未提出书面索赔意向书，均失去索赔权利。</w:t>
      </w:r>
    </w:p>
    <w:p>
      <w:pPr>
        <w:numPr>
          <w:ilvl w:val="1"/>
          <w:numId w:val="35"/>
        </w:numPr>
        <w:tabs>
          <w:tab w:val="left" w:pos="1054"/>
        </w:tabs>
        <w:spacing w:line="316" w:lineRule="exact"/>
        <w:ind w:hanging="630"/>
        <w:rPr>
          <w:rFonts w:ascii="黑体" w:eastAsia="黑体"/>
          <w:b/>
          <w:color w:val="auto"/>
          <w:szCs w:val="21"/>
          <w:highlight w:val="none"/>
        </w:rPr>
      </w:pPr>
      <w:r>
        <w:rPr>
          <w:rFonts w:hint="eastAsia" w:ascii="黑体" w:eastAsia="黑体"/>
          <w:b/>
          <w:color w:val="auto"/>
          <w:szCs w:val="21"/>
          <w:highlight w:val="none"/>
        </w:rPr>
        <w:t>赔偿的限额</w:t>
      </w:r>
    </w:p>
    <w:p>
      <w:pPr>
        <w:spacing w:before="126"/>
        <w:ind w:left="863"/>
        <w:rPr>
          <w:rFonts w:ascii="Times New Roman" w:eastAsia="Times New Roman"/>
          <w:color w:val="auto"/>
          <w:szCs w:val="21"/>
          <w:highlight w:val="none"/>
        </w:rPr>
      </w:pPr>
      <w:r>
        <w:rPr>
          <w:color w:val="auto"/>
          <w:szCs w:val="21"/>
          <w:highlight w:val="none"/>
        </w:rPr>
        <w:t xml:space="preserve">除项目专用合同条款另有约定外，合同一方当事人向对方当事人依据本合同条款第 </w:t>
      </w:r>
      <w:r>
        <w:rPr>
          <w:rFonts w:ascii="Times New Roman" w:eastAsia="Times New Roman"/>
          <w:color w:val="auto"/>
          <w:szCs w:val="21"/>
          <w:highlight w:val="none"/>
        </w:rPr>
        <w:t>11.1</w:t>
      </w:r>
    </w:p>
    <w:p>
      <w:pPr>
        <w:spacing w:before="138"/>
        <w:ind w:left="424"/>
        <w:rPr>
          <w:color w:val="auto"/>
          <w:szCs w:val="21"/>
          <w:highlight w:val="none"/>
        </w:rPr>
      </w:pPr>
      <w:r>
        <w:rPr>
          <w:color w:val="auto"/>
          <w:szCs w:val="21"/>
          <w:highlight w:val="none"/>
        </w:rPr>
        <w:t xml:space="preserve">款和第 </w:t>
      </w:r>
      <w:r>
        <w:rPr>
          <w:rFonts w:ascii="Times New Roman" w:eastAsia="Times New Roman"/>
          <w:color w:val="auto"/>
          <w:szCs w:val="21"/>
          <w:highlight w:val="none"/>
        </w:rPr>
        <w:t xml:space="preserve">11.2 </w:t>
      </w:r>
      <w:r>
        <w:rPr>
          <w:color w:val="auto"/>
          <w:szCs w:val="21"/>
          <w:highlight w:val="none"/>
        </w:rPr>
        <w:t>款支付赔偿的最高限额为：</w:t>
      </w:r>
    </w:p>
    <w:p>
      <w:pPr>
        <w:pStyle w:val="32"/>
        <w:numPr>
          <w:ilvl w:val="2"/>
          <w:numId w:val="35"/>
        </w:numPr>
        <w:tabs>
          <w:tab w:val="left" w:pos="1417"/>
        </w:tabs>
        <w:spacing w:before="77" w:after="0" w:line="357" w:lineRule="auto"/>
        <w:ind w:right="464" w:firstLine="439"/>
        <w:rPr>
          <w:color w:val="auto"/>
          <w:szCs w:val="21"/>
          <w:highlight w:val="none"/>
        </w:rPr>
      </w:pPr>
      <w:r>
        <w:rPr>
          <w:color w:val="auto"/>
          <w:spacing w:val="-5"/>
          <w:szCs w:val="21"/>
          <w:highlight w:val="none"/>
        </w:rPr>
        <w:t xml:space="preserve">监理人的累计赔偿限额为监理服务费总额的 </w:t>
      </w:r>
      <w:r>
        <w:rPr>
          <w:rFonts w:ascii="Times New Roman" w:eastAsia="Times New Roman"/>
          <w:color w:val="auto"/>
          <w:spacing w:val="-4"/>
          <w:szCs w:val="21"/>
          <w:highlight w:val="none"/>
        </w:rPr>
        <w:t>30%</w:t>
      </w:r>
      <w:r>
        <w:rPr>
          <w:color w:val="auto"/>
          <w:spacing w:val="-5"/>
          <w:szCs w:val="21"/>
          <w:highlight w:val="none"/>
        </w:rPr>
        <w:t>，当达到此限额时，委托人有权</w:t>
      </w:r>
      <w:r>
        <w:rPr>
          <w:color w:val="auto"/>
          <w:spacing w:val="-3"/>
          <w:szCs w:val="21"/>
          <w:highlight w:val="none"/>
        </w:rPr>
        <w:t>单方面终止监理合同，同时监理人的履约保证金不予退还。</w:t>
      </w:r>
    </w:p>
    <w:p>
      <w:pPr>
        <w:pStyle w:val="32"/>
        <w:numPr>
          <w:ilvl w:val="2"/>
          <w:numId w:val="35"/>
        </w:numPr>
        <w:tabs>
          <w:tab w:val="left" w:pos="1417"/>
        </w:tabs>
        <w:spacing w:after="0" w:line="240" w:lineRule="auto"/>
        <w:ind w:left="1416" w:hanging="554"/>
        <w:rPr>
          <w:color w:val="auto"/>
          <w:szCs w:val="21"/>
          <w:highlight w:val="none"/>
        </w:rPr>
      </w:pPr>
      <w:r>
        <w:rPr>
          <w:color w:val="auto"/>
          <w:spacing w:val="-3"/>
          <w:szCs w:val="21"/>
          <w:highlight w:val="none"/>
        </w:rPr>
        <w:t>委托人赔偿监理人的直接经济损失的累计限额为监理服务费总额。</w:t>
      </w:r>
    </w:p>
    <w:p>
      <w:pPr>
        <w:spacing w:before="138" w:line="357" w:lineRule="auto"/>
        <w:ind w:left="424" w:right="462" w:firstLine="439"/>
        <w:rPr>
          <w:color w:val="auto"/>
          <w:szCs w:val="21"/>
          <w:highlight w:val="none"/>
        </w:rPr>
      </w:pPr>
      <w:r>
        <w:rPr>
          <w:color w:val="auto"/>
          <w:szCs w:val="21"/>
          <w:highlight w:val="none"/>
        </w:rPr>
        <w:t>合同双方同意放弃超过上述限额的剩余赔偿要求，但本合同其他条款约定的补偿和由于任何一方故意违约而引起的索赔，不受该限额的限制。</w:t>
      </w:r>
    </w:p>
    <w:p>
      <w:pPr>
        <w:pStyle w:val="9"/>
        <w:rPr>
          <w:color w:val="auto"/>
          <w:sz w:val="21"/>
          <w:szCs w:val="21"/>
          <w:highlight w:val="none"/>
        </w:rPr>
      </w:pPr>
    </w:p>
    <w:p>
      <w:pPr>
        <w:pStyle w:val="9"/>
        <w:spacing w:before="5"/>
        <w:rPr>
          <w:color w:val="auto"/>
          <w:sz w:val="21"/>
          <w:szCs w:val="21"/>
          <w:highlight w:val="none"/>
        </w:rPr>
      </w:pPr>
    </w:p>
    <w:p>
      <w:pPr>
        <w:pStyle w:val="6"/>
        <w:numPr>
          <w:ilvl w:val="0"/>
          <w:numId w:val="32"/>
        </w:numPr>
        <w:tabs>
          <w:tab w:val="left" w:pos="984"/>
        </w:tabs>
        <w:spacing w:after="0" w:line="240" w:lineRule="auto"/>
        <w:ind w:left="983" w:hanging="560"/>
        <w:rPr>
          <w:color w:val="auto"/>
          <w:sz w:val="21"/>
          <w:szCs w:val="21"/>
          <w:highlight w:val="none"/>
        </w:rPr>
      </w:pPr>
      <w:r>
        <w:rPr>
          <w:color w:val="auto"/>
          <w:sz w:val="21"/>
          <w:szCs w:val="21"/>
          <w:highlight w:val="none"/>
        </w:rPr>
        <w:t>争议的解决</w:t>
      </w:r>
    </w:p>
    <w:p>
      <w:pPr>
        <w:pStyle w:val="9"/>
        <w:spacing w:before="3"/>
        <w:rPr>
          <w:rFonts w:ascii="黑体"/>
          <w:b/>
          <w:color w:val="auto"/>
          <w:sz w:val="21"/>
          <w:szCs w:val="21"/>
          <w:highlight w:val="none"/>
        </w:rPr>
      </w:pPr>
    </w:p>
    <w:p>
      <w:pPr>
        <w:spacing w:before="1"/>
        <w:ind w:left="863"/>
        <w:rPr>
          <w:color w:val="auto"/>
          <w:szCs w:val="21"/>
          <w:highlight w:val="none"/>
        </w:rPr>
      </w:pPr>
      <w:r>
        <w:rPr>
          <w:color w:val="auto"/>
          <w:szCs w:val="21"/>
          <w:highlight w:val="none"/>
        </w:rPr>
        <w:t>本条补充：</w:t>
      </w:r>
    </w:p>
    <w:p>
      <w:pPr>
        <w:spacing w:before="138" w:line="357" w:lineRule="auto"/>
        <w:ind w:left="424" w:right="464" w:firstLine="439"/>
        <w:rPr>
          <w:color w:val="auto"/>
          <w:szCs w:val="21"/>
          <w:highlight w:val="none"/>
        </w:rPr>
      </w:pPr>
      <w:r>
        <w:rPr>
          <w:color w:val="auto"/>
          <w:szCs w:val="21"/>
          <w:highlight w:val="none"/>
        </w:rPr>
        <w:t>采用仲裁方式最终解决争议的项目，仲裁裁决是终局性的并对委托人和监理人双方均具有约束力。全部仲裁费用应由败诉方承担，或按仲裁委员会裁决的比例分担。</w:t>
      </w:r>
    </w:p>
    <w:p>
      <w:pPr>
        <w:spacing w:after="0" w:line="357" w:lineRule="auto"/>
        <w:rPr>
          <w:color w:val="auto"/>
          <w:szCs w:val="21"/>
          <w:highlight w:val="none"/>
        </w:rPr>
        <w:sectPr>
          <w:pgSz w:w="11910" w:h="16850"/>
          <w:pgMar w:top="1460" w:right="1120" w:bottom="1280" w:left="1220" w:header="882" w:footer="1093" w:gutter="0"/>
          <w:cols w:space="720" w:num="1"/>
        </w:sectPr>
      </w:pPr>
    </w:p>
    <w:p>
      <w:pPr>
        <w:pStyle w:val="6"/>
        <w:numPr>
          <w:ilvl w:val="1"/>
          <w:numId w:val="11"/>
        </w:numPr>
        <w:tabs>
          <w:tab w:val="left" w:pos="3925"/>
        </w:tabs>
        <w:spacing w:before="144" w:after="0" w:line="240" w:lineRule="auto"/>
        <w:ind w:left="3924" w:hanging="455"/>
        <w:jc w:val="left"/>
        <w:rPr>
          <w:color w:val="auto"/>
          <w:sz w:val="21"/>
          <w:szCs w:val="21"/>
          <w:highlight w:val="none"/>
        </w:rPr>
      </w:pPr>
      <w:r>
        <w:rPr>
          <w:color w:val="auto"/>
          <w:sz w:val="21"/>
          <w:szCs w:val="21"/>
          <w:highlight w:val="none"/>
        </w:rPr>
        <w:t>项目专用合同条款</w:t>
      </w:r>
    </w:p>
    <w:p>
      <w:pPr>
        <w:pStyle w:val="9"/>
        <w:spacing w:before="11"/>
        <w:rPr>
          <w:rFonts w:ascii="黑体"/>
          <w:b/>
          <w:color w:val="auto"/>
          <w:sz w:val="21"/>
          <w:szCs w:val="21"/>
          <w:highlight w:val="none"/>
        </w:rPr>
      </w:pPr>
    </w:p>
    <w:p>
      <w:pPr>
        <w:pStyle w:val="9"/>
        <w:tabs>
          <w:tab w:val="left" w:pos="904"/>
        </w:tabs>
        <w:ind w:left="424"/>
        <w:rPr>
          <w:color w:val="auto"/>
          <w:sz w:val="21"/>
          <w:szCs w:val="21"/>
          <w:highlight w:val="none"/>
        </w:rPr>
      </w:pPr>
      <w:r>
        <w:rPr>
          <w:rFonts w:hint="eastAsia" w:ascii="黑体" w:eastAsia="黑体"/>
          <w:color w:val="auto"/>
          <w:sz w:val="21"/>
          <w:szCs w:val="21"/>
          <w:highlight w:val="none"/>
        </w:rPr>
        <w:t>说</w:t>
      </w:r>
      <w:r>
        <w:rPr>
          <w:rFonts w:hint="eastAsia" w:ascii="黑体" w:eastAsia="黑体"/>
          <w:color w:val="auto"/>
          <w:sz w:val="21"/>
          <w:szCs w:val="21"/>
          <w:highlight w:val="none"/>
        </w:rPr>
        <w:tab/>
      </w:r>
      <w:r>
        <w:rPr>
          <w:rFonts w:hint="eastAsia" w:ascii="黑体" w:eastAsia="黑体"/>
          <w:color w:val="auto"/>
          <w:sz w:val="21"/>
          <w:szCs w:val="21"/>
          <w:highlight w:val="none"/>
        </w:rPr>
        <w:t>明</w:t>
      </w:r>
      <w:r>
        <w:rPr>
          <w:color w:val="auto"/>
          <w:sz w:val="21"/>
          <w:szCs w:val="21"/>
          <w:highlight w:val="none"/>
        </w:rPr>
        <w:t>：</w:t>
      </w:r>
    </w:p>
    <w:p>
      <w:pPr>
        <w:pStyle w:val="32"/>
        <w:numPr>
          <w:ilvl w:val="0"/>
          <w:numId w:val="36"/>
        </w:numPr>
        <w:tabs>
          <w:tab w:val="left" w:pos="1349"/>
        </w:tabs>
        <w:spacing w:before="230" w:after="0" w:line="321" w:lineRule="auto"/>
        <w:ind w:right="460" w:firstLine="719"/>
        <w:jc w:val="both"/>
        <w:rPr>
          <w:color w:val="auto"/>
          <w:szCs w:val="21"/>
          <w:highlight w:val="none"/>
        </w:rPr>
      </w:pPr>
      <w:r>
        <w:rPr>
          <w:color w:val="auto"/>
          <w:szCs w:val="21"/>
          <w:highlight w:val="none"/>
        </w:rPr>
        <w:t>招标人在根据《公路工程标准施工监理招标文件》编制项目招标文件中的</w:t>
      </w:r>
      <w:r>
        <w:rPr>
          <w:color w:val="auto"/>
          <w:spacing w:val="6"/>
          <w:w w:val="65"/>
          <w:szCs w:val="21"/>
          <w:highlight w:val="none"/>
        </w:rPr>
        <w:t>“</w:t>
      </w:r>
      <w:r>
        <w:rPr>
          <w:color w:val="auto"/>
          <w:spacing w:val="6"/>
          <w:w w:val="95"/>
          <w:szCs w:val="21"/>
          <w:highlight w:val="none"/>
        </w:rPr>
        <w:t>项目专用合同条款</w:t>
      </w:r>
      <w:r>
        <w:rPr>
          <w:color w:val="auto"/>
          <w:spacing w:val="6"/>
          <w:w w:val="65"/>
          <w:szCs w:val="21"/>
          <w:highlight w:val="none"/>
        </w:rPr>
        <w:t>”</w:t>
      </w:r>
      <w:r>
        <w:rPr>
          <w:color w:val="auto"/>
          <w:spacing w:val="6"/>
          <w:w w:val="95"/>
          <w:szCs w:val="21"/>
          <w:highlight w:val="none"/>
        </w:rPr>
        <w:t>时，可根据招标项目的具体特点和实际需要，对</w:t>
      </w:r>
      <w:r>
        <w:rPr>
          <w:color w:val="auto"/>
          <w:spacing w:val="6"/>
          <w:w w:val="65"/>
          <w:szCs w:val="21"/>
          <w:highlight w:val="none"/>
        </w:rPr>
        <w:t>“</w:t>
      </w:r>
      <w:r>
        <w:rPr>
          <w:color w:val="auto"/>
          <w:spacing w:val="4"/>
          <w:w w:val="95"/>
          <w:szCs w:val="21"/>
          <w:highlight w:val="none"/>
        </w:rPr>
        <w:t xml:space="preserve">通用合同条 </w:t>
      </w:r>
      <w:r>
        <w:rPr>
          <w:color w:val="auto"/>
          <w:spacing w:val="4"/>
          <w:w w:val="90"/>
          <w:szCs w:val="21"/>
          <w:highlight w:val="none"/>
        </w:rPr>
        <w:t>款”及</w:t>
      </w:r>
      <w:r>
        <w:rPr>
          <w:color w:val="auto"/>
          <w:spacing w:val="4"/>
          <w:w w:val="65"/>
          <w:szCs w:val="21"/>
          <w:highlight w:val="none"/>
        </w:rPr>
        <w:t>“</w:t>
      </w:r>
      <w:r>
        <w:rPr>
          <w:color w:val="auto"/>
          <w:spacing w:val="4"/>
          <w:w w:val="90"/>
          <w:szCs w:val="21"/>
          <w:highlight w:val="none"/>
        </w:rPr>
        <w:t>公路工程专用合同条款”进行补充和细化，除“通用合同条款</w:t>
      </w:r>
      <w:r>
        <w:rPr>
          <w:color w:val="auto"/>
          <w:spacing w:val="4"/>
          <w:w w:val="65"/>
          <w:szCs w:val="21"/>
          <w:highlight w:val="none"/>
        </w:rPr>
        <w:t>”</w:t>
      </w:r>
      <w:r>
        <w:rPr>
          <w:color w:val="auto"/>
          <w:spacing w:val="4"/>
          <w:w w:val="90"/>
          <w:szCs w:val="21"/>
          <w:highlight w:val="none"/>
        </w:rPr>
        <w:t>明确“专用合同条</w:t>
      </w:r>
      <w:r>
        <w:rPr>
          <w:color w:val="auto"/>
          <w:spacing w:val="4"/>
          <w:w w:val="95"/>
          <w:szCs w:val="21"/>
          <w:highlight w:val="none"/>
        </w:rPr>
        <w:t>款</w:t>
      </w:r>
      <w:r>
        <w:rPr>
          <w:color w:val="auto"/>
          <w:spacing w:val="4"/>
          <w:w w:val="65"/>
          <w:szCs w:val="21"/>
          <w:highlight w:val="none"/>
        </w:rPr>
        <w:t>”</w:t>
      </w:r>
      <w:r>
        <w:rPr>
          <w:color w:val="auto"/>
          <w:w w:val="95"/>
          <w:szCs w:val="21"/>
          <w:highlight w:val="none"/>
        </w:rPr>
        <w:t>可作出不同约定以及</w:t>
      </w:r>
      <w:r>
        <w:rPr>
          <w:color w:val="auto"/>
          <w:w w:val="65"/>
          <w:szCs w:val="21"/>
          <w:highlight w:val="none"/>
        </w:rPr>
        <w:t>“</w:t>
      </w:r>
      <w:r>
        <w:rPr>
          <w:color w:val="auto"/>
          <w:w w:val="95"/>
          <w:szCs w:val="21"/>
          <w:highlight w:val="none"/>
        </w:rPr>
        <w:t>公路工程专用合同条款</w:t>
      </w:r>
      <w:r>
        <w:rPr>
          <w:color w:val="auto"/>
          <w:w w:val="65"/>
          <w:szCs w:val="21"/>
          <w:highlight w:val="none"/>
        </w:rPr>
        <w:t>”</w:t>
      </w:r>
      <w:r>
        <w:rPr>
          <w:color w:val="auto"/>
          <w:spacing w:val="2"/>
          <w:w w:val="95"/>
          <w:szCs w:val="21"/>
          <w:highlight w:val="none"/>
        </w:rPr>
        <w:t>明确</w:t>
      </w:r>
      <w:r>
        <w:rPr>
          <w:color w:val="auto"/>
          <w:spacing w:val="3"/>
          <w:w w:val="65"/>
          <w:szCs w:val="21"/>
          <w:highlight w:val="none"/>
        </w:rPr>
        <w:t>“</w:t>
      </w:r>
      <w:r>
        <w:rPr>
          <w:color w:val="auto"/>
          <w:w w:val="95"/>
          <w:szCs w:val="21"/>
          <w:highlight w:val="none"/>
        </w:rPr>
        <w:t>项目专用合同条款</w:t>
      </w:r>
      <w:r>
        <w:rPr>
          <w:color w:val="auto"/>
          <w:spacing w:val="3"/>
          <w:w w:val="65"/>
          <w:szCs w:val="21"/>
          <w:highlight w:val="none"/>
        </w:rPr>
        <w:t>”</w:t>
      </w:r>
      <w:r>
        <w:rPr>
          <w:color w:val="auto"/>
          <w:spacing w:val="2"/>
          <w:w w:val="95"/>
          <w:szCs w:val="21"/>
          <w:highlight w:val="none"/>
        </w:rPr>
        <w:t>可作出不</w:t>
      </w:r>
      <w:r>
        <w:rPr>
          <w:color w:val="auto"/>
          <w:spacing w:val="4"/>
          <w:w w:val="95"/>
          <w:szCs w:val="21"/>
          <w:highlight w:val="none"/>
        </w:rPr>
        <w:t>同约定外，补充和细化的内容不得与</w:t>
      </w:r>
      <w:r>
        <w:rPr>
          <w:color w:val="auto"/>
          <w:spacing w:val="3"/>
          <w:w w:val="65"/>
          <w:szCs w:val="21"/>
          <w:highlight w:val="none"/>
        </w:rPr>
        <w:t>“</w:t>
      </w:r>
      <w:r>
        <w:rPr>
          <w:color w:val="auto"/>
          <w:spacing w:val="4"/>
          <w:w w:val="95"/>
          <w:szCs w:val="21"/>
          <w:highlight w:val="none"/>
        </w:rPr>
        <w:t>通用合同条款</w:t>
      </w:r>
      <w:r>
        <w:rPr>
          <w:color w:val="auto"/>
          <w:spacing w:val="3"/>
          <w:w w:val="65"/>
          <w:szCs w:val="21"/>
          <w:highlight w:val="none"/>
        </w:rPr>
        <w:t>”</w:t>
      </w:r>
      <w:r>
        <w:rPr>
          <w:color w:val="auto"/>
          <w:spacing w:val="6"/>
          <w:w w:val="95"/>
          <w:szCs w:val="21"/>
          <w:highlight w:val="none"/>
        </w:rPr>
        <w:t>及</w:t>
      </w:r>
      <w:r>
        <w:rPr>
          <w:color w:val="auto"/>
          <w:spacing w:val="3"/>
          <w:w w:val="65"/>
          <w:szCs w:val="21"/>
          <w:highlight w:val="none"/>
        </w:rPr>
        <w:t>“</w:t>
      </w:r>
      <w:r>
        <w:rPr>
          <w:color w:val="auto"/>
          <w:spacing w:val="4"/>
          <w:w w:val="95"/>
          <w:szCs w:val="21"/>
          <w:highlight w:val="none"/>
        </w:rPr>
        <w:t>公路工程专用合同条款</w:t>
      </w:r>
      <w:r>
        <w:rPr>
          <w:color w:val="auto"/>
          <w:spacing w:val="3"/>
          <w:w w:val="65"/>
          <w:szCs w:val="21"/>
          <w:highlight w:val="none"/>
        </w:rPr>
        <w:t>”</w:t>
      </w:r>
      <w:r>
        <w:rPr>
          <w:color w:val="auto"/>
          <w:w w:val="95"/>
          <w:szCs w:val="21"/>
          <w:highlight w:val="none"/>
        </w:rPr>
        <w:t>强</w:t>
      </w:r>
      <w:r>
        <w:rPr>
          <w:color w:val="auto"/>
          <w:szCs w:val="21"/>
          <w:highlight w:val="none"/>
        </w:rPr>
        <w:t>制性规定相抵触。同时，补充、细化或约定的内容，不得违反法律、行政法规的强制性规定和平等、自愿、公平和诚实信用原则。</w:t>
      </w:r>
    </w:p>
    <w:p>
      <w:pPr>
        <w:pStyle w:val="32"/>
        <w:numPr>
          <w:ilvl w:val="0"/>
          <w:numId w:val="36"/>
        </w:numPr>
        <w:tabs>
          <w:tab w:val="left" w:pos="1356"/>
        </w:tabs>
        <w:spacing w:before="127" w:after="0" w:line="240" w:lineRule="auto"/>
        <w:ind w:left="1355" w:hanging="212"/>
        <w:rPr>
          <w:color w:val="auto"/>
          <w:szCs w:val="21"/>
          <w:highlight w:val="none"/>
        </w:rPr>
      </w:pPr>
      <w:r>
        <w:rPr>
          <w:color w:val="auto"/>
          <w:spacing w:val="8"/>
          <w:szCs w:val="21"/>
          <w:highlight w:val="none"/>
        </w:rPr>
        <w:t>项目专用合同条款的编号应与通用合同条款和公路工程专用合同条款一</w:t>
      </w:r>
    </w:p>
    <w:p>
      <w:pPr>
        <w:pStyle w:val="9"/>
        <w:spacing w:before="82"/>
        <w:ind w:left="424"/>
        <w:rPr>
          <w:color w:val="auto"/>
          <w:sz w:val="21"/>
          <w:szCs w:val="21"/>
          <w:highlight w:val="none"/>
        </w:rPr>
      </w:pPr>
      <w:r>
        <w:rPr>
          <w:color w:val="auto"/>
          <w:sz w:val="21"/>
          <w:szCs w:val="21"/>
          <w:highlight w:val="none"/>
        </w:rPr>
        <w:t>致。</w:t>
      </w:r>
    </w:p>
    <w:p>
      <w:pPr>
        <w:pStyle w:val="32"/>
        <w:numPr>
          <w:ilvl w:val="0"/>
          <w:numId w:val="36"/>
        </w:numPr>
        <w:tabs>
          <w:tab w:val="left" w:pos="1347"/>
        </w:tabs>
        <w:spacing w:before="230" w:after="0" w:line="240" w:lineRule="auto"/>
        <w:ind w:left="1346" w:hanging="203"/>
        <w:rPr>
          <w:color w:val="auto"/>
          <w:szCs w:val="21"/>
          <w:highlight w:val="none"/>
        </w:rPr>
      </w:pPr>
      <w:r>
        <w:rPr>
          <w:color w:val="auto"/>
          <w:spacing w:val="-1"/>
          <w:szCs w:val="21"/>
          <w:highlight w:val="none"/>
        </w:rPr>
        <w:t>项目专用合同条款可对下列内容进行补充和细化：</w:t>
      </w:r>
    </w:p>
    <w:p>
      <w:pPr>
        <w:pStyle w:val="32"/>
        <w:numPr>
          <w:ilvl w:val="0"/>
          <w:numId w:val="37"/>
        </w:numPr>
        <w:tabs>
          <w:tab w:val="left" w:pos="1445"/>
        </w:tabs>
        <w:spacing w:before="202" w:after="0" w:line="240" w:lineRule="auto"/>
        <w:ind w:hanging="301"/>
        <w:rPr>
          <w:color w:val="auto"/>
          <w:szCs w:val="21"/>
          <w:highlight w:val="none"/>
        </w:rPr>
      </w:pPr>
      <w:r>
        <w:rPr>
          <w:color w:val="auto"/>
          <w:spacing w:val="6"/>
          <w:w w:val="65"/>
          <w:szCs w:val="21"/>
          <w:highlight w:val="none"/>
        </w:rPr>
        <w:t>“</w:t>
      </w:r>
      <w:r>
        <w:rPr>
          <w:color w:val="auto"/>
          <w:spacing w:val="5"/>
          <w:w w:val="95"/>
          <w:szCs w:val="21"/>
          <w:highlight w:val="none"/>
        </w:rPr>
        <w:t>通用合同条款</w:t>
      </w:r>
      <w:r>
        <w:rPr>
          <w:color w:val="auto"/>
          <w:spacing w:val="3"/>
          <w:w w:val="65"/>
          <w:szCs w:val="21"/>
          <w:highlight w:val="none"/>
        </w:rPr>
        <w:t>”</w:t>
      </w:r>
      <w:r>
        <w:rPr>
          <w:color w:val="auto"/>
          <w:spacing w:val="5"/>
          <w:w w:val="95"/>
          <w:szCs w:val="21"/>
          <w:highlight w:val="none"/>
        </w:rPr>
        <w:t>中明确指出</w:t>
      </w:r>
      <w:r>
        <w:rPr>
          <w:color w:val="auto"/>
          <w:spacing w:val="6"/>
          <w:w w:val="65"/>
          <w:szCs w:val="21"/>
          <w:highlight w:val="none"/>
        </w:rPr>
        <w:t>“</w:t>
      </w:r>
      <w:r>
        <w:rPr>
          <w:color w:val="auto"/>
          <w:spacing w:val="4"/>
          <w:w w:val="95"/>
          <w:szCs w:val="21"/>
          <w:highlight w:val="none"/>
        </w:rPr>
        <w:t>专用合同条款</w:t>
      </w:r>
      <w:r>
        <w:rPr>
          <w:color w:val="auto"/>
          <w:spacing w:val="3"/>
          <w:w w:val="65"/>
          <w:szCs w:val="21"/>
          <w:highlight w:val="none"/>
        </w:rPr>
        <w:t>”</w:t>
      </w:r>
      <w:r>
        <w:rPr>
          <w:color w:val="auto"/>
          <w:spacing w:val="6"/>
          <w:w w:val="95"/>
          <w:szCs w:val="21"/>
          <w:highlight w:val="none"/>
        </w:rPr>
        <w:t>可对</w:t>
      </w:r>
      <w:r>
        <w:rPr>
          <w:color w:val="auto"/>
          <w:spacing w:val="6"/>
          <w:w w:val="65"/>
          <w:szCs w:val="21"/>
          <w:highlight w:val="none"/>
        </w:rPr>
        <w:t>“</w:t>
      </w:r>
      <w:r>
        <w:rPr>
          <w:color w:val="auto"/>
          <w:spacing w:val="4"/>
          <w:w w:val="95"/>
          <w:szCs w:val="21"/>
          <w:highlight w:val="none"/>
        </w:rPr>
        <w:t>通用合同条款</w:t>
      </w:r>
      <w:r>
        <w:rPr>
          <w:color w:val="auto"/>
          <w:spacing w:val="6"/>
          <w:w w:val="65"/>
          <w:szCs w:val="21"/>
          <w:highlight w:val="none"/>
        </w:rPr>
        <w:t>”</w:t>
      </w:r>
      <w:r>
        <w:rPr>
          <w:color w:val="auto"/>
          <w:spacing w:val="3"/>
          <w:w w:val="95"/>
          <w:szCs w:val="21"/>
          <w:highlight w:val="none"/>
        </w:rPr>
        <w:t>进行修改</w:t>
      </w:r>
    </w:p>
    <w:p>
      <w:pPr>
        <w:pStyle w:val="9"/>
        <w:spacing w:before="85" w:line="297" w:lineRule="auto"/>
        <w:ind w:left="424" w:right="477"/>
        <w:rPr>
          <w:color w:val="auto"/>
          <w:sz w:val="21"/>
          <w:szCs w:val="21"/>
          <w:highlight w:val="none"/>
        </w:rPr>
      </w:pPr>
      <w:r>
        <w:rPr>
          <w:color w:val="auto"/>
          <w:w w:val="90"/>
          <w:sz w:val="21"/>
          <w:szCs w:val="21"/>
          <w:highlight w:val="none"/>
        </w:rPr>
        <w:t>的内容</w:t>
      </w:r>
      <w:r>
        <w:rPr>
          <w:rFonts w:hint="eastAsia" w:ascii="PMingLiU" w:hAnsi="PMingLiU" w:eastAsia="PMingLiU"/>
          <w:color w:val="auto"/>
          <w:w w:val="90"/>
          <w:sz w:val="21"/>
          <w:szCs w:val="21"/>
          <w:highlight w:val="none"/>
        </w:rPr>
        <w:t>(</w:t>
      </w:r>
      <w:r>
        <w:rPr>
          <w:color w:val="auto"/>
          <w:spacing w:val="4"/>
          <w:w w:val="90"/>
          <w:sz w:val="21"/>
          <w:szCs w:val="21"/>
          <w:highlight w:val="none"/>
        </w:rPr>
        <w:t>在</w:t>
      </w:r>
      <w:r>
        <w:rPr>
          <w:color w:val="auto"/>
          <w:w w:val="65"/>
          <w:sz w:val="21"/>
          <w:szCs w:val="21"/>
          <w:highlight w:val="none"/>
        </w:rPr>
        <w:t>“</w:t>
      </w:r>
      <w:r>
        <w:rPr>
          <w:color w:val="auto"/>
          <w:w w:val="90"/>
          <w:sz w:val="21"/>
          <w:szCs w:val="21"/>
          <w:highlight w:val="none"/>
        </w:rPr>
        <w:t>通用合同条款</w:t>
      </w:r>
      <w:r>
        <w:rPr>
          <w:color w:val="auto"/>
          <w:w w:val="65"/>
          <w:sz w:val="21"/>
          <w:szCs w:val="21"/>
          <w:highlight w:val="none"/>
        </w:rPr>
        <w:t>”</w:t>
      </w:r>
      <w:r>
        <w:rPr>
          <w:color w:val="auto"/>
          <w:spacing w:val="2"/>
          <w:w w:val="90"/>
          <w:sz w:val="21"/>
          <w:szCs w:val="21"/>
          <w:highlight w:val="none"/>
        </w:rPr>
        <w:t>中用</w:t>
      </w:r>
      <w:r>
        <w:rPr>
          <w:color w:val="auto"/>
          <w:w w:val="65"/>
          <w:sz w:val="21"/>
          <w:szCs w:val="21"/>
          <w:highlight w:val="none"/>
        </w:rPr>
        <w:t>“</w:t>
      </w:r>
      <w:r>
        <w:rPr>
          <w:color w:val="auto"/>
          <w:w w:val="90"/>
          <w:sz w:val="21"/>
          <w:szCs w:val="21"/>
          <w:highlight w:val="none"/>
        </w:rPr>
        <w:t>应按合同约定</w:t>
      </w:r>
      <w:r>
        <w:rPr>
          <w:color w:val="auto"/>
          <w:w w:val="65"/>
          <w:sz w:val="21"/>
          <w:szCs w:val="21"/>
          <w:highlight w:val="none"/>
        </w:rPr>
        <w:t>”“</w:t>
      </w:r>
      <w:r>
        <w:rPr>
          <w:color w:val="auto"/>
          <w:w w:val="90"/>
          <w:sz w:val="21"/>
          <w:szCs w:val="21"/>
          <w:highlight w:val="none"/>
        </w:rPr>
        <w:t>按专用合同条款约定</w:t>
      </w:r>
      <w:r>
        <w:rPr>
          <w:color w:val="auto"/>
          <w:w w:val="65"/>
          <w:sz w:val="21"/>
          <w:szCs w:val="21"/>
          <w:highlight w:val="none"/>
        </w:rPr>
        <w:t>”“</w:t>
      </w:r>
      <w:r>
        <w:rPr>
          <w:color w:val="auto"/>
          <w:w w:val="90"/>
          <w:sz w:val="21"/>
          <w:szCs w:val="21"/>
          <w:highlight w:val="none"/>
        </w:rPr>
        <w:t>除合同另有约  定外”“除专用合同条款另有约定外”“在专用合同条款中约定”等多种文字形式表达</w:t>
      </w:r>
      <w:r>
        <w:rPr>
          <w:rFonts w:hint="eastAsia" w:ascii="PMingLiU" w:hAnsi="PMingLiU" w:eastAsia="PMingLiU"/>
          <w:color w:val="auto"/>
          <w:w w:val="90"/>
          <w:sz w:val="21"/>
          <w:szCs w:val="21"/>
          <w:highlight w:val="none"/>
        </w:rPr>
        <w:t>)</w:t>
      </w:r>
      <w:r>
        <w:rPr>
          <w:color w:val="auto"/>
          <w:w w:val="90"/>
          <w:sz w:val="21"/>
          <w:szCs w:val="21"/>
          <w:highlight w:val="none"/>
        </w:rPr>
        <w:t>；</w:t>
      </w:r>
    </w:p>
    <w:p>
      <w:pPr>
        <w:pStyle w:val="32"/>
        <w:numPr>
          <w:ilvl w:val="0"/>
          <w:numId w:val="37"/>
        </w:numPr>
        <w:tabs>
          <w:tab w:val="left" w:pos="1440"/>
        </w:tabs>
        <w:spacing w:before="123" w:after="0" w:line="307" w:lineRule="auto"/>
        <w:ind w:left="424" w:right="468" w:firstLine="719"/>
        <w:jc w:val="both"/>
        <w:rPr>
          <w:color w:val="auto"/>
          <w:szCs w:val="21"/>
          <w:highlight w:val="none"/>
        </w:rPr>
      </w:pPr>
      <w:r>
        <w:rPr>
          <w:color w:val="auto"/>
          <w:w w:val="65"/>
          <w:szCs w:val="21"/>
          <w:highlight w:val="none"/>
        </w:rPr>
        <w:t>“</w:t>
      </w:r>
      <w:r>
        <w:rPr>
          <w:color w:val="auto"/>
          <w:w w:val="95"/>
          <w:szCs w:val="21"/>
          <w:highlight w:val="none"/>
        </w:rPr>
        <w:t>公路工程专用合同条款</w:t>
      </w:r>
      <w:r>
        <w:rPr>
          <w:color w:val="auto"/>
          <w:w w:val="65"/>
          <w:szCs w:val="21"/>
          <w:highlight w:val="none"/>
        </w:rPr>
        <w:t>”</w:t>
      </w:r>
      <w:r>
        <w:rPr>
          <w:color w:val="auto"/>
          <w:w w:val="95"/>
          <w:szCs w:val="21"/>
          <w:highlight w:val="none"/>
        </w:rPr>
        <w:t>中明确指出</w:t>
      </w:r>
      <w:r>
        <w:rPr>
          <w:color w:val="auto"/>
          <w:w w:val="65"/>
          <w:szCs w:val="21"/>
          <w:highlight w:val="none"/>
        </w:rPr>
        <w:t>“</w:t>
      </w:r>
      <w:r>
        <w:rPr>
          <w:color w:val="auto"/>
          <w:w w:val="95"/>
          <w:szCs w:val="21"/>
          <w:highlight w:val="none"/>
        </w:rPr>
        <w:t>项目专用合同条款</w:t>
      </w:r>
      <w:r>
        <w:rPr>
          <w:color w:val="auto"/>
          <w:w w:val="65"/>
          <w:szCs w:val="21"/>
          <w:highlight w:val="none"/>
        </w:rPr>
        <w:t>”</w:t>
      </w:r>
      <w:r>
        <w:rPr>
          <w:color w:val="auto"/>
          <w:w w:val="95"/>
          <w:szCs w:val="21"/>
          <w:highlight w:val="none"/>
        </w:rPr>
        <w:t>可对</w:t>
      </w:r>
      <w:r>
        <w:rPr>
          <w:color w:val="auto"/>
          <w:w w:val="65"/>
          <w:szCs w:val="21"/>
          <w:highlight w:val="none"/>
        </w:rPr>
        <w:t>“</w:t>
      </w:r>
      <w:r>
        <w:rPr>
          <w:color w:val="auto"/>
          <w:w w:val="95"/>
          <w:szCs w:val="21"/>
          <w:highlight w:val="none"/>
        </w:rPr>
        <w:t>公路工程专用合同条款</w:t>
      </w:r>
      <w:r>
        <w:rPr>
          <w:color w:val="auto"/>
          <w:w w:val="65"/>
          <w:szCs w:val="21"/>
          <w:highlight w:val="none"/>
        </w:rPr>
        <w:t>”</w:t>
      </w:r>
      <w:r>
        <w:rPr>
          <w:color w:val="auto"/>
          <w:w w:val="95"/>
          <w:szCs w:val="21"/>
          <w:highlight w:val="none"/>
        </w:rPr>
        <w:t>进行修改的内容</w:t>
      </w:r>
      <w:r>
        <w:rPr>
          <w:rFonts w:hint="eastAsia" w:ascii="PMingLiU" w:hAnsi="PMingLiU" w:eastAsia="PMingLiU"/>
          <w:color w:val="auto"/>
          <w:spacing w:val="4"/>
          <w:w w:val="95"/>
          <w:szCs w:val="21"/>
          <w:highlight w:val="none"/>
        </w:rPr>
        <w:t>(</w:t>
      </w:r>
      <w:r>
        <w:rPr>
          <w:color w:val="auto"/>
          <w:spacing w:val="2"/>
          <w:w w:val="65"/>
          <w:szCs w:val="21"/>
          <w:highlight w:val="none"/>
        </w:rPr>
        <w:t>在“</w:t>
      </w:r>
      <w:r>
        <w:rPr>
          <w:color w:val="auto"/>
          <w:w w:val="95"/>
          <w:szCs w:val="21"/>
          <w:highlight w:val="none"/>
        </w:rPr>
        <w:t>公路工程专用合同条款</w:t>
      </w:r>
      <w:r>
        <w:rPr>
          <w:color w:val="auto"/>
          <w:w w:val="65"/>
          <w:szCs w:val="21"/>
          <w:highlight w:val="none"/>
        </w:rPr>
        <w:t>”</w:t>
      </w:r>
      <w:r>
        <w:rPr>
          <w:color w:val="auto"/>
          <w:spacing w:val="2"/>
          <w:w w:val="95"/>
          <w:szCs w:val="21"/>
          <w:highlight w:val="none"/>
        </w:rPr>
        <w:t>中用</w:t>
      </w:r>
      <w:r>
        <w:rPr>
          <w:color w:val="auto"/>
          <w:w w:val="65"/>
          <w:szCs w:val="21"/>
          <w:highlight w:val="none"/>
        </w:rPr>
        <w:t>“</w:t>
      </w:r>
      <w:r>
        <w:rPr>
          <w:color w:val="auto"/>
          <w:w w:val="95"/>
          <w:szCs w:val="21"/>
          <w:highlight w:val="none"/>
        </w:rPr>
        <w:t>除项目专用合同条款 另有约定外</w:t>
      </w:r>
      <w:r>
        <w:rPr>
          <w:color w:val="auto"/>
          <w:w w:val="65"/>
          <w:szCs w:val="21"/>
          <w:highlight w:val="none"/>
        </w:rPr>
        <w:t>”“</w:t>
      </w:r>
      <w:r>
        <w:rPr>
          <w:color w:val="auto"/>
          <w:w w:val="95"/>
          <w:szCs w:val="21"/>
          <w:highlight w:val="none"/>
        </w:rPr>
        <w:t>项目专用合同条款约定的</w:t>
      </w:r>
      <w:r>
        <w:rPr>
          <w:color w:val="auto"/>
          <w:w w:val="65"/>
          <w:szCs w:val="21"/>
          <w:highlight w:val="none"/>
        </w:rPr>
        <w:t>”“</w:t>
      </w:r>
      <w:r>
        <w:rPr>
          <w:color w:val="auto"/>
          <w:w w:val="95"/>
          <w:szCs w:val="21"/>
          <w:highlight w:val="none"/>
        </w:rPr>
        <w:t>项目专用合同条款约定的其他情形</w:t>
      </w:r>
      <w:r>
        <w:rPr>
          <w:color w:val="auto"/>
          <w:spacing w:val="3"/>
          <w:w w:val="65"/>
          <w:szCs w:val="21"/>
          <w:highlight w:val="none"/>
        </w:rPr>
        <w:t>”</w:t>
      </w:r>
      <w:r>
        <w:rPr>
          <w:color w:val="auto"/>
          <w:w w:val="95"/>
          <w:szCs w:val="21"/>
          <w:highlight w:val="none"/>
        </w:rPr>
        <w:t>等多种</w:t>
      </w:r>
      <w:r>
        <w:rPr>
          <w:color w:val="auto"/>
          <w:szCs w:val="21"/>
          <w:highlight w:val="none"/>
        </w:rPr>
        <w:t>文字形式表达</w:t>
      </w:r>
      <w:r>
        <w:rPr>
          <w:rFonts w:hint="eastAsia" w:ascii="PMingLiU" w:hAnsi="PMingLiU" w:eastAsia="PMingLiU"/>
          <w:color w:val="auto"/>
          <w:szCs w:val="21"/>
          <w:highlight w:val="none"/>
        </w:rPr>
        <w:t>)</w:t>
      </w:r>
      <w:r>
        <w:rPr>
          <w:color w:val="auto"/>
          <w:szCs w:val="21"/>
          <w:highlight w:val="none"/>
        </w:rPr>
        <w:t>。</w:t>
      </w:r>
    </w:p>
    <w:p>
      <w:pPr>
        <w:pStyle w:val="32"/>
        <w:numPr>
          <w:ilvl w:val="0"/>
          <w:numId w:val="37"/>
        </w:numPr>
        <w:tabs>
          <w:tab w:val="left" w:pos="1439"/>
        </w:tabs>
        <w:spacing w:before="111" w:after="0" w:line="240" w:lineRule="auto"/>
        <w:ind w:left="1438" w:hanging="295"/>
        <w:rPr>
          <w:color w:val="auto"/>
          <w:szCs w:val="21"/>
          <w:highlight w:val="none"/>
        </w:rPr>
        <w:sectPr>
          <w:pgSz w:w="11910" w:h="16850"/>
          <w:pgMar w:top="1460" w:right="1120" w:bottom="1280" w:left="1220" w:header="882" w:footer="1093" w:gutter="0"/>
          <w:cols w:space="720" w:num="1"/>
        </w:sectPr>
      </w:pPr>
      <w:r>
        <w:rPr>
          <w:color w:val="auto"/>
          <w:szCs w:val="21"/>
          <w:highlight w:val="none"/>
        </w:rPr>
        <w:t>其他需要补充、细化的内容。</w:t>
      </w:r>
    </w:p>
    <w:p>
      <w:pPr>
        <w:pStyle w:val="9"/>
        <w:spacing w:before="3"/>
        <w:jc w:val="both"/>
        <w:rPr>
          <w:color w:val="auto"/>
          <w:sz w:val="21"/>
          <w:szCs w:val="21"/>
          <w:highlight w:val="none"/>
        </w:rPr>
      </w:pPr>
    </w:p>
    <w:p>
      <w:pPr>
        <w:pStyle w:val="6"/>
        <w:numPr>
          <w:ilvl w:val="0"/>
          <w:numId w:val="38"/>
        </w:numPr>
        <w:tabs>
          <w:tab w:val="left" w:pos="826"/>
        </w:tabs>
        <w:spacing w:before="64" w:after="0" w:line="240" w:lineRule="auto"/>
        <w:ind w:hanging="402"/>
        <w:rPr>
          <w:color w:val="auto"/>
          <w:sz w:val="21"/>
          <w:szCs w:val="21"/>
          <w:highlight w:val="none"/>
        </w:rPr>
      </w:pPr>
      <w:r>
        <w:rPr>
          <w:color w:val="auto"/>
          <w:w w:val="95"/>
          <w:sz w:val="21"/>
          <w:szCs w:val="21"/>
          <w:highlight w:val="none"/>
        </w:rPr>
        <w:t>一般约定</w:t>
      </w:r>
    </w:p>
    <w:p>
      <w:pPr>
        <w:numPr>
          <w:ilvl w:val="1"/>
          <w:numId w:val="38"/>
        </w:numPr>
        <w:tabs>
          <w:tab w:val="left" w:pos="914"/>
        </w:tabs>
        <w:spacing w:before="293"/>
        <w:rPr>
          <w:rFonts w:ascii="黑体" w:eastAsia="黑体"/>
          <w:b/>
          <w:color w:val="auto"/>
          <w:szCs w:val="21"/>
          <w:highlight w:val="none"/>
        </w:rPr>
      </w:pPr>
      <w:r>
        <w:rPr>
          <w:rFonts w:hint="eastAsia" w:ascii="黑体" w:eastAsia="黑体"/>
          <w:b/>
          <w:color w:val="auto"/>
          <w:szCs w:val="21"/>
          <w:highlight w:val="none"/>
        </w:rPr>
        <w:t>词语定义</w:t>
      </w:r>
    </w:p>
    <w:p>
      <w:pPr>
        <w:tabs>
          <w:tab w:val="left" w:pos="5539"/>
        </w:tabs>
        <w:spacing w:before="128"/>
        <w:ind w:left="863"/>
        <w:rPr>
          <w:color w:val="auto"/>
          <w:szCs w:val="21"/>
          <w:highlight w:val="none"/>
        </w:rPr>
      </w:pPr>
      <w:r>
        <w:rPr>
          <w:color w:val="auto"/>
          <w:szCs w:val="21"/>
          <w:highlight w:val="none"/>
        </w:rPr>
        <mc:AlternateContent>
          <mc:Choice Requires="wps">
            <w:drawing>
              <wp:anchor distT="0" distB="0" distL="114300" distR="114300" simplePos="0" relativeHeight="251654144" behindDoc="0" locked="0" layoutInCell="1" allowOverlap="1">
                <wp:simplePos x="0" y="0"/>
                <wp:positionH relativeFrom="page">
                  <wp:posOffset>2336165</wp:posOffset>
                </wp:positionH>
                <wp:positionV relativeFrom="paragraph">
                  <wp:posOffset>236220</wp:posOffset>
                </wp:positionV>
                <wp:extent cx="1955800" cy="5715"/>
                <wp:effectExtent l="0" t="0" r="0" b="0"/>
                <wp:wrapNone/>
                <wp:docPr id="11" name="矩形 11"/>
                <wp:cNvGraphicFramePr/>
                <a:graphic xmlns:a="http://schemas.openxmlformats.org/drawingml/2006/main">
                  <a:graphicData uri="http://schemas.microsoft.com/office/word/2010/wordprocessingShape">
                    <wps:wsp>
                      <wps:cNvSpPr/>
                      <wps:spPr>
                        <a:xfrm>
                          <a:off x="0" y="0"/>
                          <a:ext cx="1955800" cy="5715"/>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183.95pt;margin-top:18.6pt;height:0.45pt;width:154pt;mso-position-horizontal-relative:page;z-index:251654144;mso-width-relative:page;mso-height-relative:page;" fillcolor="#000000" filled="t" stroked="f" coordsize="21600,21600" o:gfxdata="UEsDBAoAAAAAAIdO4kAAAAAAAAAAAAAAAAAEAAAAZHJzL1BLAwQUAAAACACHTuJAIGwRcNkAAAAJ&#10;AQAADwAAAGRycy9kb3ducmV2LnhtbE2PzU7DMBCE70i8g7VI3KiTQJM0jVOpSByRaOFAb068TaLG&#10;6xC7P/D0LKdy250ZzX5bri52ECecfO9IQTyLQCA1zvTUKvh4f3nIQfigyejBESr4Rg+r6vam1IVx&#10;Z9rgaRtawSXkC62gC2EspPRNh1b7mRuR2Nu7yerA69RKM+kzl9tBJlGUSqt74gudHvG5w+awPVoF&#10;60W+/np7otefTb3D3Wd9mCdTpNT9XRwtQQS8hGsY/vAZHSpmqt2RjBeDgsc0W3CUhywBwYE0m7NQ&#10;s5DHIKtS/v+g+gVQSwMEFAAAAAgAh07iQBkbiwCTAQAAEQMAAA4AAABkcnMvZTJvRG9jLnhtbK1S&#10;S27bMBDdF8gdCO5rSgHcpoLlLBokm6INkPYANEVKBEgOMWQs+zQFuushepyi1+iQdpyk3QXRYjQ/&#10;Ps57w9Xlzju21ZgshJ63i4YzHRQMNow9//b1+u0FZynLMEgHQfd8rxO/XJ+9Wc2x0+cwgRs0MgIJ&#10;qZtjz6ecYydEUpP2Mi0g6kBFA+hlphBHMaCcCd07cd4078QMOEQEpVOi7NWhyNcV3xit8hdjks7M&#10;9Zxmy9VitZtixXoluxFlnKw6jiFfMIWXNtClJ6grmSW7R/sflLcKIYHJCwVegDFW6cqB2LTNP2zu&#10;Jhl15ULipHiSKb0erPq8vUVmB9pdy1mQnnb05/vP379+MEqQOnNMHTXdxVs8RoncQnVn0Jc/kWC7&#10;quj+pKjeZaYo2X5YLi8aEl5Rbfm+XRZI8Xg2Yso3GjwrTs+R9lVllNtPKR9aH1rKVQmcHa6tczXA&#10;cfPRIdvKstv6HdGftblQmgOUYwfEkhGF14FJ8TYw7EmH+4h2nGiQSr32kO514uMbKYt9Glekx5e8&#10;/g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F&#10;BAAAW0NvbnRlbnRfVHlwZXNdLnhtbFBLAQIUAAoAAAAAAIdO4kAAAAAAAAAAAAAAAAAGAAAAAAAA&#10;AAAAEAAAAOcCAABfcmVscy9QSwECFAAUAAAACACHTuJAihRmPNEAAACUAQAACwAAAAAAAAABACAA&#10;AAALAwAAX3JlbHMvLnJlbHNQSwECFAAKAAAAAACHTuJAAAAAAAAAAAAAAAAABAAAAAAAAAAAABAA&#10;AAAAAAAAZHJzL1BLAQIUABQAAAAIAIdO4kAgbBFw2QAAAAkBAAAPAAAAAAAAAAEAIAAAACIAAABk&#10;cnMvZG93bnJldi54bWxQSwECFAAUAAAACACHTuJAGRuLAJMBAAARAwAADgAAAAAAAAABACAAAAAo&#10;AQAAZHJzL2Uyb0RvYy54bWxQSwUGAAAAAAYABgBZAQAALQUAAAAA&#10;">
                <v:fill on="t" focussize="0,0"/>
                <v:stroke on="f"/>
                <v:imagedata o:title=""/>
                <o:lock v:ext="edit" aspectratio="f"/>
              </v:rect>
            </w:pict>
          </mc:Fallback>
        </mc:AlternateContent>
      </w:r>
      <w:r>
        <w:rPr>
          <w:rFonts w:ascii="Times New Roman" w:eastAsia="Times New Roman"/>
          <w:color w:val="auto"/>
          <w:szCs w:val="21"/>
          <w:highlight w:val="none"/>
        </w:rPr>
        <w:t xml:space="preserve">1.1.2.2 </w:t>
      </w:r>
      <w:r>
        <w:rPr>
          <w:rFonts w:ascii="Times New Roman" w:eastAsia="Times New Roman"/>
          <w:color w:val="auto"/>
          <w:spacing w:val="2"/>
          <w:szCs w:val="21"/>
          <w:highlight w:val="none"/>
        </w:rPr>
        <w:t xml:space="preserve"> </w:t>
      </w:r>
      <w:r>
        <w:rPr>
          <w:color w:val="auto"/>
          <w:spacing w:val="-3"/>
          <w:szCs w:val="21"/>
          <w:highlight w:val="none"/>
        </w:rPr>
        <w:t>委</w:t>
      </w:r>
      <w:r>
        <w:rPr>
          <w:color w:val="auto"/>
          <w:szCs w:val="21"/>
          <w:highlight w:val="none"/>
        </w:rPr>
        <w:t>托人：</w:t>
      </w:r>
      <w:r>
        <w:rPr>
          <w:color w:val="auto"/>
          <w:szCs w:val="21"/>
          <w:highlight w:val="none"/>
        </w:rPr>
        <w:tab/>
      </w:r>
      <w:r>
        <w:rPr>
          <w:color w:val="auto"/>
          <w:szCs w:val="21"/>
          <w:highlight w:val="none"/>
        </w:rPr>
        <w:t>。</w:t>
      </w:r>
    </w:p>
    <w:p>
      <w:pPr>
        <w:tabs>
          <w:tab w:val="left" w:pos="6641"/>
        </w:tabs>
        <w:spacing w:before="126"/>
        <w:ind w:left="863"/>
        <w:rPr>
          <w:color w:val="auto"/>
          <w:szCs w:val="21"/>
          <w:highlight w:val="none"/>
        </w:rPr>
      </w:pPr>
      <w:r>
        <w:rPr>
          <w:rFonts w:ascii="Times New Roman" w:eastAsia="Times New Roman"/>
          <w:color w:val="auto"/>
          <w:szCs w:val="21"/>
          <w:highlight w:val="none"/>
        </w:rPr>
        <w:t xml:space="preserve">1.1.3.1 </w:t>
      </w:r>
      <w:r>
        <w:rPr>
          <w:rFonts w:ascii="Times New Roman" w:eastAsia="Times New Roman"/>
          <w:color w:val="auto"/>
          <w:spacing w:val="5"/>
          <w:szCs w:val="21"/>
          <w:highlight w:val="none"/>
        </w:rPr>
        <w:t xml:space="preserve"> </w:t>
      </w:r>
      <w:r>
        <w:rPr>
          <w:color w:val="auto"/>
          <w:spacing w:val="-3"/>
          <w:szCs w:val="21"/>
          <w:highlight w:val="none"/>
        </w:rPr>
        <w:t>本</w:t>
      </w:r>
      <w:r>
        <w:rPr>
          <w:color w:val="auto"/>
          <w:szCs w:val="21"/>
          <w:highlight w:val="none"/>
        </w:rPr>
        <w:t>次进</w:t>
      </w:r>
      <w:r>
        <w:rPr>
          <w:color w:val="auto"/>
          <w:spacing w:val="-3"/>
          <w:szCs w:val="21"/>
          <w:highlight w:val="none"/>
        </w:rPr>
        <w:t>行</w:t>
      </w:r>
      <w:r>
        <w:rPr>
          <w:color w:val="auto"/>
          <w:szCs w:val="21"/>
          <w:highlight w:val="none"/>
        </w:rPr>
        <w:t>施工</w:t>
      </w:r>
      <w:r>
        <w:rPr>
          <w:color w:val="auto"/>
          <w:spacing w:val="-3"/>
          <w:szCs w:val="21"/>
          <w:highlight w:val="none"/>
        </w:rPr>
        <w:t>监</w:t>
      </w:r>
      <w:r>
        <w:rPr>
          <w:color w:val="auto"/>
          <w:szCs w:val="21"/>
          <w:highlight w:val="none"/>
        </w:rPr>
        <w:t>理招标</w:t>
      </w:r>
      <w:r>
        <w:rPr>
          <w:color w:val="auto"/>
          <w:spacing w:val="-3"/>
          <w:szCs w:val="21"/>
          <w:highlight w:val="none"/>
        </w:rPr>
        <w:t>的</w:t>
      </w:r>
      <w:r>
        <w:rPr>
          <w:color w:val="auto"/>
          <w:szCs w:val="21"/>
          <w:highlight w:val="none"/>
        </w:rPr>
        <w:t>项目为</w:t>
      </w:r>
      <w:r>
        <w:rPr>
          <w:color w:val="auto"/>
          <w:szCs w:val="21"/>
          <w:highlight w:val="none"/>
          <w:u w:val="single"/>
        </w:rPr>
        <w:t xml:space="preserve"> </w:t>
      </w:r>
      <w:r>
        <w:rPr>
          <w:color w:val="auto"/>
          <w:szCs w:val="21"/>
          <w:highlight w:val="none"/>
          <w:u w:val="single"/>
        </w:rPr>
        <w:tab/>
      </w:r>
      <w:r>
        <w:rPr>
          <w:color w:val="auto"/>
          <w:szCs w:val="21"/>
          <w:highlight w:val="none"/>
        </w:rPr>
        <w:t>公</w:t>
      </w:r>
      <w:r>
        <w:rPr>
          <w:color w:val="auto"/>
          <w:spacing w:val="-3"/>
          <w:szCs w:val="21"/>
          <w:highlight w:val="none"/>
        </w:rPr>
        <w:t>路</w:t>
      </w:r>
      <w:r>
        <w:rPr>
          <w:color w:val="auto"/>
          <w:szCs w:val="21"/>
          <w:highlight w:val="none"/>
        </w:rPr>
        <w:t>工程。</w:t>
      </w:r>
    </w:p>
    <w:p>
      <w:pPr>
        <w:tabs>
          <w:tab w:val="left" w:pos="6804"/>
          <w:tab w:val="left" w:pos="8014"/>
        </w:tabs>
        <w:spacing w:before="129" w:line="350" w:lineRule="auto"/>
        <w:ind w:left="863" w:right="1328"/>
        <w:rPr>
          <w:color w:val="auto"/>
          <w:szCs w:val="21"/>
          <w:highlight w:val="none"/>
        </w:rPr>
      </w:pPr>
      <w:r>
        <w:rPr>
          <w:color w:val="auto"/>
          <w:szCs w:val="21"/>
          <w:highlight w:val="none"/>
        </w:rPr>
        <w:t>工程地</w:t>
      </w:r>
      <w:r>
        <w:rPr>
          <w:color w:val="auto"/>
          <w:spacing w:val="-3"/>
          <w:szCs w:val="21"/>
          <w:highlight w:val="none"/>
        </w:rPr>
        <w:t>点</w:t>
      </w:r>
      <w:r>
        <w:rPr>
          <w:color w:val="auto"/>
          <w:szCs w:val="21"/>
          <w:highlight w:val="none"/>
        </w:rPr>
        <w:t>：</w:t>
      </w:r>
      <w:r>
        <w:rPr>
          <w:color w:val="auto"/>
          <w:szCs w:val="21"/>
          <w:highlight w:val="none"/>
          <w:u w:val="single"/>
        </w:rPr>
        <w:t xml:space="preserve"> </w:t>
      </w:r>
      <w:r>
        <w:rPr>
          <w:color w:val="auto"/>
          <w:szCs w:val="21"/>
          <w:highlight w:val="none"/>
          <w:u w:val="single"/>
        </w:rPr>
        <w:tab/>
      </w:r>
      <w:r>
        <w:rPr>
          <w:color w:val="auto"/>
          <w:szCs w:val="21"/>
          <w:highlight w:val="none"/>
          <w:u w:val="single"/>
        </w:rPr>
        <w:tab/>
      </w:r>
      <w:r>
        <w:rPr>
          <w:color w:val="auto"/>
          <w:spacing w:val="-17"/>
          <w:szCs w:val="21"/>
          <w:highlight w:val="none"/>
        </w:rPr>
        <w:t xml:space="preserve">； </w:t>
      </w:r>
      <w:r>
        <w:rPr>
          <w:color w:val="auto"/>
          <w:szCs w:val="21"/>
          <w:highlight w:val="none"/>
        </w:rPr>
        <w:t>起迄桩</w:t>
      </w:r>
      <w:r>
        <w:rPr>
          <w:color w:val="auto"/>
          <w:spacing w:val="-3"/>
          <w:szCs w:val="21"/>
          <w:highlight w:val="none"/>
        </w:rPr>
        <w:t>号</w:t>
      </w:r>
      <w:r>
        <w:rPr>
          <w:color w:val="auto"/>
          <w:szCs w:val="21"/>
          <w:highlight w:val="none"/>
        </w:rPr>
        <w:t>：</w:t>
      </w:r>
      <w:r>
        <w:rPr>
          <w:color w:val="auto"/>
          <w:szCs w:val="21"/>
          <w:highlight w:val="none"/>
          <w:u w:val="single"/>
        </w:rPr>
        <w:t xml:space="preserve"> </w:t>
      </w:r>
      <w:r>
        <w:rPr>
          <w:color w:val="auto"/>
          <w:szCs w:val="21"/>
          <w:highlight w:val="none"/>
          <w:u w:val="single"/>
        </w:rPr>
        <w:tab/>
      </w:r>
      <w:r>
        <w:rPr>
          <w:color w:val="auto"/>
          <w:szCs w:val="21"/>
          <w:highlight w:val="none"/>
        </w:rPr>
        <w:t>；</w:t>
      </w:r>
    </w:p>
    <w:p>
      <w:pPr>
        <w:tabs>
          <w:tab w:val="left" w:pos="7464"/>
          <w:tab w:val="left" w:pos="8122"/>
        </w:tabs>
        <w:spacing w:line="350" w:lineRule="auto"/>
        <w:ind w:left="863" w:right="1220"/>
        <w:rPr>
          <w:color w:val="auto"/>
          <w:szCs w:val="21"/>
          <w:highlight w:val="none"/>
        </w:rPr>
      </w:pPr>
      <w:r>
        <w:rPr>
          <w:color w:val="auto"/>
          <w:szCs w:val="21"/>
          <w:highlight w:val="none"/>
        </w:rPr>
        <w:t>施工合</w:t>
      </w:r>
      <w:r>
        <w:rPr>
          <w:color w:val="auto"/>
          <w:spacing w:val="-3"/>
          <w:szCs w:val="21"/>
          <w:highlight w:val="none"/>
        </w:rPr>
        <w:t>同</w:t>
      </w:r>
      <w:r>
        <w:rPr>
          <w:color w:val="auto"/>
          <w:szCs w:val="21"/>
          <w:highlight w:val="none"/>
        </w:rPr>
        <w:t>标段</w:t>
      </w:r>
      <w:r>
        <w:rPr>
          <w:color w:val="auto"/>
          <w:spacing w:val="-3"/>
          <w:szCs w:val="21"/>
          <w:highlight w:val="none"/>
        </w:rPr>
        <w:t>划</w:t>
      </w:r>
      <w:r>
        <w:rPr>
          <w:color w:val="auto"/>
          <w:szCs w:val="21"/>
          <w:highlight w:val="none"/>
        </w:rPr>
        <w:t>分：</w:t>
      </w:r>
      <w:r>
        <w:rPr>
          <w:color w:val="auto"/>
          <w:szCs w:val="21"/>
          <w:highlight w:val="none"/>
          <w:u w:val="single"/>
        </w:rPr>
        <w:t xml:space="preserve"> </w:t>
      </w:r>
      <w:r>
        <w:rPr>
          <w:color w:val="auto"/>
          <w:szCs w:val="21"/>
          <w:highlight w:val="none"/>
          <w:u w:val="single"/>
        </w:rPr>
        <w:tab/>
      </w:r>
      <w:r>
        <w:rPr>
          <w:color w:val="auto"/>
          <w:szCs w:val="21"/>
          <w:highlight w:val="none"/>
          <w:u w:val="single"/>
        </w:rPr>
        <w:tab/>
      </w:r>
      <w:r>
        <w:rPr>
          <w:color w:val="auto"/>
          <w:spacing w:val="-17"/>
          <w:szCs w:val="21"/>
          <w:highlight w:val="none"/>
        </w:rPr>
        <w:t xml:space="preserve">； </w:t>
      </w:r>
      <w:r>
        <w:rPr>
          <w:color w:val="auto"/>
          <w:szCs w:val="21"/>
          <w:highlight w:val="none"/>
        </w:rPr>
        <w:t>监理合</w:t>
      </w:r>
      <w:r>
        <w:rPr>
          <w:color w:val="auto"/>
          <w:spacing w:val="-3"/>
          <w:szCs w:val="21"/>
          <w:highlight w:val="none"/>
        </w:rPr>
        <w:t>同</w:t>
      </w:r>
      <w:r>
        <w:rPr>
          <w:color w:val="auto"/>
          <w:szCs w:val="21"/>
          <w:highlight w:val="none"/>
        </w:rPr>
        <w:t>标段</w:t>
      </w:r>
      <w:r>
        <w:rPr>
          <w:color w:val="auto"/>
          <w:spacing w:val="-3"/>
          <w:szCs w:val="21"/>
          <w:highlight w:val="none"/>
        </w:rPr>
        <w:t>划</w:t>
      </w:r>
      <w:r>
        <w:rPr>
          <w:color w:val="auto"/>
          <w:szCs w:val="21"/>
          <w:highlight w:val="none"/>
        </w:rPr>
        <w:t>分：</w:t>
      </w:r>
      <w:r>
        <w:rPr>
          <w:color w:val="auto"/>
          <w:szCs w:val="21"/>
          <w:highlight w:val="none"/>
          <w:u w:val="single"/>
        </w:rPr>
        <w:t xml:space="preserve"> </w:t>
      </w:r>
      <w:r>
        <w:rPr>
          <w:color w:val="auto"/>
          <w:szCs w:val="21"/>
          <w:highlight w:val="none"/>
          <w:u w:val="single"/>
        </w:rPr>
        <w:tab/>
      </w:r>
      <w:r>
        <w:rPr>
          <w:color w:val="auto"/>
          <w:szCs w:val="21"/>
          <w:highlight w:val="none"/>
        </w:rPr>
        <w:t>；</w:t>
      </w:r>
    </w:p>
    <w:p>
      <w:pPr>
        <w:tabs>
          <w:tab w:val="left" w:pos="7464"/>
        </w:tabs>
        <w:spacing w:line="280" w:lineRule="exact"/>
        <w:ind w:left="863"/>
        <w:rPr>
          <w:color w:val="auto"/>
          <w:szCs w:val="21"/>
          <w:highlight w:val="none"/>
        </w:rPr>
      </w:pPr>
      <w:r>
        <w:rPr>
          <w:color w:val="auto"/>
          <w:szCs w:val="21"/>
          <w:highlight w:val="none"/>
        </w:rPr>
        <w:t>工程概</w:t>
      </w:r>
      <w:r>
        <w:rPr>
          <w:color w:val="auto"/>
          <w:spacing w:val="-3"/>
          <w:szCs w:val="21"/>
          <w:highlight w:val="none"/>
        </w:rPr>
        <w:t>况</w:t>
      </w:r>
      <w:r>
        <w:rPr>
          <w:color w:val="auto"/>
          <w:szCs w:val="21"/>
          <w:highlight w:val="none"/>
        </w:rPr>
        <w:t>：</w:t>
      </w:r>
      <w:r>
        <w:rPr>
          <w:color w:val="auto"/>
          <w:szCs w:val="21"/>
          <w:highlight w:val="none"/>
          <w:u w:val="single"/>
        </w:rPr>
        <w:t xml:space="preserve"> </w:t>
      </w:r>
      <w:r>
        <w:rPr>
          <w:color w:val="auto"/>
          <w:szCs w:val="21"/>
          <w:highlight w:val="none"/>
          <w:u w:val="single"/>
        </w:rPr>
        <w:tab/>
      </w:r>
      <w:r>
        <w:rPr>
          <w:color w:val="auto"/>
          <w:szCs w:val="21"/>
          <w:highlight w:val="none"/>
        </w:rPr>
        <w:t>。</w:t>
      </w:r>
    </w:p>
    <w:p>
      <w:pPr>
        <w:spacing w:before="48"/>
        <w:ind w:left="424"/>
        <w:rPr>
          <w:rFonts w:ascii="黑体" w:eastAsia="黑体"/>
          <w:b/>
          <w:color w:val="auto"/>
          <w:szCs w:val="21"/>
          <w:highlight w:val="none"/>
        </w:rPr>
      </w:pPr>
      <w:r>
        <w:rPr>
          <w:rFonts w:ascii="Times New Roman" w:eastAsia="Times New Roman"/>
          <w:b/>
          <w:color w:val="auto"/>
          <w:szCs w:val="21"/>
          <w:highlight w:val="none"/>
        </w:rPr>
        <w:t>1.12</w:t>
      </w:r>
      <w:r>
        <w:rPr>
          <w:rFonts w:ascii="Times New Roman" w:eastAsia="Times New Roman"/>
          <w:b/>
          <w:color w:val="auto"/>
          <w:spacing w:val="68"/>
          <w:szCs w:val="21"/>
          <w:highlight w:val="none"/>
        </w:rPr>
        <w:t xml:space="preserve"> </w:t>
      </w:r>
      <w:r>
        <w:rPr>
          <w:rFonts w:hint="eastAsia" w:ascii="黑体" w:eastAsia="黑体"/>
          <w:b/>
          <w:color w:val="auto"/>
          <w:szCs w:val="21"/>
          <w:highlight w:val="none"/>
        </w:rPr>
        <w:t>委托人要求</w:t>
      </w:r>
    </w:p>
    <w:p>
      <w:pPr>
        <w:tabs>
          <w:tab w:val="left" w:pos="2844"/>
          <w:tab w:val="left" w:pos="6362"/>
          <w:tab w:val="left" w:pos="8665"/>
        </w:tabs>
        <w:spacing w:before="128" w:line="350" w:lineRule="auto"/>
        <w:ind w:left="424" w:right="467" w:firstLine="439"/>
        <w:rPr>
          <w:color w:val="auto"/>
          <w:szCs w:val="21"/>
          <w:highlight w:val="none"/>
        </w:rPr>
      </w:pPr>
      <w:r>
        <w:rPr>
          <w:rFonts w:ascii="Times New Roman" w:eastAsia="Times New Roman"/>
          <w:color w:val="auto"/>
          <w:szCs w:val="21"/>
          <w:highlight w:val="none"/>
        </w:rPr>
        <w:t xml:space="preserve">1.12.3 </w:t>
      </w:r>
      <w:r>
        <w:rPr>
          <w:rFonts w:ascii="Times New Roman" w:eastAsia="Times New Roman"/>
          <w:color w:val="auto"/>
          <w:spacing w:val="14"/>
          <w:szCs w:val="21"/>
          <w:highlight w:val="none"/>
        </w:rPr>
        <w:t xml:space="preserve"> </w:t>
      </w:r>
      <w:r>
        <w:rPr>
          <w:color w:val="auto"/>
          <w:spacing w:val="-3"/>
          <w:szCs w:val="21"/>
          <w:highlight w:val="none"/>
        </w:rPr>
        <w:t>委</w:t>
      </w:r>
      <w:r>
        <w:rPr>
          <w:color w:val="auto"/>
          <w:szCs w:val="21"/>
          <w:highlight w:val="none"/>
        </w:rPr>
        <w:t>托人</w:t>
      </w:r>
      <w:r>
        <w:rPr>
          <w:color w:val="auto"/>
          <w:spacing w:val="-3"/>
          <w:szCs w:val="21"/>
          <w:highlight w:val="none"/>
        </w:rPr>
        <w:t>提</w:t>
      </w:r>
      <w:r>
        <w:rPr>
          <w:color w:val="auto"/>
          <w:szCs w:val="21"/>
          <w:highlight w:val="none"/>
        </w:rPr>
        <w:t>供国</w:t>
      </w:r>
      <w:r>
        <w:rPr>
          <w:color w:val="auto"/>
          <w:spacing w:val="-3"/>
          <w:szCs w:val="21"/>
          <w:highlight w:val="none"/>
        </w:rPr>
        <w:t>外规</w:t>
      </w:r>
      <w:r>
        <w:rPr>
          <w:color w:val="auto"/>
          <w:szCs w:val="21"/>
          <w:highlight w:val="none"/>
        </w:rPr>
        <w:t>范和标</w:t>
      </w:r>
      <w:r>
        <w:rPr>
          <w:color w:val="auto"/>
          <w:spacing w:val="-3"/>
          <w:szCs w:val="21"/>
          <w:highlight w:val="none"/>
        </w:rPr>
        <w:t>准</w:t>
      </w:r>
      <w:r>
        <w:rPr>
          <w:color w:val="auto"/>
          <w:szCs w:val="21"/>
          <w:highlight w:val="none"/>
        </w:rPr>
        <w:t>的时间</w:t>
      </w:r>
      <w:r>
        <w:rPr>
          <w:color w:val="auto"/>
          <w:spacing w:val="-5"/>
          <w:szCs w:val="21"/>
          <w:highlight w:val="none"/>
        </w:rPr>
        <w:t>：</w:t>
      </w:r>
      <w:r>
        <w:rPr>
          <w:color w:val="auto"/>
          <w:spacing w:val="-5"/>
          <w:szCs w:val="21"/>
          <w:highlight w:val="none"/>
          <w:u w:val="single"/>
        </w:rPr>
        <w:t xml:space="preserve"> </w:t>
      </w:r>
      <w:r>
        <w:rPr>
          <w:color w:val="auto"/>
          <w:spacing w:val="-5"/>
          <w:szCs w:val="21"/>
          <w:highlight w:val="none"/>
          <w:u w:val="single"/>
        </w:rPr>
        <w:tab/>
      </w:r>
      <w:r>
        <w:rPr>
          <w:color w:val="auto"/>
          <w:spacing w:val="-5"/>
          <w:szCs w:val="21"/>
          <w:highlight w:val="none"/>
        </w:rPr>
        <w:t>，</w:t>
      </w:r>
      <w:r>
        <w:rPr>
          <w:color w:val="auto"/>
          <w:spacing w:val="-3"/>
          <w:szCs w:val="21"/>
          <w:highlight w:val="none"/>
        </w:rPr>
        <w:t>提</w:t>
      </w:r>
      <w:r>
        <w:rPr>
          <w:color w:val="auto"/>
          <w:szCs w:val="21"/>
          <w:highlight w:val="none"/>
        </w:rPr>
        <w:t>供数量</w:t>
      </w:r>
      <w:r>
        <w:rPr>
          <w:color w:val="auto"/>
          <w:spacing w:val="-5"/>
          <w:szCs w:val="21"/>
          <w:highlight w:val="none"/>
        </w:rPr>
        <w:t>：</w:t>
      </w:r>
      <w:r>
        <w:rPr>
          <w:color w:val="auto"/>
          <w:spacing w:val="-5"/>
          <w:szCs w:val="21"/>
          <w:highlight w:val="none"/>
          <w:u w:val="single"/>
        </w:rPr>
        <w:t xml:space="preserve"> </w:t>
      </w:r>
      <w:r>
        <w:rPr>
          <w:color w:val="auto"/>
          <w:spacing w:val="-5"/>
          <w:szCs w:val="21"/>
          <w:highlight w:val="none"/>
          <w:u w:val="single"/>
        </w:rPr>
        <w:tab/>
      </w:r>
      <w:r>
        <w:rPr>
          <w:color w:val="auto"/>
          <w:spacing w:val="-5"/>
          <w:szCs w:val="21"/>
          <w:highlight w:val="none"/>
        </w:rPr>
        <w:t>，</w:t>
      </w:r>
      <w:r>
        <w:rPr>
          <w:color w:val="auto"/>
          <w:spacing w:val="-23"/>
          <w:szCs w:val="21"/>
          <w:highlight w:val="none"/>
        </w:rPr>
        <w:t>其</w:t>
      </w:r>
      <w:r>
        <w:rPr>
          <w:color w:val="auto"/>
          <w:szCs w:val="21"/>
          <w:highlight w:val="none"/>
        </w:rPr>
        <w:t>他要求：</w:t>
      </w:r>
      <w:r>
        <w:rPr>
          <w:color w:val="auto"/>
          <w:szCs w:val="21"/>
          <w:highlight w:val="none"/>
          <w:u w:val="single"/>
        </w:rPr>
        <w:t xml:space="preserve"> </w:t>
      </w:r>
      <w:r>
        <w:rPr>
          <w:color w:val="auto"/>
          <w:szCs w:val="21"/>
          <w:highlight w:val="none"/>
          <w:u w:val="single"/>
        </w:rPr>
        <w:tab/>
      </w:r>
      <w:r>
        <w:rPr>
          <w:color w:val="auto"/>
          <w:szCs w:val="21"/>
          <w:highlight w:val="none"/>
        </w:rPr>
        <w:t>。</w:t>
      </w:r>
    </w:p>
    <w:p>
      <w:pPr>
        <w:pStyle w:val="6"/>
        <w:numPr>
          <w:ilvl w:val="0"/>
          <w:numId w:val="39"/>
        </w:numPr>
        <w:tabs>
          <w:tab w:val="left" w:pos="826"/>
        </w:tabs>
        <w:spacing w:after="0" w:line="240" w:lineRule="auto"/>
        <w:ind w:hanging="402"/>
        <w:rPr>
          <w:color w:val="auto"/>
          <w:sz w:val="21"/>
          <w:szCs w:val="21"/>
          <w:highlight w:val="none"/>
        </w:rPr>
      </w:pPr>
      <w:r>
        <w:rPr>
          <w:color w:val="auto"/>
          <w:w w:val="95"/>
          <w:sz w:val="21"/>
          <w:szCs w:val="21"/>
          <w:highlight w:val="none"/>
        </w:rPr>
        <w:t>监理人义务</w:t>
      </w:r>
    </w:p>
    <w:p>
      <w:pPr>
        <w:numPr>
          <w:ilvl w:val="1"/>
          <w:numId w:val="40"/>
        </w:numPr>
        <w:tabs>
          <w:tab w:val="left" w:pos="914"/>
        </w:tabs>
        <w:spacing w:before="292"/>
        <w:rPr>
          <w:rFonts w:ascii="黑体" w:eastAsia="黑体"/>
          <w:b/>
          <w:color w:val="auto"/>
          <w:szCs w:val="21"/>
          <w:highlight w:val="none"/>
        </w:rPr>
      </w:pPr>
      <w:r>
        <w:rPr>
          <w:rFonts w:hint="eastAsia" w:ascii="黑体" w:eastAsia="黑体"/>
          <w:b/>
          <w:color w:val="auto"/>
          <w:szCs w:val="21"/>
          <w:highlight w:val="none"/>
        </w:rPr>
        <w:t>履约保证金</w:t>
      </w:r>
    </w:p>
    <w:p>
      <w:pPr>
        <w:pStyle w:val="32"/>
        <w:numPr>
          <w:ilvl w:val="2"/>
          <w:numId w:val="40"/>
        </w:numPr>
        <w:tabs>
          <w:tab w:val="left" w:pos="1416"/>
          <w:tab w:val="left" w:pos="5486"/>
        </w:tabs>
        <w:spacing w:before="129" w:after="0" w:line="240" w:lineRule="auto"/>
        <w:ind w:hanging="553"/>
        <w:rPr>
          <w:color w:val="auto"/>
          <w:szCs w:val="21"/>
          <w:highlight w:val="none"/>
        </w:rPr>
      </w:pPr>
      <w:r>
        <w:rPr>
          <w:color w:val="auto"/>
          <w:szCs w:val="21"/>
          <w:highlight w:val="none"/>
        </w:rPr>
        <w:t>缺</w:t>
      </w:r>
      <w:r>
        <w:rPr>
          <w:color w:val="auto"/>
          <w:spacing w:val="-3"/>
          <w:szCs w:val="21"/>
          <w:highlight w:val="none"/>
        </w:rPr>
        <w:t>陷</w:t>
      </w:r>
      <w:r>
        <w:rPr>
          <w:color w:val="auto"/>
          <w:szCs w:val="21"/>
          <w:highlight w:val="none"/>
        </w:rPr>
        <w:t>责任</w:t>
      </w:r>
      <w:r>
        <w:rPr>
          <w:color w:val="auto"/>
          <w:spacing w:val="-3"/>
          <w:szCs w:val="21"/>
          <w:highlight w:val="none"/>
        </w:rPr>
        <w:t>期</w:t>
      </w:r>
      <w:r>
        <w:rPr>
          <w:color w:val="auto"/>
          <w:szCs w:val="21"/>
          <w:highlight w:val="none"/>
        </w:rPr>
        <w:t>保函</w:t>
      </w:r>
      <w:r>
        <w:rPr>
          <w:color w:val="auto"/>
          <w:spacing w:val="-3"/>
          <w:szCs w:val="21"/>
          <w:highlight w:val="none"/>
        </w:rPr>
        <w:t>金</w:t>
      </w:r>
      <w:r>
        <w:rPr>
          <w:color w:val="auto"/>
          <w:szCs w:val="21"/>
          <w:highlight w:val="none"/>
        </w:rPr>
        <w:t>额：</w:t>
      </w:r>
      <w:r>
        <w:rPr>
          <w:color w:val="auto"/>
          <w:szCs w:val="21"/>
          <w:highlight w:val="none"/>
          <w:u w:val="single"/>
        </w:rPr>
        <w:t xml:space="preserve"> </w:t>
      </w:r>
      <w:r>
        <w:rPr>
          <w:color w:val="auto"/>
          <w:szCs w:val="21"/>
          <w:highlight w:val="none"/>
          <w:u w:val="single"/>
        </w:rPr>
        <w:tab/>
      </w:r>
      <w:r>
        <w:rPr>
          <w:color w:val="auto"/>
          <w:szCs w:val="21"/>
          <w:highlight w:val="none"/>
        </w:rPr>
        <w:t>。</w:t>
      </w:r>
      <w:r>
        <w:rPr>
          <w:color w:val="auto"/>
          <w:position w:val="10"/>
          <w:szCs w:val="21"/>
          <w:highlight w:val="none"/>
        </w:rPr>
        <w:t>①</w:t>
      </w:r>
    </w:p>
    <w:p>
      <w:pPr>
        <w:pStyle w:val="9"/>
        <w:spacing w:before="12"/>
        <w:jc w:val="both"/>
        <w:rPr>
          <w:color w:val="auto"/>
          <w:sz w:val="21"/>
          <w:szCs w:val="21"/>
          <w:highlight w:val="none"/>
        </w:rPr>
      </w:pPr>
    </w:p>
    <w:p>
      <w:pPr>
        <w:pStyle w:val="6"/>
        <w:numPr>
          <w:ilvl w:val="0"/>
          <w:numId w:val="39"/>
        </w:numPr>
        <w:tabs>
          <w:tab w:val="left" w:pos="826"/>
        </w:tabs>
        <w:spacing w:after="0" w:line="240" w:lineRule="auto"/>
        <w:ind w:hanging="402"/>
        <w:rPr>
          <w:color w:val="auto"/>
          <w:sz w:val="21"/>
          <w:szCs w:val="21"/>
          <w:highlight w:val="none"/>
        </w:rPr>
      </w:pPr>
      <w:r>
        <w:rPr>
          <w:color w:val="auto"/>
          <w:w w:val="95"/>
          <w:sz w:val="21"/>
          <w:szCs w:val="21"/>
          <w:highlight w:val="none"/>
        </w:rPr>
        <w:t>监理要求</w:t>
      </w:r>
    </w:p>
    <w:p>
      <w:pPr>
        <w:numPr>
          <w:ilvl w:val="1"/>
          <w:numId w:val="39"/>
        </w:numPr>
        <w:tabs>
          <w:tab w:val="left" w:pos="914"/>
        </w:tabs>
        <w:spacing w:before="293"/>
        <w:rPr>
          <w:rFonts w:ascii="黑体" w:eastAsia="黑体"/>
          <w:b/>
          <w:color w:val="auto"/>
          <w:szCs w:val="21"/>
          <w:highlight w:val="none"/>
        </w:rPr>
      </w:pPr>
      <w:r>
        <w:rPr>
          <w:rFonts w:hint="eastAsia" w:ascii="黑体" w:eastAsia="黑体"/>
          <w:b/>
          <w:color w:val="auto"/>
          <w:szCs w:val="21"/>
          <w:highlight w:val="none"/>
        </w:rPr>
        <w:t>监理范围</w:t>
      </w:r>
    </w:p>
    <w:p>
      <w:pPr>
        <w:pStyle w:val="32"/>
        <w:numPr>
          <w:ilvl w:val="2"/>
          <w:numId w:val="41"/>
        </w:numPr>
        <w:tabs>
          <w:tab w:val="left" w:pos="1416"/>
          <w:tab w:val="left" w:pos="6034"/>
        </w:tabs>
        <w:spacing w:before="128" w:after="0" w:line="240" w:lineRule="auto"/>
        <w:ind w:hanging="553"/>
        <w:rPr>
          <w:color w:val="auto"/>
          <w:szCs w:val="21"/>
          <w:highlight w:val="none"/>
        </w:rPr>
      </w:pPr>
      <w:r>
        <w:rPr>
          <w:color w:val="auto"/>
          <w:szCs w:val="21"/>
          <w:highlight w:val="none"/>
        </w:rPr>
        <w:t>工</w:t>
      </w:r>
      <w:r>
        <w:rPr>
          <w:color w:val="auto"/>
          <w:spacing w:val="-3"/>
          <w:szCs w:val="21"/>
          <w:highlight w:val="none"/>
        </w:rPr>
        <w:t>程</w:t>
      </w:r>
      <w:r>
        <w:rPr>
          <w:color w:val="auto"/>
          <w:szCs w:val="21"/>
          <w:highlight w:val="none"/>
        </w:rPr>
        <w:t>范围</w:t>
      </w:r>
      <w:r>
        <w:rPr>
          <w:color w:val="auto"/>
          <w:spacing w:val="-3"/>
          <w:szCs w:val="21"/>
          <w:highlight w:val="none"/>
        </w:rPr>
        <w:t>包</w:t>
      </w:r>
      <w:r>
        <w:rPr>
          <w:color w:val="auto"/>
          <w:szCs w:val="21"/>
          <w:highlight w:val="none"/>
        </w:rPr>
        <w:t>括：</w:t>
      </w:r>
      <w:r>
        <w:rPr>
          <w:color w:val="auto"/>
          <w:szCs w:val="21"/>
          <w:highlight w:val="none"/>
          <w:u w:val="single"/>
        </w:rPr>
        <w:t xml:space="preserve"> </w:t>
      </w:r>
      <w:r>
        <w:rPr>
          <w:color w:val="auto"/>
          <w:szCs w:val="21"/>
          <w:highlight w:val="none"/>
          <w:u w:val="single"/>
        </w:rPr>
        <w:tab/>
      </w:r>
      <w:r>
        <w:rPr>
          <w:color w:val="auto"/>
          <w:szCs w:val="21"/>
          <w:highlight w:val="none"/>
        </w:rPr>
        <w:t>。</w:t>
      </w:r>
    </w:p>
    <w:p>
      <w:pPr>
        <w:pStyle w:val="32"/>
        <w:numPr>
          <w:ilvl w:val="2"/>
          <w:numId w:val="41"/>
        </w:numPr>
        <w:tabs>
          <w:tab w:val="left" w:pos="1416"/>
          <w:tab w:val="left" w:pos="6034"/>
        </w:tabs>
        <w:spacing w:before="129" w:after="0" w:line="240" w:lineRule="auto"/>
        <w:ind w:hanging="553"/>
        <w:rPr>
          <w:color w:val="auto"/>
          <w:szCs w:val="21"/>
          <w:highlight w:val="none"/>
        </w:rPr>
      </w:pPr>
      <w:r>
        <w:rPr>
          <w:color w:val="auto"/>
          <w:szCs w:val="21"/>
          <w:highlight w:val="none"/>
        </w:rPr>
        <w:t>阶</w:t>
      </w:r>
      <w:r>
        <w:rPr>
          <w:color w:val="auto"/>
          <w:spacing w:val="-3"/>
          <w:szCs w:val="21"/>
          <w:highlight w:val="none"/>
        </w:rPr>
        <w:t>段</w:t>
      </w:r>
      <w:r>
        <w:rPr>
          <w:color w:val="auto"/>
          <w:szCs w:val="21"/>
          <w:highlight w:val="none"/>
        </w:rPr>
        <w:t>范围</w:t>
      </w:r>
      <w:r>
        <w:rPr>
          <w:color w:val="auto"/>
          <w:spacing w:val="-3"/>
          <w:szCs w:val="21"/>
          <w:highlight w:val="none"/>
        </w:rPr>
        <w:t>包</w:t>
      </w:r>
      <w:r>
        <w:rPr>
          <w:color w:val="auto"/>
          <w:szCs w:val="21"/>
          <w:highlight w:val="none"/>
        </w:rPr>
        <w:t>括：</w:t>
      </w:r>
      <w:r>
        <w:rPr>
          <w:color w:val="auto"/>
          <w:szCs w:val="21"/>
          <w:highlight w:val="none"/>
          <w:u w:val="single"/>
        </w:rPr>
        <w:t xml:space="preserve"> </w:t>
      </w:r>
      <w:r>
        <w:rPr>
          <w:color w:val="auto"/>
          <w:szCs w:val="21"/>
          <w:highlight w:val="none"/>
          <w:u w:val="single"/>
        </w:rPr>
        <w:tab/>
      </w:r>
      <w:r>
        <w:rPr>
          <w:color w:val="auto"/>
          <w:szCs w:val="21"/>
          <w:highlight w:val="none"/>
        </w:rPr>
        <w:t>。</w:t>
      </w:r>
    </w:p>
    <w:p>
      <w:pPr>
        <w:pStyle w:val="32"/>
        <w:numPr>
          <w:ilvl w:val="2"/>
          <w:numId w:val="41"/>
        </w:numPr>
        <w:tabs>
          <w:tab w:val="left" w:pos="1416"/>
          <w:tab w:val="left" w:pos="6034"/>
        </w:tabs>
        <w:spacing w:before="128" w:after="0" w:line="240" w:lineRule="auto"/>
        <w:ind w:hanging="553"/>
        <w:rPr>
          <w:color w:val="auto"/>
          <w:szCs w:val="21"/>
          <w:highlight w:val="none"/>
        </w:rPr>
      </w:pPr>
      <w:r>
        <w:rPr>
          <w:color w:val="auto"/>
          <w:szCs w:val="21"/>
          <w:highlight w:val="none"/>
        </w:rPr>
        <w:t>工</w:t>
      </w:r>
      <w:r>
        <w:rPr>
          <w:color w:val="auto"/>
          <w:spacing w:val="-3"/>
          <w:szCs w:val="21"/>
          <w:highlight w:val="none"/>
        </w:rPr>
        <w:t>作</w:t>
      </w:r>
      <w:r>
        <w:rPr>
          <w:color w:val="auto"/>
          <w:szCs w:val="21"/>
          <w:highlight w:val="none"/>
        </w:rPr>
        <w:t>范围</w:t>
      </w:r>
      <w:r>
        <w:rPr>
          <w:color w:val="auto"/>
          <w:spacing w:val="-3"/>
          <w:szCs w:val="21"/>
          <w:highlight w:val="none"/>
        </w:rPr>
        <w:t>包</w:t>
      </w:r>
      <w:r>
        <w:rPr>
          <w:color w:val="auto"/>
          <w:szCs w:val="21"/>
          <w:highlight w:val="none"/>
        </w:rPr>
        <w:t>括：</w:t>
      </w:r>
      <w:r>
        <w:rPr>
          <w:color w:val="auto"/>
          <w:szCs w:val="21"/>
          <w:highlight w:val="none"/>
          <w:u w:val="single"/>
        </w:rPr>
        <w:t xml:space="preserve"> </w:t>
      </w:r>
      <w:r>
        <w:rPr>
          <w:color w:val="auto"/>
          <w:szCs w:val="21"/>
          <w:highlight w:val="none"/>
          <w:u w:val="single"/>
        </w:rPr>
        <w:tab/>
      </w:r>
      <w:r>
        <w:rPr>
          <w:color w:val="auto"/>
          <w:szCs w:val="21"/>
          <w:highlight w:val="none"/>
        </w:rPr>
        <w:t>。</w:t>
      </w:r>
    </w:p>
    <w:p>
      <w:pPr>
        <w:spacing w:before="50"/>
        <w:ind w:left="424"/>
        <w:rPr>
          <w:rFonts w:ascii="黑体" w:eastAsia="黑体"/>
          <w:b/>
          <w:color w:val="auto"/>
          <w:szCs w:val="21"/>
          <w:highlight w:val="none"/>
        </w:rPr>
      </w:pPr>
      <w:r>
        <w:rPr>
          <w:rFonts w:ascii="Times New Roman" w:eastAsia="Times New Roman"/>
          <w:b/>
          <w:color w:val="auto"/>
          <w:szCs w:val="21"/>
          <w:highlight w:val="none"/>
        </w:rPr>
        <w:t>5.3</w:t>
      </w:r>
      <w:r>
        <w:rPr>
          <w:rFonts w:ascii="Times New Roman" w:eastAsia="Times New Roman"/>
          <w:b/>
          <w:color w:val="auto"/>
          <w:spacing w:val="67"/>
          <w:szCs w:val="21"/>
          <w:highlight w:val="none"/>
        </w:rPr>
        <w:t xml:space="preserve"> </w:t>
      </w:r>
      <w:r>
        <w:rPr>
          <w:rFonts w:hint="eastAsia" w:ascii="黑体" w:eastAsia="黑体"/>
          <w:b/>
          <w:color w:val="auto"/>
          <w:szCs w:val="21"/>
          <w:highlight w:val="none"/>
        </w:rPr>
        <w:t>监理内容</w:t>
      </w:r>
    </w:p>
    <w:p>
      <w:pPr>
        <w:tabs>
          <w:tab w:val="left" w:pos="4605"/>
        </w:tabs>
        <w:spacing w:before="128" w:line="350" w:lineRule="auto"/>
        <w:ind w:right="461" w:firstLine="1050" w:firstLineChars="500"/>
        <w:jc w:val="both"/>
        <w:rPr>
          <w:color w:val="auto"/>
          <w:szCs w:val="21"/>
          <w:highlight w:val="none"/>
        </w:rPr>
      </w:pPr>
      <w:r>
        <w:rPr>
          <w:color w:val="auto"/>
          <w:szCs w:val="21"/>
          <w:highlight w:val="none"/>
        </w:rPr>
        <mc:AlternateContent>
          <mc:Choice Requires="wps">
            <w:drawing>
              <wp:anchor distT="0" distB="0" distL="114300" distR="114300" simplePos="0" relativeHeight="251658240" behindDoc="1" locked="0" layoutInCell="1" allowOverlap="1">
                <wp:simplePos x="0" y="0"/>
                <wp:positionH relativeFrom="page">
                  <wp:posOffset>1193800</wp:posOffset>
                </wp:positionH>
                <wp:positionV relativeFrom="paragraph">
                  <wp:posOffset>8255</wp:posOffset>
                </wp:positionV>
                <wp:extent cx="170815" cy="158750"/>
                <wp:effectExtent l="0" t="0" r="635" b="12700"/>
                <wp:wrapNone/>
                <wp:docPr id="4" name="任意多边形 4"/>
                <wp:cNvGraphicFramePr/>
                <a:graphic xmlns:a="http://schemas.openxmlformats.org/drawingml/2006/main">
                  <a:graphicData uri="http://schemas.microsoft.com/office/word/2010/wordprocessingShape">
                    <wps:wsp>
                      <wps:cNvSpPr/>
                      <wps:spPr>
                        <a:xfrm>
                          <a:off x="0" y="0"/>
                          <a:ext cx="170815" cy="158750"/>
                        </a:xfrm>
                        <a:custGeom>
                          <a:avLst/>
                          <a:gdLst/>
                          <a:ahLst/>
                          <a:cxnLst/>
                          <a:rect l="0" t="0" r="0" b="0"/>
                          <a:pathLst>
                            <a:path w="269" h="250">
                              <a:moveTo>
                                <a:pt x="269" y="0"/>
                              </a:moveTo>
                              <a:lnTo>
                                <a:pt x="259" y="0"/>
                              </a:lnTo>
                              <a:lnTo>
                                <a:pt x="259" y="9"/>
                              </a:lnTo>
                              <a:lnTo>
                                <a:pt x="259" y="240"/>
                              </a:lnTo>
                              <a:lnTo>
                                <a:pt x="10" y="240"/>
                              </a:lnTo>
                              <a:lnTo>
                                <a:pt x="10" y="9"/>
                              </a:lnTo>
                              <a:lnTo>
                                <a:pt x="259" y="9"/>
                              </a:lnTo>
                              <a:lnTo>
                                <a:pt x="259" y="0"/>
                              </a:lnTo>
                              <a:lnTo>
                                <a:pt x="10" y="0"/>
                              </a:lnTo>
                              <a:lnTo>
                                <a:pt x="0" y="0"/>
                              </a:lnTo>
                              <a:lnTo>
                                <a:pt x="0" y="9"/>
                              </a:lnTo>
                              <a:lnTo>
                                <a:pt x="0" y="240"/>
                              </a:lnTo>
                              <a:lnTo>
                                <a:pt x="0" y="249"/>
                              </a:lnTo>
                              <a:lnTo>
                                <a:pt x="10" y="249"/>
                              </a:lnTo>
                              <a:lnTo>
                                <a:pt x="259" y="249"/>
                              </a:lnTo>
                              <a:lnTo>
                                <a:pt x="269" y="249"/>
                              </a:lnTo>
                              <a:lnTo>
                                <a:pt x="269" y="240"/>
                              </a:lnTo>
                              <a:lnTo>
                                <a:pt x="269" y="9"/>
                              </a:lnTo>
                              <a:lnTo>
                                <a:pt x="269"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94pt;margin-top:0.65pt;height:12.5pt;width:13.45pt;mso-position-horizontal-relative:page;z-index:-251658240;mso-width-relative:page;mso-height-relative:page;" fillcolor="#000000" filled="t" stroked="f" coordsize="269,250" o:gfxdata="UEsDBAoAAAAAAIdO4kAAAAAAAAAAAAAAAAAEAAAAZHJzL1BLAwQUAAAACACHTuJAUweS29cAAAAI&#10;AQAADwAAAGRycy9kb3ducmV2LnhtbE2PzU7DMBCE70i8g7VI3KiTplRpiNNDJEQrcaAFet7EJo6I&#10;11Hs/sDTs5zgNqNZzX5Tri9uECczhd6TgnSWgDDUet1Tp+Dt9fEuBxEiksbBk1HwZQKsq+urEgvt&#10;z7Qzp33sBJdQKFCBjXEspAytNQ7DzI+GOPvwk8PIduqknvDM5W6Q8yRZSoc98QeLo6mtaT/3R6dg&#10;G7ebjc1esKnpPq+fvw/viyen1O1NmjyAiOYS/47hF5/RoWKmxh9JBzGwz3PeEllkIDifp4sViIbF&#10;MgNZlfL/gOoHUEsDBBQAAAAIAIdO4kCbcSwdOwIAAGkGAAAOAAAAZHJzL2Uyb0RvYy54bWytVcuO&#10;0zAU3SPxD5b3NE3UzqNqOgtGwwbBSDN8gOs4jSXHtmy3affs2bNE/AQawdfMID6DayfuY5BChMjC&#10;vvY9Pr4v38yvtrVAG2YsVzLH6WiMEZNUFVyucvzh/ubVBUbWEVkQoSTL8Y5ZfLV4+WLe6BnLVKVE&#10;wQwCEmlnjc5x5ZyeJYmlFauJHSnNJChLZWriYGlWSWFIA+y1SLLx+CxplCm0UZRZC7vXrRIvAn9Z&#10;Murel6VlDokcg20ujCaMSz8mizmZrQzRFaedGeQfrKgJl3DpnuqaOILWhv9BVXNqlFWlG1FVJ6os&#10;OWXBB/AmHT/z5q4imgVfIDhW78Nk/x8tfbe5NYgXOZ5gJEkNKXp8ePj58dPT18+/fnx7+v4FTXyQ&#10;Gm1ngL3Tt6ZbWRC9x9vS1H4GX9A2BHa3DyzbOkRhMz0fX6RTjCio0unF+TQEPjkcpmvr3jAViMjm&#10;rXVtXoookSpKdCujaCC7vXnVxPlz3jovoibH2dklRhXMYILfr9WG3auAcN78oI8OgIEHvZAnuCnw&#10;HOGiNs66ZetQlz6EwBa1cT5FZZMYlqiPc4tLoYDhyoGwYXcOQw2yqx/U2j4E02/SsBhEVD/XPqD9&#10;sKzLYjb5C87XVkjQUFx/OGItDmN7zkWFsqwtO1/8of72DwJq8fjJWSV4ccOF8A/BmtXytTBoQ3zP&#10;DF9XvicwIT1YKn8sVjdc4htF2xq8tFTFDvrLWhu+qqD5poHJa6CfBZO63usb5vE6MB3+EI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UweS29cAAAAIAQAADwAAAAAAAAABACAAAAAiAAAAZHJzL2Rv&#10;d25yZXYueG1sUEsBAhQAFAAAAAgAh07iQJtxLB07AgAAaQYAAA4AAAAAAAAAAQAgAAAAJgEAAGRy&#10;cy9lMm9Eb2MueG1sUEsFBgAAAAAGAAYAWQEAANMFAAAAAA==&#10;" path="m269,0l259,0,259,9,259,240,10,240,10,9,259,9,259,0,10,0,0,0,0,9,0,240,0,249,10,249,259,249,269,249,269,240,269,9,269,0xe">
                <v:fill on="t" focussize="0,0"/>
                <v:stroke on="f"/>
                <v:imagedata o:title=""/>
                <o:lock v:ext="edit" aspectratio="f"/>
              </v:shape>
            </w:pict>
          </mc:Fallback>
        </mc:AlternateContent>
      </w:r>
      <w:r>
        <w:rPr>
          <w:color w:val="auto"/>
          <w:szCs w:val="21"/>
          <w:highlight w:val="none"/>
        </w:rPr>
        <w:t>工程同</w:t>
      </w:r>
      <w:r>
        <w:rPr>
          <w:color w:val="auto"/>
          <w:spacing w:val="-3"/>
          <w:szCs w:val="21"/>
          <w:highlight w:val="none"/>
        </w:rPr>
        <w:t>时</w:t>
      </w:r>
      <w:r>
        <w:rPr>
          <w:color w:val="auto"/>
          <w:szCs w:val="21"/>
          <w:highlight w:val="none"/>
        </w:rPr>
        <w:t>设置</w:t>
      </w:r>
      <w:r>
        <w:rPr>
          <w:color w:val="auto"/>
          <w:spacing w:val="-3"/>
          <w:szCs w:val="21"/>
          <w:highlight w:val="none"/>
        </w:rPr>
        <w:t>总</w:t>
      </w:r>
      <w:r>
        <w:rPr>
          <w:color w:val="auto"/>
          <w:szCs w:val="21"/>
          <w:highlight w:val="none"/>
        </w:rPr>
        <w:t>监</w:t>
      </w:r>
      <w:r>
        <w:rPr>
          <w:color w:val="auto"/>
          <w:spacing w:val="-3"/>
          <w:szCs w:val="21"/>
          <w:highlight w:val="none"/>
        </w:rPr>
        <w:t>理</w:t>
      </w:r>
      <w:r>
        <w:rPr>
          <w:color w:val="auto"/>
          <w:szCs w:val="21"/>
          <w:highlight w:val="none"/>
        </w:rPr>
        <w:t>工程师</w:t>
      </w:r>
      <w:r>
        <w:rPr>
          <w:color w:val="auto"/>
          <w:spacing w:val="-3"/>
          <w:szCs w:val="21"/>
          <w:highlight w:val="none"/>
        </w:rPr>
        <w:t>办</w:t>
      </w:r>
      <w:r>
        <w:rPr>
          <w:color w:val="auto"/>
          <w:szCs w:val="21"/>
          <w:highlight w:val="none"/>
        </w:rPr>
        <w:t>公室</w:t>
      </w:r>
      <w:r>
        <w:rPr>
          <w:color w:val="auto"/>
          <w:spacing w:val="-3"/>
          <w:szCs w:val="21"/>
          <w:highlight w:val="none"/>
        </w:rPr>
        <w:t>和</w:t>
      </w:r>
      <w:r>
        <w:rPr>
          <w:color w:val="auto"/>
          <w:szCs w:val="21"/>
          <w:highlight w:val="none"/>
        </w:rPr>
        <w:t>驻地</w:t>
      </w:r>
      <w:r>
        <w:rPr>
          <w:color w:val="auto"/>
          <w:spacing w:val="-3"/>
          <w:szCs w:val="21"/>
          <w:highlight w:val="none"/>
        </w:rPr>
        <w:t>监理</w:t>
      </w:r>
      <w:r>
        <w:rPr>
          <w:color w:val="auto"/>
          <w:szCs w:val="21"/>
          <w:highlight w:val="none"/>
        </w:rPr>
        <w:t>工程师</w:t>
      </w:r>
      <w:r>
        <w:rPr>
          <w:color w:val="auto"/>
          <w:spacing w:val="-3"/>
          <w:szCs w:val="21"/>
          <w:highlight w:val="none"/>
        </w:rPr>
        <w:t>办</w:t>
      </w:r>
      <w:r>
        <w:rPr>
          <w:color w:val="auto"/>
          <w:szCs w:val="21"/>
          <w:highlight w:val="none"/>
        </w:rPr>
        <w:t>公</w:t>
      </w:r>
      <w:r>
        <w:rPr>
          <w:color w:val="auto"/>
          <w:spacing w:val="-3"/>
          <w:szCs w:val="21"/>
          <w:highlight w:val="none"/>
        </w:rPr>
        <w:t>室</w:t>
      </w:r>
      <w:r>
        <w:rPr>
          <w:color w:val="auto"/>
          <w:spacing w:val="-84"/>
          <w:szCs w:val="21"/>
          <w:highlight w:val="none"/>
        </w:rPr>
        <w:t>：</w:t>
      </w:r>
      <w:r>
        <w:rPr>
          <w:color w:val="auto"/>
          <w:szCs w:val="21"/>
          <w:highlight w:val="none"/>
        </w:rPr>
        <w:t>总</w:t>
      </w:r>
      <w:r>
        <w:rPr>
          <w:color w:val="auto"/>
          <w:spacing w:val="-3"/>
          <w:szCs w:val="21"/>
          <w:highlight w:val="none"/>
        </w:rPr>
        <w:t>监</w:t>
      </w:r>
      <w:r>
        <w:rPr>
          <w:color w:val="auto"/>
          <w:szCs w:val="21"/>
          <w:highlight w:val="none"/>
        </w:rPr>
        <w:t>理</w:t>
      </w:r>
      <w:r>
        <w:rPr>
          <w:color w:val="auto"/>
          <w:spacing w:val="-3"/>
          <w:szCs w:val="21"/>
          <w:highlight w:val="none"/>
        </w:rPr>
        <w:t>工</w:t>
      </w:r>
      <w:r>
        <w:rPr>
          <w:color w:val="auto"/>
          <w:szCs w:val="21"/>
          <w:highlight w:val="none"/>
        </w:rPr>
        <w:t>程师办</w:t>
      </w:r>
      <w:r>
        <w:rPr>
          <w:color w:val="auto"/>
          <w:spacing w:val="-3"/>
          <w:szCs w:val="21"/>
          <w:highlight w:val="none"/>
        </w:rPr>
        <w:t>公</w:t>
      </w:r>
      <w:r>
        <w:rPr>
          <w:color w:val="auto"/>
          <w:szCs w:val="21"/>
          <w:highlight w:val="none"/>
        </w:rPr>
        <w:t>室设立工地试验室，驻地监理工程师办公室不设立工地试验室，总</w:t>
      </w:r>
      <w:r>
        <w:rPr>
          <w:color w:val="auto"/>
          <w:spacing w:val="7"/>
          <w:szCs w:val="21"/>
          <w:highlight w:val="none"/>
        </w:rPr>
        <w:t>监</w:t>
      </w:r>
      <w:r>
        <w:rPr>
          <w:color w:val="auto"/>
          <w:szCs w:val="21"/>
          <w:highlight w:val="none"/>
        </w:rPr>
        <w:t>办工地试验室相应的</w:t>
      </w:r>
      <w:r>
        <w:rPr>
          <w:color w:val="auto"/>
          <w:spacing w:val="-11"/>
          <w:szCs w:val="21"/>
          <w:highlight w:val="none"/>
        </w:rPr>
        <w:t>检</w:t>
      </w:r>
      <w:r>
        <w:rPr>
          <w:color w:val="auto"/>
          <w:szCs w:val="21"/>
          <w:highlight w:val="none"/>
        </w:rPr>
        <w:t>查项目</w:t>
      </w:r>
      <w:r>
        <w:rPr>
          <w:color w:val="auto"/>
          <w:spacing w:val="-3"/>
          <w:szCs w:val="21"/>
          <w:highlight w:val="none"/>
        </w:rPr>
        <w:t>和</w:t>
      </w:r>
      <w:r>
        <w:rPr>
          <w:color w:val="auto"/>
          <w:szCs w:val="21"/>
          <w:highlight w:val="none"/>
        </w:rPr>
        <w:t>抽检</w:t>
      </w:r>
      <w:r>
        <w:rPr>
          <w:color w:val="auto"/>
          <w:spacing w:val="-3"/>
          <w:szCs w:val="21"/>
          <w:highlight w:val="none"/>
        </w:rPr>
        <w:t>频</w:t>
      </w:r>
      <w:r>
        <w:rPr>
          <w:color w:val="auto"/>
          <w:szCs w:val="21"/>
          <w:highlight w:val="none"/>
        </w:rPr>
        <w:t>率：</w:t>
      </w:r>
      <w:r>
        <w:rPr>
          <w:color w:val="auto"/>
          <w:szCs w:val="21"/>
          <w:highlight w:val="none"/>
          <w:u w:val="single"/>
        </w:rPr>
        <w:t xml:space="preserve"> </w:t>
      </w:r>
      <w:r>
        <w:rPr>
          <w:color w:val="auto"/>
          <w:szCs w:val="21"/>
          <w:highlight w:val="none"/>
          <w:u w:val="single"/>
        </w:rPr>
        <w:tab/>
      </w:r>
      <w:r>
        <w:rPr>
          <w:color w:val="auto"/>
          <w:szCs w:val="21"/>
          <w:highlight w:val="none"/>
        </w:rPr>
        <w:t>。</w:t>
      </w:r>
    </w:p>
    <w:p>
      <w:pPr>
        <w:tabs>
          <w:tab w:val="left" w:pos="4166"/>
        </w:tabs>
        <w:spacing w:before="70" w:line="348" w:lineRule="auto"/>
        <w:ind w:left="424" w:right="462" w:firstLine="839"/>
        <w:jc w:val="both"/>
        <w:rPr>
          <w:color w:val="auto"/>
          <w:szCs w:val="21"/>
          <w:highlight w:val="none"/>
        </w:rPr>
      </w:pPr>
      <w:r>
        <w:rPr>
          <w:color w:val="auto"/>
          <w:szCs w:val="21"/>
          <w:highlight w:val="none"/>
        </w:rPr>
        <mc:AlternateContent>
          <mc:Choice Requires="wps">
            <w:drawing>
              <wp:anchor distT="0" distB="0" distL="114300" distR="114300" simplePos="0" relativeHeight="251659264" behindDoc="1" locked="0" layoutInCell="1" allowOverlap="1">
                <wp:simplePos x="0" y="0"/>
                <wp:positionH relativeFrom="page">
                  <wp:posOffset>1317625</wp:posOffset>
                </wp:positionH>
                <wp:positionV relativeFrom="paragraph">
                  <wp:posOffset>9525</wp:posOffset>
                </wp:positionV>
                <wp:extent cx="170815" cy="158750"/>
                <wp:effectExtent l="0" t="0" r="635" b="12700"/>
                <wp:wrapNone/>
                <wp:docPr id="5" name="任意多边形 5"/>
                <wp:cNvGraphicFramePr/>
                <a:graphic xmlns:a="http://schemas.openxmlformats.org/drawingml/2006/main">
                  <a:graphicData uri="http://schemas.microsoft.com/office/word/2010/wordprocessingShape">
                    <wps:wsp>
                      <wps:cNvSpPr/>
                      <wps:spPr>
                        <a:xfrm>
                          <a:off x="0" y="0"/>
                          <a:ext cx="170815" cy="158750"/>
                        </a:xfrm>
                        <a:custGeom>
                          <a:avLst/>
                          <a:gdLst/>
                          <a:ahLst/>
                          <a:cxnLst/>
                          <a:rect l="0" t="0" r="0" b="0"/>
                          <a:pathLst>
                            <a:path w="269" h="250">
                              <a:moveTo>
                                <a:pt x="269" y="0"/>
                              </a:moveTo>
                              <a:lnTo>
                                <a:pt x="259" y="0"/>
                              </a:lnTo>
                              <a:lnTo>
                                <a:pt x="259" y="9"/>
                              </a:lnTo>
                              <a:lnTo>
                                <a:pt x="259" y="240"/>
                              </a:lnTo>
                              <a:lnTo>
                                <a:pt x="10" y="240"/>
                              </a:lnTo>
                              <a:lnTo>
                                <a:pt x="10" y="9"/>
                              </a:lnTo>
                              <a:lnTo>
                                <a:pt x="259" y="9"/>
                              </a:lnTo>
                              <a:lnTo>
                                <a:pt x="259" y="0"/>
                              </a:lnTo>
                              <a:lnTo>
                                <a:pt x="10" y="0"/>
                              </a:lnTo>
                              <a:lnTo>
                                <a:pt x="0" y="0"/>
                              </a:lnTo>
                              <a:lnTo>
                                <a:pt x="0" y="9"/>
                              </a:lnTo>
                              <a:lnTo>
                                <a:pt x="0" y="240"/>
                              </a:lnTo>
                              <a:lnTo>
                                <a:pt x="0" y="249"/>
                              </a:lnTo>
                              <a:lnTo>
                                <a:pt x="10" y="249"/>
                              </a:lnTo>
                              <a:lnTo>
                                <a:pt x="259" y="249"/>
                              </a:lnTo>
                              <a:lnTo>
                                <a:pt x="269" y="249"/>
                              </a:lnTo>
                              <a:lnTo>
                                <a:pt x="269" y="240"/>
                              </a:lnTo>
                              <a:lnTo>
                                <a:pt x="269" y="9"/>
                              </a:lnTo>
                              <a:lnTo>
                                <a:pt x="269"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103.75pt;margin-top:0.75pt;height:12.5pt;width:13.45pt;mso-position-horizontal-relative:page;z-index:-251657216;mso-width-relative:page;mso-height-relative:page;" fillcolor="#000000" filled="t" stroked="f" coordsize="269,250" o:gfxdata="UEsDBAoAAAAAAIdO4kAAAAAAAAAAAAAAAAAEAAAAZHJzL1BLAwQUAAAACACHTuJAQVW3xNgAAAAI&#10;AQAADwAAAGRycy9kb3ducmV2LnhtbE2PzU7DMBCE70i8g7VI3KjdNGmrEKeHSIhW4gCFct4kJo6I&#10;11Hs/sDTs5zgtLua0ew3xebiBnEyU+g9aZjPFAhDjW976jS8vT7crUGEiNTi4Mlo+DIBNuX1VYF5&#10;68/0Yk772AkOoZCjBhvjmEsZGmschpkfDbH24SeHkc+pk+2EZw53g0yUWkqHPfEHi6OprGk+90en&#10;YRd3261dPGNdUbaunr7fD+mj0/r2Zq7uQURziX9m+MVndCiZqfZHaoMYNCRqlbGVBR6sJ4s0BVHz&#10;ssxAloX8X6D8AVBLAwQUAAAACACHTuJAcWDD0jsCAABpBgAADgAAAGRycy9lMm9Eb2MueG1srVVN&#10;jtMwFN4jcQfLe5omms50qqazYDRsEIw0wwFcx2ksObZlu027Z8+eJeISaASnmUEcg2cn7s8ghQiR&#10;hf3s9/nz+/PL/GpbC7RhxnIlc5yOxhgxSVXB5SrHH+5vXk0xso7IggglWY53zOKrxcsX80bPWKYq&#10;JQpmEJBIO2t0jivn9CxJLK1YTexIaSZBWSpTEwdLs0oKQxpgr0WSjcfnSaNMoY2izFrYvW6VeBH4&#10;y5JR974sLXNI5Bhsc2E0YVz6MVnMyWxliK447cwg/2BFTbiES/dU18QRtDb8D6qaU6OsKt2IqjpR&#10;ZckpCz6AN+n4mTd3FdEs+ALBsXofJvv/aOm7za1BvMjxBCNJakjR48PDz4+fnr5+/vXj29P3L2ji&#10;g9RoOwPsnb413cqC6D3elqb2M/iCtiGwu31g2dYhCpvpxXiawgUUVOlkejEJgU8Oh+naujdMBSKy&#10;eWtdm5ciSqSKEt3KKBrIbm9eNXH+nLfOi6jJcXZ+iVEFM5jg92u1YfcqIJw3P+ijA2DgQS/kCW4C&#10;PEe4qI2zbtk61KUPIbBFbZxPUdlZDEvUx7nFpVDAcOVA2LA7h6EG2dUPam0fguk3aVgMIqqfax/Q&#10;fljWZTE7+wvO11ZI0FBcfzhiLQ5je85FhbKsLTtf/KH+9g8CavH4yVkleHHDhfAPwZrV8rUwaEN8&#10;zwxfV74nMCE9WCp/LFY3XOIbRdsavLRUxQ76y1obvqqg+aaByWugnwWTut7rG+bxOjAd/hCL3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EFVt8TYAAAACAEAAA8AAAAAAAAAAQAgAAAAIgAAAGRycy9k&#10;b3ducmV2LnhtbFBLAQIUABQAAAAIAIdO4kBxYMPSOwIAAGkGAAAOAAAAAAAAAAEAIAAAACcBAABk&#10;cnMvZTJvRG9jLnhtbFBLBQYAAAAABgAGAFkBAADUBQAAAAA=&#10;" path="m269,0l259,0,259,9,259,240,10,240,10,9,259,9,259,0,10,0,0,0,0,9,0,240,0,249,10,249,259,249,269,249,269,240,269,9,269,0xe">
                <v:fill on="t" focussize="0,0"/>
                <v:stroke on="f"/>
                <v:imagedata o:title=""/>
                <o:lock v:ext="edit" aspectratio="f"/>
              </v:shape>
            </w:pict>
          </mc:Fallback>
        </mc:AlternateContent>
      </w:r>
      <w:r>
        <w:rPr>
          <w:color w:val="auto"/>
          <w:szCs w:val="21"/>
          <w:highlight w:val="none"/>
        </w:rPr>
        <w:t>工程同</w:t>
      </w:r>
      <w:r>
        <w:rPr>
          <w:color w:val="auto"/>
          <w:spacing w:val="-3"/>
          <w:szCs w:val="21"/>
          <w:highlight w:val="none"/>
        </w:rPr>
        <w:t>时</w:t>
      </w:r>
      <w:r>
        <w:rPr>
          <w:color w:val="auto"/>
          <w:szCs w:val="21"/>
          <w:highlight w:val="none"/>
        </w:rPr>
        <w:t>设置</w:t>
      </w:r>
      <w:r>
        <w:rPr>
          <w:color w:val="auto"/>
          <w:spacing w:val="-3"/>
          <w:szCs w:val="21"/>
          <w:highlight w:val="none"/>
        </w:rPr>
        <w:t>总</w:t>
      </w:r>
      <w:r>
        <w:rPr>
          <w:color w:val="auto"/>
          <w:szCs w:val="21"/>
          <w:highlight w:val="none"/>
        </w:rPr>
        <w:t>监</w:t>
      </w:r>
      <w:r>
        <w:rPr>
          <w:color w:val="auto"/>
          <w:spacing w:val="-3"/>
          <w:szCs w:val="21"/>
          <w:highlight w:val="none"/>
        </w:rPr>
        <w:t>理</w:t>
      </w:r>
      <w:r>
        <w:rPr>
          <w:color w:val="auto"/>
          <w:szCs w:val="21"/>
          <w:highlight w:val="none"/>
        </w:rPr>
        <w:t>工程师</w:t>
      </w:r>
      <w:r>
        <w:rPr>
          <w:color w:val="auto"/>
          <w:spacing w:val="-3"/>
          <w:szCs w:val="21"/>
          <w:highlight w:val="none"/>
        </w:rPr>
        <w:t>办</w:t>
      </w:r>
      <w:r>
        <w:rPr>
          <w:color w:val="auto"/>
          <w:szCs w:val="21"/>
          <w:highlight w:val="none"/>
        </w:rPr>
        <w:t>公室</w:t>
      </w:r>
      <w:r>
        <w:rPr>
          <w:color w:val="auto"/>
          <w:spacing w:val="-3"/>
          <w:szCs w:val="21"/>
          <w:highlight w:val="none"/>
        </w:rPr>
        <w:t>和</w:t>
      </w:r>
      <w:r>
        <w:rPr>
          <w:color w:val="auto"/>
          <w:szCs w:val="21"/>
          <w:highlight w:val="none"/>
        </w:rPr>
        <w:t>驻地</w:t>
      </w:r>
      <w:r>
        <w:rPr>
          <w:color w:val="auto"/>
          <w:spacing w:val="-3"/>
          <w:szCs w:val="21"/>
          <w:highlight w:val="none"/>
        </w:rPr>
        <w:t>监理</w:t>
      </w:r>
      <w:r>
        <w:rPr>
          <w:color w:val="auto"/>
          <w:szCs w:val="21"/>
          <w:highlight w:val="none"/>
        </w:rPr>
        <w:t>工程师</w:t>
      </w:r>
      <w:r>
        <w:rPr>
          <w:color w:val="auto"/>
          <w:spacing w:val="-3"/>
          <w:szCs w:val="21"/>
          <w:highlight w:val="none"/>
        </w:rPr>
        <w:t>办</w:t>
      </w:r>
      <w:r>
        <w:rPr>
          <w:color w:val="auto"/>
          <w:szCs w:val="21"/>
          <w:highlight w:val="none"/>
        </w:rPr>
        <w:t>公</w:t>
      </w:r>
      <w:r>
        <w:rPr>
          <w:color w:val="auto"/>
          <w:spacing w:val="-3"/>
          <w:szCs w:val="21"/>
          <w:highlight w:val="none"/>
        </w:rPr>
        <w:t>室</w:t>
      </w:r>
      <w:r>
        <w:rPr>
          <w:color w:val="auto"/>
          <w:spacing w:val="-84"/>
          <w:szCs w:val="21"/>
          <w:highlight w:val="none"/>
        </w:rPr>
        <w:t>：</w:t>
      </w:r>
      <w:r>
        <w:rPr>
          <w:color w:val="auto"/>
          <w:szCs w:val="21"/>
          <w:highlight w:val="none"/>
        </w:rPr>
        <w:t>总</w:t>
      </w:r>
      <w:r>
        <w:rPr>
          <w:color w:val="auto"/>
          <w:spacing w:val="-3"/>
          <w:szCs w:val="21"/>
          <w:highlight w:val="none"/>
        </w:rPr>
        <w:t>监</w:t>
      </w:r>
      <w:r>
        <w:rPr>
          <w:color w:val="auto"/>
          <w:szCs w:val="21"/>
          <w:highlight w:val="none"/>
        </w:rPr>
        <w:t>理</w:t>
      </w:r>
      <w:r>
        <w:rPr>
          <w:color w:val="auto"/>
          <w:spacing w:val="-3"/>
          <w:szCs w:val="21"/>
          <w:highlight w:val="none"/>
        </w:rPr>
        <w:t>工</w:t>
      </w:r>
      <w:r>
        <w:rPr>
          <w:color w:val="auto"/>
          <w:szCs w:val="21"/>
          <w:highlight w:val="none"/>
        </w:rPr>
        <w:t>程师办</w:t>
      </w:r>
      <w:r>
        <w:rPr>
          <w:color w:val="auto"/>
          <w:spacing w:val="-3"/>
          <w:szCs w:val="21"/>
          <w:highlight w:val="none"/>
        </w:rPr>
        <w:t>公</w:t>
      </w:r>
      <w:r>
        <w:rPr>
          <w:color w:val="auto"/>
          <w:szCs w:val="21"/>
          <w:highlight w:val="none"/>
        </w:rPr>
        <w:t>室和驻地监理工程师办公室均设立工地试验室，总</w:t>
      </w:r>
      <w:r>
        <w:rPr>
          <w:color w:val="auto"/>
          <w:spacing w:val="4"/>
          <w:szCs w:val="21"/>
          <w:highlight w:val="none"/>
        </w:rPr>
        <w:t>监</w:t>
      </w:r>
      <w:r>
        <w:rPr>
          <w:color w:val="auto"/>
          <w:szCs w:val="21"/>
          <w:highlight w:val="none"/>
        </w:rPr>
        <w:t>办和驻地办工地试验室相应的检查项</w:t>
      </w:r>
      <w:r>
        <w:rPr>
          <w:color w:val="auto"/>
          <w:spacing w:val="-11"/>
          <w:szCs w:val="21"/>
          <w:highlight w:val="none"/>
        </w:rPr>
        <w:t>目</w:t>
      </w:r>
      <w:r>
        <w:rPr>
          <w:color w:val="auto"/>
          <w:szCs w:val="21"/>
          <w:highlight w:val="none"/>
        </w:rPr>
        <w:t>和抽检</w:t>
      </w:r>
      <w:r>
        <w:rPr>
          <w:color w:val="auto"/>
          <w:spacing w:val="-3"/>
          <w:szCs w:val="21"/>
          <w:highlight w:val="none"/>
        </w:rPr>
        <w:t>频</w:t>
      </w:r>
      <w:r>
        <w:rPr>
          <w:color w:val="auto"/>
          <w:szCs w:val="21"/>
          <w:highlight w:val="none"/>
        </w:rPr>
        <w:t>率：</w:t>
      </w:r>
      <w:r>
        <w:rPr>
          <w:color w:val="auto"/>
          <w:szCs w:val="21"/>
          <w:highlight w:val="none"/>
          <w:u w:val="single"/>
        </w:rPr>
        <w:t xml:space="preserve"> </w:t>
      </w:r>
      <w:r>
        <w:rPr>
          <w:color w:val="auto"/>
          <w:szCs w:val="21"/>
          <w:highlight w:val="none"/>
          <w:u w:val="single"/>
        </w:rPr>
        <w:tab/>
      </w:r>
      <w:r>
        <w:rPr>
          <w:color w:val="auto"/>
          <w:szCs w:val="21"/>
          <w:highlight w:val="none"/>
        </w:rPr>
        <w:t>；</w:t>
      </w:r>
    </w:p>
    <w:p>
      <w:pPr>
        <w:tabs>
          <w:tab w:val="left" w:pos="5926"/>
        </w:tabs>
        <w:spacing w:before="3" w:line="350" w:lineRule="auto"/>
        <w:ind w:left="424" w:right="460" w:firstLine="839"/>
        <w:rPr>
          <w:color w:val="auto"/>
          <w:szCs w:val="21"/>
          <w:highlight w:val="none"/>
        </w:rPr>
      </w:pPr>
      <w:r>
        <w:rPr>
          <w:color w:val="auto"/>
          <w:szCs w:val="21"/>
          <w:highlight w:val="none"/>
        </w:rPr>
        <mc:AlternateContent>
          <mc:Choice Requires="wps">
            <w:drawing>
              <wp:anchor distT="0" distB="0" distL="114300" distR="114300" simplePos="0" relativeHeight="251660288" behindDoc="1" locked="0" layoutInCell="1" allowOverlap="1">
                <wp:simplePos x="0" y="0"/>
                <wp:positionH relativeFrom="page">
                  <wp:posOffset>1336675</wp:posOffset>
                </wp:positionH>
                <wp:positionV relativeFrom="paragraph">
                  <wp:posOffset>14605</wp:posOffset>
                </wp:positionV>
                <wp:extent cx="170815" cy="158750"/>
                <wp:effectExtent l="0" t="0" r="635" b="12700"/>
                <wp:wrapNone/>
                <wp:docPr id="17" name="任意多边形 17"/>
                <wp:cNvGraphicFramePr/>
                <a:graphic xmlns:a="http://schemas.openxmlformats.org/drawingml/2006/main">
                  <a:graphicData uri="http://schemas.microsoft.com/office/word/2010/wordprocessingShape">
                    <wps:wsp>
                      <wps:cNvSpPr/>
                      <wps:spPr>
                        <a:xfrm>
                          <a:off x="0" y="0"/>
                          <a:ext cx="170815" cy="158750"/>
                        </a:xfrm>
                        <a:custGeom>
                          <a:avLst/>
                          <a:gdLst/>
                          <a:ahLst/>
                          <a:cxnLst/>
                          <a:rect l="0" t="0" r="0" b="0"/>
                          <a:pathLst>
                            <a:path w="269" h="250">
                              <a:moveTo>
                                <a:pt x="269" y="0"/>
                              </a:moveTo>
                              <a:lnTo>
                                <a:pt x="259" y="0"/>
                              </a:lnTo>
                              <a:lnTo>
                                <a:pt x="259" y="9"/>
                              </a:lnTo>
                              <a:lnTo>
                                <a:pt x="259" y="240"/>
                              </a:lnTo>
                              <a:lnTo>
                                <a:pt x="10" y="240"/>
                              </a:lnTo>
                              <a:lnTo>
                                <a:pt x="10" y="9"/>
                              </a:lnTo>
                              <a:lnTo>
                                <a:pt x="259" y="9"/>
                              </a:lnTo>
                              <a:lnTo>
                                <a:pt x="259" y="0"/>
                              </a:lnTo>
                              <a:lnTo>
                                <a:pt x="10" y="0"/>
                              </a:lnTo>
                              <a:lnTo>
                                <a:pt x="0" y="0"/>
                              </a:lnTo>
                              <a:lnTo>
                                <a:pt x="0" y="9"/>
                              </a:lnTo>
                              <a:lnTo>
                                <a:pt x="0" y="240"/>
                              </a:lnTo>
                              <a:lnTo>
                                <a:pt x="0" y="249"/>
                              </a:lnTo>
                              <a:lnTo>
                                <a:pt x="10" y="249"/>
                              </a:lnTo>
                              <a:lnTo>
                                <a:pt x="259" y="249"/>
                              </a:lnTo>
                              <a:lnTo>
                                <a:pt x="269" y="249"/>
                              </a:lnTo>
                              <a:lnTo>
                                <a:pt x="269" y="240"/>
                              </a:lnTo>
                              <a:lnTo>
                                <a:pt x="269" y="9"/>
                              </a:lnTo>
                              <a:lnTo>
                                <a:pt x="269"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105.25pt;margin-top:1.15pt;height:12.5pt;width:13.45pt;mso-position-horizontal-relative:page;z-index:-251656192;mso-width-relative:page;mso-height-relative:page;" fillcolor="#000000" filled="t" stroked="f" coordsize="269,250" o:gfxdata="UEsDBAoAAAAAAIdO4kAAAAAAAAAAAAAAAAAEAAAAZHJzL1BLAwQUAAAACACHTuJAzSs92NgAAAAI&#10;AQAADwAAAGRycy9kb3ducmV2LnhtbE2PzU7DMBCE70i8g7VI3KidpKVViNNDJEQrcYDSct4kJo6I&#10;11Hs/sDTs5zgNqsZzX5TrC9uECczhd6ThmSmQBhqfNtTp2H/9ni3AhEiUouDJ6PhywRYl9dXBeat&#10;P9OrOe1iJ7iEQo4abIxjLmVorHEYZn40xN6HnxxGPqdOthOeudwNMlXqXjrsiT9YHE1lTfO5OzoN&#10;27jdbGz2gnVFi1X1/P1+mD85rW9vEvUAIppL/AvDLz6jQ8lMtT9SG8SgIU3UgqMsMhDsp9lyDqJm&#10;scxAloX8P6D8AVBLAwQUAAAACACHTuJA/NMDWj0CAABrBgAADgAAAGRycy9lMm9Eb2MueG1srVVN&#10;jtMwFN4jcQfLe5ommk5nqqazYDRsEIw0wwFcx2ksObZlu027Z8+eJeISaASnmUEcg2cn7s8ghQiR&#10;hf3s9/nz+/PL/GpbC7RhxnIlc5yOxhgxSVXB5SrHH+5vXl1gZB2RBRFKshzvmMVXi5cv5o2esUxV&#10;ShTMICCRdtboHFfO6VmSWFqxmtiR0kyCslSmJg6WZpUUhjTAXoskG4/Pk0aZQhtFmbWwe90q8SLw&#10;lyWj7n1ZWuaQyDHY5sJowrj0Y7KYk9nKEF1x2plB/sGKmnAJl+6prokjaG34H1Q1p0ZZVboRVXWi&#10;ypJTFnwAb9LxM2/uKqJZ8AWCY/U+TPb/0dJ3m1uDeAG5m2IkSQ05enx4+Pnx09PXz79+fHv6/gWB&#10;BsLUaDsD9J2+Nd3Kguh93pam9jN4g7YhtLt9aNnWIQqb6XR8kU4woqBKJxfTSQh9cjhM19a9YSoQ&#10;kc1b69rMFFEiVZToVkbRQH57M6uJ8+e8dV5ETY6z80uMKpjBBL9fqw27VwHhvPlBHx0AAw96IU9w&#10;E+A5wkVtnHXL1qEufQiBLWrjfIrKzmJYoj7OLS6FEoYrB8KG3TkMNciuflBr+xBMv0nDYhBR/Vz7&#10;gPbDsi6L2dlfcL62QoKG4vrDEWtxGNtzLiqUZW3Z+eIP9bd/EFCLx0/OKsGLGy6EfwjWrJavhUEb&#10;4rtm+LryPYEJ6cFS+WOxuuES3yja1uClpSp20GHW2vBVBe03DUxeAx0tmNR1X98yj9eB6fCPWPwG&#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zSs92NgAAAAIAQAADwAAAAAAAAABACAAAAAiAAAAZHJz&#10;L2Rvd25yZXYueG1sUEsBAhQAFAAAAAgAh07iQPzTA1o9AgAAawYAAA4AAAAAAAAAAQAgAAAAJwEA&#10;AGRycy9lMm9Eb2MueG1sUEsFBgAAAAAGAAYAWQEAANYFAAAAAA==&#10;" path="m269,0l259,0,259,9,259,240,10,240,10,9,259,9,259,0,10,0,0,0,0,9,0,240,0,249,10,249,259,249,269,249,269,240,269,9,269,0xe">
                <v:fill on="t" focussize="0,0"/>
                <v:stroke on="f"/>
                <v:imagedata o:title=""/>
                <o:lock v:ext="edit" aspectratio="f"/>
              </v:shape>
            </w:pict>
          </mc:Fallback>
        </mc:AlternateContent>
      </w:r>
      <w:r>
        <w:rPr>
          <w:color w:val="auto"/>
          <w:szCs w:val="21"/>
          <w:highlight w:val="none"/>
        </w:rPr>
        <w:t>工程只</w:t>
      </w:r>
      <w:r>
        <w:rPr>
          <w:color w:val="auto"/>
          <w:spacing w:val="-3"/>
          <w:szCs w:val="21"/>
          <w:highlight w:val="none"/>
        </w:rPr>
        <w:t>设</w:t>
      </w:r>
      <w:r>
        <w:rPr>
          <w:color w:val="auto"/>
          <w:szCs w:val="21"/>
          <w:highlight w:val="none"/>
        </w:rPr>
        <w:t>置总</w:t>
      </w:r>
      <w:r>
        <w:rPr>
          <w:color w:val="auto"/>
          <w:spacing w:val="-3"/>
          <w:szCs w:val="21"/>
          <w:highlight w:val="none"/>
        </w:rPr>
        <w:t>监</w:t>
      </w:r>
      <w:r>
        <w:rPr>
          <w:color w:val="auto"/>
          <w:szCs w:val="21"/>
          <w:highlight w:val="none"/>
        </w:rPr>
        <w:t>理</w:t>
      </w:r>
      <w:r>
        <w:rPr>
          <w:color w:val="auto"/>
          <w:spacing w:val="-3"/>
          <w:szCs w:val="21"/>
          <w:highlight w:val="none"/>
        </w:rPr>
        <w:t>工</w:t>
      </w:r>
      <w:r>
        <w:rPr>
          <w:color w:val="auto"/>
          <w:szCs w:val="21"/>
          <w:highlight w:val="none"/>
        </w:rPr>
        <w:t>程师办</w:t>
      </w:r>
      <w:r>
        <w:rPr>
          <w:color w:val="auto"/>
          <w:spacing w:val="-3"/>
          <w:szCs w:val="21"/>
          <w:highlight w:val="none"/>
        </w:rPr>
        <w:t>公</w:t>
      </w:r>
      <w:r>
        <w:rPr>
          <w:color w:val="auto"/>
          <w:szCs w:val="21"/>
          <w:highlight w:val="none"/>
        </w:rPr>
        <w:t>室</w:t>
      </w:r>
      <w:r>
        <w:rPr>
          <w:color w:val="auto"/>
          <w:spacing w:val="-44"/>
          <w:szCs w:val="21"/>
          <w:highlight w:val="none"/>
        </w:rPr>
        <w:t>：</w:t>
      </w:r>
      <w:r>
        <w:rPr>
          <w:color w:val="auto"/>
          <w:szCs w:val="21"/>
          <w:highlight w:val="none"/>
        </w:rPr>
        <w:t>总</w:t>
      </w:r>
      <w:r>
        <w:rPr>
          <w:color w:val="auto"/>
          <w:spacing w:val="-3"/>
          <w:szCs w:val="21"/>
          <w:highlight w:val="none"/>
        </w:rPr>
        <w:t>监</w:t>
      </w:r>
      <w:r>
        <w:rPr>
          <w:color w:val="auto"/>
          <w:szCs w:val="21"/>
          <w:highlight w:val="none"/>
        </w:rPr>
        <w:t>理工</w:t>
      </w:r>
      <w:r>
        <w:rPr>
          <w:color w:val="auto"/>
          <w:spacing w:val="-3"/>
          <w:szCs w:val="21"/>
          <w:highlight w:val="none"/>
        </w:rPr>
        <w:t>程</w:t>
      </w:r>
      <w:r>
        <w:rPr>
          <w:color w:val="auto"/>
          <w:szCs w:val="21"/>
          <w:highlight w:val="none"/>
        </w:rPr>
        <w:t>师办公</w:t>
      </w:r>
      <w:r>
        <w:rPr>
          <w:color w:val="auto"/>
          <w:spacing w:val="-3"/>
          <w:szCs w:val="21"/>
          <w:highlight w:val="none"/>
        </w:rPr>
        <w:t>室</w:t>
      </w:r>
      <w:r>
        <w:rPr>
          <w:color w:val="auto"/>
          <w:szCs w:val="21"/>
          <w:highlight w:val="none"/>
        </w:rPr>
        <w:t>设立</w:t>
      </w:r>
      <w:r>
        <w:rPr>
          <w:color w:val="auto"/>
          <w:spacing w:val="-3"/>
          <w:szCs w:val="21"/>
          <w:highlight w:val="none"/>
        </w:rPr>
        <w:t>工</w:t>
      </w:r>
      <w:r>
        <w:rPr>
          <w:color w:val="auto"/>
          <w:szCs w:val="21"/>
          <w:highlight w:val="none"/>
        </w:rPr>
        <w:t>地试</w:t>
      </w:r>
      <w:r>
        <w:rPr>
          <w:color w:val="auto"/>
          <w:spacing w:val="-3"/>
          <w:szCs w:val="21"/>
          <w:highlight w:val="none"/>
        </w:rPr>
        <w:t>验室</w:t>
      </w:r>
      <w:r>
        <w:rPr>
          <w:color w:val="auto"/>
          <w:spacing w:val="-42"/>
          <w:szCs w:val="21"/>
          <w:highlight w:val="none"/>
        </w:rPr>
        <w:t>，</w:t>
      </w:r>
      <w:r>
        <w:rPr>
          <w:color w:val="auto"/>
          <w:szCs w:val="21"/>
          <w:highlight w:val="none"/>
        </w:rPr>
        <w:t>工地试验室相应</w:t>
      </w:r>
      <w:r>
        <w:rPr>
          <w:color w:val="auto"/>
          <w:spacing w:val="-3"/>
          <w:szCs w:val="21"/>
          <w:highlight w:val="none"/>
        </w:rPr>
        <w:t>的</w:t>
      </w:r>
      <w:r>
        <w:rPr>
          <w:color w:val="auto"/>
          <w:szCs w:val="21"/>
          <w:highlight w:val="none"/>
        </w:rPr>
        <w:t>检查</w:t>
      </w:r>
      <w:r>
        <w:rPr>
          <w:color w:val="auto"/>
          <w:spacing w:val="-3"/>
          <w:szCs w:val="21"/>
          <w:highlight w:val="none"/>
        </w:rPr>
        <w:t>项</w:t>
      </w:r>
      <w:r>
        <w:rPr>
          <w:color w:val="auto"/>
          <w:szCs w:val="21"/>
          <w:highlight w:val="none"/>
        </w:rPr>
        <w:t>目和</w:t>
      </w:r>
      <w:r>
        <w:rPr>
          <w:color w:val="auto"/>
          <w:spacing w:val="-3"/>
          <w:szCs w:val="21"/>
          <w:highlight w:val="none"/>
        </w:rPr>
        <w:t>抽检</w:t>
      </w:r>
      <w:r>
        <w:rPr>
          <w:color w:val="auto"/>
          <w:szCs w:val="21"/>
          <w:highlight w:val="none"/>
        </w:rPr>
        <w:t>频率：</w:t>
      </w:r>
      <w:r>
        <w:rPr>
          <w:color w:val="auto"/>
          <w:szCs w:val="21"/>
          <w:highlight w:val="none"/>
          <w:u w:val="single"/>
        </w:rPr>
        <w:t xml:space="preserve"> </w:t>
      </w:r>
      <w:r>
        <w:rPr>
          <w:color w:val="auto"/>
          <w:szCs w:val="21"/>
          <w:highlight w:val="none"/>
          <w:u w:val="single"/>
        </w:rPr>
        <w:tab/>
      </w:r>
      <w:r>
        <w:rPr>
          <w:color w:val="auto"/>
          <w:szCs w:val="21"/>
          <w:highlight w:val="none"/>
        </w:rPr>
        <w:t>。</w:t>
      </w:r>
    </w:p>
    <w:p>
      <w:pPr>
        <w:spacing w:line="350" w:lineRule="auto"/>
        <w:ind w:left="424" w:right="463" w:firstLine="439"/>
        <w:rPr>
          <w:color w:val="auto"/>
          <w:szCs w:val="21"/>
          <w:highlight w:val="none"/>
        </w:rPr>
      </w:pPr>
      <w:r>
        <w:rPr>
          <w:color w:val="auto"/>
          <w:spacing w:val="-8"/>
          <w:szCs w:val="21"/>
          <w:highlight w:val="none"/>
        </w:rPr>
        <w:t>监理人自行设立工地试验室的，应具有相应的《公路水运试验检测机构等级证书》，否</w:t>
      </w:r>
      <w:r>
        <w:rPr>
          <w:color w:val="auto"/>
          <w:spacing w:val="-5"/>
          <w:szCs w:val="21"/>
          <w:highlight w:val="none"/>
        </w:rPr>
        <w:t>则，监理人应委托具有相应资格的第三方试验检测机构设立工地试验室。</w:t>
      </w:r>
    </w:p>
    <w:p>
      <w:pPr>
        <w:numPr>
          <w:ilvl w:val="1"/>
          <w:numId w:val="42"/>
        </w:numPr>
        <w:tabs>
          <w:tab w:val="left" w:pos="914"/>
        </w:tabs>
        <w:spacing w:line="275" w:lineRule="exact"/>
        <w:rPr>
          <w:rFonts w:ascii="黑体" w:eastAsia="黑体"/>
          <w:b/>
          <w:color w:val="auto"/>
          <w:szCs w:val="21"/>
          <w:highlight w:val="none"/>
        </w:rPr>
      </w:pPr>
      <w:r>
        <w:rPr>
          <w:rFonts w:hint="eastAsia" w:ascii="黑体" w:eastAsia="黑体"/>
          <w:b/>
          <w:color w:val="auto"/>
          <w:szCs w:val="21"/>
          <w:highlight w:val="none"/>
        </w:rPr>
        <w:t>监理服务形式</w:t>
      </w:r>
    </w:p>
    <w:p>
      <w:pPr>
        <w:tabs>
          <w:tab w:val="left" w:pos="7685"/>
        </w:tabs>
        <w:spacing w:before="128"/>
        <w:ind w:left="863"/>
        <w:rPr>
          <w:color w:val="auto"/>
          <w:szCs w:val="21"/>
          <w:highlight w:val="none"/>
        </w:rPr>
      </w:pPr>
      <w:r>
        <w:rPr>
          <w:color w:val="auto"/>
          <w:szCs w:val="21"/>
          <w:highlight w:val="none"/>
        </w:rPr>
        <w:t>监理服</w:t>
      </w:r>
      <w:r>
        <w:rPr>
          <w:color w:val="auto"/>
          <w:spacing w:val="-3"/>
          <w:szCs w:val="21"/>
          <w:highlight w:val="none"/>
        </w:rPr>
        <w:t>务</w:t>
      </w:r>
      <w:r>
        <w:rPr>
          <w:color w:val="auto"/>
          <w:szCs w:val="21"/>
          <w:highlight w:val="none"/>
        </w:rPr>
        <w:t>机构</w:t>
      </w:r>
      <w:r>
        <w:rPr>
          <w:color w:val="auto"/>
          <w:spacing w:val="-3"/>
          <w:szCs w:val="21"/>
          <w:highlight w:val="none"/>
        </w:rPr>
        <w:t>设</w:t>
      </w:r>
      <w:r>
        <w:rPr>
          <w:color w:val="auto"/>
          <w:szCs w:val="21"/>
          <w:highlight w:val="none"/>
        </w:rPr>
        <w:t>置：</w:t>
      </w:r>
      <w:r>
        <w:rPr>
          <w:color w:val="auto"/>
          <w:szCs w:val="21"/>
          <w:highlight w:val="none"/>
          <w:u w:val="single"/>
        </w:rPr>
        <w:t xml:space="preserve"> </w:t>
      </w:r>
      <w:r>
        <w:rPr>
          <w:color w:val="auto"/>
          <w:szCs w:val="21"/>
          <w:highlight w:val="none"/>
          <w:u w:val="single"/>
        </w:rPr>
        <w:tab/>
      </w:r>
      <w:r>
        <w:rPr>
          <w:color w:val="auto"/>
          <w:szCs w:val="21"/>
          <w:highlight w:val="none"/>
        </w:rPr>
        <w:t>。</w:t>
      </w:r>
    </w:p>
    <w:p>
      <w:pPr>
        <w:tabs>
          <w:tab w:val="left" w:pos="7102"/>
        </w:tabs>
        <w:spacing w:before="129" w:line="350" w:lineRule="auto"/>
        <w:ind w:left="424" w:right="461" w:firstLine="439"/>
        <w:rPr>
          <w:color w:val="auto"/>
          <w:szCs w:val="21"/>
          <w:highlight w:val="none"/>
        </w:rPr>
      </w:pPr>
      <w:r>
        <w:rPr>
          <w:color w:val="auto"/>
          <w:szCs w:val="21"/>
          <w:highlight w:val="none"/>
        </w:rPr>
        <w:t>总监理工程师办公室</w:t>
      </w:r>
      <w:r>
        <w:rPr>
          <w:color w:val="auto"/>
          <w:spacing w:val="4"/>
          <w:szCs w:val="21"/>
          <w:highlight w:val="none"/>
        </w:rPr>
        <w:t>按</w:t>
      </w:r>
      <w:r>
        <w:rPr>
          <w:color w:val="auto"/>
          <w:szCs w:val="21"/>
          <w:highlight w:val="none"/>
          <w:u w:val="single"/>
        </w:rPr>
        <w:t>（组建原则、设立方式</w:t>
      </w:r>
      <w:r>
        <w:rPr>
          <w:color w:val="auto"/>
          <w:spacing w:val="4"/>
          <w:szCs w:val="21"/>
          <w:highlight w:val="none"/>
          <w:u w:val="single"/>
        </w:rPr>
        <w:t>）</w:t>
      </w:r>
      <w:r>
        <w:rPr>
          <w:color w:val="auto"/>
          <w:szCs w:val="21"/>
          <w:highlight w:val="none"/>
        </w:rPr>
        <w:t>组建，下设</w:t>
      </w:r>
      <w:r>
        <w:rPr>
          <w:color w:val="auto"/>
          <w:szCs w:val="21"/>
          <w:highlight w:val="none"/>
          <w:u w:val="single"/>
        </w:rPr>
        <w:t xml:space="preserve"> </w:t>
      </w:r>
      <w:r>
        <w:rPr>
          <w:color w:val="auto"/>
          <w:szCs w:val="21"/>
          <w:highlight w:val="none"/>
          <w:u w:val="single"/>
        </w:rPr>
        <w:tab/>
      </w:r>
      <w:r>
        <w:rPr>
          <w:color w:val="auto"/>
          <w:szCs w:val="21"/>
          <w:highlight w:val="none"/>
        </w:rPr>
        <w:t>个驻地监理工程师</w:t>
      </w:r>
      <w:r>
        <w:rPr>
          <w:color w:val="auto"/>
          <w:spacing w:val="-16"/>
          <w:szCs w:val="21"/>
          <w:highlight w:val="none"/>
        </w:rPr>
        <w:t>办</w:t>
      </w:r>
      <w:r>
        <w:rPr>
          <w:color w:val="auto"/>
          <w:szCs w:val="21"/>
          <w:highlight w:val="none"/>
        </w:rPr>
        <w:t>公室。</w:t>
      </w:r>
    </w:p>
    <w:p>
      <w:pPr>
        <w:numPr>
          <w:ilvl w:val="1"/>
          <w:numId w:val="42"/>
        </w:numPr>
        <w:tabs>
          <w:tab w:val="left" w:pos="914"/>
        </w:tabs>
        <w:spacing w:line="280" w:lineRule="exact"/>
        <w:rPr>
          <w:rFonts w:ascii="黑体" w:eastAsia="黑体"/>
          <w:b/>
          <w:color w:val="auto"/>
          <w:szCs w:val="21"/>
          <w:highlight w:val="none"/>
        </w:rPr>
      </w:pPr>
      <w:r>
        <w:rPr>
          <w:rFonts w:hint="eastAsia" w:ascii="黑体" w:eastAsia="黑体"/>
          <w:b/>
          <w:color w:val="auto"/>
          <w:szCs w:val="21"/>
          <w:highlight w:val="none"/>
        </w:rPr>
        <w:t>监理服务目标</w:t>
      </w:r>
    </w:p>
    <w:p>
      <w:pPr>
        <w:tabs>
          <w:tab w:val="left" w:pos="8345"/>
        </w:tabs>
        <w:spacing w:before="128"/>
        <w:ind w:left="863"/>
        <w:rPr>
          <w:color w:val="auto"/>
          <w:szCs w:val="21"/>
          <w:highlight w:val="none"/>
        </w:rPr>
      </w:pPr>
      <w:r>
        <w:rPr>
          <w:rFonts w:ascii="Times New Roman" w:eastAsia="Times New Roman"/>
          <w:color w:val="auto"/>
          <w:szCs w:val="21"/>
          <w:highlight w:val="none"/>
        </w:rPr>
        <w:t xml:space="preserve">5.6.2 </w:t>
      </w:r>
      <w:r>
        <w:rPr>
          <w:rFonts w:ascii="Times New Roman" w:eastAsia="Times New Roman"/>
          <w:color w:val="auto"/>
          <w:spacing w:val="5"/>
          <w:szCs w:val="21"/>
          <w:highlight w:val="none"/>
        </w:rPr>
        <w:t xml:space="preserve"> </w:t>
      </w:r>
      <w:r>
        <w:rPr>
          <w:color w:val="auto"/>
          <w:szCs w:val="21"/>
          <w:highlight w:val="none"/>
        </w:rPr>
        <w:t>对</w:t>
      </w:r>
      <w:r>
        <w:rPr>
          <w:color w:val="auto"/>
          <w:spacing w:val="-3"/>
          <w:szCs w:val="21"/>
          <w:highlight w:val="none"/>
        </w:rPr>
        <w:t>承</w:t>
      </w:r>
      <w:r>
        <w:rPr>
          <w:color w:val="auto"/>
          <w:szCs w:val="21"/>
          <w:highlight w:val="none"/>
        </w:rPr>
        <w:t>包人</w:t>
      </w:r>
      <w:r>
        <w:rPr>
          <w:color w:val="auto"/>
          <w:spacing w:val="-3"/>
          <w:szCs w:val="21"/>
          <w:highlight w:val="none"/>
        </w:rPr>
        <w:t>履</w:t>
      </w:r>
      <w:r>
        <w:rPr>
          <w:color w:val="auto"/>
          <w:szCs w:val="21"/>
          <w:highlight w:val="none"/>
        </w:rPr>
        <w:t>约管</w:t>
      </w:r>
      <w:r>
        <w:rPr>
          <w:color w:val="auto"/>
          <w:spacing w:val="-3"/>
          <w:szCs w:val="21"/>
          <w:highlight w:val="none"/>
        </w:rPr>
        <w:t>理</w:t>
      </w:r>
      <w:r>
        <w:rPr>
          <w:color w:val="auto"/>
          <w:szCs w:val="21"/>
          <w:highlight w:val="none"/>
        </w:rPr>
        <w:t>的服务</w:t>
      </w:r>
      <w:r>
        <w:rPr>
          <w:color w:val="auto"/>
          <w:spacing w:val="-3"/>
          <w:szCs w:val="21"/>
          <w:highlight w:val="none"/>
        </w:rPr>
        <w:t>目</w:t>
      </w:r>
      <w:r>
        <w:rPr>
          <w:color w:val="auto"/>
          <w:szCs w:val="21"/>
          <w:highlight w:val="none"/>
        </w:rPr>
        <w:t>标：</w:t>
      </w:r>
      <w:r>
        <w:rPr>
          <w:color w:val="auto"/>
          <w:szCs w:val="21"/>
          <w:highlight w:val="none"/>
          <w:u w:val="single"/>
        </w:rPr>
        <w:t xml:space="preserve"> </w:t>
      </w:r>
      <w:r>
        <w:rPr>
          <w:color w:val="auto"/>
          <w:szCs w:val="21"/>
          <w:highlight w:val="none"/>
          <w:u w:val="single"/>
        </w:rPr>
        <w:tab/>
      </w:r>
      <w:r>
        <w:rPr>
          <w:color w:val="auto"/>
          <w:szCs w:val="21"/>
          <w:highlight w:val="none"/>
        </w:rPr>
        <w:t>。</w:t>
      </w:r>
    </w:p>
    <w:p>
      <w:pPr>
        <w:numPr>
          <w:ilvl w:val="1"/>
          <w:numId w:val="42"/>
        </w:numPr>
        <w:tabs>
          <w:tab w:val="left" w:pos="914"/>
        </w:tabs>
        <w:spacing w:before="49"/>
        <w:rPr>
          <w:rFonts w:ascii="黑体" w:eastAsia="黑体"/>
          <w:b/>
          <w:color w:val="auto"/>
          <w:szCs w:val="21"/>
          <w:highlight w:val="none"/>
        </w:rPr>
      </w:pPr>
      <w:r>
        <w:rPr>
          <w:rFonts w:hint="eastAsia" w:ascii="黑体" w:eastAsia="黑体"/>
          <w:b/>
          <w:color w:val="auto"/>
          <w:szCs w:val="21"/>
          <w:highlight w:val="none"/>
        </w:rPr>
        <w:t>委托人对监理人的授权</w:t>
      </w:r>
    </w:p>
    <w:p>
      <w:pPr>
        <w:pStyle w:val="32"/>
        <w:numPr>
          <w:ilvl w:val="2"/>
          <w:numId w:val="42"/>
        </w:numPr>
        <w:tabs>
          <w:tab w:val="left" w:pos="1416"/>
          <w:tab w:val="left" w:pos="8991"/>
        </w:tabs>
        <w:spacing w:before="129" w:after="0" w:line="240" w:lineRule="auto"/>
        <w:ind w:hanging="553"/>
        <w:rPr>
          <w:color w:val="auto"/>
          <w:szCs w:val="21"/>
          <w:highlight w:val="none"/>
        </w:rPr>
      </w:pPr>
      <w:r>
        <w:rPr>
          <w:color w:val="auto"/>
          <w:szCs w:val="21"/>
          <w:highlight w:val="none"/>
        </w:rPr>
        <w:t>委</w:t>
      </w:r>
      <w:r>
        <w:rPr>
          <w:color w:val="auto"/>
          <w:spacing w:val="-3"/>
          <w:szCs w:val="21"/>
          <w:highlight w:val="none"/>
        </w:rPr>
        <w:t>托</w:t>
      </w:r>
      <w:r>
        <w:rPr>
          <w:color w:val="auto"/>
          <w:szCs w:val="21"/>
          <w:highlight w:val="none"/>
        </w:rPr>
        <w:t>人对</w:t>
      </w:r>
      <w:r>
        <w:rPr>
          <w:color w:val="auto"/>
          <w:spacing w:val="-3"/>
          <w:szCs w:val="21"/>
          <w:highlight w:val="none"/>
        </w:rPr>
        <w:t>监</w:t>
      </w:r>
      <w:r>
        <w:rPr>
          <w:color w:val="auto"/>
          <w:szCs w:val="21"/>
          <w:highlight w:val="none"/>
        </w:rPr>
        <w:t>理人</w:t>
      </w:r>
      <w:r>
        <w:rPr>
          <w:color w:val="auto"/>
          <w:spacing w:val="-3"/>
          <w:szCs w:val="21"/>
          <w:highlight w:val="none"/>
        </w:rPr>
        <w:t>的</w:t>
      </w:r>
      <w:r>
        <w:rPr>
          <w:color w:val="auto"/>
          <w:szCs w:val="21"/>
          <w:highlight w:val="none"/>
        </w:rPr>
        <w:t>授权权</w:t>
      </w:r>
      <w:r>
        <w:rPr>
          <w:color w:val="auto"/>
          <w:spacing w:val="-3"/>
          <w:szCs w:val="21"/>
          <w:highlight w:val="none"/>
        </w:rPr>
        <w:t>限</w:t>
      </w:r>
      <w:r>
        <w:rPr>
          <w:color w:val="auto"/>
          <w:spacing w:val="-15"/>
          <w:szCs w:val="21"/>
          <w:highlight w:val="none"/>
        </w:rPr>
        <w:t>：</w:t>
      </w:r>
      <w:r>
        <w:rPr>
          <w:color w:val="auto"/>
          <w:spacing w:val="-15"/>
          <w:szCs w:val="21"/>
          <w:highlight w:val="none"/>
          <w:u w:val="single"/>
        </w:rPr>
        <w:t xml:space="preserve"> </w:t>
      </w:r>
      <w:r>
        <w:rPr>
          <w:color w:val="auto"/>
          <w:spacing w:val="-15"/>
          <w:szCs w:val="21"/>
          <w:highlight w:val="none"/>
          <w:u w:val="single"/>
        </w:rPr>
        <w:tab/>
      </w:r>
      <w:r>
        <w:rPr>
          <w:color w:val="auto"/>
          <w:szCs w:val="21"/>
          <w:highlight w:val="none"/>
        </w:rPr>
        <w:t>。</w:t>
      </w:r>
    </w:p>
    <w:p>
      <w:pPr>
        <w:pStyle w:val="9"/>
        <w:spacing w:before="2"/>
        <w:jc w:val="both"/>
        <w:rPr>
          <w:color w:val="auto"/>
          <w:sz w:val="21"/>
          <w:szCs w:val="21"/>
          <w:highlight w:val="none"/>
        </w:rPr>
      </w:pPr>
    </w:p>
    <w:p>
      <w:pPr>
        <w:pStyle w:val="6"/>
        <w:numPr>
          <w:ilvl w:val="0"/>
          <w:numId w:val="39"/>
        </w:numPr>
        <w:tabs>
          <w:tab w:val="left" w:pos="826"/>
        </w:tabs>
        <w:spacing w:after="0" w:line="240" w:lineRule="auto"/>
        <w:ind w:hanging="402"/>
        <w:rPr>
          <w:color w:val="auto"/>
          <w:sz w:val="21"/>
          <w:szCs w:val="21"/>
          <w:highlight w:val="none"/>
        </w:rPr>
      </w:pPr>
      <w:r>
        <w:rPr>
          <w:color w:val="auto"/>
          <w:sz w:val="21"/>
          <w:szCs w:val="21"/>
          <w:highlight w:val="none"/>
        </w:rPr>
        <w:t>开始监理和完成监理</w:t>
      </w:r>
    </w:p>
    <w:p>
      <w:pPr>
        <w:numPr>
          <w:ilvl w:val="1"/>
          <w:numId w:val="39"/>
        </w:numPr>
        <w:tabs>
          <w:tab w:val="left" w:pos="914"/>
        </w:tabs>
        <w:spacing w:before="292"/>
        <w:rPr>
          <w:rFonts w:ascii="黑体" w:eastAsia="黑体"/>
          <w:b/>
          <w:color w:val="auto"/>
          <w:szCs w:val="21"/>
          <w:highlight w:val="none"/>
        </w:rPr>
      </w:pPr>
      <w:r>
        <w:rPr>
          <w:rFonts w:hint="eastAsia" w:ascii="黑体" w:eastAsia="黑体"/>
          <w:b/>
          <w:color w:val="auto"/>
          <w:szCs w:val="21"/>
          <w:highlight w:val="none"/>
        </w:rPr>
        <w:t>开始监理</w:t>
      </w:r>
    </w:p>
    <w:p>
      <w:pPr>
        <w:pStyle w:val="32"/>
        <w:numPr>
          <w:ilvl w:val="2"/>
          <w:numId w:val="39"/>
        </w:numPr>
        <w:tabs>
          <w:tab w:val="left" w:pos="1416"/>
        </w:tabs>
        <w:spacing w:before="129" w:after="0" w:line="240" w:lineRule="auto"/>
        <w:ind w:hanging="553"/>
        <w:rPr>
          <w:color w:val="auto"/>
          <w:szCs w:val="21"/>
          <w:highlight w:val="none"/>
        </w:rPr>
      </w:pPr>
      <w:r>
        <w:rPr>
          <w:color w:val="auto"/>
          <w:spacing w:val="-3"/>
          <w:szCs w:val="21"/>
          <w:highlight w:val="none"/>
        </w:rPr>
        <w:t>满足以下条件时，委托人应向监理人发出开始监理通知：</w:t>
      </w:r>
    </w:p>
    <w:p>
      <w:pPr>
        <w:tabs>
          <w:tab w:val="left" w:pos="8233"/>
        </w:tabs>
        <w:spacing w:before="128"/>
        <w:ind w:left="863"/>
        <w:rPr>
          <w:color w:val="auto"/>
          <w:szCs w:val="21"/>
          <w:highlight w:val="none"/>
        </w:rPr>
      </w:pPr>
      <w:r>
        <w:rPr>
          <w:rFonts w:ascii="Times New Roman" w:eastAsia="Times New Roman"/>
          <w:color w:val="auto"/>
          <w:szCs w:val="21"/>
          <w:highlight w:val="none"/>
          <w:u w:val="single"/>
        </w:rPr>
        <w:t xml:space="preserve"> </w:t>
      </w:r>
      <w:r>
        <w:rPr>
          <w:rFonts w:ascii="Times New Roman" w:eastAsia="Times New Roman"/>
          <w:color w:val="auto"/>
          <w:szCs w:val="21"/>
          <w:highlight w:val="none"/>
          <w:u w:val="single"/>
        </w:rPr>
        <w:tab/>
      </w:r>
      <w:r>
        <w:rPr>
          <w:color w:val="auto"/>
          <w:szCs w:val="21"/>
          <w:highlight w:val="none"/>
        </w:rPr>
        <w:t>。</w:t>
      </w:r>
    </w:p>
    <w:p>
      <w:pPr>
        <w:numPr>
          <w:ilvl w:val="1"/>
          <w:numId w:val="39"/>
        </w:numPr>
        <w:tabs>
          <w:tab w:val="left" w:pos="914"/>
        </w:tabs>
        <w:spacing w:before="49"/>
        <w:rPr>
          <w:rFonts w:ascii="黑体" w:eastAsia="黑体"/>
          <w:b/>
          <w:color w:val="auto"/>
          <w:szCs w:val="21"/>
          <w:highlight w:val="none"/>
        </w:rPr>
      </w:pPr>
      <w:r>
        <w:rPr>
          <w:rFonts w:hint="eastAsia" w:ascii="黑体" w:eastAsia="黑体"/>
          <w:b/>
          <w:color w:val="auto"/>
          <w:szCs w:val="21"/>
          <w:highlight w:val="none"/>
        </w:rPr>
        <w:t>监理周期延误</w:t>
      </w:r>
    </w:p>
    <w:p>
      <w:pPr>
        <w:tabs>
          <w:tab w:val="left" w:pos="2296"/>
          <w:tab w:val="left" w:pos="7027"/>
        </w:tabs>
        <w:spacing w:before="130" w:line="350" w:lineRule="auto"/>
        <w:ind w:left="424" w:right="457" w:firstLine="439"/>
        <w:rPr>
          <w:color w:val="auto"/>
          <w:szCs w:val="21"/>
          <w:highlight w:val="none"/>
        </w:rPr>
      </w:pPr>
      <w:r>
        <w:rPr>
          <w:color w:val="auto"/>
          <w:spacing w:val="38"/>
          <w:szCs w:val="21"/>
          <w:highlight w:val="none"/>
        </w:rPr>
        <w:t>由于非监</w:t>
      </w:r>
      <w:r>
        <w:rPr>
          <w:color w:val="auto"/>
          <w:spacing w:val="35"/>
          <w:szCs w:val="21"/>
          <w:highlight w:val="none"/>
        </w:rPr>
        <w:t>理</w:t>
      </w:r>
      <w:r>
        <w:rPr>
          <w:color w:val="auto"/>
          <w:spacing w:val="38"/>
          <w:szCs w:val="21"/>
          <w:highlight w:val="none"/>
        </w:rPr>
        <w:t>人责</w:t>
      </w:r>
      <w:r>
        <w:rPr>
          <w:color w:val="auto"/>
          <w:spacing w:val="40"/>
          <w:szCs w:val="21"/>
          <w:highlight w:val="none"/>
        </w:rPr>
        <w:t>任</w:t>
      </w:r>
      <w:r>
        <w:rPr>
          <w:color w:val="auto"/>
          <w:spacing w:val="36"/>
          <w:szCs w:val="21"/>
          <w:highlight w:val="none"/>
        </w:rPr>
        <w:t>造</w:t>
      </w:r>
      <w:r>
        <w:rPr>
          <w:color w:val="auto"/>
          <w:spacing w:val="38"/>
          <w:szCs w:val="21"/>
          <w:highlight w:val="none"/>
        </w:rPr>
        <w:t>成监理服</w:t>
      </w:r>
      <w:r>
        <w:rPr>
          <w:color w:val="auto"/>
          <w:spacing w:val="35"/>
          <w:szCs w:val="21"/>
          <w:highlight w:val="none"/>
        </w:rPr>
        <w:t>务</w:t>
      </w:r>
      <w:r>
        <w:rPr>
          <w:color w:val="auto"/>
          <w:spacing w:val="38"/>
          <w:szCs w:val="21"/>
          <w:highlight w:val="none"/>
        </w:rPr>
        <w:t>期限延</w:t>
      </w:r>
      <w:r>
        <w:rPr>
          <w:color w:val="auto"/>
          <w:spacing w:val="35"/>
          <w:szCs w:val="21"/>
          <w:highlight w:val="none"/>
        </w:rPr>
        <w:t>误</w:t>
      </w:r>
      <w:r>
        <w:rPr>
          <w:color w:val="auto"/>
          <w:spacing w:val="38"/>
          <w:szCs w:val="21"/>
          <w:highlight w:val="none"/>
        </w:rPr>
        <w:t>的</w:t>
      </w:r>
      <w:r>
        <w:rPr>
          <w:color w:val="auto"/>
          <w:szCs w:val="21"/>
          <w:highlight w:val="none"/>
        </w:rPr>
        <w:t>，</w:t>
      </w:r>
      <w:r>
        <w:rPr>
          <w:color w:val="auto"/>
          <w:spacing w:val="-53"/>
          <w:szCs w:val="21"/>
          <w:highlight w:val="none"/>
        </w:rPr>
        <w:t xml:space="preserve"> </w:t>
      </w:r>
      <w:r>
        <w:rPr>
          <w:color w:val="auto"/>
          <w:spacing w:val="38"/>
          <w:szCs w:val="21"/>
          <w:highlight w:val="none"/>
        </w:rPr>
        <w:t>延长</w:t>
      </w:r>
      <w:r>
        <w:rPr>
          <w:color w:val="auto"/>
          <w:spacing w:val="36"/>
          <w:szCs w:val="21"/>
          <w:highlight w:val="none"/>
        </w:rPr>
        <w:t>监</w:t>
      </w:r>
      <w:r>
        <w:rPr>
          <w:color w:val="auto"/>
          <w:spacing w:val="38"/>
          <w:szCs w:val="21"/>
          <w:highlight w:val="none"/>
        </w:rPr>
        <w:t>理服务</w:t>
      </w:r>
      <w:r>
        <w:rPr>
          <w:color w:val="auto"/>
          <w:spacing w:val="35"/>
          <w:szCs w:val="21"/>
          <w:highlight w:val="none"/>
        </w:rPr>
        <w:t>期</w:t>
      </w:r>
      <w:r>
        <w:rPr>
          <w:color w:val="auto"/>
          <w:spacing w:val="39"/>
          <w:szCs w:val="21"/>
          <w:highlight w:val="none"/>
        </w:rPr>
        <w:t>限</w:t>
      </w:r>
      <w:r>
        <w:rPr>
          <w:color w:val="auto"/>
          <w:spacing w:val="38"/>
          <w:szCs w:val="21"/>
          <w:highlight w:val="none"/>
        </w:rPr>
        <w:t>的计算</w:t>
      </w:r>
      <w:r>
        <w:rPr>
          <w:color w:val="auto"/>
          <w:szCs w:val="21"/>
          <w:highlight w:val="none"/>
        </w:rPr>
        <w:t>方法：</w:t>
      </w:r>
      <w:r>
        <w:rPr>
          <w:color w:val="auto"/>
          <w:szCs w:val="21"/>
          <w:highlight w:val="none"/>
          <w:u w:val="single"/>
        </w:rPr>
        <w:t xml:space="preserve"> </w:t>
      </w:r>
      <w:r>
        <w:rPr>
          <w:color w:val="auto"/>
          <w:szCs w:val="21"/>
          <w:highlight w:val="none"/>
          <w:u w:val="single"/>
        </w:rPr>
        <w:tab/>
      </w:r>
      <w:r>
        <w:rPr>
          <w:color w:val="auto"/>
          <w:szCs w:val="21"/>
          <w:highlight w:val="none"/>
        </w:rPr>
        <w:t>；</w:t>
      </w:r>
      <w:r>
        <w:rPr>
          <w:color w:val="auto"/>
          <w:spacing w:val="-3"/>
          <w:szCs w:val="21"/>
          <w:highlight w:val="none"/>
        </w:rPr>
        <w:t>增</w:t>
      </w:r>
      <w:r>
        <w:rPr>
          <w:color w:val="auto"/>
          <w:szCs w:val="21"/>
          <w:highlight w:val="none"/>
        </w:rPr>
        <w:t>加监理</w:t>
      </w:r>
      <w:r>
        <w:rPr>
          <w:color w:val="auto"/>
          <w:spacing w:val="-3"/>
          <w:szCs w:val="21"/>
          <w:highlight w:val="none"/>
        </w:rPr>
        <w:t>服</w:t>
      </w:r>
      <w:r>
        <w:rPr>
          <w:color w:val="auto"/>
          <w:szCs w:val="21"/>
          <w:highlight w:val="none"/>
        </w:rPr>
        <w:t>务费</w:t>
      </w:r>
      <w:r>
        <w:rPr>
          <w:color w:val="auto"/>
          <w:spacing w:val="-3"/>
          <w:szCs w:val="21"/>
          <w:highlight w:val="none"/>
        </w:rPr>
        <w:t>用</w:t>
      </w:r>
      <w:r>
        <w:rPr>
          <w:color w:val="auto"/>
          <w:szCs w:val="21"/>
          <w:highlight w:val="none"/>
        </w:rPr>
        <w:t>的计</w:t>
      </w:r>
      <w:r>
        <w:rPr>
          <w:color w:val="auto"/>
          <w:spacing w:val="-3"/>
          <w:szCs w:val="21"/>
          <w:highlight w:val="none"/>
        </w:rPr>
        <w:t>算方</w:t>
      </w:r>
      <w:r>
        <w:rPr>
          <w:color w:val="auto"/>
          <w:szCs w:val="21"/>
          <w:highlight w:val="none"/>
        </w:rPr>
        <w:t>法：</w:t>
      </w:r>
      <w:r>
        <w:rPr>
          <w:color w:val="auto"/>
          <w:szCs w:val="21"/>
          <w:highlight w:val="none"/>
          <w:u w:val="single"/>
        </w:rPr>
        <w:t xml:space="preserve"> </w:t>
      </w:r>
      <w:r>
        <w:rPr>
          <w:color w:val="auto"/>
          <w:szCs w:val="21"/>
          <w:highlight w:val="none"/>
          <w:u w:val="single"/>
        </w:rPr>
        <w:tab/>
      </w:r>
      <w:r>
        <w:rPr>
          <w:color w:val="auto"/>
          <w:szCs w:val="21"/>
          <w:highlight w:val="none"/>
        </w:rPr>
        <w:t>。</w:t>
      </w:r>
    </w:p>
    <w:p>
      <w:pPr>
        <w:pStyle w:val="6"/>
        <w:numPr>
          <w:ilvl w:val="0"/>
          <w:numId w:val="43"/>
        </w:numPr>
        <w:tabs>
          <w:tab w:val="left" w:pos="826"/>
        </w:tabs>
        <w:spacing w:after="0" w:line="240" w:lineRule="auto"/>
        <w:ind w:hanging="402"/>
        <w:rPr>
          <w:color w:val="auto"/>
          <w:sz w:val="21"/>
          <w:szCs w:val="21"/>
          <w:highlight w:val="none"/>
        </w:rPr>
      </w:pPr>
      <w:r>
        <w:rPr>
          <w:color w:val="auto"/>
          <w:w w:val="95"/>
          <w:sz w:val="21"/>
          <w:szCs w:val="21"/>
          <w:highlight w:val="none"/>
        </w:rPr>
        <w:t>合同变更</w:t>
      </w:r>
    </w:p>
    <w:p>
      <w:pPr>
        <w:numPr>
          <w:ilvl w:val="1"/>
          <w:numId w:val="43"/>
        </w:numPr>
        <w:tabs>
          <w:tab w:val="left" w:pos="914"/>
        </w:tabs>
        <w:spacing w:before="293"/>
        <w:rPr>
          <w:rFonts w:ascii="黑体" w:eastAsia="黑体"/>
          <w:b/>
          <w:color w:val="auto"/>
          <w:szCs w:val="21"/>
          <w:highlight w:val="none"/>
        </w:rPr>
      </w:pPr>
      <w:r>
        <w:rPr>
          <w:rFonts w:hint="eastAsia" w:ascii="黑体" w:eastAsia="黑体"/>
          <w:b/>
          <w:color w:val="auto"/>
          <w:szCs w:val="21"/>
          <w:highlight w:val="none"/>
        </w:rPr>
        <w:t>变更情形</w:t>
      </w:r>
    </w:p>
    <w:p>
      <w:pPr>
        <w:pStyle w:val="32"/>
        <w:numPr>
          <w:ilvl w:val="2"/>
          <w:numId w:val="43"/>
        </w:numPr>
        <w:tabs>
          <w:tab w:val="left" w:pos="1416"/>
          <w:tab w:val="left" w:pos="6391"/>
        </w:tabs>
        <w:spacing w:before="126" w:after="0" w:line="240" w:lineRule="auto"/>
        <w:ind w:hanging="553"/>
        <w:rPr>
          <w:color w:val="auto"/>
          <w:szCs w:val="21"/>
          <w:highlight w:val="none"/>
        </w:rPr>
      </w:pPr>
      <w:r>
        <w:rPr>
          <w:color w:val="auto"/>
          <w:szCs w:val="21"/>
          <w:highlight w:val="none"/>
        </w:rPr>
        <w:t>合</w:t>
      </w:r>
      <w:r>
        <w:rPr>
          <w:color w:val="auto"/>
          <w:spacing w:val="-3"/>
          <w:szCs w:val="21"/>
          <w:highlight w:val="none"/>
        </w:rPr>
        <w:t>同</w:t>
      </w:r>
      <w:r>
        <w:rPr>
          <w:color w:val="auto"/>
          <w:szCs w:val="21"/>
          <w:highlight w:val="none"/>
        </w:rPr>
        <w:t>变更</w:t>
      </w:r>
      <w:r>
        <w:rPr>
          <w:color w:val="auto"/>
          <w:spacing w:val="-3"/>
          <w:szCs w:val="21"/>
          <w:highlight w:val="none"/>
        </w:rPr>
        <w:t>时</w:t>
      </w:r>
      <w:r>
        <w:rPr>
          <w:color w:val="auto"/>
          <w:spacing w:val="-41"/>
          <w:szCs w:val="21"/>
          <w:highlight w:val="none"/>
        </w:rPr>
        <w:t>，</w:t>
      </w:r>
      <w:r>
        <w:rPr>
          <w:color w:val="auto"/>
          <w:spacing w:val="-3"/>
          <w:szCs w:val="21"/>
          <w:highlight w:val="none"/>
        </w:rPr>
        <w:t>监理</w:t>
      </w:r>
      <w:r>
        <w:rPr>
          <w:color w:val="auto"/>
          <w:szCs w:val="21"/>
          <w:highlight w:val="none"/>
        </w:rPr>
        <w:t>服务期</w:t>
      </w:r>
      <w:r>
        <w:rPr>
          <w:color w:val="auto"/>
          <w:spacing w:val="-3"/>
          <w:szCs w:val="21"/>
          <w:highlight w:val="none"/>
        </w:rPr>
        <w:t>限</w:t>
      </w:r>
      <w:r>
        <w:rPr>
          <w:color w:val="auto"/>
          <w:szCs w:val="21"/>
          <w:highlight w:val="none"/>
        </w:rPr>
        <w:t>的调</w:t>
      </w:r>
      <w:r>
        <w:rPr>
          <w:color w:val="auto"/>
          <w:spacing w:val="-3"/>
          <w:szCs w:val="21"/>
          <w:highlight w:val="none"/>
        </w:rPr>
        <w:t>整</w:t>
      </w:r>
      <w:r>
        <w:rPr>
          <w:color w:val="auto"/>
          <w:szCs w:val="21"/>
          <w:highlight w:val="none"/>
        </w:rPr>
        <w:t>方</w:t>
      </w:r>
      <w:r>
        <w:rPr>
          <w:color w:val="auto"/>
          <w:spacing w:val="-3"/>
          <w:szCs w:val="21"/>
          <w:highlight w:val="none"/>
        </w:rPr>
        <w:t>法</w:t>
      </w:r>
      <w:r>
        <w:rPr>
          <w:color w:val="auto"/>
          <w:spacing w:val="-41"/>
          <w:szCs w:val="21"/>
          <w:highlight w:val="none"/>
        </w:rPr>
        <w:t>：</w:t>
      </w:r>
      <w:r>
        <w:rPr>
          <w:color w:val="auto"/>
          <w:spacing w:val="-41"/>
          <w:szCs w:val="21"/>
          <w:highlight w:val="none"/>
          <w:u w:val="single"/>
        </w:rPr>
        <w:t xml:space="preserve"> </w:t>
      </w:r>
      <w:r>
        <w:rPr>
          <w:color w:val="auto"/>
          <w:spacing w:val="-41"/>
          <w:szCs w:val="21"/>
          <w:highlight w:val="none"/>
          <w:u w:val="single"/>
        </w:rPr>
        <w:tab/>
      </w:r>
      <w:r>
        <w:rPr>
          <w:color w:val="auto"/>
          <w:spacing w:val="-41"/>
          <w:szCs w:val="21"/>
          <w:highlight w:val="none"/>
        </w:rPr>
        <w:t>；</w:t>
      </w:r>
      <w:r>
        <w:rPr>
          <w:color w:val="auto"/>
          <w:spacing w:val="-3"/>
          <w:szCs w:val="21"/>
          <w:highlight w:val="none"/>
        </w:rPr>
        <w:t>监</w:t>
      </w:r>
      <w:r>
        <w:rPr>
          <w:color w:val="auto"/>
          <w:szCs w:val="21"/>
          <w:highlight w:val="none"/>
        </w:rPr>
        <w:t>理服</w:t>
      </w:r>
      <w:r>
        <w:rPr>
          <w:color w:val="auto"/>
          <w:spacing w:val="-3"/>
          <w:szCs w:val="21"/>
          <w:highlight w:val="none"/>
        </w:rPr>
        <w:t>务</w:t>
      </w:r>
      <w:r>
        <w:rPr>
          <w:color w:val="auto"/>
          <w:szCs w:val="21"/>
          <w:highlight w:val="none"/>
        </w:rPr>
        <w:t>费</w:t>
      </w:r>
      <w:r>
        <w:rPr>
          <w:color w:val="auto"/>
          <w:spacing w:val="-3"/>
          <w:szCs w:val="21"/>
          <w:highlight w:val="none"/>
        </w:rPr>
        <w:t>用</w:t>
      </w:r>
      <w:r>
        <w:rPr>
          <w:color w:val="auto"/>
          <w:szCs w:val="21"/>
          <w:highlight w:val="none"/>
        </w:rPr>
        <w:t>的调整</w:t>
      </w:r>
      <w:r>
        <w:rPr>
          <w:color w:val="auto"/>
          <w:spacing w:val="-3"/>
          <w:szCs w:val="21"/>
          <w:highlight w:val="none"/>
        </w:rPr>
        <w:t>方</w:t>
      </w:r>
      <w:r>
        <w:rPr>
          <w:color w:val="auto"/>
          <w:szCs w:val="21"/>
          <w:highlight w:val="none"/>
        </w:rPr>
        <w:t>法：</w:t>
      </w:r>
    </w:p>
    <w:p>
      <w:pPr>
        <w:pStyle w:val="32"/>
        <w:numPr>
          <w:ilvl w:val="0"/>
          <w:numId w:val="44"/>
        </w:numPr>
        <w:tabs>
          <w:tab w:val="left" w:pos="1417"/>
        </w:tabs>
        <w:spacing w:before="127" w:after="0" w:line="240" w:lineRule="auto"/>
        <w:ind w:hanging="554"/>
        <w:rPr>
          <w:rFonts w:ascii="Times New Roman" w:hAnsi="Times New Roman" w:eastAsia="Times New Roman"/>
          <w:color w:val="auto"/>
          <w:szCs w:val="21"/>
          <w:highlight w:val="none"/>
        </w:rPr>
      </w:pPr>
      <w:r>
        <w:rPr>
          <w:color w:val="auto"/>
          <w:spacing w:val="-3"/>
          <w:szCs w:val="21"/>
          <w:highlight w:val="none"/>
        </w:rPr>
        <w:t>监理人员服务费</w:t>
      </w:r>
      <w:r>
        <w:rPr>
          <w:rFonts w:ascii="Times New Roman" w:hAnsi="Times New Roman" w:eastAsia="Times New Roman"/>
          <w:color w:val="auto"/>
          <w:spacing w:val="-3"/>
          <w:szCs w:val="21"/>
          <w:highlight w:val="none"/>
        </w:rPr>
        <w:t>=</w:t>
      </w:r>
      <w:r>
        <w:rPr>
          <w:color w:val="auto"/>
          <w:spacing w:val="-3"/>
          <w:szCs w:val="21"/>
          <w:highlight w:val="none"/>
        </w:rPr>
        <w:t>增加的服务工作日数</w:t>
      </w:r>
      <w:r>
        <w:rPr>
          <w:rFonts w:ascii="Symbol" w:hAnsi="Symbol" w:eastAsia="Symbol"/>
          <w:color w:val="auto"/>
          <w:szCs w:val="21"/>
          <w:highlight w:val="none"/>
        </w:rPr>
        <w:t></w:t>
      </w:r>
      <w:r>
        <w:rPr>
          <w:color w:val="auto"/>
          <w:spacing w:val="-3"/>
          <w:szCs w:val="21"/>
          <w:highlight w:val="none"/>
        </w:rPr>
        <w:t>监理人员日平均单价</w:t>
      </w:r>
      <w:r>
        <w:rPr>
          <w:rFonts w:ascii="Times New Roman" w:hAnsi="Times New Roman" w:eastAsia="Times New Roman"/>
          <w:color w:val="auto"/>
          <w:szCs w:val="21"/>
          <w:highlight w:val="none"/>
        </w:rPr>
        <w:t>(</w:t>
      </w:r>
      <w:r>
        <w:rPr>
          <w:color w:val="auto"/>
          <w:spacing w:val="-3"/>
          <w:szCs w:val="21"/>
          <w:highlight w:val="none"/>
        </w:rPr>
        <w:t>即人月单价</w:t>
      </w:r>
      <w:r>
        <w:rPr>
          <w:rFonts w:ascii="Symbol" w:hAnsi="Symbol" w:eastAsia="Symbol"/>
          <w:color w:val="auto"/>
          <w:szCs w:val="21"/>
          <w:highlight w:val="none"/>
        </w:rPr>
        <w:t></w:t>
      </w:r>
      <w:r>
        <w:rPr>
          <w:rFonts w:ascii="Times New Roman" w:hAnsi="Times New Roman" w:eastAsia="Times New Roman"/>
          <w:color w:val="auto"/>
          <w:szCs w:val="21"/>
          <w:highlight w:val="none"/>
        </w:rPr>
        <w:t>21.75)</w:t>
      </w:r>
    </w:p>
    <w:p>
      <w:pPr>
        <w:pStyle w:val="32"/>
        <w:numPr>
          <w:ilvl w:val="0"/>
          <w:numId w:val="44"/>
        </w:numPr>
        <w:tabs>
          <w:tab w:val="left" w:pos="1423"/>
        </w:tabs>
        <w:spacing w:before="129" w:after="0" w:line="350" w:lineRule="auto"/>
        <w:ind w:left="424" w:right="464" w:firstLine="439"/>
        <w:jc w:val="both"/>
        <w:rPr>
          <w:color w:val="auto"/>
          <w:szCs w:val="21"/>
          <w:highlight w:val="none"/>
        </w:rPr>
      </w:pPr>
      <w:r>
        <w:rPr>
          <w:color w:val="auto"/>
          <w:szCs w:val="21"/>
          <w:highlight w:val="none"/>
        </w:rPr>
        <w:t>监理办公设施费、交通设施费（含燃料消耗等费用</w:t>
      </w:r>
      <w:r>
        <w:rPr>
          <w:color w:val="auto"/>
          <w:spacing w:val="-108"/>
          <w:szCs w:val="21"/>
          <w:highlight w:val="none"/>
        </w:rPr>
        <w:t>）</w:t>
      </w:r>
      <w:r>
        <w:rPr>
          <w:color w:val="auto"/>
          <w:szCs w:val="21"/>
          <w:highlight w:val="none"/>
        </w:rPr>
        <w:t>、试验设施费及生活设施费将按照因增加监理服务而导致实际增加的设施数量及监理单位在报价清单中填报的相应价</w:t>
      </w:r>
      <w:r>
        <w:rPr>
          <w:color w:val="auto"/>
          <w:spacing w:val="-1"/>
          <w:szCs w:val="21"/>
          <w:highlight w:val="none"/>
        </w:rPr>
        <w:t>格进行支付。</w:t>
      </w:r>
    </w:p>
    <w:p>
      <w:pPr>
        <w:numPr>
          <w:ilvl w:val="1"/>
          <w:numId w:val="43"/>
        </w:numPr>
        <w:tabs>
          <w:tab w:val="left" w:pos="914"/>
        </w:tabs>
        <w:spacing w:before="70"/>
        <w:rPr>
          <w:rFonts w:ascii="黑体" w:eastAsia="黑体"/>
          <w:b/>
          <w:color w:val="auto"/>
          <w:szCs w:val="21"/>
          <w:highlight w:val="none"/>
        </w:rPr>
      </w:pPr>
      <w:r>
        <w:rPr>
          <w:rFonts w:hint="eastAsia" w:ascii="黑体" w:eastAsia="黑体"/>
          <w:b/>
          <w:color w:val="auto"/>
          <w:szCs w:val="21"/>
          <w:highlight w:val="none"/>
        </w:rPr>
        <w:t>合理化建议</w:t>
      </w:r>
    </w:p>
    <w:p>
      <w:pPr>
        <w:tabs>
          <w:tab w:val="left" w:pos="5263"/>
        </w:tabs>
        <w:spacing w:before="126" w:line="350" w:lineRule="auto"/>
        <w:ind w:left="424" w:right="464" w:firstLine="439"/>
        <w:rPr>
          <w:color w:val="auto"/>
          <w:szCs w:val="21"/>
          <w:highlight w:val="none"/>
        </w:rPr>
      </w:pPr>
      <w:r>
        <w:rPr>
          <w:rFonts w:ascii="Times New Roman" w:eastAsia="Times New Roman"/>
          <w:color w:val="auto"/>
          <w:szCs w:val="21"/>
          <w:highlight w:val="none"/>
        </w:rPr>
        <w:t>8.2.2</w:t>
      </w:r>
      <w:r>
        <w:rPr>
          <w:rFonts w:ascii="Times New Roman" w:eastAsia="Times New Roman"/>
          <w:color w:val="auto"/>
          <w:spacing w:val="25"/>
          <w:szCs w:val="21"/>
          <w:highlight w:val="none"/>
        </w:rPr>
        <w:t xml:space="preserve"> </w:t>
      </w:r>
      <w:r>
        <w:rPr>
          <w:color w:val="auto"/>
          <w:szCs w:val="21"/>
          <w:highlight w:val="none"/>
        </w:rPr>
        <w:t>监</w:t>
      </w:r>
      <w:r>
        <w:rPr>
          <w:color w:val="auto"/>
          <w:spacing w:val="-3"/>
          <w:szCs w:val="21"/>
          <w:highlight w:val="none"/>
        </w:rPr>
        <w:t>理</w:t>
      </w:r>
      <w:r>
        <w:rPr>
          <w:color w:val="auto"/>
          <w:szCs w:val="21"/>
          <w:highlight w:val="none"/>
        </w:rPr>
        <w:t>人提</w:t>
      </w:r>
      <w:r>
        <w:rPr>
          <w:color w:val="auto"/>
          <w:spacing w:val="-3"/>
          <w:szCs w:val="21"/>
          <w:highlight w:val="none"/>
        </w:rPr>
        <w:t>出</w:t>
      </w:r>
      <w:r>
        <w:rPr>
          <w:color w:val="auto"/>
          <w:szCs w:val="21"/>
          <w:highlight w:val="none"/>
        </w:rPr>
        <w:t>的合</w:t>
      </w:r>
      <w:r>
        <w:rPr>
          <w:color w:val="auto"/>
          <w:spacing w:val="-3"/>
          <w:szCs w:val="21"/>
          <w:highlight w:val="none"/>
        </w:rPr>
        <w:t>理</w:t>
      </w:r>
      <w:r>
        <w:rPr>
          <w:color w:val="auto"/>
          <w:szCs w:val="21"/>
          <w:highlight w:val="none"/>
        </w:rPr>
        <w:t>化建议</w:t>
      </w:r>
      <w:r>
        <w:rPr>
          <w:color w:val="auto"/>
          <w:spacing w:val="-3"/>
          <w:szCs w:val="21"/>
          <w:highlight w:val="none"/>
        </w:rPr>
        <w:t>降</w:t>
      </w:r>
      <w:r>
        <w:rPr>
          <w:color w:val="auto"/>
          <w:szCs w:val="21"/>
          <w:highlight w:val="none"/>
        </w:rPr>
        <w:t>低了</w:t>
      </w:r>
      <w:r>
        <w:rPr>
          <w:color w:val="auto"/>
          <w:spacing w:val="-3"/>
          <w:szCs w:val="21"/>
          <w:highlight w:val="none"/>
        </w:rPr>
        <w:t>工</w:t>
      </w:r>
      <w:r>
        <w:rPr>
          <w:color w:val="auto"/>
          <w:szCs w:val="21"/>
          <w:highlight w:val="none"/>
        </w:rPr>
        <w:t>程投</w:t>
      </w:r>
      <w:r>
        <w:rPr>
          <w:color w:val="auto"/>
          <w:spacing w:val="-3"/>
          <w:szCs w:val="21"/>
          <w:highlight w:val="none"/>
        </w:rPr>
        <w:t>资</w:t>
      </w:r>
      <w:r>
        <w:rPr>
          <w:color w:val="auto"/>
          <w:spacing w:val="-17"/>
          <w:szCs w:val="21"/>
          <w:highlight w:val="none"/>
        </w:rPr>
        <w:t>、</w:t>
      </w:r>
      <w:r>
        <w:rPr>
          <w:color w:val="auto"/>
          <w:szCs w:val="21"/>
          <w:highlight w:val="none"/>
        </w:rPr>
        <w:t>缩短了</w:t>
      </w:r>
      <w:r>
        <w:rPr>
          <w:color w:val="auto"/>
          <w:spacing w:val="-3"/>
          <w:szCs w:val="21"/>
          <w:highlight w:val="none"/>
        </w:rPr>
        <w:t>施</w:t>
      </w:r>
      <w:r>
        <w:rPr>
          <w:color w:val="auto"/>
          <w:szCs w:val="21"/>
          <w:highlight w:val="none"/>
        </w:rPr>
        <w:t>工期</w:t>
      </w:r>
      <w:r>
        <w:rPr>
          <w:color w:val="auto"/>
          <w:spacing w:val="-3"/>
          <w:szCs w:val="21"/>
          <w:highlight w:val="none"/>
        </w:rPr>
        <w:t>限</w:t>
      </w:r>
      <w:r>
        <w:rPr>
          <w:color w:val="auto"/>
          <w:szCs w:val="21"/>
          <w:highlight w:val="none"/>
        </w:rPr>
        <w:t>或者</w:t>
      </w:r>
      <w:r>
        <w:rPr>
          <w:color w:val="auto"/>
          <w:spacing w:val="-3"/>
          <w:szCs w:val="21"/>
          <w:highlight w:val="none"/>
        </w:rPr>
        <w:t>提高</w:t>
      </w:r>
      <w:r>
        <w:rPr>
          <w:color w:val="auto"/>
          <w:szCs w:val="21"/>
          <w:highlight w:val="none"/>
        </w:rPr>
        <w:t>了工程</w:t>
      </w:r>
      <w:r>
        <w:rPr>
          <w:color w:val="auto"/>
          <w:spacing w:val="-3"/>
          <w:szCs w:val="21"/>
          <w:highlight w:val="none"/>
        </w:rPr>
        <w:t>经</w:t>
      </w:r>
      <w:r>
        <w:rPr>
          <w:color w:val="auto"/>
          <w:spacing w:val="-11"/>
          <w:szCs w:val="21"/>
          <w:highlight w:val="none"/>
        </w:rPr>
        <w:t>济</w:t>
      </w:r>
      <w:r>
        <w:rPr>
          <w:color w:val="auto"/>
          <w:szCs w:val="21"/>
          <w:highlight w:val="none"/>
        </w:rPr>
        <w:t>效益的</w:t>
      </w:r>
      <w:r>
        <w:rPr>
          <w:color w:val="auto"/>
          <w:spacing w:val="-3"/>
          <w:szCs w:val="21"/>
          <w:highlight w:val="none"/>
        </w:rPr>
        <w:t>，</w:t>
      </w:r>
      <w:r>
        <w:rPr>
          <w:color w:val="auto"/>
          <w:szCs w:val="21"/>
          <w:highlight w:val="none"/>
        </w:rPr>
        <w:t>委托</w:t>
      </w:r>
      <w:r>
        <w:rPr>
          <w:color w:val="auto"/>
          <w:spacing w:val="-3"/>
          <w:szCs w:val="21"/>
          <w:highlight w:val="none"/>
        </w:rPr>
        <w:t>人</w:t>
      </w:r>
      <w:r>
        <w:rPr>
          <w:color w:val="auto"/>
          <w:szCs w:val="21"/>
          <w:highlight w:val="none"/>
        </w:rPr>
        <w:t>给予</w:t>
      </w:r>
      <w:r>
        <w:rPr>
          <w:color w:val="auto"/>
          <w:spacing w:val="-3"/>
          <w:szCs w:val="21"/>
          <w:highlight w:val="none"/>
        </w:rPr>
        <w:t>监</w:t>
      </w:r>
      <w:r>
        <w:rPr>
          <w:color w:val="auto"/>
          <w:szCs w:val="21"/>
          <w:highlight w:val="none"/>
        </w:rPr>
        <w:t>理人如下</w:t>
      </w:r>
      <w:r>
        <w:rPr>
          <w:color w:val="auto"/>
          <w:spacing w:val="-3"/>
          <w:szCs w:val="21"/>
          <w:highlight w:val="none"/>
        </w:rPr>
        <w:t>奖</w:t>
      </w:r>
      <w:r>
        <w:rPr>
          <w:color w:val="auto"/>
          <w:szCs w:val="21"/>
          <w:highlight w:val="none"/>
        </w:rPr>
        <w:t>励：</w:t>
      </w:r>
      <w:r>
        <w:rPr>
          <w:color w:val="auto"/>
          <w:szCs w:val="21"/>
          <w:highlight w:val="none"/>
          <w:u w:val="single"/>
        </w:rPr>
        <w:t xml:space="preserve"> </w:t>
      </w:r>
      <w:r>
        <w:rPr>
          <w:color w:val="auto"/>
          <w:szCs w:val="21"/>
          <w:highlight w:val="none"/>
          <w:u w:val="single"/>
        </w:rPr>
        <w:tab/>
      </w:r>
      <w:r>
        <w:rPr>
          <w:color w:val="auto"/>
          <w:szCs w:val="21"/>
          <w:highlight w:val="none"/>
        </w:rPr>
        <w:t>。</w:t>
      </w:r>
    </w:p>
    <w:p>
      <w:pPr>
        <w:pStyle w:val="6"/>
        <w:numPr>
          <w:ilvl w:val="0"/>
          <w:numId w:val="43"/>
        </w:numPr>
        <w:tabs>
          <w:tab w:val="left" w:pos="826"/>
        </w:tabs>
        <w:spacing w:before="1" w:after="0" w:line="240" w:lineRule="auto"/>
        <w:ind w:hanging="402"/>
        <w:rPr>
          <w:color w:val="auto"/>
          <w:sz w:val="21"/>
          <w:szCs w:val="21"/>
          <w:highlight w:val="none"/>
        </w:rPr>
      </w:pPr>
      <w:r>
        <w:rPr>
          <w:color w:val="auto"/>
          <w:sz w:val="21"/>
          <w:szCs w:val="21"/>
          <w:highlight w:val="none"/>
        </w:rPr>
        <w:t>合同价格与支付</w:t>
      </w:r>
    </w:p>
    <w:p>
      <w:pPr>
        <w:numPr>
          <w:ilvl w:val="1"/>
          <w:numId w:val="43"/>
        </w:numPr>
        <w:tabs>
          <w:tab w:val="left" w:pos="914"/>
        </w:tabs>
        <w:spacing w:before="292"/>
        <w:rPr>
          <w:rFonts w:ascii="黑体" w:eastAsia="黑体"/>
          <w:b/>
          <w:color w:val="auto"/>
          <w:szCs w:val="21"/>
          <w:highlight w:val="none"/>
        </w:rPr>
      </w:pPr>
      <w:r>
        <w:rPr>
          <w:rFonts w:hint="eastAsia" w:ascii="黑体" w:eastAsia="黑体"/>
          <w:b/>
          <w:color w:val="auto"/>
          <w:szCs w:val="21"/>
          <w:highlight w:val="none"/>
        </w:rPr>
        <w:t>合同价格</w:t>
      </w:r>
    </w:p>
    <w:p>
      <w:pPr>
        <w:pStyle w:val="32"/>
        <w:numPr>
          <w:ilvl w:val="2"/>
          <w:numId w:val="43"/>
        </w:numPr>
        <w:tabs>
          <w:tab w:val="left" w:pos="1416"/>
          <w:tab w:val="left" w:pos="4936"/>
        </w:tabs>
        <w:spacing w:before="129" w:after="0" w:line="240" w:lineRule="auto"/>
        <w:ind w:hanging="553"/>
        <w:rPr>
          <w:color w:val="auto"/>
          <w:szCs w:val="21"/>
          <w:highlight w:val="none"/>
        </w:rPr>
      </w:pPr>
      <w:r>
        <w:rPr>
          <w:color w:val="auto"/>
          <w:szCs w:val="21"/>
          <w:highlight w:val="none"/>
        </w:rPr>
        <w:t>本</w:t>
      </w:r>
      <w:r>
        <w:rPr>
          <w:color w:val="auto"/>
          <w:spacing w:val="-3"/>
          <w:szCs w:val="21"/>
          <w:highlight w:val="none"/>
        </w:rPr>
        <w:t>合</w:t>
      </w:r>
      <w:r>
        <w:rPr>
          <w:color w:val="auto"/>
          <w:szCs w:val="21"/>
          <w:highlight w:val="none"/>
        </w:rPr>
        <w:t>同的</w:t>
      </w:r>
      <w:r>
        <w:rPr>
          <w:color w:val="auto"/>
          <w:spacing w:val="-3"/>
          <w:szCs w:val="21"/>
          <w:highlight w:val="none"/>
        </w:rPr>
        <w:t>报</w:t>
      </w:r>
      <w:r>
        <w:rPr>
          <w:color w:val="auto"/>
          <w:szCs w:val="21"/>
          <w:highlight w:val="none"/>
        </w:rPr>
        <w:t>价方</w:t>
      </w:r>
      <w:r>
        <w:rPr>
          <w:color w:val="auto"/>
          <w:spacing w:val="-3"/>
          <w:szCs w:val="21"/>
          <w:highlight w:val="none"/>
        </w:rPr>
        <w:t>式</w:t>
      </w:r>
      <w:r>
        <w:rPr>
          <w:color w:val="auto"/>
          <w:szCs w:val="21"/>
          <w:highlight w:val="none"/>
        </w:rPr>
        <w:t>：</w:t>
      </w:r>
      <w:r>
        <w:rPr>
          <w:color w:val="auto"/>
          <w:szCs w:val="21"/>
          <w:highlight w:val="none"/>
          <w:u w:val="single"/>
        </w:rPr>
        <w:t xml:space="preserve"> </w:t>
      </w:r>
      <w:r>
        <w:rPr>
          <w:color w:val="auto"/>
          <w:spacing w:val="11"/>
          <w:szCs w:val="21"/>
          <w:highlight w:val="none"/>
          <w:u w:val="single"/>
        </w:rPr>
        <w:t xml:space="preserve"> </w:t>
      </w:r>
      <w:r>
        <w:rPr>
          <w:color w:val="auto"/>
          <w:szCs w:val="21"/>
          <w:highlight w:val="none"/>
          <w:u w:val="single"/>
        </w:rPr>
        <w:t>总</w:t>
      </w:r>
      <w:r>
        <w:rPr>
          <w:color w:val="auto"/>
          <w:spacing w:val="-3"/>
          <w:szCs w:val="21"/>
          <w:highlight w:val="none"/>
          <w:u w:val="single"/>
        </w:rPr>
        <w:t>价</w:t>
      </w:r>
      <w:r>
        <w:rPr>
          <w:color w:val="auto"/>
          <w:szCs w:val="21"/>
          <w:highlight w:val="none"/>
          <w:u w:val="single"/>
        </w:rPr>
        <w:t>或单价</w:t>
      </w:r>
      <w:r>
        <w:rPr>
          <w:color w:val="auto"/>
          <w:szCs w:val="21"/>
          <w:highlight w:val="none"/>
          <w:u w:val="single"/>
        </w:rPr>
        <w:tab/>
      </w:r>
      <w:r>
        <w:rPr>
          <w:color w:val="auto"/>
          <w:szCs w:val="21"/>
          <w:highlight w:val="none"/>
        </w:rPr>
        <w:t>。</w:t>
      </w:r>
    </w:p>
    <w:p>
      <w:pPr>
        <w:tabs>
          <w:tab w:val="left" w:pos="7793"/>
        </w:tabs>
        <w:spacing w:before="129" w:line="348" w:lineRule="auto"/>
        <w:ind w:left="424" w:right="457" w:firstLine="439"/>
        <w:rPr>
          <w:color w:val="auto"/>
          <w:szCs w:val="21"/>
          <w:highlight w:val="none"/>
        </w:rPr>
      </w:pPr>
      <w:r>
        <w:rPr>
          <w:color w:val="auto"/>
          <w:szCs w:val="21"/>
          <w:highlight w:val="none"/>
        </w:rPr>
        <w:t>在合同实施期间，由</w:t>
      </w:r>
      <w:r>
        <w:rPr>
          <w:color w:val="auto"/>
          <w:spacing w:val="4"/>
          <w:szCs w:val="21"/>
          <w:highlight w:val="none"/>
        </w:rPr>
        <w:t>于</w:t>
      </w:r>
      <w:r>
        <w:rPr>
          <w:color w:val="auto"/>
          <w:szCs w:val="21"/>
          <w:highlight w:val="none"/>
        </w:rPr>
        <w:t>人工、材料、设备等因素的市场价格变化导致本项目监理服务费用变</w:t>
      </w:r>
      <w:r>
        <w:rPr>
          <w:color w:val="auto"/>
          <w:spacing w:val="-3"/>
          <w:szCs w:val="21"/>
          <w:highlight w:val="none"/>
        </w:rPr>
        <w:t>化</w:t>
      </w:r>
      <w:r>
        <w:rPr>
          <w:color w:val="auto"/>
          <w:szCs w:val="21"/>
          <w:highlight w:val="none"/>
        </w:rPr>
        <w:t>，合</w:t>
      </w:r>
      <w:r>
        <w:rPr>
          <w:color w:val="auto"/>
          <w:spacing w:val="-3"/>
          <w:szCs w:val="21"/>
          <w:highlight w:val="none"/>
        </w:rPr>
        <w:t>同</w:t>
      </w:r>
      <w:r>
        <w:rPr>
          <w:color w:val="auto"/>
          <w:szCs w:val="21"/>
          <w:highlight w:val="none"/>
        </w:rPr>
        <w:t>价格的</w:t>
      </w:r>
      <w:r>
        <w:rPr>
          <w:color w:val="auto"/>
          <w:spacing w:val="-3"/>
          <w:szCs w:val="21"/>
          <w:highlight w:val="none"/>
        </w:rPr>
        <w:t>调</w:t>
      </w:r>
      <w:r>
        <w:rPr>
          <w:color w:val="auto"/>
          <w:szCs w:val="21"/>
          <w:highlight w:val="none"/>
        </w:rPr>
        <w:t>整方式</w:t>
      </w:r>
      <w:r>
        <w:rPr>
          <w:color w:val="auto"/>
          <w:spacing w:val="-3"/>
          <w:szCs w:val="21"/>
          <w:highlight w:val="none"/>
        </w:rPr>
        <w:t>和</w:t>
      </w:r>
      <w:r>
        <w:rPr>
          <w:color w:val="auto"/>
          <w:szCs w:val="21"/>
          <w:highlight w:val="none"/>
        </w:rPr>
        <w:t>风险</w:t>
      </w:r>
      <w:r>
        <w:rPr>
          <w:color w:val="auto"/>
          <w:spacing w:val="-3"/>
          <w:szCs w:val="21"/>
          <w:highlight w:val="none"/>
        </w:rPr>
        <w:t>范</w:t>
      </w:r>
      <w:r>
        <w:rPr>
          <w:color w:val="auto"/>
          <w:szCs w:val="21"/>
          <w:highlight w:val="none"/>
        </w:rPr>
        <w:t>围划</w:t>
      </w:r>
      <w:r>
        <w:rPr>
          <w:color w:val="auto"/>
          <w:spacing w:val="-3"/>
          <w:szCs w:val="21"/>
          <w:highlight w:val="none"/>
        </w:rPr>
        <w:t>分</w:t>
      </w:r>
      <w:r>
        <w:rPr>
          <w:color w:val="auto"/>
          <w:szCs w:val="21"/>
          <w:highlight w:val="none"/>
        </w:rPr>
        <w:t>：</w:t>
      </w:r>
      <w:r>
        <w:rPr>
          <w:color w:val="auto"/>
          <w:szCs w:val="21"/>
          <w:highlight w:val="none"/>
          <w:u w:val="single"/>
        </w:rPr>
        <w:t xml:space="preserve"> </w:t>
      </w:r>
      <w:r>
        <w:rPr>
          <w:color w:val="auto"/>
          <w:szCs w:val="21"/>
          <w:highlight w:val="none"/>
          <w:u w:val="single"/>
        </w:rPr>
        <w:tab/>
      </w:r>
      <w:r>
        <w:rPr>
          <w:color w:val="auto"/>
          <w:szCs w:val="21"/>
          <w:highlight w:val="none"/>
        </w:rPr>
        <w:t>。</w:t>
      </w:r>
    </w:p>
    <w:p>
      <w:pPr>
        <w:spacing w:line="283" w:lineRule="exact"/>
        <w:ind w:left="424"/>
        <w:rPr>
          <w:rFonts w:ascii="黑体" w:eastAsia="黑体"/>
          <w:b/>
          <w:color w:val="auto"/>
          <w:szCs w:val="21"/>
          <w:highlight w:val="none"/>
        </w:rPr>
      </w:pPr>
      <w:r>
        <w:rPr>
          <w:rFonts w:ascii="Times New Roman" w:eastAsia="Times New Roman"/>
          <w:b/>
          <w:color w:val="auto"/>
          <w:szCs w:val="21"/>
          <w:highlight w:val="none"/>
        </w:rPr>
        <w:t>9.3</w:t>
      </w:r>
      <w:r>
        <w:rPr>
          <w:rFonts w:ascii="Times New Roman" w:eastAsia="Times New Roman"/>
          <w:b/>
          <w:color w:val="auto"/>
          <w:spacing w:val="67"/>
          <w:szCs w:val="21"/>
          <w:highlight w:val="none"/>
        </w:rPr>
        <w:t xml:space="preserve"> </w:t>
      </w:r>
      <w:r>
        <w:rPr>
          <w:rFonts w:hint="eastAsia" w:ascii="黑体" w:eastAsia="黑体"/>
          <w:b/>
          <w:color w:val="auto"/>
          <w:szCs w:val="21"/>
          <w:highlight w:val="none"/>
        </w:rPr>
        <w:t>中期支付</w:t>
      </w:r>
    </w:p>
    <w:p>
      <w:pPr>
        <w:tabs>
          <w:tab w:val="left" w:pos="8235"/>
        </w:tabs>
        <w:spacing w:before="128"/>
        <w:ind w:left="863"/>
        <w:rPr>
          <w:color w:val="auto"/>
          <w:szCs w:val="21"/>
          <w:highlight w:val="none"/>
        </w:rPr>
      </w:pPr>
      <w:r>
        <w:rPr>
          <w:rFonts w:ascii="Times New Roman" w:eastAsia="Times New Roman"/>
          <w:color w:val="auto"/>
          <w:szCs w:val="21"/>
          <w:highlight w:val="none"/>
        </w:rPr>
        <w:t xml:space="preserve">9.3.5 </w:t>
      </w:r>
      <w:r>
        <w:rPr>
          <w:rFonts w:ascii="Times New Roman" w:eastAsia="Times New Roman"/>
          <w:color w:val="auto"/>
          <w:spacing w:val="7"/>
          <w:szCs w:val="21"/>
          <w:highlight w:val="none"/>
        </w:rPr>
        <w:t xml:space="preserve"> </w:t>
      </w:r>
      <w:r>
        <w:rPr>
          <w:color w:val="auto"/>
          <w:szCs w:val="21"/>
          <w:highlight w:val="none"/>
        </w:rPr>
        <w:t>中</w:t>
      </w:r>
      <w:r>
        <w:rPr>
          <w:color w:val="auto"/>
          <w:spacing w:val="-3"/>
          <w:szCs w:val="21"/>
          <w:highlight w:val="none"/>
        </w:rPr>
        <w:t>期</w:t>
      </w:r>
      <w:r>
        <w:rPr>
          <w:color w:val="auto"/>
          <w:szCs w:val="21"/>
          <w:highlight w:val="none"/>
        </w:rPr>
        <w:t>支付</w:t>
      </w:r>
      <w:r>
        <w:rPr>
          <w:color w:val="auto"/>
          <w:spacing w:val="-3"/>
          <w:szCs w:val="21"/>
          <w:highlight w:val="none"/>
        </w:rPr>
        <w:t>涉</w:t>
      </w:r>
      <w:r>
        <w:rPr>
          <w:color w:val="auto"/>
          <w:szCs w:val="21"/>
          <w:highlight w:val="none"/>
        </w:rPr>
        <w:t>及政</w:t>
      </w:r>
      <w:r>
        <w:rPr>
          <w:color w:val="auto"/>
          <w:spacing w:val="-3"/>
          <w:szCs w:val="21"/>
          <w:highlight w:val="none"/>
        </w:rPr>
        <w:t>府</w:t>
      </w:r>
      <w:r>
        <w:rPr>
          <w:color w:val="auto"/>
          <w:szCs w:val="21"/>
          <w:highlight w:val="none"/>
        </w:rPr>
        <w:t>投资资</w:t>
      </w:r>
      <w:r>
        <w:rPr>
          <w:color w:val="auto"/>
          <w:spacing w:val="-3"/>
          <w:szCs w:val="21"/>
          <w:highlight w:val="none"/>
        </w:rPr>
        <w:t>金</w:t>
      </w:r>
      <w:r>
        <w:rPr>
          <w:color w:val="auto"/>
          <w:szCs w:val="21"/>
          <w:highlight w:val="none"/>
        </w:rPr>
        <w:t>的，</w:t>
      </w:r>
      <w:r>
        <w:rPr>
          <w:color w:val="auto"/>
          <w:spacing w:val="-3"/>
          <w:szCs w:val="21"/>
          <w:highlight w:val="none"/>
        </w:rPr>
        <w:t>支</w:t>
      </w:r>
      <w:r>
        <w:rPr>
          <w:color w:val="auto"/>
          <w:szCs w:val="21"/>
          <w:highlight w:val="none"/>
        </w:rPr>
        <w:t>付规</w:t>
      </w:r>
      <w:r>
        <w:rPr>
          <w:color w:val="auto"/>
          <w:spacing w:val="-3"/>
          <w:szCs w:val="21"/>
          <w:highlight w:val="none"/>
        </w:rPr>
        <w:t>定如</w:t>
      </w:r>
      <w:r>
        <w:rPr>
          <w:color w:val="auto"/>
          <w:szCs w:val="21"/>
          <w:highlight w:val="none"/>
        </w:rPr>
        <w:t>下：</w:t>
      </w:r>
      <w:r>
        <w:rPr>
          <w:color w:val="auto"/>
          <w:szCs w:val="21"/>
          <w:highlight w:val="none"/>
          <w:u w:val="single"/>
        </w:rPr>
        <w:t xml:space="preserve"> </w:t>
      </w:r>
      <w:r>
        <w:rPr>
          <w:color w:val="auto"/>
          <w:szCs w:val="21"/>
          <w:highlight w:val="none"/>
          <w:u w:val="single"/>
        </w:rPr>
        <w:tab/>
      </w:r>
      <w:r>
        <w:rPr>
          <w:color w:val="auto"/>
          <w:szCs w:val="21"/>
          <w:highlight w:val="none"/>
        </w:rPr>
        <w:t>。</w:t>
      </w:r>
    </w:p>
    <w:p>
      <w:pPr>
        <w:spacing w:before="52"/>
        <w:ind w:left="424"/>
        <w:rPr>
          <w:rFonts w:ascii="黑体" w:eastAsia="黑体"/>
          <w:b/>
          <w:color w:val="auto"/>
          <w:szCs w:val="21"/>
          <w:highlight w:val="none"/>
        </w:rPr>
      </w:pPr>
      <w:r>
        <w:rPr>
          <w:rFonts w:ascii="Times New Roman" w:eastAsia="Times New Roman"/>
          <w:b/>
          <w:color w:val="auto"/>
          <w:szCs w:val="21"/>
          <w:highlight w:val="none"/>
        </w:rPr>
        <w:t>9.5</w:t>
      </w:r>
      <w:r>
        <w:rPr>
          <w:rFonts w:ascii="Times New Roman" w:eastAsia="Times New Roman"/>
          <w:b/>
          <w:color w:val="auto"/>
          <w:spacing w:val="67"/>
          <w:szCs w:val="21"/>
          <w:highlight w:val="none"/>
        </w:rPr>
        <w:t xml:space="preserve"> </w:t>
      </w:r>
      <w:r>
        <w:rPr>
          <w:rFonts w:hint="eastAsia" w:ascii="黑体" w:eastAsia="黑体"/>
          <w:b/>
          <w:color w:val="auto"/>
          <w:szCs w:val="21"/>
          <w:highlight w:val="none"/>
        </w:rPr>
        <w:t>暂列金额</w:t>
      </w:r>
    </w:p>
    <w:p>
      <w:pPr>
        <w:tabs>
          <w:tab w:val="left" w:pos="4495"/>
        </w:tabs>
        <w:spacing w:before="128"/>
        <w:ind w:left="863"/>
        <w:rPr>
          <w:color w:val="auto"/>
          <w:szCs w:val="21"/>
          <w:highlight w:val="none"/>
        </w:rPr>
      </w:pPr>
      <w:r>
        <w:rPr>
          <w:color w:val="auto"/>
          <w:szCs w:val="21"/>
          <w:highlight w:val="none"/>
        </w:rPr>
        <w:t>本合同</w:t>
      </w:r>
      <w:r>
        <w:rPr>
          <w:color w:val="auto"/>
          <w:spacing w:val="-3"/>
          <w:szCs w:val="21"/>
          <w:highlight w:val="none"/>
        </w:rPr>
        <w:t>的</w:t>
      </w:r>
      <w:r>
        <w:rPr>
          <w:color w:val="auto"/>
          <w:szCs w:val="21"/>
          <w:highlight w:val="none"/>
        </w:rPr>
        <w:t>暂列</w:t>
      </w:r>
      <w:r>
        <w:rPr>
          <w:color w:val="auto"/>
          <w:spacing w:val="-3"/>
          <w:szCs w:val="21"/>
          <w:highlight w:val="none"/>
        </w:rPr>
        <w:t>金</w:t>
      </w:r>
      <w:r>
        <w:rPr>
          <w:color w:val="auto"/>
          <w:szCs w:val="21"/>
          <w:highlight w:val="none"/>
        </w:rPr>
        <w:t>额为</w:t>
      </w:r>
      <w:r>
        <w:rPr>
          <w:color w:val="auto"/>
          <w:spacing w:val="-3"/>
          <w:szCs w:val="21"/>
          <w:highlight w:val="none"/>
        </w:rPr>
        <w:t>监理</w:t>
      </w:r>
      <w:r>
        <w:rPr>
          <w:color w:val="auto"/>
          <w:szCs w:val="21"/>
          <w:highlight w:val="none"/>
        </w:rPr>
        <w:t>服务费的</w:t>
      </w:r>
      <w:r>
        <w:rPr>
          <w:color w:val="auto"/>
          <w:szCs w:val="21"/>
          <w:highlight w:val="none"/>
          <w:u w:val="single"/>
        </w:rPr>
        <w:t xml:space="preserve"> </w:t>
      </w:r>
      <w:r>
        <w:rPr>
          <w:color w:val="auto"/>
          <w:szCs w:val="21"/>
          <w:highlight w:val="none"/>
          <w:u w:val="single"/>
        </w:rPr>
        <w:tab/>
      </w:r>
      <w:r>
        <w:rPr>
          <w:color w:val="auto"/>
          <w:szCs w:val="21"/>
          <w:highlight w:val="none"/>
        </w:rPr>
        <w:t>％</w:t>
      </w:r>
      <w:r>
        <w:rPr>
          <w:color w:val="auto"/>
          <w:spacing w:val="-3"/>
          <w:szCs w:val="21"/>
          <w:highlight w:val="none"/>
        </w:rPr>
        <w:t>。</w:t>
      </w:r>
      <w:r>
        <w:rPr>
          <w:color w:val="auto"/>
          <w:position w:val="10"/>
          <w:szCs w:val="21"/>
          <w:highlight w:val="none"/>
        </w:rPr>
        <w:t>①</w:t>
      </w:r>
    </w:p>
    <w:p>
      <w:pPr>
        <w:pStyle w:val="6"/>
        <w:numPr>
          <w:ilvl w:val="0"/>
          <w:numId w:val="45"/>
        </w:numPr>
        <w:tabs>
          <w:tab w:val="left" w:pos="967"/>
        </w:tabs>
        <w:spacing w:after="0" w:line="240" w:lineRule="auto"/>
        <w:rPr>
          <w:color w:val="auto"/>
          <w:sz w:val="21"/>
          <w:szCs w:val="21"/>
          <w:highlight w:val="none"/>
        </w:rPr>
      </w:pPr>
      <w:r>
        <w:rPr>
          <w:color w:val="auto"/>
          <w:sz w:val="21"/>
          <w:szCs w:val="21"/>
          <w:highlight w:val="none"/>
        </w:rPr>
        <w:t>违约</w:t>
      </w:r>
    </w:p>
    <w:p>
      <w:pPr>
        <w:pStyle w:val="9"/>
        <w:spacing w:before="10"/>
        <w:rPr>
          <w:rFonts w:ascii="黑体"/>
          <w:b/>
          <w:color w:val="auto"/>
          <w:sz w:val="21"/>
          <w:szCs w:val="21"/>
          <w:highlight w:val="none"/>
        </w:rPr>
      </w:pPr>
    </w:p>
    <w:p>
      <w:pPr>
        <w:ind w:left="863"/>
        <w:rPr>
          <w:color w:val="auto"/>
          <w:szCs w:val="21"/>
          <w:highlight w:val="none"/>
        </w:rPr>
      </w:pPr>
      <w:r>
        <w:rPr>
          <w:color w:val="auto"/>
          <w:szCs w:val="21"/>
          <w:highlight w:val="none"/>
        </w:rPr>
        <w:t xml:space="preserve">第 </w:t>
      </w:r>
      <w:r>
        <w:rPr>
          <w:rFonts w:ascii="Times New Roman" w:eastAsia="Times New Roman"/>
          <w:color w:val="auto"/>
          <w:szCs w:val="21"/>
          <w:highlight w:val="none"/>
        </w:rPr>
        <w:t xml:space="preserve">11.1 </w:t>
      </w:r>
      <w:r>
        <w:rPr>
          <w:color w:val="auto"/>
          <w:szCs w:val="21"/>
          <w:highlight w:val="none"/>
        </w:rPr>
        <w:t>款细化为：</w:t>
      </w:r>
    </w:p>
    <w:p>
      <w:pPr>
        <w:numPr>
          <w:ilvl w:val="1"/>
          <w:numId w:val="45"/>
        </w:numPr>
        <w:tabs>
          <w:tab w:val="left" w:pos="1054"/>
        </w:tabs>
        <w:spacing w:before="52"/>
        <w:ind w:hanging="630"/>
        <w:rPr>
          <w:rFonts w:ascii="黑体" w:eastAsia="黑体"/>
          <w:b/>
          <w:color w:val="auto"/>
          <w:szCs w:val="21"/>
          <w:highlight w:val="none"/>
        </w:rPr>
      </w:pPr>
      <w:r>
        <w:rPr>
          <w:rFonts w:hint="eastAsia" w:ascii="黑体" w:eastAsia="黑体"/>
          <w:b/>
          <w:color w:val="auto"/>
          <w:szCs w:val="21"/>
          <w:highlight w:val="none"/>
        </w:rPr>
        <w:t>监理人违约</w:t>
      </w:r>
    </w:p>
    <w:p>
      <w:pPr>
        <w:tabs>
          <w:tab w:val="left" w:pos="4276"/>
        </w:tabs>
        <w:spacing w:before="128" w:line="350" w:lineRule="auto"/>
        <w:ind w:left="424" w:right="464" w:firstLine="439"/>
        <w:rPr>
          <w:color w:val="auto"/>
          <w:szCs w:val="21"/>
          <w:highlight w:val="none"/>
        </w:rPr>
      </w:pPr>
      <w:r>
        <w:rPr>
          <w:rFonts w:ascii="Times New Roman" w:eastAsia="Times New Roman"/>
          <w:color w:val="auto"/>
          <w:szCs w:val="21"/>
          <w:highlight w:val="none"/>
        </w:rPr>
        <w:t>11.1.2</w:t>
      </w:r>
      <w:r>
        <w:rPr>
          <w:rFonts w:ascii="Times New Roman" w:eastAsia="Times New Roman"/>
          <w:color w:val="auto"/>
          <w:spacing w:val="36"/>
          <w:szCs w:val="21"/>
          <w:highlight w:val="none"/>
        </w:rPr>
        <w:t xml:space="preserve"> </w:t>
      </w:r>
      <w:r>
        <w:rPr>
          <w:color w:val="auto"/>
          <w:spacing w:val="24"/>
          <w:szCs w:val="21"/>
          <w:highlight w:val="none"/>
        </w:rPr>
        <w:t>监理</w:t>
      </w:r>
      <w:r>
        <w:rPr>
          <w:color w:val="auto"/>
          <w:spacing w:val="23"/>
          <w:szCs w:val="21"/>
          <w:highlight w:val="none"/>
        </w:rPr>
        <w:t>人发</w:t>
      </w:r>
      <w:r>
        <w:rPr>
          <w:color w:val="auto"/>
          <w:spacing w:val="21"/>
          <w:szCs w:val="21"/>
          <w:highlight w:val="none"/>
        </w:rPr>
        <w:t>生</w:t>
      </w:r>
      <w:r>
        <w:rPr>
          <w:color w:val="auto"/>
          <w:spacing w:val="23"/>
          <w:szCs w:val="21"/>
          <w:highlight w:val="none"/>
        </w:rPr>
        <w:t>违</w:t>
      </w:r>
      <w:r>
        <w:rPr>
          <w:color w:val="auto"/>
          <w:spacing w:val="21"/>
          <w:szCs w:val="21"/>
          <w:highlight w:val="none"/>
        </w:rPr>
        <w:t>约</w:t>
      </w:r>
      <w:r>
        <w:rPr>
          <w:color w:val="auto"/>
          <w:spacing w:val="23"/>
          <w:szCs w:val="21"/>
          <w:highlight w:val="none"/>
        </w:rPr>
        <w:t>情况时</w:t>
      </w:r>
      <w:r>
        <w:rPr>
          <w:color w:val="auto"/>
          <w:szCs w:val="21"/>
          <w:highlight w:val="none"/>
        </w:rPr>
        <w:t>，</w:t>
      </w:r>
      <w:r>
        <w:rPr>
          <w:color w:val="auto"/>
          <w:spacing w:val="-83"/>
          <w:szCs w:val="21"/>
          <w:highlight w:val="none"/>
        </w:rPr>
        <w:t xml:space="preserve"> </w:t>
      </w:r>
      <w:r>
        <w:rPr>
          <w:color w:val="auto"/>
          <w:spacing w:val="24"/>
          <w:szCs w:val="21"/>
          <w:highlight w:val="none"/>
        </w:rPr>
        <w:t>委托人有权</w:t>
      </w:r>
      <w:r>
        <w:rPr>
          <w:color w:val="auto"/>
          <w:spacing w:val="22"/>
          <w:szCs w:val="21"/>
          <w:highlight w:val="none"/>
        </w:rPr>
        <w:t>向</w:t>
      </w:r>
      <w:r>
        <w:rPr>
          <w:color w:val="auto"/>
          <w:spacing w:val="24"/>
          <w:szCs w:val="21"/>
          <w:highlight w:val="none"/>
        </w:rPr>
        <w:t>监理人</w:t>
      </w:r>
      <w:r>
        <w:rPr>
          <w:color w:val="auto"/>
          <w:spacing w:val="23"/>
          <w:szCs w:val="21"/>
          <w:highlight w:val="none"/>
        </w:rPr>
        <w:t>课以违约金</w:t>
      </w:r>
      <w:r>
        <w:rPr>
          <w:color w:val="auto"/>
          <w:szCs w:val="21"/>
          <w:highlight w:val="none"/>
        </w:rPr>
        <w:t>，</w:t>
      </w:r>
      <w:r>
        <w:rPr>
          <w:color w:val="auto"/>
          <w:spacing w:val="-85"/>
          <w:szCs w:val="21"/>
          <w:highlight w:val="none"/>
        </w:rPr>
        <w:t xml:space="preserve"> </w:t>
      </w:r>
      <w:r>
        <w:rPr>
          <w:color w:val="auto"/>
          <w:spacing w:val="21"/>
          <w:szCs w:val="21"/>
          <w:highlight w:val="none"/>
        </w:rPr>
        <w:t>具</w:t>
      </w:r>
      <w:r>
        <w:rPr>
          <w:color w:val="auto"/>
          <w:spacing w:val="23"/>
          <w:szCs w:val="21"/>
          <w:highlight w:val="none"/>
        </w:rPr>
        <w:t>体约</w:t>
      </w:r>
      <w:r>
        <w:rPr>
          <w:color w:val="auto"/>
          <w:spacing w:val="26"/>
          <w:szCs w:val="21"/>
          <w:highlight w:val="none"/>
        </w:rPr>
        <w:t>定</w:t>
      </w:r>
      <w:r>
        <w:rPr>
          <w:color w:val="auto"/>
          <w:szCs w:val="21"/>
          <w:highlight w:val="none"/>
        </w:rPr>
        <w:t>如下：</w:t>
      </w:r>
      <w:r>
        <w:rPr>
          <w:color w:val="auto"/>
          <w:szCs w:val="21"/>
          <w:highlight w:val="none"/>
          <w:u w:val="single"/>
        </w:rPr>
        <w:t xml:space="preserve"> </w:t>
      </w:r>
      <w:r>
        <w:rPr>
          <w:color w:val="auto"/>
          <w:szCs w:val="21"/>
          <w:highlight w:val="none"/>
          <w:u w:val="single"/>
        </w:rPr>
        <w:tab/>
      </w:r>
      <w:r>
        <w:rPr>
          <w:color w:val="auto"/>
          <w:szCs w:val="21"/>
          <w:highlight w:val="none"/>
        </w:rPr>
        <w:t>。</w:t>
      </w:r>
    </w:p>
    <w:p>
      <w:pPr>
        <w:numPr>
          <w:ilvl w:val="1"/>
          <w:numId w:val="45"/>
        </w:numPr>
        <w:tabs>
          <w:tab w:val="left" w:pos="1054"/>
        </w:tabs>
        <w:spacing w:line="280" w:lineRule="exact"/>
        <w:ind w:hanging="630"/>
        <w:rPr>
          <w:rFonts w:ascii="黑体" w:eastAsia="黑体"/>
          <w:b/>
          <w:color w:val="auto"/>
          <w:szCs w:val="21"/>
          <w:highlight w:val="none"/>
        </w:rPr>
      </w:pPr>
      <w:r>
        <w:rPr>
          <w:rFonts w:hint="eastAsia" w:ascii="黑体" w:eastAsia="黑体"/>
          <w:b/>
          <w:color w:val="auto"/>
          <w:szCs w:val="21"/>
          <w:highlight w:val="none"/>
        </w:rPr>
        <w:t>委托人违约</w:t>
      </w:r>
    </w:p>
    <w:p>
      <w:pPr>
        <w:tabs>
          <w:tab w:val="left" w:pos="4276"/>
        </w:tabs>
        <w:spacing w:before="127" w:line="350" w:lineRule="auto"/>
        <w:ind w:left="424" w:right="464" w:firstLine="439"/>
        <w:rPr>
          <w:color w:val="auto"/>
          <w:szCs w:val="21"/>
          <w:highlight w:val="none"/>
        </w:rPr>
      </w:pPr>
      <w:r>
        <w:rPr>
          <w:rFonts w:ascii="Times New Roman" w:eastAsia="Times New Roman"/>
          <w:color w:val="auto"/>
          <w:szCs w:val="21"/>
          <w:highlight w:val="none"/>
        </w:rPr>
        <w:t>11.2.2</w:t>
      </w:r>
      <w:r>
        <w:rPr>
          <w:rFonts w:ascii="Times New Roman" w:eastAsia="Times New Roman"/>
          <w:color w:val="auto"/>
          <w:spacing w:val="36"/>
          <w:szCs w:val="21"/>
          <w:highlight w:val="none"/>
        </w:rPr>
        <w:t xml:space="preserve"> </w:t>
      </w:r>
      <w:r>
        <w:rPr>
          <w:color w:val="auto"/>
          <w:spacing w:val="24"/>
          <w:szCs w:val="21"/>
          <w:highlight w:val="none"/>
        </w:rPr>
        <w:t>委托人</w:t>
      </w:r>
      <w:r>
        <w:rPr>
          <w:color w:val="auto"/>
          <w:spacing w:val="23"/>
          <w:szCs w:val="21"/>
          <w:highlight w:val="none"/>
        </w:rPr>
        <w:t>发</w:t>
      </w:r>
      <w:r>
        <w:rPr>
          <w:color w:val="auto"/>
          <w:spacing w:val="21"/>
          <w:szCs w:val="21"/>
          <w:highlight w:val="none"/>
        </w:rPr>
        <w:t>生</w:t>
      </w:r>
      <w:r>
        <w:rPr>
          <w:color w:val="auto"/>
          <w:spacing w:val="23"/>
          <w:szCs w:val="21"/>
          <w:highlight w:val="none"/>
        </w:rPr>
        <w:t>违</w:t>
      </w:r>
      <w:r>
        <w:rPr>
          <w:color w:val="auto"/>
          <w:spacing w:val="21"/>
          <w:szCs w:val="21"/>
          <w:highlight w:val="none"/>
        </w:rPr>
        <w:t>约</w:t>
      </w:r>
      <w:r>
        <w:rPr>
          <w:color w:val="auto"/>
          <w:spacing w:val="23"/>
          <w:szCs w:val="21"/>
          <w:highlight w:val="none"/>
        </w:rPr>
        <w:t>情况时</w:t>
      </w:r>
      <w:r>
        <w:rPr>
          <w:color w:val="auto"/>
          <w:szCs w:val="21"/>
          <w:highlight w:val="none"/>
        </w:rPr>
        <w:t>，</w:t>
      </w:r>
      <w:r>
        <w:rPr>
          <w:color w:val="auto"/>
          <w:spacing w:val="-83"/>
          <w:szCs w:val="21"/>
          <w:highlight w:val="none"/>
        </w:rPr>
        <w:t xml:space="preserve"> </w:t>
      </w:r>
      <w:r>
        <w:rPr>
          <w:color w:val="auto"/>
          <w:spacing w:val="24"/>
          <w:szCs w:val="21"/>
          <w:highlight w:val="none"/>
        </w:rPr>
        <w:t>监理人有权</w:t>
      </w:r>
      <w:r>
        <w:rPr>
          <w:color w:val="auto"/>
          <w:spacing w:val="22"/>
          <w:szCs w:val="21"/>
          <w:highlight w:val="none"/>
        </w:rPr>
        <w:t>向</w:t>
      </w:r>
      <w:r>
        <w:rPr>
          <w:color w:val="auto"/>
          <w:spacing w:val="24"/>
          <w:szCs w:val="21"/>
          <w:highlight w:val="none"/>
        </w:rPr>
        <w:t>委托人</w:t>
      </w:r>
      <w:r>
        <w:rPr>
          <w:color w:val="auto"/>
          <w:spacing w:val="23"/>
          <w:szCs w:val="21"/>
          <w:highlight w:val="none"/>
        </w:rPr>
        <w:t>课以违约金</w:t>
      </w:r>
      <w:r>
        <w:rPr>
          <w:color w:val="auto"/>
          <w:szCs w:val="21"/>
          <w:highlight w:val="none"/>
        </w:rPr>
        <w:t>，</w:t>
      </w:r>
      <w:r>
        <w:rPr>
          <w:color w:val="auto"/>
          <w:spacing w:val="-85"/>
          <w:szCs w:val="21"/>
          <w:highlight w:val="none"/>
        </w:rPr>
        <w:t xml:space="preserve"> </w:t>
      </w:r>
      <w:r>
        <w:rPr>
          <w:color w:val="auto"/>
          <w:spacing w:val="21"/>
          <w:szCs w:val="21"/>
          <w:highlight w:val="none"/>
        </w:rPr>
        <w:t>具</w:t>
      </w:r>
      <w:r>
        <w:rPr>
          <w:color w:val="auto"/>
          <w:spacing w:val="23"/>
          <w:szCs w:val="21"/>
          <w:highlight w:val="none"/>
        </w:rPr>
        <w:t>体约</w:t>
      </w:r>
      <w:r>
        <w:rPr>
          <w:color w:val="auto"/>
          <w:spacing w:val="26"/>
          <w:szCs w:val="21"/>
          <w:highlight w:val="none"/>
        </w:rPr>
        <w:t>定</w:t>
      </w:r>
      <w:r>
        <w:rPr>
          <w:color w:val="auto"/>
          <w:szCs w:val="21"/>
          <w:highlight w:val="none"/>
        </w:rPr>
        <w:t>如下：</w:t>
      </w:r>
      <w:r>
        <w:rPr>
          <w:color w:val="auto"/>
          <w:szCs w:val="21"/>
          <w:highlight w:val="none"/>
          <w:u w:val="single"/>
        </w:rPr>
        <w:t xml:space="preserve"> </w:t>
      </w:r>
      <w:r>
        <w:rPr>
          <w:color w:val="auto"/>
          <w:szCs w:val="21"/>
          <w:highlight w:val="none"/>
          <w:u w:val="single"/>
        </w:rPr>
        <w:tab/>
      </w:r>
      <w:r>
        <w:rPr>
          <w:color w:val="auto"/>
          <w:szCs w:val="21"/>
          <w:highlight w:val="none"/>
        </w:rPr>
        <w:t>。</w:t>
      </w:r>
    </w:p>
    <w:p>
      <w:pPr>
        <w:pStyle w:val="6"/>
        <w:numPr>
          <w:ilvl w:val="0"/>
          <w:numId w:val="45"/>
        </w:numPr>
        <w:tabs>
          <w:tab w:val="left" w:pos="984"/>
        </w:tabs>
        <w:spacing w:before="1" w:after="0" w:line="240" w:lineRule="auto"/>
        <w:ind w:left="983" w:hanging="560"/>
        <w:rPr>
          <w:color w:val="auto"/>
          <w:sz w:val="21"/>
          <w:szCs w:val="21"/>
          <w:highlight w:val="none"/>
        </w:rPr>
      </w:pPr>
      <w:r>
        <w:rPr>
          <w:color w:val="auto"/>
          <w:sz w:val="21"/>
          <w:szCs w:val="21"/>
          <w:highlight w:val="none"/>
        </w:rPr>
        <w:t>争议的解决</w:t>
      </w:r>
    </w:p>
    <w:p>
      <w:pPr>
        <w:pStyle w:val="9"/>
        <w:spacing w:before="10"/>
        <w:rPr>
          <w:rFonts w:ascii="黑体"/>
          <w:b/>
          <w:color w:val="auto"/>
          <w:sz w:val="21"/>
          <w:szCs w:val="21"/>
          <w:highlight w:val="none"/>
        </w:rPr>
      </w:pPr>
    </w:p>
    <w:p>
      <w:pPr>
        <w:tabs>
          <w:tab w:val="left" w:pos="4603"/>
        </w:tabs>
        <w:ind w:left="863"/>
        <w:rPr>
          <w:color w:val="auto"/>
          <w:szCs w:val="21"/>
          <w:highlight w:val="none"/>
        </w:rPr>
      </w:pPr>
      <w:r>
        <w:rPr>
          <w:color w:val="auto"/>
          <w:szCs w:val="21"/>
          <w:highlight w:val="none"/>
        </w:rPr>
        <w:t>争议的</w:t>
      </w:r>
      <w:r>
        <w:rPr>
          <w:color w:val="auto"/>
          <w:spacing w:val="-3"/>
          <w:szCs w:val="21"/>
          <w:highlight w:val="none"/>
        </w:rPr>
        <w:t>最</w:t>
      </w:r>
      <w:r>
        <w:rPr>
          <w:color w:val="auto"/>
          <w:szCs w:val="21"/>
          <w:highlight w:val="none"/>
        </w:rPr>
        <w:t>终解</w:t>
      </w:r>
      <w:r>
        <w:rPr>
          <w:color w:val="auto"/>
          <w:spacing w:val="-3"/>
          <w:szCs w:val="21"/>
          <w:highlight w:val="none"/>
        </w:rPr>
        <w:t>决</w:t>
      </w:r>
      <w:r>
        <w:rPr>
          <w:color w:val="auto"/>
          <w:szCs w:val="21"/>
          <w:highlight w:val="none"/>
        </w:rPr>
        <w:t>方式：</w:t>
      </w:r>
      <w:r>
        <w:rPr>
          <w:color w:val="auto"/>
          <w:szCs w:val="21"/>
          <w:highlight w:val="none"/>
          <w:u w:val="single"/>
        </w:rPr>
        <w:t xml:space="preserve"> </w:t>
      </w:r>
      <w:r>
        <w:rPr>
          <w:color w:val="auto"/>
          <w:spacing w:val="7"/>
          <w:szCs w:val="21"/>
          <w:highlight w:val="none"/>
          <w:u w:val="single"/>
        </w:rPr>
        <w:t xml:space="preserve"> </w:t>
      </w:r>
      <w:r>
        <w:rPr>
          <w:color w:val="auto"/>
          <w:szCs w:val="21"/>
          <w:highlight w:val="none"/>
          <w:u w:val="single"/>
        </w:rPr>
        <w:t>仲裁或</w:t>
      </w:r>
      <w:r>
        <w:rPr>
          <w:color w:val="auto"/>
          <w:spacing w:val="-3"/>
          <w:szCs w:val="21"/>
          <w:highlight w:val="none"/>
          <w:u w:val="single"/>
        </w:rPr>
        <w:t>诉</w:t>
      </w:r>
      <w:r>
        <w:rPr>
          <w:color w:val="auto"/>
          <w:szCs w:val="21"/>
          <w:highlight w:val="none"/>
          <w:u w:val="single"/>
        </w:rPr>
        <w:t>讼</w:t>
      </w:r>
      <w:r>
        <w:rPr>
          <w:color w:val="auto"/>
          <w:szCs w:val="21"/>
          <w:highlight w:val="none"/>
          <w:u w:val="single"/>
        </w:rPr>
        <w:tab/>
      </w:r>
    </w:p>
    <w:p>
      <w:pPr>
        <w:tabs>
          <w:tab w:val="left" w:pos="4586"/>
        </w:tabs>
        <w:spacing w:before="129" w:line="350" w:lineRule="auto"/>
        <w:ind w:left="844" w:right="3660"/>
        <w:rPr>
          <w:color w:val="auto"/>
          <w:szCs w:val="21"/>
          <w:highlight w:val="none"/>
        </w:rPr>
      </w:pPr>
      <w:r>
        <w:rPr>
          <w:color w:val="auto"/>
          <w:szCs w:val="21"/>
          <w:highlight w:val="none"/>
        </w:rPr>
        <w:t>如采用</w:t>
      </w:r>
      <w:r>
        <w:rPr>
          <w:color w:val="auto"/>
          <w:spacing w:val="-3"/>
          <w:szCs w:val="21"/>
          <w:highlight w:val="none"/>
        </w:rPr>
        <w:t>仲</w:t>
      </w:r>
      <w:r>
        <w:rPr>
          <w:color w:val="auto"/>
          <w:szCs w:val="21"/>
          <w:highlight w:val="none"/>
        </w:rPr>
        <w:t>裁，</w:t>
      </w:r>
      <w:r>
        <w:rPr>
          <w:color w:val="auto"/>
          <w:spacing w:val="-3"/>
          <w:szCs w:val="21"/>
          <w:highlight w:val="none"/>
        </w:rPr>
        <w:t>仲</w:t>
      </w:r>
      <w:r>
        <w:rPr>
          <w:color w:val="auto"/>
          <w:szCs w:val="21"/>
          <w:highlight w:val="none"/>
        </w:rPr>
        <w:t>裁机</w:t>
      </w:r>
      <w:r>
        <w:rPr>
          <w:color w:val="auto"/>
          <w:spacing w:val="-3"/>
          <w:szCs w:val="21"/>
          <w:highlight w:val="none"/>
        </w:rPr>
        <w:t>构名</w:t>
      </w:r>
      <w:r>
        <w:rPr>
          <w:color w:val="auto"/>
          <w:szCs w:val="21"/>
          <w:highlight w:val="none"/>
        </w:rPr>
        <w:t>称：</w:t>
      </w:r>
      <w:r>
        <w:rPr>
          <w:color w:val="auto"/>
          <w:szCs w:val="21"/>
          <w:highlight w:val="none"/>
          <w:u w:val="single"/>
        </w:rPr>
        <w:t xml:space="preserve"> </w:t>
      </w:r>
      <w:r>
        <w:rPr>
          <w:color w:val="auto"/>
          <w:szCs w:val="21"/>
          <w:highlight w:val="none"/>
          <w:u w:val="single"/>
        </w:rPr>
        <w:tab/>
      </w:r>
      <w:r>
        <w:rPr>
          <w:color w:val="auto"/>
          <w:spacing w:val="-3"/>
          <w:szCs w:val="21"/>
          <w:highlight w:val="none"/>
        </w:rPr>
        <w:t>仲</w:t>
      </w:r>
      <w:r>
        <w:rPr>
          <w:color w:val="auto"/>
          <w:szCs w:val="21"/>
          <w:highlight w:val="none"/>
        </w:rPr>
        <w:t>裁委</w:t>
      </w:r>
      <w:r>
        <w:rPr>
          <w:color w:val="auto"/>
          <w:spacing w:val="-3"/>
          <w:szCs w:val="21"/>
          <w:highlight w:val="none"/>
        </w:rPr>
        <w:t>员会</w:t>
      </w:r>
      <w:r>
        <w:rPr>
          <w:color w:val="auto"/>
          <w:spacing w:val="-16"/>
          <w:szCs w:val="21"/>
          <w:highlight w:val="none"/>
        </w:rPr>
        <w:t>。</w:t>
      </w:r>
      <w:r>
        <w:rPr>
          <w:color w:val="auto"/>
          <w:szCs w:val="21"/>
          <w:highlight w:val="none"/>
        </w:rPr>
        <w:t>如采用</w:t>
      </w:r>
      <w:r>
        <w:rPr>
          <w:color w:val="auto"/>
          <w:spacing w:val="-3"/>
          <w:szCs w:val="21"/>
          <w:highlight w:val="none"/>
        </w:rPr>
        <w:t>诉</w:t>
      </w:r>
      <w:r>
        <w:rPr>
          <w:color w:val="auto"/>
          <w:szCs w:val="21"/>
          <w:highlight w:val="none"/>
        </w:rPr>
        <w:t>讼，</w:t>
      </w:r>
      <w:r>
        <w:rPr>
          <w:color w:val="auto"/>
          <w:spacing w:val="-3"/>
          <w:szCs w:val="21"/>
          <w:highlight w:val="none"/>
        </w:rPr>
        <w:t>诉</w:t>
      </w:r>
      <w:r>
        <w:rPr>
          <w:color w:val="auto"/>
          <w:szCs w:val="21"/>
          <w:highlight w:val="none"/>
        </w:rPr>
        <w:t>讼机</w:t>
      </w:r>
      <w:r>
        <w:rPr>
          <w:color w:val="auto"/>
          <w:spacing w:val="-3"/>
          <w:szCs w:val="21"/>
          <w:highlight w:val="none"/>
        </w:rPr>
        <w:t>构名</w:t>
      </w:r>
      <w:r>
        <w:rPr>
          <w:color w:val="auto"/>
          <w:szCs w:val="21"/>
          <w:highlight w:val="none"/>
        </w:rPr>
        <w:t>称：</w:t>
      </w:r>
      <w:r>
        <w:rPr>
          <w:color w:val="auto"/>
          <w:szCs w:val="21"/>
          <w:highlight w:val="none"/>
          <w:u w:val="single"/>
        </w:rPr>
        <w:t xml:space="preserve"> </w:t>
      </w:r>
      <w:r>
        <w:rPr>
          <w:color w:val="auto"/>
          <w:szCs w:val="21"/>
          <w:highlight w:val="none"/>
          <w:u w:val="single"/>
        </w:rPr>
        <w:tab/>
      </w:r>
      <w:r>
        <w:rPr>
          <w:color w:val="auto"/>
          <w:spacing w:val="-3"/>
          <w:szCs w:val="21"/>
          <w:highlight w:val="none"/>
        </w:rPr>
        <w:t>法</w:t>
      </w:r>
      <w:r>
        <w:rPr>
          <w:color w:val="auto"/>
          <w:szCs w:val="21"/>
          <w:highlight w:val="none"/>
        </w:rPr>
        <w:t>院。</w:t>
      </w:r>
    </w:p>
    <w:p>
      <w:pPr>
        <w:pStyle w:val="9"/>
        <w:rPr>
          <w:color w:val="auto"/>
          <w:sz w:val="21"/>
          <w:szCs w:val="21"/>
          <w:highlight w:val="none"/>
        </w:rPr>
      </w:pPr>
    </w:p>
    <w:p>
      <w:pPr>
        <w:pStyle w:val="9"/>
        <w:spacing w:before="4"/>
        <w:rPr>
          <w:color w:val="auto"/>
          <w:sz w:val="21"/>
          <w:szCs w:val="21"/>
          <w:highlight w:val="none"/>
        </w:rPr>
        <w:sectPr>
          <w:pgSz w:w="11910" w:h="16850"/>
          <w:pgMar w:top="1460" w:right="1120" w:bottom="1280" w:left="1220" w:header="882" w:footer="1093" w:gutter="0"/>
          <w:cols w:space="720" w:num="1"/>
        </w:sectPr>
      </w:pPr>
    </w:p>
    <w:p>
      <w:pPr>
        <w:pStyle w:val="9"/>
        <w:rPr>
          <w:color w:val="auto"/>
          <w:sz w:val="21"/>
          <w:szCs w:val="21"/>
          <w:highlight w:val="none"/>
        </w:rPr>
      </w:pPr>
    </w:p>
    <w:p>
      <w:pPr>
        <w:pStyle w:val="9"/>
        <w:rPr>
          <w:color w:val="auto"/>
          <w:sz w:val="21"/>
          <w:szCs w:val="21"/>
          <w:highlight w:val="none"/>
        </w:rPr>
      </w:pPr>
    </w:p>
    <w:p>
      <w:pPr>
        <w:pStyle w:val="9"/>
        <w:rPr>
          <w:color w:val="auto"/>
          <w:sz w:val="21"/>
          <w:szCs w:val="21"/>
          <w:highlight w:val="none"/>
        </w:rPr>
      </w:pPr>
    </w:p>
    <w:p>
      <w:pPr>
        <w:pStyle w:val="9"/>
        <w:rPr>
          <w:color w:val="auto"/>
          <w:sz w:val="21"/>
          <w:szCs w:val="21"/>
          <w:highlight w:val="none"/>
        </w:rPr>
      </w:pPr>
    </w:p>
    <w:p>
      <w:pPr>
        <w:pStyle w:val="9"/>
        <w:rPr>
          <w:color w:val="auto"/>
          <w:sz w:val="21"/>
          <w:szCs w:val="21"/>
          <w:highlight w:val="none"/>
        </w:rPr>
      </w:pPr>
    </w:p>
    <w:p>
      <w:pPr>
        <w:pStyle w:val="9"/>
        <w:rPr>
          <w:color w:val="auto"/>
          <w:sz w:val="21"/>
          <w:szCs w:val="21"/>
          <w:highlight w:val="none"/>
        </w:rPr>
      </w:pPr>
    </w:p>
    <w:p>
      <w:pPr>
        <w:pStyle w:val="9"/>
        <w:rPr>
          <w:color w:val="auto"/>
          <w:sz w:val="21"/>
          <w:szCs w:val="21"/>
          <w:highlight w:val="none"/>
        </w:rPr>
      </w:pPr>
    </w:p>
    <w:p>
      <w:pPr>
        <w:pStyle w:val="9"/>
        <w:rPr>
          <w:color w:val="auto"/>
          <w:sz w:val="21"/>
          <w:szCs w:val="21"/>
          <w:highlight w:val="none"/>
        </w:rPr>
      </w:pPr>
    </w:p>
    <w:p>
      <w:pPr>
        <w:pStyle w:val="9"/>
        <w:rPr>
          <w:color w:val="auto"/>
          <w:sz w:val="21"/>
          <w:szCs w:val="21"/>
          <w:highlight w:val="none"/>
        </w:rPr>
      </w:pPr>
    </w:p>
    <w:p>
      <w:pPr>
        <w:pStyle w:val="9"/>
        <w:rPr>
          <w:color w:val="auto"/>
          <w:sz w:val="21"/>
          <w:szCs w:val="21"/>
          <w:highlight w:val="none"/>
        </w:rPr>
      </w:pPr>
    </w:p>
    <w:p>
      <w:pPr>
        <w:pStyle w:val="9"/>
        <w:rPr>
          <w:color w:val="auto"/>
          <w:sz w:val="21"/>
          <w:szCs w:val="21"/>
          <w:highlight w:val="none"/>
        </w:rPr>
      </w:pPr>
    </w:p>
    <w:p>
      <w:pPr>
        <w:pStyle w:val="9"/>
        <w:rPr>
          <w:color w:val="auto"/>
          <w:sz w:val="21"/>
          <w:szCs w:val="21"/>
          <w:highlight w:val="none"/>
        </w:rPr>
      </w:pPr>
    </w:p>
    <w:p>
      <w:pPr>
        <w:pStyle w:val="9"/>
        <w:rPr>
          <w:color w:val="auto"/>
          <w:sz w:val="21"/>
          <w:szCs w:val="21"/>
          <w:highlight w:val="none"/>
        </w:rPr>
      </w:pPr>
    </w:p>
    <w:p>
      <w:pPr>
        <w:pStyle w:val="9"/>
        <w:rPr>
          <w:color w:val="auto"/>
          <w:sz w:val="21"/>
          <w:szCs w:val="21"/>
          <w:highlight w:val="none"/>
        </w:rPr>
      </w:pPr>
    </w:p>
    <w:p>
      <w:pPr>
        <w:pStyle w:val="9"/>
        <w:rPr>
          <w:color w:val="auto"/>
          <w:sz w:val="21"/>
          <w:szCs w:val="21"/>
          <w:highlight w:val="none"/>
        </w:rPr>
      </w:pPr>
    </w:p>
    <w:p>
      <w:pPr>
        <w:pStyle w:val="9"/>
        <w:rPr>
          <w:color w:val="auto"/>
          <w:sz w:val="21"/>
          <w:szCs w:val="21"/>
          <w:highlight w:val="none"/>
        </w:rPr>
      </w:pPr>
    </w:p>
    <w:p>
      <w:pPr>
        <w:pStyle w:val="9"/>
        <w:rPr>
          <w:color w:val="auto"/>
          <w:sz w:val="21"/>
          <w:szCs w:val="21"/>
          <w:highlight w:val="none"/>
        </w:rPr>
      </w:pPr>
    </w:p>
    <w:p>
      <w:pPr>
        <w:pStyle w:val="9"/>
        <w:spacing w:before="3"/>
        <w:rPr>
          <w:color w:val="auto"/>
          <w:sz w:val="21"/>
          <w:szCs w:val="21"/>
          <w:highlight w:val="none"/>
        </w:rPr>
      </w:pPr>
    </w:p>
    <w:p>
      <w:pPr>
        <w:tabs>
          <w:tab w:val="left" w:pos="1679"/>
        </w:tabs>
        <w:spacing w:before="41"/>
        <w:ind w:right="40"/>
        <w:jc w:val="center"/>
        <w:rPr>
          <w:rFonts w:ascii="黑体" w:eastAsia="黑体"/>
          <w:color w:val="auto"/>
          <w:sz w:val="32"/>
          <w:szCs w:val="32"/>
          <w:highlight w:val="none"/>
        </w:rPr>
      </w:pPr>
      <w:bookmarkStart w:id="69" w:name="_bookmark120"/>
      <w:bookmarkEnd w:id="69"/>
      <w:r>
        <w:rPr>
          <w:rFonts w:hint="eastAsia" w:ascii="黑体" w:eastAsia="黑体"/>
          <w:color w:val="auto"/>
          <w:sz w:val="32"/>
          <w:szCs w:val="32"/>
          <w:highlight w:val="none"/>
        </w:rPr>
        <w:t>第三节</w:t>
      </w:r>
      <w:r>
        <w:rPr>
          <w:rFonts w:hint="eastAsia" w:ascii="黑体" w:eastAsia="黑体"/>
          <w:color w:val="auto"/>
          <w:sz w:val="32"/>
          <w:szCs w:val="32"/>
          <w:highlight w:val="none"/>
        </w:rPr>
        <w:tab/>
      </w:r>
      <w:r>
        <w:rPr>
          <w:rFonts w:hint="eastAsia" w:ascii="黑体" w:eastAsia="黑体"/>
          <w:color w:val="auto"/>
          <w:sz w:val="32"/>
          <w:szCs w:val="32"/>
          <w:highlight w:val="none"/>
        </w:rPr>
        <w:t>合同附件格式</w:t>
      </w:r>
    </w:p>
    <w:p>
      <w:pPr>
        <w:spacing w:after="0"/>
        <w:jc w:val="center"/>
        <w:rPr>
          <w:rFonts w:ascii="黑体" w:eastAsia="黑体"/>
          <w:color w:val="auto"/>
          <w:szCs w:val="21"/>
          <w:highlight w:val="none"/>
        </w:rPr>
        <w:sectPr>
          <w:pgSz w:w="11910" w:h="16850"/>
          <w:pgMar w:top="1460" w:right="1120" w:bottom="1280" w:left="1220" w:header="882" w:footer="1093" w:gutter="0"/>
          <w:cols w:space="720" w:num="1"/>
        </w:sectPr>
      </w:pPr>
    </w:p>
    <w:p>
      <w:pPr>
        <w:pStyle w:val="9"/>
        <w:spacing w:before="3"/>
        <w:rPr>
          <w:rFonts w:ascii="黑体"/>
          <w:color w:val="auto"/>
          <w:sz w:val="21"/>
          <w:szCs w:val="21"/>
          <w:highlight w:val="none"/>
        </w:rPr>
      </w:pPr>
    </w:p>
    <w:p>
      <w:pPr>
        <w:spacing w:after="0"/>
        <w:rPr>
          <w:rFonts w:ascii="黑体"/>
          <w:color w:val="auto"/>
          <w:szCs w:val="21"/>
          <w:highlight w:val="none"/>
        </w:rPr>
        <w:sectPr>
          <w:pgSz w:w="11910" w:h="16850"/>
          <w:pgMar w:top="1460" w:right="1120" w:bottom="1280" w:left="1220" w:header="882" w:footer="1093" w:gutter="0"/>
          <w:cols w:space="720" w:num="1"/>
        </w:sectPr>
      </w:pPr>
    </w:p>
    <w:p>
      <w:pPr>
        <w:pStyle w:val="9"/>
        <w:spacing w:before="67"/>
        <w:ind w:left="424"/>
        <w:rPr>
          <w:rFonts w:ascii="黑体" w:eastAsia="黑体"/>
          <w:color w:val="auto"/>
          <w:sz w:val="21"/>
          <w:szCs w:val="21"/>
          <w:highlight w:val="none"/>
        </w:rPr>
      </w:pPr>
      <w:bookmarkStart w:id="70" w:name="_bookmark121"/>
      <w:bookmarkEnd w:id="70"/>
      <w:r>
        <w:rPr>
          <w:rFonts w:hint="eastAsia" w:ascii="黑体" w:eastAsia="黑体"/>
          <w:color w:val="auto"/>
          <w:sz w:val="21"/>
          <w:szCs w:val="21"/>
          <w:highlight w:val="none"/>
        </w:rPr>
        <w:t>附件一 合同协议书</w:t>
      </w:r>
    </w:p>
    <w:p>
      <w:pPr>
        <w:pStyle w:val="9"/>
        <w:rPr>
          <w:rFonts w:ascii="黑体"/>
          <w:color w:val="auto"/>
          <w:sz w:val="21"/>
          <w:szCs w:val="21"/>
          <w:highlight w:val="none"/>
        </w:rPr>
      </w:pPr>
      <w:r>
        <w:rPr>
          <w:color w:val="auto"/>
          <w:sz w:val="21"/>
          <w:szCs w:val="21"/>
          <w:highlight w:val="none"/>
        </w:rPr>
        <w:br w:type="column"/>
      </w:r>
    </w:p>
    <w:p>
      <w:pPr>
        <w:spacing w:before="1"/>
        <w:ind w:left="424"/>
        <w:rPr>
          <w:rFonts w:ascii="黑体" w:eastAsia="黑体"/>
          <w:color w:val="auto"/>
          <w:szCs w:val="21"/>
          <w:highlight w:val="none"/>
        </w:rPr>
      </w:pPr>
      <w:r>
        <w:rPr>
          <w:rFonts w:hint="eastAsia" w:ascii="黑体" w:eastAsia="黑体"/>
          <w:color w:val="auto"/>
          <w:szCs w:val="21"/>
          <w:highlight w:val="none"/>
        </w:rPr>
        <w:t>合 同 协 议 书</w:t>
      </w:r>
    </w:p>
    <w:p>
      <w:pPr>
        <w:spacing w:after="0"/>
        <w:rPr>
          <w:rFonts w:ascii="黑体" w:eastAsia="黑体"/>
          <w:color w:val="auto"/>
          <w:szCs w:val="21"/>
          <w:highlight w:val="none"/>
        </w:rPr>
        <w:sectPr>
          <w:type w:val="continuous"/>
          <w:pgSz w:w="11910" w:h="16850"/>
          <w:pgMar w:top="1600" w:right="1120" w:bottom="280" w:left="1220" w:header="720" w:footer="720" w:gutter="0"/>
          <w:cols w:equalWidth="0" w:num="2">
            <w:col w:w="2505" w:space="853"/>
            <w:col w:w="6212"/>
          </w:cols>
        </w:sectPr>
      </w:pPr>
    </w:p>
    <w:p>
      <w:pPr>
        <w:pStyle w:val="9"/>
        <w:rPr>
          <w:rFonts w:ascii="黑体"/>
          <w:color w:val="auto"/>
          <w:sz w:val="21"/>
          <w:szCs w:val="21"/>
          <w:highlight w:val="none"/>
        </w:rPr>
      </w:pPr>
    </w:p>
    <w:p>
      <w:pPr>
        <w:pStyle w:val="9"/>
        <w:spacing w:before="1"/>
        <w:rPr>
          <w:rFonts w:ascii="黑体"/>
          <w:color w:val="auto"/>
          <w:sz w:val="21"/>
          <w:szCs w:val="21"/>
          <w:highlight w:val="none"/>
        </w:rPr>
      </w:pPr>
    </w:p>
    <w:p>
      <w:pPr>
        <w:pStyle w:val="9"/>
        <w:tabs>
          <w:tab w:val="left" w:pos="2104"/>
          <w:tab w:val="left" w:pos="3156"/>
          <w:tab w:val="left" w:pos="8619"/>
          <w:tab w:val="left" w:pos="8861"/>
        </w:tabs>
        <w:spacing w:before="74" w:line="343" w:lineRule="auto"/>
        <w:ind w:left="424" w:right="462" w:firstLine="479"/>
        <w:jc w:val="both"/>
        <w:rPr>
          <w:color w:val="auto"/>
          <w:sz w:val="21"/>
          <w:szCs w:val="21"/>
          <w:highlight w:val="none"/>
        </w:rPr>
      </w:pPr>
      <w:r>
        <w:rPr>
          <w:rFonts w:eastAsia="Times New Roman"/>
          <w:color w:val="auto"/>
          <w:sz w:val="21"/>
          <w:szCs w:val="21"/>
          <w:highlight w:val="none"/>
          <w:u w:val="single"/>
        </w:rPr>
        <w:t xml:space="preserve"> </w:t>
      </w:r>
      <w:r>
        <w:rPr>
          <w:rFonts w:eastAsia="Times New Roman"/>
          <w:color w:val="auto"/>
          <w:sz w:val="21"/>
          <w:szCs w:val="21"/>
          <w:highlight w:val="none"/>
          <w:u w:val="single"/>
        </w:rPr>
        <w:tab/>
      </w:r>
      <w:r>
        <w:rPr>
          <w:color w:val="auto"/>
          <w:sz w:val="21"/>
          <w:szCs w:val="21"/>
          <w:highlight w:val="none"/>
        </w:rPr>
        <w:t>（委托人名称</w:t>
      </w:r>
      <w:r>
        <w:rPr>
          <w:color w:val="auto"/>
          <w:spacing w:val="-60"/>
          <w:sz w:val="21"/>
          <w:szCs w:val="21"/>
          <w:highlight w:val="none"/>
        </w:rPr>
        <w:t>，</w:t>
      </w:r>
      <w:r>
        <w:rPr>
          <w:color w:val="auto"/>
          <w:sz w:val="21"/>
          <w:szCs w:val="21"/>
          <w:highlight w:val="none"/>
        </w:rPr>
        <w:t>以下简称</w:t>
      </w:r>
      <w:r>
        <w:rPr>
          <w:rFonts w:eastAsia="Times New Roman"/>
          <w:color w:val="auto"/>
          <w:sz w:val="21"/>
          <w:szCs w:val="21"/>
          <w:highlight w:val="none"/>
        </w:rPr>
        <w:t>“</w:t>
      </w:r>
      <w:r>
        <w:rPr>
          <w:color w:val="auto"/>
          <w:sz w:val="21"/>
          <w:szCs w:val="21"/>
          <w:highlight w:val="none"/>
        </w:rPr>
        <w:t>委托人</w:t>
      </w:r>
      <w:r>
        <w:rPr>
          <w:rFonts w:eastAsia="Times New Roman"/>
          <w:color w:val="auto"/>
          <w:spacing w:val="-30"/>
          <w:sz w:val="21"/>
          <w:szCs w:val="21"/>
          <w:highlight w:val="none"/>
        </w:rPr>
        <w:t>”</w:t>
      </w:r>
      <w:r>
        <w:rPr>
          <w:color w:val="auto"/>
          <w:spacing w:val="-30"/>
          <w:sz w:val="21"/>
          <w:szCs w:val="21"/>
          <w:highlight w:val="none"/>
        </w:rPr>
        <w:t>）</w:t>
      </w:r>
      <w:r>
        <w:rPr>
          <w:color w:val="auto"/>
          <w:sz w:val="21"/>
          <w:szCs w:val="21"/>
          <w:highlight w:val="none"/>
        </w:rPr>
        <w:t>为实施</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u w:val="single"/>
        </w:rPr>
        <w:t>（</w:t>
      </w:r>
      <w:r>
        <w:rPr>
          <w:color w:val="auto"/>
          <w:spacing w:val="-15"/>
          <w:sz w:val="21"/>
          <w:szCs w:val="21"/>
          <w:highlight w:val="none"/>
        </w:rPr>
        <w:t>项</w:t>
      </w:r>
      <w:r>
        <w:rPr>
          <w:color w:val="auto"/>
          <w:sz w:val="21"/>
          <w:szCs w:val="21"/>
          <w:highlight w:val="none"/>
        </w:rPr>
        <w:t>目名称</w:t>
      </w:r>
      <w:r>
        <w:rPr>
          <w:color w:val="auto"/>
          <w:spacing w:val="-120"/>
          <w:sz w:val="21"/>
          <w:szCs w:val="21"/>
          <w:highlight w:val="none"/>
        </w:rPr>
        <w:t>）</w:t>
      </w:r>
      <w:r>
        <w:rPr>
          <w:color w:val="auto"/>
          <w:spacing w:val="-15"/>
          <w:sz w:val="21"/>
          <w:szCs w:val="21"/>
          <w:highlight w:val="none"/>
        </w:rPr>
        <w:t>，</w:t>
      </w:r>
      <w:r>
        <w:rPr>
          <w:color w:val="auto"/>
          <w:sz w:val="21"/>
          <w:szCs w:val="21"/>
          <w:highlight w:val="none"/>
        </w:rPr>
        <w:t>已接</w:t>
      </w:r>
      <w:r>
        <w:rPr>
          <w:color w:val="auto"/>
          <w:spacing w:val="-1"/>
          <w:sz w:val="21"/>
          <w:szCs w:val="21"/>
          <w:highlight w:val="none"/>
        </w:rPr>
        <w:t>受</w:t>
      </w:r>
      <w:r>
        <w:rPr>
          <w:rFonts w:eastAsia="Times New Roman"/>
          <w:color w:val="auto"/>
          <w:sz w:val="21"/>
          <w:szCs w:val="21"/>
          <w:highlight w:val="none"/>
          <w:u w:val="single"/>
        </w:rPr>
        <w:t xml:space="preserve"> </w:t>
      </w:r>
      <w:r>
        <w:rPr>
          <w:rFonts w:eastAsia="Times New Roman"/>
          <w:color w:val="auto"/>
          <w:sz w:val="21"/>
          <w:szCs w:val="21"/>
          <w:highlight w:val="none"/>
          <w:u w:val="single"/>
        </w:rPr>
        <w:tab/>
      </w:r>
      <w:r>
        <w:rPr>
          <w:color w:val="auto"/>
          <w:sz w:val="21"/>
          <w:szCs w:val="21"/>
          <w:highlight w:val="none"/>
        </w:rPr>
        <w:t>（监理人名称</w:t>
      </w:r>
      <w:r>
        <w:rPr>
          <w:color w:val="auto"/>
          <w:spacing w:val="-15"/>
          <w:sz w:val="21"/>
          <w:szCs w:val="21"/>
          <w:highlight w:val="none"/>
        </w:rPr>
        <w:t>，</w:t>
      </w:r>
      <w:r>
        <w:rPr>
          <w:color w:val="auto"/>
          <w:sz w:val="21"/>
          <w:szCs w:val="21"/>
          <w:highlight w:val="none"/>
        </w:rPr>
        <w:t>以下简称</w:t>
      </w:r>
      <w:r>
        <w:rPr>
          <w:rFonts w:eastAsia="Times New Roman"/>
          <w:color w:val="auto"/>
          <w:spacing w:val="-1"/>
          <w:sz w:val="21"/>
          <w:szCs w:val="21"/>
          <w:highlight w:val="none"/>
        </w:rPr>
        <w:t>“</w:t>
      </w:r>
      <w:r>
        <w:rPr>
          <w:color w:val="auto"/>
          <w:sz w:val="21"/>
          <w:szCs w:val="21"/>
          <w:highlight w:val="none"/>
        </w:rPr>
        <w:t>监理人</w:t>
      </w:r>
      <w:r>
        <w:rPr>
          <w:rFonts w:eastAsia="Times New Roman"/>
          <w:color w:val="auto"/>
          <w:spacing w:val="-1"/>
          <w:sz w:val="21"/>
          <w:szCs w:val="21"/>
          <w:highlight w:val="none"/>
        </w:rPr>
        <w:t>”</w:t>
      </w:r>
      <w:r>
        <w:rPr>
          <w:color w:val="auto"/>
          <w:spacing w:val="-15"/>
          <w:sz w:val="21"/>
          <w:szCs w:val="21"/>
          <w:highlight w:val="none"/>
        </w:rPr>
        <w:t>）</w:t>
      </w:r>
      <w:r>
        <w:rPr>
          <w:color w:val="auto"/>
          <w:sz w:val="21"/>
          <w:szCs w:val="21"/>
          <w:highlight w:val="none"/>
        </w:rPr>
        <w:t>对</w:t>
      </w:r>
      <w:r>
        <w:rPr>
          <w:color w:val="auto"/>
          <w:spacing w:val="2"/>
          <w:sz w:val="21"/>
          <w:szCs w:val="21"/>
          <w:highlight w:val="none"/>
        </w:rPr>
        <w:t>该</w:t>
      </w:r>
      <w:r>
        <w:rPr>
          <w:color w:val="auto"/>
          <w:sz w:val="21"/>
          <w:szCs w:val="21"/>
          <w:highlight w:val="none"/>
        </w:rPr>
        <w:t>项目</w:t>
      </w:r>
      <w:r>
        <w:rPr>
          <w:rFonts w:eastAsia="Times New Roman"/>
          <w:color w:val="auto"/>
          <w:sz w:val="21"/>
          <w:szCs w:val="21"/>
          <w:highlight w:val="none"/>
          <w:u w:val="single"/>
        </w:rPr>
        <w:t xml:space="preserve"> </w:t>
      </w:r>
      <w:r>
        <w:rPr>
          <w:rFonts w:eastAsia="Times New Roman"/>
          <w:color w:val="auto"/>
          <w:sz w:val="21"/>
          <w:szCs w:val="21"/>
          <w:highlight w:val="none"/>
          <w:u w:val="single"/>
        </w:rPr>
        <w:tab/>
      </w:r>
      <w:r>
        <w:rPr>
          <w:rFonts w:eastAsia="Times New Roman"/>
          <w:color w:val="auto"/>
          <w:sz w:val="21"/>
          <w:szCs w:val="21"/>
          <w:highlight w:val="none"/>
          <w:u w:val="single"/>
        </w:rPr>
        <w:tab/>
      </w:r>
      <w:r>
        <w:rPr>
          <w:color w:val="auto"/>
          <w:spacing w:val="-17"/>
          <w:sz w:val="21"/>
          <w:szCs w:val="21"/>
          <w:highlight w:val="none"/>
        </w:rPr>
        <w:t>标</w:t>
      </w:r>
      <w:r>
        <w:rPr>
          <w:color w:val="auto"/>
          <w:sz w:val="21"/>
          <w:szCs w:val="21"/>
          <w:highlight w:val="none"/>
        </w:rPr>
        <w:t>段施工监理的投标。委托人和监理人共同达成如下协议。</w:t>
      </w:r>
    </w:p>
    <w:p>
      <w:pPr>
        <w:pStyle w:val="32"/>
        <w:numPr>
          <w:ilvl w:val="0"/>
          <w:numId w:val="46"/>
        </w:numPr>
        <w:tabs>
          <w:tab w:val="left" w:pos="1342"/>
          <w:tab w:val="left" w:pos="2224"/>
        </w:tabs>
        <w:spacing w:before="1" w:after="0" w:line="343" w:lineRule="auto"/>
        <w:ind w:right="464" w:firstLine="616"/>
        <w:jc w:val="both"/>
        <w:rPr>
          <w:color w:val="auto"/>
          <w:szCs w:val="21"/>
          <w:highlight w:val="none"/>
        </w:rPr>
      </w:pPr>
      <w:r>
        <w:rPr>
          <w:color w:val="auto"/>
          <w:szCs w:val="21"/>
          <w:highlight w:val="none"/>
        </w:rPr>
        <w:t>第</w:t>
      </w:r>
      <w:r>
        <w:rPr>
          <w:color w:val="auto"/>
          <w:szCs w:val="21"/>
          <w:highlight w:val="none"/>
          <w:u w:val="single"/>
        </w:rPr>
        <w:t xml:space="preserve"> </w:t>
      </w:r>
      <w:r>
        <w:rPr>
          <w:color w:val="auto"/>
          <w:spacing w:val="119"/>
          <w:szCs w:val="21"/>
          <w:highlight w:val="none"/>
        </w:rPr>
        <w:t xml:space="preserve"> </w:t>
      </w:r>
      <w:r>
        <w:rPr>
          <w:color w:val="auto"/>
          <w:szCs w:val="21"/>
          <w:highlight w:val="none"/>
        </w:rPr>
        <w:t>标段由</w:t>
      </w:r>
      <w:r>
        <w:rPr>
          <w:color w:val="auto"/>
          <w:spacing w:val="-48"/>
          <w:szCs w:val="21"/>
          <w:highlight w:val="none"/>
        </w:rPr>
        <w:t xml:space="preserve"> </w:t>
      </w:r>
      <w:r>
        <w:rPr>
          <w:rFonts w:ascii="Times New Roman" w:eastAsia="Times New Roman"/>
          <w:color w:val="auto"/>
          <w:szCs w:val="21"/>
          <w:highlight w:val="none"/>
        </w:rPr>
        <w:t>K</w:t>
      </w:r>
      <w:r>
        <w:rPr>
          <w:rFonts w:ascii="Times New Roman" w:eastAsia="Times New Roman"/>
          <w:color w:val="auto"/>
          <w:szCs w:val="21"/>
          <w:highlight w:val="none"/>
          <w:u w:val="single"/>
        </w:rPr>
        <w:t xml:space="preserve">   </w:t>
      </w:r>
      <w:r>
        <w:rPr>
          <w:rFonts w:ascii="Times New Roman" w:eastAsia="Times New Roman"/>
          <w:color w:val="auto"/>
          <w:szCs w:val="21"/>
          <w:highlight w:val="none"/>
        </w:rPr>
        <w:t xml:space="preserve"> </w:t>
      </w:r>
      <w:r>
        <w:rPr>
          <w:color w:val="auto"/>
          <w:szCs w:val="21"/>
          <w:highlight w:val="none"/>
        </w:rPr>
        <w:t>＋</w:t>
      </w:r>
      <w:r>
        <w:rPr>
          <w:color w:val="auto"/>
          <w:szCs w:val="21"/>
          <w:highlight w:val="none"/>
          <w:u w:val="single"/>
        </w:rPr>
        <w:t xml:space="preserve">  </w:t>
      </w:r>
      <w:r>
        <w:rPr>
          <w:color w:val="auto"/>
          <w:szCs w:val="21"/>
          <w:highlight w:val="none"/>
        </w:rPr>
        <w:t xml:space="preserve"> 至</w:t>
      </w:r>
      <w:r>
        <w:rPr>
          <w:color w:val="auto"/>
          <w:spacing w:val="-48"/>
          <w:szCs w:val="21"/>
          <w:highlight w:val="none"/>
        </w:rPr>
        <w:t xml:space="preserve"> </w:t>
      </w:r>
      <w:r>
        <w:rPr>
          <w:rFonts w:ascii="Times New Roman" w:eastAsia="Times New Roman"/>
          <w:color w:val="auto"/>
          <w:szCs w:val="21"/>
          <w:highlight w:val="none"/>
        </w:rPr>
        <w:t>K</w:t>
      </w:r>
      <w:r>
        <w:rPr>
          <w:rFonts w:ascii="Times New Roman" w:eastAsia="Times New Roman"/>
          <w:color w:val="auto"/>
          <w:szCs w:val="21"/>
          <w:highlight w:val="none"/>
          <w:u w:val="single"/>
        </w:rPr>
        <w:t xml:space="preserve">   </w:t>
      </w:r>
      <w:r>
        <w:rPr>
          <w:rFonts w:ascii="Times New Roman" w:eastAsia="Times New Roman"/>
          <w:color w:val="auto"/>
          <w:spacing w:val="59"/>
          <w:szCs w:val="21"/>
          <w:highlight w:val="none"/>
        </w:rPr>
        <w:t xml:space="preserve"> </w:t>
      </w:r>
      <w:r>
        <w:rPr>
          <w:color w:val="auto"/>
          <w:szCs w:val="21"/>
          <w:highlight w:val="none"/>
        </w:rPr>
        <w:t>＋</w:t>
      </w:r>
      <w:r>
        <w:rPr>
          <w:color w:val="auto"/>
          <w:szCs w:val="21"/>
          <w:highlight w:val="none"/>
          <w:u w:val="single"/>
        </w:rPr>
        <w:t xml:space="preserve">  </w:t>
      </w:r>
      <w:r>
        <w:rPr>
          <w:color w:val="auto"/>
          <w:szCs w:val="21"/>
          <w:highlight w:val="none"/>
        </w:rPr>
        <w:t xml:space="preserve"> ，长约</w:t>
      </w:r>
      <w:r>
        <w:rPr>
          <w:color w:val="auto"/>
          <w:szCs w:val="21"/>
          <w:highlight w:val="none"/>
          <w:u w:val="single"/>
        </w:rPr>
        <w:t xml:space="preserve">  </w:t>
      </w:r>
      <w:r>
        <w:rPr>
          <w:color w:val="auto"/>
          <w:szCs w:val="21"/>
          <w:highlight w:val="none"/>
        </w:rPr>
        <w:t xml:space="preserve"> </w:t>
      </w:r>
      <w:r>
        <w:rPr>
          <w:rFonts w:ascii="Times New Roman" w:eastAsia="Times New Roman"/>
          <w:color w:val="auto"/>
          <w:szCs w:val="21"/>
          <w:highlight w:val="none"/>
        </w:rPr>
        <w:t>km</w:t>
      </w:r>
      <w:r>
        <w:rPr>
          <w:color w:val="auto"/>
          <w:szCs w:val="21"/>
          <w:highlight w:val="none"/>
        </w:rPr>
        <w:t>，公路等级为</w:t>
      </w:r>
      <w:r>
        <w:rPr>
          <w:color w:val="auto"/>
          <w:szCs w:val="21"/>
          <w:highlight w:val="none"/>
          <w:u w:val="single"/>
        </w:rPr>
        <w:t xml:space="preserve">   </w:t>
      </w:r>
      <w:r>
        <w:rPr>
          <w:color w:val="auto"/>
          <w:szCs w:val="21"/>
          <w:highlight w:val="none"/>
        </w:rPr>
        <w:t xml:space="preserve"> ，</w:t>
      </w:r>
      <w:r>
        <w:rPr>
          <w:color w:val="auto"/>
          <w:spacing w:val="-13"/>
          <w:szCs w:val="21"/>
          <w:highlight w:val="none"/>
        </w:rPr>
        <w:t>设</w:t>
      </w:r>
      <w:r>
        <w:rPr>
          <w:color w:val="auto"/>
          <w:szCs w:val="21"/>
          <w:highlight w:val="none"/>
        </w:rPr>
        <w:t>计速度为</w:t>
      </w:r>
      <w:r>
        <w:rPr>
          <w:color w:val="auto"/>
          <w:szCs w:val="21"/>
          <w:highlight w:val="none"/>
          <w:u w:val="single"/>
        </w:rPr>
        <w:t xml:space="preserve"> </w:t>
      </w:r>
      <w:r>
        <w:rPr>
          <w:color w:val="auto"/>
          <w:szCs w:val="21"/>
          <w:highlight w:val="none"/>
          <w:u w:val="single"/>
        </w:rPr>
        <w:tab/>
      </w:r>
      <w:r>
        <w:rPr>
          <w:color w:val="auto"/>
          <w:spacing w:val="-8"/>
          <w:szCs w:val="21"/>
          <w:highlight w:val="none"/>
        </w:rPr>
        <w:t>，</w:t>
      </w:r>
      <w:r>
        <w:rPr>
          <w:color w:val="auto"/>
          <w:spacing w:val="-8"/>
          <w:szCs w:val="21"/>
          <w:highlight w:val="none"/>
          <w:u w:val="single"/>
        </w:rPr>
        <w:t xml:space="preserve">   </w:t>
      </w:r>
      <w:r>
        <w:rPr>
          <w:color w:val="auto"/>
          <w:spacing w:val="32"/>
          <w:szCs w:val="21"/>
          <w:highlight w:val="none"/>
        </w:rPr>
        <w:t xml:space="preserve"> </w:t>
      </w:r>
      <w:r>
        <w:rPr>
          <w:color w:val="auto"/>
          <w:szCs w:val="21"/>
          <w:highlight w:val="none"/>
        </w:rPr>
        <w:t>路面</w:t>
      </w:r>
      <w:r>
        <w:rPr>
          <w:color w:val="auto"/>
          <w:spacing w:val="-8"/>
          <w:szCs w:val="21"/>
          <w:highlight w:val="none"/>
        </w:rPr>
        <w:t>，</w:t>
      </w:r>
      <w:r>
        <w:rPr>
          <w:color w:val="auto"/>
          <w:szCs w:val="21"/>
          <w:highlight w:val="none"/>
        </w:rPr>
        <w:t>有</w:t>
      </w:r>
      <w:r>
        <w:rPr>
          <w:color w:val="auto"/>
          <w:szCs w:val="21"/>
          <w:highlight w:val="none"/>
          <w:u w:val="single"/>
        </w:rPr>
        <w:t xml:space="preserve">  </w:t>
      </w:r>
      <w:r>
        <w:rPr>
          <w:color w:val="auto"/>
          <w:spacing w:val="1"/>
          <w:szCs w:val="21"/>
          <w:highlight w:val="none"/>
        </w:rPr>
        <w:t xml:space="preserve"> </w:t>
      </w:r>
      <w:r>
        <w:rPr>
          <w:color w:val="auto"/>
          <w:szCs w:val="21"/>
          <w:highlight w:val="none"/>
        </w:rPr>
        <w:t>立交</w:t>
      </w:r>
      <w:r>
        <w:rPr>
          <w:color w:val="auto"/>
          <w:szCs w:val="21"/>
          <w:highlight w:val="none"/>
          <w:u w:val="single"/>
        </w:rPr>
        <w:t xml:space="preserve">  </w:t>
      </w:r>
      <w:r>
        <w:rPr>
          <w:color w:val="auto"/>
          <w:szCs w:val="21"/>
          <w:highlight w:val="none"/>
        </w:rPr>
        <w:t xml:space="preserve"> 处</w:t>
      </w:r>
      <w:r>
        <w:rPr>
          <w:color w:val="auto"/>
          <w:spacing w:val="-8"/>
          <w:szCs w:val="21"/>
          <w:highlight w:val="none"/>
        </w:rPr>
        <w:t>；</w:t>
      </w:r>
      <w:r>
        <w:rPr>
          <w:color w:val="auto"/>
          <w:szCs w:val="21"/>
          <w:highlight w:val="none"/>
        </w:rPr>
        <w:t>特大桥</w:t>
      </w:r>
      <w:r>
        <w:rPr>
          <w:color w:val="auto"/>
          <w:szCs w:val="21"/>
          <w:highlight w:val="none"/>
          <w:u w:val="single"/>
        </w:rPr>
        <w:t xml:space="preserve">   </w:t>
      </w:r>
      <w:r>
        <w:rPr>
          <w:color w:val="auto"/>
          <w:spacing w:val="1"/>
          <w:szCs w:val="21"/>
          <w:highlight w:val="none"/>
        </w:rPr>
        <w:t xml:space="preserve"> </w:t>
      </w:r>
      <w:r>
        <w:rPr>
          <w:color w:val="auto"/>
          <w:szCs w:val="21"/>
          <w:highlight w:val="none"/>
        </w:rPr>
        <w:t>座</w:t>
      </w:r>
      <w:r>
        <w:rPr>
          <w:color w:val="auto"/>
          <w:spacing w:val="-8"/>
          <w:szCs w:val="21"/>
          <w:highlight w:val="none"/>
        </w:rPr>
        <w:t>，</w:t>
      </w:r>
      <w:r>
        <w:rPr>
          <w:color w:val="auto"/>
          <w:szCs w:val="21"/>
          <w:highlight w:val="none"/>
        </w:rPr>
        <w:t>计长</w:t>
      </w:r>
      <w:r>
        <w:rPr>
          <w:color w:val="auto"/>
          <w:szCs w:val="21"/>
          <w:highlight w:val="none"/>
          <w:u w:val="single"/>
        </w:rPr>
        <w:t xml:space="preserve">  </w:t>
      </w:r>
      <w:r>
        <w:rPr>
          <w:color w:val="auto"/>
          <w:szCs w:val="21"/>
          <w:highlight w:val="none"/>
        </w:rPr>
        <w:t xml:space="preserve"> </w:t>
      </w:r>
      <w:r>
        <w:rPr>
          <w:rFonts w:ascii="Times New Roman" w:eastAsia="Times New Roman"/>
          <w:color w:val="auto"/>
          <w:spacing w:val="-4"/>
          <w:szCs w:val="21"/>
          <w:highlight w:val="none"/>
        </w:rPr>
        <w:t>m</w:t>
      </w:r>
      <w:r>
        <w:rPr>
          <w:color w:val="auto"/>
          <w:spacing w:val="-4"/>
          <w:szCs w:val="21"/>
          <w:highlight w:val="none"/>
        </w:rPr>
        <w:t>；</w:t>
      </w:r>
      <w:r>
        <w:rPr>
          <w:color w:val="auto"/>
          <w:szCs w:val="21"/>
          <w:highlight w:val="none"/>
        </w:rPr>
        <w:t>大</w:t>
      </w:r>
      <w:r>
        <w:rPr>
          <w:color w:val="auto"/>
          <w:spacing w:val="-11"/>
          <w:szCs w:val="21"/>
          <w:highlight w:val="none"/>
        </w:rPr>
        <w:t>中</w:t>
      </w:r>
      <w:r>
        <w:rPr>
          <w:color w:val="auto"/>
          <w:szCs w:val="21"/>
          <w:highlight w:val="none"/>
        </w:rPr>
        <w:t>桥</w:t>
      </w:r>
      <w:r>
        <w:rPr>
          <w:color w:val="auto"/>
          <w:spacing w:val="119"/>
          <w:szCs w:val="21"/>
          <w:highlight w:val="none"/>
        </w:rPr>
        <w:t xml:space="preserve"> </w:t>
      </w:r>
      <w:r>
        <w:rPr>
          <w:color w:val="auto"/>
          <w:szCs w:val="21"/>
          <w:highlight w:val="none"/>
        </w:rPr>
        <w:t xml:space="preserve">座，计长 </w:t>
      </w:r>
      <w:r>
        <w:rPr>
          <w:rFonts w:ascii="Times New Roman" w:eastAsia="Times New Roman"/>
          <w:color w:val="auto"/>
          <w:szCs w:val="21"/>
          <w:highlight w:val="none"/>
        </w:rPr>
        <w:t>m</w:t>
      </w:r>
      <w:r>
        <w:rPr>
          <w:color w:val="auto"/>
          <w:szCs w:val="21"/>
          <w:highlight w:val="none"/>
        </w:rPr>
        <w:t xml:space="preserve">；隧道 座，计长 </w:t>
      </w:r>
      <w:r>
        <w:rPr>
          <w:rFonts w:ascii="Times New Roman" w:eastAsia="Times New Roman"/>
          <w:color w:val="auto"/>
          <w:szCs w:val="21"/>
          <w:highlight w:val="none"/>
        </w:rPr>
        <w:t xml:space="preserve">m </w:t>
      </w:r>
      <w:r>
        <w:rPr>
          <w:color w:val="auto"/>
          <w:szCs w:val="21"/>
          <w:highlight w:val="none"/>
        </w:rPr>
        <w:t>以及其他构造物工程等。</w:t>
      </w:r>
    </w:p>
    <w:p>
      <w:pPr>
        <w:pStyle w:val="32"/>
        <w:numPr>
          <w:ilvl w:val="0"/>
          <w:numId w:val="46"/>
        </w:numPr>
        <w:tabs>
          <w:tab w:val="left" w:pos="1342"/>
        </w:tabs>
        <w:spacing w:before="1" w:after="0" w:line="240" w:lineRule="auto"/>
        <w:ind w:left="1341" w:hanging="301"/>
        <w:jc w:val="both"/>
        <w:rPr>
          <w:color w:val="auto"/>
          <w:szCs w:val="21"/>
          <w:highlight w:val="none"/>
        </w:rPr>
      </w:pPr>
      <w:r>
        <w:rPr>
          <w:color w:val="auto"/>
          <w:szCs w:val="21"/>
          <w:highlight w:val="none"/>
        </w:rPr>
        <w:t>下列文件应视为构成合同文件的组成部分：</w:t>
      </w:r>
    </w:p>
    <w:p>
      <w:pPr>
        <w:pStyle w:val="32"/>
        <w:numPr>
          <w:ilvl w:val="0"/>
          <w:numId w:val="47"/>
        </w:numPr>
        <w:tabs>
          <w:tab w:val="left" w:pos="1643"/>
        </w:tabs>
        <w:spacing w:before="132" w:after="0" w:line="240" w:lineRule="auto"/>
        <w:ind w:hanging="602"/>
        <w:rPr>
          <w:color w:val="auto"/>
          <w:szCs w:val="21"/>
          <w:highlight w:val="none"/>
        </w:rPr>
      </w:pPr>
      <w:r>
        <w:rPr>
          <w:color w:val="auto"/>
          <w:szCs w:val="21"/>
          <w:highlight w:val="none"/>
        </w:rPr>
        <w:t>本合同协议书及各种合同附件；</w:t>
      </w:r>
    </w:p>
    <w:p>
      <w:pPr>
        <w:pStyle w:val="32"/>
        <w:numPr>
          <w:ilvl w:val="0"/>
          <w:numId w:val="47"/>
        </w:numPr>
        <w:tabs>
          <w:tab w:val="left" w:pos="1643"/>
        </w:tabs>
        <w:spacing w:before="131" w:after="0" w:line="240" w:lineRule="auto"/>
        <w:ind w:hanging="602"/>
        <w:rPr>
          <w:color w:val="auto"/>
          <w:szCs w:val="21"/>
          <w:highlight w:val="none"/>
        </w:rPr>
      </w:pPr>
      <w:r>
        <w:rPr>
          <w:color w:val="auto"/>
          <w:szCs w:val="21"/>
          <w:highlight w:val="none"/>
        </w:rPr>
        <w:t>中标通知书；</w:t>
      </w:r>
    </w:p>
    <w:p>
      <w:pPr>
        <w:pStyle w:val="32"/>
        <w:numPr>
          <w:ilvl w:val="0"/>
          <w:numId w:val="47"/>
        </w:numPr>
        <w:tabs>
          <w:tab w:val="left" w:pos="1643"/>
        </w:tabs>
        <w:spacing w:before="134" w:after="0" w:line="240" w:lineRule="auto"/>
        <w:ind w:hanging="602"/>
        <w:rPr>
          <w:color w:val="auto"/>
          <w:szCs w:val="21"/>
          <w:highlight w:val="none"/>
        </w:rPr>
      </w:pPr>
      <w:r>
        <w:rPr>
          <w:color w:val="auto"/>
          <w:szCs w:val="21"/>
          <w:highlight w:val="none"/>
        </w:rPr>
        <w:t>投标函；</w:t>
      </w:r>
    </w:p>
    <w:p>
      <w:pPr>
        <w:pStyle w:val="32"/>
        <w:numPr>
          <w:ilvl w:val="0"/>
          <w:numId w:val="47"/>
        </w:numPr>
        <w:tabs>
          <w:tab w:val="left" w:pos="1643"/>
        </w:tabs>
        <w:spacing w:before="132" w:after="0" w:line="240" w:lineRule="auto"/>
        <w:ind w:hanging="602"/>
        <w:rPr>
          <w:color w:val="auto"/>
          <w:szCs w:val="21"/>
          <w:highlight w:val="none"/>
        </w:rPr>
      </w:pPr>
      <w:r>
        <w:rPr>
          <w:color w:val="auto"/>
          <w:szCs w:val="21"/>
          <w:highlight w:val="none"/>
        </w:rPr>
        <w:t>项目专用合同条款；</w:t>
      </w:r>
    </w:p>
    <w:p>
      <w:pPr>
        <w:pStyle w:val="32"/>
        <w:numPr>
          <w:ilvl w:val="0"/>
          <w:numId w:val="47"/>
        </w:numPr>
        <w:tabs>
          <w:tab w:val="left" w:pos="1643"/>
        </w:tabs>
        <w:spacing w:before="132" w:after="0" w:line="240" w:lineRule="auto"/>
        <w:ind w:hanging="602"/>
        <w:rPr>
          <w:color w:val="auto"/>
          <w:szCs w:val="21"/>
          <w:highlight w:val="none"/>
        </w:rPr>
      </w:pPr>
      <w:r>
        <w:rPr>
          <w:color w:val="auto"/>
          <w:szCs w:val="21"/>
          <w:highlight w:val="none"/>
        </w:rPr>
        <w:t>公路工程专用合同条款；</w:t>
      </w:r>
    </w:p>
    <w:p>
      <w:pPr>
        <w:pStyle w:val="32"/>
        <w:numPr>
          <w:ilvl w:val="0"/>
          <w:numId w:val="47"/>
        </w:numPr>
        <w:tabs>
          <w:tab w:val="left" w:pos="1643"/>
        </w:tabs>
        <w:spacing w:before="134" w:after="0" w:line="240" w:lineRule="auto"/>
        <w:ind w:hanging="602"/>
        <w:rPr>
          <w:color w:val="auto"/>
          <w:szCs w:val="21"/>
          <w:highlight w:val="none"/>
        </w:rPr>
      </w:pPr>
      <w:r>
        <w:rPr>
          <w:color w:val="auto"/>
          <w:szCs w:val="21"/>
          <w:highlight w:val="none"/>
        </w:rPr>
        <w:t>通用合同条款；</w:t>
      </w:r>
    </w:p>
    <w:p>
      <w:pPr>
        <w:pStyle w:val="32"/>
        <w:numPr>
          <w:ilvl w:val="0"/>
          <w:numId w:val="47"/>
        </w:numPr>
        <w:tabs>
          <w:tab w:val="left" w:pos="1643"/>
        </w:tabs>
        <w:spacing w:before="132" w:after="0" w:line="240" w:lineRule="auto"/>
        <w:ind w:hanging="602"/>
        <w:rPr>
          <w:color w:val="auto"/>
          <w:szCs w:val="21"/>
          <w:highlight w:val="none"/>
        </w:rPr>
      </w:pPr>
      <w:r>
        <w:rPr>
          <w:color w:val="auto"/>
          <w:szCs w:val="21"/>
          <w:highlight w:val="none"/>
        </w:rPr>
        <w:t>委托人要求；</w:t>
      </w:r>
    </w:p>
    <w:p>
      <w:pPr>
        <w:pStyle w:val="32"/>
        <w:numPr>
          <w:ilvl w:val="0"/>
          <w:numId w:val="47"/>
        </w:numPr>
        <w:tabs>
          <w:tab w:val="left" w:pos="1643"/>
        </w:tabs>
        <w:spacing w:before="132" w:after="0" w:line="240" w:lineRule="auto"/>
        <w:ind w:hanging="602"/>
        <w:rPr>
          <w:color w:val="auto"/>
          <w:szCs w:val="21"/>
          <w:highlight w:val="none"/>
        </w:rPr>
      </w:pPr>
      <w:r>
        <w:rPr>
          <w:color w:val="auto"/>
          <w:szCs w:val="21"/>
          <w:highlight w:val="none"/>
        </w:rPr>
        <w:t>监理服务费用清单；</w:t>
      </w:r>
    </w:p>
    <w:p>
      <w:pPr>
        <w:pStyle w:val="32"/>
        <w:numPr>
          <w:ilvl w:val="0"/>
          <w:numId w:val="47"/>
        </w:numPr>
        <w:tabs>
          <w:tab w:val="left" w:pos="1643"/>
        </w:tabs>
        <w:spacing w:before="134" w:after="0" w:line="240" w:lineRule="auto"/>
        <w:ind w:hanging="602"/>
        <w:rPr>
          <w:color w:val="auto"/>
          <w:szCs w:val="21"/>
          <w:highlight w:val="none"/>
        </w:rPr>
      </w:pPr>
      <w:r>
        <w:rPr>
          <w:color w:val="auto"/>
          <w:szCs w:val="21"/>
          <w:highlight w:val="none"/>
        </w:rPr>
        <w:t>监理人有关人员、试验检测设备投入的承诺；</w:t>
      </w:r>
    </w:p>
    <w:p>
      <w:pPr>
        <w:pStyle w:val="32"/>
        <w:numPr>
          <w:ilvl w:val="0"/>
          <w:numId w:val="47"/>
        </w:numPr>
        <w:tabs>
          <w:tab w:val="left" w:pos="1763"/>
        </w:tabs>
        <w:spacing w:before="132" w:after="0" w:line="240" w:lineRule="auto"/>
        <w:ind w:left="1762" w:hanging="722"/>
        <w:rPr>
          <w:color w:val="auto"/>
          <w:szCs w:val="21"/>
          <w:highlight w:val="none"/>
        </w:rPr>
      </w:pPr>
      <w:r>
        <w:rPr>
          <w:color w:val="auto"/>
          <w:szCs w:val="21"/>
          <w:highlight w:val="none"/>
        </w:rPr>
        <w:t>其他合同文件。</w:t>
      </w:r>
    </w:p>
    <w:p>
      <w:pPr>
        <w:pStyle w:val="9"/>
        <w:spacing w:before="131" w:line="345" w:lineRule="auto"/>
        <w:ind w:left="424" w:right="507" w:firstLine="616"/>
        <w:rPr>
          <w:color w:val="auto"/>
          <w:sz w:val="21"/>
          <w:szCs w:val="21"/>
          <w:highlight w:val="none"/>
        </w:rPr>
      </w:pPr>
      <w:r>
        <w:rPr>
          <w:color w:val="auto"/>
          <w:sz w:val="21"/>
          <w:szCs w:val="21"/>
          <w:highlight w:val="none"/>
        </w:rPr>
        <w:t>上述合同文件互相补充和解释。如果合同文件之间存在矛盾或不一致之处， 以上述文件的排列顺序在先者为准。</w:t>
      </w:r>
    </w:p>
    <w:p>
      <w:pPr>
        <w:pStyle w:val="32"/>
        <w:numPr>
          <w:ilvl w:val="0"/>
          <w:numId w:val="46"/>
        </w:numPr>
        <w:tabs>
          <w:tab w:val="left" w:pos="1223"/>
          <w:tab w:val="left" w:pos="6742"/>
        </w:tabs>
        <w:spacing w:before="129" w:after="0" w:line="240" w:lineRule="auto"/>
        <w:ind w:left="1222" w:hanging="182"/>
        <w:rPr>
          <w:color w:val="auto"/>
          <w:szCs w:val="21"/>
          <w:highlight w:val="none"/>
        </w:rPr>
      </w:pPr>
      <w:r>
        <w:rPr>
          <w:rFonts w:hint="eastAsia"/>
          <w:color w:val="auto"/>
          <w:szCs w:val="21"/>
          <w:highlight w:val="none"/>
          <w:lang w:val="en-US" w:eastAsia="zh-CN"/>
        </w:rPr>
        <w:t>签约合同费率：（</w:t>
      </w:r>
      <w:r>
        <w:rPr>
          <w:rFonts w:hint="eastAsia"/>
          <w:color w:val="auto"/>
          <w:szCs w:val="21"/>
          <w:highlight w:val="none"/>
        </w:rPr>
        <w:t>大写）________（小写________）。</w:t>
      </w:r>
    </w:p>
    <w:p>
      <w:pPr>
        <w:pStyle w:val="32"/>
        <w:numPr>
          <w:ilvl w:val="0"/>
          <w:numId w:val="46"/>
        </w:numPr>
        <w:tabs>
          <w:tab w:val="left" w:pos="1223"/>
          <w:tab w:val="left" w:pos="6742"/>
        </w:tabs>
        <w:spacing w:before="129" w:after="0" w:line="240" w:lineRule="auto"/>
        <w:ind w:left="1222" w:hanging="182"/>
        <w:rPr>
          <w:color w:val="auto"/>
          <w:szCs w:val="21"/>
          <w:highlight w:val="none"/>
        </w:rPr>
      </w:pPr>
      <w:r>
        <w:rPr>
          <w:color w:val="auto"/>
          <w:szCs w:val="21"/>
          <w:highlight w:val="none"/>
        </w:rPr>
        <w:t>总监理工程师或驻地监理工程师：</w:t>
      </w:r>
      <w:r>
        <w:rPr>
          <w:color w:val="auto"/>
          <w:szCs w:val="21"/>
          <w:highlight w:val="none"/>
          <w:u w:val="single"/>
        </w:rPr>
        <w:t xml:space="preserve"> </w:t>
      </w:r>
      <w:r>
        <w:rPr>
          <w:color w:val="auto"/>
          <w:szCs w:val="21"/>
          <w:highlight w:val="none"/>
          <w:u w:val="single"/>
        </w:rPr>
        <w:tab/>
      </w:r>
      <w:r>
        <w:rPr>
          <w:color w:val="auto"/>
          <w:szCs w:val="21"/>
          <w:highlight w:val="none"/>
        </w:rPr>
        <w:t>。</w:t>
      </w:r>
    </w:p>
    <w:p>
      <w:pPr>
        <w:pStyle w:val="32"/>
        <w:numPr>
          <w:ilvl w:val="0"/>
          <w:numId w:val="46"/>
        </w:numPr>
        <w:tabs>
          <w:tab w:val="left" w:pos="1234"/>
          <w:tab w:val="left" w:pos="3544"/>
          <w:tab w:val="left" w:pos="8069"/>
        </w:tabs>
        <w:spacing w:before="132" w:after="0" w:line="345" w:lineRule="auto"/>
        <w:ind w:right="498" w:firstLine="616"/>
        <w:rPr>
          <w:color w:val="auto"/>
          <w:szCs w:val="21"/>
          <w:highlight w:val="none"/>
        </w:rPr>
      </w:pPr>
      <w:r>
        <w:rPr>
          <w:color w:val="auto"/>
          <w:spacing w:val="12"/>
          <w:szCs w:val="21"/>
          <w:highlight w:val="none"/>
        </w:rPr>
        <w:t>监理</w:t>
      </w:r>
      <w:r>
        <w:rPr>
          <w:color w:val="auto"/>
          <w:spacing w:val="11"/>
          <w:szCs w:val="21"/>
          <w:highlight w:val="none"/>
        </w:rPr>
        <w:t>工作质</w:t>
      </w:r>
      <w:r>
        <w:rPr>
          <w:color w:val="auto"/>
          <w:spacing w:val="14"/>
          <w:szCs w:val="21"/>
          <w:highlight w:val="none"/>
        </w:rPr>
        <w:t>量</w:t>
      </w:r>
      <w:r>
        <w:rPr>
          <w:color w:val="auto"/>
          <w:spacing w:val="11"/>
          <w:szCs w:val="21"/>
          <w:highlight w:val="none"/>
        </w:rPr>
        <w:t>符</w:t>
      </w:r>
      <w:r>
        <w:rPr>
          <w:color w:val="auto"/>
          <w:spacing w:val="14"/>
          <w:szCs w:val="21"/>
          <w:highlight w:val="none"/>
        </w:rPr>
        <w:t>合</w:t>
      </w:r>
      <w:r>
        <w:rPr>
          <w:color w:val="auto"/>
          <w:spacing w:val="11"/>
          <w:szCs w:val="21"/>
          <w:highlight w:val="none"/>
        </w:rPr>
        <w:t>的标准和要求</w:t>
      </w:r>
      <w:r>
        <w:rPr>
          <w:color w:val="auto"/>
          <w:spacing w:val="17"/>
          <w:szCs w:val="21"/>
          <w:highlight w:val="none"/>
        </w:rPr>
        <w:t>：</w:t>
      </w:r>
      <w:r>
        <w:rPr>
          <w:color w:val="auto"/>
          <w:spacing w:val="17"/>
          <w:szCs w:val="21"/>
          <w:highlight w:val="none"/>
          <w:u w:val="single"/>
        </w:rPr>
        <w:t xml:space="preserve"> </w:t>
      </w:r>
      <w:r>
        <w:rPr>
          <w:color w:val="auto"/>
          <w:spacing w:val="17"/>
          <w:szCs w:val="21"/>
          <w:highlight w:val="none"/>
          <w:u w:val="single"/>
        </w:rPr>
        <w:tab/>
      </w:r>
      <w:r>
        <w:rPr>
          <w:color w:val="auto"/>
          <w:spacing w:val="12"/>
          <w:szCs w:val="21"/>
          <w:highlight w:val="none"/>
        </w:rPr>
        <w:t>；安全</w:t>
      </w:r>
      <w:r>
        <w:rPr>
          <w:color w:val="auto"/>
          <w:spacing w:val="-17"/>
          <w:szCs w:val="21"/>
          <w:highlight w:val="none"/>
        </w:rPr>
        <w:t>目</w:t>
      </w:r>
      <w:r>
        <w:rPr>
          <w:color w:val="auto"/>
          <w:szCs w:val="21"/>
          <w:highlight w:val="none"/>
        </w:rPr>
        <w:t>标：</w:t>
      </w:r>
      <w:r>
        <w:rPr>
          <w:color w:val="auto"/>
          <w:szCs w:val="21"/>
          <w:highlight w:val="none"/>
          <w:u w:val="single"/>
        </w:rPr>
        <w:t xml:space="preserve"> </w:t>
      </w:r>
      <w:r>
        <w:rPr>
          <w:color w:val="auto"/>
          <w:szCs w:val="21"/>
          <w:highlight w:val="none"/>
          <w:u w:val="single"/>
        </w:rPr>
        <w:tab/>
      </w:r>
      <w:r>
        <w:rPr>
          <w:color w:val="auto"/>
          <w:szCs w:val="21"/>
          <w:highlight w:val="none"/>
        </w:rPr>
        <w:t>。</w:t>
      </w:r>
    </w:p>
    <w:p>
      <w:pPr>
        <w:pStyle w:val="32"/>
        <w:numPr>
          <w:ilvl w:val="0"/>
          <w:numId w:val="46"/>
        </w:numPr>
        <w:tabs>
          <w:tab w:val="left" w:pos="1223"/>
        </w:tabs>
        <w:spacing w:after="0" w:line="303" w:lineRule="exact"/>
        <w:ind w:left="1222" w:hanging="182"/>
        <w:rPr>
          <w:color w:val="auto"/>
          <w:szCs w:val="21"/>
          <w:highlight w:val="none"/>
        </w:rPr>
      </w:pPr>
      <w:r>
        <w:rPr>
          <w:color w:val="auto"/>
          <w:szCs w:val="21"/>
          <w:highlight w:val="none"/>
        </w:rPr>
        <w:t>监理人承诺按合同约定承担工程的施工监理。</w:t>
      </w:r>
    </w:p>
    <w:p>
      <w:pPr>
        <w:pStyle w:val="32"/>
        <w:numPr>
          <w:ilvl w:val="0"/>
          <w:numId w:val="46"/>
        </w:numPr>
        <w:tabs>
          <w:tab w:val="left" w:pos="1223"/>
        </w:tabs>
        <w:spacing w:before="132" w:after="0" w:line="240" w:lineRule="auto"/>
        <w:ind w:left="1222" w:hanging="182"/>
        <w:rPr>
          <w:color w:val="auto"/>
          <w:szCs w:val="21"/>
          <w:highlight w:val="none"/>
        </w:rPr>
      </w:pPr>
      <w:r>
        <w:rPr>
          <w:color w:val="auto"/>
          <w:szCs w:val="21"/>
          <w:highlight w:val="none"/>
        </w:rPr>
        <w:t>委托人承诺按合同约定的条件、时间和方式向监理人支付合同价款。</w:t>
      </w:r>
    </w:p>
    <w:p>
      <w:pPr>
        <w:pStyle w:val="32"/>
        <w:numPr>
          <w:ilvl w:val="0"/>
          <w:numId w:val="46"/>
        </w:numPr>
        <w:tabs>
          <w:tab w:val="left" w:pos="1223"/>
          <w:tab w:val="left" w:pos="5693"/>
        </w:tabs>
        <w:spacing w:before="134" w:after="0" w:line="240" w:lineRule="auto"/>
        <w:ind w:left="1222" w:hanging="182"/>
        <w:rPr>
          <w:color w:val="auto"/>
          <w:szCs w:val="21"/>
          <w:highlight w:val="none"/>
        </w:rPr>
      </w:pPr>
      <w:r>
        <w:rPr>
          <w:color w:val="auto"/>
          <w:szCs w:val="21"/>
          <w:highlight w:val="none"/>
        </w:rPr>
        <w:t>监理人计划开始监理日期</w:t>
      </w:r>
      <w:r>
        <w:rPr>
          <w:color w:val="auto"/>
          <w:spacing w:val="4"/>
          <w:szCs w:val="21"/>
          <w:highlight w:val="none"/>
        </w:rPr>
        <w:t>：</w:t>
      </w:r>
      <w:r>
        <w:rPr>
          <w:color w:val="auto"/>
          <w:spacing w:val="4"/>
          <w:szCs w:val="21"/>
          <w:highlight w:val="none"/>
          <w:u w:val="single"/>
        </w:rPr>
        <w:t xml:space="preserve"> </w:t>
      </w:r>
      <w:r>
        <w:rPr>
          <w:color w:val="auto"/>
          <w:spacing w:val="4"/>
          <w:szCs w:val="21"/>
          <w:highlight w:val="none"/>
          <w:u w:val="single"/>
        </w:rPr>
        <w:tab/>
      </w:r>
      <w:r>
        <w:rPr>
          <w:color w:val="auto"/>
          <w:szCs w:val="21"/>
          <w:highlight w:val="none"/>
        </w:rPr>
        <w:t>，实际日期按照合</w:t>
      </w:r>
      <w:r>
        <w:rPr>
          <w:color w:val="auto"/>
          <w:spacing w:val="3"/>
          <w:szCs w:val="21"/>
          <w:highlight w:val="none"/>
        </w:rPr>
        <w:t>同</w:t>
      </w:r>
      <w:r>
        <w:rPr>
          <w:color w:val="auto"/>
          <w:szCs w:val="21"/>
          <w:highlight w:val="none"/>
        </w:rPr>
        <w:t>条款中约定</w:t>
      </w:r>
    </w:p>
    <w:p>
      <w:pPr>
        <w:spacing w:after="0" w:line="240" w:lineRule="auto"/>
        <w:rPr>
          <w:color w:val="auto"/>
          <w:szCs w:val="21"/>
          <w:highlight w:val="none"/>
        </w:rPr>
        <w:sectPr>
          <w:type w:val="continuous"/>
          <w:pgSz w:w="11910" w:h="16850"/>
          <w:pgMar w:top="1600" w:right="1120" w:bottom="280" w:left="1220" w:header="720" w:footer="720" w:gutter="0"/>
          <w:cols w:space="720" w:num="1"/>
        </w:sectPr>
      </w:pPr>
    </w:p>
    <w:p>
      <w:pPr>
        <w:pStyle w:val="9"/>
        <w:rPr>
          <w:color w:val="auto"/>
          <w:sz w:val="21"/>
          <w:szCs w:val="21"/>
          <w:highlight w:val="none"/>
        </w:rPr>
      </w:pPr>
    </w:p>
    <w:p>
      <w:pPr>
        <w:pStyle w:val="9"/>
        <w:tabs>
          <w:tab w:val="left" w:pos="2104"/>
          <w:tab w:val="left" w:pos="4984"/>
          <w:tab w:val="left" w:pos="6065"/>
        </w:tabs>
        <w:spacing w:before="74" w:line="343" w:lineRule="auto"/>
        <w:ind w:left="424" w:right="500"/>
        <w:rPr>
          <w:color w:val="auto"/>
          <w:sz w:val="21"/>
          <w:szCs w:val="21"/>
          <w:highlight w:val="none"/>
        </w:rPr>
      </w:pPr>
      <w:r>
        <w:rPr>
          <w:color w:val="auto"/>
          <w:sz w:val="21"/>
          <w:szCs w:val="21"/>
          <w:highlight w:val="none"/>
        </w:rPr>
        <w:t>的开始监理日期为准。监理服务期限：</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rPr>
        <w:t>日历天，其中：施工阶段（含施工准</w:t>
      </w:r>
      <w:r>
        <w:rPr>
          <w:color w:val="auto"/>
          <w:spacing w:val="-18"/>
          <w:sz w:val="21"/>
          <w:szCs w:val="21"/>
          <w:highlight w:val="none"/>
        </w:rPr>
        <w:t>备</w:t>
      </w:r>
      <w:r>
        <w:rPr>
          <w:color w:val="auto"/>
          <w:sz w:val="21"/>
          <w:szCs w:val="21"/>
          <w:highlight w:val="none"/>
        </w:rPr>
        <w:t>阶段）监理</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rPr>
        <w:t>日历天，缺陷责任期阶段监理</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rPr>
        <w:t>日历天。</w:t>
      </w:r>
    </w:p>
    <w:p>
      <w:pPr>
        <w:pStyle w:val="32"/>
        <w:numPr>
          <w:ilvl w:val="0"/>
          <w:numId w:val="46"/>
        </w:numPr>
        <w:tabs>
          <w:tab w:val="left" w:pos="1344"/>
        </w:tabs>
        <w:spacing w:after="0" w:line="343" w:lineRule="auto"/>
        <w:ind w:right="463" w:firstLine="616"/>
        <w:jc w:val="both"/>
        <w:rPr>
          <w:color w:val="auto"/>
          <w:szCs w:val="21"/>
          <w:highlight w:val="none"/>
        </w:rPr>
      </w:pPr>
      <w:r>
        <w:rPr>
          <w:color w:val="auto"/>
          <w:szCs w:val="21"/>
          <w:highlight w:val="none"/>
        </w:rPr>
        <w:t>本协议书在监理人提供履约保证金后，由双方法定代表人或其委托代理人签署并加盖单位章后生效。全部工程完工后经交工验收合格、缺陷责任期满签发缺陷责任终止证书后失效。</w:t>
      </w:r>
    </w:p>
    <w:p>
      <w:pPr>
        <w:pStyle w:val="32"/>
        <w:numPr>
          <w:ilvl w:val="0"/>
          <w:numId w:val="46"/>
        </w:numPr>
        <w:tabs>
          <w:tab w:val="left" w:pos="1462"/>
        </w:tabs>
        <w:spacing w:after="0" w:line="345" w:lineRule="auto"/>
        <w:ind w:right="421" w:firstLine="616"/>
        <w:jc w:val="both"/>
        <w:rPr>
          <w:color w:val="auto"/>
          <w:szCs w:val="21"/>
          <w:highlight w:val="none"/>
        </w:rPr>
      </w:pPr>
      <w:r>
        <w:rPr>
          <w:color w:val="auto"/>
          <w:szCs w:val="21"/>
          <w:highlight w:val="none"/>
        </w:rPr>
        <w:t>本协议书正本二份、副本</w:t>
      </w:r>
      <w:r>
        <w:rPr>
          <w:color w:val="auto"/>
          <w:szCs w:val="21"/>
          <w:highlight w:val="none"/>
          <w:u w:val="single"/>
        </w:rPr>
        <w:t xml:space="preserve">  </w:t>
      </w:r>
      <w:r>
        <w:rPr>
          <w:color w:val="auto"/>
          <w:szCs w:val="21"/>
          <w:highlight w:val="none"/>
        </w:rPr>
        <w:t xml:space="preserve"> 份，合同双方各执正本一份，副本</w:t>
      </w:r>
      <w:r>
        <w:rPr>
          <w:color w:val="auto"/>
          <w:szCs w:val="21"/>
          <w:highlight w:val="none"/>
          <w:u w:val="single"/>
        </w:rPr>
        <w:t xml:space="preserve">  </w:t>
      </w:r>
      <w:r>
        <w:rPr>
          <w:color w:val="auto"/>
          <w:spacing w:val="-6"/>
          <w:szCs w:val="21"/>
          <w:highlight w:val="none"/>
        </w:rPr>
        <w:t xml:space="preserve"> 份， </w:t>
      </w:r>
      <w:r>
        <w:rPr>
          <w:color w:val="auto"/>
          <w:szCs w:val="21"/>
          <w:highlight w:val="none"/>
        </w:rPr>
        <w:t>当正本与副本的内容不一致时，以正本为准。</w:t>
      </w:r>
    </w:p>
    <w:p>
      <w:pPr>
        <w:pStyle w:val="32"/>
        <w:numPr>
          <w:ilvl w:val="0"/>
          <w:numId w:val="46"/>
        </w:numPr>
        <w:tabs>
          <w:tab w:val="left" w:pos="1452"/>
        </w:tabs>
        <w:spacing w:after="0" w:line="303" w:lineRule="exact"/>
        <w:ind w:left="1451" w:hanging="411"/>
        <w:jc w:val="both"/>
        <w:rPr>
          <w:color w:val="auto"/>
          <w:szCs w:val="21"/>
          <w:highlight w:val="none"/>
        </w:rPr>
      </w:pPr>
      <w:r>
        <w:rPr>
          <w:color w:val="auto"/>
          <w:szCs w:val="21"/>
          <w:highlight w:val="none"/>
        </w:rPr>
        <w:t>合同未尽事宜，双方另行签订补充协议。补充协议是合同的组成部分。</w:t>
      </w:r>
    </w:p>
    <w:p>
      <w:pPr>
        <w:pStyle w:val="9"/>
        <w:rPr>
          <w:color w:val="auto"/>
          <w:sz w:val="21"/>
          <w:szCs w:val="21"/>
          <w:highlight w:val="none"/>
        </w:rPr>
      </w:pPr>
    </w:p>
    <w:p>
      <w:pPr>
        <w:pStyle w:val="9"/>
        <w:rPr>
          <w:color w:val="auto"/>
          <w:sz w:val="21"/>
          <w:szCs w:val="21"/>
          <w:highlight w:val="none"/>
        </w:rPr>
      </w:pPr>
    </w:p>
    <w:p>
      <w:pPr>
        <w:pStyle w:val="9"/>
        <w:rPr>
          <w:color w:val="auto"/>
          <w:sz w:val="21"/>
          <w:szCs w:val="21"/>
          <w:highlight w:val="none"/>
        </w:rPr>
      </w:pPr>
    </w:p>
    <w:p>
      <w:pPr>
        <w:pStyle w:val="9"/>
        <w:tabs>
          <w:tab w:val="left" w:pos="3151"/>
          <w:tab w:val="left" w:pos="5174"/>
          <w:tab w:val="left" w:pos="7781"/>
          <w:tab w:val="left" w:pos="8261"/>
        </w:tabs>
        <w:spacing w:line="343" w:lineRule="auto"/>
        <w:ind w:left="424" w:right="342"/>
        <w:rPr>
          <w:color w:val="auto"/>
          <w:sz w:val="21"/>
          <w:szCs w:val="21"/>
          <w:highlight w:val="none"/>
        </w:rPr>
      </w:pPr>
      <w:r>
        <w:rPr>
          <w:color w:val="auto"/>
          <w:sz w:val="21"/>
          <w:szCs w:val="21"/>
          <w:highlight w:val="none"/>
        </w:rPr>
        <w:t>委托人</w:t>
      </w:r>
      <w:r>
        <w:rPr>
          <w:color w:val="auto"/>
          <w:spacing w:val="-17"/>
          <w:sz w:val="21"/>
          <w:szCs w:val="21"/>
          <w:highlight w:val="none"/>
        </w:rPr>
        <w:t>：</w:t>
      </w:r>
      <w:r>
        <w:rPr>
          <w:color w:val="auto"/>
          <w:spacing w:val="-17"/>
          <w:sz w:val="21"/>
          <w:szCs w:val="21"/>
          <w:highlight w:val="none"/>
          <w:u w:val="single"/>
        </w:rPr>
        <w:t xml:space="preserve"> </w:t>
      </w:r>
      <w:r>
        <w:rPr>
          <w:color w:val="auto"/>
          <w:spacing w:val="-17"/>
          <w:sz w:val="21"/>
          <w:szCs w:val="21"/>
          <w:highlight w:val="none"/>
          <w:u w:val="single"/>
        </w:rPr>
        <w:tab/>
      </w:r>
      <w:r>
        <w:rPr>
          <w:color w:val="auto"/>
          <w:sz w:val="21"/>
          <w:szCs w:val="21"/>
          <w:highlight w:val="none"/>
        </w:rPr>
        <w:t>（盖单位章）</w:t>
      </w:r>
      <w:r>
        <w:rPr>
          <w:color w:val="auto"/>
          <w:sz w:val="21"/>
          <w:szCs w:val="21"/>
          <w:highlight w:val="none"/>
        </w:rPr>
        <w:tab/>
      </w:r>
      <w:r>
        <w:rPr>
          <w:color w:val="auto"/>
          <w:sz w:val="21"/>
          <w:szCs w:val="21"/>
          <w:highlight w:val="none"/>
        </w:rPr>
        <w:t>监理人</w:t>
      </w:r>
      <w:r>
        <w:rPr>
          <w:color w:val="auto"/>
          <w:spacing w:val="-17"/>
          <w:sz w:val="21"/>
          <w:szCs w:val="21"/>
          <w:highlight w:val="none"/>
        </w:rPr>
        <w:t>：</w:t>
      </w:r>
      <w:r>
        <w:rPr>
          <w:color w:val="auto"/>
          <w:spacing w:val="-17"/>
          <w:sz w:val="21"/>
          <w:szCs w:val="21"/>
          <w:highlight w:val="none"/>
          <w:u w:val="single"/>
        </w:rPr>
        <w:t xml:space="preserve"> </w:t>
      </w:r>
      <w:r>
        <w:rPr>
          <w:color w:val="auto"/>
          <w:spacing w:val="-17"/>
          <w:sz w:val="21"/>
          <w:szCs w:val="21"/>
          <w:highlight w:val="none"/>
          <w:u w:val="single"/>
        </w:rPr>
        <w:tab/>
      </w:r>
      <w:r>
        <w:rPr>
          <w:color w:val="auto"/>
          <w:sz w:val="21"/>
          <w:szCs w:val="21"/>
          <w:highlight w:val="none"/>
        </w:rPr>
        <w:t>（盖单位章</w:t>
      </w:r>
      <w:r>
        <w:rPr>
          <w:color w:val="auto"/>
          <w:spacing w:val="-17"/>
          <w:sz w:val="21"/>
          <w:szCs w:val="21"/>
          <w:highlight w:val="none"/>
        </w:rPr>
        <w:t xml:space="preserve">） </w:t>
      </w:r>
      <w:r>
        <w:rPr>
          <w:color w:val="auto"/>
          <w:sz w:val="21"/>
          <w:szCs w:val="21"/>
          <w:highlight w:val="none"/>
        </w:rPr>
        <w:t>法定代表人或其委托代理人</w:t>
      </w:r>
      <w:r>
        <w:rPr>
          <w:color w:val="auto"/>
          <w:spacing w:val="-41"/>
          <w:sz w:val="21"/>
          <w:szCs w:val="21"/>
          <w:highlight w:val="none"/>
        </w:rPr>
        <w:t>：</w:t>
      </w:r>
      <w:r>
        <w:rPr>
          <w:color w:val="auto"/>
          <w:spacing w:val="-41"/>
          <w:sz w:val="21"/>
          <w:szCs w:val="21"/>
          <w:highlight w:val="none"/>
          <w:u w:val="single"/>
        </w:rPr>
        <w:t xml:space="preserve"> </w:t>
      </w:r>
      <w:r>
        <w:rPr>
          <w:color w:val="auto"/>
          <w:sz w:val="21"/>
          <w:szCs w:val="21"/>
          <w:highlight w:val="none"/>
          <w:u w:val="single"/>
        </w:rPr>
        <w:t xml:space="preserve"> （</w:t>
      </w:r>
      <w:r>
        <w:rPr>
          <w:color w:val="auto"/>
          <w:sz w:val="21"/>
          <w:szCs w:val="21"/>
          <w:highlight w:val="none"/>
        </w:rPr>
        <w:t>签字）</w:t>
      </w:r>
      <w:r>
        <w:rPr>
          <w:color w:val="auto"/>
          <w:spacing w:val="79"/>
          <w:sz w:val="21"/>
          <w:szCs w:val="21"/>
          <w:highlight w:val="none"/>
        </w:rPr>
        <w:t xml:space="preserve"> </w:t>
      </w:r>
      <w:r>
        <w:rPr>
          <w:color w:val="auto"/>
          <w:sz w:val="21"/>
          <w:szCs w:val="21"/>
          <w:highlight w:val="none"/>
        </w:rPr>
        <w:t>法定代表人或其委托代理人</w:t>
      </w:r>
      <w:r>
        <w:rPr>
          <w:color w:val="auto"/>
          <w:spacing w:val="-40"/>
          <w:sz w:val="21"/>
          <w:szCs w:val="21"/>
          <w:highlight w:val="none"/>
        </w:rPr>
        <w:t>：</w:t>
      </w:r>
      <w:r>
        <w:rPr>
          <w:color w:val="auto"/>
          <w:spacing w:val="-40"/>
          <w:sz w:val="21"/>
          <w:szCs w:val="21"/>
          <w:highlight w:val="none"/>
          <w:u w:val="single"/>
        </w:rPr>
        <w:t xml:space="preserve"> </w:t>
      </w:r>
      <w:r>
        <w:rPr>
          <w:color w:val="auto"/>
          <w:spacing w:val="-40"/>
          <w:sz w:val="21"/>
          <w:szCs w:val="21"/>
          <w:highlight w:val="none"/>
          <w:u w:val="single"/>
        </w:rPr>
        <w:tab/>
      </w:r>
      <w:r>
        <w:rPr>
          <w:color w:val="auto"/>
          <w:sz w:val="21"/>
          <w:szCs w:val="21"/>
          <w:highlight w:val="none"/>
          <w:u w:val="single"/>
        </w:rPr>
        <w:t>（</w:t>
      </w:r>
      <w:r>
        <w:rPr>
          <w:color w:val="auto"/>
          <w:sz w:val="21"/>
          <w:szCs w:val="21"/>
          <w:highlight w:val="none"/>
        </w:rPr>
        <w:t>签字</w:t>
      </w:r>
      <w:r>
        <w:rPr>
          <w:color w:val="auto"/>
          <w:spacing w:val="-17"/>
          <w:sz w:val="21"/>
          <w:szCs w:val="21"/>
          <w:highlight w:val="none"/>
        </w:rPr>
        <w:t>）</w:t>
      </w:r>
    </w:p>
    <w:p>
      <w:pPr>
        <w:pStyle w:val="9"/>
        <w:tabs>
          <w:tab w:val="left" w:pos="1864"/>
          <w:tab w:val="left" w:pos="2944"/>
          <w:tab w:val="left" w:pos="3839"/>
          <w:tab w:val="left" w:pos="5225"/>
          <w:tab w:val="left" w:pos="6305"/>
          <w:tab w:val="left" w:pos="7385"/>
          <w:tab w:val="left" w:pos="8640"/>
        </w:tabs>
        <w:spacing w:before="2"/>
        <w:ind w:left="784"/>
        <w:rPr>
          <w:color w:val="auto"/>
          <w:sz w:val="21"/>
          <w:szCs w:val="21"/>
          <w:highlight w:val="none"/>
        </w:rPr>
      </w:pPr>
      <w:r>
        <w:rPr>
          <w:rFonts w:eastAsia="Times New Roman"/>
          <w:color w:val="auto"/>
          <w:sz w:val="21"/>
          <w:szCs w:val="21"/>
          <w:highlight w:val="none"/>
          <w:u w:val="single"/>
        </w:rPr>
        <w:t xml:space="preserve"> </w:t>
      </w:r>
      <w:r>
        <w:rPr>
          <w:rFonts w:eastAsia="Times New Roman"/>
          <w:color w:val="auto"/>
          <w:sz w:val="21"/>
          <w:szCs w:val="21"/>
          <w:highlight w:val="none"/>
          <w:u w:val="single"/>
        </w:rPr>
        <w:tab/>
      </w:r>
      <w:r>
        <w:rPr>
          <w:color w:val="auto"/>
          <w:sz w:val="21"/>
          <w:szCs w:val="21"/>
          <w:highlight w:val="none"/>
        </w:rPr>
        <w:t>年</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rPr>
        <w:t>月</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rPr>
        <w:t>日</w:t>
      </w:r>
      <w:r>
        <w:rPr>
          <w:color w:val="auto"/>
          <w:sz w:val="21"/>
          <w:szCs w:val="21"/>
          <w:highlight w:val="none"/>
        </w:rPr>
        <w:tab/>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rPr>
        <w:t>年</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rPr>
        <w:t>月</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rPr>
        <w:t>日</w:t>
      </w:r>
    </w:p>
    <w:p>
      <w:pPr>
        <w:spacing w:after="0"/>
        <w:rPr>
          <w:color w:val="auto"/>
          <w:szCs w:val="21"/>
          <w:highlight w:val="none"/>
        </w:rPr>
        <w:sectPr>
          <w:pgSz w:w="11910" w:h="16850"/>
          <w:pgMar w:top="1460" w:right="1120" w:bottom="1280" w:left="1220" w:header="882" w:footer="1093" w:gutter="0"/>
          <w:cols w:space="720" w:num="1"/>
        </w:sectPr>
      </w:pPr>
    </w:p>
    <w:p>
      <w:pPr>
        <w:pStyle w:val="9"/>
        <w:rPr>
          <w:color w:val="auto"/>
          <w:sz w:val="21"/>
          <w:szCs w:val="21"/>
          <w:highlight w:val="none"/>
        </w:rPr>
      </w:pPr>
    </w:p>
    <w:p>
      <w:pPr>
        <w:pStyle w:val="9"/>
        <w:spacing w:before="7"/>
        <w:rPr>
          <w:color w:val="auto"/>
          <w:sz w:val="21"/>
          <w:szCs w:val="21"/>
          <w:highlight w:val="none"/>
        </w:rPr>
      </w:pPr>
    </w:p>
    <w:p>
      <w:pPr>
        <w:spacing w:after="0"/>
        <w:rPr>
          <w:color w:val="auto"/>
          <w:szCs w:val="21"/>
          <w:highlight w:val="none"/>
        </w:rPr>
        <w:sectPr>
          <w:pgSz w:w="11910" w:h="16850"/>
          <w:pgMar w:top="1460" w:right="1120" w:bottom="1280" w:left="1220" w:header="882" w:footer="1093" w:gutter="0"/>
          <w:cols w:space="720" w:num="1"/>
        </w:sectPr>
      </w:pPr>
    </w:p>
    <w:p>
      <w:pPr>
        <w:pStyle w:val="9"/>
        <w:spacing w:before="66"/>
        <w:ind w:left="424"/>
        <w:rPr>
          <w:rFonts w:ascii="黑体" w:eastAsia="黑体"/>
          <w:color w:val="auto"/>
          <w:sz w:val="21"/>
          <w:szCs w:val="21"/>
          <w:highlight w:val="none"/>
        </w:rPr>
      </w:pPr>
      <w:bookmarkStart w:id="71" w:name="_bookmark122"/>
      <w:bookmarkEnd w:id="71"/>
      <w:r>
        <w:rPr>
          <w:rFonts w:hint="eastAsia" w:ascii="黑体" w:eastAsia="黑体"/>
          <w:color w:val="auto"/>
          <w:sz w:val="21"/>
          <w:szCs w:val="21"/>
          <w:highlight w:val="none"/>
        </w:rPr>
        <w:t>附件二 廉政合同</w:t>
      </w:r>
    </w:p>
    <w:p>
      <w:pPr>
        <w:pStyle w:val="9"/>
        <w:rPr>
          <w:rFonts w:ascii="黑体"/>
          <w:color w:val="auto"/>
          <w:sz w:val="21"/>
          <w:szCs w:val="21"/>
          <w:highlight w:val="none"/>
        </w:rPr>
      </w:pPr>
      <w:r>
        <w:rPr>
          <w:color w:val="auto"/>
          <w:sz w:val="21"/>
          <w:szCs w:val="21"/>
          <w:highlight w:val="none"/>
        </w:rPr>
        <w:br w:type="column"/>
      </w:r>
    </w:p>
    <w:p>
      <w:pPr>
        <w:ind w:left="424"/>
        <w:rPr>
          <w:rFonts w:ascii="黑体" w:eastAsia="黑体"/>
          <w:color w:val="auto"/>
          <w:szCs w:val="21"/>
          <w:highlight w:val="none"/>
        </w:rPr>
      </w:pPr>
      <w:r>
        <w:rPr>
          <w:rFonts w:hint="eastAsia" w:ascii="黑体" w:eastAsia="黑体"/>
          <w:color w:val="auto"/>
          <w:szCs w:val="21"/>
          <w:highlight w:val="none"/>
        </w:rPr>
        <w:t>廉 政 合 同</w:t>
      </w:r>
    </w:p>
    <w:p>
      <w:pPr>
        <w:spacing w:after="0"/>
        <w:rPr>
          <w:rFonts w:ascii="黑体" w:eastAsia="黑体"/>
          <w:color w:val="auto"/>
          <w:szCs w:val="21"/>
          <w:highlight w:val="none"/>
        </w:rPr>
        <w:sectPr>
          <w:type w:val="continuous"/>
          <w:pgSz w:w="11910" w:h="16850"/>
          <w:pgMar w:top="1600" w:right="1120" w:bottom="280" w:left="1220" w:header="720" w:footer="720" w:gutter="0"/>
          <w:cols w:equalWidth="0" w:num="2">
            <w:col w:w="2265" w:space="1302"/>
            <w:col w:w="6003"/>
          </w:cols>
        </w:sectPr>
      </w:pPr>
    </w:p>
    <w:p>
      <w:pPr>
        <w:pStyle w:val="9"/>
        <w:rPr>
          <w:rFonts w:ascii="黑体"/>
          <w:color w:val="auto"/>
          <w:sz w:val="21"/>
          <w:szCs w:val="21"/>
          <w:highlight w:val="none"/>
        </w:rPr>
      </w:pPr>
    </w:p>
    <w:p>
      <w:pPr>
        <w:pStyle w:val="9"/>
        <w:spacing w:before="10"/>
        <w:rPr>
          <w:rFonts w:ascii="黑体"/>
          <w:color w:val="auto"/>
          <w:sz w:val="21"/>
          <w:szCs w:val="21"/>
          <w:highlight w:val="none"/>
        </w:rPr>
      </w:pPr>
    </w:p>
    <w:p>
      <w:pPr>
        <w:pStyle w:val="9"/>
        <w:tabs>
          <w:tab w:val="left" w:pos="2485"/>
          <w:tab w:val="left" w:pos="3285"/>
          <w:tab w:val="left" w:pos="7176"/>
          <w:tab w:val="left" w:pos="8139"/>
        </w:tabs>
        <w:spacing w:line="360" w:lineRule="auto"/>
        <w:ind w:left="424" w:right="346" w:firstLine="616"/>
        <w:rPr>
          <w:color w:val="auto"/>
          <w:sz w:val="21"/>
          <w:szCs w:val="21"/>
          <w:highlight w:val="none"/>
        </w:rPr>
      </w:pPr>
      <w:r>
        <w:rPr>
          <w:color w:val="auto"/>
          <w:sz w:val="21"/>
          <w:szCs w:val="21"/>
          <w:highlight w:val="none"/>
        </w:rPr>
        <w:t>根</w:t>
      </w:r>
      <w:r>
        <w:rPr>
          <w:color w:val="auto"/>
          <w:spacing w:val="-51"/>
          <w:sz w:val="21"/>
          <w:szCs w:val="21"/>
          <w:highlight w:val="none"/>
        </w:rPr>
        <w:t>据</w:t>
      </w:r>
      <w:r>
        <w:rPr>
          <w:color w:val="auto"/>
          <w:sz w:val="21"/>
          <w:szCs w:val="21"/>
          <w:highlight w:val="none"/>
        </w:rPr>
        <w:t>《关于在交通基础设施建设中加强廉政建设的若干意见</w:t>
      </w:r>
      <w:r>
        <w:rPr>
          <w:color w:val="auto"/>
          <w:spacing w:val="-51"/>
          <w:sz w:val="21"/>
          <w:szCs w:val="21"/>
          <w:highlight w:val="none"/>
        </w:rPr>
        <w:t>》</w:t>
      </w:r>
      <w:r>
        <w:rPr>
          <w:color w:val="auto"/>
          <w:sz w:val="21"/>
          <w:szCs w:val="21"/>
          <w:highlight w:val="none"/>
        </w:rPr>
        <w:t>以及有关工程建设</w:t>
      </w:r>
      <w:r>
        <w:rPr>
          <w:color w:val="auto"/>
          <w:spacing w:val="-29"/>
          <w:sz w:val="21"/>
          <w:szCs w:val="21"/>
          <w:highlight w:val="none"/>
        </w:rPr>
        <w:t>、</w:t>
      </w:r>
      <w:r>
        <w:rPr>
          <w:color w:val="auto"/>
          <w:sz w:val="21"/>
          <w:szCs w:val="21"/>
          <w:highlight w:val="none"/>
        </w:rPr>
        <w:t>廉政建设的规定</w:t>
      </w:r>
      <w:r>
        <w:rPr>
          <w:color w:val="auto"/>
          <w:spacing w:val="-29"/>
          <w:sz w:val="21"/>
          <w:szCs w:val="21"/>
          <w:highlight w:val="none"/>
        </w:rPr>
        <w:t>，</w:t>
      </w:r>
      <w:r>
        <w:rPr>
          <w:color w:val="auto"/>
          <w:sz w:val="21"/>
          <w:szCs w:val="21"/>
          <w:highlight w:val="none"/>
        </w:rPr>
        <w:t>为做好工程建设中的党风廉政建设</w:t>
      </w:r>
      <w:r>
        <w:rPr>
          <w:color w:val="auto"/>
          <w:spacing w:val="-29"/>
          <w:sz w:val="21"/>
          <w:szCs w:val="21"/>
          <w:highlight w:val="none"/>
        </w:rPr>
        <w:t>，</w:t>
      </w:r>
      <w:r>
        <w:rPr>
          <w:color w:val="auto"/>
          <w:sz w:val="21"/>
          <w:szCs w:val="21"/>
          <w:highlight w:val="none"/>
        </w:rPr>
        <w:t>保证工程建设高效优质</w:t>
      </w:r>
      <w:r>
        <w:rPr>
          <w:color w:val="auto"/>
          <w:spacing w:val="-17"/>
          <w:sz w:val="21"/>
          <w:szCs w:val="21"/>
          <w:highlight w:val="none"/>
        </w:rPr>
        <w:t xml:space="preserve">， </w:t>
      </w:r>
      <w:r>
        <w:rPr>
          <w:color w:val="auto"/>
          <w:sz w:val="21"/>
          <w:szCs w:val="21"/>
          <w:highlight w:val="none"/>
        </w:rPr>
        <w:t>保证建设资金的安全和有效使用以及投资效益，</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rPr>
        <w:t>（项目名称</w:t>
      </w:r>
      <w:r>
        <w:rPr>
          <w:color w:val="auto"/>
          <w:spacing w:val="3"/>
          <w:sz w:val="21"/>
          <w:szCs w:val="21"/>
          <w:highlight w:val="none"/>
        </w:rPr>
        <w:t>）</w:t>
      </w:r>
      <w:r>
        <w:rPr>
          <w:color w:val="auto"/>
          <w:sz w:val="21"/>
          <w:szCs w:val="21"/>
          <w:highlight w:val="none"/>
        </w:rPr>
        <w:t>的项目法人</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rPr>
        <w:t>（项目法人名称</w:t>
      </w:r>
      <w:r>
        <w:rPr>
          <w:color w:val="auto"/>
          <w:spacing w:val="3"/>
          <w:sz w:val="21"/>
          <w:szCs w:val="21"/>
          <w:highlight w:val="none"/>
        </w:rPr>
        <w:t>，</w:t>
      </w:r>
      <w:r>
        <w:rPr>
          <w:color w:val="auto"/>
          <w:sz w:val="21"/>
          <w:szCs w:val="21"/>
          <w:highlight w:val="none"/>
        </w:rPr>
        <w:t>以下简</w:t>
      </w:r>
      <w:r>
        <w:rPr>
          <w:color w:val="auto"/>
          <w:spacing w:val="3"/>
          <w:sz w:val="21"/>
          <w:szCs w:val="21"/>
          <w:highlight w:val="none"/>
        </w:rPr>
        <w:t>称</w:t>
      </w:r>
      <w:r>
        <w:rPr>
          <w:rFonts w:eastAsia="Times New Roman"/>
          <w:color w:val="auto"/>
          <w:sz w:val="21"/>
          <w:szCs w:val="21"/>
          <w:highlight w:val="none"/>
        </w:rPr>
        <w:t>“</w:t>
      </w:r>
      <w:r>
        <w:rPr>
          <w:color w:val="auto"/>
          <w:sz w:val="21"/>
          <w:szCs w:val="21"/>
          <w:highlight w:val="none"/>
        </w:rPr>
        <w:t>委托人</w:t>
      </w:r>
      <w:r>
        <w:rPr>
          <w:rFonts w:eastAsia="Times New Roman"/>
          <w:color w:val="auto"/>
          <w:sz w:val="21"/>
          <w:szCs w:val="21"/>
          <w:highlight w:val="none"/>
        </w:rPr>
        <w:t>”</w:t>
      </w:r>
      <w:r>
        <w:rPr>
          <w:color w:val="auto"/>
          <w:sz w:val="21"/>
          <w:szCs w:val="21"/>
          <w:highlight w:val="none"/>
        </w:rPr>
        <w:t>）与该项目</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rPr>
        <w:t>标段的施工监</w:t>
      </w:r>
      <w:r>
        <w:rPr>
          <w:color w:val="auto"/>
          <w:spacing w:val="-1"/>
          <w:sz w:val="21"/>
          <w:szCs w:val="21"/>
          <w:highlight w:val="none"/>
        </w:rPr>
        <w:t>理</w:t>
      </w:r>
      <w:r>
        <w:rPr>
          <w:color w:val="auto"/>
          <w:sz w:val="21"/>
          <w:szCs w:val="21"/>
          <w:highlight w:val="none"/>
        </w:rPr>
        <w:t>单位</w:t>
      </w:r>
      <w:r>
        <w:rPr>
          <w:rFonts w:eastAsia="Times New Roman"/>
          <w:color w:val="auto"/>
          <w:sz w:val="21"/>
          <w:szCs w:val="21"/>
          <w:highlight w:val="none"/>
          <w:u w:val="single"/>
        </w:rPr>
        <w:t xml:space="preserve"> </w:t>
      </w:r>
      <w:r>
        <w:rPr>
          <w:rFonts w:eastAsia="Times New Roman"/>
          <w:color w:val="auto"/>
          <w:sz w:val="21"/>
          <w:szCs w:val="21"/>
          <w:highlight w:val="none"/>
          <w:u w:val="single"/>
        </w:rPr>
        <w:tab/>
      </w:r>
      <w:r>
        <w:rPr>
          <w:rFonts w:eastAsia="Times New Roman"/>
          <w:color w:val="auto"/>
          <w:sz w:val="21"/>
          <w:szCs w:val="21"/>
          <w:highlight w:val="none"/>
          <w:u w:val="single"/>
        </w:rPr>
        <w:tab/>
      </w:r>
      <w:r>
        <w:rPr>
          <w:color w:val="auto"/>
          <w:sz w:val="21"/>
          <w:szCs w:val="21"/>
          <w:highlight w:val="none"/>
        </w:rPr>
        <w:t>（施工监理单位名称</w:t>
      </w:r>
      <w:r>
        <w:rPr>
          <w:color w:val="auto"/>
          <w:spacing w:val="-19"/>
          <w:sz w:val="21"/>
          <w:szCs w:val="21"/>
          <w:highlight w:val="none"/>
        </w:rPr>
        <w:t>，</w:t>
      </w:r>
      <w:r>
        <w:rPr>
          <w:color w:val="auto"/>
          <w:sz w:val="21"/>
          <w:szCs w:val="21"/>
          <w:highlight w:val="none"/>
        </w:rPr>
        <w:t>以下简称</w:t>
      </w:r>
      <w:r>
        <w:rPr>
          <w:rFonts w:eastAsia="Times New Roman"/>
          <w:color w:val="auto"/>
          <w:spacing w:val="-1"/>
          <w:sz w:val="21"/>
          <w:szCs w:val="21"/>
          <w:highlight w:val="none"/>
        </w:rPr>
        <w:t>“</w:t>
      </w:r>
      <w:r>
        <w:rPr>
          <w:color w:val="auto"/>
          <w:sz w:val="21"/>
          <w:szCs w:val="21"/>
          <w:highlight w:val="none"/>
        </w:rPr>
        <w:t>监理人</w:t>
      </w:r>
      <w:r>
        <w:rPr>
          <w:rFonts w:eastAsia="Times New Roman"/>
          <w:color w:val="auto"/>
          <w:spacing w:val="1"/>
          <w:sz w:val="21"/>
          <w:szCs w:val="21"/>
          <w:highlight w:val="none"/>
        </w:rPr>
        <w:t>”</w:t>
      </w:r>
      <w:r>
        <w:rPr>
          <w:color w:val="auto"/>
          <w:spacing w:val="-120"/>
          <w:sz w:val="21"/>
          <w:szCs w:val="21"/>
          <w:highlight w:val="none"/>
        </w:rPr>
        <w:t>）</w:t>
      </w:r>
      <w:r>
        <w:rPr>
          <w:color w:val="auto"/>
          <w:spacing w:val="-20"/>
          <w:sz w:val="21"/>
          <w:szCs w:val="21"/>
          <w:highlight w:val="none"/>
        </w:rPr>
        <w:t>，</w:t>
      </w:r>
      <w:r>
        <w:rPr>
          <w:color w:val="auto"/>
          <w:sz w:val="21"/>
          <w:szCs w:val="21"/>
          <w:highlight w:val="none"/>
        </w:rPr>
        <w:t>特订立如下合同。</w:t>
      </w:r>
    </w:p>
    <w:p>
      <w:pPr>
        <w:pStyle w:val="32"/>
        <w:numPr>
          <w:ilvl w:val="0"/>
          <w:numId w:val="48"/>
        </w:numPr>
        <w:tabs>
          <w:tab w:val="left" w:pos="1342"/>
        </w:tabs>
        <w:spacing w:before="3" w:after="0" w:line="360" w:lineRule="auto"/>
        <w:ind w:hanging="301"/>
        <w:rPr>
          <w:rFonts w:ascii="黑体" w:eastAsia="黑体"/>
          <w:color w:val="auto"/>
          <w:szCs w:val="21"/>
          <w:highlight w:val="none"/>
        </w:rPr>
      </w:pPr>
      <w:r>
        <w:rPr>
          <w:rFonts w:hint="eastAsia" w:ascii="黑体" w:eastAsia="黑体"/>
          <w:color w:val="auto"/>
          <w:szCs w:val="21"/>
          <w:highlight w:val="none"/>
        </w:rPr>
        <w:t>委托人和监理人双方的权利和义务</w:t>
      </w:r>
    </w:p>
    <w:p>
      <w:pPr>
        <w:pStyle w:val="32"/>
        <w:numPr>
          <w:ilvl w:val="0"/>
          <w:numId w:val="49"/>
        </w:numPr>
        <w:tabs>
          <w:tab w:val="left" w:pos="1643"/>
        </w:tabs>
        <w:spacing w:before="93" w:after="0" w:line="360" w:lineRule="auto"/>
        <w:ind w:hanging="602"/>
        <w:rPr>
          <w:color w:val="auto"/>
          <w:szCs w:val="21"/>
          <w:highlight w:val="none"/>
        </w:rPr>
      </w:pPr>
      <w:r>
        <w:rPr>
          <w:color w:val="auto"/>
          <w:szCs w:val="21"/>
          <w:highlight w:val="none"/>
        </w:rPr>
        <w:t>严格遵守党的政策规定和国家有关法律法规及交通运输部的有关规定。</w:t>
      </w:r>
    </w:p>
    <w:p>
      <w:pPr>
        <w:pStyle w:val="32"/>
        <w:numPr>
          <w:ilvl w:val="0"/>
          <w:numId w:val="49"/>
        </w:numPr>
        <w:tabs>
          <w:tab w:val="left" w:pos="1643"/>
          <w:tab w:val="left" w:pos="3688"/>
          <w:tab w:val="left" w:pos="5736"/>
        </w:tabs>
        <w:spacing w:before="93" w:after="0" w:line="360" w:lineRule="auto"/>
        <w:ind w:left="424" w:right="463" w:firstLine="616"/>
        <w:rPr>
          <w:color w:val="auto"/>
          <w:szCs w:val="21"/>
          <w:highlight w:val="none"/>
        </w:rPr>
      </w:pPr>
      <w:r>
        <w:rPr>
          <w:color w:val="auto"/>
          <w:szCs w:val="21"/>
          <w:highlight w:val="none"/>
        </w:rPr>
        <w:t>严格执</w:t>
      </w:r>
      <w:r>
        <w:rPr>
          <w:color w:val="auto"/>
          <w:spacing w:val="3"/>
          <w:szCs w:val="21"/>
          <w:highlight w:val="none"/>
        </w:rPr>
        <w:t>行</w:t>
      </w:r>
      <w:r>
        <w:rPr>
          <w:color w:val="auto"/>
          <w:spacing w:val="3"/>
          <w:szCs w:val="21"/>
          <w:highlight w:val="none"/>
          <w:u w:val="single"/>
        </w:rPr>
        <w:t xml:space="preserve"> </w:t>
      </w:r>
      <w:r>
        <w:rPr>
          <w:color w:val="auto"/>
          <w:spacing w:val="3"/>
          <w:szCs w:val="21"/>
          <w:highlight w:val="none"/>
          <w:u w:val="single"/>
        </w:rPr>
        <w:tab/>
      </w:r>
      <w:r>
        <w:rPr>
          <w:color w:val="auto"/>
          <w:szCs w:val="21"/>
          <w:highlight w:val="none"/>
        </w:rPr>
        <w:t>（项目名称）</w:t>
      </w:r>
      <w:r>
        <w:rPr>
          <w:color w:val="auto"/>
          <w:szCs w:val="21"/>
          <w:highlight w:val="none"/>
          <w:u w:val="single"/>
        </w:rPr>
        <w:t xml:space="preserve"> </w:t>
      </w:r>
      <w:r>
        <w:rPr>
          <w:color w:val="auto"/>
          <w:szCs w:val="21"/>
          <w:highlight w:val="none"/>
          <w:u w:val="single"/>
        </w:rPr>
        <w:tab/>
      </w:r>
      <w:r>
        <w:rPr>
          <w:color w:val="auto"/>
          <w:szCs w:val="21"/>
          <w:highlight w:val="none"/>
        </w:rPr>
        <w:t>标段施工监理合同文件，自觉</w:t>
      </w:r>
      <w:r>
        <w:rPr>
          <w:color w:val="auto"/>
          <w:spacing w:val="-17"/>
          <w:szCs w:val="21"/>
          <w:highlight w:val="none"/>
        </w:rPr>
        <w:t>按</w:t>
      </w:r>
      <w:r>
        <w:rPr>
          <w:color w:val="auto"/>
          <w:szCs w:val="21"/>
          <w:highlight w:val="none"/>
        </w:rPr>
        <w:t>合同办事。</w:t>
      </w:r>
    </w:p>
    <w:p>
      <w:pPr>
        <w:pStyle w:val="32"/>
        <w:numPr>
          <w:ilvl w:val="0"/>
          <w:numId w:val="49"/>
        </w:numPr>
        <w:tabs>
          <w:tab w:val="left" w:pos="1643"/>
        </w:tabs>
        <w:spacing w:after="0" w:line="360" w:lineRule="auto"/>
        <w:ind w:left="424" w:right="465" w:firstLine="616"/>
        <w:jc w:val="both"/>
        <w:rPr>
          <w:color w:val="auto"/>
          <w:szCs w:val="21"/>
          <w:highlight w:val="none"/>
        </w:rPr>
      </w:pPr>
      <w:r>
        <w:rPr>
          <w:color w:val="auto"/>
          <w:szCs w:val="21"/>
          <w:highlight w:val="none"/>
        </w:rPr>
        <w:t>双方的业务活动坚持公开、公正、诚信、透明的原则（</w:t>
      </w:r>
      <w:r>
        <w:rPr>
          <w:color w:val="auto"/>
          <w:spacing w:val="-2"/>
          <w:szCs w:val="21"/>
          <w:highlight w:val="none"/>
        </w:rPr>
        <w:t>法律认定的商业</w:t>
      </w:r>
      <w:r>
        <w:rPr>
          <w:color w:val="auto"/>
          <w:szCs w:val="21"/>
          <w:highlight w:val="none"/>
        </w:rPr>
        <w:t>秘密和合同文件另有规定除外</w:t>
      </w:r>
      <w:r>
        <w:rPr>
          <w:color w:val="auto"/>
          <w:spacing w:val="-82"/>
          <w:szCs w:val="21"/>
          <w:highlight w:val="none"/>
        </w:rPr>
        <w:t>）</w:t>
      </w:r>
      <w:r>
        <w:rPr>
          <w:color w:val="auto"/>
          <w:spacing w:val="-14"/>
          <w:szCs w:val="21"/>
          <w:highlight w:val="none"/>
        </w:rPr>
        <w:t>，不得损害国家和集体利益，不得违反工程建设管理</w:t>
      </w:r>
      <w:r>
        <w:rPr>
          <w:color w:val="auto"/>
          <w:szCs w:val="21"/>
          <w:highlight w:val="none"/>
        </w:rPr>
        <w:t>规章制度。</w:t>
      </w:r>
    </w:p>
    <w:p>
      <w:pPr>
        <w:pStyle w:val="32"/>
        <w:numPr>
          <w:ilvl w:val="0"/>
          <w:numId w:val="49"/>
        </w:numPr>
        <w:tabs>
          <w:tab w:val="left" w:pos="1643"/>
        </w:tabs>
        <w:spacing w:before="1" w:after="0" w:line="360" w:lineRule="auto"/>
        <w:ind w:left="424" w:right="470" w:firstLine="616"/>
        <w:rPr>
          <w:color w:val="auto"/>
          <w:szCs w:val="21"/>
          <w:highlight w:val="none"/>
        </w:rPr>
      </w:pPr>
      <w:r>
        <w:rPr>
          <w:color w:val="auto"/>
          <w:spacing w:val="-1"/>
          <w:szCs w:val="21"/>
          <w:highlight w:val="none"/>
        </w:rPr>
        <w:t xml:space="preserve">建立健全廉政制度，开展廉政教育，设立廉政告示牌，公布举报电话， </w:t>
      </w:r>
      <w:r>
        <w:rPr>
          <w:color w:val="auto"/>
          <w:szCs w:val="21"/>
          <w:highlight w:val="none"/>
        </w:rPr>
        <w:t>监督并认真查处违法违纪行为。</w:t>
      </w:r>
    </w:p>
    <w:p>
      <w:pPr>
        <w:pStyle w:val="32"/>
        <w:numPr>
          <w:ilvl w:val="0"/>
          <w:numId w:val="49"/>
        </w:numPr>
        <w:tabs>
          <w:tab w:val="left" w:pos="1643"/>
        </w:tabs>
        <w:spacing w:after="0" w:line="360" w:lineRule="auto"/>
        <w:ind w:left="424" w:right="470" w:firstLine="616"/>
        <w:rPr>
          <w:color w:val="auto"/>
          <w:szCs w:val="21"/>
          <w:highlight w:val="none"/>
        </w:rPr>
      </w:pPr>
      <w:r>
        <w:rPr>
          <w:color w:val="auto"/>
          <w:spacing w:val="-1"/>
          <w:szCs w:val="21"/>
          <w:highlight w:val="none"/>
        </w:rPr>
        <w:t>发现对方在业务活动中有违反廉政规定的行为，有及时提醒对方纠正的</w:t>
      </w:r>
      <w:r>
        <w:rPr>
          <w:color w:val="auto"/>
          <w:szCs w:val="21"/>
          <w:highlight w:val="none"/>
        </w:rPr>
        <w:t>权利和义务。</w:t>
      </w:r>
    </w:p>
    <w:p>
      <w:pPr>
        <w:pStyle w:val="32"/>
        <w:numPr>
          <w:ilvl w:val="0"/>
          <w:numId w:val="49"/>
        </w:numPr>
        <w:tabs>
          <w:tab w:val="left" w:pos="1643"/>
        </w:tabs>
        <w:spacing w:before="2" w:after="0" w:line="360" w:lineRule="auto"/>
        <w:ind w:left="424" w:right="468" w:firstLine="616"/>
        <w:rPr>
          <w:color w:val="auto"/>
          <w:szCs w:val="21"/>
          <w:highlight w:val="none"/>
        </w:rPr>
      </w:pPr>
      <w:r>
        <w:rPr>
          <w:color w:val="auto"/>
          <w:spacing w:val="-1"/>
          <w:szCs w:val="21"/>
          <w:highlight w:val="none"/>
        </w:rPr>
        <w:t>发现对方严重违反本合同义务条款的行为，有向其上级有关部门举报、</w:t>
      </w:r>
      <w:r>
        <w:rPr>
          <w:color w:val="auto"/>
          <w:szCs w:val="21"/>
          <w:highlight w:val="none"/>
        </w:rPr>
        <w:t>建议给予处理并要求告知处理结果的权利。</w:t>
      </w:r>
    </w:p>
    <w:p>
      <w:pPr>
        <w:pStyle w:val="32"/>
        <w:numPr>
          <w:ilvl w:val="0"/>
          <w:numId w:val="48"/>
        </w:numPr>
        <w:tabs>
          <w:tab w:val="left" w:pos="1342"/>
        </w:tabs>
        <w:spacing w:after="0" w:line="360" w:lineRule="auto"/>
        <w:ind w:hanging="301"/>
        <w:rPr>
          <w:rFonts w:ascii="黑体" w:eastAsia="黑体"/>
          <w:color w:val="auto"/>
          <w:szCs w:val="21"/>
          <w:highlight w:val="none"/>
        </w:rPr>
      </w:pPr>
      <w:r>
        <w:rPr>
          <w:rFonts w:hint="eastAsia" w:ascii="黑体" w:eastAsia="黑体"/>
          <w:color w:val="auto"/>
          <w:szCs w:val="21"/>
          <w:highlight w:val="none"/>
        </w:rPr>
        <w:t>委托人的义务</w:t>
      </w:r>
    </w:p>
    <w:p>
      <w:pPr>
        <w:pStyle w:val="32"/>
        <w:numPr>
          <w:ilvl w:val="0"/>
          <w:numId w:val="50"/>
        </w:numPr>
        <w:tabs>
          <w:tab w:val="left" w:pos="1643"/>
        </w:tabs>
        <w:spacing w:before="93" w:after="0" w:line="360" w:lineRule="auto"/>
        <w:ind w:right="468" w:firstLine="616"/>
        <w:rPr>
          <w:color w:val="auto"/>
          <w:szCs w:val="21"/>
          <w:highlight w:val="none"/>
        </w:rPr>
      </w:pPr>
      <w:r>
        <w:rPr>
          <w:color w:val="auto"/>
          <w:spacing w:val="-1"/>
          <w:szCs w:val="21"/>
          <w:highlight w:val="none"/>
        </w:rPr>
        <w:t>委托人及其工作人员不得索要或接受监理人的礼金、有价证券和贵重物</w:t>
      </w:r>
      <w:r>
        <w:rPr>
          <w:color w:val="auto"/>
          <w:szCs w:val="21"/>
          <w:highlight w:val="none"/>
        </w:rPr>
        <w:t>品，不得让监理人报销任何应由委托人或委托人工作人员个人支付的费用等。</w:t>
      </w:r>
    </w:p>
    <w:p>
      <w:pPr>
        <w:pStyle w:val="32"/>
        <w:numPr>
          <w:ilvl w:val="0"/>
          <w:numId w:val="50"/>
        </w:numPr>
        <w:tabs>
          <w:tab w:val="left" w:pos="1643"/>
        </w:tabs>
        <w:spacing w:after="0" w:line="360" w:lineRule="auto"/>
        <w:ind w:right="468" w:firstLine="616"/>
        <w:rPr>
          <w:color w:val="auto"/>
          <w:szCs w:val="21"/>
          <w:highlight w:val="none"/>
        </w:rPr>
      </w:pPr>
      <w:r>
        <w:rPr>
          <w:color w:val="auto"/>
          <w:spacing w:val="-1"/>
          <w:szCs w:val="21"/>
          <w:highlight w:val="none"/>
        </w:rPr>
        <w:t>委托人工作人员不得参加监理人安排的超标准宴请和娱乐活动；不得接</w:t>
      </w:r>
      <w:r>
        <w:rPr>
          <w:color w:val="auto"/>
          <w:szCs w:val="21"/>
          <w:highlight w:val="none"/>
        </w:rPr>
        <w:t>受监理人提供的通信工具、交通工具和高档办公用品等。</w:t>
      </w:r>
    </w:p>
    <w:p>
      <w:pPr>
        <w:pStyle w:val="32"/>
        <w:numPr>
          <w:ilvl w:val="0"/>
          <w:numId w:val="50"/>
        </w:numPr>
        <w:tabs>
          <w:tab w:val="left" w:pos="1643"/>
        </w:tabs>
        <w:spacing w:after="0" w:line="360" w:lineRule="auto"/>
        <w:ind w:right="468" w:firstLine="616"/>
        <w:rPr>
          <w:color w:val="auto"/>
          <w:szCs w:val="21"/>
          <w:highlight w:val="none"/>
        </w:rPr>
      </w:pPr>
      <w:r>
        <w:rPr>
          <w:color w:val="auto"/>
          <w:spacing w:val="-1"/>
          <w:szCs w:val="21"/>
          <w:highlight w:val="none"/>
        </w:rPr>
        <w:t>委托人及其工作人员不得要求或者接受监理人为其住房装修、婚丧嫁娶</w:t>
      </w:r>
      <w:r>
        <w:rPr>
          <w:color w:val="auto"/>
          <w:szCs w:val="21"/>
          <w:highlight w:val="none"/>
        </w:rPr>
        <w:t>活动、配偶子女的工作安排以及出国出境、旅游等提供方便等。</w:t>
      </w:r>
    </w:p>
    <w:p>
      <w:pPr>
        <w:pStyle w:val="32"/>
        <w:numPr>
          <w:ilvl w:val="0"/>
          <w:numId w:val="50"/>
        </w:numPr>
        <w:tabs>
          <w:tab w:val="left" w:pos="1643"/>
        </w:tabs>
        <w:spacing w:before="2" w:after="0" w:line="360" w:lineRule="auto"/>
        <w:ind w:right="468" w:firstLine="616"/>
        <w:rPr>
          <w:color w:val="auto"/>
          <w:szCs w:val="21"/>
          <w:highlight w:val="none"/>
        </w:rPr>
      </w:pPr>
      <w:r>
        <w:rPr>
          <w:color w:val="auto"/>
          <w:spacing w:val="-1"/>
          <w:szCs w:val="21"/>
          <w:highlight w:val="none"/>
        </w:rPr>
        <w:t>委托人工作人员及其配偶、子女不得从事与委托人工程有关的材料设备</w:t>
      </w:r>
      <w:r>
        <w:rPr>
          <w:color w:val="auto"/>
          <w:szCs w:val="21"/>
          <w:highlight w:val="none"/>
        </w:rPr>
        <w:t>供应、工程分包、劳务等经济活动等。</w:t>
      </w:r>
    </w:p>
    <w:p>
      <w:pPr>
        <w:pStyle w:val="32"/>
        <w:numPr>
          <w:ilvl w:val="0"/>
          <w:numId w:val="50"/>
        </w:numPr>
        <w:tabs>
          <w:tab w:val="left" w:pos="1643"/>
        </w:tabs>
        <w:spacing w:after="0" w:line="360" w:lineRule="auto"/>
        <w:ind w:right="343" w:firstLine="616"/>
        <w:rPr>
          <w:color w:val="auto"/>
          <w:szCs w:val="21"/>
          <w:highlight w:val="none"/>
        </w:rPr>
      </w:pPr>
      <w:r>
        <w:rPr>
          <w:color w:val="auto"/>
          <w:szCs w:val="21"/>
          <w:highlight w:val="none"/>
        </w:rPr>
        <w:t>委托人及其工作人员不得以任何理由向监理人推荐分包单位或推销材料</w:t>
      </w:r>
      <w:r>
        <w:rPr>
          <w:color w:val="auto"/>
          <w:spacing w:val="-4"/>
          <w:szCs w:val="21"/>
          <w:highlight w:val="none"/>
        </w:rPr>
        <w:t>，不得要求监理人购买合同规定外的材料和设备。</w:t>
      </w:r>
    </w:p>
    <w:p>
      <w:pPr>
        <w:spacing w:after="0" w:line="312" w:lineRule="auto"/>
        <w:rPr>
          <w:color w:val="auto"/>
          <w:szCs w:val="21"/>
          <w:highlight w:val="none"/>
        </w:rPr>
        <w:sectPr>
          <w:type w:val="continuous"/>
          <w:pgSz w:w="11910" w:h="16850"/>
          <w:pgMar w:top="1600" w:right="1120" w:bottom="280" w:left="1220" w:header="720" w:footer="720" w:gutter="0"/>
          <w:cols w:space="720" w:num="1"/>
        </w:sectPr>
      </w:pPr>
    </w:p>
    <w:p>
      <w:pPr>
        <w:pStyle w:val="9"/>
        <w:spacing w:before="2"/>
        <w:rPr>
          <w:color w:val="auto"/>
          <w:sz w:val="21"/>
          <w:szCs w:val="21"/>
          <w:highlight w:val="none"/>
        </w:rPr>
      </w:pPr>
    </w:p>
    <w:p>
      <w:pPr>
        <w:pStyle w:val="32"/>
        <w:numPr>
          <w:ilvl w:val="0"/>
          <w:numId w:val="50"/>
        </w:numPr>
        <w:tabs>
          <w:tab w:val="left" w:pos="1643"/>
        </w:tabs>
        <w:spacing w:before="74" w:after="0" w:line="312" w:lineRule="auto"/>
        <w:ind w:right="471" w:firstLine="616"/>
        <w:rPr>
          <w:color w:val="auto"/>
          <w:szCs w:val="21"/>
          <w:highlight w:val="none"/>
        </w:rPr>
      </w:pPr>
      <w:r>
        <w:rPr>
          <w:color w:val="auto"/>
          <w:spacing w:val="-1"/>
          <w:szCs w:val="21"/>
          <w:highlight w:val="none"/>
        </w:rPr>
        <w:t>委托人工作人员要秉公办事，不准营私舞弊，不准利用职权从事各种个</w:t>
      </w:r>
      <w:r>
        <w:rPr>
          <w:color w:val="auto"/>
          <w:szCs w:val="21"/>
          <w:highlight w:val="none"/>
        </w:rPr>
        <w:t>人有偿中介活动和安排个人施工监理队伍。</w:t>
      </w:r>
    </w:p>
    <w:p>
      <w:pPr>
        <w:pStyle w:val="32"/>
        <w:numPr>
          <w:ilvl w:val="0"/>
          <w:numId w:val="48"/>
        </w:numPr>
        <w:tabs>
          <w:tab w:val="left" w:pos="1342"/>
        </w:tabs>
        <w:spacing w:after="0" w:line="307" w:lineRule="exact"/>
        <w:ind w:hanging="301"/>
        <w:rPr>
          <w:rFonts w:ascii="黑体" w:eastAsia="黑体"/>
          <w:color w:val="auto"/>
          <w:szCs w:val="21"/>
          <w:highlight w:val="none"/>
        </w:rPr>
      </w:pPr>
      <w:r>
        <w:rPr>
          <w:rFonts w:hint="eastAsia" w:ascii="黑体" w:eastAsia="黑体"/>
          <w:color w:val="auto"/>
          <w:szCs w:val="21"/>
          <w:highlight w:val="none"/>
        </w:rPr>
        <w:t>监理人的义务</w:t>
      </w:r>
    </w:p>
    <w:p>
      <w:pPr>
        <w:pStyle w:val="32"/>
        <w:numPr>
          <w:ilvl w:val="0"/>
          <w:numId w:val="51"/>
        </w:numPr>
        <w:tabs>
          <w:tab w:val="left" w:pos="1643"/>
        </w:tabs>
        <w:spacing w:before="93" w:after="0" w:line="312" w:lineRule="auto"/>
        <w:ind w:right="468" w:firstLine="616"/>
        <w:rPr>
          <w:color w:val="auto"/>
          <w:szCs w:val="21"/>
          <w:highlight w:val="none"/>
        </w:rPr>
      </w:pPr>
      <w:r>
        <w:rPr>
          <w:color w:val="auto"/>
          <w:spacing w:val="-1"/>
          <w:szCs w:val="21"/>
          <w:highlight w:val="none"/>
        </w:rPr>
        <w:t>监理人不得以任何理由向委托人及其工作人员行贿或馈赠礼金、有价证</w:t>
      </w:r>
      <w:r>
        <w:rPr>
          <w:color w:val="auto"/>
          <w:szCs w:val="21"/>
          <w:highlight w:val="none"/>
        </w:rPr>
        <w:t>券、贵重礼品。</w:t>
      </w:r>
    </w:p>
    <w:p>
      <w:pPr>
        <w:pStyle w:val="32"/>
        <w:numPr>
          <w:ilvl w:val="0"/>
          <w:numId w:val="51"/>
        </w:numPr>
        <w:tabs>
          <w:tab w:val="left" w:pos="1643"/>
        </w:tabs>
        <w:spacing w:after="0" w:line="312" w:lineRule="auto"/>
        <w:ind w:right="467" w:firstLine="616"/>
        <w:rPr>
          <w:color w:val="auto"/>
          <w:szCs w:val="21"/>
          <w:highlight w:val="none"/>
        </w:rPr>
      </w:pPr>
      <w:r>
        <w:rPr>
          <w:color w:val="auto"/>
          <w:spacing w:val="-1"/>
          <w:szCs w:val="21"/>
          <w:highlight w:val="none"/>
        </w:rPr>
        <w:t>监理人不得以任何名义为委托人及其工作人员报销应由委托人单位或个</w:t>
      </w:r>
      <w:r>
        <w:rPr>
          <w:color w:val="auto"/>
          <w:szCs w:val="21"/>
          <w:highlight w:val="none"/>
        </w:rPr>
        <w:t>人支付的任何费用。</w:t>
      </w:r>
    </w:p>
    <w:p>
      <w:pPr>
        <w:pStyle w:val="32"/>
        <w:numPr>
          <w:ilvl w:val="0"/>
          <w:numId w:val="51"/>
        </w:numPr>
        <w:tabs>
          <w:tab w:val="left" w:pos="1643"/>
        </w:tabs>
        <w:spacing w:after="0" w:line="240" w:lineRule="auto"/>
        <w:ind w:left="1642" w:hanging="602"/>
        <w:rPr>
          <w:color w:val="auto"/>
          <w:szCs w:val="21"/>
          <w:highlight w:val="none"/>
        </w:rPr>
      </w:pPr>
      <w:r>
        <w:rPr>
          <w:color w:val="auto"/>
          <w:szCs w:val="21"/>
          <w:highlight w:val="none"/>
        </w:rPr>
        <w:t>监理人不得以任何理由安排委托人工作人员参加超标准宴请及娱乐活动。</w:t>
      </w:r>
    </w:p>
    <w:p>
      <w:pPr>
        <w:pStyle w:val="32"/>
        <w:numPr>
          <w:ilvl w:val="0"/>
          <w:numId w:val="51"/>
        </w:numPr>
        <w:tabs>
          <w:tab w:val="left" w:pos="1643"/>
        </w:tabs>
        <w:spacing w:before="94" w:after="0" w:line="312" w:lineRule="auto"/>
        <w:ind w:right="468" w:firstLine="616"/>
        <w:rPr>
          <w:color w:val="auto"/>
          <w:szCs w:val="21"/>
          <w:highlight w:val="none"/>
        </w:rPr>
      </w:pPr>
      <w:r>
        <w:rPr>
          <w:color w:val="auto"/>
          <w:spacing w:val="-1"/>
          <w:szCs w:val="21"/>
          <w:highlight w:val="none"/>
        </w:rPr>
        <w:t>监理人不得为委托人单位和个人购置或提供通信工具、交通工具和高档</w:t>
      </w:r>
      <w:r>
        <w:rPr>
          <w:color w:val="auto"/>
          <w:szCs w:val="21"/>
          <w:highlight w:val="none"/>
        </w:rPr>
        <w:t>办公用品等。</w:t>
      </w:r>
    </w:p>
    <w:p>
      <w:pPr>
        <w:pStyle w:val="32"/>
        <w:numPr>
          <w:ilvl w:val="0"/>
          <w:numId w:val="48"/>
        </w:numPr>
        <w:tabs>
          <w:tab w:val="left" w:pos="1342"/>
        </w:tabs>
        <w:spacing w:after="0" w:line="307" w:lineRule="exact"/>
        <w:ind w:hanging="301"/>
        <w:rPr>
          <w:rFonts w:ascii="黑体" w:eastAsia="黑体"/>
          <w:color w:val="auto"/>
          <w:szCs w:val="21"/>
          <w:highlight w:val="none"/>
        </w:rPr>
      </w:pPr>
      <w:r>
        <w:rPr>
          <w:rFonts w:hint="eastAsia" w:ascii="黑体" w:eastAsia="黑体"/>
          <w:color w:val="auto"/>
          <w:szCs w:val="21"/>
          <w:highlight w:val="none"/>
        </w:rPr>
        <w:t>违约责任</w:t>
      </w:r>
    </w:p>
    <w:p>
      <w:pPr>
        <w:pStyle w:val="32"/>
        <w:numPr>
          <w:ilvl w:val="0"/>
          <w:numId w:val="52"/>
        </w:numPr>
        <w:tabs>
          <w:tab w:val="left" w:pos="1643"/>
        </w:tabs>
        <w:spacing w:before="93" w:after="0" w:line="312" w:lineRule="auto"/>
        <w:ind w:right="465" w:firstLine="616"/>
        <w:jc w:val="both"/>
        <w:rPr>
          <w:color w:val="auto"/>
          <w:szCs w:val="21"/>
          <w:highlight w:val="none"/>
        </w:rPr>
      </w:pPr>
      <w:r>
        <w:rPr>
          <w:color w:val="auto"/>
          <w:spacing w:val="-4"/>
          <w:szCs w:val="21"/>
          <w:highlight w:val="none"/>
        </w:rPr>
        <w:t xml:space="preserve">委托人及其工作人员违反本合同第 </w:t>
      </w:r>
      <w:r>
        <w:rPr>
          <w:rFonts w:ascii="Times New Roman" w:eastAsia="Times New Roman"/>
          <w:color w:val="auto"/>
          <w:szCs w:val="21"/>
          <w:highlight w:val="none"/>
        </w:rPr>
        <w:t>1</w:t>
      </w:r>
      <w:r>
        <w:rPr>
          <w:color w:val="auto"/>
          <w:spacing w:val="-27"/>
          <w:szCs w:val="21"/>
          <w:highlight w:val="none"/>
        </w:rPr>
        <w:t>、</w:t>
      </w:r>
      <w:r>
        <w:rPr>
          <w:rFonts w:ascii="Times New Roman" w:eastAsia="Times New Roman"/>
          <w:color w:val="auto"/>
          <w:szCs w:val="21"/>
          <w:highlight w:val="none"/>
        </w:rPr>
        <w:t xml:space="preserve">2 </w:t>
      </w:r>
      <w:r>
        <w:rPr>
          <w:color w:val="auto"/>
          <w:spacing w:val="-8"/>
          <w:szCs w:val="21"/>
          <w:highlight w:val="none"/>
        </w:rPr>
        <w:t>条，按管理权限，依据有关规</w:t>
      </w:r>
      <w:r>
        <w:rPr>
          <w:color w:val="auto"/>
          <w:spacing w:val="-4"/>
          <w:szCs w:val="21"/>
          <w:highlight w:val="none"/>
        </w:rPr>
        <w:t>定给予党纪、政纪或组织处理；涉嫌犯罪的，移交司法机关追究刑事责任；给监理人单位造成经济损失的，应予以赔偿。</w:t>
      </w:r>
    </w:p>
    <w:p>
      <w:pPr>
        <w:pStyle w:val="32"/>
        <w:numPr>
          <w:ilvl w:val="0"/>
          <w:numId w:val="52"/>
        </w:numPr>
        <w:tabs>
          <w:tab w:val="left" w:pos="1643"/>
        </w:tabs>
        <w:spacing w:before="1" w:after="0" w:line="312" w:lineRule="auto"/>
        <w:ind w:right="465" w:firstLine="616"/>
        <w:jc w:val="both"/>
        <w:rPr>
          <w:color w:val="auto"/>
          <w:szCs w:val="21"/>
          <w:highlight w:val="none"/>
        </w:rPr>
      </w:pPr>
      <w:r>
        <w:rPr>
          <w:color w:val="auto"/>
          <w:spacing w:val="-4"/>
          <w:szCs w:val="21"/>
          <w:highlight w:val="none"/>
        </w:rPr>
        <w:t xml:space="preserve">监理人及其工作人员违反本合同第 </w:t>
      </w:r>
      <w:r>
        <w:rPr>
          <w:rFonts w:ascii="Times New Roman" w:eastAsia="Times New Roman"/>
          <w:color w:val="auto"/>
          <w:szCs w:val="21"/>
          <w:highlight w:val="none"/>
        </w:rPr>
        <w:t>1</w:t>
      </w:r>
      <w:r>
        <w:rPr>
          <w:color w:val="auto"/>
          <w:spacing w:val="-27"/>
          <w:szCs w:val="21"/>
          <w:highlight w:val="none"/>
        </w:rPr>
        <w:t>、</w:t>
      </w:r>
      <w:r>
        <w:rPr>
          <w:rFonts w:ascii="Times New Roman" w:eastAsia="Times New Roman"/>
          <w:color w:val="auto"/>
          <w:szCs w:val="21"/>
          <w:highlight w:val="none"/>
        </w:rPr>
        <w:t xml:space="preserve">3 </w:t>
      </w:r>
      <w:r>
        <w:rPr>
          <w:color w:val="auto"/>
          <w:spacing w:val="-8"/>
          <w:szCs w:val="21"/>
          <w:highlight w:val="none"/>
        </w:rPr>
        <w:t>条，按管理权限，依据有关规</w:t>
      </w:r>
      <w:r>
        <w:rPr>
          <w:color w:val="auto"/>
          <w:spacing w:val="-4"/>
          <w:szCs w:val="21"/>
          <w:highlight w:val="none"/>
        </w:rPr>
        <w:t>定给予党纪、政纪或组织处理；给委托人单位造成经济损失的，应予以赔偿；情节严重的，委托人建议交通运输主管部门给予监理人一至三年内不得进入其主管的公</w:t>
      </w:r>
      <w:r>
        <w:rPr>
          <w:color w:val="auto"/>
          <w:spacing w:val="-3"/>
          <w:szCs w:val="21"/>
          <w:highlight w:val="none"/>
        </w:rPr>
        <w:t>路建设市场的处罚。</w:t>
      </w:r>
    </w:p>
    <w:p>
      <w:pPr>
        <w:pStyle w:val="32"/>
        <w:numPr>
          <w:ilvl w:val="0"/>
          <w:numId w:val="48"/>
        </w:numPr>
        <w:tabs>
          <w:tab w:val="left" w:pos="1344"/>
        </w:tabs>
        <w:spacing w:before="2" w:after="0" w:line="312" w:lineRule="auto"/>
        <w:ind w:left="424" w:right="463" w:firstLine="616"/>
        <w:jc w:val="both"/>
        <w:rPr>
          <w:color w:val="auto"/>
          <w:szCs w:val="21"/>
          <w:highlight w:val="none"/>
        </w:rPr>
      </w:pPr>
      <w:r>
        <w:rPr>
          <w:color w:val="auto"/>
          <w:szCs w:val="21"/>
          <w:highlight w:val="none"/>
        </w:rPr>
        <w:t>双方约定：本合同由双方或双方上级单位的纪检监察部门负责监督执行。由委托人或委托人上级单位的纪检监察部门约请监理人或监理人上级单位纪检监察部门对本合同执行情况进行检查，提出在本合同规定范围内的裁定意见。</w:t>
      </w:r>
    </w:p>
    <w:p>
      <w:pPr>
        <w:pStyle w:val="32"/>
        <w:numPr>
          <w:ilvl w:val="0"/>
          <w:numId w:val="48"/>
        </w:numPr>
        <w:tabs>
          <w:tab w:val="left" w:pos="1342"/>
        </w:tabs>
        <w:spacing w:before="1" w:after="0" w:line="240" w:lineRule="auto"/>
        <w:ind w:hanging="301"/>
        <w:jc w:val="both"/>
        <w:rPr>
          <w:color w:val="auto"/>
          <w:szCs w:val="21"/>
          <w:highlight w:val="none"/>
        </w:rPr>
      </w:pPr>
      <w:r>
        <w:rPr>
          <w:color w:val="auto"/>
          <w:szCs w:val="21"/>
          <w:highlight w:val="none"/>
        </w:rPr>
        <w:t>本合同有效期为委托人和监理人签署之日起至该工程项目竣工验收后止。</w:t>
      </w:r>
    </w:p>
    <w:p>
      <w:pPr>
        <w:pStyle w:val="32"/>
        <w:numPr>
          <w:ilvl w:val="0"/>
          <w:numId w:val="48"/>
        </w:numPr>
        <w:tabs>
          <w:tab w:val="left" w:pos="1344"/>
          <w:tab w:val="left" w:pos="3652"/>
        </w:tabs>
        <w:spacing w:before="90" w:after="0" w:line="314" w:lineRule="auto"/>
        <w:ind w:left="424" w:right="463" w:firstLine="616"/>
        <w:jc w:val="both"/>
        <w:rPr>
          <w:color w:val="auto"/>
          <w:szCs w:val="21"/>
          <w:highlight w:val="none"/>
        </w:rPr>
      </w:pPr>
      <w:r>
        <w:rPr>
          <w:color w:val="auto"/>
          <w:szCs w:val="21"/>
          <w:highlight w:val="none"/>
        </w:rPr>
        <w:t>本合同作为</w:t>
      </w:r>
      <w:r>
        <w:rPr>
          <w:color w:val="auto"/>
          <w:szCs w:val="21"/>
          <w:highlight w:val="none"/>
          <w:u w:val="single"/>
        </w:rPr>
        <w:t xml:space="preserve"> </w:t>
      </w:r>
      <w:r>
        <w:rPr>
          <w:color w:val="auto"/>
          <w:szCs w:val="21"/>
          <w:highlight w:val="none"/>
          <w:u w:val="single"/>
        </w:rPr>
        <w:tab/>
      </w:r>
      <w:r>
        <w:rPr>
          <w:color w:val="auto"/>
          <w:szCs w:val="21"/>
          <w:highlight w:val="none"/>
        </w:rPr>
        <w:t>（项目名称）</w:t>
      </w:r>
      <w:r>
        <w:rPr>
          <w:color w:val="auto"/>
          <w:szCs w:val="21"/>
          <w:highlight w:val="none"/>
          <w:u w:val="single"/>
        </w:rPr>
        <w:t xml:space="preserve">   </w:t>
      </w:r>
      <w:r>
        <w:rPr>
          <w:color w:val="auto"/>
          <w:spacing w:val="38"/>
          <w:szCs w:val="21"/>
          <w:highlight w:val="none"/>
        </w:rPr>
        <w:t xml:space="preserve"> </w:t>
      </w:r>
      <w:r>
        <w:rPr>
          <w:color w:val="auto"/>
          <w:szCs w:val="21"/>
          <w:highlight w:val="none"/>
        </w:rPr>
        <w:t>标段施工监理合</w:t>
      </w:r>
      <w:r>
        <w:rPr>
          <w:color w:val="auto"/>
          <w:spacing w:val="3"/>
          <w:szCs w:val="21"/>
          <w:highlight w:val="none"/>
        </w:rPr>
        <w:t>同</w:t>
      </w:r>
      <w:r>
        <w:rPr>
          <w:color w:val="auto"/>
          <w:szCs w:val="21"/>
          <w:highlight w:val="none"/>
        </w:rPr>
        <w:t>的附件，与</w:t>
      </w:r>
      <w:r>
        <w:rPr>
          <w:color w:val="auto"/>
          <w:spacing w:val="-11"/>
          <w:szCs w:val="21"/>
          <w:highlight w:val="none"/>
        </w:rPr>
        <w:t>工</w:t>
      </w:r>
      <w:r>
        <w:rPr>
          <w:color w:val="auto"/>
          <w:szCs w:val="21"/>
          <w:highlight w:val="none"/>
        </w:rPr>
        <w:t>程施工监理合同具有同等的法律效力，经合同双方签署后立即生效。</w:t>
      </w:r>
    </w:p>
    <w:p>
      <w:pPr>
        <w:pStyle w:val="32"/>
        <w:numPr>
          <w:ilvl w:val="0"/>
          <w:numId w:val="48"/>
        </w:numPr>
        <w:tabs>
          <w:tab w:val="left" w:pos="1344"/>
        </w:tabs>
        <w:spacing w:after="0" w:line="312" w:lineRule="auto"/>
        <w:ind w:left="424" w:right="462" w:firstLine="616"/>
        <w:jc w:val="both"/>
        <w:rPr>
          <w:color w:val="auto"/>
          <w:szCs w:val="21"/>
          <w:highlight w:val="none"/>
        </w:rPr>
      </w:pPr>
      <w:r>
        <w:rPr>
          <w:color w:val="auto"/>
          <w:szCs w:val="21"/>
          <w:highlight w:val="none"/>
        </w:rPr>
        <w:t>本合同一式四份，由委托人和监理人各执一份，送交委托人和监理人的监督单位各一份。</w:t>
      </w:r>
    </w:p>
    <w:p>
      <w:pPr>
        <w:pStyle w:val="9"/>
        <w:spacing w:before="11"/>
        <w:rPr>
          <w:color w:val="auto"/>
          <w:sz w:val="21"/>
          <w:szCs w:val="21"/>
          <w:highlight w:val="none"/>
        </w:rPr>
      </w:pPr>
    </w:p>
    <w:p>
      <w:pPr>
        <w:pStyle w:val="9"/>
        <w:tabs>
          <w:tab w:val="left" w:pos="3151"/>
          <w:tab w:val="left" w:pos="5174"/>
          <w:tab w:val="left" w:pos="7781"/>
          <w:tab w:val="left" w:pos="8261"/>
        </w:tabs>
        <w:spacing w:before="1" w:line="343" w:lineRule="auto"/>
        <w:ind w:left="424" w:right="342"/>
        <w:rPr>
          <w:color w:val="auto"/>
          <w:sz w:val="21"/>
          <w:szCs w:val="21"/>
          <w:highlight w:val="none"/>
        </w:rPr>
      </w:pPr>
      <w:r>
        <w:rPr>
          <w:color w:val="auto"/>
          <w:sz w:val="21"/>
          <w:szCs w:val="21"/>
          <w:highlight w:val="none"/>
        </w:rPr>
        <w:t>委托人</w:t>
      </w:r>
      <w:r>
        <w:rPr>
          <w:color w:val="auto"/>
          <w:spacing w:val="-17"/>
          <w:sz w:val="21"/>
          <w:szCs w:val="21"/>
          <w:highlight w:val="none"/>
        </w:rPr>
        <w:t>：</w:t>
      </w:r>
      <w:r>
        <w:rPr>
          <w:color w:val="auto"/>
          <w:spacing w:val="-17"/>
          <w:sz w:val="21"/>
          <w:szCs w:val="21"/>
          <w:highlight w:val="none"/>
          <w:u w:val="single"/>
        </w:rPr>
        <w:t xml:space="preserve"> </w:t>
      </w:r>
      <w:r>
        <w:rPr>
          <w:color w:val="auto"/>
          <w:spacing w:val="-17"/>
          <w:sz w:val="21"/>
          <w:szCs w:val="21"/>
          <w:highlight w:val="none"/>
          <w:u w:val="single"/>
        </w:rPr>
        <w:tab/>
      </w:r>
      <w:r>
        <w:rPr>
          <w:color w:val="auto"/>
          <w:sz w:val="21"/>
          <w:szCs w:val="21"/>
          <w:highlight w:val="none"/>
        </w:rPr>
        <w:t>（盖单位章）</w:t>
      </w:r>
      <w:r>
        <w:rPr>
          <w:color w:val="auto"/>
          <w:sz w:val="21"/>
          <w:szCs w:val="21"/>
          <w:highlight w:val="none"/>
        </w:rPr>
        <w:tab/>
      </w:r>
      <w:r>
        <w:rPr>
          <w:color w:val="auto"/>
          <w:sz w:val="21"/>
          <w:szCs w:val="21"/>
          <w:highlight w:val="none"/>
        </w:rPr>
        <w:t>监理人</w:t>
      </w:r>
      <w:r>
        <w:rPr>
          <w:color w:val="auto"/>
          <w:spacing w:val="-17"/>
          <w:sz w:val="21"/>
          <w:szCs w:val="21"/>
          <w:highlight w:val="none"/>
        </w:rPr>
        <w:t>：</w:t>
      </w:r>
      <w:r>
        <w:rPr>
          <w:color w:val="auto"/>
          <w:spacing w:val="-17"/>
          <w:sz w:val="21"/>
          <w:szCs w:val="21"/>
          <w:highlight w:val="none"/>
          <w:u w:val="single"/>
        </w:rPr>
        <w:t xml:space="preserve"> </w:t>
      </w:r>
      <w:r>
        <w:rPr>
          <w:color w:val="auto"/>
          <w:spacing w:val="-17"/>
          <w:sz w:val="21"/>
          <w:szCs w:val="21"/>
          <w:highlight w:val="none"/>
          <w:u w:val="single"/>
        </w:rPr>
        <w:tab/>
      </w:r>
      <w:r>
        <w:rPr>
          <w:color w:val="auto"/>
          <w:sz w:val="21"/>
          <w:szCs w:val="21"/>
          <w:highlight w:val="none"/>
        </w:rPr>
        <w:t>（盖单位章</w:t>
      </w:r>
      <w:r>
        <w:rPr>
          <w:color w:val="auto"/>
          <w:spacing w:val="-17"/>
          <w:sz w:val="21"/>
          <w:szCs w:val="21"/>
          <w:highlight w:val="none"/>
        </w:rPr>
        <w:t xml:space="preserve">） </w:t>
      </w:r>
      <w:r>
        <w:rPr>
          <w:color w:val="auto"/>
          <w:sz w:val="21"/>
          <w:szCs w:val="21"/>
          <w:highlight w:val="none"/>
        </w:rPr>
        <w:t>法定代表人或其委托代理人</w:t>
      </w:r>
      <w:r>
        <w:rPr>
          <w:color w:val="auto"/>
          <w:spacing w:val="-41"/>
          <w:sz w:val="21"/>
          <w:szCs w:val="21"/>
          <w:highlight w:val="none"/>
        </w:rPr>
        <w:t>：</w:t>
      </w:r>
      <w:r>
        <w:rPr>
          <w:color w:val="auto"/>
          <w:spacing w:val="-41"/>
          <w:sz w:val="21"/>
          <w:szCs w:val="21"/>
          <w:highlight w:val="none"/>
          <w:u w:val="single"/>
        </w:rPr>
        <w:t xml:space="preserve"> </w:t>
      </w:r>
      <w:r>
        <w:rPr>
          <w:color w:val="auto"/>
          <w:sz w:val="21"/>
          <w:szCs w:val="21"/>
          <w:highlight w:val="none"/>
          <w:u w:val="single"/>
        </w:rPr>
        <w:t xml:space="preserve"> （</w:t>
      </w:r>
      <w:r>
        <w:rPr>
          <w:color w:val="auto"/>
          <w:sz w:val="21"/>
          <w:szCs w:val="21"/>
          <w:highlight w:val="none"/>
        </w:rPr>
        <w:t>签字）</w:t>
      </w:r>
      <w:r>
        <w:rPr>
          <w:color w:val="auto"/>
          <w:spacing w:val="79"/>
          <w:sz w:val="21"/>
          <w:szCs w:val="21"/>
          <w:highlight w:val="none"/>
        </w:rPr>
        <w:t xml:space="preserve"> </w:t>
      </w:r>
      <w:r>
        <w:rPr>
          <w:color w:val="auto"/>
          <w:sz w:val="21"/>
          <w:szCs w:val="21"/>
          <w:highlight w:val="none"/>
        </w:rPr>
        <w:t>法定代表人或其委托代理人</w:t>
      </w:r>
      <w:r>
        <w:rPr>
          <w:color w:val="auto"/>
          <w:spacing w:val="-40"/>
          <w:sz w:val="21"/>
          <w:szCs w:val="21"/>
          <w:highlight w:val="none"/>
        </w:rPr>
        <w:t>：</w:t>
      </w:r>
      <w:r>
        <w:rPr>
          <w:color w:val="auto"/>
          <w:spacing w:val="-40"/>
          <w:sz w:val="21"/>
          <w:szCs w:val="21"/>
          <w:highlight w:val="none"/>
          <w:u w:val="single"/>
        </w:rPr>
        <w:t xml:space="preserve"> </w:t>
      </w:r>
      <w:r>
        <w:rPr>
          <w:color w:val="auto"/>
          <w:spacing w:val="-40"/>
          <w:sz w:val="21"/>
          <w:szCs w:val="21"/>
          <w:highlight w:val="none"/>
          <w:u w:val="single"/>
        </w:rPr>
        <w:tab/>
      </w:r>
      <w:r>
        <w:rPr>
          <w:color w:val="auto"/>
          <w:sz w:val="21"/>
          <w:szCs w:val="21"/>
          <w:highlight w:val="none"/>
          <w:u w:val="single"/>
        </w:rPr>
        <w:t>（</w:t>
      </w:r>
      <w:r>
        <w:rPr>
          <w:color w:val="auto"/>
          <w:sz w:val="21"/>
          <w:szCs w:val="21"/>
          <w:highlight w:val="none"/>
        </w:rPr>
        <w:t>签字</w:t>
      </w:r>
      <w:r>
        <w:rPr>
          <w:color w:val="auto"/>
          <w:spacing w:val="-17"/>
          <w:sz w:val="21"/>
          <w:szCs w:val="21"/>
          <w:highlight w:val="none"/>
        </w:rPr>
        <w:t>）</w:t>
      </w:r>
    </w:p>
    <w:p>
      <w:pPr>
        <w:pStyle w:val="9"/>
        <w:tabs>
          <w:tab w:val="left" w:pos="1864"/>
          <w:tab w:val="left" w:pos="2944"/>
          <w:tab w:val="left" w:pos="3839"/>
          <w:tab w:val="left" w:pos="5004"/>
          <w:tab w:val="left" w:pos="5225"/>
          <w:tab w:val="left" w:pos="6305"/>
          <w:tab w:val="left" w:pos="7385"/>
          <w:tab w:val="left" w:pos="8640"/>
        </w:tabs>
        <w:spacing w:line="669" w:lineRule="auto"/>
        <w:ind w:left="424" w:right="340" w:firstLine="359"/>
        <w:rPr>
          <w:color w:val="auto"/>
          <w:sz w:val="21"/>
          <w:szCs w:val="21"/>
          <w:highlight w:val="none"/>
        </w:rPr>
        <w:sectPr>
          <w:pgSz w:w="11910" w:h="16850"/>
          <w:pgMar w:top="1460" w:right="1120" w:bottom="1280" w:left="1220" w:header="882" w:footer="1093" w:gutter="0"/>
          <w:cols w:space="720" w:num="1"/>
        </w:sectPr>
      </w:pPr>
      <w:r>
        <w:rPr>
          <w:rFonts w:eastAsia="Times New Roman"/>
          <w:color w:val="auto"/>
          <w:sz w:val="21"/>
          <w:szCs w:val="21"/>
          <w:highlight w:val="none"/>
          <w:u w:val="single"/>
        </w:rPr>
        <w:t xml:space="preserve"> </w:t>
      </w:r>
      <w:r>
        <w:rPr>
          <w:rFonts w:eastAsia="Times New Roman"/>
          <w:color w:val="auto"/>
          <w:sz w:val="21"/>
          <w:szCs w:val="21"/>
          <w:highlight w:val="none"/>
          <w:u w:val="single"/>
        </w:rPr>
        <w:tab/>
      </w:r>
      <w:r>
        <w:rPr>
          <w:color w:val="auto"/>
          <w:sz w:val="21"/>
          <w:szCs w:val="21"/>
          <w:highlight w:val="none"/>
        </w:rPr>
        <w:t>年</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rPr>
        <w:t>月</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rPr>
        <w:t>日</w:t>
      </w:r>
      <w:r>
        <w:rPr>
          <w:color w:val="auto"/>
          <w:sz w:val="21"/>
          <w:szCs w:val="21"/>
          <w:highlight w:val="none"/>
        </w:rPr>
        <w:tab/>
      </w:r>
      <w:r>
        <w:rPr>
          <w:color w:val="auto"/>
          <w:sz w:val="21"/>
          <w:szCs w:val="21"/>
          <w:highlight w:val="none"/>
        </w:rPr>
        <w:tab/>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rPr>
        <w:t>年</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rPr>
        <w:t>月</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rPr>
        <w:t>日委托</w:t>
      </w:r>
      <w:r>
        <w:rPr>
          <w:color w:val="auto"/>
          <w:spacing w:val="-1"/>
          <w:sz w:val="21"/>
          <w:szCs w:val="21"/>
          <w:highlight w:val="none"/>
        </w:rPr>
        <w:t>人</w:t>
      </w:r>
      <w:r>
        <w:rPr>
          <w:color w:val="auto"/>
          <w:sz w:val="21"/>
          <w:szCs w:val="21"/>
          <w:highlight w:val="none"/>
        </w:rPr>
        <w:t>监督单位</w:t>
      </w:r>
      <w:r>
        <w:rPr>
          <w:color w:val="auto"/>
          <w:spacing w:val="-154"/>
          <w:sz w:val="21"/>
          <w:szCs w:val="21"/>
          <w:highlight w:val="none"/>
        </w:rPr>
        <w:t>：</w:t>
      </w:r>
      <w:r>
        <w:rPr>
          <w:color w:val="auto"/>
          <w:sz w:val="21"/>
          <w:szCs w:val="21"/>
          <w:highlight w:val="none"/>
          <w:u w:val="single"/>
        </w:rPr>
        <w:t>（全称</w:t>
      </w:r>
      <w:r>
        <w:rPr>
          <w:color w:val="auto"/>
          <w:spacing w:val="-154"/>
          <w:sz w:val="21"/>
          <w:szCs w:val="21"/>
          <w:highlight w:val="none"/>
          <w:u w:val="single"/>
        </w:rPr>
        <w:t>）</w:t>
      </w:r>
      <w:r>
        <w:rPr>
          <w:color w:val="auto"/>
          <w:sz w:val="21"/>
          <w:szCs w:val="21"/>
          <w:highlight w:val="none"/>
          <w:u w:val="single"/>
        </w:rPr>
        <w:t>（盖单位章）</w:t>
      </w:r>
      <w:r>
        <w:rPr>
          <w:color w:val="auto"/>
          <w:sz w:val="21"/>
          <w:szCs w:val="21"/>
          <w:highlight w:val="none"/>
        </w:rPr>
        <w:tab/>
      </w:r>
      <w:r>
        <w:rPr>
          <w:color w:val="auto"/>
          <w:sz w:val="21"/>
          <w:szCs w:val="21"/>
          <w:highlight w:val="none"/>
        </w:rPr>
        <w:t>监理人监督单位</w:t>
      </w:r>
      <w:r>
        <w:rPr>
          <w:color w:val="auto"/>
          <w:spacing w:val="-154"/>
          <w:sz w:val="21"/>
          <w:szCs w:val="21"/>
          <w:highlight w:val="none"/>
        </w:rPr>
        <w:t>：</w:t>
      </w:r>
      <w:r>
        <w:rPr>
          <w:color w:val="auto"/>
          <w:sz w:val="21"/>
          <w:szCs w:val="21"/>
          <w:highlight w:val="none"/>
          <w:u w:val="single"/>
        </w:rPr>
        <w:t>（全称）</w:t>
      </w:r>
      <w:r>
        <w:rPr>
          <w:color w:val="auto"/>
          <w:spacing w:val="-67"/>
          <w:sz w:val="21"/>
          <w:szCs w:val="21"/>
          <w:highlight w:val="none"/>
          <w:u w:val="single"/>
        </w:rPr>
        <w:t xml:space="preserve"> </w:t>
      </w:r>
      <w:r>
        <w:rPr>
          <w:color w:val="auto"/>
          <w:sz w:val="21"/>
          <w:szCs w:val="21"/>
          <w:highlight w:val="none"/>
          <w:u w:val="single"/>
        </w:rPr>
        <w:t>（盖单位章</w:t>
      </w:r>
      <w:r>
        <w:rPr>
          <w:color w:val="auto"/>
          <w:spacing w:val="-17"/>
          <w:sz w:val="21"/>
          <w:szCs w:val="21"/>
          <w:highlight w:val="none"/>
          <w:u w:val="single"/>
        </w:rPr>
        <w:t>）</w:t>
      </w:r>
    </w:p>
    <w:p>
      <w:pPr>
        <w:pStyle w:val="9"/>
        <w:spacing w:before="3"/>
        <w:jc w:val="both"/>
        <w:rPr>
          <w:color w:val="auto"/>
          <w:sz w:val="21"/>
          <w:szCs w:val="21"/>
          <w:highlight w:val="none"/>
        </w:rPr>
      </w:pPr>
    </w:p>
    <w:p>
      <w:pPr>
        <w:pStyle w:val="9"/>
        <w:spacing w:before="74"/>
        <w:ind w:left="424"/>
        <w:rPr>
          <w:b/>
          <w:color w:val="auto"/>
          <w:sz w:val="21"/>
          <w:szCs w:val="21"/>
          <w:highlight w:val="none"/>
        </w:rPr>
      </w:pPr>
      <w:bookmarkStart w:id="72" w:name="_bookmark123"/>
      <w:bookmarkEnd w:id="72"/>
      <w:r>
        <w:rPr>
          <w:rFonts w:hint="eastAsia" w:ascii="黑体" w:hAnsi="黑体" w:eastAsia="黑体"/>
          <w:color w:val="auto"/>
          <w:sz w:val="21"/>
          <w:szCs w:val="21"/>
          <w:highlight w:val="none"/>
        </w:rPr>
        <w:t xml:space="preserve">附件三 其他主要监理人员最低要求 </w:t>
      </w:r>
    </w:p>
    <w:p>
      <w:pPr>
        <w:pStyle w:val="9"/>
        <w:rPr>
          <w:b/>
          <w:color w:val="auto"/>
          <w:sz w:val="21"/>
          <w:szCs w:val="21"/>
          <w:highlight w:val="none"/>
        </w:rPr>
      </w:pPr>
    </w:p>
    <w:p>
      <w:pPr>
        <w:pStyle w:val="9"/>
        <w:spacing w:before="6"/>
        <w:rPr>
          <w:b/>
          <w:color w:val="auto"/>
          <w:sz w:val="21"/>
          <w:szCs w:val="21"/>
          <w:highlight w:val="none"/>
        </w:rPr>
      </w:pPr>
    </w:p>
    <w:tbl>
      <w:tblPr>
        <w:tblStyle w:val="16"/>
        <w:tblW w:w="8894" w:type="dxa"/>
        <w:tblInd w:w="32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449"/>
        <w:gridCol w:w="2160"/>
        <w:gridCol w:w="42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51" w:hRule="atLeast"/>
        </w:trPr>
        <w:tc>
          <w:tcPr>
            <w:tcW w:w="2449" w:type="dxa"/>
          </w:tcPr>
          <w:p>
            <w:pPr>
              <w:pStyle w:val="33"/>
              <w:spacing w:before="6"/>
              <w:rPr>
                <w:b/>
                <w:color w:val="auto"/>
                <w:szCs w:val="21"/>
                <w:highlight w:val="none"/>
              </w:rPr>
            </w:pPr>
          </w:p>
          <w:p>
            <w:pPr>
              <w:pStyle w:val="33"/>
              <w:tabs>
                <w:tab w:val="left" w:pos="488"/>
              </w:tabs>
              <w:ind w:left="8"/>
              <w:jc w:val="center"/>
              <w:rPr>
                <w:color w:val="auto"/>
                <w:szCs w:val="21"/>
                <w:highlight w:val="none"/>
              </w:rPr>
            </w:pPr>
            <w:r>
              <w:rPr>
                <w:color w:val="auto"/>
                <w:szCs w:val="21"/>
                <w:highlight w:val="none"/>
              </w:rPr>
              <w:t>人</w:t>
            </w:r>
            <w:r>
              <w:rPr>
                <w:color w:val="auto"/>
                <w:szCs w:val="21"/>
                <w:highlight w:val="none"/>
              </w:rPr>
              <w:tab/>
            </w:r>
            <w:r>
              <w:rPr>
                <w:color w:val="auto"/>
                <w:szCs w:val="21"/>
                <w:highlight w:val="none"/>
              </w:rPr>
              <w:t>员</w:t>
            </w:r>
          </w:p>
        </w:tc>
        <w:tc>
          <w:tcPr>
            <w:tcW w:w="2160" w:type="dxa"/>
          </w:tcPr>
          <w:p>
            <w:pPr>
              <w:pStyle w:val="33"/>
              <w:spacing w:before="6"/>
              <w:rPr>
                <w:b/>
                <w:color w:val="auto"/>
                <w:szCs w:val="21"/>
                <w:highlight w:val="none"/>
              </w:rPr>
            </w:pPr>
          </w:p>
          <w:p>
            <w:pPr>
              <w:pStyle w:val="33"/>
              <w:tabs>
                <w:tab w:val="left" w:pos="1199"/>
              </w:tabs>
              <w:ind w:left="719"/>
              <w:rPr>
                <w:color w:val="auto"/>
                <w:szCs w:val="21"/>
                <w:highlight w:val="none"/>
              </w:rPr>
            </w:pPr>
            <w:r>
              <w:rPr>
                <w:color w:val="auto"/>
                <w:szCs w:val="21"/>
                <w:highlight w:val="none"/>
              </w:rPr>
              <w:t>数</w:t>
            </w:r>
            <w:r>
              <w:rPr>
                <w:color w:val="auto"/>
                <w:szCs w:val="21"/>
                <w:highlight w:val="none"/>
              </w:rPr>
              <w:tab/>
            </w:r>
            <w:r>
              <w:rPr>
                <w:color w:val="auto"/>
                <w:szCs w:val="21"/>
                <w:highlight w:val="none"/>
              </w:rPr>
              <w:t>量</w:t>
            </w:r>
          </w:p>
        </w:tc>
        <w:tc>
          <w:tcPr>
            <w:tcW w:w="4285" w:type="dxa"/>
          </w:tcPr>
          <w:p>
            <w:pPr>
              <w:pStyle w:val="33"/>
              <w:spacing w:before="6"/>
              <w:rPr>
                <w:b/>
                <w:color w:val="auto"/>
                <w:szCs w:val="21"/>
                <w:highlight w:val="none"/>
              </w:rPr>
            </w:pPr>
          </w:p>
          <w:p>
            <w:pPr>
              <w:pStyle w:val="33"/>
              <w:ind w:left="1460" w:right="1454"/>
              <w:jc w:val="center"/>
              <w:rPr>
                <w:color w:val="auto"/>
                <w:szCs w:val="21"/>
                <w:highlight w:val="none"/>
              </w:rPr>
            </w:pPr>
            <w:r>
              <w:rPr>
                <w:color w:val="auto"/>
                <w:szCs w:val="21"/>
                <w:highlight w:val="none"/>
              </w:rPr>
              <w:t>资 格 要 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0" w:hRule="atLeast"/>
        </w:trPr>
        <w:tc>
          <w:tcPr>
            <w:tcW w:w="2449" w:type="dxa"/>
            <w:vAlign w:val="center"/>
          </w:tcPr>
          <w:p>
            <w:pPr>
              <w:pStyle w:val="33"/>
              <w:spacing w:after="0" w:line="240" w:lineRule="auto"/>
              <w:jc w:val="center"/>
              <w:rPr>
                <w:rFonts w:ascii="Times New Roman"/>
                <w:color w:val="auto"/>
                <w:szCs w:val="21"/>
                <w:highlight w:val="none"/>
              </w:rPr>
            </w:pPr>
            <w:r>
              <w:rPr>
                <w:rFonts w:hint="eastAsia" w:ascii="Times New Roman"/>
                <w:color w:val="auto"/>
                <w:szCs w:val="21"/>
                <w:highlight w:val="none"/>
              </w:rPr>
              <w:t>总监理工程师</w:t>
            </w:r>
          </w:p>
        </w:tc>
        <w:tc>
          <w:tcPr>
            <w:tcW w:w="2160" w:type="dxa"/>
            <w:vAlign w:val="center"/>
          </w:tcPr>
          <w:p>
            <w:pPr>
              <w:pStyle w:val="33"/>
              <w:spacing w:after="0" w:line="240" w:lineRule="auto"/>
              <w:jc w:val="center"/>
              <w:rPr>
                <w:rFonts w:ascii="Times New Roman"/>
                <w:color w:val="auto"/>
                <w:szCs w:val="21"/>
                <w:highlight w:val="none"/>
              </w:rPr>
            </w:pPr>
            <w:r>
              <w:rPr>
                <w:rFonts w:ascii="Times New Roman"/>
                <w:color w:val="auto"/>
                <w:szCs w:val="21"/>
                <w:highlight w:val="none"/>
              </w:rPr>
              <w:t>1</w:t>
            </w:r>
          </w:p>
        </w:tc>
        <w:tc>
          <w:tcPr>
            <w:tcW w:w="4285" w:type="dxa"/>
            <w:vAlign w:val="center"/>
          </w:tcPr>
          <w:p>
            <w:pPr>
              <w:pStyle w:val="33"/>
              <w:spacing w:after="0" w:line="240" w:lineRule="auto"/>
              <w:jc w:val="center"/>
              <w:rPr>
                <w:rFonts w:ascii="Times New Roman"/>
                <w:color w:val="auto"/>
                <w:szCs w:val="21"/>
                <w:highlight w:val="none"/>
              </w:rPr>
            </w:pPr>
            <w:r>
              <w:rPr>
                <w:rFonts w:hint="eastAsia"/>
                <w:color w:val="auto"/>
                <w:szCs w:val="21"/>
                <w:highlight w:val="none"/>
              </w:rPr>
              <w:t>交通部颁发的公路工程监理工程师执业证书，具有中级及以上技术职称，担任过两个二级（级以上）等级公路项目驻地总监理工程师职务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2" w:hRule="atLeast"/>
        </w:trPr>
        <w:tc>
          <w:tcPr>
            <w:tcW w:w="2449" w:type="dxa"/>
            <w:vAlign w:val="center"/>
          </w:tcPr>
          <w:p>
            <w:pPr>
              <w:pStyle w:val="33"/>
              <w:spacing w:after="0" w:line="240" w:lineRule="auto"/>
              <w:jc w:val="center"/>
              <w:rPr>
                <w:rFonts w:ascii="Times New Roman"/>
                <w:color w:val="auto"/>
                <w:szCs w:val="21"/>
                <w:highlight w:val="none"/>
              </w:rPr>
            </w:pPr>
            <w:r>
              <w:rPr>
                <w:rFonts w:hint="eastAsia" w:ascii="Times New Roman"/>
                <w:color w:val="auto"/>
                <w:szCs w:val="21"/>
                <w:highlight w:val="none"/>
              </w:rPr>
              <w:t>专业监理工程师</w:t>
            </w:r>
          </w:p>
        </w:tc>
        <w:tc>
          <w:tcPr>
            <w:tcW w:w="2160" w:type="dxa"/>
            <w:vAlign w:val="center"/>
          </w:tcPr>
          <w:p>
            <w:pPr>
              <w:pStyle w:val="33"/>
              <w:spacing w:after="0" w:line="240" w:lineRule="auto"/>
              <w:jc w:val="center"/>
              <w:rPr>
                <w:rFonts w:ascii="Times New Roman"/>
                <w:color w:val="auto"/>
                <w:szCs w:val="21"/>
                <w:highlight w:val="none"/>
              </w:rPr>
            </w:pPr>
            <w:r>
              <w:rPr>
                <w:rFonts w:ascii="Times New Roman"/>
                <w:color w:val="auto"/>
                <w:szCs w:val="21"/>
                <w:highlight w:val="none"/>
              </w:rPr>
              <w:t>2</w:t>
            </w:r>
          </w:p>
        </w:tc>
        <w:tc>
          <w:tcPr>
            <w:tcW w:w="4285" w:type="dxa"/>
            <w:vAlign w:val="center"/>
          </w:tcPr>
          <w:p>
            <w:pPr>
              <w:pStyle w:val="33"/>
              <w:spacing w:after="0" w:line="240" w:lineRule="auto"/>
              <w:jc w:val="center"/>
              <w:rPr>
                <w:rFonts w:ascii="Times New Roman"/>
                <w:color w:val="auto"/>
                <w:szCs w:val="21"/>
                <w:highlight w:val="none"/>
              </w:rPr>
            </w:pPr>
            <w:r>
              <w:rPr>
                <w:rFonts w:hint="eastAsia"/>
                <w:color w:val="auto"/>
                <w:szCs w:val="21"/>
                <w:highlight w:val="none"/>
              </w:rPr>
              <w:t>交通部颁发的公路工程监理工程师执业证书，具有中级及以上技术职称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449" w:type="dxa"/>
            <w:vAlign w:val="center"/>
          </w:tcPr>
          <w:p>
            <w:pPr>
              <w:pStyle w:val="33"/>
              <w:spacing w:after="0" w:line="240" w:lineRule="auto"/>
              <w:jc w:val="center"/>
              <w:rPr>
                <w:rFonts w:ascii="Times New Roman"/>
                <w:color w:val="auto"/>
                <w:szCs w:val="21"/>
                <w:highlight w:val="none"/>
              </w:rPr>
            </w:pPr>
            <w:r>
              <w:rPr>
                <w:rFonts w:hint="eastAsia" w:ascii="Times New Roman"/>
                <w:color w:val="auto"/>
                <w:szCs w:val="21"/>
                <w:highlight w:val="none"/>
              </w:rPr>
              <w:t>监理员</w:t>
            </w:r>
          </w:p>
        </w:tc>
        <w:tc>
          <w:tcPr>
            <w:tcW w:w="2160" w:type="dxa"/>
            <w:vAlign w:val="center"/>
          </w:tcPr>
          <w:p>
            <w:pPr>
              <w:pStyle w:val="33"/>
              <w:spacing w:after="0" w:line="240" w:lineRule="auto"/>
              <w:jc w:val="center"/>
              <w:rPr>
                <w:rFonts w:ascii="Times New Roman"/>
                <w:color w:val="auto"/>
                <w:szCs w:val="21"/>
                <w:highlight w:val="none"/>
              </w:rPr>
            </w:pPr>
            <w:r>
              <w:rPr>
                <w:rFonts w:ascii="Times New Roman"/>
                <w:color w:val="auto"/>
                <w:szCs w:val="21"/>
                <w:highlight w:val="none"/>
              </w:rPr>
              <w:t>3</w:t>
            </w:r>
          </w:p>
        </w:tc>
        <w:tc>
          <w:tcPr>
            <w:tcW w:w="4285" w:type="dxa"/>
            <w:vAlign w:val="center"/>
          </w:tcPr>
          <w:p>
            <w:pPr>
              <w:pStyle w:val="33"/>
              <w:spacing w:after="0" w:line="240" w:lineRule="auto"/>
              <w:jc w:val="center"/>
              <w:rPr>
                <w:rFonts w:ascii="Times New Roman"/>
                <w:color w:val="auto"/>
                <w:szCs w:val="21"/>
                <w:highlight w:val="none"/>
              </w:rPr>
            </w:pPr>
            <w:r>
              <w:rPr>
                <w:rFonts w:hint="eastAsia"/>
                <w:color w:val="auto"/>
                <w:szCs w:val="21"/>
                <w:highlight w:val="none"/>
              </w:rPr>
              <w:t>监理员岗位证书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449" w:type="dxa"/>
            <w:vAlign w:val="center"/>
          </w:tcPr>
          <w:p>
            <w:pPr>
              <w:pStyle w:val="33"/>
              <w:spacing w:after="0" w:line="240" w:lineRule="auto"/>
              <w:jc w:val="center"/>
              <w:rPr>
                <w:rFonts w:ascii="Times New Roman"/>
                <w:color w:val="auto"/>
                <w:szCs w:val="21"/>
                <w:highlight w:val="none"/>
              </w:rPr>
            </w:pPr>
          </w:p>
        </w:tc>
        <w:tc>
          <w:tcPr>
            <w:tcW w:w="2160" w:type="dxa"/>
            <w:vAlign w:val="center"/>
          </w:tcPr>
          <w:p>
            <w:pPr>
              <w:pStyle w:val="33"/>
              <w:spacing w:after="0" w:line="240" w:lineRule="auto"/>
              <w:jc w:val="center"/>
              <w:rPr>
                <w:rFonts w:ascii="Times New Roman"/>
                <w:color w:val="auto"/>
                <w:szCs w:val="21"/>
                <w:highlight w:val="none"/>
              </w:rPr>
            </w:pPr>
          </w:p>
        </w:tc>
        <w:tc>
          <w:tcPr>
            <w:tcW w:w="4285" w:type="dxa"/>
            <w:vAlign w:val="center"/>
          </w:tcPr>
          <w:p>
            <w:pPr>
              <w:pStyle w:val="33"/>
              <w:spacing w:after="0" w:line="240" w:lineRule="auto"/>
              <w:jc w:val="center"/>
              <w:rPr>
                <w:rFonts w:ascii="Times New Roman"/>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trPr>
        <w:tc>
          <w:tcPr>
            <w:tcW w:w="2449" w:type="dxa"/>
          </w:tcPr>
          <w:p>
            <w:pPr>
              <w:pStyle w:val="33"/>
              <w:rPr>
                <w:rFonts w:ascii="Times New Roman"/>
                <w:color w:val="auto"/>
                <w:szCs w:val="21"/>
                <w:highlight w:val="none"/>
              </w:rPr>
            </w:pPr>
          </w:p>
        </w:tc>
        <w:tc>
          <w:tcPr>
            <w:tcW w:w="2160" w:type="dxa"/>
          </w:tcPr>
          <w:p>
            <w:pPr>
              <w:pStyle w:val="33"/>
              <w:rPr>
                <w:rFonts w:ascii="Times New Roman"/>
                <w:color w:val="auto"/>
                <w:szCs w:val="21"/>
                <w:highlight w:val="none"/>
              </w:rPr>
            </w:pPr>
          </w:p>
        </w:tc>
        <w:tc>
          <w:tcPr>
            <w:tcW w:w="4285" w:type="dxa"/>
          </w:tcPr>
          <w:p>
            <w:pPr>
              <w:pStyle w:val="33"/>
              <w:rPr>
                <w:rFonts w:ascii="Times New Roman"/>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449" w:type="dxa"/>
          </w:tcPr>
          <w:p>
            <w:pPr>
              <w:pStyle w:val="33"/>
              <w:rPr>
                <w:rFonts w:ascii="Times New Roman"/>
                <w:color w:val="auto"/>
                <w:szCs w:val="21"/>
                <w:highlight w:val="none"/>
              </w:rPr>
            </w:pPr>
          </w:p>
        </w:tc>
        <w:tc>
          <w:tcPr>
            <w:tcW w:w="2160" w:type="dxa"/>
          </w:tcPr>
          <w:p>
            <w:pPr>
              <w:pStyle w:val="33"/>
              <w:rPr>
                <w:rFonts w:ascii="Times New Roman"/>
                <w:color w:val="auto"/>
                <w:szCs w:val="21"/>
                <w:highlight w:val="none"/>
              </w:rPr>
            </w:pPr>
          </w:p>
        </w:tc>
        <w:tc>
          <w:tcPr>
            <w:tcW w:w="4285" w:type="dxa"/>
          </w:tcPr>
          <w:p>
            <w:pPr>
              <w:pStyle w:val="33"/>
              <w:rPr>
                <w:rFonts w:ascii="Times New Roman"/>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449" w:type="dxa"/>
          </w:tcPr>
          <w:p>
            <w:pPr>
              <w:pStyle w:val="33"/>
              <w:rPr>
                <w:rFonts w:ascii="Times New Roman"/>
                <w:color w:val="auto"/>
                <w:szCs w:val="21"/>
                <w:highlight w:val="none"/>
              </w:rPr>
            </w:pPr>
          </w:p>
        </w:tc>
        <w:tc>
          <w:tcPr>
            <w:tcW w:w="2160" w:type="dxa"/>
          </w:tcPr>
          <w:p>
            <w:pPr>
              <w:pStyle w:val="33"/>
              <w:rPr>
                <w:rFonts w:ascii="Times New Roman"/>
                <w:color w:val="auto"/>
                <w:szCs w:val="21"/>
                <w:highlight w:val="none"/>
              </w:rPr>
            </w:pPr>
          </w:p>
        </w:tc>
        <w:tc>
          <w:tcPr>
            <w:tcW w:w="4285" w:type="dxa"/>
          </w:tcPr>
          <w:p>
            <w:pPr>
              <w:pStyle w:val="33"/>
              <w:rPr>
                <w:rFonts w:ascii="Times New Roman"/>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449" w:type="dxa"/>
          </w:tcPr>
          <w:p>
            <w:pPr>
              <w:pStyle w:val="33"/>
              <w:rPr>
                <w:rFonts w:ascii="Times New Roman"/>
                <w:color w:val="auto"/>
                <w:szCs w:val="21"/>
                <w:highlight w:val="none"/>
              </w:rPr>
            </w:pPr>
          </w:p>
        </w:tc>
        <w:tc>
          <w:tcPr>
            <w:tcW w:w="2160" w:type="dxa"/>
          </w:tcPr>
          <w:p>
            <w:pPr>
              <w:pStyle w:val="33"/>
              <w:rPr>
                <w:rFonts w:ascii="Times New Roman"/>
                <w:color w:val="auto"/>
                <w:szCs w:val="21"/>
                <w:highlight w:val="none"/>
              </w:rPr>
            </w:pPr>
          </w:p>
        </w:tc>
        <w:tc>
          <w:tcPr>
            <w:tcW w:w="4285" w:type="dxa"/>
          </w:tcPr>
          <w:p>
            <w:pPr>
              <w:pStyle w:val="33"/>
              <w:rPr>
                <w:rFonts w:ascii="Times New Roman"/>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449" w:type="dxa"/>
          </w:tcPr>
          <w:p>
            <w:pPr>
              <w:pStyle w:val="33"/>
              <w:rPr>
                <w:rFonts w:ascii="Times New Roman"/>
                <w:color w:val="auto"/>
                <w:szCs w:val="21"/>
                <w:highlight w:val="none"/>
              </w:rPr>
            </w:pPr>
          </w:p>
        </w:tc>
        <w:tc>
          <w:tcPr>
            <w:tcW w:w="2160" w:type="dxa"/>
          </w:tcPr>
          <w:p>
            <w:pPr>
              <w:pStyle w:val="33"/>
              <w:rPr>
                <w:rFonts w:ascii="Times New Roman"/>
                <w:color w:val="auto"/>
                <w:szCs w:val="21"/>
                <w:highlight w:val="none"/>
              </w:rPr>
            </w:pPr>
          </w:p>
        </w:tc>
        <w:tc>
          <w:tcPr>
            <w:tcW w:w="4285" w:type="dxa"/>
          </w:tcPr>
          <w:p>
            <w:pPr>
              <w:pStyle w:val="33"/>
              <w:rPr>
                <w:rFonts w:ascii="Times New Roman"/>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449" w:type="dxa"/>
          </w:tcPr>
          <w:p>
            <w:pPr>
              <w:pStyle w:val="33"/>
              <w:rPr>
                <w:rFonts w:ascii="Times New Roman"/>
                <w:color w:val="auto"/>
                <w:szCs w:val="21"/>
                <w:highlight w:val="none"/>
              </w:rPr>
            </w:pPr>
          </w:p>
        </w:tc>
        <w:tc>
          <w:tcPr>
            <w:tcW w:w="2160" w:type="dxa"/>
          </w:tcPr>
          <w:p>
            <w:pPr>
              <w:pStyle w:val="33"/>
              <w:rPr>
                <w:rFonts w:ascii="Times New Roman"/>
                <w:color w:val="auto"/>
                <w:szCs w:val="21"/>
                <w:highlight w:val="none"/>
              </w:rPr>
            </w:pPr>
          </w:p>
        </w:tc>
        <w:tc>
          <w:tcPr>
            <w:tcW w:w="4285" w:type="dxa"/>
          </w:tcPr>
          <w:p>
            <w:pPr>
              <w:pStyle w:val="33"/>
              <w:rPr>
                <w:rFonts w:ascii="Times New Roman"/>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trPr>
        <w:tc>
          <w:tcPr>
            <w:tcW w:w="2449" w:type="dxa"/>
          </w:tcPr>
          <w:p>
            <w:pPr>
              <w:pStyle w:val="33"/>
              <w:rPr>
                <w:rFonts w:ascii="Times New Roman"/>
                <w:color w:val="auto"/>
                <w:szCs w:val="21"/>
                <w:highlight w:val="none"/>
              </w:rPr>
            </w:pPr>
          </w:p>
        </w:tc>
        <w:tc>
          <w:tcPr>
            <w:tcW w:w="2160" w:type="dxa"/>
          </w:tcPr>
          <w:p>
            <w:pPr>
              <w:pStyle w:val="33"/>
              <w:rPr>
                <w:rFonts w:ascii="Times New Roman"/>
                <w:color w:val="auto"/>
                <w:szCs w:val="21"/>
                <w:highlight w:val="none"/>
              </w:rPr>
            </w:pPr>
          </w:p>
        </w:tc>
        <w:tc>
          <w:tcPr>
            <w:tcW w:w="4285" w:type="dxa"/>
          </w:tcPr>
          <w:p>
            <w:pPr>
              <w:pStyle w:val="33"/>
              <w:rPr>
                <w:rFonts w:ascii="Times New Roman"/>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2449" w:type="dxa"/>
          </w:tcPr>
          <w:p>
            <w:pPr>
              <w:pStyle w:val="33"/>
              <w:rPr>
                <w:rFonts w:ascii="Times New Roman"/>
                <w:color w:val="auto"/>
                <w:szCs w:val="21"/>
                <w:highlight w:val="none"/>
              </w:rPr>
            </w:pPr>
          </w:p>
        </w:tc>
        <w:tc>
          <w:tcPr>
            <w:tcW w:w="2160" w:type="dxa"/>
          </w:tcPr>
          <w:p>
            <w:pPr>
              <w:pStyle w:val="33"/>
              <w:rPr>
                <w:rFonts w:ascii="Times New Roman"/>
                <w:color w:val="auto"/>
                <w:szCs w:val="21"/>
                <w:highlight w:val="none"/>
              </w:rPr>
            </w:pPr>
          </w:p>
        </w:tc>
        <w:tc>
          <w:tcPr>
            <w:tcW w:w="4285" w:type="dxa"/>
          </w:tcPr>
          <w:p>
            <w:pPr>
              <w:pStyle w:val="33"/>
              <w:rPr>
                <w:rFonts w:ascii="Times New Roman"/>
                <w:color w:val="auto"/>
                <w:szCs w:val="21"/>
                <w:highlight w:val="none"/>
              </w:rPr>
            </w:pPr>
          </w:p>
        </w:tc>
      </w:tr>
    </w:tbl>
    <w:p>
      <w:pPr>
        <w:spacing w:after="0" w:line="312" w:lineRule="auto"/>
        <w:rPr>
          <w:color w:val="auto"/>
          <w:szCs w:val="21"/>
          <w:highlight w:val="none"/>
        </w:rPr>
        <w:sectPr>
          <w:pgSz w:w="11910" w:h="16850"/>
          <w:pgMar w:top="1460" w:right="1120" w:bottom="1280" w:left="1220" w:header="882" w:footer="1093" w:gutter="0"/>
          <w:cols w:space="720" w:num="1"/>
        </w:sectPr>
      </w:pPr>
    </w:p>
    <w:p>
      <w:pPr>
        <w:pStyle w:val="9"/>
        <w:spacing w:before="73"/>
        <w:rPr>
          <w:b/>
          <w:color w:val="auto"/>
          <w:sz w:val="21"/>
          <w:szCs w:val="21"/>
          <w:highlight w:val="none"/>
        </w:rPr>
      </w:pPr>
      <w:bookmarkStart w:id="73" w:name="_bookmark124"/>
      <w:bookmarkEnd w:id="73"/>
      <w:r>
        <w:rPr>
          <w:rFonts w:hint="eastAsia" w:ascii="黑体" w:hAnsi="黑体" w:eastAsia="黑体"/>
          <w:color w:val="auto"/>
          <w:sz w:val="21"/>
          <w:szCs w:val="21"/>
          <w:highlight w:val="none"/>
        </w:rPr>
        <w:t>附件四 主要试验检测设备最低要求</w:t>
      </w:r>
    </w:p>
    <w:p>
      <w:pPr>
        <w:pStyle w:val="9"/>
        <w:spacing w:before="6"/>
        <w:jc w:val="left"/>
        <w:rPr>
          <w:b/>
          <w:color w:val="auto"/>
          <w:sz w:val="21"/>
          <w:szCs w:val="21"/>
          <w:highlight w:val="none"/>
        </w:rPr>
      </w:pPr>
    </w:p>
    <w:tbl>
      <w:tblPr>
        <w:tblStyle w:val="16"/>
        <w:tblpPr w:leftFromText="180" w:rightFromText="180" w:vertAnchor="text" w:tblpY="1"/>
        <w:tblOverlap w:val="never"/>
        <w:tblW w:w="8560" w:type="dxa"/>
        <w:tblInd w:w="48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33"/>
        <w:gridCol w:w="2744"/>
        <w:gridCol w:w="1388"/>
        <w:gridCol w:w="21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58" w:hRule="atLeast"/>
        </w:trPr>
        <w:tc>
          <w:tcPr>
            <w:tcW w:w="2233" w:type="dxa"/>
            <w:vAlign w:val="center"/>
          </w:tcPr>
          <w:p>
            <w:pPr>
              <w:pStyle w:val="33"/>
              <w:spacing w:after="0" w:line="240" w:lineRule="auto"/>
              <w:jc w:val="center"/>
              <w:rPr>
                <w:color w:val="auto"/>
                <w:szCs w:val="21"/>
                <w:highlight w:val="none"/>
              </w:rPr>
            </w:pPr>
            <w:r>
              <w:rPr>
                <w:color w:val="auto"/>
                <w:szCs w:val="21"/>
                <w:highlight w:val="none"/>
              </w:rPr>
              <w:t>设备名称</w:t>
            </w:r>
          </w:p>
        </w:tc>
        <w:tc>
          <w:tcPr>
            <w:tcW w:w="2744" w:type="dxa"/>
            <w:vAlign w:val="center"/>
          </w:tcPr>
          <w:p>
            <w:pPr>
              <w:pStyle w:val="33"/>
              <w:spacing w:after="0" w:line="240" w:lineRule="auto"/>
              <w:jc w:val="center"/>
              <w:rPr>
                <w:color w:val="auto"/>
                <w:szCs w:val="21"/>
                <w:highlight w:val="none"/>
              </w:rPr>
            </w:pPr>
            <w:r>
              <w:rPr>
                <w:color w:val="auto"/>
                <w:szCs w:val="21"/>
                <w:highlight w:val="none"/>
              </w:rPr>
              <w:t>规格、功率及容量</w:t>
            </w:r>
          </w:p>
        </w:tc>
        <w:tc>
          <w:tcPr>
            <w:tcW w:w="1388" w:type="dxa"/>
            <w:vAlign w:val="center"/>
          </w:tcPr>
          <w:p>
            <w:pPr>
              <w:pStyle w:val="33"/>
              <w:spacing w:after="0" w:line="240" w:lineRule="auto"/>
              <w:jc w:val="center"/>
              <w:rPr>
                <w:color w:val="auto"/>
                <w:szCs w:val="21"/>
                <w:highlight w:val="none"/>
              </w:rPr>
            </w:pPr>
            <w:r>
              <w:rPr>
                <w:color w:val="auto"/>
                <w:szCs w:val="21"/>
                <w:highlight w:val="none"/>
              </w:rPr>
              <w:t>单位</w:t>
            </w:r>
          </w:p>
        </w:tc>
        <w:tc>
          <w:tcPr>
            <w:tcW w:w="2195" w:type="dxa"/>
            <w:vAlign w:val="center"/>
          </w:tcPr>
          <w:p>
            <w:pPr>
              <w:pStyle w:val="33"/>
              <w:spacing w:after="0" w:line="240" w:lineRule="auto"/>
              <w:jc w:val="center"/>
              <w:rPr>
                <w:color w:val="auto"/>
                <w:szCs w:val="21"/>
                <w:highlight w:val="none"/>
              </w:rPr>
            </w:pPr>
            <w:r>
              <w:rPr>
                <w:color w:val="auto"/>
                <w:szCs w:val="21"/>
                <w:highlight w:val="none"/>
              </w:rPr>
              <w:t>最低数量要求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2233" w:type="dxa"/>
            <w:vAlign w:val="center"/>
          </w:tcPr>
          <w:p>
            <w:pPr>
              <w:widowControl/>
              <w:spacing w:after="0" w:line="30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标准筛</w:t>
            </w:r>
          </w:p>
        </w:tc>
        <w:tc>
          <w:tcPr>
            <w:tcW w:w="2744" w:type="dxa"/>
          </w:tcPr>
          <w:p>
            <w:pPr>
              <w:pStyle w:val="33"/>
              <w:spacing w:after="0" w:line="240" w:lineRule="exact"/>
              <w:jc w:val="center"/>
              <w:rPr>
                <w:rFonts w:ascii="Times New Roman"/>
                <w:color w:val="auto"/>
                <w:szCs w:val="21"/>
                <w:highlight w:val="none"/>
              </w:rPr>
            </w:pPr>
            <w:r>
              <w:rPr>
                <w:rFonts w:hint="eastAsia" w:ascii="Times New Roman"/>
                <w:color w:val="auto"/>
                <w:szCs w:val="21"/>
                <w:highlight w:val="none"/>
              </w:rPr>
              <w:t>满足项目要求</w:t>
            </w:r>
          </w:p>
        </w:tc>
        <w:tc>
          <w:tcPr>
            <w:tcW w:w="1388" w:type="dxa"/>
            <w:vAlign w:val="center"/>
          </w:tcPr>
          <w:p>
            <w:pPr>
              <w:pStyle w:val="33"/>
              <w:spacing w:after="0" w:line="240" w:lineRule="exact"/>
              <w:jc w:val="center"/>
              <w:rPr>
                <w:rFonts w:ascii="Times New Roman"/>
                <w:color w:val="auto"/>
                <w:szCs w:val="21"/>
                <w:highlight w:val="none"/>
              </w:rPr>
            </w:pPr>
            <w:r>
              <w:rPr>
                <w:rFonts w:hint="eastAsia" w:ascii="Times New Roman"/>
                <w:color w:val="auto"/>
                <w:szCs w:val="21"/>
                <w:highlight w:val="none"/>
              </w:rPr>
              <w:t>套</w:t>
            </w:r>
          </w:p>
        </w:tc>
        <w:tc>
          <w:tcPr>
            <w:tcW w:w="2195" w:type="dxa"/>
            <w:vAlign w:val="center"/>
          </w:tcPr>
          <w:p>
            <w:pPr>
              <w:pStyle w:val="33"/>
              <w:spacing w:after="0" w:line="240" w:lineRule="auto"/>
              <w:jc w:val="center"/>
              <w:rPr>
                <w:rFonts w:ascii="Times New Roman"/>
                <w:color w:val="auto"/>
                <w:szCs w:val="21"/>
                <w:highlight w:val="none"/>
              </w:rPr>
            </w:pPr>
            <w:r>
              <w:rPr>
                <w:rFonts w:ascii="Times New Roman"/>
                <w:color w:val="auto"/>
                <w:szCs w:val="21"/>
                <w:highlight w:val="none"/>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2233" w:type="dxa"/>
            <w:vAlign w:val="center"/>
          </w:tcPr>
          <w:p>
            <w:pPr>
              <w:widowControl/>
              <w:spacing w:after="0" w:line="30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标准震筛机</w:t>
            </w:r>
          </w:p>
        </w:tc>
        <w:tc>
          <w:tcPr>
            <w:tcW w:w="2744" w:type="dxa"/>
            <w:vAlign w:val="center"/>
          </w:tcPr>
          <w:p>
            <w:pPr>
              <w:spacing w:after="0" w:line="240" w:lineRule="auto"/>
              <w:jc w:val="center"/>
              <w:rPr>
                <w:color w:val="auto"/>
                <w:highlight w:val="none"/>
              </w:rPr>
            </w:pPr>
            <w:r>
              <w:rPr>
                <w:rFonts w:hint="eastAsia" w:ascii="Times New Roman"/>
                <w:color w:val="auto"/>
                <w:szCs w:val="21"/>
                <w:highlight w:val="none"/>
              </w:rPr>
              <w:t>满足项目要求</w:t>
            </w:r>
          </w:p>
        </w:tc>
        <w:tc>
          <w:tcPr>
            <w:tcW w:w="1388" w:type="dxa"/>
            <w:vAlign w:val="center"/>
          </w:tcPr>
          <w:p>
            <w:pPr>
              <w:spacing w:after="0" w:line="240" w:lineRule="auto"/>
              <w:jc w:val="center"/>
              <w:rPr>
                <w:color w:val="auto"/>
                <w:highlight w:val="none"/>
              </w:rPr>
            </w:pPr>
            <w:r>
              <w:rPr>
                <w:rFonts w:hint="eastAsia" w:ascii="Times New Roman"/>
                <w:color w:val="auto"/>
                <w:szCs w:val="21"/>
                <w:highlight w:val="none"/>
              </w:rPr>
              <w:t>套</w:t>
            </w:r>
          </w:p>
        </w:tc>
        <w:tc>
          <w:tcPr>
            <w:tcW w:w="2195" w:type="dxa"/>
          </w:tcPr>
          <w:p>
            <w:pPr>
              <w:spacing w:after="0" w:line="240" w:lineRule="auto"/>
              <w:jc w:val="center"/>
              <w:rPr>
                <w:color w:val="auto"/>
                <w:highlight w:val="none"/>
              </w:rPr>
            </w:pPr>
            <w:r>
              <w:rPr>
                <w:rFonts w:ascii="Times New Roman"/>
                <w:color w:val="auto"/>
                <w:szCs w:val="21"/>
                <w:highlight w:val="none"/>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2233" w:type="dxa"/>
            <w:vAlign w:val="center"/>
          </w:tcPr>
          <w:p>
            <w:pPr>
              <w:widowControl/>
              <w:spacing w:after="0" w:line="30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比重计</w:t>
            </w:r>
          </w:p>
        </w:tc>
        <w:tc>
          <w:tcPr>
            <w:tcW w:w="2744" w:type="dxa"/>
            <w:vAlign w:val="center"/>
          </w:tcPr>
          <w:p>
            <w:pPr>
              <w:spacing w:after="0" w:line="240" w:lineRule="auto"/>
              <w:jc w:val="center"/>
              <w:rPr>
                <w:color w:val="auto"/>
                <w:highlight w:val="none"/>
              </w:rPr>
            </w:pPr>
            <w:r>
              <w:rPr>
                <w:rFonts w:hint="eastAsia" w:ascii="Times New Roman"/>
                <w:color w:val="auto"/>
                <w:szCs w:val="21"/>
                <w:highlight w:val="none"/>
              </w:rPr>
              <w:t>满足项目要求</w:t>
            </w:r>
          </w:p>
        </w:tc>
        <w:tc>
          <w:tcPr>
            <w:tcW w:w="1388" w:type="dxa"/>
            <w:vAlign w:val="center"/>
          </w:tcPr>
          <w:p>
            <w:pPr>
              <w:spacing w:after="0" w:line="240" w:lineRule="auto"/>
              <w:jc w:val="center"/>
              <w:rPr>
                <w:color w:val="auto"/>
                <w:highlight w:val="none"/>
              </w:rPr>
            </w:pPr>
            <w:r>
              <w:rPr>
                <w:rFonts w:hint="eastAsia" w:ascii="Times New Roman"/>
                <w:color w:val="auto"/>
                <w:szCs w:val="21"/>
                <w:highlight w:val="none"/>
              </w:rPr>
              <w:t>套</w:t>
            </w:r>
          </w:p>
        </w:tc>
        <w:tc>
          <w:tcPr>
            <w:tcW w:w="2195" w:type="dxa"/>
          </w:tcPr>
          <w:p>
            <w:pPr>
              <w:spacing w:after="0" w:line="240" w:lineRule="auto"/>
              <w:jc w:val="center"/>
              <w:rPr>
                <w:color w:val="auto"/>
                <w:highlight w:val="none"/>
              </w:rPr>
            </w:pPr>
            <w:r>
              <w:rPr>
                <w:rFonts w:ascii="Times New Roman"/>
                <w:color w:val="auto"/>
                <w:szCs w:val="21"/>
                <w:highlight w:val="none"/>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2233" w:type="dxa"/>
            <w:vAlign w:val="center"/>
          </w:tcPr>
          <w:p>
            <w:pPr>
              <w:widowControl/>
              <w:spacing w:after="0" w:line="30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电子天平</w:t>
            </w:r>
          </w:p>
        </w:tc>
        <w:tc>
          <w:tcPr>
            <w:tcW w:w="2744" w:type="dxa"/>
            <w:vAlign w:val="center"/>
          </w:tcPr>
          <w:p>
            <w:pPr>
              <w:spacing w:after="0" w:line="240" w:lineRule="auto"/>
              <w:jc w:val="center"/>
              <w:rPr>
                <w:color w:val="auto"/>
                <w:highlight w:val="none"/>
              </w:rPr>
            </w:pPr>
            <w:r>
              <w:rPr>
                <w:rFonts w:hint="eastAsia" w:ascii="Times New Roman"/>
                <w:color w:val="auto"/>
                <w:szCs w:val="21"/>
                <w:highlight w:val="none"/>
              </w:rPr>
              <w:t>满足项目要求</w:t>
            </w:r>
          </w:p>
        </w:tc>
        <w:tc>
          <w:tcPr>
            <w:tcW w:w="1388" w:type="dxa"/>
            <w:vAlign w:val="center"/>
          </w:tcPr>
          <w:p>
            <w:pPr>
              <w:spacing w:after="0" w:line="240" w:lineRule="auto"/>
              <w:jc w:val="center"/>
              <w:rPr>
                <w:color w:val="auto"/>
                <w:highlight w:val="none"/>
              </w:rPr>
            </w:pPr>
            <w:r>
              <w:rPr>
                <w:rFonts w:hint="eastAsia" w:ascii="Times New Roman"/>
                <w:color w:val="auto"/>
                <w:szCs w:val="21"/>
                <w:highlight w:val="none"/>
              </w:rPr>
              <w:t>套</w:t>
            </w:r>
          </w:p>
        </w:tc>
        <w:tc>
          <w:tcPr>
            <w:tcW w:w="2195" w:type="dxa"/>
          </w:tcPr>
          <w:p>
            <w:pPr>
              <w:spacing w:after="0" w:line="240" w:lineRule="auto"/>
              <w:jc w:val="center"/>
              <w:rPr>
                <w:color w:val="auto"/>
                <w:highlight w:val="none"/>
              </w:rPr>
            </w:pPr>
            <w:r>
              <w:rPr>
                <w:rFonts w:ascii="Times New Roman"/>
                <w:color w:val="auto"/>
                <w:szCs w:val="21"/>
                <w:highlight w:val="none"/>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2233" w:type="dxa"/>
            <w:vAlign w:val="center"/>
          </w:tcPr>
          <w:p>
            <w:pPr>
              <w:widowControl/>
              <w:spacing w:after="0" w:line="30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电热鼓风干燥箱</w:t>
            </w:r>
          </w:p>
        </w:tc>
        <w:tc>
          <w:tcPr>
            <w:tcW w:w="2744" w:type="dxa"/>
            <w:vAlign w:val="center"/>
          </w:tcPr>
          <w:p>
            <w:pPr>
              <w:spacing w:after="0" w:line="240" w:lineRule="auto"/>
              <w:jc w:val="center"/>
              <w:rPr>
                <w:color w:val="auto"/>
                <w:highlight w:val="none"/>
              </w:rPr>
            </w:pPr>
            <w:r>
              <w:rPr>
                <w:rFonts w:hint="eastAsia" w:ascii="Times New Roman"/>
                <w:color w:val="auto"/>
                <w:szCs w:val="21"/>
                <w:highlight w:val="none"/>
              </w:rPr>
              <w:t>满足项目要求</w:t>
            </w:r>
          </w:p>
        </w:tc>
        <w:tc>
          <w:tcPr>
            <w:tcW w:w="1388" w:type="dxa"/>
            <w:vAlign w:val="center"/>
          </w:tcPr>
          <w:p>
            <w:pPr>
              <w:spacing w:after="0" w:line="240" w:lineRule="auto"/>
              <w:jc w:val="center"/>
              <w:rPr>
                <w:color w:val="auto"/>
                <w:highlight w:val="none"/>
              </w:rPr>
            </w:pPr>
            <w:r>
              <w:rPr>
                <w:rFonts w:hint="eastAsia" w:ascii="Times New Roman"/>
                <w:color w:val="auto"/>
                <w:szCs w:val="21"/>
                <w:highlight w:val="none"/>
              </w:rPr>
              <w:t>套</w:t>
            </w:r>
          </w:p>
        </w:tc>
        <w:tc>
          <w:tcPr>
            <w:tcW w:w="2195" w:type="dxa"/>
          </w:tcPr>
          <w:p>
            <w:pPr>
              <w:spacing w:after="0" w:line="240" w:lineRule="auto"/>
              <w:jc w:val="center"/>
              <w:rPr>
                <w:color w:val="auto"/>
                <w:highlight w:val="none"/>
              </w:rPr>
            </w:pPr>
            <w:r>
              <w:rPr>
                <w:rFonts w:ascii="Times New Roman"/>
                <w:color w:val="auto"/>
                <w:szCs w:val="21"/>
                <w:highlight w:val="none"/>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2233" w:type="dxa"/>
            <w:vAlign w:val="center"/>
          </w:tcPr>
          <w:p>
            <w:pPr>
              <w:widowControl/>
              <w:spacing w:after="0" w:line="30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光电液塑限测定仪</w:t>
            </w:r>
          </w:p>
        </w:tc>
        <w:tc>
          <w:tcPr>
            <w:tcW w:w="2744" w:type="dxa"/>
            <w:vAlign w:val="center"/>
          </w:tcPr>
          <w:p>
            <w:pPr>
              <w:spacing w:after="0" w:line="240" w:lineRule="auto"/>
              <w:jc w:val="center"/>
              <w:rPr>
                <w:color w:val="auto"/>
                <w:highlight w:val="none"/>
              </w:rPr>
            </w:pPr>
            <w:r>
              <w:rPr>
                <w:rFonts w:hint="eastAsia" w:ascii="Times New Roman"/>
                <w:color w:val="auto"/>
                <w:szCs w:val="21"/>
                <w:highlight w:val="none"/>
              </w:rPr>
              <w:t>满足项目要求</w:t>
            </w:r>
          </w:p>
        </w:tc>
        <w:tc>
          <w:tcPr>
            <w:tcW w:w="1388" w:type="dxa"/>
            <w:vAlign w:val="center"/>
          </w:tcPr>
          <w:p>
            <w:pPr>
              <w:spacing w:after="0" w:line="240" w:lineRule="auto"/>
              <w:jc w:val="center"/>
              <w:rPr>
                <w:color w:val="auto"/>
                <w:highlight w:val="none"/>
              </w:rPr>
            </w:pPr>
            <w:r>
              <w:rPr>
                <w:rFonts w:hint="eastAsia" w:ascii="Times New Roman"/>
                <w:color w:val="auto"/>
                <w:szCs w:val="21"/>
                <w:highlight w:val="none"/>
              </w:rPr>
              <w:t>套</w:t>
            </w:r>
          </w:p>
        </w:tc>
        <w:tc>
          <w:tcPr>
            <w:tcW w:w="2195" w:type="dxa"/>
          </w:tcPr>
          <w:p>
            <w:pPr>
              <w:spacing w:after="0" w:line="240" w:lineRule="auto"/>
              <w:jc w:val="center"/>
              <w:rPr>
                <w:color w:val="auto"/>
                <w:highlight w:val="none"/>
              </w:rPr>
            </w:pPr>
            <w:r>
              <w:rPr>
                <w:rFonts w:ascii="Times New Roman"/>
                <w:color w:val="auto"/>
                <w:szCs w:val="21"/>
                <w:highlight w:val="none"/>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2233" w:type="dxa"/>
            <w:vAlign w:val="center"/>
          </w:tcPr>
          <w:p>
            <w:pPr>
              <w:widowControl/>
              <w:spacing w:after="0" w:line="30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自动击实仪</w:t>
            </w:r>
          </w:p>
        </w:tc>
        <w:tc>
          <w:tcPr>
            <w:tcW w:w="2744" w:type="dxa"/>
            <w:vAlign w:val="center"/>
          </w:tcPr>
          <w:p>
            <w:pPr>
              <w:spacing w:after="0" w:line="240" w:lineRule="auto"/>
              <w:jc w:val="center"/>
              <w:rPr>
                <w:color w:val="auto"/>
                <w:highlight w:val="none"/>
              </w:rPr>
            </w:pPr>
            <w:r>
              <w:rPr>
                <w:rFonts w:hint="eastAsia" w:ascii="Times New Roman"/>
                <w:color w:val="auto"/>
                <w:szCs w:val="21"/>
                <w:highlight w:val="none"/>
              </w:rPr>
              <w:t>满足项目要求</w:t>
            </w:r>
          </w:p>
        </w:tc>
        <w:tc>
          <w:tcPr>
            <w:tcW w:w="1388" w:type="dxa"/>
            <w:vAlign w:val="center"/>
          </w:tcPr>
          <w:p>
            <w:pPr>
              <w:spacing w:after="0" w:line="240" w:lineRule="auto"/>
              <w:jc w:val="center"/>
              <w:rPr>
                <w:color w:val="auto"/>
                <w:highlight w:val="none"/>
              </w:rPr>
            </w:pPr>
            <w:r>
              <w:rPr>
                <w:rFonts w:hint="eastAsia" w:ascii="Times New Roman"/>
                <w:color w:val="auto"/>
                <w:szCs w:val="21"/>
                <w:highlight w:val="none"/>
              </w:rPr>
              <w:t>套</w:t>
            </w:r>
          </w:p>
        </w:tc>
        <w:tc>
          <w:tcPr>
            <w:tcW w:w="2195" w:type="dxa"/>
          </w:tcPr>
          <w:p>
            <w:pPr>
              <w:spacing w:after="0" w:line="240" w:lineRule="auto"/>
              <w:jc w:val="center"/>
              <w:rPr>
                <w:color w:val="auto"/>
                <w:highlight w:val="none"/>
              </w:rPr>
            </w:pPr>
            <w:r>
              <w:rPr>
                <w:rFonts w:ascii="Times New Roman"/>
                <w:color w:val="auto"/>
                <w:szCs w:val="21"/>
                <w:highlight w:val="none"/>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2233" w:type="dxa"/>
            <w:vAlign w:val="center"/>
          </w:tcPr>
          <w:p>
            <w:pPr>
              <w:widowControl/>
              <w:spacing w:after="0" w:line="30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路面材料强度试验仪</w:t>
            </w:r>
          </w:p>
        </w:tc>
        <w:tc>
          <w:tcPr>
            <w:tcW w:w="2744" w:type="dxa"/>
            <w:vAlign w:val="center"/>
          </w:tcPr>
          <w:p>
            <w:pPr>
              <w:spacing w:after="0" w:line="240" w:lineRule="auto"/>
              <w:jc w:val="center"/>
              <w:rPr>
                <w:color w:val="auto"/>
                <w:highlight w:val="none"/>
              </w:rPr>
            </w:pPr>
            <w:r>
              <w:rPr>
                <w:rFonts w:hint="eastAsia" w:ascii="Times New Roman"/>
                <w:color w:val="auto"/>
                <w:szCs w:val="21"/>
                <w:highlight w:val="none"/>
              </w:rPr>
              <w:t>满足项目要求</w:t>
            </w:r>
          </w:p>
        </w:tc>
        <w:tc>
          <w:tcPr>
            <w:tcW w:w="1388" w:type="dxa"/>
            <w:vAlign w:val="center"/>
          </w:tcPr>
          <w:p>
            <w:pPr>
              <w:spacing w:after="0" w:line="240" w:lineRule="auto"/>
              <w:jc w:val="center"/>
              <w:rPr>
                <w:color w:val="auto"/>
                <w:highlight w:val="none"/>
              </w:rPr>
            </w:pPr>
            <w:r>
              <w:rPr>
                <w:rFonts w:hint="eastAsia" w:ascii="Times New Roman"/>
                <w:color w:val="auto"/>
                <w:szCs w:val="21"/>
                <w:highlight w:val="none"/>
              </w:rPr>
              <w:t>套</w:t>
            </w:r>
          </w:p>
        </w:tc>
        <w:tc>
          <w:tcPr>
            <w:tcW w:w="2195" w:type="dxa"/>
          </w:tcPr>
          <w:p>
            <w:pPr>
              <w:spacing w:after="0" w:line="240" w:lineRule="auto"/>
              <w:jc w:val="center"/>
              <w:rPr>
                <w:color w:val="auto"/>
                <w:highlight w:val="none"/>
              </w:rPr>
            </w:pPr>
            <w:r>
              <w:rPr>
                <w:rFonts w:ascii="Times New Roman"/>
                <w:color w:val="auto"/>
                <w:szCs w:val="21"/>
                <w:highlight w:val="none"/>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2233" w:type="dxa"/>
            <w:vAlign w:val="center"/>
          </w:tcPr>
          <w:p>
            <w:pPr>
              <w:widowControl/>
              <w:spacing w:after="0" w:line="30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多功能脱模器等及配件</w:t>
            </w:r>
          </w:p>
        </w:tc>
        <w:tc>
          <w:tcPr>
            <w:tcW w:w="2744" w:type="dxa"/>
            <w:vAlign w:val="center"/>
          </w:tcPr>
          <w:p>
            <w:pPr>
              <w:spacing w:after="0" w:line="240" w:lineRule="auto"/>
              <w:jc w:val="center"/>
              <w:rPr>
                <w:color w:val="auto"/>
                <w:highlight w:val="none"/>
              </w:rPr>
            </w:pPr>
            <w:r>
              <w:rPr>
                <w:rFonts w:hint="eastAsia" w:ascii="Times New Roman"/>
                <w:color w:val="auto"/>
                <w:szCs w:val="21"/>
                <w:highlight w:val="none"/>
              </w:rPr>
              <w:t>满足项目要求</w:t>
            </w:r>
          </w:p>
        </w:tc>
        <w:tc>
          <w:tcPr>
            <w:tcW w:w="1388" w:type="dxa"/>
            <w:vAlign w:val="center"/>
          </w:tcPr>
          <w:p>
            <w:pPr>
              <w:spacing w:after="0" w:line="240" w:lineRule="auto"/>
              <w:jc w:val="center"/>
              <w:rPr>
                <w:color w:val="auto"/>
                <w:highlight w:val="none"/>
              </w:rPr>
            </w:pPr>
            <w:r>
              <w:rPr>
                <w:rFonts w:hint="eastAsia" w:ascii="Times New Roman"/>
                <w:color w:val="auto"/>
                <w:szCs w:val="21"/>
                <w:highlight w:val="none"/>
              </w:rPr>
              <w:t>套</w:t>
            </w:r>
          </w:p>
        </w:tc>
        <w:tc>
          <w:tcPr>
            <w:tcW w:w="2195" w:type="dxa"/>
          </w:tcPr>
          <w:p>
            <w:pPr>
              <w:spacing w:after="0" w:line="240" w:lineRule="auto"/>
              <w:jc w:val="center"/>
              <w:rPr>
                <w:color w:val="auto"/>
                <w:highlight w:val="none"/>
              </w:rPr>
            </w:pPr>
            <w:r>
              <w:rPr>
                <w:rFonts w:ascii="Times New Roman"/>
                <w:color w:val="auto"/>
                <w:szCs w:val="21"/>
                <w:highlight w:val="none"/>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2233" w:type="dxa"/>
            <w:vAlign w:val="center"/>
          </w:tcPr>
          <w:p>
            <w:pPr>
              <w:widowControl/>
              <w:spacing w:after="0" w:line="30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浸水膨胀仪附件</w:t>
            </w:r>
          </w:p>
        </w:tc>
        <w:tc>
          <w:tcPr>
            <w:tcW w:w="2744" w:type="dxa"/>
            <w:vAlign w:val="center"/>
          </w:tcPr>
          <w:p>
            <w:pPr>
              <w:spacing w:after="0" w:line="240" w:lineRule="auto"/>
              <w:jc w:val="center"/>
              <w:rPr>
                <w:color w:val="auto"/>
                <w:highlight w:val="none"/>
              </w:rPr>
            </w:pPr>
            <w:r>
              <w:rPr>
                <w:rFonts w:hint="eastAsia" w:ascii="Times New Roman"/>
                <w:color w:val="auto"/>
                <w:szCs w:val="21"/>
                <w:highlight w:val="none"/>
              </w:rPr>
              <w:t>满足项目要求</w:t>
            </w:r>
          </w:p>
        </w:tc>
        <w:tc>
          <w:tcPr>
            <w:tcW w:w="1388" w:type="dxa"/>
            <w:vAlign w:val="center"/>
          </w:tcPr>
          <w:p>
            <w:pPr>
              <w:spacing w:after="0" w:line="240" w:lineRule="auto"/>
              <w:jc w:val="center"/>
              <w:rPr>
                <w:color w:val="auto"/>
                <w:highlight w:val="none"/>
              </w:rPr>
            </w:pPr>
            <w:r>
              <w:rPr>
                <w:rFonts w:hint="eastAsia" w:ascii="Times New Roman"/>
                <w:color w:val="auto"/>
                <w:szCs w:val="21"/>
                <w:highlight w:val="none"/>
              </w:rPr>
              <w:t>套</w:t>
            </w:r>
          </w:p>
        </w:tc>
        <w:tc>
          <w:tcPr>
            <w:tcW w:w="2195" w:type="dxa"/>
          </w:tcPr>
          <w:p>
            <w:pPr>
              <w:spacing w:after="0" w:line="240" w:lineRule="auto"/>
              <w:jc w:val="center"/>
              <w:rPr>
                <w:color w:val="auto"/>
                <w:highlight w:val="none"/>
              </w:rPr>
            </w:pPr>
            <w:r>
              <w:rPr>
                <w:rFonts w:ascii="Times New Roman"/>
                <w:color w:val="auto"/>
                <w:szCs w:val="21"/>
                <w:highlight w:val="none"/>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2233" w:type="dxa"/>
            <w:vAlign w:val="center"/>
          </w:tcPr>
          <w:p>
            <w:pPr>
              <w:widowControl/>
              <w:spacing w:after="0" w:line="300" w:lineRule="exact"/>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游标卡尺</w:t>
            </w:r>
          </w:p>
        </w:tc>
        <w:tc>
          <w:tcPr>
            <w:tcW w:w="2744" w:type="dxa"/>
            <w:vAlign w:val="center"/>
          </w:tcPr>
          <w:p>
            <w:pPr>
              <w:spacing w:after="0" w:line="240" w:lineRule="auto"/>
              <w:jc w:val="center"/>
              <w:rPr>
                <w:color w:val="auto"/>
                <w:highlight w:val="none"/>
              </w:rPr>
            </w:pPr>
            <w:r>
              <w:rPr>
                <w:rFonts w:hint="eastAsia" w:ascii="Times New Roman"/>
                <w:color w:val="auto"/>
                <w:szCs w:val="21"/>
                <w:highlight w:val="none"/>
              </w:rPr>
              <w:t>满足项目要求</w:t>
            </w:r>
          </w:p>
        </w:tc>
        <w:tc>
          <w:tcPr>
            <w:tcW w:w="1388" w:type="dxa"/>
            <w:vAlign w:val="center"/>
          </w:tcPr>
          <w:p>
            <w:pPr>
              <w:spacing w:after="0" w:line="240" w:lineRule="auto"/>
              <w:jc w:val="center"/>
              <w:rPr>
                <w:color w:val="auto"/>
                <w:highlight w:val="none"/>
              </w:rPr>
            </w:pPr>
            <w:r>
              <w:rPr>
                <w:rFonts w:hint="eastAsia" w:ascii="Times New Roman"/>
                <w:color w:val="auto"/>
                <w:szCs w:val="21"/>
                <w:highlight w:val="none"/>
              </w:rPr>
              <w:t>套</w:t>
            </w:r>
          </w:p>
        </w:tc>
        <w:tc>
          <w:tcPr>
            <w:tcW w:w="2195" w:type="dxa"/>
          </w:tcPr>
          <w:p>
            <w:pPr>
              <w:spacing w:after="0" w:line="240" w:lineRule="auto"/>
              <w:jc w:val="center"/>
              <w:rPr>
                <w:color w:val="auto"/>
                <w:highlight w:val="none"/>
              </w:rPr>
            </w:pPr>
            <w:r>
              <w:rPr>
                <w:rFonts w:ascii="Times New Roman"/>
                <w:color w:val="auto"/>
                <w:szCs w:val="21"/>
                <w:highlight w:val="none"/>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2233" w:type="dxa"/>
            <w:vAlign w:val="center"/>
          </w:tcPr>
          <w:p>
            <w:pPr>
              <w:widowControl/>
              <w:spacing w:after="0" w:line="30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轻型触探仪</w:t>
            </w:r>
          </w:p>
        </w:tc>
        <w:tc>
          <w:tcPr>
            <w:tcW w:w="2744" w:type="dxa"/>
            <w:vAlign w:val="center"/>
          </w:tcPr>
          <w:p>
            <w:pPr>
              <w:spacing w:after="0" w:line="240" w:lineRule="auto"/>
              <w:jc w:val="center"/>
              <w:rPr>
                <w:color w:val="auto"/>
                <w:highlight w:val="none"/>
              </w:rPr>
            </w:pPr>
            <w:r>
              <w:rPr>
                <w:rFonts w:hint="eastAsia" w:ascii="Times New Roman"/>
                <w:color w:val="auto"/>
                <w:szCs w:val="21"/>
                <w:highlight w:val="none"/>
              </w:rPr>
              <w:t>满足项目要求</w:t>
            </w:r>
          </w:p>
        </w:tc>
        <w:tc>
          <w:tcPr>
            <w:tcW w:w="1388" w:type="dxa"/>
            <w:vAlign w:val="center"/>
          </w:tcPr>
          <w:p>
            <w:pPr>
              <w:spacing w:after="0" w:line="240" w:lineRule="auto"/>
              <w:jc w:val="center"/>
              <w:rPr>
                <w:color w:val="auto"/>
                <w:highlight w:val="none"/>
              </w:rPr>
            </w:pPr>
            <w:r>
              <w:rPr>
                <w:rFonts w:hint="eastAsia" w:ascii="Times New Roman"/>
                <w:color w:val="auto"/>
                <w:szCs w:val="21"/>
                <w:highlight w:val="none"/>
              </w:rPr>
              <w:t>套</w:t>
            </w:r>
          </w:p>
        </w:tc>
        <w:tc>
          <w:tcPr>
            <w:tcW w:w="2195" w:type="dxa"/>
          </w:tcPr>
          <w:p>
            <w:pPr>
              <w:spacing w:after="0" w:line="240" w:lineRule="auto"/>
              <w:jc w:val="center"/>
              <w:rPr>
                <w:color w:val="auto"/>
                <w:highlight w:val="none"/>
              </w:rPr>
            </w:pPr>
            <w:r>
              <w:rPr>
                <w:rFonts w:ascii="Times New Roman"/>
                <w:color w:val="auto"/>
                <w:szCs w:val="21"/>
                <w:highlight w:val="none"/>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2233" w:type="dxa"/>
            <w:vAlign w:val="center"/>
          </w:tcPr>
          <w:p>
            <w:pPr>
              <w:widowControl/>
              <w:spacing w:after="0" w:line="30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电动压力机（2000KN）</w:t>
            </w:r>
          </w:p>
        </w:tc>
        <w:tc>
          <w:tcPr>
            <w:tcW w:w="2744" w:type="dxa"/>
            <w:vAlign w:val="center"/>
          </w:tcPr>
          <w:p>
            <w:pPr>
              <w:spacing w:after="0" w:line="240" w:lineRule="auto"/>
              <w:jc w:val="center"/>
              <w:rPr>
                <w:color w:val="auto"/>
                <w:highlight w:val="none"/>
              </w:rPr>
            </w:pPr>
            <w:r>
              <w:rPr>
                <w:rFonts w:hint="eastAsia" w:ascii="Times New Roman"/>
                <w:color w:val="auto"/>
                <w:szCs w:val="21"/>
                <w:highlight w:val="none"/>
              </w:rPr>
              <w:t>满足项目要求</w:t>
            </w:r>
          </w:p>
        </w:tc>
        <w:tc>
          <w:tcPr>
            <w:tcW w:w="1388" w:type="dxa"/>
            <w:vAlign w:val="center"/>
          </w:tcPr>
          <w:p>
            <w:pPr>
              <w:spacing w:after="0" w:line="240" w:lineRule="auto"/>
              <w:jc w:val="center"/>
              <w:rPr>
                <w:color w:val="auto"/>
                <w:highlight w:val="none"/>
              </w:rPr>
            </w:pPr>
            <w:r>
              <w:rPr>
                <w:rFonts w:hint="eastAsia" w:ascii="Times New Roman"/>
                <w:color w:val="auto"/>
                <w:szCs w:val="21"/>
                <w:highlight w:val="none"/>
              </w:rPr>
              <w:t>套</w:t>
            </w:r>
          </w:p>
        </w:tc>
        <w:tc>
          <w:tcPr>
            <w:tcW w:w="2195" w:type="dxa"/>
          </w:tcPr>
          <w:p>
            <w:pPr>
              <w:spacing w:after="0" w:line="240" w:lineRule="auto"/>
              <w:jc w:val="center"/>
              <w:rPr>
                <w:color w:val="auto"/>
                <w:highlight w:val="none"/>
              </w:rPr>
            </w:pPr>
            <w:r>
              <w:rPr>
                <w:rFonts w:ascii="Times New Roman"/>
                <w:color w:val="auto"/>
                <w:szCs w:val="21"/>
                <w:highlight w:val="none"/>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2233" w:type="dxa"/>
            <w:vAlign w:val="center"/>
          </w:tcPr>
          <w:p>
            <w:pPr>
              <w:widowControl/>
              <w:spacing w:after="0" w:line="30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标准养护室</w:t>
            </w:r>
          </w:p>
        </w:tc>
        <w:tc>
          <w:tcPr>
            <w:tcW w:w="2744" w:type="dxa"/>
            <w:vAlign w:val="center"/>
          </w:tcPr>
          <w:p>
            <w:pPr>
              <w:spacing w:after="0" w:line="240" w:lineRule="auto"/>
              <w:jc w:val="center"/>
              <w:rPr>
                <w:color w:val="auto"/>
                <w:highlight w:val="none"/>
              </w:rPr>
            </w:pPr>
            <w:r>
              <w:rPr>
                <w:rFonts w:hint="eastAsia" w:ascii="Times New Roman"/>
                <w:color w:val="auto"/>
                <w:szCs w:val="21"/>
                <w:highlight w:val="none"/>
              </w:rPr>
              <w:t>满足项目要求</w:t>
            </w:r>
          </w:p>
        </w:tc>
        <w:tc>
          <w:tcPr>
            <w:tcW w:w="1388" w:type="dxa"/>
            <w:vAlign w:val="center"/>
          </w:tcPr>
          <w:p>
            <w:pPr>
              <w:spacing w:after="0" w:line="240" w:lineRule="auto"/>
              <w:jc w:val="center"/>
              <w:rPr>
                <w:color w:val="auto"/>
                <w:highlight w:val="none"/>
              </w:rPr>
            </w:pPr>
            <w:r>
              <w:rPr>
                <w:rFonts w:hint="eastAsia" w:ascii="Times New Roman"/>
                <w:color w:val="auto"/>
                <w:szCs w:val="21"/>
                <w:highlight w:val="none"/>
              </w:rPr>
              <w:t>套</w:t>
            </w:r>
          </w:p>
        </w:tc>
        <w:tc>
          <w:tcPr>
            <w:tcW w:w="2195" w:type="dxa"/>
          </w:tcPr>
          <w:p>
            <w:pPr>
              <w:spacing w:after="0" w:line="240" w:lineRule="auto"/>
              <w:jc w:val="center"/>
              <w:rPr>
                <w:color w:val="auto"/>
                <w:highlight w:val="none"/>
              </w:rPr>
            </w:pPr>
            <w:r>
              <w:rPr>
                <w:rFonts w:ascii="Times New Roman"/>
                <w:color w:val="auto"/>
                <w:szCs w:val="21"/>
                <w:highlight w:val="none"/>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2233" w:type="dxa"/>
            <w:vAlign w:val="center"/>
          </w:tcPr>
          <w:p>
            <w:pPr>
              <w:widowControl/>
              <w:spacing w:after="0" w:line="30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水泥混凝土搅拌机</w:t>
            </w:r>
          </w:p>
        </w:tc>
        <w:tc>
          <w:tcPr>
            <w:tcW w:w="2744" w:type="dxa"/>
            <w:vAlign w:val="center"/>
          </w:tcPr>
          <w:p>
            <w:pPr>
              <w:spacing w:after="0" w:line="240" w:lineRule="auto"/>
              <w:jc w:val="center"/>
              <w:rPr>
                <w:color w:val="auto"/>
                <w:highlight w:val="none"/>
              </w:rPr>
            </w:pPr>
            <w:r>
              <w:rPr>
                <w:rFonts w:hint="eastAsia" w:ascii="Times New Roman"/>
                <w:color w:val="auto"/>
                <w:szCs w:val="21"/>
                <w:highlight w:val="none"/>
              </w:rPr>
              <w:t>满足项目要求</w:t>
            </w:r>
          </w:p>
        </w:tc>
        <w:tc>
          <w:tcPr>
            <w:tcW w:w="1388" w:type="dxa"/>
            <w:vAlign w:val="center"/>
          </w:tcPr>
          <w:p>
            <w:pPr>
              <w:spacing w:after="0" w:line="240" w:lineRule="auto"/>
              <w:jc w:val="center"/>
              <w:rPr>
                <w:color w:val="auto"/>
                <w:highlight w:val="none"/>
              </w:rPr>
            </w:pPr>
            <w:r>
              <w:rPr>
                <w:rFonts w:hint="eastAsia" w:ascii="Times New Roman"/>
                <w:color w:val="auto"/>
                <w:szCs w:val="21"/>
                <w:highlight w:val="none"/>
              </w:rPr>
              <w:t>套</w:t>
            </w:r>
          </w:p>
        </w:tc>
        <w:tc>
          <w:tcPr>
            <w:tcW w:w="2195" w:type="dxa"/>
          </w:tcPr>
          <w:p>
            <w:pPr>
              <w:spacing w:after="0" w:line="240" w:lineRule="auto"/>
              <w:jc w:val="center"/>
              <w:rPr>
                <w:color w:val="auto"/>
                <w:highlight w:val="none"/>
              </w:rPr>
            </w:pPr>
            <w:r>
              <w:rPr>
                <w:rFonts w:ascii="Times New Roman"/>
                <w:color w:val="auto"/>
                <w:szCs w:val="21"/>
                <w:highlight w:val="none"/>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2233" w:type="dxa"/>
            <w:vAlign w:val="center"/>
          </w:tcPr>
          <w:p>
            <w:pPr>
              <w:widowControl/>
              <w:spacing w:after="0" w:line="30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振动台</w:t>
            </w:r>
          </w:p>
        </w:tc>
        <w:tc>
          <w:tcPr>
            <w:tcW w:w="2744" w:type="dxa"/>
            <w:vAlign w:val="center"/>
          </w:tcPr>
          <w:p>
            <w:pPr>
              <w:spacing w:after="0" w:line="240" w:lineRule="auto"/>
              <w:jc w:val="center"/>
              <w:rPr>
                <w:color w:val="auto"/>
                <w:highlight w:val="none"/>
              </w:rPr>
            </w:pPr>
            <w:r>
              <w:rPr>
                <w:rFonts w:hint="eastAsia" w:ascii="Times New Roman"/>
                <w:color w:val="auto"/>
                <w:szCs w:val="21"/>
                <w:highlight w:val="none"/>
              </w:rPr>
              <w:t>满足项目要求</w:t>
            </w:r>
          </w:p>
        </w:tc>
        <w:tc>
          <w:tcPr>
            <w:tcW w:w="1388" w:type="dxa"/>
            <w:vAlign w:val="center"/>
          </w:tcPr>
          <w:p>
            <w:pPr>
              <w:spacing w:after="0" w:line="240" w:lineRule="auto"/>
              <w:jc w:val="center"/>
              <w:rPr>
                <w:color w:val="auto"/>
                <w:highlight w:val="none"/>
              </w:rPr>
            </w:pPr>
            <w:r>
              <w:rPr>
                <w:rFonts w:hint="eastAsia" w:ascii="Times New Roman"/>
                <w:color w:val="auto"/>
                <w:szCs w:val="21"/>
                <w:highlight w:val="none"/>
              </w:rPr>
              <w:t>套</w:t>
            </w:r>
          </w:p>
        </w:tc>
        <w:tc>
          <w:tcPr>
            <w:tcW w:w="2195" w:type="dxa"/>
          </w:tcPr>
          <w:p>
            <w:pPr>
              <w:spacing w:after="0" w:line="240" w:lineRule="auto"/>
              <w:jc w:val="center"/>
              <w:rPr>
                <w:color w:val="auto"/>
                <w:highlight w:val="none"/>
              </w:rPr>
            </w:pPr>
            <w:r>
              <w:rPr>
                <w:rFonts w:ascii="Times New Roman"/>
                <w:color w:val="auto"/>
                <w:szCs w:val="21"/>
                <w:highlight w:val="none"/>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2233" w:type="dxa"/>
            <w:vAlign w:val="center"/>
          </w:tcPr>
          <w:p>
            <w:pPr>
              <w:widowControl/>
              <w:spacing w:after="0" w:line="30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抗折试验夹具</w:t>
            </w:r>
          </w:p>
        </w:tc>
        <w:tc>
          <w:tcPr>
            <w:tcW w:w="2744" w:type="dxa"/>
            <w:vAlign w:val="center"/>
          </w:tcPr>
          <w:p>
            <w:pPr>
              <w:spacing w:after="0" w:line="240" w:lineRule="auto"/>
              <w:jc w:val="center"/>
              <w:rPr>
                <w:color w:val="auto"/>
                <w:highlight w:val="none"/>
              </w:rPr>
            </w:pPr>
            <w:r>
              <w:rPr>
                <w:rFonts w:hint="eastAsia" w:ascii="Times New Roman"/>
                <w:color w:val="auto"/>
                <w:szCs w:val="21"/>
                <w:highlight w:val="none"/>
              </w:rPr>
              <w:t>满足项目要求</w:t>
            </w:r>
          </w:p>
        </w:tc>
        <w:tc>
          <w:tcPr>
            <w:tcW w:w="1388" w:type="dxa"/>
            <w:vAlign w:val="center"/>
          </w:tcPr>
          <w:p>
            <w:pPr>
              <w:spacing w:after="0" w:line="240" w:lineRule="auto"/>
              <w:jc w:val="center"/>
              <w:rPr>
                <w:color w:val="auto"/>
                <w:highlight w:val="none"/>
              </w:rPr>
            </w:pPr>
            <w:r>
              <w:rPr>
                <w:rFonts w:hint="eastAsia" w:ascii="Times New Roman"/>
                <w:color w:val="auto"/>
                <w:szCs w:val="21"/>
                <w:highlight w:val="none"/>
              </w:rPr>
              <w:t>套</w:t>
            </w:r>
          </w:p>
        </w:tc>
        <w:tc>
          <w:tcPr>
            <w:tcW w:w="2195" w:type="dxa"/>
          </w:tcPr>
          <w:p>
            <w:pPr>
              <w:spacing w:after="0" w:line="240" w:lineRule="auto"/>
              <w:jc w:val="center"/>
              <w:rPr>
                <w:color w:val="auto"/>
                <w:highlight w:val="none"/>
              </w:rPr>
            </w:pPr>
            <w:r>
              <w:rPr>
                <w:rFonts w:ascii="Times New Roman"/>
                <w:color w:val="auto"/>
                <w:szCs w:val="21"/>
                <w:highlight w:val="none"/>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2233" w:type="dxa"/>
            <w:vAlign w:val="center"/>
          </w:tcPr>
          <w:p>
            <w:pPr>
              <w:widowControl/>
              <w:spacing w:after="0" w:line="30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千分表</w:t>
            </w:r>
          </w:p>
        </w:tc>
        <w:tc>
          <w:tcPr>
            <w:tcW w:w="2744" w:type="dxa"/>
            <w:vAlign w:val="center"/>
          </w:tcPr>
          <w:p>
            <w:pPr>
              <w:spacing w:after="0" w:line="240" w:lineRule="auto"/>
              <w:jc w:val="center"/>
              <w:rPr>
                <w:color w:val="auto"/>
                <w:highlight w:val="none"/>
              </w:rPr>
            </w:pPr>
            <w:r>
              <w:rPr>
                <w:rFonts w:hint="eastAsia" w:ascii="Times New Roman"/>
                <w:color w:val="auto"/>
                <w:szCs w:val="21"/>
                <w:highlight w:val="none"/>
              </w:rPr>
              <w:t>满足项目要求</w:t>
            </w:r>
          </w:p>
        </w:tc>
        <w:tc>
          <w:tcPr>
            <w:tcW w:w="1388" w:type="dxa"/>
            <w:vAlign w:val="center"/>
          </w:tcPr>
          <w:p>
            <w:pPr>
              <w:spacing w:after="0" w:line="240" w:lineRule="auto"/>
              <w:jc w:val="center"/>
              <w:rPr>
                <w:color w:val="auto"/>
                <w:highlight w:val="none"/>
              </w:rPr>
            </w:pPr>
            <w:r>
              <w:rPr>
                <w:rFonts w:hint="eastAsia" w:ascii="Times New Roman"/>
                <w:color w:val="auto"/>
                <w:szCs w:val="21"/>
                <w:highlight w:val="none"/>
              </w:rPr>
              <w:t>套</w:t>
            </w:r>
          </w:p>
        </w:tc>
        <w:tc>
          <w:tcPr>
            <w:tcW w:w="2195" w:type="dxa"/>
          </w:tcPr>
          <w:p>
            <w:pPr>
              <w:spacing w:after="0" w:line="240" w:lineRule="auto"/>
              <w:jc w:val="center"/>
              <w:rPr>
                <w:color w:val="auto"/>
                <w:highlight w:val="none"/>
              </w:rPr>
            </w:pPr>
            <w:r>
              <w:rPr>
                <w:rFonts w:ascii="Times New Roman"/>
                <w:color w:val="auto"/>
                <w:szCs w:val="21"/>
                <w:highlight w:val="none"/>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2233" w:type="dxa"/>
            <w:vAlign w:val="center"/>
          </w:tcPr>
          <w:p>
            <w:pPr>
              <w:widowControl/>
              <w:spacing w:after="0" w:line="30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坍落度筒</w:t>
            </w:r>
          </w:p>
        </w:tc>
        <w:tc>
          <w:tcPr>
            <w:tcW w:w="2744" w:type="dxa"/>
            <w:vAlign w:val="center"/>
          </w:tcPr>
          <w:p>
            <w:pPr>
              <w:spacing w:after="0" w:line="240" w:lineRule="auto"/>
              <w:jc w:val="center"/>
              <w:rPr>
                <w:color w:val="auto"/>
                <w:highlight w:val="none"/>
              </w:rPr>
            </w:pPr>
            <w:r>
              <w:rPr>
                <w:rFonts w:hint="eastAsia" w:ascii="Times New Roman"/>
                <w:color w:val="auto"/>
                <w:szCs w:val="21"/>
                <w:highlight w:val="none"/>
              </w:rPr>
              <w:t>满足项目要求</w:t>
            </w:r>
          </w:p>
        </w:tc>
        <w:tc>
          <w:tcPr>
            <w:tcW w:w="1388" w:type="dxa"/>
            <w:vAlign w:val="center"/>
          </w:tcPr>
          <w:p>
            <w:pPr>
              <w:spacing w:after="0" w:line="240" w:lineRule="auto"/>
              <w:jc w:val="center"/>
              <w:rPr>
                <w:color w:val="auto"/>
                <w:highlight w:val="none"/>
              </w:rPr>
            </w:pPr>
            <w:r>
              <w:rPr>
                <w:rFonts w:hint="eastAsia" w:ascii="Times New Roman"/>
                <w:color w:val="auto"/>
                <w:szCs w:val="21"/>
                <w:highlight w:val="none"/>
              </w:rPr>
              <w:t>套</w:t>
            </w:r>
          </w:p>
        </w:tc>
        <w:tc>
          <w:tcPr>
            <w:tcW w:w="2195" w:type="dxa"/>
          </w:tcPr>
          <w:p>
            <w:pPr>
              <w:spacing w:after="0" w:line="240" w:lineRule="auto"/>
              <w:jc w:val="center"/>
              <w:rPr>
                <w:color w:val="auto"/>
                <w:highlight w:val="none"/>
              </w:rPr>
            </w:pPr>
            <w:r>
              <w:rPr>
                <w:rFonts w:ascii="Times New Roman"/>
                <w:color w:val="auto"/>
                <w:szCs w:val="21"/>
                <w:highlight w:val="none"/>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2233" w:type="dxa"/>
            <w:vAlign w:val="center"/>
          </w:tcPr>
          <w:p>
            <w:pPr>
              <w:widowControl/>
              <w:spacing w:after="0" w:line="30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容量筒</w:t>
            </w:r>
          </w:p>
        </w:tc>
        <w:tc>
          <w:tcPr>
            <w:tcW w:w="2744" w:type="dxa"/>
            <w:vAlign w:val="center"/>
          </w:tcPr>
          <w:p>
            <w:pPr>
              <w:spacing w:after="0" w:line="240" w:lineRule="auto"/>
              <w:jc w:val="center"/>
              <w:rPr>
                <w:color w:val="auto"/>
                <w:highlight w:val="none"/>
              </w:rPr>
            </w:pPr>
            <w:r>
              <w:rPr>
                <w:rFonts w:hint="eastAsia" w:ascii="Times New Roman"/>
                <w:color w:val="auto"/>
                <w:szCs w:val="21"/>
                <w:highlight w:val="none"/>
              </w:rPr>
              <w:t>满足项目要求</w:t>
            </w:r>
          </w:p>
        </w:tc>
        <w:tc>
          <w:tcPr>
            <w:tcW w:w="1388" w:type="dxa"/>
            <w:vAlign w:val="center"/>
          </w:tcPr>
          <w:p>
            <w:pPr>
              <w:spacing w:after="0" w:line="240" w:lineRule="auto"/>
              <w:jc w:val="center"/>
              <w:rPr>
                <w:color w:val="auto"/>
                <w:highlight w:val="none"/>
              </w:rPr>
            </w:pPr>
            <w:r>
              <w:rPr>
                <w:rFonts w:hint="eastAsia" w:ascii="Times New Roman"/>
                <w:color w:val="auto"/>
                <w:szCs w:val="21"/>
                <w:highlight w:val="none"/>
              </w:rPr>
              <w:t>套</w:t>
            </w:r>
          </w:p>
        </w:tc>
        <w:tc>
          <w:tcPr>
            <w:tcW w:w="2195" w:type="dxa"/>
          </w:tcPr>
          <w:p>
            <w:pPr>
              <w:spacing w:after="0" w:line="240" w:lineRule="auto"/>
              <w:jc w:val="center"/>
              <w:rPr>
                <w:color w:val="auto"/>
                <w:highlight w:val="none"/>
              </w:rPr>
            </w:pPr>
            <w:r>
              <w:rPr>
                <w:rFonts w:ascii="Times New Roman"/>
                <w:color w:val="auto"/>
                <w:szCs w:val="21"/>
                <w:highlight w:val="none"/>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2233" w:type="dxa"/>
            <w:vAlign w:val="center"/>
          </w:tcPr>
          <w:p>
            <w:pPr>
              <w:widowControl/>
              <w:spacing w:after="0" w:line="30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芯样劈裂试验夹具</w:t>
            </w:r>
          </w:p>
        </w:tc>
        <w:tc>
          <w:tcPr>
            <w:tcW w:w="2744" w:type="dxa"/>
            <w:vAlign w:val="center"/>
          </w:tcPr>
          <w:p>
            <w:pPr>
              <w:spacing w:after="0" w:line="240" w:lineRule="auto"/>
              <w:jc w:val="center"/>
              <w:rPr>
                <w:color w:val="auto"/>
                <w:highlight w:val="none"/>
              </w:rPr>
            </w:pPr>
            <w:r>
              <w:rPr>
                <w:rFonts w:hint="eastAsia" w:ascii="Times New Roman"/>
                <w:color w:val="auto"/>
                <w:szCs w:val="21"/>
                <w:highlight w:val="none"/>
              </w:rPr>
              <w:t>满足项目要求</w:t>
            </w:r>
          </w:p>
        </w:tc>
        <w:tc>
          <w:tcPr>
            <w:tcW w:w="1388" w:type="dxa"/>
            <w:vAlign w:val="center"/>
          </w:tcPr>
          <w:p>
            <w:pPr>
              <w:spacing w:after="0" w:line="240" w:lineRule="auto"/>
              <w:jc w:val="center"/>
              <w:rPr>
                <w:color w:val="auto"/>
                <w:highlight w:val="none"/>
              </w:rPr>
            </w:pPr>
            <w:r>
              <w:rPr>
                <w:rFonts w:hint="eastAsia" w:ascii="Times New Roman"/>
                <w:color w:val="auto"/>
                <w:szCs w:val="21"/>
                <w:highlight w:val="none"/>
              </w:rPr>
              <w:t>套</w:t>
            </w:r>
          </w:p>
        </w:tc>
        <w:tc>
          <w:tcPr>
            <w:tcW w:w="2195" w:type="dxa"/>
          </w:tcPr>
          <w:p>
            <w:pPr>
              <w:spacing w:after="0" w:line="240" w:lineRule="auto"/>
              <w:jc w:val="center"/>
              <w:rPr>
                <w:color w:val="auto"/>
                <w:highlight w:val="none"/>
              </w:rPr>
            </w:pPr>
            <w:r>
              <w:rPr>
                <w:rFonts w:ascii="Times New Roman"/>
                <w:color w:val="auto"/>
                <w:szCs w:val="21"/>
                <w:highlight w:val="none"/>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2233" w:type="dxa"/>
            <w:vAlign w:val="center"/>
          </w:tcPr>
          <w:p>
            <w:pPr>
              <w:widowControl/>
              <w:spacing w:after="0" w:line="30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水泥砂浆稠度仪</w:t>
            </w:r>
          </w:p>
        </w:tc>
        <w:tc>
          <w:tcPr>
            <w:tcW w:w="2744" w:type="dxa"/>
            <w:vAlign w:val="center"/>
          </w:tcPr>
          <w:p>
            <w:pPr>
              <w:spacing w:after="0" w:line="240" w:lineRule="auto"/>
              <w:jc w:val="center"/>
              <w:rPr>
                <w:color w:val="auto"/>
                <w:highlight w:val="none"/>
              </w:rPr>
            </w:pPr>
            <w:r>
              <w:rPr>
                <w:rFonts w:hint="eastAsia" w:ascii="Times New Roman"/>
                <w:color w:val="auto"/>
                <w:szCs w:val="21"/>
                <w:highlight w:val="none"/>
              </w:rPr>
              <w:t>满足项目要求</w:t>
            </w:r>
          </w:p>
        </w:tc>
        <w:tc>
          <w:tcPr>
            <w:tcW w:w="1388" w:type="dxa"/>
            <w:vAlign w:val="center"/>
          </w:tcPr>
          <w:p>
            <w:pPr>
              <w:spacing w:after="0" w:line="240" w:lineRule="auto"/>
              <w:jc w:val="center"/>
              <w:rPr>
                <w:color w:val="auto"/>
                <w:highlight w:val="none"/>
              </w:rPr>
            </w:pPr>
            <w:r>
              <w:rPr>
                <w:rFonts w:hint="eastAsia" w:ascii="Times New Roman"/>
                <w:color w:val="auto"/>
                <w:szCs w:val="21"/>
                <w:highlight w:val="none"/>
              </w:rPr>
              <w:t>套</w:t>
            </w:r>
          </w:p>
        </w:tc>
        <w:tc>
          <w:tcPr>
            <w:tcW w:w="2195" w:type="dxa"/>
          </w:tcPr>
          <w:p>
            <w:pPr>
              <w:spacing w:after="0" w:line="240" w:lineRule="auto"/>
              <w:jc w:val="center"/>
              <w:rPr>
                <w:color w:val="auto"/>
                <w:highlight w:val="none"/>
              </w:rPr>
            </w:pPr>
            <w:r>
              <w:rPr>
                <w:rFonts w:ascii="Times New Roman"/>
                <w:color w:val="auto"/>
                <w:szCs w:val="21"/>
                <w:highlight w:val="none"/>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2233" w:type="dxa"/>
            <w:vAlign w:val="center"/>
          </w:tcPr>
          <w:p>
            <w:pPr>
              <w:widowControl/>
              <w:spacing w:after="0" w:line="30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各种试模</w:t>
            </w:r>
          </w:p>
        </w:tc>
        <w:tc>
          <w:tcPr>
            <w:tcW w:w="2744" w:type="dxa"/>
            <w:vAlign w:val="center"/>
          </w:tcPr>
          <w:p>
            <w:pPr>
              <w:spacing w:after="0" w:line="240" w:lineRule="auto"/>
              <w:jc w:val="center"/>
              <w:rPr>
                <w:color w:val="auto"/>
                <w:highlight w:val="none"/>
              </w:rPr>
            </w:pPr>
            <w:r>
              <w:rPr>
                <w:rFonts w:hint="eastAsia" w:ascii="Times New Roman"/>
                <w:color w:val="auto"/>
                <w:szCs w:val="21"/>
                <w:highlight w:val="none"/>
              </w:rPr>
              <w:t>满足项目要求</w:t>
            </w:r>
          </w:p>
        </w:tc>
        <w:tc>
          <w:tcPr>
            <w:tcW w:w="1388" w:type="dxa"/>
            <w:vAlign w:val="center"/>
          </w:tcPr>
          <w:p>
            <w:pPr>
              <w:spacing w:after="0" w:line="240" w:lineRule="auto"/>
              <w:jc w:val="center"/>
              <w:rPr>
                <w:color w:val="auto"/>
                <w:highlight w:val="none"/>
              </w:rPr>
            </w:pPr>
            <w:r>
              <w:rPr>
                <w:rFonts w:hint="eastAsia" w:ascii="Times New Roman"/>
                <w:color w:val="auto"/>
                <w:szCs w:val="21"/>
                <w:highlight w:val="none"/>
              </w:rPr>
              <w:t>套</w:t>
            </w:r>
          </w:p>
        </w:tc>
        <w:tc>
          <w:tcPr>
            <w:tcW w:w="2195" w:type="dxa"/>
          </w:tcPr>
          <w:p>
            <w:pPr>
              <w:spacing w:after="0" w:line="240" w:lineRule="auto"/>
              <w:jc w:val="center"/>
              <w:rPr>
                <w:color w:val="auto"/>
                <w:highlight w:val="none"/>
              </w:rPr>
            </w:pPr>
            <w:r>
              <w:rPr>
                <w:rFonts w:ascii="Times New Roman"/>
                <w:color w:val="auto"/>
                <w:szCs w:val="21"/>
                <w:highlight w:val="none"/>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2233" w:type="dxa"/>
            <w:vAlign w:val="center"/>
          </w:tcPr>
          <w:p>
            <w:pPr>
              <w:widowControl/>
              <w:spacing w:after="0" w:line="30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全站仪</w:t>
            </w:r>
          </w:p>
        </w:tc>
        <w:tc>
          <w:tcPr>
            <w:tcW w:w="2744" w:type="dxa"/>
            <w:vAlign w:val="center"/>
          </w:tcPr>
          <w:p>
            <w:pPr>
              <w:spacing w:after="0" w:line="240" w:lineRule="auto"/>
              <w:jc w:val="center"/>
              <w:rPr>
                <w:color w:val="auto"/>
                <w:highlight w:val="none"/>
              </w:rPr>
            </w:pPr>
            <w:r>
              <w:rPr>
                <w:rFonts w:hint="eastAsia" w:ascii="Times New Roman"/>
                <w:color w:val="auto"/>
                <w:szCs w:val="21"/>
                <w:highlight w:val="none"/>
              </w:rPr>
              <w:t>满足项目要求</w:t>
            </w:r>
          </w:p>
        </w:tc>
        <w:tc>
          <w:tcPr>
            <w:tcW w:w="1388" w:type="dxa"/>
            <w:vAlign w:val="center"/>
          </w:tcPr>
          <w:p>
            <w:pPr>
              <w:spacing w:after="0" w:line="240" w:lineRule="auto"/>
              <w:jc w:val="center"/>
              <w:rPr>
                <w:color w:val="auto"/>
                <w:highlight w:val="none"/>
              </w:rPr>
            </w:pPr>
            <w:r>
              <w:rPr>
                <w:rFonts w:hint="eastAsia" w:ascii="Times New Roman"/>
                <w:color w:val="auto"/>
                <w:szCs w:val="21"/>
                <w:highlight w:val="none"/>
              </w:rPr>
              <w:t>套</w:t>
            </w:r>
          </w:p>
        </w:tc>
        <w:tc>
          <w:tcPr>
            <w:tcW w:w="2195" w:type="dxa"/>
          </w:tcPr>
          <w:p>
            <w:pPr>
              <w:spacing w:after="0" w:line="240" w:lineRule="auto"/>
              <w:jc w:val="center"/>
              <w:rPr>
                <w:color w:val="auto"/>
                <w:highlight w:val="none"/>
              </w:rPr>
            </w:pPr>
            <w:r>
              <w:rPr>
                <w:rFonts w:ascii="Times New Roman"/>
                <w:color w:val="auto"/>
                <w:szCs w:val="21"/>
                <w:highlight w:val="none"/>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2233" w:type="dxa"/>
            <w:vAlign w:val="center"/>
          </w:tcPr>
          <w:p>
            <w:pPr>
              <w:widowControl/>
              <w:spacing w:after="0" w:line="30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水准仪</w:t>
            </w:r>
          </w:p>
        </w:tc>
        <w:tc>
          <w:tcPr>
            <w:tcW w:w="2744" w:type="dxa"/>
            <w:vAlign w:val="center"/>
          </w:tcPr>
          <w:p>
            <w:pPr>
              <w:spacing w:after="0" w:line="240" w:lineRule="auto"/>
              <w:jc w:val="center"/>
              <w:rPr>
                <w:color w:val="auto"/>
                <w:highlight w:val="none"/>
              </w:rPr>
            </w:pPr>
            <w:r>
              <w:rPr>
                <w:rFonts w:hint="eastAsia" w:ascii="Times New Roman"/>
                <w:color w:val="auto"/>
                <w:szCs w:val="21"/>
                <w:highlight w:val="none"/>
              </w:rPr>
              <w:t>满足项目要求</w:t>
            </w:r>
          </w:p>
        </w:tc>
        <w:tc>
          <w:tcPr>
            <w:tcW w:w="1388" w:type="dxa"/>
            <w:vAlign w:val="center"/>
          </w:tcPr>
          <w:p>
            <w:pPr>
              <w:spacing w:after="0" w:line="240" w:lineRule="auto"/>
              <w:jc w:val="center"/>
              <w:rPr>
                <w:color w:val="auto"/>
                <w:highlight w:val="none"/>
              </w:rPr>
            </w:pPr>
            <w:r>
              <w:rPr>
                <w:rFonts w:hint="eastAsia" w:ascii="Times New Roman"/>
                <w:color w:val="auto"/>
                <w:szCs w:val="21"/>
                <w:highlight w:val="none"/>
              </w:rPr>
              <w:t>套</w:t>
            </w:r>
          </w:p>
        </w:tc>
        <w:tc>
          <w:tcPr>
            <w:tcW w:w="2195" w:type="dxa"/>
          </w:tcPr>
          <w:p>
            <w:pPr>
              <w:spacing w:after="0" w:line="240" w:lineRule="auto"/>
              <w:jc w:val="center"/>
              <w:rPr>
                <w:color w:val="auto"/>
                <w:highlight w:val="none"/>
              </w:rPr>
            </w:pPr>
            <w:r>
              <w:rPr>
                <w:rFonts w:ascii="Times New Roman"/>
                <w:color w:val="auto"/>
                <w:szCs w:val="21"/>
                <w:highlight w:val="none"/>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2233" w:type="dxa"/>
            <w:vAlign w:val="center"/>
          </w:tcPr>
          <w:p>
            <w:pPr>
              <w:widowControl/>
              <w:spacing w:after="0" w:line="30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钢尺</w:t>
            </w:r>
          </w:p>
        </w:tc>
        <w:tc>
          <w:tcPr>
            <w:tcW w:w="2744" w:type="dxa"/>
            <w:vAlign w:val="center"/>
          </w:tcPr>
          <w:p>
            <w:pPr>
              <w:spacing w:after="0" w:line="240" w:lineRule="auto"/>
              <w:jc w:val="center"/>
              <w:rPr>
                <w:color w:val="auto"/>
                <w:highlight w:val="none"/>
              </w:rPr>
            </w:pPr>
            <w:r>
              <w:rPr>
                <w:rFonts w:hint="eastAsia" w:ascii="Times New Roman"/>
                <w:color w:val="auto"/>
                <w:szCs w:val="21"/>
                <w:highlight w:val="none"/>
              </w:rPr>
              <w:t>满足项目要求</w:t>
            </w:r>
          </w:p>
        </w:tc>
        <w:tc>
          <w:tcPr>
            <w:tcW w:w="1388" w:type="dxa"/>
            <w:vAlign w:val="center"/>
          </w:tcPr>
          <w:p>
            <w:pPr>
              <w:spacing w:after="0" w:line="240" w:lineRule="auto"/>
              <w:jc w:val="center"/>
              <w:rPr>
                <w:color w:val="auto"/>
                <w:highlight w:val="none"/>
              </w:rPr>
            </w:pPr>
            <w:r>
              <w:rPr>
                <w:rFonts w:hint="eastAsia" w:ascii="Times New Roman"/>
                <w:color w:val="auto"/>
                <w:szCs w:val="21"/>
                <w:highlight w:val="none"/>
              </w:rPr>
              <w:t>套</w:t>
            </w:r>
          </w:p>
        </w:tc>
        <w:tc>
          <w:tcPr>
            <w:tcW w:w="2195" w:type="dxa"/>
          </w:tcPr>
          <w:p>
            <w:pPr>
              <w:spacing w:after="0" w:line="240" w:lineRule="auto"/>
              <w:jc w:val="center"/>
              <w:rPr>
                <w:color w:val="auto"/>
                <w:highlight w:val="none"/>
              </w:rPr>
            </w:pPr>
            <w:r>
              <w:rPr>
                <w:rFonts w:ascii="Times New Roman"/>
                <w:color w:val="auto"/>
                <w:szCs w:val="21"/>
                <w:highlight w:val="none"/>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2233" w:type="dxa"/>
            <w:vAlign w:val="center"/>
          </w:tcPr>
          <w:p>
            <w:pPr>
              <w:widowControl/>
              <w:spacing w:after="0" w:line="30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环刀</w:t>
            </w:r>
          </w:p>
        </w:tc>
        <w:tc>
          <w:tcPr>
            <w:tcW w:w="2744" w:type="dxa"/>
            <w:vAlign w:val="center"/>
          </w:tcPr>
          <w:p>
            <w:pPr>
              <w:spacing w:after="0" w:line="240" w:lineRule="auto"/>
              <w:jc w:val="center"/>
              <w:rPr>
                <w:color w:val="auto"/>
                <w:highlight w:val="none"/>
              </w:rPr>
            </w:pPr>
            <w:r>
              <w:rPr>
                <w:rFonts w:hint="eastAsia" w:ascii="Times New Roman"/>
                <w:color w:val="auto"/>
                <w:szCs w:val="21"/>
                <w:highlight w:val="none"/>
              </w:rPr>
              <w:t>满足项目要求</w:t>
            </w:r>
          </w:p>
        </w:tc>
        <w:tc>
          <w:tcPr>
            <w:tcW w:w="1388" w:type="dxa"/>
            <w:vAlign w:val="center"/>
          </w:tcPr>
          <w:p>
            <w:pPr>
              <w:spacing w:after="0" w:line="240" w:lineRule="auto"/>
              <w:jc w:val="center"/>
              <w:rPr>
                <w:color w:val="auto"/>
                <w:highlight w:val="none"/>
              </w:rPr>
            </w:pPr>
            <w:r>
              <w:rPr>
                <w:rFonts w:hint="eastAsia" w:ascii="Times New Roman"/>
                <w:color w:val="auto"/>
                <w:szCs w:val="21"/>
                <w:highlight w:val="none"/>
              </w:rPr>
              <w:t>套</w:t>
            </w:r>
          </w:p>
        </w:tc>
        <w:tc>
          <w:tcPr>
            <w:tcW w:w="2195" w:type="dxa"/>
          </w:tcPr>
          <w:p>
            <w:pPr>
              <w:spacing w:after="0" w:line="240" w:lineRule="auto"/>
              <w:jc w:val="center"/>
              <w:rPr>
                <w:color w:val="auto"/>
                <w:highlight w:val="none"/>
              </w:rPr>
            </w:pPr>
            <w:r>
              <w:rPr>
                <w:rFonts w:ascii="Times New Roman"/>
                <w:color w:val="auto"/>
                <w:szCs w:val="21"/>
                <w:highlight w:val="none"/>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2233" w:type="dxa"/>
            <w:vAlign w:val="center"/>
          </w:tcPr>
          <w:p>
            <w:pPr>
              <w:widowControl/>
              <w:spacing w:after="0" w:line="30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灌砂筒</w:t>
            </w:r>
          </w:p>
        </w:tc>
        <w:tc>
          <w:tcPr>
            <w:tcW w:w="2744" w:type="dxa"/>
            <w:vAlign w:val="center"/>
          </w:tcPr>
          <w:p>
            <w:pPr>
              <w:spacing w:after="0" w:line="240" w:lineRule="auto"/>
              <w:jc w:val="center"/>
              <w:rPr>
                <w:color w:val="auto"/>
                <w:highlight w:val="none"/>
              </w:rPr>
            </w:pPr>
            <w:r>
              <w:rPr>
                <w:rFonts w:hint="eastAsia" w:ascii="Times New Roman"/>
                <w:color w:val="auto"/>
                <w:szCs w:val="21"/>
                <w:highlight w:val="none"/>
              </w:rPr>
              <w:t>满足项目要求</w:t>
            </w:r>
          </w:p>
        </w:tc>
        <w:tc>
          <w:tcPr>
            <w:tcW w:w="1388" w:type="dxa"/>
            <w:vAlign w:val="center"/>
          </w:tcPr>
          <w:p>
            <w:pPr>
              <w:spacing w:after="0" w:line="240" w:lineRule="auto"/>
              <w:jc w:val="center"/>
              <w:rPr>
                <w:color w:val="auto"/>
                <w:highlight w:val="none"/>
              </w:rPr>
            </w:pPr>
            <w:r>
              <w:rPr>
                <w:rFonts w:hint="eastAsia" w:ascii="Times New Roman"/>
                <w:color w:val="auto"/>
                <w:szCs w:val="21"/>
                <w:highlight w:val="none"/>
              </w:rPr>
              <w:t>套</w:t>
            </w:r>
          </w:p>
        </w:tc>
        <w:tc>
          <w:tcPr>
            <w:tcW w:w="2195" w:type="dxa"/>
          </w:tcPr>
          <w:p>
            <w:pPr>
              <w:spacing w:after="0" w:line="240" w:lineRule="auto"/>
              <w:jc w:val="center"/>
              <w:rPr>
                <w:color w:val="auto"/>
                <w:highlight w:val="none"/>
              </w:rPr>
            </w:pPr>
            <w:r>
              <w:rPr>
                <w:rFonts w:ascii="Times New Roman"/>
                <w:color w:val="auto"/>
                <w:szCs w:val="21"/>
                <w:highlight w:val="none"/>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2233" w:type="dxa"/>
            <w:vAlign w:val="center"/>
          </w:tcPr>
          <w:p>
            <w:pPr>
              <w:widowControl/>
              <w:spacing w:after="0" w:line="30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取芯机</w:t>
            </w:r>
          </w:p>
        </w:tc>
        <w:tc>
          <w:tcPr>
            <w:tcW w:w="2744" w:type="dxa"/>
            <w:vAlign w:val="center"/>
          </w:tcPr>
          <w:p>
            <w:pPr>
              <w:spacing w:after="0" w:line="240" w:lineRule="auto"/>
              <w:jc w:val="center"/>
              <w:rPr>
                <w:color w:val="auto"/>
                <w:highlight w:val="none"/>
              </w:rPr>
            </w:pPr>
            <w:r>
              <w:rPr>
                <w:rFonts w:hint="eastAsia" w:ascii="Times New Roman"/>
                <w:color w:val="auto"/>
                <w:szCs w:val="21"/>
                <w:highlight w:val="none"/>
              </w:rPr>
              <w:t>满足项目要求</w:t>
            </w:r>
          </w:p>
        </w:tc>
        <w:tc>
          <w:tcPr>
            <w:tcW w:w="1388" w:type="dxa"/>
            <w:vAlign w:val="center"/>
          </w:tcPr>
          <w:p>
            <w:pPr>
              <w:spacing w:after="0" w:line="240" w:lineRule="auto"/>
              <w:jc w:val="center"/>
              <w:rPr>
                <w:color w:val="auto"/>
                <w:highlight w:val="none"/>
              </w:rPr>
            </w:pPr>
            <w:r>
              <w:rPr>
                <w:rFonts w:hint="eastAsia" w:ascii="Times New Roman"/>
                <w:color w:val="auto"/>
                <w:szCs w:val="21"/>
                <w:highlight w:val="none"/>
              </w:rPr>
              <w:t>套</w:t>
            </w:r>
          </w:p>
        </w:tc>
        <w:tc>
          <w:tcPr>
            <w:tcW w:w="2195" w:type="dxa"/>
          </w:tcPr>
          <w:p>
            <w:pPr>
              <w:spacing w:after="0" w:line="240" w:lineRule="auto"/>
              <w:jc w:val="center"/>
              <w:rPr>
                <w:color w:val="auto"/>
                <w:highlight w:val="none"/>
              </w:rPr>
            </w:pPr>
            <w:r>
              <w:rPr>
                <w:rFonts w:ascii="Times New Roman"/>
                <w:color w:val="auto"/>
                <w:szCs w:val="21"/>
                <w:highlight w:val="none"/>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2233" w:type="dxa"/>
            <w:vAlign w:val="center"/>
          </w:tcPr>
          <w:p>
            <w:pPr>
              <w:widowControl/>
              <w:spacing w:after="0" w:line="30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弯沉测试设备</w:t>
            </w:r>
          </w:p>
        </w:tc>
        <w:tc>
          <w:tcPr>
            <w:tcW w:w="2744" w:type="dxa"/>
            <w:vAlign w:val="center"/>
          </w:tcPr>
          <w:p>
            <w:pPr>
              <w:spacing w:after="0" w:line="240" w:lineRule="auto"/>
              <w:jc w:val="center"/>
              <w:rPr>
                <w:color w:val="auto"/>
                <w:highlight w:val="none"/>
              </w:rPr>
            </w:pPr>
            <w:r>
              <w:rPr>
                <w:rFonts w:hint="eastAsia" w:ascii="Times New Roman"/>
                <w:color w:val="auto"/>
                <w:szCs w:val="21"/>
                <w:highlight w:val="none"/>
              </w:rPr>
              <w:t>满足项目要求</w:t>
            </w:r>
          </w:p>
        </w:tc>
        <w:tc>
          <w:tcPr>
            <w:tcW w:w="1388" w:type="dxa"/>
            <w:vAlign w:val="center"/>
          </w:tcPr>
          <w:p>
            <w:pPr>
              <w:spacing w:after="0" w:line="240" w:lineRule="auto"/>
              <w:jc w:val="center"/>
              <w:rPr>
                <w:color w:val="auto"/>
                <w:highlight w:val="none"/>
              </w:rPr>
            </w:pPr>
            <w:r>
              <w:rPr>
                <w:rFonts w:hint="eastAsia" w:ascii="Times New Roman"/>
                <w:color w:val="auto"/>
                <w:szCs w:val="21"/>
                <w:highlight w:val="none"/>
              </w:rPr>
              <w:t>套</w:t>
            </w:r>
          </w:p>
        </w:tc>
        <w:tc>
          <w:tcPr>
            <w:tcW w:w="2195" w:type="dxa"/>
          </w:tcPr>
          <w:p>
            <w:pPr>
              <w:spacing w:after="0" w:line="240" w:lineRule="auto"/>
              <w:jc w:val="center"/>
              <w:rPr>
                <w:color w:val="auto"/>
                <w:highlight w:val="none"/>
              </w:rPr>
            </w:pPr>
            <w:r>
              <w:rPr>
                <w:rFonts w:ascii="Times New Roman"/>
                <w:color w:val="auto"/>
                <w:szCs w:val="21"/>
                <w:highlight w:val="none"/>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2233" w:type="dxa"/>
            <w:vAlign w:val="center"/>
          </w:tcPr>
          <w:p>
            <w:pPr>
              <w:widowControl/>
              <w:spacing w:after="0" w:line="30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平整度测试设备</w:t>
            </w:r>
          </w:p>
        </w:tc>
        <w:tc>
          <w:tcPr>
            <w:tcW w:w="2744" w:type="dxa"/>
            <w:vAlign w:val="center"/>
          </w:tcPr>
          <w:p>
            <w:pPr>
              <w:spacing w:after="0" w:line="240" w:lineRule="auto"/>
              <w:jc w:val="center"/>
              <w:rPr>
                <w:color w:val="auto"/>
                <w:highlight w:val="none"/>
              </w:rPr>
            </w:pPr>
            <w:r>
              <w:rPr>
                <w:rFonts w:hint="eastAsia" w:ascii="Times New Roman"/>
                <w:color w:val="auto"/>
                <w:szCs w:val="21"/>
                <w:highlight w:val="none"/>
              </w:rPr>
              <w:t>满足项目要求</w:t>
            </w:r>
          </w:p>
        </w:tc>
        <w:tc>
          <w:tcPr>
            <w:tcW w:w="1388" w:type="dxa"/>
            <w:vAlign w:val="center"/>
          </w:tcPr>
          <w:p>
            <w:pPr>
              <w:spacing w:after="0" w:line="240" w:lineRule="auto"/>
              <w:jc w:val="center"/>
              <w:rPr>
                <w:color w:val="auto"/>
                <w:highlight w:val="none"/>
              </w:rPr>
            </w:pPr>
            <w:r>
              <w:rPr>
                <w:rFonts w:hint="eastAsia" w:ascii="Times New Roman"/>
                <w:color w:val="auto"/>
                <w:szCs w:val="21"/>
                <w:highlight w:val="none"/>
              </w:rPr>
              <w:t>套</w:t>
            </w:r>
          </w:p>
        </w:tc>
        <w:tc>
          <w:tcPr>
            <w:tcW w:w="2195" w:type="dxa"/>
          </w:tcPr>
          <w:p>
            <w:pPr>
              <w:spacing w:after="0" w:line="240" w:lineRule="auto"/>
              <w:jc w:val="center"/>
              <w:rPr>
                <w:color w:val="auto"/>
                <w:highlight w:val="none"/>
              </w:rPr>
            </w:pPr>
            <w:r>
              <w:rPr>
                <w:rFonts w:ascii="Times New Roman"/>
                <w:color w:val="auto"/>
                <w:szCs w:val="21"/>
                <w:highlight w:val="none"/>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2233" w:type="dxa"/>
            <w:vAlign w:val="center"/>
          </w:tcPr>
          <w:p>
            <w:pPr>
              <w:widowControl/>
              <w:spacing w:after="0" w:line="30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摩擦系数测试设备</w:t>
            </w:r>
          </w:p>
        </w:tc>
        <w:tc>
          <w:tcPr>
            <w:tcW w:w="2744" w:type="dxa"/>
            <w:vAlign w:val="center"/>
          </w:tcPr>
          <w:p>
            <w:pPr>
              <w:spacing w:after="0" w:line="240" w:lineRule="auto"/>
              <w:jc w:val="center"/>
              <w:rPr>
                <w:color w:val="auto"/>
                <w:highlight w:val="none"/>
              </w:rPr>
            </w:pPr>
            <w:r>
              <w:rPr>
                <w:rFonts w:hint="eastAsia" w:ascii="Times New Roman"/>
                <w:color w:val="auto"/>
                <w:szCs w:val="21"/>
                <w:highlight w:val="none"/>
              </w:rPr>
              <w:t>满足项目要求</w:t>
            </w:r>
          </w:p>
        </w:tc>
        <w:tc>
          <w:tcPr>
            <w:tcW w:w="1388" w:type="dxa"/>
            <w:vAlign w:val="center"/>
          </w:tcPr>
          <w:p>
            <w:pPr>
              <w:spacing w:after="0" w:line="240" w:lineRule="auto"/>
              <w:jc w:val="center"/>
              <w:rPr>
                <w:color w:val="auto"/>
                <w:highlight w:val="none"/>
              </w:rPr>
            </w:pPr>
            <w:r>
              <w:rPr>
                <w:rFonts w:hint="eastAsia" w:ascii="Times New Roman"/>
                <w:color w:val="auto"/>
                <w:szCs w:val="21"/>
                <w:highlight w:val="none"/>
              </w:rPr>
              <w:t>套</w:t>
            </w:r>
          </w:p>
        </w:tc>
        <w:tc>
          <w:tcPr>
            <w:tcW w:w="2195" w:type="dxa"/>
          </w:tcPr>
          <w:p>
            <w:pPr>
              <w:spacing w:after="0" w:line="240" w:lineRule="auto"/>
              <w:jc w:val="center"/>
              <w:rPr>
                <w:color w:val="auto"/>
                <w:highlight w:val="none"/>
              </w:rPr>
            </w:pPr>
            <w:r>
              <w:rPr>
                <w:rFonts w:ascii="Times New Roman"/>
                <w:color w:val="auto"/>
                <w:szCs w:val="21"/>
                <w:highlight w:val="none"/>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2233" w:type="dxa"/>
            <w:vAlign w:val="center"/>
          </w:tcPr>
          <w:p>
            <w:pPr>
              <w:widowControl/>
              <w:spacing w:after="0" w:line="30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路面构造深度测试仪</w:t>
            </w:r>
          </w:p>
        </w:tc>
        <w:tc>
          <w:tcPr>
            <w:tcW w:w="2744" w:type="dxa"/>
            <w:vAlign w:val="center"/>
          </w:tcPr>
          <w:p>
            <w:pPr>
              <w:spacing w:after="0" w:line="240" w:lineRule="auto"/>
              <w:jc w:val="center"/>
              <w:rPr>
                <w:color w:val="auto"/>
                <w:highlight w:val="none"/>
              </w:rPr>
            </w:pPr>
            <w:r>
              <w:rPr>
                <w:rFonts w:hint="eastAsia" w:ascii="Times New Roman"/>
                <w:color w:val="auto"/>
                <w:szCs w:val="21"/>
                <w:highlight w:val="none"/>
              </w:rPr>
              <w:t>满足项目要求</w:t>
            </w:r>
          </w:p>
        </w:tc>
        <w:tc>
          <w:tcPr>
            <w:tcW w:w="1388" w:type="dxa"/>
            <w:vAlign w:val="center"/>
          </w:tcPr>
          <w:p>
            <w:pPr>
              <w:spacing w:after="0" w:line="240" w:lineRule="auto"/>
              <w:jc w:val="center"/>
              <w:rPr>
                <w:color w:val="auto"/>
                <w:highlight w:val="none"/>
              </w:rPr>
            </w:pPr>
            <w:r>
              <w:rPr>
                <w:rFonts w:hint="eastAsia" w:ascii="Times New Roman"/>
                <w:color w:val="auto"/>
                <w:szCs w:val="21"/>
                <w:highlight w:val="none"/>
              </w:rPr>
              <w:t>套</w:t>
            </w:r>
          </w:p>
        </w:tc>
        <w:tc>
          <w:tcPr>
            <w:tcW w:w="2195" w:type="dxa"/>
            <w:vAlign w:val="center"/>
          </w:tcPr>
          <w:p>
            <w:pPr>
              <w:spacing w:after="0" w:line="240" w:lineRule="auto"/>
              <w:jc w:val="center"/>
              <w:rPr>
                <w:color w:val="auto"/>
                <w:highlight w:val="none"/>
              </w:rPr>
            </w:pPr>
            <w:r>
              <w:rPr>
                <w:rFonts w:ascii="Times New Roman"/>
                <w:color w:val="auto"/>
                <w:szCs w:val="21"/>
                <w:highlight w:val="none"/>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2233" w:type="dxa"/>
            <w:vAlign w:val="center"/>
          </w:tcPr>
          <w:p>
            <w:pPr>
              <w:widowControl/>
              <w:spacing w:after="0" w:line="30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路面渗水仪</w:t>
            </w:r>
          </w:p>
        </w:tc>
        <w:tc>
          <w:tcPr>
            <w:tcW w:w="2744" w:type="dxa"/>
            <w:vAlign w:val="center"/>
          </w:tcPr>
          <w:p>
            <w:pPr>
              <w:spacing w:after="0" w:line="240" w:lineRule="auto"/>
              <w:jc w:val="center"/>
              <w:rPr>
                <w:color w:val="auto"/>
                <w:highlight w:val="none"/>
              </w:rPr>
            </w:pPr>
            <w:r>
              <w:rPr>
                <w:rFonts w:hint="eastAsia" w:ascii="Times New Roman"/>
                <w:color w:val="auto"/>
                <w:szCs w:val="21"/>
                <w:highlight w:val="none"/>
              </w:rPr>
              <w:t>满足项目要求</w:t>
            </w:r>
          </w:p>
        </w:tc>
        <w:tc>
          <w:tcPr>
            <w:tcW w:w="1388" w:type="dxa"/>
            <w:vAlign w:val="center"/>
          </w:tcPr>
          <w:p>
            <w:pPr>
              <w:spacing w:after="0" w:line="240" w:lineRule="auto"/>
              <w:jc w:val="center"/>
              <w:rPr>
                <w:color w:val="auto"/>
                <w:highlight w:val="none"/>
              </w:rPr>
            </w:pPr>
            <w:r>
              <w:rPr>
                <w:rFonts w:hint="eastAsia" w:ascii="Times New Roman"/>
                <w:color w:val="auto"/>
                <w:szCs w:val="21"/>
                <w:highlight w:val="none"/>
              </w:rPr>
              <w:t>套</w:t>
            </w:r>
          </w:p>
        </w:tc>
        <w:tc>
          <w:tcPr>
            <w:tcW w:w="2195" w:type="dxa"/>
            <w:vAlign w:val="center"/>
          </w:tcPr>
          <w:p>
            <w:pPr>
              <w:spacing w:after="0" w:line="240" w:lineRule="auto"/>
              <w:jc w:val="center"/>
              <w:rPr>
                <w:color w:val="auto"/>
                <w:highlight w:val="none"/>
              </w:rPr>
            </w:pPr>
            <w:r>
              <w:rPr>
                <w:rFonts w:ascii="Times New Roman"/>
                <w:color w:val="auto"/>
                <w:szCs w:val="21"/>
                <w:highlight w:val="none"/>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2233" w:type="dxa"/>
            <w:vAlign w:val="center"/>
          </w:tcPr>
          <w:p>
            <w:pPr>
              <w:widowControl/>
              <w:spacing w:after="0" w:line="30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电动切石机</w:t>
            </w:r>
          </w:p>
        </w:tc>
        <w:tc>
          <w:tcPr>
            <w:tcW w:w="2744" w:type="dxa"/>
            <w:vAlign w:val="center"/>
          </w:tcPr>
          <w:p>
            <w:pPr>
              <w:spacing w:after="0" w:line="240" w:lineRule="auto"/>
              <w:jc w:val="center"/>
              <w:rPr>
                <w:color w:val="auto"/>
                <w:highlight w:val="none"/>
              </w:rPr>
            </w:pPr>
            <w:r>
              <w:rPr>
                <w:rFonts w:hint="eastAsia" w:ascii="Times New Roman"/>
                <w:color w:val="auto"/>
                <w:szCs w:val="21"/>
                <w:highlight w:val="none"/>
              </w:rPr>
              <w:t>满足项目要求</w:t>
            </w:r>
          </w:p>
        </w:tc>
        <w:tc>
          <w:tcPr>
            <w:tcW w:w="1388" w:type="dxa"/>
            <w:vAlign w:val="center"/>
          </w:tcPr>
          <w:p>
            <w:pPr>
              <w:spacing w:after="0" w:line="240" w:lineRule="auto"/>
              <w:jc w:val="center"/>
              <w:rPr>
                <w:color w:val="auto"/>
                <w:highlight w:val="none"/>
              </w:rPr>
            </w:pPr>
            <w:r>
              <w:rPr>
                <w:rFonts w:hint="eastAsia" w:ascii="Times New Roman"/>
                <w:color w:val="auto"/>
                <w:szCs w:val="21"/>
                <w:highlight w:val="none"/>
              </w:rPr>
              <w:t>套</w:t>
            </w:r>
          </w:p>
        </w:tc>
        <w:tc>
          <w:tcPr>
            <w:tcW w:w="2195" w:type="dxa"/>
            <w:vAlign w:val="center"/>
          </w:tcPr>
          <w:p>
            <w:pPr>
              <w:spacing w:after="0" w:line="240" w:lineRule="auto"/>
              <w:jc w:val="center"/>
              <w:rPr>
                <w:color w:val="auto"/>
                <w:highlight w:val="none"/>
              </w:rPr>
            </w:pPr>
            <w:r>
              <w:rPr>
                <w:rFonts w:ascii="Times New Roman"/>
                <w:color w:val="auto"/>
                <w:szCs w:val="21"/>
                <w:highlight w:val="none"/>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2233" w:type="dxa"/>
            <w:vAlign w:val="center"/>
          </w:tcPr>
          <w:p>
            <w:pPr>
              <w:widowControl/>
              <w:spacing w:after="0" w:line="30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低温试验箱</w:t>
            </w:r>
          </w:p>
        </w:tc>
        <w:tc>
          <w:tcPr>
            <w:tcW w:w="2744" w:type="dxa"/>
            <w:vAlign w:val="center"/>
          </w:tcPr>
          <w:p>
            <w:pPr>
              <w:spacing w:after="0" w:line="240" w:lineRule="auto"/>
              <w:jc w:val="center"/>
              <w:rPr>
                <w:color w:val="auto"/>
                <w:highlight w:val="none"/>
              </w:rPr>
            </w:pPr>
            <w:r>
              <w:rPr>
                <w:rFonts w:hint="eastAsia" w:ascii="Times New Roman"/>
                <w:color w:val="auto"/>
                <w:szCs w:val="21"/>
                <w:highlight w:val="none"/>
              </w:rPr>
              <w:t>满足项目要求</w:t>
            </w:r>
          </w:p>
        </w:tc>
        <w:tc>
          <w:tcPr>
            <w:tcW w:w="1388" w:type="dxa"/>
            <w:vAlign w:val="center"/>
          </w:tcPr>
          <w:p>
            <w:pPr>
              <w:spacing w:after="0" w:line="240" w:lineRule="auto"/>
              <w:jc w:val="center"/>
              <w:rPr>
                <w:color w:val="auto"/>
                <w:highlight w:val="none"/>
              </w:rPr>
            </w:pPr>
            <w:r>
              <w:rPr>
                <w:rFonts w:hint="eastAsia" w:ascii="Times New Roman"/>
                <w:color w:val="auto"/>
                <w:szCs w:val="21"/>
                <w:highlight w:val="none"/>
              </w:rPr>
              <w:t>套</w:t>
            </w:r>
          </w:p>
        </w:tc>
        <w:tc>
          <w:tcPr>
            <w:tcW w:w="2195" w:type="dxa"/>
            <w:vAlign w:val="center"/>
          </w:tcPr>
          <w:p>
            <w:pPr>
              <w:spacing w:after="0" w:line="240" w:lineRule="auto"/>
              <w:jc w:val="center"/>
              <w:rPr>
                <w:color w:val="auto"/>
                <w:highlight w:val="none"/>
              </w:rPr>
            </w:pPr>
            <w:r>
              <w:rPr>
                <w:rFonts w:ascii="Times New Roman"/>
                <w:color w:val="auto"/>
                <w:szCs w:val="21"/>
                <w:highlight w:val="none"/>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2233" w:type="dxa"/>
            <w:vAlign w:val="center"/>
          </w:tcPr>
          <w:p>
            <w:pPr>
              <w:widowControl/>
              <w:spacing w:after="0" w:line="30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切割机</w:t>
            </w:r>
          </w:p>
        </w:tc>
        <w:tc>
          <w:tcPr>
            <w:tcW w:w="2744" w:type="dxa"/>
            <w:vAlign w:val="center"/>
          </w:tcPr>
          <w:p>
            <w:pPr>
              <w:spacing w:after="0" w:line="240" w:lineRule="auto"/>
              <w:jc w:val="center"/>
              <w:rPr>
                <w:color w:val="auto"/>
                <w:highlight w:val="none"/>
              </w:rPr>
            </w:pPr>
            <w:r>
              <w:rPr>
                <w:rFonts w:hint="eastAsia" w:ascii="Times New Roman"/>
                <w:color w:val="auto"/>
                <w:szCs w:val="21"/>
                <w:highlight w:val="none"/>
              </w:rPr>
              <w:t>满足项目要求</w:t>
            </w:r>
          </w:p>
        </w:tc>
        <w:tc>
          <w:tcPr>
            <w:tcW w:w="1388" w:type="dxa"/>
            <w:vAlign w:val="center"/>
          </w:tcPr>
          <w:p>
            <w:pPr>
              <w:spacing w:after="0" w:line="240" w:lineRule="auto"/>
              <w:jc w:val="center"/>
              <w:rPr>
                <w:color w:val="auto"/>
                <w:highlight w:val="none"/>
              </w:rPr>
            </w:pPr>
            <w:r>
              <w:rPr>
                <w:rFonts w:hint="eastAsia" w:ascii="Times New Roman"/>
                <w:color w:val="auto"/>
                <w:szCs w:val="21"/>
                <w:highlight w:val="none"/>
              </w:rPr>
              <w:t>套</w:t>
            </w:r>
          </w:p>
        </w:tc>
        <w:tc>
          <w:tcPr>
            <w:tcW w:w="2195" w:type="dxa"/>
            <w:vAlign w:val="center"/>
          </w:tcPr>
          <w:p>
            <w:pPr>
              <w:spacing w:after="0" w:line="240" w:lineRule="auto"/>
              <w:jc w:val="center"/>
              <w:rPr>
                <w:color w:val="auto"/>
                <w:highlight w:val="none"/>
              </w:rPr>
            </w:pPr>
            <w:r>
              <w:rPr>
                <w:rFonts w:ascii="Times New Roman"/>
                <w:color w:val="auto"/>
                <w:szCs w:val="21"/>
                <w:highlight w:val="none"/>
              </w:rPr>
              <w:t>1</w:t>
            </w:r>
          </w:p>
        </w:tc>
      </w:tr>
    </w:tbl>
    <w:p>
      <w:pPr>
        <w:pStyle w:val="9"/>
        <w:rPr>
          <w:rFonts w:hint="eastAsia"/>
          <w:b/>
          <w:color w:val="auto"/>
          <w:sz w:val="21"/>
          <w:szCs w:val="21"/>
          <w:highlight w:val="none"/>
        </w:rPr>
      </w:pPr>
    </w:p>
    <w:p>
      <w:pPr>
        <w:pStyle w:val="9"/>
        <w:rPr>
          <w:b/>
          <w:color w:val="auto"/>
          <w:sz w:val="21"/>
          <w:szCs w:val="21"/>
          <w:highlight w:val="none"/>
        </w:rPr>
      </w:pPr>
      <w:r>
        <w:rPr>
          <w:b/>
          <w:color w:val="auto"/>
          <w:sz w:val="21"/>
          <w:szCs w:val="21"/>
          <w:highlight w:val="none"/>
        </w:rPr>
        <w:br w:type="textWrapping" w:clear="all"/>
      </w:r>
    </w:p>
    <w:p>
      <w:pPr>
        <w:pStyle w:val="9"/>
        <w:rPr>
          <w:b/>
          <w:color w:val="auto"/>
          <w:sz w:val="21"/>
          <w:szCs w:val="21"/>
          <w:highlight w:val="none"/>
        </w:rPr>
      </w:pPr>
    </w:p>
    <w:p>
      <w:pPr>
        <w:pStyle w:val="9"/>
        <w:spacing w:before="5"/>
        <w:rPr>
          <w:color w:val="auto"/>
          <w:sz w:val="21"/>
          <w:szCs w:val="21"/>
          <w:highlight w:val="none"/>
        </w:rPr>
        <w:sectPr>
          <w:pgSz w:w="11910" w:h="16850"/>
          <w:pgMar w:top="1460" w:right="1120" w:bottom="1280" w:left="1220" w:header="882" w:footer="1093" w:gutter="0"/>
          <w:cols w:space="720" w:num="1"/>
        </w:sectPr>
      </w:pPr>
    </w:p>
    <w:p>
      <w:pPr>
        <w:pStyle w:val="9"/>
        <w:spacing w:before="3"/>
        <w:rPr>
          <w:color w:val="auto"/>
          <w:sz w:val="21"/>
          <w:szCs w:val="21"/>
          <w:highlight w:val="none"/>
        </w:rPr>
      </w:pPr>
    </w:p>
    <w:p>
      <w:pPr>
        <w:pStyle w:val="9"/>
        <w:spacing w:before="67"/>
        <w:ind w:left="424"/>
        <w:rPr>
          <w:rFonts w:ascii="黑体" w:eastAsia="黑体"/>
          <w:color w:val="auto"/>
          <w:sz w:val="21"/>
          <w:szCs w:val="21"/>
          <w:highlight w:val="none"/>
        </w:rPr>
      </w:pPr>
      <w:bookmarkStart w:id="74" w:name="_bookmark125"/>
      <w:bookmarkEnd w:id="74"/>
      <w:r>
        <w:rPr>
          <w:rFonts w:hint="eastAsia" w:ascii="黑体" w:eastAsia="黑体"/>
          <w:color w:val="auto"/>
          <w:sz w:val="21"/>
          <w:szCs w:val="21"/>
          <w:highlight w:val="none"/>
        </w:rPr>
        <w:t>附件五 履约保证金格式</w:t>
      </w:r>
    </w:p>
    <w:p>
      <w:pPr>
        <w:pStyle w:val="9"/>
        <w:spacing w:before="90"/>
        <w:ind w:left="424"/>
        <w:rPr>
          <w:color w:val="auto"/>
          <w:sz w:val="21"/>
          <w:szCs w:val="21"/>
          <w:highlight w:val="none"/>
        </w:rPr>
      </w:pPr>
      <w:r>
        <w:rPr>
          <w:color w:val="auto"/>
          <w:sz w:val="21"/>
          <w:szCs w:val="21"/>
          <w:highlight w:val="none"/>
        </w:rPr>
        <w:t>如采用银行保函，格式如下。</w:t>
      </w:r>
    </w:p>
    <w:p>
      <w:pPr>
        <w:pStyle w:val="9"/>
        <w:spacing w:before="7"/>
        <w:rPr>
          <w:color w:val="auto"/>
          <w:sz w:val="21"/>
          <w:szCs w:val="21"/>
          <w:highlight w:val="none"/>
        </w:rPr>
      </w:pPr>
    </w:p>
    <w:p>
      <w:pPr>
        <w:spacing w:before="62"/>
        <w:ind w:left="309" w:right="345"/>
        <w:jc w:val="center"/>
        <w:rPr>
          <w:rFonts w:ascii="黑体" w:eastAsia="黑体"/>
          <w:color w:val="auto"/>
          <w:szCs w:val="21"/>
          <w:highlight w:val="none"/>
        </w:rPr>
      </w:pPr>
      <w:r>
        <w:rPr>
          <w:rFonts w:hint="eastAsia" w:ascii="黑体" w:eastAsia="黑体"/>
          <w:color w:val="auto"/>
          <w:szCs w:val="21"/>
          <w:highlight w:val="none"/>
        </w:rPr>
        <w:t>履约保证金</w:t>
      </w:r>
    </w:p>
    <w:p>
      <w:pPr>
        <w:pStyle w:val="9"/>
        <w:rPr>
          <w:rFonts w:ascii="黑体"/>
          <w:color w:val="auto"/>
          <w:sz w:val="21"/>
          <w:szCs w:val="21"/>
          <w:highlight w:val="none"/>
        </w:rPr>
      </w:pPr>
    </w:p>
    <w:p>
      <w:pPr>
        <w:pStyle w:val="9"/>
        <w:spacing w:before="7"/>
        <w:rPr>
          <w:rFonts w:ascii="黑体"/>
          <w:color w:val="auto"/>
          <w:sz w:val="21"/>
          <w:szCs w:val="21"/>
          <w:highlight w:val="none"/>
        </w:rPr>
      </w:pPr>
    </w:p>
    <w:p>
      <w:pPr>
        <w:pStyle w:val="9"/>
        <w:tabs>
          <w:tab w:val="left" w:pos="2764"/>
        </w:tabs>
        <w:spacing w:before="1"/>
        <w:ind w:left="544"/>
        <w:rPr>
          <w:color w:val="auto"/>
          <w:sz w:val="21"/>
          <w:szCs w:val="21"/>
          <w:highlight w:val="none"/>
        </w:rPr>
      </w:pPr>
      <w:r>
        <w:rPr>
          <w:rFonts w:eastAsia="Times New Roman"/>
          <w:color w:val="auto"/>
          <w:sz w:val="21"/>
          <w:szCs w:val="21"/>
          <w:highlight w:val="none"/>
          <w:u w:val="single"/>
        </w:rPr>
        <w:t xml:space="preserve"> </w:t>
      </w:r>
      <w:r>
        <w:rPr>
          <w:rFonts w:eastAsia="Times New Roman"/>
          <w:color w:val="auto"/>
          <w:sz w:val="21"/>
          <w:szCs w:val="21"/>
          <w:highlight w:val="none"/>
          <w:u w:val="single"/>
        </w:rPr>
        <w:tab/>
      </w:r>
      <w:r>
        <w:rPr>
          <w:color w:val="auto"/>
          <w:sz w:val="21"/>
          <w:szCs w:val="21"/>
          <w:highlight w:val="none"/>
        </w:rPr>
        <w:t>（委托人名称</w:t>
      </w:r>
      <w:r>
        <w:rPr>
          <w:color w:val="auto"/>
          <w:spacing w:val="-120"/>
          <w:sz w:val="21"/>
          <w:szCs w:val="21"/>
          <w:highlight w:val="none"/>
        </w:rPr>
        <w:t>）</w:t>
      </w:r>
      <w:r>
        <w:rPr>
          <w:color w:val="auto"/>
          <w:sz w:val="21"/>
          <w:szCs w:val="21"/>
          <w:highlight w:val="none"/>
        </w:rPr>
        <w:t>：</w:t>
      </w:r>
    </w:p>
    <w:p>
      <w:pPr>
        <w:pStyle w:val="9"/>
        <w:spacing w:before="5"/>
        <w:rPr>
          <w:color w:val="auto"/>
          <w:sz w:val="21"/>
          <w:szCs w:val="21"/>
          <w:highlight w:val="none"/>
        </w:rPr>
      </w:pPr>
    </w:p>
    <w:p>
      <w:pPr>
        <w:pStyle w:val="9"/>
        <w:tabs>
          <w:tab w:val="left" w:pos="3410"/>
          <w:tab w:val="left" w:pos="7044"/>
          <w:tab w:val="left" w:pos="8621"/>
        </w:tabs>
        <w:spacing w:line="312" w:lineRule="auto"/>
        <w:ind w:left="424" w:right="462" w:firstLine="599"/>
        <w:jc w:val="both"/>
        <w:rPr>
          <w:color w:val="auto"/>
          <w:sz w:val="21"/>
          <w:szCs w:val="21"/>
          <w:highlight w:val="none"/>
        </w:rPr>
      </w:pPr>
      <w:r>
        <w:rPr>
          <w:color w:val="auto"/>
          <w:sz w:val="21"/>
          <w:szCs w:val="21"/>
          <w:highlight w:val="none"/>
        </w:rPr>
        <w:t>鉴于</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rPr>
        <w:t>（委托人名称</w:t>
      </w:r>
      <w:r>
        <w:rPr>
          <w:color w:val="auto"/>
          <w:spacing w:val="-15"/>
          <w:sz w:val="21"/>
          <w:szCs w:val="21"/>
          <w:highlight w:val="none"/>
        </w:rPr>
        <w:t>，</w:t>
      </w:r>
      <w:r>
        <w:rPr>
          <w:color w:val="auto"/>
          <w:sz w:val="21"/>
          <w:szCs w:val="21"/>
          <w:highlight w:val="none"/>
        </w:rPr>
        <w:t>以下简称</w:t>
      </w:r>
      <w:r>
        <w:rPr>
          <w:rFonts w:eastAsia="Times New Roman"/>
          <w:color w:val="auto"/>
          <w:sz w:val="21"/>
          <w:szCs w:val="21"/>
          <w:highlight w:val="none"/>
        </w:rPr>
        <w:t>“</w:t>
      </w:r>
      <w:r>
        <w:rPr>
          <w:color w:val="auto"/>
          <w:sz w:val="21"/>
          <w:szCs w:val="21"/>
          <w:highlight w:val="none"/>
        </w:rPr>
        <w:t>委托人</w:t>
      </w:r>
      <w:r>
        <w:rPr>
          <w:rFonts w:eastAsia="Times New Roman"/>
          <w:color w:val="auto"/>
          <w:spacing w:val="-8"/>
          <w:sz w:val="21"/>
          <w:szCs w:val="21"/>
          <w:highlight w:val="none"/>
        </w:rPr>
        <w:t>”</w:t>
      </w:r>
      <w:r>
        <w:rPr>
          <w:color w:val="auto"/>
          <w:spacing w:val="-8"/>
          <w:sz w:val="21"/>
          <w:szCs w:val="21"/>
          <w:highlight w:val="none"/>
        </w:rPr>
        <w:t>）</w:t>
      </w:r>
      <w:r>
        <w:rPr>
          <w:color w:val="auto"/>
          <w:sz w:val="21"/>
          <w:szCs w:val="21"/>
          <w:highlight w:val="none"/>
        </w:rPr>
        <w:t>接受</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rPr>
        <w:t>（</w:t>
      </w:r>
      <w:r>
        <w:rPr>
          <w:color w:val="auto"/>
          <w:spacing w:val="-17"/>
          <w:sz w:val="21"/>
          <w:szCs w:val="21"/>
          <w:highlight w:val="none"/>
        </w:rPr>
        <w:t>监</w:t>
      </w:r>
      <w:r>
        <w:rPr>
          <w:color w:val="auto"/>
          <w:sz w:val="21"/>
          <w:szCs w:val="21"/>
          <w:highlight w:val="none"/>
        </w:rPr>
        <w:t>理</w:t>
      </w:r>
      <w:r>
        <w:rPr>
          <w:color w:val="auto"/>
          <w:spacing w:val="-1"/>
          <w:sz w:val="21"/>
          <w:szCs w:val="21"/>
          <w:highlight w:val="none"/>
        </w:rPr>
        <w:t>人</w:t>
      </w:r>
      <w:r>
        <w:rPr>
          <w:color w:val="auto"/>
          <w:sz w:val="21"/>
          <w:szCs w:val="21"/>
          <w:highlight w:val="none"/>
        </w:rPr>
        <w:t>名称</w:t>
      </w:r>
      <w:r>
        <w:rPr>
          <w:color w:val="auto"/>
          <w:spacing w:val="-226"/>
          <w:sz w:val="21"/>
          <w:szCs w:val="21"/>
          <w:highlight w:val="none"/>
        </w:rPr>
        <w:t>）</w:t>
      </w:r>
      <w:r>
        <w:rPr>
          <w:color w:val="auto"/>
          <w:sz w:val="21"/>
          <w:szCs w:val="21"/>
          <w:highlight w:val="none"/>
        </w:rPr>
        <w:t>（以下称</w:t>
      </w:r>
      <w:r>
        <w:rPr>
          <w:rFonts w:eastAsia="Times New Roman"/>
          <w:color w:val="auto"/>
          <w:spacing w:val="-1"/>
          <w:sz w:val="21"/>
          <w:szCs w:val="21"/>
          <w:highlight w:val="none"/>
        </w:rPr>
        <w:t>“</w:t>
      </w:r>
      <w:r>
        <w:rPr>
          <w:color w:val="auto"/>
          <w:spacing w:val="2"/>
          <w:sz w:val="21"/>
          <w:szCs w:val="21"/>
          <w:highlight w:val="none"/>
        </w:rPr>
        <w:t>监</w:t>
      </w:r>
      <w:r>
        <w:rPr>
          <w:color w:val="auto"/>
          <w:sz w:val="21"/>
          <w:szCs w:val="21"/>
          <w:highlight w:val="none"/>
        </w:rPr>
        <w:t>理人</w:t>
      </w:r>
      <w:r>
        <w:rPr>
          <w:rFonts w:eastAsia="Times New Roman"/>
          <w:color w:val="auto"/>
          <w:spacing w:val="-1"/>
          <w:sz w:val="21"/>
          <w:szCs w:val="21"/>
          <w:highlight w:val="none"/>
        </w:rPr>
        <w:t>”</w:t>
      </w:r>
      <w:r>
        <w:rPr>
          <w:color w:val="auto"/>
          <w:spacing w:val="-106"/>
          <w:sz w:val="21"/>
          <w:szCs w:val="21"/>
          <w:highlight w:val="none"/>
        </w:rPr>
        <w:t>）</w:t>
      </w:r>
      <w:r>
        <w:rPr>
          <w:color w:val="auto"/>
          <w:sz w:val="21"/>
          <w:szCs w:val="21"/>
          <w:highlight w:val="none"/>
        </w:rPr>
        <w:t>于</w:t>
      </w:r>
      <w:r>
        <w:rPr>
          <w:rFonts w:eastAsia="Times New Roman"/>
          <w:color w:val="auto"/>
          <w:sz w:val="21"/>
          <w:szCs w:val="21"/>
          <w:highlight w:val="none"/>
          <w:u w:val="single"/>
        </w:rPr>
        <w:t xml:space="preserve">        </w:t>
      </w:r>
      <w:r>
        <w:rPr>
          <w:color w:val="auto"/>
          <w:sz w:val="21"/>
          <w:szCs w:val="21"/>
          <w:highlight w:val="none"/>
        </w:rPr>
        <w:t>年</w:t>
      </w:r>
      <w:r>
        <w:rPr>
          <w:rFonts w:eastAsia="Times New Roman"/>
          <w:color w:val="auto"/>
          <w:sz w:val="21"/>
          <w:szCs w:val="21"/>
          <w:highlight w:val="none"/>
          <w:u w:val="single"/>
        </w:rPr>
        <w:t xml:space="preserve">      </w:t>
      </w:r>
      <w:r>
        <w:rPr>
          <w:color w:val="auto"/>
          <w:sz w:val="21"/>
          <w:szCs w:val="21"/>
          <w:highlight w:val="none"/>
        </w:rPr>
        <w:t>月</w:t>
      </w:r>
      <w:r>
        <w:rPr>
          <w:rFonts w:eastAsia="Times New Roman"/>
          <w:color w:val="auto"/>
          <w:sz w:val="21"/>
          <w:szCs w:val="21"/>
          <w:highlight w:val="none"/>
          <w:u w:val="single"/>
        </w:rPr>
        <w:t xml:space="preserve">     </w:t>
      </w:r>
      <w:r>
        <w:rPr>
          <w:rFonts w:eastAsia="Times New Roman"/>
          <w:color w:val="auto"/>
          <w:spacing w:val="2"/>
          <w:sz w:val="21"/>
          <w:szCs w:val="21"/>
          <w:highlight w:val="none"/>
          <w:u w:val="single"/>
        </w:rPr>
        <w:t xml:space="preserve"> </w:t>
      </w:r>
      <w:r>
        <w:rPr>
          <w:color w:val="auto"/>
          <w:sz w:val="21"/>
          <w:szCs w:val="21"/>
          <w:highlight w:val="none"/>
        </w:rPr>
        <w:t>日参加</w:t>
      </w:r>
      <w:r>
        <w:rPr>
          <w:rFonts w:eastAsia="Times New Roman"/>
          <w:color w:val="auto"/>
          <w:sz w:val="21"/>
          <w:szCs w:val="21"/>
          <w:highlight w:val="none"/>
          <w:u w:val="single"/>
        </w:rPr>
        <w:t xml:space="preserve"> </w:t>
      </w:r>
      <w:r>
        <w:rPr>
          <w:rFonts w:eastAsia="Times New Roman"/>
          <w:color w:val="auto"/>
          <w:sz w:val="21"/>
          <w:szCs w:val="21"/>
          <w:highlight w:val="none"/>
          <w:u w:val="single"/>
        </w:rPr>
        <w:tab/>
      </w:r>
      <w:r>
        <w:rPr>
          <w:color w:val="auto"/>
          <w:sz w:val="21"/>
          <w:szCs w:val="21"/>
          <w:highlight w:val="none"/>
          <w:u w:val="single"/>
        </w:rPr>
        <w:t>（</w:t>
      </w:r>
      <w:r>
        <w:rPr>
          <w:color w:val="auto"/>
          <w:spacing w:val="2"/>
          <w:sz w:val="21"/>
          <w:szCs w:val="21"/>
          <w:highlight w:val="none"/>
        </w:rPr>
        <w:t>项</w:t>
      </w:r>
      <w:r>
        <w:rPr>
          <w:color w:val="auto"/>
          <w:sz w:val="21"/>
          <w:szCs w:val="21"/>
          <w:highlight w:val="none"/>
        </w:rPr>
        <w:t>目名称</w:t>
      </w:r>
      <w:r>
        <w:rPr>
          <w:color w:val="auto"/>
          <w:spacing w:val="-106"/>
          <w:sz w:val="21"/>
          <w:szCs w:val="21"/>
          <w:highlight w:val="none"/>
        </w:rPr>
        <w:t>）</w:t>
      </w:r>
      <w:r>
        <w:rPr>
          <w:rFonts w:eastAsia="Times New Roman"/>
          <w:color w:val="auto"/>
          <w:sz w:val="21"/>
          <w:szCs w:val="21"/>
          <w:highlight w:val="none"/>
          <w:u w:val="single"/>
        </w:rPr>
        <w:t xml:space="preserve">        </w:t>
      </w:r>
      <w:r>
        <w:rPr>
          <w:color w:val="auto"/>
          <w:spacing w:val="-16"/>
          <w:sz w:val="21"/>
          <w:szCs w:val="21"/>
          <w:highlight w:val="none"/>
        </w:rPr>
        <w:t>标</w:t>
      </w:r>
      <w:r>
        <w:rPr>
          <w:color w:val="auto"/>
          <w:sz w:val="21"/>
          <w:szCs w:val="21"/>
          <w:highlight w:val="none"/>
        </w:rPr>
        <w:t>段施工监理的投标。我方愿意无条件地、不可撤销地就监理人履行与你方订立的合同，向你方提供担保。</w:t>
      </w:r>
    </w:p>
    <w:p>
      <w:pPr>
        <w:pStyle w:val="32"/>
        <w:numPr>
          <w:ilvl w:val="0"/>
          <w:numId w:val="53"/>
        </w:numPr>
        <w:tabs>
          <w:tab w:val="left" w:pos="1205"/>
          <w:tab w:val="left" w:pos="5820"/>
          <w:tab w:val="left" w:pos="8045"/>
        </w:tabs>
        <w:spacing w:before="2" w:after="0" w:line="240" w:lineRule="auto"/>
        <w:ind w:hanging="301"/>
        <w:jc w:val="both"/>
        <w:rPr>
          <w:color w:val="auto"/>
          <w:szCs w:val="21"/>
          <w:highlight w:val="none"/>
        </w:rPr>
      </w:pPr>
      <w:r>
        <w:rPr>
          <w:color w:val="auto"/>
          <w:szCs w:val="21"/>
          <w:highlight w:val="none"/>
        </w:rPr>
        <w:t>担保金额人民币（大写）</w:t>
      </w:r>
      <w:r>
        <w:rPr>
          <w:color w:val="auto"/>
          <w:szCs w:val="21"/>
          <w:highlight w:val="none"/>
          <w:u w:val="single"/>
        </w:rPr>
        <w:t xml:space="preserve"> </w:t>
      </w:r>
      <w:r>
        <w:rPr>
          <w:color w:val="auto"/>
          <w:szCs w:val="21"/>
          <w:highlight w:val="none"/>
          <w:u w:val="single"/>
        </w:rPr>
        <w:tab/>
      </w:r>
      <w:r>
        <w:rPr>
          <w:color w:val="auto"/>
          <w:szCs w:val="21"/>
          <w:highlight w:val="none"/>
        </w:rPr>
        <w:t>元（</w:t>
      </w:r>
      <w:r>
        <w:rPr>
          <w:rFonts w:ascii="Times New Roman" w:hAnsi="Times New Roman" w:eastAsia="Times New Roman"/>
          <w:color w:val="auto"/>
          <w:szCs w:val="21"/>
          <w:highlight w:val="none"/>
        </w:rPr>
        <w:t>¥</w:t>
      </w:r>
      <w:r>
        <w:rPr>
          <w:rFonts w:ascii="Times New Roman" w:hAnsi="Times New Roman" w:eastAsia="Times New Roman"/>
          <w:color w:val="auto"/>
          <w:szCs w:val="21"/>
          <w:highlight w:val="none"/>
          <w:u w:val="single"/>
        </w:rPr>
        <w:t xml:space="preserve"> </w:t>
      </w:r>
      <w:r>
        <w:rPr>
          <w:rFonts w:ascii="Times New Roman" w:hAnsi="Times New Roman" w:eastAsia="Times New Roman"/>
          <w:color w:val="auto"/>
          <w:szCs w:val="21"/>
          <w:highlight w:val="none"/>
          <w:u w:val="single"/>
        </w:rPr>
        <w:tab/>
      </w:r>
      <w:r>
        <w:rPr>
          <w:color w:val="auto"/>
          <w:spacing w:val="-120"/>
          <w:szCs w:val="21"/>
          <w:highlight w:val="none"/>
        </w:rPr>
        <w:t>）</w:t>
      </w:r>
      <w:r>
        <w:rPr>
          <w:color w:val="auto"/>
          <w:szCs w:val="21"/>
          <w:highlight w:val="none"/>
        </w:rPr>
        <w:t>。</w:t>
      </w:r>
    </w:p>
    <w:p>
      <w:pPr>
        <w:pStyle w:val="32"/>
        <w:numPr>
          <w:ilvl w:val="0"/>
          <w:numId w:val="53"/>
        </w:numPr>
        <w:tabs>
          <w:tab w:val="left" w:pos="1212"/>
        </w:tabs>
        <w:spacing w:before="91" w:after="0" w:line="312" w:lineRule="auto"/>
        <w:ind w:left="424" w:right="455" w:firstLine="479"/>
        <w:jc w:val="both"/>
        <w:rPr>
          <w:rFonts w:ascii="黑体" w:hAnsi="黑体" w:eastAsia="黑体"/>
          <w:color w:val="auto"/>
          <w:szCs w:val="21"/>
          <w:highlight w:val="none"/>
        </w:rPr>
      </w:pPr>
      <w:r>
        <w:rPr>
          <w:color w:val="auto"/>
          <w:spacing w:val="4"/>
          <w:szCs w:val="21"/>
          <w:highlight w:val="none"/>
        </w:rPr>
        <w:t>担保有效期自委托人与监理人签订的合同生效之日起至委托人签发交工验</w:t>
      </w:r>
      <w:r>
        <w:rPr>
          <w:color w:val="auto"/>
          <w:szCs w:val="21"/>
          <w:highlight w:val="none"/>
        </w:rPr>
        <w:t>收证书且监理人按照合同约定提交缺陷责任期保函之日止。</w:t>
      </w:r>
      <w:r>
        <w:rPr>
          <w:rFonts w:hint="eastAsia" w:ascii="黑体" w:hAnsi="黑体" w:eastAsia="黑体"/>
          <w:color w:val="auto"/>
          <w:szCs w:val="21"/>
          <w:highlight w:val="none"/>
          <w:vertAlign w:val="superscript"/>
        </w:rPr>
        <w:t>①</w:t>
      </w:r>
    </w:p>
    <w:p>
      <w:pPr>
        <w:pStyle w:val="32"/>
        <w:numPr>
          <w:ilvl w:val="0"/>
          <w:numId w:val="53"/>
        </w:numPr>
        <w:tabs>
          <w:tab w:val="left" w:pos="1205"/>
        </w:tabs>
        <w:spacing w:before="2" w:after="0" w:line="312" w:lineRule="auto"/>
        <w:ind w:left="424" w:right="439" w:firstLine="479"/>
        <w:jc w:val="both"/>
        <w:rPr>
          <w:color w:val="auto"/>
          <w:szCs w:val="21"/>
          <w:highlight w:val="none"/>
        </w:rPr>
      </w:pPr>
      <w:r>
        <w:rPr>
          <w:color w:val="auto"/>
          <w:spacing w:val="-1"/>
          <w:szCs w:val="21"/>
          <w:highlight w:val="none"/>
        </w:rPr>
        <w:t xml:space="preserve">在本担保有效期内，因监理人违反合同约定的义务给你方造成经济损失时， </w:t>
      </w:r>
      <w:r>
        <w:rPr>
          <w:color w:val="auto"/>
          <w:spacing w:val="-2"/>
          <w:szCs w:val="21"/>
          <w:highlight w:val="none"/>
        </w:rPr>
        <w:t xml:space="preserve">我方在收到你方以书面形式提出的在担保金额内的赔偿要求后，在 </w:t>
      </w:r>
      <w:r>
        <w:rPr>
          <w:rFonts w:ascii="Times New Roman" w:eastAsia="Times New Roman"/>
          <w:color w:val="auto"/>
          <w:szCs w:val="21"/>
          <w:highlight w:val="none"/>
        </w:rPr>
        <w:t>7</w:t>
      </w:r>
      <w:r>
        <w:rPr>
          <w:rFonts w:ascii="Times New Roman" w:eastAsia="Times New Roman"/>
          <w:color w:val="auto"/>
          <w:spacing w:val="19"/>
          <w:szCs w:val="21"/>
          <w:highlight w:val="none"/>
        </w:rPr>
        <w:t xml:space="preserve"> </w:t>
      </w:r>
      <w:r>
        <w:rPr>
          <w:color w:val="auto"/>
          <w:szCs w:val="21"/>
          <w:highlight w:val="none"/>
        </w:rPr>
        <w:t>天内无条件支付，无须你方出具证明或陈述理由。</w:t>
      </w:r>
    </w:p>
    <w:p>
      <w:pPr>
        <w:pStyle w:val="32"/>
        <w:numPr>
          <w:ilvl w:val="0"/>
          <w:numId w:val="53"/>
        </w:numPr>
        <w:tabs>
          <w:tab w:val="left" w:pos="1205"/>
        </w:tabs>
        <w:spacing w:before="1" w:after="0" w:line="240" w:lineRule="auto"/>
        <w:ind w:hanging="301"/>
        <w:jc w:val="both"/>
        <w:rPr>
          <w:color w:val="auto"/>
          <w:szCs w:val="21"/>
          <w:highlight w:val="none"/>
        </w:rPr>
      </w:pPr>
      <w:r>
        <w:rPr>
          <w:color w:val="auto"/>
          <w:szCs w:val="21"/>
          <w:highlight w:val="none"/>
        </w:rPr>
        <w:t>委托人和监理人按合同条款变更合同时，我方承担本担保规定的义务不变。</w:t>
      </w:r>
    </w:p>
    <w:p>
      <w:pPr>
        <w:pStyle w:val="9"/>
        <w:rPr>
          <w:color w:val="auto"/>
          <w:sz w:val="21"/>
          <w:szCs w:val="21"/>
          <w:highlight w:val="none"/>
        </w:rPr>
      </w:pPr>
    </w:p>
    <w:p>
      <w:pPr>
        <w:pStyle w:val="9"/>
        <w:rPr>
          <w:color w:val="auto"/>
          <w:sz w:val="21"/>
          <w:szCs w:val="21"/>
          <w:highlight w:val="none"/>
        </w:rPr>
      </w:pPr>
    </w:p>
    <w:p>
      <w:pPr>
        <w:pStyle w:val="9"/>
        <w:tabs>
          <w:tab w:val="left" w:pos="7781"/>
          <w:tab w:val="left" w:pos="8261"/>
          <w:tab w:val="left" w:pos="8880"/>
        </w:tabs>
        <w:spacing w:before="226" w:line="312" w:lineRule="auto"/>
        <w:ind w:left="3921" w:right="342"/>
        <w:jc w:val="both"/>
        <w:rPr>
          <w:rFonts w:eastAsia="Times New Roman"/>
          <w:color w:val="auto"/>
          <w:sz w:val="21"/>
          <w:szCs w:val="21"/>
          <w:highlight w:val="none"/>
        </w:rPr>
      </w:pPr>
      <w:r>
        <w:rPr>
          <w:color w:val="auto"/>
          <w:sz w:val="21"/>
          <w:szCs w:val="21"/>
          <w:highlight w:val="none"/>
        </w:rPr>
        <w:t>担 保 人</w:t>
      </w:r>
      <w:r>
        <w:rPr>
          <w:color w:val="auto"/>
          <w:spacing w:val="-51"/>
          <w:sz w:val="21"/>
          <w:szCs w:val="21"/>
          <w:highlight w:val="none"/>
        </w:rPr>
        <w:t>：</w:t>
      </w:r>
      <w:r>
        <w:rPr>
          <w:color w:val="auto"/>
          <w:spacing w:val="-51"/>
          <w:sz w:val="21"/>
          <w:szCs w:val="21"/>
          <w:highlight w:val="none"/>
          <w:u w:val="single"/>
        </w:rPr>
        <w:t xml:space="preserve"> </w:t>
      </w:r>
      <w:r>
        <w:rPr>
          <w:color w:val="auto"/>
          <w:spacing w:val="-51"/>
          <w:sz w:val="21"/>
          <w:szCs w:val="21"/>
          <w:highlight w:val="none"/>
          <w:u w:val="single"/>
        </w:rPr>
        <w:tab/>
      </w:r>
      <w:r>
        <w:rPr>
          <w:color w:val="auto"/>
          <w:sz w:val="21"/>
          <w:szCs w:val="21"/>
          <w:highlight w:val="none"/>
          <w:u w:val="single"/>
        </w:rPr>
        <w:t>（</w:t>
      </w:r>
      <w:r>
        <w:rPr>
          <w:color w:val="auto"/>
          <w:sz w:val="21"/>
          <w:szCs w:val="21"/>
          <w:highlight w:val="none"/>
        </w:rPr>
        <w:t>盖单位章</w:t>
      </w:r>
      <w:r>
        <w:rPr>
          <w:color w:val="auto"/>
          <w:spacing w:val="-17"/>
          <w:sz w:val="21"/>
          <w:szCs w:val="21"/>
          <w:highlight w:val="none"/>
        </w:rPr>
        <w:t xml:space="preserve">） </w:t>
      </w:r>
      <w:r>
        <w:rPr>
          <w:color w:val="auto"/>
          <w:sz w:val="21"/>
          <w:szCs w:val="21"/>
          <w:highlight w:val="none"/>
        </w:rPr>
        <w:t>法定代表人或其委托代理人</w:t>
      </w:r>
      <w:r>
        <w:rPr>
          <w:color w:val="auto"/>
          <w:spacing w:val="-51"/>
          <w:sz w:val="21"/>
          <w:szCs w:val="21"/>
          <w:highlight w:val="none"/>
        </w:rPr>
        <w:t>：</w:t>
      </w:r>
      <w:r>
        <w:rPr>
          <w:color w:val="auto"/>
          <w:spacing w:val="-51"/>
          <w:sz w:val="21"/>
          <w:szCs w:val="21"/>
          <w:highlight w:val="none"/>
          <w:u w:val="single"/>
        </w:rPr>
        <w:t xml:space="preserve"> </w:t>
      </w:r>
      <w:r>
        <w:rPr>
          <w:color w:val="auto"/>
          <w:spacing w:val="-51"/>
          <w:sz w:val="21"/>
          <w:szCs w:val="21"/>
          <w:highlight w:val="none"/>
          <w:u w:val="single"/>
        </w:rPr>
        <w:tab/>
      </w:r>
      <w:r>
        <w:rPr>
          <w:color w:val="auto"/>
          <w:spacing w:val="-51"/>
          <w:sz w:val="21"/>
          <w:szCs w:val="21"/>
          <w:highlight w:val="none"/>
          <w:u w:val="single"/>
        </w:rPr>
        <w:tab/>
      </w:r>
      <w:r>
        <w:rPr>
          <w:color w:val="auto"/>
          <w:sz w:val="21"/>
          <w:szCs w:val="21"/>
          <w:highlight w:val="none"/>
          <w:u w:val="single"/>
        </w:rPr>
        <w:t>（</w:t>
      </w:r>
      <w:r>
        <w:rPr>
          <w:color w:val="auto"/>
          <w:sz w:val="21"/>
          <w:szCs w:val="21"/>
          <w:highlight w:val="none"/>
        </w:rPr>
        <w:t>签字</w:t>
      </w:r>
      <w:r>
        <w:rPr>
          <w:color w:val="auto"/>
          <w:spacing w:val="-17"/>
          <w:sz w:val="21"/>
          <w:szCs w:val="21"/>
          <w:highlight w:val="none"/>
        </w:rPr>
        <w:t xml:space="preserve">） </w:t>
      </w:r>
      <w:r>
        <w:rPr>
          <w:color w:val="auto"/>
          <w:sz w:val="21"/>
          <w:szCs w:val="21"/>
          <w:highlight w:val="none"/>
        </w:rPr>
        <w:t>地   址 ：</w:t>
      </w:r>
      <w:r>
        <w:rPr>
          <w:rFonts w:eastAsia="Times New Roman"/>
          <w:color w:val="auto"/>
          <w:sz w:val="21"/>
          <w:szCs w:val="21"/>
          <w:highlight w:val="none"/>
          <w:u w:val="single"/>
        </w:rPr>
        <w:t xml:space="preserve"> </w:t>
      </w:r>
      <w:r>
        <w:rPr>
          <w:rFonts w:eastAsia="Times New Roman"/>
          <w:color w:val="auto"/>
          <w:sz w:val="21"/>
          <w:szCs w:val="21"/>
          <w:highlight w:val="none"/>
          <w:u w:val="single"/>
        </w:rPr>
        <w:tab/>
      </w:r>
      <w:r>
        <w:rPr>
          <w:rFonts w:eastAsia="Times New Roman"/>
          <w:color w:val="auto"/>
          <w:sz w:val="21"/>
          <w:szCs w:val="21"/>
          <w:highlight w:val="none"/>
          <w:u w:val="single"/>
        </w:rPr>
        <w:tab/>
      </w:r>
      <w:r>
        <w:rPr>
          <w:rFonts w:eastAsia="Times New Roman"/>
          <w:color w:val="auto"/>
          <w:sz w:val="21"/>
          <w:szCs w:val="21"/>
          <w:highlight w:val="none"/>
          <w:u w:val="single"/>
        </w:rPr>
        <w:tab/>
      </w:r>
    </w:p>
    <w:p>
      <w:pPr>
        <w:pStyle w:val="9"/>
        <w:tabs>
          <w:tab w:val="left" w:pos="4641"/>
          <w:tab w:val="left" w:pos="8880"/>
          <w:tab w:val="left" w:pos="9017"/>
        </w:tabs>
        <w:spacing w:before="2" w:line="312" w:lineRule="auto"/>
        <w:ind w:left="3921" w:right="546"/>
        <w:rPr>
          <w:rFonts w:eastAsia="Times New Roman"/>
          <w:color w:val="auto"/>
          <w:sz w:val="21"/>
          <w:szCs w:val="21"/>
          <w:highlight w:val="none"/>
        </w:rPr>
      </w:pPr>
      <w:r>
        <w:rPr>
          <w:color w:val="auto"/>
          <w:sz w:val="21"/>
          <w:szCs w:val="21"/>
          <w:highlight w:val="none"/>
        </w:rPr>
        <w:t>邮政编码：</w:t>
      </w:r>
      <w:r>
        <w:rPr>
          <w:rFonts w:eastAsia="Times New Roman"/>
          <w:color w:val="auto"/>
          <w:sz w:val="21"/>
          <w:szCs w:val="21"/>
          <w:highlight w:val="none"/>
          <w:u w:val="single"/>
        </w:rPr>
        <w:t xml:space="preserve"> </w:t>
      </w:r>
      <w:r>
        <w:rPr>
          <w:rFonts w:eastAsia="Times New Roman"/>
          <w:color w:val="auto"/>
          <w:sz w:val="21"/>
          <w:szCs w:val="21"/>
          <w:highlight w:val="none"/>
          <w:u w:val="single"/>
        </w:rPr>
        <w:tab/>
      </w:r>
      <w:r>
        <w:rPr>
          <w:rFonts w:eastAsia="Times New Roman"/>
          <w:color w:val="auto"/>
          <w:sz w:val="21"/>
          <w:szCs w:val="21"/>
          <w:highlight w:val="none"/>
          <w:u w:val="single"/>
        </w:rPr>
        <w:t xml:space="preserve"> </w:t>
      </w:r>
      <w:r>
        <w:rPr>
          <w:color w:val="auto"/>
          <w:sz w:val="21"/>
          <w:szCs w:val="21"/>
          <w:highlight w:val="none"/>
        </w:rPr>
        <w:t>电</w:t>
      </w:r>
      <w:r>
        <w:rPr>
          <w:color w:val="auto"/>
          <w:sz w:val="21"/>
          <w:szCs w:val="21"/>
          <w:highlight w:val="none"/>
        </w:rPr>
        <w:tab/>
      </w:r>
      <w:r>
        <w:rPr>
          <w:color w:val="auto"/>
          <w:sz w:val="21"/>
          <w:szCs w:val="21"/>
          <w:highlight w:val="none"/>
        </w:rPr>
        <w:t>话：</w:t>
      </w:r>
      <w:r>
        <w:rPr>
          <w:rFonts w:eastAsia="Times New Roman"/>
          <w:color w:val="auto"/>
          <w:sz w:val="21"/>
          <w:szCs w:val="21"/>
          <w:highlight w:val="none"/>
          <w:u w:val="single"/>
        </w:rPr>
        <w:t xml:space="preserve"> </w:t>
      </w:r>
      <w:r>
        <w:rPr>
          <w:rFonts w:eastAsia="Times New Roman"/>
          <w:color w:val="auto"/>
          <w:sz w:val="21"/>
          <w:szCs w:val="21"/>
          <w:highlight w:val="none"/>
          <w:u w:val="single"/>
        </w:rPr>
        <w:tab/>
      </w:r>
      <w:r>
        <w:rPr>
          <w:rFonts w:eastAsia="Times New Roman"/>
          <w:color w:val="auto"/>
          <w:sz w:val="21"/>
          <w:szCs w:val="21"/>
          <w:highlight w:val="none"/>
          <w:u w:val="single"/>
        </w:rPr>
        <w:tab/>
      </w:r>
      <w:r>
        <w:rPr>
          <w:rFonts w:eastAsia="Times New Roman"/>
          <w:color w:val="auto"/>
          <w:sz w:val="21"/>
          <w:szCs w:val="21"/>
          <w:highlight w:val="none"/>
          <w:u w:val="single"/>
        </w:rPr>
        <w:t xml:space="preserve"> </w:t>
      </w:r>
      <w:r>
        <w:rPr>
          <w:color w:val="auto"/>
          <w:sz w:val="21"/>
          <w:szCs w:val="21"/>
          <w:highlight w:val="none"/>
        </w:rPr>
        <w:t>传</w:t>
      </w:r>
      <w:r>
        <w:rPr>
          <w:color w:val="auto"/>
          <w:sz w:val="21"/>
          <w:szCs w:val="21"/>
          <w:highlight w:val="none"/>
        </w:rPr>
        <w:tab/>
      </w:r>
      <w:r>
        <w:rPr>
          <w:color w:val="auto"/>
          <w:sz w:val="21"/>
          <w:szCs w:val="21"/>
          <w:highlight w:val="none"/>
        </w:rPr>
        <w:t>真：</w:t>
      </w:r>
      <w:r>
        <w:rPr>
          <w:rFonts w:eastAsia="Times New Roman"/>
          <w:color w:val="auto"/>
          <w:sz w:val="21"/>
          <w:szCs w:val="21"/>
          <w:highlight w:val="none"/>
          <w:u w:val="single"/>
        </w:rPr>
        <w:t xml:space="preserve"> </w:t>
      </w:r>
      <w:r>
        <w:rPr>
          <w:rFonts w:eastAsia="Times New Roman"/>
          <w:color w:val="auto"/>
          <w:sz w:val="21"/>
          <w:szCs w:val="21"/>
          <w:highlight w:val="none"/>
          <w:u w:val="single"/>
        </w:rPr>
        <w:tab/>
      </w:r>
      <w:r>
        <w:rPr>
          <w:rFonts w:eastAsia="Times New Roman"/>
          <w:color w:val="auto"/>
          <w:sz w:val="21"/>
          <w:szCs w:val="21"/>
          <w:highlight w:val="none"/>
          <w:u w:val="single"/>
        </w:rPr>
        <w:tab/>
      </w:r>
    </w:p>
    <w:p>
      <w:pPr>
        <w:pStyle w:val="9"/>
        <w:tabs>
          <w:tab w:val="left" w:pos="6876"/>
          <w:tab w:val="left" w:pos="7901"/>
          <w:tab w:val="left" w:pos="8861"/>
        </w:tabs>
        <w:ind w:left="5981"/>
        <w:rPr>
          <w:color w:val="auto"/>
          <w:sz w:val="21"/>
          <w:szCs w:val="21"/>
          <w:highlight w:val="none"/>
        </w:rPr>
      </w:pPr>
      <w:r>
        <w:rPr>
          <w:rFonts w:eastAsia="Times New Roman"/>
          <w:color w:val="auto"/>
          <w:sz w:val="21"/>
          <w:szCs w:val="21"/>
          <w:highlight w:val="none"/>
          <w:u w:val="single"/>
        </w:rPr>
        <w:t xml:space="preserve"> </w:t>
      </w:r>
      <w:r>
        <w:rPr>
          <w:rFonts w:eastAsia="Times New Roman"/>
          <w:color w:val="auto"/>
          <w:sz w:val="21"/>
          <w:szCs w:val="21"/>
          <w:highlight w:val="none"/>
          <w:u w:val="single"/>
        </w:rPr>
        <w:tab/>
      </w:r>
      <w:r>
        <w:rPr>
          <w:rFonts w:eastAsia="Times New Roman"/>
          <w:color w:val="auto"/>
          <w:spacing w:val="5"/>
          <w:sz w:val="21"/>
          <w:szCs w:val="21"/>
          <w:highlight w:val="none"/>
        </w:rPr>
        <w:t xml:space="preserve"> </w:t>
      </w:r>
      <w:r>
        <w:rPr>
          <w:color w:val="auto"/>
          <w:sz w:val="21"/>
          <w:szCs w:val="21"/>
          <w:highlight w:val="none"/>
        </w:rPr>
        <w:t>年</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rPr>
        <w:t>月</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rPr>
        <w:t>日</w:t>
      </w:r>
    </w:p>
    <w:p>
      <w:pPr>
        <w:pStyle w:val="9"/>
        <w:rPr>
          <w:color w:val="auto"/>
          <w:sz w:val="21"/>
          <w:szCs w:val="21"/>
          <w:highlight w:val="none"/>
        </w:rPr>
      </w:pPr>
    </w:p>
    <w:p>
      <w:pPr>
        <w:pStyle w:val="9"/>
        <w:rPr>
          <w:color w:val="auto"/>
          <w:sz w:val="21"/>
          <w:szCs w:val="21"/>
          <w:highlight w:val="none"/>
        </w:rPr>
      </w:pPr>
    </w:p>
    <w:p>
      <w:pPr>
        <w:pStyle w:val="9"/>
        <w:rPr>
          <w:color w:val="auto"/>
          <w:sz w:val="21"/>
          <w:szCs w:val="21"/>
          <w:highlight w:val="none"/>
        </w:rPr>
      </w:pPr>
    </w:p>
    <w:p>
      <w:pPr>
        <w:pStyle w:val="9"/>
        <w:rPr>
          <w:color w:val="auto"/>
          <w:sz w:val="21"/>
          <w:szCs w:val="21"/>
          <w:highlight w:val="none"/>
        </w:rPr>
      </w:pPr>
    </w:p>
    <w:p>
      <w:pPr>
        <w:pStyle w:val="9"/>
        <w:rPr>
          <w:color w:val="auto"/>
          <w:sz w:val="21"/>
          <w:szCs w:val="21"/>
          <w:highlight w:val="none"/>
        </w:rPr>
      </w:pPr>
    </w:p>
    <w:p>
      <w:pPr>
        <w:pStyle w:val="9"/>
        <w:spacing w:before="2"/>
        <w:rPr>
          <w:color w:val="auto"/>
          <w:sz w:val="21"/>
          <w:szCs w:val="21"/>
          <w:highlight w:val="none"/>
        </w:rPr>
      </w:pPr>
      <w:r>
        <w:rPr>
          <w:color w:val="auto"/>
          <w:sz w:val="21"/>
          <w:szCs w:val="21"/>
          <w:highlight w:val="none"/>
        </w:rPr>
        <mc:AlternateContent>
          <mc:Choice Requires="wps">
            <w:drawing>
              <wp:anchor distT="0" distB="0" distL="114300" distR="114300" simplePos="0" relativeHeight="251661312" behindDoc="1" locked="0" layoutInCell="1" allowOverlap="1">
                <wp:simplePos x="0" y="0"/>
                <wp:positionH relativeFrom="page">
                  <wp:posOffset>1043940</wp:posOffset>
                </wp:positionH>
                <wp:positionV relativeFrom="paragraph">
                  <wp:posOffset>164465</wp:posOffset>
                </wp:positionV>
                <wp:extent cx="1828800" cy="6350"/>
                <wp:effectExtent l="0" t="0" r="0" b="0"/>
                <wp:wrapTopAndBottom/>
                <wp:docPr id="16" name="矩形 16"/>
                <wp:cNvGraphicFramePr/>
                <a:graphic xmlns:a="http://schemas.openxmlformats.org/drawingml/2006/main">
                  <a:graphicData uri="http://schemas.microsoft.com/office/word/2010/wordprocessingShape">
                    <wps:wsp>
                      <wps:cNvSpPr/>
                      <wps:spPr>
                        <a:xfrm>
                          <a:off x="0" y="0"/>
                          <a:ext cx="1828800" cy="6350"/>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82.2pt;margin-top:12.95pt;height:0.5pt;width:144pt;mso-position-horizontal-relative:page;mso-wrap-distance-bottom:0pt;mso-wrap-distance-top:0pt;z-index:-251655168;mso-width-relative:page;mso-height-relative:page;" fillcolor="#000000" filled="t" stroked="f" coordsize="21600,21600" o:gfxdata="UEsDBAoAAAAAAIdO4kAAAAAAAAAAAAAAAAAEAAAAZHJzL1BLAwQUAAAACACHTuJAcPPCLtcAAAAJ&#10;AQAADwAAAGRycy9kb3ducmV2LnhtbE2PzU7DMBCE70i8g7VI3KjdKImaEKdSkTgi0cKB3px4SaLG&#10;6xC7P/D0LCd6nNlPszPV+uJGccI5DJ40LBcKBFLr7UCdhve354cViBANWTN6Qg3fGGBd395UprT+&#10;TFs87WInOIRCaTT0MU6llKHt0Zmw8BMS3z797ExkOXfSzubM4W6UiVK5dGYg/tCbCZ96bA+7o9Ow&#10;KVabr9eUXn62zR73H80hS2al9f3dUj2CiHiJ/zD81efqUHOnxh/JBjGyztOUUQ1JVoBgIM0SNho2&#10;8gJkXcnrBfUvUEsDBBQAAAAIAIdO4kCXGO8LlQEAABEDAAAOAAAAZHJzL2Uyb0RvYy54bWytUktu&#10;2zAQ3QfoHQjua8ouahiC5SwapJuiDZDkADRFSgT4wwxj2acp0F0OkeMEuUaGtOv0syuqxYjz4Zt5&#10;b7i+3HvHdhrQxtDx+azhTAcVexuGjt/fXb9fcYZZhl66GHTHDxr55ebdxXpKrV7EMbpeAyOQgO2U&#10;Oj7mnFohUI3aS5zFpAMlTQQvM7kwiB7kROjeiUXTLMUUoU8QlUak6NUxyTcV3xit8jdjUGfmOk6z&#10;5Wqh2m2xYrOW7QAyjVadxpD/MIWXNlDTM9SVzJI9gP0LylsFEaPJMxW9iMZYpSsHYjNv/mBzO8qk&#10;KxcSB9NZJvx/sOrr7gaY7Wl3S86C9LSjl++Pz08/GAVInSlhS0W36QZOHtKxUN0b8OVPJNi+Kno4&#10;K6r3mSkKzleL1aoh4RXllh8+VsHF290EmD/r6Fk5dBxoX1VGufuCmfpR6c+S0gqjs/21da46MGw/&#10;OWA7WXZbvzIwXfmtzIVSHGK5dkyXiCi8jkzKaRv7A+nwkMAOIw0yr0glQ7pXzNMbKYv91a9Iby95&#10;8wp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F&#10;BAAAW0NvbnRlbnRfVHlwZXNdLnhtbFBLAQIUAAoAAAAAAIdO4kAAAAAAAAAAAAAAAAAGAAAAAAAA&#10;AAAAEAAAAOcCAABfcmVscy9QSwECFAAUAAAACACHTuJAihRmPNEAAACUAQAACwAAAAAAAAABACAA&#10;AAALAwAAX3JlbHMvLnJlbHNQSwECFAAKAAAAAACHTuJAAAAAAAAAAAAAAAAABAAAAAAAAAAAABAA&#10;AAAAAAAAZHJzL1BLAQIUABQAAAAIAIdO4kBw88Iu1wAAAAkBAAAPAAAAAAAAAAEAIAAAACIAAABk&#10;cnMvZG93bnJldi54bWxQSwECFAAUAAAACACHTuJAlxjvC5UBAAARAwAADgAAAAAAAAABACAAAAAm&#10;AQAAZHJzL2Uyb0RvYy54bWxQSwUGAAAAAAYABgBZAQAALQUAAAAA&#10;">
                <v:fill on="t" focussize="0,0"/>
                <v:stroke on="f"/>
                <v:imagedata o:title=""/>
                <o:lock v:ext="edit" aspectratio="f"/>
                <w10:wrap type="topAndBottom"/>
              </v:rect>
            </w:pict>
          </mc:Fallback>
        </mc:AlternateContent>
      </w:r>
    </w:p>
    <w:p>
      <w:pPr>
        <w:pStyle w:val="9"/>
        <w:rPr>
          <w:color w:val="auto"/>
          <w:sz w:val="21"/>
          <w:szCs w:val="21"/>
          <w:highlight w:val="none"/>
        </w:rPr>
      </w:pPr>
    </w:p>
    <w:p>
      <w:pPr>
        <w:tabs>
          <w:tab w:val="left" w:pos="3835"/>
          <w:tab w:val="left" w:pos="6958"/>
        </w:tabs>
        <w:spacing w:before="78"/>
        <w:ind w:left="424"/>
        <w:rPr>
          <w:color w:val="auto"/>
          <w:szCs w:val="21"/>
          <w:highlight w:val="none"/>
        </w:rPr>
      </w:pPr>
      <w:r>
        <w:rPr>
          <w:color w:val="auto"/>
          <w:position w:val="8"/>
          <w:szCs w:val="21"/>
          <w:highlight w:val="none"/>
        </w:rPr>
        <w:t>①</w:t>
      </w:r>
      <w:r>
        <w:rPr>
          <w:color w:val="auto"/>
          <w:szCs w:val="21"/>
          <w:highlight w:val="none"/>
        </w:rPr>
        <w:t>本条内容可修改为：“本担保自</w:t>
      </w:r>
      <w:r>
        <w:rPr>
          <w:color w:val="auto"/>
          <w:szCs w:val="21"/>
          <w:highlight w:val="none"/>
          <w:u w:val="single"/>
        </w:rPr>
        <w:t xml:space="preserve"> </w:t>
      </w:r>
      <w:r>
        <w:rPr>
          <w:color w:val="auto"/>
          <w:szCs w:val="21"/>
          <w:highlight w:val="none"/>
          <w:u w:val="single"/>
        </w:rPr>
        <w:tab/>
      </w:r>
      <w:r>
        <w:rPr>
          <w:color w:val="auto"/>
          <w:szCs w:val="21"/>
          <w:highlight w:val="none"/>
        </w:rPr>
        <w:t>（生效日期</w:t>
      </w:r>
      <w:r>
        <w:rPr>
          <w:color w:val="auto"/>
          <w:spacing w:val="-15"/>
          <w:szCs w:val="21"/>
          <w:highlight w:val="none"/>
        </w:rPr>
        <w:t>）</w:t>
      </w:r>
      <w:r>
        <w:rPr>
          <w:color w:val="auto"/>
          <w:szCs w:val="21"/>
          <w:highlight w:val="none"/>
        </w:rPr>
        <w:t>之</w:t>
      </w:r>
      <w:r>
        <w:rPr>
          <w:color w:val="auto"/>
          <w:spacing w:val="-3"/>
          <w:szCs w:val="21"/>
          <w:highlight w:val="none"/>
        </w:rPr>
        <w:t>日</w:t>
      </w:r>
      <w:r>
        <w:rPr>
          <w:color w:val="auto"/>
          <w:szCs w:val="21"/>
          <w:highlight w:val="none"/>
        </w:rPr>
        <w:t>起生效，至</w:t>
      </w:r>
      <w:r>
        <w:rPr>
          <w:color w:val="auto"/>
          <w:szCs w:val="21"/>
          <w:highlight w:val="none"/>
          <w:u w:val="single"/>
        </w:rPr>
        <w:t xml:space="preserve"> </w:t>
      </w:r>
      <w:r>
        <w:rPr>
          <w:color w:val="auto"/>
          <w:szCs w:val="21"/>
          <w:highlight w:val="none"/>
          <w:u w:val="single"/>
        </w:rPr>
        <w:tab/>
      </w:r>
      <w:r>
        <w:rPr>
          <w:color w:val="auto"/>
          <w:szCs w:val="21"/>
          <w:highlight w:val="none"/>
        </w:rPr>
        <w:t>（失效</w:t>
      </w:r>
      <w:r>
        <w:rPr>
          <w:color w:val="auto"/>
          <w:spacing w:val="-3"/>
          <w:szCs w:val="21"/>
          <w:highlight w:val="none"/>
        </w:rPr>
        <w:t>日</w:t>
      </w:r>
      <w:r>
        <w:rPr>
          <w:color w:val="auto"/>
          <w:szCs w:val="21"/>
          <w:highlight w:val="none"/>
        </w:rPr>
        <w:t>期</w:t>
      </w:r>
      <w:r>
        <w:rPr>
          <w:color w:val="auto"/>
          <w:spacing w:val="-14"/>
          <w:szCs w:val="21"/>
          <w:highlight w:val="none"/>
        </w:rPr>
        <w:t>）</w:t>
      </w:r>
      <w:r>
        <w:rPr>
          <w:color w:val="auto"/>
          <w:szCs w:val="21"/>
          <w:highlight w:val="none"/>
        </w:rPr>
        <w:t>之日失效。”</w:t>
      </w:r>
    </w:p>
    <w:p>
      <w:pPr>
        <w:spacing w:before="110" w:line="352" w:lineRule="auto"/>
        <w:ind w:left="424" w:right="498"/>
        <w:jc w:val="both"/>
        <w:rPr>
          <w:color w:val="auto"/>
          <w:szCs w:val="21"/>
          <w:highlight w:val="none"/>
        </w:rPr>
        <w:sectPr>
          <w:pgSz w:w="11910" w:h="16850"/>
          <w:pgMar w:top="1460" w:right="1120" w:bottom="1280" w:left="1220" w:header="882" w:footer="1093" w:gutter="0"/>
          <w:cols w:space="720" w:num="1"/>
        </w:sectPr>
      </w:pPr>
      <w:r>
        <w:rPr>
          <w:color w:val="auto"/>
          <w:szCs w:val="21"/>
          <w:highlight w:val="none"/>
        </w:rPr>
        <w:t>如委托人接受履约保函采用固定有效期，在项目专用合同条款中应增加保证监理人在履约保函失效日前向委托人出具后续阶段履约保函的约束性条款，直至委托人签发交工验收证书且监理人按照合同约定提交缺陷责任期保函之日为止。</w:t>
      </w:r>
    </w:p>
    <w:p>
      <w:pPr>
        <w:pStyle w:val="5"/>
        <w:tabs>
          <w:tab w:val="left" w:pos="2122"/>
        </w:tabs>
        <w:spacing w:before="101"/>
        <w:ind w:left="0"/>
        <w:jc w:val="both"/>
        <w:rPr>
          <w:rFonts w:ascii="黑体" w:hAnsi="黑体" w:eastAsia="黑体"/>
          <w:color w:val="auto"/>
          <w:sz w:val="32"/>
          <w:szCs w:val="32"/>
          <w:highlight w:val="none"/>
        </w:rPr>
      </w:pPr>
      <w:bookmarkStart w:id="75" w:name="_bookmark126"/>
      <w:bookmarkEnd w:id="75"/>
      <w:r>
        <w:rPr>
          <w:rFonts w:hint="eastAsia" w:ascii="黑体" w:hAnsi="黑体" w:eastAsia="黑体"/>
          <w:color w:val="auto"/>
          <w:sz w:val="32"/>
          <w:szCs w:val="32"/>
          <w:highlight w:val="none"/>
        </w:rPr>
        <w:tab/>
      </w:r>
    </w:p>
    <w:p>
      <w:pPr>
        <w:pStyle w:val="5"/>
        <w:tabs>
          <w:tab w:val="left" w:pos="2122"/>
        </w:tabs>
        <w:spacing w:before="101"/>
        <w:ind w:left="0"/>
        <w:jc w:val="both"/>
        <w:rPr>
          <w:rFonts w:ascii="黑体" w:hAnsi="黑体" w:eastAsia="黑体"/>
          <w:color w:val="auto"/>
          <w:sz w:val="32"/>
          <w:szCs w:val="32"/>
          <w:highlight w:val="none"/>
        </w:rPr>
      </w:pPr>
    </w:p>
    <w:p>
      <w:pPr>
        <w:pStyle w:val="5"/>
        <w:tabs>
          <w:tab w:val="left" w:pos="2122"/>
        </w:tabs>
        <w:spacing w:before="101"/>
        <w:ind w:left="0"/>
        <w:jc w:val="both"/>
        <w:rPr>
          <w:rFonts w:ascii="黑体" w:hAnsi="黑体" w:eastAsia="黑体"/>
          <w:color w:val="auto"/>
          <w:sz w:val="32"/>
          <w:szCs w:val="32"/>
          <w:highlight w:val="none"/>
        </w:rPr>
      </w:pPr>
    </w:p>
    <w:p>
      <w:pPr>
        <w:pStyle w:val="5"/>
        <w:tabs>
          <w:tab w:val="left" w:pos="2122"/>
        </w:tabs>
        <w:spacing w:before="101"/>
        <w:ind w:left="0"/>
        <w:jc w:val="both"/>
        <w:rPr>
          <w:rFonts w:ascii="黑体" w:hAnsi="黑体" w:eastAsia="黑体"/>
          <w:color w:val="auto"/>
          <w:sz w:val="32"/>
          <w:szCs w:val="32"/>
          <w:highlight w:val="none"/>
        </w:rPr>
      </w:pPr>
    </w:p>
    <w:p>
      <w:pPr>
        <w:pStyle w:val="5"/>
        <w:tabs>
          <w:tab w:val="left" w:pos="2122"/>
        </w:tabs>
        <w:spacing w:before="101"/>
        <w:ind w:left="0"/>
        <w:jc w:val="both"/>
        <w:rPr>
          <w:rFonts w:ascii="黑体" w:hAnsi="黑体" w:eastAsia="黑体"/>
          <w:color w:val="auto"/>
          <w:sz w:val="32"/>
          <w:szCs w:val="32"/>
          <w:highlight w:val="none"/>
        </w:rPr>
      </w:pPr>
    </w:p>
    <w:p>
      <w:pPr>
        <w:pStyle w:val="5"/>
        <w:tabs>
          <w:tab w:val="left" w:pos="2122"/>
        </w:tabs>
        <w:spacing w:before="101"/>
        <w:ind w:left="0"/>
        <w:jc w:val="both"/>
        <w:rPr>
          <w:rFonts w:ascii="黑体" w:hAnsi="黑体" w:eastAsia="黑体"/>
          <w:color w:val="auto"/>
          <w:sz w:val="32"/>
          <w:szCs w:val="32"/>
          <w:highlight w:val="none"/>
        </w:rPr>
      </w:pPr>
    </w:p>
    <w:p>
      <w:pPr>
        <w:pStyle w:val="5"/>
        <w:tabs>
          <w:tab w:val="left" w:pos="2122"/>
        </w:tabs>
        <w:spacing w:before="101"/>
        <w:ind w:left="0"/>
        <w:jc w:val="both"/>
        <w:rPr>
          <w:rFonts w:ascii="黑体" w:hAnsi="黑体" w:eastAsia="黑体"/>
          <w:color w:val="auto"/>
          <w:sz w:val="32"/>
          <w:szCs w:val="32"/>
          <w:highlight w:val="none"/>
        </w:rPr>
      </w:pPr>
    </w:p>
    <w:p>
      <w:pPr>
        <w:pStyle w:val="5"/>
        <w:tabs>
          <w:tab w:val="left" w:pos="2122"/>
        </w:tabs>
        <w:spacing w:before="101"/>
        <w:ind w:left="0"/>
        <w:rPr>
          <w:rFonts w:ascii="黑体" w:hAnsi="黑体" w:eastAsia="黑体"/>
          <w:color w:val="auto"/>
          <w:sz w:val="32"/>
          <w:szCs w:val="32"/>
          <w:highlight w:val="none"/>
        </w:rPr>
      </w:pPr>
      <w:r>
        <w:rPr>
          <w:rFonts w:hint="eastAsia" w:ascii="黑体" w:hAnsi="黑体" w:eastAsia="黑体"/>
          <w:color w:val="auto"/>
          <w:sz w:val="32"/>
          <w:szCs w:val="32"/>
          <w:highlight w:val="none"/>
        </w:rPr>
        <w:t>委托人要求</w:t>
      </w:r>
      <w:r>
        <w:rPr>
          <w:rFonts w:hint="eastAsia" w:ascii="黑体" w:hAnsi="黑体" w:eastAsia="黑体"/>
          <w:color w:val="auto"/>
          <w:sz w:val="32"/>
          <w:szCs w:val="32"/>
          <w:highlight w:val="none"/>
          <w:vertAlign w:val="superscript"/>
        </w:rPr>
        <w:t>①</w:t>
      </w:r>
    </w:p>
    <w:p>
      <w:pPr>
        <w:pStyle w:val="9"/>
        <w:rPr>
          <w:rFonts w:ascii="黑体"/>
          <w:b/>
          <w:color w:val="auto"/>
          <w:sz w:val="21"/>
          <w:szCs w:val="21"/>
          <w:highlight w:val="none"/>
        </w:rPr>
      </w:pPr>
    </w:p>
    <w:p>
      <w:pPr>
        <w:pStyle w:val="9"/>
        <w:rPr>
          <w:rFonts w:ascii="黑体"/>
          <w:b/>
          <w:color w:val="auto"/>
          <w:sz w:val="21"/>
          <w:szCs w:val="21"/>
          <w:highlight w:val="none"/>
        </w:rPr>
      </w:pPr>
    </w:p>
    <w:p>
      <w:pPr>
        <w:pStyle w:val="9"/>
        <w:rPr>
          <w:rFonts w:ascii="黑体"/>
          <w:b/>
          <w:color w:val="auto"/>
          <w:sz w:val="21"/>
          <w:szCs w:val="21"/>
          <w:highlight w:val="none"/>
        </w:rPr>
      </w:pPr>
    </w:p>
    <w:p>
      <w:pPr>
        <w:pStyle w:val="9"/>
        <w:rPr>
          <w:rFonts w:ascii="黑体"/>
          <w:b/>
          <w:color w:val="auto"/>
          <w:sz w:val="21"/>
          <w:szCs w:val="21"/>
          <w:highlight w:val="none"/>
        </w:rPr>
      </w:pPr>
    </w:p>
    <w:p>
      <w:pPr>
        <w:pStyle w:val="9"/>
        <w:rPr>
          <w:rFonts w:ascii="黑体"/>
          <w:b/>
          <w:color w:val="auto"/>
          <w:sz w:val="21"/>
          <w:szCs w:val="21"/>
          <w:highlight w:val="none"/>
        </w:rPr>
      </w:pPr>
    </w:p>
    <w:p>
      <w:pPr>
        <w:pStyle w:val="9"/>
        <w:rPr>
          <w:rFonts w:ascii="黑体"/>
          <w:b/>
          <w:color w:val="auto"/>
          <w:sz w:val="21"/>
          <w:szCs w:val="21"/>
          <w:highlight w:val="none"/>
        </w:rPr>
      </w:pPr>
    </w:p>
    <w:p>
      <w:pPr>
        <w:pStyle w:val="9"/>
        <w:rPr>
          <w:rFonts w:ascii="黑体"/>
          <w:b/>
          <w:color w:val="auto"/>
          <w:sz w:val="21"/>
          <w:szCs w:val="21"/>
          <w:highlight w:val="none"/>
        </w:rPr>
      </w:pPr>
    </w:p>
    <w:p>
      <w:pPr>
        <w:pStyle w:val="9"/>
        <w:rPr>
          <w:rFonts w:ascii="黑体"/>
          <w:b/>
          <w:color w:val="auto"/>
          <w:sz w:val="21"/>
          <w:szCs w:val="21"/>
          <w:highlight w:val="none"/>
        </w:rPr>
      </w:pPr>
    </w:p>
    <w:p>
      <w:pPr>
        <w:pStyle w:val="9"/>
        <w:rPr>
          <w:rFonts w:ascii="黑体"/>
          <w:b/>
          <w:color w:val="auto"/>
          <w:sz w:val="21"/>
          <w:szCs w:val="21"/>
          <w:highlight w:val="none"/>
        </w:rPr>
      </w:pPr>
    </w:p>
    <w:p>
      <w:pPr>
        <w:pStyle w:val="9"/>
        <w:rPr>
          <w:rFonts w:ascii="黑体"/>
          <w:b/>
          <w:color w:val="auto"/>
          <w:sz w:val="21"/>
          <w:szCs w:val="21"/>
          <w:highlight w:val="none"/>
        </w:rPr>
      </w:pPr>
    </w:p>
    <w:p>
      <w:pPr>
        <w:pStyle w:val="9"/>
        <w:rPr>
          <w:rFonts w:ascii="黑体"/>
          <w:b/>
          <w:color w:val="auto"/>
          <w:sz w:val="21"/>
          <w:szCs w:val="21"/>
          <w:highlight w:val="none"/>
        </w:rPr>
      </w:pPr>
    </w:p>
    <w:p>
      <w:pPr>
        <w:pStyle w:val="9"/>
        <w:rPr>
          <w:rFonts w:ascii="黑体"/>
          <w:b/>
          <w:color w:val="auto"/>
          <w:sz w:val="21"/>
          <w:szCs w:val="21"/>
          <w:highlight w:val="none"/>
        </w:rPr>
      </w:pPr>
    </w:p>
    <w:p>
      <w:pPr>
        <w:pStyle w:val="9"/>
        <w:rPr>
          <w:rFonts w:ascii="黑体"/>
          <w:b/>
          <w:color w:val="auto"/>
          <w:sz w:val="21"/>
          <w:szCs w:val="21"/>
          <w:highlight w:val="none"/>
        </w:rPr>
      </w:pPr>
    </w:p>
    <w:p>
      <w:pPr>
        <w:pStyle w:val="9"/>
        <w:rPr>
          <w:rFonts w:ascii="黑体"/>
          <w:b/>
          <w:color w:val="auto"/>
          <w:sz w:val="21"/>
          <w:szCs w:val="21"/>
          <w:highlight w:val="none"/>
        </w:rPr>
      </w:pPr>
    </w:p>
    <w:p>
      <w:pPr>
        <w:pStyle w:val="9"/>
        <w:rPr>
          <w:rFonts w:ascii="黑体"/>
          <w:b/>
          <w:color w:val="auto"/>
          <w:sz w:val="21"/>
          <w:szCs w:val="21"/>
          <w:highlight w:val="none"/>
        </w:rPr>
      </w:pPr>
    </w:p>
    <w:p>
      <w:pPr>
        <w:pStyle w:val="9"/>
        <w:rPr>
          <w:rFonts w:ascii="黑体"/>
          <w:b/>
          <w:color w:val="auto"/>
          <w:sz w:val="21"/>
          <w:szCs w:val="21"/>
          <w:highlight w:val="none"/>
        </w:rPr>
      </w:pPr>
    </w:p>
    <w:p>
      <w:pPr>
        <w:pStyle w:val="9"/>
        <w:rPr>
          <w:rFonts w:ascii="黑体"/>
          <w:b/>
          <w:color w:val="auto"/>
          <w:sz w:val="21"/>
          <w:szCs w:val="21"/>
          <w:highlight w:val="none"/>
        </w:rPr>
      </w:pPr>
    </w:p>
    <w:p>
      <w:pPr>
        <w:pStyle w:val="9"/>
        <w:rPr>
          <w:rFonts w:ascii="黑体"/>
          <w:b/>
          <w:color w:val="auto"/>
          <w:sz w:val="21"/>
          <w:szCs w:val="21"/>
          <w:highlight w:val="none"/>
        </w:rPr>
      </w:pPr>
    </w:p>
    <w:p>
      <w:pPr>
        <w:pStyle w:val="9"/>
        <w:rPr>
          <w:rFonts w:ascii="黑体"/>
          <w:b/>
          <w:color w:val="auto"/>
          <w:sz w:val="21"/>
          <w:szCs w:val="21"/>
          <w:highlight w:val="none"/>
        </w:rPr>
      </w:pPr>
    </w:p>
    <w:p>
      <w:pPr>
        <w:pStyle w:val="9"/>
        <w:rPr>
          <w:rFonts w:ascii="黑体"/>
          <w:b/>
          <w:color w:val="auto"/>
          <w:sz w:val="21"/>
          <w:szCs w:val="21"/>
          <w:highlight w:val="none"/>
        </w:rPr>
      </w:pPr>
    </w:p>
    <w:p>
      <w:pPr>
        <w:pStyle w:val="9"/>
        <w:rPr>
          <w:rFonts w:ascii="黑体"/>
          <w:b/>
          <w:color w:val="auto"/>
          <w:sz w:val="21"/>
          <w:szCs w:val="21"/>
          <w:highlight w:val="none"/>
        </w:rPr>
      </w:pPr>
    </w:p>
    <w:p>
      <w:pPr>
        <w:pStyle w:val="9"/>
        <w:rPr>
          <w:rFonts w:ascii="黑体"/>
          <w:b/>
          <w:color w:val="auto"/>
          <w:sz w:val="21"/>
          <w:szCs w:val="21"/>
          <w:highlight w:val="none"/>
        </w:rPr>
      </w:pPr>
    </w:p>
    <w:p>
      <w:pPr>
        <w:pStyle w:val="9"/>
        <w:rPr>
          <w:rFonts w:ascii="黑体"/>
          <w:b/>
          <w:color w:val="auto"/>
          <w:sz w:val="21"/>
          <w:szCs w:val="21"/>
          <w:highlight w:val="none"/>
        </w:rPr>
      </w:pPr>
    </w:p>
    <w:p>
      <w:pPr>
        <w:pStyle w:val="9"/>
        <w:rPr>
          <w:rFonts w:ascii="黑体"/>
          <w:b/>
          <w:color w:val="auto"/>
          <w:sz w:val="21"/>
          <w:szCs w:val="21"/>
          <w:highlight w:val="none"/>
        </w:rPr>
      </w:pPr>
    </w:p>
    <w:p>
      <w:pPr>
        <w:pStyle w:val="9"/>
        <w:rPr>
          <w:rFonts w:ascii="黑体"/>
          <w:b/>
          <w:color w:val="auto"/>
          <w:sz w:val="21"/>
          <w:szCs w:val="21"/>
          <w:highlight w:val="none"/>
        </w:rPr>
      </w:pPr>
    </w:p>
    <w:p>
      <w:pPr>
        <w:pStyle w:val="9"/>
        <w:rPr>
          <w:rFonts w:ascii="黑体"/>
          <w:b/>
          <w:color w:val="auto"/>
          <w:sz w:val="21"/>
          <w:szCs w:val="21"/>
          <w:highlight w:val="none"/>
        </w:rPr>
      </w:pPr>
    </w:p>
    <w:p>
      <w:pPr>
        <w:pStyle w:val="9"/>
        <w:rPr>
          <w:rFonts w:ascii="黑体"/>
          <w:b/>
          <w:color w:val="auto"/>
          <w:sz w:val="21"/>
          <w:szCs w:val="21"/>
          <w:highlight w:val="none"/>
        </w:rPr>
      </w:pPr>
    </w:p>
    <w:p>
      <w:pPr>
        <w:pStyle w:val="9"/>
        <w:rPr>
          <w:rFonts w:ascii="黑体"/>
          <w:b/>
          <w:color w:val="auto"/>
          <w:sz w:val="21"/>
          <w:szCs w:val="21"/>
          <w:highlight w:val="none"/>
        </w:rPr>
      </w:pPr>
    </w:p>
    <w:p>
      <w:pPr>
        <w:spacing w:after="0"/>
        <w:rPr>
          <w:color w:val="auto"/>
          <w:szCs w:val="21"/>
          <w:highlight w:val="none"/>
        </w:rPr>
        <w:sectPr>
          <w:pgSz w:w="11910" w:h="16850"/>
          <w:pgMar w:top="1460" w:right="1120" w:bottom="1280" w:left="1220" w:header="882" w:footer="1093" w:gutter="0"/>
          <w:cols w:space="720" w:num="1"/>
        </w:sectPr>
      </w:pPr>
    </w:p>
    <w:p>
      <w:pPr>
        <w:spacing w:before="128"/>
        <w:ind w:left="309" w:right="347"/>
        <w:jc w:val="center"/>
        <w:rPr>
          <w:rFonts w:ascii="黑体" w:eastAsia="黑体"/>
          <w:color w:val="auto"/>
          <w:szCs w:val="21"/>
          <w:highlight w:val="none"/>
        </w:rPr>
      </w:pPr>
      <w:r>
        <w:rPr>
          <w:rFonts w:hint="eastAsia" w:ascii="黑体" w:eastAsia="黑体"/>
          <w:color w:val="auto"/>
          <w:szCs w:val="21"/>
          <w:highlight w:val="none"/>
        </w:rPr>
        <w:t>委托人要求</w:t>
      </w:r>
    </w:p>
    <w:p>
      <w:pPr>
        <w:pStyle w:val="9"/>
        <w:spacing w:before="5"/>
        <w:rPr>
          <w:rFonts w:ascii="黑体"/>
          <w:color w:val="auto"/>
          <w:sz w:val="21"/>
          <w:szCs w:val="21"/>
          <w:highlight w:val="none"/>
        </w:rPr>
      </w:pPr>
    </w:p>
    <w:p>
      <w:pPr>
        <w:pStyle w:val="9"/>
        <w:spacing w:before="1" w:line="343" w:lineRule="auto"/>
        <w:ind w:left="424" w:right="471" w:firstLine="479"/>
        <w:jc w:val="both"/>
        <w:rPr>
          <w:color w:val="auto"/>
          <w:sz w:val="21"/>
          <w:szCs w:val="21"/>
          <w:highlight w:val="none"/>
        </w:rPr>
      </w:pPr>
      <w:r>
        <w:rPr>
          <w:color w:val="auto"/>
          <w:sz w:val="21"/>
          <w:szCs w:val="21"/>
          <w:highlight w:val="none"/>
        </w:rPr>
        <w:t>委托人要求应尽可能清晰准确，对于可以进行定量评估的工作，委托人要求不仅应明确规定其功能、用途、质量、环境、安全，并且要规定检验、试验、试运行的具体要求。对于监理人负责提供的有关服务，在委托人要求中应一并明确规定。</w:t>
      </w:r>
    </w:p>
    <w:p>
      <w:pPr>
        <w:pStyle w:val="9"/>
        <w:ind w:left="904"/>
        <w:rPr>
          <w:color w:val="auto"/>
          <w:sz w:val="21"/>
          <w:szCs w:val="21"/>
          <w:highlight w:val="none"/>
        </w:rPr>
      </w:pPr>
      <w:r>
        <w:rPr>
          <w:color w:val="auto"/>
          <w:sz w:val="21"/>
          <w:szCs w:val="21"/>
          <w:highlight w:val="none"/>
        </w:rPr>
        <w:t>委托人要求通常包括但不限于以下内容。</w:t>
      </w:r>
    </w:p>
    <w:p>
      <w:pPr>
        <w:pStyle w:val="9"/>
        <w:spacing w:before="9"/>
        <w:rPr>
          <w:color w:val="auto"/>
          <w:sz w:val="21"/>
          <w:szCs w:val="21"/>
          <w:highlight w:val="none"/>
        </w:rPr>
      </w:pPr>
    </w:p>
    <w:p>
      <w:pPr>
        <w:ind w:left="424"/>
        <w:rPr>
          <w:rFonts w:ascii="黑体" w:eastAsia="黑体"/>
          <w:b/>
          <w:color w:val="auto"/>
          <w:szCs w:val="21"/>
          <w:highlight w:val="none"/>
        </w:rPr>
      </w:pPr>
      <w:r>
        <w:rPr>
          <w:rFonts w:hint="eastAsia" w:ascii="黑体" w:eastAsia="黑体"/>
          <w:b/>
          <w:color w:val="auto"/>
          <w:szCs w:val="21"/>
          <w:highlight w:val="none"/>
        </w:rPr>
        <w:t>一、监理要求</w:t>
      </w:r>
    </w:p>
    <w:p>
      <w:pPr>
        <w:pStyle w:val="9"/>
        <w:spacing w:before="11"/>
        <w:rPr>
          <w:rFonts w:ascii="黑体"/>
          <w:b/>
          <w:color w:val="auto"/>
          <w:sz w:val="21"/>
          <w:szCs w:val="21"/>
          <w:highlight w:val="none"/>
        </w:rPr>
      </w:pPr>
    </w:p>
    <w:p>
      <w:pPr>
        <w:pStyle w:val="9"/>
        <w:ind w:left="904"/>
        <w:jc w:val="left"/>
        <w:rPr>
          <w:color w:val="auto"/>
          <w:sz w:val="21"/>
          <w:szCs w:val="21"/>
          <w:highlight w:val="none"/>
        </w:rPr>
      </w:pPr>
      <w:r>
        <w:rPr>
          <w:color w:val="auto"/>
          <w:sz w:val="21"/>
          <w:szCs w:val="21"/>
          <w:highlight w:val="none"/>
        </w:rPr>
        <w:t>招标人应当根据项目情况在本章中明确相应的监理要求，一般应包括以下内容：</w:t>
      </w:r>
    </w:p>
    <w:p>
      <w:pPr>
        <w:pStyle w:val="9"/>
        <w:spacing w:before="132"/>
        <w:ind w:left="904"/>
        <w:jc w:val="left"/>
        <w:rPr>
          <w:color w:val="auto"/>
          <w:sz w:val="21"/>
          <w:szCs w:val="21"/>
          <w:highlight w:val="none"/>
        </w:rPr>
      </w:pPr>
      <w:r>
        <w:rPr>
          <w:color w:val="auto"/>
          <w:sz w:val="21"/>
          <w:szCs w:val="21"/>
          <w:highlight w:val="none"/>
        </w:rPr>
        <w:t>（一）项目概况</w:t>
      </w:r>
    </w:p>
    <w:p>
      <w:pPr>
        <w:pStyle w:val="9"/>
        <w:spacing w:before="134"/>
        <w:ind w:left="904" w:firstLine="420" w:firstLineChars="200"/>
        <w:jc w:val="left"/>
        <w:rPr>
          <w:color w:val="auto"/>
          <w:sz w:val="21"/>
          <w:szCs w:val="21"/>
          <w:highlight w:val="none"/>
        </w:rPr>
      </w:pPr>
      <w:r>
        <w:rPr>
          <w:rFonts w:hint="eastAsia"/>
          <w:color w:val="auto"/>
          <w:sz w:val="21"/>
          <w:szCs w:val="21"/>
          <w:highlight w:val="none"/>
        </w:rPr>
        <w:t>桂平市垌心至金田公路工程监理服务1项，本工程线路总体走向为自北向南，起点（</w:t>
      </w:r>
      <w:r>
        <w:rPr>
          <w:color w:val="auto"/>
          <w:sz w:val="21"/>
          <w:szCs w:val="21"/>
          <w:highlight w:val="none"/>
        </w:rPr>
        <w:t>K0+000</w:t>
      </w:r>
      <w:r>
        <w:rPr>
          <w:rFonts w:hint="eastAsia"/>
          <w:color w:val="auto"/>
          <w:sz w:val="21"/>
          <w:szCs w:val="21"/>
          <w:highlight w:val="none"/>
        </w:rPr>
        <w:t>）与柳梧高速公路大鹏连接线相接，</w:t>
      </w:r>
      <w:r>
        <w:rPr>
          <w:color w:val="auto"/>
          <w:sz w:val="21"/>
          <w:szCs w:val="21"/>
          <w:highlight w:val="none"/>
        </w:rPr>
        <w:t>K0+000-K7+120</w:t>
      </w:r>
      <w:r>
        <w:rPr>
          <w:rFonts w:hint="eastAsia"/>
          <w:color w:val="auto"/>
          <w:sz w:val="21"/>
          <w:szCs w:val="21"/>
          <w:highlight w:val="none"/>
        </w:rPr>
        <w:t>段完全利用柳梧高速大鹏连接线，新建路段起点（</w:t>
      </w:r>
      <w:r>
        <w:rPr>
          <w:color w:val="auto"/>
          <w:sz w:val="21"/>
          <w:szCs w:val="21"/>
          <w:highlight w:val="none"/>
        </w:rPr>
        <w:t>K0+000</w:t>
      </w:r>
      <w:r>
        <w:rPr>
          <w:rFonts w:hint="eastAsia"/>
          <w:color w:val="auto"/>
          <w:sz w:val="21"/>
          <w:szCs w:val="21"/>
          <w:highlight w:val="none"/>
        </w:rPr>
        <w:t>）</w:t>
      </w:r>
      <w:r>
        <w:rPr>
          <w:color w:val="auto"/>
          <w:sz w:val="21"/>
          <w:szCs w:val="21"/>
          <w:highlight w:val="none"/>
        </w:rPr>
        <w:t>=</w:t>
      </w:r>
      <w:r>
        <w:rPr>
          <w:rFonts w:hint="eastAsia"/>
          <w:color w:val="auto"/>
          <w:sz w:val="21"/>
          <w:szCs w:val="21"/>
          <w:highlight w:val="none"/>
        </w:rPr>
        <w:t>完全利用段终点（</w:t>
      </w:r>
      <w:r>
        <w:rPr>
          <w:color w:val="auto"/>
          <w:sz w:val="21"/>
          <w:szCs w:val="21"/>
          <w:highlight w:val="none"/>
        </w:rPr>
        <w:t>K7+120</w:t>
      </w:r>
      <w:r>
        <w:rPr>
          <w:rFonts w:hint="eastAsia"/>
          <w:color w:val="auto"/>
          <w:sz w:val="21"/>
          <w:szCs w:val="21"/>
          <w:highlight w:val="none"/>
        </w:rPr>
        <w:t>），与大鹏连接线</w:t>
      </w:r>
      <w:r>
        <w:rPr>
          <w:color w:val="auto"/>
          <w:sz w:val="21"/>
          <w:szCs w:val="21"/>
          <w:highlight w:val="none"/>
        </w:rPr>
        <w:t>T</w:t>
      </w:r>
      <w:r>
        <w:rPr>
          <w:rFonts w:hint="eastAsia"/>
          <w:color w:val="auto"/>
          <w:sz w:val="21"/>
          <w:szCs w:val="21"/>
          <w:highlight w:val="none"/>
        </w:rPr>
        <w:t>型渠化交叉顺接，路线沿旧路</w:t>
      </w:r>
      <w:r>
        <w:rPr>
          <w:color w:val="auto"/>
          <w:sz w:val="21"/>
          <w:szCs w:val="21"/>
          <w:highlight w:val="none"/>
        </w:rPr>
        <w:t>X348</w:t>
      </w:r>
      <w:r>
        <w:rPr>
          <w:rFonts w:hint="eastAsia"/>
          <w:color w:val="auto"/>
          <w:sz w:val="21"/>
          <w:szCs w:val="21"/>
          <w:highlight w:val="none"/>
        </w:rPr>
        <w:t>县道布线，途经王举屯、桂山屯、中垌屯、垌心屯、理村、新旺村、新燕、终点</w:t>
      </w:r>
      <w:r>
        <w:rPr>
          <w:color w:val="auto"/>
          <w:sz w:val="21"/>
          <w:szCs w:val="21"/>
          <w:highlight w:val="none"/>
        </w:rPr>
        <w:t>K10+245</w:t>
      </w:r>
      <w:r>
        <w:rPr>
          <w:rFonts w:hint="eastAsia"/>
          <w:color w:val="auto"/>
          <w:sz w:val="21"/>
          <w:szCs w:val="21"/>
          <w:highlight w:val="none"/>
        </w:rPr>
        <w:t>位于金田镇上，与</w:t>
      </w:r>
      <w:r>
        <w:rPr>
          <w:color w:val="auto"/>
          <w:sz w:val="21"/>
          <w:szCs w:val="21"/>
          <w:highlight w:val="none"/>
        </w:rPr>
        <w:t>S323</w:t>
      </w:r>
      <w:r>
        <w:rPr>
          <w:rFonts w:hint="eastAsia"/>
          <w:color w:val="auto"/>
          <w:sz w:val="21"/>
          <w:szCs w:val="21"/>
          <w:highlight w:val="none"/>
        </w:rPr>
        <w:t>梧州至迁江二级公路成十字型平面交叉相接。路线全长</w:t>
      </w:r>
      <w:r>
        <w:rPr>
          <w:color w:val="auto"/>
          <w:sz w:val="21"/>
          <w:szCs w:val="21"/>
          <w:highlight w:val="none"/>
        </w:rPr>
        <w:t>17.365</w:t>
      </w:r>
      <w:r>
        <w:rPr>
          <w:rFonts w:hint="eastAsia"/>
          <w:color w:val="auto"/>
          <w:sz w:val="21"/>
          <w:szCs w:val="21"/>
          <w:highlight w:val="none"/>
        </w:rPr>
        <w:t>公里，其中利用段</w:t>
      </w:r>
      <w:r>
        <w:rPr>
          <w:color w:val="auto"/>
          <w:sz w:val="21"/>
          <w:szCs w:val="21"/>
          <w:highlight w:val="none"/>
        </w:rPr>
        <w:t>7.12</w:t>
      </w:r>
      <w:r>
        <w:rPr>
          <w:rFonts w:hint="eastAsia"/>
          <w:color w:val="auto"/>
          <w:sz w:val="21"/>
          <w:szCs w:val="21"/>
          <w:highlight w:val="none"/>
        </w:rPr>
        <w:t>公里，新建段</w:t>
      </w:r>
      <w:r>
        <w:rPr>
          <w:color w:val="auto"/>
          <w:sz w:val="21"/>
          <w:szCs w:val="21"/>
          <w:highlight w:val="none"/>
        </w:rPr>
        <w:t>10.245</w:t>
      </w:r>
      <w:r>
        <w:rPr>
          <w:rFonts w:hint="eastAsia"/>
          <w:color w:val="auto"/>
          <w:sz w:val="21"/>
          <w:szCs w:val="21"/>
          <w:highlight w:val="none"/>
        </w:rPr>
        <w:t>公里。设计时速：</w:t>
      </w:r>
      <w:r>
        <w:rPr>
          <w:color w:val="auto"/>
          <w:sz w:val="21"/>
          <w:szCs w:val="21"/>
          <w:highlight w:val="none"/>
        </w:rPr>
        <w:t>60km/h</w:t>
      </w:r>
      <w:r>
        <w:rPr>
          <w:rFonts w:hint="eastAsia"/>
          <w:color w:val="auto"/>
          <w:sz w:val="21"/>
          <w:szCs w:val="21"/>
          <w:highlight w:val="none"/>
        </w:rPr>
        <w:t>，路基宽度为</w:t>
      </w:r>
      <w:r>
        <w:rPr>
          <w:color w:val="auto"/>
          <w:sz w:val="21"/>
          <w:szCs w:val="21"/>
          <w:highlight w:val="none"/>
        </w:rPr>
        <w:t>10m</w:t>
      </w:r>
      <w:r>
        <w:rPr>
          <w:rFonts w:hint="eastAsia"/>
          <w:color w:val="auto"/>
          <w:sz w:val="21"/>
          <w:szCs w:val="21"/>
          <w:highlight w:val="none"/>
        </w:rPr>
        <w:t>，其中</w:t>
      </w:r>
      <w:r>
        <w:rPr>
          <w:color w:val="auto"/>
          <w:sz w:val="21"/>
          <w:szCs w:val="21"/>
          <w:highlight w:val="none"/>
        </w:rPr>
        <w:t>K0+000-K0+540</w:t>
      </w:r>
      <w:r>
        <w:rPr>
          <w:rFonts w:hint="eastAsia"/>
          <w:color w:val="auto"/>
          <w:sz w:val="21"/>
          <w:szCs w:val="21"/>
          <w:highlight w:val="none"/>
        </w:rPr>
        <w:t>、</w:t>
      </w:r>
      <w:r>
        <w:rPr>
          <w:color w:val="auto"/>
          <w:sz w:val="21"/>
          <w:szCs w:val="21"/>
          <w:highlight w:val="none"/>
        </w:rPr>
        <w:t>K4+680-K5+320</w:t>
      </w:r>
      <w:r>
        <w:rPr>
          <w:rFonts w:hint="eastAsia"/>
          <w:color w:val="auto"/>
          <w:sz w:val="21"/>
          <w:szCs w:val="21"/>
          <w:highlight w:val="none"/>
        </w:rPr>
        <w:t>、</w:t>
      </w:r>
      <w:r>
        <w:rPr>
          <w:color w:val="auto"/>
          <w:sz w:val="21"/>
          <w:szCs w:val="21"/>
          <w:highlight w:val="none"/>
        </w:rPr>
        <w:t>K9+680-K10+245</w:t>
      </w:r>
      <w:r>
        <w:rPr>
          <w:rFonts w:hint="eastAsia"/>
          <w:color w:val="auto"/>
          <w:sz w:val="21"/>
          <w:szCs w:val="21"/>
          <w:highlight w:val="none"/>
        </w:rPr>
        <w:t>段采用</w:t>
      </w:r>
      <w:r>
        <w:rPr>
          <w:color w:val="auto"/>
          <w:sz w:val="21"/>
          <w:szCs w:val="21"/>
          <w:highlight w:val="none"/>
        </w:rPr>
        <w:t>40km/h</w:t>
      </w:r>
      <w:r>
        <w:rPr>
          <w:rFonts w:hint="eastAsia"/>
          <w:color w:val="auto"/>
          <w:sz w:val="21"/>
          <w:szCs w:val="21"/>
          <w:highlight w:val="none"/>
        </w:rPr>
        <w:t>，路基宽度为</w:t>
      </w:r>
      <w:r>
        <w:rPr>
          <w:color w:val="auto"/>
          <w:sz w:val="21"/>
          <w:szCs w:val="21"/>
          <w:highlight w:val="none"/>
        </w:rPr>
        <w:t>8.5m</w:t>
      </w:r>
      <w:r>
        <w:rPr>
          <w:rFonts w:hint="eastAsia"/>
          <w:color w:val="auto"/>
          <w:sz w:val="21"/>
          <w:szCs w:val="21"/>
          <w:highlight w:val="none"/>
        </w:rPr>
        <w:t>；</w:t>
      </w:r>
      <w:r>
        <w:rPr>
          <w:color w:val="auto"/>
          <w:sz w:val="21"/>
          <w:szCs w:val="21"/>
          <w:highlight w:val="none"/>
        </w:rPr>
        <w:t>K1+820-K2+240</w:t>
      </w:r>
      <w:r>
        <w:rPr>
          <w:rFonts w:hint="eastAsia"/>
          <w:color w:val="auto"/>
          <w:sz w:val="21"/>
          <w:szCs w:val="21"/>
          <w:highlight w:val="none"/>
        </w:rPr>
        <w:t>段采用</w:t>
      </w:r>
      <w:r>
        <w:rPr>
          <w:color w:val="auto"/>
          <w:sz w:val="21"/>
          <w:szCs w:val="21"/>
          <w:highlight w:val="none"/>
        </w:rPr>
        <w:t>40km/h</w:t>
      </w:r>
      <w:r>
        <w:rPr>
          <w:rFonts w:hint="eastAsia"/>
          <w:color w:val="auto"/>
          <w:sz w:val="21"/>
          <w:szCs w:val="21"/>
          <w:highlight w:val="none"/>
        </w:rPr>
        <w:t>，路基宽度为</w:t>
      </w:r>
      <w:r>
        <w:rPr>
          <w:color w:val="auto"/>
          <w:sz w:val="21"/>
          <w:szCs w:val="21"/>
          <w:highlight w:val="none"/>
        </w:rPr>
        <w:t>10m</w:t>
      </w:r>
      <w:r>
        <w:rPr>
          <w:rFonts w:hint="eastAsia"/>
          <w:color w:val="auto"/>
          <w:sz w:val="21"/>
          <w:szCs w:val="21"/>
          <w:highlight w:val="none"/>
        </w:rPr>
        <w:t>，其余路段采用</w:t>
      </w:r>
      <w:r>
        <w:rPr>
          <w:color w:val="auto"/>
          <w:sz w:val="21"/>
          <w:szCs w:val="21"/>
          <w:highlight w:val="none"/>
        </w:rPr>
        <w:t>60km/h</w:t>
      </w:r>
      <w:r>
        <w:rPr>
          <w:rFonts w:hint="eastAsia"/>
          <w:color w:val="auto"/>
          <w:sz w:val="21"/>
          <w:szCs w:val="21"/>
          <w:highlight w:val="none"/>
        </w:rPr>
        <w:t>，路基宽度为</w:t>
      </w:r>
      <w:r>
        <w:rPr>
          <w:color w:val="auto"/>
          <w:sz w:val="21"/>
          <w:szCs w:val="21"/>
          <w:highlight w:val="none"/>
        </w:rPr>
        <w:t>10m</w:t>
      </w:r>
      <w:r>
        <w:rPr>
          <w:rFonts w:hint="eastAsia"/>
          <w:color w:val="auto"/>
          <w:sz w:val="21"/>
          <w:szCs w:val="21"/>
          <w:highlight w:val="none"/>
        </w:rPr>
        <w:t>，汽车荷载等级为公路</w:t>
      </w:r>
      <w:r>
        <w:rPr>
          <w:color w:val="auto"/>
          <w:sz w:val="21"/>
          <w:szCs w:val="21"/>
          <w:highlight w:val="none"/>
        </w:rPr>
        <w:t>-II</w:t>
      </w:r>
      <w:r>
        <w:rPr>
          <w:rFonts w:hint="eastAsia"/>
          <w:color w:val="auto"/>
          <w:sz w:val="21"/>
          <w:szCs w:val="21"/>
          <w:highlight w:val="none"/>
        </w:rPr>
        <w:t>级，小桥涵及路基设计洪水频率为</w:t>
      </w:r>
      <w:r>
        <w:rPr>
          <w:color w:val="auto"/>
          <w:sz w:val="21"/>
          <w:szCs w:val="21"/>
          <w:highlight w:val="none"/>
        </w:rPr>
        <w:t>1/50</w:t>
      </w:r>
      <w:r>
        <w:rPr>
          <w:rFonts w:hint="eastAsia"/>
          <w:color w:val="auto"/>
          <w:sz w:val="21"/>
          <w:szCs w:val="21"/>
          <w:highlight w:val="none"/>
        </w:rPr>
        <w:t>，路面类型为水泥混凝土路面。</w:t>
      </w:r>
      <w:r>
        <w:rPr>
          <w:color w:val="auto"/>
          <w:sz w:val="21"/>
          <w:szCs w:val="21"/>
          <w:highlight w:val="none"/>
        </w:rPr>
        <w:t>（二）监理范围及内容</w:t>
      </w:r>
    </w:p>
    <w:p>
      <w:pPr>
        <w:pStyle w:val="9"/>
        <w:spacing w:before="132" w:line="343" w:lineRule="auto"/>
        <w:ind w:left="424" w:right="467" w:firstLine="479"/>
        <w:jc w:val="left"/>
        <w:rPr>
          <w:color w:val="auto"/>
          <w:sz w:val="21"/>
          <w:szCs w:val="21"/>
          <w:highlight w:val="none"/>
        </w:rPr>
      </w:pPr>
      <w:r>
        <w:rPr>
          <w:color w:val="auto"/>
          <w:sz w:val="21"/>
          <w:szCs w:val="21"/>
          <w:highlight w:val="none"/>
        </w:rPr>
        <w:t>包括监理范围及主要监理内容，与监理范围对应的施工标段划分及各标段主要工程数量表等。</w:t>
      </w:r>
    </w:p>
    <w:p>
      <w:pPr>
        <w:pStyle w:val="9"/>
        <w:spacing w:before="1"/>
        <w:ind w:left="904"/>
        <w:jc w:val="left"/>
        <w:rPr>
          <w:color w:val="auto"/>
          <w:sz w:val="21"/>
          <w:szCs w:val="21"/>
          <w:highlight w:val="none"/>
        </w:rPr>
      </w:pPr>
      <w:r>
        <w:rPr>
          <w:color w:val="auto"/>
          <w:sz w:val="21"/>
          <w:szCs w:val="21"/>
          <w:highlight w:val="none"/>
        </w:rPr>
        <w:t>（三）监理依据</w:t>
      </w:r>
    </w:p>
    <w:p>
      <w:pPr>
        <w:pStyle w:val="9"/>
        <w:spacing w:before="132"/>
        <w:ind w:left="904"/>
        <w:jc w:val="left"/>
        <w:rPr>
          <w:color w:val="auto"/>
          <w:sz w:val="21"/>
          <w:szCs w:val="21"/>
          <w:highlight w:val="none"/>
        </w:rPr>
      </w:pPr>
      <w:r>
        <w:rPr>
          <w:color w:val="auto"/>
          <w:sz w:val="21"/>
          <w:szCs w:val="21"/>
          <w:highlight w:val="none"/>
        </w:rPr>
        <w:t>（四）监理人员和试验检测仪器设备要求</w:t>
      </w:r>
    </w:p>
    <w:p>
      <w:pPr>
        <w:pStyle w:val="9"/>
        <w:spacing w:before="132"/>
        <w:ind w:left="904"/>
        <w:jc w:val="left"/>
        <w:rPr>
          <w:color w:val="auto"/>
          <w:sz w:val="21"/>
          <w:szCs w:val="21"/>
          <w:highlight w:val="none"/>
        </w:rPr>
      </w:pPr>
      <w:r>
        <w:rPr>
          <w:color w:val="auto"/>
          <w:sz w:val="21"/>
          <w:szCs w:val="21"/>
          <w:highlight w:val="none"/>
        </w:rPr>
        <w:t>（五）其他要求</w:t>
      </w:r>
    </w:p>
    <w:p>
      <w:pPr>
        <w:pStyle w:val="9"/>
        <w:spacing w:before="10"/>
        <w:jc w:val="left"/>
        <w:rPr>
          <w:color w:val="auto"/>
          <w:sz w:val="21"/>
          <w:szCs w:val="21"/>
          <w:highlight w:val="none"/>
        </w:rPr>
      </w:pPr>
    </w:p>
    <w:p>
      <w:pPr>
        <w:spacing w:before="1"/>
        <w:ind w:left="424"/>
        <w:rPr>
          <w:rFonts w:ascii="黑体" w:eastAsia="黑体"/>
          <w:b/>
          <w:color w:val="auto"/>
          <w:szCs w:val="21"/>
          <w:highlight w:val="none"/>
        </w:rPr>
      </w:pPr>
      <w:r>
        <w:rPr>
          <w:rFonts w:hint="eastAsia" w:ascii="黑体" w:eastAsia="黑体"/>
          <w:b/>
          <w:color w:val="auto"/>
          <w:szCs w:val="21"/>
          <w:highlight w:val="none"/>
        </w:rPr>
        <w:t>二、适用规范标准</w:t>
      </w:r>
    </w:p>
    <w:p>
      <w:pPr>
        <w:pStyle w:val="9"/>
        <w:spacing w:before="8"/>
        <w:jc w:val="left"/>
        <w:rPr>
          <w:rFonts w:ascii="黑体"/>
          <w:b/>
          <w:color w:val="auto"/>
          <w:sz w:val="21"/>
          <w:szCs w:val="21"/>
          <w:highlight w:val="none"/>
        </w:rPr>
      </w:pPr>
    </w:p>
    <w:p>
      <w:pPr>
        <w:pStyle w:val="9"/>
        <w:ind w:left="904"/>
        <w:jc w:val="left"/>
        <w:rPr>
          <w:color w:val="auto"/>
          <w:sz w:val="21"/>
          <w:szCs w:val="21"/>
          <w:highlight w:val="none"/>
        </w:rPr>
      </w:pPr>
      <w:r>
        <w:rPr>
          <w:color w:val="auto"/>
          <w:sz w:val="21"/>
          <w:szCs w:val="21"/>
          <w:highlight w:val="none"/>
        </w:rPr>
        <w:t>（一）通用施工监理规范</w:t>
      </w:r>
    </w:p>
    <w:p>
      <w:pPr>
        <w:pStyle w:val="9"/>
        <w:spacing w:before="132"/>
        <w:ind w:left="904"/>
        <w:jc w:val="left"/>
        <w:rPr>
          <w:color w:val="auto"/>
          <w:sz w:val="21"/>
          <w:szCs w:val="21"/>
          <w:highlight w:val="none"/>
        </w:rPr>
      </w:pPr>
      <w:r>
        <w:rPr>
          <w:color w:val="auto"/>
          <w:spacing w:val="-9"/>
          <w:sz w:val="21"/>
          <w:szCs w:val="21"/>
          <w:highlight w:val="none"/>
        </w:rPr>
        <w:t>执行《公路工程施工监理规范》</w:t>
      </w:r>
      <w:r>
        <w:rPr>
          <w:color w:val="auto"/>
          <w:sz w:val="21"/>
          <w:szCs w:val="21"/>
          <w:highlight w:val="none"/>
        </w:rPr>
        <w:t>（</w:t>
      </w:r>
      <w:r>
        <w:rPr>
          <w:rFonts w:eastAsia="Times New Roman"/>
          <w:color w:val="auto"/>
          <w:spacing w:val="2"/>
          <w:w w:val="99"/>
          <w:sz w:val="21"/>
          <w:szCs w:val="21"/>
          <w:highlight w:val="none"/>
        </w:rPr>
        <w:t>J</w:t>
      </w:r>
      <w:r>
        <w:rPr>
          <w:rFonts w:eastAsia="Times New Roman"/>
          <w:color w:val="auto"/>
          <w:w w:val="99"/>
          <w:sz w:val="21"/>
          <w:szCs w:val="21"/>
          <w:highlight w:val="none"/>
        </w:rPr>
        <w:t>TG</w:t>
      </w:r>
      <w:r>
        <w:rPr>
          <w:rFonts w:eastAsia="Times New Roman"/>
          <w:color w:val="auto"/>
          <w:sz w:val="21"/>
          <w:szCs w:val="21"/>
          <w:highlight w:val="none"/>
        </w:rPr>
        <w:t xml:space="preserve"> </w:t>
      </w:r>
      <w:r>
        <w:rPr>
          <w:rFonts w:eastAsia="Times New Roman"/>
          <w:color w:val="auto"/>
          <w:spacing w:val="-2"/>
          <w:w w:val="99"/>
          <w:sz w:val="21"/>
          <w:szCs w:val="21"/>
          <w:highlight w:val="none"/>
        </w:rPr>
        <w:t>G</w:t>
      </w:r>
      <w:r>
        <w:rPr>
          <w:rFonts w:eastAsia="Times New Roman"/>
          <w:color w:val="auto"/>
          <w:sz w:val="21"/>
          <w:szCs w:val="21"/>
          <w:highlight w:val="none"/>
        </w:rPr>
        <w:t>10—2016</w:t>
      </w:r>
      <w:r>
        <w:rPr>
          <w:color w:val="auto"/>
          <w:spacing w:val="-120"/>
          <w:sz w:val="21"/>
          <w:szCs w:val="21"/>
          <w:highlight w:val="none"/>
        </w:rPr>
        <w:t>）。</w:t>
      </w:r>
    </w:p>
    <w:p>
      <w:pPr>
        <w:pStyle w:val="9"/>
        <w:spacing w:before="134"/>
        <w:ind w:left="904"/>
        <w:jc w:val="left"/>
        <w:rPr>
          <w:color w:val="auto"/>
          <w:sz w:val="21"/>
          <w:szCs w:val="21"/>
          <w:highlight w:val="none"/>
        </w:rPr>
      </w:pPr>
      <w:r>
        <w:rPr>
          <w:color w:val="auto"/>
          <w:sz w:val="21"/>
          <w:szCs w:val="21"/>
          <w:highlight w:val="none"/>
        </w:rPr>
        <w:t>（二）专用施工监理规范</w:t>
      </w:r>
    </w:p>
    <w:p>
      <w:pPr>
        <w:pStyle w:val="9"/>
        <w:spacing w:before="131"/>
        <w:ind w:left="904"/>
        <w:jc w:val="left"/>
        <w:rPr>
          <w:color w:val="auto"/>
          <w:sz w:val="21"/>
          <w:szCs w:val="21"/>
          <w:highlight w:val="none"/>
        </w:rPr>
      </w:pPr>
      <w:r>
        <w:rPr>
          <w:color w:val="auto"/>
          <w:sz w:val="21"/>
          <w:szCs w:val="21"/>
          <w:highlight w:val="none"/>
        </w:rPr>
        <w:t>专用施工监理规范由招标人根据工程的实际情况，在《公路工程施工监理规范》</w:t>
      </w:r>
    </w:p>
    <w:p>
      <w:pPr>
        <w:pStyle w:val="9"/>
        <w:spacing w:before="133" w:line="345" w:lineRule="auto"/>
        <w:ind w:left="424" w:right="461"/>
        <w:jc w:val="left"/>
        <w:rPr>
          <w:color w:val="auto"/>
          <w:sz w:val="21"/>
          <w:szCs w:val="21"/>
          <w:highlight w:val="none"/>
        </w:rPr>
      </w:pPr>
      <w:r>
        <w:rPr>
          <w:color w:val="auto"/>
          <w:sz w:val="21"/>
          <w:szCs w:val="21"/>
          <w:highlight w:val="none"/>
        </w:rPr>
        <w:t>（</w:t>
      </w:r>
      <w:r>
        <w:rPr>
          <w:rFonts w:eastAsia="Times New Roman"/>
          <w:color w:val="auto"/>
          <w:sz w:val="21"/>
          <w:szCs w:val="21"/>
          <w:highlight w:val="none"/>
        </w:rPr>
        <w:t>JTG G10—2016</w:t>
      </w:r>
      <w:r>
        <w:rPr>
          <w:color w:val="auto"/>
          <w:sz w:val="21"/>
          <w:szCs w:val="21"/>
          <w:highlight w:val="none"/>
        </w:rPr>
        <w:t>）的基础上自行编制并纳入“委托人要求”中，但不得与国家、交通运输部及有关部门的法规、标准、规范等矛盾。</w:t>
      </w:r>
    </w:p>
    <w:p>
      <w:pPr>
        <w:pStyle w:val="9"/>
        <w:spacing w:line="303" w:lineRule="exact"/>
        <w:ind w:left="904"/>
        <w:jc w:val="left"/>
        <w:rPr>
          <w:color w:val="auto"/>
          <w:sz w:val="21"/>
          <w:szCs w:val="21"/>
          <w:highlight w:val="none"/>
        </w:rPr>
      </w:pPr>
      <w:r>
        <w:rPr>
          <w:color w:val="auto"/>
          <w:sz w:val="21"/>
          <w:szCs w:val="21"/>
          <w:highlight w:val="none"/>
        </w:rPr>
        <w:t>针对本工程或仅在本地区实行的与监理工作有关的管理办法、制度应一并纳入</w:t>
      </w:r>
    </w:p>
    <w:p>
      <w:pPr>
        <w:spacing w:after="0" w:line="303" w:lineRule="exact"/>
        <w:rPr>
          <w:color w:val="auto"/>
          <w:szCs w:val="21"/>
          <w:highlight w:val="none"/>
        </w:rPr>
        <w:sectPr>
          <w:pgSz w:w="11910" w:h="16850"/>
          <w:pgMar w:top="1460" w:right="1120" w:bottom="1280" w:left="1220" w:header="882" w:footer="1093" w:gutter="0"/>
          <w:cols w:space="720" w:num="1"/>
        </w:sectPr>
      </w:pPr>
    </w:p>
    <w:p>
      <w:pPr>
        <w:pStyle w:val="9"/>
        <w:spacing w:before="8"/>
        <w:rPr>
          <w:color w:val="auto"/>
          <w:sz w:val="21"/>
          <w:szCs w:val="21"/>
          <w:highlight w:val="none"/>
        </w:rPr>
      </w:pPr>
    </w:p>
    <w:p>
      <w:pPr>
        <w:pStyle w:val="9"/>
        <w:spacing w:before="66"/>
        <w:ind w:left="424"/>
        <w:jc w:val="left"/>
        <w:rPr>
          <w:color w:val="auto"/>
          <w:sz w:val="21"/>
          <w:szCs w:val="21"/>
          <w:highlight w:val="none"/>
        </w:rPr>
      </w:pPr>
      <w:r>
        <w:rPr>
          <w:color w:val="auto"/>
          <w:sz w:val="21"/>
          <w:szCs w:val="21"/>
          <w:highlight w:val="none"/>
        </w:rPr>
        <w:t>“委托人要求”中。</w:t>
      </w:r>
    </w:p>
    <w:p>
      <w:pPr>
        <w:pStyle w:val="9"/>
        <w:spacing w:before="132"/>
        <w:ind w:left="904"/>
        <w:jc w:val="left"/>
        <w:rPr>
          <w:color w:val="auto"/>
          <w:sz w:val="21"/>
          <w:szCs w:val="21"/>
          <w:highlight w:val="none"/>
        </w:rPr>
      </w:pPr>
      <w:r>
        <w:rPr>
          <w:color w:val="auto"/>
          <w:sz w:val="21"/>
          <w:szCs w:val="21"/>
          <w:highlight w:val="none"/>
        </w:rPr>
        <w:t>（三）施工技术规范</w:t>
      </w:r>
    </w:p>
    <w:p>
      <w:pPr>
        <w:pStyle w:val="9"/>
        <w:spacing w:before="132"/>
        <w:ind w:left="904"/>
        <w:jc w:val="left"/>
        <w:rPr>
          <w:color w:val="auto"/>
          <w:sz w:val="21"/>
          <w:szCs w:val="21"/>
          <w:highlight w:val="none"/>
        </w:rPr>
      </w:pPr>
      <w:r>
        <w:rPr>
          <w:color w:val="auto"/>
          <w:sz w:val="21"/>
          <w:szCs w:val="21"/>
          <w:highlight w:val="none"/>
        </w:rPr>
        <w:t>施工技术规范包括以下内容：</w:t>
      </w:r>
    </w:p>
    <w:p>
      <w:pPr>
        <w:pStyle w:val="32"/>
        <w:numPr>
          <w:ilvl w:val="0"/>
          <w:numId w:val="54"/>
        </w:numPr>
        <w:tabs>
          <w:tab w:val="left" w:pos="1205"/>
        </w:tabs>
        <w:spacing w:before="134" w:after="0" w:line="240" w:lineRule="auto"/>
        <w:ind w:hanging="301"/>
        <w:rPr>
          <w:color w:val="auto"/>
          <w:szCs w:val="21"/>
          <w:highlight w:val="none"/>
        </w:rPr>
      </w:pPr>
      <w:r>
        <w:rPr>
          <w:color w:val="auto"/>
          <w:szCs w:val="21"/>
          <w:highlight w:val="none"/>
        </w:rPr>
        <w:t>本工程施工标段招标文件中的技术规范；</w:t>
      </w:r>
    </w:p>
    <w:p>
      <w:pPr>
        <w:pStyle w:val="32"/>
        <w:numPr>
          <w:ilvl w:val="0"/>
          <w:numId w:val="54"/>
        </w:numPr>
        <w:tabs>
          <w:tab w:val="left" w:pos="1205"/>
        </w:tabs>
        <w:spacing w:before="132" w:after="0" w:line="240" w:lineRule="auto"/>
        <w:ind w:hanging="301"/>
        <w:rPr>
          <w:color w:val="auto"/>
          <w:szCs w:val="21"/>
          <w:highlight w:val="none"/>
        </w:rPr>
      </w:pPr>
      <w:r>
        <w:rPr>
          <w:color w:val="auto"/>
          <w:szCs w:val="21"/>
          <w:highlight w:val="none"/>
        </w:rPr>
        <w:t>所有与工程施工有关的国家现行的公路建设标准、规范、规程及相关文件。</w:t>
      </w:r>
    </w:p>
    <w:p>
      <w:pPr>
        <w:pStyle w:val="9"/>
        <w:spacing w:before="131"/>
        <w:ind w:left="904"/>
        <w:jc w:val="left"/>
        <w:rPr>
          <w:color w:val="auto"/>
          <w:sz w:val="21"/>
          <w:szCs w:val="21"/>
          <w:highlight w:val="none"/>
        </w:rPr>
      </w:pPr>
      <w:r>
        <w:rPr>
          <w:color w:val="auto"/>
          <w:sz w:val="21"/>
          <w:szCs w:val="21"/>
          <w:highlight w:val="none"/>
        </w:rPr>
        <w:t>（四）国家、行业、项目所在地适用本工程的其他规范、标准或规程</w:t>
      </w:r>
    </w:p>
    <w:p>
      <w:pPr>
        <w:pStyle w:val="9"/>
        <w:spacing w:before="11"/>
        <w:jc w:val="left"/>
        <w:rPr>
          <w:color w:val="auto"/>
          <w:sz w:val="21"/>
          <w:szCs w:val="21"/>
          <w:highlight w:val="none"/>
        </w:rPr>
      </w:pPr>
    </w:p>
    <w:p>
      <w:pPr>
        <w:spacing w:before="1"/>
        <w:ind w:left="424"/>
        <w:rPr>
          <w:rFonts w:ascii="黑体" w:eastAsia="黑体"/>
          <w:b/>
          <w:color w:val="auto"/>
          <w:szCs w:val="21"/>
          <w:highlight w:val="none"/>
        </w:rPr>
      </w:pPr>
      <w:r>
        <w:rPr>
          <w:rFonts w:hint="eastAsia" w:ascii="黑体" w:eastAsia="黑体"/>
          <w:b/>
          <w:color w:val="auto"/>
          <w:szCs w:val="21"/>
          <w:highlight w:val="none"/>
        </w:rPr>
        <w:t>三、成果文件要求</w:t>
      </w:r>
    </w:p>
    <w:p>
      <w:pPr>
        <w:pStyle w:val="9"/>
        <w:spacing w:before="8"/>
        <w:jc w:val="left"/>
        <w:rPr>
          <w:rFonts w:ascii="黑体"/>
          <w:b/>
          <w:color w:val="auto"/>
          <w:sz w:val="21"/>
          <w:szCs w:val="21"/>
          <w:highlight w:val="none"/>
        </w:rPr>
      </w:pPr>
    </w:p>
    <w:p>
      <w:pPr>
        <w:pStyle w:val="9"/>
        <w:ind w:left="904"/>
        <w:jc w:val="left"/>
        <w:rPr>
          <w:color w:val="auto"/>
          <w:sz w:val="21"/>
          <w:szCs w:val="21"/>
          <w:highlight w:val="none"/>
        </w:rPr>
      </w:pPr>
      <w:r>
        <w:rPr>
          <w:color w:val="auto"/>
          <w:sz w:val="21"/>
          <w:szCs w:val="21"/>
          <w:highlight w:val="none"/>
        </w:rPr>
        <w:t>（一）成果文件的组成</w:t>
      </w:r>
    </w:p>
    <w:p>
      <w:pPr>
        <w:pStyle w:val="9"/>
        <w:spacing w:before="131"/>
        <w:ind w:left="904"/>
        <w:jc w:val="left"/>
        <w:rPr>
          <w:color w:val="auto"/>
          <w:sz w:val="21"/>
          <w:szCs w:val="21"/>
          <w:highlight w:val="none"/>
        </w:rPr>
      </w:pPr>
      <w:r>
        <w:rPr>
          <w:color w:val="auto"/>
          <w:sz w:val="21"/>
          <w:szCs w:val="21"/>
          <w:highlight w:val="none"/>
        </w:rPr>
        <w:t>（二）成果文件的深度</w:t>
      </w:r>
    </w:p>
    <w:p>
      <w:pPr>
        <w:pStyle w:val="9"/>
        <w:spacing w:before="135"/>
        <w:ind w:left="904"/>
        <w:jc w:val="left"/>
        <w:rPr>
          <w:color w:val="auto"/>
          <w:sz w:val="21"/>
          <w:szCs w:val="21"/>
          <w:highlight w:val="none"/>
        </w:rPr>
      </w:pPr>
      <w:r>
        <w:rPr>
          <w:color w:val="auto"/>
          <w:sz w:val="21"/>
          <w:szCs w:val="21"/>
          <w:highlight w:val="none"/>
        </w:rPr>
        <w:t>（三）成果文件的格式要求</w:t>
      </w:r>
    </w:p>
    <w:p>
      <w:pPr>
        <w:pStyle w:val="9"/>
        <w:spacing w:before="131"/>
        <w:ind w:left="904"/>
        <w:jc w:val="left"/>
        <w:rPr>
          <w:color w:val="auto"/>
          <w:sz w:val="21"/>
          <w:szCs w:val="21"/>
          <w:highlight w:val="none"/>
        </w:rPr>
      </w:pPr>
      <w:r>
        <w:rPr>
          <w:color w:val="auto"/>
          <w:sz w:val="21"/>
          <w:szCs w:val="21"/>
          <w:highlight w:val="none"/>
        </w:rPr>
        <w:t>（四）成果文件的份数要求</w:t>
      </w:r>
    </w:p>
    <w:p>
      <w:pPr>
        <w:pStyle w:val="9"/>
        <w:spacing w:before="132"/>
        <w:ind w:left="904"/>
        <w:jc w:val="left"/>
        <w:rPr>
          <w:color w:val="auto"/>
          <w:sz w:val="21"/>
          <w:szCs w:val="21"/>
          <w:highlight w:val="none"/>
        </w:rPr>
      </w:pPr>
      <w:r>
        <w:rPr>
          <w:color w:val="auto"/>
          <w:sz w:val="21"/>
          <w:szCs w:val="21"/>
          <w:highlight w:val="none"/>
        </w:rPr>
        <w:t>（五）成果文件的载体要求</w:t>
      </w:r>
    </w:p>
    <w:p>
      <w:pPr>
        <w:pStyle w:val="32"/>
        <w:numPr>
          <w:ilvl w:val="0"/>
          <w:numId w:val="55"/>
        </w:numPr>
        <w:tabs>
          <w:tab w:val="left" w:pos="1205"/>
        </w:tabs>
        <w:spacing w:before="134" w:after="0" w:line="240" w:lineRule="auto"/>
        <w:ind w:hanging="301"/>
        <w:rPr>
          <w:color w:val="auto"/>
          <w:szCs w:val="21"/>
          <w:highlight w:val="none"/>
        </w:rPr>
      </w:pPr>
      <w:r>
        <w:rPr>
          <w:color w:val="auto"/>
          <w:szCs w:val="21"/>
          <w:highlight w:val="none"/>
        </w:rPr>
        <w:t>纸质版的要求</w:t>
      </w:r>
    </w:p>
    <w:p>
      <w:pPr>
        <w:pStyle w:val="32"/>
        <w:numPr>
          <w:ilvl w:val="0"/>
          <w:numId w:val="55"/>
        </w:numPr>
        <w:tabs>
          <w:tab w:val="left" w:pos="1205"/>
        </w:tabs>
        <w:spacing w:before="132" w:after="0" w:line="240" w:lineRule="auto"/>
        <w:ind w:hanging="301"/>
        <w:rPr>
          <w:color w:val="auto"/>
          <w:szCs w:val="21"/>
          <w:highlight w:val="none"/>
        </w:rPr>
      </w:pPr>
      <w:r>
        <w:rPr>
          <w:color w:val="auto"/>
          <w:szCs w:val="21"/>
          <w:highlight w:val="none"/>
        </w:rPr>
        <w:t>电子版的要求</w:t>
      </w:r>
    </w:p>
    <w:p>
      <w:pPr>
        <w:pStyle w:val="32"/>
        <w:numPr>
          <w:ilvl w:val="0"/>
          <w:numId w:val="55"/>
        </w:numPr>
        <w:tabs>
          <w:tab w:val="left" w:pos="1205"/>
        </w:tabs>
        <w:spacing w:before="132" w:after="0" w:line="240" w:lineRule="auto"/>
        <w:ind w:hanging="301"/>
        <w:rPr>
          <w:color w:val="auto"/>
          <w:szCs w:val="21"/>
          <w:highlight w:val="none"/>
        </w:rPr>
      </w:pPr>
      <w:r>
        <w:rPr>
          <w:color w:val="auto"/>
          <w:szCs w:val="21"/>
          <w:highlight w:val="none"/>
        </w:rPr>
        <w:t>其他要求</w:t>
      </w:r>
    </w:p>
    <w:p>
      <w:pPr>
        <w:pStyle w:val="9"/>
        <w:spacing w:before="134"/>
        <w:ind w:left="904"/>
        <w:jc w:val="left"/>
        <w:rPr>
          <w:color w:val="auto"/>
          <w:sz w:val="21"/>
          <w:szCs w:val="21"/>
          <w:highlight w:val="none"/>
        </w:rPr>
      </w:pPr>
      <w:r>
        <w:rPr>
          <w:color w:val="auto"/>
          <w:sz w:val="21"/>
          <w:szCs w:val="21"/>
          <w:highlight w:val="none"/>
        </w:rPr>
        <w:t>（六）成果文件的其他要求</w:t>
      </w:r>
    </w:p>
    <w:p>
      <w:pPr>
        <w:pStyle w:val="9"/>
        <w:spacing w:before="8"/>
        <w:jc w:val="left"/>
        <w:rPr>
          <w:color w:val="auto"/>
          <w:sz w:val="21"/>
          <w:szCs w:val="21"/>
          <w:highlight w:val="none"/>
        </w:rPr>
      </w:pPr>
    </w:p>
    <w:p>
      <w:pPr>
        <w:ind w:left="424"/>
        <w:rPr>
          <w:rFonts w:ascii="黑体" w:eastAsia="黑体"/>
          <w:b/>
          <w:color w:val="auto"/>
          <w:szCs w:val="21"/>
          <w:highlight w:val="none"/>
        </w:rPr>
      </w:pPr>
      <w:r>
        <w:rPr>
          <w:rFonts w:hint="eastAsia" w:ascii="黑体" w:eastAsia="黑体"/>
          <w:b/>
          <w:color w:val="auto"/>
          <w:szCs w:val="21"/>
          <w:highlight w:val="none"/>
        </w:rPr>
        <w:t>四、委托人财产清单</w:t>
      </w:r>
    </w:p>
    <w:p>
      <w:pPr>
        <w:pStyle w:val="9"/>
        <w:spacing w:before="8"/>
        <w:jc w:val="left"/>
        <w:rPr>
          <w:rFonts w:ascii="黑体"/>
          <w:b/>
          <w:color w:val="auto"/>
          <w:sz w:val="21"/>
          <w:szCs w:val="21"/>
          <w:highlight w:val="none"/>
        </w:rPr>
      </w:pPr>
    </w:p>
    <w:p>
      <w:pPr>
        <w:pStyle w:val="9"/>
        <w:ind w:left="904"/>
        <w:jc w:val="left"/>
        <w:rPr>
          <w:color w:val="auto"/>
          <w:sz w:val="21"/>
          <w:szCs w:val="21"/>
          <w:highlight w:val="none"/>
        </w:rPr>
      </w:pPr>
      <w:r>
        <w:rPr>
          <w:color w:val="auto"/>
          <w:sz w:val="21"/>
          <w:szCs w:val="21"/>
          <w:highlight w:val="none"/>
        </w:rPr>
        <w:t>（一）委托人提供的设备、设施</w:t>
      </w:r>
    </w:p>
    <w:p>
      <w:pPr>
        <w:pStyle w:val="32"/>
        <w:numPr>
          <w:ilvl w:val="0"/>
          <w:numId w:val="56"/>
        </w:numPr>
        <w:tabs>
          <w:tab w:val="left" w:pos="1205"/>
        </w:tabs>
        <w:spacing w:before="135" w:after="0" w:line="240" w:lineRule="auto"/>
        <w:ind w:hanging="301"/>
        <w:rPr>
          <w:color w:val="auto"/>
          <w:szCs w:val="21"/>
          <w:highlight w:val="none"/>
        </w:rPr>
      </w:pPr>
      <w:r>
        <w:rPr>
          <w:color w:val="auto"/>
          <w:szCs w:val="21"/>
          <w:highlight w:val="none"/>
        </w:rPr>
        <w:t>委托人提供的办公房屋及冷暖设施：如办公室数量及面积、空调等</w:t>
      </w:r>
    </w:p>
    <w:p>
      <w:pPr>
        <w:pStyle w:val="32"/>
        <w:numPr>
          <w:ilvl w:val="0"/>
          <w:numId w:val="56"/>
        </w:numPr>
        <w:tabs>
          <w:tab w:val="left" w:pos="1205"/>
        </w:tabs>
        <w:spacing w:before="131" w:after="0" w:line="240" w:lineRule="auto"/>
        <w:ind w:hanging="301"/>
        <w:rPr>
          <w:color w:val="auto"/>
          <w:szCs w:val="21"/>
          <w:highlight w:val="none"/>
        </w:rPr>
      </w:pPr>
      <w:r>
        <w:rPr>
          <w:color w:val="auto"/>
          <w:szCs w:val="21"/>
          <w:highlight w:val="none"/>
        </w:rPr>
        <w:t>委托人提供的设备清单：如计算机、投影、打印机、复印机等</w:t>
      </w:r>
    </w:p>
    <w:p>
      <w:pPr>
        <w:pStyle w:val="32"/>
        <w:numPr>
          <w:ilvl w:val="0"/>
          <w:numId w:val="56"/>
        </w:numPr>
        <w:tabs>
          <w:tab w:val="left" w:pos="1205"/>
        </w:tabs>
        <w:spacing w:before="133" w:after="0" w:line="240" w:lineRule="auto"/>
        <w:ind w:hanging="301"/>
        <w:rPr>
          <w:color w:val="auto"/>
          <w:szCs w:val="21"/>
          <w:highlight w:val="none"/>
        </w:rPr>
      </w:pPr>
      <w:r>
        <w:rPr>
          <w:color w:val="auto"/>
          <w:szCs w:val="21"/>
          <w:highlight w:val="none"/>
        </w:rPr>
        <w:t>委托人提供的设施清单：如办公桌椅、文件柜等</w:t>
      </w:r>
    </w:p>
    <w:p>
      <w:pPr>
        <w:pStyle w:val="9"/>
        <w:spacing w:before="150"/>
        <w:ind w:left="904"/>
        <w:jc w:val="left"/>
        <w:rPr>
          <w:color w:val="auto"/>
          <w:sz w:val="21"/>
          <w:szCs w:val="21"/>
          <w:highlight w:val="none"/>
        </w:rPr>
      </w:pPr>
      <w:r>
        <w:rPr>
          <w:color w:val="auto"/>
          <w:sz w:val="21"/>
          <w:szCs w:val="21"/>
          <w:highlight w:val="none"/>
        </w:rPr>
        <w:t>……</w:t>
      </w:r>
    </w:p>
    <w:p>
      <w:pPr>
        <w:pStyle w:val="9"/>
        <w:spacing w:before="147"/>
        <w:ind w:left="904"/>
        <w:jc w:val="left"/>
        <w:rPr>
          <w:color w:val="auto"/>
          <w:sz w:val="21"/>
          <w:szCs w:val="21"/>
          <w:highlight w:val="none"/>
        </w:rPr>
      </w:pPr>
      <w:r>
        <w:rPr>
          <w:color w:val="auto"/>
          <w:sz w:val="21"/>
          <w:szCs w:val="21"/>
          <w:highlight w:val="none"/>
        </w:rPr>
        <w:t>（二）委托人提供的资料</w:t>
      </w:r>
    </w:p>
    <w:p>
      <w:pPr>
        <w:pStyle w:val="32"/>
        <w:numPr>
          <w:ilvl w:val="0"/>
          <w:numId w:val="57"/>
        </w:numPr>
        <w:tabs>
          <w:tab w:val="left" w:pos="1205"/>
        </w:tabs>
        <w:spacing w:before="132" w:after="0" w:line="343" w:lineRule="auto"/>
        <w:ind w:right="464" w:firstLine="479"/>
        <w:rPr>
          <w:color w:val="auto"/>
          <w:szCs w:val="21"/>
          <w:highlight w:val="none"/>
        </w:rPr>
      </w:pPr>
      <w:r>
        <w:rPr>
          <w:color w:val="auto"/>
          <w:spacing w:val="-6"/>
          <w:szCs w:val="21"/>
          <w:highlight w:val="none"/>
        </w:rPr>
        <w:t>施工场地及毗邻区域内的供水、排水、供电、供气、供热、通信、广播电视</w:t>
      </w:r>
      <w:r>
        <w:rPr>
          <w:color w:val="auto"/>
          <w:szCs w:val="21"/>
          <w:highlight w:val="none"/>
        </w:rPr>
        <w:t>等地下管线资料、气象和水文观测资料，相邻建筑物和构筑物、地下工程的有关资料，以及其他与公路工程有关的原始资料</w:t>
      </w:r>
    </w:p>
    <w:p>
      <w:pPr>
        <w:pStyle w:val="32"/>
        <w:numPr>
          <w:ilvl w:val="0"/>
          <w:numId w:val="57"/>
        </w:numPr>
        <w:tabs>
          <w:tab w:val="left" w:pos="1205"/>
        </w:tabs>
        <w:spacing w:after="0" w:line="240" w:lineRule="auto"/>
        <w:ind w:left="1204" w:hanging="301"/>
        <w:rPr>
          <w:color w:val="auto"/>
          <w:szCs w:val="21"/>
          <w:highlight w:val="none"/>
        </w:rPr>
      </w:pPr>
      <w:r>
        <w:rPr>
          <w:color w:val="auto"/>
          <w:szCs w:val="21"/>
          <w:highlight w:val="none"/>
        </w:rPr>
        <w:t>定位放线的基准点、基准线和基准标高</w:t>
      </w:r>
    </w:p>
    <w:p>
      <w:pPr>
        <w:pStyle w:val="32"/>
        <w:numPr>
          <w:ilvl w:val="0"/>
          <w:numId w:val="57"/>
        </w:numPr>
        <w:tabs>
          <w:tab w:val="left" w:pos="1205"/>
        </w:tabs>
        <w:spacing w:before="135" w:after="0" w:line="240" w:lineRule="auto"/>
        <w:ind w:left="1204" w:hanging="301"/>
        <w:rPr>
          <w:color w:val="auto"/>
          <w:szCs w:val="21"/>
          <w:highlight w:val="none"/>
        </w:rPr>
      </w:pPr>
      <w:r>
        <w:rPr>
          <w:color w:val="auto"/>
          <w:szCs w:val="21"/>
          <w:highlight w:val="none"/>
        </w:rPr>
        <w:t>委托人取得的有关审批、核准和备案材料</w:t>
      </w:r>
    </w:p>
    <w:p>
      <w:pPr>
        <w:pStyle w:val="32"/>
        <w:numPr>
          <w:ilvl w:val="0"/>
          <w:numId w:val="57"/>
        </w:numPr>
        <w:tabs>
          <w:tab w:val="left" w:pos="1205"/>
        </w:tabs>
        <w:spacing w:before="132" w:after="0" w:line="240" w:lineRule="auto"/>
        <w:ind w:left="1204" w:hanging="301"/>
        <w:rPr>
          <w:color w:val="auto"/>
          <w:szCs w:val="21"/>
          <w:highlight w:val="none"/>
        </w:rPr>
      </w:pPr>
      <w:r>
        <w:rPr>
          <w:color w:val="auto"/>
          <w:szCs w:val="21"/>
          <w:highlight w:val="none"/>
        </w:rPr>
        <w:t>勘察文件、设计文件等资料</w:t>
      </w:r>
    </w:p>
    <w:p>
      <w:pPr>
        <w:pStyle w:val="32"/>
        <w:numPr>
          <w:ilvl w:val="0"/>
          <w:numId w:val="57"/>
        </w:numPr>
        <w:tabs>
          <w:tab w:val="left" w:pos="1205"/>
        </w:tabs>
        <w:spacing w:before="131" w:after="0" w:line="240" w:lineRule="auto"/>
        <w:ind w:left="1204" w:hanging="301"/>
        <w:rPr>
          <w:color w:val="auto"/>
          <w:szCs w:val="21"/>
          <w:highlight w:val="none"/>
        </w:rPr>
      </w:pPr>
      <w:r>
        <w:rPr>
          <w:color w:val="auto"/>
          <w:szCs w:val="21"/>
          <w:highlight w:val="none"/>
        </w:rPr>
        <w:t>技术标准、规范</w:t>
      </w:r>
    </w:p>
    <w:p>
      <w:pPr>
        <w:spacing w:after="0" w:line="240" w:lineRule="auto"/>
        <w:rPr>
          <w:color w:val="auto"/>
          <w:szCs w:val="21"/>
          <w:highlight w:val="none"/>
        </w:rPr>
        <w:sectPr>
          <w:pgSz w:w="11910" w:h="16850"/>
          <w:pgMar w:top="1460" w:right="1120" w:bottom="1280" w:left="1220" w:header="882" w:footer="1093" w:gutter="0"/>
          <w:cols w:space="720" w:num="1"/>
        </w:sectPr>
      </w:pPr>
    </w:p>
    <w:p>
      <w:pPr>
        <w:pStyle w:val="9"/>
        <w:jc w:val="left"/>
        <w:rPr>
          <w:color w:val="auto"/>
          <w:sz w:val="21"/>
          <w:szCs w:val="21"/>
          <w:highlight w:val="none"/>
        </w:rPr>
      </w:pPr>
    </w:p>
    <w:p>
      <w:pPr>
        <w:pStyle w:val="32"/>
        <w:numPr>
          <w:ilvl w:val="0"/>
          <w:numId w:val="57"/>
        </w:numPr>
        <w:tabs>
          <w:tab w:val="left" w:pos="1205"/>
        </w:tabs>
        <w:spacing w:before="74" w:after="0" w:line="240" w:lineRule="auto"/>
        <w:ind w:left="1204" w:hanging="301"/>
        <w:rPr>
          <w:color w:val="auto"/>
          <w:szCs w:val="21"/>
          <w:highlight w:val="none"/>
        </w:rPr>
      </w:pPr>
      <w:r>
        <w:rPr>
          <w:color w:val="auto"/>
          <w:szCs w:val="21"/>
          <w:highlight w:val="none"/>
        </w:rPr>
        <w:t>工程承包合同及其他相关合同</w:t>
      </w:r>
    </w:p>
    <w:p>
      <w:pPr>
        <w:pStyle w:val="32"/>
        <w:numPr>
          <w:ilvl w:val="0"/>
          <w:numId w:val="57"/>
        </w:numPr>
        <w:tabs>
          <w:tab w:val="left" w:pos="1205"/>
        </w:tabs>
        <w:spacing w:before="132" w:after="0" w:line="240" w:lineRule="auto"/>
        <w:ind w:left="1204" w:hanging="301"/>
        <w:rPr>
          <w:color w:val="auto"/>
          <w:szCs w:val="21"/>
          <w:highlight w:val="none"/>
        </w:rPr>
      </w:pPr>
      <w:r>
        <w:rPr>
          <w:color w:val="auto"/>
          <w:szCs w:val="21"/>
          <w:highlight w:val="none"/>
        </w:rPr>
        <w:t>其他资料</w:t>
      </w:r>
    </w:p>
    <w:p>
      <w:pPr>
        <w:pStyle w:val="9"/>
        <w:spacing w:before="148"/>
        <w:ind w:left="904"/>
        <w:jc w:val="left"/>
        <w:rPr>
          <w:color w:val="auto"/>
          <w:sz w:val="21"/>
          <w:szCs w:val="21"/>
          <w:highlight w:val="none"/>
        </w:rPr>
      </w:pPr>
      <w:r>
        <w:rPr>
          <w:color w:val="auto"/>
          <w:sz w:val="21"/>
          <w:szCs w:val="21"/>
          <w:highlight w:val="none"/>
        </w:rPr>
        <w:t>……</w:t>
      </w:r>
    </w:p>
    <w:p>
      <w:pPr>
        <w:pStyle w:val="9"/>
        <w:spacing w:before="149"/>
        <w:ind w:left="904"/>
        <w:jc w:val="left"/>
        <w:rPr>
          <w:color w:val="auto"/>
          <w:sz w:val="21"/>
          <w:szCs w:val="21"/>
          <w:highlight w:val="none"/>
        </w:rPr>
      </w:pPr>
      <w:r>
        <w:rPr>
          <w:color w:val="auto"/>
          <w:sz w:val="21"/>
          <w:szCs w:val="21"/>
          <w:highlight w:val="none"/>
        </w:rPr>
        <w:t>（三）委托人财产使用要求及退还要求</w:t>
      </w:r>
    </w:p>
    <w:p>
      <w:pPr>
        <w:pStyle w:val="32"/>
        <w:numPr>
          <w:ilvl w:val="0"/>
          <w:numId w:val="58"/>
        </w:numPr>
        <w:tabs>
          <w:tab w:val="left" w:pos="1205"/>
        </w:tabs>
        <w:spacing w:before="132" w:after="0" w:line="240" w:lineRule="auto"/>
        <w:ind w:hanging="301"/>
        <w:rPr>
          <w:color w:val="auto"/>
          <w:szCs w:val="21"/>
          <w:highlight w:val="none"/>
        </w:rPr>
      </w:pPr>
      <w:r>
        <w:rPr>
          <w:color w:val="auto"/>
          <w:szCs w:val="21"/>
          <w:highlight w:val="none"/>
        </w:rPr>
        <w:t>委托人财产使用要求</w:t>
      </w:r>
    </w:p>
    <w:p>
      <w:pPr>
        <w:pStyle w:val="32"/>
        <w:numPr>
          <w:ilvl w:val="0"/>
          <w:numId w:val="58"/>
        </w:numPr>
        <w:tabs>
          <w:tab w:val="left" w:pos="1205"/>
        </w:tabs>
        <w:spacing w:before="132" w:after="0" w:line="240" w:lineRule="auto"/>
        <w:ind w:hanging="301"/>
        <w:rPr>
          <w:color w:val="auto"/>
          <w:szCs w:val="21"/>
          <w:highlight w:val="none"/>
        </w:rPr>
      </w:pPr>
      <w:r>
        <w:rPr>
          <w:color w:val="auto"/>
          <w:szCs w:val="21"/>
          <w:highlight w:val="none"/>
        </w:rPr>
        <w:t>委托人财产退还要求</w:t>
      </w:r>
    </w:p>
    <w:p>
      <w:pPr>
        <w:pStyle w:val="9"/>
        <w:spacing w:before="150"/>
        <w:ind w:left="904"/>
        <w:jc w:val="left"/>
        <w:rPr>
          <w:color w:val="auto"/>
          <w:sz w:val="21"/>
          <w:szCs w:val="21"/>
          <w:highlight w:val="none"/>
        </w:rPr>
      </w:pPr>
      <w:r>
        <w:rPr>
          <w:color w:val="auto"/>
          <w:sz w:val="21"/>
          <w:szCs w:val="21"/>
          <w:highlight w:val="none"/>
        </w:rPr>
        <w:t>……</w:t>
      </w:r>
    </w:p>
    <w:p>
      <w:pPr>
        <w:pStyle w:val="9"/>
        <w:spacing w:before="3"/>
        <w:jc w:val="left"/>
        <w:rPr>
          <w:color w:val="auto"/>
          <w:sz w:val="21"/>
          <w:szCs w:val="21"/>
          <w:highlight w:val="none"/>
        </w:rPr>
      </w:pPr>
    </w:p>
    <w:p>
      <w:pPr>
        <w:ind w:left="424"/>
        <w:rPr>
          <w:rFonts w:ascii="黑体" w:eastAsia="黑体"/>
          <w:b/>
          <w:color w:val="auto"/>
          <w:szCs w:val="21"/>
          <w:highlight w:val="none"/>
        </w:rPr>
      </w:pPr>
      <w:r>
        <w:rPr>
          <w:rFonts w:hint="eastAsia" w:ascii="黑体" w:eastAsia="黑体"/>
          <w:b/>
          <w:color w:val="auto"/>
          <w:szCs w:val="21"/>
          <w:highlight w:val="none"/>
        </w:rPr>
        <w:t>五、委托人提供的便利条件</w:t>
      </w:r>
    </w:p>
    <w:p>
      <w:pPr>
        <w:pStyle w:val="9"/>
        <w:spacing w:before="8"/>
        <w:jc w:val="left"/>
        <w:rPr>
          <w:rFonts w:ascii="黑体"/>
          <w:b/>
          <w:color w:val="auto"/>
          <w:sz w:val="21"/>
          <w:szCs w:val="21"/>
          <w:highlight w:val="none"/>
        </w:rPr>
      </w:pPr>
    </w:p>
    <w:p>
      <w:pPr>
        <w:pStyle w:val="9"/>
        <w:ind w:left="904"/>
        <w:jc w:val="left"/>
        <w:rPr>
          <w:color w:val="auto"/>
          <w:sz w:val="21"/>
          <w:szCs w:val="21"/>
          <w:highlight w:val="none"/>
        </w:rPr>
      </w:pPr>
      <w:r>
        <w:rPr>
          <w:color w:val="auto"/>
          <w:sz w:val="21"/>
          <w:szCs w:val="21"/>
          <w:highlight w:val="none"/>
        </w:rPr>
        <w:t>（一）委托人提供的生活条件</w:t>
      </w:r>
    </w:p>
    <w:p>
      <w:pPr>
        <w:pStyle w:val="9"/>
        <w:spacing w:before="135"/>
        <w:ind w:left="904"/>
        <w:jc w:val="left"/>
        <w:rPr>
          <w:color w:val="auto"/>
          <w:sz w:val="21"/>
          <w:szCs w:val="21"/>
          <w:highlight w:val="none"/>
        </w:rPr>
      </w:pPr>
      <w:r>
        <w:rPr>
          <w:color w:val="auto"/>
          <w:sz w:val="21"/>
          <w:szCs w:val="21"/>
          <w:highlight w:val="none"/>
        </w:rPr>
        <w:t>（二）委托人提供的交通条件</w:t>
      </w:r>
    </w:p>
    <w:p>
      <w:pPr>
        <w:pStyle w:val="9"/>
        <w:spacing w:before="131"/>
        <w:ind w:left="904"/>
        <w:jc w:val="left"/>
        <w:rPr>
          <w:color w:val="auto"/>
          <w:sz w:val="21"/>
          <w:szCs w:val="21"/>
          <w:highlight w:val="none"/>
        </w:rPr>
      </w:pPr>
      <w:r>
        <w:rPr>
          <w:color w:val="auto"/>
          <w:sz w:val="21"/>
          <w:szCs w:val="21"/>
          <w:highlight w:val="none"/>
        </w:rPr>
        <w:t>（三）委托人提供的网络、通信条件</w:t>
      </w:r>
    </w:p>
    <w:p>
      <w:pPr>
        <w:pStyle w:val="9"/>
        <w:spacing w:before="132"/>
        <w:ind w:left="904"/>
        <w:jc w:val="left"/>
        <w:rPr>
          <w:color w:val="auto"/>
          <w:sz w:val="21"/>
          <w:szCs w:val="21"/>
          <w:highlight w:val="none"/>
        </w:rPr>
      </w:pPr>
      <w:r>
        <w:rPr>
          <w:color w:val="auto"/>
          <w:sz w:val="21"/>
          <w:szCs w:val="21"/>
          <w:highlight w:val="none"/>
        </w:rPr>
        <w:t>（四）委托人提供的协助人员</w:t>
      </w:r>
    </w:p>
    <w:p>
      <w:pPr>
        <w:pStyle w:val="9"/>
        <w:spacing w:before="150"/>
        <w:ind w:left="904"/>
        <w:jc w:val="left"/>
        <w:rPr>
          <w:color w:val="auto"/>
          <w:sz w:val="21"/>
          <w:szCs w:val="21"/>
          <w:highlight w:val="none"/>
        </w:rPr>
      </w:pPr>
      <w:r>
        <w:rPr>
          <w:color w:val="auto"/>
          <w:sz w:val="21"/>
          <w:szCs w:val="21"/>
          <w:highlight w:val="none"/>
        </w:rPr>
        <w:t>……</w:t>
      </w:r>
    </w:p>
    <w:p>
      <w:pPr>
        <w:pStyle w:val="9"/>
        <w:spacing w:before="3"/>
        <w:jc w:val="left"/>
        <w:rPr>
          <w:color w:val="auto"/>
          <w:sz w:val="21"/>
          <w:szCs w:val="21"/>
          <w:highlight w:val="none"/>
        </w:rPr>
      </w:pPr>
    </w:p>
    <w:p>
      <w:pPr>
        <w:ind w:left="424"/>
        <w:rPr>
          <w:rFonts w:ascii="黑体" w:eastAsia="黑体"/>
          <w:b/>
          <w:color w:val="auto"/>
          <w:szCs w:val="21"/>
          <w:highlight w:val="none"/>
        </w:rPr>
      </w:pPr>
      <w:r>
        <w:rPr>
          <w:rFonts w:hint="eastAsia" w:ascii="黑体" w:eastAsia="黑体"/>
          <w:b/>
          <w:color w:val="auto"/>
          <w:szCs w:val="21"/>
          <w:highlight w:val="none"/>
        </w:rPr>
        <w:t>六、监理人需要自备的工作条件</w:t>
      </w:r>
    </w:p>
    <w:p>
      <w:pPr>
        <w:pStyle w:val="9"/>
        <w:spacing w:before="8"/>
        <w:jc w:val="left"/>
        <w:rPr>
          <w:rFonts w:ascii="黑体"/>
          <w:b/>
          <w:color w:val="auto"/>
          <w:sz w:val="21"/>
          <w:szCs w:val="21"/>
          <w:highlight w:val="none"/>
        </w:rPr>
      </w:pPr>
    </w:p>
    <w:p>
      <w:pPr>
        <w:pStyle w:val="9"/>
        <w:ind w:left="904"/>
        <w:jc w:val="left"/>
        <w:rPr>
          <w:color w:val="auto"/>
          <w:sz w:val="21"/>
          <w:szCs w:val="21"/>
          <w:highlight w:val="none"/>
        </w:rPr>
      </w:pPr>
      <w:r>
        <w:rPr>
          <w:color w:val="auto"/>
          <w:sz w:val="21"/>
          <w:szCs w:val="21"/>
          <w:highlight w:val="none"/>
        </w:rPr>
        <w:t>（一）监理人自备的工作手册：如本项目必备的规范标准、图集等</w:t>
      </w:r>
    </w:p>
    <w:p>
      <w:pPr>
        <w:pStyle w:val="9"/>
        <w:spacing w:before="135" w:line="343" w:lineRule="auto"/>
        <w:ind w:left="424" w:right="470" w:firstLine="479"/>
        <w:jc w:val="left"/>
        <w:rPr>
          <w:color w:val="auto"/>
          <w:sz w:val="21"/>
          <w:szCs w:val="21"/>
          <w:highlight w:val="none"/>
        </w:rPr>
      </w:pPr>
      <w:r>
        <w:rPr>
          <w:color w:val="auto"/>
          <w:sz w:val="21"/>
          <w:szCs w:val="21"/>
          <w:highlight w:val="none"/>
        </w:rPr>
        <w:t>（二）监理人自备的办公设备：如计算机、软件、投影、打印机、复印机、照相机等</w:t>
      </w:r>
    </w:p>
    <w:p>
      <w:pPr>
        <w:pStyle w:val="9"/>
        <w:spacing w:line="306" w:lineRule="exact"/>
        <w:ind w:left="904"/>
        <w:jc w:val="left"/>
        <w:rPr>
          <w:color w:val="auto"/>
          <w:sz w:val="21"/>
          <w:szCs w:val="21"/>
          <w:highlight w:val="none"/>
        </w:rPr>
      </w:pPr>
      <w:r>
        <w:rPr>
          <w:color w:val="auto"/>
          <w:sz w:val="21"/>
          <w:szCs w:val="21"/>
          <w:highlight w:val="none"/>
        </w:rPr>
        <w:t>（三）监理人自备的交通工具：如出行车辆等</w:t>
      </w:r>
    </w:p>
    <w:p>
      <w:pPr>
        <w:pStyle w:val="9"/>
        <w:spacing w:before="134"/>
        <w:ind w:left="904"/>
        <w:jc w:val="left"/>
        <w:rPr>
          <w:color w:val="auto"/>
          <w:sz w:val="21"/>
          <w:szCs w:val="21"/>
          <w:highlight w:val="none"/>
        </w:rPr>
      </w:pPr>
      <w:r>
        <w:rPr>
          <w:color w:val="auto"/>
          <w:sz w:val="21"/>
          <w:szCs w:val="21"/>
          <w:highlight w:val="none"/>
        </w:rPr>
        <w:t>（四）监理人自备的现场办公设施：如办公桌椅、文件柜等</w:t>
      </w:r>
    </w:p>
    <w:p>
      <w:pPr>
        <w:pStyle w:val="9"/>
        <w:spacing w:before="131"/>
        <w:ind w:left="904"/>
        <w:jc w:val="left"/>
        <w:rPr>
          <w:color w:val="auto"/>
          <w:sz w:val="21"/>
          <w:szCs w:val="21"/>
          <w:highlight w:val="none"/>
        </w:rPr>
      </w:pPr>
      <w:r>
        <w:rPr>
          <w:color w:val="auto"/>
          <w:sz w:val="21"/>
          <w:szCs w:val="21"/>
          <w:highlight w:val="none"/>
        </w:rPr>
        <w:t>（五）监理人自备的安全设施：如安全帽、安全鞋、手电筒等</w:t>
      </w:r>
    </w:p>
    <w:p>
      <w:pPr>
        <w:pStyle w:val="9"/>
        <w:spacing w:before="133"/>
        <w:ind w:left="904"/>
        <w:jc w:val="left"/>
        <w:rPr>
          <w:color w:val="auto"/>
          <w:sz w:val="21"/>
          <w:szCs w:val="21"/>
          <w:highlight w:val="none"/>
        </w:rPr>
      </w:pPr>
      <w:r>
        <w:rPr>
          <w:color w:val="auto"/>
          <w:sz w:val="21"/>
          <w:szCs w:val="21"/>
          <w:highlight w:val="none"/>
        </w:rPr>
        <w:t>（六）监理人自备的试验检测仪器、设备、工具</w:t>
      </w:r>
    </w:p>
    <w:p>
      <w:pPr>
        <w:pStyle w:val="9"/>
        <w:spacing w:before="134"/>
        <w:ind w:left="904"/>
        <w:jc w:val="left"/>
        <w:rPr>
          <w:color w:val="auto"/>
          <w:sz w:val="21"/>
          <w:szCs w:val="21"/>
          <w:highlight w:val="none"/>
        </w:rPr>
      </w:pPr>
      <w:r>
        <w:rPr>
          <w:color w:val="auto"/>
          <w:sz w:val="21"/>
          <w:szCs w:val="21"/>
          <w:highlight w:val="none"/>
        </w:rPr>
        <w:t>（七）监理人自备的试验用房、样品用房</w:t>
      </w:r>
    </w:p>
    <w:p>
      <w:pPr>
        <w:pStyle w:val="9"/>
        <w:spacing w:before="147"/>
        <w:ind w:left="904"/>
        <w:jc w:val="left"/>
        <w:rPr>
          <w:color w:val="auto"/>
          <w:sz w:val="21"/>
          <w:szCs w:val="21"/>
          <w:highlight w:val="none"/>
        </w:rPr>
      </w:pPr>
      <w:r>
        <w:rPr>
          <w:color w:val="auto"/>
          <w:sz w:val="21"/>
          <w:szCs w:val="21"/>
          <w:highlight w:val="none"/>
        </w:rPr>
        <w:t>……</w:t>
      </w:r>
    </w:p>
    <w:p>
      <w:pPr>
        <w:pStyle w:val="9"/>
        <w:spacing w:before="3"/>
        <w:jc w:val="left"/>
        <w:rPr>
          <w:color w:val="auto"/>
          <w:sz w:val="21"/>
          <w:szCs w:val="21"/>
          <w:highlight w:val="none"/>
        </w:rPr>
      </w:pPr>
    </w:p>
    <w:p>
      <w:pPr>
        <w:ind w:left="424"/>
        <w:rPr>
          <w:rFonts w:ascii="黑体" w:eastAsia="黑体"/>
          <w:b/>
          <w:color w:val="auto"/>
          <w:szCs w:val="21"/>
          <w:highlight w:val="none"/>
        </w:rPr>
      </w:pPr>
      <w:r>
        <w:rPr>
          <w:rFonts w:hint="eastAsia" w:ascii="黑体" w:eastAsia="黑体"/>
          <w:b/>
          <w:color w:val="auto"/>
          <w:szCs w:val="21"/>
          <w:highlight w:val="none"/>
        </w:rPr>
        <w:t>七、委托人的其他要求</w:t>
      </w:r>
    </w:p>
    <w:p>
      <w:pPr>
        <w:pStyle w:val="9"/>
        <w:spacing w:before="11"/>
        <w:jc w:val="left"/>
        <w:rPr>
          <w:rFonts w:ascii="黑体"/>
          <w:b/>
          <w:color w:val="auto"/>
          <w:sz w:val="21"/>
          <w:szCs w:val="21"/>
          <w:highlight w:val="none"/>
        </w:rPr>
      </w:pPr>
    </w:p>
    <w:p>
      <w:pPr>
        <w:pStyle w:val="9"/>
        <w:ind w:left="904"/>
        <w:jc w:val="left"/>
        <w:rPr>
          <w:color w:val="auto"/>
          <w:sz w:val="21"/>
          <w:szCs w:val="21"/>
          <w:highlight w:val="none"/>
        </w:rPr>
      </w:pPr>
      <w:r>
        <w:rPr>
          <w:color w:val="auto"/>
          <w:sz w:val="21"/>
          <w:szCs w:val="21"/>
          <w:highlight w:val="none"/>
        </w:rPr>
        <w:t>委托人的其他要求：</w:t>
      </w:r>
    </w:p>
    <w:p>
      <w:pPr>
        <w:pStyle w:val="9"/>
        <w:spacing w:before="148"/>
        <w:ind w:left="904"/>
        <w:jc w:val="left"/>
        <w:rPr>
          <w:color w:val="auto"/>
          <w:highlight w:val="none"/>
        </w:rPr>
        <w:sectPr>
          <w:pgSz w:w="11910" w:h="16850"/>
          <w:pgMar w:top="1460" w:right="1120" w:bottom="1280" w:left="1220" w:header="882" w:footer="1093" w:gutter="0"/>
          <w:cols w:space="720" w:num="1"/>
        </w:sectPr>
      </w:pPr>
      <w:r>
        <w:rPr>
          <w:color w:val="auto"/>
          <w:sz w:val="21"/>
          <w:szCs w:val="21"/>
          <w:highlight w:val="none"/>
        </w:rPr>
        <w:t>……</w:t>
      </w:r>
    </w:p>
    <w:p>
      <w:pPr>
        <w:widowControl/>
        <w:rPr>
          <w:color w:val="auto"/>
          <w:highlight w:val="none"/>
        </w:rPr>
        <w:sectPr>
          <w:type w:val="continuous"/>
          <w:pgSz w:w="11906" w:h="16838"/>
          <w:pgMar w:top="535" w:right="945" w:bottom="295" w:left="1305" w:header="0" w:footer="0" w:gutter="0"/>
          <w:cols w:space="720" w:num="1"/>
          <w:docGrid w:type="lines" w:linePitch="312" w:charSpace="0"/>
        </w:sectPr>
      </w:pPr>
    </w:p>
    <w:p>
      <w:pPr>
        <w:spacing w:after="0" w:line="240" w:lineRule="exact"/>
        <w:rPr>
          <w:color w:val="auto"/>
          <w:highlight w:val="none"/>
        </w:rPr>
      </w:pPr>
      <w:bookmarkStart w:id="76" w:name="30"/>
      <w:bookmarkEnd w:id="76"/>
      <w:bookmarkStart w:id="77" w:name="29"/>
      <w:bookmarkEnd w:id="77"/>
    </w:p>
    <w:p>
      <w:pPr>
        <w:spacing w:after="0" w:line="541" w:lineRule="exact"/>
        <w:ind w:left="60" w:firstLine="2844"/>
        <w:rPr>
          <w:color w:val="auto"/>
          <w:highlight w:val="none"/>
        </w:rPr>
      </w:pPr>
      <w:r>
        <w:rPr>
          <w:rFonts w:ascii="宋体" w:hAnsi="宋体" w:eastAsia="宋体" w:cs="宋体"/>
          <w:color w:val="auto"/>
          <w:sz w:val="44"/>
          <w:highlight w:val="none"/>
        </w:rPr>
        <w:t>第四章</w:t>
      </w:r>
      <w:r>
        <w:rPr>
          <w:rFonts w:ascii="Calibri" w:hAnsi="Calibri" w:cs="Calibri"/>
          <w:color w:val="auto"/>
          <w:w w:val="224"/>
          <w:sz w:val="44"/>
          <w:highlight w:val="none"/>
        </w:rPr>
        <w:t> </w:t>
      </w:r>
      <w:r>
        <w:rPr>
          <w:rFonts w:ascii="宋体" w:hAnsi="宋体" w:eastAsia="宋体" w:cs="宋体"/>
          <w:color w:val="auto"/>
          <w:sz w:val="44"/>
          <w:highlight w:val="none"/>
        </w:rPr>
        <w:t>评定标准</w:t>
      </w:r>
    </w:p>
    <w:p>
      <w:pPr>
        <w:spacing w:after="0" w:line="240" w:lineRule="exact"/>
        <w:ind w:left="60" w:firstLine="2844"/>
        <w:rPr>
          <w:color w:val="auto"/>
          <w:highlight w:val="none"/>
        </w:rPr>
      </w:pPr>
    </w:p>
    <w:p>
      <w:pPr>
        <w:spacing w:after="0" w:line="563" w:lineRule="exact"/>
        <w:ind w:left="60" w:firstLine="3984"/>
        <w:rPr>
          <w:color w:val="auto"/>
          <w:highlight w:val="none"/>
        </w:rPr>
      </w:pPr>
      <w:r>
        <w:rPr>
          <w:rFonts w:ascii="Arial Unicode MS" w:hAnsi="Arial Unicode MS" w:eastAsia="Arial Unicode MS" w:cs="Arial Unicode MS"/>
          <w:color w:val="auto"/>
          <w:sz w:val="32"/>
          <w:highlight w:val="none"/>
        </w:rPr>
        <w:t>评定标准</w:t>
      </w:r>
    </w:p>
    <w:p>
      <w:pPr>
        <w:spacing w:after="0" w:line="240" w:lineRule="exact"/>
        <w:rPr>
          <w:color w:val="auto"/>
          <w:highlight w:val="none"/>
        </w:rPr>
      </w:pPr>
    </w:p>
    <w:p>
      <w:pPr>
        <w:spacing w:after="0" w:line="446" w:lineRule="exact"/>
        <w:ind w:left="60" w:firstLine="310"/>
        <w:outlineLvl w:val="0"/>
        <w:rPr>
          <w:color w:val="auto"/>
          <w:highlight w:val="none"/>
        </w:rPr>
      </w:pPr>
      <w:r>
        <w:rPr>
          <w:rFonts w:ascii="宋体" w:hAnsi="宋体" w:cs="宋体"/>
          <w:color w:val="auto"/>
          <w:highlight w:val="none"/>
        </w:rPr>
        <w:t>一、评标原则</w:t>
      </w:r>
    </w:p>
    <w:p>
      <w:pPr>
        <w:spacing w:after="0" w:line="259" w:lineRule="exact"/>
        <w:ind w:left="60" w:firstLine="420"/>
        <w:rPr>
          <w:rFonts w:ascii="宋体" w:hAnsi="宋体" w:eastAsia="宋体" w:cs="宋体"/>
          <w:color w:val="auto"/>
          <w:spacing w:val="-1"/>
          <w:highlight w:val="none"/>
        </w:rPr>
      </w:pPr>
    </w:p>
    <w:p>
      <w:pPr>
        <w:numPr>
          <w:ilvl w:val="0"/>
          <w:numId w:val="59"/>
        </w:numPr>
        <w:spacing w:after="0" w:line="259" w:lineRule="exact"/>
        <w:ind w:left="60" w:firstLine="420"/>
        <w:rPr>
          <w:rFonts w:ascii="宋体" w:hAnsi="宋体" w:eastAsia="宋体" w:cs="宋体"/>
          <w:color w:val="auto"/>
          <w:spacing w:val="-1"/>
          <w:highlight w:val="none"/>
        </w:rPr>
      </w:pPr>
      <w:r>
        <w:rPr>
          <w:rFonts w:ascii="宋体" w:hAnsi="宋体" w:eastAsia="宋体" w:cs="宋体"/>
          <w:color w:val="auto"/>
          <w:spacing w:val="-1"/>
          <w:highlight w:val="none"/>
        </w:rPr>
        <w:t>磋商小组构成：本项目的磋商小组由评审专家共 3 人以上单数组成，其中评审专家人数不得少于磋商小组成员总数的 2/3。</w:t>
      </w:r>
    </w:p>
    <w:p>
      <w:pPr>
        <w:spacing w:after="0" w:line="240" w:lineRule="exact"/>
        <w:ind w:left="60"/>
        <w:rPr>
          <w:color w:val="auto"/>
          <w:highlight w:val="none"/>
        </w:rPr>
      </w:pPr>
    </w:p>
    <w:p>
      <w:pPr>
        <w:spacing w:after="0" w:line="259" w:lineRule="exact"/>
        <w:ind w:left="60" w:firstLine="420"/>
        <w:rPr>
          <w:color w:val="auto"/>
          <w:highlight w:val="none"/>
        </w:rPr>
      </w:pPr>
      <w:r>
        <w:rPr>
          <w:rFonts w:ascii="宋体" w:hAnsi="宋体" w:eastAsia="宋体" w:cs="宋体"/>
          <w:color w:val="auto"/>
          <w:spacing w:val="-1"/>
          <w:highlight w:val="none"/>
        </w:rPr>
        <w:t>(二</w:t>
      </w:r>
      <w:r>
        <w:rPr>
          <w:rFonts w:ascii="宋体" w:hAnsi="宋体" w:eastAsia="宋体" w:cs="宋体"/>
          <w:color w:val="auto"/>
          <w:spacing w:val="-2"/>
          <w:highlight w:val="none"/>
        </w:rPr>
        <w:t>）评标依据：磋商小组将以竞争性磋商文件和响应文件为评定依据进行评审，对供应商的</w:t>
      </w:r>
    </w:p>
    <w:p>
      <w:pPr>
        <w:spacing w:after="0" w:line="240" w:lineRule="exact"/>
        <w:ind w:left="60" w:firstLine="420"/>
        <w:rPr>
          <w:color w:val="auto"/>
          <w:highlight w:val="none"/>
        </w:rPr>
      </w:pPr>
    </w:p>
    <w:p>
      <w:pPr>
        <w:spacing w:after="0" w:line="259" w:lineRule="exact"/>
        <w:ind w:left="60"/>
        <w:rPr>
          <w:color w:val="auto"/>
          <w:highlight w:val="none"/>
        </w:rPr>
      </w:pPr>
      <w:r>
        <w:rPr>
          <w:rFonts w:ascii="宋体" w:hAnsi="宋体" w:cs="宋体"/>
          <w:color w:val="auto"/>
          <w:spacing w:val="-1"/>
          <w:highlight w:val="none"/>
        </w:rPr>
        <w:t>报价、</w:t>
      </w:r>
      <w:r>
        <w:rPr>
          <w:rFonts w:hint="eastAsia" w:ascii="宋体" w:hAnsi="宋体" w:cs="宋体"/>
          <w:color w:val="auto"/>
          <w:spacing w:val="-1"/>
          <w:highlight w:val="none"/>
        </w:rPr>
        <w:t>监理大纲</w:t>
      </w:r>
      <w:r>
        <w:rPr>
          <w:rFonts w:ascii="宋体" w:hAnsi="宋体" w:cs="宋体"/>
          <w:color w:val="auto"/>
          <w:spacing w:val="-1"/>
          <w:highlight w:val="none"/>
        </w:rPr>
        <w:t>、服务承诺、企业业绩等内容按百分制打分。</w:t>
      </w:r>
    </w:p>
    <w:p>
      <w:pPr>
        <w:spacing w:after="0" w:line="240" w:lineRule="exact"/>
        <w:ind w:left="60"/>
        <w:rPr>
          <w:color w:val="auto"/>
          <w:highlight w:val="none"/>
        </w:rPr>
      </w:pPr>
    </w:p>
    <w:p>
      <w:pPr>
        <w:spacing w:after="0" w:line="262" w:lineRule="exact"/>
        <w:ind w:left="60" w:firstLine="420"/>
        <w:rPr>
          <w:color w:val="auto"/>
          <w:highlight w:val="none"/>
        </w:rPr>
      </w:pPr>
      <w:r>
        <w:rPr>
          <w:rFonts w:ascii="宋体" w:hAnsi="宋体" w:cs="宋体"/>
          <w:color w:val="auto"/>
          <w:spacing w:val="-1"/>
          <w:highlight w:val="none"/>
        </w:rPr>
        <w:t>(三）评标方法：综合评分法。</w:t>
      </w:r>
    </w:p>
    <w:p>
      <w:pPr>
        <w:spacing w:after="0" w:line="240" w:lineRule="exact"/>
        <w:ind w:left="60" w:firstLine="420"/>
        <w:rPr>
          <w:color w:val="auto"/>
          <w:highlight w:val="none"/>
        </w:rPr>
      </w:pPr>
    </w:p>
    <w:p>
      <w:pPr>
        <w:spacing w:after="0" w:line="360" w:lineRule="auto"/>
        <w:ind w:left="60" w:firstLine="314"/>
        <w:outlineLvl w:val="0"/>
        <w:rPr>
          <w:color w:val="auto"/>
          <w:highlight w:val="none"/>
        </w:rPr>
      </w:pPr>
      <w:r>
        <w:rPr>
          <w:rFonts w:ascii="宋体" w:hAnsi="宋体" w:eastAsia="宋体" w:cs="宋体"/>
          <w:color w:val="auto"/>
          <w:spacing w:val="-3"/>
          <w:highlight w:val="none"/>
        </w:rPr>
        <w:t>（四）以进入评标的最低的评标报价为</w:t>
      </w:r>
      <w:r>
        <w:rPr>
          <w:rFonts w:hint="eastAsia" w:ascii="Calibri" w:hAnsi="Calibri" w:eastAsia="宋体" w:cs="Calibri"/>
          <w:color w:val="auto"/>
          <w:spacing w:val="4"/>
          <w:highlight w:val="none"/>
        </w:rPr>
        <w:t>2</w:t>
      </w:r>
      <w:r>
        <w:rPr>
          <w:rFonts w:ascii="宋体" w:hAnsi="宋体" w:cs="宋体"/>
          <w:color w:val="auto"/>
          <w:highlight w:val="none"/>
        </w:rPr>
        <w:t>0</w:t>
      </w:r>
      <w:r>
        <w:rPr>
          <w:rFonts w:ascii="Calibri" w:hAnsi="Calibri" w:cs="Calibri"/>
          <w:color w:val="auto"/>
          <w:spacing w:val="5"/>
          <w:highlight w:val="none"/>
        </w:rPr>
        <w:t> </w:t>
      </w:r>
      <w:r>
        <w:rPr>
          <w:rFonts w:ascii="宋体" w:hAnsi="宋体" w:cs="宋体"/>
          <w:color w:val="auto"/>
          <w:spacing w:val="-9"/>
          <w:highlight w:val="none"/>
        </w:rPr>
        <w:t>分。按照《政府采购促进中小企业发展暂行办法》（财</w:t>
      </w:r>
      <w:r>
        <w:rPr>
          <w:rFonts w:ascii="宋体" w:hAnsi="宋体" w:eastAsia="宋体" w:cs="宋体"/>
          <w:color w:val="auto"/>
          <w:spacing w:val="-1"/>
          <w:highlight w:val="none"/>
        </w:rPr>
        <w:t>库[2011]181</w:t>
      </w:r>
      <w:r>
        <w:rPr>
          <w:rFonts w:ascii="Calibri" w:hAnsi="Calibri" w:cs="Calibri"/>
          <w:color w:val="auto"/>
          <w:spacing w:val="5"/>
          <w:highlight w:val="none"/>
        </w:rPr>
        <w:t> </w:t>
      </w:r>
      <w:r>
        <w:rPr>
          <w:rFonts w:ascii="宋体" w:hAnsi="宋体" w:eastAsia="宋体" w:cs="宋体"/>
          <w:color w:val="auto"/>
          <w:highlight w:val="none"/>
        </w:rPr>
        <w:t>号），</w:t>
      </w:r>
      <w:r>
        <w:rPr>
          <w:rFonts w:hint="eastAsia" w:ascii="宋体" w:hAnsi="宋体" w:eastAsia="宋体" w:cs="宋体"/>
          <w:color w:val="auto"/>
          <w:highlight w:val="none"/>
        </w:rPr>
        <w:t>磋商</w:t>
      </w:r>
      <w:r>
        <w:rPr>
          <w:rFonts w:ascii="宋体" w:hAnsi="宋体" w:eastAsia="宋体" w:cs="宋体"/>
          <w:color w:val="auto"/>
          <w:highlight w:val="none"/>
        </w:rPr>
        <w:t>单位认定为小型和微型企业（以</w:t>
      </w:r>
      <w:r>
        <w:rPr>
          <w:rFonts w:hint="eastAsia" w:ascii="宋体" w:hAnsi="宋体" w:eastAsia="宋体" w:cs="宋体"/>
          <w:color w:val="auto"/>
          <w:highlight w:val="none"/>
        </w:rPr>
        <w:t>磋商</w:t>
      </w:r>
      <w:r>
        <w:rPr>
          <w:rFonts w:ascii="宋体" w:hAnsi="宋体" w:eastAsia="宋体" w:cs="宋体"/>
          <w:color w:val="auto"/>
          <w:highlight w:val="none"/>
        </w:rPr>
        <w:t>文件提供的符合规定的有关证明材料</w:t>
      </w:r>
      <w:r>
        <w:rPr>
          <w:rFonts w:ascii="宋体" w:hAnsi="宋体" w:cs="宋体"/>
          <w:color w:val="auto"/>
          <w:spacing w:val="-1"/>
          <w:highlight w:val="none"/>
        </w:rPr>
        <w:t>为准）且所投产品均为小型和微型企业产品的，以及《关于政府采购支持监狱企业发展有关问题的</w:t>
      </w:r>
      <w:r>
        <w:rPr>
          <w:rFonts w:ascii="宋体" w:hAnsi="宋体" w:cs="宋体"/>
          <w:color w:val="auto"/>
          <w:highlight w:val="none"/>
        </w:rPr>
        <w:t>通知》(财库[2014]68</w:t>
      </w:r>
      <w:r>
        <w:rPr>
          <w:rFonts w:ascii="Calibri" w:hAnsi="Calibri" w:cs="Calibri"/>
          <w:color w:val="auto"/>
          <w:spacing w:val="3"/>
          <w:highlight w:val="none"/>
        </w:rPr>
        <w:t> </w:t>
      </w:r>
      <w:r>
        <w:rPr>
          <w:rFonts w:ascii="宋体" w:hAnsi="宋体" w:cs="宋体"/>
          <w:color w:val="auto"/>
          <w:highlight w:val="none"/>
        </w:rPr>
        <w:t>号)认定为监狱企业的，视同小型、微型企业。对</w:t>
      </w:r>
      <w:r>
        <w:rPr>
          <w:rFonts w:hint="eastAsia" w:ascii="宋体" w:hAnsi="宋体" w:cs="宋体"/>
          <w:color w:val="auto"/>
          <w:highlight w:val="none"/>
        </w:rPr>
        <w:t>其最终报</w:t>
      </w:r>
      <w:r>
        <w:rPr>
          <w:rFonts w:ascii="宋体" w:hAnsi="宋体" w:cs="宋体"/>
          <w:color w:val="auto"/>
          <w:highlight w:val="none"/>
        </w:rPr>
        <w:t>价给予</w:t>
      </w:r>
      <w:r>
        <w:rPr>
          <w:rFonts w:ascii="Calibri" w:hAnsi="Calibri" w:cs="Calibri"/>
          <w:color w:val="auto"/>
          <w:spacing w:val="9"/>
          <w:highlight w:val="none"/>
        </w:rPr>
        <w:t> </w:t>
      </w:r>
      <w:r>
        <w:rPr>
          <w:rFonts w:ascii="宋体" w:hAnsi="宋体" w:eastAsia="宋体" w:cs="宋体"/>
          <w:color w:val="auto"/>
          <w:highlight w:val="none"/>
        </w:rPr>
        <w:t>6%的扣除，扣</w:t>
      </w:r>
      <w:r>
        <w:rPr>
          <w:rFonts w:ascii="宋体" w:hAnsi="宋体" w:cs="宋体"/>
          <w:color w:val="auto"/>
          <w:spacing w:val="-1"/>
          <w:highlight w:val="none"/>
        </w:rPr>
        <w:t>除后的价格为评标报价，即评标报价=</w:t>
      </w:r>
      <w:r>
        <w:rPr>
          <w:rFonts w:hint="eastAsia" w:ascii="宋体" w:hAnsi="宋体" w:cs="宋体"/>
          <w:color w:val="auto"/>
          <w:spacing w:val="-1"/>
          <w:highlight w:val="none"/>
        </w:rPr>
        <w:t>最终报</w:t>
      </w:r>
      <w:r>
        <w:rPr>
          <w:rFonts w:ascii="宋体" w:hAnsi="宋体" w:cs="宋体"/>
          <w:color w:val="auto"/>
          <w:spacing w:val="-1"/>
          <w:highlight w:val="none"/>
        </w:rPr>
        <w:t>价×（1-6%）；</w:t>
      </w:r>
      <w:r>
        <w:rPr>
          <w:rFonts w:hint="eastAsia" w:ascii="宋体" w:hAnsi="宋体" w:cs="宋体"/>
          <w:color w:val="auto"/>
          <w:spacing w:val="-1"/>
          <w:highlight w:val="none"/>
        </w:rPr>
        <w:t>根据《三部门联合发布关于促进残疾人就业政府采购政策的通知》（财库[2017]141号）的规定，残疾人福利性单位视同小型、微型企业，享受小型、微型企业评审中价格扣除的政府采购政策。（必须提供残疾人福利性单位声明函，否则不予以认定）。</w:t>
      </w:r>
      <w:r>
        <w:rPr>
          <w:rFonts w:ascii="宋体" w:hAnsi="宋体" w:cs="宋体"/>
          <w:color w:val="auto"/>
          <w:spacing w:val="-1"/>
          <w:highlight w:val="none"/>
        </w:rPr>
        <w:t>除上述情况外，评标报价=</w:t>
      </w:r>
      <w:r>
        <w:rPr>
          <w:rFonts w:hint="eastAsia" w:ascii="宋体" w:hAnsi="宋体" w:cs="宋体"/>
          <w:color w:val="auto"/>
          <w:spacing w:val="-1"/>
          <w:highlight w:val="none"/>
        </w:rPr>
        <w:t>最终报</w:t>
      </w:r>
      <w:r>
        <w:rPr>
          <w:rFonts w:ascii="宋体" w:hAnsi="宋体" w:cs="宋体"/>
          <w:color w:val="auto"/>
          <w:spacing w:val="-1"/>
          <w:highlight w:val="none"/>
        </w:rPr>
        <w:t>价。</w:t>
      </w:r>
    </w:p>
    <w:p>
      <w:pPr>
        <w:spacing w:after="0" w:line="262" w:lineRule="exact"/>
        <w:ind w:left="60" w:firstLine="420"/>
        <w:outlineLvl w:val="0"/>
        <w:rPr>
          <w:color w:val="auto"/>
          <w:highlight w:val="none"/>
        </w:rPr>
      </w:pPr>
      <w:r>
        <w:rPr>
          <w:rFonts w:ascii="宋体" w:hAnsi="宋体" w:cs="宋体"/>
          <w:color w:val="auto"/>
          <w:highlight w:val="none"/>
        </w:rPr>
        <w:t>二、评标方法</w:t>
      </w:r>
    </w:p>
    <w:p>
      <w:pPr>
        <w:spacing w:after="0" w:line="360" w:lineRule="auto"/>
        <w:ind w:left="60" w:firstLine="420"/>
        <w:rPr>
          <w:color w:val="auto"/>
          <w:highlight w:val="none"/>
        </w:rPr>
      </w:pPr>
      <w:r>
        <w:rPr>
          <w:rFonts w:ascii="宋体" w:hAnsi="宋体" w:eastAsia="宋体" w:cs="宋体"/>
          <w:color w:val="auto"/>
          <w:highlight w:val="none"/>
        </w:rPr>
        <w:t>对进入详评的，磋商小组将以竞争性磋商文</w:t>
      </w:r>
      <w:r>
        <w:rPr>
          <w:rFonts w:ascii="宋体" w:hAnsi="宋体" w:eastAsia="宋体" w:cs="宋体"/>
          <w:color w:val="auto"/>
          <w:spacing w:val="-2"/>
          <w:highlight w:val="none"/>
        </w:rPr>
        <w:t>件</w:t>
      </w:r>
      <w:r>
        <w:rPr>
          <w:rFonts w:ascii="Calibri" w:hAnsi="Calibri" w:cs="Calibri"/>
          <w:color w:val="auto"/>
          <w:w w:val="227"/>
          <w:highlight w:val="none"/>
        </w:rPr>
        <w:t> </w:t>
      </w:r>
      <w:r>
        <w:rPr>
          <w:rFonts w:ascii="宋体" w:hAnsi="宋体" w:cs="宋体"/>
          <w:color w:val="auto"/>
          <w:highlight w:val="none"/>
        </w:rPr>
        <w:t>、响应</w:t>
      </w:r>
      <w:r>
        <w:rPr>
          <w:rFonts w:ascii="宋体" w:hAnsi="宋体" w:eastAsia="宋体" w:cs="宋体"/>
          <w:color w:val="auto"/>
          <w:highlight w:val="none"/>
        </w:rPr>
        <w:t>文件为评定依据，采用百分制综合评</w:t>
      </w:r>
      <w:r>
        <w:rPr>
          <w:rFonts w:ascii="宋体" w:hAnsi="宋体" w:eastAsia="宋体" w:cs="宋体"/>
          <w:color w:val="auto"/>
          <w:spacing w:val="-2"/>
          <w:highlight w:val="none"/>
        </w:rPr>
        <w:t>分</w:t>
      </w:r>
    </w:p>
    <w:p>
      <w:pPr>
        <w:spacing w:after="0" w:line="360" w:lineRule="auto"/>
        <w:ind w:left="60"/>
        <w:rPr>
          <w:rFonts w:ascii="宋体" w:hAnsi="宋体" w:cs="宋体"/>
          <w:color w:val="auto"/>
          <w:position w:val="3"/>
          <w:highlight w:val="none"/>
        </w:rPr>
      </w:pPr>
      <w:r>
        <w:rPr>
          <w:rFonts w:ascii="宋体" w:hAnsi="宋体" w:eastAsia="宋体" w:cs="宋体"/>
          <w:color w:val="auto"/>
          <w:spacing w:val="-1"/>
          <w:highlight w:val="none"/>
        </w:rPr>
        <w:t>法；计分办法（按四舍五入取至百分位）；</w:t>
      </w:r>
    </w:p>
    <w:p>
      <w:pPr>
        <w:spacing w:after="0" w:line="360" w:lineRule="auto"/>
        <w:ind w:left="137"/>
        <w:outlineLvl w:val="0"/>
        <w:rPr>
          <w:b/>
          <w:bCs/>
          <w:color w:val="auto"/>
          <w:highlight w:val="none"/>
        </w:rPr>
      </w:pPr>
      <w:r>
        <w:rPr>
          <w:rFonts w:ascii="宋体" w:hAnsi="宋体" w:cs="宋体"/>
          <w:b/>
          <w:bCs/>
          <w:color w:val="auto"/>
          <w:position w:val="3"/>
          <w:highlight w:val="none"/>
        </w:rPr>
        <w:t>（一）价格分</w:t>
      </w:r>
      <w:r>
        <w:rPr>
          <w:rFonts w:ascii="宋体" w:hAnsi="宋体" w:cs="宋体"/>
          <w:b/>
          <w:bCs/>
          <w:color w:val="auto"/>
          <w:highlight w:val="none"/>
        </w:rPr>
        <w:t>………………………………………………………………………………………</w:t>
      </w:r>
      <w:r>
        <w:rPr>
          <w:rFonts w:hint="eastAsia" w:ascii="宋体" w:hAnsi="宋体" w:cs="宋体"/>
          <w:b/>
          <w:bCs/>
          <w:color w:val="auto"/>
          <w:position w:val="3"/>
          <w:highlight w:val="none"/>
        </w:rPr>
        <w:t>2</w:t>
      </w:r>
      <w:r>
        <w:rPr>
          <w:rFonts w:ascii="宋体" w:hAnsi="宋体" w:cs="宋体"/>
          <w:b/>
          <w:bCs/>
          <w:color w:val="auto"/>
          <w:position w:val="3"/>
          <w:highlight w:val="none"/>
        </w:rPr>
        <w:t>0分</w:t>
      </w:r>
    </w:p>
    <w:p>
      <w:pPr>
        <w:spacing w:after="0" w:line="360" w:lineRule="auto"/>
        <w:ind w:left="60" w:firstLine="314"/>
        <w:rPr>
          <w:color w:val="auto"/>
          <w:highlight w:val="none"/>
        </w:rPr>
      </w:pPr>
      <w:r>
        <w:rPr>
          <w:rFonts w:ascii="宋体" w:hAnsi="宋体" w:cs="宋体"/>
          <w:color w:val="auto"/>
          <w:spacing w:val="-1"/>
          <w:highlight w:val="none"/>
        </w:rPr>
        <w:t>报价评分以最后</w:t>
      </w:r>
      <w:r>
        <w:rPr>
          <w:rFonts w:hint="eastAsia" w:ascii="宋体" w:hAnsi="宋体" w:cs="宋体"/>
          <w:color w:val="auto"/>
          <w:spacing w:val="-1"/>
          <w:highlight w:val="none"/>
          <w:lang w:val="en-US" w:eastAsia="zh-CN"/>
        </w:rPr>
        <w:t>报价费率的</w:t>
      </w:r>
      <w:r>
        <w:rPr>
          <w:rFonts w:ascii="宋体" w:hAnsi="宋体" w:cs="宋体"/>
          <w:color w:val="auto"/>
          <w:spacing w:val="-1"/>
          <w:highlight w:val="none"/>
        </w:rPr>
        <w:t>评标</w:t>
      </w:r>
      <w:r>
        <w:rPr>
          <w:rFonts w:hint="eastAsia" w:ascii="宋体" w:hAnsi="宋体" w:eastAsia="宋体" w:cs="宋体"/>
          <w:color w:val="auto"/>
          <w:spacing w:val="-1"/>
          <w:highlight w:val="none"/>
          <w:lang w:val="en-US" w:eastAsia="zh-CN"/>
        </w:rPr>
        <w:t>费率</w:t>
      </w:r>
      <w:r>
        <w:rPr>
          <w:rFonts w:ascii="宋体" w:hAnsi="宋体" w:cs="宋体"/>
          <w:color w:val="auto"/>
          <w:spacing w:val="-1"/>
          <w:highlight w:val="none"/>
        </w:rPr>
        <w:t>为依据。</w:t>
      </w:r>
    </w:p>
    <w:p>
      <w:pPr>
        <w:spacing w:after="0" w:line="360" w:lineRule="auto"/>
        <w:ind w:left="60" w:firstLine="314"/>
        <w:rPr>
          <w:color w:val="auto"/>
          <w:highlight w:val="none"/>
        </w:rPr>
      </w:pPr>
      <w:r>
        <w:rPr>
          <w:rFonts w:ascii="宋体" w:hAnsi="宋体" w:cs="宋体"/>
          <w:color w:val="auto"/>
          <w:spacing w:val="-1"/>
          <w:highlight w:val="none"/>
        </w:rPr>
        <w:t>超出预算价和未通过资格（符合性）审查的供应商，其报价无效。</w:t>
      </w:r>
    </w:p>
    <w:p>
      <w:pPr>
        <w:spacing w:after="0" w:line="360" w:lineRule="auto"/>
        <w:ind w:left="60" w:firstLine="2309"/>
        <w:rPr>
          <w:rFonts w:hint="eastAsia" w:eastAsia="宋体"/>
          <w:color w:val="auto"/>
          <w:highlight w:val="none"/>
          <w:lang w:eastAsia="zh-CN"/>
        </w:rPr>
      </w:pPr>
      <w:r>
        <w:rPr>
          <w:rFonts w:ascii="宋体" w:hAnsi="宋体" w:eastAsia="宋体" w:cs="宋体"/>
          <w:color w:val="auto"/>
          <w:spacing w:val="-1"/>
          <w:highlight w:val="none"/>
        </w:rPr>
        <w:t>有效供应商的最低</w:t>
      </w:r>
      <w:r>
        <w:rPr>
          <w:rFonts w:hint="eastAsia" w:ascii="宋体" w:hAnsi="宋体" w:eastAsia="宋体" w:cs="宋体"/>
          <w:color w:val="auto"/>
          <w:spacing w:val="-1"/>
          <w:highlight w:val="none"/>
        </w:rPr>
        <w:t>评标</w:t>
      </w:r>
      <w:r>
        <w:rPr>
          <w:rFonts w:hint="eastAsia" w:ascii="宋体" w:hAnsi="宋体" w:eastAsia="宋体" w:cs="宋体"/>
          <w:color w:val="auto"/>
          <w:spacing w:val="-1"/>
          <w:highlight w:val="none"/>
          <w:lang w:val="en-US" w:eastAsia="zh-CN"/>
        </w:rPr>
        <w:t>费率</w:t>
      </w:r>
    </w:p>
    <w:p>
      <w:pPr>
        <w:spacing w:after="0" w:line="360" w:lineRule="auto"/>
        <w:ind w:left="60" w:firstLine="209"/>
        <w:rPr>
          <w:color w:val="auto"/>
          <w:highlight w:val="none"/>
        </w:rPr>
      </w:pPr>
      <w:r>
        <w:rPr>
          <w:rFonts w:ascii="宋体" w:hAnsi="宋体" w:eastAsia="宋体" w:cs="宋体"/>
          <w:color w:val="auto"/>
          <w:spacing w:val="-1"/>
          <w:highlight w:val="none"/>
        </w:rPr>
        <w:t>某供应商价格分</w:t>
      </w:r>
      <w:r>
        <w:rPr>
          <w:rFonts w:ascii="Calibri" w:hAnsi="Calibri" w:cs="Calibri"/>
          <w:color w:val="auto"/>
          <w:w w:val="194"/>
          <w:sz w:val="24"/>
          <w:highlight w:val="none"/>
        </w:rPr>
        <w:t>  </w:t>
      </w:r>
      <w:r>
        <w:rPr>
          <w:rFonts w:ascii="宋体" w:hAnsi="宋体" w:cs="宋体"/>
          <w:color w:val="auto"/>
          <w:spacing w:val="-1"/>
          <w:highlight w:val="none"/>
        </w:rPr>
        <w:t>=</w:t>
      </w:r>
      <w:r>
        <w:rPr>
          <w:rFonts w:ascii="Calibri" w:hAnsi="Calibri" w:cs="Calibri"/>
          <w:color w:val="auto"/>
          <w:w w:val="195"/>
          <w:sz w:val="24"/>
          <w:highlight w:val="none"/>
        </w:rPr>
        <w:t> </w:t>
      </w:r>
      <w:r>
        <w:rPr>
          <w:rFonts w:hint="eastAsia" w:ascii="Calibri" w:hAnsi="Calibri" w:cs="Calibri"/>
          <w:color w:val="auto"/>
          <w:w w:val="195"/>
          <w:sz w:val="24"/>
          <w:highlight w:val="none"/>
        </w:rPr>
        <w:t xml:space="preserve"> </w:t>
      </w:r>
      <w:r>
        <w:rPr>
          <w:rFonts w:ascii="Calibri" w:hAnsi="Calibri" w:cs="Calibri"/>
          <w:color w:val="auto"/>
          <w:w w:val="195"/>
          <w:sz w:val="24"/>
          <w:highlight w:val="none"/>
        </w:rPr>
        <w:t> </w:t>
      </w:r>
      <w:r>
        <w:rPr>
          <w:rFonts w:ascii="宋体" w:hAnsi="宋体" w:cs="宋体"/>
          <w:color w:val="auto"/>
          <w:spacing w:val="-1"/>
          <w:highlight w:val="none"/>
        </w:rPr>
        <w:t>----------------------</w:t>
      </w:r>
      <w:r>
        <w:rPr>
          <w:rFonts w:ascii="Calibri" w:hAnsi="Calibri" w:cs="Calibri"/>
          <w:color w:val="auto"/>
          <w:w w:val="193"/>
          <w:sz w:val="24"/>
          <w:highlight w:val="none"/>
        </w:rPr>
        <w:t>  </w:t>
      </w:r>
      <w:r>
        <w:rPr>
          <w:rFonts w:ascii="宋体" w:hAnsi="宋体" w:cs="宋体"/>
          <w:color w:val="auto"/>
          <w:spacing w:val="-2"/>
          <w:highlight w:val="none"/>
        </w:rPr>
        <w:t>×</w:t>
      </w:r>
      <w:r>
        <w:rPr>
          <w:rFonts w:ascii="Calibri" w:hAnsi="Calibri" w:cs="Calibri"/>
          <w:color w:val="auto"/>
          <w:w w:val="222"/>
          <w:highlight w:val="none"/>
        </w:rPr>
        <w:t> </w:t>
      </w:r>
      <w:r>
        <w:rPr>
          <w:rFonts w:hint="eastAsia" w:ascii="宋体" w:hAnsi="宋体" w:cs="宋体"/>
          <w:color w:val="auto"/>
          <w:highlight w:val="none"/>
        </w:rPr>
        <w:t>20</w:t>
      </w:r>
      <w:r>
        <w:rPr>
          <w:rFonts w:ascii="宋体" w:hAnsi="宋体" w:eastAsia="宋体" w:cs="宋体"/>
          <w:color w:val="auto"/>
          <w:spacing w:val="-2"/>
          <w:highlight w:val="none"/>
        </w:rPr>
        <w:t>分</w:t>
      </w:r>
    </w:p>
    <w:p>
      <w:pPr>
        <w:spacing w:after="0" w:line="360" w:lineRule="auto"/>
        <w:ind w:left="60" w:firstLine="2912" w:firstLineChars="1400"/>
        <w:rPr>
          <w:rFonts w:hint="eastAsia" w:eastAsia="宋体"/>
          <w:color w:val="auto"/>
          <w:highlight w:val="none"/>
          <w:lang w:eastAsia="zh-CN"/>
        </w:rPr>
      </w:pPr>
      <w:r>
        <w:rPr>
          <w:rFonts w:ascii="宋体" w:hAnsi="宋体" w:eastAsia="宋体" w:cs="宋体"/>
          <w:color w:val="auto"/>
          <w:spacing w:val="-1"/>
          <w:highlight w:val="none"/>
        </w:rPr>
        <w:t>某供应商</w:t>
      </w:r>
      <w:r>
        <w:rPr>
          <w:rFonts w:hint="eastAsia" w:ascii="宋体" w:hAnsi="宋体" w:eastAsia="宋体" w:cs="宋体"/>
          <w:color w:val="auto"/>
          <w:spacing w:val="-1"/>
          <w:highlight w:val="none"/>
        </w:rPr>
        <w:t>评标</w:t>
      </w:r>
      <w:r>
        <w:rPr>
          <w:rFonts w:hint="eastAsia" w:ascii="宋体" w:hAnsi="宋体" w:eastAsia="宋体" w:cs="宋体"/>
          <w:color w:val="auto"/>
          <w:spacing w:val="-1"/>
          <w:highlight w:val="none"/>
          <w:lang w:val="en-US" w:eastAsia="zh-CN"/>
        </w:rPr>
        <w:t>费率</w:t>
      </w:r>
    </w:p>
    <w:p>
      <w:pPr>
        <w:spacing w:after="0" w:line="360" w:lineRule="auto"/>
        <w:ind w:left="137"/>
        <w:outlineLvl w:val="0"/>
        <w:rPr>
          <w:rFonts w:ascii="宋体" w:hAnsi="宋体" w:eastAsia="宋体" w:cs="宋体"/>
          <w:color w:val="auto"/>
          <w:highlight w:val="none"/>
        </w:rPr>
      </w:pPr>
      <w:r>
        <w:rPr>
          <w:rFonts w:ascii="宋体" w:hAnsi="宋体" w:cs="宋体"/>
          <w:b/>
          <w:bCs/>
          <w:color w:val="auto"/>
          <w:position w:val="3"/>
          <w:highlight w:val="none"/>
        </w:rPr>
        <w:t>（二）技术分</w:t>
      </w:r>
      <w:r>
        <w:rPr>
          <w:rFonts w:hint="eastAsia" w:ascii="宋体" w:hAnsi="宋体" w:cs="宋体"/>
          <w:b/>
          <w:bCs/>
          <w:color w:val="auto"/>
          <w:position w:val="3"/>
          <w:highlight w:val="none"/>
        </w:rPr>
        <w:t>（监理大纲）</w:t>
      </w:r>
      <w:r>
        <w:rPr>
          <w:rFonts w:ascii="宋体" w:hAnsi="宋体" w:cs="宋体"/>
          <w:b/>
          <w:bCs/>
          <w:color w:val="auto"/>
          <w:highlight w:val="none"/>
        </w:rPr>
        <w:t>………………………………………………………………………………</w:t>
      </w:r>
      <w:r>
        <w:rPr>
          <w:rFonts w:hint="eastAsia" w:ascii="宋体" w:hAnsi="宋体" w:cs="宋体"/>
          <w:b/>
          <w:bCs/>
          <w:color w:val="auto"/>
          <w:position w:val="3"/>
          <w:highlight w:val="none"/>
        </w:rPr>
        <w:t>50</w:t>
      </w:r>
      <w:r>
        <w:rPr>
          <w:rFonts w:ascii="宋体" w:hAnsi="宋体" w:cs="宋体"/>
          <w:b/>
          <w:bCs/>
          <w:color w:val="auto"/>
          <w:position w:val="3"/>
          <w:highlight w:val="none"/>
        </w:rPr>
        <w:t>分</w:t>
      </w:r>
    </w:p>
    <w:p>
      <w:pPr>
        <w:spacing w:after="0" w:line="360" w:lineRule="auto"/>
        <w:ind w:left="137" w:firstLine="420"/>
        <w:rPr>
          <w:rFonts w:ascii="宋体" w:hAnsi="宋体" w:eastAsia="宋体" w:cs="宋体"/>
          <w:color w:val="auto"/>
          <w:highlight w:val="none"/>
        </w:rPr>
      </w:pPr>
      <w:r>
        <w:rPr>
          <w:rFonts w:hint="eastAsia" w:ascii="宋体" w:hAnsi="宋体" w:eastAsia="宋体" w:cs="宋体"/>
          <w:color w:val="auto"/>
          <w:highlight w:val="none"/>
        </w:rPr>
        <w:t>由评委在供应商所属档次独立打分，并计算各评委评审分的算术平均值。</w:t>
      </w:r>
    </w:p>
    <w:p>
      <w:pPr>
        <w:numPr>
          <w:ilvl w:val="0"/>
          <w:numId w:val="60"/>
        </w:numPr>
        <w:spacing w:after="0" w:line="360" w:lineRule="auto"/>
        <w:ind w:left="137" w:firstLine="420"/>
        <w:rPr>
          <w:rFonts w:ascii="宋体" w:hAnsi="宋体" w:eastAsia="宋体" w:cs="宋体"/>
          <w:color w:val="auto"/>
          <w:highlight w:val="none"/>
        </w:rPr>
      </w:pPr>
      <w:r>
        <w:rPr>
          <w:rFonts w:hint="eastAsia" w:ascii="宋体" w:hAnsi="宋体" w:eastAsia="宋体" w:cs="宋体"/>
          <w:color w:val="auto"/>
          <w:highlight w:val="none"/>
        </w:rPr>
        <w:t>监理机构及资源配备（满分 10 分）：</w:t>
      </w:r>
    </w:p>
    <w:p>
      <w:pPr>
        <w:spacing w:after="0"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监理机构框设置合理得 10 分，监理人员进场计划合理、完全满足监理工作需要的得 6 分；拟投入的监理设施、设备及配置满足工程监理基本要求的得3 分。</w:t>
      </w:r>
    </w:p>
    <w:p>
      <w:pPr>
        <w:spacing w:after="0" w:line="360" w:lineRule="auto"/>
        <w:ind w:left="137" w:firstLine="420"/>
        <w:rPr>
          <w:rFonts w:ascii="宋体" w:hAnsi="宋体" w:eastAsia="宋体" w:cs="宋体"/>
          <w:color w:val="auto"/>
          <w:highlight w:val="none"/>
        </w:rPr>
      </w:pPr>
      <w:r>
        <w:rPr>
          <w:rFonts w:hint="eastAsia" w:ascii="宋体" w:hAnsi="宋体" w:eastAsia="宋体" w:cs="宋体"/>
          <w:color w:val="auto"/>
          <w:highlight w:val="none"/>
        </w:rPr>
        <w:t xml:space="preserve">（2） 监理基本工作程序及主要工作方法、工作制度：施工监理基本工作程序、主要工作方法、主要工作制度完整（满分 </w:t>
      </w:r>
      <w:r>
        <w:rPr>
          <w:rFonts w:hint="eastAsia" w:ascii="宋体" w:hAnsi="宋体" w:eastAsia="宋体" w:cs="宋体"/>
          <w:color w:val="auto"/>
          <w:highlight w:val="none"/>
          <w:lang w:val="en-US" w:eastAsia="zh-CN"/>
        </w:rPr>
        <w:t>10</w:t>
      </w:r>
      <w:r>
        <w:rPr>
          <w:rFonts w:hint="eastAsia" w:ascii="宋体" w:hAnsi="宋体" w:eastAsia="宋体" w:cs="宋体"/>
          <w:color w:val="auto"/>
          <w:highlight w:val="none"/>
        </w:rPr>
        <w:t xml:space="preserve"> 分）：</w:t>
      </w:r>
    </w:p>
    <w:p>
      <w:pPr>
        <w:pStyle w:val="2"/>
        <w:ind w:firstLine="630" w:firstLineChars="300"/>
        <w:jc w:val="both"/>
        <w:rPr>
          <w:color w:val="auto"/>
          <w:highlight w:val="none"/>
        </w:rPr>
      </w:pPr>
      <w:r>
        <w:rPr>
          <w:rFonts w:hint="eastAsia" w:ascii="宋体" w:hAnsi="宋体" w:eastAsia="宋体" w:cs="宋体"/>
          <w:color w:val="auto"/>
          <w:kern w:val="2"/>
          <w:sz w:val="21"/>
          <w:szCs w:val="22"/>
          <w:highlight w:val="none"/>
        </w:rPr>
        <w:t>一档（</w:t>
      </w:r>
      <w:r>
        <w:rPr>
          <w:rFonts w:hint="eastAsia" w:ascii="宋体" w:hAnsi="宋体" w:eastAsia="宋体" w:cs="宋体"/>
          <w:color w:val="auto"/>
          <w:kern w:val="2"/>
          <w:sz w:val="21"/>
          <w:szCs w:val="22"/>
          <w:highlight w:val="none"/>
          <w:lang w:val="en-US" w:eastAsia="zh-CN"/>
        </w:rPr>
        <w:t>10</w:t>
      </w:r>
      <w:r>
        <w:rPr>
          <w:rFonts w:hint="eastAsia" w:ascii="宋体" w:hAnsi="宋体" w:eastAsia="宋体" w:cs="宋体"/>
          <w:color w:val="auto"/>
          <w:kern w:val="2"/>
          <w:sz w:val="21"/>
          <w:szCs w:val="22"/>
          <w:highlight w:val="none"/>
        </w:rPr>
        <w:t xml:space="preserve"> 分）：监理基本工作程序、主要工作方法、主要工作制度针对性强措施得力；</w:t>
      </w:r>
      <w:r>
        <w:rPr>
          <w:rFonts w:hint="eastAsia"/>
          <w:color w:val="auto"/>
          <w:highlight w:val="none"/>
        </w:rPr>
        <w:t xml:space="preserve"> </w:t>
      </w:r>
    </w:p>
    <w:p>
      <w:pPr>
        <w:pStyle w:val="2"/>
        <w:ind w:firstLine="630" w:firstLineChars="300"/>
        <w:jc w:val="both"/>
        <w:rPr>
          <w:rFonts w:ascii="宋体" w:hAnsi="宋体" w:eastAsia="宋体" w:cs="宋体"/>
          <w:color w:val="auto"/>
          <w:kern w:val="2"/>
          <w:sz w:val="21"/>
          <w:szCs w:val="22"/>
          <w:highlight w:val="none"/>
        </w:rPr>
      </w:pPr>
      <w:r>
        <w:rPr>
          <w:rFonts w:hint="eastAsia" w:ascii="宋体" w:hAnsi="宋体" w:eastAsia="宋体" w:cs="宋体"/>
          <w:color w:val="auto"/>
          <w:kern w:val="2"/>
          <w:sz w:val="21"/>
          <w:szCs w:val="22"/>
          <w:highlight w:val="none"/>
        </w:rPr>
        <w:t>二档（</w:t>
      </w:r>
      <w:r>
        <w:rPr>
          <w:rFonts w:hint="eastAsia" w:ascii="宋体" w:hAnsi="宋体" w:eastAsia="宋体" w:cs="宋体"/>
          <w:color w:val="auto"/>
          <w:kern w:val="2"/>
          <w:sz w:val="21"/>
          <w:szCs w:val="22"/>
          <w:highlight w:val="none"/>
          <w:lang w:val="en-US" w:eastAsia="zh-CN"/>
        </w:rPr>
        <w:t>6</w:t>
      </w:r>
      <w:r>
        <w:rPr>
          <w:rFonts w:hint="eastAsia" w:ascii="宋体" w:hAnsi="宋体" w:eastAsia="宋体" w:cs="宋体"/>
          <w:color w:val="auto"/>
          <w:kern w:val="2"/>
          <w:sz w:val="21"/>
          <w:szCs w:val="22"/>
          <w:highlight w:val="none"/>
        </w:rPr>
        <w:t xml:space="preserve"> 分）: 监理基本工作程序、主要工作方法、主要工作制度较好； </w:t>
      </w:r>
    </w:p>
    <w:p>
      <w:pPr>
        <w:pStyle w:val="2"/>
        <w:ind w:firstLine="630" w:firstLineChars="300"/>
        <w:jc w:val="both"/>
        <w:rPr>
          <w:rFonts w:ascii="宋体" w:hAnsi="宋体" w:eastAsia="宋体" w:cs="宋体"/>
          <w:color w:val="auto"/>
          <w:kern w:val="2"/>
          <w:sz w:val="21"/>
          <w:szCs w:val="22"/>
          <w:highlight w:val="none"/>
        </w:rPr>
      </w:pPr>
      <w:r>
        <w:rPr>
          <w:rFonts w:hint="eastAsia" w:ascii="宋体" w:hAnsi="宋体" w:eastAsia="宋体" w:cs="宋体"/>
          <w:color w:val="auto"/>
          <w:kern w:val="2"/>
          <w:sz w:val="21"/>
          <w:szCs w:val="22"/>
          <w:highlight w:val="none"/>
        </w:rPr>
        <w:t>三档（</w:t>
      </w:r>
      <w:r>
        <w:rPr>
          <w:rFonts w:hint="eastAsia" w:ascii="宋体" w:hAnsi="宋体" w:eastAsia="宋体" w:cs="宋体"/>
          <w:color w:val="auto"/>
          <w:kern w:val="2"/>
          <w:sz w:val="21"/>
          <w:szCs w:val="22"/>
          <w:highlight w:val="none"/>
          <w:lang w:val="en-US" w:eastAsia="zh-CN"/>
        </w:rPr>
        <w:t>3</w:t>
      </w:r>
      <w:r>
        <w:rPr>
          <w:rFonts w:hint="eastAsia" w:ascii="宋体" w:hAnsi="宋体" w:eastAsia="宋体" w:cs="宋体"/>
          <w:color w:val="auto"/>
          <w:kern w:val="2"/>
          <w:sz w:val="21"/>
          <w:szCs w:val="22"/>
          <w:highlight w:val="none"/>
        </w:rPr>
        <w:t xml:space="preserve">分）：监理基本工作程序、主要工作方法、主要工作制度均一般； </w:t>
      </w:r>
    </w:p>
    <w:p>
      <w:pPr>
        <w:numPr>
          <w:ilvl w:val="0"/>
          <w:numId w:val="0"/>
        </w:numPr>
        <w:spacing w:after="0" w:line="360" w:lineRule="auto"/>
        <w:ind w:left="557" w:leftChars="0"/>
        <w:rPr>
          <w:rFonts w:ascii="宋体" w:hAnsi="宋体" w:eastAsia="宋体" w:cs="宋体"/>
          <w:color w:val="auto"/>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工程质量控制措施 （满分 5 分）：</w:t>
      </w:r>
    </w:p>
    <w:p>
      <w:pPr>
        <w:spacing w:after="0" w:line="360" w:lineRule="auto"/>
        <w:ind w:left="557"/>
        <w:rPr>
          <w:rFonts w:ascii="宋体" w:hAnsi="宋体" w:eastAsia="宋体" w:cs="宋体"/>
          <w:color w:val="auto"/>
          <w:highlight w:val="none"/>
        </w:rPr>
      </w:pPr>
      <w:r>
        <w:rPr>
          <w:rFonts w:hint="eastAsia" w:ascii="宋体" w:hAnsi="宋体" w:eastAsia="宋体" w:cs="宋体"/>
          <w:color w:val="auto"/>
          <w:highlight w:val="none"/>
        </w:rPr>
        <w:t>一档 （5 分）：质量控制重点设置科学合理，相应的监理措施针对性强，能有效保证施工质量，达到承诺的质量标准。</w:t>
      </w:r>
    </w:p>
    <w:p>
      <w:pPr>
        <w:spacing w:after="0" w:line="360" w:lineRule="auto"/>
        <w:ind w:left="557"/>
        <w:rPr>
          <w:rFonts w:ascii="宋体" w:hAnsi="宋体" w:eastAsia="宋体" w:cs="宋体"/>
          <w:color w:val="auto"/>
          <w:highlight w:val="none"/>
        </w:rPr>
      </w:pPr>
      <w:r>
        <w:rPr>
          <w:rFonts w:hint="eastAsia" w:ascii="宋体" w:hAnsi="宋体" w:eastAsia="宋体" w:cs="宋体"/>
          <w:color w:val="auto"/>
          <w:highlight w:val="none"/>
        </w:rPr>
        <w:t>二档（3 分）：质量控制重点设置合理，相应的监理措施针对性一般，能保证施工质量，达到承诺的质量标准。</w:t>
      </w:r>
    </w:p>
    <w:p>
      <w:pPr>
        <w:spacing w:after="0" w:line="360" w:lineRule="auto"/>
        <w:ind w:left="557"/>
        <w:rPr>
          <w:rFonts w:ascii="宋体" w:hAnsi="宋体" w:eastAsia="宋体" w:cs="宋体"/>
          <w:color w:val="auto"/>
          <w:highlight w:val="none"/>
        </w:rPr>
      </w:pPr>
      <w:r>
        <w:rPr>
          <w:rFonts w:hint="eastAsia" w:ascii="宋体" w:hAnsi="宋体" w:eastAsia="宋体" w:cs="宋体"/>
          <w:color w:val="auto"/>
          <w:highlight w:val="none"/>
        </w:rPr>
        <w:t xml:space="preserve">三档（1 分）：质量控制重点设置一般，相应的监理措施针对性较差，不能保证施工质量，达不到承诺的质量标准。 </w:t>
      </w:r>
    </w:p>
    <w:p>
      <w:pPr>
        <w:numPr>
          <w:ilvl w:val="0"/>
          <w:numId w:val="0"/>
        </w:numPr>
        <w:spacing w:after="0" w:line="360" w:lineRule="auto"/>
        <w:ind w:left="557" w:leftChars="0"/>
        <w:rPr>
          <w:rFonts w:ascii="宋体" w:hAnsi="宋体" w:eastAsia="宋体" w:cs="宋体"/>
          <w:color w:val="auto"/>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工程进度控制措施（满分 5 分）：</w:t>
      </w:r>
    </w:p>
    <w:p>
      <w:pPr>
        <w:spacing w:after="0" w:line="360" w:lineRule="auto"/>
        <w:ind w:left="557"/>
        <w:rPr>
          <w:rFonts w:ascii="宋体" w:hAnsi="宋体" w:eastAsia="宋体" w:cs="宋体"/>
          <w:color w:val="auto"/>
          <w:highlight w:val="none"/>
        </w:rPr>
      </w:pPr>
      <w:r>
        <w:rPr>
          <w:rFonts w:hint="eastAsia" w:ascii="宋体" w:hAnsi="宋体" w:eastAsia="宋体" w:cs="宋体"/>
          <w:color w:val="auto"/>
          <w:highlight w:val="none"/>
        </w:rPr>
        <w:t>一档（5 分）：进度控制重点设置合理，有保证工期的具体监理措施且措施得当，满足本项目实际要求。</w:t>
      </w:r>
    </w:p>
    <w:p>
      <w:pPr>
        <w:spacing w:after="0" w:line="360" w:lineRule="auto"/>
        <w:ind w:left="557"/>
        <w:rPr>
          <w:rFonts w:ascii="宋体" w:hAnsi="宋体" w:eastAsia="宋体" w:cs="宋体"/>
          <w:color w:val="auto"/>
          <w:highlight w:val="none"/>
        </w:rPr>
      </w:pPr>
      <w:r>
        <w:rPr>
          <w:rFonts w:hint="eastAsia" w:ascii="宋体" w:hAnsi="宋体" w:eastAsia="宋体" w:cs="宋体"/>
          <w:color w:val="auto"/>
          <w:highlight w:val="none"/>
        </w:rPr>
        <w:t>二档（3分）：进度控制重点设置一般，有保证工期的具体监理措施，满足本项目实际要求。</w:t>
      </w:r>
    </w:p>
    <w:p>
      <w:pPr>
        <w:spacing w:after="0" w:line="360" w:lineRule="auto"/>
        <w:ind w:left="557"/>
        <w:rPr>
          <w:rFonts w:ascii="宋体" w:hAnsi="宋体" w:eastAsia="宋体" w:cs="宋体"/>
          <w:color w:val="auto"/>
          <w:highlight w:val="none"/>
        </w:rPr>
      </w:pPr>
      <w:r>
        <w:rPr>
          <w:rFonts w:hint="eastAsia" w:ascii="宋体" w:hAnsi="宋体" w:eastAsia="宋体" w:cs="宋体"/>
          <w:color w:val="auto"/>
          <w:highlight w:val="none"/>
        </w:rPr>
        <w:t xml:space="preserve">三档（1分）：进度控制重点设置较差，保证工期的具体监理措施较差，不满足本项目实际要求。 </w:t>
      </w:r>
    </w:p>
    <w:p>
      <w:pPr>
        <w:numPr>
          <w:ilvl w:val="0"/>
          <w:numId w:val="0"/>
        </w:numPr>
        <w:spacing w:after="0" w:line="360" w:lineRule="auto"/>
        <w:ind w:left="557" w:leftChars="0"/>
        <w:rPr>
          <w:rFonts w:ascii="宋体" w:hAnsi="宋体" w:eastAsia="宋体" w:cs="宋体"/>
          <w:color w:val="auto"/>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工程安全生产控制措施（满分 5 分）：</w:t>
      </w:r>
    </w:p>
    <w:p>
      <w:pPr>
        <w:spacing w:after="0" w:line="360" w:lineRule="auto"/>
        <w:ind w:left="557"/>
        <w:rPr>
          <w:rFonts w:ascii="宋体" w:hAnsi="宋体" w:eastAsia="宋体" w:cs="宋体"/>
          <w:color w:val="auto"/>
          <w:highlight w:val="none"/>
        </w:rPr>
      </w:pPr>
      <w:r>
        <w:rPr>
          <w:rFonts w:hint="eastAsia" w:ascii="宋体" w:hAnsi="宋体" w:eastAsia="宋体" w:cs="宋体"/>
          <w:color w:val="auto"/>
          <w:highlight w:val="none"/>
        </w:rPr>
        <w:t>一档（5 分）：有专门的履行安全职责措施且措施得当，满足本项目实际要求。</w:t>
      </w:r>
    </w:p>
    <w:p>
      <w:pPr>
        <w:spacing w:after="0" w:line="360" w:lineRule="auto"/>
        <w:ind w:left="557"/>
        <w:rPr>
          <w:rFonts w:ascii="宋体" w:hAnsi="宋体" w:eastAsia="宋体" w:cs="宋体"/>
          <w:color w:val="auto"/>
          <w:highlight w:val="none"/>
        </w:rPr>
      </w:pPr>
      <w:r>
        <w:rPr>
          <w:rFonts w:hint="eastAsia" w:ascii="宋体" w:hAnsi="宋体" w:eastAsia="宋体" w:cs="宋体"/>
          <w:color w:val="auto"/>
          <w:highlight w:val="none"/>
        </w:rPr>
        <w:t>二档（3分）：有专门的履行安全职责措施且措施一般，满足本项目实际要求。</w:t>
      </w:r>
    </w:p>
    <w:p>
      <w:pPr>
        <w:spacing w:after="0" w:line="360" w:lineRule="auto"/>
        <w:ind w:left="557"/>
        <w:rPr>
          <w:rFonts w:ascii="宋体" w:hAnsi="宋体" w:eastAsia="宋体" w:cs="宋体"/>
          <w:color w:val="auto"/>
          <w:highlight w:val="none"/>
        </w:rPr>
      </w:pPr>
      <w:r>
        <w:rPr>
          <w:rFonts w:hint="eastAsia" w:ascii="宋体" w:hAnsi="宋体" w:eastAsia="宋体" w:cs="宋体"/>
          <w:color w:val="auto"/>
          <w:highlight w:val="none"/>
        </w:rPr>
        <w:t xml:space="preserve">三档（1 分）：没有专门的履行安全职责措施，不满足本项目实际要求。 </w:t>
      </w:r>
    </w:p>
    <w:p>
      <w:pPr>
        <w:numPr>
          <w:ilvl w:val="0"/>
          <w:numId w:val="0"/>
        </w:numPr>
        <w:spacing w:after="0" w:line="360" w:lineRule="auto"/>
        <w:ind w:left="557" w:leftChars="0"/>
        <w:rPr>
          <w:rFonts w:ascii="宋体" w:hAnsi="宋体" w:eastAsia="宋体" w:cs="宋体"/>
          <w:color w:val="auto"/>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合同管理措施（满分 5 分）：</w:t>
      </w:r>
    </w:p>
    <w:p>
      <w:pPr>
        <w:spacing w:after="0" w:line="360" w:lineRule="auto"/>
        <w:ind w:left="557"/>
        <w:rPr>
          <w:rFonts w:ascii="宋体" w:hAnsi="宋体" w:eastAsia="宋体" w:cs="宋体"/>
          <w:color w:val="auto"/>
          <w:highlight w:val="none"/>
        </w:rPr>
      </w:pPr>
      <w:r>
        <w:rPr>
          <w:rFonts w:hint="eastAsia" w:ascii="宋体" w:hAnsi="宋体" w:eastAsia="宋体" w:cs="宋体"/>
          <w:color w:val="auto"/>
          <w:highlight w:val="none"/>
        </w:rPr>
        <w:t>一档（5 分）：有专门的合同及信息管理措施且措施得当，满足本项目实际要求。</w:t>
      </w:r>
    </w:p>
    <w:p>
      <w:pPr>
        <w:spacing w:after="0" w:line="360" w:lineRule="auto"/>
        <w:ind w:left="557"/>
        <w:rPr>
          <w:rFonts w:ascii="宋体" w:hAnsi="宋体" w:eastAsia="宋体" w:cs="宋体"/>
          <w:color w:val="auto"/>
          <w:highlight w:val="none"/>
        </w:rPr>
      </w:pPr>
      <w:r>
        <w:rPr>
          <w:rFonts w:hint="eastAsia" w:ascii="宋体" w:hAnsi="宋体" w:eastAsia="宋体" w:cs="宋体"/>
          <w:color w:val="auto"/>
          <w:highlight w:val="none"/>
        </w:rPr>
        <w:t>二档（3 分）：有专门的合同及信息管理措施且措施一般，基本满足本项目实际要求。</w:t>
      </w:r>
    </w:p>
    <w:p>
      <w:pPr>
        <w:spacing w:after="0" w:line="360" w:lineRule="auto"/>
        <w:ind w:left="557"/>
        <w:rPr>
          <w:rFonts w:ascii="宋体" w:hAnsi="宋体" w:eastAsia="宋体" w:cs="宋体"/>
          <w:color w:val="auto"/>
          <w:highlight w:val="none"/>
        </w:rPr>
      </w:pPr>
      <w:r>
        <w:rPr>
          <w:rFonts w:hint="eastAsia" w:ascii="宋体" w:hAnsi="宋体" w:eastAsia="宋体" w:cs="宋体"/>
          <w:color w:val="auto"/>
          <w:highlight w:val="none"/>
        </w:rPr>
        <w:t xml:space="preserve">三档（1 分）：有专门的合同及信息管理措施且措施较差，不满足本项目实际要求。 </w:t>
      </w:r>
    </w:p>
    <w:p>
      <w:pPr>
        <w:numPr>
          <w:ilvl w:val="0"/>
          <w:numId w:val="0"/>
        </w:numPr>
        <w:spacing w:after="0" w:line="360" w:lineRule="auto"/>
        <w:ind w:left="557" w:leftChars="0"/>
        <w:rPr>
          <w:rFonts w:ascii="宋体" w:hAnsi="宋体" w:eastAsia="宋体" w:cs="宋体"/>
          <w:color w:val="auto"/>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7</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组织协调内容及措施（满分 5 分）：</w:t>
      </w:r>
    </w:p>
    <w:p>
      <w:pPr>
        <w:spacing w:after="0" w:line="360" w:lineRule="auto"/>
        <w:ind w:left="557"/>
        <w:rPr>
          <w:rFonts w:ascii="宋体" w:hAnsi="宋体" w:eastAsia="宋体" w:cs="宋体"/>
          <w:color w:val="auto"/>
          <w:highlight w:val="none"/>
        </w:rPr>
      </w:pPr>
      <w:r>
        <w:rPr>
          <w:rFonts w:hint="eastAsia" w:ascii="宋体" w:hAnsi="宋体" w:eastAsia="宋体" w:cs="宋体"/>
          <w:color w:val="auto"/>
          <w:highlight w:val="none"/>
        </w:rPr>
        <w:t>一档（5 分）：有专门的监理工作协调措施且措施得 当，满足本项目实际要求。</w:t>
      </w:r>
    </w:p>
    <w:p>
      <w:pPr>
        <w:spacing w:after="0" w:line="360" w:lineRule="auto"/>
        <w:ind w:left="557"/>
        <w:rPr>
          <w:rFonts w:ascii="宋体" w:hAnsi="宋体" w:eastAsia="宋体" w:cs="宋体"/>
          <w:color w:val="auto"/>
          <w:highlight w:val="none"/>
        </w:rPr>
      </w:pPr>
      <w:r>
        <w:rPr>
          <w:rFonts w:hint="eastAsia" w:ascii="宋体" w:hAnsi="宋体" w:eastAsia="宋体" w:cs="宋体"/>
          <w:color w:val="auto"/>
          <w:highlight w:val="none"/>
        </w:rPr>
        <w:t>二档（3 分）：有专门的监理工作协调措施且措施一般，基本满足本项目实际要求。</w:t>
      </w:r>
    </w:p>
    <w:p>
      <w:pPr>
        <w:spacing w:after="0" w:line="360" w:lineRule="auto"/>
        <w:ind w:left="557"/>
        <w:rPr>
          <w:rFonts w:ascii="宋体" w:hAnsi="宋体" w:eastAsia="宋体" w:cs="宋体"/>
          <w:color w:val="auto"/>
          <w:highlight w:val="none"/>
        </w:rPr>
      </w:pPr>
      <w:r>
        <w:rPr>
          <w:rFonts w:hint="eastAsia" w:ascii="宋体" w:hAnsi="宋体" w:eastAsia="宋体" w:cs="宋体"/>
          <w:color w:val="auto"/>
          <w:highlight w:val="none"/>
        </w:rPr>
        <w:t xml:space="preserve">三档（1 分）：没有专门的监理工作协调监理措施，不满足本项目实际要求。 </w:t>
      </w:r>
    </w:p>
    <w:p>
      <w:pPr>
        <w:numPr>
          <w:ilvl w:val="0"/>
          <w:numId w:val="0"/>
        </w:numPr>
        <w:spacing w:after="0" w:line="360" w:lineRule="auto"/>
        <w:ind w:left="557" w:leftChars="0"/>
        <w:rPr>
          <w:rFonts w:ascii="宋体" w:hAnsi="宋体" w:eastAsia="宋体" w:cs="宋体"/>
          <w:color w:val="auto"/>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8</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工程特点、难点分析及监理对策（满分 5 分）：</w:t>
      </w:r>
    </w:p>
    <w:p>
      <w:pPr>
        <w:spacing w:after="0" w:line="360" w:lineRule="auto"/>
        <w:ind w:left="557"/>
        <w:rPr>
          <w:rFonts w:ascii="宋体" w:hAnsi="宋体" w:eastAsia="宋体" w:cs="宋体"/>
          <w:color w:val="auto"/>
          <w:highlight w:val="none"/>
        </w:rPr>
      </w:pPr>
      <w:r>
        <w:rPr>
          <w:rFonts w:hint="eastAsia" w:ascii="宋体" w:hAnsi="宋体" w:eastAsia="宋体" w:cs="宋体"/>
          <w:color w:val="auto"/>
          <w:highlight w:val="none"/>
        </w:rPr>
        <w:t>一档（5 分）：针对本工程的特点对本工程的特点和难点有深入的分析，所提出的监理对策详细且科学合理。</w:t>
      </w:r>
    </w:p>
    <w:p>
      <w:pPr>
        <w:spacing w:after="0" w:line="360" w:lineRule="auto"/>
        <w:ind w:left="557"/>
        <w:rPr>
          <w:rFonts w:ascii="宋体" w:hAnsi="宋体" w:eastAsia="宋体" w:cs="宋体"/>
          <w:color w:val="auto"/>
          <w:highlight w:val="none"/>
        </w:rPr>
      </w:pPr>
      <w:r>
        <w:rPr>
          <w:rFonts w:hint="eastAsia" w:ascii="宋体" w:hAnsi="宋体" w:eastAsia="宋体" w:cs="宋体"/>
          <w:color w:val="auto"/>
          <w:highlight w:val="none"/>
        </w:rPr>
        <w:t>二档（3 分）：针对本工程的特点对本工程的特点和难点有分析，所提出的监理对策合理。</w:t>
      </w:r>
    </w:p>
    <w:p>
      <w:pPr>
        <w:spacing w:after="0" w:line="360" w:lineRule="auto"/>
        <w:ind w:left="557"/>
        <w:rPr>
          <w:rFonts w:ascii="宋体" w:hAnsi="宋体" w:eastAsia="宋体" w:cs="宋体"/>
          <w:color w:val="auto"/>
          <w:highlight w:val="none"/>
        </w:rPr>
      </w:pPr>
      <w:r>
        <w:rPr>
          <w:rFonts w:hint="eastAsia" w:ascii="宋体" w:hAnsi="宋体" w:eastAsia="宋体" w:cs="宋体"/>
          <w:color w:val="auto"/>
          <w:highlight w:val="none"/>
        </w:rPr>
        <w:t>三档（1 分）：针对本工程的特点对本工程的特点和难点有分析，所提出的监理对策基本合理。</w:t>
      </w:r>
    </w:p>
    <w:p>
      <w:pPr>
        <w:spacing w:after="0" w:line="360" w:lineRule="auto"/>
        <w:ind w:left="137" w:firstLine="420"/>
        <w:rPr>
          <w:rFonts w:eastAsia="宋体"/>
          <w:b/>
          <w:bCs/>
          <w:color w:val="auto"/>
          <w:highlight w:val="none"/>
        </w:rPr>
      </w:pPr>
      <w:r>
        <w:rPr>
          <w:rFonts w:hint="eastAsia" w:ascii="宋体" w:hAnsi="宋体" w:eastAsia="宋体" w:cs="宋体"/>
          <w:b/>
          <w:bCs/>
          <w:color w:val="auto"/>
          <w:highlight w:val="none"/>
        </w:rPr>
        <w:t>（三）、</w:t>
      </w:r>
      <w:r>
        <w:rPr>
          <w:rFonts w:ascii="宋体" w:hAnsi="宋体" w:eastAsia="宋体" w:cs="宋体"/>
          <w:b/>
          <w:bCs/>
          <w:color w:val="auto"/>
          <w:highlight w:val="none"/>
        </w:rPr>
        <w:t>项目服务承诺</w:t>
      </w:r>
      <w:r>
        <w:rPr>
          <w:rFonts w:ascii="宋体" w:hAnsi="宋体" w:cs="宋体"/>
          <w:b/>
          <w:bCs/>
          <w:color w:val="auto"/>
          <w:highlight w:val="none"/>
        </w:rPr>
        <w:t>………………………………………………………………………………</w:t>
      </w:r>
      <w:r>
        <w:rPr>
          <w:rFonts w:ascii="Calibri" w:hAnsi="Calibri" w:cs="Calibri"/>
          <w:b/>
          <w:bCs/>
          <w:color w:val="auto"/>
          <w:spacing w:val="6"/>
          <w:highlight w:val="none"/>
        </w:rPr>
        <w:t> </w:t>
      </w:r>
      <w:r>
        <w:rPr>
          <w:rFonts w:hint="eastAsia" w:ascii="宋体" w:hAnsi="宋体" w:cs="宋体"/>
          <w:b/>
          <w:bCs/>
          <w:color w:val="auto"/>
          <w:spacing w:val="-1"/>
          <w:highlight w:val="none"/>
        </w:rPr>
        <w:t>10</w:t>
      </w:r>
      <w:r>
        <w:rPr>
          <w:rFonts w:ascii="宋体" w:hAnsi="宋体" w:eastAsia="宋体" w:cs="宋体"/>
          <w:b/>
          <w:bCs/>
          <w:color w:val="auto"/>
          <w:spacing w:val="-2"/>
          <w:highlight w:val="none"/>
        </w:rPr>
        <w:t>分</w:t>
      </w:r>
    </w:p>
    <w:p>
      <w:pPr>
        <w:spacing w:after="0" w:line="360" w:lineRule="auto"/>
        <w:ind w:left="137" w:firstLine="420"/>
        <w:rPr>
          <w:color w:val="auto"/>
          <w:highlight w:val="none"/>
        </w:rPr>
      </w:pPr>
      <w:r>
        <w:rPr>
          <w:rFonts w:ascii="宋体" w:hAnsi="宋体" w:eastAsia="宋体" w:cs="宋体"/>
          <w:color w:val="auto"/>
          <w:highlight w:val="none"/>
        </w:rPr>
        <w:t>三档</w:t>
      </w:r>
      <w:r>
        <w:rPr>
          <w:rFonts w:hint="eastAsia" w:ascii="宋体" w:hAnsi="宋体" w:eastAsia="宋体" w:cs="宋体"/>
          <w:color w:val="auto"/>
          <w:highlight w:val="none"/>
        </w:rPr>
        <w:t>（10 分）</w:t>
      </w:r>
      <w:r>
        <w:rPr>
          <w:rFonts w:ascii="宋体" w:hAnsi="宋体" w:eastAsia="宋体" w:cs="宋体"/>
          <w:color w:val="auto"/>
          <w:spacing w:val="-1"/>
          <w:highlight w:val="none"/>
        </w:rPr>
        <w:t>：提供有严格合理的质量保证体系，对整个项目质量管理有具体的保障制度和措</w:t>
      </w:r>
    </w:p>
    <w:p>
      <w:pPr>
        <w:spacing w:after="0" w:line="360" w:lineRule="auto"/>
        <w:ind w:left="137"/>
        <w:rPr>
          <w:color w:val="auto"/>
          <w:highlight w:val="none"/>
        </w:rPr>
      </w:pPr>
      <w:r>
        <w:rPr>
          <w:rFonts w:ascii="宋体" w:hAnsi="宋体" w:cs="宋体"/>
          <w:color w:val="auto"/>
          <w:spacing w:val="-1"/>
          <w:highlight w:val="none"/>
        </w:rPr>
        <w:t>施，针对性强，能很好的保证项目质量。</w:t>
      </w:r>
    </w:p>
    <w:p>
      <w:pPr>
        <w:spacing w:after="0" w:line="360" w:lineRule="auto"/>
        <w:ind w:left="137" w:firstLine="420"/>
        <w:rPr>
          <w:rFonts w:ascii="宋体" w:hAnsi="宋体" w:cs="宋体"/>
          <w:color w:val="auto"/>
          <w:spacing w:val="-1"/>
          <w:highlight w:val="none"/>
        </w:rPr>
      </w:pPr>
      <w:r>
        <w:rPr>
          <w:rFonts w:ascii="宋体" w:hAnsi="宋体" w:eastAsia="宋体" w:cs="宋体"/>
          <w:color w:val="auto"/>
          <w:spacing w:val="-2"/>
          <w:highlight w:val="none"/>
        </w:rPr>
        <w:t>二档</w:t>
      </w:r>
      <w:r>
        <w:rPr>
          <w:rFonts w:ascii="Calibri" w:hAnsi="Calibri" w:cs="Calibri"/>
          <w:color w:val="auto"/>
          <w:spacing w:val="6"/>
          <w:highlight w:val="none"/>
        </w:rPr>
        <w:t> </w:t>
      </w:r>
      <w:r>
        <w:rPr>
          <w:rFonts w:hint="eastAsia" w:ascii="宋体" w:hAnsi="宋体" w:eastAsia="宋体" w:cs="宋体"/>
          <w:color w:val="auto"/>
          <w:highlight w:val="none"/>
        </w:rPr>
        <w:t>（7分）</w:t>
      </w:r>
      <w:r>
        <w:rPr>
          <w:rFonts w:ascii="宋体" w:hAnsi="宋体" w:cs="宋体"/>
          <w:color w:val="auto"/>
          <w:spacing w:val="-1"/>
          <w:highlight w:val="none"/>
        </w:rPr>
        <w:t>：提供有较合理质量保证措施，质量保证及质量承诺符合项目需求。</w:t>
      </w:r>
    </w:p>
    <w:p>
      <w:pPr>
        <w:spacing w:after="0" w:line="360" w:lineRule="auto"/>
        <w:ind w:left="137" w:firstLine="420"/>
        <w:rPr>
          <w:color w:val="auto"/>
          <w:highlight w:val="none"/>
        </w:rPr>
      </w:pPr>
      <w:r>
        <w:rPr>
          <w:rFonts w:ascii="宋体" w:hAnsi="宋体" w:eastAsia="宋体" w:cs="宋体"/>
          <w:color w:val="auto"/>
          <w:spacing w:val="-2"/>
          <w:highlight w:val="none"/>
        </w:rPr>
        <w:t>一档</w:t>
      </w:r>
      <w:r>
        <w:rPr>
          <w:rFonts w:hint="eastAsia" w:ascii="宋体" w:hAnsi="宋体" w:eastAsia="宋体" w:cs="宋体"/>
          <w:color w:val="auto"/>
          <w:highlight w:val="none"/>
        </w:rPr>
        <w:t>（4 分）</w:t>
      </w:r>
      <w:r>
        <w:rPr>
          <w:rFonts w:ascii="宋体" w:hAnsi="宋体" w:cs="宋体"/>
          <w:color w:val="auto"/>
          <w:spacing w:val="-1"/>
          <w:highlight w:val="none"/>
        </w:rPr>
        <w:t>：提供相对简单的质量保证措施，没有针对性。</w:t>
      </w:r>
    </w:p>
    <w:p>
      <w:pPr>
        <w:spacing w:after="0" w:line="360" w:lineRule="auto"/>
        <w:ind w:left="137" w:firstLine="422" w:firstLineChars="200"/>
        <w:outlineLvl w:val="0"/>
        <w:rPr>
          <w:rFonts w:ascii="宋体" w:hAnsi="宋体" w:cs="宋体"/>
          <w:b/>
          <w:bCs/>
          <w:color w:val="auto"/>
          <w:position w:val="3"/>
          <w:highlight w:val="none"/>
        </w:rPr>
      </w:pPr>
      <w:r>
        <w:rPr>
          <w:rFonts w:ascii="宋体" w:hAnsi="宋体" w:cs="宋体"/>
          <w:b/>
          <w:bCs/>
          <w:color w:val="auto"/>
          <w:position w:val="3"/>
          <w:highlight w:val="none"/>
        </w:rPr>
        <w:t>（</w:t>
      </w:r>
      <w:r>
        <w:rPr>
          <w:rFonts w:hint="eastAsia" w:ascii="宋体" w:hAnsi="宋体" w:cs="宋体"/>
          <w:b/>
          <w:bCs/>
          <w:color w:val="auto"/>
          <w:position w:val="3"/>
          <w:highlight w:val="none"/>
        </w:rPr>
        <w:t>四</w:t>
      </w:r>
      <w:r>
        <w:rPr>
          <w:rFonts w:ascii="宋体" w:hAnsi="宋体" w:cs="宋体"/>
          <w:b/>
          <w:bCs/>
          <w:color w:val="auto"/>
          <w:position w:val="3"/>
          <w:highlight w:val="none"/>
        </w:rPr>
        <w:t>）、业绩分</w:t>
      </w:r>
      <w:r>
        <w:rPr>
          <w:rFonts w:ascii="宋体" w:hAnsi="宋体" w:cs="宋体"/>
          <w:b/>
          <w:bCs/>
          <w:color w:val="auto"/>
          <w:highlight w:val="none"/>
        </w:rPr>
        <w:t>………………………………………………………………………………………</w:t>
      </w:r>
      <w:r>
        <w:rPr>
          <w:rFonts w:hint="eastAsia" w:ascii="宋体" w:hAnsi="宋体" w:cs="宋体"/>
          <w:b/>
          <w:bCs/>
          <w:color w:val="auto"/>
          <w:position w:val="3"/>
          <w:highlight w:val="none"/>
        </w:rPr>
        <w:t>6</w:t>
      </w:r>
      <w:r>
        <w:rPr>
          <w:rFonts w:ascii="宋体" w:hAnsi="宋体" w:cs="宋体"/>
          <w:b/>
          <w:bCs/>
          <w:color w:val="auto"/>
          <w:position w:val="3"/>
          <w:highlight w:val="none"/>
        </w:rPr>
        <w:t>分</w:t>
      </w:r>
    </w:p>
    <w:p>
      <w:pPr>
        <w:spacing w:line="500" w:lineRule="exact"/>
        <w:ind w:firstLine="420" w:firstLineChars="200"/>
        <w:rPr>
          <w:rFonts w:hint="eastAsia" w:ascii="宋体" w:hAnsi="宋体" w:eastAsia="宋体" w:cs="Times New Roman"/>
          <w:color w:val="auto"/>
          <w:sz w:val="24"/>
          <w:szCs w:val="24"/>
          <w:highlight w:val="none"/>
        </w:rPr>
      </w:pPr>
      <w:r>
        <w:rPr>
          <w:rFonts w:hint="eastAsia" w:ascii="宋体" w:hAnsi="宋体" w:eastAsia="宋体" w:cs="宋体"/>
          <w:color w:val="auto"/>
          <w:szCs w:val="21"/>
          <w:highlight w:val="none"/>
        </w:rPr>
        <w:t>供应商在最近5年内（从2014年1月起至今）承接过类似公路工程监理业绩的按一个合同段</w:t>
      </w:r>
      <w:r>
        <w:rPr>
          <w:rFonts w:ascii="宋体" w:hAnsi="宋体" w:eastAsia="宋体" w:cs="宋体"/>
          <w:color w:val="auto"/>
          <w:szCs w:val="21"/>
          <w:highlight w:val="none"/>
        </w:rPr>
        <w:t>独立完成</w:t>
      </w:r>
      <w:r>
        <w:rPr>
          <w:rFonts w:hint="eastAsia" w:ascii="宋体" w:hAnsi="宋体" w:eastAsia="宋体" w:cs="宋体"/>
          <w:color w:val="auto"/>
          <w:szCs w:val="21"/>
          <w:highlight w:val="none"/>
        </w:rPr>
        <w:t>过30公里的三级公路工程或20公里的二级公路工程或10公里的一级公路工程或5公里的高速公路的施工监理任务，每个得</w:t>
      </w:r>
      <w:r>
        <w:rPr>
          <w:rFonts w:ascii="宋体" w:hAnsi="宋体" w:eastAsia="宋体" w:cs="宋体"/>
          <w:color w:val="auto"/>
          <w:szCs w:val="21"/>
          <w:highlight w:val="none"/>
        </w:rPr>
        <w:t>2</w:t>
      </w:r>
      <w:r>
        <w:rPr>
          <w:rFonts w:hint="eastAsia" w:ascii="宋体" w:hAnsi="宋体" w:eastAsia="宋体" w:cs="宋体"/>
          <w:color w:val="auto"/>
          <w:szCs w:val="21"/>
          <w:highlight w:val="none"/>
        </w:rPr>
        <w:t>分，满分</w:t>
      </w:r>
      <w:r>
        <w:rPr>
          <w:rFonts w:ascii="宋体" w:hAnsi="宋体" w:eastAsia="宋体" w:cs="宋体"/>
          <w:color w:val="auto"/>
          <w:szCs w:val="21"/>
          <w:highlight w:val="none"/>
        </w:rPr>
        <w:t>6</w:t>
      </w:r>
      <w:r>
        <w:rPr>
          <w:rFonts w:hint="eastAsia" w:ascii="宋体" w:hAnsi="宋体" w:eastAsia="宋体" w:cs="宋体"/>
          <w:color w:val="auto"/>
          <w:szCs w:val="21"/>
          <w:highlight w:val="none"/>
        </w:rPr>
        <w:t>分；（需提供中标通知书或施工监理合同协议书）</w:t>
      </w:r>
    </w:p>
    <w:p>
      <w:pPr>
        <w:spacing w:after="0" w:line="360" w:lineRule="auto"/>
        <w:ind w:left="137" w:firstLine="211" w:firstLineChars="100"/>
        <w:outlineLvl w:val="0"/>
        <w:rPr>
          <w:rFonts w:ascii="宋体" w:hAnsi="宋体" w:cs="宋体"/>
          <w:b/>
          <w:bCs/>
          <w:color w:val="auto"/>
          <w:position w:val="3"/>
          <w:highlight w:val="none"/>
        </w:rPr>
      </w:pPr>
      <w:r>
        <w:rPr>
          <w:rFonts w:ascii="宋体" w:hAnsi="宋体" w:cs="宋体"/>
          <w:b/>
          <w:bCs/>
          <w:color w:val="auto"/>
          <w:position w:val="3"/>
          <w:highlight w:val="none"/>
        </w:rPr>
        <w:t>（</w:t>
      </w:r>
      <w:r>
        <w:rPr>
          <w:rFonts w:hint="eastAsia" w:ascii="宋体" w:hAnsi="宋体" w:cs="宋体"/>
          <w:b/>
          <w:bCs/>
          <w:color w:val="auto"/>
          <w:position w:val="3"/>
          <w:highlight w:val="none"/>
        </w:rPr>
        <w:t>五</w:t>
      </w:r>
      <w:r>
        <w:rPr>
          <w:rFonts w:ascii="宋体" w:hAnsi="宋体" w:cs="宋体"/>
          <w:b/>
          <w:bCs/>
          <w:color w:val="auto"/>
          <w:position w:val="3"/>
          <w:highlight w:val="none"/>
        </w:rPr>
        <w:t>）、</w:t>
      </w:r>
      <w:r>
        <w:rPr>
          <w:rFonts w:hint="eastAsia" w:ascii="宋体" w:hAnsi="宋体" w:cs="宋体"/>
          <w:b/>
          <w:bCs/>
          <w:color w:val="auto"/>
          <w:position w:val="3"/>
          <w:highlight w:val="none"/>
        </w:rPr>
        <w:t>企业</w:t>
      </w:r>
      <w:r>
        <w:rPr>
          <w:rFonts w:ascii="宋体" w:hAnsi="宋体" w:cs="宋体"/>
          <w:b/>
          <w:bCs/>
          <w:color w:val="auto"/>
          <w:position w:val="3"/>
          <w:highlight w:val="none"/>
        </w:rPr>
        <w:t>信誉</w:t>
      </w:r>
      <w:r>
        <w:rPr>
          <w:rFonts w:hint="eastAsia" w:ascii="宋体" w:hAnsi="宋体" w:cs="宋体"/>
          <w:b/>
          <w:bCs/>
          <w:color w:val="auto"/>
          <w:position w:val="3"/>
          <w:highlight w:val="none"/>
        </w:rPr>
        <w:t>及能力</w:t>
      </w:r>
      <w:r>
        <w:rPr>
          <w:rFonts w:ascii="宋体" w:hAnsi="宋体" w:cs="宋体"/>
          <w:b/>
          <w:bCs/>
          <w:color w:val="auto"/>
          <w:highlight w:val="none"/>
        </w:rPr>
        <w:t>………………………………………………………………………………</w:t>
      </w:r>
      <w:r>
        <w:rPr>
          <w:rFonts w:ascii="宋体" w:hAnsi="宋体" w:cs="宋体"/>
          <w:b/>
          <w:bCs/>
          <w:color w:val="auto"/>
          <w:position w:val="3"/>
          <w:highlight w:val="none"/>
        </w:rPr>
        <w:t>1</w:t>
      </w:r>
      <w:r>
        <w:rPr>
          <w:rFonts w:hint="eastAsia" w:ascii="宋体" w:hAnsi="宋体" w:cs="宋体"/>
          <w:b/>
          <w:bCs/>
          <w:color w:val="auto"/>
          <w:position w:val="3"/>
          <w:highlight w:val="none"/>
        </w:rPr>
        <w:t>4</w:t>
      </w:r>
      <w:r>
        <w:rPr>
          <w:rFonts w:ascii="宋体" w:hAnsi="宋体" w:cs="宋体"/>
          <w:b/>
          <w:bCs/>
          <w:color w:val="auto"/>
          <w:position w:val="3"/>
          <w:highlight w:val="none"/>
        </w:rPr>
        <w:t>分</w:t>
      </w:r>
    </w:p>
    <w:p>
      <w:pPr>
        <w:widowControl/>
        <w:spacing w:after="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①供应商获得质量管理体系认证、职业健康安全管理体系认证、供应商获得环境管理体系认证的每项1分，满分3分。</w:t>
      </w:r>
    </w:p>
    <w:p>
      <w:pPr>
        <w:spacing w:after="0"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②供应商</w:t>
      </w:r>
      <w:r>
        <w:rPr>
          <w:rFonts w:hint="eastAsia" w:ascii="宋体" w:hAnsi="宋体" w:cs="宋体"/>
          <w:color w:val="auto"/>
          <w:szCs w:val="21"/>
          <w:highlight w:val="none"/>
          <w:lang w:val="en-US" w:eastAsia="zh-CN"/>
        </w:rPr>
        <w:t>2018</w:t>
      </w:r>
      <w:r>
        <w:rPr>
          <w:rFonts w:hint="eastAsia" w:ascii="宋体" w:hAnsi="宋体" w:cs="宋体"/>
          <w:color w:val="auto"/>
          <w:szCs w:val="21"/>
          <w:highlight w:val="none"/>
        </w:rPr>
        <w:t>年有列入“全国公路建设市场信用信息管理系统”网站（</w:t>
      </w:r>
      <w:r>
        <w:rPr>
          <w:color w:val="auto"/>
          <w:highlight w:val="none"/>
        </w:rPr>
        <w:fldChar w:fldCharType="begin"/>
      </w:r>
      <w:r>
        <w:rPr>
          <w:color w:val="auto"/>
          <w:highlight w:val="none"/>
        </w:rPr>
        <w:instrText xml:space="preserve"> HYPERLINK "https://glxy.mot.gov.cn" </w:instrText>
      </w:r>
      <w:r>
        <w:rPr>
          <w:color w:val="auto"/>
          <w:highlight w:val="none"/>
        </w:rPr>
        <w:fldChar w:fldCharType="separate"/>
      </w:r>
      <w:r>
        <w:rPr>
          <w:rFonts w:ascii="宋体" w:hAnsi="宋体" w:cs="宋体"/>
          <w:color w:val="auto"/>
          <w:szCs w:val="21"/>
          <w:highlight w:val="none"/>
        </w:rPr>
        <w:t>https://glxy.mot.gov.cn</w:t>
      </w:r>
      <w:r>
        <w:rPr>
          <w:rFonts w:ascii="宋体" w:hAnsi="宋体" w:cs="宋体"/>
          <w:color w:val="auto"/>
          <w:szCs w:val="21"/>
          <w:highlight w:val="none"/>
        </w:rPr>
        <w:fldChar w:fldCharType="end"/>
      </w:r>
      <w:r>
        <w:rPr>
          <w:rFonts w:hint="eastAsia" w:ascii="宋体" w:hAnsi="宋体" w:cs="宋体"/>
          <w:color w:val="auto"/>
          <w:szCs w:val="21"/>
          <w:highlight w:val="none"/>
        </w:rPr>
        <w:t>）全国公路从业单位信用评价等级为A级及以上的每年得2分，满分</w:t>
      </w:r>
      <w:r>
        <w:rPr>
          <w:rFonts w:ascii="宋体" w:hAnsi="宋体" w:cs="宋体"/>
          <w:color w:val="auto"/>
          <w:szCs w:val="21"/>
          <w:highlight w:val="none"/>
        </w:rPr>
        <w:t>4</w:t>
      </w:r>
      <w:r>
        <w:rPr>
          <w:rFonts w:hint="eastAsia" w:ascii="宋体" w:hAnsi="宋体" w:cs="宋体"/>
          <w:color w:val="auto"/>
          <w:szCs w:val="21"/>
          <w:highlight w:val="none"/>
        </w:rPr>
        <w:t>分。(以“全国公路建设市场信用信息管理系统”网站下载的信用信息结果为依据)</w:t>
      </w:r>
      <w:r>
        <w:rPr>
          <w:rFonts w:ascii="宋体" w:hAnsi="宋体" w:cs="宋体"/>
          <w:color w:val="auto"/>
          <w:szCs w:val="21"/>
          <w:highlight w:val="none"/>
        </w:rPr>
        <w:t>。</w:t>
      </w:r>
    </w:p>
    <w:p>
      <w:pPr>
        <w:pStyle w:val="8"/>
        <w:spacing w:line="360" w:lineRule="auto"/>
        <w:ind w:firstLine="420" w:firstLineChars="200"/>
        <w:rPr>
          <w:rFonts w:hint="eastAsia" w:ascii="宋体" w:hAnsi="宋体"/>
          <w:color w:val="auto"/>
          <w:szCs w:val="21"/>
          <w:highlight w:val="none"/>
        </w:rPr>
      </w:pPr>
      <w:r>
        <w:rPr>
          <w:color w:val="auto"/>
          <w:highlight w:val="none"/>
        </w:rPr>
        <w:fldChar w:fldCharType="begin"/>
      </w:r>
      <w:r>
        <w:rPr>
          <w:color w:val="auto"/>
          <w:highlight w:val="none"/>
        </w:rPr>
        <w:instrText xml:space="preserve"> </w:instrText>
      </w:r>
      <w:r>
        <w:rPr>
          <w:rFonts w:hint="eastAsia"/>
          <w:color w:val="auto"/>
          <w:highlight w:val="none"/>
        </w:rPr>
        <w:instrText xml:space="preserve">= 3 \* GB3</w:instrText>
      </w:r>
      <w:r>
        <w:rPr>
          <w:color w:val="auto"/>
          <w:highlight w:val="none"/>
        </w:rPr>
        <w:instrText xml:space="preserve"> </w:instrText>
      </w:r>
      <w:r>
        <w:rPr>
          <w:color w:val="auto"/>
          <w:highlight w:val="none"/>
        </w:rPr>
        <w:fldChar w:fldCharType="separate"/>
      </w:r>
      <w:r>
        <w:rPr>
          <w:rFonts w:hint="eastAsia"/>
          <w:color w:val="auto"/>
          <w:highlight w:val="none"/>
        </w:rPr>
        <w:t>③</w:t>
      </w:r>
      <w:r>
        <w:rPr>
          <w:color w:val="auto"/>
          <w:highlight w:val="none"/>
        </w:rPr>
        <w:fldChar w:fldCharType="end"/>
      </w:r>
      <w:r>
        <w:rPr>
          <w:rFonts w:hint="eastAsia"/>
          <w:color w:val="auto"/>
          <w:szCs w:val="21"/>
          <w:highlight w:val="none"/>
        </w:rPr>
        <w:t>投标人具有诚信企业家、AAA级诚信供应商企业、AAA级诚信经营示范单位、AAA级质量服务诚信企业、AAA级重合同守信用企业、AAA级企业资信等级、AAA级企业信用等级的，每项加1分，满分7分。</w:t>
      </w:r>
    </w:p>
    <w:p>
      <w:pPr>
        <w:spacing w:after="0" w:line="360" w:lineRule="auto"/>
        <w:outlineLvl w:val="0"/>
        <w:rPr>
          <w:rFonts w:ascii="宋体" w:hAnsi="宋体" w:cs="宋体"/>
          <w:b/>
          <w:bCs/>
          <w:color w:val="auto"/>
          <w:position w:val="3"/>
          <w:highlight w:val="none"/>
        </w:rPr>
      </w:pPr>
    </w:p>
    <w:p>
      <w:pPr>
        <w:spacing w:after="0" w:line="360" w:lineRule="auto"/>
        <w:ind w:left="137"/>
        <w:outlineLvl w:val="0"/>
        <w:rPr>
          <w:b/>
          <w:bCs/>
          <w:color w:val="auto"/>
          <w:highlight w:val="none"/>
        </w:rPr>
      </w:pPr>
      <w:r>
        <w:rPr>
          <w:rFonts w:ascii="宋体" w:hAnsi="宋体" w:cs="宋体"/>
          <w:b/>
          <w:bCs/>
          <w:color w:val="auto"/>
          <w:position w:val="3"/>
          <w:highlight w:val="none"/>
        </w:rPr>
        <w:t>（</w:t>
      </w:r>
      <w:r>
        <w:rPr>
          <w:rFonts w:hint="eastAsia" w:ascii="宋体" w:hAnsi="宋体" w:cs="宋体"/>
          <w:b/>
          <w:bCs/>
          <w:color w:val="auto"/>
          <w:position w:val="3"/>
          <w:highlight w:val="none"/>
        </w:rPr>
        <w:t>六</w:t>
      </w:r>
      <w:r>
        <w:rPr>
          <w:rFonts w:ascii="宋体" w:hAnsi="宋体" w:cs="宋体"/>
          <w:b/>
          <w:bCs/>
          <w:color w:val="auto"/>
          <w:position w:val="3"/>
          <w:highlight w:val="none"/>
        </w:rPr>
        <w:t>）、总得分＝（一）＋（二）＋（三）+（</w:t>
      </w:r>
      <w:r>
        <w:rPr>
          <w:rFonts w:ascii="宋体" w:hAnsi="宋体" w:eastAsia="宋体" w:cs="宋体"/>
          <w:b/>
          <w:bCs/>
          <w:color w:val="auto"/>
          <w:position w:val="3"/>
          <w:highlight w:val="none"/>
        </w:rPr>
        <w:t>四）</w:t>
      </w:r>
      <w:r>
        <w:rPr>
          <w:rFonts w:ascii="宋体" w:hAnsi="宋体" w:cs="宋体"/>
          <w:b/>
          <w:bCs/>
          <w:color w:val="auto"/>
          <w:position w:val="3"/>
          <w:highlight w:val="none"/>
        </w:rPr>
        <w:t>+（</w:t>
      </w:r>
      <w:r>
        <w:rPr>
          <w:rFonts w:hint="eastAsia" w:ascii="宋体" w:hAnsi="宋体" w:cs="宋体"/>
          <w:b/>
          <w:bCs/>
          <w:color w:val="auto"/>
          <w:position w:val="3"/>
          <w:highlight w:val="none"/>
        </w:rPr>
        <w:t>五</w:t>
      </w:r>
      <w:r>
        <w:rPr>
          <w:rFonts w:ascii="宋体" w:hAnsi="宋体" w:cs="宋体"/>
          <w:b/>
          <w:bCs/>
          <w:color w:val="auto"/>
          <w:position w:val="3"/>
          <w:highlight w:val="none"/>
        </w:rPr>
        <w:t>）</w:t>
      </w:r>
    </w:p>
    <w:p>
      <w:pPr>
        <w:spacing w:after="0" w:line="240" w:lineRule="exact"/>
        <w:ind w:left="137"/>
        <w:rPr>
          <w:color w:val="auto"/>
          <w:highlight w:val="none"/>
        </w:rPr>
      </w:pPr>
    </w:p>
    <w:p>
      <w:pPr>
        <w:spacing w:after="0" w:line="225" w:lineRule="exact"/>
        <w:ind w:left="137" w:firstLine="420"/>
        <w:rPr>
          <w:color w:val="auto"/>
          <w:highlight w:val="none"/>
        </w:rPr>
      </w:pPr>
      <w:r>
        <w:rPr>
          <w:rFonts w:ascii="宋体" w:hAnsi="宋体" w:cs="宋体"/>
          <w:color w:val="auto"/>
          <w:highlight w:val="none"/>
        </w:rPr>
        <w:t>三、成交候选人推荐原则</w:t>
      </w:r>
    </w:p>
    <w:p>
      <w:pPr>
        <w:spacing w:after="0" w:line="240" w:lineRule="exact"/>
        <w:ind w:left="137" w:firstLine="420"/>
        <w:rPr>
          <w:color w:val="auto"/>
          <w:highlight w:val="none"/>
        </w:rPr>
      </w:pPr>
    </w:p>
    <w:p>
      <w:pPr>
        <w:spacing w:after="0" w:line="259" w:lineRule="exact"/>
        <w:ind w:left="137" w:firstLine="420"/>
        <w:rPr>
          <w:color w:val="auto"/>
          <w:highlight w:val="none"/>
        </w:rPr>
      </w:pPr>
      <w:r>
        <w:rPr>
          <w:rFonts w:ascii="宋体" w:hAnsi="宋体" w:eastAsia="宋体" w:cs="宋体"/>
          <w:color w:val="auto"/>
          <w:spacing w:val="-1"/>
          <w:highlight w:val="none"/>
        </w:rPr>
        <w:t>1.磋商小组应当根据综合评分情况，按照评审得分由高到低顺序推荐</w:t>
      </w:r>
      <w:r>
        <w:rPr>
          <w:rFonts w:ascii="Calibri" w:hAnsi="Calibri" w:cs="Calibri"/>
          <w:color w:val="auto"/>
          <w:spacing w:val="4"/>
          <w:highlight w:val="none"/>
        </w:rPr>
        <w:t> </w:t>
      </w:r>
      <w:r>
        <w:rPr>
          <w:rFonts w:ascii="宋体" w:hAnsi="宋体" w:cs="宋体"/>
          <w:color w:val="auto"/>
          <w:spacing w:val="-1"/>
          <w:highlight w:val="none"/>
        </w:rPr>
        <w:t>3</w:t>
      </w:r>
      <w:r>
        <w:rPr>
          <w:rFonts w:ascii="Calibri" w:hAnsi="Calibri" w:cs="Calibri"/>
          <w:color w:val="auto"/>
          <w:spacing w:val="5"/>
          <w:highlight w:val="none"/>
        </w:rPr>
        <w:t> </w:t>
      </w:r>
      <w:r>
        <w:rPr>
          <w:rFonts w:ascii="宋体" w:hAnsi="宋体" w:eastAsia="宋体" w:cs="宋体"/>
          <w:color w:val="auto"/>
          <w:spacing w:val="-2"/>
          <w:highlight w:val="none"/>
        </w:rPr>
        <w:t>名成交候选供应商，并</w:t>
      </w:r>
    </w:p>
    <w:p>
      <w:pPr>
        <w:spacing w:after="0" w:line="240" w:lineRule="exact"/>
        <w:ind w:left="137" w:firstLine="420"/>
        <w:rPr>
          <w:color w:val="auto"/>
          <w:highlight w:val="none"/>
        </w:rPr>
      </w:pPr>
    </w:p>
    <w:p>
      <w:pPr>
        <w:spacing w:after="0" w:line="262" w:lineRule="exact"/>
        <w:ind w:left="137"/>
        <w:rPr>
          <w:color w:val="auto"/>
          <w:highlight w:val="none"/>
        </w:rPr>
      </w:pPr>
      <w:r>
        <w:rPr>
          <w:rFonts w:ascii="宋体" w:hAnsi="宋体" w:cs="宋体"/>
          <w:color w:val="auto"/>
          <w:spacing w:val="-1"/>
          <w:highlight w:val="none"/>
        </w:rPr>
        <w:t>编写评审报告。评审得分相同的，以磋商响应报价由低到高顺序排列；若得分相同且响应报价相同</w:t>
      </w:r>
    </w:p>
    <w:p>
      <w:pPr>
        <w:spacing w:after="0" w:line="240" w:lineRule="exact"/>
        <w:ind w:left="137"/>
        <w:rPr>
          <w:color w:val="auto"/>
          <w:highlight w:val="none"/>
        </w:rPr>
      </w:pPr>
    </w:p>
    <w:p>
      <w:pPr>
        <w:spacing w:after="0" w:line="259" w:lineRule="exact"/>
        <w:ind w:left="137"/>
        <w:rPr>
          <w:color w:val="auto"/>
          <w:highlight w:val="none"/>
        </w:rPr>
      </w:pPr>
      <w:r>
        <w:rPr>
          <w:rFonts w:ascii="宋体" w:hAnsi="宋体" w:cs="宋体"/>
          <w:color w:val="auto"/>
          <w:spacing w:val="-4"/>
          <w:highlight w:val="none"/>
        </w:rPr>
        <w:t>的，按照最终报价由低到高的顺序推荐；若仍相同的，按照</w:t>
      </w:r>
      <w:r>
        <w:rPr>
          <w:rFonts w:hint="eastAsia" w:ascii="宋体" w:hAnsi="宋体" w:cs="宋体"/>
          <w:color w:val="auto"/>
          <w:spacing w:val="-4"/>
          <w:highlight w:val="none"/>
        </w:rPr>
        <w:t>监理大纲</w:t>
      </w:r>
      <w:r>
        <w:rPr>
          <w:rFonts w:ascii="宋体" w:hAnsi="宋体" w:cs="宋体"/>
          <w:color w:val="auto"/>
          <w:spacing w:val="-4"/>
          <w:highlight w:val="none"/>
        </w:rPr>
        <w:t>（技术方案）优劣顺序推荐。</w:t>
      </w:r>
    </w:p>
    <w:p>
      <w:pPr>
        <w:spacing w:after="0" w:line="240" w:lineRule="exact"/>
        <w:ind w:left="137"/>
        <w:rPr>
          <w:color w:val="auto"/>
          <w:highlight w:val="none"/>
        </w:rPr>
      </w:pPr>
    </w:p>
    <w:p>
      <w:pPr>
        <w:spacing w:after="0" w:line="259" w:lineRule="exact"/>
        <w:ind w:left="137" w:firstLine="420"/>
        <w:rPr>
          <w:color w:val="auto"/>
          <w:highlight w:val="none"/>
        </w:rPr>
      </w:pPr>
      <w:r>
        <w:rPr>
          <w:rFonts w:ascii="宋体" w:hAnsi="宋体" w:eastAsia="宋体" w:cs="宋体"/>
          <w:color w:val="auto"/>
          <w:spacing w:val="-1"/>
          <w:highlight w:val="none"/>
        </w:rPr>
        <w:t>2.第一名供应商放弃成交或因不可抗力等原因提出不能履行合同，采购单位可以确定排名次位</w:t>
      </w:r>
    </w:p>
    <w:p>
      <w:pPr>
        <w:spacing w:after="0" w:line="240" w:lineRule="exact"/>
        <w:ind w:left="137" w:firstLine="420"/>
        <w:rPr>
          <w:color w:val="auto"/>
          <w:highlight w:val="none"/>
        </w:rPr>
      </w:pPr>
    </w:p>
    <w:p>
      <w:pPr>
        <w:spacing w:after="0" w:line="262" w:lineRule="exact"/>
        <w:ind w:left="137"/>
        <w:rPr>
          <w:color w:val="auto"/>
          <w:highlight w:val="none"/>
        </w:rPr>
      </w:pPr>
      <w:r>
        <w:rPr>
          <w:rFonts w:ascii="宋体" w:hAnsi="宋体" w:cs="宋体"/>
          <w:color w:val="auto"/>
          <w:spacing w:val="-4"/>
          <w:highlight w:val="none"/>
        </w:rPr>
        <w:t>的供应商为成交人，以此类推。但确定为成交人的供应商放弃成交时，采购人也可以重新开展磋商。</w:t>
      </w:r>
    </w:p>
    <w:p>
      <w:pPr>
        <w:spacing w:after="0" w:line="240" w:lineRule="exact"/>
        <w:rPr>
          <w:color w:val="auto"/>
          <w:highlight w:val="none"/>
        </w:rPr>
      </w:pPr>
      <w:bookmarkStart w:id="78" w:name="32"/>
      <w:bookmarkEnd w:id="78"/>
    </w:p>
    <w:p>
      <w:pPr>
        <w:spacing w:after="0" w:line="268" w:lineRule="exact"/>
        <w:ind w:left="60" w:firstLine="420"/>
        <w:rPr>
          <w:color w:val="auto"/>
          <w:highlight w:val="none"/>
        </w:rPr>
      </w:pPr>
      <w:r>
        <w:rPr>
          <w:rFonts w:ascii="宋体" w:hAnsi="宋体" w:eastAsia="宋体" w:cs="宋体"/>
          <w:color w:val="auto"/>
          <w:spacing w:val="-1"/>
          <w:highlight w:val="none"/>
        </w:rPr>
        <w:t>3.磋商小组认为，某供应商的有效响应报价或者某些分项报价明显不合理或者低于成本，有可</w:t>
      </w:r>
    </w:p>
    <w:p>
      <w:pPr>
        <w:spacing w:after="0" w:line="240" w:lineRule="exact"/>
        <w:ind w:left="60" w:firstLine="420"/>
        <w:rPr>
          <w:color w:val="auto"/>
          <w:highlight w:val="none"/>
        </w:rPr>
      </w:pPr>
    </w:p>
    <w:p>
      <w:pPr>
        <w:spacing w:after="0" w:line="262" w:lineRule="exact"/>
        <w:ind w:left="60"/>
        <w:rPr>
          <w:color w:val="auto"/>
          <w:highlight w:val="none"/>
        </w:rPr>
      </w:pPr>
      <w:r>
        <w:rPr>
          <w:rFonts w:ascii="宋体" w:hAnsi="宋体" w:eastAsia="宋体" w:cs="宋体"/>
          <w:color w:val="auto"/>
          <w:spacing w:val="-1"/>
          <w:highlight w:val="none"/>
        </w:rPr>
        <w:t>能影响商品质量和不能诚信履约的，应要求其在规定的期限内提供书面文件予以解释说明，并提交</w:t>
      </w:r>
    </w:p>
    <w:p>
      <w:pPr>
        <w:spacing w:after="0" w:line="240" w:lineRule="exact"/>
        <w:ind w:left="60"/>
        <w:rPr>
          <w:color w:val="auto"/>
          <w:highlight w:val="none"/>
        </w:rPr>
      </w:pPr>
    </w:p>
    <w:p>
      <w:pPr>
        <w:spacing w:after="0" w:line="259" w:lineRule="exact"/>
        <w:ind w:left="60"/>
        <w:rPr>
          <w:color w:val="auto"/>
          <w:highlight w:val="none"/>
        </w:rPr>
      </w:pPr>
      <w:r>
        <w:rPr>
          <w:rFonts w:ascii="宋体" w:hAnsi="宋体" w:eastAsia="宋体" w:cs="宋体"/>
          <w:color w:val="auto"/>
          <w:spacing w:val="-1"/>
          <w:highlight w:val="none"/>
        </w:rPr>
        <w:t>相关证明材料，否则，磋商小组可以取消该供应商的成交候选资格，按顺序由排在其后面的供应商</w:t>
      </w:r>
    </w:p>
    <w:p>
      <w:pPr>
        <w:spacing w:after="0" w:line="240" w:lineRule="exact"/>
        <w:ind w:left="60"/>
        <w:rPr>
          <w:color w:val="auto"/>
          <w:highlight w:val="none"/>
        </w:rPr>
      </w:pPr>
    </w:p>
    <w:p>
      <w:pPr>
        <w:spacing w:after="0" w:line="259" w:lineRule="exact"/>
        <w:ind w:left="60"/>
        <w:rPr>
          <w:color w:val="auto"/>
          <w:highlight w:val="none"/>
        </w:rPr>
      </w:pPr>
      <w:r>
        <w:rPr>
          <w:rFonts w:ascii="宋体" w:hAnsi="宋体" w:cs="宋体"/>
          <w:color w:val="auto"/>
          <w:spacing w:val="-1"/>
          <w:highlight w:val="none"/>
        </w:rPr>
        <w:t>递补，以此类推。</w:t>
      </w:r>
    </w:p>
    <w:p>
      <w:pPr>
        <w:widowControl/>
        <w:rPr>
          <w:color w:val="auto"/>
          <w:highlight w:val="none"/>
        </w:rPr>
        <w:sectPr>
          <w:type w:val="continuous"/>
          <w:pgSz w:w="11906" w:h="16838"/>
          <w:pgMar w:top="535" w:right="1020" w:bottom="295" w:left="1380" w:header="0" w:footer="0" w:gutter="0"/>
          <w:cols w:equalWidth="0" w:num="1">
            <w:col w:w="9506"/>
          </w:cols>
          <w:docGrid w:type="lines" w:linePitch="312" w:charSpace="0"/>
        </w:sectPr>
      </w:pPr>
    </w:p>
    <w:p>
      <w:pPr>
        <w:spacing w:after="0" w:line="240" w:lineRule="exact"/>
        <w:ind w:left="60"/>
        <w:rPr>
          <w:color w:val="auto"/>
          <w:highlight w:val="none"/>
        </w:rPr>
      </w:pPr>
      <w:bookmarkStart w:id="79" w:name="33"/>
      <w:bookmarkEnd w:id="79"/>
    </w:p>
    <w:p>
      <w:pPr>
        <w:spacing w:after="0" w:line="582" w:lineRule="exact"/>
        <w:ind w:left="60" w:firstLine="2494"/>
        <w:rPr>
          <w:color w:val="auto"/>
          <w:highlight w:val="none"/>
        </w:rPr>
      </w:pPr>
      <w:r>
        <w:rPr>
          <w:rFonts w:ascii="宋体" w:hAnsi="宋体" w:eastAsia="宋体" w:cs="宋体"/>
          <w:color w:val="auto"/>
          <w:sz w:val="44"/>
          <w:highlight w:val="none"/>
        </w:rPr>
        <w:t>第五章</w:t>
      </w:r>
      <w:r>
        <w:rPr>
          <w:rFonts w:ascii="Calibri" w:hAnsi="Calibri" w:cs="Calibri"/>
          <w:color w:val="auto"/>
          <w:w w:val="224"/>
          <w:sz w:val="44"/>
          <w:highlight w:val="none"/>
        </w:rPr>
        <w:t> </w:t>
      </w:r>
      <w:r>
        <w:rPr>
          <w:rFonts w:ascii="宋体" w:hAnsi="宋体" w:eastAsia="宋体" w:cs="宋体"/>
          <w:color w:val="auto"/>
          <w:sz w:val="44"/>
          <w:highlight w:val="none"/>
        </w:rPr>
        <w:t>响应文件格式</w:t>
      </w:r>
    </w:p>
    <w:p>
      <w:pPr>
        <w:spacing w:after="0" w:line="240" w:lineRule="exact"/>
        <w:ind w:left="60" w:firstLine="2494"/>
        <w:rPr>
          <w:color w:val="auto"/>
          <w:highlight w:val="none"/>
        </w:rPr>
      </w:pPr>
    </w:p>
    <w:p>
      <w:pPr>
        <w:spacing w:after="0" w:line="240" w:lineRule="exact"/>
        <w:ind w:left="60" w:firstLine="2494"/>
        <w:rPr>
          <w:color w:val="auto"/>
          <w:highlight w:val="none"/>
        </w:rPr>
      </w:pPr>
    </w:p>
    <w:p>
      <w:pPr>
        <w:spacing w:after="0" w:line="240" w:lineRule="exact"/>
        <w:ind w:left="60" w:firstLine="2494"/>
        <w:rPr>
          <w:color w:val="auto"/>
          <w:highlight w:val="none"/>
        </w:rPr>
      </w:pPr>
    </w:p>
    <w:p>
      <w:pPr>
        <w:spacing w:after="0" w:line="591" w:lineRule="exact"/>
        <w:ind w:left="60" w:firstLine="180"/>
        <w:rPr>
          <w:color w:val="auto"/>
          <w:highlight w:val="none"/>
        </w:rPr>
      </w:pPr>
      <w:r>
        <w:rPr>
          <w:rFonts w:ascii="Cambria" w:hAnsi="Cambria" w:cs="Cambria"/>
          <w:color w:val="auto"/>
          <w:sz w:val="32"/>
          <w:highlight w:val="none"/>
        </w:rPr>
        <w:t>1.</w:t>
      </w:r>
      <w:r>
        <w:rPr>
          <w:rFonts w:ascii="宋体" w:hAnsi="宋体" w:eastAsia="宋体" w:cs="宋体"/>
          <w:color w:val="auto"/>
          <w:spacing w:val="-1"/>
          <w:position w:val="6"/>
          <w:sz w:val="32"/>
          <w:highlight w:val="none"/>
        </w:rPr>
        <w:t>响应文件封面格式：</w:t>
      </w:r>
    </w:p>
    <w:p>
      <w:pPr>
        <w:widowControl/>
        <w:rPr>
          <w:color w:val="auto"/>
          <w:highlight w:val="none"/>
        </w:rPr>
        <w:sectPr>
          <w:type w:val="continuous"/>
          <w:pgSz w:w="11906" w:h="16839"/>
          <w:pgMar w:top="535" w:right="1020" w:bottom="295" w:left="1380" w:header="0" w:footer="0" w:gutter="0"/>
          <w:cols w:equalWidth="0" w:num="1">
            <w:col w:w="9506"/>
          </w:cols>
          <w:docGrid w:type="lines" w:linePitch="312" w:charSpace="0"/>
        </w:sectPr>
      </w:pPr>
    </w:p>
    <w:p>
      <w:pPr>
        <w:spacing w:after="0" w:line="240" w:lineRule="exact"/>
        <w:ind w:left="60" w:firstLine="180"/>
        <w:rPr>
          <w:color w:val="auto"/>
          <w:highlight w:val="none"/>
        </w:rPr>
      </w:pPr>
    </w:p>
    <w:p>
      <w:pPr>
        <w:spacing w:after="0" w:line="240" w:lineRule="exact"/>
        <w:ind w:left="60" w:firstLine="180"/>
        <w:rPr>
          <w:color w:val="auto"/>
          <w:highlight w:val="none"/>
        </w:rPr>
      </w:pPr>
    </w:p>
    <w:p>
      <w:pPr>
        <w:spacing w:after="0" w:line="240" w:lineRule="exact"/>
        <w:ind w:left="60" w:firstLine="180"/>
        <w:rPr>
          <w:color w:val="auto"/>
          <w:highlight w:val="none"/>
        </w:rPr>
      </w:pPr>
    </w:p>
    <w:p>
      <w:pPr>
        <w:spacing w:after="0" w:line="240" w:lineRule="exact"/>
        <w:ind w:left="60" w:firstLine="180"/>
        <w:rPr>
          <w:color w:val="auto"/>
          <w:highlight w:val="none"/>
        </w:rPr>
      </w:pPr>
    </w:p>
    <w:p>
      <w:pPr>
        <w:spacing w:after="0" w:line="378" w:lineRule="exact"/>
        <w:ind w:left="60" w:firstLine="180"/>
        <w:rPr>
          <w:color w:val="auto"/>
          <w:highlight w:val="none"/>
        </w:rPr>
      </w:pPr>
    </w:p>
    <w:p>
      <w:pPr>
        <w:widowControl/>
        <w:rPr>
          <w:color w:val="auto"/>
          <w:highlight w:val="none"/>
        </w:rPr>
        <w:sectPr>
          <w:type w:val="continuous"/>
          <w:pgSz w:w="11906" w:h="16839"/>
          <w:pgMar w:top="535" w:right="1020" w:bottom="295" w:left="1380" w:header="0" w:footer="0" w:gutter="0"/>
          <w:cols w:space="720" w:num="1"/>
          <w:docGrid w:type="lines" w:linePitch="312" w:charSpace="0"/>
        </w:sectPr>
      </w:pPr>
    </w:p>
    <w:p>
      <w:pPr>
        <w:spacing w:after="0" w:line="361" w:lineRule="exact"/>
        <w:ind w:left="6720"/>
        <w:rPr>
          <w:color w:val="auto"/>
          <w:highlight w:val="none"/>
        </w:rPr>
      </w:pPr>
      <w:r>
        <w:rPr>
          <w:rFonts w:ascii="宋体" w:hAnsi="宋体" w:eastAsia="宋体" w:cs="宋体"/>
          <w:color w:val="auto"/>
          <w:spacing w:val="-1"/>
          <w:sz w:val="36"/>
          <w:highlight w:val="none"/>
        </w:rPr>
        <w:t>正/副</w:t>
      </w:r>
      <w:r>
        <w:rPr>
          <w:rFonts w:ascii="Calibri" w:hAnsi="Calibri" w:cs="Calibri"/>
          <w:color w:val="auto"/>
          <w:w w:val="221"/>
          <w:sz w:val="36"/>
          <w:highlight w:val="none"/>
        </w:rPr>
        <w:t> </w:t>
      </w:r>
      <w:r>
        <w:rPr>
          <w:rFonts w:ascii="宋体" w:hAnsi="宋体" w:eastAsia="宋体" w:cs="宋体"/>
          <w:color w:val="auto"/>
          <w:spacing w:val="-1"/>
          <w:sz w:val="36"/>
          <w:highlight w:val="none"/>
        </w:rPr>
        <w:t>本</w:t>
      </w:r>
    </w:p>
    <w:p>
      <w:pPr>
        <w:widowControl/>
        <w:rPr>
          <w:color w:val="auto"/>
          <w:highlight w:val="none"/>
        </w:rPr>
        <w:sectPr>
          <w:type w:val="continuous"/>
          <w:pgSz w:w="11906" w:h="16839"/>
          <w:pgMar w:top="535" w:right="1020" w:bottom="295" w:left="1380" w:header="0" w:footer="0" w:gutter="0"/>
          <w:cols w:equalWidth="0" w:num="1">
            <w:col w:w="9506"/>
          </w:cols>
          <w:docGrid w:type="lines" w:linePitch="312" w:charSpace="0"/>
        </w:sectPr>
      </w:pPr>
    </w:p>
    <w:p>
      <w:pPr>
        <w:spacing w:after="0" w:line="240" w:lineRule="exact"/>
        <w:ind w:left="6720"/>
        <w:rPr>
          <w:color w:val="auto"/>
          <w:highlight w:val="none"/>
        </w:rPr>
      </w:pPr>
    </w:p>
    <w:p>
      <w:pPr>
        <w:spacing w:after="0" w:line="240" w:lineRule="exact"/>
        <w:ind w:left="6720"/>
        <w:rPr>
          <w:color w:val="auto"/>
          <w:highlight w:val="none"/>
        </w:rPr>
      </w:pPr>
    </w:p>
    <w:p>
      <w:pPr>
        <w:spacing w:after="0" w:line="240" w:lineRule="exact"/>
        <w:ind w:left="6720"/>
        <w:rPr>
          <w:color w:val="auto"/>
          <w:highlight w:val="none"/>
        </w:rPr>
      </w:pPr>
    </w:p>
    <w:p>
      <w:pPr>
        <w:spacing w:after="0" w:line="240" w:lineRule="exact"/>
        <w:ind w:left="6720"/>
        <w:rPr>
          <w:color w:val="auto"/>
          <w:highlight w:val="none"/>
        </w:rPr>
      </w:pPr>
    </w:p>
    <w:p>
      <w:pPr>
        <w:spacing w:after="0" w:line="240" w:lineRule="exact"/>
        <w:ind w:left="6720"/>
        <w:rPr>
          <w:color w:val="auto"/>
          <w:highlight w:val="none"/>
        </w:rPr>
      </w:pPr>
    </w:p>
    <w:p>
      <w:pPr>
        <w:spacing w:after="0" w:line="240" w:lineRule="exact"/>
        <w:ind w:left="6720"/>
        <w:rPr>
          <w:color w:val="auto"/>
          <w:highlight w:val="none"/>
        </w:rPr>
      </w:pPr>
    </w:p>
    <w:p>
      <w:pPr>
        <w:spacing w:after="0" w:line="240" w:lineRule="exact"/>
        <w:ind w:left="6720"/>
        <w:rPr>
          <w:color w:val="auto"/>
          <w:highlight w:val="none"/>
        </w:rPr>
      </w:pPr>
    </w:p>
    <w:p>
      <w:pPr>
        <w:spacing w:after="0" w:line="240" w:lineRule="exact"/>
        <w:ind w:left="6720"/>
        <w:rPr>
          <w:color w:val="auto"/>
          <w:highlight w:val="none"/>
        </w:rPr>
      </w:pPr>
    </w:p>
    <w:p>
      <w:pPr>
        <w:spacing w:after="0" w:line="450" w:lineRule="exact"/>
        <w:ind w:left="6720"/>
        <w:rPr>
          <w:color w:val="auto"/>
          <w:highlight w:val="none"/>
        </w:rPr>
      </w:pPr>
    </w:p>
    <w:p>
      <w:pPr>
        <w:widowControl/>
        <w:rPr>
          <w:color w:val="auto"/>
          <w:highlight w:val="none"/>
        </w:rPr>
        <w:sectPr>
          <w:type w:val="continuous"/>
          <w:pgSz w:w="11906" w:h="16839"/>
          <w:pgMar w:top="535" w:right="1020" w:bottom="295" w:left="1380" w:header="0" w:footer="0" w:gutter="0"/>
          <w:cols w:space="720" w:num="1"/>
          <w:docGrid w:type="lines" w:linePitch="312" w:charSpace="0"/>
        </w:sectPr>
      </w:pPr>
    </w:p>
    <w:p>
      <w:pPr>
        <w:spacing w:after="0" w:line="722" w:lineRule="exact"/>
        <w:ind w:left="1318"/>
        <w:rPr>
          <w:color w:val="auto"/>
          <w:highlight w:val="none"/>
        </w:rPr>
      </w:pPr>
      <w:r>
        <w:rPr>
          <w:rFonts w:ascii="宋体" w:hAnsi="宋体" w:eastAsia="宋体" w:cs="宋体"/>
          <w:color w:val="auto"/>
          <w:spacing w:val="-1"/>
          <w:sz w:val="72"/>
          <w:highlight w:val="none"/>
        </w:rPr>
        <w:t>竞争性磋商响应文件</w:t>
      </w:r>
    </w:p>
    <w:p>
      <w:pPr>
        <w:spacing w:after="0" w:line="240" w:lineRule="exact"/>
        <w:ind w:left="1318"/>
        <w:rPr>
          <w:color w:val="auto"/>
          <w:highlight w:val="none"/>
        </w:rPr>
      </w:pPr>
    </w:p>
    <w:p>
      <w:pPr>
        <w:spacing w:after="0" w:line="240" w:lineRule="exact"/>
        <w:ind w:left="1318"/>
        <w:rPr>
          <w:color w:val="auto"/>
          <w:highlight w:val="none"/>
        </w:rPr>
      </w:pPr>
    </w:p>
    <w:p>
      <w:pPr>
        <w:spacing w:after="0" w:line="240" w:lineRule="exact"/>
        <w:ind w:left="1318"/>
        <w:rPr>
          <w:color w:val="auto"/>
          <w:highlight w:val="none"/>
        </w:rPr>
      </w:pPr>
    </w:p>
    <w:p>
      <w:pPr>
        <w:spacing w:after="0" w:line="462" w:lineRule="exact"/>
        <w:ind w:left="1318"/>
        <w:rPr>
          <w:color w:val="auto"/>
          <w:highlight w:val="none"/>
        </w:rPr>
      </w:pPr>
    </w:p>
    <w:p>
      <w:pPr>
        <w:spacing w:after="0" w:line="320" w:lineRule="exact"/>
        <w:ind w:left="1318" w:firstLine="1303"/>
        <w:rPr>
          <w:color w:val="auto"/>
          <w:highlight w:val="none"/>
        </w:rPr>
      </w:pPr>
      <w:r>
        <w:rPr>
          <w:rFonts w:hint="eastAsia" w:ascii="宋体" w:hAnsi="宋体" w:eastAsia="宋体" w:cs="宋体"/>
          <w:color w:val="auto"/>
          <w:spacing w:val="-1"/>
          <w:sz w:val="32"/>
          <w:highlight w:val="none"/>
        </w:rPr>
        <w:t>项目名称</w:t>
      </w:r>
      <w:r>
        <w:rPr>
          <w:rFonts w:ascii="宋体" w:hAnsi="宋体" w:eastAsia="宋体" w:cs="宋体"/>
          <w:color w:val="auto"/>
          <w:spacing w:val="-1"/>
          <w:sz w:val="32"/>
          <w:highlight w:val="none"/>
        </w:rPr>
        <w:t>：</w:t>
      </w:r>
    </w:p>
    <w:p>
      <w:pPr>
        <w:spacing w:after="0" w:line="179" w:lineRule="exact"/>
        <w:ind w:left="1318" w:firstLine="1303"/>
        <w:rPr>
          <w:color w:val="auto"/>
          <w:highlight w:val="none"/>
        </w:rPr>
      </w:pPr>
    </w:p>
    <w:p>
      <w:pPr>
        <w:spacing w:after="0" w:line="320" w:lineRule="exact"/>
        <w:ind w:left="1318" w:firstLine="1303"/>
        <w:rPr>
          <w:color w:val="auto"/>
          <w:highlight w:val="none"/>
        </w:rPr>
      </w:pPr>
      <w:r>
        <w:rPr>
          <w:rFonts w:hint="eastAsia" w:ascii="宋体" w:hAnsi="宋体" w:eastAsia="宋体" w:cs="宋体"/>
          <w:color w:val="auto"/>
          <w:spacing w:val="-1"/>
          <w:sz w:val="32"/>
          <w:highlight w:val="none"/>
        </w:rPr>
        <w:t>项目编号</w:t>
      </w:r>
      <w:r>
        <w:rPr>
          <w:rFonts w:ascii="宋体" w:hAnsi="宋体" w:eastAsia="宋体" w:cs="宋体"/>
          <w:color w:val="auto"/>
          <w:spacing w:val="-1"/>
          <w:sz w:val="32"/>
          <w:highlight w:val="none"/>
        </w:rPr>
        <w:t>：</w:t>
      </w:r>
    </w:p>
    <w:p>
      <w:pPr>
        <w:widowControl/>
        <w:rPr>
          <w:color w:val="auto"/>
          <w:highlight w:val="none"/>
        </w:rPr>
        <w:sectPr>
          <w:type w:val="continuous"/>
          <w:pgSz w:w="11906" w:h="16839"/>
          <w:pgMar w:top="535" w:right="1020" w:bottom="295" w:left="1380" w:header="0" w:footer="0" w:gutter="0"/>
          <w:cols w:equalWidth="0" w:num="1">
            <w:col w:w="9506"/>
          </w:cols>
          <w:docGrid w:type="lines" w:linePitch="312" w:charSpace="0"/>
        </w:sectPr>
      </w:pPr>
    </w:p>
    <w:p>
      <w:pPr>
        <w:spacing w:after="0" w:line="240" w:lineRule="exact"/>
        <w:ind w:left="1318" w:firstLine="1303"/>
        <w:rPr>
          <w:color w:val="auto"/>
          <w:highlight w:val="none"/>
        </w:rPr>
      </w:pPr>
    </w:p>
    <w:p>
      <w:pPr>
        <w:spacing w:after="0" w:line="240" w:lineRule="exact"/>
        <w:ind w:left="1318" w:firstLine="1303"/>
        <w:rPr>
          <w:color w:val="auto"/>
          <w:highlight w:val="none"/>
        </w:rPr>
      </w:pPr>
    </w:p>
    <w:p>
      <w:pPr>
        <w:spacing w:after="0" w:line="240" w:lineRule="exact"/>
        <w:ind w:left="1318" w:firstLine="1303"/>
        <w:rPr>
          <w:color w:val="auto"/>
          <w:highlight w:val="none"/>
        </w:rPr>
      </w:pPr>
    </w:p>
    <w:p>
      <w:pPr>
        <w:spacing w:after="0" w:line="240" w:lineRule="exact"/>
        <w:ind w:left="1318" w:firstLine="1303"/>
        <w:rPr>
          <w:color w:val="auto"/>
          <w:highlight w:val="none"/>
        </w:rPr>
      </w:pPr>
    </w:p>
    <w:p>
      <w:pPr>
        <w:spacing w:after="0" w:line="240" w:lineRule="exact"/>
        <w:ind w:left="1318" w:firstLine="1303"/>
        <w:rPr>
          <w:color w:val="auto"/>
          <w:highlight w:val="none"/>
        </w:rPr>
      </w:pPr>
    </w:p>
    <w:p>
      <w:pPr>
        <w:spacing w:after="0" w:line="240" w:lineRule="exact"/>
        <w:ind w:left="1318" w:firstLine="1303"/>
        <w:rPr>
          <w:color w:val="auto"/>
          <w:highlight w:val="none"/>
        </w:rPr>
      </w:pPr>
    </w:p>
    <w:p>
      <w:pPr>
        <w:spacing w:after="0" w:line="240" w:lineRule="exact"/>
        <w:ind w:left="1318" w:firstLine="1303"/>
        <w:rPr>
          <w:color w:val="auto"/>
          <w:highlight w:val="none"/>
        </w:rPr>
      </w:pPr>
    </w:p>
    <w:p>
      <w:pPr>
        <w:spacing w:after="0" w:line="240" w:lineRule="exact"/>
        <w:ind w:left="1318" w:firstLine="1303"/>
        <w:rPr>
          <w:color w:val="auto"/>
          <w:highlight w:val="none"/>
        </w:rPr>
      </w:pPr>
    </w:p>
    <w:p>
      <w:pPr>
        <w:spacing w:after="0" w:line="261" w:lineRule="exact"/>
        <w:ind w:left="1318" w:firstLine="1303"/>
        <w:rPr>
          <w:color w:val="auto"/>
          <w:highlight w:val="none"/>
        </w:rPr>
      </w:pPr>
    </w:p>
    <w:p>
      <w:pPr>
        <w:widowControl/>
        <w:rPr>
          <w:color w:val="auto"/>
          <w:highlight w:val="none"/>
        </w:rPr>
        <w:sectPr>
          <w:type w:val="continuous"/>
          <w:pgSz w:w="11906" w:h="16839"/>
          <w:pgMar w:top="535" w:right="1020" w:bottom="295" w:left="1380" w:header="0" w:footer="0" w:gutter="0"/>
          <w:cols w:space="720" w:num="1"/>
          <w:docGrid w:type="lines" w:linePitch="312" w:charSpace="0"/>
        </w:sectPr>
      </w:pPr>
    </w:p>
    <w:p>
      <w:pPr>
        <w:spacing w:after="0" w:line="320" w:lineRule="exact"/>
        <w:ind w:left="859"/>
        <w:rPr>
          <w:color w:val="auto"/>
          <w:highlight w:val="none"/>
        </w:rPr>
      </w:pPr>
      <w:r>
        <w:rPr>
          <w:rFonts w:ascii="宋体" w:hAnsi="宋体" w:eastAsia="宋体" w:cs="宋体"/>
          <w:color w:val="auto"/>
          <w:spacing w:val="-1"/>
          <w:sz w:val="32"/>
          <w:highlight w:val="none"/>
        </w:rPr>
        <w:t>供应商：</w:t>
      </w:r>
    </w:p>
    <w:p>
      <w:pPr>
        <w:spacing w:after="0" w:line="179" w:lineRule="exact"/>
        <w:ind w:left="859"/>
        <w:rPr>
          <w:color w:val="auto"/>
          <w:highlight w:val="none"/>
        </w:rPr>
      </w:pPr>
    </w:p>
    <w:p>
      <w:pPr>
        <w:spacing w:after="0" w:line="320" w:lineRule="exact"/>
        <w:ind w:left="859"/>
        <w:rPr>
          <w:color w:val="auto"/>
          <w:highlight w:val="none"/>
        </w:rPr>
      </w:pPr>
      <w:r>
        <w:rPr>
          <w:rFonts w:ascii="宋体" w:hAnsi="宋体" w:eastAsia="宋体" w:cs="宋体"/>
          <w:color w:val="auto"/>
          <w:spacing w:val="-1"/>
          <w:sz w:val="32"/>
          <w:highlight w:val="none"/>
        </w:rPr>
        <w:t>法定代表人或其委托代理人：</w:t>
      </w:r>
    </w:p>
    <w:p>
      <w:pPr>
        <w:spacing w:after="0" w:line="240" w:lineRule="exact"/>
        <w:ind w:left="859"/>
        <w:rPr>
          <w:color w:val="auto"/>
          <w:highlight w:val="none"/>
        </w:rPr>
      </w:pPr>
    </w:p>
    <w:p>
      <w:pPr>
        <w:spacing w:after="0" w:line="441" w:lineRule="exact"/>
        <w:ind w:left="859"/>
        <w:rPr>
          <w:color w:val="auto"/>
          <w:highlight w:val="none"/>
        </w:rPr>
      </w:pPr>
    </w:p>
    <w:p>
      <w:pPr>
        <w:tabs>
          <w:tab w:val="left" w:pos="4478"/>
          <w:tab w:val="left" w:pos="5597"/>
          <w:tab w:val="left" w:pos="6718"/>
        </w:tabs>
        <w:spacing w:after="0" w:line="320" w:lineRule="exact"/>
        <w:ind w:left="859" w:firstLine="1219"/>
        <w:rPr>
          <w:color w:val="auto"/>
          <w:highlight w:val="none"/>
        </w:rPr>
      </w:pPr>
      <w:r>
        <w:rPr>
          <w:rFonts w:ascii="宋体" w:hAnsi="宋体" w:eastAsia="宋体" w:cs="宋体"/>
          <w:color w:val="auto"/>
          <w:spacing w:val="-1"/>
          <w:sz w:val="32"/>
          <w:highlight w:val="none"/>
        </w:rPr>
        <w:t>日期</w:t>
      </w:r>
      <w:r>
        <w:rPr>
          <w:rFonts w:ascii="宋体" w:hAnsi="宋体" w:eastAsia="宋体" w:cs="宋体"/>
          <w:color w:val="auto"/>
          <w:spacing w:val="-2"/>
          <w:sz w:val="32"/>
          <w:highlight w:val="none"/>
        </w:rPr>
        <w:t>：</w:t>
      </w:r>
      <w:r>
        <w:rPr>
          <w:rFonts w:cs="Calibri"/>
          <w:color w:val="auto"/>
          <w:highlight w:val="none"/>
        </w:rPr>
        <w:tab/>
      </w:r>
      <w:r>
        <w:rPr>
          <w:rFonts w:ascii="宋体" w:hAnsi="宋体" w:eastAsia="宋体" w:cs="宋体"/>
          <w:color w:val="auto"/>
          <w:spacing w:val="-2"/>
          <w:sz w:val="32"/>
          <w:highlight w:val="none"/>
        </w:rPr>
        <w:t>年</w:t>
      </w:r>
      <w:r>
        <w:rPr>
          <w:rFonts w:cs="Calibri"/>
          <w:color w:val="auto"/>
          <w:highlight w:val="none"/>
        </w:rPr>
        <w:tab/>
      </w:r>
      <w:r>
        <w:rPr>
          <w:rFonts w:ascii="宋体" w:hAnsi="宋体" w:eastAsia="宋体" w:cs="宋体"/>
          <w:color w:val="auto"/>
          <w:spacing w:val="-2"/>
          <w:sz w:val="32"/>
          <w:highlight w:val="none"/>
        </w:rPr>
        <w:t>月</w:t>
      </w:r>
      <w:r>
        <w:rPr>
          <w:rFonts w:cs="Calibri"/>
          <w:color w:val="auto"/>
          <w:highlight w:val="none"/>
        </w:rPr>
        <w:tab/>
      </w:r>
      <w:r>
        <w:rPr>
          <w:rFonts w:ascii="宋体" w:hAnsi="宋体" w:eastAsia="宋体" w:cs="宋体"/>
          <w:color w:val="auto"/>
          <w:spacing w:val="-2"/>
          <w:sz w:val="32"/>
          <w:highlight w:val="none"/>
        </w:rPr>
        <w:t>日</w:t>
      </w:r>
    </w:p>
    <w:p>
      <w:pPr>
        <w:widowControl/>
        <w:rPr>
          <w:color w:val="auto"/>
          <w:highlight w:val="none"/>
        </w:rPr>
        <w:sectPr>
          <w:type w:val="continuous"/>
          <w:pgSz w:w="11906" w:h="16839"/>
          <w:pgMar w:top="535" w:right="1020" w:bottom="295" w:left="1380" w:header="0" w:footer="0" w:gutter="0"/>
          <w:cols w:equalWidth="0" w:num="1">
            <w:col w:w="9506"/>
          </w:cols>
          <w:docGrid w:type="lines" w:linePitch="312" w:charSpace="0"/>
        </w:sectPr>
      </w:pPr>
    </w:p>
    <w:p>
      <w:pPr>
        <w:spacing w:after="0" w:line="240" w:lineRule="exact"/>
        <w:ind w:left="859" w:firstLine="1219"/>
        <w:rPr>
          <w:color w:val="auto"/>
          <w:highlight w:val="none"/>
        </w:rPr>
      </w:pPr>
    </w:p>
    <w:p>
      <w:pPr>
        <w:spacing w:after="0" w:line="240" w:lineRule="exact"/>
        <w:ind w:left="859" w:firstLine="1219"/>
        <w:rPr>
          <w:color w:val="auto"/>
          <w:highlight w:val="none"/>
        </w:rPr>
      </w:pPr>
    </w:p>
    <w:p>
      <w:pPr>
        <w:spacing w:after="0" w:line="240" w:lineRule="exact"/>
        <w:ind w:left="859" w:firstLine="1219"/>
        <w:rPr>
          <w:color w:val="auto"/>
          <w:highlight w:val="none"/>
        </w:rPr>
      </w:pPr>
    </w:p>
    <w:p>
      <w:pPr>
        <w:spacing w:after="0" w:line="240" w:lineRule="exact"/>
        <w:ind w:left="859" w:firstLine="1219"/>
        <w:rPr>
          <w:color w:val="auto"/>
          <w:highlight w:val="none"/>
        </w:rPr>
      </w:pPr>
    </w:p>
    <w:p>
      <w:pPr>
        <w:spacing w:after="0" w:line="371" w:lineRule="exact"/>
        <w:ind w:left="859" w:firstLine="1219"/>
        <w:rPr>
          <w:color w:val="auto"/>
          <w:highlight w:val="none"/>
        </w:rPr>
      </w:pPr>
    </w:p>
    <w:p>
      <w:pPr>
        <w:widowControl/>
        <w:rPr>
          <w:color w:val="auto"/>
          <w:highlight w:val="none"/>
        </w:rPr>
        <w:sectPr>
          <w:type w:val="continuous"/>
          <w:pgSz w:w="11906" w:h="16839"/>
          <w:pgMar w:top="535" w:right="1020" w:bottom="295" w:left="1380" w:header="0" w:footer="0" w:gutter="0"/>
          <w:cols w:space="720" w:num="1"/>
          <w:docGrid w:type="lines" w:linePitch="312" w:charSpace="0"/>
        </w:sectPr>
      </w:pPr>
    </w:p>
    <w:p>
      <w:pPr>
        <w:widowControl/>
        <w:rPr>
          <w:color w:val="auto"/>
          <w:highlight w:val="none"/>
        </w:rPr>
        <w:sectPr>
          <w:type w:val="continuous"/>
          <w:pgSz w:w="11906" w:h="16839"/>
          <w:pgMar w:top="535" w:right="1020" w:bottom="295" w:left="1380" w:header="0" w:footer="0" w:gutter="0"/>
          <w:cols w:equalWidth="0" w:num="1">
            <w:col w:w="9506"/>
          </w:cols>
          <w:docGrid w:type="lines" w:linePitch="312" w:charSpace="0"/>
        </w:sectPr>
      </w:pPr>
    </w:p>
    <w:p>
      <w:pPr>
        <w:tabs>
          <w:tab w:val="left" w:pos="3120"/>
        </w:tabs>
        <w:spacing w:after="0" w:line="241" w:lineRule="exact"/>
        <w:ind w:left="60"/>
        <w:rPr>
          <w:color w:val="auto"/>
          <w:highlight w:val="none"/>
        </w:rPr>
      </w:pPr>
      <w:bookmarkStart w:id="80" w:name="34"/>
      <w:bookmarkEnd w:id="80"/>
      <w:r>
        <w:rPr>
          <w:color w:val="auto"/>
          <w:highlight w:val="none"/>
        </w:rPr>
        <mc:AlternateContent>
          <mc:Choice Requires="wps">
            <w:drawing>
              <wp:anchor distT="0" distB="0" distL="114300" distR="114300" simplePos="0" relativeHeight="251655168" behindDoc="0" locked="0" layoutInCell="1" allowOverlap="1">
                <wp:simplePos x="0" y="0"/>
                <wp:positionH relativeFrom="page">
                  <wp:posOffset>914400</wp:posOffset>
                </wp:positionH>
                <wp:positionV relativeFrom="page">
                  <wp:posOffset>533400</wp:posOffset>
                </wp:positionV>
                <wp:extent cx="5713095" cy="8890"/>
                <wp:effectExtent l="0" t="0" r="0" b="0"/>
                <wp:wrapNone/>
                <wp:docPr id="1" name="自选图形 69"/>
                <wp:cNvGraphicFramePr/>
                <a:graphic xmlns:a="http://schemas.openxmlformats.org/drawingml/2006/main">
                  <a:graphicData uri="http://schemas.microsoft.com/office/word/2010/wordprocessingShape">
                    <wps:wsp>
                      <wps:cNvSpPr/>
                      <wps:spPr>
                        <a:xfrm>
                          <a:off x="0" y="0"/>
                          <a:ext cx="5713095" cy="8890"/>
                        </a:xfrm>
                        <a:custGeom>
                          <a:avLst/>
                          <a:gdLst/>
                          <a:ahLst/>
                          <a:cxnLst/>
                          <a:rect l="0" t="0" r="0" b="0"/>
                          <a:pathLst/>
                        </a:custGeom>
                        <a:noFill/>
                        <a:ln>
                          <a:noFill/>
                        </a:ln>
                      </wps:spPr>
                      <wps:bodyPr upright="1"/>
                    </wps:wsp>
                  </a:graphicData>
                </a:graphic>
              </wp:anchor>
            </w:drawing>
          </mc:Choice>
          <mc:Fallback>
            <w:pict>
              <v:shape id="自选图形 69" o:spid="_x0000_s1026" o:spt="100" style="position:absolute;left:0pt;margin-left:72pt;margin-top:42pt;height:0.7pt;width:449.85pt;mso-position-horizontal-relative:page;mso-position-vertical-relative:page;z-index:251655168;mso-width-relative:page;mso-height-relative:page;" filled="f" stroked="f" coordsize="5713095,8890" o:gfxdata="UEsDBAoAAAAAAIdO4kAAAAAAAAAAAAAAAAAEAAAAZHJzL1BLAwQUAAAACACHTuJAVKW3ldcAAAAK&#10;AQAADwAAAGRycy9kb3ducmV2LnhtbE2PS0/DMBCE70j8B2uRuFE71ECVxumBh7gh0SB6deJNnBLb&#10;Uew++PdsTvS0mt3R7DfF5uwGdsQp9sEryBYCGPommN53Cr6qt7sVsJi0N3oIHhX8YoRNeX1V6NyE&#10;k//E4zZ1jEJ8zLUCm9KYcx4bi07HRRjR060Nk9OJ5NRxM+kThbuB3wvxyJ3uPX2wesRni83P9uAU&#10;vLQi2vfvul1mcf9R7dpK8te9Urc3mVgDS3hO/2aY8QkdSmKqw8GbyAbSUlKXpGA1z9kg5PIJWE2b&#10;Bwm8LPhlhfIPUEsDBBQAAAAIAIdO4kCT9UvalQEAAC0DAAAOAAAAZHJzL2Uyb0RvYy54bWytUjtO&#10;AzEQ7ZG4g+WeeAMKJKtsaFBoECAFDmC8dtbS+iPbyW46OsQZ6Ci5A9wmEtyCsfPhJ1EgGns8Hr+Z&#10;956Hx62q0Zw7L40ucLeTYcQ1M6XU0wJfX433+hj5QHVJa6N5gRfc4+PR7s6wsTnfN5WpS+4QgGif&#10;N7bAVQg2J8SziivqO8ZyDZfCOEUDHN2UlI42gK5qsp9lh6QxrrTOMO49ZE9Wl3iU8IXgLFwI4XlA&#10;dYFhtpBWl9abuJLRkOZTR20l2XoM+ocpFJUamm6hTmigaObkDyglmTPeiNBhRhEjhGQ8cQA23ewb&#10;m0lFLU9cQBxvtzL5/4Nl5/NLh2QJ3mGkqQKLXu+e3m7vlw8vy+dHdDiIEjXW51A5sZduffIQRr6t&#10;cCruwAS1SdbFVlbeBsQg2TvqHmSDHkYM7vr9QVKdfLxlMx9OuUk4dH7mw8qUchPRahOxVm9CB9b+&#10;aqqlYf0OWn1uoc1Y1nXqUes4+zYBhTFDIt0VwRjdmHIBGs2sk9MKPlA3KpJqwBOIvpj++ZyqPn75&#10;6B1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F&#10;BAAAW0NvbnRlbnRfVHlwZXNdLnhtbFBLAQIUAAoAAAAAAIdO4kAAAAAAAAAAAAAAAAAGAAAAAAAA&#10;AAAAEAAAAOcCAABfcmVscy9QSwECFAAUAAAACACHTuJAihRmPNEAAACUAQAACwAAAAAAAAABACAA&#10;AAALAwAAX3JlbHMvLnJlbHNQSwECFAAKAAAAAACHTuJAAAAAAAAAAAAAAAAABAAAAAAAAAAAABAA&#10;AAAAAAAAZHJzL1BLAQIUABQAAAAIAIdO4kBUpbeV1wAAAAoBAAAPAAAAAAAAAAEAIAAAACIAAABk&#10;cnMvZG93bnJldi54bWxQSwECFAAUAAAACACHTuJAk/VL2pUBAAAtAwAADgAAAAAAAAABACAAAAAm&#10;AQAAZHJzL2Uyb0RvYy54bWxQSwUGAAAAAAYABgBZAQAALQUAAAAA&#10;">
                <v:fill on="f" focussize="0,0"/>
                <v:stroke on="f"/>
                <v:imagedata o:title=""/>
                <o:lock v:ext="edit" aspectratio="f"/>
              </v:shape>
            </w:pict>
          </mc:Fallback>
        </mc:AlternateContent>
      </w:r>
    </w:p>
    <w:p>
      <w:pPr>
        <w:widowControl/>
        <w:rPr>
          <w:color w:val="auto"/>
          <w:highlight w:val="none"/>
        </w:rPr>
        <w:sectPr>
          <w:type w:val="continuous"/>
          <w:pgSz w:w="11906" w:h="16838"/>
          <w:pgMar w:top="535" w:right="1020" w:bottom="295" w:left="1380" w:header="0" w:footer="0" w:gutter="0"/>
          <w:cols w:equalWidth="0" w:num="1">
            <w:col w:w="9506"/>
          </w:cols>
          <w:docGrid w:type="lines" w:linePitch="312" w:charSpace="0"/>
        </w:sectPr>
      </w:pPr>
    </w:p>
    <w:p>
      <w:pPr>
        <w:spacing w:after="0" w:line="240" w:lineRule="exact"/>
        <w:ind w:left="60"/>
        <w:rPr>
          <w:color w:val="auto"/>
          <w:highlight w:val="none"/>
        </w:rPr>
      </w:pPr>
    </w:p>
    <w:p>
      <w:pPr>
        <w:spacing w:after="0" w:line="240" w:lineRule="exact"/>
        <w:ind w:left="60"/>
        <w:rPr>
          <w:color w:val="auto"/>
          <w:highlight w:val="none"/>
        </w:rPr>
      </w:pPr>
    </w:p>
    <w:p>
      <w:pPr>
        <w:spacing w:after="0" w:line="240" w:lineRule="exact"/>
        <w:ind w:left="60"/>
        <w:rPr>
          <w:color w:val="auto"/>
          <w:highlight w:val="none"/>
        </w:rPr>
      </w:pPr>
    </w:p>
    <w:p>
      <w:pPr>
        <w:spacing w:after="0" w:line="240" w:lineRule="exact"/>
        <w:ind w:left="60"/>
        <w:rPr>
          <w:color w:val="auto"/>
          <w:highlight w:val="none"/>
        </w:rPr>
      </w:pPr>
    </w:p>
    <w:p>
      <w:pPr>
        <w:spacing w:after="0" w:line="240" w:lineRule="exact"/>
        <w:ind w:left="60"/>
        <w:rPr>
          <w:color w:val="auto"/>
          <w:highlight w:val="none"/>
        </w:rPr>
      </w:pPr>
    </w:p>
    <w:p>
      <w:pPr>
        <w:spacing w:after="0" w:line="240" w:lineRule="exact"/>
        <w:ind w:left="60"/>
        <w:rPr>
          <w:color w:val="auto"/>
          <w:highlight w:val="none"/>
        </w:rPr>
      </w:pPr>
    </w:p>
    <w:p>
      <w:pPr>
        <w:spacing w:after="0" w:line="240" w:lineRule="exact"/>
        <w:ind w:left="60"/>
        <w:rPr>
          <w:color w:val="auto"/>
          <w:highlight w:val="none"/>
        </w:rPr>
      </w:pPr>
    </w:p>
    <w:p>
      <w:pPr>
        <w:spacing w:after="0" w:line="240" w:lineRule="exact"/>
        <w:ind w:left="60"/>
        <w:rPr>
          <w:color w:val="auto"/>
          <w:highlight w:val="none"/>
        </w:rPr>
      </w:pPr>
    </w:p>
    <w:p>
      <w:pPr>
        <w:spacing w:after="0" w:line="240" w:lineRule="exact"/>
        <w:ind w:left="60"/>
        <w:rPr>
          <w:color w:val="auto"/>
          <w:highlight w:val="none"/>
        </w:rPr>
      </w:pPr>
    </w:p>
    <w:p>
      <w:pPr>
        <w:spacing w:after="0" w:line="240" w:lineRule="exact"/>
        <w:ind w:left="60"/>
        <w:rPr>
          <w:color w:val="auto"/>
          <w:highlight w:val="none"/>
        </w:rPr>
      </w:pPr>
    </w:p>
    <w:p>
      <w:pPr>
        <w:spacing w:after="0" w:line="240" w:lineRule="exact"/>
        <w:ind w:left="60"/>
        <w:rPr>
          <w:color w:val="auto"/>
          <w:highlight w:val="none"/>
        </w:rPr>
      </w:pPr>
    </w:p>
    <w:p>
      <w:pPr>
        <w:spacing w:after="0" w:line="240" w:lineRule="exact"/>
        <w:ind w:left="60"/>
        <w:rPr>
          <w:color w:val="auto"/>
          <w:highlight w:val="none"/>
        </w:rPr>
      </w:pPr>
    </w:p>
    <w:p>
      <w:pPr>
        <w:spacing w:after="0" w:line="240" w:lineRule="exact"/>
        <w:ind w:left="60"/>
        <w:rPr>
          <w:color w:val="auto"/>
          <w:highlight w:val="none"/>
        </w:rPr>
      </w:pPr>
    </w:p>
    <w:p>
      <w:pPr>
        <w:spacing w:after="0" w:line="240" w:lineRule="exact"/>
        <w:ind w:left="60"/>
        <w:rPr>
          <w:color w:val="auto"/>
          <w:highlight w:val="none"/>
        </w:rPr>
      </w:pPr>
    </w:p>
    <w:p>
      <w:pPr>
        <w:spacing w:after="0" w:line="240" w:lineRule="exact"/>
        <w:ind w:left="60"/>
        <w:rPr>
          <w:color w:val="auto"/>
          <w:highlight w:val="none"/>
        </w:rPr>
      </w:pPr>
    </w:p>
    <w:p>
      <w:pPr>
        <w:spacing w:after="0" w:line="240" w:lineRule="exact"/>
        <w:ind w:left="60"/>
        <w:rPr>
          <w:color w:val="auto"/>
          <w:highlight w:val="none"/>
        </w:rPr>
      </w:pPr>
    </w:p>
    <w:p>
      <w:pPr>
        <w:spacing w:after="0" w:line="240" w:lineRule="exact"/>
        <w:ind w:left="60"/>
        <w:rPr>
          <w:color w:val="auto"/>
          <w:highlight w:val="none"/>
        </w:rPr>
      </w:pPr>
    </w:p>
    <w:p>
      <w:pPr>
        <w:spacing w:after="0" w:line="240" w:lineRule="exact"/>
        <w:ind w:left="60"/>
        <w:rPr>
          <w:color w:val="auto"/>
          <w:highlight w:val="none"/>
        </w:rPr>
      </w:pPr>
    </w:p>
    <w:p>
      <w:pPr>
        <w:spacing w:after="0" w:line="322" w:lineRule="exact"/>
        <w:ind w:left="60"/>
        <w:rPr>
          <w:color w:val="auto"/>
          <w:highlight w:val="none"/>
        </w:rPr>
      </w:pPr>
    </w:p>
    <w:p>
      <w:pPr>
        <w:widowControl/>
        <w:rPr>
          <w:color w:val="auto"/>
          <w:highlight w:val="none"/>
        </w:rPr>
        <w:sectPr>
          <w:type w:val="continuous"/>
          <w:pgSz w:w="11906" w:h="16838"/>
          <w:pgMar w:top="535" w:right="1020" w:bottom="295" w:left="1380" w:header="0" w:footer="0" w:gutter="0"/>
          <w:cols w:space="720" w:num="1"/>
          <w:docGrid w:type="lines" w:linePitch="312" w:charSpace="0"/>
        </w:sectPr>
      </w:pPr>
    </w:p>
    <w:p>
      <w:pPr>
        <w:spacing w:after="0" w:line="440" w:lineRule="exact"/>
        <w:ind w:left="3235"/>
        <w:outlineLvl w:val="0"/>
        <w:rPr>
          <w:color w:val="auto"/>
          <w:highlight w:val="none"/>
        </w:rPr>
      </w:pPr>
      <w:r>
        <w:rPr>
          <w:rFonts w:ascii="宋体" w:hAnsi="宋体" w:cs="宋体"/>
          <w:color w:val="auto"/>
          <w:sz w:val="44"/>
          <w:highlight w:val="none"/>
        </w:rPr>
        <w:t>一、价格文件</w:t>
      </w:r>
    </w:p>
    <w:p>
      <w:pPr>
        <w:widowControl/>
        <w:rPr>
          <w:color w:val="auto"/>
          <w:highlight w:val="none"/>
        </w:rPr>
        <w:sectPr>
          <w:type w:val="continuous"/>
          <w:pgSz w:w="11906" w:h="16838"/>
          <w:pgMar w:top="535" w:right="1020" w:bottom="295" w:left="1380" w:header="0" w:footer="0" w:gutter="0"/>
          <w:cols w:equalWidth="0" w:num="1">
            <w:col w:w="9506"/>
          </w:cols>
          <w:docGrid w:type="lines" w:linePitch="312" w:charSpace="0"/>
        </w:sectPr>
      </w:pPr>
    </w:p>
    <w:p>
      <w:pPr>
        <w:spacing w:after="0" w:line="240" w:lineRule="exact"/>
        <w:ind w:left="3235"/>
        <w:rPr>
          <w:color w:val="auto"/>
          <w:highlight w:val="none"/>
        </w:rPr>
      </w:pPr>
    </w:p>
    <w:p>
      <w:pPr>
        <w:spacing w:after="0" w:line="240" w:lineRule="exact"/>
        <w:ind w:left="3235"/>
        <w:rPr>
          <w:color w:val="auto"/>
          <w:highlight w:val="none"/>
        </w:rPr>
      </w:pPr>
    </w:p>
    <w:p>
      <w:pPr>
        <w:spacing w:after="0" w:line="240" w:lineRule="exact"/>
        <w:ind w:left="3235"/>
        <w:rPr>
          <w:color w:val="auto"/>
          <w:highlight w:val="none"/>
        </w:rPr>
      </w:pPr>
    </w:p>
    <w:p>
      <w:pPr>
        <w:spacing w:after="0" w:line="240" w:lineRule="exact"/>
        <w:ind w:left="3235"/>
        <w:rPr>
          <w:color w:val="auto"/>
          <w:highlight w:val="none"/>
        </w:rPr>
      </w:pPr>
    </w:p>
    <w:p>
      <w:pPr>
        <w:spacing w:after="0" w:line="240" w:lineRule="exact"/>
        <w:ind w:left="3235"/>
        <w:rPr>
          <w:color w:val="auto"/>
          <w:highlight w:val="none"/>
        </w:rPr>
      </w:pPr>
    </w:p>
    <w:p>
      <w:pPr>
        <w:spacing w:after="0" w:line="240" w:lineRule="exact"/>
        <w:ind w:left="3235"/>
        <w:rPr>
          <w:color w:val="auto"/>
          <w:highlight w:val="none"/>
        </w:rPr>
      </w:pPr>
    </w:p>
    <w:p>
      <w:pPr>
        <w:spacing w:after="0" w:line="240" w:lineRule="exact"/>
        <w:ind w:left="3235"/>
        <w:rPr>
          <w:color w:val="auto"/>
          <w:highlight w:val="none"/>
        </w:rPr>
      </w:pPr>
    </w:p>
    <w:p>
      <w:pPr>
        <w:spacing w:after="0" w:line="240" w:lineRule="exact"/>
        <w:ind w:left="3235"/>
        <w:rPr>
          <w:color w:val="auto"/>
          <w:highlight w:val="none"/>
        </w:rPr>
      </w:pPr>
    </w:p>
    <w:p>
      <w:pPr>
        <w:spacing w:after="0" w:line="240" w:lineRule="exact"/>
        <w:ind w:left="3235"/>
        <w:rPr>
          <w:color w:val="auto"/>
          <w:highlight w:val="none"/>
        </w:rPr>
      </w:pPr>
    </w:p>
    <w:p>
      <w:pPr>
        <w:spacing w:after="0" w:line="240" w:lineRule="exact"/>
        <w:ind w:left="3235"/>
        <w:rPr>
          <w:color w:val="auto"/>
          <w:highlight w:val="none"/>
        </w:rPr>
      </w:pPr>
    </w:p>
    <w:p>
      <w:pPr>
        <w:spacing w:after="0" w:line="240" w:lineRule="exact"/>
        <w:ind w:left="3235"/>
        <w:rPr>
          <w:color w:val="auto"/>
          <w:highlight w:val="none"/>
        </w:rPr>
      </w:pPr>
    </w:p>
    <w:p>
      <w:pPr>
        <w:spacing w:after="0" w:line="240" w:lineRule="exact"/>
        <w:ind w:left="3235"/>
        <w:rPr>
          <w:color w:val="auto"/>
          <w:highlight w:val="none"/>
        </w:rPr>
      </w:pPr>
    </w:p>
    <w:p>
      <w:pPr>
        <w:spacing w:after="0" w:line="240" w:lineRule="exact"/>
        <w:ind w:left="3235"/>
        <w:rPr>
          <w:color w:val="auto"/>
          <w:highlight w:val="none"/>
        </w:rPr>
      </w:pPr>
    </w:p>
    <w:p>
      <w:pPr>
        <w:spacing w:after="0" w:line="240" w:lineRule="exact"/>
        <w:ind w:left="3235"/>
        <w:rPr>
          <w:color w:val="auto"/>
          <w:highlight w:val="none"/>
        </w:rPr>
      </w:pPr>
    </w:p>
    <w:p>
      <w:pPr>
        <w:spacing w:after="0" w:line="240" w:lineRule="exact"/>
        <w:ind w:left="3235"/>
        <w:rPr>
          <w:color w:val="auto"/>
          <w:highlight w:val="none"/>
        </w:rPr>
      </w:pPr>
    </w:p>
    <w:p>
      <w:pPr>
        <w:spacing w:after="0" w:line="240" w:lineRule="exact"/>
        <w:ind w:left="3235"/>
        <w:rPr>
          <w:color w:val="auto"/>
          <w:highlight w:val="none"/>
        </w:rPr>
      </w:pPr>
    </w:p>
    <w:p>
      <w:pPr>
        <w:spacing w:after="0" w:line="240" w:lineRule="exact"/>
        <w:ind w:left="3235"/>
        <w:rPr>
          <w:color w:val="auto"/>
          <w:highlight w:val="none"/>
        </w:rPr>
      </w:pPr>
    </w:p>
    <w:p>
      <w:pPr>
        <w:spacing w:after="0" w:line="240" w:lineRule="exact"/>
        <w:ind w:left="3235"/>
        <w:rPr>
          <w:color w:val="auto"/>
          <w:highlight w:val="none"/>
        </w:rPr>
      </w:pPr>
    </w:p>
    <w:p>
      <w:pPr>
        <w:spacing w:after="0" w:line="240" w:lineRule="exact"/>
        <w:ind w:left="3235"/>
        <w:rPr>
          <w:color w:val="auto"/>
          <w:highlight w:val="none"/>
        </w:rPr>
      </w:pPr>
    </w:p>
    <w:p>
      <w:pPr>
        <w:spacing w:after="0" w:line="240" w:lineRule="exact"/>
        <w:ind w:left="3235"/>
        <w:rPr>
          <w:color w:val="auto"/>
          <w:highlight w:val="none"/>
        </w:rPr>
      </w:pPr>
    </w:p>
    <w:p>
      <w:pPr>
        <w:spacing w:after="0" w:line="240" w:lineRule="exact"/>
        <w:ind w:left="3235"/>
        <w:rPr>
          <w:color w:val="auto"/>
          <w:highlight w:val="none"/>
        </w:rPr>
      </w:pPr>
    </w:p>
    <w:p>
      <w:pPr>
        <w:spacing w:after="0" w:line="240" w:lineRule="exact"/>
        <w:ind w:left="3235"/>
        <w:rPr>
          <w:color w:val="auto"/>
          <w:highlight w:val="none"/>
        </w:rPr>
      </w:pPr>
    </w:p>
    <w:p>
      <w:pPr>
        <w:spacing w:after="0" w:line="240" w:lineRule="exact"/>
        <w:ind w:left="3235"/>
        <w:rPr>
          <w:color w:val="auto"/>
          <w:highlight w:val="none"/>
        </w:rPr>
      </w:pPr>
    </w:p>
    <w:p>
      <w:pPr>
        <w:spacing w:after="0" w:line="240" w:lineRule="exact"/>
        <w:ind w:left="3235"/>
        <w:rPr>
          <w:color w:val="auto"/>
          <w:highlight w:val="none"/>
        </w:rPr>
      </w:pPr>
    </w:p>
    <w:p>
      <w:pPr>
        <w:spacing w:after="0" w:line="240" w:lineRule="exact"/>
        <w:ind w:left="3235"/>
        <w:rPr>
          <w:color w:val="auto"/>
          <w:highlight w:val="none"/>
        </w:rPr>
      </w:pPr>
    </w:p>
    <w:p>
      <w:pPr>
        <w:spacing w:after="0" w:line="240" w:lineRule="exact"/>
        <w:ind w:left="3235"/>
        <w:rPr>
          <w:color w:val="auto"/>
          <w:highlight w:val="none"/>
        </w:rPr>
      </w:pPr>
    </w:p>
    <w:p>
      <w:pPr>
        <w:spacing w:after="0" w:line="240" w:lineRule="exact"/>
        <w:ind w:left="3235"/>
        <w:rPr>
          <w:color w:val="auto"/>
          <w:highlight w:val="none"/>
        </w:rPr>
      </w:pPr>
    </w:p>
    <w:p>
      <w:pPr>
        <w:spacing w:after="0" w:line="240" w:lineRule="exact"/>
        <w:ind w:left="3235"/>
        <w:rPr>
          <w:color w:val="auto"/>
          <w:highlight w:val="none"/>
        </w:rPr>
      </w:pPr>
    </w:p>
    <w:p>
      <w:pPr>
        <w:spacing w:after="0" w:line="240" w:lineRule="exact"/>
        <w:ind w:left="3235"/>
        <w:rPr>
          <w:color w:val="auto"/>
          <w:highlight w:val="none"/>
        </w:rPr>
      </w:pPr>
    </w:p>
    <w:p>
      <w:pPr>
        <w:spacing w:after="0" w:line="240" w:lineRule="exact"/>
        <w:ind w:left="3235"/>
        <w:rPr>
          <w:color w:val="auto"/>
          <w:highlight w:val="none"/>
        </w:rPr>
      </w:pPr>
    </w:p>
    <w:p>
      <w:pPr>
        <w:spacing w:after="0" w:line="240" w:lineRule="exact"/>
        <w:ind w:left="3235"/>
        <w:rPr>
          <w:color w:val="auto"/>
          <w:highlight w:val="none"/>
        </w:rPr>
      </w:pPr>
    </w:p>
    <w:p>
      <w:pPr>
        <w:spacing w:after="0" w:line="240" w:lineRule="exact"/>
        <w:ind w:left="3235"/>
        <w:rPr>
          <w:color w:val="auto"/>
          <w:highlight w:val="none"/>
        </w:rPr>
      </w:pPr>
    </w:p>
    <w:p>
      <w:pPr>
        <w:spacing w:after="0" w:line="240" w:lineRule="exact"/>
        <w:ind w:left="3235"/>
        <w:rPr>
          <w:color w:val="auto"/>
          <w:highlight w:val="none"/>
        </w:rPr>
      </w:pPr>
    </w:p>
    <w:p>
      <w:pPr>
        <w:spacing w:after="0" w:line="240" w:lineRule="exact"/>
        <w:ind w:left="3235"/>
        <w:rPr>
          <w:color w:val="auto"/>
          <w:highlight w:val="none"/>
        </w:rPr>
      </w:pPr>
    </w:p>
    <w:p>
      <w:pPr>
        <w:spacing w:after="0" w:line="240" w:lineRule="exact"/>
        <w:ind w:left="3235"/>
        <w:rPr>
          <w:color w:val="auto"/>
          <w:highlight w:val="none"/>
        </w:rPr>
      </w:pPr>
    </w:p>
    <w:p>
      <w:pPr>
        <w:spacing w:after="0" w:line="240" w:lineRule="exact"/>
        <w:ind w:left="3235"/>
        <w:rPr>
          <w:color w:val="auto"/>
          <w:highlight w:val="none"/>
        </w:rPr>
      </w:pPr>
    </w:p>
    <w:p>
      <w:pPr>
        <w:spacing w:after="0" w:line="240" w:lineRule="exact"/>
        <w:ind w:left="3235"/>
        <w:rPr>
          <w:color w:val="auto"/>
          <w:highlight w:val="none"/>
        </w:rPr>
      </w:pPr>
    </w:p>
    <w:p>
      <w:pPr>
        <w:spacing w:after="0" w:line="240" w:lineRule="exact"/>
        <w:ind w:left="3235"/>
        <w:rPr>
          <w:color w:val="auto"/>
          <w:highlight w:val="none"/>
        </w:rPr>
      </w:pPr>
    </w:p>
    <w:p>
      <w:pPr>
        <w:spacing w:after="0" w:line="240" w:lineRule="exact"/>
        <w:ind w:left="3235"/>
        <w:rPr>
          <w:color w:val="auto"/>
          <w:highlight w:val="none"/>
        </w:rPr>
      </w:pPr>
    </w:p>
    <w:p>
      <w:pPr>
        <w:spacing w:after="0" w:line="240" w:lineRule="exact"/>
        <w:ind w:left="3235"/>
        <w:rPr>
          <w:color w:val="auto"/>
          <w:highlight w:val="none"/>
        </w:rPr>
      </w:pPr>
    </w:p>
    <w:p>
      <w:pPr>
        <w:spacing w:after="0" w:line="240" w:lineRule="exact"/>
        <w:ind w:left="3235"/>
        <w:rPr>
          <w:color w:val="auto"/>
          <w:highlight w:val="none"/>
        </w:rPr>
      </w:pPr>
    </w:p>
    <w:p>
      <w:pPr>
        <w:spacing w:after="0" w:line="296" w:lineRule="exact"/>
        <w:ind w:left="3235"/>
        <w:rPr>
          <w:color w:val="auto"/>
          <w:highlight w:val="none"/>
        </w:rPr>
      </w:pPr>
    </w:p>
    <w:p>
      <w:pPr>
        <w:widowControl/>
        <w:rPr>
          <w:color w:val="auto"/>
          <w:highlight w:val="none"/>
        </w:rPr>
        <w:sectPr>
          <w:type w:val="continuous"/>
          <w:pgSz w:w="11906" w:h="16838"/>
          <w:pgMar w:top="535" w:right="1020" w:bottom="295" w:left="1380" w:header="0" w:footer="0" w:gutter="0"/>
          <w:cols w:space="720" w:num="1"/>
          <w:docGrid w:type="lines" w:linePitch="312" w:charSpace="0"/>
        </w:sectPr>
      </w:pPr>
    </w:p>
    <w:p>
      <w:pPr>
        <w:widowControl/>
        <w:rPr>
          <w:color w:val="auto"/>
          <w:highlight w:val="none"/>
        </w:rPr>
        <w:sectPr>
          <w:type w:val="continuous"/>
          <w:pgSz w:w="11906" w:h="16838"/>
          <w:pgMar w:top="535" w:right="1020" w:bottom="295" w:left="1380" w:header="0" w:footer="0" w:gutter="0"/>
          <w:cols w:equalWidth="0" w:num="1">
            <w:col w:w="9506"/>
          </w:cols>
          <w:docGrid w:type="lines" w:linePitch="312" w:charSpace="0"/>
        </w:sectPr>
      </w:pPr>
    </w:p>
    <w:tbl>
      <w:tblPr>
        <w:tblStyle w:val="16"/>
        <w:tblpPr w:leftFromText="180" w:rightFromText="180" w:tblpX="134" w:tblpY="3285"/>
        <w:tblW w:w="8820" w:type="dxa"/>
        <w:tblInd w:w="0" w:type="dxa"/>
        <w:tblLayout w:type="fixed"/>
        <w:tblCellMar>
          <w:top w:w="0" w:type="dxa"/>
          <w:left w:w="108" w:type="dxa"/>
          <w:bottom w:w="0" w:type="dxa"/>
          <w:right w:w="108" w:type="dxa"/>
        </w:tblCellMar>
      </w:tblPr>
      <w:tblGrid>
        <w:gridCol w:w="1080"/>
        <w:gridCol w:w="2880"/>
        <w:gridCol w:w="2700"/>
        <w:gridCol w:w="2160"/>
      </w:tblGrid>
      <w:tr>
        <w:tblPrEx>
          <w:tblCellMar>
            <w:top w:w="0" w:type="dxa"/>
            <w:left w:w="108" w:type="dxa"/>
            <w:bottom w:w="0" w:type="dxa"/>
            <w:right w:w="108" w:type="dxa"/>
          </w:tblCellMar>
        </w:tblPrEx>
        <w:trPr>
          <w:trHeight w:val="667" w:hRule="exact"/>
        </w:trPr>
        <w:tc>
          <w:tcPr>
            <w:tcW w:w="108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after="0" w:line="240" w:lineRule="exact"/>
              <w:ind w:left="300" w:right="-239"/>
              <w:rPr>
                <w:color w:val="auto"/>
                <w:highlight w:val="none"/>
              </w:rPr>
            </w:pPr>
            <w:bookmarkStart w:id="81" w:name="35"/>
            <w:bookmarkEnd w:id="81"/>
          </w:p>
          <w:p>
            <w:pPr>
              <w:spacing w:after="0" w:line="277" w:lineRule="exact"/>
              <w:ind w:left="300" w:right="-239"/>
              <w:rPr>
                <w:color w:val="auto"/>
                <w:highlight w:val="none"/>
              </w:rPr>
            </w:pPr>
            <w:r>
              <w:rPr>
                <w:rFonts w:ascii="宋体" w:hAnsi="宋体" w:eastAsia="宋体" w:cs="宋体"/>
                <w:color w:val="auto"/>
                <w:spacing w:val="-1"/>
                <w:sz w:val="24"/>
                <w:highlight w:val="none"/>
              </w:rPr>
              <w:t>序号</w:t>
            </w:r>
          </w:p>
        </w:tc>
        <w:tc>
          <w:tcPr>
            <w:tcW w:w="288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after="0" w:line="240" w:lineRule="exact"/>
              <w:ind w:left="480" w:right="-239"/>
              <w:rPr>
                <w:color w:val="auto"/>
                <w:highlight w:val="none"/>
              </w:rPr>
            </w:pPr>
          </w:p>
          <w:p>
            <w:pPr>
              <w:spacing w:after="0" w:line="277" w:lineRule="exact"/>
              <w:ind w:left="480" w:right="-239"/>
              <w:rPr>
                <w:color w:val="auto"/>
                <w:highlight w:val="none"/>
              </w:rPr>
            </w:pPr>
            <w:r>
              <w:rPr>
                <w:rFonts w:ascii="宋体" w:hAnsi="宋体" w:eastAsia="宋体" w:cs="宋体"/>
                <w:color w:val="auto"/>
                <w:sz w:val="24"/>
                <w:highlight w:val="none"/>
              </w:rPr>
              <w:t>服务名称（明细）</w:t>
            </w:r>
          </w:p>
        </w:tc>
        <w:tc>
          <w:tcPr>
            <w:tcW w:w="270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after="0" w:line="240" w:lineRule="exact"/>
              <w:ind w:left="989" w:right="-239"/>
              <w:rPr>
                <w:color w:val="auto"/>
                <w:highlight w:val="none"/>
              </w:rPr>
            </w:pPr>
          </w:p>
          <w:p>
            <w:pPr>
              <w:spacing w:after="0" w:line="250" w:lineRule="exact"/>
              <w:ind w:left="989" w:right="-239"/>
              <w:rPr>
                <w:color w:val="auto"/>
                <w:highlight w:val="none"/>
              </w:rPr>
            </w:pPr>
            <w:r>
              <w:rPr>
                <w:rFonts w:ascii="宋体" w:hAnsi="宋体" w:eastAsia="宋体" w:cs="宋体"/>
                <w:color w:val="auto"/>
                <w:spacing w:val="-1"/>
                <w:sz w:val="24"/>
                <w:highlight w:val="none"/>
              </w:rPr>
              <w:t>报</w:t>
            </w:r>
            <w:r>
              <w:rPr>
                <w:rFonts w:ascii="Calibri" w:hAnsi="Calibri" w:cs="Calibri"/>
                <w:color w:val="auto"/>
                <w:spacing w:val="5"/>
                <w:sz w:val="24"/>
                <w:highlight w:val="none"/>
              </w:rPr>
              <w:t>    </w:t>
            </w:r>
            <w:r>
              <w:rPr>
                <w:rFonts w:ascii="宋体" w:hAnsi="宋体" w:eastAsia="宋体" w:cs="宋体"/>
                <w:color w:val="auto"/>
                <w:spacing w:val="-1"/>
                <w:sz w:val="24"/>
                <w:highlight w:val="none"/>
              </w:rPr>
              <w:t>价</w:t>
            </w:r>
          </w:p>
        </w:tc>
        <w:tc>
          <w:tcPr>
            <w:tcW w:w="216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after="0" w:line="240" w:lineRule="exact"/>
              <w:ind w:left="780" w:right="-239"/>
              <w:rPr>
                <w:color w:val="auto"/>
                <w:highlight w:val="none"/>
              </w:rPr>
            </w:pPr>
          </w:p>
          <w:p>
            <w:pPr>
              <w:spacing w:after="0" w:line="277" w:lineRule="exact"/>
              <w:ind w:left="780" w:right="-239"/>
              <w:rPr>
                <w:color w:val="auto"/>
                <w:highlight w:val="none"/>
              </w:rPr>
            </w:pPr>
            <w:r>
              <w:rPr>
                <w:rFonts w:ascii="宋体" w:hAnsi="宋体" w:eastAsia="宋体" w:cs="宋体"/>
                <w:color w:val="auto"/>
                <w:spacing w:val="-1"/>
                <w:sz w:val="24"/>
                <w:highlight w:val="none"/>
              </w:rPr>
              <w:t>备</w:t>
            </w:r>
            <w:r>
              <w:rPr>
                <w:rFonts w:ascii="Calibri" w:hAnsi="Calibri" w:cs="Calibri"/>
                <w:color w:val="auto"/>
                <w:w w:val="221"/>
                <w:sz w:val="24"/>
                <w:highlight w:val="none"/>
              </w:rPr>
              <w:t> </w:t>
            </w:r>
            <w:r>
              <w:rPr>
                <w:rFonts w:ascii="宋体" w:hAnsi="宋体" w:eastAsia="宋体" w:cs="宋体"/>
                <w:color w:val="auto"/>
                <w:spacing w:val="-1"/>
                <w:sz w:val="24"/>
                <w:highlight w:val="none"/>
              </w:rPr>
              <w:t>注</w:t>
            </w:r>
          </w:p>
        </w:tc>
      </w:tr>
      <w:tr>
        <w:tblPrEx>
          <w:tblCellMar>
            <w:top w:w="0" w:type="dxa"/>
            <w:left w:w="108" w:type="dxa"/>
            <w:bottom w:w="0" w:type="dxa"/>
            <w:right w:w="108" w:type="dxa"/>
          </w:tblCellMar>
        </w:tblPrEx>
        <w:trPr>
          <w:trHeight w:val="671" w:hRule="exact"/>
        </w:trPr>
        <w:tc>
          <w:tcPr>
            <w:tcW w:w="108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after="0" w:line="240" w:lineRule="exact"/>
              <w:ind w:left="634" w:right="-239"/>
              <w:rPr>
                <w:color w:val="auto"/>
                <w:highlight w:val="none"/>
              </w:rPr>
            </w:pPr>
          </w:p>
          <w:p>
            <w:pPr>
              <w:spacing w:after="0" w:line="275" w:lineRule="exact"/>
              <w:ind w:left="634" w:right="-239"/>
              <w:rPr>
                <w:color w:val="auto"/>
                <w:highlight w:val="none"/>
              </w:rPr>
            </w:pPr>
            <w:r>
              <w:rPr>
                <w:rFonts w:ascii="宋体" w:hAnsi="宋体" w:cs="宋体"/>
                <w:color w:val="auto"/>
                <w:spacing w:val="-1"/>
                <w:highlight w:val="none"/>
              </w:rPr>
              <w:t>1</w:t>
            </w:r>
          </w:p>
        </w:tc>
        <w:tc>
          <w:tcPr>
            <w:tcW w:w="288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275" w:lineRule="exact"/>
              <w:rPr>
                <w:color w:val="auto"/>
                <w:highlight w:val="none"/>
              </w:rPr>
            </w:pPr>
          </w:p>
        </w:tc>
        <w:tc>
          <w:tcPr>
            <w:tcW w:w="270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275" w:lineRule="exact"/>
              <w:rPr>
                <w:color w:val="auto"/>
                <w:highlight w:val="none"/>
              </w:rPr>
            </w:pPr>
          </w:p>
        </w:tc>
        <w:tc>
          <w:tcPr>
            <w:tcW w:w="216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275" w:lineRule="exact"/>
              <w:rPr>
                <w:color w:val="auto"/>
                <w:highlight w:val="none"/>
              </w:rPr>
            </w:pPr>
          </w:p>
        </w:tc>
      </w:tr>
      <w:tr>
        <w:tblPrEx>
          <w:tblCellMar>
            <w:top w:w="0" w:type="dxa"/>
            <w:left w:w="108" w:type="dxa"/>
            <w:bottom w:w="0" w:type="dxa"/>
            <w:right w:w="108" w:type="dxa"/>
          </w:tblCellMar>
        </w:tblPrEx>
        <w:trPr>
          <w:trHeight w:val="766" w:hRule="exact"/>
        </w:trPr>
        <w:tc>
          <w:tcPr>
            <w:tcW w:w="108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after="0" w:line="240" w:lineRule="exact"/>
              <w:ind w:left="634" w:right="-239"/>
              <w:rPr>
                <w:color w:val="auto"/>
                <w:highlight w:val="none"/>
              </w:rPr>
            </w:pPr>
          </w:p>
          <w:p>
            <w:pPr>
              <w:spacing w:after="0" w:line="321" w:lineRule="exact"/>
              <w:ind w:left="634" w:right="-239"/>
              <w:rPr>
                <w:color w:val="auto"/>
                <w:highlight w:val="none"/>
              </w:rPr>
            </w:pPr>
            <w:r>
              <w:rPr>
                <w:rFonts w:ascii="宋体" w:hAnsi="宋体" w:cs="宋体"/>
                <w:color w:val="auto"/>
                <w:spacing w:val="-1"/>
                <w:highlight w:val="none"/>
              </w:rPr>
              <w:t>2</w:t>
            </w:r>
          </w:p>
        </w:tc>
        <w:tc>
          <w:tcPr>
            <w:tcW w:w="288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21" w:lineRule="exact"/>
              <w:rPr>
                <w:color w:val="auto"/>
                <w:highlight w:val="none"/>
              </w:rPr>
            </w:pPr>
          </w:p>
        </w:tc>
        <w:tc>
          <w:tcPr>
            <w:tcW w:w="270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21" w:lineRule="exact"/>
              <w:rPr>
                <w:color w:val="auto"/>
                <w:highlight w:val="none"/>
              </w:rPr>
            </w:pPr>
          </w:p>
        </w:tc>
        <w:tc>
          <w:tcPr>
            <w:tcW w:w="216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21" w:lineRule="exact"/>
              <w:rPr>
                <w:color w:val="auto"/>
                <w:highlight w:val="none"/>
              </w:rPr>
            </w:pPr>
          </w:p>
        </w:tc>
      </w:tr>
      <w:tr>
        <w:tblPrEx>
          <w:tblCellMar>
            <w:top w:w="0" w:type="dxa"/>
            <w:left w:w="108" w:type="dxa"/>
            <w:bottom w:w="0" w:type="dxa"/>
            <w:right w:w="108" w:type="dxa"/>
          </w:tblCellMar>
        </w:tblPrEx>
        <w:trPr>
          <w:trHeight w:val="766" w:hRule="exact"/>
        </w:trPr>
        <w:tc>
          <w:tcPr>
            <w:tcW w:w="108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after="0" w:line="240" w:lineRule="exact"/>
              <w:ind w:left="634" w:right="-239"/>
              <w:rPr>
                <w:color w:val="auto"/>
                <w:highlight w:val="none"/>
              </w:rPr>
            </w:pPr>
          </w:p>
          <w:p>
            <w:pPr>
              <w:spacing w:after="0" w:line="321" w:lineRule="exact"/>
              <w:ind w:left="634" w:right="-239"/>
              <w:rPr>
                <w:color w:val="auto"/>
                <w:highlight w:val="none"/>
              </w:rPr>
            </w:pPr>
            <w:r>
              <w:rPr>
                <w:rFonts w:ascii="宋体" w:hAnsi="宋体" w:cs="宋体"/>
                <w:color w:val="auto"/>
                <w:spacing w:val="-1"/>
                <w:highlight w:val="none"/>
              </w:rPr>
              <w:t>3</w:t>
            </w:r>
          </w:p>
        </w:tc>
        <w:tc>
          <w:tcPr>
            <w:tcW w:w="288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21" w:lineRule="exact"/>
              <w:rPr>
                <w:color w:val="auto"/>
                <w:highlight w:val="none"/>
              </w:rPr>
            </w:pPr>
          </w:p>
        </w:tc>
        <w:tc>
          <w:tcPr>
            <w:tcW w:w="270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21" w:lineRule="exact"/>
              <w:rPr>
                <w:color w:val="auto"/>
                <w:highlight w:val="none"/>
              </w:rPr>
            </w:pPr>
          </w:p>
        </w:tc>
        <w:tc>
          <w:tcPr>
            <w:tcW w:w="216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21" w:lineRule="exact"/>
              <w:rPr>
                <w:color w:val="auto"/>
                <w:highlight w:val="none"/>
              </w:rPr>
            </w:pPr>
          </w:p>
        </w:tc>
      </w:tr>
      <w:tr>
        <w:tblPrEx>
          <w:tblCellMar>
            <w:top w:w="0" w:type="dxa"/>
            <w:left w:w="108" w:type="dxa"/>
            <w:bottom w:w="0" w:type="dxa"/>
            <w:right w:w="108" w:type="dxa"/>
          </w:tblCellMar>
        </w:tblPrEx>
        <w:trPr>
          <w:trHeight w:val="766" w:hRule="exact"/>
        </w:trPr>
        <w:tc>
          <w:tcPr>
            <w:tcW w:w="108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after="0" w:line="240" w:lineRule="exact"/>
              <w:ind w:left="634" w:right="-239"/>
              <w:rPr>
                <w:color w:val="auto"/>
                <w:highlight w:val="none"/>
              </w:rPr>
            </w:pPr>
          </w:p>
          <w:p>
            <w:pPr>
              <w:spacing w:after="0" w:line="323" w:lineRule="exact"/>
              <w:ind w:left="634" w:right="-239"/>
              <w:rPr>
                <w:color w:val="auto"/>
                <w:highlight w:val="none"/>
              </w:rPr>
            </w:pPr>
            <w:r>
              <w:rPr>
                <w:rFonts w:ascii="宋体" w:hAnsi="宋体" w:cs="宋体"/>
                <w:color w:val="auto"/>
                <w:spacing w:val="-2"/>
                <w:highlight w:val="none"/>
              </w:rPr>
              <w:t>…</w:t>
            </w:r>
          </w:p>
        </w:tc>
        <w:tc>
          <w:tcPr>
            <w:tcW w:w="288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23" w:lineRule="exact"/>
              <w:rPr>
                <w:color w:val="auto"/>
                <w:highlight w:val="none"/>
              </w:rPr>
            </w:pPr>
          </w:p>
        </w:tc>
        <w:tc>
          <w:tcPr>
            <w:tcW w:w="270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23" w:lineRule="exact"/>
              <w:rPr>
                <w:color w:val="auto"/>
                <w:highlight w:val="none"/>
              </w:rPr>
            </w:pPr>
          </w:p>
        </w:tc>
        <w:tc>
          <w:tcPr>
            <w:tcW w:w="216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23" w:lineRule="exact"/>
              <w:rPr>
                <w:color w:val="auto"/>
                <w:highlight w:val="none"/>
              </w:rPr>
            </w:pPr>
          </w:p>
        </w:tc>
      </w:tr>
      <w:tr>
        <w:tblPrEx>
          <w:tblCellMar>
            <w:top w:w="0" w:type="dxa"/>
            <w:left w:w="108" w:type="dxa"/>
            <w:bottom w:w="0" w:type="dxa"/>
            <w:right w:w="108" w:type="dxa"/>
          </w:tblCellMar>
        </w:tblPrEx>
        <w:trPr>
          <w:trHeight w:val="634" w:hRule="exact"/>
        </w:trPr>
        <w:tc>
          <w:tcPr>
            <w:tcW w:w="108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after="0" w:line="240" w:lineRule="exact"/>
              <w:ind w:left="634" w:right="-239"/>
              <w:rPr>
                <w:color w:val="auto"/>
                <w:highlight w:val="none"/>
              </w:rPr>
            </w:pPr>
          </w:p>
          <w:p>
            <w:pPr>
              <w:spacing w:after="0" w:line="255" w:lineRule="exact"/>
              <w:ind w:left="634" w:right="-239"/>
              <w:rPr>
                <w:color w:val="auto"/>
                <w:highlight w:val="none"/>
              </w:rPr>
            </w:pPr>
            <w:r>
              <w:rPr>
                <w:rFonts w:ascii="宋体" w:hAnsi="宋体" w:cs="宋体"/>
                <w:color w:val="auto"/>
                <w:spacing w:val="-1"/>
                <w:highlight w:val="none"/>
              </w:rPr>
              <w:t>n</w:t>
            </w:r>
          </w:p>
        </w:tc>
        <w:tc>
          <w:tcPr>
            <w:tcW w:w="288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255" w:lineRule="exact"/>
              <w:rPr>
                <w:color w:val="auto"/>
                <w:highlight w:val="none"/>
              </w:rPr>
            </w:pPr>
          </w:p>
        </w:tc>
        <w:tc>
          <w:tcPr>
            <w:tcW w:w="270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255" w:lineRule="exact"/>
              <w:rPr>
                <w:color w:val="auto"/>
                <w:highlight w:val="none"/>
              </w:rPr>
            </w:pPr>
          </w:p>
        </w:tc>
        <w:tc>
          <w:tcPr>
            <w:tcW w:w="216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255" w:lineRule="exact"/>
              <w:rPr>
                <w:color w:val="auto"/>
                <w:highlight w:val="none"/>
              </w:rPr>
            </w:pPr>
          </w:p>
        </w:tc>
      </w:tr>
      <w:tr>
        <w:tblPrEx>
          <w:tblCellMar>
            <w:top w:w="0" w:type="dxa"/>
            <w:left w:w="108" w:type="dxa"/>
            <w:bottom w:w="0" w:type="dxa"/>
            <w:right w:w="108" w:type="dxa"/>
          </w:tblCellMar>
        </w:tblPrEx>
        <w:trPr>
          <w:trHeight w:val="510" w:hRule="exact"/>
        </w:trPr>
        <w:tc>
          <w:tcPr>
            <w:tcW w:w="8820" w:type="dxa"/>
            <w:gridSpan w:val="4"/>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after="0" w:line="469" w:lineRule="exact"/>
              <w:ind w:left="108" w:right="-239"/>
              <w:rPr>
                <w:color w:val="auto"/>
                <w:highlight w:val="none"/>
              </w:rPr>
            </w:pPr>
            <w:r>
              <w:rPr>
                <w:rFonts w:hint="eastAsia" w:ascii="宋体" w:hAnsi="宋体" w:eastAsia="宋体" w:cs="宋体"/>
                <w:color w:val="auto"/>
                <w:spacing w:val="-12"/>
                <w:position w:val="3"/>
                <w:highlight w:val="none"/>
              </w:rPr>
              <w:t>磋商</w:t>
            </w:r>
            <w:r>
              <w:rPr>
                <w:rFonts w:ascii="宋体" w:hAnsi="宋体" w:eastAsia="宋体" w:cs="宋体"/>
                <w:color w:val="auto"/>
                <w:spacing w:val="-12"/>
                <w:position w:val="3"/>
                <w:highlight w:val="none"/>
              </w:rPr>
              <w:t>报价</w:t>
            </w:r>
            <w:r>
              <w:rPr>
                <w:rFonts w:hint="eastAsia" w:ascii="宋体" w:hAnsi="宋体" w:eastAsia="宋体" w:cs="宋体"/>
                <w:color w:val="auto"/>
                <w:spacing w:val="-12"/>
                <w:position w:val="3"/>
                <w:highlight w:val="none"/>
                <w:lang w:val="en-US" w:eastAsia="zh-CN"/>
              </w:rPr>
              <w:t>费率</w:t>
            </w:r>
            <w:r>
              <w:rPr>
                <w:rFonts w:ascii="宋体" w:hAnsi="宋体" w:eastAsia="宋体" w:cs="宋体"/>
                <w:color w:val="auto"/>
                <w:spacing w:val="-12"/>
                <w:position w:val="3"/>
                <w:highlight w:val="none"/>
              </w:rPr>
              <w:t>：（大写）</w:t>
            </w:r>
            <w:r>
              <w:rPr>
                <w:rFonts w:ascii="Calibri" w:hAnsi="Calibri" w:cs="Calibri"/>
                <w:color w:val="auto"/>
                <w:highlight w:val="none"/>
              </w:rPr>
              <w:t>                        </w:t>
            </w:r>
            <w:r>
              <w:rPr>
                <w:rFonts w:ascii="Times New Roman" w:hAnsi="Times New Roman" w:cs="Times New Roman"/>
                <w:color w:val="auto"/>
                <w:spacing w:val="-1"/>
                <w:highlight w:val="none"/>
              </w:rPr>
              <w:t>(</w:t>
            </w:r>
            <w:r>
              <w:rPr>
                <w:rFonts w:hint="eastAsia" w:ascii="宋体" w:hAnsi="宋体" w:eastAsia="宋体" w:cs="宋体"/>
                <w:color w:val="auto"/>
                <w:spacing w:val="-2"/>
                <w:position w:val="3"/>
                <w:highlight w:val="none"/>
                <w:lang w:val="en-US" w:eastAsia="zh-CN"/>
              </w:rPr>
              <w:t>小写：</w:t>
            </w:r>
            <w:r>
              <w:rPr>
                <w:rFonts w:ascii="Calibri" w:hAnsi="Calibri" w:cs="Calibri"/>
                <w:color w:val="auto"/>
                <w:spacing w:val="1"/>
                <w:highlight w:val="none"/>
              </w:rPr>
              <w:t>                     </w:t>
            </w:r>
            <w:r>
              <w:rPr>
                <w:rFonts w:ascii="Times New Roman" w:hAnsi="Times New Roman" w:cs="Times New Roman"/>
                <w:color w:val="auto"/>
                <w:spacing w:val="-1"/>
                <w:highlight w:val="none"/>
              </w:rPr>
              <w:t>)</w:t>
            </w:r>
          </w:p>
        </w:tc>
      </w:tr>
      <w:tr>
        <w:tblPrEx>
          <w:tblCellMar>
            <w:top w:w="0" w:type="dxa"/>
            <w:left w:w="108" w:type="dxa"/>
            <w:bottom w:w="0" w:type="dxa"/>
            <w:right w:w="108" w:type="dxa"/>
          </w:tblCellMar>
        </w:tblPrEx>
        <w:trPr>
          <w:trHeight w:val="510" w:hRule="exact"/>
        </w:trPr>
        <w:tc>
          <w:tcPr>
            <w:tcW w:w="8820" w:type="dxa"/>
            <w:gridSpan w:val="4"/>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after="0" w:line="469" w:lineRule="exact"/>
              <w:ind w:left="108" w:right="-239"/>
              <w:rPr>
                <w:rFonts w:ascii="宋体" w:hAnsi="宋体" w:eastAsia="宋体" w:cs="宋体"/>
                <w:color w:val="auto"/>
                <w:spacing w:val="-12"/>
                <w:position w:val="3"/>
                <w:highlight w:val="none"/>
              </w:rPr>
            </w:pPr>
            <w:r>
              <w:rPr>
                <w:rFonts w:hint="eastAsia" w:ascii="宋体" w:hAnsi="宋体" w:eastAsia="宋体" w:cs="宋体"/>
                <w:color w:val="auto"/>
                <w:spacing w:val="-12"/>
                <w:position w:val="3"/>
                <w:highlight w:val="none"/>
              </w:rPr>
              <w:t>监理服务期限：</w:t>
            </w:r>
          </w:p>
        </w:tc>
      </w:tr>
      <w:tr>
        <w:tblPrEx>
          <w:tblCellMar>
            <w:top w:w="0" w:type="dxa"/>
            <w:left w:w="108" w:type="dxa"/>
            <w:bottom w:w="0" w:type="dxa"/>
            <w:right w:w="108" w:type="dxa"/>
          </w:tblCellMar>
        </w:tblPrEx>
        <w:trPr>
          <w:trHeight w:val="622" w:hRule="exact"/>
        </w:trPr>
        <w:tc>
          <w:tcPr>
            <w:tcW w:w="8820" w:type="dxa"/>
            <w:gridSpan w:val="4"/>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after="0" w:line="240" w:lineRule="exact"/>
              <w:ind w:left="108" w:right="-239"/>
              <w:rPr>
                <w:color w:val="auto"/>
                <w:highlight w:val="none"/>
              </w:rPr>
            </w:pPr>
          </w:p>
          <w:p>
            <w:pPr>
              <w:spacing w:after="0" w:line="249" w:lineRule="exact"/>
              <w:ind w:left="108" w:right="-239"/>
              <w:rPr>
                <w:rFonts w:eastAsia="宋体"/>
                <w:color w:val="auto"/>
                <w:highlight w:val="none"/>
              </w:rPr>
            </w:pPr>
            <w:r>
              <w:rPr>
                <w:rFonts w:hint="eastAsia" w:ascii="宋体" w:hAnsi="宋体" w:eastAsia="宋体" w:cs="宋体"/>
                <w:color w:val="auto"/>
                <w:spacing w:val="-1"/>
                <w:highlight w:val="none"/>
              </w:rPr>
              <w:t>质量要求</w:t>
            </w:r>
            <w:r>
              <w:rPr>
                <w:rFonts w:ascii="宋体" w:hAnsi="宋体" w:eastAsia="宋体" w:cs="宋体"/>
                <w:color w:val="auto"/>
                <w:spacing w:val="-1"/>
                <w:highlight w:val="none"/>
              </w:rPr>
              <w:t>：</w:t>
            </w:r>
          </w:p>
        </w:tc>
      </w:tr>
      <w:tr>
        <w:tblPrEx>
          <w:tblCellMar>
            <w:top w:w="0" w:type="dxa"/>
            <w:left w:w="108" w:type="dxa"/>
            <w:bottom w:w="0" w:type="dxa"/>
            <w:right w:w="108" w:type="dxa"/>
          </w:tblCellMar>
        </w:tblPrEx>
        <w:trPr>
          <w:trHeight w:val="510" w:hRule="exact"/>
        </w:trPr>
        <w:tc>
          <w:tcPr>
            <w:tcW w:w="8820" w:type="dxa"/>
            <w:gridSpan w:val="4"/>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after="0" w:line="433" w:lineRule="exact"/>
              <w:ind w:left="108" w:right="-239"/>
              <w:rPr>
                <w:color w:val="auto"/>
                <w:highlight w:val="none"/>
              </w:rPr>
            </w:pPr>
            <w:r>
              <w:rPr>
                <w:rFonts w:ascii="宋体" w:hAnsi="宋体" w:eastAsia="宋体" w:cs="宋体"/>
                <w:color w:val="auto"/>
                <w:spacing w:val="-1"/>
                <w:highlight w:val="none"/>
              </w:rPr>
              <w:t>备注：</w:t>
            </w:r>
          </w:p>
        </w:tc>
      </w:tr>
    </w:tbl>
    <w:p>
      <w:pPr>
        <w:spacing w:after="0" w:line="161" w:lineRule="exact"/>
        <w:rPr>
          <w:color w:val="auto"/>
          <w:highlight w:val="none"/>
        </w:rPr>
      </w:pPr>
    </w:p>
    <w:p>
      <w:pPr>
        <w:widowControl/>
        <w:rPr>
          <w:color w:val="auto"/>
          <w:highlight w:val="none"/>
        </w:rPr>
        <w:sectPr>
          <w:type w:val="continuous"/>
          <w:pgSz w:w="11907" w:h="16840"/>
          <w:pgMar w:top="434" w:right="946" w:bottom="194" w:left="1306" w:header="0" w:footer="0" w:gutter="0"/>
          <w:cols w:space="720" w:num="1"/>
          <w:docGrid w:type="lines" w:linePitch="312" w:charSpace="0"/>
        </w:sectPr>
      </w:pPr>
    </w:p>
    <w:p>
      <w:pPr>
        <w:spacing w:after="0" w:line="240" w:lineRule="exact"/>
        <w:ind w:left="134"/>
        <w:rPr>
          <w:color w:val="auto"/>
          <w:highlight w:val="none"/>
        </w:rPr>
      </w:pPr>
    </w:p>
    <w:p>
      <w:pPr>
        <w:spacing w:after="0" w:line="240" w:lineRule="exact"/>
        <w:ind w:left="134"/>
        <w:rPr>
          <w:color w:val="auto"/>
          <w:highlight w:val="none"/>
        </w:rPr>
      </w:pPr>
    </w:p>
    <w:p>
      <w:pPr>
        <w:tabs>
          <w:tab w:val="left" w:pos="4610"/>
          <w:tab w:val="left" w:pos="5169"/>
        </w:tabs>
        <w:spacing w:after="0" w:line="488" w:lineRule="exact"/>
        <w:ind w:left="134" w:firstLine="3682"/>
        <w:rPr>
          <w:color w:val="auto"/>
          <w:highlight w:val="none"/>
        </w:rPr>
      </w:pPr>
      <w:r>
        <w:rPr>
          <w:rFonts w:ascii="Arial" w:hAnsi="Arial" w:cs="Arial"/>
          <w:b/>
          <w:color w:val="auto"/>
          <w:w w:val="95"/>
          <w:sz w:val="28"/>
          <w:highlight w:val="none"/>
        </w:rPr>
        <w:t>1.</w:t>
      </w:r>
      <w:r>
        <w:rPr>
          <w:rFonts w:ascii="黑体" w:hAnsi="黑体" w:eastAsia="黑体" w:cs="黑体"/>
          <w:color w:val="auto"/>
          <w:position w:val="6"/>
          <w:sz w:val="28"/>
          <w:highlight w:val="none"/>
        </w:rPr>
        <w:t>报</w:t>
      </w:r>
      <w:r>
        <w:rPr>
          <w:rFonts w:cs="Calibri"/>
          <w:color w:val="auto"/>
          <w:highlight w:val="none"/>
        </w:rPr>
        <w:tab/>
      </w:r>
      <w:r>
        <w:rPr>
          <w:rFonts w:ascii="黑体" w:hAnsi="黑体" w:eastAsia="黑体" w:cs="黑体"/>
          <w:color w:val="auto"/>
          <w:position w:val="6"/>
          <w:sz w:val="28"/>
          <w:highlight w:val="none"/>
        </w:rPr>
        <w:t>价</w:t>
      </w:r>
      <w:r>
        <w:rPr>
          <w:rFonts w:cs="Calibri"/>
          <w:color w:val="auto"/>
          <w:highlight w:val="none"/>
        </w:rPr>
        <w:tab/>
      </w:r>
      <w:r>
        <w:rPr>
          <w:rFonts w:ascii="黑体" w:hAnsi="黑体" w:eastAsia="黑体" w:cs="黑体"/>
          <w:color w:val="auto"/>
          <w:position w:val="6"/>
          <w:sz w:val="28"/>
          <w:highlight w:val="none"/>
        </w:rPr>
        <w:t>表</w:t>
      </w:r>
    </w:p>
    <w:p>
      <w:pPr>
        <w:spacing w:after="0" w:line="240" w:lineRule="exact"/>
        <w:ind w:left="134" w:firstLine="3682"/>
        <w:rPr>
          <w:color w:val="auto"/>
          <w:highlight w:val="none"/>
        </w:rPr>
      </w:pPr>
    </w:p>
    <w:p>
      <w:pPr>
        <w:spacing w:after="0" w:line="360" w:lineRule="auto"/>
        <w:ind w:left="134" w:firstLine="3682"/>
        <w:rPr>
          <w:color w:val="auto"/>
          <w:highlight w:val="none"/>
        </w:rPr>
      </w:pPr>
    </w:p>
    <w:p>
      <w:pPr>
        <w:spacing w:after="0" w:line="360" w:lineRule="auto"/>
        <w:ind w:left="134"/>
        <w:rPr>
          <w:color w:val="auto"/>
          <w:highlight w:val="none"/>
        </w:rPr>
      </w:pPr>
      <w:r>
        <w:rPr>
          <w:rFonts w:hint="eastAsia" w:ascii="宋体" w:hAnsi="宋体" w:eastAsia="宋体" w:cs="宋体"/>
          <w:color w:val="auto"/>
          <w:spacing w:val="-1"/>
          <w:highlight w:val="none"/>
        </w:rPr>
        <w:t>项目编号</w:t>
      </w:r>
      <w:r>
        <w:rPr>
          <w:rFonts w:ascii="宋体" w:hAnsi="宋体" w:eastAsia="宋体" w:cs="宋体"/>
          <w:color w:val="auto"/>
          <w:spacing w:val="-1"/>
          <w:highlight w:val="none"/>
        </w:rPr>
        <w:t>:</w:t>
      </w:r>
    </w:p>
    <w:p>
      <w:pPr>
        <w:spacing w:after="0" w:line="360" w:lineRule="auto"/>
        <w:ind w:left="134"/>
        <w:rPr>
          <w:color w:val="auto"/>
          <w:highlight w:val="none"/>
        </w:rPr>
      </w:pPr>
      <w:r>
        <w:rPr>
          <w:color w:val="auto"/>
          <w:highlight w:val="none"/>
        </w:rPr>
        <mc:AlternateContent>
          <mc:Choice Requires="wps">
            <w:drawing>
              <wp:anchor distT="0" distB="0" distL="114300" distR="114300" simplePos="0" relativeHeight="251656192" behindDoc="1" locked="0" layoutInCell="1" allowOverlap="1">
                <wp:simplePos x="0" y="0"/>
                <wp:positionH relativeFrom="page">
                  <wp:posOffset>5248910</wp:posOffset>
                </wp:positionH>
                <wp:positionV relativeFrom="page">
                  <wp:posOffset>2104390</wp:posOffset>
                </wp:positionV>
                <wp:extent cx="1698625" cy="272415"/>
                <wp:effectExtent l="0" t="0" r="0" b="0"/>
                <wp:wrapNone/>
                <wp:docPr id="2" name="wondershare_69"/>
                <wp:cNvGraphicFramePr/>
                <a:graphic xmlns:a="http://schemas.openxmlformats.org/drawingml/2006/main">
                  <a:graphicData uri="http://schemas.microsoft.com/office/word/2010/wordprocessingShape">
                    <wps:wsp>
                      <wps:cNvSpPr txBox="1"/>
                      <wps:spPr>
                        <a:xfrm>
                          <a:off x="0" y="0"/>
                          <a:ext cx="1698625" cy="272415"/>
                        </a:xfrm>
                        <a:prstGeom prst="rect">
                          <a:avLst/>
                        </a:prstGeom>
                        <a:noFill/>
                        <a:ln>
                          <a:noFill/>
                        </a:ln>
                      </wps:spPr>
                      <wps:txbx>
                        <w:txbxContent>
                          <w:p>
                            <w:pPr>
                              <w:autoSpaceDE w:val="0"/>
                              <w:autoSpaceDN w:val="0"/>
                              <w:adjustRightInd w:val="0"/>
                              <w:spacing w:after="0" w:line="210" w:lineRule="exact"/>
                            </w:pPr>
                          </w:p>
                        </w:txbxContent>
                      </wps:txbx>
                      <wps:bodyPr lIns="0" tIns="0" rIns="0" bIns="0" upright="1"/>
                    </wps:wsp>
                  </a:graphicData>
                </a:graphic>
              </wp:anchor>
            </w:drawing>
          </mc:Choice>
          <mc:Fallback>
            <w:pict>
              <v:shape id="wondershare_69" o:spid="_x0000_s1026" o:spt="202" type="#_x0000_t202" style="position:absolute;left:0pt;margin-left:413.3pt;margin-top:165.7pt;height:21.45pt;width:133.75pt;mso-position-horizontal-relative:page;mso-position-vertical-relative:page;z-index:-251660288;mso-width-relative:page;mso-height-relative:page;" filled="f" stroked="f" coordsize="21600,21600" o:gfxdata="UEsDBAoAAAAAAIdO4kAAAAAAAAAAAAAAAAAEAAAAZHJzL1BLAwQUAAAACACHTuJAe9vuxNsAAAAM&#10;AQAADwAAAGRycy9kb3ducmV2LnhtbE2Py07DMBBF90j8gzVI7KidJgptiFMhBCskRBoWLJ14mliN&#10;xyF2H/w97oouZ+bozrnl5mxHdsTZG0cSkoUAhtQ5baiX8NW8PayA+aBIq9ERSvhFD5vq9qZUhXYn&#10;qvG4DT2LIeQLJWEIYSo4992AVvmFm5Dibedmq0Ic557rWZ1iuB35UoicW2UofhjUhC8DdvvtwUp4&#10;/qb61fx8tJ/1rjZNsxb0nu+lvL9LxBOwgOfwD8NFP6pDFZ1adyDt2ShhtczziEpI0yQDdiHEOkuA&#10;tXH1mKXAq5Jfl6j+AFBLAwQUAAAACACHTuJAdJKGZJMBAAAnAwAADgAAAGRycy9lMm9Eb2MueG1s&#10;rVLBbhshEL1Xyj8g7jX2qnGTldeRqihRpKqtlPZcYRa8SMCggXjXf98Be520vVW9wDAzPN57w+Zu&#10;8o4dNCYLoeOrxZIzHRT0Nuw7/uP7w/sbzlKWoZcOgu74USd+t716txljqxsYwPUaGYGE1I6x40PO&#10;sRUiqUF7mRYQdaCiAfQy0xH3okc5Erp3olku12IE7COC0ilR9v5U5NuKb4xW+asxSWfmOk7ccl2x&#10;rruyiu1GtnuUcbDqTEP+AwsvbaBHL1D3Mkv2gvYvKG8VQgKTFwq8AGOs0lUDqVkt/1DzPMioqxYy&#10;J8WLTen/waovh2/IbN/xhrMgPY1ohEAzSYNE/XN9WxwaY2qp8TlSa54+wUSTnvOJkkX4ZNCXnSQx&#10;qpPXx4u/espMlUvr25t1c82Zolrzsfmwui4w4vV2xJQfNXhWgo4jza/aKg+fUz61zi3lsQAP1rk6&#10;Qxd+SxBmyYhC/USxRHnaTWc9O+iPJMc9BXKz/Iw5wDnYzcFLRLsfiE4VXSFpGpX3+eeUcb8914df&#10;//f2F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AAAAABkcnMvUEsBAhQAFAAAAAgAh07iQHvb7sTbAAAADAEAAA8AAAAAAAAAAQAgAAAAIgAA&#10;AGRycy9kb3ducmV2LnhtbFBLAQIUABQAAAAIAIdO4kB0koZkkwEAACcDAAAOAAAAAAAAAAEAIAAA&#10;ACoBAABkcnMvZTJvRG9jLnhtbFBLBQYAAAAABgAGAFkBAAAvBQAAAAA=&#10;">
                <v:fill on="f" focussize="0,0"/>
                <v:stroke on="f"/>
                <v:imagedata o:title=""/>
                <o:lock v:ext="edit" aspectratio="f"/>
                <v:textbox inset="0mm,0mm,0mm,0mm">
                  <w:txbxContent>
                    <w:p>
                      <w:pPr>
                        <w:autoSpaceDE w:val="0"/>
                        <w:autoSpaceDN w:val="0"/>
                        <w:adjustRightInd w:val="0"/>
                        <w:spacing w:after="0" w:line="210" w:lineRule="exact"/>
                      </w:pPr>
                    </w:p>
                  </w:txbxContent>
                </v:textbox>
              </v:shape>
            </w:pict>
          </mc:Fallback>
        </mc:AlternateContent>
      </w:r>
      <w:r>
        <w:rPr>
          <w:rFonts w:hint="eastAsia" w:ascii="宋体" w:hAnsi="宋体" w:eastAsia="宋体" w:cs="宋体"/>
          <w:color w:val="auto"/>
          <w:spacing w:val="-1"/>
          <w:highlight w:val="none"/>
        </w:rPr>
        <w:t>项目名称</w:t>
      </w:r>
      <w:r>
        <w:rPr>
          <w:rFonts w:ascii="宋体" w:hAnsi="宋体" w:eastAsia="宋体" w:cs="宋体"/>
          <w:color w:val="auto"/>
          <w:spacing w:val="-1"/>
          <w:highlight w:val="none"/>
        </w:rPr>
        <w:t>:</w:t>
      </w:r>
    </w:p>
    <w:p>
      <w:pPr>
        <w:spacing w:after="0" w:line="360" w:lineRule="auto"/>
        <w:ind w:left="134" w:firstLine="6510" w:firstLineChars="3100"/>
        <w:rPr>
          <w:color w:val="auto"/>
          <w:highlight w:val="none"/>
        </w:rPr>
      </w:pPr>
      <w:r>
        <w:rPr>
          <w:color w:val="auto"/>
          <w:highlight w:val="none"/>
        </w:rPr>
        <w:t>金额单位：人民币（元）</w:t>
      </w:r>
    </w:p>
    <w:p>
      <w:pPr>
        <w:spacing w:after="0" w:line="360" w:lineRule="auto"/>
        <w:ind w:left="134"/>
        <w:rPr>
          <w:color w:val="auto"/>
          <w:highlight w:val="none"/>
        </w:rPr>
      </w:pPr>
    </w:p>
    <w:p>
      <w:pPr>
        <w:spacing w:after="0" w:line="360" w:lineRule="auto"/>
        <w:ind w:left="134"/>
        <w:rPr>
          <w:color w:val="auto"/>
          <w:highlight w:val="none"/>
        </w:rPr>
      </w:pPr>
    </w:p>
    <w:p>
      <w:pPr>
        <w:spacing w:after="0" w:line="360" w:lineRule="auto"/>
        <w:ind w:left="134" w:firstLine="6826"/>
        <w:rPr>
          <w:color w:val="auto"/>
          <w:highlight w:val="none"/>
        </w:rPr>
      </w:pPr>
    </w:p>
    <w:p>
      <w:pPr>
        <w:widowControl/>
        <w:spacing w:line="360" w:lineRule="auto"/>
        <w:rPr>
          <w:color w:val="auto"/>
          <w:highlight w:val="none"/>
        </w:rPr>
        <w:sectPr>
          <w:type w:val="continuous"/>
          <w:pgSz w:w="11907" w:h="16840"/>
          <w:pgMar w:top="434" w:right="946" w:bottom="194" w:left="1306" w:header="0" w:footer="0" w:gutter="0"/>
          <w:cols w:equalWidth="0" w:num="1">
            <w:col w:w="9655"/>
          </w:cols>
          <w:docGrid w:type="lines" w:linePitch="312" w:charSpace="0"/>
        </w:sectPr>
      </w:pPr>
    </w:p>
    <w:p>
      <w:pPr>
        <w:spacing w:after="0" w:line="360" w:lineRule="auto"/>
        <w:ind w:left="134" w:firstLine="6826"/>
        <w:rPr>
          <w:color w:val="auto"/>
          <w:highlight w:val="none"/>
        </w:rPr>
      </w:pPr>
    </w:p>
    <w:p>
      <w:pPr>
        <w:spacing w:after="0" w:line="240" w:lineRule="exact"/>
        <w:ind w:left="134" w:firstLine="6826"/>
        <w:rPr>
          <w:color w:val="auto"/>
          <w:highlight w:val="none"/>
        </w:rPr>
      </w:pPr>
    </w:p>
    <w:p>
      <w:pPr>
        <w:spacing w:after="0" w:line="240" w:lineRule="exact"/>
        <w:ind w:left="134" w:firstLine="6826"/>
        <w:rPr>
          <w:color w:val="auto"/>
          <w:highlight w:val="none"/>
        </w:rPr>
      </w:pPr>
    </w:p>
    <w:p>
      <w:pPr>
        <w:spacing w:after="0" w:line="240" w:lineRule="exact"/>
        <w:ind w:left="134" w:firstLine="6826"/>
        <w:rPr>
          <w:color w:val="auto"/>
          <w:highlight w:val="none"/>
        </w:rPr>
      </w:pPr>
    </w:p>
    <w:p>
      <w:pPr>
        <w:spacing w:after="0" w:line="240" w:lineRule="exact"/>
        <w:ind w:left="134" w:firstLine="6826"/>
        <w:rPr>
          <w:color w:val="auto"/>
          <w:highlight w:val="none"/>
        </w:rPr>
      </w:pPr>
    </w:p>
    <w:p>
      <w:pPr>
        <w:spacing w:after="0" w:line="240" w:lineRule="exact"/>
        <w:ind w:left="134" w:firstLine="6826"/>
        <w:rPr>
          <w:color w:val="auto"/>
          <w:highlight w:val="none"/>
        </w:rPr>
      </w:pPr>
    </w:p>
    <w:p>
      <w:pPr>
        <w:spacing w:after="0" w:line="240" w:lineRule="exact"/>
        <w:ind w:left="134" w:firstLine="6826"/>
        <w:rPr>
          <w:color w:val="auto"/>
          <w:highlight w:val="none"/>
        </w:rPr>
      </w:pPr>
    </w:p>
    <w:p>
      <w:pPr>
        <w:spacing w:after="0" w:line="240" w:lineRule="exact"/>
        <w:ind w:left="134" w:firstLine="6826"/>
        <w:rPr>
          <w:color w:val="auto"/>
          <w:highlight w:val="none"/>
        </w:rPr>
      </w:pPr>
    </w:p>
    <w:p>
      <w:pPr>
        <w:spacing w:after="0" w:line="240" w:lineRule="exact"/>
        <w:ind w:left="134" w:firstLine="6826"/>
        <w:rPr>
          <w:color w:val="auto"/>
          <w:highlight w:val="none"/>
        </w:rPr>
      </w:pPr>
    </w:p>
    <w:p>
      <w:pPr>
        <w:spacing w:after="0" w:line="240" w:lineRule="exact"/>
        <w:ind w:left="134" w:firstLine="6826"/>
        <w:rPr>
          <w:color w:val="auto"/>
          <w:highlight w:val="none"/>
        </w:rPr>
      </w:pPr>
    </w:p>
    <w:p>
      <w:pPr>
        <w:spacing w:after="0" w:line="240" w:lineRule="exact"/>
        <w:ind w:left="134" w:firstLine="6826"/>
        <w:rPr>
          <w:color w:val="auto"/>
          <w:highlight w:val="none"/>
        </w:rPr>
      </w:pPr>
    </w:p>
    <w:p>
      <w:pPr>
        <w:spacing w:after="0" w:line="240" w:lineRule="exact"/>
        <w:ind w:left="134" w:firstLine="6826"/>
        <w:rPr>
          <w:color w:val="auto"/>
          <w:highlight w:val="none"/>
        </w:rPr>
      </w:pPr>
    </w:p>
    <w:p>
      <w:pPr>
        <w:spacing w:after="0" w:line="240" w:lineRule="exact"/>
        <w:ind w:left="134" w:firstLine="6826"/>
        <w:rPr>
          <w:color w:val="auto"/>
          <w:highlight w:val="none"/>
        </w:rPr>
      </w:pPr>
    </w:p>
    <w:p>
      <w:pPr>
        <w:spacing w:after="0" w:line="240" w:lineRule="exact"/>
        <w:ind w:left="134" w:firstLine="6826"/>
        <w:rPr>
          <w:color w:val="auto"/>
          <w:highlight w:val="none"/>
        </w:rPr>
      </w:pPr>
    </w:p>
    <w:p>
      <w:pPr>
        <w:spacing w:after="0" w:line="240" w:lineRule="exact"/>
        <w:ind w:left="134" w:firstLine="6826"/>
        <w:rPr>
          <w:color w:val="auto"/>
          <w:highlight w:val="none"/>
        </w:rPr>
      </w:pPr>
    </w:p>
    <w:p>
      <w:pPr>
        <w:spacing w:after="0" w:line="240" w:lineRule="exact"/>
        <w:ind w:left="134" w:firstLine="6826"/>
        <w:rPr>
          <w:color w:val="auto"/>
          <w:highlight w:val="none"/>
        </w:rPr>
      </w:pPr>
    </w:p>
    <w:p>
      <w:pPr>
        <w:spacing w:after="0" w:line="240" w:lineRule="exact"/>
        <w:ind w:left="134" w:firstLine="6826"/>
        <w:rPr>
          <w:color w:val="auto"/>
          <w:highlight w:val="none"/>
        </w:rPr>
      </w:pPr>
    </w:p>
    <w:p>
      <w:pPr>
        <w:spacing w:after="0" w:line="240" w:lineRule="exact"/>
        <w:ind w:left="134" w:firstLine="6826"/>
        <w:rPr>
          <w:color w:val="auto"/>
          <w:highlight w:val="none"/>
        </w:rPr>
      </w:pPr>
    </w:p>
    <w:p>
      <w:pPr>
        <w:spacing w:after="0" w:line="240" w:lineRule="exact"/>
        <w:ind w:left="134" w:firstLine="6826"/>
        <w:rPr>
          <w:color w:val="auto"/>
          <w:highlight w:val="none"/>
        </w:rPr>
      </w:pPr>
    </w:p>
    <w:p>
      <w:pPr>
        <w:spacing w:after="0" w:line="240" w:lineRule="exact"/>
        <w:ind w:left="134" w:firstLine="6826"/>
        <w:rPr>
          <w:color w:val="auto"/>
          <w:highlight w:val="none"/>
        </w:rPr>
      </w:pPr>
    </w:p>
    <w:p>
      <w:pPr>
        <w:spacing w:after="0" w:line="240" w:lineRule="exact"/>
        <w:ind w:left="134" w:firstLine="6826"/>
        <w:rPr>
          <w:color w:val="auto"/>
          <w:highlight w:val="none"/>
        </w:rPr>
      </w:pPr>
    </w:p>
    <w:p>
      <w:pPr>
        <w:spacing w:after="0" w:line="240" w:lineRule="exact"/>
        <w:ind w:left="134" w:firstLine="6826"/>
        <w:rPr>
          <w:color w:val="auto"/>
          <w:highlight w:val="none"/>
        </w:rPr>
      </w:pPr>
    </w:p>
    <w:p>
      <w:pPr>
        <w:spacing w:after="0" w:line="240" w:lineRule="exact"/>
        <w:ind w:left="134" w:firstLine="6826"/>
        <w:rPr>
          <w:color w:val="auto"/>
          <w:highlight w:val="none"/>
        </w:rPr>
      </w:pPr>
    </w:p>
    <w:p>
      <w:pPr>
        <w:spacing w:after="0" w:line="240" w:lineRule="exact"/>
        <w:ind w:left="134" w:firstLine="6826"/>
        <w:rPr>
          <w:color w:val="auto"/>
          <w:highlight w:val="none"/>
        </w:rPr>
      </w:pPr>
    </w:p>
    <w:p>
      <w:pPr>
        <w:spacing w:after="0" w:line="240" w:lineRule="exact"/>
        <w:ind w:left="134" w:firstLine="6826"/>
        <w:rPr>
          <w:color w:val="auto"/>
          <w:highlight w:val="none"/>
        </w:rPr>
      </w:pPr>
    </w:p>
    <w:p>
      <w:pPr>
        <w:spacing w:after="0" w:line="240" w:lineRule="exact"/>
        <w:ind w:left="134" w:firstLine="6826"/>
        <w:rPr>
          <w:color w:val="auto"/>
          <w:highlight w:val="none"/>
        </w:rPr>
      </w:pPr>
    </w:p>
    <w:p>
      <w:pPr>
        <w:spacing w:after="0" w:line="240" w:lineRule="exact"/>
        <w:ind w:left="134" w:firstLine="6826"/>
        <w:rPr>
          <w:color w:val="auto"/>
          <w:highlight w:val="none"/>
        </w:rPr>
      </w:pPr>
    </w:p>
    <w:p>
      <w:pPr>
        <w:rPr>
          <w:rFonts w:ascii="宋体" w:hAnsi="宋体"/>
          <w:color w:val="auto"/>
          <w:kern w:val="0"/>
          <w:szCs w:val="21"/>
          <w:highlight w:val="none"/>
        </w:rPr>
      </w:pPr>
      <w:r>
        <w:rPr>
          <w:rFonts w:ascii="宋体" w:hAnsi="宋体" w:eastAsia="宋体" w:cs="宋体"/>
          <w:color w:val="auto"/>
          <w:spacing w:val="-1"/>
          <w:highlight w:val="none"/>
        </w:rPr>
        <w:t>注：</w:t>
      </w:r>
      <w:bookmarkStart w:id="82" w:name="_Toc27976"/>
      <w:bookmarkStart w:id="83" w:name="_Toc7233"/>
      <w:r>
        <w:rPr>
          <w:rFonts w:hint="eastAsia" w:ascii="宋体" w:hAnsi="宋体"/>
          <w:bCs/>
          <w:color w:val="auto"/>
          <w:kern w:val="0"/>
          <w:szCs w:val="21"/>
          <w:highlight w:val="none"/>
        </w:rPr>
        <w:t>1、</w:t>
      </w:r>
      <w:bookmarkEnd w:id="82"/>
      <w:bookmarkEnd w:id="83"/>
      <w:r>
        <w:rPr>
          <w:rFonts w:hint="eastAsia" w:ascii="宋体" w:hAnsi="宋体"/>
          <w:color w:val="auto"/>
          <w:kern w:val="0"/>
          <w:szCs w:val="21"/>
          <w:highlight w:val="none"/>
        </w:rPr>
        <w:t>本项目的总报价应包含数据采集、资料的收集、报告编制、领用涉密文件（测绘成果）、提供成果文件、对本项目所产生的所有开支、人力投入成本、技术投入、利润、税金、交通费、评审费、合同约定的应由中标人承担的开支、责任和风险等所发生的各项费用的总和。</w:t>
      </w:r>
    </w:p>
    <w:p>
      <w:pPr>
        <w:spacing w:after="0" w:line="240" w:lineRule="exact"/>
        <w:ind w:left="134"/>
        <w:rPr>
          <w:color w:val="auto"/>
          <w:highlight w:val="none"/>
        </w:rPr>
      </w:pPr>
      <w:r>
        <w:rPr>
          <w:rFonts w:hint="eastAsia"/>
          <w:color w:val="auto"/>
          <w:highlight w:val="none"/>
        </w:rPr>
        <w:t>2、本项目报价含税金及成交单位提供以上所有服务发生的一切费用。</w:t>
      </w:r>
    </w:p>
    <w:p>
      <w:pPr>
        <w:spacing w:after="0" w:line="240" w:lineRule="exact"/>
        <w:ind w:left="134"/>
        <w:rPr>
          <w:color w:val="auto"/>
          <w:highlight w:val="none"/>
        </w:rPr>
      </w:pPr>
    </w:p>
    <w:p>
      <w:pPr>
        <w:spacing w:after="0" w:line="278" w:lineRule="exact"/>
        <w:ind w:left="134" w:firstLine="3149"/>
        <w:rPr>
          <w:color w:val="auto"/>
          <w:highlight w:val="none"/>
        </w:rPr>
      </w:pPr>
      <w:r>
        <w:rPr>
          <w:rFonts w:ascii="宋体" w:hAnsi="宋体" w:eastAsia="宋体" w:cs="宋体"/>
          <w:color w:val="auto"/>
          <w:spacing w:val="-1"/>
          <w:highlight w:val="none"/>
        </w:rPr>
        <w:t>法定代表人或法定代表人授权代表（签字或盖章）:</w:t>
      </w:r>
    </w:p>
    <w:p>
      <w:pPr>
        <w:spacing w:after="0" w:line="240" w:lineRule="exact"/>
        <w:ind w:left="134" w:firstLine="3149"/>
        <w:rPr>
          <w:color w:val="auto"/>
          <w:highlight w:val="none"/>
        </w:rPr>
      </w:pPr>
    </w:p>
    <w:p>
      <w:pPr>
        <w:spacing w:after="0" w:line="262" w:lineRule="exact"/>
        <w:ind w:left="134" w:firstLine="3149"/>
        <w:rPr>
          <w:color w:val="auto"/>
          <w:highlight w:val="none"/>
        </w:rPr>
      </w:pPr>
      <w:r>
        <w:rPr>
          <w:rFonts w:ascii="宋体" w:hAnsi="宋体" w:eastAsia="宋体" w:cs="宋体"/>
          <w:color w:val="auto"/>
          <w:spacing w:val="-1"/>
          <w:highlight w:val="none"/>
        </w:rPr>
        <w:t>磋商供应商名称（签章）：</w:t>
      </w:r>
    </w:p>
    <w:p>
      <w:pPr>
        <w:spacing w:after="0" w:line="240" w:lineRule="exact"/>
        <w:ind w:left="134" w:firstLine="3149"/>
        <w:rPr>
          <w:color w:val="auto"/>
          <w:highlight w:val="none"/>
        </w:rPr>
      </w:pPr>
    </w:p>
    <w:p>
      <w:pPr>
        <w:tabs>
          <w:tab w:val="left" w:pos="4860"/>
          <w:tab w:val="left" w:pos="5594"/>
          <w:tab w:val="left" w:pos="6223"/>
        </w:tabs>
        <w:spacing w:after="0" w:line="259" w:lineRule="exact"/>
        <w:ind w:left="134" w:firstLine="3149"/>
        <w:rPr>
          <w:color w:val="auto"/>
          <w:highlight w:val="none"/>
        </w:rPr>
      </w:pPr>
      <w:r>
        <w:rPr>
          <w:rFonts w:ascii="宋体" w:hAnsi="宋体" w:eastAsia="宋体" w:cs="宋体"/>
          <w:color w:val="auto"/>
          <w:spacing w:val="-1"/>
          <w:highlight w:val="none"/>
        </w:rPr>
        <w:t>报价时间：</w:t>
      </w:r>
      <w:r>
        <w:rPr>
          <w:rFonts w:cs="Calibri"/>
          <w:color w:val="auto"/>
          <w:highlight w:val="none"/>
        </w:rPr>
        <w:tab/>
      </w:r>
      <w:r>
        <w:rPr>
          <w:rFonts w:ascii="宋体" w:hAnsi="宋体" w:eastAsia="宋体" w:cs="宋体"/>
          <w:color w:val="auto"/>
          <w:spacing w:val="-2"/>
          <w:highlight w:val="none"/>
        </w:rPr>
        <w:t>年</w:t>
      </w:r>
      <w:r>
        <w:rPr>
          <w:rFonts w:cs="Calibri"/>
          <w:color w:val="auto"/>
          <w:highlight w:val="none"/>
        </w:rPr>
        <w:tab/>
      </w:r>
      <w:r>
        <w:rPr>
          <w:rFonts w:ascii="宋体" w:hAnsi="宋体" w:eastAsia="宋体" w:cs="宋体"/>
          <w:color w:val="auto"/>
          <w:spacing w:val="-2"/>
          <w:highlight w:val="none"/>
        </w:rPr>
        <w:t>月</w:t>
      </w:r>
      <w:r>
        <w:rPr>
          <w:rFonts w:cs="Calibri"/>
          <w:color w:val="auto"/>
          <w:highlight w:val="none"/>
        </w:rPr>
        <w:tab/>
      </w:r>
      <w:r>
        <w:rPr>
          <w:rFonts w:ascii="宋体" w:hAnsi="宋体" w:eastAsia="宋体" w:cs="宋体"/>
          <w:color w:val="auto"/>
          <w:spacing w:val="-2"/>
          <w:highlight w:val="none"/>
        </w:rPr>
        <w:t>日</w:t>
      </w:r>
    </w:p>
    <w:p>
      <w:pPr>
        <w:widowControl/>
        <w:rPr>
          <w:color w:val="auto"/>
          <w:highlight w:val="none"/>
        </w:rPr>
        <w:sectPr>
          <w:type w:val="continuous"/>
          <w:pgSz w:w="11907" w:h="16840"/>
          <w:pgMar w:top="434" w:right="946" w:bottom="194" w:left="1306" w:header="0" w:footer="0" w:gutter="0"/>
          <w:cols w:equalWidth="0" w:num="1">
            <w:col w:w="9655"/>
          </w:cols>
          <w:docGrid w:type="lines" w:linePitch="312" w:charSpace="0"/>
        </w:sectPr>
      </w:pPr>
    </w:p>
    <w:p>
      <w:pPr>
        <w:spacing w:after="0" w:line="240" w:lineRule="exact"/>
        <w:ind w:left="134" w:firstLine="3149"/>
        <w:rPr>
          <w:color w:val="auto"/>
          <w:highlight w:val="none"/>
        </w:rPr>
      </w:pPr>
    </w:p>
    <w:p>
      <w:pPr>
        <w:spacing w:after="0" w:line="240" w:lineRule="exact"/>
        <w:rPr>
          <w:color w:val="auto"/>
          <w:highlight w:val="none"/>
        </w:rPr>
      </w:pPr>
    </w:p>
    <w:p>
      <w:pPr>
        <w:spacing w:after="0" w:line="240" w:lineRule="exact"/>
        <w:ind w:left="134" w:firstLine="3149"/>
        <w:rPr>
          <w:color w:val="auto"/>
          <w:highlight w:val="none"/>
        </w:rPr>
      </w:pPr>
    </w:p>
    <w:p>
      <w:pPr>
        <w:spacing w:after="0" w:line="240" w:lineRule="exact"/>
        <w:ind w:left="134" w:firstLine="3149"/>
        <w:rPr>
          <w:color w:val="auto"/>
          <w:highlight w:val="none"/>
        </w:rPr>
      </w:pPr>
    </w:p>
    <w:p>
      <w:pPr>
        <w:widowControl/>
        <w:rPr>
          <w:color w:val="auto"/>
          <w:highlight w:val="none"/>
        </w:rPr>
        <w:sectPr>
          <w:type w:val="continuous"/>
          <w:pgSz w:w="11907" w:h="16840"/>
          <w:pgMar w:top="434" w:right="946" w:bottom="194" w:left="1306" w:header="0" w:footer="0" w:gutter="0"/>
          <w:cols w:equalWidth="0" w:num="1">
            <w:col w:w="9655"/>
          </w:cols>
          <w:docGrid w:type="lines" w:linePitch="312" w:charSpace="0"/>
        </w:sectPr>
      </w:pPr>
    </w:p>
    <w:p>
      <w:pPr>
        <w:spacing w:after="0" w:line="161" w:lineRule="exact"/>
        <w:rPr>
          <w:color w:val="auto"/>
          <w:highlight w:val="none"/>
        </w:rPr>
      </w:pPr>
      <w:bookmarkStart w:id="84" w:name="36"/>
      <w:bookmarkEnd w:id="84"/>
    </w:p>
    <w:p>
      <w:pPr>
        <w:widowControl/>
        <w:rPr>
          <w:color w:val="auto"/>
          <w:highlight w:val="none"/>
        </w:rPr>
        <w:sectPr>
          <w:type w:val="continuous"/>
          <w:pgSz w:w="11907" w:h="16839"/>
          <w:pgMar w:top="434" w:right="1020" w:bottom="194" w:left="1380" w:header="0" w:footer="0" w:gutter="0"/>
          <w:cols w:equalWidth="0" w:num="1">
            <w:col w:w="9507"/>
          </w:cols>
          <w:docGrid w:type="lines" w:linePitch="312" w:charSpace="0"/>
        </w:sectPr>
      </w:pPr>
    </w:p>
    <w:p>
      <w:pPr>
        <w:spacing w:after="0" w:line="240" w:lineRule="exact"/>
        <w:ind w:left="60"/>
        <w:rPr>
          <w:color w:val="auto"/>
          <w:highlight w:val="none"/>
        </w:rPr>
      </w:pPr>
    </w:p>
    <w:p>
      <w:pPr>
        <w:spacing w:after="0" w:line="240" w:lineRule="exact"/>
        <w:ind w:left="60"/>
        <w:rPr>
          <w:color w:val="auto"/>
          <w:highlight w:val="none"/>
        </w:rPr>
      </w:pPr>
    </w:p>
    <w:p>
      <w:pPr>
        <w:spacing w:after="0" w:line="240" w:lineRule="exact"/>
        <w:ind w:left="60"/>
        <w:rPr>
          <w:color w:val="auto"/>
          <w:highlight w:val="none"/>
        </w:rPr>
      </w:pPr>
    </w:p>
    <w:p>
      <w:pPr>
        <w:spacing w:after="0" w:line="240" w:lineRule="exact"/>
        <w:ind w:left="60"/>
        <w:rPr>
          <w:color w:val="auto"/>
          <w:highlight w:val="none"/>
        </w:rPr>
      </w:pPr>
    </w:p>
    <w:p>
      <w:pPr>
        <w:spacing w:after="0" w:line="240" w:lineRule="exact"/>
        <w:ind w:left="60"/>
        <w:rPr>
          <w:color w:val="auto"/>
          <w:highlight w:val="none"/>
        </w:rPr>
      </w:pPr>
    </w:p>
    <w:p>
      <w:pPr>
        <w:spacing w:after="0" w:line="240" w:lineRule="exact"/>
        <w:ind w:left="60"/>
        <w:rPr>
          <w:color w:val="auto"/>
          <w:highlight w:val="none"/>
        </w:rPr>
      </w:pPr>
    </w:p>
    <w:p>
      <w:pPr>
        <w:spacing w:after="0" w:line="240" w:lineRule="exact"/>
        <w:ind w:left="60"/>
        <w:rPr>
          <w:color w:val="auto"/>
          <w:highlight w:val="none"/>
        </w:rPr>
      </w:pPr>
    </w:p>
    <w:p>
      <w:pPr>
        <w:spacing w:after="0" w:line="240" w:lineRule="exact"/>
        <w:ind w:left="60"/>
        <w:rPr>
          <w:color w:val="auto"/>
          <w:highlight w:val="none"/>
        </w:rPr>
      </w:pPr>
    </w:p>
    <w:p>
      <w:pPr>
        <w:spacing w:after="0" w:line="240" w:lineRule="exact"/>
        <w:ind w:left="60"/>
        <w:rPr>
          <w:color w:val="auto"/>
          <w:highlight w:val="none"/>
        </w:rPr>
      </w:pPr>
    </w:p>
    <w:p>
      <w:pPr>
        <w:spacing w:after="0" w:line="240" w:lineRule="exact"/>
        <w:ind w:left="60"/>
        <w:rPr>
          <w:color w:val="auto"/>
          <w:highlight w:val="none"/>
        </w:rPr>
      </w:pPr>
    </w:p>
    <w:p>
      <w:pPr>
        <w:spacing w:after="0" w:line="240" w:lineRule="exact"/>
        <w:ind w:left="60"/>
        <w:rPr>
          <w:color w:val="auto"/>
          <w:highlight w:val="none"/>
        </w:rPr>
      </w:pPr>
    </w:p>
    <w:p>
      <w:pPr>
        <w:spacing w:after="0" w:line="240" w:lineRule="exact"/>
        <w:ind w:left="60"/>
        <w:rPr>
          <w:color w:val="auto"/>
          <w:highlight w:val="none"/>
        </w:rPr>
      </w:pPr>
    </w:p>
    <w:p>
      <w:pPr>
        <w:spacing w:after="0" w:line="240" w:lineRule="exact"/>
        <w:ind w:left="60"/>
        <w:rPr>
          <w:color w:val="auto"/>
          <w:highlight w:val="none"/>
        </w:rPr>
      </w:pPr>
    </w:p>
    <w:p>
      <w:pPr>
        <w:spacing w:after="0" w:line="240" w:lineRule="exact"/>
        <w:ind w:left="60"/>
        <w:rPr>
          <w:color w:val="auto"/>
          <w:highlight w:val="none"/>
        </w:rPr>
      </w:pPr>
    </w:p>
    <w:p>
      <w:pPr>
        <w:spacing w:after="0" w:line="240" w:lineRule="exact"/>
        <w:ind w:left="60"/>
        <w:rPr>
          <w:color w:val="auto"/>
          <w:highlight w:val="none"/>
        </w:rPr>
      </w:pPr>
    </w:p>
    <w:p>
      <w:pPr>
        <w:spacing w:after="0" w:line="240" w:lineRule="exact"/>
        <w:ind w:left="60"/>
        <w:rPr>
          <w:color w:val="auto"/>
          <w:highlight w:val="none"/>
        </w:rPr>
      </w:pPr>
    </w:p>
    <w:p>
      <w:pPr>
        <w:spacing w:after="0" w:line="240" w:lineRule="exact"/>
        <w:ind w:left="60"/>
        <w:rPr>
          <w:color w:val="auto"/>
          <w:highlight w:val="none"/>
        </w:rPr>
      </w:pPr>
    </w:p>
    <w:p>
      <w:pPr>
        <w:spacing w:after="0" w:line="303" w:lineRule="exact"/>
        <w:ind w:left="60"/>
        <w:rPr>
          <w:color w:val="auto"/>
          <w:highlight w:val="none"/>
        </w:rPr>
      </w:pPr>
    </w:p>
    <w:p>
      <w:pPr>
        <w:widowControl/>
        <w:rPr>
          <w:color w:val="auto"/>
          <w:highlight w:val="none"/>
        </w:rPr>
        <w:sectPr>
          <w:type w:val="continuous"/>
          <w:pgSz w:w="11907" w:h="16839"/>
          <w:pgMar w:top="434" w:right="1020" w:bottom="194" w:left="1380" w:header="0" w:footer="0" w:gutter="0"/>
          <w:cols w:space="720" w:num="1"/>
          <w:docGrid w:type="lines" w:linePitch="312" w:charSpace="0"/>
        </w:sectPr>
      </w:pPr>
    </w:p>
    <w:p>
      <w:pPr>
        <w:spacing w:after="0" w:line="440" w:lineRule="exact"/>
        <w:ind w:left="3235"/>
        <w:outlineLvl w:val="0"/>
        <w:rPr>
          <w:color w:val="auto"/>
          <w:highlight w:val="none"/>
        </w:rPr>
      </w:pPr>
      <w:r>
        <w:rPr>
          <w:rFonts w:ascii="宋体" w:hAnsi="宋体" w:cs="宋体"/>
          <w:color w:val="auto"/>
          <w:sz w:val="44"/>
          <w:highlight w:val="none"/>
        </w:rPr>
        <w:t>二、商务文件</w:t>
      </w:r>
    </w:p>
    <w:p>
      <w:pPr>
        <w:widowControl/>
        <w:rPr>
          <w:color w:val="auto"/>
          <w:highlight w:val="none"/>
        </w:rPr>
        <w:sectPr>
          <w:type w:val="continuous"/>
          <w:pgSz w:w="11907" w:h="16839"/>
          <w:pgMar w:top="434" w:right="1020" w:bottom="194" w:left="1380" w:header="0" w:footer="0" w:gutter="0"/>
          <w:cols w:equalWidth="0" w:num="1">
            <w:col w:w="9507"/>
          </w:cols>
          <w:docGrid w:type="lines" w:linePitch="312" w:charSpace="0"/>
        </w:sectPr>
      </w:pPr>
    </w:p>
    <w:p>
      <w:pPr>
        <w:spacing w:after="0" w:line="240" w:lineRule="exact"/>
        <w:ind w:left="3235"/>
        <w:rPr>
          <w:color w:val="auto"/>
          <w:highlight w:val="none"/>
        </w:rPr>
      </w:pPr>
    </w:p>
    <w:p>
      <w:pPr>
        <w:spacing w:after="0" w:line="240" w:lineRule="exact"/>
        <w:ind w:left="3235"/>
        <w:rPr>
          <w:color w:val="auto"/>
          <w:highlight w:val="none"/>
        </w:rPr>
      </w:pPr>
    </w:p>
    <w:p>
      <w:pPr>
        <w:spacing w:after="0" w:line="240" w:lineRule="exact"/>
        <w:ind w:left="3235"/>
        <w:rPr>
          <w:color w:val="auto"/>
          <w:highlight w:val="none"/>
        </w:rPr>
      </w:pPr>
    </w:p>
    <w:p>
      <w:pPr>
        <w:spacing w:after="0" w:line="240" w:lineRule="exact"/>
        <w:ind w:left="3235"/>
        <w:rPr>
          <w:color w:val="auto"/>
          <w:highlight w:val="none"/>
        </w:rPr>
      </w:pPr>
    </w:p>
    <w:p>
      <w:pPr>
        <w:spacing w:after="0" w:line="240" w:lineRule="exact"/>
        <w:ind w:left="3235"/>
        <w:rPr>
          <w:color w:val="auto"/>
          <w:highlight w:val="none"/>
        </w:rPr>
      </w:pPr>
    </w:p>
    <w:p>
      <w:pPr>
        <w:spacing w:after="0" w:line="240" w:lineRule="exact"/>
        <w:ind w:left="3235"/>
        <w:rPr>
          <w:color w:val="auto"/>
          <w:highlight w:val="none"/>
        </w:rPr>
      </w:pPr>
    </w:p>
    <w:p>
      <w:pPr>
        <w:spacing w:after="0" w:line="240" w:lineRule="exact"/>
        <w:ind w:left="3235"/>
        <w:rPr>
          <w:color w:val="auto"/>
          <w:highlight w:val="none"/>
        </w:rPr>
      </w:pPr>
    </w:p>
    <w:p>
      <w:pPr>
        <w:spacing w:after="0" w:line="240" w:lineRule="exact"/>
        <w:ind w:left="3235"/>
        <w:rPr>
          <w:color w:val="auto"/>
          <w:highlight w:val="none"/>
        </w:rPr>
      </w:pPr>
    </w:p>
    <w:p>
      <w:pPr>
        <w:spacing w:after="0" w:line="240" w:lineRule="exact"/>
        <w:ind w:left="3235"/>
        <w:rPr>
          <w:color w:val="auto"/>
          <w:highlight w:val="none"/>
        </w:rPr>
      </w:pPr>
    </w:p>
    <w:p>
      <w:pPr>
        <w:spacing w:after="0" w:line="240" w:lineRule="exact"/>
        <w:ind w:left="3235"/>
        <w:rPr>
          <w:color w:val="auto"/>
          <w:highlight w:val="none"/>
        </w:rPr>
      </w:pPr>
    </w:p>
    <w:p>
      <w:pPr>
        <w:spacing w:after="0" w:line="240" w:lineRule="exact"/>
        <w:ind w:left="3235"/>
        <w:rPr>
          <w:color w:val="auto"/>
          <w:highlight w:val="none"/>
        </w:rPr>
      </w:pPr>
    </w:p>
    <w:p>
      <w:pPr>
        <w:spacing w:after="0" w:line="240" w:lineRule="exact"/>
        <w:ind w:left="3235"/>
        <w:rPr>
          <w:color w:val="auto"/>
          <w:highlight w:val="none"/>
        </w:rPr>
      </w:pPr>
    </w:p>
    <w:p>
      <w:pPr>
        <w:spacing w:after="0" w:line="240" w:lineRule="exact"/>
        <w:ind w:left="3235"/>
        <w:rPr>
          <w:color w:val="auto"/>
          <w:highlight w:val="none"/>
        </w:rPr>
      </w:pPr>
    </w:p>
    <w:p>
      <w:pPr>
        <w:spacing w:after="0" w:line="240" w:lineRule="exact"/>
        <w:ind w:left="3235"/>
        <w:rPr>
          <w:color w:val="auto"/>
          <w:highlight w:val="none"/>
        </w:rPr>
      </w:pPr>
    </w:p>
    <w:p>
      <w:pPr>
        <w:spacing w:after="0" w:line="240" w:lineRule="exact"/>
        <w:ind w:left="3235"/>
        <w:rPr>
          <w:color w:val="auto"/>
          <w:highlight w:val="none"/>
        </w:rPr>
      </w:pPr>
    </w:p>
    <w:p>
      <w:pPr>
        <w:spacing w:after="0" w:line="240" w:lineRule="exact"/>
        <w:ind w:left="3235"/>
        <w:rPr>
          <w:color w:val="auto"/>
          <w:highlight w:val="none"/>
        </w:rPr>
      </w:pPr>
    </w:p>
    <w:p>
      <w:pPr>
        <w:spacing w:after="0" w:line="240" w:lineRule="exact"/>
        <w:ind w:left="3235"/>
        <w:rPr>
          <w:color w:val="auto"/>
          <w:highlight w:val="none"/>
        </w:rPr>
      </w:pPr>
    </w:p>
    <w:p>
      <w:pPr>
        <w:spacing w:after="0" w:line="240" w:lineRule="exact"/>
        <w:ind w:left="3235"/>
        <w:rPr>
          <w:color w:val="auto"/>
          <w:highlight w:val="none"/>
        </w:rPr>
      </w:pPr>
    </w:p>
    <w:p>
      <w:pPr>
        <w:spacing w:after="0" w:line="240" w:lineRule="exact"/>
        <w:ind w:left="3235"/>
        <w:rPr>
          <w:color w:val="auto"/>
          <w:highlight w:val="none"/>
        </w:rPr>
      </w:pPr>
    </w:p>
    <w:p>
      <w:pPr>
        <w:spacing w:after="0" w:line="240" w:lineRule="exact"/>
        <w:ind w:left="3235"/>
        <w:rPr>
          <w:color w:val="auto"/>
          <w:highlight w:val="none"/>
        </w:rPr>
      </w:pPr>
    </w:p>
    <w:p>
      <w:pPr>
        <w:spacing w:after="0" w:line="240" w:lineRule="exact"/>
        <w:ind w:left="3235"/>
        <w:rPr>
          <w:color w:val="auto"/>
          <w:highlight w:val="none"/>
        </w:rPr>
      </w:pPr>
    </w:p>
    <w:p>
      <w:pPr>
        <w:spacing w:after="0" w:line="240" w:lineRule="exact"/>
        <w:ind w:left="3235"/>
        <w:rPr>
          <w:color w:val="auto"/>
          <w:highlight w:val="none"/>
        </w:rPr>
      </w:pPr>
    </w:p>
    <w:p>
      <w:pPr>
        <w:spacing w:after="0" w:line="240" w:lineRule="exact"/>
        <w:ind w:left="3235"/>
        <w:rPr>
          <w:color w:val="auto"/>
          <w:highlight w:val="none"/>
        </w:rPr>
      </w:pPr>
    </w:p>
    <w:p>
      <w:pPr>
        <w:spacing w:after="0" w:line="240" w:lineRule="exact"/>
        <w:ind w:left="3235"/>
        <w:rPr>
          <w:color w:val="auto"/>
          <w:highlight w:val="none"/>
        </w:rPr>
      </w:pPr>
    </w:p>
    <w:p>
      <w:pPr>
        <w:spacing w:after="0" w:line="240" w:lineRule="exact"/>
        <w:ind w:left="3235"/>
        <w:rPr>
          <w:color w:val="auto"/>
          <w:highlight w:val="none"/>
        </w:rPr>
      </w:pPr>
    </w:p>
    <w:p>
      <w:pPr>
        <w:spacing w:after="0" w:line="240" w:lineRule="exact"/>
        <w:ind w:left="3235"/>
        <w:rPr>
          <w:color w:val="auto"/>
          <w:highlight w:val="none"/>
        </w:rPr>
      </w:pPr>
    </w:p>
    <w:p>
      <w:pPr>
        <w:spacing w:after="0" w:line="240" w:lineRule="exact"/>
        <w:ind w:left="3235"/>
        <w:rPr>
          <w:color w:val="auto"/>
          <w:highlight w:val="none"/>
        </w:rPr>
      </w:pPr>
    </w:p>
    <w:p>
      <w:pPr>
        <w:spacing w:after="0" w:line="240" w:lineRule="exact"/>
        <w:ind w:left="3235"/>
        <w:rPr>
          <w:color w:val="auto"/>
          <w:highlight w:val="none"/>
        </w:rPr>
      </w:pPr>
    </w:p>
    <w:p>
      <w:pPr>
        <w:spacing w:after="0" w:line="240" w:lineRule="exact"/>
        <w:ind w:left="3235"/>
        <w:rPr>
          <w:color w:val="auto"/>
          <w:highlight w:val="none"/>
        </w:rPr>
      </w:pPr>
    </w:p>
    <w:p>
      <w:pPr>
        <w:spacing w:after="0" w:line="240" w:lineRule="exact"/>
        <w:ind w:left="3235"/>
        <w:rPr>
          <w:color w:val="auto"/>
          <w:highlight w:val="none"/>
        </w:rPr>
      </w:pPr>
    </w:p>
    <w:p>
      <w:pPr>
        <w:spacing w:after="0" w:line="240" w:lineRule="exact"/>
        <w:ind w:left="3235"/>
        <w:rPr>
          <w:color w:val="auto"/>
          <w:highlight w:val="none"/>
        </w:rPr>
      </w:pPr>
    </w:p>
    <w:p>
      <w:pPr>
        <w:spacing w:after="0" w:line="240" w:lineRule="exact"/>
        <w:ind w:left="3235"/>
        <w:rPr>
          <w:color w:val="auto"/>
          <w:highlight w:val="none"/>
        </w:rPr>
      </w:pPr>
    </w:p>
    <w:p>
      <w:pPr>
        <w:spacing w:after="0" w:line="240" w:lineRule="exact"/>
        <w:ind w:left="3235"/>
        <w:rPr>
          <w:color w:val="auto"/>
          <w:highlight w:val="none"/>
        </w:rPr>
      </w:pPr>
    </w:p>
    <w:p>
      <w:pPr>
        <w:spacing w:after="0" w:line="240" w:lineRule="exact"/>
        <w:ind w:left="3235"/>
        <w:rPr>
          <w:color w:val="auto"/>
          <w:highlight w:val="none"/>
        </w:rPr>
      </w:pPr>
    </w:p>
    <w:p>
      <w:pPr>
        <w:spacing w:after="0" w:line="240" w:lineRule="exact"/>
        <w:ind w:left="3235"/>
        <w:rPr>
          <w:color w:val="auto"/>
          <w:highlight w:val="none"/>
        </w:rPr>
      </w:pPr>
    </w:p>
    <w:p>
      <w:pPr>
        <w:spacing w:after="0" w:line="240" w:lineRule="exact"/>
        <w:ind w:left="3235"/>
        <w:rPr>
          <w:color w:val="auto"/>
          <w:highlight w:val="none"/>
        </w:rPr>
      </w:pPr>
    </w:p>
    <w:p>
      <w:pPr>
        <w:spacing w:after="0" w:line="240" w:lineRule="exact"/>
        <w:ind w:left="3235"/>
        <w:rPr>
          <w:color w:val="auto"/>
          <w:highlight w:val="none"/>
        </w:rPr>
      </w:pPr>
    </w:p>
    <w:p>
      <w:pPr>
        <w:spacing w:after="0" w:line="240" w:lineRule="exact"/>
        <w:ind w:left="3235"/>
        <w:rPr>
          <w:color w:val="auto"/>
          <w:highlight w:val="none"/>
        </w:rPr>
      </w:pPr>
    </w:p>
    <w:p>
      <w:pPr>
        <w:spacing w:after="0" w:line="240" w:lineRule="exact"/>
        <w:ind w:left="3235"/>
        <w:rPr>
          <w:color w:val="auto"/>
          <w:highlight w:val="none"/>
        </w:rPr>
      </w:pPr>
    </w:p>
    <w:p>
      <w:pPr>
        <w:spacing w:after="0" w:line="240" w:lineRule="exact"/>
        <w:ind w:left="3235"/>
        <w:rPr>
          <w:color w:val="auto"/>
          <w:highlight w:val="none"/>
        </w:rPr>
      </w:pPr>
    </w:p>
    <w:p>
      <w:pPr>
        <w:spacing w:after="0" w:line="240" w:lineRule="exact"/>
        <w:ind w:left="3235"/>
        <w:rPr>
          <w:color w:val="auto"/>
          <w:highlight w:val="none"/>
        </w:rPr>
      </w:pPr>
    </w:p>
    <w:p>
      <w:pPr>
        <w:spacing w:after="0" w:line="240" w:lineRule="exact"/>
        <w:ind w:left="3235"/>
        <w:rPr>
          <w:color w:val="auto"/>
          <w:highlight w:val="none"/>
        </w:rPr>
      </w:pPr>
    </w:p>
    <w:p>
      <w:pPr>
        <w:spacing w:after="0" w:line="430" w:lineRule="exact"/>
        <w:ind w:left="3235"/>
        <w:rPr>
          <w:color w:val="auto"/>
          <w:highlight w:val="none"/>
        </w:rPr>
      </w:pPr>
    </w:p>
    <w:p>
      <w:pPr>
        <w:widowControl/>
        <w:rPr>
          <w:color w:val="auto"/>
          <w:highlight w:val="none"/>
        </w:rPr>
        <w:sectPr>
          <w:type w:val="continuous"/>
          <w:pgSz w:w="11907" w:h="16839"/>
          <w:pgMar w:top="434" w:right="1020" w:bottom="194" w:left="1380" w:header="0" w:footer="0" w:gutter="0"/>
          <w:cols w:space="720" w:num="1"/>
          <w:docGrid w:type="lines" w:linePitch="312" w:charSpace="0"/>
        </w:sectPr>
      </w:pPr>
    </w:p>
    <w:p>
      <w:pPr>
        <w:widowControl/>
        <w:rPr>
          <w:color w:val="auto"/>
          <w:highlight w:val="none"/>
        </w:rPr>
        <w:sectPr>
          <w:type w:val="continuous"/>
          <w:pgSz w:w="11907" w:h="16839"/>
          <w:pgMar w:top="434" w:right="1020" w:bottom="194" w:left="1380" w:header="0" w:footer="0" w:gutter="0"/>
          <w:cols w:equalWidth="0" w:num="1">
            <w:col w:w="9507"/>
          </w:cols>
          <w:docGrid w:type="lines" w:linePitch="312" w:charSpace="0"/>
        </w:sectPr>
      </w:pPr>
    </w:p>
    <w:p>
      <w:pPr>
        <w:spacing w:after="0" w:line="161" w:lineRule="exact"/>
        <w:rPr>
          <w:color w:val="auto"/>
          <w:highlight w:val="none"/>
        </w:rPr>
      </w:pPr>
      <w:bookmarkStart w:id="85" w:name="37"/>
      <w:bookmarkEnd w:id="85"/>
    </w:p>
    <w:p>
      <w:pPr>
        <w:widowControl/>
        <w:rPr>
          <w:color w:val="auto"/>
          <w:highlight w:val="none"/>
        </w:rPr>
        <w:sectPr>
          <w:type w:val="continuous"/>
          <w:pgSz w:w="11907" w:h="16840"/>
          <w:pgMar w:top="434" w:right="946" w:bottom="194" w:left="1306" w:header="0" w:footer="0" w:gutter="0"/>
          <w:cols w:space="720" w:num="1"/>
          <w:docGrid w:type="lines" w:linePitch="312" w:charSpace="0"/>
        </w:sectPr>
      </w:pPr>
    </w:p>
    <w:p>
      <w:pPr>
        <w:spacing w:after="0" w:line="240" w:lineRule="exact"/>
        <w:ind w:left="134"/>
        <w:rPr>
          <w:color w:val="auto"/>
          <w:highlight w:val="none"/>
        </w:rPr>
      </w:pPr>
    </w:p>
    <w:p>
      <w:pPr>
        <w:spacing w:after="0" w:line="446" w:lineRule="exact"/>
        <w:ind w:left="134"/>
        <w:rPr>
          <w:color w:val="auto"/>
          <w:highlight w:val="none"/>
        </w:rPr>
      </w:pPr>
    </w:p>
    <w:p>
      <w:pPr>
        <w:spacing w:after="0" w:line="320" w:lineRule="exact"/>
        <w:ind w:left="134"/>
        <w:rPr>
          <w:color w:val="auto"/>
          <w:highlight w:val="none"/>
        </w:rPr>
      </w:pPr>
      <w:r>
        <w:rPr>
          <w:rFonts w:ascii="宋体" w:hAnsi="宋体" w:eastAsia="宋体" w:cs="宋体"/>
          <w:color w:val="auto"/>
          <w:sz w:val="32"/>
          <w:highlight w:val="none"/>
        </w:rPr>
        <w:t>1.磋商函；</w:t>
      </w:r>
    </w:p>
    <w:p>
      <w:pPr>
        <w:spacing w:after="0" w:line="240" w:lineRule="exact"/>
        <w:ind w:left="134"/>
        <w:rPr>
          <w:color w:val="auto"/>
          <w:highlight w:val="none"/>
        </w:rPr>
      </w:pPr>
    </w:p>
    <w:p>
      <w:pPr>
        <w:spacing w:after="0" w:line="243" w:lineRule="exact"/>
        <w:ind w:left="134" w:firstLine="3569"/>
        <w:rPr>
          <w:color w:val="auto"/>
          <w:highlight w:val="none"/>
        </w:rPr>
      </w:pPr>
      <w:r>
        <w:rPr>
          <w:rFonts w:ascii="宋体" w:hAnsi="宋体" w:eastAsia="宋体" w:cs="宋体"/>
          <w:color w:val="auto"/>
          <w:spacing w:val="-1"/>
          <w:highlight w:val="none"/>
        </w:rPr>
        <w:t>磋商函（格式）</w:t>
      </w:r>
    </w:p>
    <w:p>
      <w:pPr>
        <w:spacing w:after="0" w:line="240" w:lineRule="exact"/>
        <w:ind w:left="134" w:firstLine="3569"/>
        <w:rPr>
          <w:color w:val="auto"/>
          <w:highlight w:val="none"/>
        </w:rPr>
      </w:pPr>
    </w:p>
    <w:p>
      <w:pPr>
        <w:spacing w:after="0" w:line="259" w:lineRule="exact"/>
        <w:ind w:left="134" w:firstLine="420"/>
        <w:rPr>
          <w:color w:val="auto"/>
          <w:highlight w:val="none"/>
        </w:rPr>
      </w:pPr>
      <w:r>
        <w:rPr>
          <w:rFonts w:ascii="宋体" w:hAnsi="宋体" w:eastAsia="宋体" w:cs="宋体"/>
          <w:color w:val="auto"/>
          <w:spacing w:val="-2"/>
          <w:highlight w:val="none"/>
        </w:rPr>
        <w:t>致：</w:t>
      </w:r>
    </w:p>
    <w:p>
      <w:pPr>
        <w:spacing w:after="0" w:line="240" w:lineRule="exact"/>
        <w:ind w:left="134" w:firstLine="420"/>
        <w:rPr>
          <w:color w:val="auto"/>
          <w:highlight w:val="none"/>
        </w:rPr>
      </w:pPr>
    </w:p>
    <w:p>
      <w:pPr>
        <w:tabs>
          <w:tab w:val="left" w:pos="3386"/>
          <w:tab w:val="left" w:pos="5059"/>
          <w:tab w:val="left" w:pos="8515"/>
        </w:tabs>
        <w:spacing w:after="0" w:line="259" w:lineRule="exact"/>
        <w:ind w:left="134" w:firstLine="1049"/>
        <w:rPr>
          <w:color w:val="auto"/>
          <w:highlight w:val="none"/>
        </w:rPr>
      </w:pPr>
      <w:r>
        <w:rPr>
          <w:rFonts w:ascii="宋体" w:hAnsi="宋体" w:eastAsia="宋体" w:cs="宋体"/>
          <w:color w:val="auto"/>
          <w:spacing w:val="-1"/>
          <w:highlight w:val="none"/>
        </w:rPr>
        <w:t>根据贵方为</w:t>
      </w:r>
      <w:r>
        <w:rPr>
          <w:rFonts w:cs="Calibri"/>
          <w:color w:val="auto"/>
          <w:highlight w:val="none"/>
          <w:u w:val="single"/>
        </w:rPr>
        <w:tab/>
      </w:r>
      <w:r>
        <w:rPr>
          <w:rFonts w:ascii="宋体" w:hAnsi="宋体" w:eastAsia="宋体" w:cs="宋体"/>
          <w:color w:val="auto"/>
          <w:spacing w:val="-1"/>
          <w:highlight w:val="none"/>
          <w:u w:val="single"/>
        </w:rPr>
        <w:t>（</w:t>
      </w:r>
      <w:r>
        <w:rPr>
          <w:rFonts w:hint="eastAsia" w:ascii="宋体" w:hAnsi="宋体" w:eastAsia="宋体" w:cs="宋体"/>
          <w:color w:val="auto"/>
          <w:spacing w:val="-1"/>
          <w:highlight w:val="none"/>
          <w:u w:val="single"/>
        </w:rPr>
        <w:t>项目名称</w:t>
      </w:r>
      <w:r>
        <w:rPr>
          <w:rFonts w:ascii="宋体" w:hAnsi="宋体" w:eastAsia="宋体" w:cs="宋体"/>
          <w:color w:val="auto"/>
          <w:spacing w:val="-1"/>
          <w:highlight w:val="none"/>
          <w:u w:val="single"/>
        </w:rPr>
        <w:t>）</w:t>
      </w:r>
      <w:r>
        <w:rPr>
          <w:rFonts w:cs="Calibri"/>
          <w:color w:val="auto"/>
          <w:highlight w:val="none"/>
          <w:u w:val="single"/>
        </w:rPr>
        <w:tab/>
      </w:r>
      <w:r>
        <w:rPr>
          <w:rFonts w:ascii="宋体" w:hAnsi="宋体" w:eastAsia="宋体" w:cs="宋体"/>
          <w:color w:val="auto"/>
          <w:spacing w:val="-1"/>
          <w:highlight w:val="none"/>
        </w:rPr>
        <w:t>的磋商邀请（</w:t>
      </w:r>
      <w:r>
        <w:rPr>
          <w:rFonts w:hint="eastAsia" w:ascii="宋体" w:hAnsi="宋体" w:eastAsia="宋体" w:cs="宋体"/>
          <w:color w:val="auto"/>
          <w:spacing w:val="-1"/>
          <w:highlight w:val="none"/>
        </w:rPr>
        <w:t>项目编号</w:t>
      </w:r>
      <w:r>
        <w:rPr>
          <w:rFonts w:ascii="宋体" w:hAnsi="宋体" w:eastAsia="宋体" w:cs="宋体"/>
          <w:color w:val="auto"/>
          <w:spacing w:val="-1"/>
          <w:highlight w:val="none"/>
        </w:rPr>
        <w:t>：</w:t>
      </w:r>
      <w:r>
        <w:rPr>
          <w:rFonts w:cs="Calibri"/>
          <w:color w:val="auto"/>
          <w:highlight w:val="none"/>
          <w:u w:val="single"/>
        </w:rPr>
        <w:tab/>
      </w:r>
      <w:r>
        <w:rPr>
          <w:rFonts w:ascii="宋体" w:hAnsi="宋体" w:eastAsia="宋体" w:cs="宋体"/>
          <w:color w:val="auto"/>
          <w:spacing w:val="-4"/>
          <w:highlight w:val="none"/>
        </w:rPr>
        <w:t>），签</w:t>
      </w:r>
    </w:p>
    <w:p>
      <w:pPr>
        <w:spacing w:after="0" w:line="240" w:lineRule="exact"/>
        <w:ind w:left="134" w:firstLine="1049"/>
        <w:rPr>
          <w:color w:val="auto"/>
          <w:highlight w:val="none"/>
        </w:rPr>
      </w:pPr>
    </w:p>
    <w:p>
      <w:pPr>
        <w:tabs>
          <w:tab w:val="left" w:pos="2467"/>
          <w:tab w:val="left" w:pos="8287"/>
        </w:tabs>
        <w:spacing w:after="0" w:line="262" w:lineRule="exact"/>
        <w:ind w:left="134"/>
        <w:rPr>
          <w:color w:val="auto"/>
          <w:highlight w:val="none"/>
          <w:u w:val="single"/>
        </w:rPr>
      </w:pPr>
      <w:r>
        <w:rPr>
          <w:rFonts w:ascii="宋体" w:hAnsi="宋体" w:eastAsia="宋体" w:cs="宋体"/>
          <w:color w:val="auto"/>
          <w:highlight w:val="none"/>
        </w:rPr>
        <w:t>字代表</w:t>
      </w:r>
      <w:r>
        <w:rPr>
          <w:rFonts w:cs="Calibri"/>
          <w:color w:val="auto"/>
          <w:highlight w:val="none"/>
        </w:rPr>
        <w:tab/>
      </w:r>
      <w:r>
        <w:rPr>
          <w:rFonts w:ascii="宋体" w:hAnsi="宋体" w:cs="宋体"/>
          <w:color w:val="auto"/>
          <w:highlight w:val="none"/>
        </w:rPr>
        <w:t>（全名、职务）经正式授权并代表供应商</w:t>
      </w:r>
      <w:r>
        <w:rPr>
          <w:rFonts w:cs="Calibri"/>
          <w:color w:val="auto"/>
          <w:highlight w:val="none"/>
          <w:u w:val="single"/>
        </w:rPr>
        <w:tab/>
      </w:r>
      <w:r>
        <w:rPr>
          <w:rFonts w:ascii="宋体" w:hAnsi="宋体" w:eastAsia="宋体" w:cs="宋体"/>
          <w:color w:val="auto"/>
          <w:highlight w:val="none"/>
          <w:u w:val="single"/>
        </w:rPr>
        <w:t>（供应商</w:t>
      </w:r>
    </w:p>
    <w:p>
      <w:pPr>
        <w:spacing w:after="0" w:line="240" w:lineRule="exact"/>
        <w:ind w:left="134"/>
        <w:rPr>
          <w:color w:val="auto"/>
          <w:highlight w:val="none"/>
          <w:u w:val="single"/>
        </w:rPr>
      </w:pPr>
    </w:p>
    <w:p>
      <w:pPr>
        <w:spacing w:after="0" w:line="259" w:lineRule="exact"/>
        <w:ind w:left="134"/>
        <w:rPr>
          <w:color w:val="auto"/>
          <w:highlight w:val="none"/>
        </w:rPr>
      </w:pPr>
      <w:r>
        <w:rPr>
          <w:rFonts w:ascii="宋体" w:hAnsi="宋体" w:cs="宋体"/>
          <w:color w:val="auto"/>
          <w:spacing w:val="-1"/>
          <w:highlight w:val="none"/>
          <w:u w:val="single"/>
        </w:rPr>
        <w:t>名称）</w:t>
      </w:r>
      <w:r>
        <w:rPr>
          <w:rFonts w:ascii="宋体" w:hAnsi="宋体" w:cs="宋体"/>
          <w:color w:val="auto"/>
          <w:spacing w:val="-1"/>
          <w:highlight w:val="none"/>
        </w:rPr>
        <w:t>提交下述文件正本一份和</w:t>
      </w:r>
      <w:r>
        <w:rPr>
          <w:rFonts w:hint="eastAsia" w:ascii="宋体" w:hAnsi="宋体" w:cs="宋体"/>
          <w:color w:val="auto"/>
          <w:spacing w:val="-1"/>
          <w:highlight w:val="none"/>
        </w:rPr>
        <w:t>副本三份</w:t>
      </w:r>
      <w:r>
        <w:rPr>
          <w:rFonts w:ascii="宋体" w:hAnsi="宋体" w:cs="宋体"/>
          <w:color w:val="auto"/>
          <w:spacing w:val="-1"/>
          <w:highlight w:val="none"/>
        </w:rPr>
        <w:t>。</w:t>
      </w:r>
    </w:p>
    <w:p>
      <w:pPr>
        <w:spacing w:after="0" w:line="240" w:lineRule="exact"/>
        <w:ind w:left="134"/>
        <w:rPr>
          <w:color w:val="auto"/>
          <w:highlight w:val="none"/>
        </w:rPr>
      </w:pPr>
    </w:p>
    <w:p>
      <w:pPr>
        <w:spacing w:after="0" w:line="259" w:lineRule="exact"/>
        <w:ind w:left="134" w:firstLine="420"/>
        <w:rPr>
          <w:color w:val="auto"/>
          <w:highlight w:val="none"/>
        </w:rPr>
      </w:pPr>
      <w:r>
        <w:rPr>
          <w:rFonts w:ascii="宋体" w:hAnsi="宋体" w:eastAsia="宋体" w:cs="宋体"/>
          <w:color w:val="auto"/>
          <w:spacing w:val="-1"/>
          <w:highlight w:val="none"/>
        </w:rPr>
        <w:t>1.报价表；</w:t>
      </w:r>
    </w:p>
    <w:p>
      <w:pPr>
        <w:spacing w:after="0" w:line="240" w:lineRule="exact"/>
        <w:ind w:left="134" w:firstLine="420"/>
        <w:rPr>
          <w:color w:val="auto"/>
          <w:highlight w:val="none"/>
        </w:rPr>
      </w:pPr>
    </w:p>
    <w:p>
      <w:pPr>
        <w:spacing w:after="0" w:line="262" w:lineRule="exact"/>
        <w:ind w:left="134" w:firstLine="420"/>
        <w:rPr>
          <w:color w:val="auto"/>
          <w:highlight w:val="none"/>
        </w:rPr>
      </w:pPr>
      <w:r>
        <w:rPr>
          <w:rFonts w:ascii="宋体" w:hAnsi="宋体" w:eastAsia="宋体" w:cs="宋体"/>
          <w:color w:val="auto"/>
          <w:spacing w:val="-1"/>
          <w:highlight w:val="none"/>
        </w:rPr>
        <w:t>2.磋商函；</w:t>
      </w:r>
    </w:p>
    <w:p>
      <w:pPr>
        <w:spacing w:after="0" w:line="240" w:lineRule="exact"/>
        <w:ind w:left="134" w:firstLine="420"/>
        <w:rPr>
          <w:color w:val="auto"/>
          <w:highlight w:val="none"/>
        </w:rPr>
      </w:pPr>
    </w:p>
    <w:p>
      <w:pPr>
        <w:spacing w:after="0" w:line="259" w:lineRule="exact"/>
        <w:ind w:left="134" w:firstLine="420"/>
        <w:rPr>
          <w:color w:val="auto"/>
          <w:highlight w:val="none"/>
        </w:rPr>
      </w:pPr>
      <w:r>
        <w:rPr>
          <w:rFonts w:ascii="宋体" w:hAnsi="宋体" w:eastAsia="宋体" w:cs="宋体"/>
          <w:color w:val="auto"/>
          <w:spacing w:val="-1"/>
          <w:highlight w:val="none"/>
        </w:rPr>
        <w:t>3.资格证明文件；</w:t>
      </w:r>
    </w:p>
    <w:p>
      <w:pPr>
        <w:spacing w:after="0" w:line="240" w:lineRule="exact"/>
        <w:ind w:left="134" w:firstLine="420"/>
        <w:rPr>
          <w:color w:val="auto"/>
          <w:highlight w:val="none"/>
        </w:rPr>
      </w:pPr>
    </w:p>
    <w:p>
      <w:pPr>
        <w:spacing w:after="0" w:line="259" w:lineRule="exact"/>
        <w:ind w:left="134" w:firstLine="420"/>
        <w:rPr>
          <w:color w:val="auto"/>
          <w:highlight w:val="none"/>
        </w:rPr>
      </w:pPr>
      <w:r>
        <w:rPr>
          <w:rFonts w:ascii="宋体" w:hAnsi="宋体" w:eastAsia="宋体" w:cs="宋体"/>
          <w:color w:val="auto"/>
          <w:spacing w:val="-1"/>
          <w:highlight w:val="none"/>
        </w:rPr>
        <w:t>4.认为必要提供的证明其满足本项目</w:t>
      </w:r>
      <w:r>
        <w:rPr>
          <w:rFonts w:hint="eastAsia" w:ascii="宋体" w:hAnsi="宋体" w:eastAsia="宋体" w:cs="宋体"/>
          <w:color w:val="auto"/>
          <w:spacing w:val="-1"/>
          <w:highlight w:val="none"/>
        </w:rPr>
        <w:t>磋商</w:t>
      </w:r>
      <w:r>
        <w:rPr>
          <w:rFonts w:ascii="宋体" w:hAnsi="宋体" w:eastAsia="宋体" w:cs="宋体"/>
          <w:color w:val="auto"/>
          <w:spacing w:val="-1"/>
          <w:highlight w:val="none"/>
        </w:rPr>
        <w:t>资格的声明及文件资料；</w:t>
      </w:r>
    </w:p>
    <w:p>
      <w:pPr>
        <w:spacing w:after="0" w:line="389" w:lineRule="exact"/>
        <w:ind w:left="134" w:firstLine="420"/>
        <w:rPr>
          <w:color w:val="auto"/>
          <w:highlight w:val="none"/>
        </w:rPr>
      </w:pPr>
      <w:r>
        <w:rPr>
          <w:rFonts w:ascii="宋体" w:hAnsi="宋体" w:eastAsia="宋体" w:cs="宋体"/>
          <w:color w:val="auto"/>
          <w:spacing w:val="-1"/>
          <w:highlight w:val="none"/>
        </w:rPr>
        <w:t>本公司谨此承诺并声明：</w:t>
      </w:r>
    </w:p>
    <w:p>
      <w:pPr>
        <w:spacing w:after="0" w:line="360" w:lineRule="exact"/>
        <w:ind w:left="134" w:firstLine="420"/>
        <w:rPr>
          <w:color w:val="auto"/>
          <w:highlight w:val="none"/>
        </w:rPr>
      </w:pPr>
      <w:r>
        <w:rPr>
          <w:rFonts w:ascii="宋体" w:hAnsi="宋体" w:cs="宋体"/>
          <w:color w:val="auto"/>
          <w:spacing w:val="-4"/>
          <w:highlight w:val="none"/>
        </w:rPr>
        <w:t>1.同意并接受磋商文件的各项要求，遵守磋商文件中的各项规定，按磋商文件的要求提供报价。</w:t>
      </w:r>
    </w:p>
    <w:p>
      <w:pPr>
        <w:spacing w:after="0" w:line="360" w:lineRule="exact"/>
        <w:ind w:left="134" w:firstLine="420"/>
        <w:rPr>
          <w:color w:val="auto"/>
          <w:highlight w:val="none"/>
        </w:rPr>
      </w:pPr>
      <w:r>
        <w:rPr>
          <w:rFonts w:ascii="宋体" w:hAnsi="宋体" w:eastAsia="宋体" w:cs="宋体"/>
          <w:color w:val="auto"/>
          <w:highlight w:val="none"/>
        </w:rPr>
        <w:t>2.磋商有效期为磋商之日起</w:t>
      </w:r>
      <w:r>
        <w:rPr>
          <w:rFonts w:ascii="Calibri" w:hAnsi="Calibri" w:cs="Calibri"/>
          <w:color w:val="auto"/>
          <w:spacing w:val="6"/>
          <w:highlight w:val="none"/>
        </w:rPr>
        <w:t> </w:t>
      </w:r>
      <w:r>
        <w:rPr>
          <w:rFonts w:ascii="宋体" w:hAnsi="宋体" w:cs="宋体"/>
          <w:color w:val="auto"/>
          <w:highlight w:val="none"/>
        </w:rPr>
        <w:t>60</w:t>
      </w:r>
      <w:r>
        <w:rPr>
          <w:rFonts w:ascii="Calibri" w:hAnsi="Calibri" w:cs="Calibri"/>
          <w:color w:val="auto"/>
          <w:spacing w:val="5"/>
          <w:highlight w:val="none"/>
        </w:rPr>
        <w:t> </w:t>
      </w:r>
      <w:r>
        <w:rPr>
          <w:rFonts w:ascii="宋体" w:hAnsi="宋体" w:eastAsia="宋体" w:cs="宋体"/>
          <w:color w:val="auto"/>
          <w:highlight w:val="none"/>
        </w:rPr>
        <w:t>天，若我单位成为成交供应商，磋商有效期延长至项目验收之</w:t>
      </w:r>
    </w:p>
    <w:p>
      <w:pPr>
        <w:spacing w:after="0" w:line="360" w:lineRule="exact"/>
        <w:ind w:left="134"/>
        <w:rPr>
          <w:color w:val="auto"/>
          <w:highlight w:val="none"/>
        </w:rPr>
      </w:pPr>
      <w:r>
        <w:rPr>
          <w:rFonts w:ascii="宋体" w:hAnsi="宋体" w:cs="宋体"/>
          <w:color w:val="auto"/>
          <w:spacing w:val="-2"/>
          <w:highlight w:val="none"/>
        </w:rPr>
        <w:t>日。</w:t>
      </w:r>
    </w:p>
    <w:p>
      <w:pPr>
        <w:spacing w:after="0" w:line="360" w:lineRule="exact"/>
        <w:ind w:left="134" w:firstLine="420"/>
        <w:rPr>
          <w:color w:val="auto"/>
          <w:highlight w:val="none"/>
        </w:rPr>
      </w:pPr>
      <w:r>
        <w:rPr>
          <w:rFonts w:ascii="宋体" w:hAnsi="宋体" w:cs="宋体"/>
          <w:color w:val="auto"/>
          <w:spacing w:val="-1"/>
          <w:highlight w:val="none"/>
        </w:rPr>
        <w:t>3.我方已经详细地阅读了全部磋商文件及其附件，包括澄清及参考文件(如果有的话)。我方已</w:t>
      </w:r>
    </w:p>
    <w:p>
      <w:pPr>
        <w:spacing w:after="0" w:line="360" w:lineRule="exact"/>
        <w:ind w:left="134"/>
        <w:rPr>
          <w:color w:val="auto"/>
          <w:highlight w:val="none"/>
        </w:rPr>
      </w:pPr>
      <w:r>
        <w:rPr>
          <w:rFonts w:ascii="宋体" w:hAnsi="宋体" w:eastAsia="宋体" w:cs="宋体"/>
          <w:color w:val="auto"/>
          <w:spacing w:val="-1"/>
          <w:highlight w:val="none"/>
        </w:rPr>
        <w:t>完全清晰理解磋商文件的要求，不存在任何含糊不清和误解之处，同意放弃对这些文件所提出的异</w:t>
      </w:r>
    </w:p>
    <w:p>
      <w:pPr>
        <w:spacing w:after="0" w:line="360" w:lineRule="exact"/>
        <w:ind w:left="134"/>
        <w:rPr>
          <w:color w:val="auto"/>
          <w:highlight w:val="none"/>
        </w:rPr>
      </w:pPr>
      <w:r>
        <w:rPr>
          <w:rFonts w:ascii="宋体" w:hAnsi="宋体" w:cs="宋体"/>
          <w:color w:val="auto"/>
          <w:spacing w:val="-1"/>
          <w:highlight w:val="none"/>
        </w:rPr>
        <w:t>议和质疑的权利。</w:t>
      </w:r>
    </w:p>
    <w:p>
      <w:pPr>
        <w:spacing w:after="0" w:line="360" w:lineRule="exact"/>
        <w:ind w:left="134" w:firstLine="420"/>
        <w:rPr>
          <w:color w:val="auto"/>
          <w:highlight w:val="none"/>
        </w:rPr>
      </w:pPr>
      <w:r>
        <w:rPr>
          <w:rFonts w:ascii="宋体" w:hAnsi="宋体" w:cs="宋体"/>
          <w:color w:val="auto"/>
          <w:spacing w:val="-1"/>
          <w:highlight w:val="none"/>
        </w:rPr>
        <w:t>4.我方已毫无保留地向贵方提供一切所需的证明材料。</w:t>
      </w:r>
    </w:p>
    <w:p>
      <w:pPr>
        <w:spacing w:after="0" w:line="360" w:lineRule="exact"/>
        <w:ind w:left="134" w:firstLine="420"/>
        <w:rPr>
          <w:color w:val="auto"/>
          <w:highlight w:val="none"/>
        </w:rPr>
      </w:pPr>
      <w:r>
        <w:rPr>
          <w:rFonts w:ascii="宋体" w:hAnsi="宋体" w:eastAsia="宋体" w:cs="宋体"/>
          <w:color w:val="auto"/>
          <w:spacing w:val="-1"/>
          <w:highlight w:val="none"/>
        </w:rPr>
        <w:t>5.我方承诺在本次磋商中提供的一切文件，无论是原件还是复印件均为真实和准确的，绝无任</w:t>
      </w:r>
    </w:p>
    <w:p>
      <w:pPr>
        <w:spacing w:after="0" w:line="360" w:lineRule="exact"/>
        <w:ind w:left="134"/>
        <w:rPr>
          <w:color w:val="auto"/>
          <w:highlight w:val="none"/>
        </w:rPr>
      </w:pPr>
      <w:r>
        <w:rPr>
          <w:rFonts w:ascii="宋体" w:hAnsi="宋体" w:cs="宋体"/>
          <w:color w:val="auto"/>
          <w:spacing w:val="-1"/>
          <w:highlight w:val="none"/>
        </w:rPr>
        <w:t>何虚假、伪造和夸大的成份，否则，愿承担相应的后果和法律责任。</w:t>
      </w:r>
    </w:p>
    <w:p>
      <w:pPr>
        <w:spacing w:after="0" w:line="360" w:lineRule="exact"/>
        <w:ind w:left="134" w:firstLine="420"/>
        <w:rPr>
          <w:color w:val="auto"/>
          <w:highlight w:val="none"/>
        </w:rPr>
      </w:pPr>
      <w:r>
        <w:rPr>
          <w:rFonts w:ascii="宋体" w:hAnsi="宋体" w:eastAsia="宋体" w:cs="宋体"/>
          <w:color w:val="auto"/>
          <w:spacing w:val="-1"/>
          <w:highlight w:val="none"/>
        </w:rPr>
        <w:t>6.我方完全服从和尊重磋商小组所作的评定结果，同时清楚理解到报价最低并非意味着必定获</w:t>
      </w:r>
    </w:p>
    <w:p>
      <w:pPr>
        <w:spacing w:after="0" w:line="360" w:lineRule="exact"/>
        <w:ind w:left="134"/>
        <w:rPr>
          <w:color w:val="auto"/>
          <w:highlight w:val="none"/>
        </w:rPr>
      </w:pPr>
      <w:r>
        <w:rPr>
          <w:rFonts w:ascii="宋体" w:hAnsi="宋体" w:cs="宋体"/>
          <w:color w:val="auto"/>
          <w:spacing w:val="-1"/>
          <w:highlight w:val="none"/>
        </w:rPr>
        <w:t>得成交资格。</w:t>
      </w:r>
    </w:p>
    <w:p>
      <w:pPr>
        <w:spacing w:after="0" w:line="360" w:lineRule="exact"/>
        <w:ind w:left="134" w:firstLine="420"/>
        <w:rPr>
          <w:color w:val="auto"/>
          <w:highlight w:val="none"/>
        </w:rPr>
      </w:pPr>
      <w:r>
        <w:rPr>
          <w:rFonts w:ascii="宋体" w:hAnsi="宋体" w:cs="宋体"/>
          <w:color w:val="auto"/>
          <w:spacing w:val="-1"/>
          <w:highlight w:val="none"/>
        </w:rPr>
        <w:t>7.我方同意按磋商文件规定向贵公司缴纳代理费。</w:t>
      </w:r>
    </w:p>
    <w:p>
      <w:pPr>
        <w:spacing w:after="0" w:line="360" w:lineRule="exact"/>
        <w:ind w:left="134" w:firstLine="420"/>
        <w:rPr>
          <w:color w:val="auto"/>
          <w:highlight w:val="none"/>
        </w:rPr>
      </w:pPr>
      <w:r>
        <w:rPr>
          <w:rFonts w:ascii="宋体" w:hAnsi="宋体" w:eastAsia="宋体" w:cs="宋体"/>
          <w:color w:val="auto"/>
          <w:spacing w:val="-1"/>
          <w:highlight w:val="none"/>
        </w:rPr>
        <w:t>8.与本应答有关的一切正式往来通讯请寄：</w:t>
      </w:r>
    </w:p>
    <w:p>
      <w:pPr>
        <w:spacing w:after="0" w:line="240" w:lineRule="exact"/>
        <w:ind w:left="134" w:firstLine="420"/>
        <w:rPr>
          <w:color w:val="auto"/>
          <w:highlight w:val="none"/>
        </w:rPr>
      </w:pPr>
    </w:p>
    <w:p>
      <w:pPr>
        <w:spacing w:after="0" w:line="240" w:lineRule="exact"/>
        <w:ind w:left="134" w:firstLine="420"/>
        <w:rPr>
          <w:color w:val="auto"/>
          <w:highlight w:val="none"/>
        </w:rPr>
      </w:pPr>
    </w:p>
    <w:p>
      <w:pPr>
        <w:spacing w:after="0" w:line="240" w:lineRule="exact"/>
        <w:ind w:left="134" w:firstLine="420"/>
        <w:rPr>
          <w:color w:val="auto"/>
          <w:highlight w:val="none"/>
        </w:rPr>
      </w:pPr>
    </w:p>
    <w:p>
      <w:pPr>
        <w:spacing w:after="0" w:line="360" w:lineRule="exact"/>
        <w:ind w:left="134" w:firstLine="5460"/>
        <w:rPr>
          <w:color w:val="auto"/>
          <w:highlight w:val="none"/>
        </w:rPr>
      </w:pPr>
      <w:r>
        <w:rPr>
          <w:rFonts w:ascii="宋体" w:hAnsi="宋体" w:eastAsia="宋体" w:cs="宋体"/>
          <w:color w:val="auto"/>
          <w:spacing w:val="-1"/>
          <w:highlight w:val="none"/>
        </w:rPr>
        <w:t>供应商名称（盖公章）：</w:t>
      </w:r>
    </w:p>
    <w:p>
      <w:pPr>
        <w:spacing w:after="0" w:line="360" w:lineRule="exact"/>
        <w:ind w:left="134" w:firstLine="5460"/>
        <w:rPr>
          <w:color w:val="auto"/>
          <w:highlight w:val="none"/>
        </w:rPr>
      </w:pPr>
      <w:r>
        <w:rPr>
          <w:rFonts w:ascii="宋体" w:hAnsi="宋体" w:eastAsia="宋体" w:cs="宋体"/>
          <w:color w:val="auto"/>
          <w:spacing w:val="-1"/>
          <w:highlight w:val="none"/>
        </w:rPr>
        <w:t>供应商代表姓名（签字或盖章）：</w:t>
      </w:r>
    </w:p>
    <w:p>
      <w:pPr>
        <w:spacing w:after="0" w:line="360" w:lineRule="exact"/>
        <w:ind w:left="134" w:firstLine="5460"/>
        <w:rPr>
          <w:color w:val="auto"/>
          <w:highlight w:val="none"/>
        </w:rPr>
      </w:pPr>
      <w:r>
        <w:rPr>
          <w:rFonts w:ascii="宋体" w:hAnsi="宋体" w:eastAsia="宋体" w:cs="宋体"/>
          <w:color w:val="auto"/>
          <w:spacing w:val="-1"/>
          <w:highlight w:val="none"/>
        </w:rPr>
        <w:t>地址：</w:t>
      </w:r>
    </w:p>
    <w:p>
      <w:pPr>
        <w:spacing w:after="0" w:line="360" w:lineRule="exact"/>
        <w:ind w:left="134" w:firstLine="5460"/>
        <w:rPr>
          <w:color w:val="auto"/>
          <w:highlight w:val="none"/>
        </w:rPr>
      </w:pPr>
      <w:r>
        <w:rPr>
          <w:rFonts w:ascii="宋体" w:hAnsi="宋体" w:eastAsia="宋体" w:cs="宋体"/>
          <w:color w:val="auto"/>
          <w:spacing w:val="-1"/>
          <w:highlight w:val="none"/>
        </w:rPr>
        <w:t>传真：</w:t>
      </w:r>
    </w:p>
    <w:p>
      <w:pPr>
        <w:spacing w:after="0" w:line="360" w:lineRule="exact"/>
        <w:ind w:left="134" w:firstLine="5460"/>
        <w:rPr>
          <w:color w:val="auto"/>
          <w:highlight w:val="none"/>
        </w:rPr>
      </w:pPr>
      <w:r>
        <w:rPr>
          <w:rFonts w:ascii="宋体" w:hAnsi="宋体" w:eastAsia="宋体" w:cs="宋体"/>
          <w:color w:val="auto"/>
          <w:spacing w:val="-1"/>
          <w:highlight w:val="none"/>
        </w:rPr>
        <w:t>电话：</w:t>
      </w:r>
    </w:p>
    <w:p>
      <w:pPr>
        <w:spacing w:after="0" w:line="360" w:lineRule="exact"/>
        <w:ind w:left="134" w:firstLine="5460"/>
        <w:rPr>
          <w:color w:val="auto"/>
          <w:highlight w:val="none"/>
        </w:rPr>
      </w:pPr>
      <w:r>
        <w:rPr>
          <w:rFonts w:ascii="宋体" w:hAnsi="宋体" w:eastAsia="宋体" w:cs="宋体"/>
          <w:color w:val="auto"/>
          <w:spacing w:val="-1"/>
          <w:highlight w:val="none"/>
        </w:rPr>
        <w:t>电子邮件：</w:t>
      </w:r>
    </w:p>
    <w:p>
      <w:pPr>
        <w:tabs>
          <w:tab w:val="left" w:pos="6540"/>
          <w:tab w:val="left" w:pos="7168"/>
          <w:tab w:val="left" w:pos="7800"/>
        </w:tabs>
        <w:spacing w:after="0" w:line="360" w:lineRule="exact"/>
        <w:ind w:left="134" w:firstLine="5460"/>
        <w:rPr>
          <w:color w:val="auto"/>
          <w:highlight w:val="none"/>
        </w:rPr>
      </w:pPr>
      <w:r>
        <w:rPr>
          <w:rFonts w:ascii="宋体" w:hAnsi="宋体" w:eastAsia="宋体" w:cs="宋体"/>
          <w:color w:val="auto"/>
          <w:spacing w:val="-1"/>
          <w:highlight w:val="none"/>
        </w:rPr>
        <w:t>日期：</w:t>
      </w:r>
      <w:r>
        <w:rPr>
          <w:rFonts w:cs="Calibri"/>
          <w:color w:val="auto"/>
          <w:highlight w:val="none"/>
        </w:rPr>
        <w:tab/>
      </w:r>
      <w:r>
        <w:rPr>
          <w:rFonts w:ascii="宋体" w:hAnsi="宋体" w:eastAsia="宋体" w:cs="宋体"/>
          <w:color w:val="auto"/>
          <w:spacing w:val="-2"/>
          <w:highlight w:val="none"/>
        </w:rPr>
        <w:t>年</w:t>
      </w:r>
      <w:r>
        <w:rPr>
          <w:rFonts w:cs="Calibri"/>
          <w:color w:val="auto"/>
          <w:highlight w:val="none"/>
        </w:rPr>
        <w:tab/>
      </w:r>
      <w:r>
        <w:rPr>
          <w:rFonts w:ascii="宋体" w:hAnsi="宋体" w:eastAsia="宋体" w:cs="宋体"/>
          <w:color w:val="auto"/>
          <w:spacing w:val="-2"/>
          <w:highlight w:val="none"/>
        </w:rPr>
        <w:t>月</w:t>
      </w:r>
      <w:r>
        <w:rPr>
          <w:rFonts w:cs="Calibri"/>
          <w:color w:val="auto"/>
          <w:highlight w:val="none"/>
        </w:rPr>
        <w:tab/>
      </w:r>
      <w:r>
        <w:rPr>
          <w:rFonts w:ascii="宋体" w:hAnsi="宋体" w:eastAsia="宋体" w:cs="宋体"/>
          <w:color w:val="auto"/>
          <w:spacing w:val="-2"/>
          <w:highlight w:val="none"/>
        </w:rPr>
        <w:t>日</w:t>
      </w:r>
    </w:p>
    <w:p>
      <w:pPr>
        <w:widowControl/>
        <w:rPr>
          <w:color w:val="auto"/>
          <w:highlight w:val="none"/>
        </w:rPr>
        <w:sectPr>
          <w:type w:val="continuous"/>
          <w:pgSz w:w="11907" w:h="16840"/>
          <w:pgMar w:top="434" w:right="946" w:bottom="194" w:left="1306" w:header="0" w:footer="0" w:gutter="0"/>
          <w:cols w:equalWidth="0" w:num="1">
            <w:col w:w="9655"/>
          </w:cols>
          <w:docGrid w:type="lines" w:linePitch="312" w:charSpace="0"/>
        </w:sectPr>
      </w:pPr>
    </w:p>
    <w:p>
      <w:pPr>
        <w:spacing w:after="0" w:line="240" w:lineRule="exact"/>
        <w:ind w:left="134" w:firstLine="5460"/>
        <w:rPr>
          <w:color w:val="auto"/>
          <w:highlight w:val="none"/>
        </w:rPr>
      </w:pPr>
    </w:p>
    <w:p>
      <w:pPr>
        <w:spacing w:after="0" w:line="240" w:lineRule="exact"/>
        <w:ind w:left="134" w:firstLine="5460"/>
        <w:rPr>
          <w:color w:val="auto"/>
          <w:highlight w:val="none"/>
        </w:rPr>
      </w:pPr>
    </w:p>
    <w:p>
      <w:pPr>
        <w:spacing w:after="0" w:line="240" w:lineRule="exact"/>
        <w:ind w:left="134" w:firstLine="5460"/>
        <w:rPr>
          <w:color w:val="auto"/>
          <w:highlight w:val="none"/>
        </w:rPr>
      </w:pPr>
    </w:p>
    <w:p>
      <w:pPr>
        <w:spacing w:after="0" w:line="240" w:lineRule="exact"/>
        <w:ind w:left="134" w:firstLine="5460"/>
        <w:rPr>
          <w:color w:val="auto"/>
          <w:highlight w:val="none"/>
        </w:rPr>
      </w:pPr>
    </w:p>
    <w:p>
      <w:pPr>
        <w:spacing w:after="0" w:line="240" w:lineRule="exact"/>
        <w:ind w:left="134" w:firstLine="5460"/>
        <w:rPr>
          <w:color w:val="auto"/>
          <w:highlight w:val="none"/>
        </w:rPr>
      </w:pPr>
    </w:p>
    <w:p>
      <w:pPr>
        <w:spacing w:after="0" w:line="336" w:lineRule="exact"/>
        <w:ind w:left="134" w:firstLine="5460"/>
        <w:rPr>
          <w:color w:val="auto"/>
          <w:highlight w:val="none"/>
        </w:rPr>
      </w:pPr>
    </w:p>
    <w:p>
      <w:pPr>
        <w:widowControl/>
        <w:rPr>
          <w:color w:val="auto"/>
          <w:highlight w:val="none"/>
        </w:rPr>
        <w:sectPr>
          <w:type w:val="continuous"/>
          <w:pgSz w:w="11907" w:h="16840"/>
          <w:pgMar w:top="434" w:right="946" w:bottom="194" w:left="1306" w:header="0" w:footer="0" w:gutter="0"/>
          <w:cols w:space="720" w:num="1"/>
          <w:docGrid w:type="lines" w:linePitch="312" w:charSpace="0"/>
        </w:sectPr>
      </w:pPr>
    </w:p>
    <w:p>
      <w:pPr>
        <w:widowControl/>
        <w:rPr>
          <w:color w:val="auto"/>
          <w:highlight w:val="none"/>
        </w:rPr>
        <w:sectPr>
          <w:type w:val="continuous"/>
          <w:pgSz w:w="11907" w:h="16840"/>
          <w:pgMar w:top="434" w:right="946" w:bottom="194" w:left="1306" w:header="0" w:footer="0" w:gutter="0"/>
          <w:cols w:equalWidth="0" w:num="1">
            <w:col w:w="9655"/>
          </w:cols>
          <w:docGrid w:type="lines" w:linePitch="312" w:charSpace="0"/>
        </w:sectPr>
      </w:pPr>
    </w:p>
    <w:tbl>
      <w:tblPr>
        <w:tblStyle w:val="16"/>
        <w:tblpPr w:leftFromText="180" w:rightFromText="180" w:tblpX="-39" w:tblpY="2076"/>
        <w:tblW w:w="9400" w:type="dxa"/>
        <w:tblInd w:w="0" w:type="dxa"/>
        <w:tblLayout w:type="fixed"/>
        <w:tblCellMar>
          <w:top w:w="0" w:type="dxa"/>
          <w:left w:w="108" w:type="dxa"/>
          <w:bottom w:w="0" w:type="dxa"/>
          <w:right w:w="108" w:type="dxa"/>
        </w:tblCellMar>
      </w:tblPr>
      <w:tblGrid>
        <w:gridCol w:w="1888"/>
        <w:gridCol w:w="3398"/>
        <w:gridCol w:w="1252"/>
        <w:gridCol w:w="2862"/>
      </w:tblGrid>
      <w:tr>
        <w:tblPrEx>
          <w:tblCellMar>
            <w:top w:w="0" w:type="dxa"/>
            <w:left w:w="108" w:type="dxa"/>
            <w:bottom w:w="0" w:type="dxa"/>
            <w:right w:w="108" w:type="dxa"/>
          </w:tblCellMar>
        </w:tblPrEx>
        <w:trPr>
          <w:trHeight w:val="642" w:hRule="exact"/>
        </w:trPr>
        <w:tc>
          <w:tcPr>
            <w:tcW w:w="1888"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after="0" w:line="240" w:lineRule="exact"/>
              <w:ind w:left="744" w:right="-239"/>
              <w:rPr>
                <w:color w:val="auto"/>
                <w:highlight w:val="none"/>
              </w:rPr>
            </w:pPr>
            <w:bookmarkStart w:id="86" w:name="38"/>
            <w:bookmarkEnd w:id="86"/>
          </w:p>
          <w:p>
            <w:pPr>
              <w:spacing w:after="0" w:line="327" w:lineRule="exact"/>
              <w:ind w:left="744" w:right="-239"/>
              <w:rPr>
                <w:color w:val="auto"/>
                <w:highlight w:val="none"/>
              </w:rPr>
            </w:pPr>
            <w:r>
              <w:rPr>
                <w:rFonts w:ascii="宋体" w:hAnsi="宋体" w:eastAsia="宋体" w:cs="宋体"/>
                <w:color w:val="auto"/>
                <w:spacing w:val="-2"/>
                <w:highlight w:val="none"/>
              </w:rPr>
              <w:t>项目</w:t>
            </w:r>
          </w:p>
        </w:tc>
        <w:tc>
          <w:tcPr>
            <w:tcW w:w="3398"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after="0" w:line="240" w:lineRule="exact"/>
              <w:ind w:left="1289" w:right="-239"/>
              <w:rPr>
                <w:color w:val="auto"/>
                <w:highlight w:val="none"/>
              </w:rPr>
            </w:pPr>
          </w:p>
          <w:p>
            <w:pPr>
              <w:spacing w:after="0" w:line="327" w:lineRule="exact"/>
              <w:ind w:left="1289" w:right="-239"/>
              <w:rPr>
                <w:color w:val="auto"/>
                <w:highlight w:val="none"/>
              </w:rPr>
            </w:pPr>
            <w:r>
              <w:rPr>
                <w:rFonts w:ascii="宋体" w:hAnsi="宋体" w:eastAsia="宋体" w:cs="宋体"/>
                <w:color w:val="auto"/>
                <w:spacing w:val="-1"/>
                <w:highlight w:val="none"/>
              </w:rPr>
              <w:t>文件要求</w:t>
            </w:r>
          </w:p>
        </w:tc>
        <w:tc>
          <w:tcPr>
            <w:tcW w:w="1252"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after="0" w:line="240" w:lineRule="exact"/>
              <w:ind w:left="209" w:right="-239"/>
              <w:rPr>
                <w:color w:val="auto"/>
                <w:highlight w:val="none"/>
              </w:rPr>
            </w:pPr>
          </w:p>
          <w:p>
            <w:pPr>
              <w:spacing w:after="0" w:line="327" w:lineRule="exact"/>
              <w:ind w:left="209" w:right="-239"/>
              <w:rPr>
                <w:color w:val="auto"/>
                <w:highlight w:val="none"/>
              </w:rPr>
            </w:pPr>
            <w:r>
              <w:rPr>
                <w:rFonts w:ascii="宋体" w:hAnsi="宋体" w:eastAsia="宋体" w:cs="宋体"/>
                <w:color w:val="auto"/>
                <w:spacing w:val="-1"/>
                <w:highlight w:val="none"/>
              </w:rPr>
              <w:t>是否响应</w:t>
            </w:r>
          </w:p>
        </w:tc>
        <w:tc>
          <w:tcPr>
            <w:tcW w:w="2862"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after="0" w:line="240" w:lineRule="exact"/>
              <w:ind w:left="494" w:right="-239"/>
              <w:rPr>
                <w:color w:val="auto"/>
                <w:highlight w:val="none"/>
              </w:rPr>
            </w:pPr>
          </w:p>
          <w:p>
            <w:pPr>
              <w:spacing w:after="0" w:line="327" w:lineRule="exact"/>
              <w:ind w:left="494" w:right="-239"/>
              <w:rPr>
                <w:color w:val="auto"/>
                <w:highlight w:val="none"/>
              </w:rPr>
            </w:pPr>
            <w:r>
              <w:rPr>
                <w:rFonts w:ascii="宋体" w:hAnsi="宋体" w:eastAsia="宋体" w:cs="宋体"/>
                <w:color w:val="auto"/>
                <w:spacing w:val="-1"/>
                <w:highlight w:val="none"/>
              </w:rPr>
              <w:t>供应商的承诺或说明</w:t>
            </w:r>
          </w:p>
        </w:tc>
      </w:tr>
      <w:tr>
        <w:tblPrEx>
          <w:tblCellMar>
            <w:top w:w="0" w:type="dxa"/>
            <w:left w:w="108" w:type="dxa"/>
            <w:bottom w:w="0" w:type="dxa"/>
            <w:right w:w="108" w:type="dxa"/>
          </w:tblCellMar>
        </w:tblPrEx>
        <w:trPr>
          <w:trHeight w:val="658" w:hRule="exact"/>
        </w:trPr>
        <w:tc>
          <w:tcPr>
            <w:tcW w:w="1888"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after="0" w:line="240" w:lineRule="exact"/>
              <w:ind w:left="533" w:right="-239"/>
              <w:rPr>
                <w:color w:val="auto"/>
                <w:highlight w:val="none"/>
              </w:rPr>
            </w:pPr>
          </w:p>
          <w:p>
            <w:pPr>
              <w:spacing w:after="0" w:line="335" w:lineRule="exact"/>
              <w:ind w:left="533" w:right="-239"/>
              <w:rPr>
                <w:color w:val="auto"/>
                <w:highlight w:val="none"/>
              </w:rPr>
            </w:pPr>
            <w:r>
              <w:rPr>
                <w:rFonts w:hint="eastAsia" w:ascii="宋体" w:hAnsi="宋体" w:eastAsia="宋体" w:cs="宋体"/>
                <w:color w:val="auto"/>
                <w:highlight w:val="none"/>
              </w:rPr>
              <w:t>监理范围</w:t>
            </w:r>
          </w:p>
        </w:tc>
        <w:tc>
          <w:tcPr>
            <w:tcW w:w="3398"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35" w:lineRule="exact"/>
              <w:rPr>
                <w:color w:val="auto"/>
                <w:highlight w:val="none"/>
              </w:rPr>
            </w:pPr>
          </w:p>
        </w:tc>
        <w:tc>
          <w:tcPr>
            <w:tcW w:w="1252"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35" w:lineRule="exact"/>
              <w:rPr>
                <w:color w:val="auto"/>
                <w:highlight w:val="none"/>
              </w:rPr>
            </w:pPr>
          </w:p>
        </w:tc>
        <w:tc>
          <w:tcPr>
            <w:tcW w:w="2862"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35" w:lineRule="exact"/>
              <w:rPr>
                <w:color w:val="auto"/>
                <w:highlight w:val="none"/>
              </w:rPr>
            </w:pPr>
          </w:p>
        </w:tc>
      </w:tr>
      <w:tr>
        <w:tblPrEx>
          <w:tblCellMar>
            <w:top w:w="0" w:type="dxa"/>
            <w:left w:w="108" w:type="dxa"/>
            <w:bottom w:w="0" w:type="dxa"/>
            <w:right w:w="108" w:type="dxa"/>
          </w:tblCellMar>
        </w:tblPrEx>
        <w:trPr>
          <w:trHeight w:val="916" w:hRule="exact"/>
        </w:trPr>
        <w:tc>
          <w:tcPr>
            <w:tcW w:w="1888"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after="0" w:line="480" w:lineRule="exact"/>
              <w:ind w:left="533" w:right="-239"/>
              <w:rPr>
                <w:color w:val="auto"/>
                <w:highlight w:val="none"/>
              </w:rPr>
            </w:pPr>
          </w:p>
          <w:p>
            <w:pPr>
              <w:spacing w:after="0" w:line="226" w:lineRule="exact"/>
              <w:ind w:left="533" w:right="-239"/>
              <w:rPr>
                <w:color w:val="auto"/>
                <w:highlight w:val="none"/>
              </w:rPr>
            </w:pPr>
            <w:r>
              <w:rPr>
                <w:color w:val="auto"/>
                <w:highlight w:val="none"/>
              </w:rPr>
              <w:t>监理服务期限</w:t>
            </w:r>
          </w:p>
        </w:tc>
        <w:tc>
          <w:tcPr>
            <w:tcW w:w="3398"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226" w:lineRule="exact"/>
              <w:rPr>
                <w:color w:val="auto"/>
                <w:highlight w:val="none"/>
              </w:rPr>
            </w:pPr>
          </w:p>
          <w:p>
            <w:pPr>
              <w:spacing w:line="226" w:lineRule="exact"/>
              <w:rPr>
                <w:color w:val="auto"/>
                <w:highlight w:val="none"/>
              </w:rPr>
            </w:pPr>
          </w:p>
        </w:tc>
        <w:tc>
          <w:tcPr>
            <w:tcW w:w="1252"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226" w:lineRule="exact"/>
              <w:rPr>
                <w:color w:val="auto"/>
                <w:highlight w:val="none"/>
              </w:rPr>
            </w:pPr>
          </w:p>
        </w:tc>
        <w:tc>
          <w:tcPr>
            <w:tcW w:w="2862"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226" w:lineRule="exact"/>
              <w:rPr>
                <w:color w:val="auto"/>
                <w:highlight w:val="none"/>
              </w:rPr>
            </w:pPr>
          </w:p>
        </w:tc>
      </w:tr>
      <w:tr>
        <w:tblPrEx>
          <w:tblCellMar>
            <w:top w:w="0" w:type="dxa"/>
            <w:left w:w="108" w:type="dxa"/>
            <w:bottom w:w="0" w:type="dxa"/>
            <w:right w:w="108" w:type="dxa"/>
          </w:tblCellMar>
        </w:tblPrEx>
        <w:trPr>
          <w:trHeight w:val="1059" w:hRule="exact"/>
        </w:trPr>
        <w:tc>
          <w:tcPr>
            <w:tcW w:w="1888"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after="0" w:line="480" w:lineRule="exact"/>
              <w:ind w:left="324" w:right="-239"/>
              <w:rPr>
                <w:color w:val="auto"/>
                <w:highlight w:val="none"/>
              </w:rPr>
            </w:pPr>
          </w:p>
          <w:p>
            <w:pPr>
              <w:spacing w:after="0" w:line="297" w:lineRule="exact"/>
              <w:ind w:left="324" w:right="-239" w:firstLine="420" w:firstLineChars="200"/>
              <w:rPr>
                <w:color w:val="auto"/>
                <w:highlight w:val="none"/>
              </w:rPr>
            </w:pPr>
            <w:r>
              <w:rPr>
                <w:rFonts w:hint="eastAsia" w:ascii="宋体" w:hAnsi="宋体" w:eastAsia="宋体" w:cs="宋体"/>
                <w:color w:val="auto"/>
                <w:highlight w:val="none"/>
              </w:rPr>
              <w:t>质量</w:t>
            </w:r>
            <w:r>
              <w:rPr>
                <w:rFonts w:ascii="宋体" w:hAnsi="宋体" w:eastAsia="宋体" w:cs="宋体"/>
                <w:color w:val="auto"/>
                <w:highlight w:val="none"/>
              </w:rPr>
              <w:t>要求</w:t>
            </w:r>
          </w:p>
        </w:tc>
        <w:tc>
          <w:tcPr>
            <w:tcW w:w="3398"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297" w:lineRule="exact"/>
              <w:rPr>
                <w:color w:val="auto"/>
                <w:highlight w:val="none"/>
              </w:rPr>
            </w:pPr>
          </w:p>
          <w:p>
            <w:pPr>
              <w:spacing w:line="297" w:lineRule="exact"/>
              <w:jc w:val="both"/>
              <w:rPr>
                <w:color w:val="auto"/>
                <w:highlight w:val="none"/>
              </w:rPr>
            </w:pPr>
          </w:p>
        </w:tc>
        <w:tc>
          <w:tcPr>
            <w:tcW w:w="1252"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297" w:lineRule="exact"/>
              <w:rPr>
                <w:color w:val="auto"/>
                <w:highlight w:val="none"/>
              </w:rPr>
            </w:pPr>
          </w:p>
        </w:tc>
        <w:tc>
          <w:tcPr>
            <w:tcW w:w="2862"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297" w:lineRule="exact"/>
              <w:rPr>
                <w:color w:val="auto"/>
                <w:highlight w:val="none"/>
              </w:rPr>
            </w:pPr>
          </w:p>
        </w:tc>
      </w:tr>
      <w:tr>
        <w:tblPrEx>
          <w:tblCellMar>
            <w:top w:w="0" w:type="dxa"/>
            <w:left w:w="108" w:type="dxa"/>
            <w:bottom w:w="0" w:type="dxa"/>
            <w:right w:w="108" w:type="dxa"/>
          </w:tblCellMar>
        </w:tblPrEx>
        <w:trPr>
          <w:trHeight w:val="778" w:hRule="exact"/>
        </w:trPr>
        <w:tc>
          <w:tcPr>
            <w:tcW w:w="1888"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297" w:lineRule="exact"/>
              <w:rPr>
                <w:color w:val="auto"/>
                <w:highlight w:val="none"/>
              </w:rPr>
            </w:pPr>
          </w:p>
        </w:tc>
        <w:tc>
          <w:tcPr>
            <w:tcW w:w="3398"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297" w:lineRule="exact"/>
              <w:rPr>
                <w:color w:val="auto"/>
                <w:highlight w:val="none"/>
              </w:rPr>
            </w:pPr>
          </w:p>
        </w:tc>
        <w:tc>
          <w:tcPr>
            <w:tcW w:w="1252"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297" w:lineRule="exact"/>
              <w:rPr>
                <w:color w:val="auto"/>
                <w:highlight w:val="none"/>
              </w:rPr>
            </w:pPr>
          </w:p>
        </w:tc>
        <w:tc>
          <w:tcPr>
            <w:tcW w:w="2862"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297" w:lineRule="exact"/>
              <w:rPr>
                <w:color w:val="auto"/>
                <w:highlight w:val="none"/>
              </w:rPr>
            </w:pPr>
          </w:p>
        </w:tc>
      </w:tr>
      <w:tr>
        <w:tblPrEx>
          <w:tblCellMar>
            <w:top w:w="0" w:type="dxa"/>
            <w:left w:w="108" w:type="dxa"/>
            <w:bottom w:w="0" w:type="dxa"/>
            <w:right w:w="108" w:type="dxa"/>
          </w:tblCellMar>
        </w:tblPrEx>
        <w:trPr>
          <w:trHeight w:val="778" w:hRule="exact"/>
        </w:trPr>
        <w:tc>
          <w:tcPr>
            <w:tcW w:w="1888"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297" w:lineRule="exact"/>
              <w:rPr>
                <w:color w:val="auto"/>
                <w:highlight w:val="none"/>
              </w:rPr>
            </w:pPr>
          </w:p>
        </w:tc>
        <w:tc>
          <w:tcPr>
            <w:tcW w:w="3398"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297" w:lineRule="exact"/>
              <w:rPr>
                <w:color w:val="auto"/>
                <w:highlight w:val="none"/>
              </w:rPr>
            </w:pPr>
          </w:p>
        </w:tc>
        <w:tc>
          <w:tcPr>
            <w:tcW w:w="1252"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297" w:lineRule="exact"/>
              <w:rPr>
                <w:color w:val="auto"/>
                <w:highlight w:val="none"/>
              </w:rPr>
            </w:pPr>
          </w:p>
        </w:tc>
        <w:tc>
          <w:tcPr>
            <w:tcW w:w="2862"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297" w:lineRule="exact"/>
              <w:rPr>
                <w:color w:val="auto"/>
                <w:highlight w:val="none"/>
              </w:rPr>
            </w:pPr>
          </w:p>
        </w:tc>
      </w:tr>
      <w:tr>
        <w:tblPrEx>
          <w:tblCellMar>
            <w:top w:w="0" w:type="dxa"/>
            <w:left w:w="108" w:type="dxa"/>
            <w:bottom w:w="0" w:type="dxa"/>
            <w:right w:w="108" w:type="dxa"/>
          </w:tblCellMar>
        </w:tblPrEx>
        <w:trPr>
          <w:trHeight w:val="778" w:hRule="exact"/>
        </w:trPr>
        <w:tc>
          <w:tcPr>
            <w:tcW w:w="1888"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after="0" w:line="240" w:lineRule="exact"/>
              <w:ind w:left="218" w:right="-239"/>
              <w:rPr>
                <w:color w:val="auto"/>
                <w:highlight w:val="none"/>
              </w:rPr>
            </w:pPr>
          </w:p>
          <w:p>
            <w:pPr>
              <w:spacing w:after="0" w:line="395" w:lineRule="exact"/>
              <w:ind w:left="218" w:right="-239"/>
              <w:rPr>
                <w:color w:val="auto"/>
                <w:highlight w:val="none"/>
              </w:rPr>
            </w:pPr>
            <w:r>
              <w:rPr>
                <w:rFonts w:ascii="宋体" w:hAnsi="宋体" w:eastAsia="宋体" w:cs="宋体"/>
                <w:color w:val="auto"/>
                <w:highlight w:val="none"/>
              </w:rPr>
              <w:t>付款方式和条件</w:t>
            </w:r>
          </w:p>
        </w:tc>
        <w:tc>
          <w:tcPr>
            <w:tcW w:w="3398"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95" w:lineRule="exact"/>
              <w:rPr>
                <w:color w:val="auto"/>
                <w:highlight w:val="none"/>
              </w:rPr>
            </w:pPr>
          </w:p>
        </w:tc>
        <w:tc>
          <w:tcPr>
            <w:tcW w:w="1252"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95" w:lineRule="exact"/>
              <w:rPr>
                <w:color w:val="auto"/>
                <w:highlight w:val="none"/>
              </w:rPr>
            </w:pPr>
          </w:p>
        </w:tc>
        <w:tc>
          <w:tcPr>
            <w:tcW w:w="2862"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95" w:lineRule="exact"/>
              <w:rPr>
                <w:color w:val="auto"/>
                <w:highlight w:val="none"/>
              </w:rPr>
            </w:pPr>
          </w:p>
        </w:tc>
      </w:tr>
      <w:tr>
        <w:tblPrEx>
          <w:tblCellMar>
            <w:top w:w="0" w:type="dxa"/>
            <w:left w:w="108" w:type="dxa"/>
            <w:bottom w:w="0" w:type="dxa"/>
            <w:right w:w="108" w:type="dxa"/>
          </w:tblCellMar>
        </w:tblPrEx>
        <w:trPr>
          <w:trHeight w:val="778" w:hRule="exact"/>
        </w:trPr>
        <w:tc>
          <w:tcPr>
            <w:tcW w:w="1888"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95" w:lineRule="exact"/>
              <w:rPr>
                <w:color w:val="auto"/>
                <w:highlight w:val="none"/>
              </w:rPr>
            </w:pPr>
          </w:p>
        </w:tc>
        <w:tc>
          <w:tcPr>
            <w:tcW w:w="3398"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95" w:lineRule="exact"/>
              <w:rPr>
                <w:color w:val="auto"/>
                <w:highlight w:val="none"/>
              </w:rPr>
            </w:pPr>
          </w:p>
        </w:tc>
        <w:tc>
          <w:tcPr>
            <w:tcW w:w="1252"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95" w:lineRule="exact"/>
              <w:rPr>
                <w:color w:val="auto"/>
                <w:highlight w:val="none"/>
              </w:rPr>
            </w:pPr>
          </w:p>
        </w:tc>
        <w:tc>
          <w:tcPr>
            <w:tcW w:w="2862"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95" w:lineRule="exact"/>
              <w:rPr>
                <w:color w:val="auto"/>
                <w:highlight w:val="none"/>
              </w:rPr>
            </w:pPr>
          </w:p>
        </w:tc>
      </w:tr>
      <w:tr>
        <w:tblPrEx>
          <w:tblCellMar>
            <w:top w:w="0" w:type="dxa"/>
            <w:left w:w="108" w:type="dxa"/>
            <w:bottom w:w="0" w:type="dxa"/>
            <w:right w:w="108" w:type="dxa"/>
          </w:tblCellMar>
        </w:tblPrEx>
        <w:trPr>
          <w:trHeight w:val="778" w:hRule="exact"/>
        </w:trPr>
        <w:tc>
          <w:tcPr>
            <w:tcW w:w="1888" w:type="dxa"/>
            <w:tcBorders>
              <w:top w:val="single" w:color="000000" w:sz="6" w:space="0"/>
              <w:left w:val="single" w:color="000000" w:sz="6" w:space="0"/>
              <w:bottom w:val="single" w:color="auto" w:sz="4" w:space="0"/>
              <w:right w:val="single" w:color="000000" w:sz="6" w:space="0"/>
            </w:tcBorders>
            <w:shd w:val="clear" w:color="auto" w:fill="auto"/>
            <w:tcMar>
              <w:left w:w="0" w:type="dxa"/>
              <w:right w:w="0" w:type="dxa"/>
            </w:tcMar>
          </w:tcPr>
          <w:p>
            <w:pPr>
              <w:spacing w:line="395" w:lineRule="exact"/>
              <w:rPr>
                <w:color w:val="auto"/>
                <w:highlight w:val="none"/>
              </w:rPr>
            </w:pPr>
          </w:p>
        </w:tc>
        <w:tc>
          <w:tcPr>
            <w:tcW w:w="3398" w:type="dxa"/>
            <w:tcBorders>
              <w:top w:val="single" w:color="000000" w:sz="6" w:space="0"/>
              <w:left w:val="single" w:color="000000" w:sz="6" w:space="0"/>
              <w:bottom w:val="single" w:color="auto" w:sz="4" w:space="0"/>
              <w:right w:val="single" w:color="000000" w:sz="6" w:space="0"/>
            </w:tcBorders>
            <w:shd w:val="clear" w:color="auto" w:fill="auto"/>
            <w:tcMar>
              <w:left w:w="0" w:type="dxa"/>
              <w:right w:w="0" w:type="dxa"/>
            </w:tcMar>
          </w:tcPr>
          <w:p>
            <w:pPr>
              <w:spacing w:line="395" w:lineRule="exact"/>
              <w:rPr>
                <w:color w:val="auto"/>
                <w:highlight w:val="none"/>
              </w:rPr>
            </w:pPr>
          </w:p>
        </w:tc>
        <w:tc>
          <w:tcPr>
            <w:tcW w:w="1252" w:type="dxa"/>
            <w:tcBorders>
              <w:top w:val="single" w:color="000000" w:sz="6" w:space="0"/>
              <w:left w:val="single" w:color="000000" w:sz="6" w:space="0"/>
              <w:bottom w:val="single" w:color="auto" w:sz="4" w:space="0"/>
              <w:right w:val="single" w:color="000000" w:sz="6" w:space="0"/>
            </w:tcBorders>
            <w:shd w:val="clear" w:color="auto" w:fill="auto"/>
            <w:tcMar>
              <w:left w:w="0" w:type="dxa"/>
              <w:right w:w="0" w:type="dxa"/>
            </w:tcMar>
          </w:tcPr>
          <w:p>
            <w:pPr>
              <w:spacing w:line="395" w:lineRule="exact"/>
              <w:rPr>
                <w:color w:val="auto"/>
                <w:highlight w:val="none"/>
              </w:rPr>
            </w:pPr>
          </w:p>
        </w:tc>
        <w:tc>
          <w:tcPr>
            <w:tcW w:w="2862" w:type="dxa"/>
            <w:tcBorders>
              <w:top w:val="single" w:color="000000" w:sz="6" w:space="0"/>
              <w:left w:val="single" w:color="000000" w:sz="6" w:space="0"/>
              <w:bottom w:val="single" w:color="auto" w:sz="4" w:space="0"/>
              <w:right w:val="single" w:color="000000" w:sz="6" w:space="0"/>
            </w:tcBorders>
            <w:shd w:val="clear" w:color="auto" w:fill="auto"/>
            <w:tcMar>
              <w:left w:w="0" w:type="dxa"/>
              <w:right w:w="0" w:type="dxa"/>
            </w:tcMar>
          </w:tcPr>
          <w:p>
            <w:pPr>
              <w:spacing w:line="395" w:lineRule="exact"/>
              <w:rPr>
                <w:color w:val="auto"/>
                <w:highlight w:val="none"/>
              </w:rPr>
            </w:pPr>
          </w:p>
        </w:tc>
      </w:tr>
      <w:tr>
        <w:tblPrEx>
          <w:tblCellMar>
            <w:top w:w="0" w:type="dxa"/>
            <w:left w:w="108" w:type="dxa"/>
            <w:bottom w:w="0" w:type="dxa"/>
            <w:right w:w="108" w:type="dxa"/>
          </w:tblCellMar>
        </w:tblPrEx>
        <w:trPr>
          <w:trHeight w:val="903" w:hRule="exact"/>
        </w:trPr>
        <w:tc>
          <w:tcPr>
            <w:tcW w:w="1888"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tcPr>
          <w:p>
            <w:pPr>
              <w:spacing w:after="0" w:line="240" w:lineRule="exact"/>
              <w:ind w:left="850" w:right="-239"/>
              <w:rPr>
                <w:color w:val="auto"/>
                <w:highlight w:val="none"/>
              </w:rPr>
            </w:pPr>
          </w:p>
          <w:p>
            <w:pPr>
              <w:spacing w:after="0" w:line="396" w:lineRule="exact"/>
              <w:ind w:left="850" w:right="-239"/>
              <w:rPr>
                <w:color w:val="auto"/>
                <w:highlight w:val="none"/>
              </w:rPr>
            </w:pPr>
            <w:r>
              <w:rPr>
                <w:rFonts w:ascii="宋体" w:hAnsi="宋体" w:cs="宋体"/>
                <w:color w:val="auto"/>
                <w:spacing w:val="-2"/>
                <w:highlight w:val="none"/>
              </w:rPr>
              <w:t>…</w:t>
            </w:r>
          </w:p>
        </w:tc>
        <w:tc>
          <w:tcPr>
            <w:tcW w:w="3398"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tcPr>
          <w:p>
            <w:pPr>
              <w:spacing w:line="396" w:lineRule="exact"/>
              <w:rPr>
                <w:color w:val="auto"/>
                <w:highlight w:val="none"/>
              </w:rPr>
            </w:pPr>
          </w:p>
        </w:tc>
        <w:tc>
          <w:tcPr>
            <w:tcW w:w="1252"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tcPr>
          <w:p>
            <w:pPr>
              <w:spacing w:line="396" w:lineRule="exact"/>
              <w:rPr>
                <w:color w:val="auto"/>
                <w:highlight w:val="none"/>
              </w:rPr>
            </w:pPr>
          </w:p>
        </w:tc>
        <w:tc>
          <w:tcPr>
            <w:tcW w:w="2862"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tcPr>
          <w:p>
            <w:pPr>
              <w:spacing w:line="396" w:lineRule="exact"/>
              <w:rPr>
                <w:color w:val="auto"/>
                <w:highlight w:val="none"/>
              </w:rPr>
            </w:pPr>
          </w:p>
        </w:tc>
      </w:tr>
    </w:tbl>
    <w:p>
      <w:pPr>
        <w:spacing w:after="0" w:line="161" w:lineRule="exact"/>
        <w:rPr>
          <w:color w:val="auto"/>
          <w:highlight w:val="none"/>
        </w:rPr>
      </w:pPr>
    </w:p>
    <w:p>
      <w:pPr>
        <w:widowControl/>
        <w:rPr>
          <w:color w:val="auto"/>
          <w:highlight w:val="none"/>
        </w:rPr>
        <w:sectPr>
          <w:type w:val="continuous"/>
          <w:pgSz w:w="11907" w:h="16839"/>
          <w:pgMar w:top="434" w:right="1020" w:bottom="194" w:left="1380" w:header="0" w:footer="0" w:gutter="0"/>
          <w:cols w:space="720" w:num="1"/>
          <w:docGrid w:type="lines" w:linePitch="312" w:charSpace="0"/>
        </w:sectPr>
      </w:pPr>
    </w:p>
    <w:p>
      <w:pPr>
        <w:tabs>
          <w:tab w:val="left" w:pos="3120"/>
        </w:tabs>
        <w:spacing w:after="0" w:line="181" w:lineRule="exact"/>
        <w:ind w:left="60"/>
        <w:rPr>
          <w:color w:val="auto"/>
          <w:highlight w:val="none"/>
        </w:rPr>
      </w:pPr>
      <w:r>
        <w:rPr>
          <w:color w:val="auto"/>
          <w:highlight w:val="none"/>
        </w:rPr>
        <mc:AlternateContent>
          <mc:Choice Requires="wps">
            <w:drawing>
              <wp:anchor distT="0" distB="0" distL="114300" distR="114300" simplePos="0" relativeHeight="251657216" behindDoc="0" locked="0" layoutInCell="1" hidden="1" allowOverlap="1">
                <wp:simplePos x="0" y="0"/>
                <wp:positionH relativeFrom="column">
                  <wp:posOffset>0</wp:posOffset>
                </wp:positionH>
                <wp:positionV relativeFrom="paragraph">
                  <wp:posOffset>0</wp:posOffset>
                </wp:positionV>
                <wp:extent cx="635000" cy="635000"/>
                <wp:effectExtent l="0" t="0" r="0" b="0"/>
                <wp:wrapNone/>
                <wp:docPr id="3" name="自选图形 44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wps:cNvSpPr>
                      <wps:spPr>
                        <a:xfrm>
                          <a:off x="0" y="0"/>
                          <a:ext cx="635000" cy="635000"/>
                        </a:xfrm>
                        <a:custGeom>
                          <a:avLst/>
                          <a:gdLst/>
                          <a:ahLst/>
                          <a:cxnLst/>
                          <a:rect l="0" t="0" r="0" b="0"/>
                          <a:pathLst>
                            <a:path w="44990" h="72">
                              <a:moveTo>
                                <a:pt x="0" y="36"/>
                              </a:moveTo>
                              <a:lnTo>
                                <a:pt x="0" y="36"/>
                              </a:lnTo>
                              <a:lnTo>
                                <a:pt x="44990" y="36"/>
                              </a:lnTo>
                            </a:path>
                          </a:pathLst>
                        </a:cu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id="自选图形 442" o:spid="_x0000_s1026" o:spt="100" style="position:absolute;left:0pt;margin-left:0pt;margin-top:0pt;height:50pt;width:50pt;visibility:hidden;z-index:251657216;mso-width-relative:page;mso-height-relative:page;" fillcolor="#FFFFFF" filled="t" stroked="t" coordsize="44990,72" o:gfxdata="UEsDBAoAAAAAAIdO4kAAAAAAAAAAAAAAAAAEAAAAZHJzL1BLAwQUAAAACACHTuJAPE0TaM8AAAAF&#10;AQAADwAAAGRycy9kb3ducmV2LnhtbE2PQUvDQBCF74L/YRnBm92NBykxmx4EqeIprQi9bbNjEpqd&#10;jdlp0/x7pyLoZZjHG958r1idQ69OOKYukoVsYUAh1dF31Fh43z7fLUElduRdHwktzJhgVV5fFS73&#10;caIKTxtulIRQyp2FlnnItU51i8GlRRyQxPuMY3Ascmy0H90k4aHX98Y86OA6kg+tG/CpxfqwOQYL&#10;uGPiKmTV19vEr2v8mF/Wh9na25vMPIJiPPPfMVzwBR1KYdrHI/mkegtShH/mxTNG5P530WWh/9OX&#10;31BLAwQUAAAACACHTuJAhprPjkcCAADsBAAADgAAAGRycy9lMm9Eb2MueG1srVRLjhMxEN0jcQfL&#10;e9I9+UFa6cyCEDYjGGmGAzi2u9vCP9lOOtmxQ5yBHUvuALcZCW5B2enOB6QRQmThlF1Vz69elXt+&#10;vVMSbbnzwugSXw1yjLimhgldl/jd/erZC4x8IJoRaTQv8Z57fL14+mTe2oIPTWMk4w4BiPZFa0vc&#10;hGCLLPO04Yr4gbFcg7MyTpEAW1dnzJEW0JXMhnk+zVrjmHWGcu/hdHlw4kXCrypOw9uq8jwgWWLg&#10;FtLq0rqOa7aYk6J2xDaCdjTIP7BQRGi49Ai1JIGgjRN/QClBnfGmCgNqVGaqSlCeaoBqrvLfqrlr&#10;iOWpFhDH26NM/v/B0jfbW4cEK/EII00UtOjHx68/P3x6+Pz94dsXNB4PMWoEYzy2N8rVWl9A1p29&#10;dbFgb28Mfe+RNndcgtxdVHYRFje+S9hVTsVEqB3tUiP2x0bwXUAUDqejSZ5Duyi4OhtuzkjRJ9ON&#10;D6+5SUBke+PDoY+st0jTW3Sne9MBvUfnwJIQ8yK7aKK2xOPxbAZEmhI/H6YGK7Pl9yaFhBP/0TRK&#10;AwRPbqkfCeud/b9NWN1lUPQR7xAAwJFQuuFIEg7PZfBGCrYSUqauuHr9Ujq0JTD3q/TrCF6ESR1r&#10;nE2GE9CawPOrJAlgKgsD4XWdKr7I8OfA0KPYpkPlF2HW+bAkvjkQSK4YBvqIwF2yGk7YK81Q2FsY&#10;Og1fBxzJKM4wknHaopUiAxHybyJBEKlBo9O0RWtt2B5GfGOdqJuL8YQnlRTtnn98s+f7hHT6SC1+&#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DxNE2jPAAAABQEAAA8AAAAAAAAAAQAgAAAAIgAAAGRy&#10;cy9kb3ducmV2LnhtbFBLAQIUABQAAAAIAIdO4kCGms+ORwIAAOwEAAAOAAAAAAAAAAEAIAAAAB4B&#10;AABkcnMvZTJvRG9jLnhtbFBLBQYAAAAABgAGAFkBAADXBQAAAAA=&#10;" path="m0,36l0,36,44990,36e">
                <v:fill on="t" focussize="0,0"/>
                <v:stroke color="#000000" joinstyle="miter"/>
                <v:imagedata o:title=""/>
                <o:lock v:ext="edit" selection="t" aspectratio="f"/>
              </v:shape>
            </w:pict>
          </mc:Fallback>
        </mc:AlternateContent>
      </w:r>
    </w:p>
    <w:p>
      <w:pPr>
        <w:spacing w:after="0" w:line="240" w:lineRule="exact"/>
        <w:rPr>
          <w:color w:val="auto"/>
          <w:highlight w:val="none"/>
        </w:rPr>
      </w:pPr>
    </w:p>
    <w:p>
      <w:pPr>
        <w:spacing w:after="0" w:line="446" w:lineRule="exact"/>
        <w:ind w:left="60"/>
        <w:rPr>
          <w:color w:val="auto"/>
          <w:highlight w:val="none"/>
        </w:rPr>
      </w:pPr>
    </w:p>
    <w:p>
      <w:pPr>
        <w:spacing w:after="0" w:line="324" w:lineRule="exact"/>
        <w:ind w:left="60"/>
        <w:rPr>
          <w:color w:val="auto"/>
          <w:highlight w:val="none"/>
        </w:rPr>
      </w:pPr>
      <w:r>
        <w:rPr>
          <w:rFonts w:ascii="黑体" w:hAnsi="黑体" w:eastAsia="黑体" w:cs="黑体"/>
          <w:color w:val="auto"/>
          <w:sz w:val="32"/>
          <w:highlight w:val="none"/>
        </w:rPr>
        <w:t>2.响应表格式：</w:t>
      </w:r>
    </w:p>
    <w:p>
      <w:pPr>
        <w:widowControl/>
        <w:rPr>
          <w:color w:val="auto"/>
          <w:highlight w:val="none"/>
        </w:rPr>
        <w:sectPr>
          <w:type w:val="continuous"/>
          <w:pgSz w:w="11907" w:h="16839"/>
          <w:pgMar w:top="434" w:right="1020" w:bottom="194" w:left="1380" w:header="0" w:footer="0" w:gutter="0"/>
          <w:cols w:equalWidth="0" w:num="1">
            <w:col w:w="9507"/>
          </w:cols>
          <w:docGrid w:type="lines" w:linePitch="312" w:charSpace="0"/>
        </w:sectPr>
      </w:pPr>
    </w:p>
    <w:p>
      <w:pPr>
        <w:spacing w:after="0" w:line="240" w:lineRule="exact"/>
        <w:ind w:left="60"/>
        <w:rPr>
          <w:color w:val="auto"/>
          <w:highlight w:val="none"/>
        </w:rPr>
      </w:pPr>
    </w:p>
    <w:p>
      <w:pPr>
        <w:spacing w:after="0" w:line="240" w:lineRule="exact"/>
        <w:ind w:left="60"/>
        <w:rPr>
          <w:color w:val="auto"/>
          <w:highlight w:val="none"/>
        </w:rPr>
      </w:pPr>
    </w:p>
    <w:p>
      <w:pPr>
        <w:spacing w:after="0" w:line="291" w:lineRule="exact"/>
        <w:ind w:left="60"/>
        <w:rPr>
          <w:color w:val="auto"/>
          <w:highlight w:val="none"/>
        </w:rPr>
      </w:pPr>
    </w:p>
    <w:p>
      <w:pPr>
        <w:widowControl/>
        <w:rPr>
          <w:color w:val="auto"/>
          <w:highlight w:val="none"/>
        </w:rPr>
        <w:sectPr>
          <w:type w:val="continuous"/>
          <w:pgSz w:w="11907" w:h="16839"/>
          <w:pgMar w:top="434" w:right="1020" w:bottom="194" w:left="1380" w:header="0" w:footer="0" w:gutter="0"/>
          <w:cols w:space="720" w:num="1"/>
          <w:docGrid w:type="lines" w:linePitch="312" w:charSpace="0"/>
        </w:sectPr>
      </w:pPr>
    </w:p>
    <w:p>
      <w:pPr>
        <w:spacing w:after="0" w:line="210" w:lineRule="exact"/>
        <w:ind w:left="480"/>
        <w:rPr>
          <w:rFonts w:ascii="宋体" w:hAnsi="宋体" w:eastAsia="宋体" w:cs="宋体"/>
          <w:color w:val="auto"/>
          <w:spacing w:val="-1"/>
          <w:highlight w:val="none"/>
        </w:rPr>
      </w:pPr>
    </w:p>
    <w:p>
      <w:pPr>
        <w:spacing w:after="0" w:line="360" w:lineRule="auto"/>
        <w:ind w:left="480"/>
        <w:rPr>
          <w:color w:val="auto"/>
          <w:highlight w:val="none"/>
        </w:rPr>
        <w:sectPr>
          <w:type w:val="continuous"/>
          <w:pgSz w:w="11907" w:h="16839"/>
          <w:pgMar w:top="434" w:right="1020" w:bottom="194" w:left="1380" w:header="0" w:footer="0" w:gutter="0"/>
          <w:cols w:equalWidth="0" w:num="1">
            <w:col w:w="9507"/>
          </w:cols>
          <w:docGrid w:type="lines" w:linePitch="312" w:charSpace="0"/>
        </w:sectPr>
      </w:pPr>
      <w:r>
        <w:rPr>
          <w:rFonts w:ascii="宋体" w:hAnsi="宋体" w:eastAsia="宋体" w:cs="宋体"/>
          <w:color w:val="auto"/>
          <w:spacing w:val="-1"/>
          <w:highlight w:val="none"/>
        </w:rPr>
        <w:t>注：根据竞争性磋商文件</w:t>
      </w:r>
      <w:r>
        <w:rPr>
          <w:rFonts w:ascii="Calibri" w:hAnsi="Calibri" w:cs="Calibri"/>
          <w:color w:val="auto"/>
          <w:w w:val="222"/>
          <w:highlight w:val="none"/>
        </w:rPr>
        <w:t> </w:t>
      </w:r>
      <w:r>
        <w:rPr>
          <w:rFonts w:ascii="宋体" w:hAnsi="宋体" w:cs="宋体"/>
          <w:color w:val="auto"/>
          <w:highlight w:val="none"/>
        </w:rPr>
        <w:t>“第三章</w:t>
      </w:r>
      <w:r>
        <w:rPr>
          <w:rFonts w:ascii="Calibri" w:hAnsi="Calibri" w:cs="Calibri"/>
          <w:color w:val="auto"/>
          <w:w w:val="222"/>
          <w:highlight w:val="none"/>
        </w:rPr>
        <w:t> </w:t>
      </w:r>
      <w:r>
        <w:rPr>
          <w:rFonts w:ascii="宋体" w:hAnsi="宋体" w:cs="宋体"/>
          <w:color w:val="auto"/>
          <w:spacing w:val="-1"/>
          <w:highlight w:val="none"/>
        </w:rPr>
        <w:t>项目服务需求”</w:t>
      </w:r>
      <w:r>
        <w:rPr>
          <w:rFonts w:ascii="Calibri" w:hAnsi="Calibri" w:cs="Calibri"/>
          <w:color w:val="auto"/>
          <w:w w:val="222"/>
          <w:highlight w:val="none"/>
        </w:rPr>
        <w:t> </w:t>
      </w:r>
      <w:r>
        <w:rPr>
          <w:rFonts w:ascii="宋体" w:hAnsi="宋体" w:cs="宋体"/>
          <w:color w:val="auto"/>
          <w:spacing w:val="-1"/>
          <w:highlight w:val="none"/>
        </w:rPr>
        <w:t>内容进行逐一响应。</w:t>
      </w:r>
    </w:p>
    <w:p>
      <w:pPr>
        <w:spacing w:after="0" w:line="240" w:lineRule="exact"/>
        <w:rPr>
          <w:color w:val="auto"/>
          <w:highlight w:val="none"/>
        </w:rPr>
      </w:pPr>
    </w:p>
    <w:p>
      <w:pPr>
        <w:spacing w:after="0" w:line="324" w:lineRule="exact"/>
        <w:ind w:left="60"/>
        <w:rPr>
          <w:color w:val="auto"/>
          <w:highlight w:val="none"/>
        </w:rPr>
      </w:pPr>
      <w:bookmarkStart w:id="87" w:name="39"/>
      <w:bookmarkEnd w:id="87"/>
      <w:r>
        <w:rPr>
          <w:rFonts w:ascii="黑体" w:hAnsi="黑体" w:eastAsia="黑体" w:cs="黑体"/>
          <w:color w:val="auto"/>
          <w:sz w:val="32"/>
          <w:highlight w:val="none"/>
        </w:rPr>
        <w:t>3.供应商资格证明文件</w:t>
      </w:r>
    </w:p>
    <w:p>
      <w:pPr>
        <w:spacing w:after="0" w:line="439" w:lineRule="exact"/>
        <w:ind w:left="60" w:firstLine="209"/>
        <w:rPr>
          <w:color w:val="auto"/>
          <w:highlight w:val="none"/>
        </w:rPr>
      </w:pPr>
      <w:r>
        <w:rPr>
          <w:rFonts w:ascii="宋体" w:hAnsi="宋体" w:cs="宋体"/>
          <w:color w:val="auto"/>
          <w:spacing w:val="-1"/>
          <w:highlight w:val="none"/>
        </w:rPr>
        <w:t>①有效的营业执照、组织机构代码证、税务登记证（或有统一社会信用代码的‘三证合一’营业</w:t>
      </w:r>
    </w:p>
    <w:p>
      <w:pPr>
        <w:spacing w:after="0" w:line="439" w:lineRule="exact"/>
        <w:ind w:left="60"/>
        <w:rPr>
          <w:color w:val="auto"/>
          <w:highlight w:val="none"/>
        </w:rPr>
      </w:pPr>
      <w:r>
        <w:rPr>
          <w:rFonts w:ascii="宋体" w:hAnsi="宋体" w:eastAsia="宋体" w:cs="宋体"/>
          <w:color w:val="auto"/>
          <w:highlight w:val="none"/>
        </w:rPr>
        <w:t>执照）复印件（必须提供，复印件加盖单位公章）；</w:t>
      </w:r>
    </w:p>
    <w:p>
      <w:pPr>
        <w:spacing w:after="0" w:line="432" w:lineRule="exact"/>
        <w:ind w:left="60" w:firstLine="209"/>
        <w:outlineLvl w:val="0"/>
        <w:rPr>
          <w:color w:val="auto"/>
          <w:highlight w:val="none"/>
        </w:rPr>
      </w:pPr>
    </w:p>
    <w:p>
      <w:pPr>
        <w:spacing w:after="0" w:line="401" w:lineRule="exact"/>
        <w:ind w:left="60" w:firstLine="209"/>
        <w:rPr>
          <w:color w:val="auto"/>
          <w:highlight w:val="none"/>
        </w:rPr>
      </w:pPr>
      <w:r>
        <w:rPr>
          <w:rFonts w:ascii="宋体" w:hAnsi="宋体" w:cs="宋体"/>
          <w:color w:val="auto"/>
          <w:spacing w:val="-1"/>
          <w:highlight w:val="none"/>
        </w:rPr>
        <w:t>②</w:t>
      </w:r>
      <w:r>
        <w:rPr>
          <w:rFonts w:hint="eastAsia" w:ascii="宋体" w:hAnsi="宋体" w:cs="宋体"/>
          <w:color w:val="auto"/>
          <w:spacing w:val="-1"/>
          <w:highlight w:val="none"/>
        </w:rPr>
        <w:t>有效的企业资质证书副本复印件，（必须提供，复印件加盖单位公章）；</w:t>
      </w:r>
    </w:p>
    <w:p>
      <w:pPr>
        <w:spacing w:after="0" w:line="439" w:lineRule="exact"/>
        <w:ind w:left="60"/>
        <w:rPr>
          <w:color w:val="auto"/>
          <w:highlight w:val="none"/>
        </w:rPr>
      </w:pPr>
    </w:p>
    <w:p>
      <w:pPr>
        <w:spacing w:after="0" w:line="240" w:lineRule="exact"/>
        <w:ind w:left="60"/>
        <w:rPr>
          <w:color w:val="auto"/>
          <w:highlight w:val="none"/>
        </w:rPr>
      </w:pPr>
    </w:p>
    <w:p>
      <w:pPr>
        <w:spacing w:after="0" w:line="240" w:lineRule="exact"/>
        <w:ind w:left="60"/>
        <w:rPr>
          <w:color w:val="auto"/>
          <w:highlight w:val="none"/>
        </w:rPr>
      </w:pPr>
    </w:p>
    <w:p>
      <w:pPr>
        <w:spacing w:after="0" w:line="401" w:lineRule="exact"/>
        <w:ind w:left="60" w:firstLine="209"/>
        <w:rPr>
          <w:color w:val="auto"/>
          <w:highlight w:val="none"/>
        </w:rPr>
      </w:pPr>
      <w:r>
        <w:rPr>
          <w:rFonts w:hint="eastAsia" w:ascii="宋体" w:hAnsi="宋体" w:cs="宋体"/>
          <w:color w:val="auto"/>
          <w:spacing w:val="-1"/>
          <w:highlight w:val="none"/>
        </w:rPr>
        <w:t>③</w:t>
      </w:r>
      <w:r>
        <w:rPr>
          <w:rFonts w:ascii="宋体" w:hAnsi="宋体" w:cs="宋体"/>
          <w:color w:val="auto"/>
          <w:highlight w:val="none"/>
        </w:rPr>
        <w:t>法定代表人身份证复印件（必须提供，复印件加盖单位公章）；</w:t>
      </w:r>
    </w:p>
    <w:p>
      <w:pPr>
        <w:spacing w:after="0" w:line="401" w:lineRule="exact"/>
        <w:ind w:left="60" w:firstLine="209"/>
        <w:rPr>
          <w:color w:val="auto"/>
          <w:highlight w:val="none"/>
        </w:rPr>
      </w:pPr>
    </w:p>
    <w:p>
      <w:pPr>
        <w:spacing w:after="0" w:line="240" w:lineRule="exact"/>
        <w:ind w:left="60"/>
        <w:rPr>
          <w:color w:val="auto"/>
          <w:highlight w:val="none"/>
        </w:rPr>
      </w:pPr>
    </w:p>
    <w:p>
      <w:pPr>
        <w:spacing w:after="0" w:line="240" w:lineRule="exact"/>
        <w:ind w:left="60"/>
        <w:rPr>
          <w:color w:val="auto"/>
          <w:highlight w:val="none"/>
        </w:rPr>
      </w:pPr>
    </w:p>
    <w:p>
      <w:pPr>
        <w:spacing w:after="0" w:line="401" w:lineRule="exact"/>
        <w:ind w:left="60" w:firstLine="209"/>
        <w:rPr>
          <w:color w:val="auto"/>
          <w:highlight w:val="none"/>
        </w:rPr>
      </w:pPr>
      <w:r>
        <w:rPr>
          <w:rFonts w:ascii="宋体" w:hAnsi="宋体" w:cs="宋体"/>
          <w:color w:val="auto"/>
          <w:highlight w:val="none"/>
        </w:rPr>
        <w:t>④法定代表人授权委托书和委托代理人身份证复印件（委托代理时必须提供，格式见后）；</w:t>
      </w:r>
    </w:p>
    <w:p>
      <w:pPr>
        <w:spacing w:after="0" w:line="240" w:lineRule="exact"/>
        <w:ind w:left="60" w:firstLine="209"/>
        <w:rPr>
          <w:color w:val="auto"/>
          <w:highlight w:val="none"/>
        </w:rPr>
      </w:pPr>
    </w:p>
    <w:p>
      <w:pPr>
        <w:spacing w:after="0" w:line="581" w:lineRule="exact"/>
        <w:ind w:left="60" w:firstLine="2258"/>
        <w:rPr>
          <w:color w:val="auto"/>
          <w:highlight w:val="none"/>
        </w:rPr>
      </w:pPr>
      <w:r>
        <w:rPr>
          <w:rFonts w:ascii="Arial Unicode MS" w:hAnsi="Arial Unicode MS" w:eastAsia="Arial Unicode MS" w:cs="Arial Unicode MS"/>
          <w:color w:val="auto"/>
          <w:sz w:val="32"/>
          <w:highlight w:val="none"/>
        </w:rPr>
        <w:t>法定代表人授权委托书（格式）</w:t>
      </w:r>
    </w:p>
    <w:p>
      <w:pPr>
        <w:spacing w:after="0" w:line="240" w:lineRule="exact"/>
        <w:ind w:left="60" w:firstLine="2258"/>
        <w:rPr>
          <w:color w:val="auto"/>
          <w:highlight w:val="none"/>
        </w:rPr>
      </w:pPr>
    </w:p>
    <w:p>
      <w:pPr>
        <w:spacing w:after="0" w:line="240" w:lineRule="exact"/>
        <w:ind w:left="60" w:firstLine="2258"/>
        <w:rPr>
          <w:color w:val="auto"/>
          <w:highlight w:val="none"/>
        </w:rPr>
      </w:pPr>
    </w:p>
    <w:p>
      <w:pPr>
        <w:spacing w:after="0" w:line="446" w:lineRule="exact"/>
        <w:ind w:left="60" w:firstLine="106"/>
        <w:rPr>
          <w:color w:val="auto"/>
          <w:highlight w:val="none"/>
        </w:rPr>
      </w:pPr>
      <w:r>
        <w:rPr>
          <w:rFonts w:hint="eastAsia" w:ascii="宋体" w:hAnsi="宋体" w:eastAsia="宋体" w:cs="宋体"/>
          <w:color w:val="auto"/>
          <w:spacing w:val="-1"/>
          <w:highlight w:val="none"/>
        </w:rPr>
        <w:t>广西博行弈工程项目管理有限公司</w:t>
      </w:r>
      <w:r>
        <w:rPr>
          <w:rFonts w:ascii="宋体" w:hAnsi="宋体" w:eastAsia="宋体" w:cs="宋体"/>
          <w:color w:val="auto"/>
          <w:spacing w:val="-1"/>
          <w:highlight w:val="none"/>
        </w:rPr>
        <w:t>：</w:t>
      </w:r>
    </w:p>
    <w:p>
      <w:pPr>
        <w:spacing w:after="0" w:line="240" w:lineRule="exact"/>
        <w:ind w:left="60" w:firstLine="106"/>
        <w:rPr>
          <w:color w:val="auto"/>
          <w:highlight w:val="none"/>
        </w:rPr>
      </w:pPr>
    </w:p>
    <w:p>
      <w:pPr>
        <w:tabs>
          <w:tab w:val="left" w:pos="2160"/>
          <w:tab w:val="left" w:pos="5405"/>
        </w:tabs>
        <w:spacing w:after="0" w:line="360" w:lineRule="auto"/>
        <w:ind w:left="60" w:firstLine="420"/>
        <w:rPr>
          <w:color w:val="auto"/>
          <w:highlight w:val="none"/>
          <w:u w:val="single"/>
        </w:rPr>
      </w:pPr>
      <w:r>
        <w:rPr>
          <w:rFonts w:ascii="宋体" w:hAnsi="宋体" w:eastAsia="宋体" w:cs="宋体"/>
          <w:color w:val="auto"/>
          <w:spacing w:val="-1"/>
          <w:highlight w:val="none"/>
        </w:rPr>
        <w:t>兹授权</w:t>
      </w:r>
      <w:r>
        <w:rPr>
          <w:rFonts w:cs="Calibri"/>
          <w:color w:val="auto"/>
          <w:highlight w:val="none"/>
          <w:u w:val="single"/>
        </w:rPr>
        <w:tab/>
      </w:r>
      <w:r>
        <w:rPr>
          <w:rFonts w:ascii="宋体" w:hAnsi="宋体" w:eastAsia="宋体" w:cs="宋体"/>
          <w:color w:val="auto"/>
          <w:highlight w:val="none"/>
        </w:rPr>
        <w:t>同志为我公司参加贵单位组织的</w:t>
      </w:r>
      <w:r>
        <w:rPr>
          <w:rFonts w:cs="Calibri"/>
          <w:color w:val="auto"/>
          <w:highlight w:val="none"/>
          <w:u w:val="single"/>
        </w:rPr>
        <w:tab/>
      </w:r>
      <w:r>
        <w:rPr>
          <w:rFonts w:ascii="宋体" w:hAnsi="宋体" w:cs="宋体"/>
          <w:color w:val="auto"/>
          <w:spacing w:val="-2"/>
          <w:highlight w:val="none"/>
          <w:u w:val="single"/>
        </w:rPr>
        <w:t>（</w:t>
      </w:r>
      <w:r>
        <w:rPr>
          <w:rFonts w:hint="eastAsia" w:ascii="宋体" w:hAnsi="宋体" w:cs="宋体"/>
          <w:color w:val="auto"/>
          <w:spacing w:val="-2"/>
          <w:highlight w:val="none"/>
          <w:u w:val="single"/>
        </w:rPr>
        <w:t>项目名称</w:t>
      </w:r>
      <w:r>
        <w:rPr>
          <w:rFonts w:ascii="宋体" w:hAnsi="宋体" w:cs="宋体"/>
          <w:color w:val="auto"/>
          <w:spacing w:val="-2"/>
          <w:highlight w:val="none"/>
          <w:u w:val="single"/>
        </w:rPr>
        <w:t>、</w:t>
      </w:r>
      <w:r>
        <w:rPr>
          <w:rFonts w:hint="eastAsia" w:ascii="宋体" w:hAnsi="宋体" w:cs="宋体"/>
          <w:color w:val="auto"/>
          <w:spacing w:val="-2"/>
          <w:highlight w:val="none"/>
          <w:u w:val="single"/>
        </w:rPr>
        <w:t>项目编号</w:t>
      </w:r>
      <w:r>
        <w:rPr>
          <w:rFonts w:ascii="宋体" w:hAnsi="宋体" w:cs="宋体"/>
          <w:color w:val="auto"/>
          <w:spacing w:val="-2"/>
          <w:highlight w:val="none"/>
          <w:u w:val="single"/>
        </w:rPr>
        <w:t>）</w:t>
      </w:r>
      <w:r>
        <w:rPr>
          <w:rFonts w:ascii="宋体" w:hAnsi="宋体" w:cs="宋体"/>
          <w:color w:val="auto"/>
          <w:spacing w:val="-2"/>
          <w:highlight w:val="none"/>
        </w:rPr>
        <w:t>竞争性磋商</w:t>
      </w:r>
      <w:r>
        <w:rPr>
          <w:rFonts w:ascii="Calibri" w:hAnsi="Calibri" w:cs="Calibri"/>
          <w:color w:val="auto"/>
          <w:w w:val="227"/>
          <w:highlight w:val="none"/>
        </w:rPr>
        <w:t> </w:t>
      </w:r>
      <w:r>
        <w:rPr>
          <w:rFonts w:ascii="宋体" w:hAnsi="宋体" w:eastAsia="宋体" w:cs="宋体"/>
          <w:color w:val="auto"/>
          <w:spacing w:val="-2"/>
          <w:highlight w:val="none"/>
        </w:rPr>
        <w:t>采</w:t>
      </w:r>
      <w:r>
        <w:rPr>
          <w:rFonts w:ascii="宋体" w:hAnsi="宋体" w:cs="宋体"/>
          <w:color w:val="auto"/>
          <w:spacing w:val="7"/>
          <w:highlight w:val="none"/>
        </w:rPr>
        <w:t>购活动的</w:t>
      </w:r>
      <w:r>
        <w:rPr>
          <w:rFonts w:hint="eastAsia" w:ascii="宋体" w:hAnsi="宋体" w:cs="宋体"/>
          <w:color w:val="auto"/>
          <w:spacing w:val="7"/>
          <w:highlight w:val="none"/>
        </w:rPr>
        <w:t>磋商</w:t>
      </w:r>
      <w:r>
        <w:rPr>
          <w:rFonts w:ascii="宋体" w:hAnsi="宋体" w:cs="宋体"/>
          <w:color w:val="auto"/>
          <w:spacing w:val="7"/>
          <w:highlight w:val="none"/>
        </w:rPr>
        <w:t>代表人，全权代表我公司处理在该项目活动中的一切事宜。代理期限从</w:t>
      </w:r>
      <w:r>
        <w:rPr>
          <w:rFonts w:cs="Calibri"/>
          <w:color w:val="auto"/>
          <w:highlight w:val="none"/>
          <w:u w:val="single"/>
        </w:rPr>
        <w:tab/>
      </w:r>
      <w:r>
        <w:rPr>
          <w:rFonts w:ascii="宋体" w:hAnsi="宋体" w:eastAsia="宋体" w:cs="宋体"/>
          <w:color w:val="auto"/>
          <w:spacing w:val="-2"/>
          <w:highlight w:val="none"/>
        </w:rPr>
        <w:t>年</w:t>
      </w:r>
    </w:p>
    <w:p>
      <w:pPr>
        <w:tabs>
          <w:tab w:val="left" w:pos="586"/>
          <w:tab w:val="left" w:pos="1846"/>
          <w:tab w:val="left" w:pos="2474"/>
          <w:tab w:val="left" w:pos="3106"/>
        </w:tabs>
        <w:spacing w:after="0" w:line="360" w:lineRule="auto"/>
        <w:ind w:left="60"/>
        <w:rPr>
          <w:color w:val="auto"/>
          <w:highlight w:val="none"/>
        </w:rPr>
      </w:pPr>
      <w:r>
        <w:rPr>
          <w:rFonts w:ascii="宋体" w:hAnsi="宋体" w:eastAsia="宋体" w:cs="宋体"/>
          <w:color w:val="auto"/>
          <w:spacing w:val="-2"/>
          <w:highlight w:val="none"/>
        </w:rPr>
        <w:t>月</w:t>
      </w:r>
      <w:r>
        <w:rPr>
          <w:rFonts w:cs="Calibri"/>
          <w:color w:val="auto"/>
          <w:highlight w:val="none"/>
          <w:u w:val="single"/>
        </w:rPr>
        <w:tab/>
      </w:r>
      <w:r>
        <w:rPr>
          <w:rFonts w:ascii="宋体" w:hAnsi="宋体" w:eastAsia="宋体" w:cs="宋体"/>
          <w:color w:val="auto"/>
          <w:spacing w:val="-1"/>
          <w:highlight w:val="none"/>
        </w:rPr>
        <w:t>日</w:t>
      </w:r>
      <w:r>
        <w:rPr>
          <w:rFonts w:ascii="宋体" w:hAnsi="宋体" w:eastAsia="宋体" w:cs="宋体"/>
          <w:color w:val="auto"/>
          <w:spacing w:val="-1"/>
          <w:highlight w:val="none"/>
          <w:u w:val="single"/>
        </w:rPr>
        <w:t>起至</w:t>
      </w:r>
      <w:r>
        <w:rPr>
          <w:rFonts w:cs="Calibri"/>
          <w:color w:val="auto"/>
          <w:highlight w:val="none"/>
          <w:u w:val="single"/>
        </w:rPr>
        <w:tab/>
      </w:r>
      <w:r>
        <w:rPr>
          <w:rFonts w:ascii="宋体" w:hAnsi="宋体" w:eastAsia="宋体" w:cs="宋体"/>
          <w:color w:val="auto"/>
          <w:spacing w:val="-2"/>
          <w:highlight w:val="none"/>
        </w:rPr>
        <w:t>年</w:t>
      </w:r>
      <w:r>
        <w:rPr>
          <w:rFonts w:cs="Calibri"/>
          <w:color w:val="auto"/>
          <w:highlight w:val="none"/>
          <w:u w:val="single"/>
        </w:rPr>
        <w:tab/>
      </w:r>
      <w:r>
        <w:rPr>
          <w:rFonts w:ascii="宋体" w:hAnsi="宋体" w:eastAsia="宋体" w:cs="宋体"/>
          <w:color w:val="auto"/>
          <w:spacing w:val="-2"/>
          <w:highlight w:val="none"/>
        </w:rPr>
        <w:t>月</w:t>
      </w:r>
      <w:r>
        <w:rPr>
          <w:rFonts w:cs="Calibri"/>
          <w:color w:val="auto"/>
          <w:highlight w:val="none"/>
          <w:u w:val="single"/>
        </w:rPr>
        <w:tab/>
      </w:r>
      <w:r>
        <w:rPr>
          <w:rFonts w:ascii="宋体" w:hAnsi="宋体" w:cs="宋体"/>
          <w:color w:val="auto"/>
          <w:spacing w:val="-1"/>
          <w:highlight w:val="none"/>
        </w:rPr>
        <w:t>日止。</w:t>
      </w:r>
    </w:p>
    <w:p>
      <w:pPr>
        <w:spacing w:after="0" w:line="240" w:lineRule="exact"/>
        <w:ind w:left="60"/>
        <w:rPr>
          <w:color w:val="auto"/>
          <w:highlight w:val="none"/>
        </w:rPr>
      </w:pPr>
    </w:p>
    <w:p>
      <w:pPr>
        <w:spacing w:after="0" w:line="240" w:lineRule="exact"/>
        <w:ind w:left="60"/>
        <w:rPr>
          <w:color w:val="auto"/>
          <w:highlight w:val="none"/>
        </w:rPr>
      </w:pPr>
    </w:p>
    <w:p>
      <w:pPr>
        <w:spacing w:after="0" w:line="240" w:lineRule="exact"/>
        <w:ind w:left="60"/>
        <w:rPr>
          <w:color w:val="auto"/>
          <w:highlight w:val="none"/>
        </w:rPr>
      </w:pPr>
    </w:p>
    <w:p>
      <w:pPr>
        <w:spacing w:after="0" w:line="281" w:lineRule="exact"/>
        <w:ind w:left="60" w:firstLine="4409"/>
        <w:rPr>
          <w:color w:val="auto"/>
          <w:highlight w:val="none"/>
        </w:rPr>
      </w:pPr>
      <w:r>
        <w:rPr>
          <w:rFonts w:ascii="宋体" w:hAnsi="宋体" w:eastAsia="宋体" w:cs="宋体"/>
          <w:color w:val="auto"/>
          <w:spacing w:val="-1"/>
          <w:highlight w:val="none"/>
        </w:rPr>
        <w:t>授权单位（签章）：</w:t>
      </w:r>
    </w:p>
    <w:p>
      <w:pPr>
        <w:spacing w:after="0" w:line="240" w:lineRule="exact"/>
        <w:ind w:left="60" w:firstLine="4409"/>
        <w:rPr>
          <w:color w:val="auto"/>
          <w:highlight w:val="none"/>
        </w:rPr>
      </w:pPr>
    </w:p>
    <w:p>
      <w:pPr>
        <w:spacing w:after="0" w:line="259" w:lineRule="exact"/>
        <w:ind w:left="60" w:firstLine="4409"/>
        <w:rPr>
          <w:color w:val="auto"/>
          <w:highlight w:val="none"/>
        </w:rPr>
      </w:pPr>
      <w:r>
        <w:rPr>
          <w:rFonts w:ascii="宋体" w:hAnsi="宋体" w:eastAsia="宋体" w:cs="宋体"/>
          <w:color w:val="auto"/>
          <w:spacing w:val="-1"/>
          <w:highlight w:val="none"/>
        </w:rPr>
        <w:t>法定代表人（签字或盖章）：</w:t>
      </w:r>
    </w:p>
    <w:p>
      <w:pPr>
        <w:spacing w:after="0" w:line="240" w:lineRule="exact"/>
        <w:ind w:left="60" w:firstLine="4409"/>
        <w:rPr>
          <w:color w:val="auto"/>
          <w:highlight w:val="none"/>
        </w:rPr>
      </w:pPr>
    </w:p>
    <w:p>
      <w:pPr>
        <w:tabs>
          <w:tab w:val="left" w:pos="6360"/>
          <w:tab w:val="left" w:pos="7200"/>
          <w:tab w:val="left" w:pos="8040"/>
        </w:tabs>
        <w:spacing w:after="0" w:line="259" w:lineRule="exact"/>
        <w:ind w:left="60" w:firstLine="4409"/>
        <w:rPr>
          <w:color w:val="auto"/>
          <w:highlight w:val="none"/>
        </w:rPr>
      </w:pPr>
      <w:r>
        <w:rPr>
          <w:rFonts w:ascii="宋体" w:hAnsi="宋体" w:eastAsia="宋体" w:cs="宋体"/>
          <w:color w:val="auto"/>
          <w:spacing w:val="-1"/>
          <w:highlight w:val="none"/>
        </w:rPr>
        <w:t>签发日期：</w:t>
      </w:r>
      <w:r>
        <w:rPr>
          <w:rFonts w:cs="Calibri"/>
          <w:color w:val="auto"/>
          <w:highlight w:val="none"/>
        </w:rPr>
        <w:tab/>
      </w:r>
      <w:r>
        <w:rPr>
          <w:rFonts w:ascii="宋体" w:hAnsi="宋体" w:eastAsia="宋体" w:cs="宋体"/>
          <w:color w:val="auto"/>
          <w:spacing w:val="-2"/>
          <w:highlight w:val="none"/>
        </w:rPr>
        <w:t>年</w:t>
      </w:r>
      <w:r>
        <w:rPr>
          <w:rFonts w:cs="Calibri"/>
          <w:color w:val="auto"/>
          <w:highlight w:val="none"/>
        </w:rPr>
        <w:tab/>
      </w:r>
      <w:r>
        <w:rPr>
          <w:rFonts w:ascii="宋体" w:hAnsi="宋体" w:eastAsia="宋体" w:cs="宋体"/>
          <w:color w:val="auto"/>
          <w:spacing w:val="-2"/>
          <w:highlight w:val="none"/>
        </w:rPr>
        <w:t>月</w:t>
      </w:r>
      <w:r>
        <w:rPr>
          <w:rFonts w:cs="Calibri"/>
          <w:color w:val="auto"/>
          <w:highlight w:val="none"/>
        </w:rPr>
        <w:tab/>
      </w:r>
      <w:r>
        <w:rPr>
          <w:rFonts w:ascii="宋体" w:hAnsi="宋体" w:eastAsia="宋体" w:cs="宋体"/>
          <w:color w:val="auto"/>
          <w:spacing w:val="-2"/>
          <w:highlight w:val="none"/>
        </w:rPr>
        <w:t>日</w:t>
      </w:r>
    </w:p>
    <w:p>
      <w:pPr>
        <w:spacing w:after="0" w:line="240" w:lineRule="exact"/>
        <w:ind w:left="60" w:firstLine="4409"/>
        <w:rPr>
          <w:color w:val="auto"/>
          <w:highlight w:val="none"/>
        </w:rPr>
      </w:pPr>
    </w:p>
    <w:p>
      <w:pPr>
        <w:spacing w:after="0" w:line="240" w:lineRule="exact"/>
        <w:ind w:left="60" w:firstLine="4409"/>
        <w:rPr>
          <w:color w:val="auto"/>
          <w:highlight w:val="none"/>
        </w:rPr>
      </w:pPr>
    </w:p>
    <w:p>
      <w:pPr>
        <w:spacing w:after="0" w:line="240" w:lineRule="exact"/>
        <w:ind w:left="60" w:firstLine="4409"/>
        <w:rPr>
          <w:color w:val="auto"/>
          <w:highlight w:val="none"/>
        </w:rPr>
      </w:pPr>
    </w:p>
    <w:p>
      <w:pPr>
        <w:spacing w:after="0" w:line="281" w:lineRule="exact"/>
        <w:ind w:left="60" w:firstLine="420"/>
        <w:rPr>
          <w:color w:val="auto"/>
          <w:highlight w:val="none"/>
        </w:rPr>
      </w:pPr>
      <w:r>
        <w:rPr>
          <w:rFonts w:ascii="宋体" w:hAnsi="宋体" w:eastAsia="宋体" w:cs="宋体"/>
          <w:color w:val="auto"/>
          <w:spacing w:val="-1"/>
          <w:highlight w:val="none"/>
        </w:rPr>
        <w:t>附：被授权人身份证（复印件）</w:t>
      </w:r>
    </w:p>
    <w:p>
      <w:pPr>
        <w:widowControl/>
        <w:rPr>
          <w:color w:val="auto"/>
          <w:highlight w:val="none"/>
        </w:rPr>
        <w:sectPr>
          <w:type w:val="continuous"/>
          <w:pgSz w:w="11907" w:h="16840"/>
          <w:pgMar w:top="434" w:right="1020" w:bottom="194" w:left="1380" w:header="0" w:footer="0" w:gutter="0"/>
          <w:cols w:equalWidth="0" w:num="1">
            <w:col w:w="9507"/>
          </w:cols>
          <w:docGrid w:type="lines" w:linePitch="312" w:charSpace="0"/>
        </w:sectPr>
      </w:pPr>
    </w:p>
    <w:p>
      <w:pPr>
        <w:spacing w:after="0" w:line="240" w:lineRule="exact"/>
        <w:ind w:left="60" w:firstLine="420"/>
        <w:rPr>
          <w:color w:val="auto"/>
          <w:highlight w:val="none"/>
        </w:rPr>
      </w:pPr>
    </w:p>
    <w:p>
      <w:pPr>
        <w:spacing w:after="0" w:line="240" w:lineRule="exact"/>
        <w:ind w:left="60" w:firstLine="420"/>
        <w:rPr>
          <w:color w:val="auto"/>
          <w:highlight w:val="none"/>
        </w:rPr>
      </w:pPr>
    </w:p>
    <w:p>
      <w:pPr>
        <w:spacing w:after="0" w:line="240" w:lineRule="exact"/>
        <w:ind w:left="60" w:firstLine="420"/>
        <w:rPr>
          <w:color w:val="auto"/>
          <w:highlight w:val="none"/>
        </w:rPr>
      </w:pPr>
    </w:p>
    <w:p>
      <w:pPr>
        <w:spacing w:after="0" w:line="240" w:lineRule="exact"/>
        <w:ind w:left="60" w:firstLine="420"/>
        <w:rPr>
          <w:color w:val="auto"/>
          <w:highlight w:val="none"/>
        </w:rPr>
      </w:pPr>
    </w:p>
    <w:p>
      <w:pPr>
        <w:spacing w:after="0" w:line="240" w:lineRule="exact"/>
        <w:ind w:left="60" w:firstLine="420"/>
        <w:rPr>
          <w:color w:val="auto"/>
          <w:highlight w:val="none"/>
        </w:rPr>
      </w:pPr>
    </w:p>
    <w:p>
      <w:pPr>
        <w:spacing w:after="0" w:line="240" w:lineRule="exact"/>
        <w:ind w:left="60" w:firstLine="420"/>
        <w:rPr>
          <w:color w:val="auto"/>
          <w:highlight w:val="none"/>
        </w:rPr>
      </w:pPr>
    </w:p>
    <w:p>
      <w:pPr>
        <w:spacing w:after="0" w:line="240" w:lineRule="exact"/>
        <w:ind w:left="60" w:firstLine="420"/>
        <w:rPr>
          <w:color w:val="auto"/>
          <w:highlight w:val="none"/>
        </w:rPr>
      </w:pPr>
    </w:p>
    <w:p>
      <w:pPr>
        <w:spacing w:after="0" w:line="240" w:lineRule="exact"/>
        <w:ind w:left="60" w:firstLine="420"/>
        <w:rPr>
          <w:color w:val="auto"/>
          <w:highlight w:val="none"/>
        </w:rPr>
      </w:pPr>
    </w:p>
    <w:p>
      <w:pPr>
        <w:spacing w:after="0" w:line="240" w:lineRule="exact"/>
        <w:ind w:left="60" w:firstLine="420"/>
        <w:rPr>
          <w:color w:val="auto"/>
          <w:highlight w:val="none"/>
        </w:rPr>
      </w:pPr>
    </w:p>
    <w:p>
      <w:pPr>
        <w:spacing w:after="0" w:line="240" w:lineRule="exact"/>
        <w:ind w:left="60" w:firstLine="420"/>
        <w:rPr>
          <w:color w:val="auto"/>
          <w:highlight w:val="none"/>
        </w:rPr>
      </w:pPr>
    </w:p>
    <w:p>
      <w:pPr>
        <w:spacing w:after="0" w:line="240" w:lineRule="exact"/>
        <w:ind w:left="60" w:firstLine="420"/>
        <w:rPr>
          <w:color w:val="auto"/>
          <w:highlight w:val="none"/>
        </w:rPr>
      </w:pPr>
    </w:p>
    <w:p>
      <w:pPr>
        <w:spacing w:after="0" w:line="240" w:lineRule="exact"/>
        <w:ind w:left="60" w:firstLine="420"/>
        <w:rPr>
          <w:color w:val="auto"/>
          <w:highlight w:val="none"/>
        </w:rPr>
      </w:pPr>
    </w:p>
    <w:p>
      <w:pPr>
        <w:spacing w:after="0" w:line="240" w:lineRule="exact"/>
        <w:ind w:left="60" w:firstLine="420"/>
        <w:rPr>
          <w:color w:val="auto"/>
          <w:highlight w:val="none"/>
        </w:rPr>
      </w:pPr>
    </w:p>
    <w:p>
      <w:pPr>
        <w:spacing w:after="0" w:line="324" w:lineRule="exact"/>
        <w:ind w:left="60" w:firstLine="420"/>
        <w:rPr>
          <w:color w:val="auto"/>
          <w:highlight w:val="none"/>
        </w:rPr>
      </w:pPr>
    </w:p>
    <w:p>
      <w:pPr>
        <w:widowControl/>
        <w:rPr>
          <w:color w:val="auto"/>
          <w:highlight w:val="none"/>
        </w:rPr>
        <w:sectPr>
          <w:type w:val="continuous"/>
          <w:pgSz w:w="11907" w:h="16840"/>
          <w:pgMar w:top="434" w:right="1020" w:bottom="194" w:left="1380" w:header="0" w:footer="0" w:gutter="0"/>
          <w:cols w:space="720" w:num="1"/>
          <w:docGrid w:type="lines" w:linePitch="312" w:charSpace="0"/>
        </w:sectPr>
      </w:pPr>
    </w:p>
    <w:p>
      <w:pPr>
        <w:widowControl/>
        <w:rPr>
          <w:color w:val="auto"/>
          <w:highlight w:val="none"/>
        </w:rPr>
        <w:sectPr>
          <w:type w:val="continuous"/>
          <w:pgSz w:w="11907" w:h="16840"/>
          <w:pgMar w:top="434" w:right="1020" w:bottom="194" w:left="1380" w:header="0" w:footer="0" w:gutter="0"/>
          <w:cols w:equalWidth="0" w:num="1">
            <w:col w:w="9507"/>
          </w:cols>
          <w:docGrid w:type="lines" w:linePitch="312" w:charSpace="0"/>
        </w:sectPr>
      </w:pPr>
    </w:p>
    <w:p>
      <w:pPr>
        <w:spacing w:after="0" w:line="473" w:lineRule="exact"/>
        <w:ind w:left="60" w:firstLine="209"/>
        <w:rPr>
          <w:rFonts w:ascii="宋体" w:hAnsi="宋体" w:cs="宋体"/>
          <w:color w:val="auto"/>
          <w:spacing w:val="-2"/>
          <w:position w:val="3"/>
          <w:highlight w:val="none"/>
        </w:rPr>
      </w:pPr>
      <w:bookmarkStart w:id="88" w:name="40"/>
      <w:bookmarkEnd w:id="88"/>
    </w:p>
    <w:p>
      <w:pPr>
        <w:spacing w:after="0" w:line="473" w:lineRule="exact"/>
        <w:ind w:left="60" w:firstLine="209"/>
        <w:rPr>
          <w:rFonts w:ascii="宋体" w:hAnsi="宋体" w:cs="宋体"/>
          <w:color w:val="auto"/>
          <w:spacing w:val="-2"/>
          <w:position w:val="3"/>
          <w:highlight w:val="none"/>
        </w:rPr>
      </w:pPr>
      <w:r>
        <w:rPr>
          <w:rFonts w:hint="eastAsia" w:ascii="宋体" w:hAnsi="宋体" w:cs="宋体"/>
          <w:color w:val="auto"/>
          <w:spacing w:val="-2"/>
          <w:position w:val="3"/>
          <w:highlight w:val="none"/>
        </w:rPr>
        <w:t>⑤总监理工程师须具备国家注册监理工程师执业资格证书（公路工程专业）（必须提供，复印件加盖单位公章）；</w:t>
      </w:r>
    </w:p>
    <w:p>
      <w:pPr>
        <w:spacing w:after="0" w:line="473" w:lineRule="exact"/>
        <w:ind w:left="60" w:firstLine="209"/>
        <w:rPr>
          <w:rFonts w:ascii="宋体" w:hAnsi="宋体" w:cs="宋体"/>
          <w:color w:val="auto"/>
          <w:spacing w:val="-2"/>
          <w:position w:val="3"/>
          <w:highlight w:val="none"/>
        </w:rPr>
      </w:pPr>
      <w:r>
        <w:rPr>
          <w:rFonts w:hint="eastAsia" w:ascii="宋体" w:hAnsi="宋体" w:cs="宋体"/>
          <w:color w:val="auto"/>
          <w:spacing w:val="-2"/>
          <w:position w:val="3"/>
          <w:highlight w:val="none"/>
        </w:rPr>
        <w:t>⑥供应商2020年3月至2020年6月依法纳税的完税证明复印件或电子缴税付款凭证复印件或税务征收机关出具的依法缴纳税收证明复印件（必须提供，复印件加盖单位公章）；</w:t>
      </w:r>
    </w:p>
    <w:p>
      <w:pPr>
        <w:spacing w:after="0" w:line="473" w:lineRule="exact"/>
        <w:ind w:left="60" w:firstLine="209"/>
        <w:rPr>
          <w:rFonts w:ascii="宋体" w:hAnsi="宋体" w:cs="宋体"/>
          <w:color w:val="auto"/>
          <w:spacing w:val="-2"/>
          <w:position w:val="3"/>
          <w:highlight w:val="none"/>
        </w:rPr>
      </w:pPr>
      <w:r>
        <w:rPr>
          <w:rFonts w:hint="eastAsia" w:ascii="宋体" w:hAnsi="宋体" w:cs="宋体"/>
          <w:color w:val="auto"/>
          <w:spacing w:val="-2"/>
          <w:position w:val="3"/>
          <w:highlight w:val="none"/>
        </w:rPr>
        <w:t>⑦供应商2020年3月至2020年6月在职员工依法缴纳的“社会保险基金专用收款收据”复印件或人力资源与社会保障局（社保中心或劳动监察部门）出具的依法缴纳社保证明复印件（必须提供，复印件加盖单位公章）；</w:t>
      </w:r>
    </w:p>
    <w:p>
      <w:pPr>
        <w:spacing w:after="0" w:line="473" w:lineRule="exact"/>
        <w:ind w:left="60" w:firstLine="209"/>
        <w:rPr>
          <w:rFonts w:hint="eastAsia" w:ascii="宋体" w:hAnsi="宋体" w:cs="宋体"/>
          <w:color w:val="auto"/>
          <w:spacing w:val="-2"/>
          <w:position w:val="3"/>
          <w:highlight w:val="none"/>
        </w:rPr>
        <w:sectPr>
          <w:type w:val="continuous"/>
          <w:pgSz w:w="11907" w:h="16839"/>
          <w:pgMar w:top="434" w:right="1020" w:bottom="194" w:left="1380" w:header="0" w:footer="0" w:gutter="0"/>
          <w:cols w:equalWidth="0" w:num="1">
            <w:col w:w="9507"/>
          </w:cols>
          <w:docGrid w:type="lines" w:linePitch="312" w:charSpace="0"/>
        </w:sectPr>
      </w:pPr>
      <w:r>
        <w:rPr>
          <w:rFonts w:hint="eastAsia" w:ascii="宋体" w:hAnsi="宋体" w:cs="宋体"/>
          <w:color w:val="auto"/>
          <w:spacing w:val="-2"/>
          <w:position w:val="3"/>
          <w:highlight w:val="none"/>
        </w:rPr>
        <w:t>⑧供应商投标人2019年经审计的财务报告（复印件加盖公章）新成立公司，按实际月份提供（必须提交，加盖投标单位公章）；</w:t>
      </w:r>
    </w:p>
    <w:p>
      <w:pPr>
        <w:spacing w:after="0" w:line="240" w:lineRule="exact"/>
        <w:ind w:left="60"/>
        <w:rPr>
          <w:color w:val="auto"/>
          <w:highlight w:val="none"/>
        </w:rPr>
      </w:pPr>
    </w:p>
    <w:p>
      <w:pPr>
        <w:spacing w:after="0" w:line="442" w:lineRule="exact"/>
        <w:ind w:left="140" w:firstLine="209"/>
        <w:rPr>
          <w:rFonts w:ascii="宋体" w:hAnsi="宋体" w:cs="宋体"/>
          <w:color w:val="auto"/>
          <w:highlight w:val="none"/>
        </w:rPr>
      </w:pPr>
      <w:r>
        <w:rPr>
          <w:rFonts w:hint="eastAsia" w:ascii="宋体" w:hAnsi="宋体" w:cs="宋体"/>
          <w:color w:val="auto"/>
          <w:highlight w:val="none"/>
        </w:rPr>
        <w:t>⑨供应商</w:t>
      </w:r>
      <w:r>
        <w:rPr>
          <w:rFonts w:hint="eastAsia" w:ascii="宋体" w:hAnsi="宋体" w:cs="宋体"/>
          <w:color w:val="auto"/>
          <w:highlight w:val="none"/>
          <w:lang w:val="en-US" w:eastAsia="zh-CN"/>
        </w:rPr>
        <w:t>2018</w:t>
      </w:r>
      <w:r>
        <w:rPr>
          <w:rFonts w:hint="eastAsia" w:ascii="宋体" w:hAnsi="宋体" w:cs="宋体"/>
          <w:color w:val="auto"/>
          <w:highlight w:val="none"/>
        </w:rPr>
        <w:t>年度</w:t>
      </w:r>
      <w:r>
        <w:rPr>
          <w:rFonts w:hint="eastAsia" w:ascii="宋体" w:hAnsi="宋体" w:cs="宋体"/>
          <w:color w:val="auto"/>
          <w:szCs w:val="21"/>
          <w:highlight w:val="none"/>
        </w:rPr>
        <w:t>全国公路建设市场信用</w:t>
      </w:r>
      <w:r>
        <w:rPr>
          <w:rFonts w:hint="eastAsia" w:cs="宋体" w:asciiTheme="minorEastAsia" w:hAnsiTheme="minorEastAsia"/>
          <w:color w:val="auto"/>
          <w:highlight w:val="none"/>
        </w:rPr>
        <w:t>评价结果</w:t>
      </w:r>
      <w:r>
        <w:rPr>
          <w:rFonts w:hint="eastAsia" w:ascii="宋体" w:hAnsi="宋体" w:cs="宋体"/>
          <w:color w:val="auto"/>
          <w:szCs w:val="21"/>
          <w:highlight w:val="none"/>
          <w:lang w:val="en-US" w:eastAsia="zh-CN"/>
        </w:rPr>
        <w:t>或</w:t>
      </w:r>
      <w:r>
        <w:rPr>
          <w:rFonts w:hint="eastAsia" w:ascii="宋体" w:hAnsi="宋体" w:cs="宋体"/>
          <w:color w:val="auto"/>
          <w:highlight w:val="none"/>
        </w:rPr>
        <w:t>广西公路建设市场公路监理企业信用评价结果</w:t>
      </w:r>
      <w:r>
        <w:rPr>
          <w:rFonts w:hint="eastAsia" w:cs="宋体" w:asciiTheme="minorEastAsia" w:hAnsiTheme="minorEastAsia"/>
          <w:color w:val="auto"/>
          <w:highlight w:val="none"/>
          <w:lang w:val="en-US" w:eastAsia="zh-CN"/>
        </w:rPr>
        <w:t>为</w:t>
      </w:r>
      <w:r>
        <w:rPr>
          <w:rFonts w:hint="eastAsia" w:ascii="宋体" w:hAnsi="宋体" w:cs="宋体"/>
          <w:color w:val="auto"/>
          <w:szCs w:val="21"/>
          <w:highlight w:val="none"/>
          <w:lang w:val="en-US" w:eastAsia="zh-CN"/>
        </w:rPr>
        <w:t>C</w:t>
      </w:r>
      <w:r>
        <w:rPr>
          <w:rFonts w:hint="eastAsia" w:ascii="宋体" w:hAnsi="宋体" w:cs="宋体"/>
          <w:color w:val="auto"/>
          <w:szCs w:val="21"/>
          <w:highlight w:val="none"/>
        </w:rPr>
        <w:t>级（含）以上</w:t>
      </w:r>
      <w:r>
        <w:rPr>
          <w:rFonts w:hint="eastAsia" w:ascii="宋体" w:hAnsi="宋体" w:cs="宋体"/>
          <w:color w:val="auto"/>
          <w:highlight w:val="none"/>
        </w:rPr>
        <w:t>复印件（必须提交，加盖投标单位公章）；</w:t>
      </w:r>
    </w:p>
    <w:p>
      <w:pPr>
        <w:spacing w:after="0" w:line="442" w:lineRule="exact"/>
        <w:ind w:left="140" w:firstLine="209"/>
        <w:rPr>
          <w:rFonts w:ascii="宋体" w:hAnsi="宋体" w:cs="宋体"/>
          <w:color w:val="auto"/>
          <w:highlight w:val="none"/>
        </w:rPr>
      </w:pPr>
      <w:r>
        <w:rPr>
          <w:rFonts w:hint="eastAsia" w:ascii="宋体" w:hAnsi="宋体" w:eastAsia="宋体" w:cs="宋体"/>
          <w:color w:val="auto"/>
          <w:highlight w:val="none"/>
        </w:rPr>
        <w:t>⑩</w:t>
      </w:r>
      <w:r>
        <w:rPr>
          <w:rFonts w:ascii="宋体" w:hAnsi="宋体" w:eastAsia="宋体" w:cs="宋体"/>
          <w:color w:val="auto"/>
          <w:highlight w:val="none"/>
        </w:rPr>
        <w:t>供应商</w:t>
      </w:r>
      <w:r>
        <w:rPr>
          <w:rFonts w:hint="eastAsia" w:ascii="宋体" w:hAnsi="宋体" w:cs="宋体"/>
          <w:color w:val="auto"/>
          <w:highlight w:val="none"/>
        </w:rPr>
        <w:t>在“信用中国”网站(www.creditchina.gov.cn)或国家企业信用信息公示系统（http://www.gsxt.gov.cn/index.html）和中国政府采购网(www.ccgp.gov.cn)等渠道列入失信被执行人、重大税收违法案件当事人名单、政府采购严重违法失信行为记录名单网上截图（截图时间须在本项目采购公告发布期间）（必须提供，加盖单位公章）；</w:t>
      </w:r>
    </w:p>
    <w:p>
      <w:pPr>
        <w:spacing w:after="0" w:line="240" w:lineRule="exact"/>
        <w:ind w:left="60"/>
        <w:rPr>
          <w:color w:val="auto"/>
          <w:highlight w:val="none"/>
        </w:rPr>
      </w:pPr>
    </w:p>
    <w:p>
      <w:pPr>
        <w:spacing w:after="0" w:line="240" w:lineRule="exact"/>
        <w:ind w:left="60"/>
        <w:rPr>
          <w:color w:val="auto"/>
          <w:highlight w:val="none"/>
        </w:rPr>
      </w:pPr>
    </w:p>
    <w:p>
      <w:pPr>
        <w:spacing w:after="0" w:line="240" w:lineRule="exact"/>
        <w:ind w:left="60"/>
        <w:rPr>
          <w:color w:val="auto"/>
          <w:highlight w:val="none"/>
        </w:rPr>
      </w:pPr>
    </w:p>
    <w:p>
      <w:pPr>
        <w:spacing w:after="0" w:line="240" w:lineRule="exact"/>
        <w:ind w:left="60"/>
        <w:rPr>
          <w:color w:val="auto"/>
          <w:highlight w:val="none"/>
        </w:rPr>
      </w:pPr>
    </w:p>
    <w:p>
      <w:pPr>
        <w:spacing w:after="0" w:line="240" w:lineRule="exact"/>
        <w:ind w:left="60"/>
        <w:rPr>
          <w:color w:val="auto"/>
          <w:highlight w:val="none"/>
        </w:rPr>
      </w:pPr>
    </w:p>
    <w:p>
      <w:pPr>
        <w:spacing w:after="0" w:line="240" w:lineRule="exact"/>
        <w:ind w:left="60"/>
        <w:rPr>
          <w:color w:val="auto"/>
          <w:highlight w:val="none"/>
        </w:rPr>
      </w:pPr>
    </w:p>
    <w:p>
      <w:pPr>
        <w:spacing w:after="0" w:line="240" w:lineRule="exact"/>
        <w:ind w:left="60"/>
        <w:rPr>
          <w:color w:val="auto"/>
          <w:highlight w:val="none"/>
        </w:rPr>
      </w:pPr>
    </w:p>
    <w:p>
      <w:pPr>
        <w:spacing w:after="0" w:line="240" w:lineRule="exact"/>
        <w:ind w:left="60"/>
        <w:rPr>
          <w:color w:val="auto"/>
          <w:highlight w:val="none"/>
        </w:rPr>
      </w:pPr>
    </w:p>
    <w:p>
      <w:pPr>
        <w:spacing w:after="0" w:line="240" w:lineRule="exact"/>
        <w:ind w:left="60"/>
        <w:rPr>
          <w:color w:val="auto"/>
          <w:highlight w:val="none"/>
        </w:rPr>
      </w:pPr>
    </w:p>
    <w:p>
      <w:pPr>
        <w:spacing w:after="0" w:line="252" w:lineRule="exact"/>
        <w:ind w:left="60"/>
        <w:rPr>
          <w:color w:val="auto"/>
          <w:highlight w:val="none"/>
        </w:rPr>
      </w:pPr>
    </w:p>
    <w:p>
      <w:pPr>
        <w:widowControl/>
        <w:rPr>
          <w:color w:val="auto"/>
          <w:highlight w:val="none"/>
        </w:rPr>
        <w:sectPr>
          <w:type w:val="continuous"/>
          <w:pgSz w:w="11907" w:h="16839"/>
          <w:pgMar w:top="434" w:right="1020" w:bottom="194" w:left="1380" w:header="0" w:footer="0" w:gutter="0"/>
          <w:cols w:space="720" w:num="1"/>
          <w:docGrid w:type="lines" w:linePitch="312" w:charSpace="0"/>
        </w:sectPr>
      </w:pPr>
    </w:p>
    <w:p>
      <w:pPr>
        <w:spacing w:after="0" w:line="324" w:lineRule="exact"/>
        <w:ind w:left="60"/>
        <w:rPr>
          <w:color w:val="auto"/>
          <w:highlight w:val="none"/>
        </w:rPr>
      </w:pPr>
      <w:r>
        <w:rPr>
          <w:rFonts w:ascii="黑体" w:hAnsi="黑体" w:cs="黑体"/>
          <w:color w:val="auto"/>
          <w:spacing w:val="-5"/>
          <w:sz w:val="32"/>
          <w:highlight w:val="none"/>
        </w:rPr>
        <w:t>4、供应商认为有必要提供的证明其满足本项目</w:t>
      </w:r>
      <w:r>
        <w:rPr>
          <w:rFonts w:hint="eastAsia" w:ascii="黑体" w:hAnsi="黑体" w:cs="黑体"/>
          <w:color w:val="auto"/>
          <w:spacing w:val="-5"/>
          <w:sz w:val="32"/>
          <w:highlight w:val="none"/>
        </w:rPr>
        <w:t>磋商</w:t>
      </w:r>
      <w:r>
        <w:rPr>
          <w:rFonts w:ascii="黑体" w:hAnsi="黑体" w:cs="黑体"/>
          <w:color w:val="auto"/>
          <w:spacing w:val="-5"/>
          <w:sz w:val="32"/>
          <w:highlight w:val="none"/>
        </w:rPr>
        <w:t>资格的声明及</w:t>
      </w:r>
    </w:p>
    <w:p>
      <w:pPr>
        <w:spacing w:after="0" w:line="175" w:lineRule="exact"/>
        <w:ind w:left="60"/>
        <w:rPr>
          <w:color w:val="auto"/>
          <w:highlight w:val="none"/>
        </w:rPr>
      </w:pPr>
    </w:p>
    <w:p>
      <w:pPr>
        <w:spacing w:after="0" w:line="324" w:lineRule="exact"/>
        <w:ind w:left="60"/>
        <w:rPr>
          <w:color w:val="auto"/>
          <w:highlight w:val="none"/>
        </w:rPr>
      </w:pPr>
      <w:r>
        <w:rPr>
          <w:rFonts w:ascii="黑体" w:hAnsi="黑体" w:eastAsia="黑体" w:cs="黑体"/>
          <w:color w:val="auto"/>
          <w:spacing w:val="-2"/>
          <w:sz w:val="32"/>
          <w:highlight w:val="none"/>
        </w:rPr>
        <w:t>文件资</w:t>
      </w:r>
      <w:r>
        <w:rPr>
          <w:rFonts w:ascii="黑体" w:hAnsi="黑体" w:cs="黑体"/>
          <w:color w:val="auto"/>
          <w:spacing w:val="-1"/>
          <w:sz w:val="32"/>
          <w:highlight w:val="none"/>
        </w:rPr>
        <w:t>料。</w:t>
      </w:r>
    </w:p>
    <w:p>
      <w:pPr>
        <w:widowControl/>
        <w:rPr>
          <w:color w:val="auto"/>
          <w:highlight w:val="none"/>
        </w:rPr>
        <w:sectPr>
          <w:type w:val="continuous"/>
          <w:pgSz w:w="11907" w:h="16839"/>
          <w:pgMar w:top="434" w:right="1020" w:bottom="194" w:left="1380" w:header="0" w:footer="0" w:gutter="0"/>
          <w:cols w:equalWidth="0" w:num="1">
            <w:col w:w="9507"/>
          </w:cols>
          <w:docGrid w:type="lines" w:linePitch="312" w:charSpace="0"/>
        </w:sectPr>
      </w:pPr>
    </w:p>
    <w:p>
      <w:pPr>
        <w:spacing w:after="0" w:line="240" w:lineRule="exact"/>
        <w:ind w:left="60"/>
        <w:rPr>
          <w:color w:val="auto"/>
          <w:highlight w:val="none"/>
        </w:rPr>
      </w:pPr>
    </w:p>
    <w:p>
      <w:pPr>
        <w:spacing w:after="0" w:line="240" w:lineRule="exact"/>
        <w:ind w:left="60"/>
        <w:rPr>
          <w:color w:val="auto"/>
          <w:highlight w:val="none"/>
        </w:rPr>
      </w:pPr>
    </w:p>
    <w:p>
      <w:pPr>
        <w:spacing w:after="0" w:line="240" w:lineRule="exact"/>
        <w:ind w:left="60"/>
        <w:rPr>
          <w:color w:val="auto"/>
          <w:highlight w:val="none"/>
        </w:rPr>
      </w:pPr>
    </w:p>
    <w:p>
      <w:pPr>
        <w:spacing w:after="0" w:line="240" w:lineRule="exact"/>
        <w:ind w:left="60"/>
        <w:rPr>
          <w:color w:val="auto"/>
          <w:highlight w:val="none"/>
        </w:rPr>
      </w:pPr>
    </w:p>
    <w:p>
      <w:pPr>
        <w:spacing w:after="0" w:line="240" w:lineRule="exact"/>
        <w:ind w:left="60"/>
        <w:rPr>
          <w:color w:val="auto"/>
          <w:highlight w:val="none"/>
        </w:rPr>
      </w:pPr>
    </w:p>
    <w:p>
      <w:pPr>
        <w:spacing w:after="0" w:line="240" w:lineRule="exact"/>
        <w:ind w:left="60"/>
        <w:rPr>
          <w:color w:val="auto"/>
          <w:highlight w:val="none"/>
        </w:rPr>
      </w:pPr>
    </w:p>
    <w:p>
      <w:pPr>
        <w:spacing w:after="0" w:line="240" w:lineRule="exact"/>
        <w:ind w:left="60"/>
        <w:rPr>
          <w:color w:val="auto"/>
          <w:highlight w:val="none"/>
        </w:rPr>
      </w:pPr>
    </w:p>
    <w:p>
      <w:pPr>
        <w:spacing w:after="0" w:line="240" w:lineRule="exact"/>
        <w:ind w:left="60"/>
        <w:rPr>
          <w:color w:val="auto"/>
          <w:highlight w:val="none"/>
        </w:rPr>
      </w:pPr>
    </w:p>
    <w:p>
      <w:pPr>
        <w:spacing w:after="0" w:line="240" w:lineRule="exact"/>
        <w:ind w:left="60"/>
        <w:rPr>
          <w:color w:val="auto"/>
          <w:highlight w:val="none"/>
        </w:rPr>
      </w:pPr>
    </w:p>
    <w:p>
      <w:pPr>
        <w:spacing w:after="0" w:line="240" w:lineRule="exact"/>
        <w:ind w:left="60"/>
        <w:rPr>
          <w:color w:val="auto"/>
          <w:highlight w:val="none"/>
        </w:rPr>
      </w:pPr>
    </w:p>
    <w:p>
      <w:pPr>
        <w:spacing w:after="0" w:line="240" w:lineRule="exact"/>
        <w:ind w:left="60"/>
        <w:rPr>
          <w:color w:val="auto"/>
          <w:highlight w:val="none"/>
        </w:rPr>
      </w:pPr>
    </w:p>
    <w:p>
      <w:pPr>
        <w:spacing w:after="0" w:line="240" w:lineRule="exact"/>
        <w:ind w:left="60"/>
        <w:rPr>
          <w:color w:val="auto"/>
          <w:highlight w:val="none"/>
        </w:rPr>
      </w:pPr>
    </w:p>
    <w:p>
      <w:pPr>
        <w:spacing w:after="0" w:line="240" w:lineRule="exact"/>
        <w:ind w:left="60"/>
        <w:rPr>
          <w:color w:val="auto"/>
          <w:highlight w:val="none"/>
        </w:rPr>
      </w:pPr>
    </w:p>
    <w:p>
      <w:pPr>
        <w:spacing w:after="0" w:line="240" w:lineRule="exact"/>
        <w:ind w:left="60"/>
        <w:rPr>
          <w:color w:val="auto"/>
          <w:highlight w:val="none"/>
        </w:rPr>
      </w:pPr>
    </w:p>
    <w:p>
      <w:pPr>
        <w:spacing w:after="0" w:line="240" w:lineRule="exact"/>
        <w:ind w:left="60"/>
        <w:rPr>
          <w:color w:val="auto"/>
          <w:highlight w:val="none"/>
        </w:rPr>
      </w:pPr>
    </w:p>
    <w:p>
      <w:pPr>
        <w:spacing w:after="0" w:line="240" w:lineRule="exact"/>
        <w:ind w:left="60"/>
        <w:rPr>
          <w:color w:val="auto"/>
          <w:highlight w:val="none"/>
        </w:rPr>
      </w:pPr>
    </w:p>
    <w:p>
      <w:pPr>
        <w:spacing w:after="0" w:line="240" w:lineRule="exact"/>
        <w:ind w:left="60"/>
        <w:rPr>
          <w:color w:val="auto"/>
          <w:highlight w:val="none"/>
        </w:rPr>
      </w:pPr>
    </w:p>
    <w:p>
      <w:pPr>
        <w:spacing w:after="0" w:line="240" w:lineRule="exact"/>
        <w:ind w:left="60"/>
        <w:rPr>
          <w:color w:val="auto"/>
          <w:highlight w:val="none"/>
        </w:rPr>
      </w:pPr>
    </w:p>
    <w:p>
      <w:pPr>
        <w:spacing w:after="0" w:line="240" w:lineRule="exact"/>
        <w:ind w:left="60"/>
        <w:rPr>
          <w:color w:val="auto"/>
          <w:highlight w:val="none"/>
        </w:rPr>
      </w:pPr>
    </w:p>
    <w:p>
      <w:pPr>
        <w:spacing w:after="0" w:line="240" w:lineRule="exact"/>
        <w:ind w:left="60"/>
        <w:rPr>
          <w:color w:val="auto"/>
          <w:highlight w:val="none"/>
        </w:rPr>
      </w:pPr>
    </w:p>
    <w:p>
      <w:pPr>
        <w:spacing w:after="0" w:line="240" w:lineRule="exact"/>
        <w:ind w:left="60"/>
        <w:rPr>
          <w:color w:val="auto"/>
          <w:highlight w:val="none"/>
        </w:rPr>
      </w:pPr>
      <w:bookmarkStart w:id="89" w:name="41"/>
      <w:bookmarkEnd w:id="89"/>
    </w:p>
    <w:p>
      <w:pPr>
        <w:spacing w:after="0" w:line="240" w:lineRule="exact"/>
        <w:ind w:left="60"/>
        <w:rPr>
          <w:color w:val="auto"/>
          <w:highlight w:val="none"/>
        </w:rPr>
      </w:pPr>
    </w:p>
    <w:p>
      <w:pPr>
        <w:spacing w:after="0" w:line="240" w:lineRule="exact"/>
        <w:ind w:left="60"/>
        <w:rPr>
          <w:color w:val="auto"/>
          <w:highlight w:val="none"/>
        </w:rPr>
      </w:pPr>
    </w:p>
    <w:p>
      <w:pPr>
        <w:spacing w:after="0" w:line="250" w:lineRule="exact"/>
        <w:ind w:left="60"/>
        <w:rPr>
          <w:color w:val="auto"/>
          <w:highlight w:val="none"/>
        </w:rPr>
      </w:pPr>
    </w:p>
    <w:p>
      <w:pPr>
        <w:widowControl/>
        <w:rPr>
          <w:color w:val="auto"/>
          <w:highlight w:val="none"/>
        </w:rPr>
        <w:sectPr>
          <w:type w:val="continuous"/>
          <w:pgSz w:w="11907" w:h="16840"/>
          <w:pgMar w:top="434" w:right="1020" w:bottom="194" w:left="1380" w:header="0" w:footer="0" w:gutter="0"/>
          <w:cols w:space="720" w:num="1"/>
          <w:docGrid w:type="lines" w:linePitch="312" w:charSpace="0"/>
        </w:sectPr>
      </w:pPr>
    </w:p>
    <w:p>
      <w:pPr>
        <w:spacing w:after="0" w:line="361" w:lineRule="exact"/>
        <w:ind w:left="3552"/>
        <w:outlineLvl w:val="0"/>
        <w:rPr>
          <w:color w:val="auto"/>
          <w:highlight w:val="none"/>
        </w:rPr>
      </w:pPr>
      <w:r>
        <w:rPr>
          <w:rFonts w:ascii="宋体" w:hAnsi="宋体" w:cs="宋体"/>
          <w:color w:val="auto"/>
          <w:sz w:val="36"/>
          <w:highlight w:val="none"/>
        </w:rPr>
        <w:t>三、技术文件</w:t>
      </w:r>
    </w:p>
    <w:p>
      <w:pPr>
        <w:widowControl/>
        <w:rPr>
          <w:color w:val="auto"/>
          <w:highlight w:val="none"/>
        </w:rPr>
        <w:sectPr>
          <w:type w:val="continuous"/>
          <w:pgSz w:w="11907" w:h="16840"/>
          <w:pgMar w:top="434" w:right="1020" w:bottom="194" w:left="1380" w:header="0" w:footer="0" w:gutter="0"/>
          <w:cols w:equalWidth="0" w:num="1">
            <w:col w:w="9507"/>
          </w:cols>
          <w:docGrid w:type="lines" w:linePitch="312" w:charSpace="0"/>
        </w:sectPr>
      </w:pPr>
    </w:p>
    <w:p>
      <w:pPr>
        <w:spacing w:after="0" w:line="240" w:lineRule="exact"/>
        <w:ind w:left="60"/>
        <w:rPr>
          <w:color w:val="auto"/>
          <w:highlight w:val="none"/>
        </w:rPr>
      </w:pPr>
      <w:bookmarkStart w:id="90" w:name="42"/>
      <w:bookmarkEnd w:id="90"/>
    </w:p>
    <w:p>
      <w:pPr>
        <w:spacing w:after="0" w:line="470" w:lineRule="exact"/>
        <w:ind w:left="60" w:firstLine="1829"/>
        <w:rPr>
          <w:color w:val="auto"/>
          <w:highlight w:val="none"/>
        </w:rPr>
      </w:pPr>
      <w:r>
        <w:rPr>
          <w:rFonts w:ascii="Tahoma" w:hAnsi="Tahoma" w:cs="Tahoma"/>
          <w:b/>
          <w:color w:val="auto"/>
          <w:spacing w:val="-1"/>
          <w:w w:val="95"/>
          <w:sz w:val="32"/>
          <w:highlight w:val="none"/>
        </w:rPr>
        <w:t>1</w:t>
      </w:r>
      <w:r>
        <w:rPr>
          <w:rFonts w:ascii="宋体" w:hAnsi="宋体" w:cs="宋体"/>
          <w:color w:val="auto"/>
          <w:spacing w:val="-2"/>
          <w:position w:val="2"/>
          <w:sz w:val="32"/>
          <w:highlight w:val="none"/>
        </w:rPr>
        <w:t>、</w:t>
      </w:r>
      <w:r>
        <w:rPr>
          <w:rFonts w:hint="eastAsia" w:ascii="宋体" w:hAnsi="宋体" w:eastAsia="宋体" w:cs="宋体"/>
          <w:color w:val="auto"/>
          <w:spacing w:val="-2"/>
          <w:position w:val="2"/>
          <w:sz w:val="32"/>
          <w:highlight w:val="none"/>
        </w:rPr>
        <w:t>监理大纲</w:t>
      </w:r>
      <w:r>
        <w:rPr>
          <w:rFonts w:ascii="宋体" w:hAnsi="宋体" w:eastAsia="宋体" w:cs="宋体"/>
          <w:color w:val="auto"/>
          <w:spacing w:val="-2"/>
          <w:position w:val="2"/>
          <w:sz w:val="32"/>
          <w:highlight w:val="none"/>
        </w:rPr>
        <w:t>（技术方案）（格式）</w:t>
      </w:r>
    </w:p>
    <w:p>
      <w:pPr>
        <w:spacing w:after="0" w:line="240" w:lineRule="exact"/>
        <w:ind w:left="60" w:firstLine="1829"/>
        <w:rPr>
          <w:color w:val="auto"/>
          <w:highlight w:val="none"/>
        </w:rPr>
      </w:pPr>
    </w:p>
    <w:p>
      <w:pPr>
        <w:spacing w:after="0" w:line="240" w:lineRule="exact"/>
        <w:ind w:left="60" w:firstLine="1829"/>
        <w:rPr>
          <w:color w:val="auto"/>
          <w:highlight w:val="none"/>
        </w:rPr>
      </w:pPr>
    </w:p>
    <w:p>
      <w:pPr>
        <w:spacing w:after="0" w:line="240" w:lineRule="exact"/>
        <w:ind w:left="60" w:firstLine="1829"/>
        <w:rPr>
          <w:color w:val="auto"/>
          <w:highlight w:val="none"/>
        </w:rPr>
      </w:pPr>
    </w:p>
    <w:p>
      <w:pPr>
        <w:spacing w:after="0" w:line="283" w:lineRule="exact"/>
        <w:ind w:left="60" w:firstLine="3170"/>
        <w:rPr>
          <w:color w:val="auto"/>
          <w:highlight w:val="none"/>
        </w:rPr>
      </w:pPr>
      <w:r>
        <w:rPr>
          <w:rFonts w:ascii="Times New Roman" w:hAnsi="Times New Roman" w:cs="Times New Roman"/>
          <w:color w:val="auto"/>
          <w:spacing w:val="-1"/>
          <w:highlight w:val="none"/>
        </w:rPr>
        <w:t>(</w:t>
      </w:r>
      <w:r>
        <w:rPr>
          <w:rFonts w:ascii="宋体" w:hAnsi="宋体" w:eastAsia="宋体" w:cs="宋体"/>
          <w:color w:val="auto"/>
          <w:spacing w:val="-1"/>
          <w:position w:val="3"/>
          <w:highlight w:val="none"/>
        </w:rPr>
        <w:t>由供应商根据项目要求自行填写</w:t>
      </w:r>
      <w:r>
        <w:rPr>
          <w:rFonts w:ascii="Times New Roman" w:hAnsi="Times New Roman" w:cs="Times New Roman"/>
          <w:color w:val="auto"/>
          <w:spacing w:val="-1"/>
          <w:highlight w:val="none"/>
        </w:rPr>
        <w:t>)</w:t>
      </w:r>
    </w:p>
    <w:p>
      <w:pPr>
        <w:widowControl/>
        <w:rPr>
          <w:color w:val="auto"/>
          <w:highlight w:val="none"/>
        </w:rPr>
        <w:sectPr>
          <w:type w:val="continuous"/>
          <w:pgSz w:w="11907" w:h="16839"/>
          <w:pgMar w:top="434" w:right="1020" w:bottom="194" w:left="1380" w:header="0" w:footer="0" w:gutter="0"/>
          <w:cols w:equalWidth="0" w:num="1">
            <w:col w:w="9507"/>
          </w:cols>
          <w:docGrid w:type="lines" w:linePitch="312" w:charSpace="0"/>
        </w:sectPr>
      </w:pPr>
    </w:p>
    <w:p>
      <w:pPr>
        <w:spacing w:after="0" w:line="240" w:lineRule="exact"/>
        <w:ind w:left="60" w:firstLine="3170"/>
        <w:rPr>
          <w:color w:val="auto"/>
          <w:highlight w:val="none"/>
        </w:rPr>
      </w:pPr>
    </w:p>
    <w:p>
      <w:pPr>
        <w:spacing w:after="0" w:line="240" w:lineRule="exact"/>
        <w:ind w:left="60" w:firstLine="3170"/>
        <w:rPr>
          <w:color w:val="auto"/>
          <w:highlight w:val="none"/>
        </w:rPr>
      </w:pPr>
    </w:p>
    <w:p>
      <w:pPr>
        <w:spacing w:after="0" w:line="240" w:lineRule="exact"/>
        <w:ind w:left="60" w:firstLine="3170"/>
        <w:rPr>
          <w:color w:val="auto"/>
          <w:highlight w:val="none"/>
        </w:rPr>
      </w:pPr>
    </w:p>
    <w:p>
      <w:pPr>
        <w:spacing w:after="0" w:line="240" w:lineRule="exact"/>
        <w:ind w:left="60" w:firstLine="3170"/>
        <w:rPr>
          <w:color w:val="auto"/>
          <w:highlight w:val="none"/>
        </w:rPr>
      </w:pPr>
    </w:p>
    <w:p>
      <w:pPr>
        <w:spacing w:after="0" w:line="240" w:lineRule="exact"/>
        <w:ind w:left="60" w:firstLine="3170"/>
        <w:rPr>
          <w:color w:val="auto"/>
          <w:highlight w:val="none"/>
        </w:rPr>
      </w:pPr>
    </w:p>
    <w:p>
      <w:pPr>
        <w:spacing w:after="0" w:line="240" w:lineRule="exact"/>
        <w:ind w:left="60" w:firstLine="3170"/>
        <w:rPr>
          <w:color w:val="auto"/>
          <w:highlight w:val="none"/>
        </w:rPr>
      </w:pPr>
    </w:p>
    <w:p>
      <w:pPr>
        <w:spacing w:after="0" w:line="240" w:lineRule="exact"/>
        <w:ind w:left="60" w:firstLine="3170"/>
        <w:rPr>
          <w:color w:val="auto"/>
          <w:highlight w:val="none"/>
        </w:rPr>
      </w:pPr>
    </w:p>
    <w:p>
      <w:pPr>
        <w:spacing w:after="0" w:line="240" w:lineRule="exact"/>
        <w:ind w:left="60" w:firstLine="3170"/>
        <w:rPr>
          <w:color w:val="auto"/>
          <w:highlight w:val="none"/>
        </w:rPr>
      </w:pPr>
    </w:p>
    <w:p>
      <w:pPr>
        <w:spacing w:after="0" w:line="240" w:lineRule="exact"/>
        <w:ind w:left="60" w:firstLine="3170"/>
        <w:rPr>
          <w:color w:val="auto"/>
          <w:highlight w:val="none"/>
        </w:rPr>
      </w:pPr>
    </w:p>
    <w:p>
      <w:pPr>
        <w:spacing w:after="0" w:line="448" w:lineRule="exact"/>
        <w:ind w:left="60" w:firstLine="3170"/>
        <w:rPr>
          <w:color w:val="auto"/>
          <w:highlight w:val="none"/>
        </w:rPr>
      </w:pPr>
    </w:p>
    <w:p>
      <w:pPr>
        <w:widowControl/>
        <w:rPr>
          <w:color w:val="auto"/>
          <w:highlight w:val="none"/>
        </w:rPr>
        <w:sectPr>
          <w:type w:val="continuous"/>
          <w:pgSz w:w="11907" w:h="16839"/>
          <w:pgMar w:top="434" w:right="1020" w:bottom="194" w:left="1380" w:header="0" w:footer="0" w:gutter="0"/>
          <w:cols w:space="720" w:num="1"/>
          <w:docGrid w:type="lines" w:linePitch="312" w:charSpace="0"/>
        </w:sectPr>
      </w:pPr>
    </w:p>
    <w:p>
      <w:pPr>
        <w:spacing w:after="0" w:line="408" w:lineRule="exact"/>
        <w:ind w:left="60" w:firstLine="3595"/>
        <w:rPr>
          <w:color w:val="auto"/>
          <w:highlight w:val="none"/>
        </w:rPr>
      </w:pPr>
      <w:r>
        <w:rPr>
          <w:rFonts w:ascii="Tahoma" w:hAnsi="Tahoma" w:cs="Tahoma"/>
          <w:b/>
          <w:color w:val="auto"/>
          <w:spacing w:val="-1"/>
          <w:w w:val="95"/>
          <w:sz w:val="32"/>
          <w:highlight w:val="none"/>
        </w:rPr>
        <w:t>2</w:t>
      </w:r>
      <w:r>
        <w:rPr>
          <w:rFonts w:ascii="宋体" w:hAnsi="宋体" w:cs="宋体"/>
          <w:color w:val="auto"/>
          <w:position w:val="2"/>
          <w:sz w:val="32"/>
          <w:highlight w:val="none"/>
        </w:rPr>
        <w:t>、人员配置</w:t>
      </w:r>
    </w:p>
    <w:p>
      <w:pPr>
        <w:spacing w:after="0" w:line="240" w:lineRule="exact"/>
        <w:ind w:left="60" w:firstLine="3595"/>
        <w:rPr>
          <w:color w:val="auto"/>
          <w:highlight w:val="none"/>
        </w:rPr>
      </w:pPr>
    </w:p>
    <w:p>
      <w:pPr>
        <w:spacing w:after="0" w:line="240" w:lineRule="exact"/>
        <w:ind w:left="60" w:firstLine="3595"/>
        <w:rPr>
          <w:color w:val="auto"/>
          <w:highlight w:val="none"/>
        </w:rPr>
      </w:pPr>
    </w:p>
    <w:p>
      <w:pPr>
        <w:spacing w:after="0" w:line="350" w:lineRule="exact"/>
        <w:ind w:left="60"/>
        <w:rPr>
          <w:color w:val="auto"/>
          <w:highlight w:val="none"/>
        </w:rPr>
      </w:pPr>
      <w:r>
        <w:rPr>
          <w:rFonts w:ascii="宋体" w:hAnsi="宋体" w:eastAsia="宋体" w:cs="宋体"/>
          <w:color w:val="auto"/>
          <w:spacing w:val="-1"/>
          <w:highlight w:val="none"/>
        </w:rPr>
        <w:t>需提供项目组成员职称证复印件及</w:t>
      </w:r>
      <w:r>
        <w:rPr>
          <w:rFonts w:ascii="Calibri" w:hAnsi="Calibri" w:cs="Calibri"/>
          <w:color w:val="auto"/>
          <w:spacing w:val="1"/>
          <w:highlight w:val="none"/>
        </w:rPr>
        <w:t> </w:t>
      </w:r>
      <w:r>
        <w:rPr>
          <w:rFonts w:ascii="宋体" w:hAnsi="宋体" w:cs="宋体"/>
          <w:color w:val="auto"/>
          <w:highlight w:val="none"/>
        </w:rPr>
        <w:t>20</w:t>
      </w:r>
      <w:r>
        <w:rPr>
          <w:rFonts w:hint="eastAsia" w:ascii="宋体" w:hAnsi="宋体" w:cs="宋体"/>
          <w:color w:val="auto"/>
          <w:highlight w:val="none"/>
        </w:rPr>
        <w:t>20</w:t>
      </w:r>
      <w:r>
        <w:rPr>
          <w:rFonts w:ascii="Calibri" w:hAnsi="Calibri" w:cs="Calibri"/>
          <w:color w:val="auto"/>
          <w:spacing w:val="-1"/>
          <w:highlight w:val="none"/>
        </w:rPr>
        <w:t> </w:t>
      </w:r>
      <w:r>
        <w:rPr>
          <w:rFonts w:ascii="宋体" w:hAnsi="宋体" w:eastAsia="宋体" w:cs="宋体"/>
          <w:color w:val="auto"/>
          <w:spacing w:val="-2"/>
          <w:highlight w:val="none"/>
        </w:rPr>
        <w:t>年</w:t>
      </w:r>
      <w:r>
        <w:rPr>
          <w:rFonts w:hint="eastAsia" w:ascii="宋体" w:hAnsi="宋体" w:eastAsia="宋体" w:cs="宋体"/>
          <w:color w:val="auto"/>
          <w:spacing w:val="-1"/>
          <w:highlight w:val="none"/>
        </w:rPr>
        <w:t>3</w:t>
      </w:r>
      <w:r>
        <w:rPr>
          <w:rFonts w:ascii="宋体" w:hAnsi="宋体" w:eastAsia="宋体" w:cs="宋体"/>
          <w:color w:val="auto"/>
          <w:spacing w:val="-2"/>
          <w:highlight w:val="none"/>
        </w:rPr>
        <w:t>月至</w:t>
      </w:r>
      <w:r>
        <w:rPr>
          <w:rFonts w:ascii="Calibri" w:hAnsi="Calibri" w:cs="Calibri"/>
          <w:color w:val="auto"/>
          <w:spacing w:val="1"/>
          <w:highlight w:val="none"/>
        </w:rPr>
        <w:t> </w:t>
      </w:r>
      <w:r>
        <w:rPr>
          <w:rFonts w:ascii="宋体" w:hAnsi="宋体" w:cs="宋体"/>
          <w:color w:val="auto"/>
          <w:highlight w:val="none"/>
        </w:rPr>
        <w:t>20</w:t>
      </w:r>
      <w:r>
        <w:rPr>
          <w:rFonts w:hint="eastAsia" w:ascii="宋体" w:hAnsi="宋体" w:cs="宋体"/>
          <w:color w:val="auto"/>
          <w:highlight w:val="none"/>
        </w:rPr>
        <w:t>20</w:t>
      </w:r>
      <w:r>
        <w:rPr>
          <w:rFonts w:ascii="Calibri" w:hAnsi="Calibri" w:cs="Calibri"/>
          <w:color w:val="auto"/>
          <w:highlight w:val="none"/>
        </w:rPr>
        <w:t> </w:t>
      </w:r>
      <w:r>
        <w:rPr>
          <w:rFonts w:ascii="宋体" w:hAnsi="宋体" w:eastAsia="宋体" w:cs="宋体"/>
          <w:color w:val="auto"/>
          <w:spacing w:val="-2"/>
          <w:highlight w:val="none"/>
        </w:rPr>
        <w:t>年</w:t>
      </w:r>
      <w:r>
        <w:rPr>
          <w:rFonts w:hint="eastAsia" w:ascii="宋体" w:hAnsi="宋体" w:eastAsia="宋体" w:cs="宋体"/>
          <w:color w:val="auto"/>
          <w:spacing w:val="-2"/>
          <w:highlight w:val="none"/>
        </w:rPr>
        <w:t>6</w:t>
      </w:r>
      <w:r>
        <w:rPr>
          <w:rFonts w:ascii="宋体" w:hAnsi="宋体" w:eastAsia="宋体" w:cs="宋体"/>
          <w:color w:val="auto"/>
          <w:highlight w:val="none"/>
        </w:rPr>
        <w:t>月供应商为其缴纳社保的证明材料复印</w:t>
      </w:r>
    </w:p>
    <w:p>
      <w:pPr>
        <w:spacing w:after="0" w:line="271" w:lineRule="exact"/>
        <w:ind w:left="60"/>
        <w:rPr>
          <w:color w:val="auto"/>
          <w:highlight w:val="none"/>
        </w:rPr>
      </w:pPr>
      <w:r>
        <w:rPr>
          <w:rFonts w:ascii="宋体" w:hAnsi="宋体" w:eastAsia="宋体" w:cs="宋体"/>
          <w:color w:val="auto"/>
          <w:spacing w:val="-2"/>
          <w:highlight w:val="none"/>
        </w:rPr>
        <w:t>件</w:t>
      </w:r>
    </w:p>
    <w:p>
      <w:pPr>
        <w:spacing w:after="0" w:line="240" w:lineRule="exact"/>
        <w:ind w:left="60"/>
        <w:rPr>
          <w:color w:val="auto"/>
          <w:highlight w:val="none"/>
        </w:rPr>
      </w:pPr>
    </w:p>
    <w:p>
      <w:pPr>
        <w:spacing w:after="0" w:line="240" w:lineRule="exact"/>
        <w:ind w:left="60"/>
        <w:rPr>
          <w:color w:val="auto"/>
          <w:highlight w:val="none"/>
        </w:rPr>
      </w:pPr>
    </w:p>
    <w:p>
      <w:pPr>
        <w:spacing w:after="0" w:line="240" w:lineRule="exact"/>
        <w:ind w:left="60"/>
        <w:rPr>
          <w:color w:val="auto"/>
          <w:highlight w:val="none"/>
        </w:rPr>
      </w:pPr>
    </w:p>
    <w:p>
      <w:pPr>
        <w:spacing w:after="0" w:line="240" w:lineRule="exact"/>
        <w:ind w:left="60"/>
        <w:rPr>
          <w:color w:val="auto"/>
          <w:highlight w:val="none"/>
        </w:rPr>
      </w:pPr>
    </w:p>
    <w:p>
      <w:pPr>
        <w:spacing w:after="0" w:line="240" w:lineRule="exact"/>
        <w:ind w:left="60"/>
        <w:rPr>
          <w:color w:val="auto"/>
          <w:highlight w:val="none"/>
        </w:rPr>
      </w:pPr>
    </w:p>
    <w:p>
      <w:pPr>
        <w:spacing w:after="0" w:line="413" w:lineRule="exact"/>
        <w:ind w:left="60" w:firstLine="2880"/>
        <w:rPr>
          <w:color w:val="auto"/>
          <w:highlight w:val="none"/>
        </w:rPr>
      </w:pPr>
      <w:r>
        <w:rPr>
          <w:rFonts w:ascii="Tahoma" w:hAnsi="Tahoma" w:cs="Tahoma"/>
          <w:b/>
          <w:color w:val="auto"/>
          <w:spacing w:val="-1"/>
          <w:w w:val="95"/>
          <w:sz w:val="32"/>
          <w:highlight w:val="none"/>
        </w:rPr>
        <w:t>3</w:t>
      </w:r>
      <w:r>
        <w:rPr>
          <w:rFonts w:ascii="宋体" w:hAnsi="宋体" w:cs="宋体"/>
          <w:color w:val="auto"/>
          <w:spacing w:val="-2"/>
          <w:position w:val="2"/>
          <w:sz w:val="32"/>
          <w:highlight w:val="none"/>
        </w:rPr>
        <w:t>、</w:t>
      </w:r>
      <w:r>
        <w:rPr>
          <w:rFonts w:ascii="宋体" w:hAnsi="宋体" w:eastAsia="宋体" w:cs="宋体"/>
          <w:color w:val="auto"/>
          <w:spacing w:val="-2"/>
          <w:position w:val="2"/>
          <w:sz w:val="32"/>
          <w:highlight w:val="none"/>
        </w:rPr>
        <w:t>项目</w:t>
      </w:r>
      <w:r>
        <w:rPr>
          <w:rFonts w:ascii="宋体" w:hAnsi="宋体" w:eastAsia="宋体" w:cs="宋体"/>
          <w:color w:val="auto"/>
          <w:spacing w:val="-1"/>
          <w:position w:val="2"/>
          <w:sz w:val="32"/>
          <w:highlight w:val="none"/>
        </w:rPr>
        <w:t>服务</w:t>
      </w:r>
      <w:r>
        <w:rPr>
          <w:rFonts w:ascii="宋体" w:hAnsi="宋体" w:eastAsia="宋体" w:cs="宋体"/>
          <w:color w:val="auto"/>
          <w:spacing w:val="-2"/>
          <w:position w:val="2"/>
          <w:sz w:val="32"/>
          <w:highlight w:val="none"/>
        </w:rPr>
        <w:t>承诺书</w:t>
      </w:r>
    </w:p>
    <w:p>
      <w:pPr>
        <w:spacing w:after="0" w:line="240" w:lineRule="exact"/>
        <w:ind w:left="60" w:firstLine="2880"/>
        <w:rPr>
          <w:color w:val="auto"/>
          <w:highlight w:val="none"/>
        </w:rPr>
      </w:pPr>
    </w:p>
    <w:p>
      <w:pPr>
        <w:spacing w:after="0" w:line="240" w:lineRule="exact"/>
        <w:ind w:left="60" w:firstLine="2880"/>
        <w:rPr>
          <w:color w:val="auto"/>
          <w:highlight w:val="none"/>
        </w:rPr>
      </w:pPr>
    </w:p>
    <w:p>
      <w:pPr>
        <w:spacing w:after="0" w:line="444" w:lineRule="exact"/>
        <w:ind w:left="60" w:firstLine="2731"/>
        <w:rPr>
          <w:color w:val="auto"/>
          <w:highlight w:val="none"/>
        </w:rPr>
      </w:pPr>
      <w:r>
        <w:rPr>
          <w:rFonts w:ascii="宋体" w:hAnsi="宋体" w:eastAsia="宋体" w:cs="宋体"/>
          <w:color w:val="auto"/>
          <w:spacing w:val="-1"/>
          <w:highlight w:val="none"/>
        </w:rPr>
        <w:t>（由</w:t>
      </w:r>
      <w:r>
        <w:rPr>
          <w:rFonts w:ascii="宋体" w:hAnsi="宋体" w:eastAsia="宋体" w:cs="宋体"/>
          <w:color w:val="auto"/>
          <w:highlight w:val="none"/>
        </w:rPr>
        <w:t>供应商</w:t>
      </w:r>
      <w:r>
        <w:rPr>
          <w:rFonts w:ascii="宋体" w:hAnsi="宋体" w:eastAsia="宋体" w:cs="宋体"/>
          <w:color w:val="auto"/>
          <w:spacing w:val="-1"/>
          <w:highlight w:val="none"/>
        </w:rPr>
        <w:t>就本项目完成承诺书填写）</w:t>
      </w:r>
    </w:p>
    <w:p>
      <w:pPr>
        <w:widowControl/>
        <w:rPr>
          <w:color w:val="auto"/>
          <w:highlight w:val="none"/>
        </w:rPr>
        <w:sectPr>
          <w:type w:val="continuous"/>
          <w:pgSz w:w="11907" w:h="16839"/>
          <w:pgMar w:top="434" w:right="1020" w:bottom="194" w:left="1380" w:header="0" w:footer="0" w:gutter="0"/>
          <w:cols w:equalWidth="0" w:num="1">
            <w:col w:w="9507"/>
          </w:cols>
          <w:docGrid w:type="lines" w:linePitch="312" w:charSpace="0"/>
        </w:sectPr>
      </w:pPr>
    </w:p>
    <w:p>
      <w:pPr>
        <w:spacing w:after="0" w:line="240" w:lineRule="exact"/>
        <w:ind w:left="60" w:firstLine="2731"/>
        <w:rPr>
          <w:color w:val="auto"/>
          <w:highlight w:val="none"/>
        </w:rPr>
      </w:pPr>
    </w:p>
    <w:p>
      <w:pPr>
        <w:spacing w:after="0" w:line="240" w:lineRule="exact"/>
        <w:ind w:left="60" w:firstLine="2731"/>
        <w:rPr>
          <w:color w:val="auto"/>
          <w:highlight w:val="none"/>
        </w:rPr>
      </w:pPr>
    </w:p>
    <w:p>
      <w:pPr>
        <w:spacing w:after="0" w:line="240" w:lineRule="exact"/>
        <w:ind w:left="60" w:firstLine="2731"/>
        <w:rPr>
          <w:color w:val="auto"/>
          <w:highlight w:val="none"/>
        </w:rPr>
      </w:pPr>
    </w:p>
    <w:p>
      <w:pPr>
        <w:spacing w:after="0" w:line="240" w:lineRule="exact"/>
        <w:ind w:left="60" w:firstLine="2731"/>
        <w:rPr>
          <w:color w:val="auto"/>
          <w:highlight w:val="none"/>
        </w:rPr>
      </w:pPr>
    </w:p>
    <w:p>
      <w:pPr>
        <w:spacing w:after="0" w:line="240" w:lineRule="exact"/>
        <w:ind w:left="60" w:firstLine="2731"/>
        <w:rPr>
          <w:color w:val="auto"/>
          <w:highlight w:val="none"/>
        </w:rPr>
      </w:pPr>
    </w:p>
    <w:p>
      <w:pPr>
        <w:spacing w:after="0" w:line="240" w:lineRule="exact"/>
        <w:ind w:left="60" w:firstLine="2731"/>
        <w:rPr>
          <w:color w:val="auto"/>
          <w:highlight w:val="none"/>
        </w:rPr>
      </w:pPr>
    </w:p>
    <w:p>
      <w:pPr>
        <w:spacing w:after="0" w:line="297" w:lineRule="exact"/>
        <w:ind w:left="60" w:firstLine="2731"/>
        <w:rPr>
          <w:color w:val="auto"/>
          <w:highlight w:val="none"/>
        </w:rPr>
      </w:pPr>
    </w:p>
    <w:p>
      <w:pPr>
        <w:widowControl/>
        <w:rPr>
          <w:color w:val="auto"/>
          <w:highlight w:val="none"/>
        </w:rPr>
        <w:sectPr>
          <w:type w:val="continuous"/>
          <w:pgSz w:w="11907" w:h="16839"/>
          <w:pgMar w:top="434" w:right="1020" w:bottom="194" w:left="1380" w:header="0" w:footer="0" w:gutter="0"/>
          <w:cols w:space="720" w:num="1"/>
          <w:docGrid w:type="lines" w:linePitch="312" w:charSpace="0"/>
        </w:sectPr>
      </w:pPr>
    </w:p>
    <w:p>
      <w:pPr>
        <w:spacing w:after="0" w:line="408" w:lineRule="exact"/>
        <w:ind w:left="3336"/>
        <w:rPr>
          <w:color w:val="auto"/>
          <w:highlight w:val="none"/>
        </w:rPr>
      </w:pPr>
      <w:r>
        <w:rPr>
          <w:rFonts w:ascii="Tahoma" w:hAnsi="Tahoma" w:cs="Tahoma"/>
          <w:b/>
          <w:color w:val="auto"/>
          <w:spacing w:val="-1"/>
          <w:w w:val="95"/>
          <w:sz w:val="32"/>
          <w:highlight w:val="none"/>
        </w:rPr>
        <w:t>4</w:t>
      </w:r>
      <w:r>
        <w:rPr>
          <w:rFonts w:ascii="宋体" w:hAnsi="宋体" w:cs="宋体"/>
          <w:color w:val="auto"/>
          <w:spacing w:val="-2"/>
          <w:position w:val="2"/>
          <w:sz w:val="32"/>
          <w:highlight w:val="none"/>
        </w:rPr>
        <w:t>、</w:t>
      </w:r>
      <w:r>
        <w:rPr>
          <w:rFonts w:ascii="宋体" w:hAnsi="宋体" w:cs="宋体"/>
          <w:color w:val="auto"/>
          <w:position w:val="3"/>
          <w:sz w:val="24"/>
          <w:highlight w:val="none"/>
        </w:rPr>
        <w:t>其它文件及资料。</w:t>
      </w:r>
    </w:p>
    <w:p>
      <w:pPr>
        <w:widowControl/>
        <w:rPr>
          <w:color w:val="auto"/>
          <w:highlight w:val="none"/>
        </w:rPr>
        <w:sectPr>
          <w:type w:val="continuous"/>
          <w:pgSz w:w="11907" w:h="16839"/>
          <w:pgMar w:top="434" w:right="1020" w:bottom="194" w:left="1380" w:header="0" w:footer="0" w:gutter="0"/>
          <w:cols w:equalWidth="0" w:num="1">
            <w:col w:w="9507"/>
          </w:cols>
          <w:docGrid w:type="lines" w:linePitch="312" w:charSpace="0"/>
        </w:sectPr>
      </w:pPr>
    </w:p>
    <w:p>
      <w:pPr>
        <w:spacing w:after="0" w:line="240" w:lineRule="exact"/>
        <w:ind w:left="3336"/>
        <w:rPr>
          <w:color w:val="auto"/>
          <w:highlight w:val="none"/>
        </w:rPr>
      </w:pPr>
    </w:p>
    <w:p>
      <w:pPr>
        <w:spacing w:after="0" w:line="240" w:lineRule="exact"/>
        <w:ind w:left="3336"/>
        <w:rPr>
          <w:color w:val="auto"/>
          <w:highlight w:val="none"/>
        </w:rPr>
      </w:pPr>
    </w:p>
    <w:p>
      <w:pPr>
        <w:spacing w:after="0" w:line="240" w:lineRule="exact"/>
        <w:ind w:left="3336"/>
        <w:rPr>
          <w:color w:val="auto"/>
          <w:highlight w:val="none"/>
        </w:rPr>
      </w:pPr>
    </w:p>
    <w:p>
      <w:pPr>
        <w:spacing w:after="0" w:line="240" w:lineRule="exact"/>
        <w:ind w:left="3336"/>
        <w:rPr>
          <w:color w:val="auto"/>
          <w:highlight w:val="none"/>
        </w:rPr>
      </w:pPr>
    </w:p>
    <w:p>
      <w:pPr>
        <w:spacing w:after="0" w:line="240" w:lineRule="exact"/>
        <w:ind w:left="3336"/>
        <w:rPr>
          <w:color w:val="auto"/>
          <w:highlight w:val="none"/>
        </w:rPr>
      </w:pPr>
    </w:p>
    <w:p>
      <w:pPr>
        <w:spacing w:after="0" w:line="240" w:lineRule="exact"/>
        <w:ind w:left="3336"/>
        <w:rPr>
          <w:color w:val="auto"/>
          <w:highlight w:val="none"/>
        </w:rPr>
      </w:pPr>
    </w:p>
    <w:p>
      <w:pPr>
        <w:spacing w:after="0" w:line="240" w:lineRule="exact"/>
        <w:ind w:left="3336"/>
        <w:rPr>
          <w:color w:val="auto"/>
          <w:highlight w:val="none"/>
        </w:rPr>
      </w:pPr>
    </w:p>
    <w:p>
      <w:pPr>
        <w:spacing w:after="0" w:line="240" w:lineRule="exact"/>
        <w:ind w:left="3336"/>
        <w:rPr>
          <w:color w:val="auto"/>
          <w:highlight w:val="none"/>
        </w:rPr>
      </w:pPr>
    </w:p>
    <w:p>
      <w:pPr>
        <w:spacing w:after="0" w:line="240" w:lineRule="exact"/>
        <w:ind w:left="3336"/>
        <w:rPr>
          <w:color w:val="auto"/>
          <w:highlight w:val="none"/>
        </w:rPr>
      </w:pPr>
    </w:p>
    <w:p>
      <w:pPr>
        <w:spacing w:after="0" w:line="240" w:lineRule="exact"/>
        <w:ind w:left="3336"/>
        <w:rPr>
          <w:color w:val="auto"/>
          <w:highlight w:val="none"/>
        </w:rPr>
      </w:pPr>
    </w:p>
    <w:p>
      <w:pPr>
        <w:spacing w:after="0" w:line="240" w:lineRule="exact"/>
        <w:ind w:left="3336"/>
        <w:rPr>
          <w:color w:val="auto"/>
          <w:highlight w:val="none"/>
        </w:rPr>
      </w:pPr>
    </w:p>
    <w:p>
      <w:pPr>
        <w:spacing w:after="0" w:line="240" w:lineRule="exact"/>
        <w:ind w:left="3336"/>
        <w:rPr>
          <w:color w:val="auto"/>
          <w:highlight w:val="none"/>
        </w:rPr>
      </w:pPr>
    </w:p>
    <w:p>
      <w:pPr>
        <w:spacing w:after="0" w:line="240" w:lineRule="exact"/>
        <w:ind w:left="3336"/>
        <w:rPr>
          <w:color w:val="auto"/>
          <w:highlight w:val="none"/>
        </w:rPr>
      </w:pPr>
    </w:p>
    <w:p>
      <w:pPr>
        <w:spacing w:after="0" w:line="240" w:lineRule="exact"/>
        <w:ind w:left="3336"/>
        <w:rPr>
          <w:color w:val="auto"/>
          <w:highlight w:val="none"/>
        </w:rPr>
      </w:pPr>
    </w:p>
    <w:p>
      <w:pPr>
        <w:spacing w:after="0" w:line="240" w:lineRule="exact"/>
        <w:ind w:left="3336"/>
        <w:rPr>
          <w:color w:val="auto"/>
          <w:highlight w:val="none"/>
        </w:rPr>
      </w:pPr>
    </w:p>
    <w:p>
      <w:pPr>
        <w:spacing w:after="0" w:line="240" w:lineRule="exact"/>
        <w:ind w:left="3336"/>
        <w:rPr>
          <w:color w:val="auto"/>
          <w:highlight w:val="none"/>
        </w:rPr>
      </w:pPr>
    </w:p>
    <w:p>
      <w:pPr>
        <w:spacing w:after="0" w:line="240" w:lineRule="exact"/>
        <w:ind w:left="3336"/>
        <w:rPr>
          <w:color w:val="auto"/>
          <w:highlight w:val="none"/>
        </w:rPr>
      </w:pPr>
    </w:p>
    <w:p>
      <w:pPr>
        <w:spacing w:after="0" w:line="240" w:lineRule="exact"/>
        <w:ind w:left="3336"/>
        <w:rPr>
          <w:color w:val="auto"/>
          <w:highlight w:val="none"/>
        </w:rPr>
      </w:pPr>
    </w:p>
    <w:p>
      <w:pPr>
        <w:spacing w:after="0" w:line="259" w:lineRule="exact"/>
        <w:ind w:left="3336"/>
        <w:rPr>
          <w:color w:val="auto"/>
          <w:highlight w:val="none"/>
        </w:rPr>
      </w:pPr>
    </w:p>
    <w:p>
      <w:pPr>
        <w:widowControl/>
        <w:rPr>
          <w:color w:val="auto"/>
          <w:highlight w:val="none"/>
        </w:rPr>
        <w:sectPr>
          <w:type w:val="continuous"/>
          <w:pgSz w:w="11907" w:h="16839"/>
          <w:pgMar w:top="434" w:right="1020" w:bottom="194" w:left="1380" w:header="0" w:footer="0" w:gutter="0"/>
          <w:cols w:space="720" w:num="1"/>
          <w:docGrid w:type="lines" w:linePitch="312" w:charSpace="0"/>
        </w:sectPr>
      </w:pPr>
    </w:p>
    <w:p>
      <w:pPr>
        <w:spacing w:after="0" w:line="236" w:lineRule="exact"/>
        <w:ind w:left="4469"/>
        <w:rPr>
          <w:color w:val="auto"/>
          <w:highlight w:val="none"/>
        </w:rPr>
      </w:pPr>
    </w:p>
    <w:sectPr>
      <w:type w:val="continuous"/>
      <w:pgSz w:w="11907" w:h="16839"/>
      <w:pgMar w:top="434" w:right="1020" w:bottom="194" w:left="1380" w:header="0" w:footer="0" w:gutter="0"/>
      <w:cols w:equalWidth="0" w:num="1">
        <w:col w:w="9507"/>
      </w:cols>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等线">
    <w:altName w:val="Arial Unicode MS"/>
    <w:panose1 w:val="02010600030101010101"/>
    <w:charset w:val="86"/>
    <w:family w:val="modern"/>
    <w:pitch w:val="default"/>
    <w:sig w:usb0="00000000" w:usb1="00000000"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PMingLiU">
    <w:panose1 w:val="02020500000000000000"/>
    <w:charset w:val="88"/>
    <w:family w:val="auto"/>
    <w:pitch w:val="default"/>
    <w:sig w:usb0="A00002FF" w:usb1="28CFFCFA" w:usb2="00000016" w:usb3="00000000" w:csb0="00100001" w:csb1="00000000"/>
  </w:font>
  <w:font w:name="Arial Unicode MS">
    <w:panose1 w:val="020B0604020202020204"/>
    <w:charset w:val="86"/>
    <w:family w:val="swiss"/>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314469"/>
    </w:sdtPr>
    <w:sdtContent>
      <w:p>
        <w:pPr>
          <w:pStyle w:val="12"/>
          <w:jc w:val="center"/>
        </w:pPr>
        <w:r>
          <w:fldChar w:fldCharType="begin"/>
        </w:r>
        <w:r>
          <w:instrText xml:space="preserve"> PAGE   \* MERGEFORMAT </w:instrText>
        </w:r>
        <w:r>
          <w:fldChar w:fldCharType="separate"/>
        </w:r>
        <w:r>
          <w:rPr>
            <w:lang w:val="zh-CN"/>
          </w:rPr>
          <w:t>19</w:t>
        </w:r>
        <w:r>
          <w:rPr>
            <w:lang w:val="zh-CN"/>
          </w:rPr>
          <w:fldChar w:fldCharType="end"/>
        </w:r>
      </w:p>
    </w:sdtContent>
  </w:sdt>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0"/>
      </w:rPr>
    </w:pPr>
    <w:r>
      <mc:AlternateContent>
        <mc:Choice Requires="wps">
          <w:drawing>
            <wp:anchor distT="0" distB="0" distL="114300" distR="114300" simplePos="0" relativeHeight="480456704" behindDoc="1" locked="0" layoutInCell="1" allowOverlap="1">
              <wp:simplePos x="0" y="0"/>
              <wp:positionH relativeFrom="page">
                <wp:posOffset>3674745</wp:posOffset>
              </wp:positionH>
              <wp:positionV relativeFrom="page">
                <wp:posOffset>9859645</wp:posOffset>
              </wp:positionV>
              <wp:extent cx="250190" cy="1524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250190" cy="152400"/>
                      </a:xfrm>
                      <a:prstGeom prst="rect">
                        <a:avLst/>
                      </a:prstGeom>
                      <a:noFill/>
                      <a:ln>
                        <a:noFill/>
                      </a:ln>
                    </wps:spPr>
                    <wps:txbx>
                      <w:txbxContent>
                        <w:p>
                          <w:pPr>
                            <w:spacing w:before="12"/>
                            <w:ind w:left="6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61</w:t>
                          </w:r>
                          <w:r>
                            <w:fldChar w:fldCharType="end"/>
                          </w:r>
                        </w:p>
                      </w:txbxContent>
                    </wps:txbx>
                    <wps:bodyPr lIns="0" tIns="0" rIns="0" bIns="0" upright="1"/>
                  </wps:wsp>
                </a:graphicData>
              </a:graphic>
            </wp:anchor>
          </w:drawing>
        </mc:Choice>
        <mc:Fallback>
          <w:pict>
            <v:shape id="_x0000_s1026" o:spid="_x0000_s1026" o:spt="202" type="#_x0000_t202" style="position:absolute;left:0pt;margin-left:289.35pt;margin-top:776.35pt;height:12pt;width:19.7pt;mso-position-horizontal-relative:page;mso-position-vertical-relative:page;z-index:-22859776;mso-width-relative:page;mso-height-relative:page;" filled="f" stroked="f" coordsize="21600,21600" o:gfxdata="UEsDBAoAAAAAAIdO4kAAAAAAAAAAAAAAAAAEAAAAZHJzL1BLAwQUAAAACACHTuJA09zbitoAAAAN&#10;AQAADwAAAGRycy9kb3ducmV2LnhtbE2PS0/DMBCE70j8B2uRuFE7lfIgxKkQghMSIg0Hjk7sJlbj&#10;dYjdB/+e7YnedndGs99Um7Ob2NEswXqUkKwEMIO91xYHCV/t20MBLESFWk0ejYRfE2BT395UqtT+&#10;hI05buPAKARDqSSMMc4l56EfjVNh5WeDpO384lSkdRm4XtSJwt3E10Jk3CmL9GFUs3kZTb/fHpyE&#10;529sXu3PR/fZ7Brbto8C37O9lPd3iXgCFs05/pvhgk/oUBNT5w+oA5skpHmRk5WENF3TRJYsKRJg&#10;3eWUZznwuuLXLeo/UEsDBBQAAAAIAIdO4kCQCmYNnQEAACUDAAAOAAAAZHJzL2Uyb0RvYy54bWyt&#10;UsFuEzEQvSPxD5bvxJuIIlhlUwlVRUgIkEo/wPHaWUu2xxq72c0PwB9w4sKd78p3MHazKdBbxWV2&#10;PDP7/N4bry8n79heY7IQOr5cNJzpoKC3Ydfx2y/XL15zlrIMvXQQdMcPOvHLzfNn6zG2egUDuF4j&#10;I5CQ2jF2fMg5tkIkNWgv0wKiDtQ0gF5mOuJO9ChHQvdOrJrmlRgB+4igdEpUvbpv8k3FN0ar/MmY&#10;pDNzHSduuUascVui2Kxlu0MZB6tONOQTWHhpA116hrqSWbI7tI+gvFUICUxeKPACjLFKVw2kZtn8&#10;o+ZmkFFXLWROimeb0v+DVR/3n5HZnnZH9gTpaUfH79+OP34df35lVCODxphamruJNJmntzDR8FxP&#10;VCy6J4O+fEkRoz5hHc726ikzRcXVRbN8Qx1FreXF6mVT0cXDzxFTfqfBs5J0HGl71VS5/5AyEaHR&#10;eaTcFeDaOlc36MJfBRosFVGY3zMsWZ6200nOFvoDqXHvA3lZ3sWc4Jxs5+Quot0NRKdqrpC0i0rm&#10;9G7Ksv8814sfXvfmN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NPc24raAAAADQEAAA8AAAAAAAAA&#10;AQAgAAAAIgAAAGRycy9kb3ducmV2LnhtbFBLAQIUABQAAAAIAIdO4kCQCmYNnQEAACUDAAAOAAAA&#10;AAAAAAEAIAAAACkBAABkcnMvZTJvRG9jLnhtbFBLBQYAAAAABgAGAFkBAAA4BQAAAAA=&#10;">
              <v:fill on="f" focussize="0,0"/>
              <v:stroke on="f"/>
              <v:imagedata o:title=""/>
              <o:lock v:ext="edit" aspectratio="f"/>
              <v:textbox inset="0mm,0mm,0mm,0mm">
                <w:txbxContent>
                  <w:p>
                    <w:pPr>
                      <w:spacing w:before="12"/>
                      <w:ind w:left="6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61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4E4E29"/>
    <w:multiLevelType w:val="multilevel"/>
    <w:tmpl w:val="804E4E29"/>
    <w:lvl w:ilvl="0" w:tentative="0">
      <w:start w:val="4"/>
      <w:numFmt w:val="decimal"/>
      <w:lvlText w:val="%1"/>
      <w:lvlJc w:val="left"/>
      <w:pPr>
        <w:ind w:left="914" w:hanging="490"/>
      </w:pPr>
      <w:rPr>
        <w:rFonts w:hint="default"/>
        <w:lang w:val="en-US" w:eastAsia="zh-CN" w:bidi="ar-SA"/>
      </w:rPr>
    </w:lvl>
    <w:lvl w:ilvl="1" w:tentative="0">
      <w:start w:val="2"/>
      <w:numFmt w:val="decimal"/>
      <w:lvlText w:val="%1.%2"/>
      <w:lvlJc w:val="left"/>
      <w:pPr>
        <w:ind w:left="914" w:hanging="490"/>
      </w:pPr>
      <w:rPr>
        <w:rFonts w:hint="default" w:ascii="Times New Roman" w:hAnsi="Times New Roman" w:eastAsia="Times New Roman" w:cs="Times New Roman"/>
        <w:b/>
        <w:bCs/>
        <w:w w:val="100"/>
        <w:sz w:val="28"/>
        <w:szCs w:val="28"/>
        <w:lang w:val="en-US" w:eastAsia="zh-CN" w:bidi="ar-SA"/>
      </w:rPr>
    </w:lvl>
    <w:lvl w:ilvl="2" w:tentative="0">
      <w:start w:val="1"/>
      <w:numFmt w:val="decimal"/>
      <w:lvlText w:val="%1.%2.%3"/>
      <w:lvlJc w:val="left"/>
      <w:pPr>
        <w:ind w:left="1415" w:hanging="552"/>
      </w:pPr>
      <w:rPr>
        <w:rFonts w:hint="default" w:ascii="Times New Roman" w:hAnsi="Times New Roman" w:eastAsia="Times New Roman" w:cs="Times New Roman"/>
        <w:w w:val="99"/>
        <w:sz w:val="22"/>
        <w:szCs w:val="22"/>
        <w:lang w:val="en-US" w:eastAsia="zh-CN" w:bidi="ar-SA"/>
      </w:rPr>
    </w:lvl>
    <w:lvl w:ilvl="3" w:tentative="0">
      <w:start w:val="0"/>
      <w:numFmt w:val="bullet"/>
      <w:lvlText w:val="•"/>
      <w:lvlJc w:val="left"/>
      <w:pPr>
        <w:ind w:left="3230" w:hanging="552"/>
      </w:pPr>
      <w:rPr>
        <w:rFonts w:hint="default"/>
        <w:lang w:val="en-US" w:eastAsia="zh-CN" w:bidi="ar-SA"/>
      </w:rPr>
    </w:lvl>
    <w:lvl w:ilvl="4" w:tentative="0">
      <w:start w:val="0"/>
      <w:numFmt w:val="bullet"/>
      <w:lvlText w:val="•"/>
      <w:lvlJc w:val="left"/>
      <w:pPr>
        <w:ind w:left="4135" w:hanging="552"/>
      </w:pPr>
      <w:rPr>
        <w:rFonts w:hint="default"/>
        <w:lang w:val="en-US" w:eastAsia="zh-CN" w:bidi="ar-SA"/>
      </w:rPr>
    </w:lvl>
    <w:lvl w:ilvl="5" w:tentative="0">
      <w:start w:val="0"/>
      <w:numFmt w:val="bullet"/>
      <w:lvlText w:val="•"/>
      <w:lvlJc w:val="left"/>
      <w:pPr>
        <w:ind w:left="5040" w:hanging="552"/>
      </w:pPr>
      <w:rPr>
        <w:rFonts w:hint="default"/>
        <w:lang w:val="en-US" w:eastAsia="zh-CN" w:bidi="ar-SA"/>
      </w:rPr>
    </w:lvl>
    <w:lvl w:ilvl="6" w:tentative="0">
      <w:start w:val="0"/>
      <w:numFmt w:val="bullet"/>
      <w:lvlText w:val="•"/>
      <w:lvlJc w:val="left"/>
      <w:pPr>
        <w:ind w:left="5945" w:hanging="552"/>
      </w:pPr>
      <w:rPr>
        <w:rFonts w:hint="default"/>
        <w:lang w:val="en-US" w:eastAsia="zh-CN" w:bidi="ar-SA"/>
      </w:rPr>
    </w:lvl>
    <w:lvl w:ilvl="7" w:tentative="0">
      <w:start w:val="0"/>
      <w:numFmt w:val="bullet"/>
      <w:lvlText w:val="•"/>
      <w:lvlJc w:val="left"/>
      <w:pPr>
        <w:ind w:left="6850" w:hanging="552"/>
      </w:pPr>
      <w:rPr>
        <w:rFonts w:hint="default"/>
        <w:lang w:val="en-US" w:eastAsia="zh-CN" w:bidi="ar-SA"/>
      </w:rPr>
    </w:lvl>
    <w:lvl w:ilvl="8" w:tentative="0">
      <w:start w:val="0"/>
      <w:numFmt w:val="bullet"/>
      <w:lvlText w:val="•"/>
      <w:lvlJc w:val="left"/>
      <w:pPr>
        <w:ind w:left="7756" w:hanging="552"/>
      </w:pPr>
      <w:rPr>
        <w:rFonts w:hint="default"/>
        <w:lang w:val="en-US" w:eastAsia="zh-CN" w:bidi="ar-SA"/>
      </w:rPr>
    </w:lvl>
  </w:abstractNum>
  <w:abstractNum w:abstractNumId="1">
    <w:nsid w:val="825EC3C5"/>
    <w:multiLevelType w:val="multilevel"/>
    <w:tmpl w:val="825EC3C5"/>
    <w:lvl w:ilvl="0" w:tentative="0">
      <w:start w:val="1"/>
      <w:numFmt w:val="decimal"/>
      <w:lvlText w:val="（%1）"/>
      <w:lvlJc w:val="left"/>
      <w:pPr>
        <w:ind w:left="424" w:hanging="601"/>
      </w:pPr>
      <w:rPr>
        <w:rFonts w:hint="default" w:ascii="宋体" w:hAnsi="宋体" w:eastAsia="宋体" w:cs="宋体"/>
        <w:spacing w:val="-14"/>
        <w:w w:val="100"/>
        <w:sz w:val="22"/>
        <w:szCs w:val="22"/>
        <w:lang w:val="en-US" w:eastAsia="zh-CN" w:bidi="ar-SA"/>
      </w:rPr>
    </w:lvl>
    <w:lvl w:ilvl="1" w:tentative="0">
      <w:start w:val="0"/>
      <w:numFmt w:val="bullet"/>
      <w:lvlText w:val="•"/>
      <w:lvlJc w:val="left"/>
      <w:pPr>
        <w:ind w:left="1334" w:hanging="601"/>
      </w:pPr>
      <w:rPr>
        <w:rFonts w:hint="default"/>
        <w:lang w:val="en-US" w:eastAsia="zh-CN" w:bidi="ar-SA"/>
      </w:rPr>
    </w:lvl>
    <w:lvl w:ilvl="2" w:tentative="0">
      <w:start w:val="0"/>
      <w:numFmt w:val="bullet"/>
      <w:lvlText w:val="•"/>
      <w:lvlJc w:val="left"/>
      <w:pPr>
        <w:ind w:left="2249" w:hanging="601"/>
      </w:pPr>
      <w:rPr>
        <w:rFonts w:hint="default"/>
        <w:lang w:val="en-US" w:eastAsia="zh-CN" w:bidi="ar-SA"/>
      </w:rPr>
    </w:lvl>
    <w:lvl w:ilvl="3" w:tentative="0">
      <w:start w:val="0"/>
      <w:numFmt w:val="bullet"/>
      <w:lvlText w:val="•"/>
      <w:lvlJc w:val="left"/>
      <w:pPr>
        <w:ind w:left="3163" w:hanging="601"/>
      </w:pPr>
      <w:rPr>
        <w:rFonts w:hint="default"/>
        <w:lang w:val="en-US" w:eastAsia="zh-CN" w:bidi="ar-SA"/>
      </w:rPr>
    </w:lvl>
    <w:lvl w:ilvl="4" w:tentative="0">
      <w:start w:val="0"/>
      <w:numFmt w:val="bullet"/>
      <w:lvlText w:val="•"/>
      <w:lvlJc w:val="left"/>
      <w:pPr>
        <w:ind w:left="4078" w:hanging="601"/>
      </w:pPr>
      <w:rPr>
        <w:rFonts w:hint="default"/>
        <w:lang w:val="en-US" w:eastAsia="zh-CN" w:bidi="ar-SA"/>
      </w:rPr>
    </w:lvl>
    <w:lvl w:ilvl="5" w:tentative="0">
      <w:start w:val="0"/>
      <w:numFmt w:val="bullet"/>
      <w:lvlText w:val="•"/>
      <w:lvlJc w:val="left"/>
      <w:pPr>
        <w:ind w:left="4993" w:hanging="601"/>
      </w:pPr>
      <w:rPr>
        <w:rFonts w:hint="default"/>
        <w:lang w:val="en-US" w:eastAsia="zh-CN" w:bidi="ar-SA"/>
      </w:rPr>
    </w:lvl>
    <w:lvl w:ilvl="6" w:tentative="0">
      <w:start w:val="0"/>
      <w:numFmt w:val="bullet"/>
      <w:lvlText w:val="•"/>
      <w:lvlJc w:val="left"/>
      <w:pPr>
        <w:ind w:left="5907" w:hanging="601"/>
      </w:pPr>
      <w:rPr>
        <w:rFonts w:hint="default"/>
        <w:lang w:val="en-US" w:eastAsia="zh-CN" w:bidi="ar-SA"/>
      </w:rPr>
    </w:lvl>
    <w:lvl w:ilvl="7" w:tentative="0">
      <w:start w:val="0"/>
      <w:numFmt w:val="bullet"/>
      <w:lvlText w:val="•"/>
      <w:lvlJc w:val="left"/>
      <w:pPr>
        <w:ind w:left="6822" w:hanging="601"/>
      </w:pPr>
      <w:rPr>
        <w:rFonts w:hint="default"/>
        <w:lang w:val="en-US" w:eastAsia="zh-CN" w:bidi="ar-SA"/>
      </w:rPr>
    </w:lvl>
    <w:lvl w:ilvl="8" w:tentative="0">
      <w:start w:val="0"/>
      <w:numFmt w:val="bullet"/>
      <w:lvlText w:val="•"/>
      <w:lvlJc w:val="left"/>
      <w:pPr>
        <w:ind w:left="7737" w:hanging="601"/>
      </w:pPr>
      <w:rPr>
        <w:rFonts w:hint="default"/>
        <w:lang w:val="en-US" w:eastAsia="zh-CN" w:bidi="ar-SA"/>
      </w:rPr>
    </w:lvl>
  </w:abstractNum>
  <w:abstractNum w:abstractNumId="2">
    <w:nsid w:val="883B3669"/>
    <w:multiLevelType w:val="multilevel"/>
    <w:tmpl w:val="883B3669"/>
    <w:lvl w:ilvl="0" w:tentative="0">
      <w:start w:val="1"/>
      <w:numFmt w:val="decimal"/>
      <w:lvlText w:val="（%1）"/>
      <w:lvlJc w:val="left"/>
      <w:pPr>
        <w:ind w:left="424" w:hanging="601"/>
      </w:pPr>
      <w:rPr>
        <w:rFonts w:hint="default" w:ascii="宋体" w:hAnsi="宋体" w:eastAsia="宋体" w:cs="宋体"/>
        <w:spacing w:val="-27"/>
        <w:w w:val="100"/>
        <w:sz w:val="22"/>
        <w:szCs w:val="22"/>
        <w:lang w:val="en-US" w:eastAsia="zh-CN" w:bidi="ar-SA"/>
      </w:rPr>
    </w:lvl>
    <w:lvl w:ilvl="1" w:tentative="0">
      <w:start w:val="0"/>
      <w:numFmt w:val="bullet"/>
      <w:lvlText w:val="•"/>
      <w:lvlJc w:val="left"/>
      <w:pPr>
        <w:ind w:left="1334" w:hanging="601"/>
      </w:pPr>
      <w:rPr>
        <w:rFonts w:hint="default"/>
        <w:lang w:val="en-US" w:eastAsia="zh-CN" w:bidi="ar-SA"/>
      </w:rPr>
    </w:lvl>
    <w:lvl w:ilvl="2" w:tentative="0">
      <w:start w:val="0"/>
      <w:numFmt w:val="bullet"/>
      <w:lvlText w:val="•"/>
      <w:lvlJc w:val="left"/>
      <w:pPr>
        <w:ind w:left="2249" w:hanging="601"/>
      </w:pPr>
      <w:rPr>
        <w:rFonts w:hint="default"/>
        <w:lang w:val="en-US" w:eastAsia="zh-CN" w:bidi="ar-SA"/>
      </w:rPr>
    </w:lvl>
    <w:lvl w:ilvl="3" w:tentative="0">
      <w:start w:val="0"/>
      <w:numFmt w:val="bullet"/>
      <w:lvlText w:val="•"/>
      <w:lvlJc w:val="left"/>
      <w:pPr>
        <w:ind w:left="3163" w:hanging="601"/>
      </w:pPr>
      <w:rPr>
        <w:rFonts w:hint="default"/>
        <w:lang w:val="en-US" w:eastAsia="zh-CN" w:bidi="ar-SA"/>
      </w:rPr>
    </w:lvl>
    <w:lvl w:ilvl="4" w:tentative="0">
      <w:start w:val="0"/>
      <w:numFmt w:val="bullet"/>
      <w:lvlText w:val="•"/>
      <w:lvlJc w:val="left"/>
      <w:pPr>
        <w:ind w:left="4078" w:hanging="601"/>
      </w:pPr>
      <w:rPr>
        <w:rFonts w:hint="default"/>
        <w:lang w:val="en-US" w:eastAsia="zh-CN" w:bidi="ar-SA"/>
      </w:rPr>
    </w:lvl>
    <w:lvl w:ilvl="5" w:tentative="0">
      <w:start w:val="0"/>
      <w:numFmt w:val="bullet"/>
      <w:lvlText w:val="•"/>
      <w:lvlJc w:val="left"/>
      <w:pPr>
        <w:ind w:left="4993" w:hanging="601"/>
      </w:pPr>
      <w:rPr>
        <w:rFonts w:hint="default"/>
        <w:lang w:val="en-US" w:eastAsia="zh-CN" w:bidi="ar-SA"/>
      </w:rPr>
    </w:lvl>
    <w:lvl w:ilvl="6" w:tentative="0">
      <w:start w:val="0"/>
      <w:numFmt w:val="bullet"/>
      <w:lvlText w:val="•"/>
      <w:lvlJc w:val="left"/>
      <w:pPr>
        <w:ind w:left="5907" w:hanging="601"/>
      </w:pPr>
      <w:rPr>
        <w:rFonts w:hint="default"/>
        <w:lang w:val="en-US" w:eastAsia="zh-CN" w:bidi="ar-SA"/>
      </w:rPr>
    </w:lvl>
    <w:lvl w:ilvl="7" w:tentative="0">
      <w:start w:val="0"/>
      <w:numFmt w:val="bullet"/>
      <w:lvlText w:val="•"/>
      <w:lvlJc w:val="left"/>
      <w:pPr>
        <w:ind w:left="6822" w:hanging="601"/>
      </w:pPr>
      <w:rPr>
        <w:rFonts w:hint="default"/>
        <w:lang w:val="en-US" w:eastAsia="zh-CN" w:bidi="ar-SA"/>
      </w:rPr>
    </w:lvl>
    <w:lvl w:ilvl="8" w:tentative="0">
      <w:start w:val="0"/>
      <w:numFmt w:val="bullet"/>
      <w:lvlText w:val="•"/>
      <w:lvlJc w:val="left"/>
      <w:pPr>
        <w:ind w:left="7737" w:hanging="601"/>
      </w:pPr>
      <w:rPr>
        <w:rFonts w:hint="default"/>
        <w:lang w:val="en-US" w:eastAsia="zh-CN" w:bidi="ar-SA"/>
      </w:rPr>
    </w:lvl>
  </w:abstractNum>
  <w:abstractNum w:abstractNumId="3">
    <w:nsid w:val="91B69C97"/>
    <w:multiLevelType w:val="multilevel"/>
    <w:tmpl w:val="91B69C97"/>
    <w:lvl w:ilvl="0" w:tentative="0">
      <w:start w:val="1"/>
      <w:numFmt w:val="decimal"/>
      <w:lvlText w:val="（%1）"/>
      <w:lvlJc w:val="left"/>
      <w:pPr>
        <w:ind w:left="1416" w:hanging="553"/>
      </w:pPr>
      <w:rPr>
        <w:rFonts w:hint="default" w:ascii="宋体" w:hAnsi="宋体" w:eastAsia="宋体" w:cs="宋体"/>
        <w:spacing w:val="-3"/>
        <w:w w:val="100"/>
        <w:sz w:val="20"/>
        <w:szCs w:val="20"/>
        <w:lang w:val="en-US" w:eastAsia="zh-CN" w:bidi="ar-SA"/>
      </w:rPr>
    </w:lvl>
    <w:lvl w:ilvl="1" w:tentative="0">
      <w:start w:val="0"/>
      <w:numFmt w:val="bullet"/>
      <w:lvlText w:val="•"/>
      <w:lvlJc w:val="left"/>
      <w:pPr>
        <w:ind w:left="2234" w:hanging="553"/>
      </w:pPr>
      <w:rPr>
        <w:rFonts w:hint="default"/>
        <w:lang w:val="en-US" w:eastAsia="zh-CN" w:bidi="ar-SA"/>
      </w:rPr>
    </w:lvl>
    <w:lvl w:ilvl="2" w:tentative="0">
      <w:start w:val="0"/>
      <w:numFmt w:val="bullet"/>
      <w:lvlText w:val="•"/>
      <w:lvlJc w:val="left"/>
      <w:pPr>
        <w:ind w:left="3049" w:hanging="553"/>
      </w:pPr>
      <w:rPr>
        <w:rFonts w:hint="default"/>
        <w:lang w:val="en-US" w:eastAsia="zh-CN" w:bidi="ar-SA"/>
      </w:rPr>
    </w:lvl>
    <w:lvl w:ilvl="3" w:tentative="0">
      <w:start w:val="0"/>
      <w:numFmt w:val="bullet"/>
      <w:lvlText w:val="•"/>
      <w:lvlJc w:val="left"/>
      <w:pPr>
        <w:ind w:left="3863" w:hanging="553"/>
      </w:pPr>
      <w:rPr>
        <w:rFonts w:hint="default"/>
        <w:lang w:val="en-US" w:eastAsia="zh-CN" w:bidi="ar-SA"/>
      </w:rPr>
    </w:lvl>
    <w:lvl w:ilvl="4" w:tentative="0">
      <w:start w:val="0"/>
      <w:numFmt w:val="bullet"/>
      <w:lvlText w:val="•"/>
      <w:lvlJc w:val="left"/>
      <w:pPr>
        <w:ind w:left="4678" w:hanging="553"/>
      </w:pPr>
      <w:rPr>
        <w:rFonts w:hint="default"/>
        <w:lang w:val="en-US" w:eastAsia="zh-CN" w:bidi="ar-SA"/>
      </w:rPr>
    </w:lvl>
    <w:lvl w:ilvl="5" w:tentative="0">
      <w:start w:val="0"/>
      <w:numFmt w:val="bullet"/>
      <w:lvlText w:val="•"/>
      <w:lvlJc w:val="left"/>
      <w:pPr>
        <w:ind w:left="5493" w:hanging="553"/>
      </w:pPr>
      <w:rPr>
        <w:rFonts w:hint="default"/>
        <w:lang w:val="en-US" w:eastAsia="zh-CN" w:bidi="ar-SA"/>
      </w:rPr>
    </w:lvl>
    <w:lvl w:ilvl="6" w:tentative="0">
      <w:start w:val="0"/>
      <w:numFmt w:val="bullet"/>
      <w:lvlText w:val="•"/>
      <w:lvlJc w:val="left"/>
      <w:pPr>
        <w:ind w:left="6307" w:hanging="553"/>
      </w:pPr>
      <w:rPr>
        <w:rFonts w:hint="default"/>
        <w:lang w:val="en-US" w:eastAsia="zh-CN" w:bidi="ar-SA"/>
      </w:rPr>
    </w:lvl>
    <w:lvl w:ilvl="7" w:tentative="0">
      <w:start w:val="0"/>
      <w:numFmt w:val="bullet"/>
      <w:lvlText w:val="•"/>
      <w:lvlJc w:val="left"/>
      <w:pPr>
        <w:ind w:left="7122" w:hanging="553"/>
      </w:pPr>
      <w:rPr>
        <w:rFonts w:hint="default"/>
        <w:lang w:val="en-US" w:eastAsia="zh-CN" w:bidi="ar-SA"/>
      </w:rPr>
    </w:lvl>
    <w:lvl w:ilvl="8" w:tentative="0">
      <w:start w:val="0"/>
      <w:numFmt w:val="bullet"/>
      <w:lvlText w:val="•"/>
      <w:lvlJc w:val="left"/>
      <w:pPr>
        <w:ind w:left="7937" w:hanging="553"/>
      </w:pPr>
      <w:rPr>
        <w:rFonts w:hint="default"/>
        <w:lang w:val="en-US" w:eastAsia="zh-CN" w:bidi="ar-SA"/>
      </w:rPr>
    </w:lvl>
  </w:abstractNum>
  <w:abstractNum w:abstractNumId="4">
    <w:nsid w:val="9377BC45"/>
    <w:multiLevelType w:val="multilevel"/>
    <w:tmpl w:val="9377BC45"/>
    <w:lvl w:ilvl="0" w:tentative="0">
      <w:start w:val="1"/>
      <w:numFmt w:val="decimal"/>
      <w:lvlText w:val="（%1）"/>
      <w:lvlJc w:val="left"/>
      <w:pPr>
        <w:ind w:left="424" w:hanging="553"/>
      </w:pPr>
      <w:rPr>
        <w:rFonts w:hint="default" w:ascii="宋体" w:hAnsi="宋体" w:eastAsia="宋体" w:cs="宋体"/>
        <w:spacing w:val="-15"/>
        <w:w w:val="100"/>
        <w:sz w:val="20"/>
        <w:szCs w:val="20"/>
        <w:lang w:val="en-US" w:eastAsia="zh-CN" w:bidi="ar-SA"/>
      </w:rPr>
    </w:lvl>
    <w:lvl w:ilvl="1" w:tentative="0">
      <w:start w:val="0"/>
      <w:numFmt w:val="bullet"/>
      <w:lvlText w:val="•"/>
      <w:lvlJc w:val="left"/>
      <w:pPr>
        <w:ind w:left="1334" w:hanging="553"/>
      </w:pPr>
      <w:rPr>
        <w:rFonts w:hint="default"/>
        <w:lang w:val="en-US" w:eastAsia="zh-CN" w:bidi="ar-SA"/>
      </w:rPr>
    </w:lvl>
    <w:lvl w:ilvl="2" w:tentative="0">
      <w:start w:val="0"/>
      <w:numFmt w:val="bullet"/>
      <w:lvlText w:val="•"/>
      <w:lvlJc w:val="left"/>
      <w:pPr>
        <w:ind w:left="2249" w:hanging="553"/>
      </w:pPr>
      <w:rPr>
        <w:rFonts w:hint="default"/>
        <w:lang w:val="en-US" w:eastAsia="zh-CN" w:bidi="ar-SA"/>
      </w:rPr>
    </w:lvl>
    <w:lvl w:ilvl="3" w:tentative="0">
      <w:start w:val="0"/>
      <w:numFmt w:val="bullet"/>
      <w:lvlText w:val="•"/>
      <w:lvlJc w:val="left"/>
      <w:pPr>
        <w:ind w:left="3163" w:hanging="553"/>
      </w:pPr>
      <w:rPr>
        <w:rFonts w:hint="default"/>
        <w:lang w:val="en-US" w:eastAsia="zh-CN" w:bidi="ar-SA"/>
      </w:rPr>
    </w:lvl>
    <w:lvl w:ilvl="4" w:tentative="0">
      <w:start w:val="0"/>
      <w:numFmt w:val="bullet"/>
      <w:lvlText w:val="•"/>
      <w:lvlJc w:val="left"/>
      <w:pPr>
        <w:ind w:left="4078" w:hanging="553"/>
      </w:pPr>
      <w:rPr>
        <w:rFonts w:hint="default"/>
        <w:lang w:val="en-US" w:eastAsia="zh-CN" w:bidi="ar-SA"/>
      </w:rPr>
    </w:lvl>
    <w:lvl w:ilvl="5" w:tentative="0">
      <w:start w:val="0"/>
      <w:numFmt w:val="bullet"/>
      <w:lvlText w:val="•"/>
      <w:lvlJc w:val="left"/>
      <w:pPr>
        <w:ind w:left="4993" w:hanging="553"/>
      </w:pPr>
      <w:rPr>
        <w:rFonts w:hint="default"/>
        <w:lang w:val="en-US" w:eastAsia="zh-CN" w:bidi="ar-SA"/>
      </w:rPr>
    </w:lvl>
    <w:lvl w:ilvl="6" w:tentative="0">
      <w:start w:val="0"/>
      <w:numFmt w:val="bullet"/>
      <w:lvlText w:val="•"/>
      <w:lvlJc w:val="left"/>
      <w:pPr>
        <w:ind w:left="5907" w:hanging="553"/>
      </w:pPr>
      <w:rPr>
        <w:rFonts w:hint="default"/>
        <w:lang w:val="en-US" w:eastAsia="zh-CN" w:bidi="ar-SA"/>
      </w:rPr>
    </w:lvl>
    <w:lvl w:ilvl="7" w:tentative="0">
      <w:start w:val="0"/>
      <w:numFmt w:val="bullet"/>
      <w:lvlText w:val="•"/>
      <w:lvlJc w:val="left"/>
      <w:pPr>
        <w:ind w:left="6822" w:hanging="553"/>
      </w:pPr>
      <w:rPr>
        <w:rFonts w:hint="default"/>
        <w:lang w:val="en-US" w:eastAsia="zh-CN" w:bidi="ar-SA"/>
      </w:rPr>
    </w:lvl>
    <w:lvl w:ilvl="8" w:tentative="0">
      <w:start w:val="0"/>
      <w:numFmt w:val="bullet"/>
      <w:lvlText w:val="•"/>
      <w:lvlJc w:val="left"/>
      <w:pPr>
        <w:ind w:left="7737" w:hanging="553"/>
      </w:pPr>
      <w:rPr>
        <w:rFonts w:hint="default"/>
        <w:lang w:val="en-US" w:eastAsia="zh-CN" w:bidi="ar-SA"/>
      </w:rPr>
    </w:lvl>
  </w:abstractNum>
  <w:abstractNum w:abstractNumId="5">
    <w:nsid w:val="9ACF65A0"/>
    <w:multiLevelType w:val="multilevel"/>
    <w:tmpl w:val="9ACF65A0"/>
    <w:lvl w:ilvl="0" w:tentative="0">
      <w:start w:val="7"/>
      <w:numFmt w:val="decimal"/>
      <w:lvlText w:val="%1"/>
      <w:lvlJc w:val="left"/>
      <w:pPr>
        <w:ind w:left="424" w:hanging="552"/>
      </w:pPr>
      <w:rPr>
        <w:rFonts w:hint="default"/>
        <w:lang w:val="en-US" w:eastAsia="zh-CN" w:bidi="ar-SA"/>
      </w:rPr>
    </w:lvl>
    <w:lvl w:ilvl="1" w:tentative="0">
      <w:start w:val="1"/>
      <w:numFmt w:val="decimal"/>
      <w:lvlText w:val="%1.%2"/>
      <w:lvlJc w:val="left"/>
      <w:pPr>
        <w:ind w:left="424" w:hanging="552"/>
      </w:pPr>
      <w:rPr>
        <w:rFonts w:hint="default"/>
        <w:lang w:val="en-US" w:eastAsia="zh-CN" w:bidi="ar-SA"/>
      </w:rPr>
    </w:lvl>
    <w:lvl w:ilvl="2" w:tentative="0">
      <w:start w:val="2"/>
      <w:numFmt w:val="decimal"/>
      <w:lvlText w:val="%1.%2.%3"/>
      <w:lvlJc w:val="left"/>
      <w:pPr>
        <w:ind w:left="424" w:hanging="552"/>
      </w:pPr>
      <w:rPr>
        <w:rFonts w:hint="default" w:ascii="Times New Roman" w:hAnsi="Times New Roman" w:eastAsia="Times New Roman" w:cs="Times New Roman"/>
        <w:w w:val="99"/>
        <w:sz w:val="22"/>
        <w:szCs w:val="22"/>
        <w:lang w:val="en-US" w:eastAsia="zh-CN" w:bidi="ar-SA"/>
      </w:rPr>
    </w:lvl>
    <w:lvl w:ilvl="3" w:tentative="0">
      <w:start w:val="0"/>
      <w:numFmt w:val="bullet"/>
      <w:lvlText w:val="•"/>
      <w:lvlJc w:val="left"/>
      <w:pPr>
        <w:ind w:left="3163" w:hanging="552"/>
      </w:pPr>
      <w:rPr>
        <w:rFonts w:hint="default"/>
        <w:lang w:val="en-US" w:eastAsia="zh-CN" w:bidi="ar-SA"/>
      </w:rPr>
    </w:lvl>
    <w:lvl w:ilvl="4" w:tentative="0">
      <w:start w:val="0"/>
      <w:numFmt w:val="bullet"/>
      <w:lvlText w:val="•"/>
      <w:lvlJc w:val="left"/>
      <w:pPr>
        <w:ind w:left="4078" w:hanging="552"/>
      </w:pPr>
      <w:rPr>
        <w:rFonts w:hint="default"/>
        <w:lang w:val="en-US" w:eastAsia="zh-CN" w:bidi="ar-SA"/>
      </w:rPr>
    </w:lvl>
    <w:lvl w:ilvl="5" w:tentative="0">
      <w:start w:val="0"/>
      <w:numFmt w:val="bullet"/>
      <w:lvlText w:val="•"/>
      <w:lvlJc w:val="left"/>
      <w:pPr>
        <w:ind w:left="4993" w:hanging="552"/>
      </w:pPr>
      <w:rPr>
        <w:rFonts w:hint="default"/>
        <w:lang w:val="en-US" w:eastAsia="zh-CN" w:bidi="ar-SA"/>
      </w:rPr>
    </w:lvl>
    <w:lvl w:ilvl="6" w:tentative="0">
      <w:start w:val="0"/>
      <w:numFmt w:val="bullet"/>
      <w:lvlText w:val="•"/>
      <w:lvlJc w:val="left"/>
      <w:pPr>
        <w:ind w:left="5907" w:hanging="552"/>
      </w:pPr>
      <w:rPr>
        <w:rFonts w:hint="default"/>
        <w:lang w:val="en-US" w:eastAsia="zh-CN" w:bidi="ar-SA"/>
      </w:rPr>
    </w:lvl>
    <w:lvl w:ilvl="7" w:tentative="0">
      <w:start w:val="0"/>
      <w:numFmt w:val="bullet"/>
      <w:lvlText w:val="•"/>
      <w:lvlJc w:val="left"/>
      <w:pPr>
        <w:ind w:left="6822" w:hanging="552"/>
      </w:pPr>
      <w:rPr>
        <w:rFonts w:hint="default"/>
        <w:lang w:val="en-US" w:eastAsia="zh-CN" w:bidi="ar-SA"/>
      </w:rPr>
    </w:lvl>
    <w:lvl w:ilvl="8" w:tentative="0">
      <w:start w:val="0"/>
      <w:numFmt w:val="bullet"/>
      <w:lvlText w:val="•"/>
      <w:lvlJc w:val="left"/>
      <w:pPr>
        <w:ind w:left="7737" w:hanging="552"/>
      </w:pPr>
      <w:rPr>
        <w:rFonts w:hint="default"/>
        <w:lang w:val="en-US" w:eastAsia="zh-CN" w:bidi="ar-SA"/>
      </w:rPr>
    </w:lvl>
  </w:abstractNum>
  <w:abstractNum w:abstractNumId="6">
    <w:nsid w:val="9C11E984"/>
    <w:multiLevelType w:val="multilevel"/>
    <w:tmpl w:val="9C11E984"/>
    <w:lvl w:ilvl="0" w:tentative="0">
      <w:start w:val="11"/>
      <w:numFmt w:val="decimal"/>
      <w:lvlText w:val="%1."/>
      <w:lvlJc w:val="left"/>
      <w:pPr>
        <w:ind w:left="966" w:hanging="543"/>
      </w:pPr>
      <w:rPr>
        <w:rFonts w:hint="default" w:ascii="Times New Roman" w:hAnsi="Times New Roman" w:eastAsia="Times New Roman" w:cs="Times New Roman"/>
        <w:b/>
        <w:bCs/>
        <w:spacing w:val="-16"/>
        <w:w w:val="99"/>
        <w:sz w:val="32"/>
        <w:szCs w:val="32"/>
        <w:lang w:val="en-US" w:eastAsia="zh-CN" w:bidi="ar-SA"/>
      </w:rPr>
    </w:lvl>
    <w:lvl w:ilvl="1" w:tentative="0">
      <w:start w:val="1"/>
      <w:numFmt w:val="decimal"/>
      <w:lvlText w:val="%1.%2"/>
      <w:lvlJc w:val="left"/>
      <w:pPr>
        <w:ind w:left="1053" w:hanging="629"/>
      </w:pPr>
      <w:rPr>
        <w:rFonts w:hint="default" w:ascii="Times New Roman" w:hAnsi="Times New Roman" w:eastAsia="Times New Roman" w:cs="Times New Roman"/>
        <w:b/>
        <w:bCs/>
        <w:spacing w:val="-4"/>
        <w:w w:val="100"/>
        <w:sz w:val="28"/>
        <w:szCs w:val="28"/>
        <w:lang w:val="en-US" w:eastAsia="zh-CN" w:bidi="ar-SA"/>
      </w:rPr>
    </w:lvl>
    <w:lvl w:ilvl="2" w:tentative="0">
      <w:start w:val="0"/>
      <w:numFmt w:val="bullet"/>
      <w:lvlText w:val="•"/>
      <w:lvlJc w:val="left"/>
      <w:pPr>
        <w:ind w:left="2005" w:hanging="629"/>
      </w:pPr>
      <w:rPr>
        <w:rFonts w:hint="default"/>
        <w:lang w:val="en-US" w:eastAsia="zh-CN" w:bidi="ar-SA"/>
      </w:rPr>
    </w:lvl>
    <w:lvl w:ilvl="3" w:tentative="0">
      <w:start w:val="0"/>
      <w:numFmt w:val="bullet"/>
      <w:lvlText w:val="•"/>
      <w:lvlJc w:val="left"/>
      <w:pPr>
        <w:ind w:left="2950" w:hanging="629"/>
      </w:pPr>
      <w:rPr>
        <w:rFonts w:hint="default"/>
        <w:lang w:val="en-US" w:eastAsia="zh-CN" w:bidi="ar-SA"/>
      </w:rPr>
    </w:lvl>
    <w:lvl w:ilvl="4" w:tentative="0">
      <w:start w:val="0"/>
      <w:numFmt w:val="bullet"/>
      <w:lvlText w:val="•"/>
      <w:lvlJc w:val="left"/>
      <w:pPr>
        <w:ind w:left="3895" w:hanging="629"/>
      </w:pPr>
      <w:rPr>
        <w:rFonts w:hint="default"/>
        <w:lang w:val="en-US" w:eastAsia="zh-CN" w:bidi="ar-SA"/>
      </w:rPr>
    </w:lvl>
    <w:lvl w:ilvl="5" w:tentative="0">
      <w:start w:val="0"/>
      <w:numFmt w:val="bullet"/>
      <w:lvlText w:val="•"/>
      <w:lvlJc w:val="left"/>
      <w:pPr>
        <w:ind w:left="4840" w:hanging="629"/>
      </w:pPr>
      <w:rPr>
        <w:rFonts w:hint="default"/>
        <w:lang w:val="en-US" w:eastAsia="zh-CN" w:bidi="ar-SA"/>
      </w:rPr>
    </w:lvl>
    <w:lvl w:ilvl="6" w:tentative="0">
      <w:start w:val="0"/>
      <w:numFmt w:val="bullet"/>
      <w:lvlText w:val="•"/>
      <w:lvlJc w:val="left"/>
      <w:pPr>
        <w:ind w:left="5785" w:hanging="629"/>
      </w:pPr>
      <w:rPr>
        <w:rFonts w:hint="default"/>
        <w:lang w:val="en-US" w:eastAsia="zh-CN" w:bidi="ar-SA"/>
      </w:rPr>
    </w:lvl>
    <w:lvl w:ilvl="7" w:tentative="0">
      <w:start w:val="0"/>
      <w:numFmt w:val="bullet"/>
      <w:lvlText w:val="•"/>
      <w:lvlJc w:val="left"/>
      <w:pPr>
        <w:ind w:left="6730" w:hanging="629"/>
      </w:pPr>
      <w:rPr>
        <w:rFonts w:hint="default"/>
        <w:lang w:val="en-US" w:eastAsia="zh-CN" w:bidi="ar-SA"/>
      </w:rPr>
    </w:lvl>
    <w:lvl w:ilvl="8" w:tentative="0">
      <w:start w:val="0"/>
      <w:numFmt w:val="bullet"/>
      <w:lvlText w:val="•"/>
      <w:lvlJc w:val="left"/>
      <w:pPr>
        <w:ind w:left="7676" w:hanging="629"/>
      </w:pPr>
      <w:rPr>
        <w:rFonts w:hint="default"/>
        <w:lang w:val="en-US" w:eastAsia="zh-CN" w:bidi="ar-SA"/>
      </w:rPr>
    </w:lvl>
  </w:abstractNum>
  <w:abstractNum w:abstractNumId="7">
    <w:nsid w:val="9D5D7490"/>
    <w:multiLevelType w:val="multilevel"/>
    <w:tmpl w:val="9D5D7490"/>
    <w:lvl w:ilvl="0" w:tentative="0">
      <w:start w:val="11"/>
      <w:numFmt w:val="decimal"/>
      <w:lvlText w:val="%1."/>
      <w:lvlJc w:val="left"/>
      <w:pPr>
        <w:ind w:left="966" w:hanging="543"/>
      </w:pPr>
      <w:rPr>
        <w:rFonts w:hint="default" w:ascii="Times New Roman" w:hAnsi="Times New Roman" w:eastAsia="Times New Roman" w:cs="Times New Roman"/>
        <w:b/>
        <w:bCs/>
        <w:spacing w:val="-16"/>
        <w:w w:val="99"/>
        <w:sz w:val="32"/>
        <w:szCs w:val="32"/>
        <w:lang w:val="en-US" w:eastAsia="zh-CN" w:bidi="ar-SA"/>
      </w:rPr>
    </w:lvl>
    <w:lvl w:ilvl="1" w:tentative="0">
      <w:start w:val="1"/>
      <w:numFmt w:val="decimal"/>
      <w:lvlText w:val="%1.%2"/>
      <w:lvlJc w:val="left"/>
      <w:pPr>
        <w:ind w:left="1053" w:hanging="629"/>
      </w:pPr>
      <w:rPr>
        <w:rFonts w:hint="default" w:ascii="Times New Roman" w:hAnsi="Times New Roman" w:eastAsia="Times New Roman" w:cs="Times New Roman"/>
        <w:b/>
        <w:bCs/>
        <w:spacing w:val="-4"/>
        <w:w w:val="100"/>
        <w:sz w:val="28"/>
        <w:szCs w:val="28"/>
        <w:lang w:val="en-US" w:eastAsia="zh-CN" w:bidi="ar-SA"/>
      </w:rPr>
    </w:lvl>
    <w:lvl w:ilvl="2" w:tentative="0">
      <w:start w:val="1"/>
      <w:numFmt w:val="decimal"/>
      <w:lvlText w:val="%1.%2.%3"/>
      <w:lvlJc w:val="left"/>
      <w:pPr>
        <w:ind w:left="1516" w:hanging="653"/>
      </w:pPr>
      <w:rPr>
        <w:rFonts w:hint="default" w:ascii="Times New Roman" w:hAnsi="Times New Roman" w:eastAsia="Times New Roman" w:cs="Times New Roman"/>
        <w:spacing w:val="-8"/>
        <w:w w:val="100"/>
        <w:sz w:val="22"/>
        <w:szCs w:val="22"/>
        <w:lang w:val="en-US" w:eastAsia="zh-CN" w:bidi="ar-SA"/>
      </w:rPr>
    </w:lvl>
    <w:lvl w:ilvl="3" w:tentative="0">
      <w:start w:val="0"/>
      <w:numFmt w:val="bullet"/>
      <w:lvlText w:val="•"/>
      <w:lvlJc w:val="left"/>
      <w:pPr>
        <w:ind w:left="1520" w:hanging="653"/>
      </w:pPr>
      <w:rPr>
        <w:rFonts w:hint="default"/>
        <w:lang w:val="en-US" w:eastAsia="zh-CN" w:bidi="ar-SA"/>
      </w:rPr>
    </w:lvl>
    <w:lvl w:ilvl="4" w:tentative="0">
      <w:start w:val="0"/>
      <w:numFmt w:val="bullet"/>
      <w:lvlText w:val="•"/>
      <w:lvlJc w:val="left"/>
      <w:pPr>
        <w:ind w:left="2669" w:hanging="653"/>
      </w:pPr>
      <w:rPr>
        <w:rFonts w:hint="default"/>
        <w:lang w:val="en-US" w:eastAsia="zh-CN" w:bidi="ar-SA"/>
      </w:rPr>
    </w:lvl>
    <w:lvl w:ilvl="5" w:tentative="0">
      <w:start w:val="0"/>
      <w:numFmt w:val="bullet"/>
      <w:lvlText w:val="•"/>
      <w:lvlJc w:val="left"/>
      <w:pPr>
        <w:ind w:left="3818" w:hanging="653"/>
      </w:pPr>
      <w:rPr>
        <w:rFonts w:hint="default"/>
        <w:lang w:val="en-US" w:eastAsia="zh-CN" w:bidi="ar-SA"/>
      </w:rPr>
    </w:lvl>
    <w:lvl w:ilvl="6" w:tentative="0">
      <w:start w:val="0"/>
      <w:numFmt w:val="bullet"/>
      <w:lvlText w:val="•"/>
      <w:lvlJc w:val="left"/>
      <w:pPr>
        <w:ind w:left="4968" w:hanging="653"/>
      </w:pPr>
      <w:rPr>
        <w:rFonts w:hint="default"/>
        <w:lang w:val="en-US" w:eastAsia="zh-CN" w:bidi="ar-SA"/>
      </w:rPr>
    </w:lvl>
    <w:lvl w:ilvl="7" w:tentative="0">
      <w:start w:val="0"/>
      <w:numFmt w:val="bullet"/>
      <w:lvlText w:val="•"/>
      <w:lvlJc w:val="left"/>
      <w:pPr>
        <w:ind w:left="6117" w:hanging="653"/>
      </w:pPr>
      <w:rPr>
        <w:rFonts w:hint="default"/>
        <w:lang w:val="en-US" w:eastAsia="zh-CN" w:bidi="ar-SA"/>
      </w:rPr>
    </w:lvl>
    <w:lvl w:ilvl="8" w:tentative="0">
      <w:start w:val="0"/>
      <w:numFmt w:val="bullet"/>
      <w:lvlText w:val="•"/>
      <w:lvlJc w:val="left"/>
      <w:pPr>
        <w:ind w:left="7267" w:hanging="653"/>
      </w:pPr>
      <w:rPr>
        <w:rFonts w:hint="default"/>
        <w:lang w:val="en-US" w:eastAsia="zh-CN" w:bidi="ar-SA"/>
      </w:rPr>
    </w:lvl>
  </w:abstractNum>
  <w:abstractNum w:abstractNumId="8">
    <w:nsid w:val="A0C93552"/>
    <w:multiLevelType w:val="multilevel"/>
    <w:tmpl w:val="A0C93552"/>
    <w:lvl w:ilvl="0" w:tentative="0">
      <w:start w:val="1"/>
      <w:numFmt w:val="decimal"/>
      <w:lvlText w:val="（%1）"/>
      <w:lvlJc w:val="left"/>
      <w:pPr>
        <w:ind w:left="424" w:hanging="553"/>
      </w:pPr>
      <w:rPr>
        <w:rFonts w:hint="default" w:ascii="宋体" w:hAnsi="宋体" w:eastAsia="宋体" w:cs="宋体"/>
        <w:spacing w:val="-8"/>
        <w:w w:val="100"/>
        <w:sz w:val="20"/>
        <w:szCs w:val="20"/>
        <w:lang w:val="en-US" w:eastAsia="zh-CN" w:bidi="ar-SA"/>
      </w:rPr>
    </w:lvl>
    <w:lvl w:ilvl="1" w:tentative="0">
      <w:start w:val="0"/>
      <w:numFmt w:val="bullet"/>
      <w:lvlText w:val="•"/>
      <w:lvlJc w:val="left"/>
      <w:pPr>
        <w:ind w:left="1334" w:hanging="553"/>
      </w:pPr>
      <w:rPr>
        <w:rFonts w:hint="default"/>
        <w:lang w:val="en-US" w:eastAsia="zh-CN" w:bidi="ar-SA"/>
      </w:rPr>
    </w:lvl>
    <w:lvl w:ilvl="2" w:tentative="0">
      <w:start w:val="0"/>
      <w:numFmt w:val="bullet"/>
      <w:lvlText w:val="•"/>
      <w:lvlJc w:val="left"/>
      <w:pPr>
        <w:ind w:left="2249" w:hanging="553"/>
      </w:pPr>
      <w:rPr>
        <w:rFonts w:hint="default"/>
        <w:lang w:val="en-US" w:eastAsia="zh-CN" w:bidi="ar-SA"/>
      </w:rPr>
    </w:lvl>
    <w:lvl w:ilvl="3" w:tentative="0">
      <w:start w:val="0"/>
      <w:numFmt w:val="bullet"/>
      <w:lvlText w:val="•"/>
      <w:lvlJc w:val="left"/>
      <w:pPr>
        <w:ind w:left="3163" w:hanging="553"/>
      </w:pPr>
      <w:rPr>
        <w:rFonts w:hint="default"/>
        <w:lang w:val="en-US" w:eastAsia="zh-CN" w:bidi="ar-SA"/>
      </w:rPr>
    </w:lvl>
    <w:lvl w:ilvl="4" w:tentative="0">
      <w:start w:val="0"/>
      <w:numFmt w:val="bullet"/>
      <w:lvlText w:val="•"/>
      <w:lvlJc w:val="left"/>
      <w:pPr>
        <w:ind w:left="4078" w:hanging="553"/>
      </w:pPr>
      <w:rPr>
        <w:rFonts w:hint="default"/>
        <w:lang w:val="en-US" w:eastAsia="zh-CN" w:bidi="ar-SA"/>
      </w:rPr>
    </w:lvl>
    <w:lvl w:ilvl="5" w:tentative="0">
      <w:start w:val="0"/>
      <w:numFmt w:val="bullet"/>
      <w:lvlText w:val="•"/>
      <w:lvlJc w:val="left"/>
      <w:pPr>
        <w:ind w:left="4993" w:hanging="553"/>
      </w:pPr>
      <w:rPr>
        <w:rFonts w:hint="default"/>
        <w:lang w:val="en-US" w:eastAsia="zh-CN" w:bidi="ar-SA"/>
      </w:rPr>
    </w:lvl>
    <w:lvl w:ilvl="6" w:tentative="0">
      <w:start w:val="0"/>
      <w:numFmt w:val="bullet"/>
      <w:lvlText w:val="•"/>
      <w:lvlJc w:val="left"/>
      <w:pPr>
        <w:ind w:left="5907" w:hanging="553"/>
      </w:pPr>
      <w:rPr>
        <w:rFonts w:hint="default"/>
        <w:lang w:val="en-US" w:eastAsia="zh-CN" w:bidi="ar-SA"/>
      </w:rPr>
    </w:lvl>
    <w:lvl w:ilvl="7" w:tentative="0">
      <w:start w:val="0"/>
      <w:numFmt w:val="bullet"/>
      <w:lvlText w:val="•"/>
      <w:lvlJc w:val="left"/>
      <w:pPr>
        <w:ind w:left="6822" w:hanging="553"/>
      </w:pPr>
      <w:rPr>
        <w:rFonts w:hint="default"/>
        <w:lang w:val="en-US" w:eastAsia="zh-CN" w:bidi="ar-SA"/>
      </w:rPr>
    </w:lvl>
    <w:lvl w:ilvl="8" w:tentative="0">
      <w:start w:val="0"/>
      <w:numFmt w:val="bullet"/>
      <w:lvlText w:val="•"/>
      <w:lvlJc w:val="left"/>
      <w:pPr>
        <w:ind w:left="7737" w:hanging="553"/>
      </w:pPr>
      <w:rPr>
        <w:rFonts w:hint="default"/>
        <w:lang w:val="en-US" w:eastAsia="zh-CN" w:bidi="ar-SA"/>
      </w:rPr>
    </w:lvl>
  </w:abstractNum>
  <w:abstractNum w:abstractNumId="9">
    <w:nsid w:val="A0F05207"/>
    <w:multiLevelType w:val="multilevel"/>
    <w:tmpl w:val="A0F05207"/>
    <w:lvl w:ilvl="0" w:tentative="0">
      <w:start w:val="1"/>
      <w:numFmt w:val="decimal"/>
      <w:lvlText w:val="%1"/>
      <w:lvlJc w:val="left"/>
      <w:pPr>
        <w:ind w:left="424" w:hanging="718"/>
      </w:pPr>
      <w:rPr>
        <w:rFonts w:hint="default"/>
        <w:lang w:val="en-US" w:eastAsia="zh-CN" w:bidi="ar-SA"/>
      </w:rPr>
    </w:lvl>
    <w:lvl w:ilvl="1" w:tentative="0">
      <w:start w:val="1"/>
      <w:numFmt w:val="decimal"/>
      <w:lvlText w:val="%1.%2"/>
      <w:lvlJc w:val="left"/>
      <w:pPr>
        <w:ind w:left="424" w:hanging="718"/>
      </w:pPr>
      <w:rPr>
        <w:rFonts w:hint="default"/>
        <w:lang w:val="en-US" w:eastAsia="zh-CN" w:bidi="ar-SA"/>
      </w:rPr>
    </w:lvl>
    <w:lvl w:ilvl="2" w:tentative="0">
      <w:start w:val="2"/>
      <w:numFmt w:val="decimal"/>
      <w:lvlText w:val="%1.%2.%3"/>
      <w:lvlJc w:val="left"/>
      <w:pPr>
        <w:ind w:left="424" w:hanging="718"/>
      </w:pPr>
      <w:rPr>
        <w:rFonts w:hint="default"/>
        <w:lang w:val="en-US" w:eastAsia="zh-CN" w:bidi="ar-SA"/>
      </w:rPr>
    </w:lvl>
    <w:lvl w:ilvl="3" w:tentative="0">
      <w:start w:val="7"/>
      <w:numFmt w:val="decimal"/>
      <w:lvlText w:val="%1.%2.%3.%4"/>
      <w:lvlJc w:val="left"/>
      <w:pPr>
        <w:ind w:left="424" w:hanging="718"/>
      </w:pPr>
      <w:rPr>
        <w:rFonts w:hint="default" w:ascii="Times New Roman" w:hAnsi="Times New Roman" w:eastAsia="Times New Roman" w:cs="Times New Roman"/>
        <w:w w:val="99"/>
        <w:sz w:val="22"/>
        <w:szCs w:val="22"/>
        <w:lang w:val="en-US" w:eastAsia="zh-CN" w:bidi="ar-SA"/>
      </w:rPr>
    </w:lvl>
    <w:lvl w:ilvl="4" w:tentative="0">
      <w:start w:val="0"/>
      <w:numFmt w:val="bullet"/>
      <w:lvlText w:val="•"/>
      <w:lvlJc w:val="left"/>
      <w:pPr>
        <w:ind w:left="4078" w:hanging="718"/>
      </w:pPr>
      <w:rPr>
        <w:rFonts w:hint="default"/>
        <w:lang w:val="en-US" w:eastAsia="zh-CN" w:bidi="ar-SA"/>
      </w:rPr>
    </w:lvl>
    <w:lvl w:ilvl="5" w:tentative="0">
      <w:start w:val="0"/>
      <w:numFmt w:val="bullet"/>
      <w:lvlText w:val="•"/>
      <w:lvlJc w:val="left"/>
      <w:pPr>
        <w:ind w:left="4993" w:hanging="718"/>
      </w:pPr>
      <w:rPr>
        <w:rFonts w:hint="default"/>
        <w:lang w:val="en-US" w:eastAsia="zh-CN" w:bidi="ar-SA"/>
      </w:rPr>
    </w:lvl>
    <w:lvl w:ilvl="6" w:tentative="0">
      <w:start w:val="0"/>
      <w:numFmt w:val="bullet"/>
      <w:lvlText w:val="•"/>
      <w:lvlJc w:val="left"/>
      <w:pPr>
        <w:ind w:left="5907" w:hanging="718"/>
      </w:pPr>
      <w:rPr>
        <w:rFonts w:hint="default"/>
        <w:lang w:val="en-US" w:eastAsia="zh-CN" w:bidi="ar-SA"/>
      </w:rPr>
    </w:lvl>
    <w:lvl w:ilvl="7" w:tentative="0">
      <w:start w:val="0"/>
      <w:numFmt w:val="bullet"/>
      <w:lvlText w:val="•"/>
      <w:lvlJc w:val="left"/>
      <w:pPr>
        <w:ind w:left="6822" w:hanging="718"/>
      </w:pPr>
      <w:rPr>
        <w:rFonts w:hint="default"/>
        <w:lang w:val="en-US" w:eastAsia="zh-CN" w:bidi="ar-SA"/>
      </w:rPr>
    </w:lvl>
    <w:lvl w:ilvl="8" w:tentative="0">
      <w:start w:val="0"/>
      <w:numFmt w:val="bullet"/>
      <w:lvlText w:val="•"/>
      <w:lvlJc w:val="left"/>
      <w:pPr>
        <w:ind w:left="7737" w:hanging="718"/>
      </w:pPr>
      <w:rPr>
        <w:rFonts w:hint="default"/>
        <w:lang w:val="en-US" w:eastAsia="zh-CN" w:bidi="ar-SA"/>
      </w:rPr>
    </w:lvl>
  </w:abstractNum>
  <w:abstractNum w:abstractNumId="10">
    <w:nsid w:val="A4F68ACB"/>
    <w:multiLevelType w:val="singleLevel"/>
    <w:tmpl w:val="A4F68ACB"/>
    <w:lvl w:ilvl="0" w:tentative="0">
      <w:start w:val="1"/>
      <w:numFmt w:val="chineseCounting"/>
      <w:suff w:val="nothing"/>
      <w:lvlText w:val="(%1）"/>
      <w:lvlJc w:val="left"/>
      <w:rPr>
        <w:rFonts w:hint="eastAsia"/>
      </w:rPr>
    </w:lvl>
  </w:abstractNum>
  <w:abstractNum w:abstractNumId="11">
    <w:nsid w:val="A9AC3AA7"/>
    <w:multiLevelType w:val="multilevel"/>
    <w:tmpl w:val="A9AC3AA7"/>
    <w:lvl w:ilvl="0" w:tentative="0">
      <w:start w:val="1"/>
      <w:numFmt w:val="decimal"/>
      <w:lvlText w:val="（%1）"/>
      <w:lvlJc w:val="left"/>
      <w:pPr>
        <w:ind w:left="1642" w:hanging="601"/>
      </w:pPr>
      <w:rPr>
        <w:rFonts w:hint="default" w:ascii="宋体" w:hAnsi="宋体" w:eastAsia="宋体" w:cs="宋体"/>
        <w:w w:val="100"/>
        <w:sz w:val="22"/>
        <w:szCs w:val="22"/>
        <w:lang w:val="en-US" w:eastAsia="zh-CN" w:bidi="ar-SA"/>
      </w:rPr>
    </w:lvl>
    <w:lvl w:ilvl="1" w:tentative="0">
      <w:start w:val="0"/>
      <w:numFmt w:val="bullet"/>
      <w:lvlText w:val="•"/>
      <w:lvlJc w:val="left"/>
      <w:pPr>
        <w:ind w:left="2432" w:hanging="601"/>
      </w:pPr>
      <w:rPr>
        <w:rFonts w:hint="default"/>
        <w:lang w:val="en-US" w:eastAsia="zh-CN" w:bidi="ar-SA"/>
      </w:rPr>
    </w:lvl>
    <w:lvl w:ilvl="2" w:tentative="0">
      <w:start w:val="0"/>
      <w:numFmt w:val="bullet"/>
      <w:lvlText w:val="•"/>
      <w:lvlJc w:val="left"/>
      <w:pPr>
        <w:ind w:left="3225" w:hanging="601"/>
      </w:pPr>
      <w:rPr>
        <w:rFonts w:hint="default"/>
        <w:lang w:val="en-US" w:eastAsia="zh-CN" w:bidi="ar-SA"/>
      </w:rPr>
    </w:lvl>
    <w:lvl w:ilvl="3" w:tentative="0">
      <w:start w:val="0"/>
      <w:numFmt w:val="bullet"/>
      <w:lvlText w:val="•"/>
      <w:lvlJc w:val="left"/>
      <w:pPr>
        <w:ind w:left="4017" w:hanging="601"/>
      </w:pPr>
      <w:rPr>
        <w:rFonts w:hint="default"/>
        <w:lang w:val="en-US" w:eastAsia="zh-CN" w:bidi="ar-SA"/>
      </w:rPr>
    </w:lvl>
    <w:lvl w:ilvl="4" w:tentative="0">
      <w:start w:val="0"/>
      <w:numFmt w:val="bullet"/>
      <w:lvlText w:val="•"/>
      <w:lvlJc w:val="left"/>
      <w:pPr>
        <w:ind w:left="4810" w:hanging="601"/>
      </w:pPr>
      <w:rPr>
        <w:rFonts w:hint="default"/>
        <w:lang w:val="en-US" w:eastAsia="zh-CN" w:bidi="ar-SA"/>
      </w:rPr>
    </w:lvl>
    <w:lvl w:ilvl="5" w:tentative="0">
      <w:start w:val="0"/>
      <w:numFmt w:val="bullet"/>
      <w:lvlText w:val="•"/>
      <w:lvlJc w:val="left"/>
      <w:pPr>
        <w:ind w:left="5603" w:hanging="601"/>
      </w:pPr>
      <w:rPr>
        <w:rFonts w:hint="default"/>
        <w:lang w:val="en-US" w:eastAsia="zh-CN" w:bidi="ar-SA"/>
      </w:rPr>
    </w:lvl>
    <w:lvl w:ilvl="6" w:tentative="0">
      <w:start w:val="0"/>
      <w:numFmt w:val="bullet"/>
      <w:lvlText w:val="•"/>
      <w:lvlJc w:val="left"/>
      <w:pPr>
        <w:ind w:left="6395" w:hanging="601"/>
      </w:pPr>
      <w:rPr>
        <w:rFonts w:hint="default"/>
        <w:lang w:val="en-US" w:eastAsia="zh-CN" w:bidi="ar-SA"/>
      </w:rPr>
    </w:lvl>
    <w:lvl w:ilvl="7" w:tentative="0">
      <w:start w:val="0"/>
      <w:numFmt w:val="bullet"/>
      <w:lvlText w:val="•"/>
      <w:lvlJc w:val="left"/>
      <w:pPr>
        <w:ind w:left="7188" w:hanging="601"/>
      </w:pPr>
      <w:rPr>
        <w:rFonts w:hint="default"/>
        <w:lang w:val="en-US" w:eastAsia="zh-CN" w:bidi="ar-SA"/>
      </w:rPr>
    </w:lvl>
    <w:lvl w:ilvl="8" w:tentative="0">
      <w:start w:val="0"/>
      <w:numFmt w:val="bullet"/>
      <w:lvlText w:val="•"/>
      <w:lvlJc w:val="left"/>
      <w:pPr>
        <w:ind w:left="7981" w:hanging="601"/>
      </w:pPr>
      <w:rPr>
        <w:rFonts w:hint="default"/>
        <w:lang w:val="en-US" w:eastAsia="zh-CN" w:bidi="ar-SA"/>
      </w:rPr>
    </w:lvl>
  </w:abstractNum>
  <w:abstractNum w:abstractNumId="12">
    <w:nsid w:val="AAF3F3FA"/>
    <w:multiLevelType w:val="multilevel"/>
    <w:tmpl w:val="AAF3F3FA"/>
    <w:lvl w:ilvl="0" w:tentative="0">
      <w:start w:val="1"/>
      <w:numFmt w:val="decimal"/>
      <w:lvlText w:val="（%1）"/>
      <w:lvlJc w:val="left"/>
      <w:pPr>
        <w:ind w:left="1416" w:hanging="553"/>
      </w:pPr>
      <w:rPr>
        <w:rFonts w:hint="default" w:ascii="宋体" w:hAnsi="宋体" w:eastAsia="宋体" w:cs="宋体"/>
        <w:spacing w:val="-3"/>
        <w:w w:val="100"/>
        <w:sz w:val="20"/>
        <w:szCs w:val="20"/>
        <w:lang w:val="en-US" w:eastAsia="zh-CN" w:bidi="ar-SA"/>
      </w:rPr>
    </w:lvl>
    <w:lvl w:ilvl="1" w:tentative="0">
      <w:start w:val="0"/>
      <w:numFmt w:val="bullet"/>
      <w:lvlText w:val="•"/>
      <w:lvlJc w:val="left"/>
      <w:pPr>
        <w:ind w:left="2234" w:hanging="553"/>
      </w:pPr>
      <w:rPr>
        <w:rFonts w:hint="default"/>
        <w:lang w:val="en-US" w:eastAsia="zh-CN" w:bidi="ar-SA"/>
      </w:rPr>
    </w:lvl>
    <w:lvl w:ilvl="2" w:tentative="0">
      <w:start w:val="0"/>
      <w:numFmt w:val="bullet"/>
      <w:lvlText w:val="•"/>
      <w:lvlJc w:val="left"/>
      <w:pPr>
        <w:ind w:left="3049" w:hanging="553"/>
      </w:pPr>
      <w:rPr>
        <w:rFonts w:hint="default"/>
        <w:lang w:val="en-US" w:eastAsia="zh-CN" w:bidi="ar-SA"/>
      </w:rPr>
    </w:lvl>
    <w:lvl w:ilvl="3" w:tentative="0">
      <w:start w:val="0"/>
      <w:numFmt w:val="bullet"/>
      <w:lvlText w:val="•"/>
      <w:lvlJc w:val="left"/>
      <w:pPr>
        <w:ind w:left="3863" w:hanging="553"/>
      </w:pPr>
      <w:rPr>
        <w:rFonts w:hint="default"/>
        <w:lang w:val="en-US" w:eastAsia="zh-CN" w:bidi="ar-SA"/>
      </w:rPr>
    </w:lvl>
    <w:lvl w:ilvl="4" w:tentative="0">
      <w:start w:val="0"/>
      <w:numFmt w:val="bullet"/>
      <w:lvlText w:val="•"/>
      <w:lvlJc w:val="left"/>
      <w:pPr>
        <w:ind w:left="4678" w:hanging="553"/>
      </w:pPr>
      <w:rPr>
        <w:rFonts w:hint="default"/>
        <w:lang w:val="en-US" w:eastAsia="zh-CN" w:bidi="ar-SA"/>
      </w:rPr>
    </w:lvl>
    <w:lvl w:ilvl="5" w:tentative="0">
      <w:start w:val="0"/>
      <w:numFmt w:val="bullet"/>
      <w:lvlText w:val="•"/>
      <w:lvlJc w:val="left"/>
      <w:pPr>
        <w:ind w:left="5493" w:hanging="553"/>
      </w:pPr>
      <w:rPr>
        <w:rFonts w:hint="default"/>
        <w:lang w:val="en-US" w:eastAsia="zh-CN" w:bidi="ar-SA"/>
      </w:rPr>
    </w:lvl>
    <w:lvl w:ilvl="6" w:tentative="0">
      <w:start w:val="0"/>
      <w:numFmt w:val="bullet"/>
      <w:lvlText w:val="•"/>
      <w:lvlJc w:val="left"/>
      <w:pPr>
        <w:ind w:left="6307" w:hanging="553"/>
      </w:pPr>
      <w:rPr>
        <w:rFonts w:hint="default"/>
        <w:lang w:val="en-US" w:eastAsia="zh-CN" w:bidi="ar-SA"/>
      </w:rPr>
    </w:lvl>
    <w:lvl w:ilvl="7" w:tentative="0">
      <w:start w:val="0"/>
      <w:numFmt w:val="bullet"/>
      <w:lvlText w:val="•"/>
      <w:lvlJc w:val="left"/>
      <w:pPr>
        <w:ind w:left="7122" w:hanging="553"/>
      </w:pPr>
      <w:rPr>
        <w:rFonts w:hint="default"/>
        <w:lang w:val="en-US" w:eastAsia="zh-CN" w:bidi="ar-SA"/>
      </w:rPr>
    </w:lvl>
    <w:lvl w:ilvl="8" w:tentative="0">
      <w:start w:val="0"/>
      <w:numFmt w:val="bullet"/>
      <w:lvlText w:val="•"/>
      <w:lvlJc w:val="left"/>
      <w:pPr>
        <w:ind w:left="7937" w:hanging="553"/>
      </w:pPr>
      <w:rPr>
        <w:rFonts w:hint="default"/>
        <w:lang w:val="en-US" w:eastAsia="zh-CN" w:bidi="ar-SA"/>
      </w:rPr>
    </w:lvl>
  </w:abstractNum>
  <w:abstractNum w:abstractNumId="13">
    <w:nsid w:val="B0ED9BEA"/>
    <w:multiLevelType w:val="multilevel"/>
    <w:tmpl w:val="B0ED9BEA"/>
    <w:lvl w:ilvl="0" w:tentative="0">
      <w:start w:val="1"/>
      <w:numFmt w:val="decimal"/>
      <w:lvlText w:val="（%1）"/>
      <w:lvlJc w:val="left"/>
      <w:pPr>
        <w:ind w:left="1416" w:hanging="553"/>
      </w:pPr>
      <w:rPr>
        <w:rFonts w:hint="default" w:ascii="宋体" w:hAnsi="宋体" w:eastAsia="宋体" w:cs="宋体"/>
        <w:spacing w:val="-3"/>
        <w:w w:val="100"/>
        <w:sz w:val="20"/>
        <w:szCs w:val="20"/>
        <w:lang w:val="en-US" w:eastAsia="zh-CN" w:bidi="ar-SA"/>
      </w:rPr>
    </w:lvl>
    <w:lvl w:ilvl="1" w:tentative="0">
      <w:start w:val="0"/>
      <w:numFmt w:val="bullet"/>
      <w:lvlText w:val="•"/>
      <w:lvlJc w:val="left"/>
      <w:pPr>
        <w:ind w:left="2234" w:hanging="553"/>
      </w:pPr>
      <w:rPr>
        <w:rFonts w:hint="default"/>
        <w:lang w:val="en-US" w:eastAsia="zh-CN" w:bidi="ar-SA"/>
      </w:rPr>
    </w:lvl>
    <w:lvl w:ilvl="2" w:tentative="0">
      <w:start w:val="0"/>
      <w:numFmt w:val="bullet"/>
      <w:lvlText w:val="•"/>
      <w:lvlJc w:val="left"/>
      <w:pPr>
        <w:ind w:left="3049" w:hanging="553"/>
      </w:pPr>
      <w:rPr>
        <w:rFonts w:hint="default"/>
        <w:lang w:val="en-US" w:eastAsia="zh-CN" w:bidi="ar-SA"/>
      </w:rPr>
    </w:lvl>
    <w:lvl w:ilvl="3" w:tentative="0">
      <w:start w:val="0"/>
      <w:numFmt w:val="bullet"/>
      <w:lvlText w:val="•"/>
      <w:lvlJc w:val="left"/>
      <w:pPr>
        <w:ind w:left="3863" w:hanging="553"/>
      </w:pPr>
      <w:rPr>
        <w:rFonts w:hint="default"/>
        <w:lang w:val="en-US" w:eastAsia="zh-CN" w:bidi="ar-SA"/>
      </w:rPr>
    </w:lvl>
    <w:lvl w:ilvl="4" w:tentative="0">
      <w:start w:val="0"/>
      <w:numFmt w:val="bullet"/>
      <w:lvlText w:val="•"/>
      <w:lvlJc w:val="left"/>
      <w:pPr>
        <w:ind w:left="4678" w:hanging="553"/>
      </w:pPr>
      <w:rPr>
        <w:rFonts w:hint="default"/>
        <w:lang w:val="en-US" w:eastAsia="zh-CN" w:bidi="ar-SA"/>
      </w:rPr>
    </w:lvl>
    <w:lvl w:ilvl="5" w:tentative="0">
      <w:start w:val="0"/>
      <w:numFmt w:val="bullet"/>
      <w:lvlText w:val="•"/>
      <w:lvlJc w:val="left"/>
      <w:pPr>
        <w:ind w:left="5493" w:hanging="553"/>
      </w:pPr>
      <w:rPr>
        <w:rFonts w:hint="default"/>
        <w:lang w:val="en-US" w:eastAsia="zh-CN" w:bidi="ar-SA"/>
      </w:rPr>
    </w:lvl>
    <w:lvl w:ilvl="6" w:tentative="0">
      <w:start w:val="0"/>
      <w:numFmt w:val="bullet"/>
      <w:lvlText w:val="•"/>
      <w:lvlJc w:val="left"/>
      <w:pPr>
        <w:ind w:left="6307" w:hanging="553"/>
      </w:pPr>
      <w:rPr>
        <w:rFonts w:hint="default"/>
        <w:lang w:val="en-US" w:eastAsia="zh-CN" w:bidi="ar-SA"/>
      </w:rPr>
    </w:lvl>
    <w:lvl w:ilvl="7" w:tentative="0">
      <w:start w:val="0"/>
      <w:numFmt w:val="bullet"/>
      <w:lvlText w:val="•"/>
      <w:lvlJc w:val="left"/>
      <w:pPr>
        <w:ind w:left="7122" w:hanging="553"/>
      </w:pPr>
      <w:rPr>
        <w:rFonts w:hint="default"/>
        <w:lang w:val="en-US" w:eastAsia="zh-CN" w:bidi="ar-SA"/>
      </w:rPr>
    </w:lvl>
    <w:lvl w:ilvl="8" w:tentative="0">
      <w:start w:val="0"/>
      <w:numFmt w:val="bullet"/>
      <w:lvlText w:val="•"/>
      <w:lvlJc w:val="left"/>
      <w:pPr>
        <w:ind w:left="7937" w:hanging="553"/>
      </w:pPr>
      <w:rPr>
        <w:rFonts w:hint="default"/>
        <w:lang w:val="en-US" w:eastAsia="zh-CN" w:bidi="ar-SA"/>
      </w:rPr>
    </w:lvl>
  </w:abstractNum>
  <w:abstractNum w:abstractNumId="14">
    <w:nsid w:val="B23A94A9"/>
    <w:multiLevelType w:val="multilevel"/>
    <w:tmpl w:val="B23A94A9"/>
    <w:lvl w:ilvl="0" w:tentative="0">
      <w:start w:val="1"/>
      <w:numFmt w:val="decimal"/>
      <w:lvlText w:val="（%1）"/>
      <w:lvlJc w:val="left"/>
      <w:pPr>
        <w:ind w:left="1416" w:hanging="553"/>
      </w:pPr>
      <w:rPr>
        <w:rFonts w:hint="default" w:ascii="宋体" w:hAnsi="宋体" w:eastAsia="宋体" w:cs="宋体"/>
        <w:spacing w:val="-3"/>
        <w:w w:val="100"/>
        <w:sz w:val="20"/>
        <w:szCs w:val="20"/>
        <w:lang w:val="en-US" w:eastAsia="zh-CN" w:bidi="ar-SA"/>
      </w:rPr>
    </w:lvl>
    <w:lvl w:ilvl="1" w:tentative="0">
      <w:start w:val="1"/>
      <w:numFmt w:val="upperLetter"/>
      <w:lvlText w:val="%2."/>
      <w:lvlJc w:val="left"/>
      <w:pPr>
        <w:ind w:left="3609" w:hanging="471"/>
        <w:jc w:val="right"/>
      </w:pPr>
      <w:rPr>
        <w:rFonts w:hint="default" w:ascii="Times New Roman" w:hAnsi="Times New Roman" w:eastAsia="Times New Roman" w:cs="Times New Roman"/>
        <w:b/>
        <w:bCs/>
        <w:w w:val="98"/>
        <w:sz w:val="32"/>
        <w:szCs w:val="32"/>
        <w:lang w:val="en-US" w:eastAsia="zh-CN" w:bidi="ar-SA"/>
      </w:rPr>
    </w:lvl>
    <w:lvl w:ilvl="2" w:tentative="0">
      <w:start w:val="0"/>
      <w:numFmt w:val="bullet"/>
      <w:lvlText w:val="•"/>
      <w:lvlJc w:val="left"/>
      <w:pPr>
        <w:ind w:left="4262" w:hanging="471"/>
      </w:pPr>
      <w:rPr>
        <w:rFonts w:hint="default"/>
        <w:lang w:val="en-US" w:eastAsia="zh-CN" w:bidi="ar-SA"/>
      </w:rPr>
    </w:lvl>
    <w:lvl w:ilvl="3" w:tentative="0">
      <w:start w:val="0"/>
      <w:numFmt w:val="bullet"/>
      <w:lvlText w:val="•"/>
      <w:lvlJc w:val="left"/>
      <w:pPr>
        <w:ind w:left="4925" w:hanging="471"/>
      </w:pPr>
      <w:rPr>
        <w:rFonts w:hint="default"/>
        <w:lang w:val="en-US" w:eastAsia="zh-CN" w:bidi="ar-SA"/>
      </w:rPr>
    </w:lvl>
    <w:lvl w:ilvl="4" w:tentative="0">
      <w:start w:val="0"/>
      <w:numFmt w:val="bullet"/>
      <w:lvlText w:val="•"/>
      <w:lvlJc w:val="left"/>
      <w:pPr>
        <w:ind w:left="5588" w:hanging="471"/>
      </w:pPr>
      <w:rPr>
        <w:rFonts w:hint="default"/>
        <w:lang w:val="en-US" w:eastAsia="zh-CN" w:bidi="ar-SA"/>
      </w:rPr>
    </w:lvl>
    <w:lvl w:ilvl="5" w:tentative="0">
      <w:start w:val="0"/>
      <w:numFmt w:val="bullet"/>
      <w:lvlText w:val="•"/>
      <w:lvlJc w:val="left"/>
      <w:pPr>
        <w:ind w:left="6251" w:hanging="471"/>
      </w:pPr>
      <w:rPr>
        <w:rFonts w:hint="default"/>
        <w:lang w:val="en-US" w:eastAsia="zh-CN" w:bidi="ar-SA"/>
      </w:rPr>
    </w:lvl>
    <w:lvl w:ilvl="6" w:tentative="0">
      <w:start w:val="0"/>
      <w:numFmt w:val="bullet"/>
      <w:lvlText w:val="•"/>
      <w:lvlJc w:val="left"/>
      <w:pPr>
        <w:ind w:left="6914" w:hanging="471"/>
      </w:pPr>
      <w:rPr>
        <w:rFonts w:hint="default"/>
        <w:lang w:val="en-US" w:eastAsia="zh-CN" w:bidi="ar-SA"/>
      </w:rPr>
    </w:lvl>
    <w:lvl w:ilvl="7" w:tentative="0">
      <w:start w:val="0"/>
      <w:numFmt w:val="bullet"/>
      <w:lvlText w:val="•"/>
      <w:lvlJc w:val="left"/>
      <w:pPr>
        <w:ind w:left="7577" w:hanging="471"/>
      </w:pPr>
      <w:rPr>
        <w:rFonts w:hint="default"/>
        <w:lang w:val="en-US" w:eastAsia="zh-CN" w:bidi="ar-SA"/>
      </w:rPr>
    </w:lvl>
    <w:lvl w:ilvl="8" w:tentative="0">
      <w:start w:val="0"/>
      <w:numFmt w:val="bullet"/>
      <w:lvlText w:val="•"/>
      <w:lvlJc w:val="left"/>
      <w:pPr>
        <w:ind w:left="8240" w:hanging="471"/>
      </w:pPr>
      <w:rPr>
        <w:rFonts w:hint="default"/>
        <w:lang w:val="en-US" w:eastAsia="zh-CN" w:bidi="ar-SA"/>
      </w:rPr>
    </w:lvl>
  </w:abstractNum>
  <w:abstractNum w:abstractNumId="15">
    <w:nsid w:val="B53F3350"/>
    <w:multiLevelType w:val="multilevel"/>
    <w:tmpl w:val="B53F3350"/>
    <w:lvl w:ilvl="0" w:tentative="0">
      <w:start w:val="1"/>
      <w:numFmt w:val="decimal"/>
      <w:lvlText w:val="（%1）"/>
      <w:lvlJc w:val="left"/>
      <w:pPr>
        <w:ind w:left="1416" w:hanging="553"/>
      </w:pPr>
      <w:rPr>
        <w:rFonts w:hint="default" w:ascii="宋体" w:hAnsi="宋体" w:eastAsia="宋体" w:cs="宋体"/>
        <w:spacing w:val="-3"/>
        <w:w w:val="100"/>
        <w:sz w:val="20"/>
        <w:szCs w:val="20"/>
        <w:lang w:val="en-US" w:eastAsia="zh-CN" w:bidi="ar-SA"/>
      </w:rPr>
    </w:lvl>
    <w:lvl w:ilvl="1" w:tentative="0">
      <w:start w:val="0"/>
      <w:numFmt w:val="bullet"/>
      <w:lvlText w:val="•"/>
      <w:lvlJc w:val="left"/>
      <w:pPr>
        <w:ind w:left="2234" w:hanging="553"/>
      </w:pPr>
      <w:rPr>
        <w:rFonts w:hint="default"/>
        <w:lang w:val="en-US" w:eastAsia="zh-CN" w:bidi="ar-SA"/>
      </w:rPr>
    </w:lvl>
    <w:lvl w:ilvl="2" w:tentative="0">
      <w:start w:val="0"/>
      <w:numFmt w:val="bullet"/>
      <w:lvlText w:val="•"/>
      <w:lvlJc w:val="left"/>
      <w:pPr>
        <w:ind w:left="3049" w:hanging="553"/>
      </w:pPr>
      <w:rPr>
        <w:rFonts w:hint="default"/>
        <w:lang w:val="en-US" w:eastAsia="zh-CN" w:bidi="ar-SA"/>
      </w:rPr>
    </w:lvl>
    <w:lvl w:ilvl="3" w:tentative="0">
      <w:start w:val="0"/>
      <w:numFmt w:val="bullet"/>
      <w:lvlText w:val="•"/>
      <w:lvlJc w:val="left"/>
      <w:pPr>
        <w:ind w:left="3863" w:hanging="553"/>
      </w:pPr>
      <w:rPr>
        <w:rFonts w:hint="default"/>
        <w:lang w:val="en-US" w:eastAsia="zh-CN" w:bidi="ar-SA"/>
      </w:rPr>
    </w:lvl>
    <w:lvl w:ilvl="4" w:tentative="0">
      <w:start w:val="0"/>
      <w:numFmt w:val="bullet"/>
      <w:lvlText w:val="•"/>
      <w:lvlJc w:val="left"/>
      <w:pPr>
        <w:ind w:left="4678" w:hanging="553"/>
      </w:pPr>
      <w:rPr>
        <w:rFonts w:hint="default"/>
        <w:lang w:val="en-US" w:eastAsia="zh-CN" w:bidi="ar-SA"/>
      </w:rPr>
    </w:lvl>
    <w:lvl w:ilvl="5" w:tentative="0">
      <w:start w:val="0"/>
      <w:numFmt w:val="bullet"/>
      <w:lvlText w:val="•"/>
      <w:lvlJc w:val="left"/>
      <w:pPr>
        <w:ind w:left="5493" w:hanging="553"/>
      </w:pPr>
      <w:rPr>
        <w:rFonts w:hint="default"/>
        <w:lang w:val="en-US" w:eastAsia="zh-CN" w:bidi="ar-SA"/>
      </w:rPr>
    </w:lvl>
    <w:lvl w:ilvl="6" w:tentative="0">
      <w:start w:val="0"/>
      <w:numFmt w:val="bullet"/>
      <w:lvlText w:val="•"/>
      <w:lvlJc w:val="left"/>
      <w:pPr>
        <w:ind w:left="6307" w:hanging="553"/>
      </w:pPr>
      <w:rPr>
        <w:rFonts w:hint="default"/>
        <w:lang w:val="en-US" w:eastAsia="zh-CN" w:bidi="ar-SA"/>
      </w:rPr>
    </w:lvl>
    <w:lvl w:ilvl="7" w:tentative="0">
      <w:start w:val="0"/>
      <w:numFmt w:val="bullet"/>
      <w:lvlText w:val="•"/>
      <w:lvlJc w:val="left"/>
      <w:pPr>
        <w:ind w:left="7122" w:hanging="553"/>
      </w:pPr>
      <w:rPr>
        <w:rFonts w:hint="default"/>
        <w:lang w:val="en-US" w:eastAsia="zh-CN" w:bidi="ar-SA"/>
      </w:rPr>
    </w:lvl>
    <w:lvl w:ilvl="8" w:tentative="0">
      <w:start w:val="0"/>
      <w:numFmt w:val="bullet"/>
      <w:lvlText w:val="•"/>
      <w:lvlJc w:val="left"/>
      <w:pPr>
        <w:ind w:left="7937" w:hanging="553"/>
      </w:pPr>
      <w:rPr>
        <w:rFonts w:hint="default"/>
        <w:lang w:val="en-US" w:eastAsia="zh-CN" w:bidi="ar-SA"/>
      </w:rPr>
    </w:lvl>
  </w:abstractNum>
  <w:abstractNum w:abstractNumId="16">
    <w:nsid w:val="B88D21A8"/>
    <w:multiLevelType w:val="multilevel"/>
    <w:tmpl w:val="B88D21A8"/>
    <w:lvl w:ilvl="0" w:tentative="0">
      <w:start w:val="1"/>
      <w:numFmt w:val="decimal"/>
      <w:lvlText w:val="（%1）"/>
      <w:lvlJc w:val="left"/>
      <w:pPr>
        <w:ind w:left="1416" w:hanging="553"/>
      </w:pPr>
      <w:rPr>
        <w:rFonts w:hint="default" w:ascii="宋体" w:hAnsi="宋体" w:eastAsia="宋体" w:cs="宋体"/>
        <w:spacing w:val="-3"/>
        <w:w w:val="100"/>
        <w:sz w:val="20"/>
        <w:szCs w:val="20"/>
        <w:lang w:val="en-US" w:eastAsia="zh-CN" w:bidi="ar-SA"/>
      </w:rPr>
    </w:lvl>
    <w:lvl w:ilvl="1" w:tentative="0">
      <w:start w:val="0"/>
      <w:numFmt w:val="bullet"/>
      <w:lvlText w:val="•"/>
      <w:lvlJc w:val="left"/>
      <w:pPr>
        <w:ind w:left="2234" w:hanging="553"/>
      </w:pPr>
      <w:rPr>
        <w:rFonts w:hint="default"/>
        <w:lang w:val="en-US" w:eastAsia="zh-CN" w:bidi="ar-SA"/>
      </w:rPr>
    </w:lvl>
    <w:lvl w:ilvl="2" w:tentative="0">
      <w:start w:val="0"/>
      <w:numFmt w:val="bullet"/>
      <w:lvlText w:val="•"/>
      <w:lvlJc w:val="left"/>
      <w:pPr>
        <w:ind w:left="3049" w:hanging="553"/>
      </w:pPr>
      <w:rPr>
        <w:rFonts w:hint="default"/>
        <w:lang w:val="en-US" w:eastAsia="zh-CN" w:bidi="ar-SA"/>
      </w:rPr>
    </w:lvl>
    <w:lvl w:ilvl="3" w:tentative="0">
      <w:start w:val="0"/>
      <w:numFmt w:val="bullet"/>
      <w:lvlText w:val="•"/>
      <w:lvlJc w:val="left"/>
      <w:pPr>
        <w:ind w:left="3863" w:hanging="553"/>
      </w:pPr>
      <w:rPr>
        <w:rFonts w:hint="default"/>
        <w:lang w:val="en-US" w:eastAsia="zh-CN" w:bidi="ar-SA"/>
      </w:rPr>
    </w:lvl>
    <w:lvl w:ilvl="4" w:tentative="0">
      <w:start w:val="0"/>
      <w:numFmt w:val="bullet"/>
      <w:lvlText w:val="•"/>
      <w:lvlJc w:val="left"/>
      <w:pPr>
        <w:ind w:left="4678" w:hanging="553"/>
      </w:pPr>
      <w:rPr>
        <w:rFonts w:hint="default"/>
        <w:lang w:val="en-US" w:eastAsia="zh-CN" w:bidi="ar-SA"/>
      </w:rPr>
    </w:lvl>
    <w:lvl w:ilvl="5" w:tentative="0">
      <w:start w:val="0"/>
      <w:numFmt w:val="bullet"/>
      <w:lvlText w:val="•"/>
      <w:lvlJc w:val="left"/>
      <w:pPr>
        <w:ind w:left="5493" w:hanging="553"/>
      </w:pPr>
      <w:rPr>
        <w:rFonts w:hint="default"/>
        <w:lang w:val="en-US" w:eastAsia="zh-CN" w:bidi="ar-SA"/>
      </w:rPr>
    </w:lvl>
    <w:lvl w:ilvl="6" w:tentative="0">
      <w:start w:val="0"/>
      <w:numFmt w:val="bullet"/>
      <w:lvlText w:val="•"/>
      <w:lvlJc w:val="left"/>
      <w:pPr>
        <w:ind w:left="6307" w:hanging="553"/>
      </w:pPr>
      <w:rPr>
        <w:rFonts w:hint="default"/>
        <w:lang w:val="en-US" w:eastAsia="zh-CN" w:bidi="ar-SA"/>
      </w:rPr>
    </w:lvl>
    <w:lvl w:ilvl="7" w:tentative="0">
      <w:start w:val="0"/>
      <w:numFmt w:val="bullet"/>
      <w:lvlText w:val="•"/>
      <w:lvlJc w:val="left"/>
      <w:pPr>
        <w:ind w:left="7122" w:hanging="553"/>
      </w:pPr>
      <w:rPr>
        <w:rFonts w:hint="default"/>
        <w:lang w:val="en-US" w:eastAsia="zh-CN" w:bidi="ar-SA"/>
      </w:rPr>
    </w:lvl>
    <w:lvl w:ilvl="8" w:tentative="0">
      <w:start w:val="0"/>
      <w:numFmt w:val="bullet"/>
      <w:lvlText w:val="•"/>
      <w:lvlJc w:val="left"/>
      <w:pPr>
        <w:ind w:left="7937" w:hanging="553"/>
      </w:pPr>
      <w:rPr>
        <w:rFonts w:hint="default"/>
        <w:lang w:val="en-US" w:eastAsia="zh-CN" w:bidi="ar-SA"/>
      </w:rPr>
    </w:lvl>
  </w:abstractNum>
  <w:abstractNum w:abstractNumId="17">
    <w:nsid w:val="BCECA0B4"/>
    <w:multiLevelType w:val="multilevel"/>
    <w:tmpl w:val="BCECA0B4"/>
    <w:lvl w:ilvl="0" w:tentative="0">
      <w:start w:val="5"/>
      <w:numFmt w:val="decimal"/>
      <w:lvlText w:val="%1"/>
      <w:lvlJc w:val="left"/>
      <w:pPr>
        <w:ind w:left="1415" w:hanging="552"/>
      </w:pPr>
      <w:rPr>
        <w:rFonts w:hint="default"/>
        <w:lang w:val="en-US" w:eastAsia="zh-CN" w:bidi="ar-SA"/>
      </w:rPr>
    </w:lvl>
    <w:lvl w:ilvl="1" w:tentative="0">
      <w:start w:val="1"/>
      <w:numFmt w:val="decimal"/>
      <w:lvlText w:val="%1.%2"/>
      <w:lvlJc w:val="left"/>
      <w:pPr>
        <w:ind w:left="1415" w:hanging="552"/>
      </w:pPr>
      <w:rPr>
        <w:rFonts w:hint="default"/>
        <w:lang w:val="en-US" w:eastAsia="zh-CN" w:bidi="ar-SA"/>
      </w:rPr>
    </w:lvl>
    <w:lvl w:ilvl="2" w:tentative="0">
      <w:start w:val="2"/>
      <w:numFmt w:val="decimal"/>
      <w:lvlText w:val="%1.%2.%3"/>
      <w:lvlJc w:val="left"/>
      <w:pPr>
        <w:ind w:left="1415" w:hanging="552"/>
      </w:pPr>
      <w:rPr>
        <w:rFonts w:hint="default" w:ascii="Times New Roman" w:hAnsi="Times New Roman" w:eastAsia="Times New Roman" w:cs="Times New Roman"/>
        <w:w w:val="99"/>
        <w:sz w:val="22"/>
        <w:szCs w:val="22"/>
        <w:lang w:val="en-US" w:eastAsia="zh-CN" w:bidi="ar-SA"/>
      </w:rPr>
    </w:lvl>
    <w:lvl w:ilvl="3" w:tentative="0">
      <w:start w:val="0"/>
      <w:numFmt w:val="bullet"/>
      <w:lvlText w:val="•"/>
      <w:lvlJc w:val="left"/>
      <w:pPr>
        <w:ind w:left="3863" w:hanging="552"/>
      </w:pPr>
      <w:rPr>
        <w:rFonts w:hint="default"/>
        <w:lang w:val="en-US" w:eastAsia="zh-CN" w:bidi="ar-SA"/>
      </w:rPr>
    </w:lvl>
    <w:lvl w:ilvl="4" w:tentative="0">
      <w:start w:val="0"/>
      <w:numFmt w:val="bullet"/>
      <w:lvlText w:val="•"/>
      <w:lvlJc w:val="left"/>
      <w:pPr>
        <w:ind w:left="4678" w:hanging="552"/>
      </w:pPr>
      <w:rPr>
        <w:rFonts w:hint="default"/>
        <w:lang w:val="en-US" w:eastAsia="zh-CN" w:bidi="ar-SA"/>
      </w:rPr>
    </w:lvl>
    <w:lvl w:ilvl="5" w:tentative="0">
      <w:start w:val="0"/>
      <w:numFmt w:val="bullet"/>
      <w:lvlText w:val="•"/>
      <w:lvlJc w:val="left"/>
      <w:pPr>
        <w:ind w:left="5493" w:hanging="552"/>
      </w:pPr>
      <w:rPr>
        <w:rFonts w:hint="default"/>
        <w:lang w:val="en-US" w:eastAsia="zh-CN" w:bidi="ar-SA"/>
      </w:rPr>
    </w:lvl>
    <w:lvl w:ilvl="6" w:tentative="0">
      <w:start w:val="0"/>
      <w:numFmt w:val="bullet"/>
      <w:lvlText w:val="•"/>
      <w:lvlJc w:val="left"/>
      <w:pPr>
        <w:ind w:left="6307" w:hanging="552"/>
      </w:pPr>
      <w:rPr>
        <w:rFonts w:hint="default"/>
        <w:lang w:val="en-US" w:eastAsia="zh-CN" w:bidi="ar-SA"/>
      </w:rPr>
    </w:lvl>
    <w:lvl w:ilvl="7" w:tentative="0">
      <w:start w:val="0"/>
      <w:numFmt w:val="bullet"/>
      <w:lvlText w:val="•"/>
      <w:lvlJc w:val="left"/>
      <w:pPr>
        <w:ind w:left="7122" w:hanging="552"/>
      </w:pPr>
      <w:rPr>
        <w:rFonts w:hint="default"/>
        <w:lang w:val="en-US" w:eastAsia="zh-CN" w:bidi="ar-SA"/>
      </w:rPr>
    </w:lvl>
    <w:lvl w:ilvl="8" w:tentative="0">
      <w:start w:val="0"/>
      <w:numFmt w:val="bullet"/>
      <w:lvlText w:val="•"/>
      <w:lvlJc w:val="left"/>
      <w:pPr>
        <w:ind w:left="7937" w:hanging="552"/>
      </w:pPr>
      <w:rPr>
        <w:rFonts w:hint="default"/>
        <w:lang w:val="en-US" w:eastAsia="zh-CN" w:bidi="ar-SA"/>
      </w:rPr>
    </w:lvl>
  </w:abstractNum>
  <w:abstractNum w:abstractNumId="18">
    <w:nsid w:val="BDA1395C"/>
    <w:multiLevelType w:val="multilevel"/>
    <w:tmpl w:val="BDA1395C"/>
    <w:lvl w:ilvl="0" w:tentative="0">
      <w:start w:val="1"/>
      <w:numFmt w:val="decimal"/>
      <w:lvlText w:val="（%1）"/>
      <w:lvlJc w:val="left"/>
      <w:pPr>
        <w:ind w:left="1416" w:hanging="553"/>
      </w:pPr>
      <w:rPr>
        <w:rFonts w:hint="default" w:ascii="宋体" w:hAnsi="宋体" w:eastAsia="宋体" w:cs="宋体"/>
        <w:spacing w:val="-3"/>
        <w:w w:val="100"/>
        <w:sz w:val="20"/>
        <w:szCs w:val="20"/>
        <w:lang w:val="en-US" w:eastAsia="zh-CN" w:bidi="ar-SA"/>
      </w:rPr>
    </w:lvl>
    <w:lvl w:ilvl="1" w:tentative="0">
      <w:start w:val="0"/>
      <w:numFmt w:val="bullet"/>
      <w:lvlText w:val="•"/>
      <w:lvlJc w:val="left"/>
      <w:pPr>
        <w:ind w:left="2234" w:hanging="553"/>
      </w:pPr>
      <w:rPr>
        <w:rFonts w:hint="default"/>
        <w:lang w:val="en-US" w:eastAsia="zh-CN" w:bidi="ar-SA"/>
      </w:rPr>
    </w:lvl>
    <w:lvl w:ilvl="2" w:tentative="0">
      <w:start w:val="0"/>
      <w:numFmt w:val="bullet"/>
      <w:lvlText w:val="•"/>
      <w:lvlJc w:val="left"/>
      <w:pPr>
        <w:ind w:left="3049" w:hanging="553"/>
      </w:pPr>
      <w:rPr>
        <w:rFonts w:hint="default"/>
        <w:lang w:val="en-US" w:eastAsia="zh-CN" w:bidi="ar-SA"/>
      </w:rPr>
    </w:lvl>
    <w:lvl w:ilvl="3" w:tentative="0">
      <w:start w:val="0"/>
      <w:numFmt w:val="bullet"/>
      <w:lvlText w:val="•"/>
      <w:lvlJc w:val="left"/>
      <w:pPr>
        <w:ind w:left="3863" w:hanging="553"/>
      </w:pPr>
      <w:rPr>
        <w:rFonts w:hint="default"/>
        <w:lang w:val="en-US" w:eastAsia="zh-CN" w:bidi="ar-SA"/>
      </w:rPr>
    </w:lvl>
    <w:lvl w:ilvl="4" w:tentative="0">
      <w:start w:val="0"/>
      <w:numFmt w:val="bullet"/>
      <w:lvlText w:val="•"/>
      <w:lvlJc w:val="left"/>
      <w:pPr>
        <w:ind w:left="4678" w:hanging="553"/>
      </w:pPr>
      <w:rPr>
        <w:rFonts w:hint="default"/>
        <w:lang w:val="en-US" w:eastAsia="zh-CN" w:bidi="ar-SA"/>
      </w:rPr>
    </w:lvl>
    <w:lvl w:ilvl="5" w:tentative="0">
      <w:start w:val="0"/>
      <w:numFmt w:val="bullet"/>
      <w:lvlText w:val="•"/>
      <w:lvlJc w:val="left"/>
      <w:pPr>
        <w:ind w:left="5493" w:hanging="553"/>
      </w:pPr>
      <w:rPr>
        <w:rFonts w:hint="default"/>
        <w:lang w:val="en-US" w:eastAsia="zh-CN" w:bidi="ar-SA"/>
      </w:rPr>
    </w:lvl>
    <w:lvl w:ilvl="6" w:tentative="0">
      <w:start w:val="0"/>
      <w:numFmt w:val="bullet"/>
      <w:lvlText w:val="•"/>
      <w:lvlJc w:val="left"/>
      <w:pPr>
        <w:ind w:left="6307" w:hanging="553"/>
      </w:pPr>
      <w:rPr>
        <w:rFonts w:hint="default"/>
        <w:lang w:val="en-US" w:eastAsia="zh-CN" w:bidi="ar-SA"/>
      </w:rPr>
    </w:lvl>
    <w:lvl w:ilvl="7" w:tentative="0">
      <w:start w:val="0"/>
      <w:numFmt w:val="bullet"/>
      <w:lvlText w:val="•"/>
      <w:lvlJc w:val="left"/>
      <w:pPr>
        <w:ind w:left="7122" w:hanging="553"/>
      </w:pPr>
      <w:rPr>
        <w:rFonts w:hint="default"/>
        <w:lang w:val="en-US" w:eastAsia="zh-CN" w:bidi="ar-SA"/>
      </w:rPr>
    </w:lvl>
    <w:lvl w:ilvl="8" w:tentative="0">
      <w:start w:val="0"/>
      <w:numFmt w:val="bullet"/>
      <w:lvlText w:val="•"/>
      <w:lvlJc w:val="left"/>
      <w:pPr>
        <w:ind w:left="7937" w:hanging="553"/>
      </w:pPr>
      <w:rPr>
        <w:rFonts w:hint="default"/>
        <w:lang w:val="en-US" w:eastAsia="zh-CN" w:bidi="ar-SA"/>
      </w:rPr>
    </w:lvl>
  </w:abstractNum>
  <w:abstractNum w:abstractNumId="19">
    <w:nsid w:val="BE8A4F4C"/>
    <w:multiLevelType w:val="multilevel"/>
    <w:tmpl w:val="BE8A4F4C"/>
    <w:lvl w:ilvl="0" w:tentative="0">
      <w:start w:val="1"/>
      <w:numFmt w:val="decimal"/>
      <w:lvlText w:val="%1."/>
      <w:lvlJc w:val="left"/>
      <w:pPr>
        <w:ind w:left="424" w:hanging="204"/>
      </w:pPr>
      <w:rPr>
        <w:rFonts w:hint="default" w:ascii="PMingLiU" w:hAnsi="PMingLiU" w:eastAsia="PMingLiU" w:cs="PMingLiU"/>
        <w:w w:val="118"/>
        <w:sz w:val="22"/>
        <w:szCs w:val="22"/>
        <w:lang w:val="en-US" w:eastAsia="zh-CN" w:bidi="ar-SA"/>
      </w:rPr>
    </w:lvl>
    <w:lvl w:ilvl="1" w:tentative="0">
      <w:start w:val="0"/>
      <w:numFmt w:val="bullet"/>
      <w:lvlText w:val="•"/>
      <w:lvlJc w:val="left"/>
      <w:pPr>
        <w:ind w:left="1334" w:hanging="204"/>
      </w:pPr>
      <w:rPr>
        <w:rFonts w:hint="default"/>
        <w:lang w:val="en-US" w:eastAsia="zh-CN" w:bidi="ar-SA"/>
      </w:rPr>
    </w:lvl>
    <w:lvl w:ilvl="2" w:tentative="0">
      <w:start w:val="0"/>
      <w:numFmt w:val="bullet"/>
      <w:lvlText w:val="•"/>
      <w:lvlJc w:val="left"/>
      <w:pPr>
        <w:ind w:left="2249" w:hanging="204"/>
      </w:pPr>
      <w:rPr>
        <w:rFonts w:hint="default"/>
        <w:lang w:val="en-US" w:eastAsia="zh-CN" w:bidi="ar-SA"/>
      </w:rPr>
    </w:lvl>
    <w:lvl w:ilvl="3" w:tentative="0">
      <w:start w:val="0"/>
      <w:numFmt w:val="bullet"/>
      <w:lvlText w:val="•"/>
      <w:lvlJc w:val="left"/>
      <w:pPr>
        <w:ind w:left="3163" w:hanging="204"/>
      </w:pPr>
      <w:rPr>
        <w:rFonts w:hint="default"/>
        <w:lang w:val="en-US" w:eastAsia="zh-CN" w:bidi="ar-SA"/>
      </w:rPr>
    </w:lvl>
    <w:lvl w:ilvl="4" w:tentative="0">
      <w:start w:val="0"/>
      <w:numFmt w:val="bullet"/>
      <w:lvlText w:val="•"/>
      <w:lvlJc w:val="left"/>
      <w:pPr>
        <w:ind w:left="4078" w:hanging="204"/>
      </w:pPr>
      <w:rPr>
        <w:rFonts w:hint="default"/>
        <w:lang w:val="en-US" w:eastAsia="zh-CN" w:bidi="ar-SA"/>
      </w:rPr>
    </w:lvl>
    <w:lvl w:ilvl="5" w:tentative="0">
      <w:start w:val="0"/>
      <w:numFmt w:val="bullet"/>
      <w:lvlText w:val="•"/>
      <w:lvlJc w:val="left"/>
      <w:pPr>
        <w:ind w:left="4993" w:hanging="204"/>
      </w:pPr>
      <w:rPr>
        <w:rFonts w:hint="default"/>
        <w:lang w:val="en-US" w:eastAsia="zh-CN" w:bidi="ar-SA"/>
      </w:rPr>
    </w:lvl>
    <w:lvl w:ilvl="6" w:tentative="0">
      <w:start w:val="0"/>
      <w:numFmt w:val="bullet"/>
      <w:lvlText w:val="•"/>
      <w:lvlJc w:val="left"/>
      <w:pPr>
        <w:ind w:left="5907" w:hanging="204"/>
      </w:pPr>
      <w:rPr>
        <w:rFonts w:hint="default"/>
        <w:lang w:val="en-US" w:eastAsia="zh-CN" w:bidi="ar-SA"/>
      </w:rPr>
    </w:lvl>
    <w:lvl w:ilvl="7" w:tentative="0">
      <w:start w:val="0"/>
      <w:numFmt w:val="bullet"/>
      <w:lvlText w:val="•"/>
      <w:lvlJc w:val="left"/>
      <w:pPr>
        <w:ind w:left="6822" w:hanging="204"/>
      </w:pPr>
      <w:rPr>
        <w:rFonts w:hint="default"/>
        <w:lang w:val="en-US" w:eastAsia="zh-CN" w:bidi="ar-SA"/>
      </w:rPr>
    </w:lvl>
    <w:lvl w:ilvl="8" w:tentative="0">
      <w:start w:val="0"/>
      <w:numFmt w:val="bullet"/>
      <w:lvlText w:val="•"/>
      <w:lvlJc w:val="left"/>
      <w:pPr>
        <w:ind w:left="7737" w:hanging="204"/>
      </w:pPr>
      <w:rPr>
        <w:rFonts w:hint="default"/>
        <w:lang w:val="en-US" w:eastAsia="zh-CN" w:bidi="ar-SA"/>
      </w:rPr>
    </w:lvl>
  </w:abstractNum>
  <w:abstractNum w:abstractNumId="20">
    <w:nsid w:val="BF50FE6B"/>
    <w:multiLevelType w:val="multilevel"/>
    <w:tmpl w:val="BF50FE6B"/>
    <w:lvl w:ilvl="0" w:tentative="0">
      <w:start w:val="1"/>
      <w:numFmt w:val="decimal"/>
      <w:lvlText w:val="%1."/>
      <w:lvlJc w:val="left"/>
      <w:pPr>
        <w:ind w:left="1204" w:hanging="300"/>
      </w:pPr>
      <w:rPr>
        <w:rFonts w:hint="default" w:ascii="Times New Roman" w:hAnsi="Times New Roman" w:eastAsia="Times New Roman" w:cs="Times New Roman"/>
        <w:w w:val="100"/>
        <w:sz w:val="24"/>
        <w:szCs w:val="24"/>
        <w:lang w:val="en-US" w:eastAsia="zh-CN" w:bidi="ar-SA"/>
      </w:rPr>
    </w:lvl>
    <w:lvl w:ilvl="1" w:tentative="0">
      <w:start w:val="0"/>
      <w:numFmt w:val="bullet"/>
      <w:lvlText w:val="•"/>
      <w:lvlJc w:val="left"/>
      <w:pPr>
        <w:ind w:left="2036" w:hanging="300"/>
      </w:pPr>
      <w:rPr>
        <w:rFonts w:hint="default"/>
        <w:lang w:val="en-US" w:eastAsia="zh-CN" w:bidi="ar-SA"/>
      </w:rPr>
    </w:lvl>
    <w:lvl w:ilvl="2" w:tentative="0">
      <w:start w:val="0"/>
      <w:numFmt w:val="bullet"/>
      <w:lvlText w:val="•"/>
      <w:lvlJc w:val="left"/>
      <w:pPr>
        <w:ind w:left="2873" w:hanging="300"/>
      </w:pPr>
      <w:rPr>
        <w:rFonts w:hint="default"/>
        <w:lang w:val="en-US" w:eastAsia="zh-CN" w:bidi="ar-SA"/>
      </w:rPr>
    </w:lvl>
    <w:lvl w:ilvl="3" w:tentative="0">
      <w:start w:val="0"/>
      <w:numFmt w:val="bullet"/>
      <w:lvlText w:val="•"/>
      <w:lvlJc w:val="left"/>
      <w:pPr>
        <w:ind w:left="3709" w:hanging="300"/>
      </w:pPr>
      <w:rPr>
        <w:rFonts w:hint="default"/>
        <w:lang w:val="en-US" w:eastAsia="zh-CN" w:bidi="ar-SA"/>
      </w:rPr>
    </w:lvl>
    <w:lvl w:ilvl="4" w:tentative="0">
      <w:start w:val="0"/>
      <w:numFmt w:val="bullet"/>
      <w:lvlText w:val="•"/>
      <w:lvlJc w:val="left"/>
      <w:pPr>
        <w:ind w:left="4546" w:hanging="300"/>
      </w:pPr>
      <w:rPr>
        <w:rFonts w:hint="default"/>
        <w:lang w:val="en-US" w:eastAsia="zh-CN" w:bidi="ar-SA"/>
      </w:rPr>
    </w:lvl>
    <w:lvl w:ilvl="5" w:tentative="0">
      <w:start w:val="0"/>
      <w:numFmt w:val="bullet"/>
      <w:lvlText w:val="•"/>
      <w:lvlJc w:val="left"/>
      <w:pPr>
        <w:ind w:left="5383" w:hanging="300"/>
      </w:pPr>
      <w:rPr>
        <w:rFonts w:hint="default"/>
        <w:lang w:val="en-US" w:eastAsia="zh-CN" w:bidi="ar-SA"/>
      </w:rPr>
    </w:lvl>
    <w:lvl w:ilvl="6" w:tentative="0">
      <w:start w:val="0"/>
      <w:numFmt w:val="bullet"/>
      <w:lvlText w:val="•"/>
      <w:lvlJc w:val="left"/>
      <w:pPr>
        <w:ind w:left="6219" w:hanging="300"/>
      </w:pPr>
      <w:rPr>
        <w:rFonts w:hint="default"/>
        <w:lang w:val="en-US" w:eastAsia="zh-CN" w:bidi="ar-SA"/>
      </w:rPr>
    </w:lvl>
    <w:lvl w:ilvl="7" w:tentative="0">
      <w:start w:val="0"/>
      <w:numFmt w:val="bullet"/>
      <w:lvlText w:val="•"/>
      <w:lvlJc w:val="left"/>
      <w:pPr>
        <w:ind w:left="7056" w:hanging="300"/>
      </w:pPr>
      <w:rPr>
        <w:rFonts w:hint="default"/>
        <w:lang w:val="en-US" w:eastAsia="zh-CN" w:bidi="ar-SA"/>
      </w:rPr>
    </w:lvl>
    <w:lvl w:ilvl="8" w:tentative="0">
      <w:start w:val="0"/>
      <w:numFmt w:val="bullet"/>
      <w:lvlText w:val="•"/>
      <w:lvlJc w:val="left"/>
      <w:pPr>
        <w:ind w:left="7893" w:hanging="300"/>
      </w:pPr>
      <w:rPr>
        <w:rFonts w:hint="default"/>
        <w:lang w:val="en-US" w:eastAsia="zh-CN" w:bidi="ar-SA"/>
      </w:rPr>
    </w:lvl>
  </w:abstractNum>
  <w:abstractNum w:abstractNumId="21">
    <w:nsid w:val="C0915F4F"/>
    <w:multiLevelType w:val="multilevel"/>
    <w:tmpl w:val="C0915F4F"/>
    <w:lvl w:ilvl="0" w:tentative="0">
      <w:start w:val="1"/>
      <w:numFmt w:val="decimal"/>
      <w:lvlText w:val="（%1）"/>
      <w:lvlJc w:val="left"/>
      <w:pPr>
        <w:ind w:left="1416" w:hanging="553"/>
      </w:pPr>
      <w:rPr>
        <w:rFonts w:hint="default" w:ascii="宋体" w:hAnsi="宋体" w:eastAsia="宋体" w:cs="宋体"/>
        <w:spacing w:val="-3"/>
        <w:w w:val="100"/>
        <w:sz w:val="20"/>
        <w:szCs w:val="20"/>
        <w:lang w:val="en-US" w:eastAsia="zh-CN" w:bidi="ar-SA"/>
      </w:rPr>
    </w:lvl>
    <w:lvl w:ilvl="1" w:tentative="0">
      <w:start w:val="0"/>
      <w:numFmt w:val="bullet"/>
      <w:lvlText w:val="•"/>
      <w:lvlJc w:val="left"/>
      <w:pPr>
        <w:ind w:left="2234" w:hanging="553"/>
      </w:pPr>
      <w:rPr>
        <w:rFonts w:hint="default"/>
        <w:lang w:val="en-US" w:eastAsia="zh-CN" w:bidi="ar-SA"/>
      </w:rPr>
    </w:lvl>
    <w:lvl w:ilvl="2" w:tentative="0">
      <w:start w:val="0"/>
      <w:numFmt w:val="bullet"/>
      <w:lvlText w:val="•"/>
      <w:lvlJc w:val="left"/>
      <w:pPr>
        <w:ind w:left="3049" w:hanging="553"/>
      </w:pPr>
      <w:rPr>
        <w:rFonts w:hint="default"/>
        <w:lang w:val="en-US" w:eastAsia="zh-CN" w:bidi="ar-SA"/>
      </w:rPr>
    </w:lvl>
    <w:lvl w:ilvl="3" w:tentative="0">
      <w:start w:val="0"/>
      <w:numFmt w:val="bullet"/>
      <w:lvlText w:val="•"/>
      <w:lvlJc w:val="left"/>
      <w:pPr>
        <w:ind w:left="3863" w:hanging="553"/>
      </w:pPr>
      <w:rPr>
        <w:rFonts w:hint="default"/>
        <w:lang w:val="en-US" w:eastAsia="zh-CN" w:bidi="ar-SA"/>
      </w:rPr>
    </w:lvl>
    <w:lvl w:ilvl="4" w:tentative="0">
      <w:start w:val="0"/>
      <w:numFmt w:val="bullet"/>
      <w:lvlText w:val="•"/>
      <w:lvlJc w:val="left"/>
      <w:pPr>
        <w:ind w:left="4678" w:hanging="553"/>
      </w:pPr>
      <w:rPr>
        <w:rFonts w:hint="default"/>
        <w:lang w:val="en-US" w:eastAsia="zh-CN" w:bidi="ar-SA"/>
      </w:rPr>
    </w:lvl>
    <w:lvl w:ilvl="5" w:tentative="0">
      <w:start w:val="0"/>
      <w:numFmt w:val="bullet"/>
      <w:lvlText w:val="•"/>
      <w:lvlJc w:val="left"/>
      <w:pPr>
        <w:ind w:left="5493" w:hanging="553"/>
      </w:pPr>
      <w:rPr>
        <w:rFonts w:hint="default"/>
        <w:lang w:val="en-US" w:eastAsia="zh-CN" w:bidi="ar-SA"/>
      </w:rPr>
    </w:lvl>
    <w:lvl w:ilvl="6" w:tentative="0">
      <w:start w:val="0"/>
      <w:numFmt w:val="bullet"/>
      <w:lvlText w:val="•"/>
      <w:lvlJc w:val="left"/>
      <w:pPr>
        <w:ind w:left="6307" w:hanging="553"/>
      </w:pPr>
      <w:rPr>
        <w:rFonts w:hint="default"/>
        <w:lang w:val="en-US" w:eastAsia="zh-CN" w:bidi="ar-SA"/>
      </w:rPr>
    </w:lvl>
    <w:lvl w:ilvl="7" w:tentative="0">
      <w:start w:val="0"/>
      <w:numFmt w:val="bullet"/>
      <w:lvlText w:val="•"/>
      <w:lvlJc w:val="left"/>
      <w:pPr>
        <w:ind w:left="7122" w:hanging="553"/>
      </w:pPr>
      <w:rPr>
        <w:rFonts w:hint="default"/>
        <w:lang w:val="en-US" w:eastAsia="zh-CN" w:bidi="ar-SA"/>
      </w:rPr>
    </w:lvl>
    <w:lvl w:ilvl="8" w:tentative="0">
      <w:start w:val="0"/>
      <w:numFmt w:val="bullet"/>
      <w:lvlText w:val="•"/>
      <w:lvlJc w:val="left"/>
      <w:pPr>
        <w:ind w:left="7937" w:hanging="553"/>
      </w:pPr>
      <w:rPr>
        <w:rFonts w:hint="default"/>
        <w:lang w:val="en-US" w:eastAsia="zh-CN" w:bidi="ar-SA"/>
      </w:rPr>
    </w:lvl>
  </w:abstractNum>
  <w:abstractNum w:abstractNumId="22">
    <w:nsid w:val="C4E0D24A"/>
    <w:multiLevelType w:val="multilevel"/>
    <w:tmpl w:val="C4E0D24A"/>
    <w:lvl w:ilvl="0" w:tentative="0">
      <w:start w:val="1"/>
      <w:numFmt w:val="decimal"/>
      <w:lvlText w:val="（%1）"/>
      <w:lvlJc w:val="left"/>
      <w:pPr>
        <w:ind w:left="1416" w:hanging="553"/>
      </w:pPr>
      <w:rPr>
        <w:rFonts w:hint="default" w:ascii="宋体" w:hAnsi="宋体" w:eastAsia="宋体" w:cs="宋体"/>
        <w:spacing w:val="-3"/>
        <w:w w:val="100"/>
        <w:sz w:val="20"/>
        <w:szCs w:val="20"/>
        <w:lang w:val="en-US" w:eastAsia="zh-CN" w:bidi="ar-SA"/>
      </w:rPr>
    </w:lvl>
    <w:lvl w:ilvl="1" w:tentative="0">
      <w:start w:val="0"/>
      <w:numFmt w:val="bullet"/>
      <w:lvlText w:val="•"/>
      <w:lvlJc w:val="left"/>
      <w:pPr>
        <w:ind w:left="2234" w:hanging="553"/>
      </w:pPr>
      <w:rPr>
        <w:rFonts w:hint="default"/>
        <w:lang w:val="en-US" w:eastAsia="zh-CN" w:bidi="ar-SA"/>
      </w:rPr>
    </w:lvl>
    <w:lvl w:ilvl="2" w:tentative="0">
      <w:start w:val="0"/>
      <w:numFmt w:val="bullet"/>
      <w:lvlText w:val="•"/>
      <w:lvlJc w:val="left"/>
      <w:pPr>
        <w:ind w:left="3049" w:hanging="553"/>
      </w:pPr>
      <w:rPr>
        <w:rFonts w:hint="default"/>
        <w:lang w:val="en-US" w:eastAsia="zh-CN" w:bidi="ar-SA"/>
      </w:rPr>
    </w:lvl>
    <w:lvl w:ilvl="3" w:tentative="0">
      <w:start w:val="0"/>
      <w:numFmt w:val="bullet"/>
      <w:lvlText w:val="•"/>
      <w:lvlJc w:val="left"/>
      <w:pPr>
        <w:ind w:left="3863" w:hanging="553"/>
      </w:pPr>
      <w:rPr>
        <w:rFonts w:hint="default"/>
        <w:lang w:val="en-US" w:eastAsia="zh-CN" w:bidi="ar-SA"/>
      </w:rPr>
    </w:lvl>
    <w:lvl w:ilvl="4" w:tentative="0">
      <w:start w:val="0"/>
      <w:numFmt w:val="bullet"/>
      <w:lvlText w:val="•"/>
      <w:lvlJc w:val="left"/>
      <w:pPr>
        <w:ind w:left="4678" w:hanging="553"/>
      </w:pPr>
      <w:rPr>
        <w:rFonts w:hint="default"/>
        <w:lang w:val="en-US" w:eastAsia="zh-CN" w:bidi="ar-SA"/>
      </w:rPr>
    </w:lvl>
    <w:lvl w:ilvl="5" w:tentative="0">
      <w:start w:val="0"/>
      <w:numFmt w:val="bullet"/>
      <w:lvlText w:val="•"/>
      <w:lvlJc w:val="left"/>
      <w:pPr>
        <w:ind w:left="5493" w:hanging="553"/>
      </w:pPr>
      <w:rPr>
        <w:rFonts w:hint="default"/>
        <w:lang w:val="en-US" w:eastAsia="zh-CN" w:bidi="ar-SA"/>
      </w:rPr>
    </w:lvl>
    <w:lvl w:ilvl="6" w:tentative="0">
      <w:start w:val="0"/>
      <w:numFmt w:val="bullet"/>
      <w:lvlText w:val="•"/>
      <w:lvlJc w:val="left"/>
      <w:pPr>
        <w:ind w:left="6307" w:hanging="553"/>
      </w:pPr>
      <w:rPr>
        <w:rFonts w:hint="default"/>
        <w:lang w:val="en-US" w:eastAsia="zh-CN" w:bidi="ar-SA"/>
      </w:rPr>
    </w:lvl>
    <w:lvl w:ilvl="7" w:tentative="0">
      <w:start w:val="0"/>
      <w:numFmt w:val="bullet"/>
      <w:lvlText w:val="•"/>
      <w:lvlJc w:val="left"/>
      <w:pPr>
        <w:ind w:left="7122" w:hanging="553"/>
      </w:pPr>
      <w:rPr>
        <w:rFonts w:hint="default"/>
        <w:lang w:val="en-US" w:eastAsia="zh-CN" w:bidi="ar-SA"/>
      </w:rPr>
    </w:lvl>
    <w:lvl w:ilvl="8" w:tentative="0">
      <w:start w:val="0"/>
      <w:numFmt w:val="bullet"/>
      <w:lvlText w:val="•"/>
      <w:lvlJc w:val="left"/>
      <w:pPr>
        <w:ind w:left="7937" w:hanging="553"/>
      </w:pPr>
      <w:rPr>
        <w:rFonts w:hint="default"/>
        <w:lang w:val="en-US" w:eastAsia="zh-CN" w:bidi="ar-SA"/>
      </w:rPr>
    </w:lvl>
  </w:abstractNum>
  <w:abstractNum w:abstractNumId="23">
    <w:nsid w:val="C90D1B09"/>
    <w:multiLevelType w:val="multilevel"/>
    <w:tmpl w:val="C90D1B09"/>
    <w:lvl w:ilvl="0" w:tentative="0">
      <w:start w:val="1"/>
      <w:numFmt w:val="decimal"/>
      <w:lvlText w:val="%1."/>
      <w:lvlJc w:val="left"/>
      <w:pPr>
        <w:ind w:left="1204" w:hanging="300"/>
      </w:pPr>
      <w:rPr>
        <w:rFonts w:hint="default" w:ascii="Times New Roman" w:hAnsi="Times New Roman" w:eastAsia="Times New Roman" w:cs="Times New Roman"/>
        <w:w w:val="100"/>
        <w:sz w:val="24"/>
        <w:szCs w:val="24"/>
        <w:lang w:val="en-US" w:eastAsia="zh-CN" w:bidi="ar-SA"/>
      </w:rPr>
    </w:lvl>
    <w:lvl w:ilvl="1" w:tentative="0">
      <w:start w:val="0"/>
      <w:numFmt w:val="bullet"/>
      <w:lvlText w:val="•"/>
      <w:lvlJc w:val="left"/>
      <w:pPr>
        <w:ind w:left="2036" w:hanging="300"/>
      </w:pPr>
      <w:rPr>
        <w:rFonts w:hint="default"/>
        <w:lang w:val="en-US" w:eastAsia="zh-CN" w:bidi="ar-SA"/>
      </w:rPr>
    </w:lvl>
    <w:lvl w:ilvl="2" w:tentative="0">
      <w:start w:val="0"/>
      <w:numFmt w:val="bullet"/>
      <w:lvlText w:val="•"/>
      <w:lvlJc w:val="left"/>
      <w:pPr>
        <w:ind w:left="2873" w:hanging="300"/>
      </w:pPr>
      <w:rPr>
        <w:rFonts w:hint="default"/>
        <w:lang w:val="en-US" w:eastAsia="zh-CN" w:bidi="ar-SA"/>
      </w:rPr>
    </w:lvl>
    <w:lvl w:ilvl="3" w:tentative="0">
      <w:start w:val="0"/>
      <w:numFmt w:val="bullet"/>
      <w:lvlText w:val="•"/>
      <w:lvlJc w:val="left"/>
      <w:pPr>
        <w:ind w:left="3709" w:hanging="300"/>
      </w:pPr>
      <w:rPr>
        <w:rFonts w:hint="default"/>
        <w:lang w:val="en-US" w:eastAsia="zh-CN" w:bidi="ar-SA"/>
      </w:rPr>
    </w:lvl>
    <w:lvl w:ilvl="4" w:tentative="0">
      <w:start w:val="0"/>
      <w:numFmt w:val="bullet"/>
      <w:lvlText w:val="•"/>
      <w:lvlJc w:val="left"/>
      <w:pPr>
        <w:ind w:left="4546" w:hanging="300"/>
      </w:pPr>
      <w:rPr>
        <w:rFonts w:hint="default"/>
        <w:lang w:val="en-US" w:eastAsia="zh-CN" w:bidi="ar-SA"/>
      </w:rPr>
    </w:lvl>
    <w:lvl w:ilvl="5" w:tentative="0">
      <w:start w:val="0"/>
      <w:numFmt w:val="bullet"/>
      <w:lvlText w:val="•"/>
      <w:lvlJc w:val="left"/>
      <w:pPr>
        <w:ind w:left="5383" w:hanging="300"/>
      </w:pPr>
      <w:rPr>
        <w:rFonts w:hint="default"/>
        <w:lang w:val="en-US" w:eastAsia="zh-CN" w:bidi="ar-SA"/>
      </w:rPr>
    </w:lvl>
    <w:lvl w:ilvl="6" w:tentative="0">
      <w:start w:val="0"/>
      <w:numFmt w:val="bullet"/>
      <w:lvlText w:val="•"/>
      <w:lvlJc w:val="left"/>
      <w:pPr>
        <w:ind w:left="6219" w:hanging="300"/>
      </w:pPr>
      <w:rPr>
        <w:rFonts w:hint="default"/>
        <w:lang w:val="en-US" w:eastAsia="zh-CN" w:bidi="ar-SA"/>
      </w:rPr>
    </w:lvl>
    <w:lvl w:ilvl="7" w:tentative="0">
      <w:start w:val="0"/>
      <w:numFmt w:val="bullet"/>
      <w:lvlText w:val="•"/>
      <w:lvlJc w:val="left"/>
      <w:pPr>
        <w:ind w:left="7056" w:hanging="300"/>
      </w:pPr>
      <w:rPr>
        <w:rFonts w:hint="default"/>
        <w:lang w:val="en-US" w:eastAsia="zh-CN" w:bidi="ar-SA"/>
      </w:rPr>
    </w:lvl>
    <w:lvl w:ilvl="8" w:tentative="0">
      <w:start w:val="0"/>
      <w:numFmt w:val="bullet"/>
      <w:lvlText w:val="•"/>
      <w:lvlJc w:val="left"/>
      <w:pPr>
        <w:ind w:left="7893" w:hanging="300"/>
      </w:pPr>
      <w:rPr>
        <w:rFonts w:hint="default"/>
        <w:lang w:val="en-US" w:eastAsia="zh-CN" w:bidi="ar-SA"/>
      </w:rPr>
    </w:lvl>
  </w:abstractNum>
  <w:abstractNum w:abstractNumId="24">
    <w:nsid w:val="D1EB1714"/>
    <w:multiLevelType w:val="multilevel"/>
    <w:tmpl w:val="D1EB1714"/>
    <w:lvl w:ilvl="0" w:tentative="0">
      <w:start w:val="1"/>
      <w:numFmt w:val="decimal"/>
      <w:lvlText w:val="%1."/>
      <w:lvlJc w:val="left"/>
      <w:pPr>
        <w:ind w:left="825" w:hanging="401"/>
      </w:pPr>
      <w:rPr>
        <w:rFonts w:hint="default" w:ascii="Times New Roman" w:hAnsi="Times New Roman" w:eastAsia="Times New Roman" w:cs="Times New Roman"/>
        <w:b/>
        <w:bCs/>
        <w:w w:val="99"/>
        <w:sz w:val="32"/>
        <w:szCs w:val="32"/>
        <w:lang w:val="en-US" w:eastAsia="zh-CN" w:bidi="ar-SA"/>
      </w:rPr>
    </w:lvl>
    <w:lvl w:ilvl="1" w:tentative="0">
      <w:start w:val="1"/>
      <w:numFmt w:val="decimal"/>
      <w:lvlText w:val="%1.%2"/>
      <w:lvlJc w:val="left"/>
      <w:pPr>
        <w:ind w:left="914" w:hanging="490"/>
      </w:pPr>
      <w:rPr>
        <w:rFonts w:hint="default" w:ascii="Times New Roman" w:hAnsi="Times New Roman" w:eastAsia="Times New Roman" w:cs="Times New Roman"/>
        <w:b/>
        <w:bCs/>
        <w:w w:val="100"/>
        <w:sz w:val="28"/>
        <w:szCs w:val="28"/>
        <w:lang w:val="en-US" w:eastAsia="zh-CN" w:bidi="ar-SA"/>
      </w:rPr>
    </w:lvl>
    <w:lvl w:ilvl="2" w:tentative="0">
      <w:start w:val="0"/>
      <w:numFmt w:val="bullet"/>
      <w:lvlText w:val="•"/>
      <w:lvlJc w:val="left"/>
      <w:pPr>
        <w:ind w:left="1880" w:hanging="490"/>
      </w:pPr>
      <w:rPr>
        <w:rFonts w:hint="default"/>
        <w:lang w:val="en-US" w:eastAsia="zh-CN" w:bidi="ar-SA"/>
      </w:rPr>
    </w:lvl>
    <w:lvl w:ilvl="3" w:tentative="0">
      <w:start w:val="0"/>
      <w:numFmt w:val="bullet"/>
      <w:lvlText w:val="•"/>
      <w:lvlJc w:val="left"/>
      <w:pPr>
        <w:ind w:left="2841" w:hanging="490"/>
      </w:pPr>
      <w:rPr>
        <w:rFonts w:hint="default"/>
        <w:lang w:val="en-US" w:eastAsia="zh-CN" w:bidi="ar-SA"/>
      </w:rPr>
    </w:lvl>
    <w:lvl w:ilvl="4" w:tentative="0">
      <w:start w:val="0"/>
      <w:numFmt w:val="bullet"/>
      <w:lvlText w:val="•"/>
      <w:lvlJc w:val="left"/>
      <w:pPr>
        <w:ind w:left="3802" w:hanging="490"/>
      </w:pPr>
      <w:rPr>
        <w:rFonts w:hint="default"/>
        <w:lang w:val="en-US" w:eastAsia="zh-CN" w:bidi="ar-SA"/>
      </w:rPr>
    </w:lvl>
    <w:lvl w:ilvl="5" w:tentative="0">
      <w:start w:val="0"/>
      <w:numFmt w:val="bullet"/>
      <w:lvlText w:val="•"/>
      <w:lvlJc w:val="left"/>
      <w:pPr>
        <w:ind w:left="4762" w:hanging="490"/>
      </w:pPr>
      <w:rPr>
        <w:rFonts w:hint="default"/>
        <w:lang w:val="en-US" w:eastAsia="zh-CN" w:bidi="ar-SA"/>
      </w:rPr>
    </w:lvl>
    <w:lvl w:ilvl="6" w:tentative="0">
      <w:start w:val="0"/>
      <w:numFmt w:val="bullet"/>
      <w:lvlText w:val="•"/>
      <w:lvlJc w:val="left"/>
      <w:pPr>
        <w:ind w:left="5723" w:hanging="490"/>
      </w:pPr>
      <w:rPr>
        <w:rFonts w:hint="default"/>
        <w:lang w:val="en-US" w:eastAsia="zh-CN" w:bidi="ar-SA"/>
      </w:rPr>
    </w:lvl>
    <w:lvl w:ilvl="7" w:tentative="0">
      <w:start w:val="0"/>
      <w:numFmt w:val="bullet"/>
      <w:lvlText w:val="•"/>
      <w:lvlJc w:val="left"/>
      <w:pPr>
        <w:ind w:left="6684" w:hanging="490"/>
      </w:pPr>
      <w:rPr>
        <w:rFonts w:hint="default"/>
        <w:lang w:val="en-US" w:eastAsia="zh-CN" w:bidi="ar-SA"/>
      </w:rPr>
    </w:lvl>
    <w:lvl w:ilvl="8" w:tentative="0">
      <w:start w:val="0"/>
      <w:numFmt w:val="bullet"/>
      <w:lvlText w:val="•"/>
      <w:lvlJc w:val="left"/>
      <w:pPr>
        <w:ind w:left="7644" w:hanging="490"/>
      </w:pPr>
      <w:rPr>
        <w:rFonts w:hint="default"/>
        <w:lang w:val="en-US" w:eastAsia="zh-CN" w:bidi="ar-SA"/>
      </w:rPr>
    </w:lvl>
  </w:abstractNum>
  <w:abstractNum w:abstractNumId="25">
    <w:nsid w:val="DAD3A854"/>
    <w:multiLevelType w:val="multilevel"/>
    <w:tmpl w:val="DAD3A854"/>
    <w:lvl w:ilvl="0" w:tentative="0">
      <w:start w:val="1"/>
      <w:numFmt w:val="decimal"/>
      <w:lvlText w:val="（%1）"/>
      <w:lvlJc w:val="left"/>
      <w:pPr>
        <w:ind w:left="424" w:hanging="553"/>
      </w:pPr>
      <w:rPr>
        <w:rFonts w:hint="default" w:ascii="宋体" w:hAnsi="宋体" w:eastAsia="宋体" w:cs="宋体"/>
        <w:spacing w:val="-5"/>
        <w:w w:val="100"/>
        <w:sz w:val="20"/>
        <w:szCs w:val="20"/>
        <w:lang w:val="en-US" w:eastAsia="zh-CN" w:bidi="ar-SA"/>
      </w:rPr>
    </w:lvl>
    <w:lvl w:ilvl="1" w:tentative="0">
      <w:start w:val="0"/>
      <w:numFmt w:val="bullet"/>
      <w:lvlText w:val="•"/>
      <w:lvlJc w:val="left"/>
      <w:pPr>
        <w:ind w:left="1334" w:hanging="553"/>
      </w:pPr>
      <w:rPr>
        <w:rFonts w:hint="default"/>
        <w:lang w:val="en-US" w:eastAsia="zh-CN" w:bidi="ar-SA"/>
      </w:rPr>
    </w:lvl>
    <w:lvl w:ilvl="2" w:tentative="0">
      <w:start w:val="0"/>
      <w:numFmt w:val="bullet"/>
      <w:lvlText w:val="•"/>
      <w:lvlJc w:val="left"/>
      <w:pPr>
        <w:ind w:left="2249" w:hanging="553"/>
      </w:pPr>
      <w:rPr>
        <w:rFonts w:hint="default"/>
        <w:lang w:val="en-US" w:eastAsia="zh-CN" w:bidi="ar-SA"/>
      </w:rPr>
    </w:lvl>
    <w:lvl w:ilvl="3" w:tentative="0">
      <w:start w:val="0"/>
      <w:numFmt w:val="bullet"/>
      <w:lvlText w:val="•"/>
      <w:lvlJc w:val="left"/>
      <w:pPr>
        <w:ind w:left="3163" w:hanging="553"/>
      </w:pPr>
      <w:rPr>
        <w:rFonts w:hint="default"/>
        <w:lang w:val="en-US" w:eastAsia="zh-CN" w:bidi="ar-SA"/>
      </w:rPr>
    </w:lvl>
    <w:lvl w:ilvl="4" w:tentative="0">
      <w:start w:val="0"/>
      <w:numFmt w:val="bullet"/>
      <w:lvlText w:val="•"/>
      <w:lvlJc w:val="left"/>
      <w:pPr>
        <w:ind w:left="4078" w:hanging="553"/>
      </w:pPr>
      <w:rPr>
        <w:rFonts w:hint="default"/>
        <w:lang w:val="en-US" w:eastAsia="zh-CN" w:bidi="ar-SA"/>
      </w:rPr>
    </w:lvl>
    <w:lvl w:ilvl="5" w:tentative="0">
      <w:start w:val="0"/>
      <w:numFmt w:val="bullet"/>
      <w:lvlText w:val="•"/>
      <w:lvlJc w:val="left"/>
      <w:pPr>
        <w:ind w:left="4993" w:hanging="553"/>
      </w:pPr>
      <w:rPr>
        <w:rFonts w:hint="default"/>
        <w:lang w:val="en-US" w:eastAsia="zh-CN" w:bidi="ar-SA"/>
      </w:rPr>
    </w:lvl>
    <w:lvl w:ilvl="6" w:tentative="0">
      <w:start w:val="0"/>
      <w:numFmt w:val="bullet"/>
      <w:lvlText w:val="•"/>
      <w:lvlJc w:val="left"/>
      <w:pPr>
        <w:ind w:left="5907" w:hanging="553"/>
      </w:pPr>
      <w:rPr>
        <w:rFonts w:hint="default"/>
        <w:lang w:val="en-US" w:eastAsia="zh-CN" w:bidi="ar-SA"/>
      </w:rPr>
    </w:lvl>
    <w:lvl w:ilvl="7" w:tentative="0">
      <w:start w:val="0"/>
      <w:numFmt w:val="bullet"/>
      <w:lvlText w:val="•"/>
      <w:lvlJc w:val="left"/>
      <w:pPr>
        <w:ind w:left="6822" w:hanging="553"/>
      </w:pPr>
      <w:rPr>
        <w:rFonts w:hint="default"/>
        <w:lang w:val="en-US" w:eastAsia="zh-CN" w:bidi="ar-SA"/>
      </w:rPr>
    </w:lvl>
    <w:lvl w:ilvl="8" w:tentative="0">
      <w:start w:val="0"/>
      <w:numFmt w:val="bullet"/>
      <w:lvlText w:val="•"/>
      <w:lvlJc w:val="left"/>
      <w:pPr>
        <w:ind w:left="7737" w:hanging="553"/>
      </w:pPr>
      <w:rPr>
        <w:rFonts w:hint="default"/>
        <w:lang w:val="en-US" w:eastAsia="zh-CN" w:bidi="ar-SA"/>
      </w:rPr>
    </w:lvl>
  </w:abstractNum>
  <w:abstractNum w:abstractNumId="26">
    <w:nsid w:val="E0294EC7"/>
    <w:multiLevelType w:val="multilevel"/>
    <w:tmpl w:val="E0294EC7"/>
    <w:lvl w:ilvl="0" w:tentative="0">
      <w:start w:val="1"/>
      <w:numFmt w:val="decimal"/>
      <w:lvlText w:val="%1."/>
      <w:lvlJc w:val="left"/>
      <w:pPr>
        <w:ind w:left="424" w:hanging="300"/>
      </w:pPr>
      <w:rPr>
        <w:rFonts w:hint="default" w:ascii="Times New Roman" w:hAnsi="Times New Roman" w:eastAsia="Times New Roman" w:cs="Times New Roman"/>
        <w:spacing w:val="-48"/>
        <w:w w:val="99"/>
        <w:sz w:val="24"/>
        <w:szCs w:val="24"/>
        <w:lang w:val="en-US" w:eastAsia="zh-CN" w:bidi="ar-SA"/>
      </w:rPr>
    </w:lvl>
    <w:lvl w:ilvl="1" w:tentative="0">
      <w:start w:val="0"/>
      <w:numFmt w:val="bullet"/>
      <w:lvlText w:val="•"/>
      <w:lvlJc w:val="left"/>
      <w:pPr>
        <w:ind w:left="1334" w:hanging="300"/>
      </w:pPr>
      <w:rPr>
        <w:rFonts w:hint="default"/>
        <w:lang w:val="en-US" w:eastAsia="zh-CN" w:bidi="ar-SA"/>
      </w:rPr>
    </w:lvl>
    <w:lvl w:ilvl="2" w:tentative="0">
      <w:start w:val="0"/>
      <w:numFmt w:val="bullet"/>
      <w:lvlText w:val="•"/>
      <w:lvlJc w:val="left"/>
      <w:pPr>
        <w:ind w:left="2249" w:hanging="300"/>
      </w:pPr>
      <w:rPr>
        <w:rFonts w:hint="default"/>
        <w:lang w:val="en-US" w:eastAsia="zh-CN" w:bidi="ar-SA"/>
      </w:rPr>
    </w:lvl>
    <w:lvl w:ilvl="3" w:tentative="0">
      <w:start w:val="0"/>
      <w:numFmt w:val="bullet"/>
      <w:lvlText w:val="•"/>
      <w:lvlJc w:val="left"/>
      <w:pPr>
        <w:ind w:left="3163" w:hanging="300"/>
      </w:pPr>
      <w:rPr>
        <w:rFonts w:hint="default"/>
        <w:lang w:val="en-US" w:eastAsia="zh-CN" w:bidi="ar-SA"/>
      </w:rPr>
    </w:lvl>
    <w:lvl w:ilvl="4" w:tentative="0">
      <w:start w:val="0"/>
      <w:numFmt w:val="bullet"/>
      <w:lvlText w:val="•"/>
      <w:lvlJc w:val="left"/>
      <w:pPr>
        <w:ind w:left="4078" w:hanging="300"/>
      </w:pPr>
      <w:rPr>
        <w:rFonts w:hint="default"/>
        <w:lang w:val="en-US" w:eastAsia="zh-CN" w:bidi="ar-SA"/>
      </w:rPr>
    </w:lvl>
    <w:lvl w:ilvl="5" w:tentative="0">
      <w:start w:val="0"/>
      <w:numFmt w:val="bullet"/>
      <w:lvlText w:val="•"/>
      <w:lvlJc w:val="left"/>
      <w:pPr>
        <w:ind w:left="4993" w:hanging="300"/>
      </w:pPr>
      <w:rPr>
        <w:rFonts w:hint="default"/>
        <w:lang w:val="en-US" w:eastAsia="zh-CN" w:bidi="ar-SA"/>
      </w:rPr>
    </w:lvl>
    <w:lvl w:ilvl="6" w:tentative="0">
      <w:start w:val="0"/>
      <w:numFmt w:val="bullet"/>
      <w:lvlText w:val="•"/>
      <w:lvlJc w:val="left"/>
      <w:pPr>
        <w:ind w:left="5907" w:hanging="300"/>
      </w:pPr>
      <w:rPr>
        <w:rFonts w:hint="default"/>
        <w:lang w:val="en-US" w:eastAsia="zh-CN" w:bidi="ar-SA"/>
      </w:rPr>
    </w:lvl>
    <w:lvl w:ilvl="7" w:tentative="0">
      <w:start w:val="0"/>
      <w:numFmt w:val="bullet"/>
      <w:lvlText w:val="•"/>
      <w:lvlJc w:val="left"/>
      <w:pPr>
        <w:ind w:left="6822" w:hanging="300"/>
      </w:pPr>
      <w:rPr>
        <w:rFonts w:hint="default"/>
        <w:lang w:val="en-US" w:eastAsia="zh-CN" w:bidi="ar-SA"/>
      </w:rPr>
    </w:lvl>
    <w:lvl w:ilvl="8" w:tentative="0">
      <w:start w:val="0"/>
      <w:numFmt w:val="bullet"/>
      <w:lvlText w:val="•"/>
      <w:lvlJc w:val="left"/>
      <w:pPr>
        <w:ind w:left="7737" w:hanging="300"/>
      </w:pPr>
      <w:rPr>
        <w:rFonts w:hint="default"/>
        <w:lang w:val="en-US" w:eastAsia="zh-CN" w:bidi="ar-SA"/>
      </w:rPr>
    </w:lvl>
  </w:abstractNum>
  <w:abstractNum w:abstractNumId="27">
    <w:nsid w:val="E504947C"/>
    <w:multiLevelType w:val="multilevel"/>
    <w:tmpl w:val="E504947C"/>
    <w:lvl w:ilvl="0" w:tentative="0">
      <w:start w:val="4"/>
      <w:numFmt w:val="decimal"/>
      <w:lvlText w:val="%1"/>
      <w:lvlJc w:val="left"/>
      <w:pPr>
        <w:ind w:left="914" w:hanging="490"/>
      </w:pPr>
      <w:rPr>
        <w:rFonts w:hint="default"/>
        <w:lang w:val="en-US" w:eastAsia="zh-CN" w:bidi="ar-SA"/>
      </w:rPr>
    </w:lvl>
    <w:lvl w:ilvl="1" w:tentative="0">
      <w:start w:val="2"/>
      <w:numFmt w:val="decimal"/>
      <w:lvlText w:val="%1.%2"/>
      <w:lvlJc w:val="left"/>
      <w:pPr>
        <w:ind w:left="914" w:hanging="490"/>
      </w:pPr>
      <w:rPr>
        <w:rFonts w:hint="default" w:ascii="Times New Roman" w:hAnsi="Times New Roman" w:eastAsia="Times New Roman" w:cs="Times New Roman"/>
        <w:b/>
        <w:bCs/>
        <w:w w:val="100"/>
        <w:sz w:val="28"/>
        <w:szCs w:val="28"/>
        <w:lang w:val="en-US" w:eastAsia="zh-CN" w:bidi="ar-SA"/>
      </w:rPr>
    </w:lvl>
    <w:lvl w:ilvl="2" w:tentative="0">
      <w:start w:val="1"/>
      <w:numFmt w:val="decimal"/>
      <w:lvlText w:val="%1.%2.%3"/>
      <w:lvlJc w:val="left"/>
      <w:pPr>
        <w:ind w:left="424" w:hanging="552"/>
      </w:pPr>
      <w:rPr>
        <w:rFonts w:hint="default" w:ascii="Times New Roman" w:hAnsi="Times New Roman" w:eastAsia="Times New Roman" w:cs="Times New Roman"/>
        <w:w w:val="99"/>
        <w:sz w:val="22"/>
        <w:szCs w:val="22"/>
        <w:lang w:val="en-US" w:eastAsia="zh-CN" w:bidi="ar-SA"/>
      </w:rPr>
    </w:lvl>
    <w:lvl w:ilvl="3" w:tentative="0">
      <w:start w:val="0"/>
      <w:numFmt w:val="bullet"/>
      <w:lvlText w:val="•"/>
      <w:lvlJc w:val="left"/>
      <w:pPr>
        <w:ind w:left="2841" w:hanging="552"/>
      </w:pPr>
      <w:rPr>
        <w:rFonts w:hint="default"/>
        <w:lang w:val="en-US" w:eastAsia="zh-CN" w:bidi="ar-SA"/>
      </w:rPr>
    </w:lvl>
    <w:lvl w:ilvl="4" w:tentative="0">
      <w:start w:val="0"/>
      <w:numFmt w:val="bullet"/>
      <w:lvlText w:val="•"/>
      <w:lvlJc w:val="left"/>
      <w:pPr>
        <w:ind w:left="3802" w:hanging="552"/>
      </w:pPr>
      <w:rPr>
        <w:rFonts w:hint="default"/>
        <w:lang w:val="en-US" w:eastAsia="zh-CN" w:bidi="ar-SA"/>
      </w:rPr>
    </w:lvl>
    <w:lvl w:ilvl="5" w:tentative="0">
      <w:start w:val="0"/>
      <w:numFmt w:val="bullet"/>
      <w:lvlText w:val="•"/>
      <w:lvlJc w:val="left"/>
      <w:pPr>
        <w:ind w:left="4762" w:hanging="552"/>
      </w:pPr>
      <w:rPr>
        <w:rFonts w:hint="default"/>
        <w:lang w:val="en-US" w:eastAsia="zh-CN" w:bidi="ar-SA"/>
      </w:rPr>
    </w:lvl>
    <w:lvl w:ilvl="6" w:tentative="0">
      <w:start w:val="0"/>
      <w:numFmt w:val="bullet"/>
      <w:lvlText w:val="•"/>
      <w:lvlJc w:val="left"/>
      <w:pPr>
        <w:ind w:left="5723" w:hanging="552"/>
      </w:pPr>
      <w:rPr>
        <w:rFonts w:hint="default"/>
        <w:lang w:val="en-US" w:eastAsia="zh-CN" w:bidi="ar-SA"/>
      </w:rPr>
    </w:lvl>
    <w:lvl w:ilvl="7" w:tentative="0">
      <w:start w:val="0"/>
      <w:numFmt w:val="bullet"/>
      <w:lvlText w:val="•"/>
      <w:lvlJc w:val="left"/>
      <w:pPr>
        <w:ind w:left="6684" w:hanging="552"/>
      </w:pPr>
      <w:rPr>
        <w:rFonts w:hint="default"/>
        <w:lang w:val="en-US" w:eastAsia="zh-CN" w:bidi="ar-SA"/>
      </w:rPr>
    </w:lvl>
    <w:lvl w:ilvl="8" w:tentative="0">
      <w:start w:val="0"/>
      <w:numFmt w:val="bullet"/>
      <w:lvlText w:val="•"/>
      <w:lvlJc w:val="left"/>
      <w:pPr>
        <w:ind w:left="7644" w:hanging="552"/>
      </w:pPr>
      <w:rPr>
        <w:rFonts w:hint="default"/>
        <w:lang w:val="en-US" w:eastAsia="zh-CN" w:bidi="ar-SA"/>
      </w:rPr>
    </w:lvl>
  </w:abstractNum>
  <w:abstractNum w:abstractNumId="28">
    <w:nsid w:val="E7B27C5B"/>
    <w:multiLevelType w:val="multilevel"/>
    <w:tmpl w:val="E7B27C5B"/>
    <w:lvl w:ilvl="0" w:tentative="0">
      <w:start w:val="1"/>
      <w:numFmt w:val="decimal"/>
      <w:lvlText w:val="（%1）"/>
      <w:lvlJc w:val="left"/>
      <w:pPr>
        <w:ind w:left="424" w:hanging="553"/>
      </w:pPr>
      <w:rPr>
        <w:rFonts w:hint="default" w:ascii="宋体" w:hAnsi="宋体" w:eastAsia="宋体" w:cs="宋体"/>
        <w:spacing w:val="-5"/>
        <w:w w:val="100"/>
        <w:sz w:val="20"/>
        <w:szCs w:val="20"/>
        <w:lang w:val="en-US" w:eastAsia="zh-CN" w:bidi="ar-SA"/>
      </w:rPr>
    </w:lvl>
    <w:lvl w:ilvl="1" w:tentative="0">
      <w:start w:val="0"/>
      <w:numFmt w:val="bullet"/>
      <w:lvlText w:val="•"/>
      <w:lvlJc w:val="left"/>
      <w:pPr>
        <w:ind w:left="1334" w:hanging="553"/>
      </w:pPr>
      <w:rPr>
        <w:rFonts w:hint="default"/>
        <w:lang w:val="en-US" w:eastAsia="zh-CN" w:bidi="ar-SA"/>
      </w:rPr>
    </w:lvl>
    <w:lvl w:ilvl="2" w:tentative="0">
      <w:start w:val="0"/>
      <w:numFmt w:val="bullet"/>
      <w:lvlText w:val="•"/>
      <w:lvlJc w:val="left"/>
      <w:pPr>
        <w:ind w:left="2249" w:hanging="553"/>
      </w:pPr>
      <w:rPr>
        <w:rFonts w:hint="default"/>
        <w:lang w:val="en-US" w:eastAsia="zh-CN" w:bidi="ar-SA"/>
      </w:rPr>
    </w:lvl>
    <w:lvl w:ilvl="3" w:tentative="0">
      <w:start w:val="0"/>
      <w:numFmt w:val="bullet"/>
      <w:lvlText w:val="•"/>
      <w:lvlJc w:val="left"/>
      <w:pPr>
        <w:ind w:left="3163" w:hanging="553"/>
      </w:pPr>
      <w:rPr>
        <w:rFonts w:hint="default"/>
        <w:lang w:val="en-US" w:eastAsia="zh-CN" w:bidi="ar-SA"/>
      </w:rPr>
    </w:lvl>
    <w:lvl w:ilvl="4" w:tentative="0">
      <w:start w:val="0"/>
      <w:numFmt w:val="bullet"/>
      <w:lvlText w:val="•"/>
      <w:lvlJc w:val="left"/>
      <w:pPr>
        <w:ind w:left="4078" w:hanging="553"/>
      </w:pPr>
      <w:rPr>
        <w:rFonts w:hint="default"/>
        <w:lang w:val="en-US" w:eastAsia="zh-CN" w:bidi="ar-SA"/>
      </w:rPr>
    </w:lvl>
    <w:lvl w:ilvl="5" w:tentative="0">
      <w:start w:val="0"/>
      <w:numFmt w:val="bullet"/>
      <w:lvlText w:val="•"/>
      <w:lvlJc w:val="left"/>
      <w:pPr>
        <w:ind w:left="4993" w:hanging="553"/>
      </w:pPr>
      <w:rPr>
        <w:rFonts w:hint="default"/>
        <w:lang w:val="en-US" w:eastAsia="zh-CN" w:bidi="ar-SA"/>
      </w:rPr>
    </w:lvl>
    <w:lvl w:ilvl="6" w:tentative="0">
      <w:start w:val="0"/>
      <w:numFmt w:val="bullet"/>
      <w:lvlText w:val="•"/>
      <w:lvlJc w:val="left"/>
      <w:pPr>
        <w:ind w:left="5907" w:hanging="553"/>
      </w:pPr>
      <w:rPr>
        <w:rFonts w:hint="default"/>
        <w:lang w:val="en-US" w:eastAsia="zh-CN" w:bidi="ar-SA"/>
      </w:rPr>
    </w:lvl>
    <w:lvl w:ilvl="7" w:tentative="0">
      <w:start w:val="0"/>
      <w:numFmt w:val="bullet"/>
      <w:lvlText w:val="•"/>
      <w:lvlJc w:val="left"/>
      <w:pPr>
        <w:ind w:left="6822" w:hanging="553"/>
      </w:pPr>
      <w:rPr>
        <w:rFonts w:hint="default"/>
        <w:lang w:val="en-US" w:eastAsia="zh-CN" w:bidi="ar-SA"/>
      </w:rPr>
    </w:lvl>
    <w:lvl w:ilvl="8" w:tentative="0">
      <w:start w:val="0"/>
      <w:numFmt w:val="bullet"/>
      <w:lvlText w:val="•"/>
      <w:lvlJc w:val="left"/>
      <w:pPr>
        <w:ind w:left="7737" w:hanging="553"/>
      </w:pPr>
      <w:rPr>
        <w:rFonts w:hint="default"/>
        <w:lang w:val="en-US" w:eastAsia="zh-CN" w:bidi="ar-SA"/>
      </w:rPr>
    </w:lvl>
  </w:abstractNum>
  <w:abstractNum w:abstractNumId="29">
    <w:nsid w:val="F3A33954"/>
    <w:multiLevelType w:val="multilevel"/>
    <w:tmpl w:val="F3A33954"/>
    <w:lvl w:ilvl="0" w:tentative="0">
      <w:start w:val="1"/>
      <w:numFmt w:val="decimal"/>
      <w:lvlText w:val="%1."/>
      <w:lvlJc w:val="left"/>
      <w:pPr>
        <w:ind w:left="1204" w:hanging="300"/>
      </w:pPr>
      <w:rPr>
        <w:rFonts w:hint="default" w:ascii="Times New Roman" w:hAnsi="Times New Roman" w:eastAsia="Times New Roman" w:cs="Times New Roman"/>
        <w:w w:val="100"/>
        <w:sz w:val="24"/>
        <w:szCs w:val="24"/>
        <w:lang w:val="en-US" w:eastAsia="zh-CN" w:bidi="ar-SA"/>
      </w:rPr>
    </w:lvl>
    <w:lvl w:ilvl="1" w:tentative="0">
      <w:start w:val="0"/>
      <w:numFmt w:val="bullet"/>
      <w:lvlText w:val="•"/>
      <w:lvlJc w:val="left"/>
      <w:pPr>
        <w:ind w:left="2036" w:hanging="300"/>
      </w:pPr>
      <w:rPr>
        <w:rFonts w:hint="default"/>
        <w:lang w:val="en-US" w:eastAsia="zh-CN" w:bidi="ar-SA"/>
      </w:rPr>
    </w:lvl>
    <w:lvl w:ilvl="2" w:tentative="0">
      <w:start w:val="0"/>
      <w:numFmt w:val="bullet"/>
      <w:lvlText w:val="•"/>
      <w:lvlJc w:val="left"/>
      <w:pPr>
        <w:ind w:left="2873" w:hanging="300"/>
      </w:pPr>
      <w:rPr>
        <w:rFonts w:hint="default"/>
        <w:lang w:val="en-US" w:eastAsia="zh-CN" w:bidi="ar-SA"/>
      </w:rPr>
    </w:lvl>
    <w:lvl w:ilvl="3" w:tentative="0">
      <w:start w:val="0"/>
      <w:numFmt w:val="bullet"/>
      <w:lvlText w:val="•"/>
      <w:lvlJc w:val="left"/>
      <w:pPr>
        <w:ind w:left="3709" w:hanging="300"/>
      </w:pPr>
      <w:rPr>
        <w:rFonts w:hint="default"/>
        <w:lang w:val="en-US" w:eastAsia="zh-CN" w:bidi="ar-SA"/>
      </w:rPr>
    </w:lvl>
    <w:lvl w:ilvl="4" w:tentative="0">
      <w:start w:val="0"/>
      <w:numFmt w:val="bullet"/>
      <w:lvlText w:val="•"/>
      <w:lvlJc w:val="left"/>
      <w:pPr>
        <w:ind w:left="4546" w:hanging="300"/>
      </w:pPr>
      <w:rPr>
        <w:rFonts w:hint="default"/>
        <w:lang w:val="en-US" w:eastAsia="zh-CN" w:bidi="ar-SA"/>
      </w:rPr>
    </w:lvl>
    <w:lvl w:ilvl="5" w:tentative="0">
      <w:start w:val="0"/>
      <w:numFmt w:val="bullet"/>
      <w:lvlText w:val="•"/>
      <w:lvlJc w:val="left"/>
      <w:pPr>
        <w:ind w:left="5383" w:hanging="300"/>
      </w:pPr>
      <w:rPr>
        <w:rFonts w:hint="default"/>
        <w:lang w:val="en-US" w:eastAsia="zh-CN" w:bidi="ar-SA"/>
      </w:rPr>
    </w:lvl>
    <w:lvl w:ilvl="6" w:tentative="0">
      <w:start w:val="0"/>
      <w:numFmt w:val="bullet"/>
      <w:lvlText w:val="•"/>
      <w:lvlJc w:val="left"/>
      <w:pPr>
        <w:ind w:left="6219" w:hanging="300"/>
      </w:pPr>
      <w:rPr>
        <w:rFonts w:hint="default"/>
        <w:lang w:val="en-US" w:eastAsia="zh-CN" w:bidi="ar-SA"/>
      </w:rPr>
    </w:lvl>
    <w:lvl w:ilvl="7" w:tentative="0">
      <w:start w:val="0"/>
      <w:numFmt w:val="bullet"/>
      <w:lvlText w:val="•"/>
      <w:lvlJc w:val="left"/>
      <w:pPr>
        <w:ind w:left="7056" w:hanging="300"/>
      </w:pPr>
      <w:rPr>
        <w:rFonts w:hint="default"/>
        <w:lang w:val="en-US" w:eastAsia="zh-CN" w:bidi="ar-SA"/>
      </w:rPr>
    </w:lvl>
    <w:lvl w:ilvl="8" w:tentative="0">
      <w:start w:val="0"/>
      <w:numFmt w:val="bullet"/>
      <w:lvlText w:val="•"/>
      <w:lvlJc w:val="left"/>
      <w:pPr>
        <w:ind w:left="7893" w:hanging="300"/>
      </w:pPr>
      <w:rPr>
        <w:rFonts w:hint="default"/>
        <w:lang w:val="en-US" w:eastAsia="zh-CN" w:bidi="ar-SA"/>
      </w:rPr>
    </w:lvl>
  </w:abstractNum>
  <w:abstractNum w:abstractNumId="30">
    <w:nsid w:val="F4A942FE"/>
    <w:multiLevelType w:val="multilevel"/>
    <w:tmpl w:val="F4A942FE"/>
    <w:lvl w:ilvl="0" w:tentative="0">
      <w:start w:val="1"/>
      <w:numFmt w:val="decimal"/>
      <w:lvlText w:val="%1."/>
      <w:lvlJc w:val="left"/>
      <w:pPr>
        <w:ind w:left="1204" w:hanging="300"/>
      </w:pPr>
      <w:rPr>
        <w:rFonts w:hint="default" w:ascii="Times New Roman" w:hAnsi="Times New Roman" w:eastAsia="Times New Roman" w:cs="Times New Roman"/>
        <w:w w:val="100"/>
        <w:sz w:val="24"/>
        <w:szCs w:val="24"/>
        <w:lang w:val="en-US" w:eastAsia="zh-CN" w:bidi="ar-SA"/>
      </w:rPr>
    </w:lvl>
    <w:lvl w:ilvl="1" w:tentative="0">
      <w:start w:val="0"/>
      <w:numFmt w:val="bullet"/>
      <w:lvlText w:val="•"/>
      <w:lvlJc w:val="left"/>
      <w:pPr>
        <w:ind w:left="2036" w:hanging="300"/>
      </w:pPr>
      <w:rPr>
        <w:rFonts w:hint="default"/>
        <w:lang w:val="en-US" w:eastAsia="zh-CN" w:bidi="ar-SA"/>
      </w:rPr>
    </w:lvl>
    <w:lvl w:ilvl="2" w:tentative="0">
      <w:start w:val="0"/>
      <w:numFmt w:val="bullet"/>
      <w:lvlText w:val="•"/>
      <w:lvlJc w:val="left"/>
      <w:pPr>
        <w:ind w:left="2873" w:hanging="300"/>
      </w:pPr>
      <w:rPr>
        <w:rFonts w:hint="default"/>
        <w:lang w:val="en-US" w:eastAsia="zh-CN" w:bidi="ar-SA"/>
      </w:rPr>
    </w:lvl>
    <w:lvl w:ilvl="3" w:tentative="0">
      <w:start w:val="0"/>
      <w:numFmt w:val="bullet"/>
      <w:lvlText w:val="•"/>
      <w:lvlJc w:val="left"/>
      <w:pPr>
        <w:ind w:left="3709" w:hanging="300"/>
      </w:pPr>
      <w:rPr>
        <w:rFonts w:hint="default"/>
        <w:lang w:val="en-US" w:eastAsia="zh-CN" w:bidi="ar-SA"/>
      </w:rPr>
    </w:lvl>
    <w:lvl w:ilvl="4" w:tentative="0">
      <w:start w:val="0"/>
      <w:numFmt w:val="bullet"/>
      <w:lvlText w:val="•"/>
      <w:lvlJc w:val="left"/>
      <w:pPr>
        <w:ind w:left="4546" w:hanging="300"/>
      </w:pPr>
      <w:rPr>
        <w:rFonts w:hint="default"/>
        <w:lang w:val="en-US" w:eastAsia="zh-CN" w:bidi="ar-SA"/>
      </w:rPr>
    </w:lvl>
    <w:lvl w:ilvl="5" w:tentative="0">
      <w:start w:val="0"/>
      <w:numFmt w:val="bullet"/>
      <w:lvlText w:val="•"/>
      <w:lvlJc w:val="left"/>
      <w:pPr>
        <w:ind w:left="5383" w:hanging="300"/>
      </w:pPr>
      <w:rPr>
        <w:rFonts w:hint="default"/>
        <w:lang w:val="en-US" w:eastAsia="zh-CN" w:bidi="ar-SA"/>
      </w:rPr>
    </w:lvl>
    <w:lvl w:ilvl="6" w:tentative="0">
      <w:start w:val="0"/>
      <w:numFmt w:val="bullet"/>
      <w:lvlText w:val="•"/>
      <w:lvlJc w:val="left"/>
      <w:pPr>
        <w:ind w:left="6219" w:hanging="300"/>
      </w:pPr>
      <w:rPr>
        <w:rFonts w:hint="default"/>
        <w:lang w:val="en-US" w:eastAsia="zh-CN" w:bidi="ar-SA"/>
      </w:rPr>
    </w:lvl>
    <w:lvl w:ilvl="7" w:tentative="0">
      <w:start w:val="0"/>
      <w:numFmt w:val="bullet"/>
      <w:lvlText w:val="•"/>
      <w:lvlJc w:val="left"/>
      <w:pPr>
        <w:ind w:left="7056" w:hanging="300"/>
      </w:pPr>
      <w:rPr>
        <w:rFonts w:hint="default"/>
        <w:lang w:val="en-US" w:eastAsia="zh-CN" w:bidi="ar-SA"/>
      </w:rPr>
    </w:lvl>
    <w:lvl w:ilvl="8" w:tentative="0">
      <w:start w:val="0"/>
      <w:numFmt w:val="bullet"/>
      <w:lvlText w:val="•"/>
      <w:lvlJc w:val="left"/>
      <w:pPr>
        <w:ind w:left="7893" w:hanging="300"/>
      </w:pPr>
      <w:rPr>
        <w:rFonts w:hint="default"/>
        <w:lang w:val="en-US" w:eastAsia="zh-CN" w:bidi="ar-SA"/>
      </w:rPr>
    </w:lvl>
  </w:abstractNum>
  <w:abstractNum w:abstractNumId="31">
    <w:nsid w:val="F585BF25"/>
    <w:multiLevelType w:val="multilevel"/>
    <w:tmpl w:val="F585BF25"/>
    <w:lvl w:ilvl="0" w:tentative="0">
      <w:start w:val="5"/>
      <w:numFmt w:val="decimal"/>
      <w:lvlText w:val="%1"/>
      <w:lvlJc w:val="left"/>
      <w:pPr>
        <w:ind w:left="914" w:hanging="490"/>
      </w:pPr>
      <w:rPr>
        <w:rFonts w:hint="default"/>
        <w:lang w:val="en-US" w:eastAsia="zh-CN" w:bidi="ar-SA"/>
      </w:rPr>
    </w:lvl>
    <w:lvl w:ilvl="1" w:tentative="0">
      <w:start w:val="5"/>
      <w:numFmt w:val="decimal"/>
      <w:lvlText w:val="%1.%2"/>
      <w:lvlJc w:val="left"/>
      <w:pPr>
        <w:ind w:left="914" w:hanging="490"/>
      </w:pPr>
      <w:rPr>
        <w:rFonts w:hint="default" w:ascii="Times New Roman" w:hAnsi="Times New Roman" w:eastAsia="Times New Roman" w:cs="Times New Roman"/>
        <w:b/>
        <w:bCs/>
        <w:w w:val="100"/>
        <w:sz w:val="28"/>
        <w:szCs w:val="28"/>
        <w:lang w:val="en-US" w:eastAsia="zh-CN" w:bidi="ar-SA"/>
      </w:rPr>
    </w:lvl>
    <w:lvl w:ilvl="2" w:tentative="0">
      <w:start w:val="1"/>
      <w:numFmt w:val="decimal"/>
      <w:lvlText w:val="%1.%2.%3"/>
      <w:lvlJc w:val="left"/>
      <w:pPr>
        <w:ind w:left="1415" w:hanging="552"/>
      </w:pPr>
      <w:rPr>
        <w:rFonts w:hint="default" w:ascii="Times New Roman" w:hAnsi="Times New Roman" w:eastAsia="Times New Roman" w:cs="Times New Roman"/>
        <w:w w:val="99"/>
        <w:sz w:val="22"/>
        <w:szCs w:val="22"/>
        <w:lang w:val="en-US" w:eastAsia="zh-CN" w:bidi="ar-SA"/>
      </w:rPr>
    </w:lvl>
    <w:lvl w:ilvl="3" w:tentative="0">
      <w:start w:val="0"/>
      <w:numFmt w:val="bullet"/>
      <w:lvlText w:val="•"/>
      <w:lvlJc w:val="left"/>
      <w:pPr>
        <w:ind w:left="3230" w:hanging="552"/>
      </w:pPr>
      <w:rPr>
        <w:rFonts w:hint="default"/>
        <w:lang w:val="en-US" w:eastAsia="zh-CN" w:bidi="ar-SA"/>
      </w:rPr>
    </w:lvl>
    <w:lvl w:ilvl="4" w:tentative="0">
      <w:start w:val="0"/>
      <w:numFmt w:val="bullet"/>
      <w:lvlText w:val="•"/>
      <w:lvlJc w:val="left"/>
      <w:pPr>
        <w:ind w:left="4135" w:hanging="552"/>
      </w:pPr>
      <w:rPr>
        <w:rFonts w:hint="default"/>
        <w:lang w:val="en-US" w:eastAsia="zh-CN" w:bidi="ar-SA"/>
      </w:rPr>
    </w:lvl>
    <w:lvl w:ilvl="5" w:tentative="0">
      <w:start w:val="0"/>
      <w:numFmt w:val="bullet"/>
      <w:lvlText w:val="•"/>
      <w:lvlJc w:val="left"/>
      <w:pPr>
        <w:ind w:left="5040" w:hanging="552"/>
      </w:pPr>
      <w:rPr>
        <w:rFonts w:hint="default"/>
        <w:lang w:val="en-US" w:eastAsia="zh-CN" w:bidi="ar-SA"/>
      </w:rPr>
    </w:lvl>
    <w:lvl w:ilvl="6" w:tentative="0">
      <w:start w:val="0"/>
      <w:numFmt w:val="bullet"/>
      <w:lvlText w:val="•"/>
      <w:lvlJc w:val="left"/>
      <w:pPr>
        <w:ind w:left="5945" w:hanging="552"/>
      </w:pPr>
      <w:rPr>
        <w:rFonts w:hint="default"/>
        <w:lang w:val="en-US" w:eastAsia="zh-CN" w:bidi="ar-SA"/>
      </w:rPr>
    </w:lvl>
    <w:lvl w:ilvl="7" w:tentative="0">
      <w:start w:val="0"/>
      <w:numFmt w:val="bullet"/>
      <w:lvlText w:val="•"/>
      <w:lvlJc w:val="left"/>
      <w:pPr>
        <w:ind w:left="6850" w:hanging="552"/>
      </w:pPr>
      <w:rPr>
        <w:rFonts w:hint="default"/>
        <w:lang w:val="en-US" w:eastAsia="zh-CN" w:bidi="ar-SA"/>
      </w:rPr>
    </w:lvl>
    <w:lvl w:ilvl="8" w:tentative="0">
      <w:start w:val="0"/>
      <w:numFmt w:val="bullet"/>
      <w:lvlText w:val="•"/>
      <w:lvlJc w:val="left"/>
      <w:pPr>
        <w:ind w:left="7756" w:hanging="552"/>
      </w:pPr>
      <w:rPr>
        <w:rFonts w:hint="default"/>
        <w:lang w:val="en-US" w:eastAsia="zh-CN" w:bidi="ar-SA"/>
      </w:rPr>
    </w:lvl>
  </w:abstractNum>
  <w:abstractNum w:abstractNumId="32">
    <w:nsid w:val="F689643B"/>
    <w:multiLevelType w:val="multilevel"/>
    <w:tmpl w:val="F689643B"/>
    <w:lvl w:ilvl="0" w:tentative="0">
      <w:start w:val="1"/>
      <w:numFmt w:val="decimal"/>
      <w:lvlText w:val="%1"/>
      <w:lvlJc w:val="left"/>
      <w:pPr>
        <w:ind w:left="914" w:hanging="490"/>
      </w:pPr>
      <w:rPr>
        <w:rFonts w:hint="default"/>
        <w:lang w:val="en-US" w:eastAsia="zh-CN" w:bidi="ar-SA"/>
      </w:rPr>
    </w:lvl>
    <w:lvl w:ilvl="1" w:tentative="0">
      <w:start w:val="4"/>
      <w:numFmt w:val="decimal"/>
      <w:lvlText w:val="%1.%2"/>
      <w:lvlJc w:val="left"/>
      <w:pPr>
        <w:ind w:left="914" w:hanging="490"/>
      </w:pPr>
      <w:rPr>
        <w:rFonts w:hint="default" w:ascii="Times New Roman" w:hAnsi="Times New Roman" w:eastAsia="Times New Roman" w:cs="Times New Roman"/>
        <w:b/>
        <w:bCs/>
        <w:w w:val="100"/>
        <w:sz w:val="28"/>
        <w:szCs w:val="28"/>
        <w:lang w:val="en-US" w:eastAsia="zh-CN" w:bidi="ar-SA"/>
      </w:rPr>
    </w:lvl>
    <w:lvl w:ilvl="2" w:tentative="0">
      <w:start w:val="1"/>
      <w:numFmt w:val="decimal"/>
      <w:lvlText w:val="（%3）"/>
      <w:lvlJc w:val="left"/>
      <w:pPr>
        <w:ind w:left="1416" w:hanging="553"/>
      </w:pPr>
      <w:rPr>
        <w:rFonts w:hint="default" w:ascii="宋体" w:hAnsi="宋体" w:eastAsia="宋体" w:cs="宋体"/>
        <w:spacing w:val="-3"/>
        <w:w w:val="100"/>
        <w:sz w:val="20"/>
        <w:szCs w:val="20"/>
        <w:lang w:val="en-US" w:eastAsia="zh-CN" w:bidi="ar-SA"/>
      </w:rPr>
    </w:lvl>
    <w:lvl w:ilvl="3" w:tentative="0">
      <w:start w:val="0"/>
      <w:numFmt w:val="bullet"/>
      <w:lvlText w:val="•"/>
      <w:lvlJc w:val="left"/>
      <w:pPr>
        <w:ind w:left="3230" w:hanging="553"/>
      </w:pPr>
      <w:rPr>
        <w:rFonts w:hint="default"/>
        <w:lang w:val="en-US" w:eastAsia="zh-CN" w:bidi="ar-SA"/>
      </w:rPr>
    </w:lvl>
    <w:lvl w:ilvl="4" w:tentative="0">
      <w:start w:val="0"/>
      <w:numFmt w:val="bullet"/>
      <w:lvlText w:val="•"/>
      <w:lvlJc w:val="left"/>
      <w:pPr>
        <w:ind w:left="4135" w:hanging="553"/>
      </w:pPr>
      <w:rPr>
        <w:rFonts w:hint="default"/>
        <w:lang w:val="en-US" w:eastAsia="zh-CN" w:bidi="ar-SA"/>
      </w:rPr>
    </w:lvl>
    <w:lvl w:ilvl="5" w:tentative="0">
      <w:start w:val="0"/>
      <w:numFmt w:val="bullet"/>
      <w:lvlText w:val="•"/>
      <w:lvlJc w:val="left"/>
      <w:pPr>
        <w:ind w:left="5040" w:hanging="553"/>
      </w:pPr>
      <w:rPr>
        <w:rFonts w:hint="default"/>
        <w:lang w:val="en-US" w:eastAsia="zh-CN" w:bidi="ar-SA"/>
      </w:rPr>
    </w:lvl>
    <w:lvl w:ilvl="6" w:tentative="0">
      <w:start w:val="0"/>
      <w:numFmt w:val="bullet"/>
      <w:lvlText w:val="•"/>
      <w:lvlJc w:val="left"/>
      <w:pPr>
        <w:ind w:left="5945" w:hanging="553"/>
      </w:pPr>
      <w:rPr>
        <w:rFonts w:hint="default"/>
        <w:lang w:val="en-US" w:eastAsia="zh-CN" w:bidi="ar-SA"/>
      </w:rPr>
    </w:lvl>
    <w:lvl w:ilvl="7" w:tentative="0">
      <w:start w:val="0"/>
      <w:numFmt w:val="bullet"/>
      <w:lvlText w:val="•"/>
      <w:lvlJc w:val="left"/>
      <w:pPr>
        <w:ind w:left="6850" w:hanging="553"/>
      </w:pPr>
      <w:rPr>
        <w:rFonts w:hint="default"/>
        <w:lang w:val="en-US" w:eastAsia="zh-CN" w:bidi="ar-SA"/>
      </w:rPr>
    </w:lvl>
    <w:lvl w:ilvl="8" w:tentative="0">
      <w:start w:val="0"/>
      <w:numFmt w:val="bullet"/>
      <w:lvlText w:val="•"/>
      <w:lvlJc w:val="left"/>
      <w:pPr>
        <w:ind w:left="7756" w:hanging="553"/>
      </w:pPr>
      <w:rPr>
        <w:rFonts w:hint="default"/>
        <w:lang w:val="en-US" w:eastAsia="zh-CN" w:bidi="ar-SA"/>
      </w:rPr>
    </w:lvl>
  </w:abstractNum>
  <w:abstractNum w:abstractNumId="33">
    <w:nsid w:val="FEC2EA36"/>
    <w:multiLevelType w:val="multilevel"/>
    <w:tmpl w:val="FEC2EA36"/>
    <w:lvl w:ilvl="0" w:tentative="0">
      <w:start w:val="1"/>
      <w:numFmt w:val="decimal"/>
      <w:lvlText w:val="（%1）"/>
      <w:lvlJc w:val="left"/>
      <w:pPr>
        <w:ind w:left="1416" w:hanging="553"/>
      </w:pPr>
      <w:rPr>
        <w:rFonts w:hint="default" w:ascii="宋体" w:hAnsi="宋体" w:eastAsia="宋体" w:cs="宋体"/>
        <w:spacing w:val="-55"/>
        <w:w w:val="100"/>
        <w:sz w:val="20"/>
        <w:szCs w:val="20"/>
        <w:lang w:val="en-US" w:eastAsia="zh-CN" w:bidi="ar-SA"/>
      </w:rPr>
    </w:lvl>
    <w:lvl w:ilvl="1" w:tentative="0">
      <w:start w:val="0"/>
      <w:numFmt w:val="bullet"/>
      <w:lvlText w:val="•"/>
      <w:lvlJc w:val="left"/>
      <w:pPr>
        <w:ind w:left="2234" w:hanging="553"/>
      </w:pPr>
      <w:rPr>
        <w:rFonts w:hint="default"/>
        <w:lang w:val="en-US" w:eastAsia="zh-CN" w:bidi="ar-SA"/>
      </w:rPr>
    </w:lvl>
    <w:lvl w:ilvl="2" w:tentative="0">
      <w:start w:val="0"/>
      <w:numFmt w:val="bullet"/>
      <w:lvlText w:val="•"/>
      <w:lvlJc w:val="left"/>
      <w:pPr>
        <w:ind w:left="3049" w:hanging="553"/>
      </w:pPr>
      <w:rPr>
        <w:rFonts w:hint="default"/>
        <w:lang w:val="en-US" w:eastAsia="zh-CN" w:bidi="ar-SA"/>
      </w:rPr>
    </w:lvl>
    <w:lvl w:ilvl="3" w:tentative="0">
      <w:start w:val="0"/>
      <w:numFmt w:val="bullet"/>
      <w:lvlText w:val="•"/>
      <w:lvlJc w:val="left"/>
      <w:pPr>
        <w:ind w:left="3863" w:hanging="553"/>
      </w:pPr>
      <w:rPr>
        <w:rFonts w:hint="default"/>
        <w:lang w:val="en-US" w:eastAsia="zh-CN" w:bidi="ar-SA"/>
      </w:rPr>
    </w:lvl>
    <w:lvl w:ilvl="4" w:tentative="0">
      <w:start w:val="0"/>
      <w:numFmt w:val="bullet"/>
      <w:lvlText w:val="•"/>
      <w:lvlJc w:val="left"/>
      <w:pPr>
        <w:ind w:left="4678" w:hanging="553"/>
      </w:pPr>
      <w:rPr>
        <w:rFonts w:hint="default"/>
        <w:lang w:val="en-US" w:eastAsia="zh-CN" w:bidi="ar-SA"/>
      </w:rPr>
    </w:lvl>
    <w:lvl w:ilvl="5" w:tentative="0">
      <w:start w:val="0"/>
      <w:numFmt w:val="bullet"/>
      <w:lvlText w:val="•"/>
      <w:lvlJc w:val="left"/>
      <w:pPr>
        <w:ind w:left="5493" w:hanging="553"/>
      </w:pPr>
      <w:rPr>
        <w:rFonts w:hint="default"/>
        <w:lang w:val="en-US" w:eastAsia="zh-CN" w:bidi="ar-SA"/>
      </w:rPr>
    </w:lvl>
    <w:lvl w:ilvl="6" w:tentative="0">
      <w:start w:val="0"/>
      <w:numFmt w:val="bullet"/>
      <w:lvlText w:val="•"/>
      <w:lvlJc w:val="left"/>
      <w:pPr>
        <w:ind w:left="6307" w:hanging="553"/>
      </w:pPr>
      <w:rPr>
        <w:rFonts w:hint="default"/>
        <w:lang w:val="en-US" w:eastAsia="zh-CN" w:bidi="ar-SA"/>
      </w:rPr>
    </w:lvl>
    <w:lvl w:ilvl="7" w:tentative="0">
      <w:start w:val="0"/>
      <w:numFmt w:val="bullet"/>
      <w:lvlText w:val="•"/>
      <w:lvlJc w:val="left"/>
      <w:pPr>
        <w:ind w:left="7122" w:hanging="553"/>
      </w:pPr>
      <w:rPr>
        <w:rFonts w:hint="default"/>
        <w:lang w:val="en-US" w:eastAsia="zh-CN" w:bidi="ar-SA"/>
      </w:rPr>
    </w:lvl>
    <w:lvl w:ilvl="8" w:tentative="0">
      <w:start w:val="0"/>
      <w:numFmt w:val="bullet"/>
      <w:lvlText w:val="•"/>
      <w:lvlJc w:val="left"/>
      <w:pPr>
        <w:ind w:left="7937" w:hanging="553"/>
      </w:pPr>
      <w:rPr>
        <w:rFonts w:hint="default"/>
        <w:lang w:val="en-US" w:eastAsia="zh-CN" w:bidi="ar-SA"/>
      </w:rPr>
    </w:lvl>
  </w:abstractNum>
  <w:abstractNum w:abstractNumId="34">
    <w:nsid w:val="01836A6D"/>
    <w:multiLevelType w:val="multilevel"/>
    <w:tmpl w:val="01836A6D"/>
    <w:lvl w:ilvl="0" w:tentative="0">
      <w:start w:val="1"/>
      <w:numFmt w:val="decimal"/>
      <w:lvlText w:val="%1."/>
      <w:lvlJc w:val="left"/>
      <w:pPr>
        <w:ind w:left="1204" w:hanging="300"/>
      </w:pPr>
      <w:rPr>
        <w:rFonts w:hint="default" w:ascii="Times New Roman" w:hAnsi="Times New Roman" w:eastAsia="Times New Roman" w:cs="Times New Roman"/>
        <w:spacing w:val="-120"/>
        <w:w w:val="100"/>
        <w:sz w:val="24"/>
        <w:szCs w:val="24"/>
        <w:lang w:val="en-US" w:eastAsia="zh-CN" w:bidi="ar-SA"/>
      </w:rPr>
    </w:lvl>
    <w:lvl w:ilvl="1" w:tentative="0">
      <w:start w:val="0"/>
      <w:numFmt w:val="bullet"/>
      <w:lvlText w:val="•"/>
      <w:lvlJc w:val="left"/>
      <w:pPr>
        <w:ind w:left="2036" w:hanging="300"/>
      </w:pPr>
      <w:rPr>
        <w:rFonts w:hint="default"/>
        <w:lang w:val="en-US" w:eastAsia="zh-CN" w:bidi="ar-SA"/>
      </w:rPr>
    </w:lvl>
    <w:lvl w:ilvl="2" w:tentative="0">
      <w:start w:val="0"/>
      <w:numFmt w:val="bullet"/>
      <w:lvlText w:val="•"/>
      <w:lvlJc w:val="left"/>
      <w:pPr>
        <w:ind w:left="2873" w:hanging="300"/>
      </w:pPr>
      <w:rPr>
        <w:rFonts w:hint="default"/>
        <w:lang w:val="en-US" w:eastAsia="zh-CN" w:bidi="ar-SA"/>
      </w:rPr>
    </w:lvl>
    <w:lvl w:ilvl="3" w:tentative="0">
      <w:start w:val="0"/>
      <w:numFmt w:val="bullet"/>
      <w:lvlText w:val="•"/>
      <w:lvlJc w:val="left"/>
      <w:pPr>
        <w:ind w:left="3709" w:hanging="300"/>
      </w:pPr>
      <w:rPr>
        <w:rFonts w:hint="default"/>
        <w:lang w:val="en-US" w:eastAsia="zh-CN" w:bidi="ar-SA"/>
      </w:rPr>
    </w:lvl>
    <w:lvl w:ilvl="4" w:tentative="0">
      <w:start w:val="0"/>
      <w:numFmt w:val="bullet"/>
      <w:lvlText w:val="•"/>
      <w:lvlJc w:val="left"/>
      <w:pPr>
        <w:ind w:left="4546" w:hanging="300"/>
      </w:pPr>
      <w:rPr>
        <w:rFonts w:hint="default"/>
        <w:lang w:val="en-US" w:eastAsia="zh-CN" w:bidi="ar-SA"/>
      </w:rPr>
    </w:lvl>
    <w:lvl w:ilvl="5" w:tentative="0">
      <w:start w:val="0"/>
      <w:numFmt w:val="bullet"/>
      <w:lvlText w:val="•"/>
      <w:lvlJc w:val="left"/>
      <w:pPr>
        <w:ind w:left="5383" w:hanging="300"/>
      </w:pPr>
      <w:rPr>
        <w:rFonts w:hint="default"/>
        <w:lang w:val="en-US" w:eastAsia="zh-CN" w:bidi="ar-SA"/>
      </w:rPr>
    </w:lvl>
    <w:lvl w:ilvl="6" w:tentative="0">
      <w:start w:val="0"/>
      <w:numFmt w:val="bullet"/>
      <w:lvlText w:val="•"/>
      <w:lvlJc w:val="left"/>
      <w:pPr>
        <w:ind w:left="6219" w:hanging="300"/>
      </w:pPr>
      <w:rPr>
        <w:rFonts w:hint="default"/>
        <w:lang w:val="en-US" w:eastAsia="zh-CN" w:bidi="ar-SA"/>
      </w:rPr>
    </w:lvl>
    <w:lvl w:ilvl="7" w:tentative="0">
      <w:start w:val="0"/>
      <w:numFmt w:val="bullet"/>
      <w:lvlText w:val="•"/>
      <w:lvlJc w:val="left"/>
      <w:pPr>
        <w:ind w:left="7056" w:hanging="300"/>
      </w:pPr>
      <w:rPr>
        <w:rFonts w:hint="default"/>
        <w:lang w:val="en-US" w:eastAsia="zh-CN" w:bidi="ar-SA"/>
      </w:rPr>
    </w:lvl>
    <w:lvl w:ilvl="8" w:tentative="0">
      <w:start w:val="0"/>
      <w:numFmt w:val="bullet"/>
      <w:lvlText w:val="•"/>
      <w:lvlJc w:val="left"/>
      <w:pPr>
        <w:ind w:left="7893" w:hanging="300"/>
      </w:pPr>
      <w:rPr>
        <w:rFonts w:hint="default"/>
        <w:lang w:val="en-US" w:eastAsia="zh-CN" w:bidi="ar-SA"/>
      </w:rPr>
    </w:lvl>
  </w:abstractNum>
  <w:abstractNum w:abstractNumId="35">
    <w:nsid w:val="03A63A41"/>
    <w:multiLevelType w:val="multilevel"/>
    <w:tmpl w:val="03A63A41"/>
    <w:lvl w:ilvl="0" w:tentative="0">
      <w:start w:val="1"/>
      <w:numFmt w:val="decimal"/>
      <w:lvlText w:val="（%1）"/>
      <w:lvlJc w:val="left"/>
      <w:pPr>
        <w:ind w:left="1416" w:hanging="553"/>
      </w:pPr>
      <w:rPr>
        <w:rFonts w:hint="default" w:ascii="宋体" w:hAnsi="宋体" w:eastAsia="宋体" w:cs="宋体"/>
        <w:spacing w:val="-3"/>
        <w:w w:val="100"/>
        <w:sz w:val="20"/>
        <w:szCs w:val="20"/>
        <w:lang w:val="en-US" w:eastAsia="zh-CN" w:bidi="ar-SA"/>
      </w:rPr>
    </w:lvl>
    <w:lvl w:ilvl="1" w:tentative="0">
      <w:start w:val="0"/>
      <w:numFmt w:val="bullet"/>
      <w:lvlText w:val="•"/>
      <w:lvlJc w:val="left"/>
      <w:pPr>
        <w:ind w:left="2234" w:hanging="553"/>
      </w:pPr>
      <w:rPr>
        <w:rFonts w:hint="default"/>
        <w:lang w:val="en-US" w:eastAsia="zh-CN" w:bidi="ar-SA"/>
      </w:rPr>
    </w:lvl>
    <w:lvl w:ilvl="2" w:tentative="0">
      <w:start w:val="0"/>
      <w:numFmt w:val="bullet"/>
      <w:lvlText w:val="•"/>
      <w:lvlJc w:val="left"/>
      <w:pPr>
        <w:ind w:left="3049" w:hanging="553"/>
      </w:pPr>
      <w:rPr>
        <w:rFonts w:hint="default"/>
        <w:lang w:val="en-US" w:eastAsia="zh-CN" w:bidi="ar-SA"/>
      </w:rPr>
    </w:lvl>
    <w:lvl w:ilvl="3" w:tentative="0">
      <w:start w:val="0"/>
      <w:numFmt w:val="bullet"/>
      <w:lvlText w:val="•"/>
      <w:lvlJc w:val="left"/>
      <w:pPr>
        <w:ind w:left="3863" w:hanging="553"/>
      </w:pPr>
      <w:rPr>
        <w:rFonts w:hint="default"/>
        <w:lang w:val="en-US" w:eastAsia="zh-CN" w:bidi="ar-SA"/>
      </w:rPr>
    </w:lvl>
    <w:lvl w:ilvl="4" w:tentative="0">
      <w:start w:val="0"/>
      <w:numFmt w:val="bullet"/>
      <w:lvlText w:val="•"/>
      <w:lvlJc w:val="left"/>
      <w:pPr>
        <w:ind w:left="4678" w:hanging="553"/>
      </w:pPr>
      <w:rPr>
        <w:rFonts w:hint="default"/>
        <w:lang w:val="en-US" w:eastAsia="zh-CN" w:bidi="ar-SA"/>
      </w:rPr>
    </w:lvl>
    <w:lvl w:ilvl="5" w:tentative="0">
      <w:start w:val="0"/>
      <w:numFmt w:val="bullet"/>
      <w:lvlText w:val="•"/>
      <w:lvlJc w:val="left"/>
      <w:pPr>
        <w:ind w:left="5493" w:hanging="553"/>
      </w:pPr>
      <w:rPr>
        <w:rFonts w:hint="default"/>
        <w:lang w:val="en-US" w:eastAsia="zh-CN" w:bidi="ar-SA"/>
      </w:rPr>
    </w:lvl>
    <w:lvl w:ilvl="6" w:tentative="0">
      <w:start w:val="0"/>
      <w:numFmt w:val="bullet"/>
      <w:lvlText w:val="•"/>
      <w:lvlJc w:val="left"/>
      <w:pPr>
        <w:ind w:left="6307" w:hanging="553"/>
      </w:pPr>
      <w:rPr>
        <w:rFonts w:hint="default"/>
        <w:lang w:val="en-US" w:eastAsia="zh-CN" w:bidi="ar-SA"/>
      </w:rPr>
    </w:lvl>
    <w:lvl w:ilvl="7" w:tentative="0">
      <w:start w:val="0"/>
      <w:numFmt w:val="bullet"/>
      <w:lvlText w:val="•"/>
      <w:lvlJc w:val="left"/>
      <w:pPr>
        <w:ind w:left="7122" w:hanging="553"/>
      </w:pPr>
      <w:rPr>
        <w:rFonts w:hint="default"/>
        <w:lang w:val="en-US" w:eastAsia="zh-CN" w:bidi="ar-SA"/>
      </w:rPr>
    </w:lvl>
    <w:lvl w:ilvl="8" w:tentative="0">
      <w:start w:val="0"/>
      <w:numFmt w:val="bullet"/>
      <w:lvlText w:val="•"/>
      <w:lvlJc w:val="left"/>
      <w:pPr>
        <w:ind w:left="7937" w:hanging="553"/>
      </w:pPr>
      <w:rPr>
        <w:rFonts w:hint="default"/>
        <w:lang w:val="en-US" w:eastAsia="zh-CN" w:bidi="ar-SA"/>
      </w:rPr>
    </w:lvl>
  </w:abstractNum>
  <w:abstractNum w:abstractNumId="36">
    <w:nsid w:val="0DBB5DAD"/>
    <w:multiLevelType w:val="singleLevel"/>
    <w:tmpl w:val="0DBB5DAD"/>
    <w:lvl w:ilvl="0" w:tentative="0">
      <w:start w:val="1"/>
      <w:numFmt w:val="decimal"/>
      <w:suff w:val="nothing"/>
      <w:lvlText w:val="（%1）"/>
      <w:lvlJc w:val="left"/>
    </w:lvl>
  </w:abstractNum>
  <w:abstractNum w:abstractNumId="37">
    <w:nsid w:val="0F9F9CCA"/>
    <w:multiLevelType w:val="multilevel"/>
    <w:tmpl w:val="0F9F9CCA"/>
    <w:lvl w:ilvl="0" w:tentative="0">
      <w:start w:val="1"/>
      <w:numFmt w:val="decimal"/>
      <w:lvlText w:val="（%1）"/>
      <w:lvlJc w:val="left"/>
      <w:pPr>
        <w:ind w:left="424" w:hanging="553"/>
      </w:pPr>
      <w:rPr>
        <w:rFonts w:hint="default" w:ascii="宋体" w:hAnsi="宋体" w:eastAsia="宋体" w:cs="宋体"/>
        <w:spacing w:val="-5"/>
        <w:w w:val="100"/>
        <w:sz w:val="20"/>
        <w:szCs w:val="20"/>
        <w:lang w:val="en-US" w:eastAsia="zh-CN" w:bidi="ar-SA"/>
      </w:rPr>
    </w:lvl>
    <w:lvl w:ilvl="1" w:tentative="0">
      <w:start w:val="0"/>
      <w:numFmt w:val="bullet"/>
      <w:lvlText w:val="•"/>
      <w:lvlJc w:val="left"/>
      <w:pPr>
        <w:ind w:left="1334" w:hanging="553"/>
      </w:pPr>
      <w:rPr>
        <w:rFonts w:hint="default"/>
        <w:lang w:val="en-US" w:eastAsia="zh-CN" w:bidi="ar-SA"/>
      </w:rPr>
    </w:lvl>
    <w:lvl w:ilvl="2" w:tentative="0">
      <w:start w:val="0"/>
      <w:numFmt w:val="bullet"/>
      <w:lvlText w:val="•"/>
      <w:lvlJc w:val="left"/>
      <w:pPr>
        <w:ind w:left="2249" w:hanging="553"/>
      </w:pPr>
      <w:rPr>
        <w:rFonts w:hint="default"/>
        <w:lang w:val="en-US" w:eastAsia="zh-CN" w:bidi="ar-SA"/>
      </w:rPr>
    </w:lvl>
    <w:lvl w:ilvl="3" w:tentative="0">
      <w:start w:val="0"/>
      <w:numFmt w:val="bullet"/>
      <w:lvlText w:val="•"/>
      <w:lvlJc w:val="left"/>
      <w:pPr>
        <w:ind w:left="3163" w:hanging="553"/>
      </w:pPr>
      <w:rPr>
        <w:rFonts w:hint="default"/>
        <w:lang w:val="en-US" w:eastAsia="zh-CN" w:bidi="ar-SA"/>
      </w:rPr>
    </w:lvl>
    <w:lvl w:ilvl="4" w:tentative="0">
      <w:start w:val="0"/>
      <w:numFmt w:val="bullet"/>
      <w:lvlText w:val="•"/>
      <w:lvlJc w:val="left"/>
      <w:pPr>
        <w:ind w:left="4078" w:hanging="553"/>
      </w:pPr>
      <w:rPr>
        <w:rFonts w:hint="default"/>
        <w:lang w:val="en-US" w:eastAsia="zh-CN" w:bidi="ar-SA"/>
      </w:rPr>
    </w:lvl>
    <w:lvl w:ilvl="5" w:tentative="0">
      <w:start w:val="0"/>
      <w:numFmt w:val="bullet"/>
      <w:lvlText w:val="•"/>
      <w:lvlJc w:val="left"/>
      <w:pPr>
        <w:ind w:left="4993" w:hanging="553"/>
      </w:pPr>
      <w:rPr>
        <w:rFonts w:hint="default"/>
        <w:lang w:val="en-US" w:eastAsia="zh-CN" w:bidi="ar-SA"/>
      </w:rPr>
    </w:lvl>
    <w:lvl w:ilvl="6" w:tentative="0">
      <w:start w:val="0"/>
      <w:numFmt w:val="bullet"/>
      <w:lvlText w:val="•"/>
      <w:lvlJc w:val="left"/>
      <w:pPr>
        <w:ind w:left="5907" w:hanging="553"/>
      </w:pPr>
      <w:rPr>
        <w:rFonts w:hint="default"/>
        <w:lang w:val="en-US" w:eastAsia="zh-CN" w:bidi="ar-SA"/>
      </w:rPr>
    </w:lvl>
    <w:lvl w:ilvl="7" w:tentative="0">
      <w:start w:val="0"/>
      <w:numFmt w:val="bullet"/>
      <w:lvlText w:val="•"/>
      <w:lvlJc w:val="left"/>
      <w:pPr>
        <w:ind w:left="6822" w:hanging="553"/>
      </w:pPr>
      <w:rPr>
        <w:rFonts w:hint="default"/>
        <w:lang w:val="en-US" w:eastAsia="zh-CN" w:bidi="ar-SA"/>
      </w:rPr>
    </w:lvl>
    <w:lvl w:ilvl="8" w:tentative="0">
      <w:start w:val="0"/>
      <w:numFmt w:val="bullet"/>
      <w:lvlText w:val="•"/>
      <w:lvlJc w:val="left"/>
      <w:pPr>
        <w:ind w:left="7737" w:hanging="553"/>
      </w:pPr>
      <w:rPr>
        <w:rFonts w:hint="default"/>
        <w:lang w:val="en-US" w:eastAsia="zh-CN" w:bidi="ar-SA"/>
      </w:rPr>
    </w:lvl>
  </w:abstractNum>
  <w:abstractNum w:abstractNumId="38">
    <w:nsid w:val="10D591E5"/>
    <w:multiLevelType w:val="multilevel"/>
    <w:tmpl w:val="10D591E5"/>
    <w:lvl w:ilvl="0" w:tentative="0">
      <w:start w:val="1"/>
      <w:numFmt w:val="decimal"/>
      <w:lvlText w:val="（%1）"/>
      <w:lvlJc w:val="left"/>
      <w:pPr>
        <w:ind w:left="1416" w:hanging="553"/>
      </w:pPr>
      <w:rPr>
        <w:rFonts w:hint="default" w:ascii="宋体" w:hAnsi="宋体" w:eastAsia="宋体" w:cs="宋体"/>
        <w:spacing w:val="-3"/>
        <w:w w:val="100"/>
        <w:sz w:val="20"/>
        <w:szCs w:val="20"/>
        <w:lang w:val="en-US" w:eastAsia="zh-CN" w:bidi="ar-SA"/>
      </w:rPr>
    </w:lvl>
    <w:lvl w:ilvl="1" w:tentative="0">
      <w:start w:val="0"/>
      <w:numFmt w:val="bullet"/>
      <w:lvlText w:val="•"/>
      <w:lvlJc w:val="left"/>
      <w:pPr>
        <w:ind w:left="2234" w:hanging="553"/>
      </w:pPr>
      <w:rPr>
        <w:rFonts w:hint="default"/>
        <w:lang w:val="en-US" w:eastAsia="zh-CN" w:bidi="ar-SA"/>
      </w:rPr>
    </w:lvl>
    <w:lvl w:ilvl="2" w:tentative="0">
      <w:start w:val="0"/>
      <w:numFmt w:val="bullet"/>
      <w:lvlText w:val="•"/>
      <w:lvlJc w:val="left"/>
      <w:pPr>
        <w:ind w:left="3049" w:hanging="553"/>
      </w:pPr>
      <w:rPr>
        <w:rFonts w:hint="default"/>
        <w:lang w:val="en-US" w:eastAsia="zh-CN" w:bidi="ar-SA"/>
      </w:rPr>
    </w:lvl>
    <w:lvl w:ilvl="3" w:tentative="0">
      <w:start w:val="0"/>
      <w:numFmt w:val="bullet"/>
      <w:lvlText w:val="•"/>
      <w:lvlJc w:val="left"/>
      <w:pPr>
        <w:ind w:left="3863" w:hanging="553"/>
      </w:pPr>
      <w:rPr>
        <w:rFonts w:hint="default"/>
        <w:lang w:val="en-US" w:eastAsia="zh-CN" w:bidi="ar-SA"/>
      </w:rPr>
    </w:lvl>
    <w:lvl w:ilvl="4" w:tentative="0">
      <w:start w:val="0"/>
      <w:numFmt w:val="bullet"/>
      <w:lvlText w:val="•"/>
      <w:lvlJc w:val="left"/>
      <w:pPr>
        <w:ind w:left="4678" w:hanging="553"/>
      </w:pPr>
      <w:rPr>
        <w:rFonts w:hint="default"/>
        <w:lang w:val="en-US" w:eastAsia="zh-CN" w:bidi="ar-SA"/>
      </w:rPr>
    </w:lvl>
    <w:lvl w:ilvl="5" w:tentative="0">
      <w:start w:val="0"/>
      <w:numFmt w:val="bullet"/>
      <w:lvlText w:val="•"/>
      <w:lvlJc w:val="left"/>
      <w:pPr>
        <w:ind w:left="5493" w:hanging="553"/>
      </w:pPr>
      <w:rPr>
        <w:rFonts w:hint="default"/>
        <w:lang w:val="en-US" w:eastAsia="zh-CN" w:bidi="ar-SA"/>
      </w:rPr>
    </w:lvl>
    <w:lvl w:ilvl="6" w:tentative="0">
      <w:start w:val="0"/>
      <w:numFmt w:val="bullet"/>
      <w:lvlText w:val="•"/>
      <w:lvlJc w:val="left"/>
      <w:pPr>
        <w:ind w:left="6307" w:hanging="553"/>
      </w:pPr>
      <w:rPr>
        <w:rFonts w:hint="default"/>
        <w:lang w:val="en-US" w:eastAsia="zh-CN" w:bidi="ar-SA"/>
      </w:rPr>
    </w:lvl>
    <w:lvl w:ilvl="7" w:tentative="0">
      <w:start w:val="0"/>
      <w:numFmt w:val="bullet"/>
      <w:lvlText w:val="•"/>
      <w:lvlJc w:val="left"/>
      <w:pPr>
        <w:ind w:left="7122" w:hanging="553"/>
      </w:pPr>
      <w:rPr>
        <w:rFonts w:hint="default"/>
        <w:lang w:val="en-US" w:eastAsia="zh-CN" w:bidi="ar-SA"/>
      </w:rPr>
    </w:lvl>
    <w:lvl w:ilvl="8" w:tentative="0">
      <w:start w:val="0"/>
      <w:numFmt w:val="bullet"/>
      <w:lvlText w:val="•"/>
      <w:lvlJc w:val="left"/>
      <w:pPr>
        <w:ind w:left="7937" w:hanging="553"/>
      </w:pPr>
      <w:rPr>
        <w:rFonts w:hint="default"/>
        <w:lang w:val="en-US" w:eastAsia="zh-CN" w:bidi="ar-SA"/>
      </w:rPr>
    </w:lvl>
  </w:abstractNum>
  <w:abstractNum w:abstractNumId="39">
    <w:nsid w:val="12EADF99"/>
    <w:multiLevelType w:val="multilevel"/>
    <w:tmpl w:val="12EADF99"/>
    <w:lvl w:ilvl="0" w:tentative="0">
      <w:start w:val="1"/>
      <w:numFmt w:val="decimal"/>
      <w:lvlText w:val="（%1）"/>
      <w:lvlJc w:val="left"/>
      <w:pPr>
        <w:ind w:left="1416" w:hanging="553"/>
      </w:pPr>
      <w:rPr>
        <w:rFonts w:hint="default" w:ascii="宋体" w:hAnsi="宋体" w:eastAsia="宋体" w:cs="宋体"/>
        <w:spacing w:val="-3"/>
        <w:w w:val="100"/>
        <w:sz w:val="20"/>
        <w:szCs w:val="20"/>
        <w:lang w:val="en-US" w:eastAsia="zh-CN" w:bidi="ar-SA"/>
      </w:rPr>
    </w:lvl>
    <w:lvl w:ilvl="1" w:tentative="0">
      <w:start w:val="0"/>
      <w:numFmt w:val="bullet"/>
      <w:lvlText w:val="•"/>
      <w:lvlJc w:val="left"/>
      <w:pPr>
        <w:ind w:left="2234" w:hanging="553"/>
      </w:pPr>
      <w:rPr>
        <w:rFonts w:hint="default"/>
        <w:lang w:val="en-US" w:eastAsia="zh-CN" w:bidi="ar-SA"/>
      </w:rPr>
    </w:lvl>
    <w:lvl w:ilvl="2" w:tentative="0">
      <w:start w:val="0"/>
      <w:numFmt w:val="bullet"/>
      <w:lvlText w:val="•"/>
      <w:lvlJc w:val="left"/>
      <w:pPr>
        <w:ind w:left="3049" w:hanging="553"/>
      </w:pPr>
      <w:rPr>
        <w:rFonts w:hint="default"/>
        <w:lang w:val="en-US" w:eastAsia="zh-CN" w:bidi="ar-SA"/>
      </w:rPr>
    </w:lvl>
    <w:lvl w:ilvl="3" w:tentative="0">
      <w:start w:val="0"/>
      <w:numFmt w:val="bullet"/>
      <w:lvlText w:val="•"/>
      <w:lvlJc w:val="left"/>
      <w:pPr>
        <w:ind w:left="3863" w:hanging="553"/>
      </w:pPr>
      <w:rPr>
        <w:rFonts w:hint="default"/>
        <w:lang w:val="en-US" w:eastAsia="zh-CN" w:bidi="ar-SA"/>
      </w:rPr>
    </w:lvl>
    <w:lvl w:ilvl="4" w:tentative="0">
      <w:start w:val="0"/>
      <w:numFmt w:val="bullet"/>
      <w:lvlText w:val="•"/>
      <w:lvlJc w:val="left"/>
      <w:pPr>
        <w:ind w:left="4678" w:hanging="553"/>
      </w:pPr>
      <w:rPr>
        <w:rFonts w:hint="default"/>
        <w:lang w:val="en-US" w:eastAsia="zh-CN" w:bidi="ar-SA"/>
      </w:rPr>
    </w:lvl>
    <w:lvl w:ilvl="5" w:tentative="0">
      <w:start w:val="0"/>
      <w:numFmt w:val="bullet"/>
      <w:lvlText w:val="•"/>
      <w:lvlJc w:val="left"/>
      <w:pPr>
        <w:ind w:left="5493" w:hanging="553"/>
      </w:pPr>
      <w:rPr>
        <w:rFonts w:hint="default"/>
        <w:lang w:val="en-US" w:eastAsia="zh-CN" w:bidi="ar-SA"/>
      </w:rPr>
    </w:lvl>
    <w:lvl w:ilvl="6" w:tentative="0">
      <w:start w:val="0"/>
      <w:numFmt w:val="bullet"/>
      <w:lvlText w:val="•"/>
      <w:lvlJc w:val="left"/>
      <w:pPr>
        <w:ind w:left="6307" w:hanging="553"/>
      </w:pPr>
      <w:rPr>
        <w:rFonts w:hint="default"/>
        <w:lang w:val="en-US" w:eastAsia="zh-CN" w:bidi="ar-SA"/>
      </w:rPr>
    </w:lvl>
    <w:lvl w:ilvl="7" w:tentative="0">
      <w:start w:val="0"/>
      <w:numFmt w:val="bullet"/>
      <w:lvlText w:val="•"/>
      <w:lvlJc w:val="left"/>
      <w:pPr>
        <w:ind w:left="7122" w:hanging="553"/>
      </w:pPr>
      <w:rPr>
        <w:rFonts w:hint="default"/>
        <w:lang w:val="en-US" w:eastAsia="zh-CN" w:bidi="ar-SA"/>
      </w:rPr>
    </w:lvl>
    <w:lvl w:ilvl="8" w:tentative="0">
      <w:start w:val="0"/>
      <w:numFmt w:val="bullet"/>
      <w:lvlText w:val="•"/>
      <w:lvlJc w:val="left"/>
      <w:pPr>
        <w:ind w:left="7937" w:hanging="553"/>
      </w:pPr>
      <w:rPr>
        <w:rFonts w:hint="default"/>
        <w:lang w:val="en-US" w:eastAsia="zh-CN" w:bidi="ar-SA"/>
      </w:rPr>
    </w:lvl>
  </w:abstractNum>
  <w:abstractNum w:abstractNumId="40">
    <w:nsid w:val="1450273B"/>
    <w:multiLevelType w:val="multilevel"/>
    <w:tmpl w:val="1450273B"/>
    <w:lvl w:ilvl="0" w:tentative="0">
      <w:start w:val="1"/>
      <w:numFmt w:val="decimal"/>
      <w:lvlText w:val="(%1)"/>
      <w:lvlJc w:val="left"/>
      <w:pPr>
        <w:ind w:left="1444" w:hanging="300"/>
      </w:pPr>
      <w:rPr>
        <w:rFonts w:hint="default" w:ascii="PMingLiU" w:hAnsi="PMingLiU" w:eastAsia="PMingLiU" w:cs="PMingLiU"/>
        <w:w w:val="111"/>
        <w:sz w:val="22"/>
        <w:szCs w:val="22"/>
        <w:lang w:val="en-US" w:eastAsia="zh-CN" w:bidi="ar-SA"/>
      </w:rPr>
    </w:lvl>
    <w:lvl w:ilvl="1" w:tentative="0">
      <w:start w:val="0"/>
      <w:numFmt w:val="bullet"/>
      <w:lvlText w:val="•"/>
      <w:lvlJc w:val="left"/>
      <w:pPr>
        <w:ind w:left="2252" w:hanging="300"/>
      </w:pPr>
      <w:rPr>
        <w:rFonts w:hint="default"/>
        <w:lang w:val="en-US" w:eastAsia="zh-CN" w:bidi="ar-SA"/>
      </w:rPr>
    </w:lvl>
    <w:lvl w:ilvl="2" w:tentative="0">
      <w:start w:val="0"/>
      <w:numFmt w:val="bullet"/>
      <w:lvlText w:val="•"/>
      <w:lvlJc w:val="left"/>
      <w:pPr>
        <w:ind w:left="3065" w:hanging="300"/>
      </w:pPr>
      <w:rPr>
        <w:rFonts w:hint="default"/>
        <w:lang w:val="en-US" w:eastAsia="zh-CN" w:bidi="ar-SA"/>
      </w:rPr>
    </w:lvl>
    <w:lvl w:ilvl="3" w:tentative="0">
      <w:start w:val="0"/>
      <w:numFmt w:val="bullet"/>
      <w:lvlText w:val="•"/>
      <w:lvlJc w:val="left"/>
      <w:pPr>
        <w:ind w:left="3877" w:hanging="300"/>
      </w:pPr>
      <w:rPr>
        <w:rFonts w:hint="default"/>
        <w:lang w:val="en-US" w:eastAsia="zh-CN" w:bidi="ar-SA"/>
      </w:rPr>
    </w:lvl>
    <w:lvl w:ilvl="4" w:tentative="0">
      <w:start w:val="0"/>
      <w:numFmt w:val="bullet"/>
      <w:lvlText w:val="•"/>
      <w:lvlJc w:val="left"/>
      <w:pPr>
        <w:ind w:left="4690" w:hanging="300"/>
      </w:pPr>
      <w:rPr>
        <w:rFonts w:hint="default"/>
        <w:lang w:val="en-US" w:eastAsia="zh-CN" w:bidi="ar-SA"/>
      </w:rPr>
    </w:lvl>
    <w:lvl w:ilvl="5" w:tentative="0">
      <w:start w:val="0"/>
      <w:numFmt w:val="bullet"/>
      <w:lvlText w:val="•"/>
      <w:lvlJc w:val="left"/>
      <w:pPr>
        <w:ind w:left="5503" w:hanging="300"/>
      </w:pPr>
      <w:rPr>
        <w:rFonts w:hint="default"/>
        <w:lang w:val="en-US" w:eastAsia="zh-CN" w:bidi="ar-SA"/>
      </w:rPr>
    </w:lvl>
    <w:lvl w:ilvl="6" w:tentative="0">
      <w:start w:val="0"/>
      <w:numFmt w:val="bullet"/>
      <w:lvlText w:val="•"/>
      <w:lvlJc w:val="left"/>
      <w:pPr>
        <w:ind w:left="6315" w:hanging="300"/>
      </w:pPr>
      <w:rPr>
        <w:rFonts w:hint="default"/>
        <w:lang w:val="en-US" w:eastAsia="zh-CN" w:bidi="ar-SA"/>
      </w:rPr>
    </w:lvl>
    <w:lvl w:ilvl="7" w:tentative="0">
      <w:start w:val="0"/>
      <w:numFmt w:val="bullet"/>
      <w:lvlText w:val="•"/>
      <w:lvlJc w:val="left"/>
      <w:pPr>
        <w:ind w:left="7128" w:hanging="300"/>
      </w:pPr>
      <w:rPr>
        <w:rFonts w:hint="default"/>
        <w:lang w:val="en-US" w:eastAsia="zh-CN" w:bidi="ar-SA"/>
      </w:rPr>
    </w:lvl>
    <w:lvl w:ilvl="8" w:tentative="0">
      <w:start w:val="0"/>
      <w:numFmt w:val="bullet"/>
      <w:lvlText w:val="•"/>
      <w:lvlJc w:val="left"/>
      <w:pPr>
        <w:ind w:left="7941" w:hanging="300"/>
      </w:pPr>
      <w:rPr>
        <w:rFonts w:hint="default"/>
        <w:lang w:val="en-US" w:eastAsia="zh-CN" w:bidi="ar-SA"/>
      </w:rPr>
    </w:lvl>
  </w:abstractNum>
  <w:abstractNum w:abstractNumId="41">
    <w:nsid w:val="18F74015"/>
    <w:multiLevelType w:val="multilevel"/>
    <w:tmpl w:val="18F74015"/>
    <w:lvl w:ilvl="0" w:tentative="0">
      <w:start w:val="1"/>
      <w:numFmt w:val="decimal"/>
      <w:lvlText w:val="%1"/>
      <w:lvlJc w:val="left"/>
      <w:pPr>
        <w:ind w:left="914" w:hanging="490"/>
      </w:pPr>
      <w:rPr>
        <w:rFonts w:hint="default"/>
        <w:lang w:val="en-US" w:eastAsia="zh-CN" w:bidi="ar-SA"/>
      </w:rPr>
    </w:lvl>
    <w:lvl w:ilvl="1" w:tentative="0">
      <w:start w:val="8"/>
      <w:numFmt w:val="decimal"/>
      <w:lvlText w:val="%1.%2"/>
      <w:lvlJc w:val="left"/>
      <w:pPr>
        <w:ind w:left="914" w:hanging="490"/>
      </w:pPr>
      <w:rPr>
        <w:rFonts w:hint="default" w:ascii="Times New Roman" w:hAnsi="Times New Roman" w:eastAsia="Times New Roman" w:cs="Times New Roman"/>
        <w:b/>
        <w:bCs/>
        <w:w w:val="100"/>
        <w:sz w:val="28"/>
        <w:szCs w:val="28"/>
        <w:lang w:val="en-US" w:eastAsia="zh-CN" w:bidi="ar-SA"/>
      </w:rPr>
    </w:lvl>
    <w:lvl w:ilvl="2" w:tentative="0">
      <w:start w:val="1"/>
      <w:numFmt w:val="decimal"/>
      <w:lvlText w:val="%1.%2.%3"/>
      <w:lvlJc w:val="left"/>
      <w:pPr>
        <w:ind w:left="424" w:hanging="552"/>
      </w:pPr>
      <w:rPr>
        <w:rFonts w:hint="default" w:ascii="Times New Roman" w:hAnsi="Times New Roman" w:eastAsia="Times New Roman" w:cs="Times New Roman"/>
        <w:w w:val="99"/>
        <w:sz w:val="22"/>
        <w:szCs w:val="22"/>
        <w:lang w:val="en-US" w:eastAsia="zh-CN" w:bidi="ar-SA"/>
      </w:rPr>
    </w:lvl>
    <w:lvl w:ilvl="3" w:tentative="0">
      <w:start w:val="0"/>
      <w:numFmt w:val="bullet"/>
      <w:lvlText w:val="•"/>
      <w:lvlJc w:val="left"/>
      <w:pPr>
        <w:ind w:left="2841" w:hanging="552"/>
      </w:pPr>
      <w:rPr>
        <w:rFonts w:hint="default"/>
        <w:lang w:val="en-US" w:eastAsia="zh-CN" w:bidi="ar-SA"/>
      </w:rPr>
    </w:lvl>
    <w:lvl w:ilvl="4" w:tentative="0">
      <w:start w:val="0"/>
      <w:numFmt w:val="bullet"/>
      <w:lvlText w:val="•"/>
      <w:lvlJc w:val="left"/>
      <w:pPr>
        <w:ind w:left="3802" w:hanging="552"/>
      </w:pPr>
      <w:rPr>
        <w:rFonts w:hint="default"/>
        <w:lang w:val="en-US" w:eastAsia="zh-CN" w:bidi="ar-SA"/>
      </w:rPr>
    </w:lvl>
    <w:lvl w:ilvl="5" w:tentative="0">
      <w:start w:val="0"/>
      <w:numFmt w:val="bullet"/>
      <w:lvlText w:val="•"/>
      <w:lvlJc w:val="left"/>
      <w:pPr>
        <w:ind w:left="4762" w:hanging="552"/>
      </w:pPr>
      <w:rPr>
        <w:rFonts w:hint="default"/>
        <w:lang w:val="en-US" w:eastAsia="zh-CN" w:bidi="ar-SA"/>
      </w:rPr>
    </w:lvl>
    <w:lvl w:ilvl="6" w:tentative="0">
      <w:start w:val="0"/>
      <w:numFmt w:val="bullet"/>
      <w:lvlText w:val="•"/>
      <w:lvlJc w:val="left"/>
      <w:pPr>
        <w:ind w:left="5723" w:hanging="552"/>
      </w:pPr>
      <w:rPr>
        <w:rFonts w:hint="default"/>
        <w:lang w:val="en-US" w:eastAsia="zh-CN" w:bidi="ar-SA"/>
      </w:rPr>
    </w:lvl>
    <w:lvl w:ilvl="7" w:tentative="0">
      <w:start w:val="0"/>
      <w:numFmt w:val="bullet"/>
      <w:lvlText w:val="•"/>
      <w:lvlJc w:val="left"/>
      <w:pPr>
        <w:ind w:left="6684" w:hanging="552"/>
      </w:pPr>
      <w:rPr>
        <w:rFonts w:hint="default"/>
        <w:lang w:val="en-US" w:eastAsia="zh-CN" w:bidi="ar-SA"/>
      </w:rPr>
    </w:lvl>
    <w:lvl w:ilvl="8" w:tentative="0">
      <w:start w:val="0"/>
      <w:numFmt w:val="bullet"/>
      <w:lvlText w:val="•"/>
      <w:lvlJc w:val="left"/>
      <w:pPr>
        <w:ind w:left="7644" w:hanging="552"/>
      </w:pPr>
      <w:rPr>
        <w:rFonts w:hint="default"/>
        <w:lang w:val="en-US" w:eastAsia="zh-CN" w:bidi="ar-SA"/>
      </w:rPr>
    </w:lvl>
  </w:abstractNum>
  <w:abstractNum w:abstractNumId="42">
    <w:nsid w:val="1AD50295"/>
    <w:multiLevelType w:val="multilevel"/>
    <w:tmpl w:val="1AD50295"/>
    <w:lvl w:ilvl="0" w:tentative="0">
      <w:start w:val="1"/>
      <w:numFmt w:val="decimal"/>
      <w:lvlText w:val="（%1）"/>
      <w:lvlJc w:val="left"/>
      <w:pPr>
        <w:ind w:left="1642" w:hanging="601"/>
      </w:pPr>
      <w:rPr>
        <w:rFonts w:hint="default" w:ascii="宋体" w:hAnsi="宋体" w:eastAsia="宋体" w:cs="宋体"/>
        <w:w w:val="100"/>
        <w:sz w:val="22"/>
        <w:szCs w:val="22"/>
        <w:lang w:val="en-US" w:eastAsia="zh-CN" w:bidi="ar-SA"/>
      </w:rPr>
    </w:lvl>
    <w:lvl w:ilvl="1" w:tentative="0">
      <w:start w:val="0"/>
      <w:numFmt w:val="bullet"/>
      <w:lvlText w:val="•"/>
      <w:lvlJc w:val="left"/>
      <w:pPr>
        <w:ind w:left="2432" w:hanging="601"/>
      </w:pPr>
      <w:rPr>
        <w:rFonts w:hint="default"/>
        <w:lang w:val="en-US" w:eastAsia="zh-CN" w:bidi="ar-SA"/>
      </w:rPr>
    </w:lvl>
    <w:lvl w:ilvl="2" w:tentative="0">
      <w:start w:val="0"/>
      <w:numFmt w:val="bullet"/>
      <w:lvlText w:val="•"/>
      <w:lvlJc w:val="left"/>
      <w:pPr>
        <w:ind w:left="3225" w:hanging="601"/>
      </w:pPr>
      <w:rPr>
        <w:rFonts w:hint="default"/>
        <w:lang w:val="en-US" w:eastAsia="zh-CN" w:bidi="ar-SA"/>
      </w:rPr>
    </w:lvl>
    <w:lvl w:ilvl="3" w:tentative="0">
      <w:start w:val="0"/>
      <w:numFmt w:val="bullet"/>
      <w:lvlText w:val="•"/>
      <w:lvlJc w:val="left"/>
      <w:pPr>
        <w:ind w:left="4017" w:hanging="601"/>
      </w:pPr>
      <w:rPr>
        <w:rFonts w:hint="default"/>
        <w:lang w:val="en-US" w:eastAsia="zh-CN" w:bidi="ar-SA"/>
      </w:rPr>
    </w:lvl>
    <w:lvl w:ilvl="4" w:tentative="0">
      <w:start w:val="0"/>
      <w:numFmt w:val="bullet"/>
      <w:lvlText w:val="•"/>
      <w:lvlJc w:val="left"/>
      <w:pPr>
        <w:ind w:left="4810" w:hanging="601"/>
      </w:pPr>
      <w:rPr>
        <w:rFonts w:hint="default"/>
        <w:lang w:val="en-US" w:eastAsia="zh-CN" w:bidi="ar-SA"/>
      </w:rPr>
    </w:lvl>
    <w:lvl w:ilvl="5" w:tentative="0">
      <w:start w:val="0"/>
      <w:numFmt w:val="bullet"/>
      <w:lvlText w:val="•"/>
      <w:lvlJc w:val="left"/>
      <w:pPr>
        <w:ind w:left="5603" w:hanging="601"/>
      </w:pPr>
      <w:rPr>
        <w:rFonts w:hint="default"/>
        <w:lang w:val="en-US" w:eastAsia="zh-CN" w:bidi="ar-SA"/>
      </w:rPr>
    </w:lvl>
    <w:lvl w:ilvl="6" w:tentative="0">
      <w:start w:val="0"/>
      <w:numFmt w:val="bullet"/>
      <w:lvlText w:val="•"/>
      <w:lvlJc w:val="left"/>
      <w:pPr>
        <w:ind w:left="6395" w:hanging="601"/>
      </w:pPr>
      <w:rPr>
        <w:rFonts w:hint="default"/>
        <w:lang w:val="en-US" w:eastAsia="zh-CN" w:bidi="ar-SA"/>
      </w:rPr>
    </w:lvl>
    <w:lvl w:ilvl="7" w:tentative="0">
      <w:start w:val="0"/>
      <w:numFmt w:val="bullet"/>
      <w:lvlText w:val="•"/>
      <w:lvlJc w:val="left"/>
      <w:pPr>
        <w:ind w:left="7188" w:hanging="601"/>
      </w:pPr>
      <w:rPr>
        <w:rFonts w:hint="default"/>
        <w:lang w:val="en-US" w:eastAsia="zh-CN" w:bidi="ar-SA"/>
      </w:rPr>
    </w:lvl>
    <w:lvl w:ilvl="8" w:tentative="0">
      <w:start w:val="0"/>
      <w:numFmt w:val="bullet"/>
      <w:lvlText w:val="•"/>
      <w:lvlJc w:val="left"/>
      <w:pPr>
        <w:ind w:left="7981" w:hanging="601"/>
      </w:pPr>
      <w:rPr>
        <w:rFonts w:hint="default"/>
        <w:lang w:val="en-US" w:eastAsia="zh-CN" w:bidi="ar-SA"/>
      </w:rPr>
    </w:lvl>
  </w:abstractNum>
  <w:abstractNum w:abstractNumId="43">
    <w:nsid w:val="1BCBBCF0"/>
    <w:multiLevelType w:val="multilevel"/>
    <w:tmpl w:val="1BCBBCF0"/>
    <w:lvl w:ilvl="0" w:tentative="0">
      <w:start w:val="11"/>
      <w:numFmt w:val="decimal"/>
      <w:lvlText w:val="%1"/>
      <w:lvlJc w:val="left"/>
      <w:pPr>
        <w:ind w:left="1053" w:hanging="629"/>
      </w:pPr>
      <w:rPr>
        <w:rFonts w:hint="default"/>
        <w:lang w:val="en-US" w:eastAsia="zh-CN" w:bidi="ar-SA"/>
      </w:rPr>
    </w:lvl>
    <w:lvl w:ilvl="1" w:tentative="0">
      <w:start w:val="4"/>
      <w:numFmt w:val="decimal"/>
      <w:lvlText w:val="%1.%2"/>
      <w:lvlJc w:val="left"/>
      <w:pPr>
        <w:ind w:left="1053" w:hanging="629"/>
      </w:pPr>
      <w:rPr>
        <w:rFonts w:hint="default" w:ascii="Times New Roman" w:hAnsi="Times New Roman" w:eastAsia="Times New Roman" w:cs="Times New Roman"/>
        <w:b/>
        <w:bCs/>
        <w:spacing w:val="-4"/>
        <w:w w:val="100"/>
        <w:sz w:val="28"/>
        <w:szCs w:val="28"/>
        <w:lang w:val="en-US" w:eastAsia="zh-CN" w:bidi="ar-SA"/>
      </w:rPr>
    </w:lvl>
    <w:lvl w:ilvl="2" w:tentative="0">
      <w:start w:val="1"/>
      <w:numFmt w:val="decimal"/>
      <w:lvlText w:val="（%3）"/>
      <w:lvlJc w:val="left"/>
      <w:pPr>
        <w:ind w:left="424" w:hanging="553"/>
      </w:pPr>
      <w:rPr>
        <w:rFonts w:hint="default" w:ascii="宋体" w:hAnsi="宋体" w:eastAsia="宋体" w:cs="宋体"/>
        <w:spacing w:val="-12"/>
        <w:w w:val="100"/>
        <w:sz w:val="20"/>
        <w:szCs w:val="20"/>
        <w:lang w:val="en-US" w:eastAsia="zh-CN" w:bidi="ar-SA"/>
      </w:rPr>
    </w:lvl>
    <w:lvl w:ilvl="3" w:tentative="0">
      <w:start w:val="0"/>
      <w:numFmt w:val="bullet"/>
      <w:lvlText w:val="•"/>
      <w:lvlJc w:val="left"/>
      <w:pPr>
        <w:ind w:left="2950" w:hanging="553"/>
      </w:pPr>
      <w:rPr>
        <w:rFonts w:hint="default"/>
        <w:lang w:val="en-US" w:eastAsia="zh-CN" w:bidi="ar-SA"/>
      </w:rPr>
    </w:lvl>
    <w:lvl w:ilvl="4" w:tentative="0">
      <w:start w:val="0"/>
      <w:numFmt w:val="bullet"/>
      <w:lvlText w:val="•"/>
      <w:lvlJc w:val="left"/>
      <w:pPr>
        <w:ind w:left="3895" w:hanging="553"/>
      </w:pPr>
      <w:rPr>
        <w:rFonts w:hint="default"/>
        <w:lang w:val="en-US" w:eastAsia="zh-CN" w:bidi="ar-SA"/>
      </w:rPr>
    </w:lvl>
    <w:lvl w:ilvl="5" w:tentative="0">
      <w:start w:val="0"/>
      <w:numFmt w:val="bullet"/>
      <w:lvlText w:val="•"/>
      <w:lvlJc w:val="left"/>
      <w:pPr>
        <w:ind w:left="4840" w:hanging="553"/>
      </w:pPr>
      <w:rPr>
        <w:rFonts w:hint="default"/>
        <w:lang w:val="en-US" w:eastAsia="zh-CN" w:bidi="ar-SA"/>
      </w:rPr>
    </w:lvl>
    <w:lvl w:ilvl="6" w:tentative="0">
      <w:start w:val="0"/>
      <w:numFmt w:val="bullet"/>
      <w:lvlText w:val="•"/>
      <w:lvlJc w:val="left"/>
      <w:pPr>
        <w:ind w:left="5785" w:hanging="553"/>
      </w:pPr>
      <w:rPr>
        <w:rFonts w:hint="default"/>
        <w:lang w:val="en-US" w:eastAsia="zh-CN" w:bidi="ar-SA"/>
      </w:rPr>
    </w:lvl>
    <w:lvl w:ilvl="7" w:tentative="0">
      <w:start w:val="0"/>
      <w:numFmt w:val="bullet"/>
      <w:lvlText w:val="•"/>
      <w:lvlJc w:val="left"/>
      <w:pPr>
        <w:ind w:left="6730" w:hanging="553"/>
      </w:pPr>
      <w:rPr>
        <w:rFonts w:hint="default"/>
        <w:lang w:val="en-US" w:eastAsia="zh-CN" w:bidi="ar-SA"/>
      </w:rPr>
    </w:lvl>
    <w:lvl w:ilvl="8" w:tentative="0">
      <w:start w:val="0"/>
      <w:numFmt w:val="bullet"/>
      <w:lvlText w:val="•"/>
      <w:lvlJc w:val="left"/>
      <w:pPr>
        <w:ind w:left="7676" w:hanging="553"/>
      </w:pPr>
      <w:rPr>
        <w:rFonts w:hint="default"/>
        <w:lang w:val="en-US" w:eastAsia="zh-CN" w:bidi="ar-SA"/>
      </w:rPr>
    </w:lvl>
  </w:abstractNum>
  <w:abstractNum w:abstractNumId="44">
    <w:nsid w:val="23E97754"/>
    <w:multiLevelType w:val="multilevel"/>
    <w:tmpl w:val="23E97754"/>
    <w:lvl w:ilvl="0" w:tentative="0">
      <w:start w:val="1"/>
      <w:numFmt w:val="decimal"/>
      <w:lvlText w:val="%1."/>
      <w:lvlJc w:val="left"/>
      <w:pPr>
        <w:ind w:left="825" w:hanging="401"/>
      </w:pPr>
      <w:rPr>
        <w:rFonts w:hint="default" w:ascii="Times New Roman" w:hAnsi="Times New Roman" w:eastAsia="Times New Roman" w:cs="Times New Roman"/>
        <w:b/>
        <w:bCs/>
        <w:w w:val="95"/>
        <w:sz w:val="32"/>
        <w:szCs w:val="32"/>
        <w:lang w:val="en-US" w:eastAsia="zh-CN" w:bidi="ar-SA"/>
      </w:rPr>
    </w:lvl>
    <w:lvl w:ilvl="1" w:tentative="0">
      <w:start w:val="1"/>
      <w:numFmt w:val="decimal"/>
      <w:lvlText w:val="%1.%2"/>
      <w:lvlJc w:val="left"/>
      <w:pPr>
        <w:ind w:left="914" w:hanging="490"/>
      </w:pPr>
      <w:rPr>
        <w:rFonts w:hint="default" w:ascii="Times New Roman" w:hAnsi="Times New Roman" w:eastAsia="Times New Roman" w:cs="Times New Roman"/>
        <w:b/>
        <w:bCs/>
        <w:w w:val="99"/>
        <w:sz w:val="28"/>
        <w:szCs w:val="28"/>
        <w:lang w:val="en-US" w:eastAsia="zh-CN" w:bidi="ar-SA"/>
      </w:rPr>
    </w:lvl>
    <w:lvl w:ilvl="2" w:tentative="0">
      <w:start w:val="1"/>
      <w:numFmt w:val="decimal"/>
      <w:lvlText w:val="%1.%2.%3"/>
      <w:lvlJc w:val="left"/>
      <w:pPr>
        <w:ind w:left="1415" w:hanging="552"/>
      </w:pPr>
      <w:rPr>
        <w:rFonts w:hint="default" w:ascii="Times New Roman" w:hAnsi="Times New Roman" w:eastAsia="Times New Roman" w:cs="Times New Roman"/>
        <w:w w:val="98"/>
        <w:sz w:val="22"/>
        <w:szCs w:val="22"/>
        <w:lang w:val="en-US" w:eastAsia="zh-CN" w:bidi="ar-SA"/>
      </w:rPr>
    </w:lvl>
    <w:lvl w:ilvl="3" w:tentative="0">
      <w:start w:val="1"/>
      <w:numFmt w:val="decimal"/>
      <w:lvlText w:val="%1.%2.%3.%4"/>
      <w:lvlJc w:val="left"/>
      <w:pPr>
        <w:ind w:left="424" w:hanging="718"/>
      </w:pPr>
      <w:rPr>
        <w:rFonts w:hint="default" w:ascii="Times New Roman" w:hAnsi="Times New Roman" w:eastAsia="Times New Roman" w:cs="Times New Roman"/>
        <w:w w:val="99"/>
        <w:sz w:val="22"/>
        <w:szCs w:val="22"/>
        <w:lang w:val="en-US" w:eastAsia="zh-CN" w:bidi="ar-SA"/>
      </w:rPr>
    </w:lvl>
    <w:lvl w:ilvl="4" w:tentative="0">
      <w:start w:val="0"/>
      <w:numFmt w:val="bullet"/>
      <w:lvlText w:val="•"/>
      <w:lvlJc w:val="left"/>
      <w:pPr>
        <w:ind w:left="1420" w:hanging="718"/>
      </w:pPr>
      <w:rPr>
        <w:rFonts w:hint="default"/>
        <w:lang w:val="en-US" w:eastAsia="zh-CN" w:bidi="ar-SA"/>
      </w:rPr>
    </w:lvl>
    <w:lvl w:ilvl="5" w:tentative="0">
      <w:start w:val="0"/>
      <w:numFmt w:val="bullet"/>
      <w:lvlText w:val="•"/>
      <w:lvlJc w:val="left"/>
      <w:pPr>
        <w:ind w:left="1460" w:hanging="718"/>
      </w:pPr>
      <w:rPr>
        <w:rFonts w:hint="default"/>
        <w:lang w:val="en-US" w:eastAsia="zh-CN" w:bidi="ar-SA"/>
      </w:rPr>
    </w:lvl>
    <w:lvl w:ilvl="6" w:tentative="0">
      <w:start w:val="0"/>
      <w:numFmt w:val="bullet"/>
      <w:lvlText w:val="•"/>
      <w:lvlJc w:val="left"/>
      <w:pPr>
        <w:ind w:left="1580" w:hanging="718"/>
      </w:pPr>
      <w:rPr>
        <w:rFonts w:hint="default"/>
        <w:lang w:val="en-US" w:eastAsia="zh-CN" w:bidi="ar-SA"/>
      </w:rPr>
    </w:lvl>
    <w:lvl w:ilvl="7" w:tentative="0">
      <w:start w:val="0"/>
      <w:numFmt w:val="bullet"/>
      <w:lvlText w:val="•"/>
      <w:lvlJc w:val="left"/>
      <w:pPr>
        <w:ind w:left="3576" w:hanging="718"/>
      </w:pPr>
      <w:rPr>
        <w:rFonts w:hint="default"/>
        <w:lang w:val="en-US" w:eastAsia="zh-CN" w:bidi="ar-SA"/>
      </w:rPr>
    </w:lvl>
    <w:lvl w:ilvl="8" w:tentative="0">
      <w:start w:val="0"/>
      <w:numFmt w:val="bullet"/>
      <w:lvlText w:val="•"/>
      <w:lvlJc w:val="left"/>
      <w:pPr>
        <w:ind w:left="5573" w:hanging="718"/>
      </w:pPr>
      <w:rPr>
        <w:rFonts w:hint="default"/>
        <w:lang w:val="en-US" w:eastAsia="zh-CN" w:bidi="ar-SA"/>
      </w:rPr>
    </w:lvl>
  </w:abstractNum>
  <w:abstractNum w:abstractNumId="45">
    <w:nsid w:val="2F2D79CE"/>
    <w:multiLevelType w:val="multilevel"/>
    <w:tmpl w:val="2F2D79CE"/>
    <w:lvl w:ilvl="0" w:tentative="0">
      <w:start w:val="6"/>
      <w:numFmt w:val="decimal"/>
      <w:lvlText w:val="%1"/>
      <w:lvlJc w:val="left"/>
      <w:pPr>
        <w:ind w:left="914" w:hanging="490"/>
      </w:pPr>
      <w:rPr>
        <w:rFonts w:hint="default"/>
        <w:lang w:val="en-US" w:eastAsia="zh-CN" w:bidi="ar-SA"/>
      </w:rPr>
    </w:lvl>
    <w:lvl w:ilvl="1" w:tentative="0">
      <w:start w:val="4"/>
      <w:numFmt w:val="decimal"/>
      <w:lvlText w:val="%1.%2"/>
      <w:lvlJc w:val="left"/>
      <w:pPr>
        <w:ind w:left="914" w:hanging="490"/>
      </w:pPr>
      <w:rPr>
        <w:rFonts w:hint="default" w:ascii="Times New Roman" w:hAnsi="Times New Roman" w:eastAsia="Times New Roman" w:cs="Times New Roman"/>
        <w:b/>
        <w:bCs/>
        <w:w w:val="100"/>
        <w:sz w:val="28"/>
        <w:szCs w:val="28"/>
        <w:lang w:val="en-US" w:eastAsia="zh-CN" w:bidi="ar-SA"/>
      </w:rPr>
    </w:lvl>
    <w:lvl w:ilvl="2" w:tentative="0">
      <w:start w:val="1"/>
      <w:numFmt w:val="decimal"/>
      <w:lvlText w:val="%1.%2.%3"/>
      <w:lvlJc w:val="left"/>
      <w:pPr>
        <w:ind w:left="424" w:hanging="552"/>
      </w:pPr>
      <w:rPr>
        <w:rFonts w:hint="default" w:ascii="Times New Roman" w:hAnsi="Times New Roman" w:eastAsia="Times New Roman" w:cs="Times New Roman"/>
        <w:w w:val="99"/>
        <w:sz w:val="22"/>
        <w:szCs w:val="22"/>
        <w:lang w:val="en-US" w:eastAsia="zh-CN" w:bidi="ar-SA"/>
      </w:rPr>
    </w:lvl>
    <w:lvl w:ilvl="3" w:tentative="0">
      <w:start w:val="0"/>
      <w:numFmt w:val="bullet"/>
      <w:lvlText w:val="•"/>
      <w:lvlJc w:val="left"/>
      <w:pPr>
        <w:ind w:left="2841" w:hanging="552"/>
      </w:pPr>
      <w:rPr>
        <w:rFonts w:hint="default"/>
        <w:lang w:val="en-US" w:eastAsia="zh-CN" w:bidi="ar-SA"/>
      </w:rPr>
    </w:lvl>
    <w:lvl w:ilvl="4" w:tentative="0">
      <w:start w:val="0"/>
      <w:numFmt w:val="bullet"/>
      <w:lvlText w:val="•"/>
      <w:lvlJc w:val="left"/>
      <w:pPr>
        <w:ind w:left="3802" w:hanging="552"/>
      </w:pPr>
      <w:rPr>
        <w:rFonts w:hint="default"/>
        <w:lang w:val="en-US" w:eastAsia="zh-CN" w:bidi="ar-SA"/>
      </w:rPr>
    </w:lvl>
    <w:lvl w:ilvl="5" w:tentative="0">
      <w:start w:val="0"/>
      <w:numFmt w:val="bullet"/>
      <w:lvlText w:val="•"/>
      <w:lvlJc w:val="left"/>
      <w:pPr>
        <w:ind w:left="4762" w:hanging="552"/>
      </w:pPr>
      <w:rPr>
        <w:rFonts w:hint="default"/>
        <w:lang w:val="en-US" w:eastAsia="zh-CN" w:bidi="ar-SA"/>
      </w:rPr>
    </w:lvl>
    <w:lvl w:ilvl="6" w:tentative="0">
      <w:start w:val="0"/>
      <w:numFmt w:val="bullet"/>
      <w:lvlText w:val="•"/>
      <w:lvlJc w:val="left"/>
      <w:pPr>
        <w:ind w:left="5723" w:hanging="552"/>
      </w:pPr>
      <w:rPr>
        <w:rFonts w:hint="default"/>
        <w:lang w:val="en-US" w:eastAsia="zh-CN" w:bidi="ar-SA"/>
      </w:rPr>
    </w:lvl>
    <w:lvl w:ilvl="7" w:tentative="0">
      <w:start w:val="0"/>
      <w:numFmt w:val="bullet"/>
      <w:lvlText w:val="•"/>
      <w:lvlJc w:val="left"/>
      <w:pPr>
        <w:ind w:left="6684" w:hanging="552"/>
      </w:pPr>
      <w:rPr>
        <w:rFonts w:hint="default"/>
        <w:lang w:val="en-US" w:eastAsia="zh-CN" w:bidi="ar-SA"/>
      </w:rPr>
    </w:lvl>
    <w:lvl w:ilvl="8" w:tentative="0">
      <w:start w:val="0"/>
      <w:numFmt w:val="bullet"/>
      <w:lvlText w:val="•"/>
      <w:lvlJc w:val="left"/>
      <w:pPr>
        <w:ind w:left="7644" w:hanging="552"/>
      </w:pPr>
      <w:rPr>
        <w:rFonts w:hint="default"/>
        <w:lang w:val="en-US" w:eastAsia="zh-CN" w:bidi="ar-SA"/>
      </w:rPr>
    </w:lvl>
  </w:abstractNum>
  <w:abstractNum w:abstractNumId="46">
    <w:nsid w:val="30A0AC00"/>
    <w:multiLevelType w:val="multilevel"/>
    <w:tmpl w:val="30A0AC00"/>
    <w:lvl w:ilvl="0" w:tentative="0">
      <w:start w:val="1"/>
      <w:numFmt w:val="decimal"/>
      <w:lvlText w:val="%1"/>
      <w:lvlJc w:val="left"/>
      <w:pPr>
        <w:ind w:left="914" w:hanging="490"/>
      </w:pPr>
      <w:rPr>
        <w:rFonts w:hint="default"/>
        <w:lang w:val="en-US" w:eastAsia="zh-CN" w:bidi="ar-SA"/>
      </w:rPr>
    </w:lvl>
    <w:lvl w:ilvl="1" w:tentative="0">
      <w:start w:val="6"/>
      <w:numFmt w:val="decimal"/>
      <w:lvlText w:val="%1.%2"/>
      <w:lvlJc w:val="left"/>
      <w:pPr>
        <w:ind w:left="914" w:hanging="490"/>
      </w:pPr>
      <w:rPr>
        <w:rFonts w:hint="default" w:ascii="Times New Roman" w:hAnsi="Times New Roman" w:eastAsia="Times New Roman" w:cs="Times New Roman"/>
        <w:b/>
        <w:bCs/>
        <w:w w:val="100"/>
        <w:sz w:val="28"/>
        <w:szCs w:val="28"/>
        <w:lang w:val="en-US" w:eastAsia="zh-CN" w:bidi="ar-SA"/>
      </w:rPr>
    </w:lvl>
    <w:lvl w:ilvl="2" w:tentative="0">
      <w:start w:val="1"/>
      <w:numFmt w:val="decimal"/>
      <w:lvlText w:val="%1.%2.%3"/>
      <w:lvlJc w:val="left"/>
      <w:pPr>
        <w:ind w:left="863" w:hanging="552"/>
      </w:pPr>
      <w:rPr>
        <w:rFonts w:hint="default" w:ascii="Times New Roman" w:hAnsi="Times New Roman" w:eastAsia="Times New Roman" w:cs="Times New Roman"/>
        <w:w w:val="99"/>
        <w:sz w:val="22"/>
        <w:szCs w:val="22"/>
        <w:lang w:val="en-US" w:eastAsia="zh-CN" w:bidi="ar-SA"/>
      </w:rPr>
    </w:lvl>
    <w:lvl w:ilvl="3" w:tentative="0">
      <w:start w:val="0"/>
      <w:numFmt w:val="bullet"/>
      <w:lvlText w:val="•"/>
      <w:lvlJc w:val="left"/>
      <w:pPr>
        <w:ind w:left="2841" w:hanging="552"/>
      </w:pPr>
      <w:rPr>
        <w:rFonts w:hint="default"/>
        <w:lang w:val="en-US" w:eastAsia="zh-CN" w:bidi="ar-SA"/>
      </w:rPr>
    </w:lvl>
    <w:lvl w:ilvl="4" w:tentative="0">
      <w:start w:val="0"/>
      <w:numFmt w:val="bullet"/>
      <w:lvlText w:val="•"/>
      <w:lvlJc w:val="left"/>
      <w:pPr>
        <w:ind w:left="3802" w:hanging="552"/>
      </w:pPr>
      <w:rPr>
        <w:rFonts w:hint="default"/>
        <w:lang w:val="en-US" w:eastAsia="zh-CN" w:bidi="ar-SA"/>
      </w:rPr>
    </w:lvl>
    <w:lvl w:ilvl="5" w:tentative="0">
      <w:start w:val="0"/>
      <w:numFmt w:val="bullet"/>
      <w:lvlText w:val="•"/>
      <w:lvlJc w:val="left"/>
      <w:pPr>
        <w:ind w:left="4762" w:hanging="552"/>
      </w:pPr>
      <w:rPr>
        <w:rFonts w:hint="default"/>
        <w:lang w:val="en-US" w:eastAsia="zh-CN" w:bidi="ar-SA"/>
      </w:rPr>
    </w:lvl>
    <w:lvl w:ilvl="6" w:tentative="0">
      <w:start w:val="0"/>
      <w:numFmt w:val="bullet"/>
      <w:lvlText w:val="•"/>
      <w:lvlJc w:val="left"/>
      <w:pPr>
        <w:ind w:left="5723" w:hanging="552"/>
      </w:pPr>
      <w:rPr>
        <w:rFonts w:hint="default"/>
        <w:lang w:val="en-US" w:eastAsia="zh-CN" w:bidi="ar-SA"/>
      </w:rPr>
    </w:lvl>
    <w:lvl w:ilvl="7" w:tentative="0">
      <w:start w:val="0"/>
      <w:numFmt w:val="bullet"/>
      <w:lvlText w:val="•"/>
      <w:lvlJc w:val="left"/>
      <w:pPr>
        <w:ind w:left="6684" w:hanging="552"/>
      </w:pPr>
      <w:rPr>
        <w:rFonts w:hint="default"/>
        <w:lang w:val="en-US" w:eastAsia="zh-CN" w:bidi="ar-SA"/>
      </w:rPr>
    </w:lvl>
    <w:lvl w:ilvl="8" w:tentative="0">
      <w:start w:val="0"/>
      <w:numFmt w:val="bullet"/>
      <w:lvlText w:val="•"/>
      <w:lvlJc w:val="left"/>
      <w:pPr>
        <w:ind w:left="7644" w:hanging="552"/>
      </w:pPr>
      <w:rPr>
        <w:rFonts w:hint="default"/>
        <w:lang w:val="en-US" w:eastAsia="zh-CN" w:bidi="ar-SA"/>
      </w:rPr>
    </w:lvl>
  </w:abstractNum>
  <w:abstractNum w:abstractNumId="47">
    <w:nsid w:val="35E83B33"/>
    <w:multiLevelType w:val="multilevel"/>
    <w:tmpl w:val="35E83B33"/>
    <w:lvl w:ilvl="0" w:tentative="0">
      <w:start w:val="1"/>
      <w:numFmt w:val="decimal"/>
      <w:lvlText w:val="（%1）"/>
      <w:lvlJc w:val="left"/>
      <w:pPr>
        <w:ind w:left="1416" w:hanging="553"/>
      </w:pPr>
      <w:rPr>
        <w:rFonts w:hint="default" w:ascii="宋体" w:hAnsi="宋体" w:eastAsia="宋体" w:cs="宋体"/>
        <w:spacing w:val="-3"/>
        <w:w w:val="100"/>
        <w:sz w:val="20"/>
        <w:szCs w:val="20"/>
        <w:lang w:val="en-US" w:eastAsia="zh-CN" w:bidi="ar-SA"/>
      </w:rPr>
    </w:lvl>
    <w:lvl w:ilvl="1" w:tentative="0">
      <w:start w:val="0"/>
      <w:numFmt w:val="bullet"/>
      <w:lvlText w:val="•"/>
      <w:lvlJc w:val="left"/>
      <w:pPr>
        <w:ind w:left="2234" w:hanging="553"/>
      </w:pPr>
      <w:rPr>
        <w:rFonts w:hint="default"/>
        <w:lang w:val="en-US" w:eastAsia="zh-CN" w:bidi="ar-SA"/>
      </w:rPr>
    </w:lvl>
    <w:lvl w:ilvl="2" w:tentative="0">
      <w:start w:val="0"/>
      <w:numFmt w:val="bullet"/>
      <w:lvlText w:val="•"/>
      <w:lvlJc w:val="left"/>
      <w:pPr>
        <w:ind w:left="3049" w:hanging="553"/>
      </w:pPr>
      <w:rPr>
        <w:rFonts w:hint="default"/>
        <w:lang w:val="en-US" w:eastAsia="zh-CN" w:bidi="ar-SA"/>
      </w:rPr>
    </w:lvl>
    <w:lvl w:ilvl="3" w:tentative="0">
      <w:start w:val="0"/>
      <w:numFmt w:val="bullet"/>
      <w:lvlText w:val="•"/>
      <w:lvlJc w:val="left"/>
      <w:pPr>
        <w:ind w:left="3863" w:hanging="553"/>
      </w:pPr>
      <w:rPr>
        <w:rFonts w:hint="default"/>
        <w:lang w:val="en-US" w:eastAsia="zh-CN" w:bidi="ar-SA"/>
      </w:rPr>
    </w:lvl>
    <w:lvl w:ilvl="4" w:tentative="0">
      <w:start w:val="0"/>
      <w:numFmt w:val="bullet"/>
      <w:lvlText w:val="•"/>
      <w:lvlJc w:val="left"/>
      <w:pPr>
        <w:ind w:left="4678" w:hanging="553"/>
      </w:pPr>
      <w:rPr>
        <w:rFonts w:hint="default"/>
        <w:lang w:val="en-US" w:eastAsia="zh-CN" w:bidi="ar-SA"/>
      </w:rPr>
    </w:lvl>
    <w:lvl w:ilvl="5" w:tentative="0">
      <w:start w:val="0"/>
      <w:numFmt w:val="bullet"/>
      <w:lvlText w:val="•"/>
      <w:lvlJc w:val="left"/>
      <w:pPr>
        <w:ind w:left="5493" w:hanging="553"/>
      </w:pPr>
      <w:rPr>
        <w:rFonts w:hint="default"/>
        <w:lang w:val="en-US" w:eastAsia="zh-CN" w:bidi="ar-SA"/>
      </w:rPr>
    </w:lvl>
    <w:lvl w:ilvl="6" w:tentative="0">
      <w:start w:val="0"/>
      <w:numFmt w:val="bullet"/>
      <w:lvlText w:val="•"/>
      <w:lvlJc w:val="left"/>
      <w:pPr>
        <w:ind w:left="6307" w:hanging="553"/>
      </w:pPr>
      <w:rPr>
        <w:rFonts w:hint="default"/>
        <w:lang w:val="en-US" w:eastAsia="zh-CN" w:bidi="ar-SA"/>
      </w:rPr>
    </w:lvl>
    <w:lvl w:ilvl="7" w:tentative="0">
      <w:start w:val="0"/>
      <w:numFmt w:val="bullet"/>
      <w:lvlText w:val="•"/>
      <w:lvlJc w:val="left"/>
      <w:pPr>
        <w:ind w:left="7122" w:hanging="553"/>
      </w:pPr>
      <w:rPr>
        <w:rFonts w:hint="default"/>
        <w:lang w:val="en-US" w:eastAsia="zh-CN" w:bidi="ar-SA"/>
      </w:rPr>
    </w:lvl>
    <w:lvl w:ilvl="8" w:tentative="0">
      <w:start w:val="0"/>
      <w:numFmt w:val="bullet"/>
      <w:lvlText w:val="•"/>
      <w:lvlJc w:val="left"/>
      <w:pPr>
        <w:ind w:left="7937" w:hanging="553"/>
      </w:pPr>
      <w:rPr>
        <w:rFonts w:hint="default"/>
        <w:lang w:val="en-US" w:eastAsia="zh-CN" w:bidi="ar-SA"/>
      </w:rPr>
    </w:lvl>
  </w:abstractNum>
  <w:abstractNum w:abstractNumId="48">
    <w:nsid w:val="3B8127DF"/>
    <w:multiLevelType w:val="multilevel"/>
    <w:tmpl w:val="3B8127DF"/>
    <w:lvl w:ilvl="0" w:tentative="0">
      <w:start w:val="1"/>
      <w:numFmt w:val="decimal"/>
      <w:lvlText w:val="%1."/>
      <w:lvlJc w:val="left"/>
      <w:pPr>
        <w:ind w:left="825" w:hanging="401"/>
      </w:pPr>
      <w:rPr>
        <w:rFonts w:hint="default" w:ascii="Times New Roman" w:hAnsi="Times New Roman" w:eastAsia="Times New Roman" w:cs="Times New Roman"/>
        <w:b/>
        <w:bCs/>
        <w:w w:val="99"/>
        <w:sz w:val="32"/>
        <w:szCs w:val="32"/>
        <w:lang w:val="en-US" w:eastAsia="zh-CN" w:bidi="ar-SA"/>
      </w:rPr>
    </w:lvl>
    <w:lvl w:ilvl="1" w:tentative="0">
      <w:start w:val="1"/>
      <w:numFmt w:val="decimal"/>
      <w:lvlText w:val="%1.%2"/>
      <w:lvlJc w:val="left"/>
      <w:pPr>
        <w:ind w:left="914" w:hanging="490"/>
      </w:pPr>
      <w:rPr>
        <w:rFonts w:hint="default" w:ascii="Times New Roman" w:hAnsi="Times New Roman" w:eastAsia="Times New Roman" w:cs="Times New Roman"/>
        <w:b/>
        <w:bCs/>
        <w:w w:val="100"/>
        <w:sz w:val="28"/>
        <w:szCs w:val="28"/>
        <w:lang w:val="en-US" w:eastAsia="zh-CN" w:bidi="ar-SA"/>
      </w:rPr>
    </w:lvl>
    <w:lvl w:ilvl="2" w:tentative="0">
      <w:start w:val="1"/>
      <w:numFmt w:val="decimal"/>
      <w:lvlText w:val="%1.%2.%3"/>
      <w:lvlJc w:val="left"/>
      <w:pPr>
        <w:ind w:left="1415" w:hanging="552"/>
      </w:pPr>
      <w:rPr>
        <w:rFonts w:hint="default" w:ascii="Times New Roman" w:hAnsi="Times New Roman" w:eastAsia="Times New Roman" w:cs="Times New Roman"/>
        <w:w w:val="99"/>
        <w:sz w:val="22"/>
        <w:szCs w:val="22"/>
        <w:lang w:val="en-US" w:eastAsia="zh-CN" w:bidi="ar-SA"/>
      </w:rPr>
    </w:lvl>
    <w:lvl w:ilvl="3" w:tentative="0">
      <w:start w:val="0"/>
      <w:numFmt w:val="bullet"/>
      <w:lvlText w:val="•"/>
      <w:lvlJc w:val="left"/>
      <w:pPr>
        <w:ind w:left="1420" w:hanging="552"/>
      </w:pPr>
      <w:rPr>
        <w:rFonts w:hint="default"/>
        <w:lang w:val="en-US" w:eastAsia="zh-CN" w:bidi="ar-SA"/>
      </w:rPr>
    </w:lvl>
    <w:lvl w:ilvl="4" w:tentative="0">
      <w:start w:val="0"/>
      <w:numFmt w:val="bullet"/>
      <w:lvlText w:val="•"/>
      <w:lvlJc w:val="left"/>
      <w:pPr>
        <w:ind w:left="2583" w:hanging="552"/>
      </w:pPr>
      <w:rPr>
        <w:rFonts w:hint="default"/>
        <w:lang w:val="en-US" w:eastAsia="zh-CN" w:bidi="ar-SA"/>
      </w:rPr>
    </w:lvl>
    <w:lvl w:ilvl="5" w:tentative="0">
      <w:start w:val="0"/>
      <w:numFmt w:val="bullet"/>
      <w:lvlText w:val="•"/>
      <w:lvlJc w:val="left"/>
      <w:pPr>
        <w:ind w:left="3747" w:hanging="552"/>
      </w:pPr>
      <w:rPr>
        <w:rFonts w:hint="default"/>
        <w:lang w:val="en-US" w:eastAsia="zh-CN" w:bidi="ar-SA"/>
      </w:rPr>
    </w:lvl>
    <w:lvl w:ilvl="6" w:tentative="0">
      <w:start w:val="0"/>
      <w:numFmt w:val="bullet"/>
      <w:lvlText w:val="•"/>
      <w:lvlJc w:val="left"/>
      <w:pPr>
        <w:ind w:left="4911" w:hanging="552"/>
      </w:pPr>
      <w:rPr>
        <w:rFonts w:hint="default"/>
        <w:lang w:val="en-US" w:eastAsia="zh-CN" w:bidi="ar-SA"/>
      </w:rPr>
    </w:lvl>
    <w:lvl w:ilvl="7" w:tentative="0">
      <w:start w:val="0"/>
      <w:numFmt w:val="bullet"/>
      <w:lvlText w:val="•"/>
      <w:lvlJc w:val="left"/>
      <w:pPr>
        <w:ind w:left="6075" w:hanging="552"/>
      </w:pPr>
      <w:rPr>
        <w:rFonts w:hint="default"/>
        <w:lang w:val="en-US" w:eastAsia="zh-CN" w:bidi="ar-SA"/>
      </w:rPr>
    </w:lvl>
    <w:lvl w:ilvl="8" w:tentative="0">
      <w:start w:val="0"/>
      <w:numFmt w:val="bullet"/>
      <w:lvlText w:val="•"/>
      <w:lvlJc w:val="left"/>
      <w:pPr>
        <w:ind w:left="7238" w:hanging="552"/>
      </w:pPr>
      <w:rPr>
        <w:rFonts w:hint="default"/>
        <w:lang w:val="en-US" w:eastAsia="zh-CN" w:bidi="ar-SA"/>
      </w:rPr>
    </w:lvl>
  </w:abstractNum>
  <w:abstractNum w:abstractNumId="49">
    <w:nsid w:val="40B249F9"/>
    <w:multiLevelType w:val="multilevel"/>
    <w:tmpl w:val="40B249F9"/>
    <w:lvl w:ilvl="0" w:tentative="0">
      <w:start w:val="1"/>
      <w:numFmt w:val="decimal"/>
      <w:lvlText w:val="（%1）"/>
      <w:lvlJc w:val="left"/>
      <w:pPr>
        <w:ind w:left="1416" w:hanging="553"/>
      </w:pPr>
      <w:rPr>
        <w:rFonts w:hint="default" w:ascii="宋体" w:hAnsi="宋体" w:eastAsia="宋体" w:cs="宋体"/>
        <w:spacing w:val="-3"/>
        <w:w w:val="100"/>
        <w:sz w:val="20"/>
        <w:szCs w:val="20"/>
        <w:lang w:val="en-US" w:eastAsia="zh-CN" w:bidi="ar-SA"/>
      </w:rPr>
    </w:lvl>
    <w:lvl w:ilvl="1" w:tentative="0">
      <w:start w:val="0"/>
      <w:numFmt w:val="bullet"/>
      <w:lvlText w:val="•"/>
      <w:lvlJc w:val="left"/>
      <w:pPr>
        <w:ind w:left="2234" w:hanging="553"/>
      </w:pPr>
      <w:rPr>
        <w:rFonts w:hint="default"/>
        <w:lang w:val="en-US" w:eastAsia="zh-CN" w:bidi="ar-SA"/>
      </w:rPr>
    </w:lvl>
    <w:lvl w:ilvl="2" w:tentative="0">
      <w:start w:val="0"/>
      <w:numFmt w:val="bullet"/>
      <w:lvlText w:val="•"/>
      <w:lvlJc w:val="left"/>
      <w:pPr>
        <w:ind w:left="3049" w:hanging="553"/>
      </w:pPr>
      <w:rPr>
        <w:rFonts w:hint="default"/>
        <w:lang w:val="en-US" w:eastAsia="zh-CN" w:bidi="ar-SA"/>
      </w:rPr>
    </w:lvl>
    <w:lvl w:ilvl="3" w:tentative="0">
      <w:start w:val="0"/>
      <w:numFmt w:val="bullet"/>
      <w:lvlText w:val="•"/>
      <w:lvlJc w:val="left"/>
      <w:pPr>
        <w:ind w:left="3863" w:hanging="553"/>
      </w:pPr>
      <w:rPr>
        <w:rFonts w:hint="default"/>
        <w:lang w:val="en-US" w:eastAsia="zh-CN" w:bidi="ar-SA"/>
      </w:rPr>
    </w:lvl>
    <w:lvl w:ilvl="4" w:tentative="0">
      <w:start w:val="0"/>
      <w:numFmt w:val="bullet"/>
      <w:lvlText w:val="•"/>
      <w:lvlJc w:val="left"/>
      <w:pPr>
        <w:ind w:left="4678" w:hanging="553"/>
      </w:pPr>
      <w:rPr>
        <w:rFonts w:hint="default"/>
        <w:lang w:val="en-US" w:eastAsia="zh-CN" w:bidi="ar-SA"/>
      </w:rPr>
    </w:lvl>
    <w:lvl w:ilvl="5" w:tentative="0">
      <w:start w:val="0"/>
      <w:numFmt w:val="bullet"/>
      <w:lvlText w:val="•"/>
      <w:lvlJc w:val="left"/>
      <w:pPr>
        <w:ind w:left="5493" w:hanging="553"/>
      </w:pPr>
      <w:rPr>
        <w:rFonts w:hint="default"/>
        <w:lang w:val="en-US" w:eastAsia="zh-CN" w:bidi="ar-SA"/>
      </w:rPr>
    </w:lvl>
    <w:lvl w:ilvl="6" w:tentative="0">
      <w:start w:val="0"/>
      <w:numFmt w:val="bullet"/>
      <w:lvlText w:val="•"/>
      <w:lvlJc w:val="left"/>
      <w:pPr>
        <w:ind w:left="6307" w:hanging="553"/>
      </w:pPr>
      <w:rPr>
        <w:rFonts w:hint="default"/>
        <w:lang w:val="en-US" w:eastAsia="zh-CN" w:bidi="ar-SA"/>
      </w:rPr>
    </w:lvl>
    <w:lvl w:ilvl="7" w:tentative="0">
      <w:start w:val="0"/>
      <w:numFmt w:val="bullet"/>
      <w:lvlText w:val="•"/>
      <w:lvlJc w:val="left"/>
      <w:pPr>
        <w:ind w:left="7122" w:hanging="553"/>
      </w:pPr>
      <w:rPr>
        <w:rFonts w:hint="default"/>
        <w:lang w:val="en-US" w:eastAsia="zh-CN" w:bidi="ar-SA"/>
      </w:rPr>
    </w:lvl>
    <w:lvl w:ilvl="8" w:tentative="0">
      <w:start w:val="0"/>
      <w:numFmt w:val="bullet"/>
      <w:lvlText w:val="•"/>
      <w:lvlJc w:val="left"/>
      <w:pPr>
        <w:ind w:left="7937" w:hanging="553"/>
      </w:pPr>
      <w:rPr>
        <w:rFonts w:hint="default"/>
        <w:lang w:val="en-US" w:eastAsia="zh-CN" w:bidi="ar-SA"/>
      </w:rPr>
    </w:lvl>
  </w:abstractNum>
  <w:abstractNum w:abstractNumId="50">
    <w:nsid w:val="4A51D704"/>
    <w:multiLevelType w:val="multilevel"/>
    <w:tmpl w:val="4A51D704"/>
    <w:lvl w:ilvl="0" w:tentative="0">
      <w:start w:val="1"/>
      <w:numFmt w:val="decimal"/>
      <w:lvlText w:val="%1."/>
      <w:lvlJc w:val="left"/>
      <w:pPr>
        <w:ind w:left="1341" w:hanging="300"/>
      </w:pPr>
      <w:rPr>
        <w:rFonts w:hint="default" w:ascii="Times New Roman" w:hAnsi="Times New Roman" w:eastAsia="Times New Roman" w:cs="Times New Roman"/>
        <w:w w:val="100"/>
        <w:sz w:val="24"/>
        <w:szCs w:val="24"/>
        <w:lang w:val="en-US" w:eastAsia="zh-CN" w:bidi="ar-SA"/>
      </w:rPr>
    </w:lvl>
    <w:lvl w:ilvl="1" w:tentative="0">
      <w:start w:val="0"/>
      <w:numFmt w:val="bullet"/>
      <w:lvlText w:val="•"/>
      <w:lvlJc w:val="left"/>
      <w:pPr>
        <w:ind w:left="2162" w:hanging="300"/>
      </w:pPr>
      <w:rPr>
        <w:rFonts w:hint="default"/>
        <w:lang w:val="en-US" w:eastAsia="zh-CN" w:bidi="ar-SA"/>
      </w:rPr>
    </w:lvl>
    <w:lvl w:ilvl="2" w:tentative="0">
      <w:start w:val="0"/>
      <w:numFmt w:val="bullet"/>
      <w:lvlText w:val="•"/>
      <w:lvlJc w:val="left"/>
      <w:pPr>
        <w:ind w:left="2985" w:hanging="300"/>
      </w:pPr>
      <w:rPr>
        <w:rFonts w:hint="default"/>
        <w:lang w:val="en-US" w:eastAsia="zh-CN" w:bidi="ar-SA"/>
      </w:rPr>
    </w:lvl>
    <w:lvl w:ilvl="3" w:tentative="0">
      <w:start w:val="0"/>
      <w:numFmt w:val="bullet"/>
      <w:lvlText w:val="•"/>
      <w:lvlJc w:val="left"/>
      <w:pPr>
        <w:ind w:left="3807" w:hanging="300"/>
      </w:pPr>
      <w:rPr>
        <w:rFonts w:hint="default"/>
        <w:lang w:val="en-US" w:eastAsia="zh-CN" w:bidi="ar-SA"/>
      </w:rPr>
    </w:lvl>
    <w:lvl w:ilvl="4" w:tentative="0">
      <w:start w:val="0"/>
      <w:numFmt w:val="bullet"/>
      <w:lvlText w:val="•"/>
      <w:lvlJc w:val="left"/>
      <w:pPr>
        <w:ind w:left="4630" w:hanging="300"/>
      </w:pPr>
      <w:rPr>
        <w:rFonts w:hint="default"/>
        <w:lang w:val="en-US" w:eastAsia="zh-CN" w:bidi="ar-SA"/>
      </w:rPr>
    </w:lvl>
    <w:lvl w:ilvl="5" w:tentative="0">
      <w:start w:val="0"/>
      <w:numFmt w:val="bullet"/>
      <w:lvlText w:val="•"/>
      <w:lvlJc w:val="left"/>
      <w:pPr>
        <w:ind w:left="5453" w:hanging="300"/>
      </w:pPr>
      <w:rPr>
        <w:rFonts w:hint="default"/>
        <w:lang w:val="en-US" w:eastAsia="zh-CN" w:bidi="ar-SA"/>
      </w:rPr>
    </w:lvl>
    <w:lvl w:ilvl="6" w:tentative="0">
      <w:start w:val="0"/>
      <w:numFmt w:val="bullet"/>
      <w:lvlText w:val="•"/>
      <w:lvlJc w:val="left"/>
      <w:pPr>
        <w:ind w:left="6275" w:hanging="300"/>
      </w:pPr>
      <w:rPr>
        <w:rFonts w:hint="default"/>
        <w:lang w:val="en-US" w:eastAsia="zh-CN" w:bidi="ar-SA"/>
      </w:rPr>
    </w:lvl>
    <w:lvl w:ilvl="7" w:tentative="0">
      <w:start w:val="0"/>
      <w:numFmt w:val="bullet"/>
      <w:lvlText w:val="•"/>
      <w:lvlJc w:val="left"/>
      <w:pPr>
        <w:ind w:left="7098" w:hanging="300"/>
      </w:pPr>
      <w:rPr>
        <w:rFonts w:hint="default"/>
        <w:lang w:val="en-US" w:eastAsia="zh-CN" w:bidi="ar-SA"/>
      </w:rPr>
    </w:lvl>
    <w:lvl w:ilvl="8" w:tentative="0">
      <w:start w:val="0"/>
      <w:numFmt w:val="bullet"/>
      <w:lvlText w:val="•"/>
      <w:lvlJc w:val="left"/>
      <w:pPr>
        <w:ind w:left="7921" w:hanging="300"/>
      </w:pPr>
      <w:rPr>
        <w:rFonts w:hint="default"/>
        <w:lang w:val="en-US" w:eastAsia="zh-CN" w:bidi="ar-SA"/>
      </w:rPr>
    </w:lvl>
  </w:abstractNum>
  <w:abstractNum w:abstractNumId="51">
    <w:nsid w:val="4CD1E351"/>
    <w:multiLevelType w:val="multilevel"/>
    <w:tmpl w:val="4CD1E351"/>
    <w:lvl w:ilvl="0" w:tentative="0">
      <w:start w:val="8"/>
      <w:numFmt w:val="decimal"/>
      <w:lvlText w:val="%1."/>
      <w:lvlJc w:val="left"/>
      <w:pPr>
        <w:ind w:left="825" w:hanging="401"/>
      </w:pPr>
      <w:rPr>
        <w:rFonts w:hint="default" w:ascii="Times New Roman" w:hAnsi="Times New Roman" w:eastAsia="Times New Roman" w:cs="Times New Roman"/>
        <w:b/>
        <w:bCs/>
        <w:w w:val="99"/>
        <w:sz w:val="32"/>
        <w:szCs w:val="32"/>
        <w:lang w:val="en-US" w:eastAsia="zh-CN" w:bidi="ar-SA"/>
      </w:rPr>
    </w:lvl>
    <w:lvl w:ilvl="1" w:tentative="0">
      <w:start w:val="1"/>
      <w:numFmt w:val="decimal"/>
      <w:lvlText w:val="%1.%2"/>
      <w:lvlJc w:val="left"/>
      <w:pPr>
        <w:ind w:left="914" w:hanging="490"/>
      </w:pPr>
      <w:rPr>
        <w:rFonts w:hint="default" w:ascii="Times New Roman" w:hAnsi="Times New Roman" w:eastAsia="Times New Roman" w:cs="Times New Roman"/>
        <w:b/>
        <w:bCs/>
        <w:w w:val="100"/>
        <w:sz w:val="28"/>
        <w:szCs w:val="28"/>
        <w:lang w:val="en-US" w:eastAsia="zh-CN" w:bidi="ar-SA"/>
      </w:rPr>
    </w:lvl>
    <w:lvl w:ilvl="2" w:tentative="0">
      <w:start w:val="1"/>
      <w:numFmt w:val="decimal"/>
      <w:lvlText w:val="%1.%2.%3"/>
      <w:lvlJc w:val="left"/>
      <w:pPr>
        <w:ind w:left="1415" w:hanging="552"/>
      </w:pPr>
      <w:rPr>
        <w:rFonts w:hint="default" w:ascii="Times New Roman" w:hAnsi="Times New Roman" w:eastAsia="Times New Roman" w:cs="Times New Roman"/>
        <w:w w:val="99"/>
        <w:sz w:val="22"/>
        <w:szCs w:val="22"/>
        <w:lang w:val="en-US" w:eastAsia="zh-CN" w:bidi="ar-SA"/>
      </w:rPr>
    </w:lvl>
    <w:lvl w:ilvl="3" w:tentative="0">
      <w:start w:val="0"/>
      <w:numFmt w:val="bullet"/>
      <w:lvlText w:val="•"/>
      <w:lvlJc w:val="left"/>
      <w:pPr>
        <w:ind w:left="2438" w:hanging="552"/>
      </w:pPr>
      <w:rPr>
        <w:rFonts w:hint="default"/>
        <w:lang w:val="en-US" w:eastAsia="zh-CN" w:bidi="ar-SA"/>
      </w:rPr>
    </w:lvl>
    <w:lvl w:ilvl="4" w:tentative="0">
      <w:start w:val="0"/>
      <w:numFmt w:val="bullet"/>
      <w:lvlText w:val="•"/>
      <w:lvlJc w:val="left"/>
      <w:pPr>
        <w:ind w:left="3456" w:hanging="552"/>
      </w:pPr>
      <w:rPr>
        <w:rFonts w:hint="default"/>
        <w:lang w:val="en-US" w:eastAsia="zh-CN" w:bidi="ar-SA"/>
      </w:rPr>
    </w:lvl>
    <w:lvl w:ilvl="5" w:tentative="0">
      <w:start w:val="0"/>
      <w:numFmt w:val="bullet"/>
      <w:lvlText w:val="•"/>
      <w:lvlJc w:val="left"/>
      <w:pPr>
        <w:ind w:left="4474" w:hanging="552"/>
      </w:pPr>
      <w:rPr>
        <w:rFonts w:hint="default"/>
        <w:lang w:val="en-US" w:eastAsia="zh-CN" w:bidi="ar-SA"/>
      </w:rPr>
    </w:lvl>
    <w:lvl w:ilvl="6" w:tentative="0">
      <w:start w:val="0"/>
      <w:numFmt w:val="bullet"/>
      <w:lvlText w:val="•"/>
      <w:lvlJc w:val="left"/>
      <w:pPr>
        <w:ind w:left="5493" w:hanging="552"/>
      </w:pPr>
      <w:rPr>
        <w:rFonts w:hint="default"/>
        <w:lang w:val="en-US" w:eastAsia="zh-CN" w:bidi="ar-SA"/>
      </w:rPr>
    </w:lvl>
    <w:lvl w:ilvl="7" w:tentative="0">
      <w:start w:val="0"/>
      <w:numFmt w:val="bullet"/>
      <w:lvlText w:val="•"/>
      <w:lvlJc w:val="left"/>
      <w:pPr>
        <w:ind w:left="6511" w:hanging="552"/>
      </w:pPr>
      <w:rPr>
        <w:rFonts w:hint="default"/>
        <w:lang w:val="en-US" w:eastAsia="zh-CN" w:bidi="ar-SA"/>
      </w:rPr>
    </w:lvl>
    <w:lvl w:ilvl="8" w:tentative="0">
      <w:start w:val="0"/>
      <w:numFmt w:val="bullet"/>
      <w:lvlText w:val="•"/>
      <w:lvlJc w:val="left"/>
      <w:pPr>
        <w:ind w:left="7529" w:hanging="552"/>
      </w:pPr>
      <w:rPr>
        <w:rFonts w:hint="default"/>
        <w:lang w:val="en-US" w:eastAsia="zh-CN" w:bidi="ar-SA"/>
      </w:rPr>
    </w:lvl>
  </w:abstractNum>
  <w:abstractNum w:abstractNumId="52">
    <w:nsid w:val="59EEFD2A"/>
    <w:multiLevelType w:val="multilevel"/>
    <w:tmpl w:val="59EEFD2A"/>
    <w:lvl w:ilvl="0" w:tentative="0">
      <w:start w:val="1"/>
      <w:numFmt w:val="decimal"/>
      <w:lvlText w:val="（%1）"/>
      <w:lvlJc w:val="left"/>
      <w:pPr>
        <w:ind w:left="1416" w:hanging="553"/>
      </w:pPr>
      <w:rPr>
        <w:rFonts w:hint="default" w:ascii="宋体" w:hAnsi="宋体" w:eastAsia="宋体" w:cs="宋体"/>
        <w:spacing w:val="-3"/>
        <w:w w:val="100"/>
        <w:sz w:val="20"/>
        <w:szCs w:val="20"/>
        <w:lang w:val="en-US" w:eastAsia="zh-CN" w:bidi="ar-SA"/>
      </w:rPr>
    </w:lvl>
    <w:lvl w:ilvl="1" w:tentative="0">
      <w:start w:val="0"/>
      <w:numFmt w:val="bullet"/>
      <w:lvlText w:val="•"/>
      <w:lvlJc w:val="left"/>
      <w:pPr>
        <w:ind w:left="2234" w:hanging="553"/>
      </w:pPr>
      <w:rPr>
        <w:rFonts w:hint="default"/>
        <w:lang w:val="en-US" w:eastAsia="zh-CN" w:bidi="ar-SA"/>
      </w:rPr>
    </w:lvl>
    <w:lvl w:ilvl="2" w:tentative="0">
      <w:start w:val="0"/>
      <w:numFmt w:val="bullet"/>
      <w:lvlText w:val="•"/>
      <w:lvlJc w:val="left"/>
      <w:pPr>
        <w:ind w:left="3049" w:hanging="553"/>
      </w:pPr>
      <w:rPr>
        <w:rFonts w:hint="default"/>
        <w:lang w:val="en-US" w:eastAsia="zh-CN" w:bidi="ar-SA"/>
      </w:rPr>
    </w:lvl>
    <w:lvl w:ilvl="3" w:tentative="0">
      <w:start w:val="0"/>
      <w:numFmt w:val="bullet"/>
      <w:lvlText w:val="•"/>
      <w:lvlJc w:val="left"/>
      <w:pPr>
        <w:ind w:left="3863" w:hanging="553"/>
      </w:pPr>
      <w:rPr>
        <w:rFonts w:hint="default"/>
        <w:lang w:val="en-US" w:eastAsia="zh-CN" w:bidi="ar-SA"/>
      </w:rPr>
    </w:lvl>
    <w:lvl w:ilvl="4" w:tentative="0">
      <w:start w:val="0"/>
      <w:numFmt w:val="bullet"/>
      <w:lvlText w:val="•"/>
      <w:lvlJc w:val="left"/>
      <w:pPr>
        <w:ind w:left="4678" w:hanging="553"/>
      </w:pPr>
      <w:rPr>
        <w:rFonts w:hint="default"/>
        <w:lang w:val="en-US" w:eastAsia="zh-CN" w:bidi="ar-SA"/>
      </w:rPr>
    </w:lvl>
    <w:lvl w:ilvl="5" w:tentative="0">
      <w:start w:val="0"/>
      <w:numFmt w:val="bullet"/>
      <w:lvlText w:val="•"/>
      <w:lvlJc w:val="left"/>
      <w:pPr>
        <w:ind w:left="5493" w:hanging="553"/>
      </w:pPr>
      <w:rPr>
        <w:rFonts w:hint="default"/>
        <w:lang w:val="en-US" w:eastAsia="zh-CN" w:bidi="ar-SA"/>
      </w:rPr>
    </w:lvl>
    <w:lvl w:ilvl="6" w:tentative="0">
      <w:start w:val="0"/>
      <w:numFmt w:val="bullet"/>
      <w:lvlText w:val="•"/>
      <w:lvlJc w:val="left"/>
      <w:pPr>
        <w:ind w:left="6307" w:hanging="553"/>
      </w:pPr>
      <w:rPr>
        <w:rFonts w:hint="default"/>
        <w:lang w:val="en-US" w:eastAsia="zh-CN" w:bidi="ar-SA"/>
      </w:rPr>
    </w:lvl>
    <w:lvl w:ilvl="7" w:tentative="0">
      <w:start w:val="0"/>
      <w:numFmt w:val="bullet"/>
      <w:lvlText w:val="•"/>
      <w:lvlJc w:val="left"/>
      <w:pPr>
        <w:ind w:left="7122" w:hanging="553"/>
      </w:pPr>
      <w:rPr>
        <w:rFonts w:hint="default"/>
        <w:lang w:val="en-US" w:eastAsia="zh-CN" w:bidi="ar-SA"/>
      </w:rPr>
    </w:lvl>
    <w:lvl w:ilvl="8" w:tentative="0">
      <w:start w:val="0"/>
      <w:numFmt w:val="bullet"/>
      <w:lvlText w:val="•"/>
      <w:lvlJc w:val="left"/>
      <w:pPr>
        <w:ind w:left="7937" w:hanging="553"/>
      </w:pPr>
      <w:rPr>
        <w:rFonts w:hint="default"/>
        <w:lang w:val="en-US" w:eastAsia="zh-CN" w:bidi="ar-SA"/>
      </w:rPr>
    </w:lvl>
  </w:abstractNum>
  <w:abstractNum w:abstractNumId="53">
    <w:nsid w:val="5FCE4367"/>
    <w:multiLevelType w:val="multilevel"/>
    <w:tmpl w:val="5FCE4367"/>
    <w:lvl w:ilvl="0" w:tentative="0">
      <w:start w:val="1"/>
      <w:numFmt w:val="decimal"/>
      <w:lvlText w:val="%1."/>
      <w:lvlJc w:val="left"/>
      <w:pPr>
        <w:ind w:left="424" w:hanging="300"/>
      </w:pPr>
      <w:rPr>
        <w:rFonts w:hint="default" w:ascii="Times New Roman" w:hAnsi="Times New Roman" w:eastAsia="Times New Roman" w:cs="Times New Roman"/>
        <w:spacing w:val="-15"/>
        <w:w w:val="100"/>
        <w:sz w:val="24"/>
        <w:szCs w:val="24"/>
        <w:lang w:val="en-US" w:eastAsia="zh-CN" w:bidi="ar-SA"/>
      </w:rPr>
    </w:lvl>
    <w:lvl w:ilvl="1" w:tentative="0">
      <w:start w:val="0"/>
      <w:numFmt w:val="bullet"/>
      <w:lvlText w:val="•"/>
      <w:lvlJc w:val="left"/>
      <w:pPr>
        <w:ind w:left="1334" w:hanging="300"/>
      </w:pPr>
      <w:rPr>
        <w:rFonts w:hint="default"/>
        <w:lang w:val="en-US" w:eastAsia="zh-CN" w:bidi="ar-SA"/>
      </w:rPr>
    </w:lvl>
    <w:lvl w:ilvl="2" w:tentative="0">
      <w:start w:val="0"/>
      <w:numFmt w:val="bullet"/>
      <w:lvlText w:val="•"/>
      <w:lvlJc w:val="left"/>
      <w:pPr>
        <w:ind w:left="2249" w:hanging="300"/>
      </w:pPr>
      <w:rPr>
        <w:rFonts w:hint="default"/>
        <w:lang w:val="en-US" w:eastAsia="zh-CN" w:bidi="ar-SA"/>
      </w:rPr>
    </w:lvl>
    <w:lvl w:ilvl="3" w:tentative="0">
      <w:start w:val="0"/>
      <w:numFmt w:val="bullet"/>
      <w:lvlText w:val="•"/>
      <w:lvlJc w:val="left"/>
      <w:pPr>
        <w:ind w:left="3163" w:hanging="300"/>
      </w:pPr>
      <w:rPr>
        <w:rFonts w:hint="default"/>
        <w:lang w:val="en-US" w:eastAsia="zh-CN" w:bidi="ar-SA"/>
      </w:rPr>
    </w:lvl>
    <w:lvl w:ilvl="4" w:tentative="0">
      <w:start w:val="0"/>
      <w:numFmt w:val="bullet"/>
      <w:lvlText w:val="•"/>
      <w:lvlJc w:val="left"/>
      <w:pPr>
        <w:ind w:left="4078" w:hanging="300"/>
      </w:pPr>
      <w:rPr>
        <w:rFonts w:hint="default"/>
        <w:lang w:val="en-US" w:eastAsia="zh-CN" w:bidi="ar-SA"/>
      </w:rPr>
    </w:lvl>
    <w:lvl w:ilvl="5" w:tentative="0">
      <w:start w:val="0"/>
      <w:numFmt w:val="bullet"/>
      <w:lvlText w:val="•"/>
      <w:lvlJc w:val="left"/>
      <w:pPr>
        <w:ind w:left="4993" w:hanging="300"/>
      </w:pPr>
      <w:rPr>
        <w:rFonts w:hint="default"/>
        <w:lang w:val="en-US" w:eastAsia="zh-CN" w:bidi="ar-SA"/>
      </w:rPr>
    </w:lvl>
    <w:lvl w:ilvl="6" w:tentative="0">
      <w:start w:val="0"/>
      <w:numFmt w:val="bullet"/>
      <w:lvlText w:val="•"/>
      <w:lvlJc w:val="left"/>
      <w:pPr>
        <w:ind w:left="5907" w:hanging="300"/>
      </w:pPr>
      <w:rPr>
        <w:rFonts w:hint="default"/>
        <w:lang w:val="en-US" w:eastAsia="zh-CN" w:bidi="ar-SA"/>
      </w:rPr>
    </w:lvl>
    <w:lvl w:ilvl="7" w:tentative="0">
      <w:start w:val="0"/>
      <w:numFmt w:val="bullet"/>
      <w:lvlText w:val="•"/>
      <w:lvlJc w:val="left"/>
      <w:pPr>
        <w:ind w:left="6822" w:hanging="300"/>
      </w:pPr>
      <w:rPr>
        <w:rFonts w:hint="default"/>
        <w:lang w:val="en-US" w:eastAsia="zh-CN" w:bidi="ar-SA"/>
      </w:rPr>
    </w:lvl>
    <w:lvl w:ilvl="8" w:tentative="0">
      <w:start w:val="0"/>
      <w:numFmt w:val="bullet"/>
      <w:lvlText w:val="•"/>
      <w:lvlJc w:val="left"/>
      <w:pPr>
        <w:ind w:left="7737" w:hanging="300"/>
      </w:pPr>
      <w:rPr>
        <w:rFonts w:hint="default"/>
        <w:lang w:val="en-US" w:eastAsia="zh-CN" w:bidi="ar-SA"/>
      </w:rPr>
    </w:lvl>
  </w:abstractNum>
  <w:abstractNum w:abstractNumId="54">
    <w:nsid w:val="610EFE5C"/>
    <w:multiLevelType w:val="multilevel"/>
    <w:tmpl w:val="610EFE5C"/>
    <w:lvl w:ilvl="0" w:tentative="0">
      <w:start w:val="1"/>
      <w:numFmt w:val="decimal"/>
      <w:lvlText w:val="（%1）"/>
      <w:lvlJc w:val="left"/>
      <w:pPr>
        <w:ind w:left="424" w:hanging="601"/>
      </w:pPr>
      <w:rPr>
        <w:rFonts w:hint="default" w:ascii="宋体" w:hAnsi="宋体" w:eastAsia="宋体" w:cs="宋体"/>
        <w:spacing w:val="-15"/>
        <w:w w:val="100"/>
        <w:sz w:val="22"/>
        <w:szCs w:val="22"/>
        <w:lang w:val="en-US" w:eastAsia="zh-CN" w:bidi="ar-SA"/>
      </w:rPr>
    </w:lvl>
    <w:lvl w:ilvl="1" w:tentative="0">
      <w:start w:val="0"/>
      <w:numFmt w:val="bullet"/>
      <w:lvlText w:val="•"/>
      <w:lvlJc w:val="left"/>
      <w:pPr>
        <w:ind w:left="1334" w:hanging="601"/>
      </w:pPr>
      <w:rPr>
        <w:rFonts w:hint="default"/>
        <w:lang w:val="en-US" w:eastAsia="zh-CN" w:bidi="ar-SA"/>
      </w:rPr>
    </w:lvl>
    <w:lvl w:ilvl="2" w:tentative="0">
      <w:start w:val="0"/>
      <w:numFmt w:val="bullet"/>
      <w:lvlText w:val="•"/>
      <w:lvlJc w:val="left"/>
      <w:pPr>
        <w:ind w:left="2249" w:hanging="601"/>
      </w:pPr>
      <w:rPr>
        <w:rFonts w:hint="default"/>
        <w:lang w:val="en-US" w:eastAsia="zh-CN" w:bidi="ar-SA"/>
      </w:rPr>
    </w:lvl>
    <w:lvl w:ilvl="3" w:tentative="0">
      <w:start w:val="0"/>
      <w:numFmt w:val="bullet"/>
      <w:lvlText w:val="•"/>
      <w:lvlJc w:val="left"/>
      <w:pPr>
        <w:ind w:left="3163" w:hanging="601"/>
      </w:pPr>
      <w:rPr>
        <w:rFonts w:hint="default"/>
        <w:lang w:val="en-US" w:eastAsia="zh-CN" w:bidi="ar-SA"/>
      </w:rPr>
    </w:lvl>
    <w:lvl w:ilvl="4" w:tentative="0">
      <w:start w:val="0"/>
      <w:numFmt w:val="bullet"/>
      <w:lvlText w:val="•"/>
      <w:lvlJc w:val="left"/>
      <w:pPr>
        <w:ind w:left="4078" w:hanging="601"/>
      </w:pPr>
      <w:rPr>
        <w:rFonts w:hint="default"/>
        <w:lang w:val="en-US" w:eastAsia="zh-CN" w:bidi="ar-SA"/>
      </w:rPr>
    </w:lvl>
    <w:lvl w:ilvl="5" w:tentative="0">
      <w:start w:val="0"/>
      <w:numFmt w:val="bullet"/>
      <w:lvlText w:val="•"/>
      <w:lvlJc w:val="left"/>
      <w:pPr>
        <w:ind w:left="4993" w:hanging="601"/>
      </w:pPr>
      <w:rPr>
        <w:rFonts w:hint="default"/>
        <w:lang w:val="en-US" w:eastAsia="zh-CN" w:bidi="ar-SA"/>
      </w:rPr>
    </w:lvl>
    <w:lvl w:ilvl="6" w:tentative="0">
      <w:start w:val="0"/>
      <w:numFmt w:val="bullet"/>
      <w:lvlText w:val="•"/>
      <w:lvlJc w:val="left"/>
      <w:pPr>
        <w:ind w:left="5907" w:hanging="601"/>
      </w:pPr>
      <w:rPr>
        <w:rFonts w:hint="default"/>
        <w:lang w:val="en-US" w:eastAsia="zh-CN" w:bidi="ar-SA"/>
      </w:rPr>
    </w:lvl>
    <w:lvl w:ilvl="7" w:tentative="0">
      <w:start w:val="0"/>
      <w:numFmt w:val="bullet"/>
      <w:lvlText w:val="•"/>
      <w:lvlJc w:val="left"/>
      <w:pPr>
        <w:ind w:left="6822" w:hanging="601"/>
      </w:pPr>
      <w:rPr>
        <w:rFonts w:hint="default"/>
        <w:lang w:val="en-US" w:eastAsia="zh-CN" w:bidi="ar-SA"/>
      </w:rPr>
    </w:lvl>
    <w:lvl w:ilvl="8" w:tentative="0">
      <w:start w:val="0"/>
      <w:numFmt w:val="bullet"/>
      <w:lvlText w:val="•"/>
      <w:lvlJc w:val="left"/>
      <w:pPr>
        <w:ind w:left="7737" w:hanging="601"/>
      </w:pPr>
      <w:rPr>
        <w:rFonts w:hint="default"/>
        <w:lang w:val="en-US" w:eastAsia="zh-CN" w:bidi="ar-SA"/>
      </w:rPr>
    </w:lvl>
  </w:abstractNum>
  <w:abstractNum w:abstractNumId="55">
    <w:nsid w:val="68B298F7"/>
    <w:multiLevelType w:val="multilevel"/>
    <w:tmpl w:val="68B298F7"/>
    <w:lvl w:ilvl="0" w:tentative="0">
      <w:start w:val="4"/>
      <w:numFmt w:val="decimal"/>
      <w:lvlText w:val="%1."/>
      <w:lvlJc w:val="left"/>
      <w:pPr>
        <w:ind w:left="825" w:hanging="401"/>
      </w:pPr>
      <w:rPr>
        <w:rFonts w:hint="default" w:ascii="Times New Roman" w:hAnsi="Times New Roman" w:eastAsia="Times New Roman" w:cs="Times New Roman"/>
        <w:b/>
        <w:bCs/>
        <w:w w:val="99"/>
        <w:sz w:val="32"/>
        <w:szCs w:val="32"/>
        <w:lang w:val="en-US" w:eastAsia="zh-CN" w:bidi="ar-SA"/>
      </w:rPr>
    </w:lvl>
    <w:lvl w:ilvl="1" w:tentative="0">
      <w:start w:val="1"/>
      <w:numFmt w:val="decimal"/>
      <w:lvlText w:val="%1.%2"/>
      <w:lvlJc w:val="left"/>
      <w:pPr>
        <w:ind w:left="914" w:hanging="490"/>
      </w:pPr>
      <w:rPr>
        <w:rFonts w:hint="default" w:ascii="Times New Roman" w:hAnsi="Times New Roman" w:eastAsia="Times New Roman" w:cs="Times New Roman"/>
        <w:b/>
        <w:bCs/>
        <w:w w:val="100"/>
        <w:sz w:val="28"/>
        <w:szCs w:val="28"/>
        <w:lang w:val="en-US" w:eastAsia="zh-CN" w:bidi="ar-SA"/>
      </w:rPr>
    </w:lvl>
    <w:lvl w:ilvl="2" w:tentative="0">
      <w:start w:val="1"/>
      <w:numFmt w:val="decimal"/>
      <w:lvlText w:val="%1.%2.%3"/>
      <w:lvlJc w:val="left"/>
      <w:pPr>
        <w:ind w:left="1415" w:hanging="552"/>
      </w:pPr>
      <w:rPr>
        <w:rFonts w:hint="default" w:ascii="Times New Roman" w:hAnsi="Times New Roman" w:eastAsia="Times New Roman" w:cs="Times New Roman"/>
        <w:w w:val="99"/>
        <w:sz w:val="22"/>
        <w:szCs w:val="22"/>
        <w:lang w:val="en-US" w:eastAsia="zh-CN" w:bidi="ar-SA"/>
      </w:rPr>
    </w:lvl>
    <w:lvl w:ilvl="3" w:tentative="0">
      <w:start w:val="0"/>
      <w:numFmt w:val="bullet"/>
      <w:lvlText w:val="•"/>
      <w:lvlJc w:val="left"/>
      <w:pPr>
        <w:ind w:left="2438" w:hanging="552"/>
      </w:pPr>
      <w:rPr>
        <w:rFonts w:hint="default"/>
        <w:lang w:val="en-US" w:eastAsia="zh-CN" w:bidi="ar-SA"/>
      </w:rPr>
    </w:lvl>
    <w:lvl w:ilvl="4" w:tentative="0">
      <w:start w:val="0"/>
      <w:numFmt w:val="bullet"/>
      <w:lvlText w:val="•"/>
      <w:lvlJc w:val="left"/>
      <w:pPr>
        <w:ind w:left="3456" w:hanging="552"/>
      </w:pPr>
      <w:rPr>
        <w:rFonts w:hint="default"/>
        <w:lang w:val="en-US" w:eastAsia="zh-CN" w:bidi="ar-SA"/>
      </w:rPr>
    </w:lvl>
    <w:lvl w:ilvl="5" w:tentative="0">
      <w:start w:val="0"/>
      <w:numFmt w:val="bullet"/>
      <w:lvlText w:val="•"/>
      <w:lvlJc w:val="left"/>
      <w:pPr>
        <w:ind w:left="4474" w:hanging="552"/>
      </w:pPr>
      <w:rPr>
        <w:rFonts w:hint="default"/>
        <w:lang w:val="en-US" w:eastAsia="zh-CN" w:bidi="ar-SA"/>
      </w:rPr>
    </w:lvl>
    <w:lvl w:ilvl="6" w:tentative="0">
      <w:start w:val="0"/>
      <w:numFmt w:val="bullet"/>
      <w:lvlText w:val="•"/>
      <w:lvlJc w:val="left"/>
      <w:pPr>
        <w:ind w:left="5493" w:hanging="552"/>
      </w:pPr>
      <w:rPr>
        <w:rFonts w:hint="default"/>
        <w:lang w:val="en-US" w:eastAsia="zh-CN" w:bidi="ar-SA"/>
      </w:rPr>
    </w:lvl>
    <w:lvl w:ilvl="7" w:tentative="0">
      <w:start w:val="0"/>
      <w:numFmt w:val="bullet"/>
      <w:lvlText w:val="•"/>
      <w:lvlJc w:val="left"/>
      <w:pPr>
        <w:ind w:left="6511" w:hanging="552"/>
      </w:pPr>
      <w:rPr>
        <w:rFonts w:hint="default"/>
        <w:lang w:val="en-US" w:eastAsia="zh-CN" w:bidi="ar-SA"/>
      </w:rPr>
    </w:lvl>
    <w:lvl w:ilvl="8" w:tentative="0">
      <w:start w:val="0"/>
      <w:numFmt w:val="bullet"/>
      <w:lvlText w:val="•"/>
      <w:lvlJc w:val="left"/>
      <w:pPr>
        <w:ind w:left="7529" w:hanging="552"/>
      </w:pPr>
      <w:rPr>
        <w:rFonts w:hint="default"/>
        <w:lang w:val="en-US" w:eastAsia="zh-CN" w:bidi="ar-SA"/>
      </w:rPr>
    </w:lvl>
  </w:abstractNum>
  <w:abstractNum w:abstractNumId="56">
    <w:nsid w:val="6DD4C3AD"/>
    <w:multiLevelType w:val="singleLevel"/>
    <w:tmpl w:val="6DD4C3AD"/>
    <w:lvl w:ilvl="0" w:tentative="0">
      <w:start w:val="7"/>
      <w:numFmt w:val="chineseCounting"/>
      <w:suff w:val="nothing"/>
      <w:lvlText w:val="%1、"/>
      <w:lvlJc w:val="left"/>
      <w:rPr>
        <w:rFonts w:hint="eastAsia"/>
      </w:rPr>
    </w:lvl>
  </w:abstractNum>
  <w:abstractNum w:abstractNumId="57">
    <w:nsid w:val="700FDCEF"/>
    <w:multiLevelType w:val="multilevel"/>
    <w:tmpl w:val="700FDCEF"/>
    <w:lvl w:ilvl="0" w:tentative="0">
      <w:start w:val="2"/>
      <w:numFmt w:val="decimal"/>
      <w:lvlText w:val="%1"/>
      <w:lvlJc w:val="left"/>
      <w:pPr>
        <w:ind w:left="914" w:hanging="490"/>
      </w:pPr>
      <w:rPr>
        <w:rFonts w:hint="default"/>
        <w:lang w:val="en-US" w:eastAsia="zh-CN" w:bidi="ar-SA"/>
      </w:rPr>
    </w:lvl>
    <w:lvl w:ilvl="1" w:tentative="0">
      <w:start w:val="7"/>
      <w:numFmt w:val="decimal"/>
      <w:lvlText w:val="%1.%2"/>
      <w:lvlJc w:val="left"/>
      <w:pPr>
        <w:ind w:left="914" w:hanging="490"/>
      </w:pPr>
      <w:rPr>
        <w:rFonts w:hint="default" w:ascii="Times New Roman" w:hAnsi="Times New Roman" w:eastAsia="Times New Roman" w:cs="Times New Roman"/>
        <w:b/>
        <w:bCs/>
        <w:spacing w:val="-1"/>
        <w:w w:val="100"/>
        <w:sz w:val="28"/>
        <w:szCs w:val="28"/>
        <w:lang w:val="en-US" w:eastAsia="zh-CN" w:bidi="ar-SA"/>
      </w:rPr>
    </w:lvl>
    <w:lvl w:ilvl="2" w:tentative="0">
      <w:start w:val="0"/>
      <w:numFmt w:val="bullet"/>
      <w:lvlText w:val="•"/>
      <w:lvlJc w:val="left"/>
      <w:pPr>
        <w:ind w:left="2649" w:hanging="490"/>
      </w:pPr>
      <w:rPr>
        <w:rFonts w:hint="default"/>
        <w:lang w:val="en-US" w:eastAsia="zh-CN" w:bidi="ar-SA"/>
      </w:rPr>
    </w:lvl>
    <w:lvl w:ilvl="3" w:tentative="0">
      <w:start w:val="0"/>
      <w:numFmt w:val="bullet"/>
      <w:lvlText w:val="•"/>
      <w:lvlJc w:val="left"/>
      <w:pPr>
        <w:ind w:left="3513" w:hanging="490"/>
      </w:pPr>
      <w:rPr>
        <w:rFonts w:hint="default"/>
        <w:lang w:val="en-US" w:eastAsia="zh-CN" w:bidi="ar-SA"/>
      </w:rPr>
    </w:lvl>
    <w:lvl w:ilvl="4" w:tentative="0">
      <w:start w:val="0"/>
      <w:numFmt w:val="bullet"/>
      <w:lvlText w:val="•"/>
      <w:lvlJc w:val="left"/>
      <w:pPr>
        <w:ind w:left="4378" w:hanging="490"/>
      </w:pPr>
      <w:rPr>
        <w:rFonts w:hint="default"/>
        <w:lang w:val="en-US" w:eastAsia="zh-CN" w:bidi="ar-SA"/>
      </w:rPr>
    </w:lvl>
    <w:lvl w:ilvl="5" w:tentative="0">
      <w:start w:val="0"/>
      <w:numFmt w:val="bullet"/>
      <w:lvlText w:val="•"/>
      <w:lvlJc w:val="left"/>
      <w:pPr>
        <w:ind w:left="5243" w:hanging="490"/>
      </w:pPr>
      <w:rPr>
        <w:rFonts w:hint="default"/>
        <w:lang w:val="en-US" w:eastAsia="zh-CN" w:bidi="ar-SA"/>
      </w:rPr>
    </w:lvl>
    <w:lvl w:ilvl="6" w:tentative="0">
      <w:start w:val="0"/>
      <w:numFmt w:val="bullet"/>
      <w:lvlText w:val="•"/>
      <w:lvlJc w:val="left"/>
      <w:pPr>
        <w:ind w:left="6107" w:hanging="490"/>
      </w:pPr>
      <w:rPr>
        <w:rFonts w:hint="default"/>
        <w:lang w:val="en-US" w:eastAsia="zh-CN" w:bidi="ar-SA"/>
      </w:rPr>
    </w:lvl>
    <w:lvl w:ilvl="7" w:tentative="0">
      <w:start w:val="0"/>
      <w:numFmt w:val="bullet"/>
      <w:lvlText w:val="•"/>
      <w:lvlJc w:val="left"/>
      <w:pPr>
        <w:ind w:left="6972" w:hanging="490"/>
      </w:pPr>
      <w:rPr>
        <w:rFonts w:hint="default"/>
        <w:lang w:val="en-US" w:eastAsia="zh-CN" w:bidi="ar-SA"/>
      </w:rPr>
    </w:lvl>
    <w:lvl w:ilvl="8" w:tentative="0">
      <w:start w:val="0"/>
      <w:numFmt w:val="bullet"/>
      <w:lvlText w:val="•"/>
      <w:lvlJc w:val="left"/>
      <w:pPr>
        <w:ind w:left="7837" w:hanging="490"/>
      </w:pPr>
      <w:rPr>
        <w:rFonts w:hint="default"/>
        <w:lang w:val="en-US" w:eastAsia="zh-CN" w:bidi="ar-SA"/>
      </w:rPr>
    </w:lvl>
  </w:abstractNum>
  <w:abstractNum w:abstractNumId="58">
    <w:nsid w:val="77633216"/>
    <w:multiLevelType w:val="multilevel"/>
    <w:tmpl w:val="77633216"/>
    <w:lvl w:ilvl="0" w:tentative="0">
      <w:start w:val="1"/>
      <w:numFmt w:val="decimal"/>
      <w:lvlText w:val="（%1）"/>
      <w:lvlJc w:val="left"/>
      <w:pPr>
        <w:ind w:left="424" w:hanging="553"/>
      </w:pPr>
      <w:rPr>
        <w:rFonts w:hint="default" w:ascii="宋体" w:hAnsi="宋体" w:eastAsia="宋体" w:cs="宋体"/>
        <w:spacing w:val="-5"/>
        <w:w w:val="100"/>
        <w:sz w:val="20"/>
        <w:szCs w:val="20"/>
        <w:lang w:val="en-US" w:eastAsia="zh-CN" w:bidi="ar-SA"/>
      </w:rPr>
    </w:lvl>
    <w:lvl w:ilvl="1" w:tentative="0">
      <w:start w:val="0"/>
      <w:numFmt w:val="bullet"/>
      <w:lvlText w:val="•"/>
      <w:lvlJc w:val="left"/>
      <w:pPr>
        <w:ind w:left="1334" w:hanging="553"/>
      </w:pPr>
      <w:rPr>
        <w:rFonts w:hint="default"/>
        <w:lang w:val="en-US" w:eastAsia="zh-CN" w:bidi="ar-SA"/>
      </w:rPr>
    </w:lvl>
    <w:lvl w:ilvl="2" w:tentative="0">
      <w:start w:val="0"/>
      <w:numFmt w:val="bullet"/>
      <w:lvlText w:val="•"/>
      <w:lvlJc w:val="left"/>
      <w:pPr>
        <w:ind w:left="2249" w:hanging="553"/>
      </w:pPr>
      <w:rPr>
        <w:rFonts w:hint="default"/>
        <w:lang w:val="en-US" w:eastAsia="zh-CN" w:bidi="ar-SA"/>
      </w:rPr>
    </w:lvl>
    <w:lvl w:ilvl="3" w:tentative="0">
      <w:start w:val="0"/>
      <w:numFmt w:val="bullet"/>
      <w:lvlText w:val="•"/>
      <w:lvlJc w:val="left"/>
      <w:pPr>
        <w:ind w:left="3163" w:hanging="553"/>
      </w:pPr>
      <w:rPr>
        <w:rFonts w:hint="default"/>
        <w:lang w:val="en-US" w:eastAsia="zh-CN" w:bidi="ar-SA"/>
      </w:rPr>
    </w:lvl>
    <w:lvl w:ilvl="4" w:tentative="0">
      <w:start w:val="0"/>
      <w:numFmt w:val="bullet"/>
      <w:lvlText w:val="•"/>
      <w:lvlJc w:val="left"/>
      <w:pPr>
        <w:ind w:left="4078" w:hanging="553"/>
      </w:pPr>
      <w:rPr>
        <w:rFonts w:hint="default"/>
        <w:lang w:val="en-US" w:eastAsia="zh-CN" w:bidi="ar-SA"/>
      </w:rPr>
    </w:lvl>
    <w:lvl w:ilvl="5" w:tentative="0">
      <w:start w:val="0"/>
      <w:numFmt w:val="bullet"/>
      <w:lvlText w:val="•"/>
      <w:lvlJc w:val="left"/>
      <w:pPr>
        <w:ind w:left="4993" w:hanging="553"/>
      </w:pPr>
      <w:rPr>
        <w:rFonts w:hint="default"/>
        <w:lang w:val="en-US" w:eastAsia="zh-CN" w:bidi="ar-SA"/>
      </w:rPr>
    </w:lvl>
    <w:lvl w:ilvl="6" w:tentative="0">
      <w:start w:val="0"/>
      <w:numFmt w:val="bullet"/>
      <w:lvlText w:val="•"/>
      <w:lvlJc w:val="left"/>
      <w:pPr>
        <w:ind w:left="5907" w:hanging="553"/>
      </w:pPr>
      <w:rPr>
        <w:rFonts w:hint="default"/>
        <w:lang w:val="en-US" w:eastAsia="zh-CN" w:bidi="ar-SA"/>
      </w:rPr>
    </w:lvl>
    <w:lvl w:ilvl="7" w:tentative="0">
      <w:start w:val="0"/>
      <w:numFmt w:val="bullet"/>
      <w:lvlText w:val="•"/>
      <w:lvlJc w:val="left"/>
      <w:pPr>
        <w:ind w:left="6822" w:hanging="553"/>
      </w:pPr>
      <w:rPr>
        <w:rFonts w:hint="default"/>
        <w:lang w:val="en-US" w:eastAsia="zh-CN" w:bidi="ar-SA"/>
      </w:rPr>
    </w:lvl>
    <w:lvl w:ilvl="8" w:tentative="0">
      <w:start w:val="0"/>
      <w:numFmt w:val="bullet"/>
      <w:lvlText w:val="•"/>
      <w:lvlJc w:val="left"/>
      <w:pPr>
        <w:ind w:left="7737" w:hanging="553"/>
      </w:pPr>
      <w:rPr>
        <w:rFonts w:hint="default"/>
        <w:lang w:val="en-US" w:eastAsia="zh-CN" w:bidi="ar-SA"/>
      </w:rPr>
    </w:lvl>
  </w:abstractNum>
  <w:abstractNum w:abstractNumId="59">
    <w:nsid w:val="7A010C0D"/>
    <w:multiLevelType w:val="singleLevel"/>
    <w:tmpl w:val="7A010C0D"/>
    <w:lvl w:ilvl="0" w:tentative="0">
      <w:start w:val="1"/>
      <w:numFmt w:val="chineseCounting"/>
      <w:suff w:val="nothing"/>
      <w:lvlText w:val="%1、"/>
      <w:lvlJc w:val="left"/>
      <w:rPr>
        <w:rFonts w:hint="eastAsia"/>
      </w:rPr>
    </w:lvl>
  </w:abstractNum>
  <w:num w:numId="1">
    <w:abstractNumId w:val="56"/>
  </w:num>
  <w:num w:numId="2">
    <w:abstractNumId w:val="59"/>
  </w:num>
  <w:num w:numId="3">
    <w:abstractNumId w:val="44"/>
  </w:num>
  <w:num w:numId="4">
    <w:abstractNumId w:val="15"/>
  </w:num>
  <w:num w:numId="5">
    <w:abstractNumId w:val="49"/>
  </w:num>
  <w:num w:numId="6">
    <w:abstractNumId w:val="37"/>
  </w:num>
  <w:num w:numId="7">
    <w:abstractNumId w:val="47"/>
  </w:num>
  <w:num w:numId="8">
    <w:abstractNumId w:val="35"/>
  </w:num>
  <w:num w:numId="9">
    <w:abstractNumId w:val="21"/>
  </w:num>
  <w:num w:numId="10">
    <w:abstractNumId w:val="39"/>
  </w:num>
  <w:num w:numId="11">
    <w:abstractNumId w:val="14"/>
  </w:num>
  <w:num w:numId="12">
    <w:abstractNumId w:val="48"/>
  </w:num>
  <w:num w:numId="13">
    <w:abstractNumId w:val="9"/>
  </w:num>
  <w:num w:numId="14">
    <w:abstractNumId w:val="32"/>
  </w:num>
  <w:num w:numId="15">
    <w:abstractNumId w:val="46"/>
  </w:num>
  <w:num w:numId="16">
    <w:abstractNumId w:val="33"/>
  </w:num>
  <w:num w:numId="17">
    <w:abstractNumId w:val="41"/>
  </w:num>
  <w:num w:numId="18">
    <w:abstractNumId w:val="57"/>
  </w:num>
  <w:num w:numId="19">
    <w:abstractNumId w:val="27"/>
  </w:num>
  <w:num w:numId="20">
    <w:abstractNumId w:val="22"/>
  </w:num>
  <w:num w:numId="21">
    <w:abstractNumId w:val="8"/>
  </w:num>
  <w:num w:numId="22">
    <w:abstractNumId w:val="58"/>
  </w:num>
  <w:num w:numId="23">
    <w:abstractNumId w:val="25"/>
  </w:num>
  <w:num w:numId="24">
    <w:abstractNumId w:val="16"/>
  </w:num>
  <w:num w:numId="25">
    <w:abstractNumId w:val="45"/>
  </w:num>
  <w:num w:numId="26">
    <w:abstractNumId w:val="28"/>
  </w:num>
  <w:num w:numId="27">
    <w:abstractNumId w:val="5"/>
  </w:num>
  <w:num w:numId="28">
    <w:abstractNumId w:val="52"/>
  </w:num>
  <w:num w:numId="29">
    <w:abstractNumId w:val="18"/>
  </w:num>
  <w:num w:numId="30">
    <w:abstractNumId w:val="13"/>
  </w:num>
  <w:num w:numId="31">
    <w:abstractNumId w:val="4"/>
  </w:num>
  <w:num w:numId="32">
    <w:abstractNumId w:val="7"/>
  </w:num>
  <w:num w:numId="33">
    <w:abstractNumId w:val="12"/>
  </w:num>
  <w:num w:numId="34">
    <w:abstractNumId w:val="3"/>
  </w:num>
  <w:num w:numId="35">
    <w:abstractNumId w:val="43"/>
  </w:num>
  <w:num w:numId="36">
    <w:abstractNumId w:val="19"/>
  </w:num>
  <w:num w:numId="37">
    <w:abstractNumId w:val="40"/>
  </w:num>
  <w:num w:numId="38">
    <w:abstractNumId w:val="24"/>
  </w:num>
  <w:num w:numId="39">
    <w:abstractNumId w:val="55"/>
  </w:num>
  <w:num w:numId="40">
    <w:abstractNumId w:val="0"/>
  </w:num>
  <w:num w:numId="41">
    <w:abstractNumId w:val="17"/>
  </w:num>
  <w:num w:numId="42">
    <w:abstractNumId w:val="31"/>
  </w:num>
  <w:num w:numId="43">
    <w:abstractNumId w:val="51"/>
  </w:num>
  <w:num w:numId="44">
    <w:abstractNumId w:val="38"/>
  </w:num>
  <w:num w:numId="45">
    <w:abstractNumId w:val="6"/>
  </w:num>
  <w:num w:numId="46">
    <w:abstractNumId w:val="26"/>
  </w:num>
  <w:num w:numId="47">
    <w:abstractNumId w:val="42"/>
  </w:num>
  <w:num w:numId="48">
    <w:abstractNumId w:val="50"/>
  </w:num>
  <w:num w:numId="49">
    <w:abstractNumId w:val="11"/>
  </w:num>
  <w:num w:numId="50">
    <w:abstractNumId w:val="54"/>
  </w:num>
  <w:num w:numId="51">
    <w:abstractNumId w:val="1"/>
  </w:num>
  <w:num w:numId="52">
    <w:abstractNumId w:val="2"/>
  </w:num>
  <w:num w:numId="53">
    <w:abstractNumId w:val="34"/>
  </w:num>
  <w:num w:numId="54">
    <w:abstractNumId w:val="20"/>
  </w:num>
  <w:num w:numId="55">
    <w:abstractNumId w:val="23"/>
  </w:num>
  <w:num w:numId="56">
    <w:abstractNumId w:val="30"/>
  </w:num>
  <w:num w:numId="57">
    <w:abstractNumId w:val="53"/>
  </w:num>
  <w:num w:numId="58">
    <w:abstractNumId w:val="29"/>
  </w:num>
  <w:num w:numId="59">
    <w:abstractNumId w:val="10"/>
  </w:num>
  <w:num w:numId="6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E2F"/>
    <w:rsid w:val="0000268A"/>
    <w:rsid w:val="00007C2D"/>
    <w:rsid w:val="00014B65"/>
    <w:rsid w:val="000164F4"/>
    <w:rsid w:val="00032810"/>
    <w:rsid w:val="00042C1B"/>
    <w:rsid w:val="00083591"/>
    <w:rsid w:val="000950CF"/>
    <w:rsid w:val="000B5A27"/>
    <w:rsid w:val="000D31EF"/>
    <w:rsid w:val="000E0C3A"/>
    <w:rsid w:val="000F4B7D"/>
    <w:rsid w:val="00102A97"/>
    <w:rsid w:val="00107979"/>
    <w:rsid w:val="00112A60"/>
    <w:rsid w:val="00114CE2"/>
    <w:rsid w:val="00150848"/>
    <w:rsid w:val="0017317C"/>
    <w:rsid w:val="0017729E"/>
    <w:rsid w:val="001963F7"/>
    <w:rsid w:val="001B3F54"/>
    <w:rsid w:val="001C3D48"/>
    <w:rsid w:val="001D3637"/>
    <w:rsid w:val="001F389E"/>
    <w:rsid w:val="001F3EB3"/>
    <w:rsid w:val="00204839"/>
    <w:rsid w:val="0023286F"/>
    <w:rsid w:val="002344CE"/>
    <w:rsid w:val="0024405F"/>
    <w:rsid w:val="00256C52"/>
    <w:rsid w:val="00276880"/>
    <w:rsid w:val="002812C4"/>
    <w:rsid w:val="002850B4"/>
    <w:rsid w:val="002F08DD"/>
    <w:rsid w:val="002F382A"/>
    <w:rsid w:val="00302B81"/>
    <w:rsid w:val="00304DC0"/>
    <w:rsid w:val="003075BA"/>
    <w:rsid w:val="00320645"/>
    <w:rsid w:val="00325DEF"/>
    <w:rsid w:val="00325E2F"/>
    <w:rsid w:val="003736C3"/>
    <w:rsid w:val="0039540D"/>
    <w:rsid w:val="003B042F"/>
    <w:rsid w:val="003B0C12"/>
    <w:rsid w:val="003B27DA"/>
    <w:rsid w:val="003C554F"/>
    <w:rsid w:val="003D6783"/>
    <w:rsid w:val="003D7CFB"/>
    <w:rsid w:val="00416F66"/>
    <w:rsid w:val="0042421E"/>
    <w:rsid w:val="00442E3B"/>
    <w:rsid w:val="0044397F"/>
    <w:rsid w:val="0044785F"/>
    <w:rsid w:val="004613FD"/>
    <w:rsid w:val="00465C10"/>
    <w:rsid w:val="004726F9"/>
    <w:rsid w:val="00492693"/>
    <w:rsid w:val="004B6F14"/>
    <w:rsid w:val="004E13F0"/>
    <w:rsid w:val="00516516"/>
    <w:rsid w:val="00523004"/>
    <w:rsid w:val="00532596"/>
    <w:rsid w:val="00554868"/>
    <w:rsid w:val="00574975"/>
    <w:rsid w:val="005835D4"/>
    <w:rsid w:val="00587E50"/>
    <w:rsid w:val="005B2916"/>
    <w:rsid w:val="005B48AC"/>
    <w:rsid w:val="005E1EAD"/>
    <w:rsid w:val="005E4A8A"/>
    <w:rsid w:val="005F708F"/>
    <w:rsid w:val="0061369D"/>
    <w:rsid w:val="006214F2"/>
    <w:rsid w:val="0062224E"/>
    <w:rsid w:val="00630F42"/>
    <w:rsid w:val="00633121"/>
    <w:rsid w:val="00633DC3"/>
    <w:rsid w:val="006347E3"/>
    <w:rsid w:val="00665B2A"/>
    <w:rsid w:val="00672BC2"/>
    <w:rsid w:val="0068724B"/>
    <w:rsid w:val="00697891"/>
    <w:rsid w:val="006A0387"/>
    <w:rsid w:val="006A05AD"/>
    <w:rsid w:val="006A235D"/>
    <w:rsid w:val="006B31C8"/>
    <w:rsid w:val="00733529"/>
    <w:rsid w:val="00760CDD"/>
    <w:rsid w:val="0076273C"/>
    <w:rsid w:val="00770807"/>
    <w:rsid w:val="00770939"/>
    <w:rsid w:val="0077148D"/>
    <w:rsid w:val="00774450"/>
    <w:rsid w:val="00777184"/>
    <w:rsid w:val="00796F87"/>
    <w:rsid w:val="007A279D"/>
    <w:rsid w:val="007A2D42"/>
    <w:rsid w:val="007A61AF"/>
    <w:rsid w:val="007B6571"/>
    <w:rsid w:val="007B706C"/>
    <w:rsid w:val="007C2279"/>
    <w:rsid w:val="007C7731"/>
    <w:rsid w:val="007D59D2"/>
    <w:rsid w:val="007D5E02"/>
    <w:rsid w:val="007F1C1F"/>
    <w:rsid w:val="007F3D04"/>
    <w:rsid w:val="007F407E"/>
    <w:rsid w:val="007F6124"/>
    <w:rsid w:val="008212CA"/>
    <w:rsid w:val="0082721C"/>
    <w:rsid w:val="00852BB6"/>
    <w:rsid w:val="00861EAE"/>
    <w:rsid w:val="00863850"/>
    <w:rsid w:val="0087663B"/>
    <w:rsid w:val="00881B00"/>
    <w:rsid w:val="00885AAC"/>
    <w:rsid w:val="008E4295"/>
    <w:rsid w:val="00901956"/>
    <w:rsid w:val="00901AC0"/>
    <w:rsid w:val="00903E9F"/>
    <w:rsid w:val="00905BF0"/>
    <w:rsid w:val="00906E9A"/>
    <w:rsid w:val="00914A79"/>
    <w:rsid w:val="00926E96"/>
    <w:rsid w:val="0095196E"/>
    <w:rsid w:val="00961D1E"/>
    <w:rsid w:val="00971349"/>
    <w:rsid w:val="00971CFF"/>
    <w:rsid w:val="009C164C"/>
    <w:rsid w:val="00A1021D"/>
    <w:rsid w:val="00A2674E"/>
    <w:rsid w:val="00A33CA6"/>
    <w:rsid w:val="00A4596B"/>
    <w:rsid w:val="00A511A4"/>
    <w:rsid w:val="00A562CF"/>
    <w:rsid w:val="00A763E0"/>
    <w:rsid w:val="00AF0295"/>
    <w:rsid w:val="00B12108"/>
    <w:rsid w:val="00B27132"/>
    <w:rsid w:val="00B30DD5"/>
    <w:rsid w:val="00B313DA"/>
    <w:rsid w:val="00B61C2B"/>
    <w:rsid w:val="00B660BD"/>
    <w:rsid w:val="00B912BA"/>
    <w:rsid w:val="00B96845"/>
    <w:rsid w:val="00BA21FE"/>
    <w:rsid w:val="00BC0B7F"/>
    <w:rsid w:val="00BC4E9B"/>
    <w:rsid w:val="00BD4E09"/>
    <w:rsid w:val="00BF4983"/>
    <w:rsid w:val="00BF57FB"/>
    <w:rsid w:val="00C002B5"/>
    <w:rsid w:val="00C225E4"/>
    <w:rsid w:val="00C62D73"/>
    <w:rsid w:val="00C85AFF"/>
    <w:rsid w:val="00C938DD"/>
    <w:rsid w:val="00CA33FF"/>
    <w:rsid w:val="00CD7065"/>
    <w:rsid w:val="00CE565E"/>
    <w:rsid w:val="00D006BD"/>
    <w:rsid w:val="00D0260B"/>
    <w:rsid w:val="00D27193"/>
    <w:rsid w:val="00D65F69"/>
    <w:rsid w:val="00D73B34"/>
    <w:rsid w:val="00D90FD6"/>
    <w:rsid w:val="00DC611F"/>
    <w:rsid w:val="00DF4550"/>
    <w:rsid w:val="00E111D2"/>
    <w:rsid w:val="00E227E1"/>
    <w:rsid w:val="00E32871"/>
    <w:rsid w:val="00E40E08"/>
    <w:rsid w:val="00E51BAC"/>
    <w:rsid w:val="00E56599"/>
    <w:rsid w:val="00E61A05"/>
    <w:rsid w:val="00E70866"/>
    <w:rsid w:val="00E72932"/>
    <w:rsid w:val="00E746FD"/>
    <w:rsid w:val="00E76189"/>
    <w:rsid w:val="00E91236"/>
    <w:rsid w:val="00E9470B"/>
    <w:rsid w:val="00E94B21"/>
    <w:rsid w:val="00EB136C"/>
    <w:rsid w:val="00EB27B6"/>
    <w:rsid w:val="00EB4A9F"/>
    <w:rsid w:val="00EB774C"/>
    <w:rsid w:val="00EC0B46"/>
    <w:rsid w:val="00EE6F6D"/>
    <w:rsid w:val="00EF66B4"/>
    <w:rsid w:val="00F03E5D"/>
    <w:rsid w:val="00F06A0A"/>
    <w:rsid w:val="00F06C81"/>
    <w:rsid w:val="00F2131B"/>
    <w:rsid w:val="00F31FB5"/>
    <w:rsid w:val="00F33064"/>
    <w:rsid w:val="00F331B8"/>
    <w:rsid w:val="00F372C9"/>
    <w:rsid w:val="00F5075A"/>
    <w:rsid w:val="00F671C0"/>
    <w:rsid w:val="00F73D52"/>
    <w:rsid w:val="00F750B9"/>
    <w:rsid w:val="00F9484C"/>
    <w:rsid w:val="00FA5AA3"/>
    <w:rsid w:val="00FA77C9"/>
    <w:rsid w:val="00FB68B1"/>
    <w:rsid w:val="00FC63CE"/>
    <w:rsid w:val="00FD573A"/>
    <w:rsid w:val="00FE6946"/>
    <w:rsid w:val="00FF027F"/>
    <w:rsid w:val="043C63BB"/>
    <w:rsid w:val="05995993"/>
    <w:rsid w:val="05C27ED4"/>
    <w:rsid w:val="073E5EEE"/>
    <w:rsid w:val="07AB2829"/>
    <w:rsid w:val="084B75C9"/>
    <w:rsid w:val="08D17063"/>
    <w:rsid w:val="09241272"/>
    <w:rsid w:val="09BA6B04"/>
    <w:rsid w:val="09E4339E"/>
    <w:rsid w:val="0A5A7EE7"/>
    <w:rsid w:val="0B11375F"/>
    <w:rsid w:val="0B8D1285"/>
    <w:rsid w:val="0C3F3EAA"/>
    <w:rsid w:val="0C5A22DA"/>
    <w:rsid w:val="0CC20B97"/>
    <w:rsid w:val="0D05306C"/>
    <w:rsid w:val="0DA053B4"/>
    <w:rsid w:val="0DBF1894"/>
    <w:rsid w:val="0E4C6690"/>
    <w:rsid w:val="0E9D7238"/>
    <w:rsid w:val="0EA2551E"/>
    <w:rsid w:val="10136CEC"/>
    <w:rsid w:val="10956815"/>
    <w:rsid w:val="113C541A"/>
    <w:rsid w:val="12B425DE"/>
    <w:rsid w:val="136F336B"/>
    <w:rsid w:val="13B52E44"/>
    <w:rsid w:val="148A741C"/>
    <w:rsid w:val="14AC1E76"/>
    <w:rsid w:val="15653A19"/>
    <w:rsid w:val="15707824"/>
    <w:rsid w:val="167B126C"/>
    <w:rsid w:val="167E04ED"/>
    <w:rsid w:val="17AF2654"/>
    <w:rsid w:val="181801FE"/>
    <w:rsid w:val="18B63C2C"/>
    <w:rsid w:val="1913159F"/>
    <w:rsid w:val="194A7B67"/>
    <w:rsid w:val="1AC73A6E"/>
    <w:rsid w:val="1AEC0FF1"/>
    <w:rsid w:val="1C9E33F4"/>
    <w:rsid w:val="1D546468"/>
    <w:rsid w:val="1D6F2414"/>
    <w:rsid w:val="1D901E7F"/>
    <w:rsid w:val="1EA5605B"/>
    <w:rsid w:val="1F2C42A3"/>
    <w:rsid w:val="1F8B4D90"/>
    <w:rsid w:val="1FD502CF"/>
    <w:rsid w:val="1FF9055D"/>
    <w:rsid w:val="201076BE"/>
    <w:rsid w:val="20F00C50"/>
    <w:rsid w:val="22B51072"/>
    <w:rsid w:val="230B2EED"/>
    <w:rsid w:val="230C0065"/>
    <w:rsid w:val="23525246"/>
    <w:rsid w:val="23736B26"/>
    <w:rsid w:val="238B294F"/>
    <w:rsid w:val="23F42DD8"/>
    <w:rsid w:val="23F44C57"/>
    <w:rsid w:val="26C5308D"/>
    <w:rsid w:val="26C63769"/>
    <w:rsid w:val="26D95C8F"/>
    <w:rsid w:val="27745A1A"/>
    <w:rsid w:val="27BE4926"/>
    <w:rsid w:val="27ED6D2A"/>
    <w:rsid w:val="27ED74A5"/>
    <w:rsid w:val="28DD7B4C"/>
    <w:rsid w:val="2A510F97"/>
    <w:rsid w:val="2AD717B7"/>
    <w:rsid w:val="2AE40F9F"/>
    <w:rsid w:val="2B1F1FE6"/>
    <w:rsid w:val="2B883CEB"/>
    <w:rsid w:val="2D8042CE"/>
    <w:rsid w:val="2D956675"/>
    <w:rsid w:val="2DA34974"/>
    <w:rsid w:val="2DDD4083"/>
    <w:rsid w:val="2E4A5A9F"/>
    <w:rsid w:val="2EB259E9"/>
    <w:rsid w:val="2F1F3968"/>
    <w:rsid w:val="30490001"/>
    <w:rsid w:val="308B0DF6"/>
    <w:rsid w:val="30967378"/>
    <w:rsid w:val="30E4441B"/>
    <w:rsid w:val="319D3DD2"/>
    <w:rsid w:val="31ED6060"/>
    <w:rsid w:val="321876B7"/>
    <w:rsid w:val="346F02C5"/>
    <w:rsid w:val="3507105D"/>
    <w:rsid w:val="358A23ED"/>
    <w:rsid w:val="359620E8"/>
    <w:rsid w:val="359A6AEB"/>
    <w:rsid w:val="35EE7851"/>
    <w:rsid w:val="36585620"/>
    <w:rsid w:val="36743E52"/>
    <w:rsid w:val="36825E34"/>
    <w:rsid w:val="36AE575A"/>
    <w:rsid w:val="36BA16AD"/>
    <w:rsid w:val="36FF31E8"/>
    <w:rsid w:val="37D87EA9"/>
    <w:rsid w:val="37E655A3"/>
    <w:rsid w:val="39D5337A"/>
    <w:rsid w:val="3A3D2108"/>
    <w:rsid w:val="3B4568EB"/>
    <w:rsid w:val="3C4255BA"/>
    <w:rsid w:val="3D9169D7"/>
    <w:rsid w:val="3EB0016B"/>
    <w:rsid w:val="3EF95FDC"/>
    <w:rsid w:val="4009662F"/>
    <w:rsid w:val="406C2365"/>
    <w:rsid w:val="417D5E7D"/>
    <w:rsid w:val="419518B9"/>
    <w:rsid w:val="431D438B"/>
    <w:rsid w:val="43C94B0E"/>
    <w:rsid w:val="45A2238B"/>
    <w:rsid w:val="45B02F79"/>
    <w:rsid w:val="45F3039E"/>
    <w:rsid w:val="46044B25"/>
    <w:rsid w:val="46411E5F"/>
    <w:rsid w:val="47920C74"/>
    <w:rsid w:val="47E04B3C"/>
    <w:rsid w:val="481F6125"/>
    <w:rsid w:val="485E70B2"/>
    <w:rsid w:val="48686CEE"/>
    <w:rsid w:val="48815CE7"/>
    <w:rsid w:val="49E75089"/>
    <w:rsid w:val="4A5D3AF4"/>
    <w:rsid w:val="4AB962F6"/>
    <w:rsid w:val="4AD8339F"/>
    <w:rsid w:val="4D145BF9"/>
    <w:rsid w:val="4E90101E"/>
    <w:rsid w:val="4F087806"/>
    <w:rsid w:val="4F4E18E1"/>
    <w:rsid w:val="50793188"/>
    <w:rsid w:val="512C6C45"/>
    <w:rsid w:val="53135EDB"/>
    <w:rsid w:val="5686571A"/>
    <w:rsid w:val="571E524F"/>
    <w:rsid w:val="57E75C73"/>
    <w:rsid w:val="59071D70"/>
    <w:rsid w:val="5B192266"/>
    <w:rsid w:val="5C4F226F"/>
    <w:rsid w:val="5C523EC3"/>
    <w:rsid w:val="5CB2025F"/>
    <w:rsid w:val="60180E77"/>
    <w:rsid w:val="60195BC1"/>
    <w:rsid w:val="620C4E8F"/>
    <w:rsid w:val="63630DBF"/>
    <w:rsid w:val="63EB42D7"/>
    <w:rsid w:val="66217964"/>
    <w:rsid w:val="66677C9A"/>
    <w:rsid w:val="66C07101"/>
    <w:rsid w:val="67AA1940"/>
    <w:rsid w:val="68B83AED"/>
    <w:rsid w:val="697A688D"/>
    <w:rsid w:val="697C7AB7"/>
    <w:rsid w:val="69AB58FA"/>
    <w:rsid w:val="6AAF2D4B"/>
    <w:rsid w:val="6AAF38C4"/>
    <w:rsid w:val="6AD02D72"/>
    <w:rsid w:val="6B3E667B"/>
    <w:rsid w:val="6B555FB9"/>
    <w:rsid w:val="6B6C6B01"/>
    <w:rsid w:val="6B8E0C90"/>
    <w:rsid w:val="6BED5E87"/>
    <w:rsid w:val="6C5C11A1"/>
    <w:rsid w:val="6CED07D2"/>
    <w:rsid w:val="6D395410"/>
    <w:rsid w:val="6DAA5B44"/>
    <w:rsid w:val="6EBE60C4"/>
    <w:rsid w:val="6F294768"/>
    <w:rsid w:val="6F4C66E5"/>
    <w:rsid w:val="6F6548BA"/>
    <w:rsid w:val="6F6D7E9D"/>
    <w:rsid w:val="6F8F3496"/>
    <w:rsid w:val="704731E5"/>
    <w:rsid w:val="706E23EA"/>
    <w:rsid w:val="70D76BF7"/>
    <w:rsid w:val="70E24E0C"/>
    <w:rsid w:val="71B17A1C"/>
    <w:rsid w:val="734A330F"/>
    <w:rsid w:val="73760762"/>
    <w:rsid w:val="73CD3D4F"/>
    <w:rsid w:val="74115181"/>
    <w:rsid w:val="741F7874"/>
    <w:rsid w:val="75AD6D73"/>
    <w:rsid w:val="76BD0748"/>
    <w:rsid w:val="77143049"/>
    <w:rsid w:val="776F2BA6"/>
    <w:rsid w:val="77AA47E6"/>
    <w:rsid w:val="77E35F06"/>
    <w:rsid w:val="78173AB2"/>
    <w:rsid w:val="78D61C35"/>
    <w:rsid w:val="78DE5473"/>
    <w:rsid w:val="79510D25"/>
    <w:rsid w:val="7A886544"/>
    <w:rsid w:val="7AA67FCB"/>
    <w:rsid w:val="7B81098A"/>
    <w:rsid w:val="7BE25958"/>
    <w:rsid w:val="7CB66BDC"/>
    <w:rsid w:val="7D0F0A77"/>
    <w:rsid w:val="7D453D64"/>
    <w:rsid w:val="7F36508B"/>
    <w:rsid w:val="7FC45D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9" w:semiHidden="0" w:name="heading 2"/>
    <w:lsdException w:qFormat="1" w:uiPriority="9" w:name="heading 3"/>
    <w:lsdException w:qFormat="1" w:unhideWhenUsed="0" w:uiPriority="0" w:semiHidden="0" w:name="heading 4"/>
    <w:lsdException w:qFormat="1" w:uiPriority="9" w:name="heading 5"/>
    <w:lsdException w:qFormat="1" w:unhideWhenUsed="0" w:uiPriority="1" w:semiHidden="0" w:name="heading 6"/>
    <w:lsdException w:qFormat="1" w:uiPriority="9" w:name="heading 7"/>
    <w:lsdException w:qFormat="1" w:unhideWhenUsed="0" w:uiPriority="1" w:semiHidden="0"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1"/>
    <w:pPr>
      <w:spacing w:before="21"/>
      <w:ind w:right="349"/>
      <w:jc w:val="center"/>
      <w:outlineLvl w:val="0"/>
    </w:pPr>
    <w:rPr>
      <w:rFonts w:ascii="黑体" w:hAnsi="黑体" w:eastAsia="黑体" w:cs="黑体"/>
      <w:sz w:val="56"/>
      <w:szCs w:val="56"/>
    </w:rPr>
  </w:style>
  <w:style w:type="paragraph" w:styleId="4">
    <w:name w:val="heading 2"/>
    <w:basedOn w:val="1"/>
    <w:next w:val="1"/>
    <w:link w:val="2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2">
    <w:name w:val="heading 4"/>
    <w:basedOn w:val="1"/>
    <w:next w:val="1"/>
    <w:qFormat/>
    <w:uiPriority w:val="0"/>
    <w:pPr>
      <w:keepNext/>
      <w:keepLines/>
      <w:widowControl/>
      <w:spacing w:before="120" w:after="120" w:line="360" w:lineRule="auto"/>
      <w:jc w:val="center"/>
      <w:outlineLvl w:val="3"/>
    </w:pPr>
    <w:rPr>
      <w:rFonts w:ascii="Arial" w:hAnsi="Arial" w:eastAsia="黑体"/>
      <w:kern w:val="0"/>
      <w:sz w:val="28"/>
      <w:szCs w:val="20"/>
    </w:rPr>
  </w:style>
  <w:style w:type="paragraph" w:styleId="5">
    <w:name w:val="heading 6"/>
    <w:basedOn w:val="1"/>
    <w:next w:val="1"/>
    <w:qFormat/>
    <w:uiPriority w:val="1"/>
    <w:pPr>
      <w:spacing w:before="28"/>
      <w:ind w:left="309"/>
      <w:jc w:val="center"/>
      <w:outlineLvl w:val="5"/>
    </w:pPr>
    <w:rPr>
      <w:rFonts w:ascii="宋体" w:hAnsi="宋体" w:eastAsia="宋体" w:cs="宋体"/>
      <w:b/>
      <w:bCs/>
      <w:sz w:val="36"/>
      <w:szCs w:val="36"/>
    </w:rPr>
  </w:style>
  <w:style w:type="paragraph" w:styleId="6">
    <w:name w:val="heading 8"/>
    <w:basedOn w:val="1"/>
    <w:next w:val="1"/>
    <w:qFormat/>
    <w:uiPriority w:val="1"/>
    <w:pPr>
      <w:ind w:left="825" w:hanging="402"/>
      <w:outlineLvl w:val="7"/>
    </w:pPr>
    <w:rPr>
      <w:rFonts w:ascii="黑体" w:hAnsi="黑体" w:eastAsia="黑体" w:cs="黑体"/>
      <w:b/>
      <w:bCs/>
      <w:sz w:val="32"/>
      <w:szCs w:val="32"/>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7">
    <w:name w:val="Document Map"/>
    <w:basedOn w:val="1"/>
    <w:link w:val="20"/>
    <w:semiHidden/>
    <w:unhideWhenUsed/>
    <w:qFormat/>
    <w:uiPriority w:val="99"/>
    <w:rPr>
      <w:rFonts w:ascii="宋体" w:eastAsia="宋体"/>
      <w:sz w:val="18"/>
      <w:szCs w:val="18"/>
    </w:rPr>
  </w:style>
  <w:style w:type="paragraph" w:styleId="8">
    <w:name w:val="annotation text"/>
    <w:basedOn w:val="1"/>
    <w:link w:val="30"/>
    <w:qFormat/>
    <w:uiPriority w:val="0"/>
    <w:pPr>
      <w:spacing w:after="0" w:line="240" w:lineRule="auto"/>
    </w:pPr>
    <w:rPr>
      <w:rFonts w:ascii="Times New Roman" w:hAnsi="Times New Roman" w:eastAsia="宋体" w:cs="Times New Roman"/>
      <w:szCs w:val="20"/>
    </w:rPr>
  </w:style>
  <w:style w:type="paragraph" w:styleId="9">
    <w:name w:val="Body Text"/>
    <w:basedOn w:val="1"/>
    <w:link w:val="22"/>
    <w:qFormat/>
    <w:uiPriority w:val="0"/>
    <w:pPr>
      <w:spacing w:after="0" w:line="240" w:lineRule="auto"/>
      <w:jc w:val="center"/>
    </w:pPr>
    <w:rPr>
      <w:rFonts w:ascii="Times New Roman" w:hAnsi="Times New Roman" w:eastAsia="宋体" w:cs="Times New Roman"/>
      <w:sz w:val="52"/>
      <w:szCs w:val="24"/>
    </w:rPr>
  </w:style>
  <w:style w:type="paragraph" w:styleId="10">
    <w:name w:val="Plain Text"/>
    <w:basedOn w:val="1"/>
    <w:link w:val="24"/>
    <w:qFormat/>
    <w:uiPriority w:val="0"/>
    <w:pPr>
      <w:adjustRightInd w:val="0"/>
      <w:spacing w:after="0" w:line="312" w:lineRule="atLeast"/>
      <w:jc w:val="both"/>
      <w:textAlignment w:val="baseline"/>
    </w:pPr>
    <w:rPr>
      <w:rFonts w:ascii="宋体" w:hAnsi="Courier New" w:eastAsia="宋体"/>
    </w:rPr>
  </w:style>
  <w:style w:type="paragraph" w:styleId="11">
    <w:name w:val="Balloon Text"/>
    <w:basedOn w:val="1"/>
    <w:link w:val="31"/>
    <w:semiHidden/>
    <w:unhideWhenUsed/>
    <w:qFormat/>
    <w:uiPriority w:val="99"/>
    <w:pPr>
      <w:spacing w:after="0" w:line="240" w:lineRule="auto"/>
    </w:pPr>
    <w:rPr>
      <w:sz w:val="18"/>
      <w:szCs w:val="18"/>
    </w:rPr>
  </w:style>
  <w:style w:type="paragraph" w:styleId="12">
    <w:name w:val="footer"/>
    <w:basedOn w:val="1"/>
    <w:link w:val="27"/>
    <w:unhideWhenUsed/>
    <w:qFormat/>
    <w:uiPriority w:val="99"/>
    <w:pPr>
      <w:tabs>
        <w:tab w:val="center" w:pos="4153"/>
        <w:tab w:val="right" w:pos="8306"/>
      </w:tabs>
      <w:snapToGrid w:val="0"/>
      <w:spacing w:line="240" w:lineRule="auto"/>
    </w:pPr>
    <w:rPr>
      <w:sz w:val="18"/>
      <w:szCs w:val="18"/>
    </w:rPr>
  </w:style>
  <w:style w:type="paragraph" w:styleId="13">
    <w:name w:val="header"/>
    <w:basedOn w:val="1"/>
    <w:link w:val="26"/>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4">
    <w:name w:val="Normal (Web)"/>
    <w:basedOn w:val="1"/>
    <w:semiHidden/>
    <w:unhideWhenUsed/>
    <w:qFormat/>
    <w:uiPriority w:val="99"/>
    <w:pPr>
      <w:spacing w:beforeAutospacing="1" w:after="0" w:afterAutospacing="1"/>
    </w:pPr>
    <w:rPr>
      <w:rFonts w:cs="Times New Roman"/>
      <w:kern w:val="0"/>
      <w:sz w:val="24"/>
    </w:rPr>
  </w:style>
  <w:style w:type="paragraph" w:styleId="15">
    <w:name w:val="annotation subject"/>
    <w:basedOn w:val="8"/>
    <w:next w:val="8"/>
    <w:link w:val="34"/>
    <w:semiHidden/>
    <w:unhideWhenUsed/>
    <w:qFormat/>
    <w:uiPriority w:val="99"/>
    <w:pPr>
      <w:spacing w:after="200" w:line="276" w:lineRule="auto"/>
    </w:pPr>
    <w:rPr>
      <w:rFonts w:asciiTheme="minorHAnsi" w:hAnsiTheme="minorHAnsi" w:eastAsiaTheme="minorEastAsia" w:cstheme="minorBidi"/>
      <w:b/>
      <w:bCs/>
      <w:szCs w:val="22"/>
    </w:rPr>
  </w:style>
  <w:style w:type="character" w:styleId="18">
    <w:name w:val="Hyperlink"/>
    <w:semiHidden/>
    <w:unhideWhenUsed/>
    <w:qFormat/>
    <w:uiPriority w:val="99"/>
    <w:rPr>
      <w:color w:val="0000FF" w:themeColor="hyperlink"/>
      <w:u w:val="single"/>
      <w14:textFill>
        <w14:solidFill>
          <w14:schemeClr w14:val="hlink"/>
        </w14:solidFill>
      </w14:textFill>
    </w:rPr>
  </w:style>
  <w:style w:type="character" w:styleId="19">
    <w:name w:val="annotation reference"/>
    <w:basedOn w:val="17"/>
    <w:semiHidden/>
    <w:unhideWhenUsed/>
    <w:qFormat/>
    <w:uiPriority w:val="99"/>
    <w:rPr>
      <w:sz w:val="21"/>
      <w:szCs w:val="21"/>
    </w:rPr>
  </w:style>
  <w:style w:type="character" w:customStyle="1" w:styleId="20">
    <w:name w:val="文档结构图 Char"/>
    <w:basedOn w:val="17"/>
    <w:link w:val="7"/>
    <w:semiHidden/>
    <w:qFormat/>
    <w:uiPriority w:val="99"/>
    <w:rPr>
      <w:rFonts w:ascii="宋体" w:eastAsia="宋体"/>
      <w:sz w:val="18"/>
      <w:szCs w:val="18"/>
    </w:rPr>
  </w:style>
  <w:style w:type="character" w:customStyle="1" w:styleId="21">
    <w:name w:val="正文文本 Char"/>
    <w:qFormat/>
    <w:uiPriority w:val="0"/>
    <w:rPr>
      <w:rFonts w:ascii="Times New Roman" w:hAnsi="Times New Roman" w:eastAsia="宋体" w:cs="Times New Roman"/>
      <w:sz w:val="52"/>
      <w:szCs w:val="24"/>
    </w:rPr>
  </w:style>
  <w:style w:type="character" w:customStyle="1" w:styleId="22">
    <w:name w:val="正文文本 Char1"/>
    <w:basedOn w:val="17"/>
    <w:link w:val="9"/>
    <w:semiHidden/>
    <w:qFormat/>
    <w:uiPriority w:val="99"/>
  </w:style>
  <w:style w:type="character" w:customStyle="1" w:styleId="23">
    <w:name w:val="纯文本 Char"/>
    <w:qFormat/>
    <w:uiPriority w:val="0"/>
    <w:rPr>
      <w:rFonts w:ascii="宋体" w:hAnsi="Courier New" w:eastAsia="宋体"/>
    </w:rPr>
  </w:style>
  <w:style w:type="character" w:customStyle="1" w:styleId="24">
    <w:name w:val="纯文本 Char1"/>
    <w:basedOn w:val="17"/>
    <w:link w:val="10"/>
    <w:semiHidden/>
    <w:qFormat/>
    <w:uiPriority w:val="99"/>
    <w:rPr>
      <w:rFonts w:ascii="宋体" w:hAnsi="Courier New" w:eastAsia="宋体" w:cs="Courier New"/>
      <w:szCs w:val="21"/>
    </w:rPr>
  </w:style>
  <w:style w:type="character" w:customStyle="1" w:styleId="25">
    <w:name w:val="标题 2 Char"/>
    <w:basedOn w:val="17"/>
    <w:link w:val="4"/>
    <w:qFormat/>
    <w:uiPriority w:val="9"/>
    <w:rPr>
      <w:rFonts w:asciiTheme="majorHAnsi" w:hAnsiTheme="majorHAnsi" w:eastAsiaTheme="majorEastAsia" w:cstheme="majorBidi"/>
      <w:b/>
      <w:bCs/>
      <w:sz w:val="32"/>
      <w:szCs w:val="32"/>
    </w:rPr>
  </w:style>
  <w:style w:type="character" w:customStyle="1" w:styleId="26">
    <w:name w:val="页眉 Char"/>
    <w:basedOn w:val="17"/>
    <w:link w:val="13"/>
    <w:qFormat/>
    <w:uiPriority w:val="99"/>
    <w:rPr>
      <w:sz w:val="18"/>
      <w:szCs w:val="18"/>
    </w:rPr>
  </w:style>
  <w:style w:type="character" w:customStyle="1" w:styleId="27">
    <w:name w:val="页脚 Char"/>
    <w:basedOn w:val="17"/>
    <w:link w:val="12"/>
    <w:qFormat/>
    <w:uiPriority w:val="99"/>
    <w:rPr>
      <w:sz w:val="18"/>
      <w:szCs w:val="18"/>
    </w:rPr>
  </w:style>
  <w:style w:type="character" w:customStyle="1" w:styleId="28">
    <w:name w:val="纯文本 Char3"/>
    <w:qFormat/>
    <w:uiPriority w:val="0"/>
    <w:rPr>
      <w:rFonts w:ascii="宋体" w:hAnsi="Courier New" w:eastAsia="宋体" w:cs="Courier New"/>
      <w:szCs w:val="21"/>
    </w:rPr>
  </w:style>
  <w:style w:type="character" w:customStyle="1" w:styleId="29">
    <w:name w:val="批注文字 Char1"/>
    <w:qFormat/>
    <w:uiPriority w:val="0"/>
    <w:rPr>
      <w:kern w:val="2"/>
      <w:sz w:val="21"/>
    </w:rPr>
  </w:style>
  <w:style w:type="character" w:customStyle="1" w:styleId="30">
    <w:name w:val="批注文字 Char"/>
    <w:basedOn w:val="17"/>
    <w:link w:val="8"/>
    <w:semiHidden/>
    <w:qFormat/>
    <w:uiPriority w:val="99"/>
    <w:rPr>
      <w:rFonts w:asciiTheme="minorHAnsi" w:hAnsiTheme="minorHAnsi" w:eastAsiaTheme="minorEastAsia" w:cstheme="minorBidi"/>
      <w:kern w:val="2"/>
      <w:sz w:val="21"/>
      <w:szCs w:val="22"/>
    </w:rPr>
  </w:style>
  <w:style w:type="character" w:customStyle="1" w:styleId="31">
    <w:name w:val="批注框文本 Char"/>
    <w:basedOn w:val="17"/>
    <w:link w:val="11"/>
    <w:semiHidden/>
    <w:qFormat/>
    <w:uiPriority w:val="99"/>
    <w:rPr>
      <w:rFonts w:asciiTheme="minorHAnsi" w:hAnsiTheme="minorHAnsi" w:eastAsiaTheme="minorEastAsia" w:cstheme="minorBidi"/>
      <w:kern w:val="2"/>
      <w:sz w:val="18"/>
      <w:szCs w:val="18"/>
    </w:rPr>
  </w:style>
  <w:style w:type="paragraph" w:styleId="32">
    <w:name w:val="List Paragraph"/>
    <w:basedOn w:val="1"/>
    <w:qFormat/>
    <w:uiPriority w:val="1"/>
    <w:pPr>
      <w:ind w:left="424" w:firstLine="439"/>
    </w:pPr>
    <w:rPr>
      <w:rFonts w:ascii="宋体" w:hAnsi="宋体" w:eastAsia="宋体" w:cs="宋体"/>
    </w:rPr>
  </w:style>
  <w:style w:type="paragraph" w:customStyle="1" w:styleId="33">
    <w:name w:val="Table Paragraph"/>
    <w:basedOn w:val="1"/>
    <w:qFormat/>
    <w:uiPriority w:val="1"/>
    <w:rPr>
      <w:rFonts w:ascii="宋体" w:hAnsi="宋体" w:eastAsia="宋体" w:cs="宋体"/>
    </w:rPr>
  </w:style>
  <w:style w:type="character" w:customStyle="1" w:styleId="34">
    <w:name w:val="批注主题 Char"/>
    <w:basedOn w:val="30"/>
    <w:link w:val="15"/>
    <w:semiHidden/>
    <w:qFormat/>
    <w:uiPriority w:val="99"/>
    <w:rPr>
      <w:rFonts w:asciiTheme="minorHAnsi" w:hAnsiTheme="minorHAnsi" w:eastAsiaTheme="minorEastAsia" w:cstheme="minorBidi"/>
      <w:b/>
      <w:bCs/>
      <w:kern w:val="2"/>
      <w:sz w:val="21"/>
      <w:szCs w:val="22"/>
    </w:rPr>
  </w:style>
  <w:style w:type="paragraph" w:customStyle="1" w:styleId="35">
    <w:name w:val="Default"/>
    <w:unhideWhenUsed/>
    <w:qFormat/>
    <w:uiPriority w:val="0"/>
    <w:pPr>
      <w:widowControl w:val="0"/>
      <w:autoSpaceDE w:val="0"/>
      <w:autoSpaceDN w:val="0"/>
      <w:adjustRightInd w:val="0"/>
      <w:spacing w:beforeLines="0" w:afterLines="0"/>
    </w:pPr>
    <w:rPr>
      <w:rFonts w:hint="eastAsia" w:ascii="Times New Roman" w:hAnsi="Times New Roman" w:eastAsia="等线" w:cs="Times New Roman"/>
      <w:color w:val="000000"/>
      <w:sz w:val="24"/>
      <w:lang w:val="en-US" w:eastAsia="zh-C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
        <a:font script="Hang" typeface="맑은 고딕  "/>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
        <a:font script="Hang" typeface="맑은 고딕  "/>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81</Pages>
  <Words>7828</Words>
  <Characters>44623</Characters>
  <Lines>371</Lines>
  <Paragraphs>104</Paragraphs>
  <TotalTime>0</TotalTime>
  <ScaleCrop>false</ScaleCrop>
  <LinksUpToDate>false</LinksUpToDate>
  <CharactersWithSpaces>52347</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2019-03-28T09:21:00Z</dcterms:created>
  <dc:creator>Administrator</dc:creator>
  <cp:lastModifiedBy>耶不耶啊</cp:lastModifiedBy>
  <dcterms:modified xsi:type="dcterms:W3CDTF">2020-07-20T09:53:08Z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